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5.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146D77" w:rsidR="00E77CB3" w:rsidP="00146D77" w:rsidRDefault="00E77CB3">
      <w:pPr>
        <w:jc w:val="center"/>
        <w:rPr>
          <w:lang w:val="fr-FR"/>
        </w:rPr>
      </w:pPr>
      <w:bookmarkStart w:name="_GoBack" w:id="0"/>
      <w:bookmarkEnd w:id="0"/>
    </w:p>
    <w:p w:rsidRPr="00146D77" w:rsidR="00672B2C" w:rsidP="00146D77" w:rsidRDefault="00672B2C">
      <w:pPr>
        <w:jc w:val="center"/>
        <w:rPr>
          <w:lang w:val="fr-FR"/>
        </w:rPr>
      </w:pPr>
    </w:p>
    <w:p w:rsidRPr="00146D77" w:rsidR="00672B2C" w:rsidP="00146D77" w:rsidRDefault="00672B2C">
      <w:pPr>
        <w:jc w:val="center"/>
        <w:rPr>
          <w:lang w:val="fr-FR"/>
        </w:rPr>
      </w:pPr>
    </w:p>
    <w:p w:rsidRPr="00146D77" w:rsidR="00E77CB3" w:rsidP="00146D77" w:rsidRDefault="00E64ABD">
      <w:pPr>
        <w:jc w:val="center"/>
        <w:rPr>
          <w:lang w:val="fr-FR"/>
        </w:rPr>
      </w:pPr>
      <w:r w:rsidRPr="00146D77">
        <w:rPr>
          <w:lang w:val="fr-FR"/>
        </w:rPr>
        <w:t>DEUXIÈME SECTION</w:t>
      </w:r>
    </w:p>
    <w:p w:rsidRPr="00146D77" w:rsidR="00E77CB3" w:rsidP="00146D77" w:rsidRDefault="00E77CB3">
      <w:pPr>
        <w:jc w:val="center"/>
        <w:rPr>
          <w:lang w:val="fr-FR"/>
        </w:rPr>
      </w:pPr>
    </w:p>
    <w:p w:rsidRPr="00146D77" w:rsidR="00672B2C" w:rsidP="00146D77" w:rsidRDefault="00672B2C">
      <w:pPr>
        <w:jc w:val="center"/>
        <w:rPr>
          <w:lang w:val="fr-FR"/>
        </w:rPr>
      </w:pPr>
    </w:p>
    <w:p w:rsidRPr="00146D77" w:rsidR="00672B2C" w:rsidP="00146D77" w:rsidRDefault="00672B2C">
      <w:pPr>
        <w:jc w:val="center"/>
        <w:rPr>
          <w:lang w:val="fr-FR"/>
        </w:rPr>
      </w:pPr>
    </w:p>
    <w:p w:rsidRPr="00146D77" w:rsidR="00672B2C" w:rsidP="00146D77" w:rsidRDefault="00672B2C">
      <w:pPr>
        <w:jc w:val="center"/>
        <w:rPr>
          <w:lang w:val="fr-FR"/>
        </w:rPr>
      </w:pPr>
    </w:p>
    <w:p w:rsidRPr="00146D77" w:rsidR="00672B2C" w:rsidP="00146D77" w:rsidRDefault="00672B2C">
      <w:pPr>
        <w:jc w:val="center"/>
        <w:rPr>
          <w:lang w:val="fr-FR"/>
        </w:rPr>
      </w:pPr>
    </w:p>
    <w:p w:rsidRPr="00146D77" w:rsidR="00672B2C" w:rsidP="00146D77" w:rsidRDefault="00672B2C">
      <w:pPr>
        <w:jc w:val="center"/>
        <w:rPr>
          <w:lang w:val="fr-FR"/>
        </w:rPr>
      </w:pPr>
    </w:p>
    <w:p w:rsidRPr="00146D77" w:rsidR="00E77CB3" w:rsidP="00146D77" w:rsidRDefault="00E77CB3">
      <w:pPr>
        <w:jc w:val="center"/>
        <w:rPr>
          <w:b/>
          <w:lang w:val="fr-FR"/>
        </w:rPr>
      </w:pPr>
      <w:bookmarkStart w:name="To" w:id="1"/>
      <w:r w:rsidRPr="00146D77">
        <w:rPr>
          <w:b/>
          <w:lang w:val="fr-FR"/>
        </w:rPr>
        <w:t xml:space="preserve">AFFAIRE </w:t>
      </w:r>
      <w:bookmarkEnd w:id="1"/>
      <w:r w:rsidRPr="00146D77" w:rsidR="00E64ABD">
        <w:rPr>
          <w:b/>
          <w:lang w:val="fr-FR"/>
        </w:rPr>
        <w:t>YAVAŞ ET AUTRES c. TURQUIE</w:t>
      </w:r>
    </w:p>
    <w:p w:rsidRPr="00146D77" w:rsidR="00E77CB3" w:rsidP="00146D77" w:rsidRDefault="00E77CB3">
      <w:pPr>
        <w:jc w:val="center"/>
        <w:rPr>
          <w:lang w:val="fr-FR"/>
        </w:rPr>
      </w:pPr>
    </w:p>
    <w:p w:rsidRPr="00146D77" w:rsidR="00E64ABD" w:rsidP="00146D77" w:rsidRDefault="00E77CB3">
      <w:pPr>
        <w:jc w:val="center"/>
        <w:rPr>
          <w:szCs w:val="24"/>
          <w:u w:val="single"/>
          <w:lang w:val="fr-FR"/>
        </w:rPr>
      </w:pPr>
      <w:r w:rsidRPr="00146D77">
        <w:rPr>
          <w:i/>
          <w:lang w:val="fr-FR"/>
        </w:rPr>
        <w:t>(</w:t>
      </w:r>
      <w:r w:rsidRPr="00146D77" w:rsidR="00E64ABD">
        <w:rPr>
          <w:i/>
          <w:lang w:val="fr-FR"/>
        </w:rPr>
        <w:t>Requête n</w:t>
      </w:r>
      <w:r w:rsidRPr="00146D77" w:rsidR="00E64ABD">
        <w:rPr>
          <w:i/>
          <w:vertAlign w:val="superscript"/>
          <w:lang w:val="fr-FR"/>
        </w:rPr>
        <w:t>o</w:t>
      </w:r>
      <w:r w:rsidRPr="00146D77" w:rsidR="00E64ABD">
        <w:rPr>
          <w:i/>
          <w:lang w:val="fr-FR"/>
        </w:rPr>
        <w:t xml:space="preserve"> 36366/06</w:t>
      </w:r>
      <w:r w:rsidRPr="00146D77">
        <w:rPr>
          <w:i/>
          <w:lang w:val="fr-FR"/>
        </w:rPr>
        <w:t>)</w:t>
      </w:r>
    </w:p>
    <w:p w:rsidRPr="00146D77" w:rsidR="00672B2C" w:rsidP="00146D77" w:rsidRDefault="00672B2C">
      <w:pPr>
        <w:jc w:val="center"/>
        <w:rPr>
          <w:szCs w:val="24"/>
          <w:u w:val="single"/>
          <w:lang w:val="fr-FR"/>
        </w:rPr>
      </w:pPr>
    </w:p>
    <w:p w:rsidRPr="00146D77" w:rsidR="00672B2C" w:rsidP="00146D77" w:rsidRDefault="00672B2C">
      <w:pPr>
        <w:jc w:val="center"/>
        <w:rPr>
          <w:szCs w:val="24"/>
          <w:u w:val="single"/>
          <w:lang w:val="fr-FR"/>
        </w:rPr>
      </w:pPr>
    </w:p>
    <w:p w:rsidRPr="00146D77" w:rsidR="00672B2C" w:rsidP="00146D77" w:rsidRDefault="00672B2C">
      <w:pPr>
        <w:jc w:val="center"/>
        <w:rPr>
          <w:szCs w:val="24"/>
          <w:u w:val="single"/>
          <w:lang w:val="fr-FR"/>
        </w:rPr>
      </w:pPr>
    </w:p>
    <w:p w:rsidRPr="00146D77" w:rsidR="00672B2C" w:rsidP="00146D77" w:rsidRDefault="00672B2C">
      <w:pPr>
        <w:jc w:val="center"/>
        <w:rPr>
          <w:szCs w:val="24"/>
          <w:u w:val="single"/>
          <w:lang w:val="fr-FR"/>
        </w:rPr>
      </w:pPr>
    </w:p>
    <w:p w:rsidRPr="00146D77" w:rsidR="00672B2C" w:rsidP="00146D77" w:rsidRDefault="00672B2C">
      <w:pPr>
        <w:jc w:val="center"/>
        <w:rPr>
          <w:szCs w:val="24"/>
          <w:u w:val="single"/>
          <w:lang w:val="fr-FR"/>
        </w:rPr>
      </w:pPr>
    </w:p>
    <w:p w:rsidRPr="00146D77" w:rsidR="00672B2C" w:rsidP="00146D77" w:rsidRDefault="00672B2C">
      <w:pPr>
        <w:jc w:val="center"/>
        <w:rPr>
          <w:szCs w:val="24"/>
          <w:u w:val="single"/>
          <w:lang w:val="fr-FR"/>
        </w:rPr>
      </w:pPr>
    </w:p>
    <w:p w:rsidRPr="00146D77" w:rsidR="00672B2C" w:rsidP="00146D77" w:rsidRDefault="00672B2C">
      <w:pPr>
        <w:jc w:val="center"/>
        <w:rPr>
          <w:szCs w:val="24"/>
          <w:u w:val="single"/>
          <w:lang w:val="fr-FR"/>
        </w:rPr>
      </w:pPr>
    </w:p>
    <w:p w:rsidRPr="00146D77" w:rsidR="00672B2C" w:rsidP="00146D77" w:rsidRDefault="00672B2C">
      <w:pPr>
        <w:jc w:val="center"/>
        <w:rPr>
          <w:szCs w:val="24"/>
          <w:lang w:val="fr-FR"/>
        </w:rPr>
      </w:pPr>
      <w:r w:rsidRPr="00146D77">
        <w:rPr>
          <w:szCs w:val="24"/>
          <w:lang w:val="fr-FR"/>
        </w:rPr>
        <w:t>ARRÊT</w:t>
      </w:r>
    </w:p>
    <w:p w:rsidRPr="00146D77" w:rsidR="00672B2C" w:rsidP="00146D77" w:rsidRDefault="00672B2C">
      <w:pPr>
        <w:jc w:val="center"/>
        <w:rPr>
          <w:szCs w:val="24"/>
          <w:lang w:val="fr-FR"/>
        </w:rPr>
      </w:pPr>
    </w:p>
    <w:p w:rsidRPr="00146D77" w:rsidR="00672B2C" w:rsidP="00146D77" w:rsidRDefault="00672B2C">
      <w:pPr>
        <w:jc w:val="center"/>
        <w:rPr>
          <w:szCs w:val="24"/>
          <w:lang w:val="fr-FR"/>
        </w:rPr>
      </w:pPr>
    </w:p>
    <w:p w:rsidRPr="00146D77" w:rsidR="00672B2C" w:rsidP="00146D77" w:rsidRDefault="00672B2C">
      <w:pPr>
        <w:jc w:val="center"/>
        <w:rPr>
          <w:szCs w:val="24"/>
          <w:lang w:val="fr-FR"/>
        </w:rPr>
      </w:pPr>
      <w:r w:rsidRPr="00146D77">
        <w:rPr>
          <w:szCs w:val="24"/>
          <w:lang w:val="fr-FR"/>
        </w:rPr>
        <w:t>STRASBOURG</w:t>
      </w:r>
    </w:p>
    <w:p w:rsidRPr="00146D77" w:rsidR="00672B2C" w:rsidP="00146D77" w:rsidRDefault="00672B2C">
      <w:pPr>
        <w:jc w:val="center"/>
        <w:rPr>
          <w:szCs w:val="24"/>
          <w:lang w:val="fr-FR"/>
        </w:rPr>
      </w:pPr>
    </w:p>
    <w:p w:rsidRPr="00146D77" w:rsidR="00672B2C" w:rsidP="00146D77" w:rsidRDefault="00672B2C">
      <w:pPr>
        <w:jc w:val="center"/>
        <w:rPr>
          <w:szCs w:val="24"/>
          <w:lang w:val="fr-FR"/>
        </w:rPr>
      </w:pPr>
      <w:r w:rsidRPr="00146D77">
        <w:rPr>
          <w:szCs w:val="24"/>
          <w:lang w:val="fr-FR"/>
        </w:rPr>
        <w:t>5 mars 2019</w:t>
      </w:r>
    </w:p>
    <w:p w:rsidRPr="00146D77" w:rsidR="00672B2C" w:rsidP="00146D77" w:rsidRDefault="00672B2C">
      <w:pPr>
        <w:jc w:val="center"/>
        <w:rPr>
          <w:szCs w:val="24"/>
          <w:lang w:val="fr-FR"/>
        </w:rPr>
      </w:pPr>
    </w:p>
    <w:p w:rsidRPr="00146D77" w:rsidR="00146D77" w:rsidP="00146D77" w:rsidRDefault="00146D77">
      <w:pPr>
        <w:jc w:val="center"/>
        <w:rPr>
          <w:szCs w:val="24"/>
          <w:lang w:val="fr-FR"/>
        </w:rPr>
      </w:pPr>
    </w:p>
    <w:p w:rsidRPr="00146D77" w:rsidR="00146D77" w:rsidP="00146D77" w:rsidRDefault="00146D77">
      <w:pPr>
        <w:jc w:val="center"/>
        <w:rPr>
          <w:szCs w:val="24"/>
          <w:lang w:val="fr-FR"/>
        </w:rPr>
      </w:pPr>
    </w:p>
    <w:p w:rsidRPr="00146D77" w:rsidR="00146D77" w:rsidP="00146D77" w:rsidRDefault="00146D77">
      <w:pPr>
        <w:pStyle w:val="jucase0"/>
        <w:ind w:firstLine="0"/>
        <w:jc w:val="center"/>
        <w:rPr>
          <w:color w:val="FF0000"/>
          <w:sz w:val="28"/>
          <w:szCs w:val="28"/>
          <w:u w:val="single"/>
          <w:lang w:val="fr-FR"/>
        </w:rPr>
      </w:pPr>
      <w:r w:rsidRPr="00146D77">
        <w:rPr>
          <w:color w:val="FF0000"/>
          <w:sz w:val="28"/>
          <w:szCs w:val="28"/>
          <w:u w:val="single"/>
          <w:lang w:val="fr-FR"/>
        </w:rPr>
        <w:t>DÉFINITIF</w:t>
      </w:r>
    </w:p>
    <w:p w:rsidRPr="00146D77" w:rsidR="00146D77" w:rsidP="00146D77" w:rsidRDefault="00146D77">
      <w:pPr>
        <w:pStyle w:val="jupara"/>
        <w:tabs>
          <w:tab w:val="left" w:pos="3450"/>
        </w:tabs>
        <w:ind w:firstLine="0"/>
        <w:jc w:val="center"/>
        <w:rPr>
          <w:color w:val="FF0000"/>
          <w:sz w:val="28"/>
          <w:szCs w:val="28"/>
          <w:lang w:val="fr-FR"/>
        </w:rPr>
      </w:pPr>
    </w:p>
    <w:p w:rsidRPr="00146D77" w:rsidR="00146D77" w:rsidP="00146D77" w:rsidRDefault="00146D77">
      <w:pPr>
        <w:pStyle w:val="jupara"/>
        <w:ind w:firstLine="0"/>
        <w:jc w:val="center"/>
        <w:rPr>
          <w:color w:val="FF0000"/>
          <w:sz w:val="28"/>
          <w:szCs w:val="28"/>
          <w:lang w:val="fr-FR"/>
        </w:rPr>
      </w:pPr>
      <w:r w:rsidRPr="00146D77">
        <w:rPr>
          <w:color w:val="FF0000"/>
          <w:sz w:val="28"/>
          <w:szCs w:val="28"/>
          <w:lang w:val="fr-FR"/>
        </w:rPr>
        <w:t>24/06/2019</w:t>
      </w:r>
    </w:p>
    <w:p w:rsidRPr="00146D77" w:rsidR="00146D77" w:rsidP="00146D77" w:rsidRDefault="00146D77">
      <w:pPr>
        <w:pStyle w:val="jupara"/>
        <w:ind w:firstLine="0"/>
        <w:jc w:val="center"/>
        <w:rPr>
          <w:u w:val="single"/>
          <w:lang w:val="fr-FR"/>
        </w:rPr>
      </w:pPr>
    </w:p>
    <w:p w:rsidRPr="00146D77" w:rsidR="00146D77" w:rsidP="00146D77" w:rsidRDefault="00146D77">
      <w:pPr>
        <w:pStyle w:val="jupara"/>
        <w:ind w:firstLine="0"/>
        <w:jc w:val="center"/>
        <w:rPr>
          <w:u w:val="single"/>
          <w:lang w:val="fr-FR"/>
        </w:rPr>
      </w:pPr>
    </w:p>
    <w:p w:rsidRPr="00146D77" w:rsidR="00146D77" w:rsidP="00146D77" w:rsidRDefault="00146D77">
      <w:pPr>
        <w:pStyle w:val="jupara"/>
        <w:ind w:firstLine="0"/>
        <w:jc w:val="center"/>
        <w:rPr>
          <w:u w:val="single"/>
          <w:lang w:val="fr-FR"/>
        </w:rPr>
      </w:pPr>
    </w:p>
    <w:p w:rsidRPr="00146D77" w:rsidR="00146D77" w:rsidP="00146D77" w:rsidRDefault="00146D77">
      <w:pPr>
        <w:jc w:val="left"/>
        <w:rPr>
          <w:szCs w:val="24"/>
          <w:u w:val="single"/>
          <w:lang w:val="fr-FR"/>
        </w:rPr>
      </w:pPr>
      <w:r w:rsidRPr="00146D77">
        <w:rPr>
          <w:i/>
          <w:iCs/>
          <w:sz w:val="22"/>
          <w:lang w:val="fr-FR"/>
        </w:rPr>
        <w:t>Cet arrêt est devenu définitif en vertu de l’article 44 § 2 de la Convention. Il peut subir des retouches de forme.</w:t>
      </w:r>
    </w:p>
    <w:p w:rsidRPr="00146D77" w:rsidR="00672B2C" w:rsidP="00146D77" w:rsidRDefault="00672B2C">
      <w:pPr>
        <w:pStyle w:val="JuCase"/>
        <w:jc w:val="left"/>
        <w:rPr>
          <w:lang w:val="fr-FR"/>
        </w:rPr>
        <w:sectPr w:rsidRPr="00146D77" w:rsidR="00672B2C" w:rsidSect="00672B2C">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titlePg/>
          <w:docGrid w:linePitch="326"/>
        </w:sectPr>
      </w:pPr>
    </w:p>
    <w:p w:rsidRPr="00146D77" w:rsidR="00E77CB3" w:rsidP="00146D77" w:rsidRDefault="00E77CB3">
      <w:pPr>
        <w:pStyle w:val="JuCase"/>
        <w:rPr>
          <w:lang w:val="fr-FR"/>
        </w:rPr>
      </w:pPr>
      <w:r w:rsidRPr="00146D77">
        <w:rPr>
          <w:lang w:val="fr-FR"/>
        </w:rPr>
        <w:t>En l</w:t>
      </w:r>
      <w:r w:rsidRPr="00146D77" w:rsidR="00146D77">
        <w:rPr>
          <w:lang w:val="fr-FR"/>
        </w:rPr>
        <w:t>’</w:t>
      </w:r>
      <w:r w:rsidRPr="00146D77">
        <w:rPr>
          <w:lang w:val="fr-FR"/>
        </w:rPr>
        <w:t xml:space="preserve">affaire </w:t>
      </w:r>
      <w:r w:rsidRPr="00146D77" w:rsidR="00E64ABD">
        <w:rPr>
          <w:lang w:val="fr-FR"/>
        </w:rPr>
        <w:t>Yavaş et autres c. Turquie</w:t>
      </w:r>
      <w:r w:rsidRPr="00146D77">
        <w:rPr>
          <w:lang w:val="fr-FR"/>
        </w:rPr>
        <w:t>,</w:t>
      </w:r>
    </w:p>
    <w:p w:rsidRPr="00146D77" w:rsidR="00E77CB3" w:rsidP="00146D77" w:rsidRDefault="00E77CB3">
      <w:pPr>
        <w:pStyle w:val="ECHRPara"/>
        <w:rPr>
          <w:lang w:val="fr-FR"/>
        </w:rPr>
      </w:pPr>
      <w:r w:rsidRPr="00146D77">
        <w:rPr>
          <w:lang w:val="fr-FR"/>
        </w:rPr>
        <w:t>La Cour européenne des droits de l</w:t>
      </w:r>
      <w:r w:rsidRPr="00146D77" w:rsidR="00146D77">
        <w:rPr>
          <w:lang w:val="fr-FR"/>
        </w:rPr>
        <w:t>’</w:t>
      </w:r>
      <w:r w:rsidRPr="00146D77">
        <w:rPr>
          <w:lang w:val="fr-FR"/>
        </w:rPr>
        <w:t>homme (</w:t>
      </w:r>
      <w:r w:rsidRPr="00146D77" w:rsidR="00E64ABD">
        <w:rPr>
          <w:lang w:val="fr-FR"/>
        </w:rPr>
        <w:t>deuxième section</w:t>
      </w:r>
      <w:r w:rsidRPr="00146D77">
        <w:rPr>
          <w:lang w:val="fr-FR"/>
        </w:rPr>
        <w:t xml:space="preserve">), siégeant en </w:t>
      </w:r>
      <w:r w:rsidRPr="00146D77" w:rsidR="00E64ABD">
        <w:rPr>
          <w:lang w:val="fr-FR"/>
        </w:rPr>
        <w:t>une chambre composée</w:t>
      </w:r>
      <w:r w:rsidRPr="00146D77">
        <w:rPr>
          <w:lang w:val="fr-FR"/>
        </w:rPr>
        <w:t xml:space="preserve"> de :</w:t>
      </w:r>
    </w:p>
    <w:p w:rsidRPr="00146D77" w:rsidR="006B2121" w:rsidP="00146D77" w:rsidRDefault="00672B2C">
      <w:pPr>
        <w:pStyle w:val="ECHRDecisionBody"/>
        <w:rPr>
          <w:lang w:val="fr-FR"/>
        </w:rPr>
      </w:pPr>
      <w:r w:rsidRPr="00146D77">
        <w:rPr>
          <w:lang w:val="fr-FR"/>
        </w:rPr>
        <w:tab/>
        <w:t>Robert Spano,</w:t>
      </w:r>
      <w:r w:rsidRPr="00146D77">
        <w:rPr>
          <w:i/>
          <w:lang w:val="fr-FR"/>
        </w:rPr>
        <w:t xml:space="preserve"> président,</w:t>
      </w:r>
      <w:r w:rsidRPr="00146D77">
        <w:rPr>
          <w:i/>
          <w:lang w:val="fr-FR"/>
        </w:rPr>
        <w:br/>
      </w:r>
      <w:r w:rsidRPr="00146D77">
        <w:rPr>
          <w:lang w:val="fr-FR"/>
        </w:rPr>
        <w:tab/>
        <w:t>Paul Lemmens,</w:t>
      </w:r>
    </w:p>
    <w:p w:rsidRPr="00146D77" w:rsidR="00E77CB3" w:rsidP="00146D77" w:rsidRDefault="006B2121">
      <w:pPr>
        <w:pStyle w:val="ECHRDecisionBody"/>
        <w:rPr>
          <w:lang w:val="fr-FR"/>
        </w:rPr>
      </w:pPr>
      <w:r w:rsidRPr="00146D77">
        <w:rPr>
          <w:lang w:val="fr-FR"/>
        </w:rPr>
        <w:tab/>
        <w:t>Işıl Karakaş,</w:t>
      </w:r>
      <w:r w:rsidRPr="00146D77" w:rsidR="00672B2C">
        <w:rPr>
          <w:i/>
          <w:lang w:val="fr-FR"/>
        </w:rPr>
        <w:br/>
      </w:r>
      <w:r w:rsidRPr="00146D77" w:rsidR="00672B2C">
        <w:rPr>
          <w:lang w:val="fr-FR"/>
        </w:rPr>
        <w:tab/>
        <w:t>Valeriu Griţco,</w:t>
      </w:r>
      <w:r w:rsidRPr="00146D77" w:rsidR="00672B2C">
        <w:rPr>
          <w:i/>
          <w:lang w:val="fr-FR"/>
        </w:rPr>
        <w:br/>
      </w:r>
      <w:r w:rsidRPr="00146D77" w:rsidR="00672B2C">
        <w:rPr>
          <w:lang w:val="fr-FR"/>
        </w:rPr>
        <w:tab/>
        <w:t>Stéphanie Mourou-Vikström,</w:t>
      </w:r>
      <w:r w:rsidRPr="00146D77" w:rsidR="00672B2C">
        <w:rPr>
          <w:i/>
          <w:lang w:val="fr-FR"/>
        </w:rPr>
        <w:br/>
      </w:r>
      <w:r w:rsidRPr="00146D77" w:rsidR="00672B2C">
        <w:rPr>
          <w:lang w:val="fr-FR"/>
        </w:rPr>
        <w:tab/>
        <w:t>Ivana Jelić,</w:t>
      </w:r>
      <w:r w:rsidRPr="00146D77" w:rsidR="00672B2C">
        <w:rPr>
          <w:i/>
          <w:lang w:val="fr-FR"/>
        </w:rPr>
        <w:br/>
      </w:r>
      <w:r w:rsidRPr="00146D77" w:rsidR="00672B2C">
        <w:rPr>
          <w:lang w:val="fr-FR"/>
        </w:rPr>
        <w:tab/>
        <w:t>Darian Pavli,</w:t>
      </w:r>
      <w:r w:rsidRPr="00146D77" w:rsidR="00672B2C">
        <w:rPr>
          <w:i/>
          <w:lang w:val="fr-FR"/>
        </w:rPr>
        <w:t xml:space="preserve"> juges,</w:t>
      </w:r>
      <w:r w:rsidRPr="00146D77" w:rsidR="00672B2C">
        <w:rPr>
          <w:i/>
          <w:lang w:val="fr-FR"/>
        </w:rPr>
        <w:br/>
      </w:r>
      <w:r w:rsidRPr="00146D77" w:rsidR="00E77CB3">
        <w:rPr>
          <w:lang w:val="fr-FR"/>
        </w:rPr>
        <w:t xml:space="preserve">et de </w:t>
      </w:r>
      <w:r w:rsidRPr="00146D77" w:rsidR="00672B2C">
        <w:rPr>
          <w:lang w:val="fr-FR"/>
        </w:rPr>
        <w:t>Hasan Bak</w:t>
      </w:r>
      <w:r w:rsidRPr="00146D77" w:rsidR="00672B2C">
        <w:rPr>
          <w:rFonts w:ascii="Times New Roman" w:hAnsi="Times New Roman" w:cs="Times New Roman"/>
          <w:lang w:val="fr-FR"/>
        </w:rPr>
        <w:t>ı</w:t>
      </w:r>
      <w:r w:rsidRPr="00146D77" w:rsidR="00672B2C">
        <w:rPr>
          <w:lang w:val="fr-FR"/>
        </w:rPr>
        <w:t>rc</w:t>
      </w:r>
      <w:r w:rsidRPr="00146D77" w:rsidR="00672B2C">
        <w:rPr>
          <w:rFonts w:ascii="Times New Roman" w:hAnsi="Times New Roman" w:cs="Times New Roman"/>
          <w:lang w:val="fr-FR"/>
        </w:rPr>
        <w:t>ı</w:t>
      </w:r>
      <w:r w:rsidRPr="00146D77" w:rsidR="00E77CB3">
        <w:rPr>
          <w:lang w:val="fr-FR"/>
        </w:rPr>
        <w:t xml:space="preserve">, </w:t>
      </w:r>
      <w:r w:rsidRPr="00146D77" w:rsidR="00E64ABD">
        <w:rPr>
          <w:i/>
          <w:lang w:val="fr-FR"/>
        </w:rPr>
        <w:t>greffier</w:t>
      </w:r>
      <w:r w:rsidRPr="00146D77" w:rsidR="00E64ABD">
        <w:rPr>
          <w:i/>
          <w:iCs/>
          <w:lang w:val="fr-FR"/>
        </w:rPr>
        <w:t xml:space="preserve"> </w:t>
      </w:r>
      <w:r w:rsidRPr="00146D77" w:rsidR="00672B2C">
        <w:rPr>
          <w:i/>
          <w:iCs/>
          <w:lang w:val="fr-FR"/>
        </w:rPr>
        <w:t xml:space="preserve">adjoint </w:t>
      </w:r>
      <w:r w:rsidRPr="00146D77" w:rsidR="00E64ABD">
        <w:rPr>
          <w:i/>
          <w:iCs/>
          <w:lang w:val="fr-FR"/>
        </w:rPr>
        <w:t>d</w:t>
      </w:r>
      <w:r w:rsidRPr="00146D77" w:rsidR="00E64ABD">
        <w:rPr>
          <w:i/>
          <w:lang w:val="fr-FR"/>
        </w:rPr>
        <w:t>e section</w:t>
      </w:r>
      <w:r w:rsidRPr="00146D77" w:rsidR="00E77CB3">
        <w:rPr>
          <w:lang w:val="fr-FR"/>
        </w:rPr>
        <w:t>,</w:t>
      </w:r>
    </w:p>
    <w:p w:rsidRPr="00146D77" w:rsidR="00E77CB3" w:rsidP="00146D77" w:rsidRDefault="00E77CB3">
      <w:pPr>
        <w:pStyle w:val="ECHRPara"/>
        <w:rPr>
          <w:lang w:val="fr-FR"/>
        </w:rPr>
      </w:pPr>
      <w:r w:rsidRPr="00146D77">
        <w:rPr>
          <w:lang w:val="fr-FR"/>
        </w:rPr>
        <w:t xml:space="preserve">Après en avoir délibéré en chambre du conseil le </w:t>
      </w:r>
      <w:r w:rsidRPr="00146D77" w:rsidR="00672B2C">
        <w:rPr>
          <w:lang w:val="fr-FR"/>
        </w:rPr>
        <w:t>5 février 2019</w:t>
      </w:r>
      <w:r w:rsidRPr="00146D77">
        <w:rPr>
          <w:lang w:val="fr-FR"/>
        </w:rPr>
        <w:t>,</w:t>
      </w:r>
    </w:p>
    <w:p w:rsidRPr="00146D77" w:rsidR="00E77CB3" w:rsidP="00146D77" w:rsidRDefault="00E77CB3">
      <w:pPr>
        <w:pStyle w:val="ECHRPara"/>
        <w:rPr>
          <w:lang w:val="fr-FR"/>
        </w:rPr>
      </w:pPr>
      <w:r w:rsidRPr="00146D77">
        <w:rPr>
          <w:lang w:val="fr-FR"/>
        </w:rPr>
        <w:t>Rend l</w:t>
      </w:r>
      <w:r w:rsidRPr="00146D77" w:rsidR="00146D77">
        <w:rPr>
          <w:lang w:val="fr-FR"/>
        </w:rPr>
        <w:t>’</w:t>
      </w:r>
      <w:r w:rsidRPr="00146D77">
        <w:rPr>
          <w:lang w:val="fr-FR"/>
        </w:rPr>
        <w:t>arrêt que voici, adopté à cette date :</w:t>
      </w:r>
    </w:p>
    <w:p w:rsidRPr="00146D77" w:rsidR="00E77CB3" w:rsidP="00146D77" w:rsidRDefault="00E77CB3">
      <w:pPr>
        <w:pStyle w:val="ECHRTitle1"/>
        <w:rPr>
          <w:lang w:val="fr-FR"/>
        </w:rPr>
      </w:pPr>
      <w:r w:rsidRPr="00146D77">
        <w:rPr>
          <w:lang w:val="fr-FR"/>
        </w:rPr>
        <w:t>PROCÉDURE</w:t>
      </w:r>
    </w:p>
    <w:p w:rsidRPr="00146D77" w:rsidR="00E64ABD" w:rsidP="00146D77" w:rsidRDefault="00E64AB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1</w:t>
      </w:r>
      <w:r w:rsidRPr="00146D77">
        <w:rPr>
          <w:lang w:val="fr-FR"/>
        </w:rPr>
        <w:fldChar w:fldCharType="end"/>
      </w:r>
      <w:r w:rsidRPr="00146D77" w:rsidR="00E77CB3">
        <w:rPr>
          <w:lang w:val="fr-FR"/>
        </w:rPr>
        <w:t>.  </w:t>
      </w:r>
      <w:r w:rsidRPr="00146D77">
        <w:rPr>
          <w:lang w:val="fr-FR"/>
        </w:rPr>
        <w:t>À l</w:t>
      </w:r>
      <w:r w:rsidRPr="00146D77" w:rsidR="00146D77">
        <w:rPr>
          <w:lang w:val="fr-FR"/>
        </w:rPr>
        <w:t>’</w:t>
      </w:r>
      <w:r w:rsidRPr="00146D77">
        <w:rPr>
          <w:lang w:val="fr-FR"/>
        </w:rPr>
        <w:t>origine de l</w:t>
      </w:r>
      <w:r w:rsidRPr="00146D77" w:rsidR="00146D77">
        <w:rPr>
          <w:lang w:val="fr-FR"/>
        </w:rPr>
        <w:t>’</w:t>
      </w:r>
      <w:r w:rsidRPr="00146D77">
        <w:rPr>
          <w:lang w:val="fr-FR"/>
        </w:rPr>
        <w:t>affaire se trouve une requête (n</w:t>
      </w:r>
      <w:r w:rsidRPr="00146D77">
        <w:rPr>
          <w:vertAlign w:val="superscript"/>
          <w:lang w:val="fr-FR"/>
        </w:rPr>
        <w:t>o</w:t>
      </w:r>
      <w:r w:rsidRPr="00146D77">
        <w:rPr>
          <w:lang w:val="fr-FR"/>
        </w:rPr>
        <w:t xml:space="preserve"> 36366/06) dirigée contre la République de Turquie et dont douze ressortissants de cet État (« les requérants »), dont les noms et dates de naissance figurent en annexe, ont saisi la Cour le 1</w:t>
      </w:r>
      <w:r w:rsidRPr="00146D77">
        <w:rPr>
          <w:vertAlign w:val="superscript"/>
          <w:lang w:val="fr-FR"/>
        </w:rPr>
        <w:t>er</w:t>
      </w:r>
      <w:r w:rsidRPr="00146D77">
        <w:rPr>
          <w:lang w:val="fr-FR"/>
        </w:rPr>
        <w:t xml:space="preserve"> septembre 2006 en vertu de l</w:t>
      </w:r>
      <w:r w:rsidRPr="00146D77" w:rsidR="00146D77">
        <w:rPr>
          <w:lang w:val="fr-FR"/>
        </w:rPr>
        <w:t>’</w:t>
      </w:r>
      <w:r w:rsidRPr="00146D77">
        <w:rPr>
          <w:lang w:val="fr-FR"/>
        </w:rPr>
        <w:t>article 34 de la Convention de sauvegarde des droits de l</w:t>
      </w:r>
      <w:r w:rsidRPr="00146D77" w:rsidR="00146D77">
        <w:rPr>
          <w:lang w:val="fr-FR"/>
        </w:rPr>
        <w:t>’</w:t>
      </w:r>
      <w:r w:rsidRPr="00146D77">
        <w:rPr>
          <w:lang w:val="fr-FR"/>
        </w:rPr>
        <w:t>homme et des libertés fondamentales (« la Convention »).</w:t>
      </w:r>
    </w:p>
    <w:p w:rsidRPr="00146D77" w:rsidR="00E64ABD" w:rsidP="00146D77" w:rsidRDefault="00E64AB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2</w:t>
      </w:r>
      <w:r w:rsidRPr="00146D77">
        <w:rPr>
          <w:lang w:val="fr-FR"/>
        </w:rPr>
        <w:fldChar w:fldCharType="end"/>
      </w:r>
      <w:r w:rsidRPr="00146D77">
        <w:rPr>
          <w:lang w:val="fr-FR"/>
        </w:rPr>
        <w:t>.  Les requérants ont été représentés par M</w:t>
      </w:r>
      <w:r w:rsidRPr="00146D77">
        <w:rPr>
          <w:vertAlign w:val="superscript"/>
          <w:lang w:val="fr-FR"/>
        </w:rPr>
        <w:t>es</w:t>
      </w:r>
      <w:r w:rsidRPr="00146D77">
        <w:rPr>
          <w:lang w:val="fr-FR"/>
        </w:rPr>
        <w:t xml:space="preserve"> F. Ozan et B. Ozan, avocats à Istanbul. Le gouvernement turc (« le Gouvernement ») a été représenté par son agent.</w:t>
      </w:r>
    </w:p>
    <w:p w:rsidRPr="00146D77" w:rsidR="00E64ABD" w:rsidP="00146D77" w:rsidRDefault="00E64AB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3</w:t>
      </w:r>
      <w:r w:rsidRPr="00146D77">
        <w:rPr>
          <w:lang w:val="fr-FR"/>
        </w:rPr>
        <w:fldChar w:fldCharType="end"/>
      </w:r>
      <w:r w:rsidRPr="00146D77">
        <w:rPr>
          <w:lang w:val="fr-FR"/>
        </w:rPr>
        <w:t>.  Les requérants allèguent en particulier une violation de l</w:t>
      </w:r>
      <w:r w:rsidRPr="00146D77" w:rsidR="00146D77">
        <w:rPr>
          <w:lang w:val="fr-FR"/>
        </w:rPr>
        <w:t>’</w:t>
      </w:r>
      <w:r w:rsidRPr="00146D77">
        <w:rPr>
          <w:lang w:val="fr-FR"/>
        </w:rPr>
        <w:t>article 1 du Protocole n</w:t>
      </w:r>
      <w:r w:rsidRPr="00146D77">
        <w:rPr>
          <w:vertAlign w:val="superscript"/>
          <w:lang w:val="fr-FR"/>
        </w:rPr>
        <w:t>o </w:t>
      </w:r>
      <w:r w:rsidRPr="00146D77">
        <w:rPr>
          <w:lang w:val="fr-FR"/>
        </w:rPr>
        <w:t>1 en raison de la diminution du montant de leur pension par rapport au montant établi au moment de leur départ à la retraite.</w:t>
      </w:r>
    </w:p>
    <w:p w:rsidRPr="00146D77" w:rsidR="00E77CB3" w:rsidP="00146D77" w:rsidRDefault="00E64ABD">
      <w:pPr>
        <w:pStyle w:val="ECHRPara"/>
        <w:rPr>
          <w:szCs w:val="24"/>
          <w:lang w:val="fr-FR" w:eastAsia="en-GB"/>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4</w:t>
      </w:r>
      <w:r w:rsidRPr="00146D77">
        <w:rPr>
          <w:lang w:val="fr-FR"/>
        </w:rPr>
        <w:fldChar w:fldCharType="end"/>
      </w:r>
      <w:r w:rsidRPr="00146D77">
        <w:rPr>
          <w:lang w:val="fr-FR"/>
        </w:rPr>
        <w:t xml:space="preserve">.  Le </w:t>
      </w:r>
      <w:r w:rsidRPr="00146D77">
        <w:rPr>
          <w:szCs w:val="24"/>
          <w:lang w:val="fr-FR"/>
        </w:rPr>
        <w:t>10 septembre 2009</w:t>
      </w:r>
      <w:r w:rsidRPr="00146D77">
        <w:rPr>
          <w:lang w:val="fr-FR"/>
        </w:rPr>
        <w:t>, la requête a été communiquée au Gouvernement.</w:t>
      </w:r>
    </w:p>
    <w:p w:rsidRPr="00146D77" w:rsidR="00E77CB3" w:rsidP="00146D77" w:rsidRDefault="00E77CB3">
      <w:pPr>
        <w:pStyle w:val="ECHRTitle1"/>
        <w:tabs>
          <w:tab w:val="left" w:pos="5387"/>
        </w:tabs>
        <w:rPr>
          <w:lang w:val="fr-FR"/>
        </w:rPr>
      </w:pPr>
      <w:r w:rsidRPr="00146D77">
        <w:rPr>
          <w:lang w:val="fr-FR"/>
        </w:rPr>
        <w:t>EN FAIT</w:t>
      </w:r>
    </w:p>
    <w:p w:rsidRPr="00146D77" w:rsidR="00E77CB3" w:rsidP="00146D77" w:rsidRDefault="00E77CB3">
      <w:pPr>
        <w:pStyle w:val="ECHRHeading1"/>
        <w:rPr>
          <w:lang w:val="fr-FR"/>
        </w:rPr>
      </w:pPr>
      <w:r w:rsidRPr="00146D77">
        <w:rPr>
          <w:lang w:val="fr-FR"/>
        </w:rPr>
        <w:t>I.  LES CIRCONSTANCES DE L</w:t>
      </w:r>
      <w:r w:rsidRPr="00146D77" w:rsidR="00146D77">
        <w:rPr>
          <w:lang w:val="fr-FR"/>
        </w:rPr>
        <w:t>’</w:t>
      </w:r>
      <w:r w:rsidRPr="00146D77">
        <w:rPr>
          <w:lang w:val="fr-FR"/>
        </w:rPr>
        <w:t>ESPÈCE</w:t>
      </w:r>
    </w:p>
    <w:p w:rsidRPr="00146D77" w:rsidR="00E64ABD" w:rsidP="00146D77" w:rsidRDefault="00E64ABD">
      <w:pPr>
        <w:pStyle w:val="ECHRHeading2"/>
        <w:rPr>
          <w:lang w:val="fr-FR"/>
        </w:rPr>
      </w:pPr>
      <w:r w:rsidRPr="00146D77">
        <w:rPr>
          <w:lang w:val="fr-FR"/>
        </w:rPr>
        <w:t>A.  La genèse de l</w:t>
      </w:r>
      <w:r w:rsidRPr="00146D77" w:rsidR="00146D77">
        <w:rPr>
          <w:lang w:val="fr-FR"/>
        </w:rPr>
        <w:t>’</w:t>
      </w:r>
      <w:r w:rsidRPr="00146D77">
        <w:rPr>
          <w:lang w:val="fr-FR"/>
        </w:rPr>
        <w:t>affaire</w:t>
      </w:r>
    </w:p>
    <w:p w:rsidRPr="00146D77" w:rsidR="006C2E1E" w:rsidP="00146D77" w:rsidRDefault="00E64AB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5</w:t>
      </w:r>
      <w:r w:rsidRPr="00146D77">
        <w:rPr>
          <w:lang w:val="fr-FR"/>
        </w:rPr>
        <w:fldChar w:fldCharType="end"/>
      </w:r>
      <w:r w:rsidRPr="00146D77">
        <w:rPr>
          <w:lang w:val="fr-FR"/>
        </w:rPr>
        <w:t>.  Les requérants furent employés pendant de longues années par un organisme d</w:t>
      </w:r>
      <w:r w:rsidRPr="00146D77" w:rsidR="00146D77">
        <w:rPr>
          <w:lang w:val="fr-FR"/>
        </w:rPr>
        <w:t>’</w:t>
      </w:r>
      <w:r w:rsidRPr="00146D77">
        <w:rPr>
          <w:lang w:val="fr-FR"/>
        </w:rPr>
        <w:t>assurances, la Société anonyme turque d</w:t>
      </w:r>
      <w:r w:rsidRPr="00146D77" w:rsidR="00146D77">
        <w:rPr>
          <w:lang w:val="fr-FR"/>
        </w:rPr>
        <w:t>’</w:t>
      </w:r>
      <w:r w:rsidRPr="00146D77">
        <w:rPr>
          <w:lang w:val="fr-FR"/>
        </w:rPr>
        <w:t>assurances « Ankara » (</w:t>
      </w:r>
      <w:r w:rsidRPr="00146D77">
        <w:rPr>
          <w:i/>
          <w:lang w:val="fr-FR"/>
        </w:rPr>
        <w:t>Ankara Anonim Türk Sigorta Şirketi</w:t>
      </w:r>
      <w:r w:rsidRPr="00146D77" w:rsidR="006C2E1E">
        <w:rPr>
          <w:lang w:val="fr-FR"/>
        </w:rPr>
        <w:t>).</w:t>
      </w:r>
    </w:p>
    <w:p w:rsidRPr="00146D77" w:rsidR="00E64ABD" w:rsidP="00146D77" w:rsidRDefault="006C2E1E">
      <w:pPr>
        <w:pStyle w:val="ECHRPara"/>
        <w:rPr>
          <w:lang w:val="fr-FR"/>
        </w:rPr>
      </w:pPr>
      <w:r w:rsidRPr="00146D77">
        <w:rPr>
          <w:lang w:val="fr-FR"/>
        </w:rPr>
        <w:t xml:space="preserve">Selon les informations disponibles sur son site </w:t>
      </w:r>
      <w:r w:rsidRPr="00146D77" w:rsidR="00446759">
        <w:rPr>
          <w:lang w:val="fr-FR"/>
        </w:rPr>
        <w:t>i</w:t>
      </w:r>
      <w:r w:rsidRPr="00146D77">
        <w:rPr>
          <w:lang w:val="fr-FR"/>
        </w:rPr>
        <w:t>nternet (https://www.ankarasigorta.com.tr/Default.aspx?id=2), la Société anonyme turque d</w:t>
      </w:r>
      <w:r w:rsidRPr="00146D77" w:rsidR="00146D77">
        <w:rPr>
          <w:lang w:val="fr-FR"/>
        </w:rPr>
        <w:t>’</w:t>
      </w:r>
      <w:r w:rsidRPr="00146D77">
        <w:rPr>
          <w:lang w:val="fr-FR"/>
        </w:rPr>
        <w:t>assurances « Ankara » fut fondée en 1936 par décision du Conseil des ministres ; ses actionnaires étaient principalement des banques et une société d</w:t>
      </w:r>
      <w:r w:rsidRPr="00146D77" w:rsidR="00146D77">
        <w:rPr>
          <w:lang w:val="fr-FR"/>
        </w:rPr>
        <w:t>’</w:t>
      </w:r>
      <w:r w:rsidRPr="00146D77">
        <w:rPr>
          <w:lang w:val="fr-FR"/>
        </w:rPr>
        <w:t xml:space="preserve">assurances, à savoir Türkiye İş Bankası, Etibank, Adapazarı Türk Ticaret Bankası et Anadolu Anonim Türk Sigorta Şirketi. </w:t>
      </w:r>
      <w:r w:rsidRPr="00146D77" w:rsidR="00E64ABD">
        <w:rPr>
          <w:lang w:val="fr-FR"/>
        </w:rPr>
        <w:t>Sur le fondement de l</w:t>
      </w:r>
      <w:r w:rsidRPr="00146D77" w:rsidR="00146D77">
        <w:rPr>
          <w:lang w:val="fr-FR"/>
        </w:rPr>
        <w:t>’</w:t>
      </w:r>
      <w:r w:rsidRPr="00146D77" w:rsidR="00E64ABD">
        <w:rPr>
          <w:lang w:val="fr-FR"/>
        </w:rPr>
        <w:t>article</w:t>
      </w:r>
      <w:r w:rsidRPr="00146D77" w:rsidR="00B73B14">
        <w:rPr>
          <w:lang w:val="fr-FR"/>
        </w:rPr>
        <w:t xml:space="preserve"> </w:t>
      </w:r>
      <w:r w:rsidRPr="00146D77" w:rsidR="00E64ABD">
        <w:rPr>
          <w:lang w:val="fr-FR"/>
        </w:rPr>
        <w:t>20 provisoire de la loi n</w:t>
      </w:r>
      <w:r w:rsidRPr="00146D77" w:rsidR="00E64ABD">
        <w:rPr>
          <w:vertAlign w:val="superscript"/>
          <w:lang w:val="fr-FR"/>
        </w:rPr>
        <w:t>o</w:t>
      </w:r>
      <w:r w:rsidRPr="00146D77" w:rsidR="00E64ABD">
        <w:rPr>
          <w:lang w:val="fr-FR"/>
        </w:rPr>
        <w:t xml:space="preserve"> 506 à la sécurité sociale (« la loi n</w:t>
      </w:r>
      <w:r w:rsidRPr="00146D77" w:rsidR="00E64ABD">
        <w:rPr>
          <w:vertAlign w:val="superscript"/>
          <w:lang w:val="fr-FR"/>
        </w:rPr>
        <w:t>o</w:t>
      </w:r>
      <w:r w:rsidRPr="00146D77" w:rsidR="00E64ABD">
        <w:rPr>
          <w:lang w:val="fr-FR"/>
        </w:rPr>
        <w:t> 506 »), l</w:t>
      </w:r>
      <w:r w:rsidRPr="00146D77">
        <w:rPr>
          <w:lang w:val="fr-FR"/>
        </w:rPr>
        <w:t>e</w:t>
      </w:r>
      <w:r w:rsidRPr="00146D77" w:rsidR="00E64ABD">
        <w:rPr>
          <w:lang w:val="fr-FR"/>
        </w:rPr>
        <w:t>s</w:t>
      </w:r>
      <w:r w:rsidRPr="00146D77">
        <w:rPr>
          <w:lang w:val="fr-FR"/>
        </w:rPr>
        <w:t xml:space="preserve"> requérants</w:t>
      </w:r>
      <w:r w:rsidRPr="00146D77" w:rsidR="00E64ABD">
        <w:rPr>
          <w:lang w:val="fr-FR"/>
        </w:rPr>
        <w:t xml:space="preserve"> étaient affiliés à un organisme de prévoyance, la Caisse de maladie et de retraite des fonctionnaires et employés de la Société anonyme turque d</w:t>
      </w:r>
      <w:r w:rsidRPr="00146D77" w:rsidR="00146D77">
        <w:rPr>
          <w:lang w:val="fr-FR"/>
        </w:rPr>
        <w:t>’</w:t>
      </w:r>
      <w:r w:rsidRPr="00146D77" w:rsidR="00E64ABD">
        <w:rPr>
          <w:lang w:val="fr-FR"/>
        </w:rPr>
        <w:t>assurances « Ankara » (« la caisse ») (</w:t>
      </w:r>
      <w:r w:rsidRPr="00146D77" w:rsidR="00E64ABD">
        <w:rPr>
          <w:i/>
          <w:lang w:val="fr-FR"/>
        </w:rPr>
        <w:t>Ankara Anonim Türk Sigorta Şirketi Memur ve Hizmetlileri Sağlık ve Emekli Sandığı</w:t>
      </w:r>
      <w:r w:rsidRPr="00146D77" w:rsidR="00E64ABD">
        <w:rPr>
          <w:lang w:val="fr-FR"/>
        </w:rPr>
        <w:t>), organisme créé en 1963 dans le cadre de la loi n</w:t>
      </w:r>
      <w:r w:rsidRPr="00146D77" w:rsidR="00E64ABD">
        <w:rPr>
          <w:vertAlign w:val="superscript"/>
          <w:lang w:val="fr-FR"/>
        </w:rPr>
        <w:t xml:space="preserve">o </w:t>
      </w:r>
      <w:r w:rsidRPr="00146D77" w:rsidR="00E64ABD">
        <w:rPr>
          <w:lang w:val="fr-FR"/>
        </w:rPr>
        <w:t>506 et destiné à remplir la même fonction que les autres organismes principaux œuvrant en la matière, tels l</w:t>
      </w:r>
      <w:r w:rsidRPr="00146D77" w:rsidR="00146D77">
        <w:rPr>
          <w:lang w:val="fr-FR"/>
        </w:rPr>
        <w:t>’</w:t>
      </w:r>
      <w:r w:rsidRPr="00146D77" w:rsidR="00E64ABD">
        <w:rPr>
          <w:rFonts w:cstheme="minorHAnsi"/>
          <w:lang w:val="fr-FR"/>
        </w:rPr>
        <w:t>É</w:t>
      </w:r>
      <w:r w:rsidRPr="00146D77" w:rsidR="00E64ABD">
        <w:rPr>
          <w:lang w:val="fr-FR"/>
        </w:rPr>
        <w:t>tablissement pour la sécurité sociale (</w:t>
      </w:r>
      <w:r w:rsidRPr="00146D77" w:rsidR="00E64ABD">
        <w:rPr>
          <w:i/>
          <w:lang w:val="fr-FR"/>
        </w:rPr>
        <w:t>Sosyal Sigortalar Kurumu</w:t>
      </w:r>
      <w:r w:rsidRPr="00146D77" w:rsidR="00E64ABD">
        <w:rPr>
          <w:lang w:val="fr-FR"/>
        </w:rPr>
        <w:t xml:space="preserve"> – « la Sécurité sociale ») et la Caisse de retraite (</w:t>
      </w:r>
      <w:r w:rsidRPr="00146D77" w:rsidR="00E64ABD">
        <w:rPr>
          <w:i/>
          <w:lang w:val="fr-FR"/>
        </w:rPr>
        <w:t>Emekli Sandığı</w:t>
      </w:r>
      <w:r w:rsidRPr="00146D77" w:rsidR="00E64ABD">
        <w:rPr>
          <w:lang w:val="fr-FR"/>
        </w:rPr>
        <w:t>).</w:t>
      </w:r>
    </w:p>
    <w:p w:rsidRPr="00146D77" w:rsidR="00E64ABD" w:rsidP="00146D77" w:rsidRDefault="00E64AB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6</w:t>
      </w:r>
      <w:r w:rsidRPr="00146D77">
        <w:rPr>
          <w:lang w:val="fr-FR"/>
        </w:rPr>
        <w:fldChar w:fldCharType="end"/>
      </w:r>
      <w:r w:rsidRPr="00146D77">
        <w:rPr>
          <w:lang w:val="fr-FR"/>
        </w:rPr>
        <w:t>.  Pendant leurs années de service, les requérants versèrent des cotisations « deux fois supérieures aux plafonds indiqués à l</w:t>
      </w:r>
      <w:r w:rsidRPr="00146D77" w:rsidR="00146D77">
        <w:rPr>
          <w:lang w:val="fr-FR"/>
        </w:rPr>
        <w:t>’</w:t>
      </w:r>
      <w:r w:rsidRPr="00146D77">
        <w:rPr>
          <w:lang w:val="fr-FR"/>
        </w:rPr>
        <w:t>article 78 de la loi n</w:t>
      </w:r>
      <w:r w:rsidRPr="00146D77">
        <w:rPr>
          <w:vertAlign w:val="superscript"/>
          <w:lang w:val="fr-FR"/>
        </w:rPr>
        <w:t>o</w:t>
      </w:r>
      <w:r w:rsidRPr="00146D77">
        <w:rPr>
          <w:lang w:val="fr-FR"/>
        </w:rPr>
        <w:t xml:space="preserve"> 506 », en application de la section III de l</w:t>
      </w:r>
      <w:r w:rsidRPr="00146D77" w:rsidR="00146D77">
        <w:rPr>
          <w:lang w:val="fr-FR"/>
        </w:rPr>
        <w:t>’</w:t>
      </w:r>
      <w:r w:rsidRPr="00146D77">
        <w:rPr>
          <w:lang w:val="fr-FR"/>
        </w:rPr>
        <w:t>article 4 du règlement de leur caisse. C</w:t>
      </w:r>
      <w:r w:rsidRPr="00146D77" w:rsidR="00146D77">
        <w:rPr>
          <w:lang w:val="fr-FR"/>
        </w:rPr>
        <w:t>’</w:t>
      </w:r>
      <w:r w:rsidRPr="00146D77">
        <w:rPr>
          <w:lang w:val="fr-FR"/>
        </w:rPr>
        <w:t>est pourquoi, conformément à l</w:t>
      </w:r>
      <w:r w:rsidRPr="00146D77" w:rsidR="00146D77">
        <w:rPr>
          <w:lang w:val="fr-FR"/>
        </w:rPr>
        <w:t>’</w:t>
      </w:r>
      <w:r w:rsidRPr="00146D77">
        <w:rPr>
          <w:lang w:val="fr-FR"/>
        </w:rPr>
        <w:t>article 58 b) du règlement de leur caisse, ils acquirent le droit à un « complément de pension » de retraite – calculé sur la base de l</w:t>
      </w:r>
      <w:r w:rsidRPr="00146D77" w:rsidR="00146D77">
        <w:rPr>
          <w:lang w:val="fr-FR"/>
        </w:rPr>
        <w:t>’</w:t>
      </w:r>
      <w:r w:rsidRPr="00146D77">
        <w:rPr>
          <w:lang w:val="fr-FR"/>
        </w:rPr>
        <w:t>article 61 de la loi n</w:t>
      </w:r>
      <w:r w:rsidRPr="00146D77">
        <w:rPr>
          <w:vertAlign w:val="superscript"/>
          <w:lang w:val="fr-FR"/>
        </w:rPr>
        <w:t>o</w:t>
      </w:r>
      <w:r w:rsidRPr="00146D77">
        <w:rPr>
          <w:lang w:val="fr-FR"/>
        </w:rPr>
        <w:t xml:space="preserve"> 506 – en contrepartie de leur supplément de cotisation.</w:t>
      </w:r>
    </w:p>
    <w:p w:rsidRPr="00146D77" w:rsidR="00E64ABD" w:rsidP="00146D77" w:rsidRDefault="00E64AB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7</w:t>
      </w:r>
      <w:r w:rsidRPr="00146D77">
        <w:rPr>
          <w:lang w:val="fr-FR"/>
        </w:rPr>
        <w:fldChar w:fldCharType="end"/>
      </w:r>
      <w:r w:rsidRPr="00146D77">
        <w:rPr>
          <w:lang w:val="fr-FR"/>
        </w:rPr>
        <w:t>.  En 1990, la part d</w:t>
      </w:r>
      <w:r w:rsidRPr="00146D77" w:rsidR="00146D77">
        <w:rPr>
          <w:lang w:val="fr-FR"/>
        </w:rPr>
        <w:t>’</w:t>
      </w:r>
      <w:r w:rsidRPr="00146D77">
        <w:rPr>
          <w:lang w:val="fr-FR"/>
        </w:rPr>
        <w:t>Etibank dans les actions monta à 85 % et, le 14 avril 1993, par décision du Conseil des ministres, la Société anonyme turque d</w:t>
      </w:r>
      <w:r w:rsidRPr="00146D77" w:rsidR="00146D77">
        <w:rPr>
          <w:lang w:val="fr-FR"/>
        </w:rPr>
        <w:t>’</w:t>
      </w:r>
      <w:r w:rsidRPr="00146D77">
        <w:rPr>
          <w:lang w:val="fr-FR"/>
        </w:rPr>
        <w:t>assurances « Ankara » fut rattachée à cette banque. Le 26 septembre 1997, dans le cadre de la privatisation, il fut décidé de céder les actions d</w:t>
      </w:r>
      <w:r w:rsidRPr="00146D77" w:rsidR="00146D77">
        <w:rPr>
          <w:lang w:val="fr-FR"/>
        </w:rPr>
        <w:t>’</w:t>
      </w:r>
      <w:r w:rsidRPr="00146D77">
        <w:rPr>
          <w:lang w:val="fr-FR"/>
        </w:rPr>
        <w:t xml:space="preserve">Etibank. Le 20 avril 2000, ces parts furent achetées par </w:t>
      </w:r>
      <w:r w:rsidRPr="00146D77" w:rsidR="00997465">
        <w:rPr>
          <w:lang w:val="fr-FR"/>
        </w:rPr>
        <w:t>la Caisse de soins et de solidarité de la police (</w:t>
      </w:r>
      <w:r w:rsidRPr="00146D77" w:rsidR="00997465">
        <w:rPr>
          <w:i/>
          <w:lang w:val="fr-FR"/>
        </w:rPr>
        <w:t>Polis Bakım ve Yardım Sandığı</w:t>
      </w:r>
      <w:r w:rsidRPr="00146D77" w:rsidR="00997465">
        <w:rPr>
          <w:lang w:val="fr-FR"/>
        </w:rPr>
        <w:t xml:space="preserve">) </w:t>
      </w:r>
      <w:r w:rsidRPr="00146D77" w:rsidR="00F16FA2">
        <w:rPr>
          <w:lang w:val="fr-FR"/>
        </w:rPr>
        <w:t xml:space="preserve">et </w:t>
      </w:r>
      <w:r w:rsidRPr="00146D77" w:rsidR="00997465">
        <w:rPr>
          <w:lang w:val="fr-FR"/>
        </w:rPr>
        <w:t>par l</w:t>
      </w:r>
      <w:r w:rsidRPr="00146D77" w:rsidR="00146D77">
        <w:rPr>
          <w:lang w:val="fr-FR"/>
        </w:rPr>
        <w:t>’</w:t>
      </w:r>
      <w:r w:rsidRPr="00146D77" w:rsidR="00997465">
        <w:rPr>
          <w:lang w:val="fr-FR"/>
        </w:rPr>
        <w:t>Administration des privatisations (</w:t>
      </w:r>
      <w:r w:rsidRPr="00146D77" w:rsidR="00997465">
        <w:rPr>
          <w:i/>
          <w:lang w:val="fr-FR"/>
        </w:rPr>
        <w:t>Özelleştirme İdaresi</w:t>
      </w:r>
      <w:r w:rsidRPr="00146D77" w:rsidR="00997465">
        <w:rPr>
          <w:lang w:val="fr-FR"/>
        </w:rPr>
        <w:t>)</w:t>
      </w:r>
      <w:r w:rsidRPr="00146D77">
        <w:rPr>
          <w:lang w:val="fr-FR"/>
        </w:rPr>
        <w:t>. Aujourd</w:t>
      </w:r>
      <w:r w:rsidRPr="00146D77" w:rsidR="00146D77">
        <w:rPr>
          <w:lang w:val="fr-FR"/>
        </w:rPr>
        <w:t>’</w:t>
      </w:r>
      <w:r w:rsidRPr="00146D77">
        <w:rPr>
          <w:lang w:val="fr-FR"/>
        </w:rPr>
        <w:t>hui, la Société anonyme turque d</w:t>
      </w:r>
      <w:r w:rsidRPr="00146D77" w:rsidR="00146D77">
        <w:rPr>
          <w:lang w:val="fr-FR"/>
        </w:rPr>
        <w:t>’</w:t>
      </w:r>
      <w:r w:rsidRPr="00146D77">
        <w:rPr>
          <w:lang w:val="fr-FR"/>
        </w:rPr>
        <w:t>assurances « Ankara » emploie cent cinquante employés et compte sept directions régionales ainsi que mille agences.</w:t>
      </w:r>
    </w:p>
    <w:p w:rsidRPr="00146D77" w:rsidR="00E64ABD" w:rsidP="00146D77" w:rsidRDefault="00E64AB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8</w:t>
      </w:r>
      <w:r w:rsidRPr="00146D77">
        <w:rPr>
          <w:lang w:val="fr-FR"/>
        </w:rPr>
        <w:fldChar w:fldCharType="end"/>
      </w:r>
      <w:r w:rsidRPr="00146D77">
        <w:rPr>
          <w:lang w:val="fr-FR"/>
        </w:rPr>
        <w:t>.  Le 14 novembre 2001, l</w:t>
      </w:r>
      <w:r w:rsidRPr="00146D77" w:rsidR="00146D77">
        <w:rPr>
          <w:lang w:val="fr-FR"/>
        </w:rPr>
        <w:t>’</w:t>
      </w:r>
      <w:r w:rsidRPr="00146D77">
        <w:rPr>
          <w:lang w:val="fr-FR"/>
        </w:rPr>
        <w:t>assemblée générale de la Société anonyme turque d</w:t>
      </w:r>
      <w:r w:rsidRPr="00146D77" w:rsidR="00146D77">
        <w:rPr>
          <w:lang w:val="fr-FR"/>
        </w:rPr>
        <w:t>’</w:t>
      </w:r>
      <w:r w:rsidRPr="00146D77">
        <w:rPr>
          <w:lang w:val="fr-FR"/>
        </w:rPr>
        <w:t>assurances « Ankara » constata que la caisse comprenait 105 affiliés actifs et 180 retraités et que le déficit technique s</w:t>
      </w:r>
      <w:r w:rsidRPr="00146D77" w:rsidR="00146D77">
        <w:rPr>
          <w:lang w:val="fr-FR"/>
        </w:rPr>
        <w:t>’</w:t>
      </w:r>
      <w:r w:rsidRPr="00146D77">
        <w:rPr>
          <w:lang w:val="fr-FR"/>
        </w:rPr>
        <w:t>élevait à 7 536 874 462</w:t>
      </w:r>
      <w:r w:rsidRPr="00146D77" w:rsidR="00B73B14">
        <w:rPr>
          <w:lang w:val="fr-FR"/>
        </w:rPr>
        <w:t> </w:t>
      </w:r>
      <w:r w:rsidRPr="00146D77">
        <w:rPr>
          <w:lang w:val="fr-FR"/>
        </w:rPr>
        <w:t>160</w:t>
      </w:r>
      <w:r w:rsidRPr="00146D77" w:rsidR="00B73B14">
        <w:rPr>
          <w:lang w:val="fr-FR"/>
        </w:rPr>
        <w:t xml:space="preserve"> </w:t>
      </w:r>
      <w:r w:rsidRPr="00146D77">
        <w:rPr>
          <w:lang w:val="fr-FR"/>
        </w:rPr>
        <w:t>anciennes livres turques (TRL</w:t>
      </w:r>
      <w:r w:rsidRPr="00146D77">
        <w:rPr>
          <w:rStyle w:val="FootnoteReference"/>
          <w:lang w:val="fr-FR"/>
        </w:rPr>
        <w:footnoteReference w:id="1"/>
      </w:r>
      <w:r w:rsidRPr="00146D77">
        <w:rPr>
          <w:lang w:val="fr-FR"/>
        </w:rPr>
        <w:t> - environ 5 753 340 euros (EUR) à l</w:t>
      </w:r>
      <w:r w:rsidRPr="00146D77" w:rsidR="00146D77">
        <w:rPr>
          <w:lang w:val="fr-FR"/>
        </w:rPr>
        <w:t>’</w:t>
      </w:r>
      <w:r w:rsidRPr="00146D77">
        <w:rPr>
          <w:lang w:val="fr-FR"/>
        </w:rPr>
        <w:t>époque des faits). Elle décida qu</w:t>
      </w:r>
      <w:r w:rsidRPr="00146D77" w:rsidR="00146D77">
        <w:rPr>
          <w:lang w:val="fr-FR"/>
        </w:rPr>
        <w:t>’</w:t>
      </w:r>
      <w:r w:rsidRPr="00146D77">
        <w:rPr>
          <w:lang w:val="fr-FR"/>
        </w:rPr>
        <w:t>à partir du 31 décembre 2001 les pensions et les prestations sociales seraient versées dans les limites prévues par la loi n</w:t>
      </w:r>
      <w:r w:rsidRPr="00146D77">
        <w:rPr>
          <w:vertAlign w:val="superscript"/>
          <w:lang w:val="fr-FR"/>
        </w:rPr>
        <w:t>o</w:t>
      </w:r>
      <w:r w:rsidRPr="00146D77">
        <w:rPr>
          <w:lang w:val="fr-FR"/>
        </w:rPr>
        <w:t xml:space="preserve"> 506.</w:t>
      </w:r>
    </w:p>
    <w:p w:rsidRPr="00146D77" w:rsidR="00E64ABD" w:rsidP="00146D77" w:rsidRDefault="00E64AB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9</w:t>
      </w:r>
      <w:r w:rsidRPr="00146D77">
        <w:rPr>
          <w:lang w:val="fr-FR"/>
        </w:rPr>
        <w:fldChar w:fldCharType="end"/>
      </w:r>
      <w:r w:rsidRPr="00146D77">
        <w:rPr>
          <w:lang w:val="fr-FR"/>
        </w:rPr>
        <w:t>.  Par une décision du Conseil des ministres en date du 20</w:t>
      </w:r>
      <w:r w:rsidRPr="00146D77" w:rsidR="00B73B14">
        <w:rPr>
          <w:lang w:val="fr-FR"/>
        </w:rPr>
        <w:t xml:space="preserve"> </w:t>
      </w:r>
      <w:r w:rsidRPr="00146D77">
        <w:rPr>
          <w:lang w:val="fr-FR"/>
        </w:rPr>
        <w:t>décembre 2001, la caisse fut transférée à l</w:t>
      </w:r>
      <w:r w:rsidRPr="00146D77" w:rsidR="00146D77">
        <w:rPr>
          <w:lang w:val="fr-FR"/>
        </w:rPr>
        <w:t>’</w:t>
      </w:r>
      <w:r w:rsidRPr="00146D77">
        <w:rPr>
          <w:rFonts w:cstheme="minorHAnsi"/>
          <w:caps/>
          <w:lang w:val="fr-FR"/>
        </w:rPr>
        <w:t>É</w:t>
      </w:r>
      <w:r w:rsidRPr="00146D77">
        <w:rPr>
          <w:lang w:val="fr-FR"/>
        </w:rPr>
        <w:t xml:space="preserve">tablissement pour la sécurité sociale, en vertu de </w:t>
      </w:r>
      <w:r w:rsidRPr="00146D77" w:rsidR="00A35AB1">
        <w:rPr>
          <w:lang w:val="fr-FR"/>
        </w:rPr>
        <w:t>l</w:t>
      </w:r>
      <w:r w:rsidRPr="00146D77" w:rsidR="00146D77">
        <w:rPr>
          <w:lang w:val="fr-FR"/>
        </w:rPr>
        <w:t>’</w:t>
      </w:r>
      <w:r w:rsidRPr="00146D77" w:rsidR="00A35AB1">
        <w:rPr>
          <w:lang w:val="fr-FR"/>
        </w:rPr>
        <w:t>article additionnel 36</w:t>
      </w:r>
      <w:r w:rsidRPr="00146D77">
        <w:rPr>
          <w:lang w:val="fr-FR"/>
        </w:rPr>
        <w:t xml:space="preserve"> de la loi n</w:t>
      </w:r>
      <w:r w:rsidRPr="00146D77">
        <w:rPr>
          <w:vertAlign w:val="superscript"/>
          <w:lang w:val="fr-FR"/>
        </w:rPr>
        <w:t xml:space="preserve">o </w:t>
      </w:r>
      <w:r w:rsidRPr="00146D77">
        <w:rPr>
          <w:lang w:val="fr-FR"/>
        </w:rPr>
        <w:t>506.</w:t>
      </w:r>
    </w:p>
    <w:p w:rsidRPr="00146D77" w:rsidR="00E64ABD" w:rsidP="00146D77" w:rsidRDefault="00E64ABD">
      <w:pPr>
        <w:pStyle w:val="ECHRPara"/>
        <w:rPr>
          <w:szCs w:val="24"/>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10</w:t>
      </w:r>
      <w:r w:rsidRPr="00146D77">
        <w:rPr>
          <w:lang w:val="fr-FR"/>
        </w:rPr>
        <w:fldChar w:fldCharType="end"/>
      </w:r>
      <w:r w:rsidRPr="00146D77">
        <w:rPr>
          <w:lang w:val="fr-FR"/>
        </w:rPr>
        <w:t>.  L</w:t>
      </w:r>
      <w:r w:rsidRPr="00146D77" w:rsidR="00146D77">
        <w:rPr>
          <w:lang w:val="fr-FR"/>
        </w:rPr>
        <w:t>’</w:t>
      </w:r>
      <w:r w:rsidRPr="00146D77">
        <w:rPr>
          <w:rFonts w:cstheme="minorHAnsi"/>
          <w:caps/>
          <w:lang w:val="fr-FR"/>
        </w:rPr>
        <w:t>É</w:t>
      </w:r>
      <w:r w:rsidRPr="00146D77">
        <w:rPr>
          <w:lang w:val="fr-FR"/>
        </w:rPr>
        <w:t xml:space="preserve">tablissement pour la sécurité sociale </w:t>
      </w:r>
      <w:r w:rsidRPr="00146D77">
        <w:rPr>
          <w:szCs w:val="24"/>
          <w:lang w:val="fr-FR"/>
        </w:rPr>
        <w:t xml:space="preserve">diminua les </w:t>
      </w:r>
      <w:r w:rsidRPr="00146D77">
        <w:rPr>
          <w:lang w:val="fr-FR"/>
        </w:rPr>
        <w:t>pensions</w:t>
      </w:r>
      <w:r w:rsidRPr="00146D77">
        <w:rPr>
          <w:szCs w:val="24"/>
          <w:lang w:val="fr-FR"/>
        </w:rPr>
        <w:t xml:space="preserve"> de retraite des requérants par « adaptation », à partir du 1</w:t>
      </w:r>
      <w:r w:rsidRPr="00146D77">
        <w:rPr>
          <w:szCs w:val="24"/>
          <w:vertAlign w:val="superscript"/>
          <w:lang w:val="fr-FR"/>
        </w:rPr>
        <w:t>er</w:t>
      </w:r>
      <w:r w:rsidRPr="00146D77">
        <w:rPr>
          <w:szCs w:val="24"/>
          <w:lang w:val="fr-FR"/>
        </w:rPr>
        <w:t xml:space="preserve"> février 2002.</w:t>
      </w:r>
    </w:p>
    <w:p w:rsidRPr="00146D77" w:rsidR="00E64ABD" w:rsidP="00146D77" w:rsidRDefault="00E64ABD">
      <w:pPr>
        <w:pStyle w:val="ECHRHeading2"/>
        <w:rPr>
          <w:lang w:val="fr-FR"/>
        </w:rPr>
      </w:pPr>
      <w:r w:rsidRPr="00146D77">
        <w:rPr>
          <w:lang w:val="fr-FR"/>
        </w:rPr>
        <w:t>B.  La procédure concernant le premier groupe de requérants</w:t>
      </w:r>
    </w:p>
    <w:p w:rsidRPr="00146D77" w:rsidR="00E64ABD" w:rsidP="00146D77" w:rsidRDefault="00E64AB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11</w:t>
      </w:r>
      <w:r w:rsidRPr="00146D77">
        <w:rPr>
          <w:lang w:val="fr-FR"/>
        </w:rPr>
        <w:fldChar w:fldCharType="end"/>
      </w:r>
      <w:r w:rsidRPr="00146D77">
        <w:rPr>
          <w:lang w:val="fr-FR"/>
        </w:rPr>
        <w:t>.  Le 3 juillet 2002, les requérants du premier groupe (</w:t>
      </w:r>
      <w:r w:rsidRPr="00146D77">
        <w:rPr>
          <w:szCs w:val="24"/>
          <w:lang w:val="fr-FR"/>
        </w:rPr>
        <w:t>Gökay Yavaş, Ayşe Kamuran, Yılmaz Anakoç, Ahsen Çalışkan, Ahmet Ay et Müjgan Dayıoğulları)</w:t>
      </w:r>
      <w:r w:rsidRPr="00146D77">
        <w:rPr>
          <w:lang w:val="fr-FR"/>
        </w:rPr>
        <w:t xml:space="preserve"> introduisirent devant le tribunal du travail d</w:t>
      </w:r>
      <w:r w:rsidRPr="00146D77" w:rsidR="00146D77">
        <w:rPr>
          <w:lang w:val="fr-FR"/>
        </w:rPr>
        <w:t>’</w:t>
      </w:r>
      <w:r w:rsidRPr="00146D77">
        <w:rPr>
          <w:lang w:val="fr-FR"/>
        </w:rPr>
        <w:t>Istanbul des demandes visant à l</w:t>
      </w:r>
      <w:r w:rsidRPr="00146D77" w:rsidR="00146D77">
        <w:rPr>
          <w:lang w:val="fr-FR"/>
        </w:rPr>
        <w:t>’</w:t>
      </w:r>
      <w:r w:rsidRPr="00146D77">
        <w:rPr>
          <w:lang w:val="fr-FR"/>
        </w:rPr>
        <w:t>annulation de l</w:t>
      </w:r>
      <w:r w:rsidRPr="00146D77" w:rsidR="00146D77">
        <w:rPr>
          <w:lang w:val="fr-FR"/>
        </w:rPr>
        <w:t>’</w:t>
      </w:r>
      <w:r w:rsidRPr="00146D77">
        <w:rPr>
          <w:lang w:val="fr-FR"/>
        </w:rPr>
        <w:t>adaptation de leur pension de retraite et à la détermination de son mode de redéfinition. Leur action était dirigée contre quatre organismes : l</w:t>
      </w:r>
      <w:r w:rsidRPr="00146D77" w:rsidR="00146D77">
        <w:rPr>
          <w:lang w:val="fr-FR"/>
        </w:rPr>
        <w:t>’</w:t>
      </w:r>
      <w:r w:rsidRPr="00146D77">
        <w:rPr>
          <w:rFonts w:cstheme="minorHAnsi"/>
          <w:caps/>
          <w:lang w:val="fr-FR"/>
        </w:rPr>
        <w:t>É</w:t>
      </w:r>
      <w:r w:rsidRPr="00146D77">
        <w:rPr>
          <w:lang w:val="fr-FR"/>
        </w:rPr>
        <w:t>tablissement pour la sécurité sociale, la Société anonyme turque d</w:t>
      </w:r>
      <w:r w:rsidRPr="00146D77" w:rsidR="00146D77">
        <w:rPr>
          <w:lang w:val="fr-FR"/>
        </w:rPr>
        <w:t>’</w:t>
      </w:r>
      <w:r w:rsidRPr="00146D77">
        <w:rPr>
          <w:lang w:val="fr-FR"/>
        </w:rPr>
        <w:t>assurances « Ankara », l</w:t>
      </w:r>
      <w:r w:rsidRPr="00146D77" w:rsidR="00146D77">
        <w:rPr>
          <w:lang w:val="fr-FR"/>
        </w:rPr>
        <w:t>’</w:t>
      </w:r>
      <w:r w:rsidRPr="00146D77">
        <w:rPr>
          <w:lang w:val="fr-FR"/>
        </w:rPr>
        <w:t>Administration des privatisations et la Caisse de soins et de solidarité de la police. Ils demandèrent également à être indemnisés en raison de l</w:t>
      </w:r>
      <w:r w:rsidRPr="00146D77" w:rsidR="00146D77">
        <w:rPr>
          <w:lang w:val="fr-FR"/>
        </w:rPr>
        <w:t>’</w:t>
      </w:r>
      <w:r w:rsidRPr="00146D77">
        <w:rPr>
          <w:lang w:val="fr-FR"/>
        </w:rPr>
        <w:t>écart entre le nouveau montant versé et le niveau correspondant au mode de calcul initial, ainsi qu</w:t>
      </w:r>
      <w:r w:rsidRPr="00146D77" w:rsidR="00146D77">
        <w:rPr>
          <w:lang w:val="fr-FR"/>
        </w:rPr>
        <w:t>’</w:t>
      </w:r>
      <w:r w:rsidRPr="00146D77">
        <w:rPr>
          <w:lang w:val="fr-FR"/>
        </w:rPr>
        <w:t>au titre du préjudice subi. Pendant la procédure, ils limitèrent leur demande à la question de l</w:t>
      </w:r>
      <w:r w:rsidRPr="00146D77" w:rsidR="00146D77">
        <w:rPr>
          <w:lang w:val="fr-FR"/>
        </w:rPr>
        <w:t>’</w:t>
      </w:r>
      <w:r w:rsidRPr="00146D77">
        <w:rPr>
          <w:lang w:val="fr-FR"/>
        </w:rPr>
        <w:t>adaptation. L</w:t>
      </w:r>
      <w:r w:rsidRPr="00146D77" w:rsidR="00146D77">
        <w:rPr>
          <w:lang w:val="fr-FR"/>
        </w:rPr>
        <w:t>’</w:t>
      </w:r>
      <w:r w:rsidRPr="00146D77">
        <w:rPr>
          <w:lang w:val="fr-FR"/>
        </w:rPr>
        <w:t>affaire fut portée devant la 4</w:t>
      </w:r>
      <w:r w:rsidRPr="00146D77">
        <w:rPr>
          <w:vertAlign w:val="superscript"/>
          <w:lang w:val="fr-FR"/>
        </w:rPr>
        <w:t>ème </w:t>
      </w:r>
      <w:r w:rsidRPr="00146D77">
        <w:rPr>
          <w:lang w:val="fr-FR"/>
        </w:rPr>
        <w:t>chambre du tribunal du travail d</w:t>
      </w:r>
      <w:r w:rsidRPr="00146D77" w:rsidR="00146D77">
        <w:rPr>
          <w:lang w:val="fr-FR"/>
        </w:rPr>
        <w:t>’</w:t>
      </w:r>
      <w:r w:rsidRPr="00146D77">
        <w:rPr>
          <w:lang w:val="fr-FR"/>
        </w:rPr>
        <w:t>Istanbul (« la 4</w:t>
      </w:r>
      <w:r w:rsidRPr="00146D77">
        <w:rPr>
          <w:vertAlign w:val="superscript"/>
          <w:lang w:val="fr-FR"/>
        </w:rPr>
        <w:t>ème</w:t>
      </w:r>
      <w:r w:rsidRPr="00146D77">
        <w:rPr>
          <w:lang w:val="fr-FR"/>
        </w:rPr>
        <w:t xml:space="preserve"> chambre du tribunal »).</w:t>
      </w:r>
    </w:p>
    <w:p w:rsidRPr="00146D77" w:rsidR="00E64ABD" w:rsidP="00146D77" w:rsidRDefault="00E64AB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12</w:t>
      </w:r>
      <w:r w:rsidRPr="00146D77">
        <w:rPr>
          <w:lang w:val="fr-FR"/>
        </w:rPr>
        <w:fldChar w:fldCharType="end"/>
      </w:r>
      <w:r w:rsidRPr="00146D77">
        <w:rPr>
          <w:lang w:val="fr-FR"/>
        </w:rPr>
        <w:t>.  Le 7 mai 2003, la 4</w:t>
      </w:r>
      <w:r w:rsidRPr="00146D77">
        <w:rPr>
          <w:vertAlign w:val="superscript"/>
          <w:lang w:val="fr-FR"/>
        </w:rPr>
        <w:t>e</w:t>
      </w:r>
      <w:r w:rsidRPr="00146D77">
        <w:rPr>
          <w:lang w:val="fr-FR"/>
        </w:rPr>
        <w:t xml:space="preserve"> chambre du tribunal fit droit à leur demande en ce qui concerne l</w:t>
      </w:r>
      <w:r w:rsidRPr="00146D77" w:rsidR="00146D77">
        <w:rPr>
          <w:lang w:val="fr-FR"/>
        </w:rPr>
        <w:t>’</w:t>
      </w:r>
      <w:r w:rsidRPr="00146D77">
        <w:rPr>
          <w:lang w:val="fr-FR"/>
        </w:rPr>
        <w:t>adaptation de leur pension de retraite par la Sécurité sociale. Elle déclara la demande irrecevable pour ce qui est des trois autres organismes et décida qu</w:t>
      </w:r>
      <w:r w:rsidRPr="00146D77" w:rsidR="00146D77">
        <w:rPr>
          <w:lang w:val="fr-FR"/>
        </w:rPr>
        <w:t>’</w:t>
      </w:r>
      <w:r w:rsidRPr="00146D77">
        <w:rPr>
          <w:lang w:val="fr-FR"/>
        </w:rPr>
        <w:t>il n</w:t>
      </w:r>
      <w:r w:rsidRPr="00146D77" w:rsidR="00146D77">
        <w:rPr>
          <w:lang w:val="fr-FR"/>
        </w:rPr>
        <w:t>’</w:t>
      </w:r>
      <w:r w:rsidRPr="00146D77">
        <w:rPr>
          <w:lang w:val="fr-FR"/>
        </w:rPr>
        <w:t>y avait pas lieu de statuer sur le restant de l</w:t>
      </w:r>
      <w:r w:rsidRPr="00146D77" w:rsidR="00146D77">
        <w:rPr>
          <w:lang w:val="fr-FR"/>
        </w:rPr>
        <w:t>’</w:t>
      </w:r>
      <w:r w:rsidRPr="00146D77">
        <w:rPr>
          <w:lang w:val="fr-FR"/>
        </w:rPr>
        <w:t>action. Elle constata d</w:t>
      </w:r>
      <w:r w:rsidRPr="00146D77" w:rsidR="00146D77">
        <w:rPr>
          <w:lang w:val="fr-FR"/>
        </w:rPr>
        <w:t>’</w:t>
      </w:r>
      <w:r w:rsidRPr="00146D77">
        <w:rPr>
          <w:lang w:val="fr-FR"/>
        </w:rPr>
        <w:t>abord qu</w:t>
      </w:r>
      <w:r w:rsidRPr="00146D77" w:rsidR="00146D77">
        <w:rPr>
          <w:lang w:val="fr-FR"/>
        </w:rPr>
        <w:t>’</w:t>
      </w:r>
      <w:r w:rsidRPr="00146D77">
        <w:rPr>
          <w:lang w:val="fr-FR"/>
        </w:rPr>
        <w:t>il n</w:t>
      </w:r>
      <w:r w:rsidRPr="00146D77" w:rsidR="00146D77">
        <w:rPr>
          <w:lang w:val="fr-FR"/>
        </w:rPr>
        <w:t>’</w:t>
      </w:r>
      <w:r w:rsidRPr="00146D77">
        <w:rPr>
          <w:lang w:val="fr-FR"/>
        </w:rPr>
        <w:t>était pas contesté entre les parties que les requérants étaient affiliés à la caisse en question ; qu</w:t>
      </w:r>
      <w:r w:rsidRPr="00146D77" w:rsidR="00146D77">
        <w:rPr>
          <w:lang w:val="fr-FR"/>
        </w:rPr>
        <w:t>’</w:t>
      </w:r>
      <w:r w:rsidRPr="00146D77">
        <w:rPr>
          <w:lang w:val="fr-FR"/>
        </w:rPr>
        <w:t>ils avaient versé des cotisations deux fois supérieures au plafond indiqué à l</w:t>
      </w:r>
      <w:r w:rsidRPr="00146D77" w:rsidR="00146D77">
        <w:rPr>
          <w:lang w:val="fr-FR"/>
        </w:rPr>
        <w:t>’</w:t>
      </w:r>
      <w:r w:rsidRPr="00146D77">
        <w:rPr>
          <w:lang w:val="fr-FR"/>
        </w:rPr>
        <w:t>article 78 de la loi n</w:t>
      </w:r>
      <w:r w:rsidRPr="00146D77">
        <w:rPr>
          <w:vertAlign w:val="superscript"/>
          <w:lang w:val="fr-FR"/>
        </w:rPr>
        <w:t>o </w:t>
      </w:r>
      <w:r w:rsidRPr="00146D77">
        <w:rPr>
          <w:lang w:val="fr-FR"/>
        </w:rPr>
        <w:t>506 ; qu</w:t>
      </w:r>
      <w:r w:rsidRPr="00146D77" w:rsidR="00146D77">
        <w:rPr>
          <w:lang w:val="fr-FR"/>
        </w:rPr>
        <w:t>’</w:t>
      </w:r>
      <w:r w:rsidRPr="00146D77">
        <w:rPr>
          <w:lang w:val="fr-FR"/>
        </w:rPr>
        <w:t>ils avaient rempli toutes les conditions nécessaires et obtenu le droit à une pension de retraite deux fois supérieure au niveau fixé par cette loi ; qu</w:t>
      </w:r>
      <w:r w:rsidRPr="00146D77" w:rsidR="00146D77">
        <w:rPr>
          <w:lang w:val="fr-FR"/>
        </w:rPr>
        <w:t>’</w:t>
      </w:r>
      <w:r w:rsidRPr="00146D77">
        <w:rPr>
          <w:lang w:val="fr-FR"/>
        </w:rPr>
        <w:t>ensuite, la caisse avait été transférée à la Sécurité sociale, avec l</w:t>
      </w:r>
      <w:r w:rsidRPr="00146D77" w:rsidR="00146D77">
        <w:rPr>
          <w:lang w:val="fr-FR"/>
        </w:rPr>
        <w:t>’</w:t>
      </w:r>
      <w:r w:rsidRPr="00146D77">
        <w:rPr>
          <w:lang w:val="fr-FR"/>
        </w:rPr>
        <w:t>ensemble de son actif et de son passif, par décision du Conseil des ministres, et que finalement les pensions des requérants avaient été diminuées après l</w:t>
      </w:r>
      <w:r w:rsidRPr="00146D77" w:rsidR="00146D77">
        <w:rPr>
          <w:lang w:val="fr-FR"/>
        </w:rPr>
        <w:t>’</w:t>
      </w:r>
      <w:r w:rsidRPr="00146D77">
        <w:rPr>
          <w:lang w:val="fr-FR"/>
        </w:rPr>
        <w:t>« adaptation » opérée par la Sécurité sociale. La 4</w:t>
      </w:r>
      <w:r w:rsidRPr="00146D77">
        <w:rPr>
          <w:vertAlign w:val="superscript"/>
          <w:lang w:val="fr-FR"/>
        </w:rPr>
        <w:t>ème</w:t>
      </w:r>
      <w:r w:rsidRPr="00146D77">
        <w:rPr>
          <w:lang w:val="fr-FR"/>
        </w:rPr>
        <w:t> chambre du tribunal estima ensuite que l</w:t>
      </w:r>
      <w:r w:rsidRPr="00146D77" w:rsidR="00146D77">
        <w:rPr>
          <w:lang w:val="fr-FR"/>
        </w:rPr>
        <w:t>’</w:t>
      </w:r>
      <w:r w:rsidRPr="00146D77">
        <w:rPr>
          <w:lang w:val="fr-FR"/>
        </w:rPr>
        <w:t>acte de la Sécurité sociale était contraire au principe de l</w:t>
      </w:r>
      <w:r w:rsidRPr="00146D77" w:rsidR="00146D77">
        <w:rPr>
          <w:lang w:val="fr-FR"/>
        </w:rPr>
        <w:t>’</w:t>
      </w:r>
      <w:r w:rsidRPr="00146D77">
        <w:rPr>
          <w:lang w:val="fr-FR"/>
        </w:rPr>
        <w:t>intangibilité des droits acquis. Conformément aux dispositions en la matière, les membres de la caisse en question avaient versé des cotisations deux fois plus élevées et en contrepartie avaient touché une pension elle aussi deux fois plus élevée. Les demandeurs s</w:t>
      </w:r>
      <w:r w:rsidRPr="00146D77" w:rsidR="00146D77">
        <w:rPr>
          <w:lang w:val="fr-FR"/>
        </w:rPr>
        <w:t>’</w:t>
      </w:r>
      <w:r w:rsidRPr="00146D77">
        <w:rPr>
          <w:lang w:val="fr-FR"/>
        </w:rPr>
        <w:t>étant acquittés de leur engagement, il n</w:t>
      </w:r>
      <w:r w:rsidRPr="00146D77" w:rsidR="00146D77">
        <w:rPr>
          <w:lang w:val="fr-FR"/>
        </w:rPr>
        <w:t>’</w:t>
      </w:r>
      <w:r w:rsidRPr="00146D77">
        <w:rPr>
          <w:lang w:val="fr-FR"/>
        </w:rPr>
        <w:t>était pas possible de porter atteinte à la substance de leur droit à pension en raison du transfert intervenu ultérieurement ou d</w:t>
      </w:r>
      <w:r w:rsidRPr="00146D77" w:rsidR="00146D77">
        <w:rPr>
          <w:lang w:val="fr-FR"/>
        </w:rPr>
        <w:t>’</w:t>
      </w:r>
      <w:r w:rsidRPr="00146D77">
        <w:rPr>
          <w:lang w:val="fr-FR"/>
        </w:rPr>
        <w:t>autres mesures. Du reste, il ressortait des éléments du dossier que le transfert avait été réalisé avec l</w:t>
      </w:r>
      <w:r w:rsidRPr="00146D77" w:rsidR="00146D77">
        <w:rPr>
          <w:lang w:val="fr-FR"/>
        </w:rPr>
        <w:t>’</w:t>
      </w:r>
      <w:r w:rsidRPr="00146D77">
        <w:rPr>
          <w:lang w:val="fr-FR"/>
        </w:rPr>
        <w:t>ensemble de l</w:t>
      </w:r>
      <w:r w:rsidRPr="00146D77" w:rsidR="00146D77">
        <w:rPr>
          <w:lang w:val="fr-FR"/>
        </w:rPr>
        <w:t>’</w:t>
      </w:r>
      <w:r w:rsidRPr="00146D77">
        <w:rPr>
          <w:lang w:val="fr-FR"/>
        </w:rPr>
        <w:t>actif et du passif et que le déficit avait été comblé par le Trésor public, qui s</w:t>
      </w:r>
      <w:r w:rsidRPr="00146D77" w:rsidR="00146D77">
        <w:rPr>
          <w:lang w:val="fr-FR"/>
        </w:rPr>
        <w:t>’</w:t>
      </w:r>
      <w:r w:rsidRPr="00146D77">
        <w:rPr>
          <w:lang w:val="fr-FR"/>
        </w:rPr>
        <w:t>était ensuite retourné contre la Société anonyme turque d</w:t>
      </w:r>
      <w:r w:rsidRPr="00146D77" w:rsidR="00146D77">
        <w:rPr>
          <w:lang w:val="fr-FR"/>
        </w:rPr>
        <w:t>’</w:t>
      </w:r>
      <w:r w:rsidRPr="00146D77">
        <w:rPr>
          <w:lang w:val="fr-FR"/>
        </w:rPr>
        <w:t>assurances « Ankara » pour obtenir le remboursement. La 4</w:t>
      </w:r>
      <w:r w:rsidRPr="00146D77">
        <w:rPr>
          <w:vertAlign w:val="superscript"/>
          <w:lang w:val="fr-FR"/>
        </w:rPr>
        <w:t>ème</w:t>
      </w:r>
      <w:r w:rsidRPr="00146D77">
        <w:rPr>
          <w:lang w:val="fr-FR"/>
        </w:rPr>
        <w:t xml:space="preserve"> chambre du tribunal</w:t>
      </w:r>
      <w:r w:rsidRPr="00146D77" w:rsidDel="00CF7EA1">
        <w:rPr>
          <w:lang w:val="fr-FR"/>
        </w:rPr>
        <w:t xml:space="preserve"> </w:t>
      </w:r>
      <w:r w:rsidRPr="00146D77">
        <w:rPr>
          <w:lang w:val="fr-FR"/>
        </w:rPr>
        <w:t>releva un élément supplémentaire : la législation sur la sécurité sociale n</w:t>
      </w:r>
      <w:r w:rsidRPr="00146D77" w:rsidR="00146D77">
        <w:rPr>
          <w:lang w:val="fr-FR"/>
        </w:rPr>
        <w:t>’</w:t>
      </w:r>
      <w:r w:rsidRPr="00146D77">
        <w:rPr>
          <w:lang w:val="fr-FR"/>
        </w:rPr>
        <w:t>empêchait pas les pensionnés des caisses transférées de conserver le même niveau de pension de retraite. La 4</w:t>
      </w:r>
      <w:r w:rsidRPr="00146D77">
        <w:rPr>
          <w:vertAlign w:val="superscript"/>
          <w:lang w:val="fr-FR"/>
        </w:rPr>
        <w:t>ème</w:t>
      </w:r>
      <w:r w:rsidRPr="00146D77">
        <w:rPr>
          <w:lang w:val="fr-FR"/>
        </w:rPr>
        <w:t xml:space="preserve"> chambre du tribunal conclut que la diminution de la pension de retraite des requérants à la suite du transfert était contraire au principe du respect des droits acquis et qu</w:t>
      </w:r>
      <w:r w:rsidRPr="00146D77" w:rsidR="00146D77">
        <w:rPr>
          <w:lang w:val="fr-FR"/>
        </w:rPr>
        <w:t>’</w:t>
      </w:r>
      <w:r w:rsidRPr="00146D77">
        <w:rPr>
          <w:lang w:val="fr-FR"/>
        </w:rPr>
        <w:t>elle enfreignait le principe fondamental du droit de la sécurité sociale, qui commande de respecter l</w:t>
      </w:r>
      <w:r w:rsidRPr="00146D77" w:rsidR="00146D77">
        <w:rPr>
          <w:lang w:val="fr-FR"/>
        </w:rPr>
        <w:t>’</w:t>
      </w:r>
      <w:r w:rsidRPr="00146D77">
        <w:rPr>
          <w:lang w:val="fr-FR"/>
        </w:rPr>
        <w:t>équilibre entre les dépenses et les recettes.</w:t>
      </w:r>
    </w:p>
    <w:p w:rsidRPr="00146D77" w:rsidR="00E64ABD" w:rsidP="00146D77" w:rsidRDefault="00E64AB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13</w:t>
      </w:r>
      <w:r w:rsidRPr="00146D77">
        <w:rPr>
          <w:lang w:val="fr-FR"/>
        </w:rPr>
        <w:fldChar w:fldCharType="end"/>
      </w:r>
      <w:r w:rsidRPr="00146D77">
        <w:rPr>
          <w:lang w:val="fr-FR"/>
        </w:rPr>
        <w:t>.  Le 27 décembre 2004, la Cour de cassation cassa les jugements du tribunal du fond. Dans ses attendus, la Cour de cassation constata tout d</w:t>
      </w:r>
      <w:r w:rsidRPr="00146D77" w:rsidR="00146D77">
        <w:rPr>
          <w:lang w:val="fr-FR"/>
        </w:rPr>
        <w:t>’</w:t>
      </w:r>
      <w:r w:rsidRPr="00146D77">
        <w:rPr>
          <w:lang w:val="fr-FR"/>
        </w:rPr>
        <w:t>abord que la Société anonyme turque d</w:t>
      </w:r>
      <w:r w:rsidRPr="00146D77" w:rsidR="00146D77">
        <w:rPr>
          <w:lang w:val="fr-FR"/>
        </w:rPr>
        <w:t>’</w:t>
      </w:r>
      <w:r w:rsidRPr="00146D77">
        <w:rPr>
          <w:lang w:val="fr-FR"/>
        </w:rPr>
        <w:t>assurances « Ankara », l</w:t>
      </w:r>
      <w:r w:rsidRPr="00146D77" w:rsidR="00146D77">
        <w:rPr>
          <w:lang w:val="fr-FR"/>
        </w:rPr>
        <w:t>’</w:t>
      </w:r>
      <w:r w:rsidRPr="00146D77">
        <w:rPr>
          <w:lang w:val="fr-FR"/>
        </w:rPr>
        <w:t>une des parties défenderesses, avait fondé une caisse d</w:t>
      </w:r>
      <w:r w:rsidRPr="00146D77" w:rsidR="00146D77">
        <w:rPr>
          <w:lang w:val="fr-FR"/>
        </w:rPr>
        <w:t>’</w:t>
      </w:r>
      <w:r w:rsidRPr="00146D77">
        <w:rPr>
          <w:lang w:val="fr-FR"/>
        </w:rPr>
        <w:t>entraide pour l</w:t>
      </w:r>
      <w:r w:rsidRPr="00146D77" w:rsidR="00146D77">
        <w:rPr>
          <w:lang w:val="fr-FR"/>
        </w:rPr>
        <w:t>’</w:t>
      </w:r>
      <w:r w:rsidRPr="00146D77">
        <w:rPr>
          <w:lang w:val="fr-FR"/>
        </w:rPr>
        <w:t>ensemble de son personnel, à savoir la Caisse de maladie et de retraite des fonctionnaires et employés de la Société anonyme turque d</w:t>
      </w:r>
      <w:r w:rsidRPr="00146D77" w:rsidR="00146D77">
        <w:rPr>
          <w:lang w:val="fr-FR"/>
        </w:rPr>
        <w:t>’</w:t>
      </w:r>
      <w:r w:rsidRPr="00146D77">
        <w:rPr>
          <w:lang w:val="fr-FR"/>
        </w:rPr>
        <w:t>assurances « Ankara » ; que selon les termes de l</w:t>
      </w:r>
      <w:r w:rsidRPr="00146D77" w:rsidR="00146D77">
        <w:rPr>
          <w:lang w:val="fr-FR"/>
        </w:rPr>
        <w:t>’</w:t>
      </w:r>
      <w:r w:rsidRPr="00146D77">
        <w:rPr>
          <w:lang w:val="fr-FR"/>
        </w:rPr>
        <w:t>article 36 du règlement modificatif de l</w:t>
      </w:r>
      <w:r w:rsidRPr="00146D77" w:rsidR="00146D77">
        <w:rPr>
          <w:lang w:val="fr-FR"/>
        </w:rPr>
        <w:t>’</w:t>
      </w:r>
      <w:r w:rsidRPr="00146D77">
        <w:rPr>
          <w:lang w:val="fr-FR"/>
        </w:rPr>
        <w:t>acte de fondation de la caisse, tel qu</w:t>
      </w:r>
      <w:r w:rsidRPr="00146D77" w:rsidR="00146D77">
        <w:rPr>
          <w:lang w:val="fr-FR"/>
        </w:rPr>
        <w:t>’</w:t>
      </w:r>
      <w:r w:rsidRPr="00146D77">
        <w:rPr>
          <w:lang w:val="fr-FR"/>
        </w:rPr>
        <w:t>amendé le 26 juillet 1983, une pension de retraite serait octroyée à ses membres conformément à l</w:t>
      </w:r>
      <w:r w:rsidRPr="00146D77" w:rsidR="00146D77">
        <w:rPr>
          <w:lang w:val="fr-FR"/>
        </w:rPr>
        <w:t>’</w:t>
      </w:r>
      <w:r w:rsidRPr="00146D77">
        <w:rPr>
          <w:lang w:val="fr-FR"/>
        </w:rPr>
        <w:t>article 60 de la loi n</w:t>
      </w:r>
      <w:r w:rsidRPr="00146D77">
        <w:rPr>
          <w:vertAlign w:val="superscript"/>
          <w:lang w:val="fr-FR"/>
        </w:rPr>
        <w:t>o</w:t>
      </w:r>
      <w:r w:rsidRPr="00146D77">
        <w:rPr>
          <w:lang w:val="fr-FR"/>
        </w:rPr>
        <w:t> 506 ; que les articles 38 et 61 de la même loi définissaient le mode de calcul des pensions de retraite ; que les pensions de retraite des pensionnés de la caisse, calculées selon ces deux derniers articles, étaient d</w:t>
      </w:r>
      <w:r w:rsidRPr="00146D77" w:rsidR="00146D77">
        <w:rPr>
          <w:lang w:val="fr-FR"/>
        </w:rPr>
        <w:t>’</w:t>
      </w:r>
      <w:r w:rsidRPr="00146D77">
        <w:rPr>
          <w:lang w:val="fr-FR"/>
        </w:rPr>
        <w:t>un montant supérieur à celles des pensionnés en situation équivalente de l</w:t>
      </w:r>
      <w:r w:rsidRPr="00146D77" w:rsidR="00146D77">
        <w:rPr>
          <w:lang w:val="fr-FR"/>
        </w:rPr>
        <w:t>’</w:t>
      </w:r>
      <w:r w:rsidRPr="00146D77">
        <w:rPr>
          <w:caps/>
          <w:lang w:val="fr-FR"/>
        </w:rPr>
        <w:t>É</w:t>
      </w:r>
      <w:r w:rsidRPr="00146D77">
        <w:rPr>
          <w:lang w:val="fr-FR"/>
        </w:rPr>
        <w:t>tablissement pour la sécurité sociale.</w:t>
      </w:r>
    </w:p>
    <w:p w:rsidRPr="00146D77" w:rsidR="00E64ABD" w:rsidP="00146D77" w:rsidRDefault="00E64ABD">
      <w:pPr>
        <w:pStyle w:val="ECHRPara"/>
        <w:rPr>
          <w:lang w:val="fr-FR"/>
        </w:rPr>
      </w:pPr>
      <w:r w:rsidRPr="00146D77">
        <w:rPr>
          <w:lang w:val="fr-FR"/>
        </w:rPr>
        <w:t>Elle observa ensuite que du fait que les pensionnés de la caisse percevaient une pension de retraite plus élevée, l</w:t>
      </w:r>
      <w:r w:rsidRPr="00146D77" w:rsidR="00146D77">
        <w:rPr>
          <w:lang w:val="fr-FR"/>
        </w:rPr>
        <w:t>’</w:t>
      </w:r>
      <w:r w:rsidRPr="00146D77">
        <w:rPr>
          <w:lang w:val="fr-FR"/>
        </w:rPr>
        <w:t>article 15 du règlement modificatif de l</w:t>
      </w:r>
      <w:r w:rsidRPr="00146D77" w:rsidR="00146D77">
        <w:rPr>
          <w:lang w:val="fr-FR"/>
        </w:rPr>
        <w:t>’</w:t>
      </w:r>
      <w:r w:rsidRPr="00146D77">
        <w:rPr>
          <w:lang w:val="fr-FR"/>
        </w:rPr>
        <w:t>acte de fondation de la caisse, tel qu</w:t>
      </w:r>
      <w:r w:rsidRPr="00146D77" w:rsidR="00146D77">
        <w:rPr>
          <w:lang w:val="fr-FR"/>
        </w:rPr>
        <w:t>’</w:t>
      </w:r>
      <w:r w:rsidRPr="00146D77">
        <w:rPr>
          <w:lang w:val="fr-FR"/>
        </w:rPr>
        <w:t>amendé le 26</w:t>
      </w:r>
      <w:r w:rsidRPr="00146D77" w:rsidR="00B73B14">
        <w:rPr>
          <w:lang w:val="fr-FR"/>
        </w:rPr>
        <w:t xml:space="preserve"> </w:t>
      </w:r>
      <w:r w:rsidRPr="00146D77">
        <w:rPr>
          <w:lang w:val="fr-FR"/>
        </w:rPr>
        <w:t>juillet 1995, prévoyait des mesures au cas où le budget de la caisse présenterait un déficit. Cet article prévoyait que dans un premier temps les cotisations seraient augmentées ; que si le problème de déficit budgétaire n</w:t>
      </w:r>
      <w:r w:rsidRPr="00146D77" w:rsidR="00146D77">
        <w:rPr>
          <w:lang w:val="fr-FR"/>
        </w:rPr>
        <w:t>’</w:t>
      </w:r>
      <w:r w:rsidRPr="00146D77">
        <w:rPr>
          <w:lang w:val="fr-FR"/>
        </w:rPr>
        <w:t>était pas résolu, le niveau des services assurés par la caisse aux affiliés actifs et retraités pourrait être abaissé, à condition de ne pas tomber en-deçà de celui des garanties prévues par les lois en matière de sécurité sociale ; que si malgré toutes ces mesures le problème n</w:t>
      </w:r>
      <w:r w:rsidRPr="00146D77" w:rsidR="00146D77">
        <w:rPr>
          <w:lang w:val="fr-FR"/>
        </w:rPr>
        <w:t>’</w:t>
      </w:r>
      <w:r w:rsidRPr="00146D77">
        <w:rPr>
          <w:lang w:val="fr-FR"/>
        </w:rPr>
        <w:t>était toujours pas résolu, l</w:t>
      </w:r>
      <w:r w:rsidRPr="00146D77" w:rsidR="00146D77">
        <w:rPr>
          <w:lang w:val="fr-FR"/>
        </w:rPr>
        <w:t>’</w:t>
      </w:r>
      <w:r w:rsidRPr="00146D77">
        <w:rPr>
          <w:lang w:val="fr-FR"/>
        </w:rPr>
        <w:t>assemblée administrative de la société d</w:t>
      </w:r>
      <w:r w:rsidRPr="00146D77" w:rsidR="00146D77">
        <w:rPr>
          <w:lang w:val="fr-FR"/>
        </w:rPr>
        <w:t>’</w:t>
      </w:r>
      <w:r w:rsidRPr="00146D77">
        <w:rPr>
          <w:lang w:val="fr-FR"/>
        </w:rPr>
        <w:t>assurances prendrait les décisions nécessaires.</w:t>
      </w:r>
    </w:p>
    <w:p w:rsidRPr="00146D77" w:rsidR="00E64ABD" w:rsidP="00146D77" w:rsidRDefault="00E64ABD">
      <w:pPr>
        <w:pStyle w:val="ECHRPara"/>
        <w:rPr>
          <w:lang w:val="fr-FR"/>
        </w:rPr>
      </w:pPr>
      <w:r w:rsidRPr="00146D77">
        <w:rPr>
          <w:lang w:val="fr-FR"/>
        </w:rPr>
        <w:t>La Cour de cassation nota en outre que selon l</w:t>
      </w:r>
      <w:r w:rsidRPr="00146D77" w:rsidR="00146D77">
        <w:rPr>
          <w:lang w:val="fr-FR"/>
        </w:rPr>
        <w:t>’</w:t>
      </w:r>
      <w:r w:rsidRPr="00146D77">
        <w:rPr>
          <w:lang w:val="fr-FR"/>
        </w:rPr>
        <w:t>article 36 du règlement modificatif de l</w:t>
      </w:r>
      <w:r w:rsidRPr="00146D77" w:rsidR="00146D77">
        <w:rPr>
          <w:lang w:val="fr-FR"/>
        </w:rPr>
        <w:t>’</w:t>
      </w:r>
      <w:r w:rsidRPr="00146D77">
        <w:rPr>
          <w:lang w:val="fr-FR"/>
        </w:rPr>
        <w:t>acte de fondation de la caisse, dans le cas où l</w:t>
      </w:r>
      <w:r w:rsidRPr="00146D77" w:rsidR="00146D77">
        <w:rPr>
          <w:lang w:val="fr-FR"/>
        </w:rPr>
        <w:t>’</w:t>
      </w:r>
      <w:r w:rsidRPr="00146D77">
        <w:rPr>
          <w:lang w:val="fr-FR"/>
        </w:rPr>
        <w:t>assemblée administrative de la société d</w:t>
      </w:r>
      <w:r w:rsidRPr="00146D77" w:rsidR="00146D77">
        <w:rPr>
          <w:lang w:val="fr-FR"/>
        </w:rPr>
        <w:t>’</w:t>
      </w:r>
      <w:r w:rsidRPr="00146D77">
        <w:rPr>
          <w:lang w:val="fr-FR"/>
        </w:rPr>
        <w:t>assurance prendrait une décision de dissolution et de liquidation, le restant du déficit serait partagé équitablement entre les affiliés actifs et les affiliés pensionnés, selon un rapport technique établi par un spécialiste en matière d</w:t>
      </w:r>
      <w:r w:rsidRPr="00146D77" w:rsidR="00146D77">
        <w:rPr>
          <w:lang w:val="fr-FR"/>
        </w:rPr>
        <w:t>’</w:t>
      </w:r>
      <w:r w:rsidRPr="00146D77">
        <w:rPr>
          <w:lang w:val="fr-FR"/>
        </w:rPr>
        <w:t>assurances, lequel prendrait en compte la situation particulière de chaque personne concernée.</w:t>
      </w:r>
    </w:p>
    <w:p w:rsidRPr="00146D77" w:rsidR="00E64ABD" w:rsidP="00146D77" w:rsidRDefault="00E64ABD">
      <w:pPr>
        <w:pStyle w:val="ECHRPara"/>
        <w:rPr>
          <w:lang w:val="fr-FR"/>
        </w:rPr>
      </w:pPr>
      <w:r w:rsidRPr="00146D77">
        <w:rPr>
          <w:lang w:val="fr-FR"/>
        </w:rPr>
        <w:t>Elle conclut enfin qu</w:t>
      </w:r>
      <w:r w:rsidRPr="00146D77" w:rsidR="00146D77">
        <w:rPr>
          <w:lang w:val="fr-FR"/>
        </w:rPr>
        <w:t>’</w:t>
      </w:r>
      <w:r w:rsidRPr="00146D77">
        <w:rPr>
          <w:lang w:val="fr-FR"/>
        </w:rPr>
        <w:t>en raison d</w:t>
      </w:r>
      <w:r w:rsidRPr="00146D77" w:rsidR="00146D77">
        <w:rPr>
          <w:lang w:val="fr-FR"/>
        </w:rPr>
        <w:t>’</w:t>
      </w:r>
      <w:r w:rsidRPr="00146D77">
        <w:rPr>
          <w:lang w:val="fr-FR"/>
        </w:rPr>
        <w:t>un déficit le conseil d</w:t>
      </w:r>
      <w:r w:rsidRPr="00146D77" w:rsidR="00146D77">
        <w:rPr>
          <w:lang w:val="fr-FR"/>
        </w:rPr>
        <w:t>’</w:t>
      </w:r>
      <w:r w:rsidRPr="00146D77">
        <w:rPr>
          <w:lang w:val="fr-FR"/>
        </w:rPr>
        <w:t>administration de la Société anonyme turque d</w:t>
      </w:r>
      <w:r w:rsidRPr="00146D77" w:rsidR="00146D77">
        <w:rPr>
          <w:lang w:val="fr-FR"/>
        </w:rPr>
        <w:t>’</w:t>
      </w:r>
      <w:r w:rsidRPr="00146D77">
        <w:rPr>
          <w:lang w:val="fr-FR"/>
        </w:rPr>
        <w:t>assurances « Ankara » avait décidé que les pensions de ses adhérents seraient versées dans les limites prévues par la loi n</w:t>
      </w:r>
      <w:r w:rsidRPr="00146D77">
        <w:rPr>
          <w:vertAlign w:val="superscript"/>
          <w:lang w:val="fr-FR"/>
        </w:rPr>
        <w:t>o </w:t>
      </w:r>
      <w:r w:rsidRPr="00146D77">
        <w:rPr>
          <w:lang w:val="fr-FR"/>
        </w:rPr>
        <w:t>506 ; que le déficit technique s</w:t>
      </w:r>
      <w:r w:rsidRPr="00146D77" w:rsidR="00146D77">
        <w:rPr>
          <w:lang w:val="fr-FR"/>
        </w:rPr>
        <w:t>’</w:t>
      </w:r>
      <w:r w:rsidRPr="00146D77">
        <w:rPr>
          <w:lang w:val="fr-FR"/>
        </w:rPr>
        <w:t>élevait à 7 536 874 462 160 TRL (soit 5 753 340 EUR à l</w:t>
      </w:r>
      <w:r w:rsidRPr="00146D77" w:rsidR="00146D77">
        <w:rPr>
          <w:lang w:val="fr-FR"/>
        </w:rPr>
        <w:t>’</w:t>
      </w:r>
      <w:r w:rsidRPr="00146D77">
        <w:rPr>
          <w:lang w:val="fr-FR"/>
        </w:rPr>
        <w:t>époque des faits) ; que, selon l</w:t>
      </w:r>
      <w:r w:rsidRPr="00146D77" w:rsidR="00146D77">
        <w:rPr>
          <w:lang w:val="fr-FR"/>
        </w:rPr>
        <w:t>’</w:t>
      </w:r>
      <w:r w:rsidRPr="00146D77">
        <w:rPr>
          <w:lang w:val="fr-FR"/>
        </w:rPr>
        <w:t xml:space="preserve">alinéa 3 de </w:t>
      </w:r>
      <w:r w:rsidRPr="00146D77" w:rsidR="00A35AB1">
        <w:rPr>
          <w:lang w:val="fr-FR"/>
        </w:rPr>
        <w:t>l</w:t>
      </w:r>
      <w:r w:rsidRPr="00146D77" w:rsidR="00146D77">
        <w:rPr>
          <w:lang w:val="fr-FR"/>
        </w:rPr>
        <w:t>’</w:t>
      </w:r>
      <w:r w:rsidRPr="00146D77" w:rsidR="00A35AB1">
        <w:rPr>
          <w:lang w:val="fr-FR"/>
        </w:rPr>
        <w:t>article additionnel 36</w:t>
      </w:r>
      <w:r w:rsidRPr="00146D77">
        <w:rPr>
          <w:lang w:val="fr-FR"/>
        </w:rPr>
        <w:t xml:space="preserve"> de la loi n</w:t>
      </w:r>
      <w:r w:rsidRPr="00146D77">
        <w:rPr>
          <w:vertAlign w:val="superscript"/>
          <w:lang w:val="fr-FR"/>
        </w:rPr>
        <w:t>o</w:t>
      </w:r>
      <w:r w:rsidRPr="00146D77">
        <w:rPr>
          <w:lang w:val="fr-FR"/>
        </w:rPr>
        <w:t xml:space="preserve"> 506, l</w:t>
      </w:r>
      <w:r w:rsidRPr="00146D77" w:rsidR="00146D77">
        <w:rPr>
          <w:lang w:val="fr-FR"/>
        </w:rPr>
        <w:t>’</w:t>
      </w:r>
      <w:r w:rsidRPr="00146D77">
        <w:rPr>
          <w:lang w:val="fr-FR"/>
        </w:rPr>
        <w:t>adaptation des pensions des adhérents des caisses transférées était du ressort des ministères et organismes publics compétents. En l</w:t>
      </w:r>
      <w:r w:rsidRPr="00146D77" w:rsidR="00146D77">
        <w:rPr>
          <w:lang w:val="fr-FR"/>
        </w:rPr>
        <w:t>’</w:t>
      </w:r>
      <w:r w:rsidRPr="00146D77">
        <w:rPr>
          <w:lang w:val="fr-FR"/>
        </w:rPr>
        <w:t>occurrence, les pensions en question avaient été redéfinies d</w:t>
      </w:r>
      <w:r w:rsidRPr="00146D77" w:rsidR="00146D77">
        <w:rPr>
          <w:lang w:val="fr-FR"/>
        </w:rPr>
        <w:t>’</w:t>
      </w:r>
      <w:r w:rsidRPr="00146D77">
        <w:rPr>
          <w:lang w:val="fr-FR"/>
        </w:rPr>
        <w:t>après les dispositions pertinentes et il n</w:t>
      </w:r>
      <w:r w:rsidRPr="00146D77" w:rsidR="00146D77">
        <w:rPr>
          <w:lang w:val="fr-FR"/>
        </w:rPr>
        <w:t>’</w:t>
      </w:r>
      <w:r w:rsidRPr="00146D77">
        <w:rPr>
          <w:lang w:val="fr-FR"/>
        </w:rPr>
        <w:t>existait aucun droit acquis.</w:t>
      </w:r>
    </w:p>
    <w:p w:rsidRPr="00146D77" w:rsidR="00E64ABD" w:rsidP="00146D77" w:rsidRDefault="00E64AB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14</w:t>
      </w:r>
      <w:r w:rsidRPr="00146D77">
        <w:rPr>
          <w:lang w:val="fr-FR"/>
        </w:rPr>
        <w:fldChar w:fldCharType="end"/>
      </w:r>
      <w:r w:rsidRPr="00146D77">
        <w:rPr>
          <w:lang w:val="fr-FR"/>
        </w:rPr>
        <w:t>.  Par un jugement du 17 mai 2005, la 4</w:t>
      </w:r>
      <w:r w:rsidRPr="00146D77">
        <w:rPr>
          <w:vertAlign w:val="superscript"/>
          <w:lang w:val="fr-FR"/>
        </w:rPr>
        <w:t>ème</w:t>
      </w:r>
      <w:r w:rsidRPr="00146D77">
        <w:rPr>
          <w:lang w:val="fr-FR"/>
        </w:rPr>
        <w:t xml:space="preserve"> chambre du tribunal persista dans sa décision antérieure. Elle se fonda sur les mêmes arguments et ajouta que la diminution de la pension de retraite serait également contraire au principe de la bonne foi énoncé à l</w:t>
      </w:r>
      <w:r w:rsidRPr="00146D77" w:rsidR="00146D77">
        <w:rPr>
          <w:lang w:val="fr-FR"/>
        </w:rPr>
        <w:t>’</w:t>
      </w:r>
      <w:r w:rsidRPr="00146D77">
        <w:rPr>
          <w:lang w:val="fr-FR"/>
        </w:rPr>
        <w:t>article 2 du code civil.</w:t>
      </w:r>
    </w:p>
    <w:p w:rsidRPr="00146D77" w:rsidR="00E64ABD" w:rsidP="00146D77" w:rsidRDefault="00E64ABD">
      <w:pPr>
        <w:pStyle w:val="ECHRPara"/>
        <w:rPr>
          <w:szCs w:val="24"/>
          <w:lang w:val="fr-FR"/>
        </w:rPr>
      </w:pPr>
      <w:r w:rsidRPr="00146D77">
        <w:rPr>
          <w:szCs w:val="24"/>
          <w:lang w:val="fr-FR"/>
        </w:rPr>
        <w:fldChar w:fldCharType="begin"/>
      </w:r>
      <w:r w:rsidRPr="00146D77">
        <w:rPr>
          <w:szCs w:val="24"/>
          <w:lang w:val="fr-FR"/>
        </w:rPr>
        <w:instrText xml:space="preserve"> SEQ level0 \*arabic </w:instrText>
      </w:r>
      <w:r w:rsidRPr="00146D77">
        <w:rPr>
          <w:szCs w:val="24"/>
          <w:lang w:val="fr-FR"/>
        </w:rPr>
        <w:fldChar w:fldCharType="separate"/>
      </w:r>
      <w:r w:rsidRPr="00146D77" w:rsidR="00146D77">
        <w:rPr>
          <w:noProof/>
          <w:szCs w:val="24"/>
          <w:lang w:val="fr-FR"/>
        </w:rPr>
        <w:t>15</w:t>
      </w:r>
      <w:r w:rsidRPr="00146D77">
        <w:rPr>
          <w:szCs w:val="24"/>
          <w:lang w:val="fr-FR"/>
        </w:rPr>
        <w:fldChar w:fldCharType="end"/>
      </w:r>
      <w:r w:rsidRPr="00146D77">
        <w:rPr>
          <w:szCs w:val="24"/>
          <w:lang w:val="fr-FR"/>
        </w:rPr>
        <w:t>.  Le 21 septembre 2005, les chambres réunies de la Cour de cassation infirmèrent ce jugement en reprenant les arguments de l</w:t>
      </w:r>
      <w:r w:rsidRPr="00146D77" w:rsidR="00146D77">
        <w:rPr>
          <w:szCs w:val="24"/>
          <w:lang w:val="fr-FR"/>
        </w:rPr>
        <w:t>’</w:t>
      </w:r>
      <w:r w:rsidRPr="00146D77">
        <w:rPr>
          <w:szCs w:val="24"/>
          <w:lang w:val="fr-FR"/>
        </w:rPr>
        <w:t>arrêt de la chambre qui avait rendu l</w:t>
      </w:r>
      <w:r w:rsidRPr="00146D77" w:rsidR="00146D77">
        <w:rPr>
          <w:szCs w:val="24"/>
          <w:lang w:val="fr-FR"/>
        </w:rPr>
        <w:t>’</w:t>
      </w:r>
      <w:r w:rsidRPr="00146D77">
        <w:rPr>
          <w:szCs w:val="24"/>
          <w:lang w:val="fr-FR"/>
        </w:rPr>
        <w:t>arrêt du 27 décembre 2004.</w:t>
      </w:r>
    </w:p>
    <w:p w:rsidRPr="00146D77" w:rsidR="00E64ABD" w:rsidP="00146D77" w:rsidRDefault="00E64ABD">
      <w:pPr>
        <w:pStyle w:val="ECHRPara"/>
        <w:rPr>
          <w:szCs w:val="24"/>
          <w:lang w:val="fr-FR"/>
        </w:rPr>
      </w:pPr>
      <w:r w:rsidRPr="00146D77">
        <w:rPr>
          <w:szCs w:val="24"/>
          <w:lang w:val="fr-FR"/>
        </w:rPr>
        <w:fldChar w:fldCharType="begin"/>
      </w:r>
      <w:r w:rsidRPr="00146D77">
        <w:rPr>
          <w:szCs w:val="24"/>
          <w:lang w:val="fr-FR"/>
        </w:rPr>
        <w:instrText xml:space="preserve"> SEQ level0 \*arabic </w:instrText>
      </w:r>
      <w:r w:rsidRPr="00146D77">
        <w:rPr>
          <w:szCs w:val="24"/>
          <w:lang w:val="fr-FR"/>
        </w:rPr>
        <w:fldChar w:fldCharType="separate"/>
      </w:r>
      <w:r w:rsidRPr="00146D77" w:rsidR="00146D77">
        <w:rPr>
          <w:noProof/>
          <w:szCs w:val="24"/>
          <w:lang w:val="fr-FR"/>
        </w:rPr>
        <w:t>16</w:t>
      </w:r>
      <w:r w:rsidRPr="00146D77">
        <w:rPr>
          <w:szCs w:val="24"/>
          <w:lang w:val="fr-FR"/>
        </w:rPr>
        <w:fldChar w:fldCharType="end"/>
      </w:r>
      <w:r w:rsidRPr="00146D77">
        <w:rPr>
          <w:szCs w:val="24"/>
          <w:lang w:val="fr-FR"/>
        </w:rPr>
        <w:t>.  Par un jugement du 21 décembre 2005, la 4</w:t>
      </w:r>
      <w:r w:rsidRPr="00146D77">
        <w:rPr>
          <w:szCs w:val="24"/>
          <w:vertAlign w:val="superscript"/>
          <w:lang w:val="fr-FR"/>
        </w:rPr>
        <w:t>ème</w:t>
      </w:r>
      <w:r w:rsidRPr="00146D77">
        <w:rPr>
          <w:szCs w:val="24"/>
          <w:lang w:val="fr-FR"/>
        </w:rPr>
        <w:t xml:space="preserve"> chambre du tribunal débouta les requérants de leur demande.</w:t>
      </w:r>
    </w:p>
    <w:p w:rsidRPr="00146D77" w:rsidR="00E64ABD" w:rsidP="00146D77" w:rsidRDefault="00E64ABD">
      <w:pPr>
        <w:pStyle w:val="ECHRPara"/>
        <w:rPr>
          <w:lang w:val="fr-FR"/>
        </w:rPr>
      </w:pPr>
      <w:r w:rsidRPr="00146D77">
        <w:rPr>
          <w:szCs w:val="24"/>
          <w:lang w:val="fr-FR"/>
        </w:rPr>
        <w:fldChar w:fldCharType="begin"/>
      </w:r>
      <w:r w:rsidRPr="00146D77">
        <w:rPr>
          <w:szCs w:val="24"/>
          <w:lang w:val="fr-FR"/>
        </w:rPr>
        <w:instrText xml:space="preserve"> SEQ level0 \*arabic </w:instrText>
      </w:r>
      <w:r w:rsidRPr="00146D77">
        <w:rPr>
          <w:szCs w:val="24"/>
          <w:lang w:val="fr-FR"/>
        </w:rPr>
        <w:fldChar w:fldCharType="separate"/>
      </w:r>
      <w:r w:rsidRPr="00146D77" w:rsidR="00146D77">
        <w:rPr>
          <w:noProof/>
          <w:szCs w:val="24"/>
          <w:lang w:val="fr-FR"/>
        </w:rPr>
        <w:t>17</w:t>
      </w:r>
      <w:r w:rsidRPr="00146D77">
        <w:rPr>
          <w:szCs w:val="24"/>
          <w:lang w:val="fr-FR"/>
        </w:rPr>
        <w:fldChar w:fldCharType="end"/>
      </w:r>
      <w:r w:rsidRPr="00146D77">
        <w:rPr>
          <w:szCs w:val="24"/>
          <w:lang w:val="fr-FR"/>
        </w:rPr>
        <w:t>.  Le 7 mars 2006, la Cour de cassation rejeta le pourvoi formé par les requérants.</w:t>
      </w:r>
    </w:p>
    <w:p w:rsidRPr="00146D77" w:rsidR="00E64ABD" w:rsidP="00146D77" w:rsidRDefault="00E64ABD">
      <w:pPr>
        <w:pStyle w:val="ECHRHeading2"/>
        <w:rPr>
          <w:lang w:val="fr-FR"/>
        </w:rPr>
      </w:pPr>
      <w:r w:rsidRPr="00146D77">
        <w:rPr>
          <w:lang w:val="fr-FR"/>
        </w:rPr>
        <w:t>C.  La procédure concernant le second groupe de requérants</w:t>
      </w:r>
    </w:p>
    <w:p w:rsidRPr="00146D77" w:rsidR="00E64ABD" w:rsidP="00146D77" w:rsidRDefault="00E64AB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18</w:t>
      </w:r>
      <w:r w:rsidRPr="00146D77">
        <w:rPr>
          <w:lang w:val="fr-FR"/>
        </w:rPr>
        <w:fldChar w:fldCharType="end"/>
      </w:r>
      <w:r w:rsidRPr="00146D77">
        <w:rPr>
          <w:lang w:val="fr-FR"/>
        </w:rPr>
        <w:t>.  Le 11 décembre 2002 (Tahsin Yağmur, Dursun Yağmur, Salih Tuzculu, Erol Arık et Güler Canikoğlu) et le 16 janvier 2003 (Ahmet Ballıoğlu), les requérants du second groupe introduisirent devant le tribunal du travail d</w:t>
      </w:r>
      <w:r w:rsidRPr="00146D77" w:rsidR="00146D77">
        <w:rPr>
          <w:lang w:val="fr-FR"/>
        </w:rPr>
        <w:t>’</w:t>
      </w:r>
      <w:r w:rsidRPr="00146D77">
        <w:rPr>
          <w:lang w:val="fr-FR"/>
        </w:rPr>
        <w:t>Istanbul des demandes visant à l</w:t>
      </w:r>
      <w:r w:rsidRPr="00146D77" w:rsidR="00146D77">
        <w:rPr>
          <w:lang w:val="fr-FR"/>
        </w:rPr>
        <w:t>’</w:t>
      </w:r>
      <w:r w:rsidRPr="00146D77">
        <w:rPr>
          <w:lang w:val="fr-FR"/>
        </w:rPr>
        <w:t>annulation de l</w:t>
      </w:r>
      <w:r w:rsidRPr="00146D77" w:rsidR="00146D77">
        <w:rPr>
          <w:lang w:val="fr-FR"/>
        </w:rPr>
        <w:t>’</w:t>
      </w:r>
      <w:r w:rsidRPr="00146D77">
        <w:rPr>
          <w:lang w:val="fr-FR"/>
        </w:rPr>
        <w:t>adaptation de leur pension de retraite et à la détermination de son mode de redéfinition. Leur action était dirigée contre quatre organismes : l</w:t>
      </w:r>
      <w:r w:rsidRPr="00146D77" w:rsidR="00146D77">
        <w:rPr>
          <w:lang w:val="fr-FR"/>
        </w:rPr>
        <w:t>’</w:t>
      </w:r>
      <w:r w:rsidRPr="00146D77">
        <w:rPr>
          <w:rFonts w:cstheme="minorHAnsi"/>
          <w:caps/>
          <w:lang w:val="fr-FR"/>
        </w:rPr>
        <w:t>É</w:t>
      </w:r>
      <w:r w:rsidRPr="00146D77">
        <w:rPr>
          <w:lang w:val="fr-FR"/>
        </w:rPr>
        <w:t>tablissement pour la sécurité sociale, la Société anonyme turque d</w:t>
      </w:r>
      <w:r w:rsidRPr="00146D77" w:rsidR="00146D77">
        <w:rPr>
          <w:lang w:val="fr-FR"/>
        </w:rPr>
        <w:t>’</w:t>
      </w:r>
      <w:r w:rsidRPr="00146D77">
        <w:rPr>
          <w:lang w:val="fr-FR"/>
        </w:rPr>
        <w:t>assurances « Ankara », l</w:t>
      </w:r>
      <w:r w:rsidRPr="00146D77" w:rsidR="00146D77">
        <w:rPr>
          <w:lang w:val="fr-FR"/>
        </w:rPr>
        <w:t>’</w:t>
      </w:r>
      <w:r w:rsidRPr="00146D77">
        <w:rPr>
          <w:lang w:val="fr-FR"/>
        </w:rPr>
        <w:t>Administration des privatisations et la Caisse de soins et de solidarité de la police. Ils demandèrent également à être indemnisés en raison de l</w:t>
      </w:r>
      <w:r w:rsidRPr="00146D77" w:rsidR="00146D77">
        <w:rPr>
          <w:lang w:val="fr-FR"/>
        </w:rPr>
        <w:t>’</w:t>
      </w:r>
      <w:r w:rsidRPr="00146D77">
        <w:rPr>
          <w:lang w:val="fr-FR"/>
        </w:rPr>
        <w:t>écart entre le nouveau montant versé et le niveau correspondant au mode de calcul initial, ainsi qu</w:t>
      </w:r>
      <w:r w:rsidRPr="00146D77" w:rsidR="00146D77">
        <w:rPr>
          <w:lang w:val="fr-FR"/>
        </w:rPr>
        <w:t>’</w:t>
      </w:r>
      <w:r w:rsidRPr="00146D77">
        <w:rPr>
          <w:lang w:val="fr-FR"/>
        </w:rPr>
        <w:t>au titre du préjudice subi. Pendant la procédure, ils limitèrent leur demande à la question de l</w:t>
      </w:r>
      <w:r w:rsidRPr="00146D77" w:rsidR="00146D77">
        <w:rPr>
          <w:lang w:val="fr-FR"/>
        </w:rPr>
        <w:t>’</w:t>
      </w:r>
      <w:r w:rsidRPr="00146D77">
        <w:rPr>
          <w:lang w:val="fr-FR"/>
        </w:rPr>
        <w:t>adaptation. Les actions introduites le 11 décembre 2002 furent portées devant la 8</w:t>
      </w:r>
      <w:r w:rsidRPr="00146D77">
        <w:rPr>
          <w:vertAlign w:val="superscript"/>
          <w:lang w:val="fr-FR"/>
        </w:rPr>
        <w:t>ème</w:t>
      </w:r>
      <w:r w:rsidRPr="00146D77">
        <w:rPr>
          <w:lang w:val="fr-FR"/>
        </w:rPr>
        <w:t xml:space="preserve"> chambre du tribunal du travail d</w:t>
      </w:r>
      <w:r w:rsidRPr="00146D77" w:rsidR="00146D77">
        <w:rPr>
          <w:lang w:val="fr-FR"/>
        </w:rPr>
        <w:t>’</w:t>
      </w:r>
      <w:r w:rsidRPr="00146D77">
        <w:rPr>
          <w:lang w:val="fr-FR"/>
        </w:rPr>
        <w:t>Istanbul (« la 8</w:t>
      </w:r>
      <w:r w:rsidRPr="00146D77">
        <w:rPr>
          <w:vertAlign w:val="superscript"/>
          <w:lang w:val="fr-FR"/>
        </w:rPr>
        <w:t xml:space="preserve">ème </w:t>
      </w:r>
      <w:r w:rsidRPr="00146D77">
        <w:rPr>
          <w:lang w:val="fr-FR"/>
        </w:rPr>
        <w:t>chambre du tribunal ») et celle introduite le 16 janvier 2003 devant la 2</w:t>
      </w:r>
      <w:r w:rsidRPr="00146D77">
        <w:rPr>
          <w:vertAlign w:val="superscript"/>
          <w:lang w:val="fr-FR"/>
        </w:rPr>
        <w:t>ème </w:t>
      </w:r>
      <w:r w:rsidRPr="00146D77">
        <w:rPr>
          <w:lang w:val="fr-FR"/>
        </w:rPr>
        <w:t>chambre (« la 2</w:t>
      </w:r>
      <w:r w:rsidRPr="00146D77">
        <w:rPr>
          <w:vertAlign w:val="superscript"/>
          <w:lang w:val="fr-FR"/>
        </w:rPr>
        <w:t>ème</w:t>
      </w:r>
      <w:r w:rsidRPr="00146D77">
        <w:rPr>
          <w:lang w:val="fr-FR"/>
        </w:rPr>
        <w:t xml:space="preserve"> chambre du tribunal »).</w:t>
      </w:r>
    </w:p>
    <w:p w:rsidRPr="00146D77" w:rsidR="00E64ABD" w:rsidP="00146D77" w:rsidRDefault="00E64AB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19</w:t>
      </w:r>
      <w:r w:rsidRPr="00146D77">
        <w:rPr>
          <w:lang w:val="fr-FR"/>
        </w:rPr>
        <w:fldChar w:fldCharType="end"/>
      </w:r>
      <w:r w:rsidRPr="00146D77">
        <w:rPr>
          <w:lang w:val="fr-FR"/>
        </w:rPr>
        <w:t>.  </w:t>
      </w:r>
      <w:r w:rsidRPr="00146D77">
        <w:rPr>
          <w:rFonts w:cstheme="minorHAnsi"/>
          <w:lang w:val="fr-FR"/>
        </w:rPr>
        <w:t>À</w:t>
      </w:r>
      <w:r w:rsidRPr="00146D77">
        <w:rPr>
          <w:lang w:val="fr-FR"/>
        </w:rPr>
        <w:t xml:space="preserve"> des dates qui n</w:t>
      </w:r>
      <w:r w:rsidRPr="00146D77" w:rsidR="00146D77">
        <w:rPr>
          <w:lang w:val="fr-FR"/>
        </w:rPr>
        <w:t>’</w:t>
      </w:r>
      <w:r w:rsidRPr="00146D77">
        <w:rPr>
          <w:lang w:val="fr-FR"/>
        </w:rPr>
        <w:t>ont pas été précisées, les 8</w:t>
      </w:r>
      <w:r w:rsidRPr="00146D77">
        <w:rPr>
          <w:vertAlign w:val="superscript"/>
          <w:lang w:val="fr-FR"/>
        </w:rPr>
        <w:t>ème</w:t>
      </w:r>
      <w:r w:rsidRPr="00146D77">
        <w:rPr>
          <w:lang w:val="fr-FR"/>
        </w:rPr>
        <w:t xml:space="preserve"> et 2</w:t>
      </w:r>
      <w:r w:rsidRPr="00146D77">
        <w:rPr>
          <w:vertAlign w:val="superscript"/>
          <w:lang w:val="fr-FR"/>
        </w:rPr>
        <w:t>ème</w:t>
      </w:r>
      <w:r w:rsidRPr="00146D77">
        <w:rPr>
          <w:lang w:val="fr-FR"/>
        </w:rPr>
        <w:t xml:space="preserve"> chambres du tribunal décidèrent d</w:t>
      </w:r>
      <w:r w:rsidRPr="00146D77" w:rsidR="00146D77">
        <w:rPr>
          <w:lang w:val="fr-FR"/>
        </w:rPr>
        <w:t>’</w:t>
      </w:r>
      <w:r w:rsidRPr="00146D77">
        <w:rPr>
          <w:lang w:val="fr-FR"/>
        </w:rPr>
        <w:t>attendre le dénouement de l</w:t>
      </w:r>
      <w:r w:rsidRPr="00146D77" w:rsidR="00146D77">
        <w:rPr>
          <w:lang w:val="fr-FR"/>
        </w:rPr>
        <w:t>’</w:t>
      </w:r>
      <w:r w:rsidRPr="00146D77">
        <w:rPr>
          <w:lang w:val="fr-FR"/>
        </w:rPr>
        <w:t>une des affaires pendantes devant la 4</w:t>
      </w:r>
      <w:r w:rsidRPr="00146D77">
        <w:rPr>
          <w:vertAlign w:val="superscript"/>
          <w:lang w:val="fr-FR"/>
        </w:rPr>
        <w:t xml:space="preserve">ème </w:t>
      </w:r>
      <w:r w:rsidRPr="00146D77">
        <w:rPr>
          <w:lang w:val="fr-FR"/>
        </w:rPr>
        <w:t>chambre du tribunal, concernant le requérant Gökay Yavaş.</w:t>
      </w:r>
    </w:p>
    <w:p w:rsidRPr="00146D77" w:rsidR="00E64ABD" w:rsidP="00146D77" w:rsidRDefault="00E64AB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20</w:t>
      </w:r>
      <w:r w:rsidRPr="00146D77">
        <w:rPr>
          <w:lang w:val="fr-FR"/>
        </w:rPr>
        <w:fldChar w:fldCharType="end"/>
      </w:r>
      <w:r w:rsidRPr="00146D77">
        <w:rPr>
          <w:lang w:val="fr-FR"/>
        </w:rPr>
        <w:t>.  Le 30 novembre 2005 (Tahsin Yağmur, Dursun Yağmur et Salih Tuzculu) et le 16 février 2006 (Erol Arık et Güler Canikoğlu), la 8</w:t>
      </w:r>
      <w:r w:rsidRPr="00146D77">
        <w:rPr>
          <w:vertAlign w:val="superscript"/>
          <w:lang w:val="fr-FR"/>
        </w:rPr>
        <w:t>ème</w:t>
      </w:r>
      <w:r w:rsidRPr="00146D77">
        <w:rPr>
          <w:lang w:val="fr-FR"/>
        </w:rPr>
        <w:t> chambre du tribunal débouta les requérants du second groupe, en reprenant les arguments de l</w:t>
      </w:r>
      <w:r w:rsidRPr="00146D77" w:rsidR="00146D77">
        <w:rPr>
          <w:lang w:val="fr-FR"/>
        </w:rPr>
        <w:t>’</w:t>
      </w:r>
      <w:r w:rsidRPr="00146D77">
        <w:rPr>
          <w:lang w:val="fr-FR"/>
        </w:rPr>
        <w:t>arrêt de la Cour de cassation du 27</w:t>
      </w:r>
      <w:r w:rsidRPr="00146D77" w:rsidR="003154C4">
        <w:rPr>
          <w:lang w:val="fr-FR"/>
        </w:rPr>
        <w:t xml:space="preserve"> </w:t>
      </w:r>
      <w:r w:rsidRPr="00146D77">
        <w:rPr>
          <w:lang w:val="fr-FR"/>
        </w:rPr>
        <w:t>décembre 2004.</w:t>
      </w:r>
    </w:p>
    <w:p w:rsidRPr="00146D77" w:rsidR="00E64ABD" w:rsidP="00146D77" w:rsidRDefault="00E64ABD">
      <w:pPr>
        <w:pStyle w:val="ECHRPara"/>
        <w:rPr>
          <w:szCs w:val="24"/>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21</w:t>
      </w:r>
      <w:r w:rsidRPr="00146D77">
        <w:rPr>
          <w:lang w:val="fr-FR"/>
        </w:rPr>
        <w:fldChar w:fldCharType="end"/>
      </w:r>
      <w:r w:rsidRPr="00146D77">
        <w:rPr>
          <w:lang w:val="fr-FR"/>
        </w:rPr>
        <w:t>.  Le 21 décembre 2005, la 2</w:t>
      </w:r>
      <w:r w:rsidRPr="00146D77">
        <w:rPr>
          <w:vertAlign w:val="superscript"/>
          <w:lang w:val="fr-FR"/>
        </w:rPr>
        <w:t xml:space="preserve">ème </w:t>
      </w:r>
      <w:r w:rsidRPr="00146D77">
        <w:rPr>
          <w:lang w:val="fr-FR"/>
        </w:rPr>
        <w:t>chambre du tribunal rejeta la demande d</w:t>
      </w:r>
      <w:r w:rsidRPr="00146D77" w:rsidR="00146D77">
        <w:rPr>
          <w:lang w:val="fr-FR"/>
        </w:rPr>
        <w:t>’</w:t>
      </w:r>
      <w:r w:rsidRPr="00146D77">
        <w:rPr>
          <w:lang w:val="fr-FR"/>
        </w:rPr>
        <w:t>Ahmet Ballıoğlu, en reprenant les arguments de l</w:t>
      </w:r>
      <w:r w:rsidRPr="00146D77" w:rsidR="00146D77">
        <w:rPr>
          <w:lang w:val="fr-FR"/>
        </w:rPr>
        <w:t>’</w:t>
      </w:r>
      <w:r w:rsidRPr="00146D77">
        <w:rPr>
          <w:lang w:val="fr-FR"/>
        </w:rPr>
        <w:t xml:space="preserve">arrêt </w:t>
      </w:r>
      <w:r w:rsidRPr="00146D77">
        <w:rPr>
          <w:szCs w:val="24"/>
          <w:lang w:val="fr-FR"/>
        </w:rPr>
        <w:t>des chambres réunies de la Cour de cassation du 21 septembre 2005.</w:t>
      </w:r>
    </w:p>
    <w:p w:rsidRPr="00146D77" w:rsidR="00E77CB3" w:rsidP="00146D77" w:rsidRDefault="00E64ABD">
      <w:pPr>
        <w:pStyle w:val="ECHRPara"/>
        <w:rPr>
          <w:lang w:val="fr-FR"/>
        </w:rPr>
      </w:pPr>
      <w:r w:rsidRPr="00146D77">
        <w:rPr>
          <w:szCs w:val="24"/>
          <w:lang w:val="fr-FR"/>
        </w:rPr>
        <w:fldChar w:fldCharType="begin"/>
      </w:r>
      <w:r w:rsidRPr="00146D77">
        <w:rPr>
          <w:szCs w:val="24"/>
          <w:lang w:val="fr-FR"/>
        </w:rPr>
        <w:instrText xml:space="preserve"> SEQ level0 \*arabic </w:instrText>
      </w:r>
      <w:r w:rsidRPr="00146D77">
        <w:rPr>
          <w:szCs w:val="24"/>
          <w:lang w:val="fr-FR"/>
        </w:rPr>
        <w:fldChar w:fldCharType="separate"/>
      </w:r>
      <w:r w:rsidRPr="00146D77" w:rsidR="00146D77">
        <w:rPr>
          <w:noProof/>
          <w:szCs w:val="24"/>
          <w:lang w:val="fr-FR"/>
        </w:rPr>
        <w:t>22</w:t>
      </w:r>
      <w:r w:rsidRPr="00146D77">
        <w:rPr>
          <w:szCs w:val="24"/>
          <w:lang w:val="fr-FR"/>
        </w:rPr>
        <w:fldChar w:fldCharType="end"/>
      </w:r>
      <w:r w:rsidRPr="00146D77">
        <w:rPr>
          <w:szCs w:val="24"/>
          <w:lang w:val="fr-FR"/>
        </w:rPr>
        <w:t>.  Le 7 mars 2006, la Cour de cassation rejeta le pourvoi formé par les requérants.</w:t>
      </w:r>
    </w:p>
    <w:p w:rsidRPr="00146D77" w:rsidR="0083156D" w:rsidP="00146D77" w:rsidRDefault="0083156D">
      <w:pPr>
        <w:pStyle w:val="ECHRHeading1"/>
        <w:rPr>
          <w:lang w:val="fr-FR"/>
        </w:rPr>
      </w:pPr>
      <w:r w:rsidRPr="00146D77">
        <w:rPr>
          <w:lang w:val="fr-FR"/>
        </w:rPr>
        <w:t>II.  LE DROIT ET LA PRATIQUE INTERNES PERTINENTS</w:t>
      </w:r>
    </w:p>
    <w:p w:rsidRPr="00146D77" w:rsidR="007B1B5B" w:rsidP="00146D77" w:rsidRDefault="0083156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23</w:t>
      </w:r>
      <w:r w:rsidRPr="00146D77">
        <w:rPr>
          <w:lang w:val="fr-FR"/>
        </w:rPr>
        <w:fldChar w:fldCharType="end"/>
      </w:r>
      <w:r w:rsidRPr="00146D77">
        <w:rPr>
          <w:lang w:val="fr-FR"/>
        </w:rPr>
        <w:t>.  L</w:t>
      </w:r>
      <w:r w:rsidRPr="00146D77" w:rsidR="00146D77">
        <w:rPr>
          <w:lang w:val="fr-FR"/>
        </w:rPr>
        <w:t>’</w:t>
      </w:r>
      <w:r w:rsidRPr="00146D77" w:rsidR="001851CC">
        <w:rPr>
          <w:lang w:val="fr-FR"/>
        </w:rPr>
        <w:t>article</w:t>
      </w:r>
      <w:r w:rsidRPr="00146D77">
        <w:rPr>
          <w:lang w:val="fr-FR"/>
        </w:rPr>
        <w:t xml:space="preserve"> provisoire 20 de la loi n</w:t>
      </w:r>
      <w:r w:rsidRPr="00146D77">
        <w:rPr>
          <w:vertAlign w:val="superscript"/>
          <w:lang w:val="fr-FR"/>
        </w:rPr>
        <w:t>o</w:t>
      </w:r>
      <w:r w:rsidRPr="00146D77">
        <w:rPr>
          <w:lang w:val="fr-FR"/>
        </w:rPr>
        <w:t xml:space="preserve"> 506</w:t>
      </w:r>
      <w:r w:rsidRPr="00146D77" w:rsidR="00FC0778">
        <w:rPr>
          <w:lang w:val="fr-FR"/>
        </w:rPr>
        <w:t xml:space="preserve"> du 17 juillet 1964</w:t>
      </w:r>
      <w:r w:rsidRPr="00146D77" w:rsidR="00235FC0">
        <w:rPr>
          <w:lang w:val="fr-FR"/>
        </w:rPr>
        <w:t xml:space="preserve"> </w:t>
      </w:r>
      <w:r w:rsidRPr="00146D77">
        <w:rPr>
          <w:lang w:val="fr-FR"/>
        </w:rPr>
        <w:t xml:space="preserve">relative à la sécurité sociale </w:t>
      </w:r>
      <w:r w:rsidRPr="00146D77" w:rsidR="001851CC">
        <w:rPr>
          <w:lang w:val="fr-FR"/>
        </w:rPr>
        <w:t>réglemente</w:t>
      </w:r>
      <w:r w:rsidRPr="00146D77">
        <w:rPr>
          <w:lang w:val="fr-FR"/>
        </w:rPr>
        <w:t xml:space="preserve"> le statut des caisses œuvrant en la matière fondées par certains organismes tels que les banques, les compagnies d</w:t>
      </w:r>
      <w:r w:rsidRPr="00146D77" w:rsidR="00146D77">
        <w:rPr>
          <w:lang w:val="fr-FR"/>
        </w:rPr>
        <w:t>’</w:t>
      </w:r>
      <w:r w:rsidRPr="00146D77">
        <w:rPr>
          <w:lang w:val="fr-FR"/>
        </w:rPr>
        <w:t>assurances, les chambres de commerce et d</w:t>
      </w:r>
      <w:r w:rsidRPr="00146D77" w:rsidR="00146D77">
        <w:rPr>
          <w:lang w:val="fr-FR"/>
        </w:rPr>
        <w:t>’</w:t>
      </w:r>
      <w:r w:rsidRPr="00146D77">
        <w:rPr>
          <w:lang w:val="fr-FR"/>
        </w:rPr>
        <w:t>industrie et les bourses.</w:t>
      </w:r>
      <w:r w:rsidRPr="00146D77" w:rsidR="001851CC">
        <w:rPr>
          <w:lang w:val="fr-FR"/>
        </w:rPr>
        <w:t xml:space="preserve"> D</w:t>
      </w:r>
      <w:r w:rsidRPr="00146D77" w:rsidR="0005578A">
        <w:rPr>
          <w:lang w:val="fr-FR"/>
        </w:rPr>
        <w:t xml:space="preserve">ans sa partie pertinente, </w:t>
      </w:r>
      <w:r w:rsidRPr="00146D77" w:rsidR="001851CC">
        <w:rPr>
          <w:lang w:val="fr-FR"/>
        </w:rPr>
        <w:t xml:space="preserve">il </w:t>
      </w:r>
      <w:r w:rsidRPr="00146D77" w:rsidR="0005578A">
        <w:rPr>
          <w:lang w:val="fr-FR"/>
        </w:rPr>
        <w:t>se lit comme suit :</w:t>
      </w:r>
    </w:p>
    <w:p w:rsidRPr="00146D77" w:rsidR="00931544" w:rsidP="00146D77" w:rsidRDefault="0005578A">
      <w:pPr>
        <w:pStyle w:val="ECHRParaQuote"/>
        <w:rPr>
          <w:lang w:val="fr-FR"/>
        </w:rPr>
      </w:pPr>
      <w:r w:rsidRPr="00146D77">
        <w:rPr>
          <w:lang w:val="fr-FR"/>
        </w:rPr>
        <w:t>« </w:t>
      </w:r>
      <w:r w:rsidRPr="00146D77" w:rsidR="00931544">
        <w:rPr>
          <w:lang w:val="fr-FR"/>
        </w:rPr>
        <w:t xml:space="preserve">Les personnes affiliées aux entités et aux caisses </w:t>
      </w:r>
      <w:r w:rsidRPr="00146D77" w:rsidR="00AD5013">
        <w:rPr>
          <w:lang w:val="fr-FR"/>
        </w:rPr>
        <w:t>ne seront</w:t>
      </w:r>
      <w:r w:rsidRPr="00146D77" w:rsidR="00931544">
        <w:rPr>
          <w:lang w:val="fr-FR"/>
        </w:rPr>
        <w:t xml:space="preserve"> pas considérés comme assuré</w:t>
      </w:r>
      <w:r w:rsidRPr="00146D77" w:rsidR="00233A91">
        <w:rPr>
          <w:lang w:val="fr-FR"/>
        </w:rPr>
        <w:t>e</w:t>
      </w:r>
      <w:r w:rsidRPr="00146D77" w:rsidR="00931544">
        <w:rPr>
          <w:lang w:val="fr-FR"/>
        </w:rPr>
        <w:t xml:space="preserve">s </w:t>
      </w:r>
      <w:r w:rsidRPr="00146D77" w:rsidR="00AD5013">
        <w:rPr>
          <w:lang w:val="fr-FR"/>
        </w:rPr>
        <w:t>dans le cadre</w:t>
      </w:r>
      <w:r w:rsidRPr="00146D77" w:rsidR="00931544">
        <w:rPr>
          <w:lang w:val="fr-FR"/>
        </w:rPr>
        <w:t xml:space="preserve"> du droit du travail </w:t>
      </w:r>
      <w:r w:rsidRPr="00146D77" w:rsidR="00AD5013">
        <w:rPr>
          <w:lang w:val="fr-FR"/>
        </w:rPr>
        <w:t>au sens de</w:t>
      </w:r>
      <w:r w:rsidRPr="00146D77" w:rsidR="009E780C">
        <w:rPr>
          <w:lang w:val="fr-FR"/>
        </w:rPr>
        <w:t xml:space="preserve"> la présente loi </w:t>
      </w:r>
      <w:r w:rsidRPr="00146D77" w:rsidR="00931544">
        <w:rPr>
          <w:lang w:val="fr-FR"/>
        </w:rPr>
        <w:t xml:space="preserve">si </w:t>
      </w:r>
      <w:r w:rsidRPr="00146D77" w:rsidR="00AD5013">
        <w:rPr>
          <w:lang w:val="fr-FR"/>
        </w:rPr>
        <w:t xml:space="preserve">la protection sociale assurée par </w:t>
      </w:r>
      <w:r w:rsidRPr="00146D77" w:rsidR="00931544">
        <w:rPr>
          <w:lang w:val="fr-FR"/>
        </w:rPr>
        <w:t xml:space="preserve">ces </w:t>
      </w:r>
      <w:r w:rsidRPr="00146D77" w:rsidR="009E780C">
        <w:rPr>
          <w:lang w:val="fr-FR"/>
        </w:rPr>
        <w:t>organismes,</w:t>
      </w:r>
      <w:r w:rsidRPr="00146D77" w:rsidR="007B1B5B">
        <w:rPr>
          <w:lang w:val="fr-FR"/>
        </w:rPr>
        <w:t xml:space="preserve"> constitués en tant </w:t>
      </w:r>
      <w:r w:rsidRPr="00146D77" w:rsidR="0034189D">
        <w:rPr>
          <w:lang w:val="fr-FR"/>
        </w:rPr>
        <w:t>que groupements</w:t>
      </w:r>
      <w:r w:rsidRPr="00146D77" w:rsidR="007B1B5B">
        <w:rPr>
          <w:lang w:val="fr-FR"/>
        </w:rPr>
        <w:t xml:space="preserve"> ou associations jusqu</w:t>
      </w:r>
      <w:r w:rsidRPr="00146D77" w:rsidR="00146D77">
        <w:rPr>
          <w:lang w:val="fr-FR"/>
        </w:rPr>
        <w:t>’</w:t>
      </w:r>
      <w:r w:rsidRPr="00146D77" w:rsidR="007B1B5B">
        <w:rPr>
          <w:lang w:val="fr-FR"/>
        </w:rPr>
        <w:t>à la date de publication d</w:t>
      </w:r>
      <w:r w:rsidRPr="00146D77" w:rsidR="0034189D">
        <w:rPr>
          <w:lang w:val="fr-FR"/>
        </w:rPr>
        <w:t>e la présente loi pour</w:t>
      </w:r>
      <w:r w:rsidRPr="00146D77" w:rsidR="007B1B5B">
        <w:rPr>
          <w:lang w:val="fr-FR"/>
        </w:rPr>
        <w:t xml:space="preserve"> </w:t>
      </w:r>
      <w:r w:rsidRPr="00146D77" w:rsidR="0034189D">
        <w:rPr>
          <w:lang w:val="fr-FR"/>
        </w:rPr>
        <w:t>aider l</w:t>
      </w:r>
      <w:r w:rsidRPr="00146D77" w:rsidR="007B1B5B">
        <w:rPr>
          <w:lang w:val="fr-FR"/>
        </w:rPr>
        <w:t>e personnel des banques, des compagnies d</w:t>
      </w:r>
      <w:r w:rsidRPr="00146D77" w:rsidR="00146D77">
        <w:rPr>
          <w:lang w:val="fr-FR"/>
        </w:rPr>
        <w:t>’</w:t>
      </w:r>
      <w:r w:rsidRPr="00146D77" w:rsidR="007B1B5B">
        <w:rPr>
          <w:lang w:val="fr-FR"/>
        </w:rPr>
        <w:t xml:space="preserve">assurance et de réassurance, des chambres de commerce, </w:t>
      </w:r>
      <w:r w:rsidRPr="00146D77" w:rsidR="0034189D">
        <w:rPr>
          <w:lang w:val="fr-FR"/>
        </w:rPr>
        <w:t xml:space="preserve">des </w:t>
      </w:r>
      <w:r w:rsidRPr="00146D77" w:rsidR="007B1B5B">
        <w:rPr>
          <w:lang w:val="fr-FR"/>
        </w:rPr>
        <w:t>chambres d</w:t>
      </w:r>
      <w:r w:rsidRPr="00146D77" w:rsidR="00146D77">
        <w:rPr>
          <w:lang w:val="fr-FR"/>
        </w:rPr>
        <w:t>’</w:t>
      </w:r>
      <w:r w:rsidRPr="00146D77" w:rsidR="007B1B5B">
        <w:rPr>
          <w:lang w:val="fr-FR"/>
        </w:rPr>
        <w:t xml:space="preserve">industrie, des bourses ou des unions formées par ces organismes </w:t>
      </w:r>
      <w:r w:rsidRPr="00146D77" w:rsidR="0034189D">
        <w:rPr>
          <w:lang w:val="fr-FR"/>
        </w:rPr>
        <w:t>en matière d</w:t>
      </w:r>
      <w:r w:rsidRPr="00146D77" w:rsidR="00146D77">
        <w:rPr>
          <w:lang w:val="fr-FR"/>
        </w:rPr>
        <w:t>’</w:t>
      </w:r>
      <w:r w:rsidRPr="00146D77" w:rsidR="0034189D">
        <w:rPr>
          <w:lang w:val="fr-FR"/>
        </w:rPr>
        <w:t>invalidité, de vieillesse et de mort</w:t>
      </w:r>
    </w:p>
    <w:p w:rsidRPr="00146D77" w:rsidR="005B0397" w:rsidP="00146D77" w:rsidRDefault="005B0397">
      <w:pPr>
        <w:pStyle w:val="ECHRParaQuote"/>
        <w:rPr>
          <w:lang w:val="fr-FR"/>
        </w:rPr>
      </w:pPr>
      <w:r w:rsidRPr="00146D77">
        <w:rPr>
          <w:lang w:val="fr-FR"/>
        </w:rPr>
        <w:t xml:space="preserve">a) </w:t>
      </w:r>
      <w:r w:rsidRPr="00146D77" w:rsidR="00AD5013">
        <w:rPr>
          <w:lang w:val="fr-FR"/>
        </w:rPr>
        <w:t>couvre</w:t>
      </w:r>
      <w:r w:rsidRPr="00146D77" w:rsidR="00233A91">
        <w:rPr>
          <w:lang w:val="fr-FR"/>
        </w:rPr>
        <w:t xml:space="preserve"> </w:t>
      </w:r>
      <w:r w:rsidRPr="00146D77">
        <w:rPr>
          <w:lang w:val="fr-FR"/>
        </w:rPr>
        <w:t>tout le personnel de la banque, de la compagnie d</w:t>
      </w:r>
      <w:r w:rsidRPr="00146D77" w:rsidR="00146D77">
        <w:rPr>
          <w:lang w:val="fr-FR"/>
        </w:rPr>
        <w:t>’</w:t>
      </w:r>
      <w:r w:rsidRPr="00146D77">
        <w:rPr>
          <w:lang w:val="fr-FR"/>
        </w:rPr>
        <w:t>assurance, de la compagnie de réassurance, des chambres de commerce, de la chambre d</w:t>
      </w:r>
      <w:r w:rsidRPr="00146D77" w:rsidR="00146D77">
        <w:rPr>
          <w:lang w:val="fr-FR"/>
        </w:rPr>
        <w:t>’</w:t>
      </w:r>
      <w:r w:rsidRPr="00146D77">
        <w:rPr>
          <w:lang w:val="fr-FR"/>
        </w:rPr>
        <w:t>industrie, de la bourse ou de leurs associations auxquelles ils se rapportent;</w:t>
      </w:r>
    </w:p>
    <w:p w:rsidRPr="00146D77" w:rsidR="005B0397" w:rsidP="00146D77" w:rsidRDefault="00233A91">
      <w:pPr>
        <w:pStyle w:val="ECHRParaQuote"/>
        <w:rPr>
          <w:lang w:val="fr-FR"/>
        </w:rPr>
      </w:pPr>
      <w:r w:rsidRPr="00146D77">
        <w:rPr>
          <w:lang w:val="fr-FR"/>
        </w:rPr>
        <w:t xml:space="preserve">b) </w:t>
      </w:r>
      <w:r w:rsidRPr="00146D77" w:rsidR="00AD5013">
        <w:rPr>
          <w:lang w:val="fr-FR"/>
        </w:rPr>
        <w:t xml:space="preserve">si ces organismes </w:t>
      </w:r>
      <w:r w:rsidRPr="00146D77">
        <w:rPr>
          <w:lang w:val="fr-FR"/>
        </w:rPr>
        <w:t>veillent</w:t>
      </w:r>
      <w:r w:rsidRPr="00146D77" w:rsidR="005B0397">
        <w:rPr>
          <w:lang w:val="fr-FR"/>
        </w:rPr>
        <w:t xml:space="preserve"> à ce que</w:t>
      </w:r>
      <w:r w:rsidRPr="00146D77" w:rsidR="00D80DE1">
        <w:rPr>
          <w:lang w:val="fr-FR"/>
        </w:rPr>
        <w:t xml:space="preserve"> ce personnel bénéficie au minimum</w:t>
      </w:r>
      <w:r w:rsidRPr="00146D77" w:rsidR="005B0397">
        <w:rPr>
          <w:lang w:val="fr-FR"/>
        </w:rPr>
        <w:t xml:space="preserve"> </w:t>
      </w:r>
      <w:r w:rsidRPr="00146D77" w:rsidR="00994C54">
        <w:rPr>
          <w:lang w:val="fr-FR"/>
        </w:rPr>
        <w:t>d</w:t>
      </w:r>
      <w:r w:rsidRPr="00146D77" w:rsidR="005B0397">
        <w:rPr>
          <w:lang w:val="fr-FR"/>
        </w:rPr>
        <w:t>es aides mentionnées dans la présente loi en cas d</w:t>
      </w:r>
      <w:r w:rsidRPr="00146D77" w:rsidR="00146D77">
        <w:rPr>
          <w:lang w:val="fr-FR"/>
        </w:rPr>
        <w:t>’</w:t>
      </w:r>
      <w:r w:rsidRPr="00146D77" w:rsidR="005B0397">
        <w:rPr>
          <w:lang w:val="fr-FR"/>
        </w:rPr>
        <w:t>accident du travail, de maladie professionnelle, de maladie, de maternité, d</w:t>
      </w:r>
      <w:r w:rsidRPr="00146D77" w:rsidR="00146D77">
        <w:rPr>
          <w:lang w:val="fr-FR"/>
        </w:rPr>
        <w:t>’</w:t>
      </w:r>
      <w:r w:rsidRPr="00146D77" w:rsidR="005B0397">
        <w:rPr>
          <w:lang w:val="fr-FR"/>
        </w:rPr>
        <w:t>invalidité, de vieillesse et de décès, de maternité des conjoints, de maladie des conjoints et des enfants ;</w:t>
      </w:r>
    </w:p>
    <w:p w:rsidRPr="00146D77" w:rsidR="00233A91" w:rsidP="00146D77" w:rsidRDefault="005B0397">
      <w:pPr>
        <w:pStyle w:val="ECHRParaQuote"/>
        <w:rPr>
          <w:lang w:val="fr-FR"/>
        </w:rPr>
      </w:pPr>
      <w:r w:rsidRPr="00146D77">
        <w:rPr>
          <w:lang w:val="fr-FR"/>
        </w:rPr>
        <w:t xml:space="preserve">c) </w:t>
      </w:r>
      <w:r w:rsidRPr="00146D77" w:rsidR="00AD5013">
        <w:rPr>
          <w:lang w:val="fr-FR"/>
        </w:rPr>
        <w:t>si ces organismes garantissent</w:t>
      </w:r>
      <w:r w:rsidRPr="00146D77">
        <w:rPr>
          <w:lang w:val="fr-FR"/>
        </w:rPr>
        <w:t xml:space="preserve"> le transfert </w:t>
      </w:r>
      <w:r w:rsidRPr="00146D77" w:rsidR="0005578A">
        <w:rPr>
          <w:lang w:val="fr-FR"/>
        </w:rPr>
        <w:t>d</w:t>
      </w:r>
      <w:r w:rsidRPr="00146D77">
        <w:rPr>
          <w:lang w:val="fr-FR"/>
        </w:rPr>
        <w:t>es droits acquis du personnel affilié</w:t>
      </w:r>
      <w:r w:rsidRPr="00146D77" w:rsidR="00622EB9">
        <w:rPr>
          <w:lang w:val="fr-FR"/>
        </w:rPr>
        <w:t>, en cas de départ du personnel d</w:t>
      </w:r>
      <w:r w:rsidRPr="00146D77" w:rsidR="00146D77">
        <w:rPr>
          <w:lang w:val="fr-FR"/>
        </w:rPr>
        <w:t>’</w:t>
      </w:r>
      <w:r w:rsidRPr="00146D77" w:rsidR="00622EB9">
        <w:rPr>
          <w:lang w:val="fr-FR"/>
        </w:rPr>
        <w:t>une caisse</w:t>
      </w:r>
      <w:r w:rsidRPr="00146D77">
        <w:rPr>
          <w:lang w:val="fr-FR"/>
        </w:rPr>
        <w:t xml:space="preserve"> de l</w:t>
      </w:r>
      <w:r w:rsidRPr="00146D77" w:rsidR="00146D77">
        <w:rPr>
          <w:lang w:val="fr-FR"/>
        </w:rPr>
        <w:t>’</w:t>
      </w:r>
      <w:r w:rsidRPr="00146D77">
        <w:rPr>
          <w:lang w:val="fr-FR"/>
        </w:rPr>
        <w:t>une des banques, compagnies d</w:t>
      </w:r>
      <w:r w:rsidRPr="00146D77" w:rsidR="00146D77">
        <w:rPr>
          <w:lang w:val="fr-FR"/>
        </w:rPr>
        <w:t>’</w:t>
      </w:r>
      <w:r w:rsidRPr="00146D77">
        <w:rPr>
          <w:lang w:val="fr-FR"/>
        </w:rPr>
        <w:t>assurances, compagnies de réassurance, chambres de commerce, chambres d</w:t>
      </w:r>
      <w:r w:rsidRPr="00146D77" w:rsidR="00146D77">
        <w:rPr>
          <w:lang w:val="fr-FR"/>
        </w:rPr>
        <w:t>’</w:t>
      </w:r>
      <w:r w:rsidRPr="00146D77">
        <w:rPr>
          <w:lang w:val="fr-FR"/>
        </w:rPr>
        <w:t xml:space="preserve">industrie, bourses ou </w:t>
      </w:r>
      <w:r w:rsidRPr="00146D77" w:rsidR="00233A91">
        <w:rPr>
          <w:lang w:val="fr-FR"/>
        </w:rPr>
        <w:t>de leurs associations auxquelles ils se rapportent</w:t>
      </w:r>
      <w:r w:rsidRPr="00146D77" w:rsidR="00622EB9">
        <w:rPr>
          <w:lang w:val="fr-FR"/>
        </w:rPr>
        <w:t xml:space="preserve"> vers une autre caisse de ces entités</w:t>
      </w:r>
      <w:r w:rsidRPr="00146D77" w:rsidR="00233A91">
        <w:rPr>
          <w:lang w:val="fr-FR"/>
        </w:rPr>
        <w:t xml:space="preserve"> ou </w:t>
      </w:r>
      <w:r w:rsidRPr="00146D77" w:rsidR="00622EB9">
        <w:rPr>
          <w:lang w:val="fr-FR"/>
        </w:rPr>
        <w:t xml:space="preserve">vers un autre </w:t>
      </w:r>
      <w:r w:rsidRPr="00146D77" w:rsidR="00233A91">
        <w:rPr>
          <w:lang w:val="fr-FR"/>
        </w:rPr>
        <w:t xml:space="preserve">organisme </w:t>
      </w:r>
      <w:r w:rsidRPr="00146D77" w:rsidR="0005578A">
        <w:rPr>
          <w:lang w:val="fr-FR"/>
        </w:rPr>
        <w:t xml:space="preserve">que </w:t>
      </w:r>
      <w:r w:rsidRPr="00146D77" w:rsidR="00233A91">
        <w:rPr>
          <w:lang w:val="fr-FR"/>
        </w:rPr>
        <w:t>le personnel aura créé ;</w:t>
      </w:r>
    </w:p>
    <w:p w:rsidRPr="00146D77" w:rsidR="0005578A" w:rsidP="00146D77" w:rsidRDefault="006E1DF3">
      <w:pPr>
        <w:pStyle w:val="ECHRParaQuote"/>
        <w:rPr>
          <w:lang w:val="fr-FR"/>
        </w:rPr>
      </w:pPr>
      <w:r w:rsidRPr="00146D77">
        <w:rPr>
          <w:lang w:val="fr-FR"/>
        </w:rPr>
        <w:t>si ces organismes déposent auprès</w:t>
      </w:r>
      <w:r w:rsidRPr="00146D77" w:rsidR="009E780C">
        <w:rPr>
          <w:lang w:val="fr-FR"/>
        </w:rPr>
        <w:t xml:space="preserve"> </w:t>
      </w:r>
      <w:r w:rsidRPr="00146D77">
        <w:rPr>
          <w:lang w:val="fr-FR"/>
        </w:rPr>
        <w:t>du ministère de T</w:t>
      </w:r>
      <w:r w:rsidRPr="00146D77" w:rsidR="009E780C">
        <w:rPr>
          <w:lang w:val="fr-FR"/>
        </w:rPr>
        <w:t>ravail, dans les six mois au plus tard à compter de la date de publication de la présente loi, leurs statuts prouvant qu</w:t>
      </w:r>
      <w:r w:rsidRPr="00146D77" w:rsidR="00146D77">
        <w:rPr>
          <w:lang w:val="fr-FR"/>
        </w:rPr>
        <w:t>’</w:t>
      </w:r>
      <w:r w:rsidRPr="00146D77" w:rsidR="009E780C">
        <w:rPr>
          <w:lang w:val="fr-FR"/>
        </w:rPr>
        <w:t xml:space="preserve">ils se sont transformés en un </w:t>
      </w:r>
      <w:r w:rsidRPr="00146D77" w:rsidR="0005578A">
        <w:rPr>
          <w:lang w:val="fr-FR"/>
        </w:rPr>
        <w:t xml:space="preserve">tel </w:t>
      </w:r>
      <w:r w:rsidRPr="00146D77" w:rsidR="009E780C">
        <w:rPr>
          <w:lang w:val="fr-FR"/>
        </w:rPr>
        <w:t>établissement</w:t>
      </w:r>
      <w:r w:rsidRPr="00146D77" w:rsidR="0005578A">
        <w:rPr>
          <w:lang w:val="fr-FR"/>
        </w:rPr>
        <w:t>.</w:t>
      </w:r>
    </w:p>
    <w:p w:rsidRPr="00146D77" w:rsidR="00291309" w:rsidP="00146D77" w:rsidRDefault="0005578A">
      <w:pPr>
        <w:pStyle w:val="ECHRParaQuote"/>
        <w:rPr>
          <w:lang w:val="fr-FR"/>
        </w:rPr>
      </w:pPr>
      <w:r w:rsidRPr="00146D77">
        <w:rPr>
          <w:lang w:val="fr-FR"/>
        </w:rPr>
        <w:t>Les statuts et les changements de statut de ces caisses sont soumis à l</w:t>
      </w:r>
      <w:r w:rsidRPr="00146D77" w:rsidR="00146D77">
        <w:rPr>
          <w:lang w:val="fr-FR"/>
        </w:rPr>
        <w:t>’</w:t>
      </w:r>
      <w:r w:rsidRPr="00146D77">
        <w:rPr>
          <w:lang w:val="fr-FR"/>
        </w:rPr>
        <w:t>approbation du ministère du Travail. Leur situation financière est également contrôlée et supervisée conjo</w:t>
      </w:r>
      <w:r w:rsidRPr="00146D77" w:rsidR="006E1DF3">
        <w:rPr>
          <w:lang w:val="fr-FR"/>
        </w:rPr>
        <w:t>intement par les ministères du Travail, des F</w:t>
      </w:r>
      <w:r w:rsidRPr="00146D77">
        <w:rPr>
          <w:lang w:val="fr-FR"/>
        </w:rPr>
        <w:t>inances et du commerce.</w:t>
      </w:r>
      <w:r w:rsidRPr="00146D77" w:rsidR="00291309">
        <w:rPr>
          <w:lang w:val="fr-FR"/>
        </w:rPr>
        <w:t xml:space="preserve"> À la fin du contrôle et de l</w:t>
      </w:r>
      <w:r w:rsidRPr="00146D77" w:rsidR="00146D77">
        <w:rPr>
          <w:lang w:val="fr-FR"/>
        </w:rPr>
        <w:t>’</w:t>
      </w:r>
      <w:r w:rsidRPr="00146D77" w:rsidR="00291309">
        <w:rPr>
          <w:lang w:val="fr-FR"/>
        </w:rPr>
        <w:t>audit de leur situation financière, l</w:t>
      </w:r>
      <w:r w:rsidRPr="00146D77">
        <w:rPr>
          <w:lang w:val="fr-FR"/>
        </w:rPr>
        <w:t xml:space="preserve">es caisses et les entités affiliées sont tenues </w:t>
      </w:r>
      <w:r w:rsidRPr="00146D77" w:rsidR="00291309">
        <w:rPr>
          <w:lang w:val="fr-FR"/>
        </w:rPr>
        <w:t>de prendre des mesures recommandées conjointement par les ministères susmentionnés. »</w:t>
      </w:r>
    </w:p>
    <w:p w:rsidRPr="00146D77" w:rsidR="00C539FB" w:rsidP="00146D77" w:rsidRDefault="00C539FB">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24</w:t>
      </w:r>
      <w:r w:rsidRPr="00146D77">
        <w:rPr>
          <w:lang w:val="fr-FR"/>
        </w:rPr>
        <w:fldChar w:fldCharType="end"/>
      </w:r>
      <w:r w:rsidRPr="00146D77" w:rsidR="00A35AB1">
        <w:rPr>
          <w:lang w:val="fr-FR"/>
        </w:rPr>
        <w:t>.  L</w:t>
      </w:r>
      <w:r w:rsidRPr="00146D77" w:rsidR="00146D77">
        <w:rPr>
          <w:lang w:val="fr-FR"/>
        </w:rPr>
        <w:t>’</w:t>
      </w:r>
      <w:r w:rsidRPr="00146D77" w:rsidR="00A35AB1">
        <w:rPr>
          <w:lang w:val="fr-FR"/>
        </w:rPr>
        <w:t>article additionnel 36</w:t>
      </w:r>
      <w:r w:rsidRPr="00146D77">
        <w:rPr>
          <w:lang w:val="fr-FR"/>
        </w:rPr>
        <w:t xml:space="preserve"> de la loi règlement</w:t>
      </w:r>
      <w:r w:rsidRPr="00146D77" w:rsidR="00AD5F9A">
        <w:rPr>
          <w:lang w:val="fr-FR"/>
        </w:rPr>
        <w:t xml:space="preserve">e </w:t>
      </w:r>
      <w:r w:rsidRPr="00146D77">
        <w:rPr>
          <w:lang w:val="fr-FR"/>
        </w:rPr>
        <w:t xml:space="preserve">le transfert </w:t>
      </w:r>
      <w:r w:rsidRPr="00146D77" w:rsidR="00B871ED">
        <w:rPr>
          <w:lang w:val="fr-FR"/>
        </w:rPr>
        <w:t>avec l</w:t>
      </w:r>
      <w:r w:rsidRPr="00146D77" w:rsidR="00146D77">
        <w:rPr>
          <w:lang w:val="fr-FR"/>
        </w:rPr>
        <w:t>’</w:t>
      </w:r>
      <w:r w:rsidRPr="00146D77" w:rsidR="00B871ED">
        <w:rPr>
          <w:lang w:val="fr-FR"/>
        </w:rPr>
        <w:t>ensemble de l</w:t>
      </w:r>
      <w:r w:rsidRPr="00146D77" w:rsidR="00146D77">
        <w:rPr>
          <w:lang w:val="fr-FR"/>
        </w:rPr>
        <w:t>’</w:t>
      </w:r>
      <w:r w:rsidRPr="00146D77" w:rsidR="00B871ED">
        <w:rPr>
          <w:lang w:val="fr-FR"/>
        </w:rPr>
        <w:t xml:space="preserve">actif et du passif </w:t>
      </w:r>
      <w:r w:rsidRPr="00146D77">
        <w:rPr>
          <w:lang w:val="fr-FR"/>
        </w:rPr>
        <w:t>des caisses</w:t>
      </w:r>
      <w:r w:rsidRPr="00146D77" w:rsidR="001B0ACE">
        <w:rPr>
          <w:lang w:val="fr-FR"/>
        </w:rPr>
        <w:t xml:space="preserve"> à l</w:t>
      </w:r>
      <w:r w:rsidRPr="00146D77" w:rsidR="00146D77">
        <w:rPr>
          <w:lang w:val="fr-FR"/>
        </w:rPr>
        <w:t>’</w:t>
      </w:r>
      <w:r w:rsidRPr="00146D77" w:rsidR="001B0ACE">
        <w:rPr>
          <w:rFonts w:cstheme="minorHAnsi"/>
          <w:lang w:val="fr-FR"/>
        </w:rPr>
        <w:t>É</w:t>
      </w:r>
      <w:r w:rsidRPr="00146D77" w:rsidR="001B0ACE">
        <w:rPr>
          <w:lang w:val="fr-FR"/>
        </w:rPr>
        <w:t>tablissement pour la sécurité sociale</w:t>
      </w:r>
      <w:r w:rsidRPr="00146D77" w:rsidR="00B871ED">
        <w:rPr>
          <w:lang w:val="fr-FR"/>
        </w:rPr>
        <w:t>.</w:t>
      </w:r>
    </w:p>
    <w:p w:rsidRPr="00146D77" w:rsidR="00D80DE1" w:rsidP="00146D77" w:rsidRDefault="00D80DE1">
      <w:pPr>
        <w:pStyle w:val="ECHRPara"/>
        <w:rPr>
          <w:lang w:val="fr-FR"/>
        </w:rPr>
      </w:pPr>
      <w:r w:rsidRPr="00146D77">
        <w:rPr>
          <w:lang w:val="fr-FR"/>
        </w:rPr>
        <w:t>Selon le premier alinéa de cet article, le Conseil des ministres est compétent pour décider du transfert d</w:t>
      </w:r>
      <w:r w:rsidRPr="00146D77" w:rsidR="00146D77">
        <w:rPr>
          <w:lang w:val="fr-FR"/>
        </w:rPr>
        <w:t>’</w:t>
      </w:r>
      <w:r w:rsidRPr="00146D77">
        <w:rPr>
          <w:lang w:val="fr-FR"/>
        </w:rPr>
        <w:t>une caisse vers l</w:t>
      </w:r>
      <w:r w:rsidRPr="00146D77" w:rsidR="00146D77">
        <w:rPr>
          <w:lang w:val="fr-FR"/>
        </w:rPr>
        <w:t>’</w:t>
      </w:r>
      <w:r w:rsidRPr="00146D77">
        <w:rPr>
          <w:lang w:val="fr-FR"/>
        </w:rPr>
        <w:t>Établissement pour la sécurité sociale, avec l</w:t>
      </w:r>
      <w:r w:rsidRPr="00146D77" w:rsidR="00146D77">
        <w:rPr>
          <w:lang w:val="fr-FR"/>
        </w:rPr>
        <w:t>’</w:t>
      </w:r>
      <w:r w:rsidRPr="00146D77">
        <w:rPr>
          <w:lang w:val="fr-FR"/>
        </w:rPr>
        <w:t>ensemble de son actif et de son passif dans le cas où, de sa situation financière, elle ne peut plus verser les prestations de sécurité sociale à ces pensionnés.</w:t>
      </w:r>
      <w:r w:rsidRPr="00146D77" w:rsidR="00302A34">
        <w:rPr>
          <w:lang w:val="fr-FR"/>
        </w:rPr>
        <w:t xml:space="preserve"> L</w:t>
      </w:r>
      <w:r w:rsidRPr="00146D77" w:rsidR="00146D77">
        <w:rPr>
          <w:lang w:val="fr-FR"/>
        </w:rPr>
        <w:t>’</w:t>
      </w:r>
      <w:r w:rsidRPr="00146D77" w:rsidR="00302A34">
        <w:rPr>
          <w:lang w:val="fr-FR"/>
        </w:rPr>
        <w:t>alinéa 3 de cet article se lit comme suit :</w:t>
      </w:r>
    </w:p>
    <w:p w:rsidRPr="00146D77" w:rsidR="00C741DF" w:rsidP="00146D77" w:rsidRDefault="00302A34">
      <w:pPr>
        <w:pStyle w:val="ECHRParaQuote"/>
        <w:rPr>
          <w:lang w:val="fr-FR"/>
        </w:rPr>
      </w:pPr>
      <w:r w:rsidRPr="00146D77">
        <w:rPr>
          <w:lang w:val="fr-FR"/>
        </w:rPr>
        <w:t>« À</w:t>
      </w:r>
      <w:r w:rsidRPr="00146D77" w:rsidR="00E315A2">
        <w:rPr>
          <w:lang w:val="fr-FR"/>
        </w:rPr>
        <w:t xml:space="preserve"> condition que les cotisations et primes correspondant aux années de service du personnel aient été payées ou aillent être payées, </w:t>
      </w:r>
      <w:r w:rsidRPr="00146D77">
        <w:rPr>
          <w:lang w:val="fr-FR"/>
        </w:rPr>
        <w:t xml:space="preserve">et </w:t>
      </w:r>
      <w:r w:rsidRPr="00146D77" w:rsidR="00994C54">
        <w:rPr>
          <w:lang w:val="fr-FR"/>
        </w:rPr>
        <w:t>conformément à la loi n</w:t>
      </w:r>
      <w:r w:rsidRPr="00146D77" w:rsidR="00994C54">
        <w:rPr>
          <w:vertAlign w:val="superscript"/>
          <w:lang w:val="fr-FR"/>
        </w:rPr>
        <w:t>o</w:t>
      </w:r>
      <w:r w:rsidRPr="00146D77" w:rsidR="00994C54">
        <w:rPr>
          <w:lang w:val="fr-FR"/>
        </w:rPr>
        <w:t xml:space="preserve"> 506 du 17 </w:t>
      </w:r>
      <w:r w:rsidRPr="00146D77" w:rsidR="00E315A2">
        <w:rPr>
          <w:lang w:val="fr-FR"/>
        </w:rPr>
        <w:t>juillet 1964</w:t>
      </w:r>
      <w:r w:rsidRPr="00146D77" w:rsidR="00235FC0">
        <w:rPr>
          <w:lang w:val="fr-FR"/>
        </w:rPr>
        <w:t xml:space="preserve"> </w:t>
      </w:r>
      <w:r w:rsidRPr="00146D77" w:rsidR="00E315A2">
        <w:rPr>
          <w:lang w:val="fr-FR"/>
        </w:rPr>
        <w:t>relative à la sécurité sociale</w:t>
      </w:r>
      <w:r w:rsidRPr="00146D77">
        <w:rPr>
          <w:lang w:val="fr-FR"/>
        </w:rPr>
        <w:t>, l</w:t>
      </w:r>
      <w:r w:rsidRPr="00146D77" w:rsidR="00E315A2">
        <w:rPr>
          <w:lang w:val="fr-FR"/>
        </w:rPr>
        <w:t>a procédure concernant le transfert</w:t>
      </w:r>
      <w:r w:rsidRPr="00146D77">
        <w:rPr>
          <w:lang w:val="fr-FR"/>
        </w:rPr>
        <w:t>, y compris l</w:t>
      </w:r>
      <w:r w:rsidRPr="00146D77" w:rsidR="00146D77">
        <w:rPr>
          <w:lang w:val="fr-FR"/>
        </w:rPr>
        <w:t>’</w:t>
      </w:r>
      <w:r w:rsidRPr="00146D77">
        <w:rPr>
          <w:lang w:val="fr-FR"/>
        </w:rPr>
        <w:t xml:space="preserve">adaptation [de la pension de retraite des adhérents] en </w:t>
      </w:r>
      <w:r w:rsidRPr="00146D77" w:rsidR="00EE6916">
        <w:rPr>
          <w:lang w:val="fr-FR"/>
        </w:rPr>
        <w:t xml:space="preserve">harmonie </w:t>
      </w:r>
      <w:r w:rsidRPr="00146D77">
        <w:rPr>
          <w:lang w:val="fr-FR"/>
        </w:rPr>
        <w:t xml:space="preserve">avec </w:t>
      </w:r>
      <w:r w:rsidRPr="00146D77" w:rsidR="00EE6916">
        <w:rPr>
          <w:lang w:val="fr-FR"/>
        </w:rPr>
        <w:t>les cas similaires</w:t>
      </w:r>
      <w:r w:rsidRPr="00146D77">
        <w:rPr>
          <w:lang w:val="fr-FR"/>
        </w:rPr>
        <w:t>,</w:t>
      </w:r>
      <w:r w:rsidRPr="00146D77" w:rsidR="00E315A2">
        <w:rPr>
          <w:lang w:val="fr-FR"/>
        </w:rPr>
        <w:t xml:space="preserve"> est déterminée </w:t>
      </w:r>
      <w:r w:rsidRPr="00146D77">
        <w:rPr>
          <w:lang w:val="fr-FR"/>
        </w:rPr>
        <w:t xml:space="preserve">conjointement </w:t>
      </w:r>
      <w:r w:rsidRPr="00146D77" w:rsidR="00E315A2">
        <w:rPr>
          <w:lang w:val="fr-FR"/>
        </w:rPr>
        <w:t>par le ministère des Finances, le ministère de l</w:t>
      </w:r>
      <w:r w:rsidRPr="00146D77" w:rsidR="00146D77">
        <w:rPr>
          <w:lang w:val="fr-FR"/>
        </w:rPr>
        <w:t>’</w:t>
      </w:r>
      <w:r w:rsidRPr="00146D77" w:rsidR="00E315A2">
        <w:rPr>
          <w:lang w:val="fr-FR"/>
        </w:rPr>
        <w:t>Industrie et du commerce, le sous-secrétariat du Trésor et du commerce extérieur, ministère du Travail et de la Sécurité sociale</w:t>
      </w:r>
      <w:r w:rsidRPr="00146D77">
        <w:rPr>
          <w:lang w:val="fr-FR"/>
        </w:rPr>
        <w:t>. »</w:t>
      </w:r>
    </w:p>
    <w:p w:rsidRPr="00146D77" w:rsidR="00DF3C07" w:rsidP="00146D77" w:rsidRDefault="0083156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25</w:t>
      </w:r>
      <w:r w:rsidRPr="00146D77">
        <w:rPr>
          <w:lang w:val="fr-FR"/>
        </w:rPr>
        <w:fldChar w:fldCharType="end"/>
      </w:r>
      <w:r w:rsidRPr="00146D77">
        <w:rPr>
          <w:lang w:val="fr-FR"/>
        </w:rPr>
        <w:t>.  Les articles provisoires 34 et 35 de la loi n</w:t>
      </w:r>
      <w:r w:rsidRPr="00146D77">
        <w:rPr>
          <w:vertAlign w:val="superscript"/>
          <w:lang w:val="fr-FR"/>
        </w:rPr>
        <w:t>o</w:t>
      </w:r>
      <w:r w:rsidRPr="00146D77">
        <w:rPr>
          <w:lang w:val="fr-FR"/>
        </w:rPr>
        <w:t xml:space="preserve"> 506 réglementent </w:t>
      </w:r>
      <w:r w:rsidRPr="00146D77">
        <w:rPr>
          <w:color w:val="000000"/>
          <w:lang w:val="fr-FR"/>
        </w:rPr>
        <w:t>l</w:t>
      </w:r>
      <w:r w:rsidRPr="00146D77" w:rsidR="00146D77">
        <w:rPr>
          <w:color w:val="000000"/>
          <w:lang w:val="fr-FR"/>
        </w:rPr>
        <w:t>’</w:t>
      </w:r>
      <w:r w:rsidRPr="00146D77">
        <w:rPr>
          <w:color w:val="000000"/>
          <w:lang w:val="fr-FR"/>
        </w:rPr>
        <w:t xml:space="preserve">augmentation </w:t>
      </w:r>
      <w:r w:rsidRPr="00146D77">
        <w:rPr>
          <w:lang w:val="fr-FR"/>
        </w:rPr>
        <w:t xml:space="preserve">des pensions de retraite, ainsi que leur adaptation par rapport au </w:t>
      </w:r>
      <w:r w:rsidRPr="00146D77">
        <w:rPr>
          <w:color w:val="000000"/>
          <w:lang w:val="fr-FR"/>
        </w:rPr>
        <w:t>plafond</w:t>
      </w:r>
      <w:r w:rsidRPr="00146D77">
        <w:rPr>
          <w:lang w:val="fr-FR"/>
        </w:rPr>
        <w:t>.</w:t>
      </w:r>
    </w:p>
    <w:p w:rsidRPr="00146D77" w:rsidR="001851CC" w:rsidP="00146D77" w:rsidRDefault="001851CC">
      <w:pPr>
        <w:pStyle w:val="ECHRPara"/>
        <w:rPr>
          <w:lang w:val="fr-FR"/>
        </w:rPr>
      </w:pPr>
      <w:r w:rsidRPr="00146D77">
        <w:rPr>
          <w:lang w:val="fr-FR"/>
        </w:rPr>
        <w:t>Selon l</w:t>
      </w:r>
      <w:r w:rsidRPr="00146D77" w:rsidR="00146D77">
        <w:rPr>
          <w:lang w:val="fr-FR"/>
        </w:rPr>
        <w:t>’</w:t>
      </w:r>
      <w:r w:rsidRPr="00146D77">
        <w:rPr>
          <w:lang w:val="fr-FR"/>
        </w:rPr>
        <w:t>article provisoire</w:t>
      </w:r>
      <w:r w:rsidRPr="00146D77" w:rsidR="003E31EB">
        <w:rPr>
          <w:lang w:val="fr-FR"/>
        </w:rPr>
        <w:t xml:space="preserve"> 34</w:t>
      </w:r>
      <w:r w:rsidRPr="00146D77">
        <w:rPr>
          <w:lang w:val="fr-FR"/>
        </w:rPr>
        <w:t>, en cas d</w:t>
      </w:r>
      <w:r w:rsidRPr="00146D77" w:rsidR="00146D77">
        <w:rPr>
          <w:lang w:val="fr-FR"/>
        </w:rPr>
        <w:t>’</w:t>
      </w:r>
      <w:r w:rsidRPr="00146D77">
        <w:rPr>
          <w:lang w:val="fr-FR"/>
        </w:rPr>
        <w:t>accident et de maladies, le montant d</w:t>
      </w:r>
      <w:r w:rsidRPr="00146D77" w:rsidR="00146D77">
        <w:rPr>
          <w:lang w:val="fr-FR"/>
        </w:rPr>
        <w:t>’</w:t>
      </w:r>
      <w:r w:rsidRPr="00146D77">
        <w:rPr>
          <w:lang w:val="fr-FR"/>
        </w:rPr>
        <w:t xml:space="preserve">allocations ne peut pas être inférieur à celui déterminé sur la base du salaire </w:t>
      </w:r>
      <w:r w:rsidRPr="00146D77" w:rsidR="00DF3C07">
        <w:rPr>
          <w:lang w:val="fr-FR"/>
        </w:rPr>
        <w:t>minimal</w:t>
      </w:r>
      <w:r w:rsidRPr="00146D77">
        <w:rPr>
          <w:lang w:val="fr-FR"/>
        </w:rPr>
        <w:t>, conformément au code du travail.</w:t>
      </w:r>
    </w:p>
    <w:p w:rsidRPr="00146D77" w:rsidR="00235FC0" w:rsidP="00146D77" w:rsidRDefault="001851CC">
      <w:pPr>
        <w:pStyle w:val="ECHRPara"/>
        <w:rPr>
          <w:lang w:val="fr-FR"/>
        </w:rPr>
      </w:pPr>
      <w:r w:rsidRPr="00146D77">
        <w:rPr>
          <w:lang w:val="fr-FR"/>
        </w:rPr>
        <w:t>L</w:t>
      </w:r>
      <w:r w:rsidRPr="00146D77" w:rsidR="00146D77">
        <w:rPr>
          <w:lang w:val="fr-FR"/>
        </w:rPr>
        <w:t>’</w:t>
      </w:r>
      <w:r w:rsidRPr="00146D77">
        <w:rPr>
          <w:lang w:val="fr-FR"/>
        </w:rPr>
        <w:t>article</w:t>
      </w:r>
      <w:r w:rsidRPr="00146D77" w:rsidR="003E31EB">
        <w:rPr>
          <w:lang w:val="fr-FR"/>
        </w:rPr>
        <w:t xml:space="preserve"> provisoire</w:t>
      </w:r>
      <w:r w:rsidRPr="00146D77">
        <w:rPr>
          <w:lang w:val="fr-FR"/>
        </w:rPr>
        <w:t xml:space="preserve"> 35 prévoit, entre autre, un plafond pour les pensions de retraite.</w:t>
      </w:r>
    </w:p>
    <w:p w:rsidRPr="00146D77" w:rsidR="0083156D" w:rsidP="00146D77" w:rsidRDefault="0083156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26</w:t>
      </w:r>
      <w:r w:rsidRPr="00146D77">
        <w:rPr>
          <w:lang w:val="fr-FR"/>
        </w:rPr>
        <w:fldChar w:fldCharType="end"/>
      </w:r>
      <w:r w:rsidRPr="00146D77">
        <w:rPr>
          <w:lang w:val="fr-FR"/>
        </w:rPr>
        <w:t>.  Selon l</w:t>
      </w:r>
      <w:r w:rsidRPr="00146D77" w:rsidR="00146D77">
        <w:rPr>
          <w:lang w:val="fr-FR"/>
        </w:rPr>
        <w:t>’</w:t>
      </w:r>
      <w:r w:rsidRPr="00146D77">
        <w:rPr>
          <w:lang w:val="fr-FR"/>
        </w:rPr>
        <w:t>article provisoire 36 de la même loi</w:t>
      </w:r>
      <w:r w:rsidRPr="00146D77">
        <w:rPr>
          <w:color w:val="000000"/>
          <w:szCs w:val="24"/>
          <w:lang w:val="fr-FR"/>
        </w:rPr>
        <w:t>,</w:t>
      </w:r>
      <w:r w:rsidRPr="00146D77">
        <w:rPr>
          <w:lang w:val="fr-FR"/>
        </w:rPr>
        <w:t xml:space="preserve"> les articles provisoires 34 et 35 s</w:t>
      </w:r>
      <w:r w:rsidRPr="00146D77" w:rsidR="00146D77">
        <w:rPr>
          <w:lang w:val="fr-FR"/>
        </w:rPr>
        <w:t>’</w:t>
      </w:r>
      <w:r w:rsidRPr="00146D77">
        <w:rPr>
          <w:lang w:val="fr-FR"/>
        </w:rPr>
        <w:t xml:space="preserve">appliquent en cas </w:t>
      </w:r>
      <w:r w:rsidRPr="00146D77">
        <w:rPr>
          <w:color w:val="000000"/>
          <w:lang w:val="fr-FR"/>
        </w:rPr>
        <w:t xml:space="preserve">de </w:t>
      </w:r>
      <w:r w:rsidRPr="00146D77">
        <w:rPr>
          <w:lang w:val="fr-FR"/>
        </w:rPr>
        <w:t>transfert des fonds de certaines caisses de retraite à l</w:t>
      </w:r>
      <w:r w:rsidRPr="00146D77" w:rsidR="00146D77">
        <w:rPr>
          <w:lang w:val="fr-FR"/>
        </w:rPr>
        <w:t>’</w:t>
      </w:r>
      <w:r w:rsidRPr="00146D77">
        <w:rPr>
          <w:color w:val="000000"/>
          <w:lang w:val="fr-FR"/>
        </w:rPr>
        <w:t>É</w:t>
      </w:r>
      <w:r w:rsidRPr="00146D77">
        <w:rPr>
          <w:lang w:val="fr-FR"/>
        </w:rPr>
        <w:t>tablissement pour la sécurité sociale.</w:t>
      </w:r>
    </w:p>
    <w:p w:rsidRPr="00146D77" w:rsidR="0083156D" w:rsidP="00146D77" w:rsidRDefault="0083156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27</w:t>
      </w:r>
      <w:r w:rsidRPr="00146D77">
        <w:rPr>
          <w:lang w:val="fr-FR"/>
        </w:rPr>
        <w:fldChar w:fldCharType="end"/>
      </w:r>
      <w:r w:rsidRPr="00146D77">
        <w:rPr>
          <w:lang w:val="fr-FR"/>
        </w:rPr>
        <w:t>.  </w:t>
      </w:r>
      <w:r w:rsidRPr="00146D77" w:rsidR="00D90B97">
        <w:rPr>
          <w:lang w:val="fr-FR"/>
        </w:rPr>
        <w:t>L</w:t>
      </w:r>
      <w:r w:rsidRPr="00146D77" w:rsidR="00146D77">
        <w:rPr>
          <w:lang w:val="fr-FR"/>
        </w:rPr>
        <w:t>’</w:t>
      </w:r>
      <w:r w:rsidRPr="00146D77" w:rsidR="00D90B97">
        <w:rPr>
          <w:lang w:val="fr-FR"/>
        </w:rPr>
        <w:t>article additionnel</w:t>
      </w:r>
      <w:r w:rsidRPr="00146D77" w:rsidR="001851CC">
        <w:rPr>
          <w:lang w:val="fr-FR"/>
        </w:rPr>
        <w:t xml:space="preserve"> 38</w:t>
      </w:r>
      <w:r w:rsidRPr="00146D77">
        <w:rPr>
          <w:lang w:val="fr-FR"/>
        </w:rPr>
        <w:t xml:space="preserve"> et </w:t>
      </w:r>
      <w:r w:rsidRPr="00146D77" w:rsidR="00D90B97">
        <w:rPr>
          <w:lang w:val="fr-FR"/>
        </w:rPr>
        <w:t>l</w:t>
      </w:r>
      <w:r w:rsidRPr="00146D77" w:rsidR="00146D77">
        <w:rPr>
          <w:lang w:val="fr-FR"/>
        </w:rPr>
        <w:t>’</w:t>
      </w:r>
      <w:r w:rsidRPr="00146D77" w:rsidR="00D90B97">
        <w:rPr>
          <w:lang w:val="fr-FR"/>
        </w:rPr>
        <w:t xml:space="preserve">article </w:t>
      </w:r>
      <w:r w:rsidRPr="00146D77">
        <w:rPr>
          <w:lang w:val="fr-FR"/>
        </w:rPr>
        <w:t>61 de cette loi définissent le mode de calcul des pensions de retraite.</w:t>
      </w:r>
    </w:p>
    <w:p w:rsidRPr="00146D77" w:rsidR="00A35AB1" w:rsidP="00146D77" w:rsidRDefault="0083156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28</w:t>
      </w:r>
      <w:r w:rsidRPr="00146D77">
        <w:rPr>
          <w:lang w:val="fr-FR"/>
        </w:rPr>
        <w:fldChar w:fldCharType="end"/>
      </w:r>
      <w:r w:rsidRPr="00146D77">
        <w:rPr>
          <w:lang w:val="fr-FR"/>
        </w:rPr>
        <w:t>.  L</w:t>
      </w:r>
      <w:r w:rsidRPr="00146D77" w:rsidR="00146D77">
        <w:rPr>
          <w:lang w:val="fr-FR"/>
        </w:rPr>
        <w:t>’</w:t>
      </w:r>
      <w:r w:rsidRPr="00146D77">
        <w:rPr>
          <w:lang w:val="fr-FR"/>
        </w:rPr>
        <w:t xml:space="preserve">article 96 de la même loi réglemente le niveau </w:t>
      </w:r>
      <w:r w:rsidRPr="00146D77" w:rsidR="00DF3C07">
        <w:rPr>
          <w:lang w:val="fr-FR"/>
        </w:rPr>
        <w:t>minimal</w:t>
      </w:r>
      <w:r w:rsidRPr="00146D77">
        <w:rPr>
          <w:lang w:val="fr-FR"/>
        </w:rPr>
        <w:t xml:space="preserve"> des pensions de retraite.</w:t>
      </w:r>
    </w:p>
    <w:p w:rsidRPr="00146D77" w:rsidR="00BE0C41" w:rsidP="00146D77" w:rsidRDefault="00BE0C41">
      <w:pPr>
        <w:pStyle w:val="ECHRPara"/>
        <w:rPr>
          <w:lang w:val="fr-FR"/>
        </w:rPr>
      </w:pPr>
      <w:r w:rsidRPr="00146D77">
        <w:rPr>
          <w:lang w:val="fr-FR"/>
        </w:rPr>
        <w:t xml:space="preserve">Selon cet article, </w:t>
      </w:r>
      <w:r w:rsidRPr="00146D77" w:rsidR="00C539FB">
        <w:rPr>
          <w:lang w:val="fr-FR"/>
        </w:rPr>
        <w:t>l</w:t>
      </w:r>
      <w:r w:rsidRPr="00146D77">
        <w:rPr>
          <w:lang w:val="fr-FR"/>
        </w:rPr>
        <w:t>es pensions à allouer conformément à la présente loi ne peuvent être inférieu</w:t>
      </w:r>
      <w:r w:rsidRPr="00146D77" w:rsidR="00F73A24">
        <w:rPr>
          <w:lang w:val="fr-FR"/>
        </w:rPr>
        <w:t xml:space="preserve">res à 35% du montant mensuel du montant minimal </w:t>
      </w:r>
      <w:r w:rsidRPr="00146D77">
        <w:rPr>
          <w:lang w:val="fr-FR"/>
        </w:rPr>
        <w:t>de rémunération journalière de base déterminée conformément à l</w:t>
      </w:r>
      <w:r w:rsidRPr="00146D77" w:rsidR="00146D77">
        <w:rPr>
          <w:lang w:val="fr-FR"/>
        </w:rPr>
        <w:t>’</w:t>
      </w:r>
      <w:r w:rsidRPr="00146D77">
        <w:rPr>
          <w:lang w:val="fr-FR"/>
        </w:rPr>
        <w:t>article 78</w:t>
      </w:r>
      <w:r w:rsidRPr="00146D77" w:rsidR="00F73A24">
        <w:rPr>
          <w:lang w:val="fr-FR"/>
        </w:rPr>
        <w:t xml:space="preserve"> de cette loi.</w:t>
      </w:r>
    </w:p>
    <w:p w:rsidRPr="00146D77" w:rsidR="00A45C5B" w:rsidP="00146D77" w:rsidRDefault="00F46242">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29</w:t>
      </w:r>
      <w:r w:rsidRPr="00146D77">
        <w:rPr>
          <w:lang w:val="fr-FR"/>
        </w:rPr>
        <w:fldChar w:fldCharType="end"/>
      </w:r>
      <w:r w:rsidRPr="00146D77">
        <w:rPr>
          <w:lang w:val="fr-FR"/>
        </w:rPr>
        <w:t>.  </w:t>
      </w:r>
      <w:r w:rsidRPr="00146D77" w:rsidR="004A619F">
        <w:rPr>
          <w:lang w:val="fr-FR"/>
        </w:rPr>
        <w:t>D</w:t>
      </w:r>
      <w:r w:rsidRPr="00146D77" w:rsidR="00146D77">
        <w:rPr>
          <w:lang w:val="fr-FR"/>
        </w:rPr>
        <w:t>’</w:t>
      </w:r>
      <w:r w:rsidRPr="00146D77" w:rsidR="004A619F">
        <w:rPr>
          <w:lang w:val="fr-FR"/>
        </w:rPr>
        <w:t>après l</w:t>
      </w:r>
      <w:r w:rsidRPr="00146D77" w:rsidR="00146D77">
        <w:rPr>
          <w:lang w:val="fr-FR"/>
        </w:rPr>
        <w:t>’</w:t>
      </w:r>
      <w:r w:rsidRPr="00146D77" w:rsidR="004A619F">
        <w:rPr>
          <w:lang w:val="fr-FR"/>
        </w:rPr>
        <w:t>article 36</w:t>
      </w:r>
      <w:r w:rsidRPr="00146D77" w:rsidR="00235FC0">
        <w:rPr>
          <w:lang w:val="fr-FR"/>
        </w:rPr>
        <w:t xml:space="preserve"> </w:t>
      </w:r>
      <w:r w:rsidRPr="00146D77" w:rsidR="004A619F">
        <w:rPr>
          <w:lang w:val="fr-FR"/>
        </w:rPr>
        <w:t>du règlement modificatif de l</w:t>
      </w:r>
      <w:r w:rsidRPr="00146D77" w:rsidR="00146D77">
        <w:rPr>
          <w:lang w:val="fr-FR"/>
        </w:rPr>
        <w:t>’</w:t>
      </w:r>
      <w:r w:rsidRPr="00146D77" w:rsidR="004A619F">
        <w:rPr>
          <w:lang w:val="fr-FR"/>
        </w:rPr>
        <w:t>acte de fondation de la caisse</w:t>
      </w:r>
      <w:r w:rsidRPr="00146D77" w:rsidR="00473BF9">
        <w:rPr>
          <w:lang w:val="fr-FR"/>
        </w:rPr>
        <w:t xml:space="preserve"> la Société anonyme turque d</w:t>
      </w:r>
      <w:r w:rsidRPr="00146D77" w:rsidR="00146D77">
        <w:rPr>
          <w:lang w:val="fr-FR"/>
        </w:rPr>
        <w:t>’</w:t>
      </w:r>
      <w:r w:rsidRPr="00146D77" w:rsidR="00473BF9">
        <w:rPr>
          <w:lang w:val="fr-FR"/>
        </w:rPr>
        <w:t>assurances « Ankara »</w:t>
      </w:r>
      <w:r w:rsidRPr="00146D77" w:rsidR="004A619F">
        <w:rPr>
          <w:lang w:val="fr-FR"/>
        </w:rPr>
        <w:t>, tel qu</w:t>
      </w:r>
      <w:r w:rsidRPr="00146D77" w:rsidR="00146D77">
        <w:rPr>
          <w:lang w:val="fr-FR"/>
        </w:rPr>
        <w:t>’</w:t>
      </w:r>
      <w:r w:rsidRPr="00146D77" w:rsidR="004A619F">
        <w:rPr>
          <w:lang w:val="fr-FR"/>
        </w:rPr>
        <w:t>amendé le 26 juillet 1983, et résumé dans l</w:t>
      </w:r>
      <w:r w:rsidRPr="00146D77" w:rsidR="00146D77">
        <w:rPr>
          <w:lang w:val="fr-FR"/>
        </w:rPr>
        <w:t>’</w:t>
      </w:r>
      <w:r w:rsidRPr="00146D77" w:rsidR="00A45C5B">
        <w:rPr>
          <w:lang w:val="fr-FR"/>
        </w:rPr>
        <w:t>arrêt</w:t>
      </w:r>
      <w:r w:rsidRPr="00146D77" w:rsidR="004A619F">
        <w:rPr>
          <w:lang w:val="fr-FR"/>
        </w:rPr>
        <w:t xml:space="preserve"> de la Cour de cassation et non contesté par les requérants, </w:t>
      </w:r>
      <w:r w:rsidRPr="00146D77" w:rsidR="00A45C5B">
        <w:rPr>
          <w:lang w:val="fr-FR"/>
        </w:rPr>
        <w:t>dans le cas où l</w:t>
      </w:r>
      <w:r w:rsidRPr="00146D77" w:rsidR="00146D77">
        <w:rPr>
          <w:lang w:val="fr-FR"/>
        </w:rPr>
        <w:t>’</w:t>
      </w:r>
      <w:r w:rsidRPr="00146D77" w:rsidR="00A45C5B">
        <w:rPr>
          <w:lang w:val="fr-FR"/>
        </w:rPr>
        <w:t>assemblée administrative de la société d</w:t>
      </w:r>
      <w:r w:rsidRPr="00146D77" w:rsidR="00146D77">
        <w:rPr>
          <w:lang w:val="fr-FR"/>
        </w:rPr>
        <w:t>’</w:t>
      </w:r>
      <w:r w:rsidRPr="00146D77" w:rsidR="00A45C5B">
        <w:rPr>
          <w:lang w:val="fr-FR"/>
        </w:rPr>
        <w:t>assurance prendrait une décision de dissolution et de liquidation, le restant du déficit serait partagé équitablement entre les affiliés actifs et les affiliés pensionnés, selon un rapport technique établi par un spécialiste en matière d</w:t>
      </w:r>
      <w:r w:rsidRPr="00146D77" w:rsidR="00146D77">
        <w:rPr>
          <w:lang w:val="fr-FR"/>
        </w:rPr>
        <w:t>’</w:t>
      </w:r>
      <w:r w:rsidRPr="00146D77" w:rsidR="00A45C5B">
        <w:rPr>
          <w:lang w:val="fr-FR"/>
        </w:rPr>
        <w:t>assurances, lequel prendrait en compte la situation particulière de chaque personne concernée.</w:t>
      </w:r>
    </w:p>
    <w:p w:rsidRPr="00146D77" w:rsidR="00A45C5B" w:rsidP="00146D77" w:rsidRDefault="00A45C5B">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30</w:t>
      </w:r>
      <w:r w:rsidRPr="00146D77">
        <w:rPr>
          <w:lang w:val="fr-FR"/>
        </w:rPr>
        <w:fldChar w:fldCharType="end"/>
      </w:r>
      <w:r w:rsidRPr="00146D77">
        <w:rPr>
          <w:lang w:val="fr-FR"/>
        </w:rPr>
        <w:t>.  Selon l</w:t>
      </w:r>
      <w:r w:rsidRPr="00146D77" w:rsidR="00146D77">
        <w:rPr>
          <w:lang w:val="fr-FR"/>
        </w:rPr>
        <w:t>’</w:t>
      </w:r>
      <w:r w:rsidRPr="00146D77">
        <w:rPr>
          <w:lang w:val="fr-FR"/>
        </w:rPr>
        <w:t>article 15 du règlement modificatif de l</w:t>
      </w:r>
      <w:r w:rsidRPr="00146D77" w:rsidR="00146D77">
        <w:rPr>
          <w:lang w:val="fr-FR"/>
        </w:rPr>
        <w:t>’</w:t>
      </w:r>
      <w:r w:rsidRPr="00146D77">
        <w:rPr>
          <w:lang w:val="fr-FR"/>
        </w:rPr>
        <w:t>acte de fondation de la caisse</w:t>
      </w:r>
      <w:r w:rsidRPr="00146D77" w:rsidR="00473BF9">
        <w:rPr>
          <w:lang w:val="fr-FR"/>
        </w:rPr>
        <w:t xml:space="preserve"> la Société anonyme turque d</w:t>
      </w:r>
      <w:r w:rsidRPr="00146D77" w:rsidR="00146D77">
        <w:rPr>
          <w:lang w:val="fr-FR"/>
        </w:rPr>
        <w:t>’</w:t>
      </w:r>
      <w:r w:rsidRPr="00146D77" w:rsidR="00473BF9">
        <w:rPr>
          <w:lang w:val="fr-FR"/>
        </w:rPr>
        <w:t>assurances « Ankara »</w:t>
      </w:r>
      <w:r w:rsidRPr="00146D77">
        <w:rPr>
          <w:lang w:val="fr-FR"/>
        </w:rPr>
        <w:t>, tel qu</w:t>
      </w:r>
      <w:r w:rsidRPr="00146D77" w:rsidR="00146D77">
        <w:rPr>
          <w:lang w:val="fr-FR"/>
        </w:rPr>
        <w:t>’</w:t>
      </w:r>
      <w:r w:rsidRPr="00146D77">
        <w:rPr>
          <w:lang w:val="fr-FR"/>
        </w:rPr>
        <w:t>amendé le 26 juillet 1995, et résumé dans l</w:t>
      </w:r>
      <w:r w:rsidRPr="00146D77" w:rsidR="00146D77">
        <w:rPr>
          <w:lang w:val="fr-FR"/>
        </w:rPr>
        <w:t>’</w:t>
      </w:r>
      <w:r w:rsidRPr="00146D77">
        <w:rPr>
          <w:lang w:val="fr-FR"/>
        </w:rPr>
        <w:t>arrêt de la Cour de cassation ainsi que dans les observations de la partie défenderesse en droit interne et non contesté par les requérants, prévoit des mesures au cas où le budget de la caisse présenterait un déficit. Cet article prévoit que dans un premier temps les cotisations seraient augmentées ; que si le problème de déficit budgétaire n</w:t>
      </w:r>
      <w:r w:rsidRPr="00146D77" w:rsidR="00146D77">
        <w:rPr>
          <w:lang w:val="fr-FR"/>
        </w:rPr>
        <w:t>’</w:t>
      </w:r>
      <w:r w:rsidRPr="00146D77">
        <w:rPr>
          <w:lang w:val="fr-FR"/>
        </w:rPr>
        <w:t>est pas résolu, le niveau des services assurés par la caisse aux affiliés actifs et retraités pourrait être abaissé, à condition de ne pas tomber en-deçà de celui des garanties prévues par les lois en matière de sécurité sociale pour les bénéficiaires actifs et pensionnés ; que si malgré toutes ces mesures le problème n</w:t>
      </w:r>
      <w:r w:rsidRPr="00146D77" w:rsidR="00146D77">
        <w:rPr>
          <w:lang w:val="fr-FR"/>
        </w:rPr>
        <w:t>’</w:t>
      </w:r>
      <w:r w:rsidRPr="00146D77">
        <w:rPr>
          <w:lang w:val="fr-FR"/>
        </w:rPr>
        <w:t>est toujours pas résolu, l</w:t>
      </w:r>
      <w:r w:rsidRPr="00146D77" w:rsidR="00146D77">
        <w:rPr>
          <w:lang w:val="fr-FR"/>
        </w:rPr>
        <w:t>’</w:t>
      </w:r>
      <w:r w:rsidRPr="00146D77">
        <w:rPr>
          <w:lang w:val="fr-FR"/>
        </w:rPr>
        <w:t>assemblée administrative de la société d</w:t>
      </w:r>
      <w:r w:rsidRPr="00146D77" w:rsidR="00146D77">
        <w:rPr>
          <w:lang w:val="fr-FR"/>
        </w:rPr>
        <w:t>’</w:t>
      </w:r>
      <w:r w:rsidRPr="00146D77">
        <w:rPr>
          <w:lang w:val="fr-FR"/>
        </w:rPr>
        <w:t>assurances prendrait les décisions nécessaires.</w:t>
      </w:r>
    </w:p>
    <w:p w:rsidRPr="00146D77" w:rsidR="008268D9" w:rsidP="00146D77" w:rsidRDefault="00245BB6">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31</w:t>
      </w:r>
      <w:r w:rsidRPr="00146D77">
        <w:rPr>
          <w:lang w:val="fr-FR"/>
        </w:rPr>
        <w:fldChar w:fldCharType="end"/>
      </w:r>
      <w:r w:rsidRPr="00146D77">
        <w:rPr>
          <w:lang w:val="fr-FR"/>
        </w:rPr>
        <w:t>.  </w:t>
      </w:r>
      <w:r w:rsidRPr="00146D77" w:rsidR="00327CF2">
        <w:rPr>
          <w:lang w:val="fr-FR"/>
        </w:rPr>
        <w:t>Le 31 mai 2006, la nouvelle loi n</w:t>
      </w:r>
      <w:r w:rsidRPr="00146D77" w:rsidR="00235FC0">
        <w:rPr>
          <w:vertAlign w:val="superscript"/>
          <w:lang w:val="fr-FR"/>
        </w:rPr>
        <w:t>o</w:t>
      </w:r>
      <w:r w:rsidRPr="00146D77" w:rsidR="00327CF2">
        <w:rPr>
          <w:lang w:val="fr-FR"/>
        </w:rPr>
        <w:t xml:space="preserve"> 5510 relative à la sécurité sociale, qui contient un certain nombre de dispositions concernant </w:t>
      </w:r>
      <w:r w:rsidRPr="00146D77" w:rsidR="00110048">
        <w:rPr>
          <w:lang w:val="fr-FR"/>
        </w:rPr>
        <w:t>un</w:t>
      </w:r>
      <w:r w:rsidRPr="00146D77" w:rsidR="00327CF2">
        <w:rPr>
          <w:lang w:val="fr-FR"/>
        </w:rPr>
        <w:t xml:space="preserve"> transfert</w:t>
      </w:r>
      <w:r w:rsidRPr="00146D77" w:rsidR="00110048">
        <w:rPr>
          <w:lang w:val="fr-FR"/>
        </w:rPr>
        <w:t xml:space="preserve"> </w:t>
      </w:r>
      <w:r w:rsidRPr="00146D77" w:rsidR="008268D9">
        <w:rPr>
          <w:lang w:val="fr-FR"/>
        </w:rPr>
        <w:t>général</w:t>
      </w:r>
      <w:r w:rsidRPr="00146D77" w:rsidR="006813CE">
        <w:rPr>
          <w:lang w:val="fr-FR"/>
        </w:rPr>
        <w:t xml:space="preserve"> des caisses</w:t>
      </w:r>
      <w:r w:rsidRPr="00146D77" w:rsidR="00327CF2">
        <w:rPr>
          <w:lang w:val="fr-FR"/>
        </w:rPr>
        <w:t xml:space="preserve"> d</w:t>
      </w:r>
      <w:r w:rsidRPr="00146D77" w:rsidR="00146D77">
        <w:rPr>
          <w:lang w:val="fr-FR"/>
        </w:rPr>
        <w:t>’</w:t>
      </w:r>
      <w:r w:rsidRPr="00146D77" w:rsidR="00327CF2">
        <w:rPr>
          <w:lang w:val="fr-FR"/>
        </w:rPr>
        <w:t>assurance à l</w:t>
      </w:r>
      <w:r w:rsidRPr="00146D77" w:rsidR="00146D77">
        <w:rPr>
          <w:lang w:val="fr-FR"/>
        </w:rPr>
        <w:t>’</w:t>
      </w:r>
      <w:r w:rsidRPr="00146D77" w:rsidR="00327CF2">
        <w:rPr>
          <w:rFonts w:cstheme="minorHAnsi"/>
          <w:lang w:val="fr-FR"/>
        </w:rPr>
        <w:t>É</w:t>
      </w:r>
      <w:r w:rsidRPr="00146D77" w:rsidR="00327CF2">
        <w:rPr>
          <w:lang w:val="fr-FR"/>
        </w:rPr>
        <w:t>tablissement pour la sécurité sociale</w:t>
      </w:r>
      <w:r w:rsidRPr="00146D77" w:rsidR="008268D9">
        <w:rPr>
          <w:lang w:val="fr-FR"/>
        </w:rPr>
        <w:t>, entra en vigueur.</w:t>
      </w:r>
    </w:p>
    <w:p w:rsidRPr="00146D77" w:rsidR="008268D9" w:rsidP="00146D77" w:rsidRDefault="008268D9">
      <w:pPr>
        <w:pStyle w:val="ECHRPara"/>
        <w:rPr>
          <w:lang w:val="fr-FR"/>
        </w:rPr>
      </w:pPr>
      <w:r w:rsidRPr="00146D77">
        <w:rPr>
          <w:lang w:val="fr-FR"/>
        </w:rPr>
        <w:t>Selon l</w:t>
      </w:r>
      <w:r w:rsidRPr="00146D77" w:rsidR="00146D77">
        <w:rPr>
          <w:lang w:val="fr-FR"/>
        </w:rPr>
        <w:t>’</w:t>
      </w:r>
      <w:r w:rsidRPr="00146D77">
        <w:rPr>
          <w:lang w:val="fr-FR"/>
        </w:rPr>
        <w:t>article 20 provisoire</w:t>
      </w:r>
      <w:r w:rsidRPr="00146D77" w:rsidR="00051BA1">
        <w:rPr>
          <w:lang w:val="fr-FR"/>
        </w:rPr>
        <w:t xml:space="preserve">, ajouté à </w:t>
      </w:r>
      <w:r w:rsidRPr="00146D77">
        <w:rPr>
          <w:lang w:val="fr-FR"/>
        </w:rPr>
        <w:t>la loi n</w:t>
      </w:r>
      <w:r w:rsidRPr="00146D77" w:rsidR="00235FC0">
        <w:rPr>
          <w:vertAlign w:val="superscript"/>
          <w:lang w:val="fr-FR"/>
        </w:rPr>
        <w:t>o</w:t>
      </w:r>
      <w:r w:rsidRPr="00146D77">
        <w:rPr>
          <w:lang w:val="fr-FR"/>
        </w:rPr>
        <w:t xml:space="preserve"> 5510</w:t>
      </w:r>
      <w:r w:rsidRPr="00146D77" w:rsidR="00051BA1">
        <w:rPr>
          <w:lang w:val="fr-FR"/>
        </w:rPr>
        <w:t>,</w:t>
      </w:r>
      <w:r w:rsidRPr="00146D77" w:rsidR="00235FC0">
        <w:rPr>
          <w:lang w:val="fr-FR"/>
        </w:rPr>
        <w:t xml:space="preserve"> </w:t>
      </w:r>
      <w:r w:rsidRPr="00146D77">
        <w:rPr>
          <w:lang w:val="fr-FR"/>
        </w:rPr>
        <w:t>les pensionnées des caisses œuvrant en la matière fondées par certains organismes tels que les banques, les compagnies d</w:t>
      </w:r>
      <w:r w:rsidRPr="00146D77" w:rsidR="00146D77">
        <w:rPr>
          <w:lang w:val="fr-FR"/>
        </w:rPr>
        <w:t>’</w:t>
      </w:r>
      <w:r w:rsidRPr="00146D77">
        <w:rPr>
          <w:lang w:val="fr-FR"/>
        </w:rPr>
        <w:t>assurances, les chambres de commerce et d</w:t>
      </w:r>
      <w:r w:rsidRPr="00146D77" w:rsidR="00146D77">
        <w:rPr>
          <w:lang w:val="fr-FR"/>
        </w:rPr>
        <w:t>’</w:t>
      </w:r>
      <w:r w:rsidRPr="00146D77">
        <w:rPr>
          <w:lang w:val="fr-FR"/>
        </w:rPr>
        <w:t>industrie et les bourses dont le statut était réglementé par l</w:t>
      </w:r>
      <w:r w:rsidRPr="00146D77" w:rsidR="00146D77">
        <w:rPr>
          <w:lang w:val="fr-FR"/>
        </w:rPr>
        <w:t>’</w:t>
      </w:r>
      <w:r w:rsidRPr="00146D77">
        <w:rPr>
          <w:lang w:val="fr-FR"/>
        </w:rPr>
        <w:t>article 20 provisoire de la loi n</w:t>
      </w:r>
      <w:r w:rsidRPr="00146D77" w:rsidR="00235FC0">
        <w:rPr>
          <w:vertAlign w:val="superscript"/>
          <w:lang w:val="fr-FR"/>
        </w:rPr>
        <w:t>o</w:t>
      </w:r>
      <w:r w:rsidRPr="00146D77">
        <w:rPr>
          <w:lang w:val="fr-FR"/>
        </w:rPr>
        <w:t xml:space="preserve"> 506 seront transférés à l</w:t>
      </w:r>
      <w:r w:rsidRPr="00146D77" w:rsidR="00146D77">
        <w:rPr>
          <w:lang w:val="fr-FR"/>
        </w:rPr>
        <w:t>’</w:t>
      </w:r>
      <w:r w:rsidRPr="00146D77">
        <w:rPr>
          <w:color w:val="000000"/>
          <w:lang w:val="fr-FR"/>
        </w:rPr>
        <w:t>É</w:t>
      </w:r>
      <w:r w:rsidRPr="00146D77">
        <w:rPr>
          <w:lang w:val="fr-FR"/>
        </w:rPr>
        <w:t xml:space="preserve">tablissement pour la sécurité sociale et </w:t>
      </w:r>
      <w:r w:rsidRPr="00146D77" w:rsidR="000050F7">
        <w:rPr>
          <w:lang w:val="fr-FR"/>
        </w:rPr>
        <w:t>le</w:t>
      </w:r>
      <w:r w:rsidRPr="00146D77" w:rsidR="00B73B14">
        <w:rPr>
          <w:lang w:val="fr-FR"/>
        </w:rPr>
        <w:t>u</w:t>
      </w:r>
      <w:r w:rsidRPr="00146D77" w:rsidR="000050F7">
        <w:rPr>
          <w:lang w:val="fr-FR"/>
        </w:rPr>
        <w:t>r statut sera régi par la nouvelle loi.</w:t>
      </w:r>
    </w:p>
    <w:p w:rsidRPr="00146D77" w:rsidR="00110048" w:rsidP="00146D77" w:rsidRDefault="00634C5F">
      <w:pPr>
        <w:pStyle w:val="ECHRPara"/>
        <w:rPr>
          <w:lang w:val="fr-FR"/>
        </w:rPr>
      </w:pPr>
      <w:r w:rsidRPr="00146D77">
        <w:rPr>
          <w:lang w:val="fr-FR"/>
        </w:rPr>
        <w:t xml:space="preserve">Saisie par </w:t>
      </w:r>
      <w:r w:rsidRPr="00146D77" w:rsidR="005003C5">
        <w:rPr>
          <w:lang w:val="fr-FR"/>
        </w:rPr>
        <w:t>le Parti républicain du peuple (</w:t>
      </w:r>
      <w:r w:rsidRPr="00146D77" w:rsidR="005003C5">
        <w:rPr>
          <w:i/>
          <w:lang w:val="fr-FR"/>
        </w:rPr>
        <w:t>Cumhuriyet Halk Partisi</w:t>
      </w:r>
      <w:r w:rsidRPr="00146D77" w:rsidR="005003C5">
        <w:rPr>
          <w:lang w:val="fr-FR"/>
        </w:rPr>
        <w:t>), principal parti de l</w:t>
      </w:r>
      <w:r w:rsidRPr="00146D77" w:rsidR="00146D77">
        <w:rPr>
          <w:lang w:val="fr-FR"/>
        </w:rPr>
        <w:t>’</w:t>
      </w:r>
      <w:r w:rsidRPr="00146D77" w:rsidR="005003C5">
        <w:rPr>
          <w:lang w:val="fr-FR"/>
        </w:rPr>
        <w:t>opposition de l</w:t>
      </w:r>
      <w:r w:rsidRPr="00146D77" w:rsidR="00146D77">
        <w:rPr>
          <w:lang w:val="fr-FR"/>
        </w:rPr>
        <w:t>’</w:t>
      </w:r>
      <w:r w:rsidRPr="00146D77" w:rsidR="005003C5">
        <w:rPr>
          <w:lang w:val="fr-FR"/>
        </w:rPr>
        <w:t>époque des faits</w:t>
      </w:r>
      <w:r w:rsidRPr="00146D77">
        <w:rPr>
          <w:lang w:val="fr-FR"/>
        </w:rPr>
        <w:t xml:space="preserve">, </w:t>
      </w:r>
      <w:r w:rsidRPr="00146D77" w:rsidR="00327CF2">
        <w:rPr>
          <w:lang w:val="fr-FR"/>
        </w:rPr>
        <w:t>entre autres pour la question de savoir si</w:t>
      </w:r>
      <w:r w:rsidRPr="00146D77" w:rsidR="006813CE">
        <w:rPr>
          <w:lang w:val="fr-FR"/>
        </w:rPr>
        <w:t xml:space="preserve"> le transfert de caisses</w:t>
      </w:r>
      <w:r w:rsidRPr="00146D77" w:rsidR="00327CF2">
        <w:rPr>
          <w:lang w:val="fr-FR"/>
        </w:rPr>
        <w:t xml:space="preserve"> était conforme </w:t>
      </w:r>
      <w:r w:rsidRPr="00146D77" w:rsidR="00392D66">
        <w:rPr>
          <w:lang w:val="fr-FR"/>
        </w:rPr>
        <w:t>aux dispositions</w:t>
      </w:r>
      <w:r w:rsidRPr="00146D77" w:rsidR="005003C5">
        <w:rPr>
          <w:lang w:val="fr-FR"/>
        </w:rPr>
        <w:t xml:space="preserve"> de la C</w:t>
      </w:r>
      <w:r w:rsidRPr="00146D77" w:rsidR="00327CF2">
        <w:rPr>
          <w:lang w:val="fr-FR"/>
        </w:rPr>
        <w:t xml:space="preserve">onstitution, la Cour constitutionnelle </w:t>
      </w:r>
      <w:r w:rsidRPr="00146D77" w:rsidR="00392D66">
        <w:rPr>
          <w:lang w:val="fr-FR"/>
        </w:rPr>
        <w:t>répondit affirmativement dans sa décision du 30 mars 2011</w:t>
      </w:r>
      <w:r w:rsidRPr="00146D77" w:rsidR="008268D9">
        <w:rPr>
          <w:lang w:val="fr-FR"/>
        </w:rPr>
        <w:t>. Elle constata que l</w:t>
      </w:r>
      <w:r w:rsidRPr="00146D77" w:rsidR="00146D77">
        <w:rPr>
          <w:lang w:val="fr-FR"/>
        </w:rPr>
        <w:t>’</w:t>
      </w:r>
      <w:r w:rsidRPr="00146D77" w:rsidR="008268D9">
        <w:rPr>
          <w:lang w:val="fr-FR"/>
        </w:rPr>
        <w:t xml:space="preserve">article provisoire 20 qui réglementait le transfert </w:t>
      </w:r>
      <w:r w:rsidRPr="00146D77" w:rsidR="000050F7">
        <w:rPr>
          <w:lang w:val="fr-FR"/>
        </w:rPr>
        <w:t>n</w:t>
      </w:r>
      <w:r w:rsidRPr="00146D77" w:rsidR="00146D77">
        <w:rPr>
          <w:lang w:val="fr-FR"/>
        </w:rPr>
        <w:t>’</w:t>
      </w:r>
      <w:r w:rsidRPr="00146D77" w:rsidR="000050F7">
        <w:rPr>
          <w:lang w:val="fr-FR"/>
        </w:rPr>
        <w:t>était pas contraire à la constitution car il ne supprime pas les droits de sécurité sociale des personnes visées par ledit transfert.</w:t>
      </w:r>
    </w:p>
    <w:p w:rsidRPr="00146D77" w:rsidR="00E64ABD" w:rsidP="00146D77" w:rsidRDefault="00E77CB3">
      <w:pPr>
        <w:pStyle w:val="ECHRTitle1"/>
        <w:rPr>
          <w:lang w:val="fr-FR"/>
        </w:rPr>
      </w:pPr>
      <w:r w:rsidRPr="00146D77">
        <w:rPr>
          <w:lang w:val="fr-FR"/>
        </w:rPr>
        <w:t>EN DROIT</w:t>
      </w:r>
    </w:p>
    <w:p w:rsidRPr="00146D77" w:rsidR="0083156D" w:rsidP="00146D77" w:rsidRDefault="0083156D">
      <w:pPr>
        <w:pStyle w:val="ECHRHeading1"/>
        <w:rPr>
          <w:lang w:val="fr-FR"/>
        </w:rPr>
      </w:pPr>
      <w:r w:rsidRPr="00146D77">
        <w:rPr>
          <w:lang w:val="fr-FR"/>
        </w:rPr>
        <w:t>I.  SUR LA VIOLATION ALLÉGUÉE DE L</w:t>
      </w:r>
      <w:r w:rsidRPr="00146D77" w:rsidR="00146D77">
        <w:rPr>
          <w:lang w:val="fr-FR"/>
        </w:rPr>
        <w:t>’</w:t>
      </w:r>
      <w:r w:rsidRPr="00146D77">
        <w:rPr>
          <w:lang w:val="fr-FR"/>
        </w:rPr>
        <w:t>ARTICLE 1 DU PROTOCOLE N</w:t>
      </w:r>
      <w:r w:rsidRPr="00146D77">
        <w:rPr>
          <w:vertAlign w:val="superscript"/>
          <w:lang w:val="fr-FR"/>
        </w:rPr>
        <w:t xml:space="preserve">o </w:t>
      </w:r>
      <w:r w:rsidRPr="00146D77">
        <w:rPr>
          <w:lang w:val="fr-FR"/>
        </w:rPr>
        <w:t>1</w:t>
      </w:r>
    </w:p>
    <w:p w:rsidRPr="00146D77" w:rsidR="0083156D" w:rsidP="00146D77" w:rsidRDefault="0083156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32</w:t>
      </w:r>
      <w:r w:rsidRPr="00146D77">
        <w:rPr>
          <w:lang w:val="fr-FR"/>
        </w:rPr>
        <w:fldChar w:fldCharType="end"/>
      </w:r>
      <w:r w:rsidRPr="00146D77">
        <w:rPr>
          <w:lang w:val="fr-FR"/>
        </w:rPr>
        <w:t>.  Les requérants soutiennent que la diminution du montant de leur pension par rapport au montant établi au moment de leur départ à la retraite, à la suite de l</w:t>
      </w:r>
      <w:r w:rsidRPr="00146D77" w:rsidR="00146D77">
        <w:rPr>
          <w:lang w:val="fr-FR"/>
        </w:rPr>
        <w:t>’</w:t>
      </w:r>
      <w:r w:rsidRPr="00146D77">
        <w:rPr>
          <w:lang w:val="fr-FR"/>
        </w:rPr>
        <w:t>intégration de leur caisse au régime général des pensions, a porté atteinte à leur droit au respect des biens garanti par l</w:t>
      </w:r>
      <w:r w:rsidRPr="00146D77" w:rsidR="00146D77">
        <w:rPr>
          <w:lang w:val="fr-FR"/>
        </w:rPr>
        <w:t>’</w:t>
      </w:r>
      <w:r w:rsidRPr="00146D77">
        <w:rPr>
          <w:lang w:val="fr-FR"/>
        </w:rPr>
        <w:t>article</w:t>
      </w:r>
      <w:r w:rsidRPr="00146D77" w:rsidR="007E2BA3">
        <w:rPr>
          <w:lang w:val="fr-FR"/>
        </w:rPr>
        <w:t xml:space="preserve"> </w:t>
      </w:r>
      <w:r w:rsidRPr="00146D77">
        <w:rPr>
          <w:lang w:val="fr-FR"/>
        </w:rPr>
        <w:t>1 du Protocole n</w:t>
      </w:r>
      <w:r w:rsidRPr="00146D77">
        <w:rPr>
          <w:vertAlign w:val="superscript"/>
          <w:lang w:val="fr-FR"/>
        </w:rPr>
        <w:t>o</w:t>
      </w:r>
      <w:r w:rsidRPr="00146D77">
        <w:rPr>
          <w:lang w:val="fr-FR"/>
        </w:rPr>
        <w:t xml:space="preserve"> 1, ainsi libellé :</w:t>
      </w:r>
    </w:p>
    <w:p w:rsidRPr="00146D77" w:rsidR="0083156D" w:rsidP="00146D77" w:rsidRDefault="0083156D">
      <w:pPr>
        <w:pStyle w:val="ECHRParaQuote"/>
        <w:rPr>
          <w:lang w:val="fr-FR"/>
        </w:rPr>
      </w:pPr>
      <w:r w:rsidRPr="00146D77">
        <w:rPr>
          <w:lang w:val="fr-FR"/>
        </w:rPr>
        <w:t>« Toute personne physique ou morale a droit au respect de ses biens. Nul ne peut être privé de sa propriété que pour cause d</w:t>
      </w:r>
      <w:r w:rsidRPr="00146D77" w:rsidR="00146D77">
        <w:rPr>
          <w:lang w:val="fr-FR"/>
        </w:rPr>
        <w:t>’</w:t>
      </w:r>
      <w:r w:rsidRPr="00146D77">
        <w:rPr>
          <w:lang w:val="fr-FR"/>
        </w:rPr>
        <w:t>utilité publique et dans les conditions prévues par la loi et les principes généraux du droit international.</w:t>
      </w:r>
    </w:p>
    <w:p w:rsidRPr="00146D77" w:rsidR="0083156D" w:rsidP="00146D77" w:rsidRDefault="0083156D">
      <w:pPr>
        <w:pStyle w:val="ECHRParaQuote"/>
        <w:rPr>
          <w:lang w:val="fr-FR"/>
        </w:rPr>
      </w:pPr>
      <w:r w:rsidRPr="00146D77">
        <w:rPr>
          <w:lang w:val="fr-FR"/>
        </w:rPr>
        <w:t xml:space="preserve">Les dispositions précédentes ne portent pas atteinte au droit que possèdent les </w:t>
      </w:r>
      <w:r w:rsidRPr="00146D77">
        <w:rPr>
          <w:rFonts w:cstheme="minorHAnsi"/>
          <w:lang w:val="fr-FR"/>
        </w:rPr>
        <w:t>É</w:t>
      </w:r>
      <w:r w:rsidRPr="00146D77">
        <w:rPr>
          <w:lang w:val="fr-FR"/>
        </w:rPr>
        <w:t>tats de mettre en vigueur les lois qu</w:t>
      </w:r>
      <w:r w:rsidRPr="00146D77" w:rsidR="00146D77">
        <w:rPr>
          <w:lang w:val="fr-FR"/>
        </w:rPr>
        <w:t>’</w:t>
      </w:r>
      <w:r w:rsidRPr="00146D77">
        <w:rPr>
          <w:lang w:val="fr-FR"/>
        </w:rPr>
        <w:t>ils jugent nécessaires pour réglementer l</w:t>
      </w:r>
      <w:r w:rsidRPr="00146D77" w:rsidR="00146D77">
        <w:rPr>
          <w:lang w:val="fr-FR"/>
        </w:rPr>
        <w:t>’</w:t>
      </w:r>
      <w:r w:rsidRPr="00146D77">
        <w:rPr>
          <w:lang w:val="fr-FR"/>
        </w:rPr>
        <w:t>usage des biens conformément à l</w:t>
      </w:r>
      <w:r w:rsidRPr="00146D77" w:rsidR="00146D77">
        <w:rPr>
          <w:lang w:val="fr-FR"/>
        </w:rPr>
        <w:t>’</w:t>
      </w:r>
      <w:r w:rsidRPr="00146D77">
        <w:rPr>
          <w:lang w:val="fr-FR"/>
        </w:rPr>
        <w:t>intérêt général ou pour assurer le paiement des impôts ou d</w:t>
      </w:r>
      <w:r w:rsidRPr="00146D77" w:rsidR="00146D77">
        <w:rPr>
          <w:lang w:val="fr-FR"/>
        </w:rPr>
        <w:t>’</w:t>
      </w:r>
      <w:r w:rsidRPr="00146D77">
        <w:rPr>
          <w:lang w:val="fr-FR"/>
        </w:rPr>
        <w:t>autres contributions ou des amendes. »</w:t>
      </w:r>
    </w:p>
    <w:p w:rsidRPr="00146D77" w:rsidR="0083156D" w:rsidP="00146D77" w:rsidRDefault="0083156D">
      <w:pPr>
        <w:pStyle w:val="ECHRHeading2"/>
        <w:rPr>
          <w:lang w:val="fr-FR"/>
        </w:rPr>
      </w:pPr>
      <w:r w:rsidRPr="00146D77">
        <w:rPr>
          <w:lang w:val="fr-FR"/>
        </w:rPr>
        <w:t>A.  Sur la recevabilité</w:t>
      </w:r>
    </w:p>
    <w:p w:rsidRPr="00146D77" w:rsidR="0083156D" w:rsidP="00146D77" w:rsidRDefault="0083156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33</w:t>
      </w:r>
      <w:r w:rsidRPr="00146D77">
        <w:rPr>
          <w:lang w:val="fr-FR"/>
        </w:rPr>
        <w:fldChar w:fldCharType="end"/>
      </w:r>
      <w:r w:rsidRPr="00146D77">
        <w:rPr>
          <w:lang w:val="fr-FR"/>
        </w:rPr>
        <w:t>.  Constatant que ce grief n</w:t>
      </w:r>
      <w:r w:rsidRPr="00146D77" w:rsidR="00146D77">
        <w:rPr>
          <w:lang w:val="fr-FR"/>
        </w:rPr>
        <w:t>’</w:t>
      </w:r>
      <w:r w:rsidRPr="00146D77">
        <w:rPr>
          <w:lang w:val="fr-FR"/>
        </w:rPr>
        <w:t>est pas manifestement mal fondé au sens de l</w:t>
      </w:r>
      <w:r w:rsidRPr="00146D77" w:rsidR="00146D77">
        <w:rPr>
          <w:lang w:val="fr-FR"/>
        </w:rPr>
        <w:t>’</w:t>
      </w:r>
      <w:r w:rsidRPr="00146D77">
        <w:rPr>
          <w:lang w:val="fr-FR"/>
        </w:rPr>
        <w:t>article 35 § 3 de la Convention et qu</w:t>
      </w:r>
      <w:r w:rsidRPr="00146D77" w:rsidR="00146D77">
        <w:rPr>
          <w:lang w:val="fr-FR"/>
        </w:rPr>
        <w:t>’</w:t>
      </w:r>
      <w:r w:rsidRPr="00146D77">
        <w:rPr>
          <w:lang w:val="fr-FR"/>
        </w:rPr>
        <w:t>il ne se heurte à aucun autre motif d</w:t>
      </w:r>
      <w:r w:rsidRPr="00146D77" w:rsidR="00146D77">
        <w:rPr>
          <w:lang w:val="fr-FR"/>
        </w:rPr>
        <w:t>’</w:t>
      </w:r>
      <w:r w:rsidRPr="00146D77">
        <w:rPr>
          <w:lang w:val="fr-FR"/>
        </w:rPr>
        <w:t>irrecevabilité, la Cour le déclare recevable.</w:t>
      </w:r>
    </w:p>
    <w:p w:rsidRPr="00146D77" w:rsidR="0083156D" w:rsidP="00146D77" w:rsidRDefault="0083156D">
      <w:pPr>
        <w:pStyle w:val="ECHRHeading2"/>
        <w:rPr>
          <w:lang w:val="fr-FR"/>
        </w:rPr>
      </w:pPr>
      <w:r w:rsidRPr="00146D77">
        <w:rPr>
          <w:lang w:val="fr-FR"/>
        </w:rPr>
        <w:t>B.  Sur le fond</w:t>
      </w:r>
    </w:p>
    <w:p w:rsidRPr="00146D77" w:rsidR="0083156D" w:rsidP="00146D77" w:rsidRDefault="0083156D">
      <w:pPr>
        <w:pStyle w:val="ECHRHeading3"/>
        <w:rPr>
          <w:lang w:val="fr-FR"/>
        </w:rPr>
      </w:pPr>
      <w:r w:rsidRPr="00146D77">
        <w:rPr>
          <w:lang w:val="fr-FR"/>
        </w:rPr>
        <w:t>1.  Arguments des parties</w:t>
      </w:r>
    </w:p>
    <w:p w:rsidRPr="00146D77" w:rsidR="0083156D" w:rsidP="00146D77" w:rsidRDefault="0083156D">
      <w:pPr>
        <w:pStyle w:val="ECHRHeading4"/>
        <w:rPr>
          <w:lang w:val="fr-FR"/>
        </w:rPr>
      </w:pPr>
      <w:r w:rsidRPr="00146D77">
        <w:rPr>
          <w:lang w:val="fr-FR"/>
        </w:rPr>
        <w:t>a)  Les requérants</w:t>
      </w:r>
    </w:p>
    <w:p w:rsidRPr="00146D77" w:rsidR="0083156D" w:rsidP="00146D77" w:rsidRDefault="0083156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34</w:t>
      </w:r>
      <w:r w:rsidRPr="00146D77">
        <w:rPr>
          <w:lang w:val="fr-FR"/>
        </w:rPr>
        <w:fldChar w:fldCharType="end"/>
      </w:r>
      <w:r w:rsidRPr="00146D77">
        <w:rPr>
          <w:lang w:val="fr-FR"/>
        </w:rPr>
        <w:t>.  En ce qui concerne le statut de la caisse, le contrôle effectué et l</w:t>
      </w:r>
      <w:r w:rsidRPr="00146D77" w:rsidR="00146D77">
        <w:rPr>
          <w:lang w:val="fr-FR"/>
        </w:rPr>
        <w:t>’</w:t>
      </w:r>
      <w:r w:rsidRPr="00146D77">
        <w:rPr>
          <w:lang w:val="fr-FR"/>
        </w:rPr>
        <w:t>impact du transfert sur leur situation financière, les requérants présentent des arguments qui peuvent se résumer comme suit :</w:t>
      </w:r>
    </w:p>
    <w:p w:rsidRPr="00146D77" w:rsidR="0083156D" w:rsidP="00146D77" w:rsidRDefault="0083156D">
      <w:pPr>
        <w:pStyle w:val="ECHRPara"/>
        <w:rPr>
          <w:lang w:val="fr-FR"/>
        </w:rPr>
      </w:pPr>
      <w:r w:rsidRPr="00146D77">
        <w:rPr>
          <w:lang w:val="fr-FR"/>
        </w:rPr>
        <w:t>–  la caisse aurait été fondée pour remplir la même fonction que les autres organismes principaux œuvrant en matière de sécurité sociale ; elle posséderait donc le statut d</w:t>
      </w:r>
      <w:r w:rsidRPr="00146D77" w:rsidR="00146D77">
        <w:rPr>
          <w:lang w:val="fr-FR"/>
        </w:rPr>
        <w:t>’</w:t>
      </w:r>
      <w:r w:rsidRPr="00146D77">
        <w:rPr>
          <w:lang w:val="fr-FR"/>
        </w:rPr>
        <w:t>institution publique ;</w:t>
      </w:r>
    </w:p>
    <w:p w:rsidRPr="00146D77" w:rsidR="0083156D" w:rsidP="00146D77" w:rsidRDefault="0083156D">
      <w:pPr>
        <w:pStyle w:val="ECHRPara"/>
        <w:rPr>
          <w:lang w:val="fr-FR"/>
        </w:rPr>
      </w:pPr>
      <w:r w:rsidRPr="00146D77">
        <w:rPr>
          <w:lang w:val="fr-FR"/>
        </w:rPr>
        <w:t>–  les trois ministères, à savoir les ministères du Travail, des Finances et du Commerce, auraient manqué à leur devoir de contrôle</w:t>
      </w:r>
      <w:r w:rsidRPr="00146D77" w:rsidR="006C2E1E">
        <w:rPr>
          <w:lang w:val="fr-FR"/>
        </w:rPr>
        <w:t> ;</w:t>
      </w:r>
      <w:r w:rsidRPr="00146D77">
        <w:rPr>
          <w:lang w:val="fr-FR"/>
        </w:rPr>
        <w:t xml:space="preserve"> </w:t>
      </w:r>
      <w:r w:rsidRPr="00146D77" w:rsidR="006C2E1E">
        <w:rPr>
          <w:lang w:val="fr-FR"/>
        </w:rPr>
        <w:t>a</w:t>
      </w:r>
      <w:r w:rsidRPr="00146D77">
        <w:rPr>
          <w:lang w:val="fr-FR"/>
        </w:rPr>
        <w:t>ux yeux des requérants, s</w:t>
      </w:r>
      <w:r w:rsidRPr="00146D77" w:rsidR="00146D77">
        <w:rPr>
          <w:lang w:val="fr-FR"/>
        </w:rPr>
        <w:t>’</w:t>
      </w:r>
      <w:r w:rsidRPr="00146D77">
        <w:rPr>
          <w:lang w:val="fr-FR"/>
        </w:rPr>
        <w:t>ils avaient effectué des contrôles réguliers, la caisse n</w:t>
      </w:r>
      <w:r w:rsidRPr="00146D77" w:rsidR="00146D77">
        <w:rPr>
          <w:lang w:val="fr-FR"/>
        </w:rPr>
        <w:t>’</w:t>
      </w:r>
      <w:r w:rsidRPr="00146D77">
        <w:rPr>
          <w:lang w:val="fr-FR"/>
        </w:rPr>
        <w:t>aurait pas atteint un tel déficit ; en tout état de cause, selon les requérants, la Société anonyme turque d</w:t>
      </w:r>
      <w:r w:rsidRPr="00146D77" w:rsidR="00146D77">
        <w:rPr>
          <w:lang w:val="fr-FR"/>
        </w:rPr>
        <w:t>’</w:t>
      </w:r>
      <w:r w:rsidRPr="00146D77">
        <w:rPr>
          <w:lang w:val="fr-FR"/>
        </w:rPr>
        <w:t>assurances « Ankara » a remboursé au Trésor public le déficit technique qui s</w:t>
      </w:r>
      <w:r w:rsidRPr="00146D77" w:rsidR="00146D77">
        <w:rPr>
          <w:lang w:val="fr-FR"/>
        </w:rPr>
        <w:t>’</w:t>
      </w:r>
      <w:r w:rsidRPr="00146D77">
        <w:rPr>
          <w:lang w:val="fr-FR"/>
        </w:rPr>
        <w:t>élevait à 7 536 874 462 160 TRL (soit 5 753 340 EUR à l</w:t>
      </w:r>
      <w:r w:rsidRPr="00146D77" w:rsidR="00146D77">
        <w:rPr>
          <w:lang w:val="fr-FR"/>
        </w:rPr>
        <w:t>’</w:t>
      </w:r>
      <w:r w:rsidRPr="00146D77">
        <w:rPr>
          <w:lang w:val="fr-FR"/>
        </w:rPr>
        <w:t>époque des faits) ;</w:t>
      </w:r>
    </w:p>
    <w:p w:rsidRPr="00146D77" w:rsidR="0083156D" w:rsidP="00146D77" w:rsidRDefault="0083156D">
      <w:pPr>
        <w:pStyle w:val="ECHRPara"/>
        <w:rPr>
          <w:lang w:val="fr-FR"/>
        </w:rPr>
      </w:pPr>
      <w:r w:rsidRPr="00146D77">
        <w:rPr>
          <w:lang w:val="fr-FR"/>
        </w:rPr>
        <w:t>–  les requérants auraient perdu près de la moitié de leur pension de retraite à cause de la vente des parts publiques de la Société anonyme turque d</w:t>
      </w:r>
      <w:r w:rsidRPr="00146D77" w:rsidR="00146D77">
        <w:rPr>
          <w:lang w:val="fr-FR"/>
        </w:rPr>
        <w:t>’</w:t>
      </w:r>
      <w:r w:rsidRPr="00146D77">
        <w:rPr>
          <w:lang w:val="fr-FR"/>
        </w:rPr>
        <w:t>assurances « Ankara » et du transfert de leur caisse à l</w:t>
      </w:r>
      <w:r w:rsidRPr="00146D77" w:rsidR="00146D77">
        <w:rPr>
          <w:lang w:val="fr-FR"/>
        </w:rPr>
        <w:t>’</w:t>
      </w:r>
      <w:r w:rsidRPr="00146D77">
        <w:rPr>
          <w:rFonts w:cstheme="minorHAnsi"/>
          <w:caps/>
          <w:lang w:val="fr-FR"/>
        </w:rPr>
        <w:t>É</w:t>
      </w:r>
      <w:r w:rsidRPr="00146D77">
        <w:rPr>
          <w:lang w:val="fr-FR"/>
        </w:rPr>
        <w:t>tablissement pour la sécurité sociale ;</w:t>
      </w:r>
    </w:p>
    <w:p w:rsidRPr="00146D77" w:rsidR="0083156D" w:rsidP="00146D77" w:rsidRDefault="0083156D">
      <w:pPr>
        <w:pStyle w:val="ECHRPara"/>
        <w:rPr>
          <w:lang w:val="fr-FR"/>
        </w:rPr>
      </w:pPr>
      <w:r w:rsidRPr="00146D77">
        <w:rPr>
          <w:lang w:val="fr-FR"/>
        </w:rPr>
        <w:t>–  en raison des faits susmentionnés, leur situation financière se serait détériorée ; de plus, ils auraient été contraints d</w:t>
      </w:r>
      <w:r w:rsidRPr="00146D77" w:rsidR="00146D77">
        <w:rPr>
          <w:lang w:val="fr-FR"/>
        </w:rPr>
        <w:t>’</w:t>
      </w:r>
      <w:r w:rsidRPr="00146D77">
        <w:rPr>
          <w:lang w:val="fr-FR"/>
        </w:rPr>
        <w:t>engager des frais et dépens devant les juridictions internes.</w:t>
      </w:r>
    </w:p>
    <w:p w:rsidRPr="00146D77" w:rsidR="0083156D" w:rsidP="00146D77" w:rsidRDefault="0083156D">
      <w:pPr>
        <w:pStyle w:val="ECHRPara"/>
        <w:rPr>
          <w:lang w:val="fr-FR"/>
        </w:rPr>
      </w:pPr>
      <w:r w:rsidRPr="00146D77">
        <w:rPr>
          <w:lang w:val="fr-FR"/>
        </w:rPr>
        <w:t>Ils soutiennent qu</w:t>
      </w:r>
      <w:r w:rsidRPr="00146D77" w:rsidR="00146D77">
        <w:rPr>
          <w:lang w:val="fr-FR"/>
        </w:rPr>
        <w:t>’</w:t>
      </w:r>
      <w:r w:rsidRPr="00146D77">
        <w:rPr>
          <w:lang w:val="fr-FR"/>
        </w:rPr>
        <w:t>ils ont rempli toutes les conditions nécessaires pour avoir droit à une pension de retraite deux fois supérieure au niveau fixé par la loi n</w:t>
      </w:r>
      <w:r w:rsidRPr="00146D77">
        <w:rPr>
          <w:vertAlign w:val="superscript"/>
          <w:lang w:val="fr-FR"/>
        </w:rPr>
        <w:t xml:space="preserve">o </w:t>
      </w:r>
      <w:r w:rsidRPr="00146D77">
        <w:rPr>
          <w:lang w:val="fr-FR"/>
        </w:rPr>
        <w:t>506 ; mais qu</w:t>
      </w:r>
      <w:r w:rsidRPr="00146D77" w:rsidR="00146D77">
        <w:rPr>
          <w:lang w:val="fr-FR"/>
        </w:rPr>
        <w:t>’</w:t>
      </w:r>
      <w:r w:rsidRPr="00146D77">
        <w:rPr>
          <w:lang w:val="fr-FR"/>
        </w:rPr>
        <w:t>en raison du transfert de leur caisse, leurs pensions ont été diminuées après l</w:t>
      </w:r>
      <w:r w:rsidRPr="00146D77" w:rsidR="00146D77">
        <w:rPr>
          <w:lang w:val="fr-FR"/>
        </w:rPr>
        <w:t>’</w:t>
      </w:r>
      <w:r w:rsidRPr="00146D77">
        <w:rPr>
          <w:lang w:val="fr-FR"/>
        </w:rPr>
        <w:t>« adaptation » opérée par la Sécurité sociale ; que le transfert avait été réalisé avec l</w:t>
      </w:r>
      <w:r w:rsidRPr="00146D77" w:rsidR="00146D77">
        <w:rPr>
          <w:lang w:val="fr-FR"/>
        </w:rPr>
        <w:t>’</w:t>
      </w:r>
      <w:r w:rsidRPr="00146D77">
        <w:rPr>
          <w:lang w:val="fr-FR"/>
        </w:rPr>
        <w:t>ensemble de l</w:t>
      </w:r>
      <w:r w:rsidRPr="00146D77" w:rsidR="00146D77">
        <w:rPr>
          <w:lang w:val="fr-FR"/>
        </w:rPr>
        <w:t>’</w:t>
      </w:r>
      <w:r w:rsidRPr="00146D77">
        <w:rPr>
          <w:lang w:val="fr-FR"/>
        </w:rPr>
        <w:t>actif et du passif et que le déficit avait été comblé par le Trésor public, lequel s</w:t>
      </w:r>
      <w:r w:rsidRPr="00146D77" w:rsidR="00146D77">
        <w:rPr>
          <w:lang w:val="fr-FR"/>
        </w:rPr>
        <w:t>’</w:t>
      </w:r>
      <w:r w:rsidRPr="00146D77">
        <w:rPr>
          <w:lang w:val="fr-FR"/>
        </w:rPr>
        <w:t>était ensuite retourné contre la Société anonyme turque d</w:t>
      </w:r>
      <w:r w:rsidRPr="00146D77" w:rsidR="00146D77">
        <w:rPr>
          <w:lang w:val="fr-FR"/>
        </w:rPr>
        <w:t>’</w:t>
      </w:r>
      <w:r w:rsidRPr="00146D77">
        <w:rPr>
          <w:lang w:val="fr-FR"/>
        </w:rPr>
        <w:t>assurances « Ankara » pour obtenir le remboursement.</w:t>
      </w:r>
    </w:p>
    <w:p w:rsidRPr="00146D77" w:rsidR="0083156D" w:rsidP="00146D77" w:rsidRDefault="0083156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35</w:t>
      </w:r>
      <w:r w:rsidRPr="00146D77">
        <w:rPr>
          <w:lang w:val="fr-FR"/>
        </w:rPr>
        <w:fldChar w:fldCharType="end"/>
      </w:r>
      <w:r w:rsidRPr="00146D77">
        <w:rPr>
          <w:lang w:val="fr-FR"/>
        </w:rPr>
        <w:t>.  Pour les requérants, la diminution de leur pension de retraite à la suite du transfert en question est contraire au principe du respect des droits acquis et constitue une atteinte illégale et disproportionnée à leur droit protégé par l</w:t>
      </w:r>
      <w:r w:rsidRPr="00146D77" w:rsidR="00146D77">
        <w:rPr>
          <w:lang w:val="fr-FR"/>
        </w:rPr>
        <w:t>’</w:t>
      </w:r>
      <w:r w:rsidRPr="00146D77">
        <w:rPr>
          <w:lang w:val="fr-FR"/>
        </w:rPr>
        <w:t>article 1 du Protocole n</w:t>
      </w:r>
      <w:r w:rsidRPr="00146D77">
        <w:rPr>
          <w:vertAlign w:val="superscript"/>
          <w:lang w:val="fr-FR"/>
        </w:rPr>
        <w:t xml:space="preserve">o </w:t>
      </w:r>
      <w:r w:rsidRPr="00146D77">
        <w:rPr>
          <w:lang w:val="fr-FR"/>
        </w:rPr>
        <w:t>1.</w:t>
      </w:r>
    </w:p>
    <w:p w:rsidRPr="00146D77" w:rsidR="0083156D" w:rsidP="00146D77" w:rsidRDefault="0083156D">
      <w:pPr>
        <w:pStyle w:val="ECHRHeading4"/>
        <w:spacing w:line="480" w:lineRule="auto"/>
        <w:rPr>
          <w:lang w:val="fr-FR"/>
        </w:rPr>
      </w:pPr>
      <w:r w:rsidRPr="00146D77">
        <w:rPr>
          <w:lang w:val="fr-FR"/>
        </w:rPr>
        <w:t>b)  Le Gouvernement</w:t>
      </w:r>
    </w:p>
    <w:p w:rsidRPr="00146D77" w:rsidR="0083156D" w:rsidP="00146D77" w:rsidRDefault="0083156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36</w:t>
      </w:r>
      <w:r w:rsidRPr="00146D77">
        <w:fldChar w:fldCharType="end"/>
      </w:r>
      <w:r w:rsidRPr="00146D77">
        <w:rPr>
          <w:lang w:val="fr-FR"/>
        </w:rPr>
        <w:t>.  Au sujet du statut de la caisse, de sa situation avant le transfert, des contrôles effectués et des mesures prises, les arguments du Gouvernement sont formulés dans les termes suivants :</w:t>
      </w:r>
    </w:p>
    <w:p w:rsidRPr="00146D77" w:rsidR="0083156D" w:rsidP="00146D77" w:rsidRDefault="0083156D">
      <w:pPr>
        <w:pStyle w:val="ECHRPara"/>
        <w:rPr>
          <w:lang w:val="fr-FR"/>
        </w:rPr>
      </w:pPr>
      <w:r w:rsidRPr="00146D77">
        <w:rPr>
          <w:lang w:val="fr-FR"/>
        </w:rPr>
        <w:t>–  en ce qui concerne le statut de la caisse, il s</w:t>
      </w:r>
      <w:r w:rsidRPr="00146D77" w:rsidR="00146D77">
        <w:rPr>
          <w:lang w:val="fr-FR"/>
        </w:rPr>
        <w:t>’</w:t>
      </w:r>
      <w:r w:rsidRPr="00146D77">
        <w:rPr>
          <w:lang w:val="fr-FR"/>
        </w:rPr>
        <w:t>agirait d</w:t>
      </w:r>
      <w:r w:rsidRPr="00146D77" w:rsidR="00146D77">
        <w:rPr>
          <w:lang w:val="fr-FR"/>
        </w:rPr>
        <w:t>’</w:t>
      </w:r>
      <w:r w:rsidRPr="00146D77">
        <w:rPr>
          <w:lang w:val="fr-FR"/>
        </w:rPr>
        <w:t>une caisse privée, créée dans le cadre de l</w:t>
      </w:r>
      <w:r w:rsidRPr="00146D77" w:rsidR="00146D77">
        <w:rPr>
          <w:lang w:val="fr-FR"/>
        </w:rPr>
        <w:t>’</w:t>
      </w:r>
      <w:r w:rsidRPr="00146D77">
        <w:rPr>
          <w:lang w:val="fr-FR"/>
        </w:rPr>
        <w:t>article provisoire de la loi n</w:t>
      </w:r>
      <w:r w:rsidRPr="00146D77">
        <w:rPr>
          <w:vertAlign w:val="superscript"/>
          <w:lang w:val="fr-FR"/>
        </w:rPr>
        <w:t>o</w:t>
      </w:r>
      <w:r w:rsidRPr="00146D77">
        <w:rPr>
          <w:lang w:val="fr-FR"/>
        </w:rPr>
        <w:t xml:space="preserve"> 506 relative à l</w:t>
      </w:r>
      <w:r w:rsidRPr="00146D77" w:rsidR="00146D77">
        <w:rPr>
          <w:lang w:val="fr-FR"/>
        </w:rPr>
        <w:t>’</w:t>
      </w:r>
      <w:r w:rsidRPr="00146D77">
        <w:rPr>
          <w:lang w:val="fr-FR"/>
        </w:rPr>
        <w:t>Établissement pour la sécurité sociale ;</w:t>
      </w:r>
    </w:p>
    <w:p w:rsidRPr="00146D77" w:rsidR="0083156D" w:rsidP="00146D77" w:rsidRDefault="0083156D">
      <w:pPr>
        <w:pStyle w:val="ECHRPara"/>
        <w:rPr>
          <w:lang w:val="fr-FR"/>
        </w:rPr>
      </w:pPr>
      <w:r w:rsidRPr="00146D77">
        <w:rPr>
          <w:lang w:val="fr-FR"/>
        </w:rPr>
        <w:t>–  pour qu</w:t>
      </w:r>
      <w:r w:rsidRPr="00146D77" w:rsidR="00146D77">
        <w:rPr>
          <w:lang w:val="fr-FR"/>
        </w:rPr>
        <w:t>’</w:t>
      </w:r>
      <w:r w:rsidRPr="00146D77">
        <w:rPr>
          <w:lang w:val="fr-FR"/>
        </w:rPr>
        <w:t>une caisse comme celle-ci soit à même de verser les pensions aux retraités, il faut que le nombre des assurés actifs payant les cotisations soit supérieur au nombre des retraités ; en l</w:t>
      </w:r>
      <w:r w:rsidRPr="00146D77" w:rsidR="00146D77">
        <w:rPr>
          <w:lang w:val="fr-FR"/>
        </w:rPr>
        <w:t>’</w:t>
      </w:r>
      <w:r w:rsidRPr="00146D77">
        <w:rPr>
          <w:lang w:val="fr-FR"/>
        </w:rPr>
        <w:t>occurrence, lors de son transfert à l</w:t>
      </w:r>
      <w:r w:rsidRPr="00146D77" w:rsidR="00146D77">
        <w:rPr>
          <w:lang w:val="fr-FR"/>
        </w:rPr>
        <w:t>’</w:t>
      </w:r>
      <w:r w:rsidRPr="00146D77">
        <w:rPr>
          <w:lang w:val="fr-FR"/>
        </w:rPr>
        <w:t>Établissement pour la sécurité sociale, la caisse aurait compris 105 membres actifs et 180 retraités ; de plus, elle n</w:t>
      </w:r>
      <w:r w:rsidRPr="00146D77" w:rsidR="00146D77">
        <w:rPr>
          <w:lang w:val="fr-FR"/>
        </w:rPr>
        <w:t>’</w:t>
      </w:r>
      <w:r w:rsidRPr="00146D77">
        <w:rPr>
          <w:lang w:val="fr-FR"/>
        </w:rPr>
        <w:t>aurait disposé d</w:t>
      </w:r>
      <w:r w:rsidRPr="00146D77" w:rsidR="00146D77">
        <w:rPr>
          <w:lang w:val="fr-FR"/>
        </w:rPr>
        <w:t>’</w:t>
      </w:r>
      <w:r w:rsidRPr="00146D77">
        <w:rPr>
          <w:lang w:val="fr-FR"/>
        </w:rPr>
        <w:t>aucun autre revenu</w:t>
      </w:r>
      <w:r w:rsidRPr="00146D77" w:rsidR="006C2E1E">
        <w:rPr>
          <w:lang w:val="fr-FR"/>
        </w:rPr>
        <w:t> ;</w:t>
      </w:r>
      <w:r w:rsidRPr="00146D77">
        <w:rPr>
          <w:lang w:val="fr-FR"/>
        </w:rPr>
        <w:t xml:space="preserve"> </w:t>
      </w:r>
      <w:r w:rsidRPr="00146D77" w:rsidR="006C2E1E">
        <w:rPr>
          <w:lang w:val="fr-FR"/>
        </w:rPr>
        <w:t>a</w:t>
      </w:r>
      <w:r w:rsidRPr="00146D77">
        <w:rPr>
          <w:lang w:val="fr-FR"/>
        </w:rPr>
        <w:t>ssurer le paiement des pensions de retraite serait donc devenu impossible pour la caisse avant le transfert ;</w:t>
      </w:r>
    </w:p>
    <w:p w:rsidRPr="00146D77" w:rsidR="0083156D" w:rsidP="00146D77" w:rsidRDefault="0083156D">
      <w:pPr>
        <w:pStyle w:val="ECHRPara"/>
        <w:rPr>
          <w:lang w:val="fr-FR"/>
        </w:rPr>
      </w:pPr>
      <w:r w:rsidRPr="00146D77">
        <w:rPr>
          <w:lang w:val="fr-FR"/>
        </w:rPr>
        <w:t>–  l</w:t>
      </w:r>
      <w:r w:rsidRPr="00146D77" w:rsidR="00146D77">
        <w:rPr>
          <w:lang w:val="fr-FR"/>
        </w:rPr>
        <w:t>’</w:t>
      </w:r>
      <w:r w:rsidRPr="00146D77">
        <w:rPr>
          <w:lang w:val="fr-FR"/>
        </w:rPr>
        <w:t xml:space="preserve">article </w:t>
      </w:r>
      <w:r w:rsidRPr="00146D77" w:rsidR="00A35AB1">
        <w:rPr>
          <w:lang w:val="fr-FR"/>
        </w:rPr>
        <w:t xml:space="preserve">additionnel </w:t>
      </w:r>
      <w:r w:rsidRPr="00146D77">
        <w:rPr>
          <w:lang w:val="fr-FR"/>
        </w:rPr>
        <w:t>36 de la loi n</w:t>
      </w:r>
      <w:r w:rsidRPr="00146D77">
        <w:rPr>
          <w:vertAlign w:val="superscript"/>
          <w:lang w:val="fr-FR"/>
        </w:rPr>
        <w:t>o</w:t>
      </w:r>
      <w:r w:rsidRPr="00146D77">
        <w:rPr>
          <w:lang w:val="fr-FR"/>
        </w:rPr>
        <w:t xml:space="preserve"> 506, relatif aux mesures à prendre face à des caisses qui du fait de leur situation financière ne peuvent plus verser les prestations de sécurité sociale, spécifierait que suivant une décision prise par les organes compétents desdites caisses, le Conseil des ministres est compétent pour décider du transfert d</w:t>
      </w:r>
      <w:r w:rsidRPr="00146D77" w:rsidR="00146D77">
        <w:rPr>
          <w:lang w:val="fr-FR"/>
        </w:rPr>
        <w:t>’</w:t>
      </w:r>
      <w:r w:rsidRPr="00146D77">
        <w:rPr>
          <w:lang w:val="fr-FR"/>
        </w:rPr>
        <w:t>une caisse vers l</w:t>
      </w:r>
      <w:r w:rsidRPr="00146D77" w:rsidR="00146D77">
        <w:rPr>
          <w:lang w:val="fr-FR"/>
        </w:rPr>
        <w:t>’</w:t>
      </w:r>
      <w:r w:rsidRPr="00146D77">
        <w:rPr>
          <w:lang w:val="fr-FR"/>
        </w:rPr>
        <w:t>Établissement pour la sécurité sociale, avec l</w:t>
      </w:r>
      <w:r w:rsidRPr="00146D77" w:rsidR="00146D77">
        <w:rPr>
          <w:lang w:val="fr-FR"/>
        </w:rPr>
        <w:t>’</w:t>
      </w:r>
      <w:r w:rsidRPr="00146D77">
        <w:rPr>
          <w:lang w:val="fr-FR"/>
        </w:rPr>
        <w:t>ensemble de son actif et de son passif ;</w:t>
      </w:r>
    </w:p>
    <w:p w:rsidRPr="00146D77" w:rsidR="0083156D" w:rsidP="00146D77" w:rsidRDefault="0083156D">
      <w:pPr>
        <w:pStyle w:val="ECHRPara"/>
        <w:rPr>
          <w:lang w:val="fr-FR"/>
        </w:rPr>
      </w:pPr>
      <w:r w:rsidRPr="00146D77">
        <w:rPr>
          <w:lang w:val="fr-FR"/>
        </w:rPr>
        <w:t>–  l</w:t>
      </w:r>
      <w:r w:rsidRPr="00146D77" w:rsidR="00146D77">
        <w:rPr>
          <w:lang w:val="fr-FR"/>
        </w:rPr>
        <w:t>’</w:t>
      </w:r>
      <w:r w:rsidRPr="00146D77">
        <w:rPr>
          <w:lang w:val="fr-FR"/>
        </w:rPr>
        <w:t>article 15 du règlement modificatif de l</w:t>
      </w:r>
      <w:r w:rsidRPr="00146D77" w:rsidR="00146D77">
        <w:rPr>
          <w:lang w:val="fr-FR"/>
        </w:rPr>
        <w:t>’</w:t>
      </w:r>
      <w:r w:rsidRPr="00146D77">
        <w:rPr>
          <w:lang w:val="fr-FR"/>
        </w:rPr>
        <w:t>acte de fondation de la caisse prévoit les mesures à prendre en cas de déficit ; l</w:t>
      </w:r>
      <w:r w:rsidRPr="00146D77" w:rsidR="00146D77">
        <w:rPr>
          <w:lang w:val="fr-FR"/>
        </w:rPr>
        <w:t>’</w:t>
      </w:r>
      <w:r w:rsidRPr="00146D77">
        <w:rPr>
          <w:lang w:val="fr-FR"/>
        </w:rPr>
        <w:t>article 36 du même règlement, relatif à une décision de dissolution et de transfert, prévoirait que les pensions de retraite sont payées après une adaptation tenant compte de cas similaires parmi les assurés de l</w:t>
      </w:r>
      <w:r w:rsidRPr="00146D77" w:rsidR="00146D77">
        <w:rPr>
          <w:lang w:val="fr-FR"/>
        </w:rPr>
        <w:t>’</w:t>
      </w:r>
      <w:r w:rsidRPr="00146D77">
        <w:rPr>
          <w:lang w:val="fr-FR"/>
        </w:rPr>
        <w:t>Établissement pour la sécurité sociale, dans les limites prévues par la loi n</w:t>
      </w:r>
      <w:r w:rsidRPr="00146D77">
        <w:rPr>
          <w:vertAlign w:val="superscript"/>
          <w:lang w:val="fr-FR"/>
        </w:rPr>
        <w:t xml:space="preserve">o </w:t>
      </w:r>
      <w:r w:rsidRPr="00146D77">
        <w:rPr>
          <w:lang w:val="fr-FR"/>
        </w:rPr>
        <w:t>506 ;</w:t>
      </w:r>
    </w:p>
    <w:p w:rsidRPr="00146D77" w:rsidR="0083156D" w:rsidP="00146D77" w:rsidRDefault="0083156D">
      <w:pPr>
        <w:pStyle w:val="ECHRPara"/>
        <w:rPr>
          <w:lang w:val="fr-FR"/>
        </w:rPr>
      </w:pPr>
      <w:r w:rsidRPr="00146D77">
        <w:rPr>
          <w:lang w:val="fr-FR"/>
        </w:rPr>
        <w:t>–  la caisse en question aurait été soumise au contrôle des inspecteurs du ministère du Travail et de la Sécurité sociale, du ministère des Finances et du ministère de l</w:t>
      </w:r>
      <w:r w:rsidRPr="00146D77" w:rsidR="00146D77">
        <w:rPr>
          <w:lang w:val="fr-FR"/>
        </w:rPr>
        <w:t>’</w:t>
      </w:r>
      <w:r w:rsidRPr="00146D77">
        <w:rPr>
          <w:lang w:val="fr-FR"/>
        </w:rPr>
        <w:t>Industrie en vertu de l</w:t>
      </w:r>
      <w:r w:rsidRPr="00146D77" w:rsidR="00146D77">
        <w:rPr>
          <w:lang w:val="fr-FR"/>
        </w:rPr>
        <w:t>’</w:t>
      </w:r>
      <w:r w:rsidRPr="00146D77">
        <w:rPr>
          <w:lang w:val="fr-FR"/>
        </w:rPr>
        <w:t>article provisoire 20 de la loi n</w:t>
      </w:r>
      <w:r w:rsidRPr="00146D77">
        <w:rPr>
          <w:vertAlign w:val="superscript"/>
          <w:lang w:val="fr-FR"/>
        </w:rPr>
        <w:t>o</w:t>
      </w:r>
      <w:r w:rsidRPr="00146D77">
        <w:rPr>
          <w:lang w:val="fr-FR"/>
        </w:rPr>
        <w:t> 506 ; à la suite de ces contrôles, il aurait été relevé qu</w:t>
      </w:r>
      <w:r w:rsidRPr="00146D77" w:rsidR="00146D77">
        <w:rPr>
          <w:lang w:val="fr-FR"/>
        </w:rPr>
        <w:t>’</w:t>
      </w:r>
      <w:r w:rsidRPr="00146D77">
        <w:rPr>
          <w:lang w:val="fr-FR"/>
        </w:rPr>
        <w:t>en 1999 la caisse présentait par rapport à 1998 une situation défavorable eu égard à son ratio actif-passif ; en 2000, la proportion de couverture de la dépense se serait élevée à 20 % ; ainsi, entre 1998 et 2000, la caisse aurait perdu son capital principal et tout redressement aurait été impossible ; les inspecteurs auraient conclu que la caisse était dans l</w:t>
      </w:r>
      <w:r w:rsidRPr="00146D77" w:rsidR="00146D77">
        <w:rPr>
          <w:lang w:val="fr-FR"/>
        </w:rPr>
        <w:t>’</w:t>
      </w:r>
      <w:r w:rsidRPr="00146D77">
        <w:rPr>
          <w:lang w:val="fr-FR"/>
        </w:rPr>
        <w:t>incapacité d</w:t>
      </w:r>
      <w:r w:rsidRPr="00146D77" w:rsidR="00146D77">
        <w:rPr>
          <w:lang w:val="fr-FR"/>
        </w:rPr>
        <w:t>’</w:t>
      </w:r>
      <w:r w:rsidRPr="00146D77">
        <w:rPr>
          <w:lang w:val="fr-FR"/>
        </w:rPr>
        <w:t>honorer ses obligations et que son transfert à l</w:t>
      </w:r>
      <w:r w:rsidRPr="00146D77" w:rsidR="00146D77">
        <w:rPr>
          <w:lang w:val="fr-FR"/>
        </w:rPr>
        <w:t>’</w:t>
      </w:r>
      <w:r w:rsidRPr="00146D77">
        <w:rPr>
          <w:lang w:val="fr-FR"/>
        </w:rPr>
        <w:t>Établissement pour la sécurité sociale s</w:t>
      </w:r>
      <w:r w:rsidRPr="00146D77" w:rsidR="00146D77">
        <w:rPr>
          <w:lang w:val="fr-FR"/>
        </w:rPr>
        <w:t>’</w:t>
      </w:r>
      <w:r w:rsidRPr="00146D77">
        <w:rPr>
          <w:lang w:val="fr-FR"/>
        </w:rPr>
        <w:t>imposait donc pour protéger les droits de ses affiliés.</w:t>
      </w:r>
    </w:p>
    <w:p w:rsidRPr="00146D77" w:rsidR="0083156D" w:rsidP="00146D77" w:rsidRDefault="0083156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37</w:t>
      </w:r>
      <w:r w:rsidRPr="00146D77">
        <w:fldChar w:fldCharType="end"/>
      </w:r>
      <w:r w:rsidRPr="00146D77">
        <w:rPr>
          <w:lang w:val="fr-FR"/>
        </w:rPr>
        <w:t>.  Pour le Gouvernement, la diminution de la pension de retraite des requérants est la conséquence de la situation déficitaire de la caisse à laquelle ils étaient affiliés. Celle-ci aurait été dans l</w:t>
      </w:r>
      <w:r w:rsidRPr="00146D77" w:rsidR="00146D77">
        <w:rPr>
          <w:lang w:val="fr-FR"/>
        </w:rPr>
        <w:t>’</w:t>
      </w:r>
      <w:r w:rsidRPr="00146D77">
        <w:rPr>
          <w:lang w:val="fr-FR"/>
        </w:rPr>
        <w:t>incapacité d</w:t>
      </w:r>
      <w:r w:rsidRPr="00146D77" w:rsidR="00146D77">
        <w:rPr>
          <w:lang w:val="fr-FR"/>
        </w:rPr>
        <w:t>’</w:t>
      </w:r>
      <w:r w:rsidRPr="00146D77">
        <w:rPr>
          <w:lang w:val="fr-FR"/>
        </w:rPr>
        <w:t>honorer ses engagements. Le transfert de la caisse à l</w:t>
      </w:r>
      <w:r w:rsidRPr="00146D77" w:rsidR="00146D77">
        <w:rPr>
          <w:lang w:val="fr-FR"/>
        </w:rPr>
        <w:t>’</w:t>
      </w:r>
      <w:r w:rsidRPr="00146D77">
        <w:rPr>
          <w:rFonts w:cstheme="minorHAnsi"/>
          <w:lang w:val="fr-FR"/>
        </w:rPr>
        <w:t>É</w:t>
      </w:r>
      <w:r w:rsidRPr="00146D77">
        <w:rPr>
          <w:lang w:val="fr-FR"/>
        </w:rPr>
        <w:t>tablissement pour la sécurité sociale aurait eu pour objectif de limiter autant que possible l</w:t>
      </w:r>
      <w:r w:rsidRPr="00146D77" w:rsidR="00146D77">
        <w:rPr>
          <w:lang w:val="fr-FR"/>
        </w:rPr>
        <w:t>’</w:t>
      </w:r>
      <w:r w:rsidRPr="00146D77">
        <w:rPr>
          <w:lang w:val="fr-FR"/>
        </w:rPr>
        <w:t>éventuelle perte des requérants et des autres affiliés de la caisse. Le Gouvernement estime que si la caisse n</w:t>
      </w:r>
      <w:r w:rsidRPr="00146D77" w:rsidR="00146D77">
        <w:rPr>
          <w:lang w:val="fr-FR"/>
        </w:rPr>
        <w:t>’</w:t>
      </w:r>
      <w:r w:rsidRPr="00146D77">
        <w:rPr>
          <w:lang w:val="fr-FR"/>
        </w:rPr>
        <w:t>avait pas été reprise par l</w:t>
      </w:r>
      <w:r w:rsidRPr="00146D77" w:rsidR="00146D77">
        <w:rPr>
          <w:lang w:val="fr-FR"/>
        </w:rPr>
        <w:t>’</w:t>
      </w:r>
      <w:r w:rsidRPr="00146D77">
        <w:rPr>
          <w:rFonts w:cstheme="minorHAnsi"/>
          <w:lang w:val="fr-FR"/>
        </w:rPr>
        <w:t>É</w:t>
      </w:r>
      <w:r w:rsidRPr="00146D77">
        <w:rPr>
          <w:lang w:val="fr-FR"/>
        </w:rPr>
        <w:t>tablissement pour la sécurité sociale, les requérants auraient peut-être été privés d</w:t>
      </w:r>
      <w:r w:rsidRPr="00146D77" w:rsidR="00146D77">
        <w:rPr>
          <w:lang w:val="fr-FR"/>
        </w:rPr>
        <w:t>’</w:t>
      </w:r>
      <w:r w:rsidRPr="00146D77">
        <w:rPr>
          <w:lang w:val="fr-FR"/>
        </w:rPr>
        <w:t>allocations de retraite et de différents avantages sociaux.</w:t>
      </w:r>
    </w:p>
    <w:p w:rsidRPr="00146D77" w:rsidR="0083156D" w:rsidP="00146D77" w:rsidRDefault="0083156D">
      <w:pPr>
        <w:pStyle w:val="ECHRPara"/>
        <w:rPr>
          <w:lang w:val="fr-FR"/>
        </w:rPr>
      </w:pPr>
      <w:r w:rsidRPr="00146D77">
        <w:rPr>
          <w:lang w:val="fr-FR"/>
        </w:rPr>
        <w:t>L</w:t>
      </w:r>
      <w:r w:rsidRPr="00146D77" w:rsidR="00146D77">
        <w:rPr>
          <w:lang w:val="fr-FR"/>
        </w:rPr>
        <w:t>’</w:t>
      </w:r>
      <w:r w:rsidRPr="00146D77">
        <w:rPr>
          <w:lang w:val="fr-FR"/>
        </w:rPr>
        <w:t>intervention de la sécurité sociale n</w:t>
      </w:r>
      <w:r w:rsidRPr="00146D77" w:rsidR="00146D77">
        <w:rPr>
          <w:lang w:val="fr-FR"/>
        </w:rPr>
        <w:t>’</w:t>
      </w:r>
      <w:r w:rsidRPr="00146D77">
        <w:rPr>
          <w:lang w:val="fr-FR"/>
        </w:rPr>
        <w:t>aurait donc pas constitué une atteinte au droit des requérants au respect de leurs biens ; elle aurait évité aux intéressés la perte totale de leurs biens, au sens de l</w:t>
      </w:r>
      <w:r w:rsidRPr="00146D77" w:rsidR="00146D77">
        <w:rPr>
          <w:lang w:val="fr-FR"/>
        </w:rPr>
        <w:t>’</w:t>
      </w:r>
      <w:r w:rsidRPr="00146D77">
        <w:rPr>
          <w:lang w:val="fr-FR"/>
        </w:rPr>
        <w:t>article l du Protocole n</w:t>
      </w:r>
      <w:r w:rsidRPr="00146D77">
        <w:rPr>
          <w:vertAlign w:val="superscript"/>
          <w:lang w:val="fr-FR"/>
        </w:rPr>
        <w:t xml:space="preserve">o </w:t>
      </w:r>
      <w:r w:rsidRPr="00146D77">
        <w:rPr>
          <w:lang w:val="fr-FR"/>
        </w:rPr>
        <w:t>1. Elle aurait été une garantie contre des pertes totales ou substantielles au niveau de la pension de retraite des requérants.</w:t>
      </w:r>
    </w:p>
    <w:p w:rsidRPr="00146D77" w:rsidR="0083156D" w:rsidP="00146D77" w:rsidRDefault="0083156D">
      <w:pPr>
        <w:pStyle w:val="ECHRPara"/>
        <w:rPr>
          <w:lang w:val="fr-FR"/>
        </w:rPr>
      </w:pPr>
      <w:r w:rsidRPr="00146D77">
        <w:rPr>
          <w:lang w:val="fr-FR"/>
        </w:rPr>
        <w:t>Autrement dit, selon le Gouvernement, l</w:t>
      </w:r>
      <w:r w:rsidRPr="00146D77" w:rsidR="00146D77">
        <w:rPr>
          <w:lang w:val="fr-FR"/>
        </w:rPr>
        <w:t>’</w:t>
      </w:r>
      <w:r w:rsidRPr="00146D77">
        <w:rPr>
          <w:lang w:val="fr-FR"/>
        </w:rPr>
        <w:t>affiliation à une compagnie d</w:t>
      </w:r>
      <w:r w:rsidRPr="00146D77" w:rsidR="00146D77">
        <w:rPr>
          <w:lang w:val="fr-FR"/>
        </w:rPr>
        <w:t>’</w:t>
      </w:r>
      <w:r w:rsidRPr="00146D77">
        <w:rPr>
          <w:lang w:val="fr-FR"/>
        </w:rPr>
        <w:t>assurances privée (</w:t>
      </w:r>
      <w:r w:rsidRPr="00146D77">
        <w:rPr>
          <w:i/>
          <w:lang w:val="fr-FR"/>
        </w:rPr>
        <w:t>Ankara Anonim Türk Sigorta Şirketi Memur ve Hizmetlileri Sağlık ve Emekli Sandığı</w:t>
      </w:r>
      <w:r w:rsidRPr="00146D77">
        <w:rPr>
          <w:lang w:val="fr-FR"/>
        </w:rPr>
        <w:t>) n</w:t>
      </w:r>
      <w:r w:rsidRPr="00146D77" w:rsidR="00146D77">
        <w:rPr>
          <w:lang w:val="fr-FR"/>
        </w:rPr>
        <w:t>’</w:t>
      </w:r>
      <w:r w:rsidRPr="00146D77">
        <w:rPr>
          <w:lang w:val="fr-FR"/>
        </w:rPr>
        <w:t>aurait pas conféré aux requérants le droit à une pension de retraite intégrale exigible de 1</w:t>
      </w:r>
      <w:r w:rsidRPr="00146D77" w:rsidR="00146D77">
        <w:rPr>
          <w:lang w:val="fr-FR"/>
        </w:rPr>
        <w:t>’</w:t>
      </w:r>
      <w:r w:rsidRPr="00146D77">
        <w:rPr>
          <w:rFonts w:cstheme="minorHAnsi"/>
          <w:lang w:val="fr-FR"/>
        </w:rPr>
        <w:t>É</w:t>
      </w:r>
      <w:r w:rsidRPr="00146D77">
        <w:rPr>
          <w:lang w:val="fr-FR"/>
        </w:rPr>
        <w:t>tat. En conséquence, le fait que la caisse ait demandé l</w:t>
      </w:r>
      <w:r w:rsidRPr="00146D77" w:rsidR="00146D77">
        <w:rPr>
          <w:lang w:val="fr-FR"/>
        </w:rPr>
        <w:t>’</w:t>
      </w:r>
      <w:r w:rsidRPr="00146D77">
        <w:rPr>
          <w:lang w:val="fr-FR"/>
        </w:rPr>
        <w:t>intervention de la sécurité sociale et que celle-ci ait accepté d</w:t>
      </w:r>
      <w:r w:rsidRPr="00146D77" w:rsidR="00146D77">
        <w:rPr>
          <w:lang w:val="fr-FR"/>
        </w:rPr>
        <w:t>’</w:t>
      </w:r>
      <w:r w:rsidRPr="00146D77">
        <w:rPr>
          <w:lang w:val="fr-FR"/>
        </w:rPr>
        <w:t>intervenir constituerait non pas une ingérence mais une mesure sociale nouvelle destinée à garantir les retraites privées qui étaient immédiatement menacées.</w:t>
      </w:r>
    </w:p>
    <w:p w:rsidRPr="00146D77" w:rsidR="0083156D" w:rsidP="00146D77" w:rsidRDefault="0083156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38</w:t>
      </w:r>
      <w:r w:rsidRPr="00146D77">
        <w:fldChar w:fldCharType="end"/>
      </w:r>
      <w:r w:rsidRPr="00146D77">
        <w:rPr>
          <w:lang w:val="fr-FR"/>
        </w:rPr>
        <w:t>.  Se référant à la jurisprudence de la Cour, le Gouvernement allègue que la mesure d</w:t>
      </w:r>
      <w:r w:rsidRPr="00146D77" w:rsidR="00146D77">
        <w:rPr>
          <w:lang w:val="fr-FR"/>
        </w:rPr>
        <w:t>’</w:t>
      </w:r>
      <w:r w:rsidRPr="00146D77">
        <w:rPr>
          <w:lang w:val="fr-FR"/>
        </w:rPr>
        <w:t>adaptation des pensions de retraite, c</w:t>
      </w:r>
      <w:r w:rsidRPr="00146D77" w:rsidR="00146D77">
        <w:rPr>
          <w:lang w:val="fr-FR"/>
        </w:rPr>
        <w:t>’</w:t>
      </w:r>
      <w:r w:rsidRPr="00146D77">
        <w:rPr>
          <w:lang w:val="fr-FR"/>
        </w:rPr>
        <w:t>est-à-dire l</w:t>
      </w:r>
      <w:r w:rsidRPr="00146D77" w:rsidR="00146D77">
        <w:rPr>
          <w:lang w:val="fr-FR"/>
        </w:rPr>
        <w:t>’</w:t>
      </w:r>
      <w:r w:rsidRPr="00146D77">
        <w:rPr>
          <w:lang w:val="fr-FR"/>
        </w:rPr>
        <w:t>intervention litigieuse en l</w:t>
      </w:r>
      <w:r w:rsidRPr="00146D77" w:rsidR="00146D77">
        <w:rPr>
          <w:lang w:val="fr-FR"/>
        </w:rPr>
        <w:t>’</w:t>
      </w:r>
      <w:r w:rsidRPr="00146D77">
        <w:rPr>
          <w:lang w:val="fr-FR"/>
        </w:rPr>
        <w:t xml:space="preserve">espèce, reposait sur </w:t>
      </w:r>
      <w:r w:rsidRPr="00146D77" w:rsidR="00A35AB1">
        <w:rPr>
          <w:lang w:val="fr-FR"/>
        </w:rPr>
        <w:t>l</w:t>
      </w:r>
      <w:r w:rsidRPr="00146D77" w:rsidR="00146D77">
        <w:rPr>
          <w:lang w:val="fr-FR"/>
        </w:rPr>
        <w:t>’</w:t>
      </w:r>
      <w:r w:rsidRPr="00146D77" w:rsidR="00A35AB1">
        <w:rPr>
          <w:lang w:val="fr-FR"/>
        </w:rPr>
        <w:t>article additionnel 36</w:t>
      </w:r>
      <w:r w:rsidRPr="00146D77">
        <w:rPr>
          <w:lang w:val="fr-FR"/>
        </w:rPr>
        <w:t xml:space="preserve"> de la loi n</w:t>
      </w:r>
      <w:r w:rsidRPr="00146D77">
        <w:rPr>
          <w:vertAlign w:val="superscript"/>
          <w:lang w:val="fr-FR"/>
        </w:rPr>
        <w:t xml:space="preserve">o </w:t>
      </w:r>
      <w:r w:rsidRPr="00146D77">
        <w:rPr>
          <w:lang w:val="fr-FR"/>
        </w:rPr>
        <w:t>506. Selon le Gouvernement, cette intervention était légale, elle visait à protéger le droit des requérants au respect de leurs biens et elle était proportionnée, en ce qu</w:t>
      </w:r>
      <w:r w:rsidRPr="00146D77" w:rsidR="00146D77">
        <w:rPr>
          <w:lang w:val="fr-FR"/>
        </w:rPr>
        <w:t>’</w:t>
      </w:r>
      <w:r w:rsidRPr="00146D77">
        <w:rPr>
          <w:lang w:val="fr-FR"/>
        </w:rPr>
        <w:t>elle a évité aux requérants la perte totale de leurs revenus et d</w:t>
      </w:r>
      <w:r w:rsidRPr="00146D77" w:rsidR="00146D77">
        <w:rPr>
          <w:lang w:val="fr-FR"/>
        </w:rPr>
        <w:t>’</w:t>
      </w:r>
      <w:r w:rsidRPr="00146D77">
        <w:rPr>
          <w:lang w:val="fr-FR"/>
        </w:rPr>
        <w:t>avantages sociaux.</w:t>
      </w:r>
    </w:p>
    <w:p w:rsidRPr="00146D77" w:rsidR="0083156D" w:rsidP="00146D77" w:rsidRDefault="0083156D">
      <w:pPr>
        <w:pStyle w:val="ECHRHeading3"/>
        <w:rPr>
          <w:lang w:val="fr-FR"/>
        </w:rPr>
      </w:pPr>
      <w:r w:rsidRPr="00146D77">
        <w:rPr>
          <w:lang w:val="fr-FR"/>
        </w:rPr>
        <w:t>2.  Appréciation de la Cour</w:t>
      </w:r>
    </w:p>
    <w:p w:rsidRPr="00146D77" w:rsidR="0083156D" w:rsidP="00146D77" w:rsidRDefault="0083156D">
      <w:pPr>
        <w:pStyle w:val="ECHRHeading4"/>
        <w:rPr>
          <w:lang w:val="fr-FR"/>
        </w:rPr>
      </w:pPr>
      <w:r w:rsidRPr="00146D77">
        <w:rPr>
          <w:lang w:val="fr-FR"/>
        </w:rPr>
        <w:t>a)  Principes généraux</w:t>
      </w:r>
    </w:p>
    <w:p w:rsidRPr="00146D77" w:rsidR="0083156D" w:rsidP="00146D77" w:rsidRDefault="0083156D">
      <w:pPr>
        <w:pStyle w:val="ECHRPara"/>
        <w:rPr>
          <w:rFonts w:ascii="Times New Roman" w:hAnsi="Times New Roman" w:eastAsia="Times New Roman" w:cs="Times New Roman"/>
          <w:szCs w:val="20"/>
          <w:lang w:val="fr-FR" w:eastAsia="fr-FR"/>
        </w:rPr>
      </w:pPr>
      <w:r w:rsidRPr="00146D77">
        <w:rPr>
          <w:rFonts w:ascii="Times New Roman" w:hAnsi="Times New Roman" w:eastAsia="Times New Roman" w:cs="Times New Roman"/>
          <w:szCs w:val="20"/>
          <w:lang w:val="fr-FR" w:eastAsia="fr-FR"/>
        </w:rPr>
        <w:fldChar w:fldCharType="begin"/>
      </w:r>
      <w:r w:rsidRPr="00146D77">
        <w:rPr>
          <w:rFonts w:ascii="Times New Roman" w:hAnsi="Times New Roman" w:eastAsia="Times New Roman" w:cs="Times New Roman"/>
          <w:szCs w:val="20"/>
          <w:lang w:val="fr-FR" w:eastAsia="fr-FR"/>
        </w:rPr>
        <w:instrText xml:space="preserve"> SEQ level0 \*arabic </w:instrText>
      </w:r>
      <w:r w:rsidRPr="00146D77">
        <w:rPr>
          <w:rFonts w:ascii="Times New Roman" w:hAnsi="Times New Roman" w:eastAsia="Times New Roman" w:cs="Times New Roman"/>
          <w:szCs w:val="20"/>
          <w:lang w:val="fr-FR" w:eastAsia="fr-FR"/>
        </w:rPr>
        <w:fldChar w:fldCharType="separate"/>
      </w:r>
      <w:r w:rsidRPr="00146D77" w:rsidR="00146D77">
        <w:rPr>
          <w:rFonts w:ascii="Times New Roman" w:hAnsi="Times New Roman" w:eastAsia="Times New Roman" w:cs="Times New Roman"/>
          <w:noProof/>
          <w:szCs w:val="20"/>
          <w:lang w:val="fr-FR" w:eastAsia="fr-FR"/>
        </w:rPr>
        <w:t>39</w:t>
      </w:r>
      <w:r w:rsidRPr="00146D77">
        <w:rPr>
          <w:rFonts w:ascii="Times New Roman" w:hAnsi="Times New Roman" w:eastAsia="Times New Roman" w:cs="Times New Roman"/>
          <w:szCs w:val="20"/>
          <w:lang w:val="fr-FR" w:eastAsia="fr-FR"/>
        </w:rPr>
        <w:fldChar w:fldCharType="end"/>
      </w:r>
      <w:r w:rsidRPr="00146D77">
        <w:rPr>
          <w:rFonts w:ascii="Times New Roman" w:hAnsi="Times New Roman" w:eastAsia="Times New Roman" w:cs="Times New Roman"/>
          <w:szCs w:val="20"/>
          <w:lang w:val="fr-FR" w:eastAsia="fr-FR"/>
        </w:rPr>
        <w:t>.  </w:t>
      </w:r>
      <w:r w:rsidRPr="00146D77" w:rsidR="00774370">
        <w:rPr>
          <w:rFonts w:ascii="Times New Roman" w:hAnsi="Times New Roman" w:eastAsia="MS Mincho" w:cs="Times New Roman"/>
          <w:szCs w:val="24"/>
          <w:lang w:val="fr-FR" w:eastAsia="fr-FR"/>
        </w:rPr>
        <w:t>La Cour rappelle qu</w:t>
      </w:r>
      <w:r w:rsidRPr="00146D77" w:rsidR="00146D77">
        <w:rPr>
          <w:rFonts w:ascii="Times New Roman" w:hAnsi="Times New Roman" w:eastAsia="MS Mincho" w:cs="Times New Roman"/>
          <w:szCs w:val="24"/>
          <w:lang w:val="fr-FR" w:eastAsia="fr-FR"/>
        </w:rPr>
        <w:t>’</w:t>
      </w:r>
      <w:r w:rsidRPr="00146D77" w:rsidR="00774370">
        <w:rPr>
          <w:rFonts w:ascii="Times New Roman" w:hAnsi="Times New Roman" w:eastAsia="MS Mincho" w:cs="Times New Roman"/>
          <w:szCs w:val="24"/>
          <w:lang w:val="fr-FR" w:eastAsia="fr-FR"/>
        </w:rPr>
        <w:t>un requérant ne peut alléguer une violation de l</w:t>
      </w:r>
      <w:r w:rsidRPr="00146D77" w:rsidR="00146D77">
        <w:rPr>
          <w:rFonts w:ascii="Times New Roman" w:hAnsi="Times New Roman" w:eastAsia="MS Mincho" w:cs="Times New Roman"/>
          <w:szCs w:val="24"/>
          <w:lang w:val="fr-FR" w:eastAsia="fr-FR"/>
        </w:rPr>
        <w:t>’</w:t>
      </w:r>
      <w:r w:rsidRPr="00146D77" w:rsidR="00774370">
        <w:rPr>
          <w:rFonts w:ascii="Times New Roman" w:hAnsi="Times New Roman" w:eastAsia="MS Mincho" w:cs="Times New Roman"/>
          <w:szCs w:val="24"/>
          <w:lang w:val="fr-FR" w:eastAsia="fr-FR"/>
        </w:rPr>
        <w:t>article 1 du Protocole n</w:t>
      </w:r>
      <w:r w:rsidRPr="00146D77" w:rsidR="00774370">
        <w:rPr>
          <w:rFonts w:ascii="Times New Roman" w:hAnsi="Times New Roman" w:eastAsia="MS Mincho" w:cs="Times New Roman"/>
          <w:szCs w:val="24"/>
          <w:vertAlign w:val="superscript"/>
          <w:lang w:val="fr-FR" w:eastAsia="fr-FR"/>
        </w:rPr>
        <w:t>o</w:t>
      </w:r>
      <w:r w:rsidRPr="00146D77" w:rsidR="00774370">
        <w:rPr>
          <w:rFonts w:ascii="Times New Roman" w:hAnsi="Times New Roman" w:eastAsia="MS Mincho" w:cs="Times New Roman"/>
          <w:szCs w:val="24"/>
          <w:lang w:val="fr-FR" w:eastAsia="fr-FR"/>
        </w:rPr>
        <w:t> 1 que dans la mesure où les décisions qu</w:t>
      </w:r>
      <w:r w:rsidRPr="00146D77" w:rsidR="00146D77">
        <w:rPr>
          <w:rFonts w:ascii="Times New Roman" w:hAnsi="Times New Roman" w:eastAsia="MS Mincho" w:cs="Times New Roman"/>
          <w:szCs w:val="24"/>
          <w:lang w:val="fr-FR" w:eastAsia="fr-FR"/>
        </w:rPr>
        <w:t>’</w:t>
      </w:r>
      <w:r w:rsidRPr="00146D77" w:rsidR="00774370">
        <w:rPr>
          <w:rFonts w:ascii="Times New Roman" w:hAnsi="Times New Roman" w:eastAsia="MS Mincho" w:cs="Times New Roman"/>
          <w:szCs w:val="24"/>
          <w:lang w:val="fr-FR" w:eastAsia="fr-FR"/>
        </w:rPr>
        <w:t>il incrimine se rapportent à ses « biens » au sens de cette disposition</w:t>
      </w:r>
      <w:r w:rsidRPr="00146D77" w:rsidR="00774370">
        <w:rPr>
          <w:rFonts w:ascii="Times New Roman" w:hAnsi="Times New Roman" w:eastAsia="MS Mincho" w:cs="Times New Roman"/>
          <w:szCs w:val="24"/>
          <w:lang w:val="fr-FR"/>
        </w:rPr>
        <w:t xml:space="preserve"> (</w:t>
      </w:r>
      <w:r w:rsidRPr="00146D77" w:rsidR="00774370">
        <w:rPr>
          <w:rFonts w:ascii="Times New Roman" w:hAnsi="Times New Roman" w:eastAsia="MS Mincho" w:cs="Times New Roman"/>
          <w:i/>
          <w:iCs/>
          <w:szCs w:val="24"/>
          <w:lang w:val="fr-FR" w:eastAsia="fr-FR"/>
        </w:rPr>
        <w:t xml:space="preserve">Kopecký c. Slovaquie </w:t>
      </w:r>
      <w:r w:rsidRPr="00146D77" w:rsidR="00774370">
        <w:rPr>
          <w:rFonts w:ascii="Times New Roman" w:hAnsi="Times New Roman" w:eastAsia="MS Mincho" w:cs="Times New Roman"/>
          <w:szCs w:val="24"/>
          <w:lang w:val="fr-FR" w:eastAsia="fr-FR"/>
        </w:rPr>
        <w:t>[GC], n</w:t>
      </w:r>
      <w:r w:rsidRPr="00146D77" w:rsidR="00774370">
        <w:rPr>
          <w:rFonts w:ascii="Times New Roman" w:hAnsi="Times New Roman" w:eastAsia="MS Mincho" w:cs="Times New Roman"/>
          <w:szCs w:val="24"/>
          <w:vertAlign w:val="superscript"/>
          <w:lang w:val="fr-FR" w:eastAsia="fr-FR"/>
        </w:rPr>
        <w:t>o</w:t>
      </w:r>
      <w:r w:rsidRPr="00146D77" w:rsidR="00774370">
        <w:rPr>
          <w:rFonts w:ascii="Times New Roman" w:hAnsi="Times New Roman" w:eastAsia="MS Mincho" w:cs="Times New Roman"/>
          <w:szCs w:val="24"/>
          <w:lang w:val="fr-FR" w:eastAsia="fr-FR"/>
        </w:rPr>
        <w:t xml:space="preserve"> 44912/98, </w:t>
      </w:r>
      <w:r w:rsidRPr="00146D77" w:rsidR="00774370">
        <w:rPr>
          <w:rFonts w:ascii="Times New Roman" w:hAnsi="Times New Roman" w:eastAsia="MS Mincho" w:cs="Times New Roman"/>
          <w:szCs w:val="24"/>
          <w:lang w:val="fr-FR"/>
        </w:rPr>
        <w:t>§ 35</w:t>
      </w:r>
      <w:r w:rsidRPr="00146D77" w:rsidR="00774370">
        <w:rPr>
          <w:rFonts w:ascii="Times New Roman" w:hAnsi="Times New Roman" w:eastAsia="MS Mincho" w:cs="Times New Roman"/>
          <w:szCs w:val="24"/>
          <w:lang w:val="fr-FR" w:eastAsia="fr-FR"/>
        </w:rPr>
        <w:t>, CEDH 2004</w:t>
      </w:r>
      <w:r w:rsidRPr="00146D77" w:rsidR="00774370">
        <w:rPr>
          <w:rFonts w:ascii="Times New Roman" w:hAnsi="Times New Roman" w:eastAsia="MS Mincho" w:cs="Times New Roman"/>
          <w:szCs w:val="24"/>
          <w:lang w:val="fr-FR" w:eastAsia="fr-FR"/>
        </w:rPr>
        <w:noBreakHyphen/>
        <w:t>IX</w:t>
      </w:r>
      <w:r w:rsidRPr="00146D77" w:rsidR="00774370">
        <w:rPr>
          <w:rFonts w:ascii="Times New Roman" w:hAnsi="Times New Roman" w:eastAsia="MS Mincho" w:cs="Times New Roman"/>
          <w:szCs w:val="24"/>
          <w:lang w:val="fr-FR"/>
        </w:rPr>
        <w:t>). La notion de « biens » peut recouvrir tant des « biens actuels » que des créances suffisamment établies pour être considérées comme des « valeurs patrimoniales » (</w:t>
      </w:r>
      <w:r w:rsidRPr="00146D77" w:rsidR="00774370">
        <w:rPr>
          <w:rFonts w:ascii="Times New Roman" w:hAnsi="Times New Roman" w:eastAsia="MS Mincho" w:cs="Times New Roman"/>
          <w:i/>
          <w:szCs w:val="24"/>
          <w:lang w:val="fr-FR"/>
        </w:rPr>
        <w:t>ibidem</w:t>
      </w:r>
      <w:r w:rsidRPr="00146D77" w:rsidR="00774370">
        <w:rPr>
          <w:rFonts w:ascii="Times New Roman" w:hAnsi="Times New Roman" w:eastAsia="MS Mincho" w:cs="Times New Roman"/>
          <w:szCs w:val="24"/>
          <w:lang w:val="fr-FR"/>
        </w:rPr>
        <w:t>). Lorsque l</w:t>
      </w:r>
      <w:r w:rsidRPr="00146D77" w:rsidR="00146D77">
        <w:rPr>
          <w:rFonts w:ascii="Times New Roman" w:hAnsi="Times New Roman" w:eastAsia="MS Mincho" w:cs="Times New Roman"/>
          <w:szCs w:val="24"/>
          <w:lang w:val="fr-FR"/>
        </w:rPr>
        <w:t>’</w:t>
      </w:r>
      <w:r w:rsidRPr="00146D77" w:rsidR="00774370">
        <w:rPr>
          <w:rFonts w:ascii="Times New Roman" w:hAnsi="Times New Roman" w:eastAsia="MS Mincho" w:cs="Times New Roman"/>
          <w:szCs w:val="24"/>
          <w:lang w:val="fr-FR"/>
        </w:rPr>
        <w:t>intérêt patrimonial concerné est de l</w:t>
      </w:r>
      <w:r w:rsidRPr="00146D77" w:rsidR="00146D77">
        <w:rPr>
          <w:rFonts w:ascii="Times New Roman" w:hAnsi="Times New Roman" w:eastAsia="MS Mincho" w:cs="Times New Roman"/>
          <w:szCs w:val="24"/>
          <w:lang w:val="fr-FR"/>
        </w:rPr>
        <w:t>’</w:t>
      </w:r>
      <w:r w:rsidRPr="00146D77" w:rsidR="00774370">
        <w:rPr>
          <w:rFonts w:ascii="Times New Roman" w:hAnsi="Times New Roman" w:eastAsia="MS Mincho" w:cs="Times New Roman"/>
          <w:szCs w:val="24"/>
          <w:lang w:val="fr-FR"/>
        </w:rPr>
        <w:t>ordre de la créance, il ne peut être considéré comme une « valeur patrimoniale » que lorsqu</w:t>
      </w:r>
      <w:r w:rsidRPr="00146D77" w:rsidR="00146D77">
        <w:rPr>
          <w:rFonts w:ascii="Times New Roman" w:hAnsi="Times New Roman" w:eastAsia="MS Mincho" w:cs="Times New Roman"/>
          <w:szCs w:val="24"/>
          <w:lang w:val="fr-FR"/>
        </w:rPr>
        <w:t>’</w:t>
      </w:r>
      <w:r w:rsidRPr="00146D77" w:rsidR="00774370">
        <w:rPr>
          <w:rFonts w:ascii="Times New Roman" w:hAnsi="Times New Roman" w:eastAsia="MS Mincho" w:cs="Times New Roman"/>
          <w:szCs w:val="24"/>
          <w:lang w:val="fr-FR"/>
        </w:rPr>
        <w:t>il a une base suffisante en droit interne, par exemple lorsqu</w:t>
      </w:r>
      <w:r w:rsidRPr="00146D77" w:rsidR="00146D77">
        <w:rPr>
          <w:rFonts w:ascii="Times New Roman" w:hAnsi="Times New Roman" w:eastAsia="MS Mincho" w:cs="Times New Roman"/>
          <w:szCs w:val="24"/>
          <w:lang w:val="fr-FR"/>
        </w:rPr>
        <w:t>’</w:t>
      </w:r>
      <w:r w:rsidRPr="00146D77" w:rsidR="00774370">
        <w:rPr>
          <w:rFonts w:ascii="Times New Roman" w:hAnsi="Times New Roman" w:eastAsia="MS Mincho" w:cs="Times New Roman"/>
          <w:szCs w:val="24"/>
          <w:lang w:val="fr-FR"/>
        </w:rPr>
        <w:t>il est confirmé par une jurisprudence constante des tribunaux internes, c</w:t>
      </w:r>
      <w:r w:rsidRPr="00146D77" w:rsidR="00146D77">
        <w:rPr>
          <w:rFonts w:ascii="Times New Roman" w:hAnsi="Times New Roman" w:eastAsia="MS Mincho" w:cs="Times New Roman"/>
          <w:szCs w:val="24"/>
          <w:lang w:val="fr-FR"/>
        </w:rPr>
        <w:t>’</w:t>
      </w:r>
      <w:r w:rsidRPr="00146D77" w:rsidR="00774370">
        <w:rPr>
          <w:rFonts w:ascii="Times New Roman" w:hAnsi="Times New Roman" w:eastAsia="MS Mincho" w:cs="Times New Roman"/>
          <w:szCs w:val="24"/>
          <w:lang w:val="fr-FR"/>
        </w:rPr>
        <w:t>est-à-dire lorsque la créance est suffisamment établie pour être exigible (</w:t>
      </w:r>
      <w:r w:rsidRPr="00146D77" w:rsidR="00774370">
        <w:rPr>
          <w:rFonts w:ascii="Times New Roman" w:hAnsi="Times New Roman" w:eastAsia="MS Mincho" w:cs="Times New Roman"/>
          <w:i/>
          <w:szCs w:val="24"/>
          <w:lang w:val="fr-FR"/>
        </w:rPr>
        <w:t>Kopecký</w:t>
      </w:r>
      <w:r w:rsidRPr="00146D77" w:rsidR="00774370">
        <w:rPr>
          <w:rFonts w:ascii="Times New Roman" w:hAnsi="Times New Roman" w:eastAsia="MS Mincho" w:cs="Times New Roman"/>
          <w:szCs w:val="24"/>
          <w:lang w:val="fr-FR"/>
        </w:rPr>
        <w:t>, précité, §§ 49 et 52</w:t>
      </w:r>
      <w:r w:rsidRPr="00146D77" w:rsidR="00774370">
        <w:rPr>
          <w:rFonts w:ascii="Times New Roman" w:hAnsi="Times New Roman" w:eastAsia="Times New Roman" w:cs="Times New Roman"/>
          <w:szCs w:val="24"/>
          <w:lang w:val="fr-FR"/>
        </w:rPr>
        <w:t xml:space="preserve">, </w:t>
      </w:r>
      <w:r w:rsidRPr="00146D77" w:rsidR="00774370">
        <w:rPr>
          <w:rFonts w:ascii="Times New Roman" w:hAnsi="Times New Roman" w:eastAsia="MS Mincho" w:cs="Times New Roman"/>
          <w:i/>
          <w:szCs w:val="24"/>
          <w:lang w:val="fr-FR"/>
        </w:rPr>
        <w:t>Raffineries grecques Stran et Stratis Andreadis c. Grèce</w:t>
      </w:r>
      <w:r w:rsidRPr="00146D77" w:rsidR="00774370">
        <w:rPr>
          <w:rFonts w:ascii="Times New Roman" w:hAnsi="Times New Roman" w:eastAsia="MS Mincho" w:cs="Times New Roman"/>
          <w:szCs w:val="24"/>
          <w:lang w:val="fr-FR"/>
        </w:rPr>
        <w:t>, 9 décembre 1994, § 59, série A n</w:t>
      </w:r>
      <w:r w:rsidRPr="00146D77" w:rsidR="00774370">
        <w:rPr>
          <w:rFonts w:ascii="Times New Roman" w:hAnsi="Times New Roman" w:eastAsia="MS Mincho" w:cs="Times New Roman"/>
          <w:szCs w:val="24"/>
          <w:vertAlign w:val="superscript"/>
          <w:lang w:val="fr-FR"/>
        </w:rPr>
        <w:t>o</w:t>
      </w:r>
      <w:r w:rsidRPr="00146D77" w:rsidR="00774370">
        <w:rPr>
          <w:rFonts w:ascii="Times New Roman" w:hAnsi="Times New Roman" w:eastAsia="MS Mincho" w:cs="Times New Roman"/>
          <w:szCs w:val="24"/>
          <w:lang w:val="fr-FR"/>
        </w:rPr>
        <w:t> 301</w:t>
      </w:r>
      <w:r w:rsidRPr="00146D77" w:rsidR="00774370">
        <w:rPr>
          <w:rFonts w:hint="eastAsia" w:ascii="MS Mincho" w:hAnsi="MS Mincho" w:eastAsia="MS Mincho" w:cs="MS Mincho"/>
          <w:szCs w:val="24"/>
          <w:lang w:val="fr-FR"/>
        </w:rPr>
        <w:t>‑</w:t>
      </w:r>
      <w:r w:rsidRPr="00146D77" w:rsidR="00774370">
        <w:rPr>
          <w:rFonts w:ascii="Times New Roman" w:hAnsi="Times New Roman" w:eastAsia="MS Mincho" w:cs="Times New Roman"/>
          <w:szCs w:val="24"/>
          <w:lang w:val="fr-FR"/>
        </w:rPr>
        <w:t xml:space="preserve">B, et </w:t>
      </w:r>
      <w:r w:rsidRPr="00146D77" w:rsidR="00774370">
        <w:rPr>
          <w:rFonts w:ascii="Times New Roman" w:hAnsi="Times New Roman" w:eastAsia="Times New Roman" w:cs="Times New Roman"/>
          <w:i/>
          <w:iCs/>
          <w:szCs w:val="24"/>
          <w:lang w:val="fr-FR"/>
        </w:rPr>
        <w:t>Radomilja et autres c. Croatie</w:t>
      </w:r>
      <w:r w:rsidRPr="00146D77" w:rsidR="00774370">
        <w:rPr>
          <w:rFonts w:ascii="Times New Roman" w:hAnsi="Times New Roman" w:eastAsia="Times New Roman" w:cs="Times New Roman"/>
          <w:szCs w:val="24"/>
          <w:lang w:val="fr-FR"/>
        </w:rPr>
        <w:t xml:space="preserve"> [GC]</w:t>
      </w:r>
      <w:r w:rsidRPr="00146D77" w:rsidR="00774370">
        <w:rPr>
          <w:rFonts w:ascii="Times New Roman" w:hAnsi="Times New Roman" w:eastAsia="Times New Roman" w:cs="Times New Roman"/>
          <w:szCs w:val="24"/>
          <w:lang w:val="fr-FR" w:eastAsia="en-GB"/>
        </w:rPr>
        <w:t xml:space="preserve">, </w:t>
      </w:r>
      <w:r w:rsidRPr="00146D77" w:rsidR="00774370">
        <w:rPr>
          <w:rFonts w:ascii="Times New Roman" w:hAnsi="Times New Roman" w:eastAsia="Times New Roman" w:cs="Times New Roman"/>
          <w:szCs w:val="24"/>
          <w:lang w:val="fr-FR"/>
        </w:rPr>
        <w:t>n</w:t>
      </w:r>
      <w:r w:rsidRPr="00146D77" w:rsidR="00774370">
        <w:rPr>
          <w:rFonts w:ascii="Times New Roman" w:hAnsi="Times New Roman" w:eastAsia="Times New Roman" w:cs="Times New Roman"/>
          <w:szCs w:val="24"/>
          <w:vertAlign w:val="superscript"/>
          <w:lang w:val="fr-FR"/>
        </w:rPr>
        <w:t>os</w:t>
      </w:r>
      <w:r w:rsidRPr="00146D77" w:rsidR="00774370">
        <w:rPr>
          <w:rFonts w:ascii="Times New Roman" w:hAnsi="Times New Roman" w:eastAsia="Times New Roman" w:cs="Times New Roman"/>
          <w:szCs w:val="24"/>
          <w:lang w:val="fr-FR"/>
        </w:rPr>
        <w:t xml:space="preserve"> 37685/10 et 22768/12</w:t>
      </w:r>
      <w:r w:rsidRPr="00146D77" w:rsidR="00774370">
        <w:rPr>
          <w:rFonts w:ascii="Times New Roman" w:hAnsi="Times New Roman" w:eastAsia="Times New Roman" w:cs="Times New Roman"/>
          <w:szCs w:val="24"/>
          <w:lang w:val="fr-FR" w:eastAsia="en-GB"/>
        </w:rPr>
        <w:t xml:space="preserve">, </w:t>
      </w:r>
      <w:r w:rsidRPr="00146D77" w:rsidR="003A77DE">
        <w:rPr>
          <w:rFonts w:ascii="Times New Roman" w:hAnsi="Times New Roman" w:eastAsia="Times New Roman" w:cs="Times New Roman"/>
          <w:szCs w:val="24"/>
          <w:lang w:val="fr-FR"/>
        </w:rPr>
        <w:t>§ 142, 20 </w:t>
      </w:r>
      <w:r w:rsidRPr="00146D77" w:rsidR="00774370">
        <w:rPr>
          <w:rFonts w:ascii="Times New Roman" w:hAnsi="Times New Roman" w:eastAsia="Times New Roman" w:cs="Times New Roman"/>
          <w:szCs w:val="24"/>
          <w:lang w:val="fr-FR"/>
        </w:rPr>
        <w:t>mars 2018</w:t>
      </w:r>
      <w:r w:rsidRPr="00146D77" w:rsidR="00774370">
        <w:rPr>
          <w:rFonts w:ascii="Times New Roman" w:hAnsi="Times New Roman" w:eastAsia="MS Mincho" w:cs="Times New Roman"/>
          <w:szCs w:val="24"/>
          <w:lang w:val="fr-FR"/>
        </w:rPr>
        <w:t xml:space="preserve"> ).</w:t>
      </w:r>
    </w:p>
    <w:p w:rsidRPr="00146D77" w:rsidR="0083156D" w:rsidP="00146D77" w:rsidRDefault="0083156D">
      <w:pPr>
        <w:pStyle w:val="ECHRPara"/>
        <w:rPr>
          <w:i/>
          <w:lang w:val="fr-FR"/>
        </w:rPr>
      </w:pPr>
      <w:r w:rsidRPr="00146D77">
        <w:rPr>
          <w:rFonts w:ascii="Times New Roman" w:hAnsi="Times New Roman" w:eastAsia="Times New Roman" w:cs="Times New Roman"/>
          <w:szCs w:val="20"/>
          <w:lang w:val="fr-FR" w:eastAsia="fr-FR"/>
        </w:rPr>
        <w:fldChar w:fldCharType="begin"/>
      </w:r>
      <w:r w:rsidRPr="00146D77">
        <w:rPr>
          <w:rFonts w:ascii="Times New Roman" w:hAnsi="Times New Roman" w:eastAsia="Times New Roman" w:cs="Times New Roman"/>
          <w:szCs w:val="20"/>
          <w:lang w:val="fr-FR" w:eastAsia="fr-FR"/>
        </w:rPr>
        <w:instrText xml:space="preserve"> SEQ level0 \*arabic </w:instrText>
      </w:r>
      <w:r w:rsidRPr="00146D77">
        <w:rPr>
          <w:rFonts w:ascii="Times New Roman" w:hAnsi="Times New Roman" w:eastAsia="Times New Roman" w:cs="Times New Roman"/>
          <w:szCs w:val="20"/>
          <w:lang w:val="fr-FR" w:eastAsia="fr-FR"/>
        </w:rPr>
        <w:fldChar w:fldCharType="separate"/>
      </w:r>
      <w:r w:rsidRPr="00146D77" w:rsidR="00146D77">
        <w:rPr>
          <w:rFonts w:ascii="Times New Roman" w:hAnsi="Times New Roman" w:eastAsia="Times New Roman" w:cs="Times New Roman"/>
          <w:noProof/>
          <w:szCs w:val="20"/>
          <w:lang w:val="fr-FR" w:eastAsia="fr-FR"/>
        </w:rPr>
        <w:t>40</w:t>
      </w:r>
      <w:r w:rsidRPr="00146D77">
        <w:rPr>
          <w:rFonts w:ascii="Times New Roman" w:hAnsi="Times New Roman" w:eastAsia="Times New Roman" w:cs="Times New Roman"/>
          <w:szCs w:val="20"/>
          <w:lang w:val="fr-FR" w:eastAsia="fr-FR"/>
        </w:rPr>
        <w:fldChar w:fldCharType="end"/>
      </w:r>
      <w:r w:rsidRPr="00146D77">
        <w:rPr>
          <w:rFonts w:ascii="Times New Roman" w:hAnsi="Times New Roman" w:eastAsia="Times New Roman" w:cs="Times New Roman"/>
          <w:szCs w:val="20"/>
          <w:lang w:val="fr-FR" w:eastAsia="fr-FR"/>
        </w:rPr>
        <w:t>.  L</w:t>
      </w:r>
      <w:r w:rsidRPr="00146D77" w:rsidR="00146D77">
        <w:rPr>
          <w:rFonts w:ascii="Times New Roman" w:hAnsi="Times New Roman" w:eastAsia="Times New Roman" w:cs="Times New Roman"/>
          <w:szCs w:val="20"/>
          <w:lang w:val="fr-FR" w:eastAsia="fr-FR"/>
        </w:rPr>
        <w:t>’</w:t>
      </w:r>
      <w:r w:rsidRPr="00146D77">
        <w:rPr>
          <w:rFonts w:ascii="Times New Roman" w:hAnsi="Times New Roman" w:eastAsia="Times New Roman" w:cs="Times New Roman"/>
          <w:szCs w:val="20"/>
          <w:lang w:val="fr-FR" w:eastAsia="fr-FR"/>
        </w:rPr>
        <w:t>article 1 du Protocole n</w:t>
      </w:r>
      <w:r w:rsidRPr="00146D77">
        <w:rPr>
          <w:rFonts w:ascii="Times New Roman" w:hAnsi="Times New Roman" w:eastAsia="Times New Roman" w:cs="Times New Roman"/>
          <w:szCs w:val="20"/>
          <w:vertAlign w:val="superscript"/>
          <w:lang w:val="fr-FR" w:eastAsia="fr-FR"/>
        </w:rPr>
        <w:t xml:space="preserve">o </w:t>
      </w:r>
      <w:r w:rsidRPr="00146D77">
        <w:rPr>
          <w:rFonts w:ascii="Times New Roman" w:hAnsi="Times New Roman" w:eastAsia="Times New Roman" w:cs="Times New Roman"/>
          <w:szCs w:val="20"/>
          <w:lang w:val="fr-FR" w:eastAsia="fr-FR"/>
        </w:rPr>
        <w:t>1 ne garantit pas un droit à acquérir des biens (</w:t>
      </w:r>
      <w:r w:rsidRPr="00146D77">
        <w:rPr>
          <w:rFonts w:ascii="Times New Roman" w:hAnsi="Times New Roman" w:eastAsia="Times New Roman" w:cs="Times New Roman"/>
          <w:i/>
          <w:szCs w:val="20"/>
          <w:lang w:val="fr-FR" w:eastAsia="fr-FR"/>
        </w:rPr>
        <w:t>Van der Mussele c. Belgique</w:t>
      </w:r>
      <w:r w:rsidRPr="00146D77">
        <w:rPr>
          <w:rFonts w:ascii="Times New Roman" w:hAnsi="Times New Roman" w:eastAsia="Times New Roman" w:cs="Times New Roman"/>
          <w:szCs w:val="20"/>
          <w:lang w:val="fr-FR" w:eastAsia="fr-FR"/>
        </w:rPr>
        <w:t>, 23 novembre 1983, § 48, série A n</w:t>
      </w:r>
      <w:r w:rsidRPr="00146D77">
        <w:rPr>
          <w:rFonts w:ascii="Times New Roman" w:hAnsi="Times New Roman" w:eastAsia="Times New Roman" w:cs="Times New Roman"/>
          <w:szCs w:val="20"/>
          <w:vertAlign w:val="superscript"/>
          <w:lang w:val="fr-FR" w:eastAsia="fr-FR"/>
        </w:rPr>
        <w:t>o</w:t>
      </w:r>
      <w:r w:rsidRPr="00146D77">
        <w:rPr>
          <w:rFonts w:ascii="Times New Roman" w:hAnsi="Times New Roman" w:eastAsia="Times New Roman" w:cs="Times New Roman"/>
          <w:szCs w:val="20"/>
          <w:lang w:val="fr-FR" w:eastAsia="fr-FR"/>
        </w:rPr>
        <w:t xml:space="preserve"> 70, </w:t>
      </w:r>
      <w:r w:rsidRPr="00146D77">
        <w:rPr>
          <w:rFonts w:ascii="Times New Roman" w:hAnsi="Times New Roman" w:eastAsia="Times New Roman" w:cs="Times New Roman"/>
          <w:i/>
          <w:szCs w:val="20"/>
          <w:lang w:val="fr-FR" w:eastAsia="fr-FR"/>
        </w:rPr>
        <w:t>Slivenko et autres c. Lettonie</w:t>
      </w:r>
      <w:r w:rsidRPr="00146D77">
        <w:rPr>
          <w:rFonts w:ascii="Times New Roman" w:hAnsi="Times New Roman" w:eastAsia="Times New Roman" w:cs="Times New Roman"/>
          <w:szCs w:val="20"/>
          <w:lang w:val="fr-FR" w:eastAsia="fr-FR"/>
        </w:rPr>
        <w:t xml:space="preserve"> (déc.) [GC], n</w:t>
      </w:r>
      <w:r w:rsidRPr="00146D77">
        <w:rPr>
          <w:rFonts w:ascii="Times New Roman" w:hAnsi="Times New Roman" w:eastAsia="Times New Roman" w:cs="Times New Roman"/>
          <w:szCs w:val="20"/>
          <w:vertAlign w:val="superscript"/>
          <w:lang w:val="fr-FR" w:eastAsia="fr-FR"/>
        </w:rPr>
        <w:t xml:space="preserve">o </w:t>
      </w:r>
      <w:r w:rsidRPr="00146D77">
        <w:rPr>
          <w:rFonts w:ascii="Times New Roman" w:hAnsi="Times New Roman" w:eastAsia="Times New Roman" w:cs="Times New Roman"/>
          <w:szCs w:val="20"/>
          <w:lang w:val="fr-FR" w:eastAsia="fr-FR"/>
        </w:rPr>
        <w:t>48321/99, §</w:t>
      </w:r>
      <w:r w:rsidRPr="00146D77" w:rsidR="003154C4">
        <w:rPr>
          <w:rFonts w:ascii="Times New Roman" w:hAnsi="Times New Roman" w:eastAsia="Times New Roman" w:cs="Times New Roman"/>
          <w:szCs w:val="20"/>
          <w:lang w:val="fr-FR" w:eastAsia="fr-FR"/>
        </w:rPr>
        <w:t xml:space="preserve"> </w:t>
      </w:r>
      <w:r w:rsidRPr="00146D77">
        <w:rPr>
          <w:rFonts w:ascii="Times New Roman" w:hAnsi="Times New Roman" w:eastAsia="Times New Roman" w:cs="Times New Roman"/>
          <w:szCs w:val="20"/>
          <w:lang w:val="fr-FR" w:eastAsia="fr-FR"/>
        </w:rPr>
        <w:t>121, CEDH 2002</w:t>
      </w:r>
      <w:r w:rsidRPr="00146D77">
        <w:rPr>
          <w:rFonts w:ascii="Times New Roman" w:hAnsi="Times New Roman" w:eastAsia="Times New Roman" w:cs="Times New Roman"/>
          <w:szCs w:val="20"/>
          <w:lang w:val="fr-FR" w:eastAsia="fr-FR"/>
        </w:rPr>
        <w:noBreakHyphen/>
        <w:t xml:space="preserve">II (extraits), </w:t>
      </w:r>
      <w:r w:rsidRPr="00146D77">
        <w:rPr>
          <w:rFonts w:ascii="Times New Roman" w:hAnsi="Times New Roman" w:eastAsia="Times New Roman" w:cs="Times New Roman"/>
          <w:i/>
          <w:szCs w:val="20"/>
          <w:lang w:val="fr-FR" w:eastAsia="fr-FR"/>
        </w:rPr>
        <w:t>Kopecký c. Slovaquie</w:t>
      </w:r>
      <w:r w:rsidRPr="00146D77">
        <w:rPr>
          <w:rFonts w:ascii="Times New Roman" w:hAnsi="Times New Roman" w:eastAsia="Times New Roman" w:cs="Times New Roman"/>
          <w:szCs w:val="20"/>
          <w:lang w:val="fr-FR" w:eastAsia="fr-FR"/>
        </w:rPr>
        <w:t xml:space="preserve"> [GC], n</w:t>
      </w:r>
      <w:r w:rsidRPr="00146D77">
        <w:rPr>
          <w:rFonts w:ascii="Times New Roman" w:hAnsi="Times New Roman" w:eastAsia="Times New Roman" w:cs="Times New Roman"/>
          <w:szCs w:val="20"/>
          <w:vertAlign w:val="superscript"/>
          <w:lang w:val="fr-FR" w:eastAsia="fr-FR"/>
        </w:rPr>
        <w:t>o</w:t>
      </w:r>
      <w:r w:rsidRPr="00146D77">
        <w:rPr>
          <w:rFonts w:ascii="Times New Roman" w:hAnsi="Times New Roman" w:eastAsia="Times New Roman" w:cs="Times New Roman"/>
          <w:szCs w:val="20"/>
          <w:lang w:val="fr-FR" w:eastAsia="fr-FR"/>
        </w:rPr>
        <w:t> 44912/98, §</w:t>
      </w:r>
      <w:r w:rsidRPr="00146D77" w:rsidR="003154C4">
        <w:rPr>
          <w:rFonts w:ascii="Times New Roman" w:hAnsi="Times New Roman" w:eastAsia="Times New Roman" w:cs="Times New Roman"/>
          <w:szCs w:val="20"/>
          <w:lang w:val="fr-FR" w:eastAsia="fr-FR"/>
        </w:rPr>
        <w:t xml:space="preserve"> </w:t>
      </w:r>
      <w:r w:rsidRPr="00146D77">
        <w:rPr>
          <w:rFonts w:ascii="Times New Roman" w:hAnsi="Times New Roman" w:eastAsia="Times New Roman" w:cs="Times New Roman"/>
          <w:szCs w:val="20"/>
          <w:lang w:val="fr-FR" w:eastAsia="fr-FR"/>
        </w:rPr>
        <w:t>35</w:t>
      </w:r>
      <w:r w:rsidRPr="00146D77" w:rsidR="003154C4">
        <w:rPr>
          <w:rFonts w:ascii="Times New Roman" w:hAnsi="Times New Roman" w:eastAsia="Times New Roman" w:cs="Times New Roman"/>
          <w:szCs w:val="20"/>
          <w:lang w:val="fr-FR" w:eastAsia="fr-FR"/>
        </w:rPr>
        <w:t xml:space="preserve"> </w:t>
      </w:r>
      <w:r w:rsidRPr="00146D77">
        <w:rPr>
          <w:rFonts w:ascii="Times New Roman" w:hAnsi="Times New Roman" w:eastAsia="Times New Roman" w:cs="Times New Roman"/>
          <w:szCs w:val="20"/>
          <w:lang w:val="fr-FR" w:eastAsia="fr-FR"/>
        </w:rPr>
        <w:t>b), CEDH 2004-IX</w:t>
      </w:r>
      <w:r w:rsidRPr="00146D77" w:rsidR="006F2043">
        <w:rPr>
          <w:rFonts w:ascii="Times New Roman" w:hAnsi="Times New Roman" w:eastAsia="Times New Roman" w:cs="Times New Roman"/>
          <w:szCs w:val="20"/>
          <w:lang w:val="fr-FR" w:eastAsia="fr-FR"/>
        </w:rPr>
        <w:t xml:space="preserve">, et </w:t>
      </w:r>
      <w:r w:rsidRPr="00146D77" w:rsidR="006F2043">
        <w:rPr>
          <w:i/>
          <w:lang w:val="fr-FR"/>
        </w:rPr>
        <w:t>Valle Pierimpiè Società Agricola S.P.A.</w:t>
      </w:r>
      <w:r w:rsidRPr="00146D77" w:rsidR="006F2043">
        <w:rPr>
          <w:lang w:val="fr-FR"/>
        </w:rPr>
        <w:t xml:space="preserve"> </w:t>
      </w:r>
      <w:r w:rsidRPr="00146D77" w:rsidR="006F2043">
        <w:rPr>
          <w:i/>
          <w:lang w:val="fr-FR"/>
        </w:rPr>
        <w:t>c. Italie</w:t>
      </w:r>
      <w:r w:rsidRPr="00146D77" w:rsidR="006F2043">
        <w:rPr>
          <w:lang w:val="fr-FR"/>
        </w:rPr>
        <w:t>, n</w:t>
      </w:r>
      <w:r w:rsidRPr="00146D77" w:rsidR="006F2043">
        <w:rPr>
          <w:vertAlign w:val="superscript"/>
          <w:lang w:val="fr-FR"/>
        </w:rPr>
        <w:t>o</w:t>
      </w:r>
      <w:r w:rsidRPr="00146D77" w:rsidR="00B73B14">
        <w:rPr>
          <w:lang w:val="fr-FR"/>
        </w:rPr>
        <w:t> </w:t>
      </w:r>
      <w:r w:rsidRPr="00146D77" w:rsidR="006F2043">
        <w:rPr>
          <w:lang w:val="fr-FR"/>
        </w:rPr>
        <w:t>46154/11</w:t>
      </w:r>
      <w:r w:rsidRPr="00146D77" w:rsidR="006F2043">
        <w:rPr>
          <w:snapToGrid w:val="0"/>
          <w:lang w:val="fr-FR"/>
        </w:rPr>
        <w:t xml:space="preserve">, § 37, 23 </w:t>
      </w:r>
      <w:r w:rsidRPr="00146D77" w:rsidR="006F2043">
        <w:rPr>
          <w:lang w:val="fr-FR"/>
        </w:rPr>
        <w:t>septembre</w:t>
      </w:r>
      <w:r w:rsidRPr="00146D77" w:rsidR="006F2043">
        <w:rPr>
          <w:snapToGrid w:val="0"/>
          <w:lang w:val="fr-FR"/>
        </w:rPr>
        <w:t xml:space="preserve"> 2014</w:t>
      </w:r>
      <w:r w:rsidRPr="00146D77">
        <w:rPr>
          <w:rFonts w:ascii="Times New Roman" w:hAnsi="Times New Roman" w:eastAsia="Times New Roman" w:cs="Times New Roman"/>
          <w:szCs w:val="20"/>
          <w:lang w:val="fr-FR" w:eastAsia="fr-FR"/>
        </w:rPr>
        <w:t xml:space="preserve">). </w:t>
      </w:r>
      <w:r w:rsidRPr="00146D77" w:rsidR="001C6DAA">
        <w:rPr>
          <w:rFonts w:ascii="Times New Roman" w:hAnsi="Times New Roman" w:eastAsia="Times New Roman" w:cs="Times New Roman"/>
          <w:szCs w:val="20"/>
          <w:lang w:val="fr-FR" w:eastAsia="fr-FR"/>
        </w:rPr>
        <w:t>Par ailleurs, i</w:t>
      </w:r>
      <w:r w:rsidRPr="00146D77">
        <w:rPr>
          <w:rFonts w:ascii="Times New Roman" w:hAnsi="Times New Roman" w:eastAsia="Times New Roman" w:cs="Times New Roman"/>
          <w:szCs w:val="20"/>
          <w:lang w:val="fr-FR" w:eastAsia="fr-FR"/>
        </w:rPr>
        <w:t>l ne saurait s</w:t>
      </w:r>
      <w:r w:rsidRPr="00146D77" w:rsidR="00146D77">
        <w:rPr>
          <w:rFonts w:ascii="Times New Roman" w:hAnsi="Times New Roman" w:eastAsia="Times New Roman" w:cs="Times New Roman"/>
          <w:szCs w:val="20"/>
          <w:lang w:val="fr-FR" w:eastAsia="fr-FR"/>
        </w:rPr>
        <w:t>’</w:t>
      </w:r>
      <w:r w:rsidRPr="00146D77">
        <w:rPr>
          <w:rFonts w:ascii="Times New Roman" w:hAnsi="Times New Roman" w:eastAsia="Times New Roman" w:cs="Times New Roman"/>
          <w:szCs w:val="20"/>
          <w:lang w:val="fr-FR" w:eastAsia="fr-FR"/>
        </w:rPr>
        <w:t>interpréter comme ouvrant aux personnes qui ont cotisé à un régime de sécurité sociale le droit à une pension d</w:t>
      </w:r>
      <w:r w:rsidRPr="00146D77" w:rsidR="00146D77">
        <w:rPr>
          <w:rFonts w:ascii="Times New Roman" w:hAnsi="Times New Roman" w:eastAsia="Times New Roman" w:cs="Times New Roman"/>
          <w:szCs w:val="20"/>
          <w:lang w:val="fr-FR" w:eastAsia="fr-FR"/>
        </w:rPr>
        <w:t>’</w:t>
      </w:r>
      <w:r w:rsidRPr="00146D77">
        <w:rPr>
          <w:rFonts w:ascii="Times New Roman" w:hAnsi="Times New Roman" w:eastAsia="Times New Roman" w:cs="Times New Roman"/>
          <w:szCs w:val="20"/>
          <w:lang w:val="fr-FR" w:eastAsia="fr-FR"/>
        </w:rPr>
        <w:t xml:space="preserve">un montant déterminé (voir, par exemple, </w:t>
      </w:r>
      <w:r w:rsidRPr="00146D77">
        <w:rPr>
          <w:rFonts w:ascii="Times New Roman" w:hAnsi="Times New Roman" w:eastAsia="Times New Roman" w:cs="Times New Roman"/>
          <w:i/>
          <w:szCs w:val="20"/>
          <w:lang w:val="fr-FR" w:eastAsia="fr-FR"/>
        </w:rPr>
        <w:t>Domalewski c.</w:t>
      </w:r>
      <w:r w:rsidRPr="00146D77" w:rsidR="00B73B14">
        <w:rPr>
          <w:rFonts w:ascii="Times New Roman" w:hAnsi="Times New Roman" w:eastAsia="Times New Roman" w:cs="Times New Roman"/>
          <w:i/>
          <w:szCs w:val="20"/>
          <w:lang w:val="fr-FR" w:eastAsia="fr-FR"/>
        </w:rPr>
        <w:t xml:space="preserve"> </w:t>
      </w:r>
      <w:r w:rsidRPr="00146D77">
        <w:rPr>
          <w:rFonts w:ascii="Times New Roman" w:hAnsi="Times New Roman" w:eastAsia="Times New Roman" w:cs="Times New Roman"/>
          <w:i/>
          <w:szCs w:val="20"/>
          <w:lang w:val="fr-FR" w:eastAsia="fr-FR"/>
        </w:rPr>
        <w:t>Pologne</w:t>
      </w:r>
      <w:r w:rsidRPr="00146D77">
        <w:rPr>
          <w:rFonts w:ascii="Times New Roman" w:hAnsi="Times New Roman" w:eastAsia="Times New Roman" w:cs="Times New Roman"/>
          <w:szCs w:val="20"/>
          <w:lang w:val="fr-FR" w:eastAsia="fr-FR"/>
        </w:rPr>
        <w:t xml:space="preserve"> (déc.), n</w:t>
      </w:r>
      <w:r w:rsidRPr="00146D77">
        <w:rPr>
          <w:rFonts w:ascii="Times New Roman" w:hAnsi="Times New Roman" w:eastAsia="Times New Roman" w:cs="Times New Roman"/>
          <w:szCs w:val="20"/>
          <w:vertAlign w:val="superscript"/>
          <w:lang w:val="fr-FR" w:eastAsia="fr-FR"/>
        </w:rPr>
        <w:t>o</w:t>
      </w:r>
      <w:r w:rsidRPr="00146D77">
        <w:rPr>
          <w:rFonts w:ascii="Times New Roman" w:hAnsi="Times New Roman" w:eastAsia="Times New Roman" w:cs="Times New Roman"/>
          <w:szCs w:val="20"/>
          <w:lang w:val="fr-FR" w:eastAsia="fr-FR"/>
        </w:rPr>
        <w:t xml:space="preserve"> 34610/97, CEDH 1999-V, </w:t>
      </w:r>
      <w:r w:rsidRPr="00146D77">
        <w:rPr>
          <w:rFonts w:ascii="Times New Roman" w:hAnsi="Times New Roman" w:eastAsia="Times New Roman" w:cs="Times New Roman"/>
          <w:i/>
          <w:szCs w:val="20"/>
          <w:lang w:val="fr-FR" w:eastAsia="fr-FR"/>
        </w:rPr>
        <w:t>Janković c. Croatie</w:t>
      </w:r>
      <w:r w:rsidRPr="00146D77">
        <w:rPr>
          <w:rFonts w:ascii="Times New Roman" w:hAnsi="Times New Roman" w:eastAsia="Times New Roman" w:cs="Times New Roman"/>
          <w:szCs w:val="20"/>
          <w:lang w:val="fr-FR" w:eastAsia="fr-FR"/>
        </w:rPr>
        <w:t xml:space="preserve"> (déc.), n</w:t>
      </w:r>
      <w:r w:rsidRPr="00146D77">
        <w:rPr>
          <w:rFonts w:ascii="Times New Roman" w:hAnsi="Times New Roman" w:eastAsia="Times New Roman" w:cs="Times New Roman"/>
          <w:szCs w:val="20"/>
          <w:vertAlign w:val="superscript"/>
          <w:lang w:val="fr-FR" w:eastAsia="fr-FR"/>
        </w:rPr>
        <w:t>o</w:t>
      </w:r>
      <w:r w:rsidRPr="00146D77">
        <w:rPr>
          <w:rFonts w:ascii="Times New Roman" w:hAnsi="Times New Roman" w:eastAsia="Times New Roman" w:cs="Times New Roman"/>
          <w:szCs w:val="20"/>
          <w:lang w:val="fr-FR" w:eastAsia="fr-FR"/>
        </w:rPr>
        <w:t> 43440/98, CEDH 2000-X,</w:t>
      </w:r>
      <w:r w:rsidRPr="00146D77" w:rsidR="001C6DAA">
        <w:rPr>
          <w:rFonts w:ascii="Times New Roman" w:hAnsi="Times New Roman" w:eastAsia="Times New Roman" w:cs="Times New Roman"/>
          <w:szCs w:val="20"/>
          <w:lang w:val="fr-FR" w:eastAsia="fr-FR"/>
        </w:rPr>
        <w:t xml:space="preserve"> et</w:t>
      </w:r>
      <w:r w:rsidRPr="00146D77">
        <w:rPr>
          <w:rFonts w:ascii="Times New Roman" w:hAnsi="Times New Roman" w:eastAsia="Times New Roman" w:cs="Times New Roman"/>
          <w:szCs w:val="20"/>
          <w:lang w:val="fr-FR" w:eastAsia="fr-FR"/>
        </w:rPr>
        <w:t xml:space="preserve"> </w:t>
      </w:r>
      <w:r w:rsidRPr="00146D77">
        <w:rPr>
          <w:rFonts w:ascii="Times New Roman" w:hAnsi="Times New Roman" w:eastAsia="Times New Roman" w:cs="Times New Roman"/>
          <w:i/>
          <w:szCs w:val="20"/>
          <w:lang w:val="fr-FR" w:eastAsia="fr-FR"/>
        </w:rPr>
        <w:t>Kjartan Ásmundsson c. Islande</w:t>
      </w:r>
      <w:r w:rsidRPr="00146D77">
        <w:rPr>
          <w:rFonts w:ascii="Times New Roman" w:hAnsi="Times New Roman" w:eastAsia="Times New Roman" w:cs="Times New Roman"/>
          <w:szCs w:val="20"/>
          <w:lang w:val="fr-FR" w:eastAsia="fr-FR"/>
        </w:rPr>
        <w:t>, n</w:t>
      </w:r>
      <w:r w:rsidRPr="00146D77">
        <w:rPr>
          <w:rFonts w:ascii="Times New Roman" w:hAnsi="Times New Roman" w:eastAsia="Times New Roman" w:cs="Times New Roman"/>
          <w:szCs w:val="20"/>
          <w:vertAlign w:val="superscript"/>
          <w:lang w:val="fr-FR" w:eastAsia="fr-FR"/>
        </w:rPr>
        <w:t>o</w:t>
      </w:r>
      <w:r w:rsidRPr="00146D77">
        <w:rPr>
          <w:rFonts w:ascii="Times New Roman" w:hAnsi="Times New Roman" w:eastAsia="Times New Roman" w:cs="Times New Roman"/>
          <w:szCs w:val="20"/>
          <w:lang w:val="fr-FR" w:eastAsia="fr-FR"/>
        </w:rPr>
        <w:t> 60669/00, § 39, CEDH 2004-IX</w:t>
      </w:r>
      <w:r w:rsidRPr="00146D77" w:rsidR="001C6DAA">
        <w:rPr>
          <w:rFonts w:ascii="Times New Roman" w:hAnsi="Times New Roman" w:eastAsia="Times New Roman" w:cs="Times New Roman"/>
          <w:szCs w:val="20"/>
          <w:lang w:val="fr-FR" w:eastAsia="fr-FR"/>
        </w:rPr>
        <w:t>),</w:t>
      </w:r>
      <w:bookmarkStart w:name="lt_pId882" w:id="2"/>
      <w:r w:rsidRPr="00146D77" w:rsidR="00763880">
        <w:rPr>
          <w:lang w:val="fr-FR"/>
        </w:rPr>
        <w:t xml:space="preserve"> bien qu</w:t>
      </w:r>
      <w:r w:rsidRPr="00146D77" w:rsidR="00146D77">
        <w:rPr>
          <w:lang w:val="fr-FR"/>
        </w:rPr>
        <w:t>’</w:t>
      </w:r>
      <w:r w:rsidRPr="00146D77" w:rsidR="00763880">
        <w:rPr>
          <w:lang w:val="fr-FR"/>
        </w:rPr>
        <w:t xml:space="preserve">une réduction </w:t>
      </w:r>
      <w:r w:rsidRPr="00146D77" w:rsidR="00763880">
        <w:rPr>
          <w:rFonts w:ascii="Times New Roman" w:hAnsi="Times New Roman" w:cs="Times New Roman" w:eastAsiaTheme="minorHAnsi"/>
          <w:szCs w:val="24"/>
          <w:lang w:val="fr-FR"/>
        </w:rPr>
        <w:t>du montant d</w:t>
      </w:r>
      <w:r w:rsidRPr="00146D77" w:rsidR="00146D77">
        <w:rPr>
          <w:rFonts w:ascii="Times New Roman" w:hAnsi="Times New Roman" w:cs="Times New Roman" w:eastAsiaTheme="minorHAnsi"/>
          <w:szCs w:val="24"/>
          <w:lang w:val="fr-FR"/>
        </w:rPr>
        <w:t>’</w:t>
      </w:r>
      <w:r w:rsidRPr="00146D77" w:rsidR="00763880">
        <w:rPr>
          <w:rFonts w:ascii="Times New Roman" w:hAnsi="Times New Roman" w:cs="Times New Roman" w:eastAsiaTheme="minorHAnsi"/>
          <w:szCs w:val="24"/>
          <w:lang w:val="fr-FR"/>
        </w:rPr>
        <w:t>une allocation ou la suppression de celle-ci puisse constituer une atteinte à un bien qu</w:t>
      </w:r>
      <w:r w:rsidRPr="00146D77" w:rsidR="00146D77">
        <w:rPr>
          <w:rFonts w:ascii="Times New Roman" w:hAnsi="Times New Roman" w:cs="Times New Roman" w:eastAsiaTheme="minorHAnsi"/>
          <w:szCs w:val="24"/>
          <w:lang w:val="fr-FR"/>
        </w:rPr>
        <w:t>’</w:t>
      </w:r>
      <w:r w:rsidRPr="00146D77" w:rsidR="00763880">
        <w:rPr>
          <w:rFonts w:ascii="Times New Roman" w:hAnsi="Times New Roman" w:cs="Times New Roman" w:eastAsiaTheme="minorHAnsi"/>
          <w:szCs w:val="24"/>
          <w:lang w:val="fr-FR"/>
        </w:rPr>
        <w:t xml:space="preserve">il y a lieu de justifier </w:t>
      </w:r>
      <w:r w:rsidRPr="00146D77" w:rsidR="00763880">
        <w:rPr>
          <w:lang w:val="fr-FR"/>
        </w:rPr>
        <w:t>(</w:t>
      </w:r>
      <w:r w:rsidRPr="00146D77" w:rsidR="00763880">
        <w:rPr>
          <w:i/>
          <w:lang w:val="fr-FR"/>
        </w:rPr>
        <w:t>Valkov et autr</w:t>
      </w:r>
      <w:r w:rsidRPr="00146D77" w:rsidR="00B73B14">
        <w:rPr>
          <w:i/>
          <w:lang w:val="fr-FR"/>
        </w:rPr>
        <w:t>es c. </w:t>
      </w:r>
      <w:r w:rsidRPr="00146D77" w:rsidR="00763880">
        <w:rPr>
          <w:i/>
          <w:lang w:val="fr-FR"/>
        </w:rPr>
        <w:t>Bulgarie</w:t>
      </w:r>
      <w:r w:rsidRPr="00146D77" w:rsidR="00763880">
        <w:rPr>
          <w:lang w:val="fr-FR"/>
        </w:rPr>
        <w:t>, n</w:t>
      </w:r>
      <w:r w:rsidRPr="00146D77" w:rsidR="00763880">
        <w:rPr>
          <w:vertAlign w:val="superscript"/>
          <w:lang w:val="fr-FR"/>
        </w:rPr>
        <w:t>os</w:t>
      </w:r>
      <w:r w:rsidRPr="00146D77" w:rsidR="00763880">
        <w:rPr>
          <w:lang w:val="fr-FR"/>
        </w:rPr>
        <w:t xml:space="preserve"> 2033/04, 19125/04, 19475/04, 19490/04, 19495/04, 19497/04, 24729/04, 171/05 et 2041/05, § 84, 25 octobre 2011</w:t>
      </w:r>
      <w:r w:rsidRPr="00146D77" w:rsidR="001C6DAA">
        <w:rPr>
          <w:lang w:val="fr-FR"/>
        </w:rPr>
        <w:t>,</w:t>
      </w:r>
      <w:r w:rsidRPr="00146D77" w:rsidR="001A65E4">
        <w:rPr>
          <w:lang w:val="fr-FR"/>
        </w:rPr>
        <w:t xml:space="preserve"> et</w:t>
      </w:r>
      <w:r w:rsidRPr="00146D77" w:rsidR="00763880">
        <w:rPr>
          <w:lang w:val="fr-FR"/>
        </w:rPr>
        <w:t xml:space="preserve"> </w:t>
      </w:r>
      <w:r w:rsidRPr="00146D77" w:rsidR="00763880">
        <w:rPr>
          <w:i/>
          <w:lang w:val="fr-FR"/>
        </w:rPr>
        <w:t>Grudić c. Serbie</w:t>
      </w:r>
      <w:r w:rsidRPr="00146D77" w:rsidR="00763880">
        <w:rPr>
          <w:lang w:val="fr-FR"/>
        </w:rPr>
        <w:t xml:space="preserve">, </w:t>
      </w:r>
      <w:bookmarkEnd w:id="2"/>
      <w:r w:rsidRPr="00146D77" w:rsidR="00763880">
        <w:rPr>
          <w:lang w:val="fr-FR"/>
        </w:rPr>
        <w:t>n</w:t>
      </w:r>
      <w:r w:rsidRPr="00146D77" w:rsidR="00763880">
        <w:rPr>
          <w:vertAlign w:val="superscript"/>
          <w:lang w:val="fr-FR"/>
        </w:rPr>
        <w:t>o</w:t>
      </w:r>
      <w:r w:rsidRPr="00146D77" w:rsidR="00763880">
        <w:rPr>
          <w:lang w:val="fr-FR"/>
        </w:rPr>
        <w:t xml:space="preserve"> </w:t>
      </w:r>
      <w:bookmarkStart w:name="lt_pId883" w:id="3"/>
      <w:r w:rsidRPr="00146D77" w:rsidR="00763880">
        <w:rPr>
          <w:lang w:val="fr-FR"/>
        </w:rPr>
        <w:t>31925/08</w:t>
      </w:r>
      <w:r w:rsidRPr="00146D77" w:rsidR="00763880">
        <w:rPr>
          <w:snapToGrid w:val="0"/>
          <w:szCs w:val="24"/>
          <w:lang w:val="fr-FR"/>
        </w:rPr>
        <w:t>, §</w:t>
      </w:r>
      <w:r w:rsidRPr="00146D77" w:rsidR="003154C4">
        <w:rPr>
          <w:snapToGrid w:val="0"/>
          <w:szCs w:val="24"/>
          <w:lang w:val="fr-FR"/>
        </w:rPr>
        <w:t xml:space="preserve"> </w:t>
      </w:r>
      <w:r w:rsidRPr="00146D77" w:rsidR="00763880">
        <w:rPr>
          <w:snapToGrid w:val="0"/>
          <w:szCs w:val="24"/>
          <w:lang w:val="fr-FR"/>
        </w:rPr>
        <w:t>72, 17 avril 2012)</w:t>
      </w:r>
      <w:r w:rsidRPr="00146D77" w:rsidR="00763880">
        <w:rPr>
          <w:lang w:val="fr-FR"/>
        </w:rPr>
        <w:t>.</w:t>
      </w:r>
      <w:bookmarkEnd w:id="3"/>
      <w:r w:rsidRPr="00146D77" w:rsidR="001C6DAA">
        <w:rPr>
          <w:lang w:val="fr-FR"/>
        </w:rPr>
        <w:t xml:space="preserve"> </w:t>
      </w:r>
      <w:r w:rsidRPr="00146D77">
        <w:rPr>
          <w:rFonts w:ascii="Times New Roman" w:hAnsi="Times New Roman" w:eastAsia="Times New Roman" w:cs="Times New Roman"/>
          <w:szCs w:val="20"/>
          <w:lang w:val="fr-FR" w:eastAsia="fr-FR"/>
        </w:rPr>
        <w:t>Cependant, une créance concernant une pension peut constituer un « bien » au sens de l</w:t>
      </w:r>
      <w:r w:rsidRPr="00146D77" w:rsidR="00146D77">
        <w:rPr>
          <w:rFonts w:ascii="Times New Roman" w:hAnsi="Times New Roman" w:eastAsia="Times New Roman" w:cs="Times New Roman"/>
          <w:szCs w:val="20"/>
          <w:lang w:val="fr-FR" w:eastAsia="fr-FR"/>
        </w:rPr>
        <w:t>’</w:t>
      </w:r>
      <w:r w:rsidRPr="00146D77">
        <w:rPr>
          <w:rFonts w:ascii="Times New Roman" w:hAnsi="Times New Roman" w:eastAsia="Times New Roman" w:cs="Times New Roman"/>
          <w:szCs w:val="20"/>
          <w:lang w:val="fr-FR" w:eastAsia="fr-FR"/>
        </w:rPr>
        <w:t>article 1 du Protocole n</w:t>
      </w:r>
      <w:r w:rsidRPr="00146D77">
        <w:rPr>
          <w:rFonts w:ascii="Times New Roman" w:hAnsi="Times New Roman" w:eastAsia="Times New Roman" w:cs="Times New Roman"/>
          <w:szCs w:val="20"/>
          <w:vertAlign w:val="superscript"/>
          <w:lang w:val="fr-FR" w:eastAsia="fr-FR"/>
        </w:rPr>
        <w:t>o</w:t>
      </w:r>
      <w:r w:rsidRPr="00146D77">
        <w:rPr>
          <w:rFonts w:ascii="Times New Roman" w:hAnsi="Times New Roman" w:eastAsia="Times New Roman" w:cs="Times New Roman"/>
          <w:szCs w:val="20"/>
          <w:lang w:val="fr-FR" w:eastAsia="fr-FR"/>
        </w:rPr>
        <w:t> 1 lorsqu</w:t>
      </w:r>
      <w:r w:rsidRPr="00146D77" w:rsidR="00146D77">
        <w:rPr>
          <w:rFonts w:ascii="Times New Roman" w:hAnsi="Times New Roman" w:eastAsia="Times New Roman" w:cs="Times New Roman"/>
          <w:szCs w:val="20"/>
          <w:lang w:val="fr-FR" w:eastAsia="fr-FR"/>
        </w:rPr>
        <w:t>’</w:t>
      </w:r>
      <w:r w:rsidRPr="00146D77">
        <w:rPr>
          <w:rFonts w:ascii="Times New Roman" w:hAnsi="Times New Roman" w:eastAsia="Times New Roman" w:cs="Times New Roman"/>
          <w:szCs w:val="20"/>
          <w:lang w:val="fr-FR" w:eastAsia="fr-FR"/>
        </w:rPr>
        <w:t>elle a une base suffisante en droit national, par exemple lorsqu</w:t>
      </w:r>
      <w:r w:rsidRPr="00146D77" w:rsidR="00146D77">
        <w:rPr>
          <w:rFonts w:ascii="Times New Roman" w:hAnsi="Times New Roman" w:eastAsia="Times New Roman" w:cs="Times New Roman"/>
          <w:szCs w:val="20"/>
          <w:lang w:val="fr-FR" w:eastAsia="fr-FR"/>
        </w:rPr>
        <w:t>’</w:t>
      </w:r>
      <w:r w:rsidRPr="00146D77">
        <w:rPr>
          <w:rFonts w:ascii="Times New Roman" w:hAnsi="Times New Roman" w:eastAsia="Times New Roman" w:cs="Times New Roman"/>
          <w:szCs w:val="20"/>
          <w:lang w:val="fr-FR" w:eastAsia="fr-FR"/>
        </w:rPr>
        <w:t>elle est confirmée par un jugement définitif (</w:t>
      </w:r>
      <w:r w:rsidRPr="00146D77" w:rsidR="003A77DE">
        <w:rPr>
          <w:rFonts w:ascii="Times New Roman" w:hAnsi="Times New Roman" w:eastAsia="Times New Roman" w:cs="Times New Roman"/>
          <w:i/>
          <w:szCs w:val="20"/>
          <w:lang w:val="fr-FR" w:eastAsia="fr-FR"/>
        </w:rPr>
        <w:t>Pravednaya c. </w:t>
      </w:r>
      <w:r w:rsidRPr="00146D77">
        <w:rPr>
          <w:rFonts w:ascii="Times New Roman" w:hAnsi="Times New Roman" w:eastAsia="Times New Roman" w:cs="Times New Roman"/>
          <w:i/>
          <w:szCs w:val="20"/>
          <w:lang w:val="fr-FR" w:eastAsia="fr-FR"/>
        </w:rPr>
        <w:t>Russie</w:t>
      </w:r>
      <w:r w:rsidRPr="00146D77">
        <w:rPr>
          <w:rFonts w:ascii="Times New Roman" w:hAnsi="Times New Roman" w:eastAsia="Times New Roman" w:cs="Times New Roman"/>
          <w:szCs w:val="20"/>
          <w:lang w:val="fr-FR" w:eastAsia="fr-FR"/>
        </w:rPr>
        <w:t>, n</w:t>
      </w:r>
      <w:r w:rsidRPr="00146D77">
        <w:rPr>
          <w:rFonts w:ascii="Times New Roman" w:hAnsi="Times New Roman" w:eastAsia="Times New Roman" w:cs="Times New Roman"/>
          <w:szCs w:val="20"/>
          <w:vertAlign w:val="superscript"/>
          <w:lang w:val="fr-FR" w:eastAsia="fr-FR"/>
        </w:rPr>
        <w:t>o</w:t>
      </w:r>
      <w:r w:rsidRPr="00146D77">
        <w:rPr>
          <w:rFonts w:ascii="Times New Roman" w:hAnsi="Times New Roman" w:eastAsia="Times New Roman" w:cs="Times New Roman"/>
          <w:szCs w:val="20"/>
          <w:lang w:val="fr-FR" w:eastAsia="fr-FR"/>
        </w:rPr>
        <w:t xml:space="preserve"> 69529/01, §§ 37-39, 18 novembre 2004, </w:t>
      </w:r>
      <w:r w:rsidRPr="00146D77" w:rsidR="003A77DE">
        <w:rPr>
          <w:rFonts w:ascii="Times New Roman" w:hAnsi="Times New Roman" w:eastAsia="Times New Roman" w:cs="Times New Roman"/>
          <w:i/>
          <w:szCs w:val="20"/>
          <w:lang w:val="fr-FR" w:eastAsia="fr-FR"/>
        </w:rPr>
        <w:t>Maggio et autres c. </w:t>
      </w:r>
      <w:r w:rsidRPr="00146D77">
        <w:rPr>
          <w:rFonts w:ascii="Times New Roman" w:hAnsi="Times New Roman" w:eastAsia="Times New Roman" w:cs="Times New Roman"/>
          <w:i/>
          <w:szCs w:val="20"/>
          <w:lang w:val="fr-FR" w:eastAsia="fr-FR"/>
        </w:rPr>
        <w:t>Italie</w:t>
      </w:r>
      <w:r w:rsidRPr="00146D77">
        <w:rPr>
          <w:rFonts w:ascii="Times New Roman" w:hAnsi="Times New Roman" w:eastAsia="Times New Roman" w:cs="Times New Roman"/>
          <w:szCs w:val="20"/>
          <w:lang w:val="fr-FR" w:eastAsia="fr-FR"/>
        </w:rPr>
        <w:t>, n</w:t>
      </w:r>
      <w:r w:rsidRPr="00146D77">
        <w:rPr>
          <w:rFonts w:ascii="Times New Roman" w:hAnsi="Times New Roman" w:eastAsia="Times New Roman" w:cs="Times New Roman"/>
          <w:szCs w:val="20"/>
          <w:vertAlign w:val="superscript"/>
          <w:lang w:val="fr-FR" w:eastAsia="fr-FR"/>
        </w:rPr>
        <w:t>os</w:t>
      </w:r>
      <w:r w:rsidRPr="00146D77">
        <w:rPr>
          <w:rFonts w:ascii="Times New Roman" w:hAnsi="Times New Roman" w:eastAsia="Times New Roman" w:cs="Times New Roman"/>
          <w:szCs w:val="20"/>
          <w:lang w:val="fr-FR" w:eastAsia="fr-FR"/>
        </w:rPr>
        <w:t> 46286/09, 52851/08, 53727/08,</w:t>
      </w:r>
      <w:r w:rsidRPr="00146D77" w:rsidR="003A77DE">
        <w:rPr>
          <w:rFonts w:ascii="Times New Roman" w:hAnsi="Times New Roman" w:eastAsia="Times New Roman" w:cs="Times New Roman"/>
          <w:szCs w:val="20"/>
          <w:lang w:val="fr-FR" w:eastAsia="fr-FR"/>
        </w:rPr>
        <w:t xml:space="preserve"> 54486/08 et 56001/08, § 55, 31 </w:t>
      </w:r>
      <w:r w:rsidRPr="00146D77">
        <w:rPr>
          <w:rFonts w:ascii="Times New Roman" w:hAnsi="Times New Roman" w:eastAsia="Times New Roman" w:cs="Times New Roman"/>
          <w:szCs w:val="20"/>
          <w:lang w:val="fr-FR" w:eastAsia="fr-FR"/>
        </w:rPr>
        <w:t xml:space="preserve">mai 2011, et </w:t>
      </w:r>
      <w:r w:rsidRPr="00146D77">
        <w:rPr>
          <w:rFonts w:ascii="Times New Roman" w:hAnsi="Times New Roman" w:eastAsia="Times New Roman" w:cs="Times New Roman"/>
          <w:i/>
          <w:szCs w:val="20"/>
          <w:lang w:val="fr-FR" w:eastAsia="fr-FR"/>
        </w:rPr>
        <w:t xml:space="preserve">Varesi et autres c. Italie </w:t>
      </w:r>
      <w:r w:rsidRPr="00146D77">
        <w:rPr>
          <w:rFonts w:ascii="Times New Roman" w:hAnsi="Times New Roman" w:eastAsia="Times New Roman" w:cs="Times New Roman"/>
          <w:szCs w:val="20"/>
          <w:lang w:val="fr-FR" w:eastAsia="fr-FR"/>
        </w:rPr>
        <w:t>(déc.), n</w:t>
      </w:r>
      <w:r w:rsidRPr="00146D77">
        <w:rPr>
          <w:rFonts w:ascii="Times New Roman" w:hAnsi="Times New Roman" w:eastAsia="Times New Roman" w:cs="Times New Roman"/>
          <w:szCs w:val="20"/>
          <w:vertAlign w:val="superscript"/>
          <w:lang w:val="fr-FR" w:eastAsia="fr-FR"/>
        </w:rPr>
        <w:t>o</w:t>
      </w:r>
      <w:r w:rsidRPr="00146D77">
        <w:rPr>
          <w:rFonts w:ascii="Times New Roman" w:hAnsi="Times New Roman" w:eastAsia="Times New Roman" w:cs="Times New Roman"/>
          <w:szCs w:val="20"/>
          <w:lang w:val="fr-FR" w:eastAsia="fr-FR"/>
        </w:rPr>
        <w:t> 49407/08, § 35, 12 mars 2013).</w:t>
      </w:r>
    </w:p>
    <w:p w:rsidRPr="00146D77" w:rsidR="0083156D" w:rsidP="00146D77" w:rsidRDefault="0083156D">
      <w:pPr>
        <w:pStyle w:val="ECHRPara"/>
        <w:rPr>
          <w:lang w:val="fr-FR"/>
        </w:rPr>
      </w:pPr>
      <w:r w:rsidRPr="00146D77">
        <w:rPr>
          <w:rStyle w:val="ECHRParaChar"/>
          <w:lang w:val="fr-FR"/>
        </w:rPr>
        <w:fldChar w:fldCharType="begin"/>
      </w:r>
      <w:r w:rsidRPr="00146D77">
        <w:rPr>
          <w:rStyle w:val="ECHRParaChar"/>
          <w:lang w:val="fr-FR"/>
        </w:rPr>
        <w:instrText xml:space="preserve"> SEQ level0 \*arabic </w:instrText>
      </w:r>
      <w:r w:rsidRPr="00146D77">
        <w:rPr>
          <w:rStyle w:val="ECHRParaChar"/>
          <w:lang w:val="fr-FR"/>
        </w:rPr>
        <w:fldChar w:fldCharType="separate"/>
      </w:r>
      <w:r w:rsidRPr="00146D77" w:rsidR="00146D77">
        <w:rPr>
          <w:rStyle w:val="ECHRParaChar"/>
          <w:noProof/>
          <w:lang w:val="fr-FR"/>
        </w:rPr>
        <w:t>41</w:t>
      </w:r>
      <w:r w:rsidRPr="00146D77">
        <w:rPr>
          <w:rStyle w:val="ECHRParaChar"/>
          <w:lang w:val="fr-FR"/>
        </w:rPr>
        <w:fldChar w:fldCharType="end"/>
      </w:r>
      <w:r w:rsidRPr="00146D77">
        <w:rPr>
          <w:rStyle w:val="ECHRParaChar"/>
          <w:lang w:val="fr-FR"/>
        </w:rPr>
        <w:t>.  L</w:t>
      </w:r>
      <w:r w:rsidRPr="00146D77" w:rsidR="00146D77">
        <w:rPr>
          <w:rStyle w:val="ECHRParaChar"/>
          <w:lang w:val="fr-FR"/>
        </w:rPr>
        <w:t>’</w:t>
      </w:r>
      <w:r w:rsidRPr="00146D77">
        <w:rPr>
          <w:rStyle w:val="ECHRParaChar"/>
          <w:lang w:val="fr-FR"/>
        </w:rPr>
        <w:t>article 1 du Protocole n</w:t>
      </w:r>
      <w:r w:rsidRPr="00146D77" w:rsidR="00235FC0">
        <w:rPr>
          <w:rStyle w:val="ECHRParaChar"/>
          <w:vertAlign w:val="superscript"/>
          <w:lang w:val="fr-FR"/>
        </w:rPr>
        <w:t>o</w:t>
      </w:r>
      <w:r w:rsidRPr="00146D77">
        <w:rPr>
          <w:rStyle w:val="ECHRParaChar"/>
          <w:lang w:val="fr-FR"/>
        </w:rPr>
        <w:t xml:space="preserve"> 1 exige, avant tout et surtout, qu</w:t>
      </w:r>
      <w:r w:rsidRPr="00146D77" w:rsidR="00146D77">
        <w:rPr>
          <w:rStyle w:val="ECHRParaChar"/>
          <w:lang w:val="fr-FR"/>
        </w:rPr>
        <w:t>’</w:t>
      </w:r>
      <w:r w:rsidRPr="00146D77">
        <w:rPr>
          <w:rStyle w:val="ECHRParaChar"/>
          <w:lang w:val="fr-FR"/>
        </w:rPr>
        <w:t>une ingérence de l</w:t>
      </w:r>
      <w:r w:rsidRPr="00146D77" w:rsidR="00146D77">
        <w:rPr>
          <w:rStyle w:val="ECHRParaChar"/>
          <w:lang w:val="fr-FR"/>
        </w:rPr>
        <w:t>’</w:t>
      </w:r>
      <w:r w:rsidRPr="00146D77">
        <w:rPr>
          <w:rStyle w:val="ECHRParaChar"/>
          <w:lang w:val="fr-FR"/>
        </w:rPr>
        <w:t>autorité publique dans la jouissance du droit au respect des biens soit légale. De plus, une telle ingérence n</w:t>
      </w:r>
      <w:r w:rsidRPr="00146D77" w:rsidR="00146D77">
        <w:rPr>
          <w:rStyle w:val="ECHRParaChar"/>
          <w:lang w:val="fr-FR"/>
        </w:rPr>
        <w:t>’</w:t>
      </w:r>
      <w:r w:rsidRPr="00146D77">
        <w:rPr>
          <w:rStyle w:val="ECHRParaChar"/>
          <w:lang w:val="fr-FR"/>
        </w:rPr>
        <w:t>est justifiée que si elle poursuit un intérêt public (ou général) légitime. Grâce à une connaissance directe de leur société et de ses besoins, les autorités nationales se trouvent en principe mieux placées que le juge international pour déterminer ce qui est « d</w:t>
      </w:r>
      <w:r w:rsidRPr="00146D77" w:rsidR="00146D77">
        <w:rPr>
          <w:rStyle w:val="ECHRParaChar"/>
          <w:lang w:val="fr-FR"/>
        </w:rPr>
        <w:t>’</w:t>
      </w:r>
      <w:r w:rsidRPr="00146D77">
        <w:rPr>
          <w:rStyle w:val="ECHRParaChar"/>
          <w:lang w:val="fr-FR"/>
        </w:rPr>
        <w:t>utilité publique ». Dans le mécanisme de protection créé par la Convention, il leur appartient par conséquent de se prononcer les premières sur l</w:t>
      </w:r>
      <w:r w:rsidRPr="00146D77" w:rsidR="00146D77">
        <w:rPr>
          <w:rStyle w:val="ECHRParaChar"/>
          <w:lang w:val="fr-FR"/>
        </w:rPr>
        <w:t>’</w:t>
      </w:r>
      <w:r w:rsidRPr="00146D77">
        <w:rPr>
          <w:rStyle w:val="ECHRParaChar"/>
          <w:lang w:val="fr-FR"/>
        </w:rPr>
        <w:t>existence d</w:t>
      </w:r>
      <w:r w:rsidRPr="00146D77" w:rsidR="00146D77">
        <w:rPr>
          <w:rStyle w:val="ECHRParaChar"/>
          <w:lang w:val="fr-FR"/>
        </w:rPr>
        <w:t>’</w:t>
      </w:r>
      <w:r w:rsidRPr="00146D77">
        <w:rPr>
          <w:rStyle w:val="ECHRParaChar"/>
          <w:lang w:val="fr-FR"/>
        </w:rPr>
        <w:t>un problème d</w:t>
      </w:r>
      <w:r w:rsidRPr="00146D77" w:rsidR="00146D77">
        <w:rPr>
          <w:rStyle w:val="ECHRParaChar"/>
          <w:lang w:val="fr-FR"/>
        </w:rPr>
        <w:t>’</w:t>
      </w:r>
      <w:r w:rsidRPr="00146D77">
        <w:rPr>
          <w:rStyle w:val="ECHRParaChar"/>
          <w:lang w:val="fr-FR"/>
        </w:rPr>
        <w:t>intérêt général. Dès lors, elles jouissent ici d</w:t>
      </w:r>
      <w:r w:rsidRPr="00146D77" w:rsidR="00146D77">
        <w:rPr>
          <w:rStyle w:val="ECHRParaChar"/>
          <w:lang w:val="fr-FR"/>
        </w:rPr>
        <w:t>’</w:t>
      </w:r>
      <w:r w:rsidRPr="00146D77">
        <w:rPr>
          <w:rStyle w:val="ECHRParaChar"/>
          <w:lang w:val="fr-FR"/>
        </w:rPr>
        <w:t>une certaine marge d</w:t>
      </w:r>
      <w:r w:rsidRPr="00146D77" w:rsidR="00146D77">
        <w:rPr>
          <w:rStyle w:val="ECHRParaChar"/>
          <w:lang w:val="fr-FR"/>
        </w:rPr>
        <w:t>’</w:t>
      </w:r>
      <w:r w:rsidRPr="00146D77">
        <w:rPr>
          <w:rStyle w:val="ECHRParaChar"/>
          <w:lang w:val="fr-FR"/>
        </w:rPr>
        <w:t>appréciation, comme en d</w:t>
      </w:r>
      <w:r w:rsidRPr="00146D77" w:rsidR="00146D77">
        <w:rPr>
          <w:rStyle w:val="ECHRParaChar"/>
          <w:lang w:val="fr-FR"/>
        </w:rPr>
        <w:t>’</w:t>
      </w:r>
      <w:r w:rsidRPr="00146D77">
        <w:rPr>
          <w:rStyle w:val="ECHRParaChar"/>
          <w:lang w:val="fr-FR"/>
        </w:rPr>
        <w:t>autres domaines auxquels s</w:t>
      </w:r>
      <w:r w:rsidRPr="00146D77" w:rsidR="00146D77">
        <w:rPr>
          <w:rStyle w:val="ECHRParaChar"/>
          <w:lang w:val="fr-FR"/>
        </w:rPr>
        <w:t>’</w:t>
      </w:r>
      <w:r w:rsidRPr="00146D77">
        <w:rPr>
          <w:rStyle w:val="ECHRParaChar"/>
          <w:lang w:val="fr-FR"/>
        </w:rPr>
        <w:t>étendent les garanties de la Convention (</w:t>
      </w:r>
      <w:r w:rsidRPr="00146D77">
        <w:rPr>
          <w:rStyle w:val="ECHRParaChar"/>
          <w:i/>
          <w:lang w:val="fr-FR"/>
        </w:rPr>
        <w:t>Wieczorek c.</w:t>
      </w:r>
      <w:r w:rsidRPr="00146D77" w:rsidR="003724E5">
        <w:rPr>
          <w:rStyle w:val="ECHRParaChar"/>
          <w:i/>
          <w:lang w:val="fr-FR"/>
        </w:rPr>
        <w:t xml:space="preserve"> </w:t>
      </w:r>
      <w:r w:rsidRPr="00146D77">
        <w:rPr>
          <w:rStyle w:val="ECHRParaChar"/>
          <w:i/>
          <w:lang w:val="fr-FR"/>
        </w:rPr>
        <w:t>Pologne</w:t>
      </w:r>
      <w:r w:rsidRPr="00146D77">
        <w:rPr>
          <w:rStyle w:val="ECHRParaChar"/>
          <w:lang w:val="fr-FR"/>
        </w:rPr>
        <w:t>,</w:t>
      </w:r>
      <w:r w:rsidRPr="00146D77">
        <w:rPr>
          <w:lang w:val="fr-FR"/>
        </w:rPr>
        <w:t xml:space="preserve"> n</w:t>
      </w:r>
      <w:r w:rsidRPr="00146D77">
        <w:rPr>
          <w:vertAlign w:val="superscript"/>
          <w:lang w:val="fr-FR"/>
        </w:rPr>
        <w:t>o</w:t>
      </w:r>
      <w:r w:rsidRPr="00146D77">
        <w:rPr>
          <w:lang w:val="fr-FR"/>
        </w:rPr>
        <w:t> 18176/05, § 59, 8 décembre 2009).</w:t>
      </w:r>
    </w:p>
    <w:p w:rsidRPr="00146D77" w:rsidR="0083156D" w:rsidP="00146D77" w:rsidRDefault="0083156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42</w:t>
      </w:r>
      <w:r w:rsidRPr="00146D77">
        <w:rPr>
          <w:lang w:val="fr-FR"/>
        </w:rPr>
        <w:fldChar w:fldCharType="end"/>
      </w:r>
      <w:r w:rsidRPr="00146D77">
        <w:rPr>
          <w:lang w:val="fr-FR"/>
        </w:rPr>
        <w:t>.  </w:t>
      </w:r>
      <w:r w:rsidRPr="00146D77" w:rsidR="00202649">
        <w:rPr>
          <w:lang w:val="fr-FR"/>
        </w:rPr>
        <w:t>L</w:t>
      </w:r>
      <w:r w:rsidRPr="00146D77" w:rsidR="00146D77">
        <w:rPr>
          <w:lang w:val="fr-FR"/>
        </w:rPr>
        <w:t>’</w:t>
      </w:r>
      <w:r w:rsidRPr="00146D77" w:rsidR="00202649">
        <w:rPr>
          <w:lang w:val="fr-FR"/>
        </w:rPr>
        <w:t>article 1 du Protocole n</w:t>
      </w:r>
      <w:r w:rsidRPr="00146D77" w:rsidR="00202649">
        <w:rPr>
          <w:vertAlign w:val="superscript"/>
          <w:lang w:val="fr-FR"/>
        </w:rPr>
        <w:t>o</w:t>
      </w:r>
      <w:r w:rsidRPr="00146D77" w:rsidR="00202649">
        <w:rPr>
          <w:lang w:val="fr-FR"/>
        </w:rPr>
        <w:t xml:space="preserve"> 1 exige en outre qu</w:t>
      </w:r>
      <w:r w:rsidRPr="00146D77" w:rsidR="00146D77">
        <w:rPr>
          <w:lang w:val="fr-FR"/>
        </w:rPr>
        <w:t>’</w:t>
      </w:r>
      <w:r w:rsidRPr="00146D77" w:rsidR="00202649">
        <w:rPr>
          <w:lang w:val="fr-FR"/>
        </w:rPr>
        <w:t>une telle ingérence soit raisonnablement proportionnée au but qu</w:t>
      </w:r>
      <w:r w:rsidRPr="00146D77" w:rsidR="00146D77">
        <w:rPr>
          <w:lang w:val="fr-FR"/>
        </w:rPr>
        <w:t>’</w:t>
      </w:r>
      <w:r w:rsidRPr="00146D77" w:rsidR="00202649">
        <w:rPr>
          <w:lang w:val="fr-FR"/>
        </w:rPr>
        <w:t>elle poursuit (</w:t>
      </w:r>
      <w:r w:rsidRPr="00146D77" w:rsidR="00202649">
        <w:rPr>
          <w:i/>
          <w:lang w:val="fr-FR"/>
        </w:rPr>
        <w:t>Jahn et autres c. Allemagne</w:t>
      </w:r>
      <w:r w:rsidRPr="00146D77" w:rsidR="00202649">
        <w:rPr>
          <w:lang w:val="fr-FR"/>
        </w:rPr>
        <w:t xml:space="preserve"> [GC], n</w:t>
      </w:r>
      <w:r w:rsidRPr="00146D77" w:rsidR="00202649">
        <w:rPr>
          <w:vertAlign w:val="superscript"/>
          <w:lang w:val="fr-FR"/>
        </w:rPr>
        <w:t>os</w:t>
      </w:r>
      <w:r w:rsidRPr="00146D77" w:rsidR="00202649">
        <w:rPr>
          <w:lang w:val="fr-FR"/>
        </w:rPr>
        <w:t xml:space="preserve"> 46720/99, 72203/01 et 72552/01, §§ 81-94, CEDH 2005-VI). </w:t>
      </w:r>
      <w:bookmarkStart w:name="lt_pId997" w:id="4"/>
      <w:r w:rsidRPr="00146D77" w:rsidR="00202649">
        <w:rPr>
          <w:lang w:val="fr-FR"/>
        </w:rPr>
        <w:t>Le juste équilibre à préserver sera détruit si l</w:t>
      </w:r>
      <w:r w:rsidRPr="00146D77" w:rsidR="00146D77">
        <w:rPr>
          <w:lang w:val="fr-FR"/>
        </w:rPr>
        <w:t>’</w:t>
      </w:r>
      <w:r w:rsidRPr="00146D77" w:rsidR="00202649">
        <w:rPr>
          <w:lang w:val="fr-FR"/>
        </w:rPr>
        <w:t>individu concerné supporte une charge spéciale et exorbitante (</w:t>
      </w:r>
      <w:r w:rsidRPr="00146D77" w:rsidR="00202649">
        <w:rPr>
          <w:i/>
          <w:lang w:val="fr-FR"/>
        </w:rPr>
        <w:t>Sporrong et Lönnroth c. Suède</w:t>
      </w:r>
      <w:r w:rsidRPr="00146D77" w:rsidR="00202649">
        <w:rPr>
          <w:lang w:val="fr-FR"/>
        </w:rPr>
        <w:t>, 23 septembre 1982, §§ 69-74, série A n</w:t>
      </w:r>
      <w:r w:rsidRPr="00146D77" w:rsidR="00202649">
        <w:rPr>
          <w:vertAlign w:val="superscript"/>
          <w:lang w:val="fr-FR"/>
        </w:rPr>
        <w:t>o</w:t>
      </w:r>
      <w:r w:rsidRPr="00146D77" w:rsidR="00202649">
        <w:rPr>
          <w:lang w:val="fr-FR"/>
        </w:rPr>
        <w:t xml:space="preserve"> 52, </w:t>
      </w:r>
      <w:r w:rsidRPr="00146D77" w:rsidR="00202649">
        <w:rPr>
          <w:i/>
          <w:lang w:val="fr-FR"/>
        </w:rPr>
        <w:t>Kjartan Ásmundsson</w:t>
      </w:r>
      <w:r w:rsidRPr="00146D77" w:rsidR="00202649">
        <w:rPr>
          <w:lang w:val="fr-FR"/>
        </w:rPr>
        <w:t xml:space="preserve">, précité, § 45, </w:t>
      </w:r>
      <w:r w:rsidRPr="00146D77" w:rsidR="00202649">
        <w:rPr>
          <w:i/>
          <w:lang w:val="fr-FR"/>
        </w:rPr>
        <w:t xml:space="preserve">Sargsyan c. Azerbaïdjan </w:t>
      </w:r>
      <w:r w:rsidRPr="00146D77" w:rsidR="00202649">
        <w:rPr>
          <w:lang w:val="fr-FR"/>
        </w:rPr>
        <w:t>[GC], n</w:t>
      </w:r>
      <w:r w:rsidRPr="00146D77" w:rsidR="00202649">
        <w:rPr>
          <w:vertAlign w:val="superscript"/>
          <w:lang w:val="fr-FR"/>
        </w:rPr>
        <w:t>o</w:t>
      </w:r>
      <w:r w:rsidRPr="00146D77" w:rsidR="00202649">
        <w:rPr>
          <w:lang w:val="fr-FR"/>
        </w:rPr>
        <w:t xml:space="preserve"> 40167/06, §</w:t>
      </w:r>
      <w:r w:rsidRPr="00146D77" w:rsidR="00B73B14">
        <w:rPr>
          <w:lang w:val="fr-FR"/>
        </w:rPr>
        <w:t xml:space="preserve"> </w:t>
      </w:r>
      <w:r w:rsidRPr="00146D77" w:rsidR="00202649">
        <w:rPr>
          <w:lang w:val="fr-FR"/>
        </w:rPr>
        <w:t xml:space="preserve">241, CEDH 2015, </w:t>
      </w:r>
      <w:r w:rsidRPr="00146D77" w:rsidR="00202649">
        <w:rPr>
          <w:i/>
          <w:lang w:val="fr-FR"/>
        </w:rPr>
        <w:t>Maggio et autres</w:t>
      </w:r>
      <w:r w:rsidRPr="00146D77" w:rsidR="00202649">
        <w:rPr>
          <w:lang w:val="fr-FR"/>
        </w:rPr>
        <w:t>, précité, § 63,</w:t>
      </w:r>
      <w:r w:rsidRPr="00146D77" w:rsidR="001E19B8">
        <w:rPr>
          <w:lang w:val="fr-FR"/>
        </w:rPr>
        <w:t xml:space="preserve"> et</w:t>
      </w:r>
      <w:r w:rsidRPr="00146D77" w:rsidR="00202649">
        <w:rPr>
          <w:lang w:val="fr-FR"/>
        </w:rPr>
        <w:t xml:space="preserve"> </w:t>
      </w:r>
      <w:bookmarkEnd w:id="4"/>
      <w:r w:rsidRPr="00146D77" w:rsidR="00980045">
        <w:rPr>
          <w:i/>
          <w:iCs/>
          <w:lang w:val="fr-FR"/>
        </w:rPr>
        <w:t>Stefanetti et autres c. Italie</w:t>
      </w:r>
      <w:r w:rsidRPr="00146D77" w:rsidR="00980045">
        <w:rPr>
          <w:i/>
          <w:lang w:val="fr-FR"/>
        </w:rPr>
        <w:t xml:space="preserve">, </w:t>
      </w:r>
      <w:r w:rsidRPr="00146D77" w:rsidR="00980045">
        <w:rPr>
          <w:lang w:val="fr-FR"/>
        </w:rPr>
        <w:t>n</w:t>
      </w:r>
      <w:r w:rsidRPr="00146D77" w:rsidR="00980045">
        <w:rPr>
          <w:vertAlign w:val="superscript"/>
          <w:lang w:val="fr-FR"/>
        </w:rPr>
        <w:t>os</w:t>
      </w:r>
      <w:r w:rsidRPr="00146D77" w:rsidR="00980045">
        <w:rPr>
          <w:lang w:val="fr-FR"/>
        </w:rPr>
        <w:t xml:space="preserve"> 21838/10 et 7 autres, § 66, 15 avril 2014</w:t>
      </w:r>
      <w:r w:rsidRPr="00146D77" w:rsidR="005F2E07">
        <w:rPr>
          <w:lang w:val="fr-FR"/>
        </w:rPr>
        <w:t>)</w:t>
      </w:r>
      <w:r w:rsidRPr="00146D77">
        <w:rPr>
          <w:lang w:val="fr-FR"/>
        </w:rPr>
        <w:t xml:space="preserve">. </w:t>
      </w:r>
      <w:r w:rsidRPr="00146D77">
        <w:rPr>
          <w:rFonts w:cstheme="minorHAnsi"/>
          <w:lang w:val="fr-FR"/>
        </w:rPr>
        <w:t>À</w:t>
      </w:r>
      <w:r w:rsidRPr="00146D77">
        <w:rPr>
          <w:lang w:val="fr-FR"/>
        </w:rPr>
        <w:t xml:space="preserve"> cet égard, il faut souligner que l</w:t>
      </w:r>
      <w:r w:rsidRPr="00146D77" w:rsidR="00146D77">
        <w:rPr>
          <w:lang w:val="fr-FR"/>
        </w:rPr>
        <w:t>’</w:t>
      </w:r>
      <w:r w:rsidRPr="00146D77">
        <w:rPr>
          <w:lang w:val="fr-FR"/>
        </w:rPr>
        <w:t>incertitude –</w:t>
      </w:r>
      <w:r w:rsidRPr="00146D77" w:rsidR="003154C4">
        <w:rPr>
          <w:lang w:val="fr-FR"/>
        </w:rPr>
        <w:t xml:space="preserve"> </w:t>
      </w:r>
      <w:r w:rsidRPr="00146D77">
        <w:rPr>
          <w:lang w:val="fr-FR"/>
        </w:rPr>
        <w:t>qu</w:t>
      </w:r>
      <w:r w:rsidRPr="00146D77" w:rsidR="00146D77">
        <w:rPr>
          <w:lang w:val="fr-FR"/>
        </w:rPr>
        <w:t>’</w:t>
      </w:r>
      <w:r w:rsidRPr="00146D77">
        <w:rPr>
          <w:lang w:val="fr-FR"/>
        </w:rPr>
        <w:t>elle soit législative, administrative, ou qu</w:t>
      </w:r>
      <w:r w:rsidRPr="00146D77" w:rsidR="00146D77">
        <w:rPr>
          <w:lang w:val="fr-FR"/>
        </w:rPr>
        <w:t>’</w:t>
      </w:r>
      <w:r w:rsidRPr="00146D77">
        <w:rPr>
          <w:lang w:val="fr-FR"/>
        </w:rPr>
        <w:t>elle tienne aux pratiques des autorités</w:t>
      </w:r>
      <w:r w:rsidRPr="00146D77" w:rsidR="003154C4">
        <w:rPr>
          <w:lang w:val="fr-FR"/>
        </w:rPr>
        <w:t xml:space="preserve"> </w:t>
      </w:r>
      <w:r w:rsidRPr="00146D77">
        <w:rPr>
          <w:lang w:val="fr-FR"/>
        </w:rPr>
        <w:t>– est un facteur qu</w:t>
      </w:r>
      <w:r w:rsidRPr="00146D77" w:rsidR="00146D77">
        <w:rPr>
          <w:lang w:val="fr-FR"/>
        </w:rPr>
        <w:t>’</w:t>
      </w:r>
      <w:r w:rsidRPr="00146D77">
        <w:rPr>
          <w:lang w:val="fr-FR"/>
        </w:rPr>
        <w:t>il faut prendre en compte pour apprécier la conduite de l</w:t>
      </w:r>
      <w:r w:rsidRPr="00146D77" w:rsidR="00146D77">
        <w:rPr>
          <w:lang w:val="fr-FR"/>
        </w:rPr>
        <w:t>’</w:t>
      </w:r>
      <w:r w:rsidRPr="00146D77">
        <w:rPr>
          <w:rFonts w:cstheme="minorHAnsi"/>
          <w:lang w:val="fr-FR"/>
        </w:rPr>
        <w:t>É</w:t>
      </w:r>
      <w:r w:rsidRPr="00146D77">
        <w:rPr>
          <w:lang w:val="fr-FR"/>
        </w:rPr>
        <w:t>tat. En effet, lorsqu</w:t>
      </w:r>
      <w:r w:rsidRPr="00146D77" w:rsidR="00146D77">
        <w:rPr>
          <w:lang w:val="fr-FR"/>
        </w:rPr>
        <w:t>’</w:t>
      </w:r>
      <w:r w:rsidRPr="00146D77">
        <w:rPr>
          <w:lang w:val="fr-FR"/>
        </w:rPr>
        <w:t>une question d</w:t>
      </w:r>
      <w:r w:rsidRPr="00146D77" w:rsidR="00146D77">
        <w:rPr>
          <w:lang w:val="fr-FR"/>
        </w:rPr>
        <w:t>’</w:t>
      </w:r>
      <w:r w:rsidRPr="00146D77">
        <w:rPr>
          <w:lang w:val="fr-FR"/>
        </w:rPr>
        <w:t>intérêt général est en jeu, les pouvoirs publics sont tenus de réagir en temps utile, de façon correcte et avec la plus grande cohérence (</w:t>
      </w:r>
      <w:r w:rsidRPr="00146D77">
        <w:rPr>
          <w:i/>
          <w:lang w:val="it-IT"/>
        </w:rPr>
        <w:t>Broniowski c.</w:t>
      </w:r>
      <w:r w:rsidRPr="00146D77" w:rsidR="00B73B14">
        <w:rPr>
          <w:i/>
          <w:lang w:val="it-IT"/>
        </w:rPr>
        <w:t xml:space="preserve"> </w:t>
      </w:r>
      <w:r w:rsidRPr="00146D77">
        <w:rPr>
          <w:i/>
          <w:lang w:val="it-IT"/>
        </w:rPr>
        <w:t xml:space="preserve">Pologne </w:t>
      </w:r>
      <w:r w:rsidRPr="00146D77">
        <w:rPr>
          <w:lang w:val="it-IT"/>
        </w:rPr>
        <w:t>[GC], n</w:t>
      </w:r>
      <w:r w:rsidRPr="00146D77">
        <w:rPr>
          <w:vertAlign w:val="superscript"/>
          <w:lang w:val="it-IT"/>
        </w:rPr>
        <w:t>o</w:t>
      </w:r>
      <w:r w:rsidRPr="00146D77">
        <w:rPr>
          <w:lang w:val="it-IT"/>
        </w:rPr>
        <w:t xml:space="preserve"> 31443/96, § 151, CEDH 2004</w:t>
      </w:r>
      <w:r w:rsidRPr="00146D77">
        <w:rPr>
          <w:lang w:val="it-IT"/>
        </w:rPr>
        <w:noBreakHyphen/>
        <w:t>V</w:t>
      </w:r>
      <w:r w:rsidRPr="00146D77">
        <w:rPr>
          <w:lang w:val="fr-FR"/>
        </w:rPr>
        <w:t>).</w:t>
      </w:r>
    </w:p>
    <w:p w:rsidRPr="00146D77" w:rsidR="0083156D" w:rsidP="00146D77" w:rsidRDefault="0083156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43</w:t>
      </w:r>
      <w:r w:rsidRPr="00146D77">
        <w:rPr>
          <w:lang w:val="fr-FR"/>
        </w:rPr>
        <w:fldChar w:fldCharType="end"/>
      </w:r>
      <w:r w:rsidRPr="00146D77">
        <w:rPr>
          <w:lang w:val="fr-FR"/>
        </w:rPr>
        <w:t>.  Pour apprécier la situation au regard de cette disposition, il importe de se demander si le droit du requérant à obtenir des prestations du régime de sécurité sociale en question a été enfreint d</w:t>
      </w:r>
      <w:r w:rsidRPr="00146D77" w:rsidR="00146D77">
        <w:rPr>
          <w:lang w:val="fr-FR"/>
        </w:rPr>
        <w:t>’</w:t>
      </w:r>
      <w:r w:rsidRPr="00146D77">
        <w:rPr>
          <w:lang w:val="fr-FR"/>
        </w:rPr>
        <w:t>une manière qui entraîne une atteinte à la substance des droits à pension (</w:t>
      </w:r>
      <w:r w:rsidRPr="00146D77">
        <w:rPr>
          <w:i/>
          <w:iCs/>
          <w:lang w:val="fr-FR"/>
        </w:rPr>
        <w:t>Domalewski</w:t>
      </w:r>
      <w:r w:rsidRPr="00146D77">
        <w:rPr>
          <w:lang w:val="fr-FR"/>
        </w:rPr>
        <w:t xml:space="preserve">, décision précitée, et </w:t>
      </w:r>
      <w:r w:rsidRPr="00146D77">
        <w:rPr>
          <w:i/>
          <w:lang w:val="fr-FR"/>
        </w:rPr>
        <w:t>Kjartan Ásmundsson</w:t>
      </w:r>
      <w:r w:rsidRPr="00146D77">
        <w:rPr>
          <w:lang w:val="fr-FR"/>
        </w:rPr>
        <w:t>, précité, § 39). Lorsque le montant d</w:t>
      </w:r>
      <w:r w:rsidRPr="00146D77" w:rsidR="00146D77">
        <w:rPr>
          <w:lang w:val="fr-FR"/>
        </w:rPr>
        <w:t>’</w:t>
      </w:r>
      <w:r w:rsidRPr="00146D77">
        <w:rPr>
          <w:lang w:val="fr-FR"/>
        </w:rPr>
        <w:t>une prestation sociale est réduit ou annulé, il peut y avoir une ingérence dans le droit au respect des biens qui nécessite d</w:t>
      </w:r>
      <w:r w:rsidRPr="00146D77" w:rsidR="00146D77">
        <w:rPr>
          <w:lang w:val="fr-FR"/>
        </w:rPr>
        <w:t>’</w:t>
      </w:r>
      <w:r w:rsidRPr="00146D77">
        <w:rPr>
          <w:lang w:val="fr-FR"/>
        </w:rPr>
        <w:t>être justifiée (</w:t>
      </w:r>
      <w:r w:rsidRPr="00146D77">
        <w:rPr>
          <w:i/>
          <w:lang w:val="fr-FR"/>
        </w:rPr>
        <w:t>Kjartan Ásmundsson</w:t>
      </w:r>
      <w:r w:rsidRPr="00146D77">
        <w:rPr>
          <w:lang w:val="fr-FR"/>
        </w:rPr>
        <w:t xml:space="preserve">, précité, § 40, </w:t>
      </w:r>
      <w:r w:rsidRPr="00146D77">
        <w:rPr>
          <w:i/>
          <w:lang w:val="fr-FR"/>
        </w:rPr>
        <w:t>Rasmussen c. Pologne</w:t>
      </w:r>
      <w:r w:rsidRPr="00146D77">
        <w:rPr>
          <w:lang w:val="fr-FR"/>
        </w:rPr>
        <w:t>, n</w:t>
      </w:r>
      <w:r w:rsidRPr="00146D77">
        <w:rPr>
          <w:vertAlign w:val="superscript"/>
          <w:lang w:val="fr-FR"/>
        </w:rPr>
        <w:t>o</w:t>
      </w:r>
      <w:r w:rsidRPr="00146D77">
        <w:rPr>
          <w:lang w:val="fr-FR"/>
        </w:rPr>
        <w:t xml:space="preserve"> 38886/05, § 71, 28 avril 2009, </w:t>
      </w:r>
      <w:r w:rsidRPr="00146D77">
        <w:rPr>
          <w:i/>
          <w:lang w:val="fr-FR"/>
        </w:rPr>
        <w:t>Maggio et autres</w:t>
      </w:r>
      <w:r w:rsidRPr="00146D77">
        <w:rPr>
          <w:lang w:val="fr-FR"/>
        </w:rPr>
        <w:t xml:space="preserve">, précité, § 58, et </w:t>
      </w:r>
      <w:r w:rsidRPr="00146D77">
        <w:rPr>
          <w:i/>
          <w:lang w:val="fr-FR"/>
        </w:rPr>
        <w:t>Varesi et autres</w:t>
      </w:r>
      <w:r w:rsidRPr="00146D77">
        <w:rPr>
          <w:lang w:val="fr-FR"/>
        </w:rPr>
        <w:t>, décision précitée, § 38).</w:t>
      </w:r>
    </w:p>
    <w:p w:rsidRPr="00146D77" w:rsidR="0083156D" w:rsidP="00146D77" w:rsidRDefault="0083156D">
      <w:pPr>
        <w:pStyle w:val="ECHRHeading4"/>
        <w:spacing w:line="480" w:lineRule="auto"/>
        <w:rPr>
          <w:lang w:val="fr-FR"/>
        </w:rPr>
      </w:pPr>
      <w:r w:rsidRPr="00146D77">
        <w:rPr>
          <w:lang w:val="fr-FR"/>
        </w:rPr>
        <w:t>b)  Application de ces principes au cas d</w:t>
      </w:r>
      <w:r w:rsidRPr="00146D77" w:rsidR="00146D77">
        <w:rPr>
          <w:lang w:val="fr-FR"/>
        </w:rPr>
        <w:t>’</w:t>
      </w:r>
      <w:r w:rsidRPr="00146D77">
        <w:rPr>
          <w:lang w:val="fr-FR"/>
        </w:rPr>
        <w:t>espèce</w:t>
      </w:r>
    </w:p>
    <w:p w:rsidRPr="00146D77" w:rsidR="0083156D" w:rsidP="00146D77" w:rsidRDefault="0083156D">
      <w:pPr>
        <w:pStyle w:val="ECHRPara"/>
        <w:rPr>
          <w:szCs w:val="24"/>
          <w:lang w:val="fr-FR"/>
        </w:rPr>
      </w:pPr>
      <w:r w:rsidRPr="00146D77">
        <w:rPr>
          <w:szCs w:val="24"/>
          <w:lang w:val="fr-FR"/>
        </w:rPr>
        <w:fldChar w:fldCharType="begin"/>
      </w:r>
      <w:r w:rsidRPr="00146D77">
        <w:rPr>
          <w:szCs w:val="24"/>
          <w:lang w:val="fr-FR"/>
        </w:rPr>
        <w:instrText xml:space="preserve"> SEQ level0 \*arabic </w:instrText>
      </w:r>
      <w:r w:rsidRPr="00146D77">
        <w:rPr>
          <w:szCs w:val="24"/>
          <w:lang w:val="fr-FR"/>
        </w:rPr>
        <w:fldChar w:fldCharType="separate"/>
      </w:r>
      <w:r w:rsidRPr="00146D77" w:rsidR="00146D77">
        <w:rPr>
          <w:noProof/>
          <w:szCs w:val="24"/>
          <w:lang w:val="fr-FR"/>
        </w:rPr>
        <w:t>44</w:t>
      </w:r>
      <w:r w:rsidRPr="00146D77">
        <w:rPr>
          <w:szCs w:val="24"/>
          <w:lang w:val="fr-FR"/>
        </w:rPr>
        <w:fldChar w:fldCharType="end"/>
      </w:r>
      <w:r w:rsidRPr="00146D77">
        <w:rPr>
          <w:szCs w:val="24"/>
          <w:lang w:val="fr-FR"/>
        </w:rPr>
        <w:t>.  En ce qui concerne le statut de la caisse, les avis des parties divergent. Le Gouvernement soutient qu</w:t>
      </w:r>
      <w:r w:rsidRPr="00146D77" w:rsidR="00146D77">
        <w:rPr>
          <w:szCs w:val="24"/>
          <w:lang w:val="fr-FR"/>
        </w:rPr>
        <w:t>’</w:t>
      </w:r>
      <w:r w:rsidRPr="00146D77">
        <w:rPr>
          <w:szCs w:val="24"/>
          <w:lang w:val="fr-FR"/>
        </w:rPr>
        <w:t>il s</w:t>
      </w:r>
      <w:r w:rsidRPr="00146D77" w:rsidR="00146D77">
        <w:rPr>
          <w:szCs w:val="24"/>
          <w:lang w:val="fr-FR"/>
        </w:rPr>
        <w:t>’</w:t>
      </w:r>
      <w:r w:rsidRPr="00146D77">
        <w:rPr>
          <w:szCs w:val="24"/>
          <w:lang w:val="fr-FR"/>
        </w:rPr>
        <w:t>agit d</w:t>
      </w:r>
      <w:r w:rsidRPr="00146D77" w:rsidR="00146D77">
        <w:rPr>
          <w:szCs w:val="24"/>
          <w:lang w:val="fr-FR"/>
        </w:rPr>
        <w:t>’</w:t>
      </w:r>
      <w:r w:rsidRPr="00146D77">
        <w:rPr>
          <w:szCs w:val="24"/>
          <w:lang w:val="fr-FR"/>
        </w:rPr>
        <w:t>une caisse privée tandis que les requérants sont d</w:t>
      </w:r>
      <w:r w:rsidRPr="00146D77" w:rsidR="00146D77">
        <w:rPr>
          <w:szCs w:val="24"/>
          <w:lang w:val="fr-FR"/>
        </w:rPr>
        <w:t>’</w:t>
      </w:r>
      <w:r w:rsidRPr="00146D77">
        <w:rPr>
          <w:szCs w:val="24"/>
          <w:lang w:val="fr-FR"/>
        </w:rPr>
        <w:t>avis qu</w:t>
      </w:r>
      <w:r w:rsidRPr="00146D77" w:rsidR="00146D77">
        <w:rPr>
          <w:szCs w:val="24"/>
          <w:lang w:val="fr-FR"/>
        </w:rPr>
        <w:t>’</w:t>
      </w:r>
      <w:r w:rsidRPr="00146D77">
        <w:rPr>
          <w:szCs w:val="24"/>
          <w:lang w:val="fr-FR"/>
        </w:rPr>
        <w:t>il s</w:t>
      </w:r>
      <w:r w:rsidRPr="00146D77" w:rsidR="00146D77">
        <w:rPr>
          <w:szCs w:val="24"/>
          <w:lang w:val="fr-FR"/>
        </w:rPr>
        <w:t>’</w:t>
      </w:r>
      <w:r w:rsidRPr="00146D77">
        <w:rPr>
          <w:szCs w:val="24"/>
          <w:lang w:val="fr-FR"/>
        </w:rPr>
        <w:t>agit d</w:t>
      </w:r>
      <w:r w:rsidRPr="00146D77" w:rsidR="00146D77">
        <w:rPr>
          <w:szCs w:val="24"/>
          <w:lang w:val="fr-FR"/>
        </w:rPr>
        <w:t>’</w:t>
      </w:r>
      <w:r w:rsidRPr="00146D77">
        <w:rPr>
          <w:szCs w:val="24"/>
          <w:lang w:val="fr-FR"/>
        </w:rPr>
        <w:t>une institution publique.</w:t>
      </w:r>
    </w:p>
    <w:p w:rsidRPr="00146D77" w:rsidR="0083156D" w:rsidP="00146D77" w:rsidRDefault="0083156D">
      <w:pPr>
        <w:pStyle w:val="ECHRPara"/>
        <w:rPr>
          <w:lang w:val="fr-FR"/>
        </w:rPr>
      </w:pPr>
      <w:r w:rsidRPr="00146D77">
        <w:rPr>
          <w:szCs w:val="24"/>
          <w:lang w:val="fr-FR"/>
        </w:rPr>
        <w:t xml:space="preserve">La Cour note que </w:t>
      </w:r>
      <w:r w:rsidRPr="00146D77">
        <w:rPr>
          <w:lang w:val="fr-FR"/>
        </w:rPr>
        <w:t>la Caisse de maladie et de retraite des fonctionnaires et employés de la Société anonyme turque d</w:t>
      </w:r>
      <w:r w:rsidRPr="00146D77" w:rsidR="00146D77">
        <w:rPr>
          <w:lang w:val="fr-FR"/>
        </w:rPr>
        <w:t>’</w:t>
      </w:r>
      <w:r w:rsidRPr="00146D77">
        <w:rPr>
          <w:lang w:val="fr-FR"/>
        </w:rPr>
        <w:t>assurances « Ankara » a été créée sur le fondement de l</w:t>
      </w:r>
      <w:r w:rsidRPr="00146D77" w:rsidR="00146D77">
        <w:rPr>
          <w:lang w:val="fr-FR"/>
        </w:rPr>
        <w:t>’</w:t>
      </w:r>
      <w:r w:rsidRPr="00146D77">
        <w:rPr>
          <w:lang w:val="fr-FR"/>
        </w:rPr>
        <w:t>article 20 provisoire de la loi n</w:t>
      </w:r>
      <w:r w:rsidRPr="00146D77">
        <w:rPr>
          <w:vertAlign w:val="superscript"/>
          <w:lang w:val="fr-FR"/>
        </w:rPr>
        <w:t>o</w:t>
      </w:r>
      <w:r w:rsidRPr="00146D77">
        <w:rPr>
          <w:lang w:val="fr-FR"/>
        </w:rPr>
        <w:t xml:space="preserve"> 506 afin de remplir la même fonction que les autres organismes principaux œuvrant en la matière, tels l</w:t>
      </w:r>
      <w:r w:rsidRPr="00146D77" w:rsidR="00146D77">
        <w:rPr>
          <w:lang w:val="fr-FR"/>
        </w:rPr>
        <w:t>’</w:t>
      </w:r>
      <w:r w:rsidRPr="00146D77">
        <w:rPr>
          <w:rFonts w:cstheme="minorHAnsi"/>
          <w:caps/>
          <w:lang w:val="fr-FR"/>
        </w:rPr>
        <w:t>É</w:t>
      </w:r>
      <w:r w:rsidRPr="00146D77">
        <w:rPr>
          <w:lang w:val="fr-FR"/>
        </w:rPr>
        <w:t>tablissement pour la sécurité sociale et la Caisse de retraite. Au vu des considérations ci-après, la Cour n</w:t>
      </w:r>
      <w:r w:rsidRPr="00146D77" w:rsidR="00146D77">
        <w:rPr>
          <w:lang w:val="fr-FR"/>
        </w:rPr>
        <w:t>’</w:t>
      </w:r>
      <w:r w:rsidRPr="00146D77">
        <w:rPr>
          <w:lang w:val="fr-FR"/>
        </w:rPr>
        <w:t>estime pas nécessaire de rechercher plus avant si la caisse avait ou non un statut public en ce qui concerne les suppléments de pension qu</w:t>
      </w:r>
      <w:r w:rsidRPr="00146D77" w:rsidR="00146D77">
        <w:rPr>
          <w:lang w:val="fr-FR"/>
        </w:rPr>
        <w:t>’</w:t>
      </w:r>
      <w:r w:rsidRPr="00146D77">
        <w:rPr>
          <w:lang w:val="fr-FR"/>
        </w:rPr>
        <w:t>elle versait à ses pensionnés.</w:t>
      </w:r>
    </w:p>
    <w:p w:rsidRPr="00146D77" w:rsidR="0083156D" w:rsidP="00146D77" w:rsidRDefault="0083156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45</w:t>
      </w:r>
      <w:r w:rsidRPr="00146D77">
        <w:rPr>
          <w:lang w:val="fr-FR"/>
        </w:rPr>
        <w:fldChar w:fldCharType="end"/>
      </w:r>
      <w:r w:rsidRPr="00146D77">
        <w:rPr>
          <w:lang w:val="fr-FR"/>
        </w:rPr>
        <w:t>.  La Cour constate qu</w:t>
      </w:r>
      <w:r w:rsidRPr="00146D77" w:rsidR="00146D77">
        <w:rPr>
          <w:lang w:val="fr-FR"/>
        </w:rPr>
        <w:t>’</w:t>
      </w:r>
      <w:r w:rsidRPr="00146D77">
        <w:rPr>
          <w:lang w:val="fr-FR"/>
        </w:rPr>
        <w:t>en l</w:t>
      </w:r>
      <w:r w:rsidRPr="00146D77" w:rsidR="00146D77">
        <w:rPr>
          <w:lang w:val="fr-FR"/>
        </w:rPr>
        <w:t>’</w:t>
      </w:r>
      <w:r w:rsidRPr="00146D77">
        <w:rPr>
          <w:lang w:val="fr-FR"/>
        </w:rPr>
        <w:t>espèce il n</w:t>
      </w:r>
      <w:r w:rsidRPr="00146D77" w:rsidR="00146D77">
        <w:rPr>
          <w:lang w:val="fr-FR"/>
        </w:rPr>
        <w:t>’</w:t>
      </w:r>
      <w:r w:rsidRPr="00146D77">
        <w:rPr>
          <w:lang w:val="fr-FR"/>
        </w:rPr>
        <w:t>est pas contesté que les requérants, qui ont droit à une pension de retraite, étaient titulaires d</w:t>
      </w:r>
      <w:r w:rsidRPr="00146D77" w:rsidR="00146D77">
        <w:rPr>
          <w:lang w:val="fr-FR"/>
        </w:rPr>
        <w:t>’</w:t>
      </w:r>
      <w:r w:rsidRPr="00146D77">
        <w:rPr>
          <w:lang w:val="fr-FR"/>
        </w:rPr>
        <w:t>un « bien » au sens de l</w:t>
      </w:r>
      <w:r w:rsidRPr="00146D77" w:rsidR="00146D77">
        <w:rPr>
          <w:lang w:val="fr-FR"/>
        </w:rPr>
        <w:t>’</w:t>
      </w:r>
      <w:r w:rsidRPr="00146D77">
        <w:rPr>
          <w:lang w:val="fr-FR"/>
        </w:rPr>
        <w:t>article 1 du Protocole n</w:t>
      </w:r>
      <w:r w:rsidRPr="00146D77">
        <w:rPr>
          <w:vertAlign w:val="superscript"/>
          <w:lang w:val="fr-FR"/>
        </w:rPr>
        <w:t>o</w:t>
      </w:r>
      <w:r w:rsidRPr="00146D77">
        <w:rPr>
          <w:lang w:val="fr-FR"/>
        </w:rPr>
        <w:t xml:space="preserve"> 1. Toutefois, selon le Gouvernement, l</w:t>
      </w:r>
      <w:r w:rsidRPr="00146D77" w:rsidR="00146D77">
        <w:rPr>
          <w:lang w:val="fr-FR"/>
        </w:rPr>
        <w:t>’</w:t>
      </w:r>
      <w:r w:rsidRPr="00146D77">
        <w:rPr>
          <w:lang w:val="fr-FR"/>
        </w:rPr>
        <w:t>intervention de la sécurité sociale n</w:t>
      </w:r>
      <w:r w:rsidRPr="00146D77" w:rsidR="00146D77">
        <w:rPr>
          <w:lang w:val="fr-FR"/>
        </w:rPr>
        <w:t>’</w:t>
      </w:r>
      <w:r w:rsidRPr="00146D77">
        <w:rPr>
          <w:lang w:val="fr-FR"/>
        </w:rPr>
        <w:t>a pas constitué une atteinte au droit des requérants au respect de leurs biens.</w:t>
      </w:r>
    </w:p>
    <w:p w:rsidRPr="00146D77" w:rsidR="0083156D" w:rsidP="00146D77" w:rsidRDefault="0083156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46</w:t>
      </w:r>
      <w:r w:rsidRPr="00146D77">
        <w:rPr>
          <w:lang w:val="fr-FR"/>
        </w:rPr>
        <w:fldChar w:fldCharType="end"/>
      </w:r>
      <w:r w:rsidRPr="00146D77">
        <w:rPr>
          <w:lang w:val="fr-FR"/>
        </w:rPr>
        <w:t>.  La Cour note qu</w:t>
      </w:r>
      <w:r w:rsidRPr="00146D77" w:rsidR="00146D77">
        <w:rPr>
          <w:lang w:val="fr-FR"/>
        </w:rPr>
        <w:t>’</w:t>
      </w:r>
      <w:r w:rsidRPr="00146D77">
        <w:rPr>
          <w:lang w:val="fr-FR"/>
        </w:rPr>
        <w:t>en l</w:t>
      </w:r>
      <w:r w:rsidRPr="00146D77" w:rsidR="00146D77">
        <w:rPr>
          <w:lang w:val="fr-FR"/>
        </w:rPr>
        <w:t>’</w:t>
      </w:r>
      <w:r w:rsidRPr="00146D77">
        <w:rPr>
          <w:lang w:val="fr-FR"/>
        </w:rPr>
        <w:t>espèce les pensions de retraite des requérants ont été diminuées, dans certains cas de près de 50 %. En conséquence, la Cour partira de l</w:t>
      </w:r>
      <w:r w:rsidRPr="00146D77" w:rsidR="00146D77">
        <w:rPr>
          <w:lang w:val="fr-FR"/>
        </w:rPr>
        <w:t>’</w:t>
      </w:r>
      <w:r w:rsidRPr="00146D77">
        <w:rPr>
          <w:lang w:val="fr-FR"/>
        </w:rPr>
        <w:t>hypothèse que la mesure imposée constituait une ingérence dans le droit au respect des biens des requérants en vertu de l</w:t>
      </w:r>
      <w:r w:rsidRPr="00146D77" w:rsidR="00146D77">
        <w:rPr>
          <w:lang w:val="fr-FR"/>
        </w:rPr>
        <w:t>’</w:t>
      </w:r>
      <w:r w:rsidRPr="00146D77">
        <w:rPr>
          <w:lang w:val="fr-FR"/>
        </w:rPr>
        <w:t>article 1 du Protocole n</w:t>
      </w:r>
      <w:r w:rsidRPr="00146D77">
        <w:rPr>
          <w:vertAlign w:val="superscript"/>
          <w:lang w:val="fr-FR"/>
        </w:rPr>
        <w:t>o</w:t>
      </w:r>
      <w:r w:rsidRPr="00146D77">
        <w:rPr>
          <w:lang w:val="fr-FR"/>
        </w:rPr>
        <w:t xml:space="preserve"> 1. Elle ne remet pas en cause que la mesure était « prévue par la loi » ou qu</w:t>
      </w:r>
      <w:r w:rsidRPr="00146D77" w:rsidR="00146D77">
        <w:rPr>
          <w:lang w:val="fr-FR"/>
        </w:rPr>
        <w:t>’</w:t>
      </w:r>
      <w:r w:rsidRPr="00146D77">
        <w:rPr>
          <w:lang w:val="fr-FR"/>
        </w:rPr>
        <w:t>elle poursuivait un « but légitime ». Ainsi, elle estime que la question qui peut se poser sur le terrain de la Convention est de vérifier si les requérants n</w:t>
      </w:r>
      <w:r w:rsidRPr="00146D77" w:rsidR="00146D77">
        <w:rPr>
          <w:lang w:val="fr-FR"/>
        </w:rPr>
        <w:t>’</w:t>
      </w:r>
      <w:r w:rsidRPr="00146D77">
        <w:rPr>
          <w:lang w:val="fr-FR"/>
        </w:rPr>
        <w:t>ont pas été amenés à supporter une charge excessive et disproportionnée qui, même si l</w:t>
      </w:r>
      <w:r w:rsidRPr="00146D77" w:rsidR="00146D77">
        <w:rPr>
          <w:lang w:val="fr-FR"/>
        </w:rPr>
        <w:t>’</w:t>
      </w:r>
      <w:r w:rsidRPr="00146D77">
        <w:rPr>
          <w:lang w:val="fr-FR"/>
        </w:rPr>
        <w:t>on tient compte de la grande marge d</w:t>
      </w:r>
      <w:r w:rsidRPr="00146D77" w:rsidR="00146D77">
        <w:rPr>
          <w:lang w:val="fr-FR"/>
        </w:rPr>
        <w:t>’</w:t>
      </w:r>
      <w:r w:rsidRPr="00146D77">
        <w:rPr>
          <w:lang w:val="fr-FR"/>
        </w:rPr>
        <w:t>appréciation à reconnaître à l</w:t>
      </w:r>
      <w:r w:rsidRPr="00146D77" w:rsidR="00146D77">
        <w:rPr>
          <w:lang w:val="fr-FR"/>
        </w:rPr>
        <w:t>’</w:t>
      </w:r>
      <w:r w:rsidRPr="00146D77">
        <w:rPr>
          <w:rFonts w:cstheme="minorHAnsi"/>
          <w:lang w:val="fr-FR"/>
        </w:rPr>
        <w:t>É</w:t>
      </w:r>
      <w:r w:rsidRPr="00146D77">
        <w:rPr>
          <w:lang w:val="fr-FR"/>
        </w:rPr>
        <w:t xml:space="preserve">tat en matière de législation sociale, ne saurait se justifier par les intérêts légitimes de la collectivité (voir, </w:t>
      </w:r>
      <w:r w:rsidRPr="00146D77">
        <w:rPr>
          <w:i/>
          <w:lang w:val="fr-FR"/>
        </w:rPr>
        <w:t>mutatis mutandis</w:t>
      </w:r>
      <w:r w:rsidRPr="00146D77">
        <w:rPr>
          <w:lang w:val="fr-FR"/>
        </w:rPr>
        <w:t xml:space="preserve">, </w:t>
      </w:r>
      <w:r w:rsidRPr="00146D77">
        <w:rPr>
          <w:i/>
          <w:lang w:val="fr-FR"/>
        </w:rPr>
        <w:t>Kjartan Ásmundsson</w:t>
      </w:r>
      <w:r w:rsidRPr="00146D77">
        <w:rPr>
          <w:lang w:val="fr-FR"/>
        </w:rPr>
        <w:t>,</w:t>
      </w:r>
      <w:r w:rsidRPr="00146D77">
        <w:rPr>
          <w:i/>
          <w:lang w:val="fr-FR"/>
        </w:rPr>
        <w:t xml:space="preserve"> </w:t>
      </w:r>
      <w:r w:rsidRPr="00146D77">
        <w:rPr>
          <w:lang w:val="fr-FR"/>
        </w:rPr>
        <w:t>précité,</w:t>
      </w:r>
      <w:r w:rsidRPr="00146D77">
        <w:rPr>
          <w:i/>
          <w:lang w:val="fr-FR"/>
        </w:rPr>
        <w:t xml:space="preserve"> </w:t>
      </w:r>
      <w:r w:rsidRPr="00146D77">
        <w:rPr>
          <w:lang w:val="fr-FR"/>
        </w:rPr>
        <w:t>§§ 40 et 45).</w:t>
      </w:r>
    </w:p>
    <w:p w:rsidRPr="00146D77" w:rsidR="0083156D" w:rsidP="00146D77" w:rsidRDefault="0083156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47</w:t>
      </w:r>
      <w:r w:rsidRPr="00146D77">
        <w:rPr>
          <w:lang w:val="fr-FR"/>
        </w:rPr>
        <w:fldChar w:fldCharType="end"/>
      </w:r>
      <w:r w:rsidRPr="00146D77">
        <w:rPr>
          <w:lang w:val="fr-FR"/>
        </w:rPr>
        <w:t>.  La Cour relève que dans cette affaire, en 2001, le conseil d</w:t>
      </w:r>
      <w:r w:rsidRPr="00146D77" w:rsidR="00146D77">
        <w:rPr>
          <w:lang w:val="fr-FR"/>
        </w:rPr>
        <w:t>’</w:t>
      </w:r>
      <w:r w:rsidRPr="00146D77">
        <w:rPr>
          <w:lang w:val="fr-FR"/>
        </w:rPr>
        <w:t>administration de la Société anonyme turque d</w:t>
      </w:r>
      <w:r w:rsidRPr="00146D77" w:rsidR="00146D77">
        <w:rPr>
          <w:lang w:val="fr-FR"/>
        </w:rPr>
        <w:t>’</w:t>
      </w:r>
      <w:r w:rsidRPr="00146D77">
        <w:rPr>
          <w:lang w:val="fr-FR"/>
        </w:rPr>
        <w:t>assurances « Ankara » constata que la caisse comprenait 105 affiliés actifs et 180 retraités, que le déficit technique s</w:t>
      </w:r>
      <w:r w:rsidRPr="00146D77" w:rsidR="00146D77">
        <w:rPr>
          <w:lang w:val="fr-FR"/>
        </w:rPr>
        <w:t>’</w:t>
      </w:r>
      <w:r w:rsidRPr="00146D77">
        <w:rPr>
          <w:lang w:val="fr-FR"/>
        </w:rPr>
        <w:t>élevait à 7 536 874 462 160 TRL (soit 5 753 340 EUR à l</w:t>
      </w:r>
      <w:r w:rsidRPr="00146D77" w:rsidR="00146D77">
        <w:rPr>
          <w:lang w:val="fr-FR"/>
        </w:rPr>
        <w:t>’</w:t>
      </w:r>
      <w:r w:rsidRPr="00146D77">
        <w:rPr>
          <w:lang w:val="fr-FR"/>
        </w:rPr>
        <w:t>époque des faits) et décida que les pensions et les prestations sociales des affiliés seraient versées dans les limites prévues par la loi n</w:t>
      </w:r>
      <w:r w:rsidRPr="00146D77">
        <w:rPr>
          <w:vertAlign w:val="superscript"/>
          <w:lang w:val="fr-FR"/>
        </w:rPr>
        <w:t>o</w:t>
      </w:r>
      <w:r w:rsidRPr="00146D77">
        <w:rPr>
          <w:lang w:val="fr-FR"/>
        </w:rPr>
        <w:t xml:space="preserve"> 506. Ensuite, par une décision du Conseil des ministres du 20 décembre 2001, les fonds de la caisse furent transférés à l</w:t>
      </w:r>
      <w:r w:rsidRPr="00146D77" w:rsidR="00146D77">
        <w:rPr>
          <w:lang w:val="fr-FR"/>
        </w:rPr>
        <w:t>’</w:t>
      </w:r>
      <w:r w:rsidRPr="00146D77">
        <w:rPr>
          <w:rFonts w:cstheme="minorHAnsi"/>
          <w:caps/>
          <w:lang w:val="fr-FR"/>
        </w:rPr>
        <w:t>É</w:t>
      </w:r>
      <w:r w:rsidRPr="00146D77">
        <w:rPr>
          <w:lang w:val="fr-FR"/>
        </w:rPr>
        <w:t xml:space="preserve">tablissement pour la sécurité sociale, en vertu de </w:t>
      </w:r>
      <w:r w:rsidRPr="00146D77" w:rsidR="00A35AB1">
        <w:rPr>
          <w:lang w:val="fr-FR"/>
        </w:rPr>
        <w:t>l</w:t>
      </w:r>
      <w:r w:rsidRPr="00146D77" w:rsidR="00146D77">
        <w:rPr>
          <w:lang w:val="fr-FR"/>
        </w:rPr>
        <w:t>’</w:t>
      </w:r>
      <w:r w:rsidRPr="00146D77" w:rsidR="00A35AB1">
        <w:rPr>
          <w:lang w:val="fr-FR"/>
        </w:rPr>
        <w:t>article additionnel 36</w:t>
      </w:r>
      <w:r w:rsidRPr="00146D77">
        <w:rPr>
          <w:lang w:val="fr-FR"/>
        </w:rPr>
        <w:t xml:space="preserve"> de la loi n</w:t>
      </w:r>
      <w:r w:rsidRPr="00146D77">
        <w:rPr>
          <w:vertAlign w:val="superscript"/>
          <w:lang w:val="fr-FR"/>
        </w:rPr>
        <w:t xml:space="preserve">o </w:t>
      </w:r>
      <w:r w:rsidRPr="00146D77">
        <w:rPr>
          <w:lang w:val="fr-FR"/>
        </w:rPr>
        <w:t>506, qui prévoit que « l</w:t>
      </w:r>
      <w:r w:rsidRPr="00146D77" w:rsidR="00146D77">
        <w:rPr>
          <w:lang w:val="fr-FR"/>
        </w:rPr>
        <w:t>’</w:t>
      </w:r>
      <w:r w:rsidRPr="00146D77">
        <w:rPr>
          <w:lang w:val="fr-FR"/>
        </w:rPr>
        <w:t>adaptation » est opérée en considération de la durée de cotisation et par analogie avec la situation des pensionnaires affiliés au régime général de la sécurité sociale. La Cour note que les mesures prises par le Conseil des ministres avaient pour objectif de limiter autant que possible l</w:t>
      </w:r>
      <w:r w:rsidRPr="00146D77" w:rsidR="00146D77">
        <w:rPr>
          <w:lang w:val="fr-FR"/>
        </w:rPr>
        <w:t>’</w:t>
      </w:r>
      <w:r w:rsidRPr="00146D77">
        <w:rPr>
          <w:lang w:val="fr-FR"/>
        </w:rPr>
        <w:t>éventuelle perte de la caisse des requérants et d</w:t>
      </w:r>
      <w:r w:rsidRPr="00146D77" w:rsidR="00146D77">
        <w:rPr>
          <w:lang w:val="fr-FR"/>
        </w:rPr>
        <w:t>’</w:t>
      </w:r>
      <w:r w:rsidRPr="00146D77">
        <w:rPr>
          <w:lang w:val="fr-FR"/>
        </w:rPr>
        <w:t>intégrer ceux-ci dans le système général afin qu</w:t>
      </w:r>
      <w:r w:rsidRPr="00146D77" w:rsidR="00146D77">
        <w:rPr>
          <w:lang w:val="fr-FR"/>
        </w:rPr>
        <w:t>’</w:t>
      </w:r>
      <w:r w:rsidRPr="00146D77">
        <w:rPr>
          <w:lang w:val="fr-FR"/>
        </w:rPr>
        <w:t>ils puissent continuer à bénéficier d</w:t>
      </w:r>
      <w:r w:rsidRPr="00146D77" w:rsidR="00146D77">
        <w:rPr>
          <w:lang w:val="fr-FR"/>
        </w:rPr>
        <w:t>’</w:t>
      </w:r>
      <w:r w:rsidRPr="00146D77">
        <w:rPr>
          <w:lang w:val="fr-FR"/>
        </w:rPr>
        <w:t>allocations de retraite et de différents avantages sociaux.</w:t>
      </w:r>
    </w:p>
    <w:p w:rsidRPr="00146D77" w:rsidR="0083156D" w:rsidP="00146D77" w:rsidRDefault="0083156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48</w:t>
      </w:r>
      <w:r w:rsidRPr="00146D77">
        <w:rPr>
          <w:lang w:val="fr-FR"/>
        </w:rPr>
        <w:fldChar w:fldCharType="end"/>
      </w:r>
      <w:r w:rsidRPr="00146D77">
        <w:rPr>
          <w:lang w:val="fr-FR"/>
        </w:rPr>
        <w:t>.  </w:t>
      </w:r>
      <w:r w:rsidRPr="00146D77">
        <w:rPr>
          <w:rFonts w:cstheme="minorHAnsi"/>
          <w:lang w:val="fr-FR"/>
        </w:rPr>
        <w:t>À</w:t>
      </w:r>
      <w:r w:rsidRPr="00146D77">
        <w:rPr>
          <w:lang w:val="fr-FR"/>
        </w:rPr>
        <w:t xml:space="preserve"> cet égard, la Cour relève que la diminution des pensions des requérants – de moitié dans certains cas – avait pour objectif d</w:t>
      </w:r>
      <w:r w:rsidRPr="00146D77" w:rsidR="00146D77">
        <w:rPr>
          <w:lang w:val="fr-FR"/>
        </w:rPr>
        <w:t>’</w:t>
      </w:r>
      <w:r w:rsidRPr="00146D77">
        <w:rPr>
          <w:lang w:val="fr-FR"/>
        </w:rPr>
        <w:t>intégrer ces pensions au régime général prévu par la loi n</w:t>
      </w:r>
      <w:r w:rsidRPr="00146D77">
        <w:rPr>
          <w:vertAlign w:val="superscript"/>
          <w:lang w:val="fr-FR"/>
        </w:rPr>
        <w:t>o</w:t>
      </w:r>
      <w:r w:rsidRPr="00146D77">
        <w:rPr>
          <w:lang w:val="fr-FR"/>
        </w:rPr>
        <w:t xml:space="preserve"> 506, et estime que la méthode d</w:t>
      </w:r>
      <w:r w:rsidRPr="00146D77" w:rsidR="00146D77">
        <w:rPr>
          <w:lang w:val="fr-FR"/>
        </w:rPr>
        <w:t>’</w:t>
      </w:r>
      <w:r w:rsidRPr="00146D77">
        <w:rPr>
          <w:lang w:val="fr-FR"/>
        </w:rPr>
        <w:t>adaptation en question ne saurait passer pour déraisonnable ou disproportionnée. S</w:t>
      </w:r>
      <w:r w:rsidRPr="00146D77" w:rsidR="00146D77">
        <w:rPr>
          <w:lang w:val="fr-FR"/>
        </w:rPr>
        <w:t>’</w:t>
      </w:r>
      <w:r w:rsidRPr="00146D77">
        <w:rPr>
          <w:lang w:val="fr-FR"/>
        </w:rPr>
        <w:t>il est vrai qu</w:t>
      </w:r>
      <w:r w:rsidRPr="00146D77" w:rsidR="00146D77">
        <w:rPr>
          <w:lang w:val="fr-FR"/>
        </w:rPr>
        <w:t>’</w:t>
      </w:r>
      <w:r w:rsidRPr="00146D77">
        <w:rPr>
          <w:lang w:val="fr-FR"/>
        </w:rPr>
        <w:t>à la suite de ce transfert et de l</w:t>
      </w:r>
      <w:r w:rsidRPr="00146D77" w:rsidR="00146D77">
        <w:rPr>
          <w:lang w:val="fr-FR"/>
        </w:rPr>
        <w:t>’</w:t>
      </w:r>
      <w:r w:rsidRPr="00146D77">
        <w:rPr>
          <w:lang w:val="fr-FR"/>
        </w:rPr>
        <w:t>adaptation des pensions des requérants, ces derniers ont perdu une partie du montant alloué, il est vrai aussi qu</w:t>
      </w:r>
      <w:r w:rsidRPr="00146D77" w:rsidR="00146D77">
        <w:rPr>
          <w:lang w:val="fr-FR"/>
        </w:rPr>
        <w:t>’</w:t>
      </w:r>
      <w:r w:rsidRPr="00146D77">
        <w:rPr>
          <w:lang w:val="fr-FR"/>
        </w:rPr>
        <w:t>ils continuent à bénéficier du régime général sans aucunement subir de discrimination ou être désavantagés par rapport à ceux qui perçoivent leur pension selon ce système.</w:t>
      </w:r>
    </w:p>
    <w:p w:rsidRPr="00146D77" w:rsidR="0083156D" w:rsidP="00146D77" w:rsidRDefault="0083156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49</w:t>
      </w:r>
      <w:r w:rsidRPr="00146D77">
        <w:rPr>
          <w:lang w:val="fr-FR"/>
        </w:rPr>
        <w:fldChar w:fldCharType="end"/>
      </w:r>
      <w:r w:rsidRPr="00146D77">
        <w:rPr>
          <w:lang w:val="fr-FR"/>
        </w:rPr>
        <w:t>.  </w:t>
      </w:r>
      <w:r w:rsidRPr="00146D77">
        <w:rPr>
          <w:rFonts w:ascii="Times New Roman" w:hAnsi="Times New Roman" w:eastAsia="Times New Roman" w:cs="Times New Roman"/>
          <w:szCs w:val="20"/>
          <w:lang w:val="fr-FR" w:eastAsia="fr-FR"/>
        </w:rPr>
        <w:t>La Cour tient compte également du fait que l</w:t>
      </w:r>
      <w:r w:rsidRPr="00146D77" w:rsidR="00146D77">
        <w:rPr>
          <w:rFonts w:ascii="Times New Roman" w:hAnsi="Times New Roman" w:eastAsia="Times New Roman" w:cs="Times New Roman"/>
          <w:szCs w:val="20"/>
          <w:lang w:val="fr-FR" w:eastAsia="fr-FR"/>
        </w:rPr>
        <w:t>’</w:t>
      </w:r>
      <w:r w:rsidRPr="00146D77">
        <w:rPr>
          <w:rFonts w:ascii="Times New Roman" w:hAnsi="Times New Roman" w:eastAsia="Times New Roman" w:cs="Times New Roman"/>
          <w:szCs w:val="20"/>
          <w:lang w:val="fr-FR" w:eastAsia="fr-FR"/>
        </w:rPr>
        <w:t>adaptation n</w:t>
      </w:r>
      <w:r w:rsidRPr="00146D77" w:rsidR="00146D77">
        <w:rPr>
          <w:rFonts w:ascii="Times New Roman" w:hAnsi="Times New Roman" w:eastAsia="Times New Roman" w:cs="Times New Roman"/>
          <w:szCs w:val="20"/>
          <w:lang w:val="fr-FR" w:eastAsia="fr-FR"/>
        </w:rPr>
        <w:t>’</w:t>
      </w:r>
      <w:r w:rsidRPr="00146D77">
        <w:rPr>
          <w:rFonts w:ascii="Times New Roman" w:hAnsi="Times New Roman" w:eastAsia="Times New Roman" w:cs="Times New Roman"/>
          <w:szCs w:val="20"/>
          <w:lang w:val="fr-FR" w:eastAsia="fr-FR"/>
        </w:rPr>
        <w:t>a pas eu d</w:t>
      </w:r>
      <w:r w:rsidRPr="00146D77" w:rsidR="00146D77">
        <w:rPr>
          <w:rFonts w:ascii="Times New Roman" w:hAnsi="Times New Roman" w:eastAsia="Times New Roman" w:cs="Times New Roman"/>
          <w:szCs w:val="20"/>
          <w:lang w:val="fr-FR" w:eastAsia="fr-FR"/>
        </w:rPr>
        <w:t>’</w:t>
      </w:r>
      <w:r w:rsidRPr="00146D77">
        <w:rPr>
          <w:rFonts w:ascii="Times New Roman" w:hAnsi="Times New Roman" w:eastAsia="Times New Roman" w:cs="Times New Roman"/>
          <w:szCs w:val="20"/>
          <w:lang w:val="fr-FR" w:eastAsia="fr-FR"/>
        </w:rPr>
        <w:t>effet rétroactif et que la durée du service à la compagnie d</w:t>
      </w:r>
      <w:r w:rsidRPr="00146D77" w:rsidR="00146D77">
        <w:rPr>
          <w:rFonts w:ascii="Times New Roman" w:hAnsi="Times New Roman" w:eastAsia="Times New Roman" w:cs="Times New Roman"/>
          <w:szCs w:val="20"/>
          <w:lang w:val="fr-FR" w:eastAsia="fr-FR"/>
        </w:rPr>
        <w:t>’</w:t>
      </w:r>
      <w:r w:rsidRPr="00146D77">
        <w:rPr>
          <w:rFonts w:ascii="Times New Roman" w:hAnsi="Times New Roman" w:eastAsia="Times New Roman" w:cs="Times New Roman"/>
          <w:szCs w:val="20"/>
          <w:lang w:val="fr-FR" w:eastAsia="fr-FR"/>
        </w:rPr>
        <w:t>assurances a été assimilée aux périodes de cotisation au sens de la loi</w:t>
      </w:r>
      <w:r w:rsidRPr="00146D77">
        <w:rPr>
          <w:lang w:val="fr-FR"/>
        </w:rPr>
        <w:t>. Dès lors, les requérants n</w:t>
      </w:r>
      <w:r w:rsidRPr="00146D77" w:rsidR="00146D77">
        <w:rPr>
          <w:lang w:val="fr-FR"/>
        </w:rPr>
        <w:t>’</w:t>
      </w:r>
      <w:r w:rsidRPr="00146D77">
        <w:rPr>
          <w:lang w:val="fr-FR"/>
        </w:rPr>
        <w:t>ont pas perdu la pension</w:t>
      </w:r>
      <w:r w:rsidRPr="00146D77" w:rsidR="00D5219D">
        <w:rPr>
          <w:lang w:val="fr-FR"/>
        </w:rPr>
        <w:t xml:space="preserve"> (voir, </w:t>
      </w:r>
      <w:r w:rsidRPr="00146D77" w:rsidR="00D5219D">
        <w:rPr>
          <w:i/>
          <w:lang w:val="fr-FR"/>
        </w:rPr>
        <w:t>a contrario</w:t>
      </w:r>
      <w:r w:rsidRPr="00146D77" w:rsidR="00D5219D">
        <w:rPr>
          <w:lang w:val="fr-FR"/>
        </w:rPr>
        <w:t xml:space="preserve">, </w:t>
      </w:r>
      <w:r w:rsidRPr="00146D77" w:rsidR="003A77DE">
        <w:rPr>
          <w:i/>
          <w:lang w:val="fr-FR"/>
        </w:rPr>
        <w:t>Béláné Nagy c. </w:t>
      </w:r>
      <w:r w:rsidRPr="00146D77" w:rsidR="001E19B8">
        <w:rPr>
          <w:i/>
          <w:lang w:val="fr-FR"/>
        </w:rPr>
        <w:t>Hongrie</w:t>
      </w:r>
      <w:r w:rsidRPr="00146D77" w:rsidR="001E19B8">
        <w:rPr>
          <w:lang w:val="fr-FR"/>
        </w:rPr>
        <w:t xml:space="preserve"> [GC], n</w:t>
      </w:r>
      <w:r w:rsidRPr="00146D77" w:rsidR="001E19B8">
        <w:rPr>
          <w:vertAlign w:val="superscript"/>
          <w:lang w:val="fr-FR"/>
        </w:rPr>
        <w:t>o</w:t>
      </w:r>
      <w:r w:rsidRPr="00146D77" w:rsidR="001E19B8">
        <w:rPr>
          <w:lang w:val="fr-FR"/>
        </w:rPr>
        <w:t xml:space="preserve"> 53080/13, §§ 125 et 126, CEDH 2016</w:t>
      </w:r>
      <w:r w:rsidRPr="00146D77" w:rsidR="00D5219D">
        <w:rPr>
          <w:lang w:val="fr-FR"/>
        </w:rPr>
        <w:t>)</w:t>
      </w:r>
      <w:r w:rsidRPr="00146D77">
        <w:rPr>
          <w:lang w:val="fr-FR"/>
        </w:rPr>
        <w:t xml:space="preserve"> qui leur était due au titre des versements effectués pendant leurs années de service, mais uniquement une partie de celle-ci (le complément) – qui était prise en charge par la caisse qui a ensuite été liquidée en raison d</w:t>
      </w:r>
      <w:r w:rsidRPr="00146D77" w:rsidR="00146D77">
        <w:rPr>
          <w:lang w:val="fr-FR"/>
        </w:rPr>
        <w:t>’</w:t>
      </w:r>
      <w:r w:rsidRPr="00146D77">
        <w:rPr>
          <w:lang w:val="fr-FR"/>
        </w:rPr>
        <w:t xml:space="preserve">un déficit excessif –, qui représentait un avantage dont ils avaient précédemment bénéficié (voir, </w:t>
      </w:r>
      <w:r w:rsidRPr="00146D77">
        <w:rPr>
          <w:i/>
          <w:lang w:val="fr-FR"/>
        </w:rPr>
        <w:t>mutatis mutandis</w:t>
      </w:r>
      <w:r w:rsidRPr="00146D77">
        <w:rPr>
          <w:lang w:val="fr-FR"/>
        </w:rPr>
        <w:t xml:space="preserve">, </w:t>
      </w:r>
      <w:r w:rsidRPr="00146D77">
        <w:rPr>
          <w:i/>
          <w:lang w:val="fr-FR"/>
        </w:rPr>
        <w:t xml:space="preserve">Frimu et autres c. Roumanie </w:t>
      </w:r>
      <w:r w:rsidRPr="00146D77">
        <w:rPr>
          <w:lang w:val="fr-FR"/>
        </w:rPr>
        <w:t>(déc.), n</w:t>
      </w:r>
      <w:r w:rsidRPr="00146D77">
        <w:rPr>
          <w:vertAlign w:val="superscript"/>
          <w:lang w:val="fr-FR"/>
        </w:rPr>
        <w:t>os </w:t>
      </w:r>
      <w:r w:rsidRPr="00146D77">
        <w:rPr>
          <w:lang w:val="fr-FR"/>
        </w:rPr>
        <w:t>45312/11, 45581/11, 45583/11, 45587/11 et 45588/11, 7 février 2012).</w:t>
      </w:r>
    </w:p>
    <w:p w:rsidRPr="00146D77" w:rsidR="0083156D" w:rsidP="00146D77" w:rsidRDefault="0083156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50</w:t>
      </w:r>
      <w:r w:rsidRPr="00146D77">
        <w:rPr>
          <w:lang w:val="fr-FR"/>
        </w:rPr>
        <w:fldChar w:fldCharType="end"/>
      </w:r>
      <w:r w:rsidRPr="00146D77">
        <w:rPr>
          <w:lang w:val="fr-FR"/>
        </w:rPr>
        <w:t>.  Au vu de ces éléments, la Cour considère que les mesures critiquées par les requérants ne leur ont pas fait supporter une charge disproportionnée et excessive incompatible avec leur droit au respect de leurs biens.</w:t>
      </w:r>
    </w:p>
    <w:p w:rsidRPr="00146D77" w:rsidR="0083156D" w:rsidP="00146D77" w:rsidRDefault="0083156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51</w:t>
      </w:r>
      <w:r w:rsidRPr="00146D77">
        <w:rPr>
          <w:lang w:val="fr-FR"/>
        </w:rPr>
        <w:fldChar w:fldCharType="end"/>
      </w:r>
      <w:r w:rsidRPr="00146D77">
        <w:rPr>
          <w:lang w:val="fr-FR"/>
        </w:rPr>
        <w:t>.  Il s</w:t>
      </w:r>
      <w:r w:rsidRPr="00146D77" w:rsidR="00146D77">
        <w:rPr>
          <w:lang w:val="fr-FR"/>
        </w:rPr>
        <w:t>’</w:t>
      </w:r>
      <w:r w:rsidRPr="00146D77">
        <w:rPr>
          <w:lang w:val="fr-FR"/>
        </w:rPr>
        <w:t>ensuit qu</w:t>
      </w:r>
      <w:r w:rsidRPr="00146D77" w:rsidR="00146D77">
        <w:rPr>
          <w:lang w:val="fr-FR"/>
        </w:rPr>
        <w:t>’</w:t>
      </w:r>
      <w:r w:rsidRPr="00146D77">
        <w:rPr>
          <w:lang w:val="fr-FR"/>
        </w:rPr>
        <w:t>il n</w:t>
      </w:r>
      <w:r w:rsidRPr="00146D77" w:rsidR="00146D77">
        <w:rPr>
          <w:lang w:val="fr-FR"/>
        </w:rPr>
        <w:t>’</w:t>
      </w:r>
      <w:r w:rsidRPr="00146D77">
        <w:rPr>
          <w:lang w:val="fr-FR"/>
        </w:rPr>
        <w:t>y a pas eu en l</w:t>
      </w:r>
      <w:r w:rsidRPr="00146D77" w:rsidR="00146D77">
        <w:rPr>
          <w:lang w:val="fr-FR"/>
        </w:rPr>
        <w:t>’</w:t>
      </w:r>
      <w:r w:rsidRPr="00146D77">
        <w:rPr>
          <w:lang w:val="fr-FR"/>
        </w:rPr>
        <w:t>espèce violation de l</w:t>
      </w:r>
      <w:r w:rsidRPr="00146D77" w:rsidR="00146D77">
        <w:rPr>
          <w:lang w:val="fr-FR"/>
        </w:rPr>
        <w:t>’</w:t>
      </w:r>
      <w:r w:rsidRPr="00146D77">
        <w:rPr>
          <w:lang w:val="fr-FR"/>
        </w:rPr>
        <w:t>article 1 du Protocole n</w:t>
      </w:r>
      <w:r w:rsidRPr="00146D77">
        <w:rPr>
          <w:vertAlign w:val="superscript"/>
          <w:lang w:val="fr-FR"/>
        </w:rPr>
        <w:t>o </w:t>
      </w:r>
      <w:r w:rsidRPr="00146D77">
        <w:rPr>
          <w:lang w:val="fr-FR"/>
        </w:rPr>
        <w:t>1.</w:t>
      </w:r>
    </w:p>
    <w:p w:rsidRPr="00146D77" w:rsidR="0083156D" w:rsidP="00146D77" w:rsidRDefault="0083156D">
      <w:pPr>
        <w:pStyle w:val="ECHRHeading1"/>
        <w:rPr>
          <w:lang w:val="fr-FR"/>
        </w:rPr>
      </w:pPr>
      <w:r w:rsidRPr="00146D77">
        <w:rPr>
          <w:lang w:val="fr-FR"/>
        </w:rPr>
        <w:t>II.  SUR LA VIOLATION ALLÉGUÉE DE L</w:t>
      </w:r>
      <w:r w:rsidRPr="00146D77" w:rsidR="00146D77">
        <w:rPr>
          <w:lang w:val="fr-FR"/>
        </w:rPr>
        <w:t>’</w:t>
      </w:r>
      <w:r w:rsidRPr="00146D77">
        <w:rPr>
          <w:lang w:val="fr-FR"/>
        </w:rPr>
        <w:t>ARTICLE 6 § 1 DE LA CONVENTION</w:t>
      </w:r>
    </w:p>
    <w:p w:rsidRPr="00146D77" w:rsidR="0083156D" w:rsidP="00146D77" w:rsidRDefault="0083156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52</w:t>
      </w:r>
      <w:r w:rsidRPr="00146D77">
        <w:rPr>
          <w:lang w:val="fr-FR"/>
        </w:rPr>
        <w:fldChar w:fldCharType="end"/>
      </w:r>
      <w:r w:rsidRPr="00146D77">
        <w:rPr>
          <w:lang w:val="fr-FR"/>
        </w:rPr>
        <w:t>.  Invoquant l</w:t>
      </w:r>
      <w:r w:rsidRPr="00146D77" w:rsidR="00146D77">
        <w:rPr>
          <w:lang w:val="fr-FR"/>
        </w:rPr>
        <w:t>’</w:t>
      </w:r>
      <w:r w:rsidRPr="00146D77">
        <w:rPr>
          <w:lang w:val="fr-FR"/>
        </w:rPr>
        <w:t>article 6 § 1 de la Convention, les requérants se plaignent de la durée de la procédure. Ils soutiennent qu</w:t>
      </w:r>
      <w:r w:rsidRPr="00146D77" w:rsidR="00146D77">
        <w:rPr>
          <w:lang w:val="fr-FR"/>
        </w:rPr>
        <w:t>’</w:t>
      </w:r>
      <w:r w:rsidRPr="00146D77">
        <w:rPr>
          <w:lang w:val="fr-FR"/>
        </w:rPr>
        <w:t>ils ont attendu près de quatre ans le dénouement de la procédure et que pendant ce laps de temps ils se sont trouvés en situation de vulnérabilité, avec une pension de retraite diminuée de moitié.</w:t>
      </w:r>
    </w:p>
    <w:p w:rsidRPr="00146D77" w:rsidR="0083156D" w:rsidP="00146D77" w:rsidRDefault="0083156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53</w:t>
      </w:r>
      <w:r w:rsidRPr="00146D77">
        <w:rPr>
          <w:lang w:val="fr-FR"/>
        </w:rPr>
        <w:fldChar w:fldCharType="end"/>
      </w:r>
      <w:r w:rsidRPr="00146D77">
        <w:rPr>
          <w:lang w:val="fr-FR"/>
        </w:rPr>
        <w:t>.  La Cour note qu</w:t>
      </w:r>
      <w:r w:rsidRPr="00146D77" w:rsidR="00146D77">
        <w:rPr>
          <w:lang w:val="fr-FR"/>
        </w:rPr>
        <w:t>’</w:t>
      </w:r>
      <w:r w:rsidRPr="00146D77">
        <w:rPr>
          <w:lang w:val="fr-FR"/>
        </w:rPr>
        <w:t>il s</w:t>
      </w:r>
      <w:r w:rsidRPr="00146D77" w:rsidR="00146D77">
        <w:rPr>
          <w:lang w:val="fr-FR"/>
        </w:rPr>
        <w:t>’</w:t>
      </w:r>
      <w:r w:rsidRPr="00146D77">
        <w:rPr>
          <w:lang w:val="fr-FR"/>
        </w:rPr>
        <w:t>agit de plusieurs procédures, dont les durées ont varié entre environ trois ans et deux mois (du 16 janvier 2003 au 7</w:t>
      </w:r>
      <w:r w:rsidRPr="00146D77" w:rsidR="00B73B14">
        <w:rPr>
          <w:lang w:val="fr-FR"/>
        </w:rPr>
        <w:t xml:space="preserve"> </w:t>
      </w:r>
      <w:r w:rsidRPr="00146D77">
        <w:rPr>
          <w:lang w:val="fr-FR"/>
        </w:rPr>
        <w:t>mars 2006) et trois ans et huit mois, pour deux degrés de juridiction. Eu égard aux critères dégagés par la jurisprudence de la Cour en la matière (voir, parmi bien d</w:t>
      </w:r>
      <w:r w:rsidRPr="00146D77" w:rsidR="00146D77">
        <w:rPr>
          <w:lang w:val="fr-FR"/>
        </w:rPr>
        <w:t>’</w:t>
      </w:r>
      <w:r w:rsidRPr="00146D77">
        <w:rPr>
          <w:lang w:val="fr-FR"/>
        </w:rPr>
        <w:t xml:space="preserve">autres, </w:t>
      </w:r>
      <w:r w:rsidRPr="00146D77">
        <w:rPr>
          <w:i/>
          <w:iCs/>
          <w:lang w:val="fr-FR"/>
        </w:rPr>
        <w:t>Comingersoll S.A. c. Portugal</w:t>
      </w:r>
      <w:r w:rsidRPr="00146D77">
        <w:rPr>
          <w:lang w:val="fr-FR"/>
        </w:rPr>
        <w:t xml:space="preserve"> [GC], n</w:t>
      </w:r>
      <w:r w:rsidRPr="00146D77">
        <w:rPr>
          <w:vertAlign w:val="superscript"/>
          <w:lang w:val="fr-FR"/>
        </w:rPr>
        <w:t>o</w:t>
      </w:r>
      <w:r w:rsidRPr="00146D77">
        <w:rPr>
          <w:lang w:val="fr-FR"/>
        </w:rPr>
        <w:t xml:space="preserve"> 35382/97, §</w:t>
      </w:r>
      <w:r w:rsidRPr="00146D77" w:rsidR="00B73B14">
        <w:rPr>
          <w:lang w:val="fr-FR"/>
        </w:rPr>
        <w:t xml:space="preserve"> </w:t>
      </w:r>
      <w:r w:rsidRPr="00146D77">
        <w:rPr>
          <w:lang w:val="fr-FR"/>
        </w:rPr>
        <w:t xml:space="preserve">19, CEDH 2000-IV, et </w:t>
      </w:r>
      <w:r w:rsidRPr="00146D77">
        <w:rPr>
          <w:i/>
          <w:iCs/>
          <w:lang w:val="fr-FR"/>
        </w:rPr>
        <w:t xml:space="preserve">Frydlender c. France </w:t>
      </w:r>
      <w:r w:rsidRPr="00146D77">
        <w:rPr>
          <w:lang w:val="fr-FR"/>
        </w:rPr>
        <w:t>[GC], n</w:t>
      </w:r>
      <w:r w:rsidRPr="00146D77">
        <w:rPr>
          <w:vertAlign w:val="superscript"/>
          <w:lang w:val="fr-FR"/>
        </w:rPr>
        <w:t>o</w:t>
      </w:r>
      <w:r w:rsidRPr="00146D77">
        <w:rPr>
          <w:lang w:val="fr-FR"/>
        </w:rPr>
        <w:t xml:space="preserve"> 30979/96, §</w:t>
      </w:r>
      <w:r w:rsidRPr="00146D77" w:rsidR="00B73B14">
        <w:rPr>
          <w:lang w:val="fr-FR"/>
        </w:rPr>
        <w:t xml:space="preserve"> </w:t>
      </w:r>
      <w:r w:rsidRPr="00146D77">
        <w:rPr>
          <w:lang w:val="fr-FR"/>
        </w:rPr>
        <w:t>43, CEDH 2000-VII), elle estime que ces laps de temps ne peuvent être considérés comme méconnaissant le principe du délai raisonnable.</w:t>
      </w:r>
    </w:p>
    <w:p w:rsidRPr="00146D77" w:rsidR="0083156D" w:rsidP="00146D77" w:rsidRDefault="0083156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54</w:t>
      </w:r>
      <w:r w:rsidRPr="00146D77">
        <w:rPr>
          <w:lang w:val="fr-FR"/>
        </w:rPr>
        <w:fldChar w:fldCharType="end"/>
      </w:r>
      <w:r w:rsidRPr="00146D77">
        <w:rPr>
          <w:lang w:val="fr-FR"/>
        </w:rPr>
        <w:t>.  </w:t>
      </w:r>
      <w:r w:rsidRPr="00146D77">
        <w:rPr>
          <w:color w:val="000000"/>
          <w:szCs w:val="24"/>
          <w:lang w:val="fr-FR" w:eastAsia="en-GB"/>
        </w:rPr>
        <w:t>Invoquant le même article, les requérants</w:t>
      </w:r>
      <w:r w:rsidRPr="00146D77">
        <w:rPr>
          <w:lang w:val="fr-FR"/>
        </w:rPr>
        <w:t xml:space="preserve"> se plaignent de n</w:t>
      </w:r>
      <w:r w:rsidRPr="00146D77" w:rsidR="00146D77">
        <w:rPr>
          <w:lang w:val="fr-FR"/>
        </w:rPr>
        <w:t>’</w:t>
      </w:r>
      <w:r w:rsidRPr="00146D77">
        <w:rPr>
          <w:lang w:val="fr-FR"/>
        </w:rPr>
        <w:t>avoir pas bénéficié d</w:t>
      </w:r>
      <w:r w:rsidRPr="00146D77" w:rsidR="00146D77">
        <w:rPr>
          <w:lang w:val="fr-FR"/>
        </w:rPr>
        <w:t>’</w:t>
      </w:r>
      <w:r w:rsidRPr="00146D77">
        <w:rPr>
          <w:lang w:val="fr-FR"/>
        </w:rPr>
        <w:t>un procès équitable.</w:t>
      </w:r>
    </w:p>
    <w:p w:rsidRPr="00146D77" w:rsidR="00234D1B" w:rsidP="00146D77" w:rsidRDefault="00234D1B">
      <w:pPr>
        <w:pStyle w:val="ECHRPara"/>
        <w:rPr>
          <w:rFonts w:eastAsia="Times New Roman"/>
          <w:szCs w:val="20"/>
          <w:lang w:val="fr-FR" w:eastAsia="fr-FR"/>
        </w:rPr>
      </w:pPr>
      <w:r w:rsidRPr="00146D77">
        <w:rPr>
          <w:rFonts w:eastAsia="Times New Roman"/>
          <w:lang w:val="fr-FR"/>
        </w:rPr>
        <w:fldChar w:fldCharType="begin"/>
      </w:r>
      <w:r w:rsidRPr="00146D77">
        <w:rPr>
          <w:rFonts w:eastAsia="Times New Roman"/>
          <w:lang w:val="fr-FR"/>
        </w:rPr>
        <w:instrText xml:space="preserve"> SEQ level0 \*arabic </w:instrText>
      </w:r>
      <w:r w:rsidRPr="00146D77">
        <w:rPr>
          <w:rFonts w:eastAsia="Times New Roman"/>
          <w:lang w:val="fr-FR"/>
        </w:rPr>
        <w:fldChar w:fldCharType="separate"/>
      </w:r>
      <w:r w:rsidRPr="00146D77" w:rsidR="00146D77">
        <w:rPr>
          <w:rFonts w:eastAsia="Times New Roman"/>
          <w:noProof/>
          <w:lang w:val="fr-FR"/>
        </w:rPr>
        <w:t>55</w:t>
      </w:r>
      <w:r w:rsidRPr="00146D77">
        <w:rPr>
          <w:rFonts w:eastAsia="Times New Roman"/>
          <w:lang w:val="fr-FR"/>
        </w:rPr>
        <w:fldChar w:fldCharType="end"/>
      </w:r>
      <w:r w:rsidRPr="00146D77">
        <w:rPr>
          <w:rFonts w:eastAsia="Times New Roman"/>
          <w:lang w:val="fr-FR"/>
        </w:rPr>
        <w:t>.  En ce qui concerne le problème de l</w:t>
      </w:r>
      <w:r w:rsidRPr="00146D77" w:rsidR="00146D77">
        <w:rPr>
          <w:rFonts w:eastAsia="Times New Roman"/>
          <w:lang w:val="fr-FR"/>
        </w:rPr>
        <w:t>’</w:t>
      </w:r>
      <w:r w:rsidRPr="00146D77">
        <w:rPr>
          <w:rFonts w:eastAsia="Times New Roman"/>
          <w:lang w:val="fr-FR"/>
        </w:rPr>
        <w:t>indépendance des juges du fait qu</w:t>
      </w:r>
      <w:r w:rsidRPr="00146D77" w:rsidR="00146D77">
        <w:rPr>
          <w:rFonts w:eastAsia="Times New Roman"/>
          <w:lang w:val="fr-FR"/>
        </w:rPr>
        <w:t>’</w:t>
      </w:r>
      <w:r w:rsidRPr="00146D77">
        <w:rPr>
          <w:rFonts w:eastAsia="Times New Roman"/>
          <w:lang w:val="fr-FR"/>
        </w:rPr>
        <w:t xml:space="preserve">ils sont nommés par </w:t>
      </w:r>
      <w:r w:rsidRPr="00146D77">
        <w:rPr>
          <w:rFonts w:eastAsia="Times New Roman"/>
          <w:szCs w:val="24"/>
          <w:lang w:val="fr-FR" w:eastAsia="en-GB"/>
        </w:rPr>
        <w:t xml:space="preserve">le Haut Conseil de la magistrature, présidé par le ministre de la Justice et dépendant du pouvoir politique, </w:t>
      </w:r>
      <w:r w:rsidRPr="00146D77">
        <w:rPr>
          <w:rFonts w:eastAsia="Times New Roman"/>
          <w:lang w:val="fr-FR"/>
        </w:rPr>
        <w:t>la Cour a déjà eu l</w:t>
      </w:r>
      <w:r w:rsidRPr="00146D77" w:rsidR="00146D77">
        <w:rPr>
          <w:rFonts w:eastAsia="Times New Roman"/>
          <w:lang w:val="fr-FR"/>
        </w:rPr>
        <w:t>’</w:t>
      </w:r>
      <w:r w:rsidRPr="00146D77">
        <w:rPr>
          <w:rFonts w:eastAsia="Times New Roman"/>
          <w:lang w:val="fr-FR"/>
        </w:rPr>
        <w:t>occasion de se prononcer</w:t>
      </w:r>
      <w:r w:rsidRPr="00146D77">
        <w:rPr>
          <w:rFonts w:eastAsia="Times New Roman"/>
          <w:szCs w:val="24"/>
          <w:lang w:val="fr-FR" w:eastAsia="en-GB"/>
        </w:rPr>
        <w:t xml:space="preserve"> sur un grief semblable dans l</w:t>
      </w:r>
      <w:r w:rsidRPr="00146D77" w:rsidR="00146D77">
        <w:rPr>
          <w:rFonts w:eastAsia="Times New Roman"/>
          <w:szCs w:val="24"/>
          <w:lang w:val="fr-FR" w:eastAsia="en-GB"/>
        </w:rPr>
        <w:t>’</w:t>
      </w:r>
      <w:r w:rsidRPr="00146D77">
        <w:rPr>
          <w:rFonts w:eastAsia="Times New Roman"/>
          <w:szCs w:val="24"/>
          <w:lang w:val="fr-FR" w:eastAsia="en-GB"/>
        </w:rPr>
        <w:t xml:space="preserve">affaire </w:t>
      </w:r>
      <w:r w:rsidRPr="00146D77">
        <w:rPr>
          <w:rFonts w:eastAsia="Times New Roman"/>
          <w:i/>
          <w:iCs/>
          <w:szCs w:val="24"/>
          <w:lang w:val="fr-FR" w:eastAsia="en-GB"/>
        </w:rPr>
        <w:t xml:space="preserve">Çelebi </w:t>
      </w:r>
      <w:r w:rsidRPr="00146D77">
        <w:rPr>
          <w:rFonts w:eastAsia="Times New Roman"/>
          <w:i/>
          <w:iCs/>
          <w:lang w:val="fr-FR"/>
        </w:rPr>
        <w:t>c. Turquie</w:t>
      </w:r>
      <w:r w:rsidRPr="00146D77">
        <w:rPr>
          <w:rFonts w:eastAsia="Times New Roman"/>
          <w:lang w:val="fr-FR"/>
        </w:rPr>
        <w:t xml:space="preserve"> ((déc.), n</w:t>
      </w:r>
      <w:r w:rsidRPr="00146D77">
        <w:rPr>
          <w:rFonts w:eastAsia="Times New Roman"/>
          <w:vertAlign w:val="superscript"/>
          <w:lang w:val="fr-FR"/>
        </w:rPr>
        <w:t>o</w:t>
      </w:r>
      <w:r w:rsidRPr="00146D77">
        <w:rPr>
          <w:rFonts w:eastAsia="Times New Roman"/>
          <w:position w:val="6"/>
          <w:lang w:val="fr-FR"/>
        </w:rPr>
        <w:t xml:space="preserve"> </w:t>
      </w:r>
      <w:r w:rsidRPr="00146D77">
        <w:rPr>
          <w:rFonts w:eastAsia="Times New Roman"/>
          <w:lang w:val="fr-FR"/>
        </w:rPr>
        <w:t>54182/00, 28 septembre 2004) dans les termes suivants :</w:t>
      </w:r>
    </w:p>
    <w:p w:rsidRPr="00146D77" w:rsidR="00234D1B" w:rsidP="00146D77" w:rsidRDefault="00234D1B">
      <w:pPr>
        <w:pStyle w:val="ECHRParaQuote"/>
        <w:rPr>
          <w:lang w:val="fr-FR" w:eastAsia="fr-FR"/>
        </w:rPr>
      </w:pPr>
      <w:r w:rsidRPr="00146D77">
        <w:rPr>
          <w:lang w:val="fr-FR" w:eastAsia="fr-FR"/>
        </w:rPr>
        <w:t>« La Cour rappelle la jurisprudence selon laquelle, pour déterminer si un organe peut passer pour indépendant, il faut prendre en compte, notamment, le mode de désignation et la durée du mandat de ses membres, l</w:t>
      </w:r>
      <w:r w:rsidRPr="00146D77" w:rsidR="00146D77">
        <w:rPr>
          <w:lang w:val="fr-FR" w:eastAsia="fr-FR"/>
        </w:rPr>
        <w:t>’</w:t>
      </w:r>
      <w:r w:rsidRPr="00146D77">
        <w:rPr>
          <w:lang w:val="fr-FR" w:eastAsia="fr-FR"/>
        </w:rPr>
        <w:t>existence d</w:t>
      </w:r>
      <w:r w:rsidRPr="00146D77" w:rsidR="00146D77">
        <w:rPr>
          <w:lang w:val="fr-FR" w:eastAsia="fr-FR"/>
        </w:rPr>
        <w:t>’</w:t>
      </w:r>
      <w:r w:rsidRPr="00146D77">
        <w:rPr>
          <w:lang w:val="fr-FR" w:eastAsia="fr-FR"/>
        </w:rPr>
        <w:t>une protection contre les pressions extérieures et le point de savoir s</w:t>
      </w:r>
      <w:r w:rsidRPr="00146D77" w:rsidR="00146D77">
        <w:rPr>
          <w:lang w:val="fr-FR" w:eastAsia="fr-FR"/>
        </w:rPr>
        <w:t>’</w:t>
      </w:r>
      <w:r w:rsidRPr="00146D77">
        <w:rPr>
          <w:lang w:val="fr-FR" w:eastAsia="fr-FR"/>
        </w:rPr>
        <w:t>il y a ou non apparence d</w:t>
      </w:r>
      <w:r w:rsidRPr="00146D77" w:rsidR="00146D77">
        <w:rPr>
          <w:lang w:val="fr-FR" w:eastAsia="fr-FR"/>
        </w:rPr>
        <w:t>’</w:t>
      </w:r>
      <w:r w:rsidRPr="00146D77">
        <w:rPr>
          <w:lang w:val="fr-FR" w:eastAsia="fr-FR"/>
        </w:rPr>
        <w:t>indépendance (voir, parmi beaucoup d</w:t>
      </w:r>
      <w:r w:rsidRPr="00146D77" w:rsidR="00146D77">
        <w:rPr>
          <w:lang w:val="fr-FR" w:eastAsia="fr-FR"/>
        </w:rPr>
        <w:t>’</w:t>
      </w:r>
      <w:r w:rsidRPr="00146D77">
        <w:rPr>
          <w:lang w:val="fr-FR" w:eastAsia="fr-FR"/>
        </w:rPr>
        <w:t xml:space="preserve">autres, </w:t>
      </w:r>
      <w:r w:rsidRPr="00146D77">
        <w:rPr>
          <w:i/>
          <w:lang w:val="fr-FR" w:eastAsia="fr-FR"/>
        </w:rPr>
        <w:t>Findlay c. Royaume-Uni</w:t>
      </w:r>
      <w:r w:rsidRPr="00146D77">
        <w:rPr>
          <w:lang w:val="fr-FR" w:eastAsia="fr-FR"/>
        </w:rPr>
        <w:t xml:space="preserve">, arrêt du 25 février 1997, </w:t>
      </w:r>
      <w:r w:rsidRPr="00146D77">
        <w:rPr>
          <w:i/>
          <w:lang w:val="fr-FR" w:eastAsia="fr-FR"/>
        </w:rPr>
        <w:t xml:space="preserve">Recueil </w:t>
      </w:r>
      <w:r w:rsidRPr="00146D77">
        <w:rPr>
          <w:lang w:val="fr-FR" w:eastAsia="fr-FR"/>
        </w:rPr>
        <w:t>1997</w:t>
      </w:r>
      <w:r w:rsidRPr="00146D77">
        <w:rPr>
          <w:lang w:val="fr-FR" w:eastAsia="fr-FR"/>
        </w:rPr>
        <w:noBreakHyphen/>
        <w:t>I, p. 281, § 73).</w:t>
      </w:r>
    </w:p>
    <w:p w:rsidRPr="00146D77" w:rsidR="00234D1B" w:rsidP="00146D77" w:rsidRDefault="00234D1B">
      <w:pPr>
        <w:pStyle w:val="ECHRParaQuote"/>
        <w:rPr>
          <w:lang w:val="fr-FR" w:eastAsia="fr-FR"/>
        </w:rPr>
      </w:pPr>
      <w:r w:rsidRPr="00146D77">
        <w:rPr>
          <w:lang w:val="fr-FR" w:eastAsia="fr-FR"/>
        </w:rPr>
        <w:t>La Cour note d</w:t>
      </w:r>
      <w:r w:rsidRPr="00146D77" w:rsidR="00146D77">
        <w:rPr>
          <w:lang w:val="fr-FR" w:eastAsia="fr-FR"/>
        </w:rPr>
        <w:t>’</w:t>
      </w:r>
      <w:r w:rsidRPr="00146D77">
        <w:rPr>
          <w:lang w:val="fr-FR" w:eastAsia="fr-FR"/>
        </w:rPr>
        <w:t>abord que les magistrats jouissent pendant leurs fonctions de garanties constitutionnelles. Ils sont inamovibles et à l</w:t>
      </w:r>
      <w:r w:rsidRPr="00146D77" w:rsidR="00146D77">
        <w:rPr>
          <w:lang w:val="fr-FR" w:eastAsia="fr-FR"/>
        </w:rPr>
        <w:t>’</w:t>
      </w:r>
      <w:r w:rsidRPr="00146D77">
        <w:rPr>
          <w:lang w:val="fr-FR" w:eastAsia="fr-FR"/>
        </w:rPr>
        <w:t>abri d</w:t>
      </w:r>
      <w:r w:rsidRPr="00146D77" w:rsidR="00146D77">
        <w:rPr>
          <w:lang w:val="fr-FR" w:eastAsia="fr-FR"/>
        </w:rPr>
        <w:t>’</w:t>
      </w:r>
      <w:r w:rsidRPr="00146D77">
        <w:rPr>
          <w:lang w:val="fr-FR" w:eastAsia="fr-FR"/>
        </w:rPr>
        <w:t>une révocation anticipée. La Constitution postule leur indépendance et interdit à tout pouvoir public de leur donner des instructions relatives à leurs activités juridictionnelles ou de les influencer dans l</w:t>
      </w:r>
      <w:r w:rsidRPr="00146D77" w:rsidR="00146D77">
        <w:rPr>
          <w:lang w:val="fr-FR" w:eastAsia="fr-FR"/>
        </w:rPr>
        <w:t>’</w:t>
      </w:r>
      <w:r w:rsidRPr="00146D77">
        <w:rPr>
          <w:lang w:val="fr-FR" w:eastAsia="fr-FR"/>
        </w:rPr>
        <w:t>exercice de leurs tâches.</w:t>
      </w:r>
    </w:p>
    <w:p w:rsidRPr="00146D77" w:rsidR="00234D1B" w:rsidP="00146D77" w:rsidRDefault="00234D1B">
      <w:pPr>
        <w:pStyle w:val="ECHRParaQuote"/>
        <w:rPr>
          <w:lang w:val="fr-FR" w:eastAsia="fr-FR"/>
        </w:rPr>
      </w:pPr>
      <w:r w:rsidRPr="00146D77">
        <w:rPr>
          <w:lang w:val="fr-FR" w:eastAsia="fr-FR"/>
        </w:rPr>
        <w:t>Par ailleurs, il n</w:t>
      </w:r>
      <w:r w:rsidRPr="00146D77" w:rsidR="00146D77">
        <w:rPr>
          <w:lang w:val="fr-FR" w:eastAsia="fr-FR"/>
        </w:rPr>
        <w:t>’</w:t>
      </w:r>
      <w:r w:rsidRPr="00146D77">
        <w:rPr>
          <w:lang w:val="fr-FR" w:eastAsia="fr-FR"/>
        </w:rPr>
        <w:t>est pas allégué ni constaté que le ministre de la Justice, membre du Conseil supérieur de la magistrature, peut adresser aux juges des instructions dans l</w:t>
      </w:r>
      <w:r w:rsidRPr="00146D77" w:rsidR="00146D77">
        <w:rPr>
          <w:lang w:val="fr-FR" w:eastAsia="fr-FR"/>
        </w:rPr>
        <w:t>’</w:t>
      </w:r>
      <w:r w:rsidRPr="00146D77">
        <w:rPr>
          <w:lang w:val="fr-FR" w:eastAsia="fr-FR"/>
        </w:rPr>
        <w:t>accomplissement de leurs fonctions judiciaires, ni qu</w:t>
      </w:r>
      <w:r w:rsidRPr="00146D77" w:rsidR="00146D77">
        <w:rPr>
          <w:lang w:val="fr-FR" w:eastAsia="fr-FR"/>
        </w:rPr>
        <w:t>’</w:t>
      </w:r>
      <w:r w:rsidRPr="00146D77">
        <w:rPr>
          <w:lang w:val="fr-FR" w:eastAsia="fr-FR"/>
        </w:rPr>
        <w:t xml:space="preserve">il existe un état de subordination de fonctions et de services (voir </w:t>
      </w:r>
      <w:r w:rsidRPr="00146D77">
        <w:rPr>
          <w:i/>
          <w:lang w:val="fr-FR" w:eastAsia="fr-FR"/>
        </w:rPr>
        <w:t>İmrek c. Turquie</w:t>
      </w:r>
      <w:r w:rsidRPr="00146D77">
        <w:rPr>
          <w:lang w:val="fr-FR" w:eastAsia="fr-FR"/>
        </w:rPr>
        <w:t xml:space="preserve"> (déc.), n</w:t>
      </w:r>
      <w:r w:rsidRPr="00146D77">
        <w:rPr>
          <w:vertAlign w:val="superscript"/>
          <w:lang w:val="fr-FR" w:eastAsia="fr-FR"/>
        </w:rPr>
        <w:t>o</w:t>
      </w:r>
      <w:r w:rsidRPr="00146D77">
        <w:rPr>
          <w:lang w:val="fr-FR" w:eastAsia="fr-FR"/>
        </w:rPr>
        <w:t xml:space="preserve"> 57175/00, 28 janvier 2003). »</w:t>
      </w:r>
    </w:p>
    <w:p w:rsidRPr="00146D77" w:rsidR="0083156D" w:rsidP="00146D77" w:rsidRDefault="00234D1B">
      <w:pPr>
        <w:pStyle w:val="ECHRPara"/>
        <w:rPr>
          <w:lang w:val="fr-FR"/>
        </w:rPr>
      </w:pPr>
      <w:r w:rsidRPr="00146D77">
        <w:rPr>
          <w:rFonts w:ascii="Times New Roman" w:hAnsi="Times New Roman" w:eastAsia="Times New Roman" w:cs="Times New Roman"/>
          <w:szCs w:val="20"/>
          <w:lang w:val="fr-FR" w:eastAsia="fr-FR"/>
        </w:rPr>
        <w:t>Eu égard à la similitude des situations en cause, elle ne saurait en l</w:t>
      </w:r>
      <w:r w:rsidRPr="00146D77" w:rsidR="00146D77">
        <w:rPr>
          <w:rFonts w:ascii="Times New Roman" w:hAnsi="Times New Roman" w:eastAsia="Times New Roman" w:cs="Times New Roman"/>
          <w:szCs w:val="20"/>
          <w:lang w:val="fr-FR" w:eastAsia="fr-FR"/>
        </w:rPr>
        <w:t>’</w:t>
      </w:r>
      <w:r w:rsidRPr="00146D77">
        <w:rPr>
          <w:rFonts w:ascii="Times New Roman" w:hAnsi="Times New Roman" w:eastAsia="Times New Roman" w:cs="Times New Roman"/>
          <w:szCs w:val="20"/>
          <w:lang w:val="fr-FR" w:eastAsia="fr-FR"/>
        </w:rPr>
        <w:t>espèce s</w:t>
      </w:r>
      <w:r w:rsidRPr="00146D77" w:rsidR="00146D77">
        <w:rPr>
          <w:rFonts w:ascii="Times New Roman" w:hAnsi="Times New Roman" w:eastAsia="Times New Roman" w:cs="Times New Roman"/>
          <w:szCs w:val="20"/>
          <w:lang w:val="fr-FR" w:eastAsia="fr-FR"/>
        </w:rPr>
        <w:t>’</w:t>
      </w:r>
      <w:r w:rsidRPr="00146D77">
        <w:rPr>
          <w:rFonts w:ascii="Times New Roman" w:hAnsi="Times New Roman" w:eastAsia="Times New Roman" w:cs="Times New Roman"/>
          <w:szCs w:val="20"/>
          <w:lang w:val="fr-FR" w:eastAsia="fr-FR"/>
        </w:rPr>
        <w:t>écarter de l</w:t>
      </w:r>
      <w:r w:rsidRPr="00146D77" w:rsidR="00146D77">
        <w:rPr>
          <w:rFonts w:ascii="Times New Roman" w:hAnsi="Times New Roman" w:eastAsia="Times New Roman" w:cs="Times New Roman"/>
          <w:szCs w:val="20"/>
          <w:lang w:val="fr-FR" w:eastAsia="fr-FR"/>
        </w:rPr>
        <w:t>’</w:t>
      </w:r>
      <w:r w:rsidRPr="00146D77">
        <w:rPr>
          <w:rFonts w:ascii="Times New Roman" w:hAnsi="Times New Roman" w:eastAsia="Times New Roman" w:cs="Times New Roman"/>
          <w:szCs w:val="20"/>
          <w:lang w:val="fr-FR" w:eastAsia="fr-FR"/>
        </w:rPr>
        <w:t>approche adoptée dans la décision susmentionnée.</w:t>
      </w:r>
    </w:p>
    <w:p w:rsidRPr="00146D77" w:rsidR="0083156D" w:rsidP="00146D77" w:rsidRDefault="0083156D">
      <w:pPr>
        <w:pStyle w:val="ECHRPara"/>
        <w:rPr>
          <w:noProof/>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56</w:t>
      </w:r>
      <w:r w:rsidRPr="00146D77">
        <w:rPr>
          <w:lang w:val="fr-FR"/>
        </w:rPr>
        <w:fldChar w:fldCharType="end"/>
      </w:r>
      <w:r w:rsidRPr="00146D77">
        <w:rPr>
          <w:lang w:val="fr-FR"/>
        </w:rPr>
        <w:t xml:space="preserve">.  Quant </w:t>
      </w:r>
      <w:r w:rsidRPr="00146D77" w:rsidR="00353FF2">
        <w:rPr>
          <w:lang w:val="fr-FR"/>
        </w:rPr>
        <w:t>à l</w:t>
      </w:r>
      <w:r w:rsidRPr="00146D77" w:rsidR="00146D77">
        <w:rPr>
          <w:lang w:val="fr-FR"/>
        </w:rPr>
        <w:t>’</w:t>
      </w:r>
      <w:r w:rsidRPr="00146D77" w:rsidR="00353FF2">
        <w:rPr>
          <w:lang w:val="fr-FR"/>
        </w:rPr>
        <w:t>autre grief, relatif</w:t>
      </w:r>
      <w:r w:rsidRPr="00146D77">
        <w:rPr>
          <w:lang w:val="fr-FR"/>
        </w:rPr>
        <w:t xml:space="preserve"> à l</w:t>
      </w:r>
      <w:r w:rsidRPr="00146D77" w:rsidR="00146D77">
        <w:rPr>
          <w:lang w:val="fr-FR"/>
        </w:rPr>
        <w:t>’</w:t>
      </w:r>
      <w:r w:rsidRPr="00146D77">
        <w:rPr>
          <w:lang w:val="fr-FR"/>
        </w:rPr>
        <w:t>interprétation et à l</w:t>
      </w:r>
      <w:r w:rsidRPr="00146D77" w:rsidR="00146D77">
        <w:rPr>
          <w:lang w:val="fr-FR"/>
        </w:rPr>
        <w:t>’</w:t>
      </w:r>
      <w:r w:rsidRPr="00146D77">
        <w:rPr>
          <w:lang w:val="fr-FR"/>
        </w:rPr>
        <w:t>application des dispositions internes par la Cour de cassation, l</w:t>
      </w:r>
      <w:r w:rsidRPr="00146D77">
        <w:rPr>
          <w:noProof/>
          <w:lang w:val="fr-FR"/>
        </w:rPr>
        <w:t xml:space="preserve">a Cour renvoie aux principes issus de sa jurisprudence, résumés dans ses arrêts </w:t>
      </w:r>
      <w:r w:rsidRPr="00146D77">
        <w:rPr>
          <w:i/>
          <w:noProof/>
          <w:lang w:val="fr-FR"/>
        </w:rPr>
        <w:t>Nejdet Şahin et Perihan Şahin c. Turquie</w:t>
      </w:r>
      <w:r w:rsidRPr="00146D77">
        <w:rPr>
          <w:noProof/>
          <w:lang w:val="fr-FR"/>
        </w:rPr>
        <w:t xml:space="preserve"> ([GC], n</w:t>
      </w:r>
      <w:r w:rsidRPr="00146D77">
        <w:rPr>
          <w:vertAlign w:val="superscript"/>
          <w:lang w:val="fr-FR"/>
        </w:rPr>
        <w:t>o</w:t>
      </w:r>
      <w:r w:rsidRPr="00146D77">
        <w:rPr>
          <w:noProof/>
          <w:lang w:val="fr-FR"/>
        </w:rPr>
        <w:t> 13279/05, §§ 49</w:t>
      </w:r>
      <w:r w:rsidRPr="00146D77">
        <w:rPr>
          <w:noProof/>
          <w:lang w:val="fr-FR"/>
        </w:rPr>
        <w:noBreakHyphen/>
        <w:t xml:space="preserve">58, 20 octobre 2011), et </w:t>
      </w:r>
      <w:r w:rsidRPr="00146D77">
        <w:rPr>
          <w:i/>
          <w:noProof/>
          <w:lang w:val="fr-FR"/>
        </w:rPr>
        <w:t>Albu et autres c. Roumanie</w:t>
      </w:r>
      <w:r w:rsidRPr="00146D77">
        <w:rPr>
          <w:noProof/>
          <w:lang w:val="fr-FR"/>
        </w:rPr>
        <w:t xml:space="preserve"> (n</w:t>
      </w:r>
      <w:r w:rsidRPr="00146D77">
        <w:rPr>
          <w:vertAlign w:val="superscript"/>
          <w:lang w:val="fr-FR"/>
        </w:rPr>
        <w:t>o</w:t>
      </w:r>
      <w:r w:rsidRPr="00146D77">
        <w:rPr>
          <w:noProof/>
          <w:lang w:val="fr-FR"/>
        </w:rPr>
        <w:t xml:space="preserve"> 34796/09 et soixante-</w:t>
      </w:r>
      <w:r w:rsidRPr="00146D77" w:rsidR="00BD3A2B">
        <w:rPr>
          <w:noProof/>
          <w:lang w:val="fr-FR"/>
        </w:rPr>
        <w:t>trois autres requêtes, § 34, 10 </w:t>
      </w:r>
      <w:r w:rsidRPr="00146D77">
        <w:rPr>
          <w:noProof/>
          <w:lang w:val="fr-FR"/>
        </w:rPr>
        <w:t>mai 2012).</w:t>
      </w:r>
    </w:p>
    <w:p w:rsidRPr="00146D77" w:rsidR="0083156D" w:rsidP="00146D77" w:rsidRDefault="0083156D">
      <w:pPr>
        <w:pStyle w:val="ECHRPara"/>
        <w:rPr>
          <w:noProof/>
          <w:lang w:val="fr-FR"/>
        </w:rPr>
      </w:pPr>
      <w:r w:rsidRPr="00146D77">
        <w:rPr>
          <w:noProof/>
          <w:lang w:val="fr-FR"/>
        </w:rPr>
        <w:fldChar w:fldCharType="begin"/>
      </w:r>
      <w:r w:rsidRPr="00146D77">
        <w:rPr>
          <w:noProof/>
          <w:lang w:val="fr-FR"/>
        </w:rPr>
        <w:instrText xml:space="preserve"> SEQ level0 \*arabic </w:instrText>
      </w:r>
      <w:r w:rsidRPr="00146D77">
        <w:rPr>
          <w:noProof/>
          <w:lang w:val="fr-FR"/>
        </w:rPr>
        <w:fldChar w:fldCharType="separate"/>
      </w:r>
      <w:r w:rsidRPr="00146D77" w:rsidR="00146D77">
        <w:rPr>
          <w:noProof/>
          <w:lang w:val="fr-FR"/>
        </w:rPr>
        <w:t>57</w:t>
      </w:r>
      <w:r w:rsidRPr="00146D77">
        <w:rPr>
          <w:noProof/>
          <w:lang w:val="fr-FR"/>
        </w:rPr>
        <w:fldChar w:fldCharType="end"/>
      </w:r>
      <w:r w:rsidRPr="00146D77">
        <w:rPr>
          <w:noProof/>
          <w:lang w:val="fr-FR"/>
        </w:rPr>
        <w:t>.  </w:t>
      </w:r>
      <w:r w:rsidRPr="00146D77" w:rsidR="0007559D">
        <w:rPr>
          <w:rFonts w:ascii="Times New Roman" w:hAnsi="Times New Roman" w:eastAsia="MS Mincho" w:cs="Times New Roman"/>
          <w:lang w:val="fr-FR"/>
        </w:rPr>
        <w:t>La</w:t>
      </w:r>
      <w:r w:rsidRPr="00146D77" w:rsidR="0007559D">
        <w:rPr>
          <w:lang w:val="fr-FR"/>
        </w:rPr>
        <w:t xml:space="preserve"> </w:t>
      </w:r>
      <w:r w:rsidRPr="00146D77" w:rsidR="0007559D">
        <w:rPr>
          <w:rFonts w:ascii="Times New Roman" w:hAnsi="Times New Roman" w:eastAsia="MS Mincho" w:cs="Times New Roman"/>
          <w:lang w:val="fr-FR"/>
        </w:rPr>
        <w:t>Cour rappelle que le pouvoir qu</w:t>
      </w:r>
      <w:r w:rsidRPr="00146D77" w:rsidR="00146D77">
        <w:rPr>
          <w:rFonts w:ascii="Times New Roman" w:hAnsi="Times New Roman" w:eastAsia="MS Mincho" w:cs="Times New Roman"/>
          <w:lang w:val="fr-FR"/>
        </w:rPr>
        <w:t>’</w:t>
      </w:r>
      <w:r w:rsidRPr="00146D77" w:rsidR="0007559D">
        <w:rPr>
          <w:rFonts w:ascii="Times New Roman" w:hAnsi="Times New Roman" w:eastAsia="MS Mincho" w:cs="Times New Roman"/>
          <w:lang w:val="fr-FR"/>
        </w:rPr>
        <w:t>elle a de contrôler le respect du droit interne est limité. C</w:t>
      </w:r>
      <w:r w:rsidRPr="00146D77" w:rsidR="00146D77">
        <w:rPr>
          <w:rFonts w:ascii="Times New Roman" w:hAnsi="Times New Roman" w:eastAsia="MS Mincho" w:cs="Times New Roman"/>
          <w:lang w:val="fr-FR"/>
        </w:rPr>
        <w:t>’</w:t>
      </w:r>
      <w:r w:rsidRPr="00146D77" w:rsidR="0007559D">
        <w:rPr>
          <w:rFonts w:ascii="Times New Roman" w:hAnsi="Times New Roman" w:eastAsia="MS Mincho" w:cs="Times New Roman"/>
          <w:lang w:val="fr-FR"/>
        </w:rPr>
        <w:t>est au premier chef aux autorités nationales, notamment aux tribunaux, qu</w:t>
      </w:r>
      <w:r w:rsidRPr="00146D77" w:rsidR="00146D77">
        <w:rPr>
          <w:rFonts w:ascii="Times New Roman" w:hAnsi="Times New Roman" w:eastAsia="MS Mincho" w:cs="Times New Roman"/>
          <w:lang w:val="fr-FR"/>
        </w:rPr>
        <w:t>’</w:t>
      </w:r>
      <w:r w:rsidRPr="00146D77" w:rsidR="0007559D">
        <w:rPr>
          <w:rFonts w:ascii="Times New Roman" w:hAnsi="Times New Roman" w:eastAsia="MS Mincho" w:cs="Times New Roman"/>
          <w:lang w:val="fr-FR"/>
        </w:rPr>
        <w:t>il incombe d</w:t>
      </w:r>
      <w:r w:rsidRPr="00146D77" w:rsidR="00146D77">
        <w:rPr>
          <w:rFonts w:ascii="Times New Roman" w:hAnsi="Times New Roman" w:eastAsia="MS Mincho" w:cs="Times New Roman"/>
          <w:lang w:val="fr-FR"/>
        </w:rPr>
        <w:t>’</w:t>
      </w:r>
      <w:r w:rsidRPr="00146D77" w:rsidR="0007559D">
        <w:rPr>
          <w:rFonts w:ascii="Times New Roman" w:hAnsi="Times New Roman" w:eastAsia="MS Mincho" w:cs="Times New Roman"/>
          <w:lang w:val="fr-FR"/>
        </w:rPr>
        <w:t>interpréter et d</w:t>
      </w:r>
      <w:r w:rsidRPr="00146D77" w:rsidR="00146D77">
        <w:rPr>
          <w:rFonts w:ascii="Times New Roman" w:hAnsi="Times New Roman" w:eastAsia="MS Mincho" w:cs="Times New Roman"/>
          <w:lang w:val="fr-FR"/>
        </w:rPr>
        <w:t>’</w:t>
      </w:r>
      <w:r w:rsidRPr="00146D77" w:rsidR="0007559D">
        <w:rPr>
          <w:rFonts w:ascii="Times New Roman" w:hAnsi="Times New Roman" w:eastAsia="MS Mincho" w:cs="Times New Roman"/>
          <w:lang w:val="fr-FR"/>
        </w:rPr>
        <w:t>appliquer le droit interne, même dans les domaines où la Convention s</w:t>
      </w:r>
      <w:r w:rsidRPr="00146D77" w:rsidR="00146D77">
        <w:rPr>
          <w:rFonts w:ascii="Times New Roman" w:hAnsi="Times New Roman" w:eastAsia="MS Mincho" w:cs="Times New Roman"/>
          <w:lang w:val="fr-FR"/>
        </w:rPr>
        <w:t>’</w:t>
      </w:r>
      <w:r w:rsidRPr="00146D77" w:rsidR="0007559D">
        <w:rPr>
          <w:rFonts w:ascii="Times New Roman" w:hAnsi="Times New Roman" w:eastAsia="MS Mincho" w:cs="Times New Roman"/>
          <w:lang w:val="fr-FR"/>
        </w:rPr>
        <w:t>en « approprie » les normes : par la force des choses, lesdites autorités sont spécialement qualifiées pour trancher les questions surgissant à cet égard (</w:t>
      </w:r>
      <w:r w:rsidRPr="00146D77" w:rsidR="0007559D">
        <w:rPr>
          <w:rFonts w:ascii="Times New Roman" w:hAnsi="Times New Roman" w:eastAsia="MS Mincho" w:cs="Times New Roman"/>
          <w:i/>
          <w:iCs/>
          <w:lang w:val="fr-FR"/>
        </w:rPr>
        <w:t>Zagrebačka banka d.d.</w:t>
      </w:r>
      <w:r w:rsidRPr="00146D77" w:rsidR="0007559D">
        <w:rPr>
          <w:rFonts w:ascii="Times New Roman" w:hAnsi="Times New Roman" w:eastAsia="MS Mincho" w:cs="Times New Roman"/>
          <w:lang w:val="fr-FR"/>
        </w:rPr>
        <w:t xml:space="preserve"> </w:t>
      </w:r>
      <w:r w:rsidRPr="00146D77" w:rsidR="0007559D">
        <w:rPr>
          <w:rFonts w:ascii="Times New Roman" w:hAnsi="Times New Roman" w:eastAsia="MS Mincho" w:cs="Times New Roman"/>
          <w:i/>
          <w:lang w:val="fr-FR"/>
        </w:rPr>
        <w:t>c.</w:t>
      </w:r>
      <w:r w:rsidRPr="00146D77" w:rsidR="0007559D">
        <w:rPr>
          <w:rFonts w:ascii="Times New Roman" w:hAnsi="Times New Roman" w:eastAsia="MS Mincho" w:cs="Times New Roman"/>
          <w:lang w:val="fr-FR"/>
        </w:rPr>
        <w:t xml:space="preserve"> </w:t>
      </w:r>
      <w:r w:rsidRPr="00146D77" w:rsidR="0007559D">
        <w:rPr>
          <w:rFonts w:ascii="Times New Roman" w:hAnsi="Times New Roman" w:eastAsia="MS Mincho" w:cs="Times New Roman"/>
          <w:i/>
          <w:iCs/>
          <w:lang w:val="fr-FR"/>
        </w:rPr>
        <w:t>Croatie</w:t>
      </w:r>
      <w:r w:rsidRPr="00146D77" w:rsidR="0007559D">
        <w:rPr>
          <w:rFonts w:ascii="Times New Roman" w:hAnsi="Times New Roman" w:eastAsia="MS Mincho" w:cs="Times New Roman"/>
          <w:lang w:val="fr-FR"/>
        </w:rPr>
        <w:t>, n</w:t>
      </w:r>
      <w:r w:rsidRPr="00146D77" w:rsidR="0007559D">
        <w:rPr>
          <w:rFonts w:ascii="Times New Roman" w:hAnsi="Times New Roman" w:eastAsia="MS Mincho" w:cs="Times New Roman"/>
          <w:vertAlign w:val="superscript"/>
          <w:lang w:val="fr-FR"/>
        </w:rPr>
        <w:t>o</w:t>
      </w:r>
      <w:r w:rsidRPr="00146D77" w:rsidR="0007559D">
        <w:rPr>
          <w:rFonts w:ascii="Times New Roman" w:hAnsi="Times New Roman" w:eastAsia="MS Mincho" w:cs="Times New Roman"/>
          <w:lang w:val="fr-FR"/>
        </w:rPr>
        <w:t> 39544/05</w:t>
      </w:r>
      <w:r w:rsidRPr="00146D77" w:rsidR="0007559D">
        <w:rPr>
          <w:rFonts w:ascii="Times New Roman" w:hAnsi="Times New Roman" w:eastAsia="MS Mincho" w:cs="Times New Roman"/>
          <w:snapToGrid w:val="0"/>
          <w:lang w:val="fr-FR"/>
        </w:rPr>
        <w:t xml:space="preserve">, § 263, 12 </w:t>
      </w:r>
      <w:r w:rsidRPr="00146D77" w:rsidR="0007559D">
        <w:rPr>
          <w:rFonts w:ascii="Times New Roman" w:hAnsi="Times New Roman" w:eastAsia="MS Mincho" w:cs="Times New Roman"/>
          <w:lang w:val="fr-FR"/>
        </w:rPr>
        <w:t>décembre</w:t>
      </w:r>
      <w:r w:rsidRPr="00146D77" w:rsidR="0007559D">
        <w:rPr>
          <w:rFonts w:ascii="Times New Roman" w:hAnsi="Times New Roman" w:eastAsia="MS Mincho" w:cs="Times New Roman"/>
          <w:snapToGrid w:val="0"/>
          <w:lang w:val="fr-FR"/>
        </w:rPr>
        <w:t xml:space="preserve"> 2013</w:t>
      </w:r>
      <w:r w:rsidRPr="00146D77" w:rsidR="0007559D">
        <w:rPr>
          <w:rFonts w:ascii="Times New Roman" w:hAnsi="Times New Roman" w:eastAsia="MS Mincho" w:cs="Times New Roman"/>
          <w:lang w:val="fr-FR"/>
        </w:rPr>
        <w:t>). C</w:t>
      </w:r>
      <w:r w:rsidRPr="00146D77" w:rsidR="00146D77">
        <w:rPr>
          <w:rFonts w:ascii="Times New Roman" w:hAnsi="Times New Roman" w:eastAsia="MS Mincho" w:cs="Times New Roman"/>
          <w:lang w:val="fr-FR"/>
        </w:rPr>
        <w:t>’</w:t>
      </w:r>
      <w:r w:rsidRPr="00146D77" w:rsidR="0007559D">
        <w:rPr>
          <w:rFonts w:ascii="Times New Roman" w:hAnsi="Times New Roman" w:eastAsia="MS Mincho" w:cs="Times New Roman"/>
          <w:lang w:val="fr-FR"/>
        </w:rPr>
        <w:t>est d</w:t>
      </w:r>
      <w:r w:rsidRPr="00146D77" w:rsidR="00146D77">
        <w:rPr>
          <w:rFonts w:ascii="Times New Roman" w:hAnsi="Times New Roman" w:eastAsia="MS Mincho" w:cs="Times New Roman"/>
          <w:lang w:val="fr-FR"/>
        </w:rPr>
        <w:t>’</w:t>
      </w:r>
      <w:r w:rsidRPr="00146D77" w:rsidR="0007559D">
        <w:rPr>
          <w:rFonts w:ascii="Times New Roman" w:hAnsi="Times New Roman" w:eastAsia="MS Mincho" w:cs="Times New Roman"/>
          <w:lang w:val="fr-FR"/>
        </w:rPr>
        <w:t>autant plus vrai lorsque sont en cause, comme en l</w:t>
      </w:r>
      <w:r w:rsidRPr="00146D77" w:rsidR="00146D77">
        <w:rPr>
          <w:rFonts w:ascii="Times New Roman" w:hAnsi="Times New Roman" w:eastAsia="MS Mincho" w:cs="Times New Roman"/>
          <w:lang w:val="fr-FR"/>
        </w:rPr>
        <w:t>’</w:t>
      </w:r>
      <w:r w:rsidRPr="00146D77" w:rsidR="0007559D">
        <w:rPr>
          <w:rFonts w:ascii="Times New Roman" w:hAnsi="Times New Roman" w:eastAsia="MS Mincho" w:cs="Times New Roman"/>
          <w:lang w:val="fr-FR"/>
        </w:rPr>
        <w:t>espèce, de difficiles questions d</w:t>
      </w:r>
      <w:r w:rsidRPr="00146D77" w:rsidR="00146D77">
        <w:rPr>
          <w:rFonts w:ascii="Times New Roman" w:hAnsi="Times New Roman" w:eastAsia="MS Mincho" w:cs="Times New Roman"/>
          <w:lang w:val="fr-FR"/>
        </w:rPr>
        <w:t>’</w:t>
      </w:r>
      <w:r w:rsidRPr="00146D77" w:rsidR="0007559D">
        <w:rPr>
          <w:rFonts w:ascii="Times New Roman" w:hAnsi="Times New Roman" w:eastAsia="MS Mincho" w:cs="Times New Roman"/>
          <w:lang w:val="fr-FR"/>
        </w:rPr>
        <w:t>interprétation du droit national (</w:t>
      </w:r>
      <w:r w:rsidRPr="00146D77" w:rsidR="00BD3A2B">
        <w:rPr>
          <w:rFonts w:ascii="Times New Roman" w:hAnsi="Times New Roman" w:eastAsia="MS Mincho" w:cs="Times New Roman"/>
          <w:i/>
          <w:lang w:val="fr-FR"/>
        </w:rPr>
        <w:t>Anheuser-Busch Inc. c. </w:t>
      </w:r>
      <w:r w:rsidRPr="00146D77" w:rsidR="0007559D">
        <w:rPr>
          <w:rFonts w:ascii="Times New Roman" w:hAnsi="Times New Roman" w:eastAsia="MS Mincho" w:cs="Times New Roman"/>
          <w:i/>
          <w:lang w:val="fr-FR"/>
        </w:rPr>
        <w:t>Portugal</w:t>
      </w:r>
      <w:r w:rsidRPr="00146D77" w:rsidR="0007559D">
        <w:rPr>
          <w:rFonts w:ascii="Times New Roman" w:hAnsi="Times New Roman" w:eastAsia="MS Mincho" w:cs="Times New Roman"/>
          <w:lang w:val="fr-FR"/>
        </w:rPr>
        <w:t xml:space="preserve"> [GC], n</w:t>
      </w:r>
      <w:r w:rsidRPr="00146D77" w:rsidR="0007559D">
        <w:rPr>
          <w:rFonts w:ascii="Times New Roman" w:hAnsi="Times New Roman" w:eastAsia="MS Mincho" w:cs="Times New Roman"/>
          <w:vertAlign w:val="superscript"/>
          <w:lang w:val="fr-FR"/>
        </w:rPr>
        <w:t>o</w:t>
      </w:r>
      <w:r w:rsidRPr="00146D77" w:rsidR="0007559D">
        <w:rPr>
          <w:rFonts w:ascii="Times New Roman" w:hAnsi="Times New Roman" w:eastAsia="MS Mincho" w:cs="Times New Roman"/>
          <w:lang w:val="fr-FR"/>
        </w:rPr>
        <w:t xml:space="preserve"> 73049/01, § 83, CEDH 2007 I). Sauf si l</w:t>
      </w:r>
      <w:r w:rsidRPr="00146D77" w:rsidR="00146D77">
        <w:rPr>
          <w:rFonts w:ascii="Times New Roman" w:hAnsi="Times New Roman" w:eastAsia="MS Mincho" w:cs="Times New Roman"/>
          <w:lang w:val="fr-FR"/>
        </w:rPr>
        <w:t>’</w:t>
      </w:r>
      <w:r w:rsidRPr="00146D77" w:rsidR="0007559D">
        <w:rPr>
          <w:rFonts w:ascii="Times New Roman" w:hAnsi="Times New Roman" w:eastAsia="MS Mincho" w:cs="Times New Roman"/>
          <w:lang w:val="fr-FR"/>
        </w:rPr>
        <w:t>interprétation retenue est arbitraire ou manifestement déraisonnable, la tâche de la Cour se limite à déterminer si ses effets sont compatibles avec la Convention (</w:t>
      </w:r>
      <w:r w:rsidRPr="00146D77" w:rsidR="0007559D">
        <w:rPr>
          <w:rFonts w:ascii="Times New Roman" w:hAnsi="Times New Roman" w:eastAsia="MS Mincho" w:cs="Times New Roman"/>
          <w:i/>
          <w:lang w:val="fr-FR"/>
        </w:rPr>
        <w:t>ibidem</w:t>
      </w:r>
      <w:r w:rsidRPr="00146D77" w:rsidR="0007559D">
        <w:rPr>
          <w:rFonts w:ascii="Times New Roman" w:hAnsi="Times New Roman" w:eastAsia="MS Mincho" w:cs="Times New Roman"/>
          <w:lang w:val="fr-FR"/>
        </w:rPr>
        <w:t>, §§ 83 et 86). C</w:t>
      </w:r>
      <w:r w:rsidRPr="00146D77" w:rsidR="00146D77">
        <w:rPr>
          <w:rFonts w:ascii="Times New Roman" w:hAnsi="Times New Roman" w:eastAsia="MS Mincho" w:cs="Times New Roman"/>
          <w:lang w:val="fr-FR"/>
        </w:rPr>
        <w:t>’</w:t>
      </w:r>
      <w:r w:rsidRPr="00146D77" w:rsidR="0007559D">
        <w:rPr>
          <w:rFonts w:ascii="Times New Roman" w:hAnsi="Times New Roman" w:eastAsia="MS Mincho" w:cs="Times New Roman"/>
          <w:lang w:val="fr-FR"/>
        </w:rPr>
        <w:t>est pour cette raison que la Cour a jugé que, en principe, un requérant ne peut passer pour jouir d</w:t>
      </w:r>
      <w:r w:rsidRPr="00146D77" w:rsidR="00146D77">
        <w:rPr>
          <w:rFonts w:ascii="Times New Roman" w:hAnsi="Times New Roman" w:eastAsia="MS Mincho" w:cs="Times New Roman"/>
          <w:lang w:val="fr-FR"/>
        </w:rPr>
        <w:t>’</w:t>
      </w:r>
      <w:r w:rsidRPr="00146D77" w:rsidR="0007559D">
        <w:rPr>
          <w:rFonts w:ascii="Times New Roman" w:hAnsi="Times New Roman" w:eastAsia="MS Mincho" w:cs="Times New Roman"/>
          <w:lang w:val="fr-FR"/>
        </w:rPr>
        <w:t>une créance suffisamment certaine s</w:t>
      </w:r>
      <w:r w:rsidRPr="00146D77" w:rsidR="00146D77">
        <w:rPr>
          <w:rFonts w:ascii="Times New Roman" w:hAnsi="Times New Roman" w:eastAsia="MS Mincho" w:cs="Times New Roman"/>
          <w:lang w:val="fr-FR"/>
        </w:rPr>
        <w:t>’</w:t>
      </w:r>
      <w:r w:rsidRPr="00146D77" w:rsidR="0007559D">
        <w:rPr>
          <w:rFonts w:ascii="Times New Roman" w:hAnsi="Times New Roman" w:eastAsia="MS Mincho" w:cs="Times New Roman"/>
          <w:lang w:val="fr-FR"/>
        </w:rPr>
        <w:t>analysant en une « valeur patrimoniale » aux fins de l</w:t>
      </w:r>
      <w:r w:rsidRPr="00146D77" w:rsidR="00146D77">
        <w:rPr>
          <w:rFonts w:ascii="Times New Roman" w:hAnsi="Times New Roman" w:eastAsia="MS Mincho" w:cs="Times New Roman"/>
          <w:lang w:val="fr-FR"/>
        </w:rPr>
        <w:t>’</w:t>
      </w:r>
      <w:r w:rsidRPr="00146D77" w:rsidR="0007559D">
        <w:rPr>
          <w:rFonts w:ascii="Times New Roman" w:hAnsi="Times New Roman" w:eastAsia="MS Mincho" w:cs="Times New Roman"/>
          <w:lang w:val="fr-FR"/>
        </w:rPr>
        <w:t>article 1 du Protocole n</w:t>
      </w:r>
      <w:r w:rsidRPr="00146D77" w:rsidR="0007559D">
        <w:rPr>
          <w:rFonts w:ascii="Times New Roman" w:hAnsi="Times New Roman" w:eastAsia="MS Mincho" w:cs="Times New Roman"/>
          <w:vertAlign w:val="superscript"/>
          <w:lang w:val="fr-FR"/>
        </w:rPr>
        <w:t>o</w:t>
      </w:r>
      <w:r w:rsidRPr="00146D77" w:rsidR="0007559D">
        <w:rPr>
          <w:rFonts w:ascii="Times New Roman" w:hAnsi="Times New Roman" w:eastAsia="MS Mincho" w:cs="Times New Roman"/>
          <w:lang w:val="fr-FR"/>
        </w:rPr>
        <w:t xml:space="preserve"> 1 lorsqu</w:t>
      </w:r>
      <w:r w:rsidRPr="00146D77" w:rsidR="00146D77">
        <w:rPr>
          <w:rFonts w:ascii="Times New Roman" w:hAnsi="Times New Roman" w:eastAsia="MS Mincho" w:cs="Times New Roman"/>
          <w:lang w:val="fr-FR"/>
        </w:rPr>
        <w:t>’</w:t>
      </w:r>
      <w:r w:rsidRPr="00146D77" w:rsidR="0007559D">
        <w:rPr>
          <w:rFonts w:ascii="Times New Roman" w:hAnsi="Times New Roman" w:eastAsia="MS Mincho" w:cs="Times New Roman"/>
          <w:lang w:val="fr-FR"/>
        </w:rPr>
        <w:t xml:space="preserve">il y a controverse sur la façon dont le droit interne doit être interprété et appliqué et que la question du respect par lui des </w:t>
      </w:r>
      <w:r w:rsidRPr="00146D77" w:rsidR="0007559D">
        <w:rPr>
          <w:rFonts w:ascii="Times New Roman" w:hAnsi="Times New Roman" w:eastAsia="MS Mincho" w:cs="Times New Roman"/>
          <w:szCs w:val="24"/>
          <w:lang w:val="fr-FR"/>
        </w:rPr>
        <w:t xml:space="preserve">prescriptions légales appelle une décision de justice (voir, par exemple, </w:t>
      </w:r>
      <w:r w:rsidRPr="00146D77" w:rsidR="0007559D">
        <w:rPr>
          <w:rFonts w:ascii="Times New Roman" w:hAnsi="Times New Roman" w:eastAsia="MS Mincho" w:cs="Times New Roman"/>
          <w:i/>
          <w:szCs w:val="24"/>
          <w:lang w:val="fr-FR"/>
        </w:rPr>
        <w:t>Kopecký</w:t>
      </w:r>
      <w:r w:rsidRPr="00146D77" w:rsidR="0007559D">
        <w:rPr>
          <w:rFonts w:ascii="Times New Roman" w:hAnsi="Times New Roman" w:eastAsia="MS Mincho" w:cs="Times New Roman"/>
          <w:szCs w:val="24"/>
          <w:lang w:val="fr-FR"/>
        </w:rPr>
        <w:t xml:space="preserve">, précité, §§ 50 et 58, et </w:t>
      </w:r>
      <w:r w:rsidRPr="00146D77" w:rsidR="0007559D">
        <w:rPr>
          <w:rFonts w:ascii="Times New Roman" w:hAnsi="Times New Roman" w:eastAsia="MS Mincho" w:cs="Times New Roman"/>
          <w:i/>
          <w:szCs w:val="24"/>
          <w:lang w:val="fr-FR"/>
        </w:rPr>
        <w:t>Milašinović c. Croatie</w:t>
      </w:r>
      <w:r w:rsidRPr="00146D77" w:rsidR="0007559D">
        <w:rPr>
          <w:rFonts w:ascii="Times New Roman" w:hAnsi="Times New Roman" w:eastAsia="MS Mincho" w:cs="Times New Roman"/>
          <w:szCs w:val="24"/>
          <w:lang w:val="fr-FR"/>
        </w:rPr>
        <w:t xml:space="preserve"> (déc.), n</w:t>
      </w:r>
      <w:r w:rsidRPr="00146D77" w:rsidR="0007559D">
        <w:rPr>
          <w:rFonts w:ascii="Times New Roman" w:hAnsi="Times New Roman" w:eastAsia="MS Mincho" w:cs="Times New Roman"/>
          <w:szCs w:val="24"/>
          <w:vertAlign w:val="superscript"/>
          <w:lang w:val="fr-FR"/>
        </w:rPr>
        <w:t>o</w:t>
      </w:r>
      <w:r w:rsidRPr="00146D77" w:rsidR="0007559D">
        <w:rPr>
          <w:rFonts w:ascii="Times New Roman" w:hAnsi="Times New Roman" w:eastAsia="MS Mincho" w:cs="Times New Roman"/>
          <w:szCs w:val="24"/>
          <w:lang w:val="fr-FR"/>
        </w:rPr>
        <w:t> 26659/08, 1</w:t>
      </w:r>
      <w:r w:rsidRPr="00146D77" w:rsidR="0007559D">
        <w:rPr>
          <w:rFonts w:ascii="Times New Roman" w:hAnsi="Times New Roman" w:eastAsia="MS Mincho" w:cs="Times New Roman"/>
          <w:szCs w:val="24"/>
          <w:vertAlign w:val="superscript"/>
          <w:lang w:val="fr-FR"/>
        </w:rPr>
        <w:t>er</w:t>
      </w:r>
      <w:r w:rsidRPr="00146D77" w:rsidR="0007559D">
        <w:rPr>
          <w:rFonts w:ascii="Times New Roman" w:hAnsi="Times New Roman" w:eastAsia="MS Mincho" w:cs="Times New Roman"/>
          <w:szCs w:val="24"/>
          <w:lang w:val="fr-FR"/>
        </w:rPr>
        <w:t xml:space="preserve"> juillet 2010</w:t>
      </w:r>
      <w:r w:rsidRPr="00146D77" w:rsidR="0007559D">
        <w:rPr>
          <w:rFonts w:ascii="Times New Roman" w:hAnsi="Times New Roman" w:cs="Times New Roman"/>
          <w:szCs w:val="24"/>
          <w:lang w:val="fr-FR"/>
        </w:rPr>
        <w:t xml:space="preserve">, </w:t>
      </w:r>
      <w:r w:rsidRPr="00146D77" w:rsidR="0007559D">
        <w:rPr>
          <w:rFonts w:ascii="Times New Roman" w:hAnsi="Times New Roman" w:eastAsia="MS Mincho" w:cs="Times New Roman"/>
          <w:i/>
          <w:szCs w:val="24"/>
          <w:lang w:val="fr-FR"/>
        </w:rPr>
        <w:t xml:space="preserve">Radomilja et autres, </w:t>
      </w:r>
      <w:r w:rsidRPr="00146D77" w:rsidR="0007559D">
        <w:rPr>
          <w:rFonts w:ascii="Times New Roman" w:hAnsi="Times New Roman" w:eastAsia="MS Mincho" w:cs="Times New Roman"/>
          <w:szCs w:val="24"/>
          <w:lang w:val="fr-FR"/>
        </w:rPr>
        <w:t>précité,</w:t>
      </w:r>
      <w:r w:rsidRPr="00146D77" w:rsidR="0007559D">
        <w:rPr>
          <w:rFonts w:ascii="Times New Roman" w:hAnsi="Times New Roman" w:cs="Times New Roman"/>
          <w:szCs w:val="24"/>
          <w:lang w:val="fr-FR" w:eastAsia="en-GB"/>
        </w:rPr>
        <w:t xml:space="preserve"> </w:t>
      </w:r>
      <w:r w:rsidRPr="00146D77" w:rsidR="0007559D">
        <w:rPr>
          <w:rFonts w:ascii="Times New Roman" w:hAnsi="Times New Roman" w:cs="Times New Roman"/>
          <w:szCs w:val="24"/>
          <w:lang w:val="fr-FR"/>
        </w:rPr>
        <w:t xml:space="preserve">§ 149, 20 mars 2018, </w:t>
      </w:r>
      <w:r w:rsidRPr="00146D77" w:rsidR="0007559D">
        <w:rPr>
          <w:rFonts w:ascii="Times New Roman" w:hAnsi="Times New Roman" w:cs="Times New Roman"/>
          <w:i/>
          <w:iCs/>
          <w:szCs w:val="24"/>
          <w:lang w:val="fr-FR"/>
        </w:rPr>
        <w:t>S., V. et A. c. Danemark</w:t>
      </w:r>
      <w:r w:rsidRPr="00146D77" w:rsidR="0007559D">
        <w:rPr>
          <w:rFonts w:ascii="Times New Roman" w:hAnsi="Times New Roman" w:cs="Times New Roman"/>
          <w:szCs w:val="24"/>
          <w:lang w:val="fr-FR"/>
        </w:rPr>
        <w:t xml:space="preserve"> [GC], </w:t>
      </w:r>
      <w:r w:rsidRPr="00146D77" w:rsidR="0007559D">
        <w:rPr>
          <w:rFonts w:ascii="Times New Roman" w:hAnsi="Times New Roman" w:cs="Times New Roman"/>
          <w:szCs w:val="24"/>
          <w:lang w:val="fr-FR" w:eastAsia="en-GB"/>
        </w:rPr>
        <w:t>n</w:t>
      </w:r>
      <w:r w:rsidRPr="00146D77" w:rsidR="0007559D">
        <w:rPr>
          <w:rFonts w:ascii="Times New Roman" w:hAnsi="Times New Roman" w:cs="Times New Roman"/>
          <w:szCs w:val="24"/>
          <w:vertAlign w:val="superscript"/>
          <w:lang w:val="fr-FR" w:eastAsia="en-GB"/>
        </w:rPr>
        <w:t>os</w:t>
      </w:r>
      <w:r w:rsidRPr="00146D77" w:rsidR="0007559D">
        <w:rPr>
          <w:rFonts w:ascii="Times New Roman" w:hAnsi="Times New Roman" w:cs="Times New Roman"/>
          <w:szCs w:val="24"/>
          <w:lang w:val="fr-FR" w:eastAsia="en-GB"/>
        </w:rPr>
        <w:t xml:space="preserve"> </w:t>
      </w:r>
      <w:r w:rsidRPr="00146D77" w:rsidR="0007559D">
        <w:rPr>
          <w:rFonts w:ascii="Times New Roman" w:hAnsi="Times New Roman" w:cs="Times New Roman"/>
          <w:szCs w:val="24"/>
          <w:lang w:val="fr-FR"/>
        </w:rPr>
        <w:t xml:space="preserve">35553/12 et 2 autres, § 148, 22 octobre 2018, et </w:t>
      </w:r>
      <w:r w:rsidRPr="00146D77" w:rsidR="0007559D">
        <w:rPr>
          <w:rFonts w:ascii="Times New Roman" w:hAnsi="Times New Roman" w:cs="Times New Roman"/>
          <w:i/>
          <w:iCs/>
          <w:szCs w:val="24"/>
          <w:lang w:val="fr-FR"/>
        </w:rPr>
        <w:t>Molla Sali c. Grèce</w:t>
      </w:r>
      <w:r w:rsidRPr="00146D77" w:rsidR="0007559D">
        <w:rPr>
          <w:rFonts w:ascii="Times New Roman" w:hAnsi="Times New Roman" w:cs="Times New Roman"/>
          <w:color w:val="000000"/>
          <w:szCs w:val="24"/>
          <w:lang w:val="fr-FR"/>
        </w:rPr>
        <w:t xml:space="preserve"> [GC], </w:t>
      </w:r>
      <w:r w:rsidRPr="00146D77" w:rsidR="0007559D">
        <w:rPr>
          <w:rFonts w:ascii="Times New Roman" w:hAnsi="Times New Roman" w:cs="Times New Roman"/>
          <w:szCs w:val="24"/>
          <w:lang w:val="fr-FR" w:eastAsia="en-GB"/>
        </w:rPr>
        <w:t>n</w:t>
      </w:r>
      <w:r w:rsidRPr="00146D77" w:rsidR="0007559D">
        <w:rPr>
          <w:rFonts w:ascii="Times New Roman" w:hAnsi="Times New Roman" w:cs="Times New Roman"/>
          <w:szCs w:val="24"/>
          <w:vertAlign w:val="superscript"/>
          <w:lang w:val="fr-FR" w:eastAsia="en-GB"/>
        </w:rPr>
        <w:t>o</w:t>
      </w:r>
      <w:r w:rsidRPr="00146D77" w:rsidR="0007559D">
        <w:rPr>
          <w:rFonts w:ascii="Times New Roman" w:hAnsi="Times New Roman" w:cs="Times New Roman"/>
          <w:szCs w:val="24"/>
          <w:lang w:val="fr-FR" w:eastAsia="en-GB"/>
        </w:rPr>
        <w:t xml:space="preserve"> </w:t>
      </w:r>
      <w:r w:rsidRPr="00146D77" w:rsidR="0007559D">
        <w:rPr>
          <w:rFonts w:ascii="Times New Roman" w:hAnsi="Times New Roman" w:cs="Times New Roman"/>
          <w:color w:val="000000"/>
          <w:szCs w:val="24"/>
          <w:lang w:val="fr-FR"/>
        </w:rPr>
        <w:t xml:space="preserve">20452/14, </w:t>
      </w:r>
      <w:r w:rsidRPr="00146D77" w:rsidR="0007559D">
        <w:rPr>
          <w:rFonts w:ascii="Times New Roman" w:hAnsi="Times New Roman" w:cs="Times New Roman"/>
          <w:szCs w:val="24"/>
          <w:lang w:val="fr-FR"/>
        </w:rPr>
        <w:t>§ 149, 19 décembre 2018).</w:t>
      </w:r>
    </w:p>
    <w:p w:rsidRPr="00146D77" w:rsidR="0083156D" w:rsidP="00146D77" w:rsidRDefault="0083156D">
      <w:pPr>
        <w:pStyle w:val="ECHRPara"/>
        <w:rPr>
          <w:noProof/>
          <w:lang w:val="fr-FR"/>
        </w:rPr>
      </w:pPr>
      <w:r w:rsidRPr="00146D77">
        <w:rPr>
          <w:noProof/>
          <w:lang w:val="fr-FR"/>
        </w:rPr>
        <w:fldChar w:fldCharType="begin"/>
      </w:r>
      <w:r w:rsidRPr="00146D77">
        <w:rPr>
          <w:noProof/>
          <w:lang w:val="fr-FR"/>
        </w:rPr>
        <w:instrText xml:space="preserve"> SEQ level0 \*arabic </w:instrText>
      </w:r>
      <w:r w:rsidRPr="00146D77">
        <w:rPr>
          <w:noProof/>
          <w:lang w:val="fr-FR"/>
        </w:rPr>
        <w:fldChar w:fldCharType="separate"/>
      </w:r>
      <w:r w:rsidRPr="00146D77" w:rsidR="00146D77">
        <w:rPr>
          <w:noProof/>
          <w:lang w:val="fr-FR"/>
        </w:rPr>
        <w:t>58</w:t>
      </w:r>
      <w:r w:rsidRPr="00146D77">
        <w:rPr>
          <w:noProof/>
          <w:lang w:val="fr-FR"/>
        </w:rPr>
        <w:fldChar w:fldCharType="end"/>
      </w:r>
      <w:r w:rsidRPr="00146D77">
        <w:rPr>
          <w:noProof/>
          <w:lang w:val="fr-FR"/>
        </w:rPr>
        <w:t>.  L</w:t>
      </w:r>
      <w:r w:rsidRPr="00146D77" w:rsidR="00146D77">
        <w:rPr>
          <w:noProof/>
          <w:lang w:val="fr-FR"/>
        </w:rPr>
        <w:t>’</w:t>
      </w:r>
      <w:r w:rsidRPr="00146D77">
        <w:rPr>
          <w:noProof/>
          <w:lang w:val="fr-FR"/>
        </w:rPr>
        <w:t>éventualité de divergences de jurisprudence est naturellement inhérente à tout système judiciaire reposant sur un ensemble de juridictions du fond ayant autorité sur leur ressort territorial. De telles divergences peuvent également apparaître au sein d</w:t>
      </w:r>
      <w:r w:rsidRPr="00146D77" w:rsidR="00146D77">
        <w:rPr>
          <w:noProof/>
          <w:lang w:val="fr-FR"/>
        </w:rPr>
        <w:t>’</w:t>
      </w:r>
      <w:r w:rsidRPr="00146D77">
        <w:rPr>
          <w:noProof/>
          <w:lang w:val="fr-FR"/>
        </w:rPr>
        <w:t>une même juridiction. Cela en soi ne saurait être jugé contraire à la Convention (</w:t>
      </w:r>
      <w:r w:rsidRPr="00146D77">
        <w:rPr>
          <w:i/>
          <w:noProof/>
          <w:lang w:val="fr-FR"/>
        </w:rPr>
        <w:t>Santos Pinto c.</w:t>
      </w:r>
      <w:r w:rsidRPr="00146D77" w:rsidR="003154C4">
        <w:rPr>
          <w:i/>
          <w:noProof/>
          <w:lang w:val="fr-FR"/>
        </w:rPr>
        <w:t xml:space="preserve"> </w:t>
      </w:r>
      <w:r w:rsidRPr="00146D77">
        <w:rPr>
          <w:i/>
          <w:noProof/>
          <w:lang w:val="fr-FR"/>
        </w:rPr>
        <w:t>Portugal</w:t>
      </w:r>
      <w:r w:rsidRPr="00146D77">
        <w:rPr>
          <w:noProof/>
          <w:lang w:val="fr-FR"/>
        </w:rPr>
        <w:t>, n</w:t>
      </w:r>
      <w:r w:rsidRPr="00146D77">
        <w:rPr>
          <w:vertAlign w:val="superscript"/>
          <w:lang w:val="fr-FR"/>
        </w:rPr>
        <w:t>o</w:t>
      </w:r>
      <w:r w:rsidRPr="00146D77">
        <w:rPr>
          <w:noProof/>
          <w:lang w:val="fr-FR"/>
        </w:rPr>
        <w:t> 39005/04, § 41, 20 mai 2008).</w:t>
      </w:r>
    </w:p>
    <w:p w:rsidRPr="00146D77" w:rsidR="0083156D" w:rsidP="00146D77" w:rsidRDefault="00353FF2">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59</w:t>
      </w:r>
      <w:r w:rsidRPr="00146D77">
        <w:rPr>
          <w:lang w:val="fr-FR"/>
        </w:rPr>
        <w:fldChar w:fldCharType="end"/>
      </w:r>
      <w:r w:rsidRPr="00146D77">
        <w:rPr>
          <w:lang w:val="fr-FR"/>
        </w:rPr>
        <w:t>.  </w:t>
      </w:r>
      <w:r w:rsidRPr="00146D77" w:rsidR="0083156D">
        <w:rPr>
          <w:lang w:val="fr-FR"/>
        </w:rPr>
        <w:t>Il s</w:t>
      </w:r>
      <w:r w:rsidRPr="00146D77" w:rsidR="00146D77">
        <w:rPr>
          <w:lang w:val="fr-FR"/>
        </w:rPr>
        <w:t>’</w:t>
      </w:r>
      <w:r w:rsidRPr="00146D77" w:rsidR="0083156D">
        <w:rPr>
          <w:lang w:val="fr-FR"/>
        </w:rPr>
        <w:t>ensuit que ce grief doit être rejeté en application de l</w:t>
      </w:r>
      <w:r w:rsidRPr="00146D77" w:rsidR="00146D77">
        <w:rPr>
          <w:lang w:val="fr-FR"/>
        </w:rPr>
        <w:t>’</w:t>
      </w:r>
      <w:r w:rsidRPr="00146D77" w:rsidR="0083156D">
        <w:rPr>
          <w:lang w:val="fr-FR"/>
        </w:rPr>
        <w:t>article</w:t>
      </w:r>
      <w:r w:rsidRPr="00146D77" w:rsidR="00B73B14">
        <w:rPr>
          <w:lang w:val="fr-FR"/>
        </w:rPr>
        <w:t xml:space="preserve"> </w:t>
      </w:r>
      <w:r w:rsidRPr="00146D77" w:rsidR="0083156D">
        <w:rPr>
          <w:lang w:val="fr-FR"/>
        </w:rPr>
        <w:t>35 §§ 3 et 4 de la Convention.</w:t>
      </w:r>
    </w:p>
    <w:p w:rsidRPr="00146D77" w:rsidR="0083156D" w:rsidP="00146D77" w:rsidRDefault="0083156D">
      <w:pPr>
        <w:pStyle w:val="ECHRTitle1"/>
        <w:rPr>
          <w:lang w:val="fr-FR"/>
        </w:rPr>
      </w:pPr>
      <w:r w:rsidRPr="00146D77">
        <w:rPr>
          <w:lang w:val="fr-FR"/>
        </w:rPr>
        <w:t>PAR CES MOTIFS, LA COUR, À L</w:t>
      </w:r>
      <w:r w:rsidRPr="00146D77" w:rsidR="00146D77">
        <w:rPr>
          <w:lang w:val="fr-FR"/>
        </w:rPr>
        <w:t>’</w:t>
      </w:r>
      <w:r w:rsidRPr="00146D77">
        <w:rPr>
          <w:lang w:val="fr-FR"/>
        </w:rPr>
        <w:t>UNANIMITÉ,</w:t>
      </w:r>
    </w:p>
    <w:p w:rsidRPr="00146D77" w:rsidR="0083156D" w:rsidP="00146D77" w:rsidRDefault="0083156D">
      <w:pPr>
        <w:pStyle w:val="JuList"/>
        <w:rPr>
          <w:lang w:val="fr-FR"/>
        </w:rPr>
      </w:pPr>
      <w:r w:rsidRPr="00146D77">
        <w:rPr>
          <w:lang w:val="fr-FR"/>
        </w:rPr>
        <w:t>1.  </w:t>
      </w:r>
      <w:r w:rsidRPr="00146D77">
        <w:rPr>
          <w:i/>
          <w:lang w:val="fr-FR"/>
        </w:rPr>
        <w:t>Déclare</w:t>
      </w:r>
      <w:r w:rsidRPr="00146D77">
        <w:rPr>
          <w:lang w:val="fr-FR"/>
        </w:rPr>
        <w:t xml:space="preserve"> la requête recevable quant au grief des requérants tiré de l</w:t>
      </w:r>
      <w:r w:rsidRPr="00146D77" w:rsidR="00146D77">
        <w:rPr>
          <w:lang w:val="fr-FR"/>
        </w:rPr>
        <w:t>’</w:t>
      </w:r>
      <w:r w:rsidRPr="00146D77">
        <w:rPr>
          <w:lang w:val="fr-FR"/>
        </w:rPr>
        <w:t>article 1 du Protocole n</w:t>
      </w:r>
      <w:r w:rsidRPr="00146D77">
        <w:rPr>
          <w:vertAlign w:val="superscript"/>
          <w:lang w:val="fr-FR"/>
        </w:rPr>
        <w:t>o</w:t>
      </w:r>
      <w:r w:rsidRPr="00146D77">
        <w:rPr>
          <w:lang w:val="fr-FR"/>
        </w:rPr>
        <w:t xml:space="preserve"> 1 et irrecevable pour le reste ;</w:t>
      </w:r>
    </w:p>
    <w:p w:rsidRPr="00146D77" w:rsidR="0083156D" w:rsidP="00146D77" w:rsidRDefault="0083156D">
      <w:pPr>
        <w:pStyle w:val="JuList"/>
        <w:rPr>
          <w:lang w:val="fr-FR"/>
        </w:rPr>
      </w:pPr>
    </w:p>
    <w:p w:rsidRPr="00146D77" w:rsidR="0083156D" w:rsidP="00146D77" w:rsidRDefault="0083156D">
      <w:pPr>
        <w:pStyle w:val="JuList"/>
        <w:rPr>
          <w:lang w:val="fr-FR"/>
        </w:rPr>
      </w:pPr>
      <w:r w:rsidRPr="00146D77">
        <w:rPr>
          <w:lang w:val="fr-FR"/>
        </w:rPr>
        <w:t>2.  </w:t>
      </w:r>
      <w:r w:rsidRPr="00146D77">
        <w:rPr>
          <w:i/>
          <w:lang w:val="fr-FR"/>
        </w:rPr>
        <w:t>Dit</w:t>
      </w:r>
      <w:r w:rsidRPr="00146D77">
        <w:rPr>
          <w:lang w:val="fr-FR"/>
        </w:rPr>
        <w:t xml:space="preserve"> qu</w:t>
      </w:r>
      <w:r w:rsidRPr="00146D77" w:rsidR="00146D77">
        <w:rPr>
          <w:lang w:val="fr-FR"/>
        </w:rPr>
        <w:t>’</w:t>
      </w:r>
      <w:r w:rsidRPr="00146D77">
        <w:rPr>
          <w:lang w:val="fr-FR"/>
        </w:rPr>
        <w:t>il n</w:t>
      </w:r>
      <w:r w:rsidRPr="00146D77" w:rsidR="00146D77">
        <w:rPr>
          <w:lang w:val="fr-FR"/>
        </w:rPr>
        <w:t>’</w:t>
      </w:r>
      <w:r w:rsidRPr="00146D77">
        <w:rPr>
          <w:lang w:val="fr-FR"/>
        </w:rPr>
        <w:t>y a pas eu violation de l</w:t>
      </w:r>
      <w:r w:rsidRPr="00146D77" w:rsidR="00146D77">
        <w:rPr>
          <w:lang w:val="fr-FR"/>
        </w:rPr>
        <w:t>’</w:t>
      </w:r>
      <w:r w:rsidRPr="00146D77">
        <w:rPr>
          <w:lang w:val="fr-FR"/>
        </w:rPr>
        <w:t>article 1 du Protocole n</w:t>
      </w:r>
      <w:r w:rsidRPr="00146D77">
        <w:rPr>
          <w:vertAlign w:val="superscript"/>
          <w:lang w:val="fr-FR"/>
        </w:rPr>
        <w:t>o</w:t>
      </w:r>
      <w:r w:rsidRPr="00146D77">
        <w:rPr>
          <w:lang w:val="fr-FR"/>
        </w:rPr>
        <w:t xml:space="preserve"> 1.</w:t>
      </w:r>
    </w:p>
    <w:p w:rsidRPr="00146D77" w:rsidR="00E77CB3" w:rsidP="00146D77" w:rsidRDefault="0083156D">
      <w:pPr>
        <w:pStyle w:val="JuParaLast"/>
        <w:keepNext w:val="0"/>
        <w:keepLines w:val="0"/>
        <w:rPr>
          <w:lang w:val="fr-FR"/>
        </w:rPr>
      </w:pPr>
      <w:r w:rsidRPr="00146D77">
        <w:rPr>
          <w:lang w:val="fr-FR"/>
        </w:rPr>
        <w:t>Fait en français, puis communiqué par écrit le</w:t>
      </w:r>
      <w:r w:rsidRPr="00146D77" w:rsidR="00BD3A2B">
        <w:rPr>
          <w:lang w:val="fr-FR"/>
        </w:rPr>
        <w:t xml:space="preserve"> </w:t>
      </w:r>
      <w:r w:rsidRPr="00146D77" w:rsidR="006C676E">
        <w:rPr>
          <w:lang w:val="fr-FR"/>
        </w:rPr>
        <w:t>5 mars 2019</w:t>
      </w:r>
      <w:r w:rsidRPr="00146D77">
        <w:rPr>
          <w:lang w:val="fr-FR"/>
        </w:rPr>
        <w:t>, en application de l</w:t>
      </w:r>
      <w:r w:rsidRPr="00146D77" w:rsidR="00146D77">
        <w:rPr>
          <w:lang w:val="fr-FR"/>
        </w:rPr>
        <w:t>’</w:t>
      </w:r>
      <w:r w:rsidRPr="00146D77">
        <w:rPr>
          <w:lang w:val="fr-FR"/>
        </w:rPr>
        <w:t>article 77 §§ 2 et 3 du règlement.</w:t>
      </w:r>
    </w:p>
    <w:p w:rsidRPr="00146D77" w:rsidR="00E12457" w:rsidP="00146D77" w:rsidRDefault="00E64ABD">
      <w:pPr>
        <w:pStyle w:val="JuSigned"/>
        <w:rPr>
          <w:lang w:val="fr-FR"/>
        </w:rPr>
      </w:pPr>
      <w:r w:rsidRPr="00146D77">
        <w:rPr>
          <w:lang w:val="fr-FR"/>
        </w:rPr>
        <w:tab/>
      </w:r>
      <w:r w:rsidRPr="00146D77" w:rsidR="006C676E">
        <w:rPr>
          <w:lang w:val="fr-FR"/>
        </w:rPr>
        <w:t>Hasan Bak</w:t>
      </w:r>
      <w:r w:rsidRPr="00146D77" w:rsidR="006C676E">
        <w:rPr>
          <w:rFonts w:ascii="Times New Roman" w:hAnsi="Times New Roman" w:cs="Times New Roman"/>
          <w:lang w:val="fr-FR"/>
        </w:rPr>
        <w:t>ı</w:t>
      </w:r>
      <w:r w:rsidRPr="00146D77" w:rsidR="006C676E">
        <w:rPr>
          <w:lang w:val="fr-FR"/>
        </w:rPr>
        <w:t>rc</w:t>
      </w:r>
      <w:r w:rsidRPr="00146D77" w:rsidR="006C676E">
        <w:rPr>
          <w:rFonts w:ascii="Times New Roman" w:hAnsi="Times New Roman" w:cs="Times New Roman"/>
          <w:lang w:val="fr-FR"/>
        </w:rPr>
        <w:t>ı</w:t>
      </w:r>
      <w:r w:rsidRPr="00146D77" w:rsidR="00E77CB3">
        <w:rPr>
          <w:lang w:val="fr-FR"/>
        </w:rPr>
        <w:tab/>
      </w:r>
      <w:r w:rsidRPr="00146D77" w:rsidR="00697A53">
        <w:rPr>
          <w:lang w:val="fr-FR"/>
        </w:rPr>
        <w:t>Robert</w:t>
      </w:r>
      <w:r w:rsidRPr="00146D77" w:rsidR="00B73B14">
        <w:rPr>
          <w:lang w:val="fr-FR"/>
        </w:rPr>
        <w:t xml:space="preserve"> Spano</w:t>
      </w:r>
      <w:r w:rsidRPr="00146D77" w:rsidR="00E77CB3">
        <w:rPr>
          <w:lang w:val="fr-FR"/>
        </w:rPr>
        <w:br/>
      </w:r>
      <w:r w:rsidRPr="00146D77" w:rsidR="00E77CB3">
        <w:rPr>
          <w:lang w:val="fr-FR"/>
        </w:rPr>
        <w:tab/>
      </w:r>
      <w:r w:rsidRPr="00146D77">
        <w:rPr>
          <w:lang w:val="fr-FR"/>
        </w:rPr>
        <w:t>Greffier</w:t>
      </w:r>
      <w:r w:rsidRPr="00146D77" w:rsidR="006C676E">
        <w:rPr>
          <w:lang w:val="fr-FR"/>
        </w:rPr>
        <w:t xml:space="preserve"> adjoint</w:t>
      </w:r>
      <w:r w:rsidRPr="00146D77" w:rsidR="00E77CB3">
        <w:rPr>
          <w:lang w:val="fr-FR"/>
        </w:rPr>
        <w:tab/>
      </w:r>
      <w:r w:rsidRPr="00146D77">
        <w:rPr>
          <w:lang w:val="fr-FR"/>
        </w:rPr>
        <w:t>Président</w:t>
      </w:r>
    </w:p>
    <w:p w:rsidRPr="00146D77" w:rsidR="00E12457" w:rsidP="00146D77" w:rsidRDefault="00E12457">
      <w:pPr>
        <w:jc w:val="left"/>
        <w:rPr>
          <w:lang w:val="fr-FR"/>
        </w:rPr>
      </w:pPr>
      <w:r w:rsidRPr="00146D77">
        <w:rPr>
          <w:lang w:val="fr-FR"/>
        </w:rPr>
        <w:br w:type="page"/>
      </w:r>
    </w:p>
    <w:p w:rsidRPr="00146D77" w:rsidR="00EE6916" w:rsidP="00146D77" w:rsidRDefault="00EE6916">
      <w:pPr>
        <w:pStyle w:val="ECHRHeader"/>
        <w:jc w:val="center"/>
        <w:rPr>
          <w:b/>
          <w:sz w:val="28"/>
          <w:szCs w:val="28"/>
          <w:lang w:val="fr-FR"/>
        </w:rPr>
      </w:pPr>
      <w:r w:rsidRPr="00146D77">
        <w:rPr>
          <w:b/>
          <w:sz w:val="28"/>
          <w:szCs w:val="28"/>
          <w:lang w:val="fr-FR"/>
        </w:rPr>
        <w:t>ANNEXE</w:t>
      </w:r>
    </w:p>
    <w:p w:rsidRPr="00146D77" w:rsidR="00EE6916" w:rsidP="00146D77" w:rsidRDefault="00EE6916">
      <w:pPr>
        <w:pStyle w:val="ECHRPara"/>
        <w:rPr>
          <w:lang w:val="fr-FR"/>
        </w:rPr>
      </w:pPr>
    </w:p>
    <w:p w:rsidRPr="00146D77" w:rsidR="00EE6916" w:rsidP="00146D77" w:rsidRDefault="00EE6916">
      <w:pPr>
        <w:pStyle w:val="ECHRPara"/>
        <w:rPr>
          <w:lang w:val="fr-FR"/>
        </w:rPr>
      </w:pPr>
      <w:r w:rsidRPr="00146D77">
        <w:rPr>
          <w:lang w:val="fr-FR"/>
        </w:rPr>
        <w:t>Le premier groupe de requérants</w:t>
      </w:r>
    </w:p>
    <w:p w:rsidRPr="00146D77" w:rsidR="00990289" w:rsidP="00146D77" w:rsidRDefault="00990289">
      <w:pPr>
        <w:pStyle w:val="ECHRPara"/>
        <w:rPr>
          <w:lang w:val="fr-FR"/>
        </w:rPr>
      </w:pPr>
    </w:p>
    <w:tbl>
      <w:tblPr>
        <w:tblStyle w:val="TableGrid"/>
        <w:tblW w:w="8208" w:type="dxa"/>
        <w:tblLayout w:type="fixed"/>
        <w:tblLook w:val="01E0" w:firstRow="1" w:lastRow="1" w:firstColumn="1" w:lastColumn="1" w:noHBand="0" w:noVBand="0"/>
      </w:tblPr>
      <w:tblGrid>
        <w:gridCol w:w="2088"/>
        <w:gridCol w:w="1980"/>
        <w:gridCol w:w="1980"/>
        <w:gridCol w:w="2160"/>
      </w:tblGrid>
      <w:tr w:rsidRPr="00146D77" w:rsidR="00990289" w:rsidTr="002C1268">
        <w:tc>
          <w:tcPr>
            <w:tcW w:w="2088" w:type="dxa"/>
          </w:tcPr>
          <w:p w:rsidRPr="00146D77" w:rsidR="00990289" w:rsidP="00146D77" w:rsidRDefault="00990289">
            <w:pPr>
              <w:rPr>
                <w:sz w:val="20"/>
                <w:lang w:val="fr-FR"/>
              </w:rPr>
            </w:pPr>
            <w:r w:rsidRPr="00146D77">
              <w:rPr>
                <w:sz w:val="20"/>
                <w:lang w:val="fr-FR"/>
              </w:rPr>
              <w:t>Noms des requérants</w:t>
            </w:r>
          </w:p>
        </w:tc>
        <w:tc>
          <w:tcPr>
            <w:tcW w:w="1980" w:type="dxa"/>
          </w:tcPr>
          <w:p w:rsidRPr="00146D77" w:rsidR="00990289" w:rsidP="00146D77" w:rsidRDefault="00990289">
            <w:pPr>
              <w:rPr>
                <w:sz w:val="20"/>
                <w:lang w:val="fr-FR"/>
              </w:rPr>
            </w:pPr>
            <w:r w:rsidRPr="00146D77">
              <w:rPr>
                <w:sz w:val="20"/>
                <w:lang w:val="fr-FR"/>
              </w:rPr>
              <w:t>Date de naissances</w:t>
            </w:r>
          </w:p>
        </w:tc>
        <w:tc>
          <w:tcPr>
            <w:tcW w:w="1980" w:type="dxa"/>
          </w:tcPr>
          <w:p w:rsidRPr="00146D77" w:rsidR="00990289" w:rsidP="00146D77" w:rsidRDefault="00990289">
            <w:pPr>
              <w:rPr>
                <w:sz w:val="20"/>
                <w:lang w:val="fr-FR"/>
              </w:rPr>
            </w:pPr>
            <w:r w:rsidRPr="00146D77">
              <w:rPr>
                <w:sz w:val="20"/>
                <w:lang w:val="fr-FR"/>
              </w:rPr>
              <w:t>Pensions avant l</w:t>
            </w:r>
            <w:r w:rsidRPr="00146D77" w:rsidR="00146D77">
              <w:rPr>
                <w:sz w:val="20"/>
                <w:lang w:val="fr-FR"/>
              </w:rPr>
              <w:t>’</w:t>
            </w:r>
            <w:r w:rsidRPr="00146D77">
              <w:rPr>
                <w:sz w:val="20"/>
                <w:lang w:val="fr-FR"/>
              </w:rPr>
              <w:t>adaptation en livres turques (et en euros à l</w:t>
            </w:r>
            <w:r w:rsidRPr="00146D77" w:rsidR="00146D77">
              <w:rPr>
                <w:sz w:val="20"/>
                <w:lang w:val="fr-FR"/>
              </w:rPr>
              <w:t>’</w:t>
            </w:r>
            <w:r w:rsidRPr="00146D77">
              <w:rPr>
                <w:sz w:val="20"/>
                <w:lang w:val="fr-FR"/>
              </w:rPr>
              <w:t>époque des faits)</w:t>
            </w:r>
          </w:p>
        </w:tc>
        <w:tc>
          <w:tcPr>
            <w:tcW w:w="2160" w:type="dxa"/>
          </w:tcPr>
          <w:p w:rsidRPr="00146D77" w:rsidR="00990289" w:rsidP="00146D77" w:rsidRDefault="00990289">
            <w:pPr>
              <w:rPr>
                <w:sz w:val="20"/>
                <w:lang w:val="fr-FR"/>
              </w:rPr>
            </w:pPr>
            <w:r w:rsidRPr="00146D77">
              <w:rPr>
                <w:sz w:val="20"/>
                <w:lang w:val="fr-FR"/>
              </w:rPr>
              <w:t>Pensions après l</w:t>
            </w:r>
            <w:r w:rsidRPr="00146D77" w:rsidR="00146D77">
              <w:rPr>
                <w:sz w:val="20"/>
                <w:lang w:val="fr-FR"/>
              </w:rPr>
              <w:t>’</w:t>
            </w:r>
            <w:r w:rsidRPr="00146D77">
              <w:rPr>
                <w:sz w:val="20"/>
                <w:lang w:val="fr-FR"/>
              </w:rPr>
              <w:t>adaptation en livres turques (et en euros à l</w:t>
            </w:r>
            <w:r w:rsidRPr="00146D77" w:rsidR="00146D77">
              <w:rPr>
                <w:sz w:val="20"/>
                <w:lang w:val="fr-FR"/>
              </w:rPr>
              <w:t>’</w:t>
            </w:r>
            <w:r w:rsidRPr="00146D77">
              <w:rPr>
                <w:sz w:val="20"/>
                <w:lang w:val="fr-FR"/>
              </w:rPr>
              <w:t>époque des faits)</w:t>
            </w:r>
          </w:p>
        </w:tc>
      </w:tr>
      <w:tr w:rsidRPr="00146D77" w:rsidR="00990289" w:rsidTr="002C1268">
        <w:tc>
          <w:tcPr>
            <w:tcW w:w="2088" w:type="dxa"/>
          </w:tcPr>
          <w:p w:rsidRPr="00146D77" w:rsidR="00990289" w:rsidP="00146D77" w:rsidRDefault="00990289">
            <w:pPr>
              <w:rPr>
                <w:sz w:val="20"/>
                <w:lang w:val="tr-TR"/>
              </w:rPr>
            </w:pPr>
            <w:r w:rsidRPr="00146D77">
              <w:rPr>
                <w:sz w:val="20"/>
                <w:lang w:val="tr-TR"/>
              </w:rPr>
              <w:t>Gökay Yavaş</w:t>
            </w:r>
          </w:p>
        </w:tc>
        <w:tc>
          <w:tcPr>
            <w:tcW w:w="1980" w:type="dxa"/>
          </w:tcPr>
          <w:p w:rsidRPr="00146D77" w:rsidR="00990289" w:rsidP="00146D77" w:rsidRDefault="00990289">
            <w:pPr>
              <w:rPr>
                <w:sz w:val="20"/>
              </w:rPr>
            </w:pPr>
            <w:r w:rsidRPr="00146D77">
              <w:rPr>
                <w:sz w:val="20"/>
              </w:rPr>
              <w:t>01/03/1950</w:t>
            </w:r>
          </w:p>
        </w:tc>
        <w:tc>
          <w:tcPr>
            <w:tcW w:w="1980" w:type="dxa"/>
          </w:tcPr>
          <w:p w:rsidRPr="00146D77" w:rsidR="00990289" w:rsidP="00146D77" w:rsidRDefault="00990289">
            <w:pPr>
              <w:rPr>
                <w:sz w:val="20"/>
              </w:rPr>
            </w:pPr>
            <w:r w:rsidRPr="00146D77">
              <w:rPr>
                <w:sz w:val="20"/>
              </w:rPr>
              <w:t>652 538 424 (500)</w:t>
            </w:r>
          </w:p>
        </w:tc>
        <w:tc>
          <w:tcPr>
            <w:tcW w:w="2160" w:type="dxa"/>
          </w:tcPr>
          <w:p w:rsidRPr="00146D77" w:rsidR="00990289" w:rsidP="00146D77" w:rsidRDefault="00990289">
            <w:pPr>
              <w:rPr>
                <w:sz w:val="20"/>
              </w:rPr>
            </w:pPr>
            <w:r w:rsidRPr="00146D77">
              <w:rPr>
                <w:sz w:val="20"/>
              </w:rPr>
              <w:t>323 443 155 (245)</w:t>
            </w:r>
          </w:p>
        </w:tc>
      </w:tr>
      <w:tr w:rsidRPr="00146D77" w:rsidR="00990289" w:rsidTr="002C1268">
        <w:tc>
          <w:tcPr>
            <w:tcW w:w="2088" w:type="dxa"/>
          </w:tcPr>
          <w:p w:rsidRPr="00146D77" w:rsidR="00990289" w:rsidP="00146D77" w:rsidRDefault="00990289">
            <w:pPr>
              <w:rPr>
                <w:sz w:val="20"/>
                <w:lang w:val="tr-TR"/>
              </w:rPr>
            </w:pPr>
            <w:r w:rsidRPr="00146D77">
              <w:rPr>
                <w:sz w:val="20"/>
                <w:lang w:val="tr-TR"/>
              </w:rPr>
              <w:t>Ayşe Kamuran</w:t>
            </w:r>
          </w:p>
        </w:tc>
        <w:tc>
          <w:tcPr>
            <w:tcW w:w="1980" w:type="dxa"/>
          </w:tcPr>
          <w:p w:rsidRPr="00146D77" w:rsidR="00990289" w:rsidP="00146D77" w:rsidRDefault="00990289">
            <w:pPr>
              <w:rPr>
                <w:sz w:val="20"/>
              </w:rPr>
            </w:pPr>
            <w:r w:rsidRPr="00146D77">
              <w:rPr>
                <w:sz w:val="20"/>
              </w:rPr>
              <w:t>05/06/1956</w:t>
            </w:r>
          </w:p>
        </w:tc>
        <w:tc>
          <w:tcPr>
            <w:tcW w:w="1980" w:type="dxa"/>
          </w:tcPr>
          <w:p w:rsidRPr="00146D77" w:rsidR="00990289" w:rsidP="00146D77" w:rsidRDefault="00990289">
            <w:pPr>
              <w:rPr>
                <w:sz w:val="20"/>
              </w:rPr>
            </w:pPr>
            <w:r w:rsidRPr="00146D77">
              <w:rPr>
                <w:sz w:val="20"/>
              </w:rPr>
              <w:t>354 175 411 (270)</w:t>
            </w:r>
          </w:p>
        </w:tc>
        <w:tc>
          <w:tcPr>
            <w:tcW w:w="2160" w:type="dxa"/>
          </w:tcPr>
          <w:p w:rsidRPr="00146D77" w:rsidR="00990289" w:rsidP="00146D77" w:rsidRDefault="00990289">
            <w:pPr>
              <w:rPr>
                <w:sz w:val="20"/>
              </w:rPr>
            </w:pPr>
            <w:r w:rsidRPr="00146D77">
              <w:rPr>
                <w:sz w:val="20"/>
              </w:rPr>
              <w:t>235 351 318 (180)</w:t>
            </w:r>
          </w:p>
        </w:tc>
      </w:tr>
      <w:tr w:rsidRPr="00146D77" w:rsidR="00990289" w:rsidTr="002C1268">
        <w:tc>
          <w:tcPr>
            <w:tcW w:w="2088" w:type="dxa"/>
          </w:tcPr>
          <w:p w:rsidRPr="00146D77" w:rsidR="00990289" w:rsidP="00146D77" w:rsidRDefault="00990289">
            <w:pPr>
              <w:rPr>
                <w:sz w:val="20"/>
                <w:lang w:val="tr-TR"/>
              </w:rPr>
            </w:pPr>
            <w:r w:rsidRPr="00146D77">
              <w:rPr>
                <w:sz w:val="20"/>
                <w:lang w:val="tr-TR"/>
              </w:rPr>
              <w:t>Yılmaz Anakoç</w:t>
            </w:r>
          </w:p>
        </w:tc>
        <w:tc>
          <w:tcPr>
            <w:tcW w:w="1980" w:type="dxa"/>
          </w:tcPr>
          <w:p w:rsidRPr="00146D77" w:rsidR="00990289" w:rsidP="00146D77" w:rsidRDefault="00990289">
            <w:pPr>
              <w:rPr>
                <w:sz w:val="20"/>
              </w:rPr>
            </w:pPr>
            <w:r w:rsidRPr="00146D77">
              <w:rPr>
                <w:sz w:val="20"/>
              </w:rPr>
              <w:t>05/01/1945</w:t>
            </w:r>
          </w:p>
        </w:tc>
        <w:tc>
          <w:tcPr>
            <w:tcW w:w="1980" w:type="dxa"/>
          </w:tcPr>
          <w:p w:rsidRPr="00146D77" w:rsidR="00990289" w:rsidP="00146D77" w:rsidRDefault="00990289">
            <w:pPr>
              <w:rPr>
                <w:sz w:val="20"/>
              </w:rPr>
            </w:pPr>
            <w:r w:rsidRPr="00146D77">
              <w:rPr>
                <w:sz w:val="20"/>
              </w:rPr>
              <w:t>464 832 722 (355)</w:t>
            </w:r>
          </w:p>
        </w:tc>
        <w:tc>
          <w:tcPr>
            <w:tcW w:w="2160" w:type="dxa"/>
          </w:tcPr>
          <w:p w:rsidRPr="00146D77" w:rsidR="00990289" w:rsidP="00146D77" w:rsidRDefault="00990289">
            <w:pPr>
              <w:rPr>
                <w:sz w:val="20"/>
              </w:rPr>
            </w:pPr>
            <w:r w:rsidRPr="00146D77">
              <w:rPr>
                <w:sz w:val="20"/>
              </w:rPr>
              <w:t>282 769 185 (216)</w:t>
            </w:r>
          </w:p>
        </w:tc>
      </w:tr>
      <w:tr w:rsidRPr="00146D77" w:rsidR="00990289" w:rsidTr="002C1268">
        <w:tc>
          <w:tcPr>
            <w:tcW w:w="2088" w:type="dxa"/>
          </w:tcPr>
          <w:p w:rsidRPr="00146D77" w:rsidR="00990289" w:rsidP="00146D77" w:rsidRDefault="00990289">
            <w:pPr>
              <w:rPr>
                <w:sz w:val="20"/>
                <w:lang w:val="tr-TR"/>
              </w:rPr>
            </w:pPr>
            <w:r w:rsidRPr="00146D77">
              <w:rPr>
                <w:sz w:val="20"/>
                <w:lang w:val="tr-TR"/>
              </w:rPr>
              <w:t>Ahsen Çalışkan</w:t>
            </w:r>
          </w:p>
        </w:tc>
        <w:tc>
          <w:tcPr>
            <w:tcW w:w="1980" w:type="dxa"/>
          </w:tcPr>
          <w:p w:rsidRPr="00146D77" w:rsidR="00990289" w:rsidP="00146D77" w:rsidRDefault="00990289">
            <w:pPr>
              <w:rPr>
                <w:sz w:val="20"/>
              </w:rPr>
            </w:pPr>
            <w:r w:rsidRPr="00146D77">
              <w:rPr>
                <w:sz w:val="20"/>
              </w:rPr>
              <w:t>11/04/1952</w:t>
            </w:r>
          </w:p>
        </w:tc>
        <w:tc>
          <w:tcPr>
            <w:tcW w:w="1980" w:type="dxa"/>
          </w:tcPr>
          <w:p w:rsidRPr="00146D77" w:rsidR="00990289" w:rsidP="00146D77" w:rsidRDefault="00990289">
            <w:pPr>
              <w:rPr>
                <w:sz w:val="20"/>
              </w:rPr>
            </w:pPr>
            <w:r w:rsidRPr="00146D77">
              <w:rPr>
                <w:sz w:val="20"/>
              </w:rPr>
              <w:t>314 822 510 (240)</w:t>
            </w:r>
          </w:p>
        </w:tc>
        <w:tc>
          <w:tcPr>
            <w:tcW w:w="2160" w:type="dxa"/>
          </w:tcPr>
          <w:p w:rsidRPr="00146D77" w:rsidR="00990289" w:rsidP="00146D77" w:rsidRDefault="00990289">
            <w:pPr>
              <w:rPr>
                <w:sz w:val="20"/>
              </w:rPr>
            </w:pPr>
            <w:r w:rsidRPr="00146D77">
              <w:rPr>
                <w:sz w:val="20"/>
              </w:rPr>
              <w:t>257 177 395 (196)</w:t>
            </w:r>
          </w:p>
        </w:tc>
      </w:tr>
      <w:tr w:rsidRPr="00146D77" w:rsidR="00990289" w:rsidTr="002C1268">
        <w:tc>
          <w:tcPr>
            <w:tcW w:w="2088" w:type="dxa"/>
          </w:tcPr>
          <w:p w:rsidRPr="00146D77" w:rsidR="00990289" w:rsidP="00146D77" w:rsidRDefault="00990289">
            <w:pPr>
              <w:rPr>
                <w:sz w:val="20"/>
                <w:lang w:val="tr-TR"/>
              </w:rPr>
            </w:pPr>
            <w:r w:rsidRPr="00146D77">
              <w:rPr>
                <w:sz w:val="20"/>
                <w:lang w:val="tr-TR"/>
              </w:rPr>
              <w:t>Ahmet Ay</w:t>
            </w:r>
          </w:p>
        </w:tc>
        <w:tc>
          <w:tcPr>
            <w:tcW w:w="1980" w:type="dxa"/>
          </w:tcPr>
          <w:p w:rsidRPr="00146D77" w:rsidR="00990289" w:rsidP="00146D77" w:rsidRDefault="00990289">
            <w:pPr>
              <w:rPr>
                <w:sz w:val="20"/>
              </w:rPr>
            </w:pPr>
            <w:r w:rsidRPr="00146D77">
              <w:rPr>
                <w:sz w:val="20"/>
              </w:rPr>
              <w:t>01/12/1951</w:t>
            </w:r>
          </w:p>
        </w:tc>
        <w:tc>
          <w:tcPr>
            <w:tcW w:w="1980" w:type="dxa"/>
          </w:tcPr>
          <w:p w:rsidRPr="00146D77" w:rsidR="00990289" w:rsidP="00146D77" w:rsidRDefault="00990289">
            <w:pPr>
              <w:rPr>
                <w:sz w:val="20"/>
              </w:rPr>
            </w:pPr>
            <w:r w:rsidRPr="00146D77">
              <w:rPr>
                <w:sz w:val="20"/>
              </w:rPr>
              <w:t>560 360 009 (428)</w:t>
            </w:r>
          </w:p>
        </w:tc>
        <w:tc>
          <w:tcPr>
            <w:tcW w:w="2160" w:type="dxa"/>
          </w:tcPr>
          <w:p w:rsidRPr="00146D77" w:rsidR="00990289" w:rsidP="00146D77" w:rsidRDefault="00990289">
            <w:pPr>
              <w:rPr>
                <w:sz w:val="20"/>
              </w:rPr>
            </w:pPr>
            <w:r w:rsidRPr="00146D77">
              <w:rPr>
                <w:sz w:val="20"/>
              </w:rPr>
              <w:t>354 643 156 (271)</w:t>
            </w:r>
          </w:p>
        </w:tc>
      </w:tr>
      <w:tr w:rsidRPr="00146D77" w:rsidR="00990289" w:rsidTr="002C1268">
        <w:tc>
          <w:tcPr>
            <w:tcW w:w="2088" w:type="dxa"/>
          </w:tcPr>
          <w:p w:rsidRPr="00146D77" w:rsidR="00990289" w:rsidP="00146D77" w:rsidRDefault="00990289">
            <w:pPr>
              <w:rPr>
                <w:sz w:val="20"/>
                <w:lang w:val="tr-TR"/>
              </w:rPr>
            </w:pPr>
            <w:r w:rsidRPr="00146D77">
              <w:rPr>
                <w:sz w:val="20"/>
                <w:lang w:val="tr-TR"/>
              </w:rPr>
              <w:t>Müjgan Dayıoğulları</w:t>
            </w:r>
          </w:p>
        </w:tc>
        <w:tc>
          <w:tcPr>
            <w:tcW w:w="1980" w:type="dxa"/>
          </w:tcPr>
          <w:p w:rsidRPr="00146D77" w:rsidR="00990289" w:rsidP="00146D77" w:rsidRDefault="00990289">
            <w:pPr>
              <w:rPr>
                <w:sz w:val="20"/>
              </w:rPr>
            </w:pPr>
            <w:r w:rsidRPr="00146D77">
              <w:rPr>
                <w:sz w:val="20"/>
              </w:rPr>
              <w:t>12/09/1958</w:t>
            </w:r>
          </w:p>
        </w:tc>
        <w:tc>
          <w:tcPr>
            <w:tcW w:w="1980" w:type="dxa"/>
          </w:tcPr>
          <w:p w:rsidRPr="00146D77" w:rsidR="00990289" w:rsidP="00146D77" w:rsidRDefault="00990289">
            <w:pPr>
              <w:rPr>
                <w:sz w:val="20"/>
              </w:rPr>
            </w:pPr>
            <w:r w:rsidRPr="00146D77">
              <w:rPr>
                <w:sz w:val="20"/>
              </w:rPr>
              <w:t>507 070 158 (387)</w:t>
            </w:r>
          </w:p>
        </w:tc>
        <w:tc>
          <w:tcPr>
            <w:tcW w:w="2160" w:type="dxa"/>
          </w:tcPr>
          <w:p w:rsidRPr="00146D77" w:rsidR="00990289" w:rsidP="00146D77" w:rsidRDefault="00990289">
            <w:pPr>
              <w:rPr>
                <w:sz w:val="20"/>
              </w:rPr>
            </w:pPr>
            <w:r w:rsidRPr="00146D77">
              <w:rPr>
                <w:sz w:val="20"/>
              </w:rPr>
              <w:t>293 337 628 (224)</w:t>
            </w:r>
          </w:p>
        </w:tc>
      </w:tr>
    </w:tbl>
    <w:p w:rsidRPr="00146D77" w:rsidR="00EE6916" w:rsidP="00146D77" w:rsidRDefault="00EE6916">
      <w:pPr>
        <w:pStyle w:val="ECHRPara"/>
        <w:rPr>
          <w:lang w:val="fr-FR"/>
        </w:rPr>
      </w:pPr>
    </w:p>
    <w:p w:rsidRPr="00146D77" w:rsidR="00EE6916" w:rsidP="00146D77" w:rsidRDefault="00EE6916">
      <w:pPr>
        <w:pStyle w:val="ECHRPara"/>
      </w:pPr>
    </w:p>
    <w:p w:rsidRPr="00146D77" w:rsidR="00EE6916" w:rsidP="00146D77" w:rsidRDefault="00EE6916">
      <w:pPr>
        <w:pStyle w:val="ECHRPara"/>
        <w:rPr>
          <w:lang w:val="fr-FR"/>
        </w:rPr>
      </w:pPr>
      <w:r w:rsidRPr="00146D77">
        <w:rPr>
          <w:lang w:val="fr-FR"/>
        </w:rPr>
        <w:t>Le deuxième groupe de requérants</w:t>
      </w:r>
    </w:p>
    <w:p w:rsidRPr="00146D77" w:rsidR="00EE6916" w:rsidP="00146D77" w:rsidRDefault="00EE6916">
      <w:pPr>
        <w:pStyle w:val="ECHRPara"/>
      </w:pPr>
    </w:p>
    <w:tbl>
      <w:tblPr>
        <w:tblStyle w:val="TableGrid"/>
        <w:tblW w:w="6270" w:type="pct"/>
        <w:tblInd w:w="-885" w:type="dxa"/>
        <w:tblLayout w:type="fixed"/>
        <w:tblLook w:val="01E0" w:firstRow="1" w:lastRow="1" w:firstColumn="1" w:lastColumn="1" w:noHBand="0" w:noVBand="0"/>
      </w:tblPr>
      <w:tblGrid>
        <w:gridCol w:w="1561"/>
        <w:gridCol w:w="1134"/>
        <w:gridCol w:w="1843"/>
        <w:gridCol w:w="1702"/>
        <w:gridCol w:w="1136"/>
        <w:gridCol w:w="992"/>
        <w:gridCol w:w="1130"/>
      </w:tblGrid>
      <w:tr w:rsidRPr="00146D77" w:rsidR="00990289" w:rsidTr="002C1268">
        <w:tc>
          <w:tcPr>
            <w:tcW w:w="821" w:type="pct"/>
          </w:tcPr>
          <w:p w:rsidRPr="00146D77" w:rsidR="00990289" w:rsidP="00146D77" w:rsidRDefault="00990289">
            <w:pPr>
              <w:rPr>
                <w:sz w:val="20"/>
                <w:lang w:val="fr-FR"/>
              </w:rPr>
            </w:pPr>
            <w:r w:rsidRPr="00146D77">
              <w:rPr>
                <w:sz w:val="20"/>
                <w:lang w:val="fr-FR"/>
              </w:rPr>
              <w:t>Noms des requérants</w:t>
            </w:r>
          </w:p>
        </w:tc>
        <w:tc>
          <w:tcPr>
            <w:tcW w:w="597" w:type="pct"/>
          </w:tcPr>
          <w:p w:rsidRPr="00146D77" w:rsidR="00990289" w:rsidP="00146D77" w:rsidRDefault="00990289">
            <w:pPr>
              <w:rPr>
                <w:sz w:val="20"/>
                <w:lang w:val="fr-FR"/>
              </w:rPr>
            </w:pPr>
            <w:r w:rsidRPr="00146D77">
              <w:rPr>
                <w:sz w:val="20"/>
                <w:lang w:val="fr-FR"/>
              </w:rPr>
              <w:t>Date de naissances</w:t>
            </w:r>
          </w:p>
        </w:tc>
        <w:tc>
          <w:tcPr>
            <w:tcW w:w="970" w:type="pct"/>
          </w:tcPr>
          <w:p w:rsidRPr="00146D77" w:rsidR="00990289" w:rsidP="00146D77" w:rsidRDefault="00990289">
            <w:pPr>
              <w:rPr>
                <w:sz w:val="20"/>
                <w:lang w:val="fr-FR"/>
              </w:rPr>
            </w:pPr>
            <w:r w:rsidRPr="00146D77">
              <w:rPr>
                <w:sz w:val="20"/>
                <w:lang w:val="fr-FR"/>
              </w:rPr>
              <w:t>Pensions avant l</w:t>
            </w:r>
            <w:r w:rsidRPr="00146D77" w:rsidR="00146D77">
              <w:rPr>
                <w:sz w:val="20"/>
                <w:lang w:val="fr-FR"/>
              </w:rPr>
              <w:t>’</w:t>
            </w:r>
            <w:r w:rsidRPr="00146D77">
              <w:rPr>
                <w:sz w:val="20"/>
                <w:lang w:val="fr-FR"/>
              </w:rPr>
              <w:t>adaptation en livres turques (et en euros à l</w:t>
            </w:r>
            <w:r w:rsidRPr="00146D77" w:rsidR="00146D77">
              <w:rPr>
                <w:sz w:val="20"/>
                <w:lang w:val="fr-FR"/>
              </w:rPr>
              <w:t>’</w:t>
            </w:r>
            <w:r w:rsidRPr="00146D77">
              <w:rPr>
                <w:sz w:val="20"/>
                <w:lang w:val="fr-FR"/>
              </w:rPr>
              <w:t>époque des faits)</w:t>
            </w:r>
          </w:p>
        </w:tc>
        <w:tc>
          <w:tcPr>
            <w:tcW w:w="896" w:type="pct"/>
          </w:tcPr>
          <w:p w:rsidRPr="00146D77" w:rsidR="00990289" w:rsidP="00146D77" w:rsidRDefault="00990289">
            <w:pPr>
              <w:rPr>
                <w:sz w:val="20"/>
                <w:lang w:val="fr-FR"/>
              </w:rPr>
            </w:pPr>
            <w:r w:rsidRPr="00146D77">
              <w:rPr>
                <w:sz w:val="20"/>
                <w:lang w:val="fr-FR"/>
              </w:rPr>
              <w:t>Pensions après l</w:t>
            </w:r>
            <w:r w:rsidRPr="00146D77" w:rsidR="00146D77">
              <w:rPr>
                <w:sz w:val="20"/>
                <w:lang w:val="fr-FR"/>
              </w:rPr>
              <w:t>’</w:t>
            </w:r>
            <w:r w:rsidRPr="00146D77">
              <w:rPr>
                <w:sz w:val="20"/>
                <w:lang w:val="fr-FR"/>
              </w:rPr>
              <w:t>adaptation en livres turques (et en euros à l</w:t>
            </w:r>
            <w:r w:rsidRPr="00146D77" w:rsidR="00146D77">
              <w:rPr>
                <w:sz w:val="20"/>
                <w:lang w:val="fr-FR"/>
              </w:rPr>
              <w:t>’</w:t>
            </w:r>
            <w:r w:rsidRPr="00146D77">
              <w:rPr>
                <w:sz w:val="20"/>
                <w:lang w:val="fr-FR"/>
              </w:rPr>
              <w:t>époque des faits)</w:t>
            </w:r>
          </w:p>
        </w:tc>
        <w:tc>
          <w:tcPr>
            <w:tcW w:w="598" w:type="pct"/>
          </w:tcPr>
          <w:p w:rsidRPr="00146D77" w:rsidR="00990289" w:rsidP="00146D77" w:rsidRDefault="00990289">
            <w:pPr>
              <w:rPr>
                <w:sz w:val="20"/>
                <w:lang w:val="fr-FR"/>
              </w:rPr>
            </w:pPr>
            <w:r w:rsidRPr="00146D77">
              <w:rPr>
                <w:sz w:val="20"/>
                <w:lang w:val="fr-FR"/>
              </w:rPr>
              <w:t>Date de l</w:t>
            </w:r>
            <w:r w:rsidRPr="00146D77" w:rsidR="00146D77">
              <w:rPr>
                <w:sz w:val="20"/>
                <w:lang w:val="fr-FR"/>
              </w:rPr>
              <w:t>’</w:t>
            </w:r>
            <w:r w:rsidRPr="00146D77">
              <w:rPr>
                <w:sz w:val="20"/>
                <w:lang w:val="fr-FR"/>
              </w:rPr>
              <w:t>introduction de la demande</w:t>
            </w:r>
          </w:p>
        </w:tc>
        <w:tc>
          <w:tcPr>
            <w:tcW w:w="522" w:type="pct"/>
          </w:tcPr>
          <w:p w:rsidRPr="00146D77" w:rsidR="00990289" w:rsidP="00146D77" w:rsidRDefault="00990289">
            <w:pPr>
              <w:rPr>
                <w:sz w:val="20"/>
                <w:lang w:val="fr-FR"/>
              </w:rPr>
            </w:pPr>
            <w:r w:rsidRPr="00146D77">
              <w:rPr>
                <w:sz w:val="20"/>
                <w:lang w:val="fr-FR"/>
              </w:rPr>
              <w:t>Date du jugement du tribunal du travail</w:t>
            </w:r>
          </w:p>
        </w:tc>
        <w:tc>
          <w:tcPr>
            <w:tcW w:w="595" w:type="pct"/>
          </w:tcPr>
          <w:p w:rsidRPr="00146D77" w:rsidR="00990289" w:rsidP="00146D77" w:rsidRDefault="00990289">
            <w:pPr>
              <w:rPr>
                <w:sz w:val="20"/>
                <w:lang w:val="fr-FR"/>
              </w:rPr>
            </w:pPr>
            <w:r w:rsidRPr="00146D77">
              <w:rPr>
                <w:sz w:val="20"/>
                <w:lang w:val="fr-FR"/>
              </w:rPr>
              <w:t>Date de l</w:t>
            </w:r>
            <w:r w:rsidRPr="00146D77" w:rsidR="00146D77">
              <w:rPr>
                <w:sz w:val="20"/>
                <w:lang w:val="fr-FR"/>
              </w:rPr>
              <w:t>’</w:t>
            </w:r>
            <w:r w:rsidRPr="00146D77">
              <w:rPr>
                <w:sz w:val="20"/>
                <w:lang w:val="fr-FR"/>
              </w:rPr>
              <w:t>arrêt de la Cour de cassation</w:t>
            </w:r>
          </w:p>
        </w:tc>
      </w:tr>
      <w:tr w:rsidRPr="00146D77" w:rsidR="00990289" w:rsidTr="002C1268">
        <w:tc>
          <w:tcPr>
            <w:tcW w:w="821" w:type="pct"/>
          </w:tcPr>
          <w:p w:rsidRPr="00146D77" w:rsidR="00990289" w:rsidP="00146D77" w:rsidRDefault="00990289">
            <w:pPr>
              <w:rPr>
                <w:sz w:val="20"/>
                <w:lang w:val="tr-TR"/>
              </w:rPr>
            </w:pPr>
            <w:r w:rsidRPr="00146D77">
              <w:rPr>
                <w:sz w:val="20"/>
                <w:lang w:val="tr-TR"/>
              </w:rPr>
              <w:t>Tahsin Yağmur</w:t>
            </w:r>
          </w:p>
        </w:tc>
        <w:tc>
          <w:tcPr>
            <w:tcW w:w="597" w:type="pct"/>
          </w:tcPr>
          <w:p w:rsidRPr="00146D77" w:rsidR="00990289" w:rsidP="00146D77" w:rsidRDefault="00990289">
            <w:pPr>
              <w:rPr>
                <w:sz w:val="20"/>
                <w:lang w:val="fr-FR"/>
              </w:rPr>
            </w:pPr>
            <w:r w:rsidRPr="00146D77">
              <w:rPr>
                <w:sz w:val="20"/>
                <w:lang w:val="fr-FR"/>
              </w:rPr>
              <w:t>01/06/1961</w:t>
            </w:r>
          </w:p>
        </w:tc>
        <w:tc>
          <w:tcPr>
            <w:tcW w:w="970" w:type="pct"/>
          </w:tcPr>
          <w:p w:rsidRPr="00146D77" w:rsidR="00990289" w:rsidP="00146D77" w:rsidRDefault="00990289">
            <w:pPr>
              <w:rPr>
                <w:sz w:val="20"/>
                <w:lang w:val="fr-FR"/>
              </w:rPr>
            </w:pPr>
            <w:r w:rsidRPr="00146D77">
              <w:rPr>
                <w:sz w:val="20"/>
                <w:lang w:val="fr-FR"/>
              </w:rPr>
              <w:t>602 500 000 (460)</w:t>
            </w:r>
          </w:p>
        </w:tc>
        <w:tc>
          <w:tcPr>
            <w:tcW w:w="896" w:type="pct"/>
          </w:tcPr>
          <w:p w:rsidRPr="00146D77" w:rsidR="00990289" w:rsidP="00146D77" w:rsidRDefault="00990289">
            <w:pPr>
              <w:rPr>
                <w:sz w:val="20"/>
                <w:lang w:val="fr-FR"/>
              </w:rPr>
            </w:pPr>
            <w:r w:rsidRPr="00146D77">
              <w:rPr>
                <w:sz w:val="20"/>
                <w:lang w:val="fr-FR"/>
              </w:rPr>
              <w:t>301 251 740 (230)</w:t>
            </w:r>
          </w:p>
        </w:tc>
        <w:tc>
          <w:tcPr>
            <w:tcW w:w="598" w:type="pct"/>
          </w:tcPr>
          <w:p w:rsidRPr="00146D77" w:rsidR="00990289" w:rsidP="00146D77" w:rsidRDefault="00990289">
            <w:pPr>
              <w:rPr>
                <w:sz w:val="20"/>
              </w:rPr>
            </w:pPr>
            <w:r w:rsidRPr="00146D77">
              <w:rPr>
                <w:sz w:val="20"/>
              </w:rPr>
              <w:t>11/12/02</w:t>
            </w:r>
          </w:p>
        </w:tc>
        <w:tc>
          <w:tcPr>
            <w:tcW w:w="522" w:type="pct"/>
          </w:tcPr>
          <w:p w:rsidRPr="00146D77" w:rsidR="00990289" w:rsidP="00146D77" w:rsidRDefault="00990289">
            <w:pPr>
              <w:rPr>
                <w:sz w:val="20"/>
              </w:rPr>
            </w:pPr>
            <w:r w:rsidRPr="00146D77">
              <w:rPr>
                <w:sz w:val="20"/>
              </w:rPr>
              <w:t>30/11/05</w:t>
            </w:r>
          </w:p>
        </w:tc>
        <w:tc>
          <w:tcPr>
            <w:tcW w:w="595" w:type="pct"/>
          </w:tcPr>
          <w:p w:rsidRPr="00146D77" w:rsidR="00990289" w:rsidP="00146D77" w:rsidRDefault="00990289">
            <w:pPr>
              <w:rPr>
                <w:sz w:val="20"/>
              </w:rPr>
            </w:pPr>
            <w:r w:rsidRPr="00146D77">
              <w:rPr>
                <w:sz w:val="20"/>
              </w:rPr>
              <w:t>07/03/06</w:t>
            </w:r>
          </w:p>
        </w:tc>
      </w:tr>
      <w:tr w:rsidRPr="00146D77" w:rsidR="00990289" w:rsidTr="002C1268">
        <w:tc>
          <w:tcPr>
            <w:tcW w:w="821" w:type="pct"/>
          </w:tcPr>
          <w:p w:rsidRPr="00146D77" w:rsidR="00990289" w:rsidP="00146D77" w:rsidRDefault="00990289">
            <w:pPr>
              <w:rPr>
                <w:sz w:val="20"/>
                <w:lang w:val="tr-TR"/>
              </w:rPr>
            </w:pPr>
            <w:r w:rsidRPr="00146D77">
              <w:rPr>
                <w:sz w:val="20"/>
                <w:lang w:val="tr-TR"/>
              </w:rPr>
              <w:t>Dursun Yağmur</w:t>
            </w:r>
          </w:p>
        </w:tc>
        <w:tc>
          <w:tcPr>
            <w:tcW w:w="597" w:type="pct"/>
          </w:tcPr>
          <w:p w:rsidRPr="00146D77" w:rsidR="00990289" w:rsidP="00146D77" w:rsidRDefault="00990289">
            <w:pPr>
              <w:rPr>
                <w:sz w:val="20"/>
                <w:lang w:val="fr-FR"/>
              </w:rPr>
            </w:pPr>
            <w:r w:rsidRPr="00146D77">
              <w:rPr>
                <w:sz w:val="20"/>
                <w:lang w:val="fr-FR"/>
              </w:rPr>
              <w:t>02/01/1951</w:t>
            </w:r>
          </w:p>
        </w:tc>
        <w:tc>
          <w:tcPr>
            <w:tcW w:w="970" w:type="pct"/>
          </w:tcPr>
          <w:p w:rsidRPr="00146D77" w:rsidR="00990289" w:rsidP="00146D77" w:rsidRDefault="00990289">
            <w:pPr>
              <w:rPr>
                <w:sz w:val="20"/>
                <w:lang w:val="fr-FR"/>
              </w:rPr>
            </w:pPr>
            <w:r w:rsidRPr="00146D77">
              <w:rPr>
                <w:sz w:val="20"/>
                <w:lang w:val="fr-FR"/>
              </w:rPr>
              <w:t>604 000 000 (461)</w:t>
            </w:r>
          </w:p>
        </w:tc>
        <w:tc>
          <w:tcPr>
            <w:tcW w:w="896" w:type="pct"/>
          </w:tcPr>
          <w:p w:rsidRPr="00146D77" w:rsidR="00990289" w:rsidP="00146D77" w:rsidRDefault="00990289">
            <w:pPr>
              <w:rPr>
                <w:sz w:val="20"/>
                <w:lang w:val="fr-FR"/>
              </w:rPr>
            </w:pPr>
            <w:r w:rsidRPr="00146D77">
              <w:rPr>
                <w:sz w:val="20"/>
                <w:lang w:val="fr-FR"/>
              </w:rPr>
              <w:t>337 000 000 (257)</w:t>
            </w:r>
          </w:p>
        </w:tc>
        <w:tc>
          <w:tcPr>
            <w:tcW w:w="598" w:type="pct"/>
          </w:tcPr>
          <w:p w:rsidRPr="00146D77" w:rsidR="00990289" w:rsidP="00146D77" w:rsidRDefault="00990289">
            <w:pPr>
              <w:rPr>
                <w:sz w:val="20"/>
              </w:rPr>
            </w:pPr>
            <w:r w:rsidRPr="00146D77">
              <w:rPr>
                <w:sz w:val="20"/>
              </w:rPr>
              <w:t>11/12/02</w:t>
            </w:r>
          </w:p>
        </w:tc>
        <w:tc>
          <w:tcPr>
            <w:tcW w:w="522" w:type="pct"/>
          </w:tcPr>
          <w:p w:rsidRPr="00146D77" w:rsidR="00990289" w:rsidP="00146D77" w:rsidRDefault="00990289">
            <w:pPr>
              <w:rPr>
                <w:sz w:val="20"/>
              </w:rPr>
            </w:pPr>
            <w:r w:rsidRPr="00146D77">
              <w:rPr>
                <w:sz w:val="20"/>
              </w:rPr>
              <w:t>30/11/05</w:t>
            </w:r>
          </w:p>
        </w:tc>
        <w:tc>
          <w:tcPr>
            <w:tcW w:w="595" w:type="pct"/>
          </w:tcPr>
          <w:p w:rsidRPr="00146D77" w:rsidR="00990289" w:rsidP="00146D77" w:rsidRDefault="00990289">
            <w:pPr>
              <w:rPr>
                <w:sz w:val="20"/>
              </w:rPr>
            </w:pPr>
            <w:r w:rsidRPr="00146D77">
              <w:rPr>
                <w:sz w:val="20"/>
              </w:rPr>
              <w:t>07/03/06</w:t>
            </w:r>
          </w:p>
        </w:tc>
      </w:tr>
      <w:tr w:rsidRPr="00146D77" w:rsidR="00990289" w:rsidTr="002C1268">
        <w:tc>
          <w:tcPr>
            <w:tcW w:w="821" w:type="pct"/>
          </w:tcPr>
          <w:p w:rsidRPr="00146D77" w:rsidR="00990289" w:rsidP="00146D77" w:rsidRDefault="00990289">
            <w:pPr>
              <w:rPr>
                <w:sz w:val="20"/>
                <w:lang w:val="tr-TR"/>
              </w:rPr>
            </w:pPr>
            <w:r w:rsidRPr="00146D77">
              <w:rPr>
                <w:sz w:val="20"/>
                <w:lang w:val="tr-TR"/>
              </w:rPr>
              <w:t>Salih Tuzculu</w:t>
            </w:r>
          </w:p>
        </w:tc>
        <w:tc>
          <w:tcPr>
            <w:tcW w:w="597" w:type="pct"/>
          </w:tcPr>
          <w:p w:rsidRPr="00146D77" w:rsidR="00990289" w:rsidP="00146D77" w:rsidRDefault="00990289">
            <w:pPr>
              <w:rPr>
                <w:sz w:val="20"/>
                <w:lang w:val="fr-FR"/>
              </w:rPr>
            </w:pPr>
            <w:r w:rsidRPr="00146D77">
              <w:rPr>
                <w:sz w:val="20"/>
                <w:lang w:val="fr-FR"/>
              </w:rPr>
              <w:t>01/01/1941</w:t>
            </w:r>
          </w:p>
        </w:tc>
        <w:tc>
          <w:tcPr>
            <w:tcW w:w="970" w:type="pct"/>
          </w:tcPr>
          <w:p w:rsidRPr="00146D77" w:rsidR="00990289" w:rsidP="00146D77" w:rsidRDefault="00990289">
            <w:pPr>
              <w:rPr>
                <w:sz w:val="20"/>
                <w:lang w:val="fr-FR"/>
              </w:rPr>
            </w:pPr>
            <w:r w:rsidRPr="00146D77">
              <w:rPr>
                <w:sz w:val="20"/>
                <w:lang w:val="fr-FR"/>
              </w:rPr>
              <w:t>584 000 000 (446)</w:t>
            </w:r>
          </w:p>
        </w:tc>
        <w:tc>
          <w:tcPr>
            <w:tcW w:w="896" w:type="pct"/>
          </w:tcPr>
          <w:p w:rsidRPr="00146D77" w:rsidR="00990289" w:rsidP="00146D77" w:rsidRDefault="00990289">
            <w:pPr>
              <w:rPr>
                <w:sz w:val="20"/>
                <w:lang w:val="fr-FR"/>
              </w:rPr>
            </w:pPr>
            <w:r w:rsidRPr="00146D77">
              <w:rPr>
                <w:sz w:val="20"/>
                <w:lang w:val="fr-FR"/>
              </w:rPr>
              <w:t>314 000 000 (240)</w:t>
            </w:r>
          </w:p>
        </w:tc>
        <w:tc>
          <w:tcPr>
            <w:tcW w:w="598" w:type="pct"/>
          </w:tcPr>
          <w:p w:rsidRPr="00146D77" w:rsidR="00990289" w:rsidP="00146D77" w:rsidRDefault="00990289">
            <w:pPr>
              <w:rPr>
                <w:sz w:val="20"/>
              </w:rPr>
            </w:pPr>
            <w:r w:rsidRPr="00146D77">
              <w:rPr>
                <w:sz w:val="20"/>
              </w:rPr>
              <w:t>11/12/02</w:t>
            </w:r>
          </w:p>
        </w:tc>
        <w:tc>
          <w:tcPr>
            <w:tcW w:w="522" w:type="pct"/>
          </w:tcPr>
          <w:p w:rsidRPr="00146D77" w:rsidR="00990289" w:rsidP="00146D77" w:rsidRDefault="00990289">
            <w:pPr>
              <w:rPr>
                <w:sz w:val="20"/>
              </w:rPr>
            </w:pPr>
            <w:r w:rsidRPr="00146D77">
              <w:rPr>
                <w:sz w:val="20"/>
              </w:rPr>
              <w:t>30/11/05</w:t>
            </w:r>
          </w:p>
        </w:tc>
        <w:tc>
          <w:tcPr>
            <w:tcW w:w="595" w:type="pct"/>
          </w:tcPr>
          <w:p w:rsidRPr="00146D77" w:rsidR="00990289" w:rsidP="00146D77" w:rsidRDefault="00990289">
            <w:pPr>
              <w:rPr>
                <w:sz w:val="20"/>
              </w:rPr>
            </w:pPr>
            <w:r w:rsidRPr="00146D77">
              <w:rPr>
                <w:sz w:val="20"/>
              </w:rPr>
              <w:t>07/03/06</w:t>
            </w:r>
          </w:p>
        </w:tc>
      </w:tr>
      <w:tr w:rsidRPr="00146D77" w:rsidR="00990289" w:rsidTr="002C1268">
        <w:tc>
          <w:tcPr>
            <w:tcW w:w="821" w:type="pct"/>
          </w:tcPr>
          <w:p w:rsidRPr="00146D77" w:rsidR="00990289" w:rsidP="00146D77" w:rsidRDefault="00990289">
            <w:pPr>
              <w:rPr>
                <w:sz w:val="20"/>
                <w:lang w:val="tr-TR"/>
              </w:rPr>
            </w:pPr>
            <w:r w:rsidRPr="00146D77">
              <w:rPr>
                <w:sz w:val="20"/>
                <w:lang w:val="tr-TR"/>
              </w:rPr>
              <w:t>Erol Arık</w:t>
            </w:r>
          </w:p>
        </w:tc>
        <w:tc>
          <w:tcPr>
            <w:tcW w:w="597" w:type="pct"/>
          </w:tcPr>
          <w:p w:rsidRPr="00146D77" w:rsidR="00990289" w:rsidP="00146D77" w:rsidRDefault="00990289">
            <w:pPr>
              <w:rPr>
                <w:sz w:val="20"/>
                <w:lang w:val="fr-FR"/>
              </w:rPr>
            </w:pPr>
            <w:r w:rsidRPr="00146D77">
              <w:rPr>
                <w:sz w:val="20"/>
                <w:lang w:val="fr-FR"/>
              </w:rPr>
              <w:t>01/11/1952</w:t>
            </w:r>
          </w:p>
        </w:tc>
        <w:tc>
          <w:tcPr>
            <w:tcW w:w="970" w:type="pct"/>
          </w:tcPr>
          <w:p w:rsidRPr="00146D77" w:rsidR="00990289" w:rsidP="00146D77" w:rsidRDefault="00990289">
            <w:pPr>
              <w:rPr>
                <w:sz w:val="20"/>
                <w:lang w:val="fr-FR"/>
              </w:rPr>
            </w:pPr>
            <w:r w:rsidRPr="00146D77">
              <w:rPr>
                <w:sz w:val="20"/>
                <w:lang w:val="fr-FR"/>
              </w:rPr>
              <w:t>1 410 000 000 (1 077)</w:t>
            </w:r>
          </w:p>
        </w:tc>
        <w:tc>
          <w:tcPr>
            <w:tcW w:w="896" w:type="pct"/>
          </w:tcPr>
          <w:p w:rsidRPr="00146D77" w:rsidR="00990289" w:rsidP="00146D77" w:rsidRDefault="00990289">
            <w:pPr>
              <w:rPr>
                <w:sz w:val="20"/>
                <w:lang w:val="fr-FR"/>
              </w:rPr>
            </w:pPr>
            <w:r w:rsidRPr="00146D77">
              <w:rPr>
                <w:sz w:val="20"/>
                <w:lang w:val="fr-FR"/>
              </w:rPr>
              <w:t>509 313 067 (390)</w:t>
            </w:r>
          </w:p>
        </w:tc>
        <w:tc>
          <w:tcPr>
            <w:tcW w:w="598" w:type="pct"/>
          </w:tcPr>
          <w:p w:rsidRPr="00146D77" w:rsidR="00990289" w:rsidP="00146D77" w:rsidRDefault="00990289">
            <w:pPr>
              <w:rPr>
                <w:sz w:val="20"/>
              </w:rPr>
            </w:pPr>
            <w:r w:rsidRPr="00146D77">
              <w:rPr>
                <w:sz w:val="20"/>
              </w:rPr>
              <w:t>11/12/02</w:t>
            </w:r>
          </w:p>
        </w:tc>
        <w:tc>
          <w:tcPr>
            <w:tcW w:w="522" w:type="pct"/>
          </w:tcPr>
          <w:p w:rsidRPr="00146D77" w:rsidR="00990289" w:rsidP="00146D77" w:rsidRDefault="00990289">
            <w:pPr>
              <w:rPr>
                <w:sz w:val="20"/>
              </w:rPr>
            </w:pPr>
            <w:r w:rsidRPr="00146D77">
              <w:rPr>
                <w:sz w:val="20"/>
              </w:rPr>
              <w:t>16/02/06</w:t>
            </w:r>
          </w:p>
        </w:tc>
        <w:tc>
          <w:tcPr>
            <w:tcW w:w="595" w:type="pct"/>
          </w:tcPr>
          <w:p w:rsidRPr="00146D77" w:rsidR="00990289" w:rsidP="00146D77" w:rsidRDefault="00990289">
            <w:pPr>
              <w:rPr>
                <w:sz w:val="20"/>
              </w:rPr>
            </w:pPr>
            <w:r w:rsidRPr="00146D77">
              <w:rPr>
                <w:sz w:val="20"/>
              </w:rPr>
              <w:t>01/05/06</w:t>
            </w:r>
          </w:p>
        </w:tc>
      </w:tr>
      <w:tr w:rsidRPr="00146D77" w:rsidR="00990289" w:rsidTr="002C1268">
        <w:tc>
          <w:tcPr>
            <w:tcW w:w="821" w:type="pct"/>
          </w:tcPr>
          <w:p w:rsidRPr="00146D77" w:rsidR="00990289" w:rsidP="00146D77" w:rsidRDefault="00990289">
            <w:pPr>
              <w:rPr>
                <w:sz w:val="20"/>
                <w:lang w:val="tr-TR"/>
              </w:rPr>
            </w:pPr>
            <w:r w:rsidRPr="00146D77">
              <w:rPr>
                <w:sz w:val="20"/>
                <w:lang w:val="tr-TR"/>
              </w:rPr>
              <w:t>Güler Canikoğlu</w:t>
            </w:r>
          </w:p>
        </w:tc>
        <w:tc>
          <w:tcPr>
            <w:tcW w:w="597" w:type="pct"/>
          </w:tcPr>
          <w:p w:rsidRPr="00146D77" w:rsidR="00990289" w:rsidP="00146D77" w:rsidRDefault="00990289">
            <w:pPr>
              <w:rPr>
                <w:sz w:val="20"/>
                <w:lang w:val="fr-FR"/>
              </w:rPr>
            </w:pPr>
            <w:r w:rsidRPr="00146D77">
              <w:rPr>
                <w:sz w:val="20"/>
                <w:lang w:val="fr-FR"/>
              </w:rPr>
              <w:t>07/05/1941</w:t>
            </w:r>
          </w:p>
        </w:tc>
        <w:tc>
          <w:tcPr>
            <w:tcW w:w="970" w:type="pct"/>
          </w:tcPr>
          <w:p w:rsidRPr="00146D77" w:rsidR="00990289" w:rsidP="00146D77" w:rsidRDefault="00990289">
            <w:pPr>
              <w:rPr>
                <w:sz w:val="20"/>
                <w:lang w:val="fr-FR"/>
              </w:rPr>
            </w:pPr>
            <w:r w:rsidRPr="00146D77">
              <w:rPr>
                <w:sz w:val="20"/>
                <w:lang w:val="fr-FR"/>
              </w:rPr>
              <w:t>810 000 000 (618)</w:t>
            </w:r>
          </w:p>
        </w:tc>
        <w:tc>
          <w:tcPr>
            <w:tcW w:w="896" w:type="pct"/>
          </w:tcPr>
          <w:p w:rsidRPr="00146D77" w:rsidR="00990289" w:rsidP="00146D77" w:rsidRDefault="00990289">
            <w:pPr>
              <w:rPr>
                <w:sz w:val="20"/>
                <w:lang w:val="fr-FR"/>
              </w:rPr>
            </w:pPr>
            <w:r w:rsidRPr="00146D77">
              <w:rPr>
                <w:sz w:val="20"/>
                <w:lang w:val="fr-FR"/>
              </w:rPr>
              <w:t>408 645 682 (312)</w:t>
            </w:r>
          </w:p>
        </w:tc>
        <w:tc>
          <w:tcPr>
            <w:tcW w:w="598" w:type="pct"/>
          </w:tcPr>
          <w:p w:rsidRPr="00146D77" w:rsidR="00990289" w:rsidP="00146D77" w:rsidRDefault="00990289">
            <w:pPr>
              <w:rPr>
                <w:sz w:val="20"/>
              </w:rPr>
            </w:pPr>
            <w:r w:rsidRPr="00146D77">
              <w:rPr>
                <w:sz w:val="20"/>
              </w:rPr>
              <w:t>11/12/02</w:t>
            </w:r>
          </w:p>
        </w:tc>
        <w:tc>
          <w:tcPr>
            <w:tcW w:w="522" w:type="pct"/>
          </w:tcPr>
          <w:p w:rsidRPr="00146D77" w:rsidR="00990289" w:rsidP="00146D77" w:rsidRDefault="00990289">
            <w:pPr>
              <w:rPr>
                <w:sz w:val="20"/>
              </w:rPr>
            </w:pPr>
            <w:r w:rsidRPr="00146D77">
              <w:rPr>
                <w:sz w:val="20"/>
              </w:rPr>
              <w:t>16/02/06</w:t>
            </w:r>
          </w:p>
        </w:tc>
        <w:tc>
          <w:tcPr>
            <w:tcW w:w="595" w:type="pct"/>
          </w:tcPr>
          <w:p w:rsidRPr="00146D77" w:rsidR="00990289" w:rsidP="00146D77" w:rsidRDefault="00990289">
            <w:pPr>
              <w:rPr>
                <w:sz w:val="20"/>
              </w:rPr>
            </w:pPr>
            <w:r w:rsidRPr="00146D77">
              <w:rPr>
                <w:sz w:val="20"/>
              </w:rPr>
              <w:t>01/05/06</w:t>
            </w:r>
          </w:p>
        </w:tc>
      </w:tr>
      <w:tr w:rsidRPr="00146D77" w:rsidR="00990289" w:rsidTr="002C1268">
        <w:tc>
          <w:tcPr>
            <w:tcW w:w="821" w:type="pct"/>
          </w:tcPr>
          <w:p w:rsidRPr="00146D77" w:rsidR="00990289" w:rsidP="00146D77" w:rsidRDefault="00990289">
            <w:pPr>
              <w:rPr>
                <w:sz w:val="20"/>
                <w:lang w:val="tr-TR"/>
              </w:rPr>
            </w:pPr>
            <w:r w:rsidRPr="00146D77">
              <w:rPr>
                <w:sz w:val="20"/>
                <w:lang w:val="tr-TR"/>
              </w:rPr>
              <w:t>Ahmet Ballıoğlu</w:t>
            </w:r>
          </w:p>
        </w:tc>
        <w:tc>
          <w:tcPr>
            <w:tcW w:w="597" w:type="pct"/>
          </w:tcPr>
          <w:p w:rsidRPr="00146D77" w:rsidR="00990289" w:rsidP="00146D77" w:rsidRDefault="00990289">
            <w:pPr>
              <w:rPr>
                <w:sz w:val="20"/>
                <w:lang w:val="fr-FR"/>
              </w:rPr>
            </w:pPr>
            <w:r w:rsidRPr="00146D77">
              <w:rPr>
                <w:sz w:val="20"/>
                <w:lang w:val="fr-FR"/>
              </w:rPr>
              <w:t>02/01/1952</w:t>
            </w:r>
          </w:p>
        </w:tc>
        <w:tc>
          <w:tcPr>
            <w:tcW w:w="970" w:type="pct"/>
          </w:tcPr>
          <w:p w:rsidRPr="00146D77" w:rsidR="00990289" w:rsidP="00146D77" w:rsidRDefault="00990289">
            <w:pPr>
              <w:rPr>
                <w:sz w:val="20"/>
                <w:lang w:val="fr-FR"/>
              </w:rPr>
            </w:pPr>
            <w:r w:rsidRPr="00146D77">
              <w:rPr>
                <w:sz w:val="20"/>
                <w:lang w:val="fr-FR"/>
              </w:rPr>
              <w:t>623 112 240 (475)</w:t>
            </w:r>
          </w:p>
        </w:tc>
        <w:tc>
          <w:tcPr>
            <w:tcW w:w="896" w:type="pct"/>
          </w:tcPr>
          <w:p w:rsidRPr="00146D77" w:rsidR="00990289" w:rsidP="00146D77" w:rsidRDefault="00990289">
            <w:pPr>
              <w:rPr>
                <w:sz w:val="20"/>
                <w:lang w:val="fr-FR"/>
              </w:rPr>
            </w:pPr>
            <w:r w:rsidRPr="00146D77">
              <w:rPr>
                <w:sz w:val="20"/>
                <w:lang w:val="fr-FR"/>
              </w:rPr>
              <w:t>325 210 560 (248)</w:t>
            </w:r>
          </w:p>
        </w:tc>
        <w:tc>
          <w:tcPr>
            <w:tcW w:w="598" w:type="pct"/>
          </w:tcPr>
          <w:p w:rsidRPr="00146D77" w:rsidR="00990289" w:rsidP="00146D77" w:rsidRDefault="00990289">
            <w:pPr>
              <w:rPr>
                <w:sz w:val="20"/>
              </w:rPr>
            </w:pPr>
            <w:r w:rsidRPr="00146D77">
              <w:rPr>
                <w:sz w:val="20"/>
              </w:rPr>
              <w:t>16/01/03</w:t>
            </w:r>
          </w:p>
        </w:tc>
        <w:tc>
          <w:tcPr>
            <w:tcW w:w="522" w:type="pct"/>
          </w:tcPr>
          <w:p w:rsidRPr="00146D77" w:rsidR="00990289" w:rsidP="00146D77" w:rsidRDefault="00990289">
            <w:pPr>
              <w:rPr>
                <w:sz w:val="20"/>
              </w:rPr>
            </w:pPr>
            <w:r w:rsidRPr="00146D77">
              <w:rPr>
                <w:sz w:val="20"/>
              </w:rPr>
              <w:t>21/12/05</w:t>
            </w:r>
          </w:p>
        </w:tc>
        <w:tc>
          <w:tcPr>
            <w:tcW w:w="595" w:type="pct"/>
          </w:tcPr>
          <w:p w:rsidRPr="00146D77" w:rsidR="00990289" w:rsidP="00146D77" w:rsidRDefault="00990289">
            <w:pPr>
              <w:rPr>
                <w:sz w:val="20"/>
              </w:rPr>
            </w:pPr>
            <w:r w:rsidRPr="00146D77">
              <w:rPr>
                <w:sz w:val="20"/>
              </w:rPr>
              <w:t>07/03/06</w:t>
            </w:r>
          </w:p>
        </w:tc>
      </w:tr>
    </w:tbl>
    <w:p w:rsidRPr="00146D77" w:rsidR="00EE6916" w:rsidP="00146D77" w:rsidRDefault="00EE6916">
      <w:pPr>
        <w:pStyle w:val="ECHRPara"/>
      </w:pPr>
    </w:p>
    <w:sectPr w:rsidRPr="00146D77" w:rsidR="00EE6916" w:rsidSect="00672B2C">
      <w:headerReference w:type="even" r:id="rId14"/>
      <w:head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09AE" w:rsidRPr="001C3AE1" w:rsidRDefault="004D09AE" w:rsidP="00E77CB3">
      <w:pPr>
        <w:rPr>
          <w:lang w:val="fr-FR"/>
        </w:rPr>
      </w:pPr>
      <w:r w:rsidRPr="001C3AE1">
        <w:rPr>
          <w:lang w:val="fr-FR"/>
        </w:rPr>
        <w:separator/>
      </w:r>
    </w:p>
  </w:endnote>
  <w:endnote w:type="continuationSeparator" w:id="0">
    <w:p w:rsidR="004D09AE" w:rsidRPr="001C3AE1" w:rsidRDefault="004D09AE" w:rsidP="00E77CB3">
      <w:pPr>
        <w:rPr>
          <w:lang w:val="fr-FR"/>
        </w:rPr>
      </w:pPr>
      <w:r w:rsidRPr="001C3AE1">
        <w:rPr>
          <w:lang w:val="fr-FR"/>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9AE" w:rsidRDefault="004D09A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9AE" w:rsidRDefault="004D09A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9AE" w:rsidRPr="00150BFA" w:rsidRDefault="004D09AE" w:rsidP="002C1268">
    <w:pPr>
      <w:jc w:val="center"/>
    </w:pPr>
    <w:r>
      <w:rPr>
        <w:noProof/>
        <w:lang w:val="en-US" w:eastAsia="ja-JP"/>
      </w:rPr>
      <w:drawing>
        <wp:inline distT="0" distB="0" distL="0" distR="0" wp14:anchorId="090174A5" wp14:editId="17E48163">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4D09AE" w:rsidRDefault="004D09A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09AE" w:rsidRPr="001C3AE1" w:rsidRDefault="004D09AE" w:rsidP="00E77CB3">
      <w:pPr>
        <w:rPr>
          <w:lang w:val="fr-FR"/>
        </w:rPr>
      </w:pPr>
      <w:r w:rsidRPr="001C3AE1">
        <w:rPr>
          <w:lang w:val="fr-FR"/>
        </w:rPr>
        <w:separator/>
      </w:r>
    </w:p>
  </w:footnote>
  <w:footnote w:type="continuationSeparator" w:id="0">
    <w:p w:rsidR="004D09AE" w:rsidRPr="001C3AE1" w:rsidRDefault="004D09AE" w:rsidP="00E77CB3">
      <w:pPr>
        <w:rPr>
          <w:lang w:val="fr-FR"/>
        </w:rPr>
      </w:pPr>
      <w:r w:rsidRPr="001C3AE1">
        <w:rPr>
          <w:lang w:val="fr-FR"/>
        </w:rPr>
        <w:continuationSeparator/>
      </w:r>
    </w:p>
  </w:footnote>
  <w:footnote w:id="1">
    <w:p w:rsidR="004D09AE" w:rsidRPr="00B942B5" w:rsidRDefault="004D09AE" w:rsidP="00E64ABD">
      <w:pPr>
        <w:pStyle w:val="FootnoteText"/>
        <w:rPr>
          <w:lang w:val="fr-FR"/>
        </w:rPr>
      </w:pPr>
      <w:r w:rsidRPr="006B2121">
        <w:rPr>
          <w:lang w:val="fr-FR"/>
        </w:rPr>
        <w:t>1</w:t>
      </w:r>
      <w:r>
        <w:rPr>
          <w:lang w:val="fr-FR"/>
        </w:rPr>
        <w:t>.  Le 1</w:t>
      </w:r>
      <w:r w:rsidRPr="00B942B5">
        <w:rPr>
          <w:vertAlign w:val="superscript"/>
          <w:lang w:val="fr-FR"/>
        </w:rPr>
        <w:t>er</w:t>
      </w:r>
      <w:r>
        <w:rPr>
          <w:lang w:val="fr-FR"/>
        </w:rPr>
        <w:t xml:space="preserve"> janvier 2005, la livre turque (TRY), qui remplace l’ancienne livre turque (TRL), est entrée en vigueur. 1 TRY vaut un million TRL.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9AE" w:rsidRDefault="004D09A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9AE" w:rsidRPr="00672B2C" w:rsidRDefault="004D09AE" w:rsidP="00672B2C">
    <w:pPr>
      <w:pStyle w:val="Heade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9AE" w:rsidRPr="00A45145" w:rsidRDefault="004D09AE" w:rsidP="002C1268">
    <w:pPr>
      <w:jc w:val="center"/>
    </w:pPr>
    <w:r>
      <w:rPr>
        <w:noProof/>
        <w:lang w:val="en-US" w:eastAsia="ja-JP"/>
      </w:rPr>
      <w:drawing>
        <wp:inline distT="0" distB="0" distL="0" distR="0" wp14:anchorId="5CD8A163" wp14:editId="7DB44D2B">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4D09AE" w:rsidRDefault="004D09AE">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9AE" w:rsidRPr="001C3AE1" w:rsidRDefault="004D09AE" w:rsidP="00C611D8">
    <w:pPr>
      <w:pStyle w:val="ECHRHeader"/>
      <w:rPr>
        <w:lang w:val="fr-FR"/>
      </w:rPr>
    </w:pPr>
    <w:r>
      <w:rPr>
        <w:rStyle w:val="PageNumber"/>
        <w:lang w:val="fr-FR"/>
      </w:rPr>
      <w:fldChar w:fldCharType="begin"/>
    </w:r>
    <w:r>
      <w:rPr>
        <w:rStyle w:val="PageNumber"/>
        <w:lang w:val="fr-FR"/>
      </w:rPr>
      <w:instrText xml:space="preserve"> PAGE </w:instrText>
    </w:r>
    <w:r>
      <w:rPr>
        <w:rStyle w:val="PageNumber"/>
        <w:lang w:val="fr-FR"/>
      </w:rPr>
      <w:fldChar w:fldCharType="separate"/>
    </w:r>
    <w:r w:rsidR="00146D77">
      <w:rPr>
        <w:rStyle w:val="PageNumber"/>
        <w:noProof/>
        <w:lang w:val="fr-FR"/>
      </w:rPr>
      <w:t>18</w:t>
    </w:r>
    <w:r>
      <w:rPr>
        <w:rStyle w:val="PageNumber"/>
        <w:lang w:val="fr-FR"/>
      </w:rPr>
      <w:fldChar w:fldCharType="end"/>
    </w:r>
    <w:r w:rsidRPr="001C3AE1">
      <w:rPr>
        <w:rStyle w:val="PageNumber"/>
        <w:lang w:val="fr-FR"/>
      </w:rPr>
      <w:tab/>
    </w:r>
    <w:r>
      <w:rPr>
        <w:noProof/>
        <w:lang w:val="fr-FR"/>
      </w:rPr>
      <w:t>ARRÊT</w:t>
    </w:r>
    <w:r w:rsidRPr="001C3AE1">
      <w:rPr>
        <w:lang w:val="fr-FR"/>
      </w:rPr>
      <w:t xml:space="preserve"> </w:t>
    </w:r>
    <w:r>
      <w:rPr>
        <w:lang w:val="fr-FR"/>
      </w:rPr>
      <w:t>YAVAŞ ET AUTRES c. TURQUIE</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9AE" w:rsidRPr="001C3AE1" w:rsidRDefault="004D09AE" w:rsidP="00C63990">
    <w:pPr>
      <w:pStyle w:val="ECHRHeader"/>
      <w:rPr>
        <w:lang w:val="fr-FR"/>
      </w:rPr>
    </w:pPr>
    <w:r w:rsidRPr="001C3AE1">
      <w:rPr>
        <w:lang w:val="fr-FR"/>
      </w:rPr>
      <w:tab/>
    </w:r>
    <w:r>
      <w:rPr>
        <w:noProof/>
        <w:lang w:val="fr-FR"/>
      </w:rPr>
      <w:t>ARRÊT</w:t>
    </w:r>
    <w:r w:rsidRPr="001C3AE1">
      <w:rPr>
        <w:lang w:val="fr-FR"/>
      </w:rPr>
      <w:t xml:space="preserve"> </w:t>
    </w:r>
    <w:r>
      <w:rPr>
        <w:lang w:val="fr-FR"/>
      </w:rPr>
      <w:t>YAVAŞ ET AUTRES c. TURQUIE</w:t>
    </w:r>
    <w:r w:rsidRPr="001C3AE1">
      <w:rPr>
        <w:lang w:val="fr-FR"/>
      </w:rPr>
      <w:tab/>
    </w:r>
    <w:r>
      <w:rPr>
        <w:rStyle w:val="PageNumber"/>
        <w:lang w:val="fr-FR"/>
      </w:rPr>
      <w:fldChar w:fldCharType="begin"/>
    </w:r>
    <w:r>
      <w:rPr>
        <w:rStyle w:val="PageNumber"/>
        <w:lang w:val="fr-FR"/>
      </w:rPr>
      <w:instrText xml:space="preserve"> PAGE </w:instrText>
    </w:r>
    <w:r>
      <w:rPr>
        <w:rStyle w:val="PageNumber"/>
        <w:lang w:val="fr-FR"/>
      </w:rPr>
      <w:fldChar w:fldCharType="separate"/>
    </w:r>
    <w:r w:rsidR="00146D77">
      <w:rPr>
        <w:rStyle w:val="PageNumber"/>
        <w:noProof/>
        <w:lang w:val="fr-FR"/>
      </w:rPr>
      <w:t>1</w:t>
    </w:r>
    <w:r>
      <w:rPr>
        <w:rStyle w:val="PageNumber"/>
        <w:lang w:val="fr-F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0AA222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AC189B2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0C4301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C7268F26"/>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CFA0A71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B382924"/>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68AD308"/>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0501D42"/>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DE43E0C"/>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03AEA0B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4E8750E"/>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7063F06"/>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5D7306C"/>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11"/>
  </w:num>
  <w:num w:numId="3">
    <w:abstractNumId w:val="10"/>
  </w:num>
  <w:num w:numId="4">
    <w:abstractNumId w:val="12"/>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 w:numId="15">
    <w:abstractNumId w:val="13"/>
  </w:num>
  <w:num w:numId="16">
    <w:abstractNumId w:val="13"/>
  </w:num>
  <w:num w:numId="17">
    <w:abstractNumId w:val="13"/>
  </w:num>
  <w:num w:numId="18">
    <w:abstractNumId w:val="13"/>
  </w:num>
  <w:num w:numId="19">
    <w:abstractNumId w:val="13"/>
  </w:num>
  <w:num w:numId="20">
    <w:abstractNumId w:val="13"/>
  </w:num>
  <w:num w:numId="21">
    <w:abstractNumId w:val="13"/>
  </w:num>
  <w:num w:numId="22">
    <w:abstractNumId w:val="13"/>
  </w:num>
  <w:num w:numId="23">
    <w:abstractNumId w:val="13"/>
  </w:num>
  <w:num w:numId="24">
    <w:abstractNumId w:val="13"/>
  </w:num>
  <w:num w:numId="25">
    <w:abstractNumId w:val="13"/>
  </w:num>
  <w:num w:numId="26">
    <w:abstractNumId w:val="13"/>
  </w:num>
  <w:num w:numId="27">
    <w:abstractNumId w:val="13"/>
  </w:num>
  <w:num w:numId="28">
    <w:abstractNumId w:val="13"/>
  </w:num>
  <w:num w:numId="29">
    <w:abstractNumId w:val="13"/>
  </w:num>
  <w:num w:numId="30">
    <w:abstractNumId w:val="13"/>
  </w:num>
  <w:num w:numId="31">
    <w:abstractNumId w:val="13"/>
  </w:num>
  <w:num w:numId="32">
    <w:abstractNumId w:val="13"/>
  </w:num>
  <w:num w:numId="33">
    <w:abstractNumId w:val="13"/>
  </w:num>
  <w:num w:numId="34">
    <w:abstractNumId w:val="13"/>
  </w:num>
  <w:num w:numId="35">
    <w:abstractNumId w:val="13"/>
  </w:num>
  <w:num w:numId="36">
    <w:abstractNumId w:val="13"/>
  </w:num>
  <w:num w:numId="37">
    <w:abstractNumId w:val="13"/>
  </w:num>
  <w:num w:numId="38">
    <w:abstractNumId w:val="13"/>
  </w:num>
  <w:num w:numId="39">
    <w:abstractNumId w:val="13"/>
  </w:num>
  <w:num w:numId="40">
    <w:abstractNumId w:val="13"/>
  </w:num>
  <w:num w:numId="41">
    <w:abstractNumId w:val="13"/>
  </w:num>
  <w:num w:numId="42">
    <w:abstractNumId w:val="13"/>
  </w:num>
  <w:num w:numId="43">
    <w:abstractNumId w:val="13"/>
  </w:num>
  <w:num w:numId="44">
    <w:abstractNumId w:val="13"/>
  </w:num>
  <w:num w:numId="45">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E64ABD"/>
    <w:rsid w:val="000041F8"/>
    <w:rsid w:val="000042A8"/>
    <w:rsid w:val="00004308"/>
    <w:rsid w:val="000050F7"/>
    <w:rsid w:val="00005BF0"/>
    <w:rsid w:val="00007154"/>
    <w:rsid w:val="000103AE"/>
    <w:rsid w:val="00011D69"/>
    <w:rsid w:val="00012AD3"/>
    <w:rsid w:val="00015C2D"/>
    <w:rsid w:val="00015F00"/>
    <w:rsid w:val="00022C1D"/>
    <w:rsid w:val="00025879"/>
    <w:rsid w:val="00031347"/>
    <w:rsid w:val="00034987"/>
    <w:rsid w:val="00035334"/>
    <w:rsid w:val="00043A74"/>
    <w:rsid w:val="00051BA1"/>
    <w:rsid w:val="0005578A"/>
    <w:rsid w:val="000602DF"/>
    <w:rsid w:val="00060790"/>
    <w:rsid w:val="00061B05"/>
    <w:rsid w:val="000632D5"/>
    <w:rsid w:val="000644EE"/>
    <w:rsid w:val="00066A71"/>
    <w:rsid w:val="0007559D"/>
    <w:rsid w:val="00087A9F"/>
    <w:rsid w:val="000925AD"/>
    <w:rsid w:val="000A24EB"/>
    <w:rsid w:val="000B6923"/>
    <w:rsid w:val="000C5F3C"/>
    <w:rsid w:val="000C6DCC"/>
    <w:rsid w:val="000D47AA"/>
    <w:rsid w:val="000D721F"/>
    <w:rsid w:val="000E069B"/>
    <w:rsid w:val="000E0E82"/>
    <w:rsid w:val="000E1DC5"/>
    <w:rsid w:val="000E1F11"/>
    <w:rsid w:val="000E223F"/>
    <w:rsid w:val="000E3EF2"/>
    <w:rsid w:val="000E5A6B"/>
    <w:rsid w:val="000E5B99"/>
    <w:rsid w:val="000E7D45"/>
    <w:rsid w:val="000F00EF"/>
    <w:rsid w:val="000F7851"/>
    <w:rsid w:val="00104E23"/>
    <w:rsid w:val="00110048"/>
    <w:rsid w:val="00111B0C"/>
    <w:rsid w:val="00116DC2"/>
    <w:rsid w:val="00120D6C"/>
    <w:rsid w:val="001257EC"/>
    <w:rsid w:val="00132695"/>
    <w:rsid w:val="00133D33"/>
    <w:rsid w:val="00134D64"/>
    <w:rsid w:val="00135A30"/>
    <w:rsid w:val="0013612C"/>
    <w:rsid w:val="00137FF6"/>
    <w:rsid w:val="00141650"/>
    <w:rsid w:val="00141CFC"/>
    <w:rsid w:val="00146D77"/>
    <w:rsid w:val="00150686"/>
    <w:rsid w:val="001516A3"/>
    <w:rsid w:val="0016174F"/>
    <w:rsid w:val="001619D7"/>
    <w:rsid w:val="00162A12"/>
    <w:rsid w:val="00163CB4"/>
    <w:rsid w:val="00166530"/>
    <w:rsid w:val="001832BD"/>
    <w:rsid w:val="001851CC"/>
    <w:rsid w:val="001943B5"/>
    <w:rsid w:val="00195134"/>
    <w:rsid w:val="0019607A"/>
    <w:rsid w:val="001A145B"/>
    <w:rsid w:val="001A3EF2"/>
    <w:rsid w:val="001A65E4"/>
    <w:rsid w:val="001A674C"/>
    <w:rsid w:val="001B0ACE"/>
    <w:rsid w:val="001B3B24"/>
    <w:rsid w:val="001B7851"/>
    <w:rsid w:val="001C0F98"/>
    <w:rsid w:val="001C2A42"/>
    <w:rsid w:val="001C3531"/>
    <w:rsid w:val="001C3AE1"/>
    <w:rsid w:val="001C41FA"/>
    <w:rsid w:val="001C6DAA"/>
    <w:rsid w:val="001D63ED"/>
    <w:rsid w:val="001D7348"/>
    <w:rsid w:val="001E035B"/>
    <w:rsid w:val="001E0961"/>
    <w:rsid w:val="001E0B6D"/>
    <w:rsid w:val="001E19B8"/>
    <w:rsid w:val="001E3EAE"/>
    <w:rsid w:val="001E6F32"/>
    <w:rsid w:val="001F2145"/>
    <w:rsid w:val="001F4E43"/>
    <w:rsid w:val="001F6262"/>
    <w:rsid w:val="001F67B0"/>
    <w:rsid w:val="001F6F11"/>
    <w:rsid w:val="001F7B3D"/>
    <w:rsid w:val="00202649"/>
    <w:rsid w:val="00205F9F"/>
    <w:rsid w:val="00210326"/>
    <w:rsid w:val="00210338"/>
    <w:rsid w:val="002115FC"/>
    <w:rsid w:val="00213A89"/>
    <w:rsid w:val="0021423C"/>
    <w:rsid w:val="00224910"/>
    <w:rsid w:val="00230D00"/>
    <w:rsid w:val="00231DF7"/>
    <w:rsid w:val="00231FD1"/>
    <w:rsid w:val="00232403"/>
    <w:rsid w:val="002339E0"/>
    <w:rsid w:val="00233A91"/>
    <w:rsid w:val="00233CF8"/>
    <w:rsid w:val="00234D1B"/>
    <w:rsid w:val="0023575D"/>
    <w:rsid w:val="00235FC0"/>
    <w:rsid w:val="00237148"/>
    <w:rsid w:val="0024222D"/>
    <w:rsid w:val="00243432"/>
    <w:rsid w:val="00244B0E"/>
    <w:rsid w:val="00244F6C"/>
    <w:rsid w:val="00245BB6"/>
    <w:rsid w:val="00246ABB"/>
    <w:rsid w:val="002532C5"/>
    <w:rsid w:val="00260C03"/>
    <w:rsid w:val="00264488"/>
    <w:rsid w:val="0026540E"/>
    <w:rsid w:val="00275123"/>
    <w:rsid w:val="00282240"/>
    <w:rsid w:val="00291309"/>
    <w:rsid w:val="00291379"/>
    <w:rsid w:val="002948AD"/>
    <w:rsid w:val="002A01CC"/>
    <w:rsid w:val="002A61B1"/>
    <w:rsid w:val="002A663C"/>
    <w:rsid w:val="002B444B"/>
    <w:rsid w:val="002B5887"/>
    <w:rsid w:val="002B75A5"/>
    <w:rsid w:val="002C0E27"/>
    <w:rsid w:val="002C1268"/>
    <w:rsid w:val="002C3040"/>
    <w:rsid w:val="002C41E7"/>
    <w:rsid w:val="002D022D"/>
    <w:rsid w:val="002D23B6"/>
    <w:rsid w:val="002D24BB"/>
    <w:rsid w:val="002E02CB"/>
    <w:rsid w:val="002E0C87"/>
    <w:rsid w:val="002F2AF7"/>
    <w:rsid w:val="002F7E1C"/>
    <w:rsid w:val="00301A75"/>
    <w:rsid w:val="00302A34"/>
    <w:rsid w:val="00302F70"/>
    <w:rsid w:val="0030336F"/>
    <w:rsid w:val="0030375E"/>
    <w:rsid w:val="003127EA"/>
    <w:rsid w:val="00312A30"/>
    <w:rsid w:val="003154C4"/>
    <w:rsid w:val="003175BA"/>
    <w:rsid w:val="00320F72"/>
    <w:rsid w:val="0032463E"/>
    <w:rsid w:val="003252F0"/>
    <w:rsid w:val="00326224"/>
    <w:rsid w:val="00327CF2"/>
    <w:rsid w:val="00333484"/>
    <w:rsid w:val="00337EE4"/>
    <w:rsid w:val="00340FFD"/>
    <w:rsid w:val="0034189D"/>
    <w:rsid w:val="00347339"/>
    <w:rsid w:val="003506B1"/>
    <w:rsid w:val="0035184F"/>
    <w:rsid w:val="00353FF2"/>
    <w:rsid w:val="00354F8C"/>
    <w:rsid w:val="00356AC7"/>
    <w:rsid w:val="00360179"/>
    <w:rsid w:val="003609FA"/>
    <w:rsid w:val="003710C8"/>
    <w:rsid w:val="003724E5"/>
    <w:rsid w:val="003750BE"/>
    <w:rsid w:val="00384D70"/>
    <w:rsid w:val="00387B9D"/>
    <w:rsid w:val="00392D66"/>
    <w:rsid w:val="0039364F"/>
    <w:rsid w:val="00396686"/>
    <w:rsid w:val="0039778E"/>
    <w:rsid w:val="003A77DE"/>
    <w:rsid w:val="003B2814"/>
    <w:rsid w:val="003B4941"/>
    <w:rsid w:val="003C20F6"/>
    <w:rsid w:val="003C5714"/>
    <w:rsid w:val="003C6B9F"/>
    <w:rsid w:val="003C6E2A"/>
    <w:rsid w:val="003D0299"/>
    <w:rsid w:val="003E31EB"/>
    <w:rsid w:val="003E6D80"/>
    <w:rsid w:val="003F05FA"/>
    <w:rsid w:val="003F244A"/>
    <w:rsid w:val="003F2B34"/>
    <w:rsid w:val="003F30B8"/>
    <w:rsid w:val="003F4C45"/>
    <w:rsid w:val="003F5F7B"/>
    <w:rsid w:val="003F7D64"/>
    <w:rsid w:val="00414300"/>
    <w:rsid w:val="004147EA"/>
    <w:rsid w:val="00425C67"/>
    <w:rsid w:val="00427E7A"/>
    <w:rsid w:val="00433092"/>
    <w:rsid w:val="00434EC4"/>
    <w:rsid w:val="00436C49"/>
    <w:rsid w:val="00443BC9"/>
    <w:rsid w:val="00445366"/>
    <w:rsid w:val="00446759"/>
    <w:rsid w:val="00447F5B"/>
    <w:rsid w:val="0045067D"/>
    <w:rsid w:val="00461DB0"/>
    <w:rsid w:val="00463926"/>
    <w:rsid w:val="00464C9A"/>
    <w:rsid w:val="00473BF9"/>
    <w:rsid w:val="004741F5"/>
    <w:rsid w:val="00474239"/>
    <w:rsid w:val="00474F3D"/>
    <w:rsid w:val="004763E8"/>
    <w:rsid w:val="00477E3A"/>
    <w:rsid w:val="00483E5F"/>
    <w:rsid w:val="00485FF9"/>
    <w:rsid w:val="004874A8"/>
    <w:rsid w:val="004907F0"/>
    <w:rsid w:val="0049140B"/>
    <w:rsid w:val="004923A5"/>
    <w:rsid w:val="00496BFB"/>
    <w:rsid w:val="004A15C7"/>
    <w:rsid w:val="004A619F"/>
    <w:rsid w:val="004B013B"/>
    <w:rsid w:val="004B112B"/>
    <w:rsid w:val="004C01E4"/>
    <w:rsid w:val="004C086C"/>
    <w:rsid w:val="004C1F56"/>
    <w:rsid w:val="004C23B7"/>
    <w:rsid w:val="004C27BC"/>
    <w:rsid w:val="004C636D"/>
    <w:rsid w:val="004D09AE"/>
    <w:rsid w:val="004D15F3"/>
    <w:rsid w:val="004D5311"/>
    <w:rsid w:val="004D5DCC"/>
    <w:rsid w:val="004F10AF"/>
    <w:rsid w:val="004F11A4"/>
    <w:rsid w:val="004F2389"/>
    <w:rsid w:val="004F2979"/>
    <w:rsid w:val="004F304D"/>
    <w:rsid w:val="004F61BE"/>
    <w:rsid w:val="004F66B1"/>
    <w:rsid w:val="005003C5"/>
    <w:rsid w:val="005029CE"/>
    <w:rsid w:val="00511C07"/>
    <w:rsid w:val="005173A6"/>
    <w:rsid w:val="00520BAA"/>
    <w:rsid w:val="00525208"/>
    <w:rsid w:val="005257A5"/>
    <w:rsid w:val="005264C0"/>
    <w:rsid w:val="00526A8A"/>
    <w:rsid w:val="00526FF7"/>
    <w:rsid w:val="00531DF2"/>
    <w:rsid w:val="005442EE"/>
    <w:rsid w:val="00547353"/>
    <w:rsid w:val="005474E7"/>
    <w:rsid w:val="00550973"/>
    <w:rsid w:val="005512A3"/>
    <w:rsid w:val="00553E3F"/>
    <w:rsid w:val="005578CE"/>
    <w:rsid w:val="00562420"/>
    <w:rsid w:val="00562781"/>
    <w:rsid w:val="00566E67"/>
    <w:rsid w:val="0057271C"/>
    <w:rsid w:val="00572845"/>
    <w:rsid w:val="00574C83"/>
    <w:rsid w:val="00592772"/>
    <w:rsid w:val="0059574A"/>
    <w:rsid w:val="00596468"/>
    <w:rsid w:val="005A02CB"/>
    <w:rsid w:val="005A1B9B"/>
    <w:rsid w:val="005A6751"/>
    <w:rsid w:val="005B0397"/>
    <w:rsid w:val="005B092E"/>
    <w:rsid w:val="005B152C"/>
    <w:rsid w:val="005B1EE0"/>
    <w:rsid w:val="005B2B24"/>
    <w:rsid w:val="005B4425"/>
    <w:rsid w:val="005B4B94"/>
    <w:rsid w:val="005C3EE8"/>
    <w:rsid w:val="005C4D4D"/>
    <w:rsid w:val="005D34F9"/>
    <w:rsid w:val="005D4190"/>
    <w:rsid w:val="005D67A3"/>
    <w:rsid w:val="005E2988"/>
    <w:rsid w:val="005E3085"/>
    <w:rsid w:val="005E3331"/>
    <w:rsid w:val="005E3412"/>
    <w:rsid w:val="005E37C6"/>
    <w:rsid w:val="005F2E07"/>
    <w:rsid w:val="005F51E1"/>
    <w:rsid w:val="00611C80"/>
    <w:rsid w:val="00617E0D"/>
    <w:rsid w:val="00620692"/>
    <w:rsid w:val="00622EB9"/>
    <w:rsid w:val="006242CA"/>
    <w:rsid w:val="00627507"/>
    <w:rsid w:val="00633717"/>
    <w:rsid w:val="006344E1"/>
    <w:rsid w:val="00634C5F"/>
    <w:rsid w:val="006367EC"/>
    <w:rsid w:val="00646454"/>
    <w:rsid w:val="0065298D"/>
    <w:rsid w:val="006545C4"/>
    <w:rsid w:val="0066157F"/>
    <w:rsid w:val="00661971"/>
    <w:rsid w:val="00661CE8"/>
    <w:rsid w:val="006623D9"/>
    <w:rsid w:val="0066550C"/>
    <w:rsid w:val="00667B26"/>
    <w:rsid w:val="00667EFE"/>
    <w:rsid w:val="006716F2"/>
    <w:rsid w:val="00672B2C"/>
    <w:rsid w:val="006813CE"/>
    <w:rsid w:val="00682BF2"/>
    <w:rsid w:val="006859CE"/>
    <w:rsid w:val="00691270"/>
    <w:rsid w:val="00694A2E"/>
    <w:rsid w:val="00694BA8"/>
    <w:rsid w:val="00697A53"/>
    <w:rsid w:val="006A037C"/>
    <w:rsid w:val="006A0E9D"/>
    <w:rsid w:val="006A36F4"/>
    <w:rsid w:val="006A406F"/>
    <w:rsid w:val="006A5D3A"/>
    <w:rsid w:val="006B2121"/>
    <w:rsid w:val="006C1BCB"/>
    <w:rsid w:val="006C23D4"/>
    <w:rsid w:val="006C2E1E"/>
    <w:rsid w:val="006C2EDA"/>
    <w:rsid w:val="006C596F"/>
    <w:rsid w:val="006C64BE"/>
    <w:rsid w:val="006C676E"/>
    <w:rsid w:val="006C7BB0"/>
    <w:rsid w:val="006D1854"/>
    <w:rsid w:val="006D3237"/>
    <w:rsid w:val="006E1DF3"/>
    <w:rsid w:val="006E2E37"/>
    <w:rsid w:val="006E3CF1"/>
    <w:rsid w:val="006E7E80"/>
    <w:rsid w:val="006F2043"/>
    <w:rsid w:val="006F48CA"/>
    <w:rsid w:val="006F64DD"/>
    <w:rsid w:val="00711B9F"/>
    <w:rsid w:val="00712EC7"/>
    <w:rsid w:val="00715127"/>
    <w:rsid w:val="00715E8E"/>
    <w:rsid w:val="007206AC"/>
    <w:rsid w:val="00723580"/>
    <w:rsid w:val="00723755"/>
    <w:rsid w:val="0073136C"/>
    <w:rsid w:val="00731F0F"/>
    <w:rsid w:val="00733250"/>
    <w:rsid w:val="00741404"/>
    <w:rsid w:val="007449E5"/>
    <w:rsid w:val="00747196"/>
    <w:rsid w:val="00747FF0"/>
    <w:rsid w:val="007513B3"/>
    <w:rsid w:val="00763880"/>
    <w:rsid w:val="00764D4E"/>
    <w:rsid w:val="00765A1F"/>
    <w:rsid w:val="00774370"/>
    <w:rsid w:val="00775B6D"/>
    <w:rsid w:val="00776D68"/>
    <w:rsid w:val="00782FCD"/>
    <w:rsid w:val="007850EE"/>
    <w:rsid w:val="00785B95"/>
    <w:rsid w:val="00790E96"/>
    <w:rsid w:val="00793366"/>
    <w:rsid w:val="007952DA"/>
    <w:rsid w:val="007A0725"/>
    <w:rsid w:val="007A716F"/>
    <w:rsid w:val="007B1B5B"/>
    <w:rsid w:val="007B270A"/>
    <w:rsid w:val="007B4B56"/>
    <w:rsid w:val="007B7C3E"/>
    <w:rsid w:val="007C0695"/>
    <w:rsid w:val="007C1C7F"/>
    <w:rsid w:val="007C419A"/>
    <w:rsid w:val="007C4CC8"/>
    <w:rsid w:val="007C5300"/>
    <w:rsid w:val="007C5426"/>
    <w:rsid w:val="007C5798"/>
    <w:rsid w:val="007D4832"/>
    <w:rsid w:val="007E21B2"/>
    <w:rsid w:val="007E2BA3"/>
    <w:rsid w:val="007E2C4E"/>
    <w:rsid w:val="007E3ED4"/>
    <w:rsid w:val="007E48C2"/>
    <w:rsid w:val="007E5FBE"/>
    <w:rsid w:val="007F1905"/>
    <w:rsid w:val="007F4F51"/>
    <w:rsid w:val="00801300"/>
    <w:rsid w:val="00802C64"/>
    <w:rsid w:val="00805E52"/>
    <w:rsid w:val="008061D0"/>
    <w:rsid w:val="00810B38"/>
    <w:rsid w:val="00814D84"/>
    <w:rsid w:val="008204C7"/>
    <w:rsid w:val="00820992"/>
    <w:rsid w:val="00823602"/>
    <w:rsid w:val="008255F5"/>
    <w:rsid w:val="008268D9"/>
    <w:rsid w:val="0083014E"/>
    <w:rsid w:val="0083156D"/>
    <w:rsid w:val="0083214A"/>
    <w:rsid w:val="008323C4"/>
    <w:rsid w:val="00834220"/>
    <w:rsid w:val="0084351A"/>
    <w:rsid w:val="00844C8F"/>
    <w:rsid w:val="00845723"/>
    <w:rsid w:val="00851EF9"/>
    <w:rsid w:val="008577FD"/>
    <w:rsid w:val="00860B03"/>
    <w:rsid w:val="0086497A"/>
    <w:rsid w:val="008713A1"/>
    <w:rsid w:val="008754AB"/>
    <w:rsid w:val="00875AB3"/>
    <w:rsid w:val="0088060C"/>
    <w:rsid w:val="008851E6"/>
    <w:rsid w:val="00893576"/>
    <w:rsid w:val="00893E73"/>
    <w:rsid w:val="008A537E"/>
    <w:rsid w:val="008B02DC"/>
    <w:rsid w:val="008B57CE"/>
    <w:rsid w:val="008C26DE"/>
    <w:rsid w:val="008D2225"/>
    <w:rsid w:val="008D27AF"/>
    <w:rsid w:val="008D4752"/>
    <w:rsid w:val="008D7298"/>
    <w:rsid w:val="008E271C"/>
    <w:rsid w:val="008E418E"/>
    <w:rsid w:val="008E5BC6"/>
    <w:rsid w:val="008E6A25"/>
    <w:rsid w:val="008F5193"/>
    <w:rsid w:val="008F661D"/>
    <w:rsid w:val="009013A7"/>
    <w:rsid w:val="009017FB"/>
    <w:rsid w:val="009017FC"/>
    <w:rsid w:val="00903E4E"/>
    <w:rsid w:val="0090506B"/>
    <w:rsid w:val="009050C9"/>
    <w:rsid w:val="009066FC"/>
    <w:rsid w:val="009140A3"/>
    <w:rsid w:val="009144A2"/>
    <w:rsid w:val="0091510C"/>
    <w:rsid w:val="00915286"/>
    <w:rsid w:val="009259AC"/>
    <w:rsid w:val="00926AD5"/>
    <w:rsid w:val="00926F38"/>
    <w:rsid w:val="00931544"/>
    <w:rsid w:val="00934301"/>
    <w:rsid w:val="00936C2D"/>
    <w:rsid w:val="00936CD1"/>
    <w:rsid w:val="00941747"/>
    <w:rsid w:val="00941EFB"/>
    <w:rsid w:val="00947AFB"/>
    <w:rsid w:val="00951D7D"/>
    <w:rsid w:val="009630C7"/>
    <w:rsid w:val="009677B6"/>
    <w:rsid w:val="00972B55"/>
    <w:rsid w:val="009743B7"/>
    <w:rsid w:val="009776A2"/>
    <w:rsid w:val="00980045"/>
    <w:rsid w:val="0098228B"/>
    <w:rsid w:val="009828DA"/>
    <w:rsid w:val="00985BAB"/>
    <w:rsid w:val="00990289"/>
    <w:rsid w:val="00994C54"/>
    <w:rsid w:val="00997465"/>
    <w:rsid w:val="009B1B5F"/>
    <w:rsid w:val="009B5F51"/>
    <w:rsid w:val="009B6673"/>
    <w:rsid w:val="009C191B"/>
    <w:rsid w:val="009C1F1B"/>
    <w:rsid w:val="009C2BD6"/>
    <w:rsid w:val="009C5881"/>
    <w:rsid w:val="009D16B0"/>
    <w:rsid w:val="009D5CAF"/>
    <w:rsid w:val="009D627B"/>
    <w:rsid w:val="009E1F32"/>
    <w:rsid w:val="009E776C"/>
    <w:rsid w:val="009E780C"/>
    <w:rsid w:val="00A00144"/>
    <w:rsid w:val="00A04056"/>
    <w:rsid w:val="00A1726E"/>
    <w:rsid w:val="00A204CF"/>
    <w:rsid w:val="00A23D49"/>
    <w:rsid w:val="00A27004"/>
    <w:rsid w:val="00A30A9D"/>
    <w:rsid w:val="00A30C29"/>
    <w:rsid w:val="00A31A0D"/>
    <w:rsid w:val="00A33742"/>
    <w:rsid w:val="00A34DD6"/>
    <w:rsid w:val="00A35AB1"/>
    <w:rsid w:val="00A36819"/>
    <w:rsid w:val="00A36989"/>
    <w:rsid w:val="00A43308"/>
    <w:rsid w:val="00A43628"/>
    <w:rsid w:val="00A45C5B"/>
    <w:rsid w:val="00A52386"/>
    <w:rsid w:val="00A54192"/>
    <w:rsid w:val="00A6035E"/>
    <w:rsid w:val="00A6144C"/>
    <w:rsid w:val="00A61B04"/>
    <w:rsid w:val="00A66617"/>
    <w:rsid w:val="00A671F8"/>
    <w:rsid w:val="00A673A4"/>
    <w:rsid w:val="00A67531"/>
    <w:rsid w:val="00A724AE"/>
    <w:rsid w:val="00A73329"/>
    <w:rsid w:val="00A74BC1"/>
    <w:rsid w:val="00A82359"/>
    <w:rsid w:val="00A8486D"/>
    <w:rsid w:val="00A865D2"/>
    <w:rsid w:val="00A94C20"/>
    <w:rsid w:val="00AA227F"/>
    <w:rsid w:val="00AA3BC7"/>
    <w:rsid w:val="00AA754A"/>
    <w:rsid w:val="00AA755B"/>
    <w:rsid w:val="00AB099E"/>
    <w:rsid w:val="00AB4328"/>
    <w:rsid w:val="00AB71BE"/>
    <w:rsid w:val="00AC0824"/>
    <w:rsid w:val="00AC4EBF"/>
    <w:rsid w:val="00AD412E"/>
    <w:rsid w:val="00AD5013"/>
    <w:rsid w:val="00AD5F9A"/>
    <w:rsid w:val="00AE0A2E"/>
    <w:rsid w:val="00AE354C"/>
    <w:rsid w:val="00AF4B07"/>
    <w:rsid w:val="00AF5CC8"/>
    <w:rsid w:val="00AF6186"/>
    <w:rsid w:val="00AF7A3A"/>
    <w:rsid w:val="00B152B9"/>
    <w:rsid w:val="00B160DB"/>
    <w:rsid w:val="00B20836"/>
    <w:rsid w:val="00B235BB"/>
    <w:rsid w:val="00B27A44"/>
    <w:rsid w:val="00B30BBF"/>
    <w:rsid w:val="00B33C03"/>
    <w:rsid w:val="00B416C0"/>
    <w:rsid w:val="00B44E56"/>
    <w:rsid w:val="00B453EF"/>
    <w:rsid w:val="00B46543"/>
    <w:rsid w:val="00B47D33"/>
    <w:rsid w:val="00B52BE0"/>
    <w:rsid w:val="00B54133"/>
    <w:rsid w:val="00B701ED"/>
    <w:rsid w:val="00B73992"/>
    <w:rsid w:val="00B73B14"/>
    <w:rsid w:val="00B757BA"/>
    <w:rsid w:val="00B8086C"/>
    <w:rsid w:val="00B85A04"/>
    <w:rsid w:val="00B861B4"/>
    <w:rsid w:val="00B86DFE"/>
    <w:rsid w:val="00B871ED"/>
    <w:rsid w:val="00B90990"/>
    <w:rsid w:val="00B922FF"/>
    <w:rsid w:val="00B9281E"/>
    <w:rsid w:val="00B93925"/>
    <w:rsid w:val="00B93ECF"/>
    <w:rsid w:val="00B94BB8"/>
    <w:rsid w:val="00B95187"/>
    <w:rsid w:val="00B9776F"/>
    <w:rsid w:val="00BA2D55"/>
    <w:rsid w:val="00BA71B1"/>
    <w:rsid w:val="00BB0637"/>
    <w:rsid w:val="00BB345F"/>
    <w:rsid w:val="00BB68EA"/>
    <w:rsid w:val="00BC1C27"/>
    <w:rsid w:val="00BC47F6"/>
    <w:rsid w:val="00BC4A8F"/>
    <w:rsid w:val="00BC6BBF"/>
    <w:rsid w:val="00BD0653"/>
    <w:rsid w:val="00BD1572"/>
    <w:rsid w:val="00BD3A2B"/>
    <w:rsid w:val="00BE0C41"/>
    <w:rsid w:val="00BE14E3"/>
    <w:rsid w:val="00BE1A3E"/>
    <w:rsid w:val="00BE3774"/>
    <w:rsid w:val="00BE41E5"/>
    <w:rsid w:val="00BF4109"/>
    <w:rsid w:val="00BF4CC3"/>
    <w:rsid w:val="00C054C7"/>
    <w:rsid w:val="00C057B5"/>
    <w:rsid w:val="00C06E15"/>
    <w:rsid w:val="00C1262B"/>
    <w:rsid w:val="00C222AC"/>
    <w:rsid w:val="00C22687"/>
    <w:rsid w:val="00C23C5F"/>
    <w:rsid w:val="00C24185"/>
    <w:rsid w:val="00C32E4D"/>
    <w:rsid w:val="00C333A0"/>
    <w:rsid w:val="00C36408"/>
    <w:rsid w:val="00C36A81"/>
    <w:rsid w:val="00C41974"/>
    <w:rsid w:val="00C539FB"/>
    <w:rsid w:val="00C53F4A"/>
    <w:rsid w:val="00C54125"/>
    <w:rsid w:val="00C55B54"/>
    <w:rsid w:val="00C6098E"/>
    <w:rsid w:val="00C611D8"/>
    <w:rsid w:val="00C6152C"/>
    <w:rsid w:val="00C63990"/>
    <w:rsid w:val="00C64EF6"/>
    <w:rsid w:val="00C65050"/>
    <w:rsid w:val="00C741DF"/>
    <w:rsid w:val="00C74810"/>
    <w:rsid w:val="00C86DF2"/>
    <w:rsid w:val="00C90D68"/>
    <w:rsid w:val="00C91601"/>
    <w:rsid w:val="00C939FE"/>
    <w:rsid w:val="00CA4BDA"/>
    <w:rsid w:val="00CB1F66"/>
    <w:rsid w:val="00CB2951"/>
    <w:rsid w:val="00CC3FE5"/>
    <w:rsid w:val="00CC61B6"/>
    <w:rsid w:val="00CC71E6"/>
    <w:rsid w:val="00CD16F8"/>
    <w:rsid w:val="00CD282B"/>
    <w:rsid w:val="00CD4C35"/>
    <w:rsid w:val="00CD5BEE"/>
    <w:rsid w:val="00CD6281"/>
    <w:rsid w:val="00CD7369"/>
    <w:rsid w:val="00CE0B0E"/>
    <w:rsid w:val="00CE3831"/>
    <w:rsid w:val="00CF29CA"/>
    <w:rsid w:val="00CF7CA6"/>
    <w:rsid w:val="00D00ABB"/>
    <w:rsid w:val="00D02EEC"/>
    <w:rsid w:val="00D03551"/>
    <w:rsid w:val="00D063AD"/>
    <w:rsid w:val="00D06A63"/>
    <w:rsid w:val="00D07E0E"/>
    <w:rsid w:val="00D11478"/>
    <w:rsid w:val="00D15ED0"/>
    <w:rsid w:val="00D21B3E"/>
    <w:rsid w:val="00D21FED"/>
    <w:rsid w:val="00D24251"/>
    <w:rsid w:val="00D250D7"/>
    <w:rsid w:val="00D343E2"/>
    <w:rsid w:val="00D361A2"/>
    <w:rsid w:val="00D37C1F"/>
    <w:rsid w:val="00D42AFF"/>
    <w:rsid w:val="00D44C2E"/>
    <w:rsid w:val="00D45414"/>
    <w:rsid w:val="00D5219D"/>
    <w:rsid w:val="00D566BD"/>
    <w:rsid w:val="00D576CF"/>
    <w:rsid w:val="00D57A4D"/>
    <w:rsid w:val="00D60AA7"/>
    <w:rsid w:val="00D6435F"/>
    <w:rsid w:val="00D7187A"/>
    <w:rsid w:val="00D75E28"/>
    <w:rsid w:val="00D772C2"/>
    <w:rsid w:val="00D8008E"/>
    <w:rsid w:val="00D80DE1"/>
    <w:rsid w:val="00D82C45"/>
    <w:rsid w:val="00D908A8"/>
    <w:rsid w:val="00D90B97"/>
    <w:rsid w:val="00D977B6"/>
    <w:rsid w:val="00DA4A31"/>
    <w:rsid w:val="00DA7B04"/>
    <w:rsid w:val="00DB36C2"/>
    <w:rsid w:val="00DC169B"/>
    <w:rsid w:val="00DC2AB9"/>
    <w:rsid w:val="00DC63F0"/>
    <w:rsid w:val="00DD4AAB"/>
    <w:rsid w:val="00DD5146"/>
    <w:rsid w:val="00DD6EE5"/>
    <w:rsid w:val="00DE0CDA"/>
    <w:rsid w:val="00DE386C"/>
    <w:rsid w:val="00DE4D35"/>
    <w:rsid w:val="00DE572F"/>
    <w:rsid w:val="00DF098B"/>
    <w:rsid w:val="00DF11C4"/>
    <w:rsid w:val="00DF210C"/>
    <w:rsid w:val="00DF3C07"/>
    <w:rsid w:val="00DF4B6A"/>
    <w:rsid w:val="00E01E65"/>
    <w:rsid w:val="00E02C09"/>
    <w:rsid w:val="00E04D59"/>
    <w:rsid w:val="00E07DA1"/>
    <w:rsid w:val="00E123CB"/>
    <w:rsid w:val="00E12457"/>
    <w:rsid w:val="00E177B5"/>
    <w:rsid w:val="00E20E13"/>
    <w:rsid w:val="00E21DBC"/>
    <w:rsid w:val="00E275D7"/>
    <w:rsid w:val="00E27DBE"/>
    <w:rsid w:val="00E31471"/>
    <w:rsid w:val="00E315A2"/>
    <w:rsid w:val="00E32AB1"/>
    <w:rsid w:val="00E36C71"/>
    <w:rsid w:val="00E373F5"/>
    <w:rsid w:val="00E37C32"/>
    <w:rsid w:val="00E40404"/>
    <w:rsid w:val="00E40595"/>
    <w:rsid w:val="00E4529A"/>
    <w:rsid w:val="00E459C6"/>
    <w:rsid w:val="00E47589"/>
    <w:rsid w:val="00E64915"/>
    <w:rsid w:val="00E64ABD"/>
    <w:rsid w:val="00E661D4"/>
    <w:rsid w:val="00E70091"/>
    <w:rsid w:val="00E720F5"/>
    <w:rsid w:val="00E76D47"/>
    <w:rsid w:val="00E77CB3"/>
    <w:rsid w:val="00E849F7"/>
    <w:rsid w:val="00E90302"/>
    <w:rsid w:val="00E97396"/>
    <w:rsid w:val="00EA185E"/>
    <w:rsid w:val="00EA26E7"/>
    <w:rsid w:val="00EA592A"/>
    <w:rsid w:val="00EB14E4"/>
    <w:rsid w:val="00EB32A5"/>
    <w:rsid w:val="00EB34ED"/>
    <w:rsid w:val="00EB7BE0"/>
    <w:rsid w:val="00EB7E63"/>
    <w:rsid w:val="00EC315E"/>
    <w:rsid w:val="00EC6609"/>
    <w:rsid w:val="00ED077C"/>
    <w:rsid w:val="00ED1190"/>
    <w:rsid w:val="00ED316B"/>
    <w:rsid w:val="00ED6544"/>
    <w:rsid w:val="00EE0277"/>
    <w:rsid w:val="00EE3E00"/>
    <w:rsid w:val="00EE5DD2"/>
    <w:rsid w:val="00EE6916"/>
    <w:rsid w:val="00EE76FA"/>
    <w:rsid w:val="00EF0A2E"/>
    <w:rsid w:val="00EF63C2"/>
    <w:rsid w:val="00EF7564"/>
    <w:rsid w:val="00F00A79"/>
    <w:rsid w:val="00F00E86"/>
    <w:rsid w:val="00F07C1E"/>
    <w:rsid w:val="00F100F9"/>
    <w:rsid w:val="00F105DB"/>
    <w:rsid w:val="00F132BC"/>
    <w:rsid w:val="00F13D80"/>
    <w:rsid w:val="00F16AAA"/>
    <w:rsid w:val="00F16FA2"/>
    <w:rsid w:val="00F21161"/>
    <w:rsid w:val="00F218EF"/>
    <w:rsid w:val="00F21BC7"/>
    <w:rsid w:val="00F266A2"/>
    <w:rsid w:val="00F32269"/>
    <w:rsid w:val="00F46242"/>
    <w:rsid w:val="00F56A6F"/>
    <w:rsid w:val="00F5709C"/>
    <w:rsid w:val="00F64EF1"/>
    <w:rsid w:val="00F73A24"/>
    <w:rsid w:val="00F73C13"/>
    <w:rsid w:val="00F8765F"/>
    <w:rsid w:val="00F8794E"/>
    <w:rsid w:val="00F90767"/>
    <w:rsid w:val="00FA310B"/>
    <w:rsid w:val="00FA3C96"/>
    <w:rsid w:val="00FA685B"/>
    <w:rsid w:val="00FB0C01"/>
    <w:rsid w:val="00FB2B45"/>
    <w:rsid w:val="00FC0778"/>
    <w:rsid w:val="00FC18F2"/>
    <w:rsid w:val="00FC39E5"/>
    <w:rsid w:val="00FC3A78"/>
    <w:rsid w:val="00FC7E4D"/>
    <w:rsid w:val="00FD1005"/>
    <w:rsid w:val="00FD4672"/>
    <w:rsid w:val="00FD6C75"/>
    <w:rsid w:val="00FE71B3"/>
    <w:rsid w:val="00FF245F"/>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2C1268"/>
    <w:pPr>
      <w:jc w:val="both"/>
    </w:pPr>
    <w:rPr>
      <w:rFonts w:eastAsiaTheme="minorEastAsia"/>
      <w:sz w:val="24"/>
      <w:lang w:val="en-GB"/>
    </w:rPr>
  </w:style>
  <w:style w:type="paragraph" w:styleId="Heading1">
    <w:name w:val="heading 1"/>
    <w:basedOn w:val="Normal"/>
    <w:next w:val="Normal"/>
    <w:link w:val="Heading1Char"/>
    <w:uiPriority w:val="99"/>
    <w:semiHidden/>
    <w:rsid w:val="002C1268"/>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2C1268"/>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2C1268"/>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2C1268"/>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2C1268"/>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2C1268"/>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2C1268"/>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2C1268"/>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2C1268"/>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2C1268"/>
    <w:rPr>
      <w:rFonts w:ascii="Tahoma" w:hAnsi="Tahoma" w:cs="Tahoma"/>
      <w:sz w:val="16"/>
      <w:szCs w:val="16"/>
    </w:rPr>
  </w:style>
  <w:style w:type="character" w:customStyle="1" w:styleId="BalloonTextChar">
    <w:name w:val="Balloon Text Char"/>
    <w:basedOn w:val="DefaultParagraphFont"/>
    <w:link w:val="BalloonText"/>
    <w:uiPriority w:val="99"/>
    <w:semiHidden/>
    <w:rsid w:val="002C1268"/>
    <w:rPr>
      <w:rFonts w:ascii="Tahoma" w:eastAsiaTheme="minorEastAsia" w:hAnsi="Tahoma" w:cs="Tahoma"/>
      <w:sz w:val="16"/>
      <w:szCs w:val="16"/>
      <w:lang w:val="en-GB"/>
    </w:rPr>
  </w:style>
  <w:style w:type="character" w:styleId="BookTitle">
    <w:name w:val="Book Title"/>
    <w:uiPriority w:val="99"/>
    <w:semiHidden/>
    <w:qFormat/>
    <w:rsid w:val="002C1268"/>
    <w:rPr>
      <w:i/>
      <w:iCs/>
      <w:smallCaps/>
      <w:spacing w:val="5"/>
    </w:rPr>
  </w:style>
  <w:style w:type="paragraph" w:customStyle="1" w:styleId="ECHRHeader">
    <w:name w:val="ECHR_Header"/>
    <w:aliases w:val="Ju_Header"/>
    <w:basedOn w:val="Header"/>
    <w:uiPriority w:val="4"/>
    <w:qFormat/>
    <w:rsid w:val="002C1268"/>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2C1268"/>
    <w:pPr>
      <w:jc w:val="left"/>
    </w:pPr>
    <w:rPr>
      <w:sz w:val="8"/>
    </w:rPr>
  </w:style>
  <w:style w:type="character" w:styleId="Strong">
    <w:name w:val="Strong"/>
    <w:uiPriority w:val="99"/>
    <w:semiHidden/>
    <w:qFormat/>
    <w:rsid w:val="002C1268"/>
    <w:rPr>
      <w:b/>
      <w:bCs/>
    </w:rPr>
  </w:style>
  <w:style w:type="paragraph" w:styleId="NoSpacing">
    <w:name w:val="No Spacing"/>
    <w:basedOn w:val="Normal"/>
    <w:link w:val="NoSpacingChar"/>
    <w:semiHidden/>
    <w:qFormat/>
    <w:rsid w:val="002C1268"/>
    <w:rPr>
      <w:sz w:val="22"/>
      <w:lang w:val="en-US"/>
    </w:rPr>
  </w:style>
  <w:style w:type="character" w:customStyle="1" w:styleId="NoSpacingChar">
    <w:name w:val="No Spacing Char"/>
    <w:basedOn w:val="DefaultParagraphFont"/>
    <w:link w:val="NoSpacing"/>
    <w:semiHidden/>
    <w:rsid w:val="002C1268"/>
    <w:rPr>
      <w:rFonts w:eastAsiaTheme="minorEastAsia"/>
    </w:rPr>
  </w:style>
  <w:style w:type="paragraph" w:customStyle="1" w:styleId="ECHRFooterLine">
    <w:name w:val="ECHR_Footer_Line"/>
    <w:aliases w:val="Footer_Line"/>
    <w:basedOn w:val="Normal"/>
    <w:next w:val="ECHRFooter"/>
    <w:uiPriority w:val="57"/>
    <w:semiHidden/>
    <w:rsid w:val="002C1268"/>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2C1268"/>
  </w:style>
  <w:style w:type="paragraph" w:customStyle="1" w:styleId="DecList">
    <w:name w:val="Dec_List"/>
    <w:basedOn w:val="Normal"/>
    <w:uiPriority w:val="9"/>
    <w:semiHidden/>
    <w:qFormat/>
    <w:rsid w:val="002C1268"/>
    <w:pPr>
      <w:spacing w:before="240"/>
      <w:ind w:left="284"/>
    </w:pPr>
  </w:style>
  <w:style w:type="paragraph" w:customStyle="1" w:styleId="DummyStyle">
    <w:name w:val="Dummy_Style"/>
    <w:basedOn w:val="Normal"/>
    <w:semiHidden/>
    <w:qFormat/>
    <w:rsid w:val="002C1268"/>
    <w:rPr>
      <w:color w:val="00B050"/>
    </w:rPr>
  </w:style>
  <w:style w:type="paragraph" w:customStyle="1" w:styleId="ECHRTitleCentre3">
    <w:name w:val="ECHR_Title_Centre_3"/>
    <w:aliases w:val="Ju_H_Article"/>
    <w:basedOn w:val="Normal"/>
    <w:next w:val="ECHRParaQuote"/>
    <w:uiPriority w:val="27"/>
    <w:qFormat/>
    <w:rsid w:val="002C1268"/>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2C1268"/>
    <w:pPr>
      <w:keepNext/>
      <w:keepLines/>
      <w:spacing w:after="240"/>
      <w:jc w:val="center"/>
      <w:outlineLvl w:val="0"/>
    </w:pPr>
    <w:rPr>
      <w:rFonts w:asciiTheme="majorHAnsi" w:hAnsiTheme="majorHAnsi"/>
      <w:sz w:val="28"/>
    </w:rPr>
  </w:style>
  <w:style w:type="paragraph" w:customStyle="1" w:styleId="JuAppQuestion">
    <w:name w:val="Ju_App_Question"/>
    <w:basedOn w:val="Normal"/>
    <w:uiPriority w:val="5"/>
    <w:semiHidden/>
    <w:qFormat/>
    <w:rsid w:val="002C1268"/>
    <w:pPr>
      <w:numPr>
        <w:numId w:val="45"/>
      </w:numPr>
      <w:jc w:val="left"/>
    </w:pPr>
    <w:rPr>
      <w:b/>
    </w:rPr>
  </w:style>
  <w:style w:type="paragraph" w:customStyle="1" w:styleId="JuCourt">
    <w:name w:val="Ju_Court"/>
    <w:basedOn w:val="Normal"/>
    <w:next w:val="Normal"/>
    <w:uiPriority w:val="16"/>
    <w:qFormat/>
    <w:rsid w:val="002C1268"/>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2C1268"/>
    <w:pPr>
      <w:tabs>
        <w:tab w:val="clear" w:pos="3686"/>
        <w:tab w:val="clear" w:pos="7371"/>
        <w:tab w:val="center" w:pos="6146"/>
        <w:tab w:val="right" w:pos="12293"/>
      </w:tabs>
    </w:pPr>
  </w:style>
  <w:style w:type="paragraph" w:customStyle="1" w:styleId="ECHRTitleCentre2">
    <w:name w:val="ECHR_Title_Centre_2"/>
    <w:aliases w:val="Dec_H_Case"/>
    <w:basedOn w:val="Normal"/>
    <w:next w:val="ECHRPara"/>
    <w:uiPriority w:val="8"/>
    <w:qFormat/>
    <w:rsid w:val="002C1268"/>
    <w:pPr>
      <w:spacing w:after="240"/>
      <w:jc w:val="center"/>
      <w:outlineLvl w:val="0"/>
    </w:pPr>
    <w:rPr>
      <w:rFonts w:asciiTheme="majorHAnsi" w:hAnsiTheme="majorHAnsi"/>
    </w:rPr>
  </w:style>
  <w:style w:type="paragraph" w:customStyle="1" w:styleId="JuInitialled">
    <w:name w:val="Ju_Initialled"/>
    <w:basedOn w:val="Normal"/>
    <w:uiPriority w:val="31"/>
    <w:qFormat/>
    <w:rsid w:val="002C1268"/>
    <w:pPr>
      <w:tabs>
        <w:tab w:val="center" w:pos="6407"/>
      </w:tabs>
      <w:spacing w:before="720"/>
      <w:jc w:val="right"/>
    </w:pPr>
  </w:style>
  <w:style w:type="paragraph" w:styleId="Title">
    <w:name w:val="Title"/>
    <w:basedOn w:val="Normal"/>
    <w:next w:val="Normal"/>
    <w:link w:val="TitleChar"/>
    <w:uiPriority w:val="99"/>
    <w:semiHidden/>
    <w:qFormat/>
    <w:rsid w:val="002C1268"/>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2C1268"/>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2C1268"/>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link w:val="JuHaChar"/>
    <w:uiPriority w:val="22"/>
    <w:qFormat/>
    <w:rsid w:val="002C1268"/>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2C1268"/>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Heading6"/>
    <w:next w:val="ECHRPara"/>
    <w:uiPriority w:val="24"/>
    <w:qFormat/>
    <w:rsid w:val="002C1268"/>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2C1268"/>
    <w:pPr>
      <w:keepNext/>
      <w:keepLines/>
      <w:spacing w:before="240" w:after="120"/>
      <w:ind w:left="1236"/>
    </w:pPr>
    <w:rPr>
      <w:sz w:val="20"/>
      <w:lang w:val="en-GB"/>
    </w:rPr>
  </w:style>
  <w:style w:type="paragraph" w:customStyle="1" w:styleId="JuLista">
    <w:name w:val="Ju_List_a"/>
    <w:basedOn w:val="JuList"/>
    <w:uiPriority w:val="28"/>
    <w:qFormat/>
    <w:rsid w:val="002C1268"/>
    <w:pPr>
      <w:ind w:left="346" w:firstLine="0"/>
    </w:pPr>
  </w:style>
  <w:style w:type="paragraph" w:customStyle="1" w:styleId="JuListi">
    <w:name w:val="Ju_List_i"/>
    <w:basedOn w:val="Normal"/>
    <w:next w:val="JuLista"/>
    <w:uiPriority w:val="28"/>
    <w:qFormat/>
    <w:rsid w:val="002C1268"/>
    <w:pPr>
      <w:ind w:left="794"/>
    </w:pPr>
  </w:style>
  <w:style w:type="character" w:customStyle="1" w:styleId="JUNAMES">
    <w:name w:val="JU_NAMES"/>
    <w:uiPriority w:val="17"/>
    <w:qFormat/>
    <w:rsid w:val="002C1268"/>
    <w:rPr>
      <w:caps w:val="0"/>
      <w:smallCaps/>
    </w:rPr>
  </w:style>
  <w:style w:type="paragraph" w:styleId="Header">
    <w:name w:val="header"/>
    <w:basedOn w:val="Normal"/>
    <w:link w:val="HeaderChar"/>
    <w:uiPriority w:val="57"/>
    <w:semiHidden/>
    <w:rsid w:val="002C1268"/>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2C1268"/>
    <w:rPr>
      <w:sz w:val="24"/>
      <w:lang w:val="en-GB"/>
    </w:rPr>
  </w:style>
  <w:style w:type="character" w:customStyle="1" w:styleId="Heading1Char">
    <w:name w:val="Heading 1 Char"/>
    <w:basedOn w:val="DefaultParagraphFont"/>
    <w:link w:val="Heading1"/>
    <w:uiPriority w:val="99"/>
    <w:semiHidden/>
    <w:rsid w:val="002C1268"/>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Heading1"/>
    <w:next w:val="ECHRPara"/>
    <w:link w:val="JuHIRomanChar"/>
    <w:uiPriority w:val="19"/>
    <w:qFormat/>
    <w:rsid w:val="002C1268"/>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link w:val="JuHAChar0"/>
    <w:uiPriority w:val="20"/>
    <w:qFormat/>
    <w:rsid w:val="002C1268"/>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2C1268"/>
    <w:rPr>
      <w:rFonts w:asciiTheme="majorHAnsi" w:eastAsiaTheme="majorEastAsia" w:hAnsiTheme="majorHAnsi" w:cstheme="majorBidi"/>
      <w:b/>
      <w:bCs/>
      <w:color w:val="4D4D4D"/>
      <w:sz w:val="26"/>
      <w:szCs w:val="26"/>
      <w:lang w:val="en-GB"/>
    </w:rPr>
  </w:style>
  <w:style w:type="paragraph" w:customStyle="1" w:styleId="JuParaSub">
    <w:name w:val="Ju_Para_Sub"/>
    <w:basedOn w:val="ECHRPara"/>
    <w:uiPriority w:val="13"/>
    <w:qFormat/>
    <w:rsid w:val="002C1268"/>
    <w:pPr>
      <w:ind w:left="284"/>
    </w:pPr>
  </w:style>
  <w:style w:type="paragraph" w:customStyle="1" w:styleId="ECHRDecisionBody">
    <w:name w:val="ECHR_Decision_Body"/>
    <w:aliases w:val="Ju_Judges"/>
    <w:basedOn w:val="Normal"/>
    <w:uiPriority w:val="11"/>
    <w:qFormat/>
    <w:rsid w:val="002C1268"/>
    <w:pPr>
      <w:tabs>
        <w:tab w:val="left" w:pos="567"/>
        <w:tab w:val="left" w:pos="1134"/>
      </w:tabs>
      <w:jc w:val="left"/>
    </w:pPr>
  </w:style>
  <w:style w:type="character" w:customStyle="1" w:styleId="Heading3Char">
    <w:name w:val="Heading 3 Char"/>
    <w:basedOn w:val="DefaultParagraphFont"/>
    <w:link w:val="Heading3"/>
    <w:uiPriority w:val="99"/>
    <w:semiHidden/>
    <w:rsid w:val="002C1268"/>
    <w:rPr>
      <w:rFonts w:asciiTheme="majorHAnsi" w:eastAsiaTheme="majorEastAsia" w:hAnsiTheme="majorHAnsi" w:cstheme="majorBidi"/>
      <w:b/>
      <w:bCs/>
      <w:color w:val="5F5F5F"/>
      <w:sz w:val="24"/>
      <w:lang w:val="en-GB"/>
    </w:rPr>
  </w:style>
  <w:style w:type="paragraph" w:customStyle="1" w:styleId="ECHRPara">
    <w:name w:val="ECHR_Para"/>
    <w:aliases w:val="Ju_Para"/>
    <w:basedOn w:val="Normal"/>
    <w:link w:val="ECHRParaChar"/>
    <w:uiPriority w:val="12"/>
    <w:qFormat/>
    <w:rsid w:val="002C1268"/>
    <w:pPr>
      <w:ind w:firstLine="284"/>
    </w:pPr>
  </w:style>
  <w:style w:type="character" w:customStyle="1" w:styleId="Heading4Char">
    <w:name w:val="Heading 4 Char"/>
    <w:basedOn w:val="DefaultParagraphFont"/>
    <w:link w:val="Heading4"/>
    <w:uiPriority w:val="99"/>
    <w:semiHidden/>
    <w:rsid w:val="002C1268"/>
    <w:rPr>
      <w:rFonts w:asciiTheme="majorHAnsi" w:eastAsiaTheme="majorEastAsia" w:hAnsiTheme="majorHAnsi" w:cstheme="majorBidi"/>
      <w:b/>
      <w:bCs/>
      <w:i/>
      <w:iCs/>
      <w:color w:val="777777"/>
      <w:sz w:val="24"/>
      <w:lang w:val="en-GB"/>
    </w:rPr>
  </w:style>
  <w:style w:type="character" w:customStyle="1" w:styleId="Heading5Char">
    <w:name w:val="Heading 5 Char"/>
    <w:basedOn w:val="DefaultParagraphFont"/>
    <w:link w:val="Heading5"/>
    <w:uiPriority w:val="99"/>
    <w:semiHidden/>
    <w:rsid w:val="002C1268"/>
    <w:rPr>
      <w:rFonts w:asciiTheme="majorHAnsi" w:eastAsiaTheme="majorEastAsia" w:hAnsiTheme="majorHAnsi" w:cstheme="majorBidi"/>
      <w:b/>
      <w:bCs/>
      <w:color w:val="808080"/>
    </w:rPr>
  </w:style>
  <w:style w:type="character" w:styleId="SubtleEmphasis">
    <w:name w:val="Subtle Emphasis"/>
    <w:uiPriority w:val="99"/>
    <w:semiHidden/>
    <w:qFormat/>
    <w:rsid w:val="002C1268"/>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link w:val="JuHHeadChar"/>
    <w:uiPriority w:val="18"/>
    <w:qFormat/>
    <w:rsid w:val="002C1268"/>
    <w:pPr>
      <w:keepNext/>
      <w:keepLines/>
      <w:spacing w:before="720" w:after="240"/>
      <w:outlineLvl w:val="0"/>
    </w:pPr>
    <w:rPr>
      <w:rFonts w:asciiTheme="majorHAnsi" w:hAnsiTheme="majorHAnsi"/>
      <w:sz w:val="28"/>
    </w:rPr>
  </w:style>
  <w:style w:type="character" w:styleId="Emphasis">
    <w:name w:val="Emphasis"/>
    <w:uiPriority w:val="99"/>
    <w:semiHidden/>
    <w:qFormat/>
    <w:rsid w:val="002C1268"/>
    <w:rPr>
      <w:b/>
      <w:bCs/>
      <w:i/>
      <w:iCs/>
      <w:spacing w:val="10"/>
      <w:bdr w:val="none" w:sz="0" w:space="0" w:color="auto"/>
      <w:shd w:val="clear" w:color="auto" w:fill="auto"/>
    </w:rPr>
  </w:style>
  <w:style w:type="paragraph" w:styleId="Footer">
    <w:name w:val="footer"/>
    <w:basedOn w:val="Normal"/>
    <w:link w:val="FooterChar"/>
    <w:uiPriority w:val="57"/>
    <w:semiHidden/>
    <w:rsid w:val="002C1268"/>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2C1268"/>
    <w:rPr>
      <w:sz w:val="24"/>
      <w:lang w:val="en-GB"/>
    </w:rPr>
  </w:style>
  <w:style w:type="character" w:styleId="FootnoteReference">
    <w:name w:val="footnote reference"/>
    <w:basedOn w:val="DefaultParagraphFont"/>
    <w:uiPriority w:val="99"/>
    <w:semiHidden/>
    <w:rsid w:val="002C1268"/>
    <w:rPr>
      <w:vertAlign w:val="superscript"/>
    </w:rPr>
  </w:style>
  <w:style w:type="paragraph" w:styleId="FootnoteText">
    <w:name w:val="footnote text"/>
    <w:basedOn w:val="Normal"/>
    <w:link w:val="FootnoteTextChar"/>
    <w:uiPriority w:val="99"/>
    <w:semiHidden/>
    <w:rsid w:val="002C1268"/>
    <w:rPr>
      <w:sz w:val="20"/>
      <w:szCs w:val="20"/>
    </w:rPr>
  </w:style>
  <w:style w:type="character" w:customStyle="1" w:styleId="FootnoteTextChar">
    <w:name w:val="Footnote Text Char"/>
    <w:basedOn w:val="DefaultParagraphFont"/>
    <w:link w:val="FootnoteText"/>
    <w:uiPriority w:val="99"/>
    <w:semiHidden/>
    <w:rsid w:val="002C1268"/>
    <w:rPr>
      <w:rFonts w:eastAsiaTheme="minorEastAsia"/>
      <w:sz w:val="20"/>
      <w:szCs w:val="20"/>
      <w:lang w:val="en-GB"/>
    </w:rPr>
  </w:style>
  <w:style w:type="character" w:customStyle="1" w:styleId="Heading6Char">
    <w:name w:val="Heading 6 Char"/>
    <w:basedOn w:val="DefaultParagraphFont"/>
    <w:link w:val="Heading6"/>
    <w:uiPriority w:val="99"/>
    <w:semiHidden/>
    <w:rsid w:val="002C1268"/>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2C1268"/>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2C1268"/>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2C1268"/>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2C1268"/>
    <w:rPr>
      <w:color w:val="0072BC" w:themeColor="hyperlink"/>
      <w:u w:val="single"/>
    </w:rPr>
  </w:style>
  <w:style w:type="character" w:styleId="IntenseEmphasis">
    <w:name w:val="Intense Emphasis"/>
    <w:uiPriority w:val="99"/>
    <w:semiHidden/>
    <w:qFormat/>
    <w:rsid w:val="002C1268"/>
    <w:rPr>
      <w:b/>
      <w:bCs/>
    </w:rPr>
  </w:style>
  <w:style w:type="paragraph" w:styleId="IntenseQuote">
    <w:name w:val="Intense Quote"/>
    <w:basedOn w:val="Normal"/>
    <w:next w:val="Normal"/>
    <w:link w:val="IntenseQuoteChar"/>
    <w:uiPriority w:val="99"/>
    <w:semiHidden/>
    <w:qFormat/>
    <w:rsid w:val="002C1268"/>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2C1268"/>
    <w:rPr>
      <w:rFonts w:eastAsiaTheme="minorEastAsia"/>
      <w:b/>
      <w:bCs/>
      <w:i/>
      <w:iCs/>
      <w:lang w:bidi="en-US"/>
    </w:rPr>
  </w:style>
  <w:style w:type="character" w:styleId="IntenseReference">
    <w:name w:val="Intense Reference"/>
    <w:uiPriority w:val="99"/>
    <w:semiHidden/>
    <w:qFormat/>
    <w:rsid w:val="002C1268"/>
    <w:rPr>
      <w:smallCaps/>
      <w:spacing w:val="5"/>
      <w:u w:val="single"/>
    </w:rPr>
  </w:style>
  <w:style w:type="paragraph" w:styleId="ListParagraph">
    <w:name w:val="List Paragraph"/>
    <w:basedOn w:val="Normal"/>
    <w:uiPriority w:val="99"/>
    <w:semiHidden/>
    <w:qFormat/>
    <w:rsid w:val="002C1268"/>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2C1268"/>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2C1268"/>
    <w:rPr>
      <w:rFonts w:eastAsiaTheme="minorEastAsia"/>
      <w:i/>
      <w:iCs/>
      <w:lang w:bidi="en-US"/>
    </w:rPr>
  </w:style>
  <w:style w:type="character" w:styleId="SubtleReference">
    <w:name w:val="Subtle Reference"/>
    <w:uiPriority w:val="99"/>
    <w:semiHidden/>
    <w:qFormat/>
    <w:rsid w:val="002C1268"/>
    <w:rPr>
      <w:smallCaps/>
    </w:rPr>
  </w:style>
  <w:style w:type="table" w:styleId="TableGrid">
    <w:name w:val="Table Grid"/>
    <w:basedOn w:val="TableNormal"/>
    <w:uiPriority w:val="59"/>
    <w:semiHidden/>
    <w:rsid w:val="002C1268"/>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2C1268"/>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2C1268"/>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2C1268"/>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2C1268"/>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2C1268"/>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2C1268"/>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2C1268"/>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2C1268"/>
    <w:pPr>
      <w:spacing w:before="120" w:after="120"/>
      <w:ind w:left="425" w:firstLine="142"/>
    </w:pPr>
    <w:rPr>
      <w:sz w:val="20"/>
    </w:r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2C1268"/>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
    <w:next w:val="JuParaLast"/>
    <w:uiPriority w:val="32"/>
    <w:qFormat/>
    <w:rsid w:val="002C1268"/>
    <w:pPr>
      <w:tabs>
        <w:tab w:val="center" w:pos="851"/>
        <w:tab w:val="center" w:pos="6407"/>
      </w:tabs>
      <w:spacing w:before="720"/>
      <w:jc w:val="left"/>
    </w:pPr>
  </w:style>
  <w:style w:type="paragraph" w:customStyle="1" w:styleId="JuParaLast">
    <w:name w:val="Ju_Para_Last"/>
    <w:basedOn w:val="Normal"/>
    <w:next w:val="ECHRPara"/>
    <w:uiPriority w:val="30"/>
    <w:qFormat/>
    <w:rsid w:val="002C1268"/>
    <w:pPr>
      <w:keepNext/>
      <w:keepLines/>
      <w:spacing w:before="240"/>
      <w:ind w:firstLine="284"/>
    </w:pPr>
  </w:style>
  <w:style w:type="paragraph" w:customStyle="1" w:styleId="JuCase">
    <w:name w:val="Ju_Case"/>
    <w:basedOn w:val="Normal"/>
    <w:next w:val="ECHRPara"/>
    <w:uiPriority w:val="10"/>
    <w:rsid w:val="002C1268"/>
    <w:pPr>
      <w:ind w:firstLine="284"/>
    </w:pPr>
    <w:rPr>
      <w:b/>
    </w:rPr>
  </w:style>
  <w:style w:type="paragraph" w:customStyle="1" w:styleId="JuList">
    <w:name w:val="Ju_List"/>
    <w:basedOn w:val="Normal"/>
    <w:uiPriority w:val="28"/>
    <w:qFormat/>
    <w:rsid w:val="002C1268"/>
    <w:pPr>
      <w:ind w:left="340" w:hanging="340"/>
    </w:pPr>
  </w:style>
  <w:style w:type="paragraph" w:customStyle="1" w:styleId="JuQuotSub">
    <w:name w:val="Ju_Quot_Sub"/>
    <w:basedOn w:val="ECHRParaQuote"/>
    <w:uiPriority w:val="15"/>
    <w:qFormat/>
    <w:rsid w:val="002C1268"/>
    <w:pPr>
      <w:ind w:left="567"/>
    </w:pPr>
  </w:style>
  <w:style w:type="character" w:styleId="PageNumber">
    <w:name w:val="page number"/>
    <w:uiPriority w:val="99"/>
    <w:semiHidden/>
    <w:rsid w:val="00E77CB3"/>
    <w:rPr>
      <w:rFonts w:ascii="Times New Roman" w:hAnsi="Times New Roman" w:cs="Times New Roman"/>
      <w:sz w:val="18"/>
    </w:rPr>
  </w:style>
  <w:style w:type="paragraph" w:customStyle="1" w:styleId="JuTitle">
    <w:name w:val="Ju_Title"/>
    <w:basedOn w:val="Normal"/>
    <w:next w:val="ECHRPara"/>
    <w:uiPriority w:val="3"/>
    <w:semiHidden/>
    <w:qFormat/>
    <w:rsid w:val="002C1268"/>
    <w:pPr>
      <w:spacing w:before="720" w:after="240"/>
      <w:jc w:val="center"/>
      <w:outlineLvl w:val="0"/>
    </w:pPr>
    <w:rPr>
      <w:rFonts w:asciiTheme="majorHAnsi" w:hAnsiTheme="majorHAnsi"/>
      <w:b/>
      <w:caps/>
    </w:rPr>
  </w:style>
  <w:style w:type="paragraph" w:customStyle="1" w:styleId="OpiH1">
    <w:name w:val="Opi_H_1"/>
    <w:basedOn w:val="ECHRHeading2"/>
    <w:uiPriority w:val="42"/>
    <w:qFormat/>
    <w:rsid w:val="002C1268"/>
    <w:pPr>
      <w:ind w:left="635" w:hanging="357"/>
      <w:outlineLvl w:val="2"/>
    </w:pPr>
  </w:style>
  <w:style w:type="character" w:styleId="CommentReference">
    <w:name w:val="annotation reference"/>
    <w:uiPriority w:val="99"/>
    <w:semiHidden/>
    <w:rsid w:val="00E77CB3"/>
    <w:rPr>
      <w:sz w:val="16"/>
    </w:rPr>
  </w:style>
  <w:style w:type="paragraph" w:styleId="CommentText">
    <w:name w:val="annotation text"/>
    <w:basedOn w:val="Normal"/>
    <w:link w:val="CommentTextChar"/>
    <w:uiPriority w:val="99"/>
    <w:semiHidden/>
    <w:rsid w:val="00E77CB3"/>
    <w:rPr>
      <w:sz w:val="20"/>
    </w:rPr>
  </w:style>
  <w:style w:type="character" w:customStyle="1" w:styleId="CommentTextChar">
    <w:name w:val="Comment Text Char"/>
    <w:basedOn w:val="DefaultParagraphFont"/>
    <w:link w:val="CommentText"/>
    <w:uiPriority w:val="99"/>
    <w:semiHidden/>
    <w:rsid w:val="00E77CB3"/>
    <w:rPr>
      <w:rFonts w:eastAsiaTheme="minorEastAsia"/>
      <w:sz w:val="20"/>
    </w:rPr>
  </w:style>
  <w:style w:type="character" w:styleId="EndnoteReference">
    <w:name w:val="endnote reference"/>
    <w:basedOn w:val="DefaultParagraphFont"/>
    <w:uiPriority w:val="99"/>
    <w:semiHidden/>
    <w:rsid w:val="002C1268"/>
    <w:rPr>
      <w:vertAlign w:val="superscript"/>
    </w:rPr>
  </w:style>
  <w:style w:type="paragraph" w:styleId="EndnoteText">
    <w:name w:val="endnote text"/>
    <w:basedOn w:val="Normal"/>
    <w:link w:val="EndnoteTextChar"/>
    <w:uiPriority w:val="99"/>
    <w:semiHidden/>
    <w:rsid w:val="002C1268"/>
    <w:rPr>
      <w:sz w:val="20"/>
      <w:szCs w:val="20"/>
    </w:rPr>
  </w:style>
  <w:style w:type="character" w:customStyle="1" w:styleId="EndnoteTextChar">
    <w:name w:val="Endnote Text Char"/>
    <w:basedOn w:val="DefaultParagraphFont"/>
    <w:link w:val="EndnoteText"/>
    <w:uiPriority w:val="99"/>
    <w:semiHidden/>
    <w:rsid w:val="002C1268"/>
    <w:rPr>
      <w:rFonts w:eastAsiaTheme="minorEastAsia"/>
      <w:sz w:val="20"/>
      <w:szCs w:val="20"/>
      <w:lang w:val="en-GB"/>
    </w:rPr>
  </w:style>
  <w:style w:type="character" w:styleId="FollowedHyperlink">
    <w:name w:val="FollowedHyperlink"/>
    <w:uiPriority w:val="99"/>
    <w:semiHidden/>
    <w:rsid w:val="00E77CB3"/>
    <w:rPr>
      <w:rFonts w:ascii="Times New Roman" w:hAnsi="Times New Roman" w:cs="Times New Roman"/>
      <w:color w:val="800080"/>
      <w:u w:val="single"/>
    </w:rPr>
  </w:style>
  <w:style w:type="paragraph" w:styleId="ListBullet">
    <w:name w:val="List Bullet"/>
    <w:basedOn w:val="Normal"/>
    <w:uiPriority w:val="99"/>
    <w:semiHidden/>
    <w:rsid w:val="00E77CB3"/>
    <w:pPr>
      <w:numPr>
        <w:numId w:val="1"/>
      </w:numPr>
    </w:pPr>
  </w:style>
  <w:style w:type="paragraph" w:customStyle="1" w:styleId="OpiHa">
    <w:name w:val="Opi_H_a"/>
    <w:basedOn w:val="ECHRHeading3"/>
    <w:uiPriority w:val="43"/>
    <w:qFormat/>
    <w:rsid w:val="002C1268"/>
    <w:pPr>
      <w:ind w:left="833" w:hanging="357"/>
      <w:outlineLvl w:val="3"/>
    </w:pPr>
    <w:rPr>
      <w:b/>
      <w:i w:val="0"/>
      <w:sz w:val="20"/>
    </w:rPr>
  </w:style>
  <w:style w:type="paragraph" w:styleId="CommentSubject">
    <w:name w:val="annotation subject"/>
    <w:basedOn w:val="CommentText"/>
    <w:next w:val="CommentText"/>
    <w:link w:val="CommentSubjectChar"/>
    <w:uiPriority w:val="99"/>
    <w:semiHidden/>
    <w:rsid w:val="00E77CB3"/>
    <w:rPr>
      <w:b/>
      <w:bCs/>
    </w:rPr>
  </w:style>
  <w:style w:type="character" w:customStyle="1" w:styleId="CommentSubjectChar">
    <w:name w:val="Comment Subject Char"/>
    <w:basedOn w:val="CommentTextChar"/>
    <w:link w:val="CommentSubject"/>
    <w:uiPriority w:val="99"/>
    <w:semiHidden/>
    <w:rsid w:val="00E77CB3"/>
    <w:rPr>
      <w:rFonts w:eastAsiaTheme="minorEastAsia"/>
      <w:b/>
      <w:bCs/>
      <w:sz w:val="20"/>
    </w:rPr>
  </w:style>
  <w:style w:type="paragraph" w:styleId="DocumentMap">
    <w:name w:val="Document Map"/>
    <w:basedOn w:val="Normal"/>
    <w:link w:val="DocumentMapChar"/>
    <w:uiPriority w:val="99"/>
    <w:semiHidden/>
    <w:rsid w:val="00E77CB3"/>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E77CB3"/>
    <w:rPr>
      <w:rFonts w:ascii="Tahoma" w:eastAsiaTheme="minorEastAsia" w:hAnsi="Tahoma" w:cs="Tahoma"/>
      <w:sz w:val="20"/>
      <w:shd w:val="clear" w:color="auto" w:fill="000080"/>
    </w:rPr>
  </w:style>
  <w:style w:type="character" w:customStyle="1" w:styleId="JuITMark">
    <w:name w:val="Ju_ITMark"/>
    <w:basedOn w:val="DefaultParagraphFont"/>
    <w:uiPriority w:val="38"/>
    <w:qFormat/>
    <w:rsid w:val="002C1268"/>
    <w:rPr>
      <w:vanish w:val="0"/>
      <w:color w:val="auto"/>
      <w:sz w:val="14"/>
      <w:bdr w:val="none" w:sz="0" w:space="0" w:color="auto"/>
      <w:shd w:val="clear" w:color="auto" w:fill="BEE5FF" w:themeFill="background1" w:themeFillTint="33"/>
    </w:rPr>
  </w:style>
  <w:style w:type="paragraph" w:styleId="Subtitle">
    <w:name w:val="Subtitle"/>
    <w:basedOn w:val="Normal"/>
    <w:next w:val="Normal"/>
    <w:link w:val="SubtitleChar"/>
    <w:uiPriority w:val="99"/>
    <w:semiHidden/>
    <w:qFormat/>
    <w:rsid w:val="002C1268"/>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2C1268"/>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E77CB3"/>
    <w:pPr>
      <w:numPr>
        <w:numId w:val="2"/>
      </w:numPr>
    </w:pPr>
  </w:style>
  <w:style w:type="numbering" w:styleId="1ai">
    <w:name w:val="Outline List 1"/>
    <w:basedOn w:val="NoList"/>
    <w:uiPriority w:val="99"/>
    <w:semiHidden/>
    <w:rsid w:val="00E77CB3"/>
    <w:pPr>
      <w:numPr>
        <w:numId w:val="3"/>
      </w:numPr>
    </w:pPr>
  </w:style>
  <w:style w:type="numbering" w:styleId="ArticleSection">
    <w:name w:val="Outline List 3"/>
    <w:basedOn w:val="NoList"/>
    <w:uiPriority w:val="99"/>
    <w:semiHidden/>
    <w:rsid w:val="00E77CB3"/>
    <w:pPr>
      <w:numPr>
        <w:numId w:val="4"/>
      </w:numPr>
    </w:pPr>
  </w:style>
  <w:style w:type="paragraph" w:styleId="Bibliography">
    <w:name w:val="Bibliography"/>
    <w:basedOn w:val="Normal"/>
    <w:next w:val="Normal"/>
    <w:uiPriority w:val="99"/>
    <w:semiHidden/>
    <w:unhideWhenUsed/>
    <w:rsid w:val="00E77CB3"/>
  </w:style>
  <w:style w:type="paragraph" w:styleId="BlockText">
    <w:name w:val="Block Text"/>
    <w:basedOn w:val="Normal"/>
    <w:uiPriority w:val="99"/>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BodyText">
    <w:name w:val="Body Text"/>
    <w:basedOn w:val="Normal"/>
    <w:link w:val="BodyTextChar"/>
    <w:uiPriority w:val="99"/>
    <w:semiHidden/>
    <w:rsid w:val="00E77CB3"/>
    <w:pPr>
      <w:spacing w:after="120"/>
    </w:pPr>
  </w:style>
  <w:style w:type="character" w:customStyle="1" w:styleId="BodyTextChar">
    <w:name w:val="Body Text Char"/>
    <w:basedOn w:val="DefaultParagraphFont"/>
    <w:link w:val="BodyText"/>
    <w:uiPriority w:val="99"/>
    <w:semiHidden/>
    <w:rsid w:val="00E77CB3"/>
    <w:rPr>
      <w:rFonts w:eastAsiaTheme="minorEastAsia"/>
      <w:sz w:val="24"/>
    </w:rPr>
  </w:style>
  <w:style w:type="paragraph" w:styleId="BodyText2">
    <w:name w:val="Body Text 2"/>
    <w:basedOn w:val="Normal"/>
    <w:link w:val="BodyText2Char"/>
    <w:uiPriority w:val="99"/>
    <w:semiHidden/>
    <w:rsid w:val="00E77CB3"/>
    <w:pPr>
      <w:spacing w:after="120" w:line="480" w:lineRule="auto"/>
    </w:pPr>
  </w:style>
  <w:style w:type="character" w:customStyle="1" w:styleId="BodyText2Char">
    <w:name w:val="Body Text 2 Char"/>
    <w:basedOn w:val="DefaultParagraphFont"/>
    <w:link w:val="BodyText2"/>
    <w:uiPriority w:val="99"/>
    <w:semiHidden/>
    <w:rsid w:val="00E77CB3"/>
    <w:rPr>
      <w:rFonts w:eastAsiaTheme="minorEastAsia"/>
      <w:sz w:val="24"/>
    </w:rPr>
  </w:style>
  <w:style w:type="paragraph" w:styleId="BodyText3">
    <w:name w:val="Body Text 3"/>
    <w:basedOn w:val="Normal"/>
    <w:link w:val="BodyText3Char"/>
    <w:uiPriority w:val="99"/>
    <w:semiHidden/>
    <w:rsid w:val="00E77CB3"/>
    <w:pPr>
      <w:spacing w:after="120"/>
    </w:pPr>
    <w:rPr>
      <w:sz w:val="16"/>
      <w:szCs w:val="16"/>
    </w:rPr>
  </w:style>
  <w:style w:type="character" w:customStyle="1" w:styleId="BodyText3Char">
    <w:name w:val="Body Text 3 Char"/>
    <w:basedOn w:val="DefaultParagraphFont"/>
    <w:link w:val="BodyText3"/>
    <w:uiPriority w:val="99"/>
    <w:semiHidden/>
    <w:rsid w:val="00E77CB3"/>
    <w:rPr>
      <w:rFonts w:eastAsiaTheme="minorEastAsia"/>
      <w:sz w:val="16"/>
      <w:szCs w:val="16"/>
    </w:rPr>
  </w:style>
  <w:style w:type="paragraph" w:styleId="BodyTextFirstIndent">
    <w:name w:val="Body Text First Indent"/>
    <w:basedOn w:val="BodyText"/>
    <w:link w:val="BodyTextFirstIndentChar"/>
    <w:uiPriority w:val="99"/>
    <w:semiHidden/>
    <w:rsid w:val="00E77CB3"/>
    <w:pPr>
      <w:spacing w:after="0"/>
      <w:ind w:firstLine="360"/>
    </w:pPr>
  </w:style>
  <w:style w:type="character" w:customStyle="1" w:styleId="BodyTextFirstIndentChar">
    <w:name w:val="Body Text First Indent Char"/>
    <w:basedOn w:val="BodyTextChar"/>
    <w:link w:val="BodyTextFirstIndent"/>
    <w:uiPriority w:val="99"/>
    <w:semiHidden/>
    <w:rsid w:val="00E77CB3"/>
    <w:rPr>
      <w:rFonts w:eastAsiaTheme="minorEastAsia"/>
      <w:sz w:val="24"/>
    </w:rPr>
  </w:style>
  <w:style w:type="paragraph" w:styleId="BodyTextIndent">
    <w:name w:val="Body Text Indent"/>
    <w:basedOn w:val="Normal"/>
    <w:link w:val="BodyTextIndentChar"/>
    <w:uiPriority w:val="99"/>
    <w:semiHidden/>
    <w:rsid w:val="00E77CB3"/>
    <w:pPr>
      <w:spacing w:after="120"/>
      <w:ind w:left="283"/>
    </w:pPr>
  </w:style>
  <w:style w:type="character" w:customStyle="1" w:styleId="BodyTextIndentChar">
    <w:name w:val="Body Text Indent Char"/>
    <w:basedOn w:val="DefaultParagraphFont"/>
    <w:link w:val="BodyTextIndent"/>
    <w:uiPriority w:val="99"/>
    <w:semiHidden/>
    <w:rsid w:val="00E77CB3"/>
    <w:rPr>
      <w:rFonts w:eastAsiaTheme="minorEastAsia"/>
      <w:sz w:val="24"/>
    </w:rPr>
  </w:style>
  <w:style w:type="paragraph" w:styleId="BodyTextFirstIndent2">
    <w:name w:val="Body Text First Indent 2"/>
    <w:basedOn w:val="BodyTextIndent"/>
    <w:link w:val="BodyTextFirstIndent2Char"/>
    <w:uiPriority w:val="99"/>
    <w:semiHidden/>
    <w:rsid w:val="00E77CB3"/>
    <w:pPr>
      <w:spacing w:after="0"/>
      <w:ind w:left="360" w:firstLine="360"/>
    </w:pPr>
  </w:style>
  <w:style w:type="character" w:customStyle="1" w:styleId="BodyTextFirstIndent2Char">
    <w:name w:val="Body Text First Indent 2 Char"/>
    <w:basedOn w:val="BodyTextIndentChar"/>
    <w:link w:val="BodyTextFirstIndent2"/>
    <w:uiPriority w:val="99"/>
    <w:semiHidden/>
    <w:rsid w:val="00E77CB3"/>
    <w:rPr>
      <w:rFonts w:eastAsiaTheme="minorEastAsia"/>
      <w:sz w:val="24"/>
    </w:rPr>
  </w:style>
  <w:style w:type="paragraph" w:styleId="BodyTextIndent2">
    <w:name w:val="Body Text Indent 2"/>
    <w:basedOn w:val="Normal"/>
    <w:link w:val="BodyTextIndent2Char"/>
    <w:uiPriority w:val="99"/>
    <w:semiHidden/>
    <w:rsid w:val="00E77CB3"/>
    <w:pPr>
      <w:spacing w:after="120" w:line="480" w:lineRule="auto"/>
      <w:ind w:left="283"/>
    </w:pPr>
  </w:style>
  <w:style w:type="character" w:customStyle="1" w:styleId="BodyTextIndent2Char">
    <w:name w:val="Body Text Indent 2 Char"/>
    <w:basedOn w:val="DefaultParagraphFont"/>
    <w:link w:val="BodyTextIndent2"/>
    <w:uiPriority w:val="99"/>
    <w:semiHidden/>
    <w:rsid w:val="00E77CB3"/>
    <w:rPr>
      <w:rFonts w:eastAsiaTheme="minorEastAsia"/>
      <w:sz w:val="24"/>
    </w:rPr>
  </w:style>
  <w:style w:type="paragraph" w:styleId="BodyTextIndent3">
    <w:name w:val="Body Text Indent 3"/>
    <w:basedOn w:val="Normal"/>
    <w:link w:val="BodyTextIndent3Char"/>
    <w:uiPriority w:val="99"/>
    <w:semiHidden/>
    <w:rsid w:val="00E77CB3"/>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E77CB3"/>
    <w:rPr>
      <w:rFonts w:eastAsiaTheme="minorEastAsia"/>
      <w:sz w:val="16"/>
      <w:szCs w:val="16"/>
    </w:rPr>
  </w:style>
  <w:style w:type="paragraph" w:styleId="Caption">
    <w:name w:val="caption"/>
    <w:basedOn w:val="Normal"/>
    <w:next w:val="Normal"/>
    <w:uiPriority w:val="99"/>
    <w:semiHidden/>
    <w:qFormat/>
    <w:rsid w:val="00E77CB3"/>
    <w:pPr>
      <w:spacing w:after="200"/>
    </w:pPr>
    <w:rPr>
      <w:b/>
      <w:bCs/>
      <w:color w:val="0072BC" w:themeColor="accent1"/>
      <w:sz w:val="18"/>
      <w:szCs w:val="18"/>
    </w:rPr>
  </w:style>
  <w:style w:type="paragraph" w:styleId="Closing">
    <w:name w:val="Closing"/>
    <w:basedOn w:val="Normal"/>
    <w:link w:val="ClosingChar"/>
    <w:uiPriority w:val="99"/>
    <w:semiHidden/>
    <w:rsid w:val="00E77CB3"/>
    <w:pPr>
      <w:ind w:left="4252"/>
    </w:pPr>
  </w:style>
  <w:style w:type="character" w:customStyle="1" w:styleId="ClosingChar">
    <w:name w:val="Closing Char"/>
    <w:basedOn w:val="DefaultParagraphFont"/>
    <w:link w:val="Closing"/>
    <w:uiPriority w:val="99"/>
    <w:semiHidden/>
    <w:rsid w:val="00E77CB3"/>
    <w:rPr>
      <w:rFonts w:eastAsiaTheme="minorEastAsia"/>
      <w:sz w:val="24"/>
    </w:rPr>
  </w:style>
  <w:style w:type="table" w:styleId="ColorfulGrid">
    <w:name w:val="Colorful Grid"/>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E77CB3"/>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E77CB3"/>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E77CB3"/>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E77CB3"/>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E77CB3"/>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E77CB3"/>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E77CB3"/>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E77CB3"/>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E77CB3"/>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E77CB3"/>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E77CB3"/>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E77CB3"/>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E77CB3"/>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E77CB3"/>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E77CB3"/>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E77CB3"/>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E77CB3"/>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E77CB3"/>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E77CB3"/>
  </w:style>
  <w:style w:type="character" w:customStyle="1" w:styleId="DateChar">
    <w:name w:val="Date Char"/>
    <w:basedOn w:val="DefaultParagraphFont"/>
    <w:link w:val="Date"/>
    <w:uiPriority w:val="99"/>
    <w:semiHidden/>
    <w:rsid w:val="00E77CB3"/>
    <w:rPr>
      <w:rFonts w:eastAsiaTheme="minorEastAsia"/>
      <w:sz w:val="24"/>
    </w:rPr>
  </w:style>
  <w:style w:type="paragraph" w:styleId="E-mailSignature">
    <w:name w:val="E-mail Signature"/>
    <w:basedOn w:val="Normal"/>
    <w:link w:val="E-mailSignatureChar"/>
    <w:uiPriority w:val="99"/>
    <w:semiHidden/>
    <w:rsid w:val="00E77CB3"/>
  </w:style>
  <w:style w:type="character" w:customStyle="1" w:styleId="E-mailSignatureChar">
    <w:name w:val="E-mail Signature Char"/>
    <w:basedOn w:val="DefaultParagraphFont"/>
    <w:link w:val="E-mailSignature"/>
    <w:uiPriority w:val="99"/>
    <w:semiHidden/>
    <w:rsid w:val="00E77CB3"/>
    <w:rPr>
      <w:rFonts w:eastAsiaTheme="minorEastAsia"/>
      <w:sz w:val="24"/>
    </w:rPr>
  </w:style>
  <w:style w:type="paragraph" w:styleId="EnvelopeAddress">
    <w:name w:val="envelope address"/>
    <w:basedOn w:val="Normal"/>
    <w:uiPriority w:val="99"/>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E77CB3"/>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E77CB3"/>
  </w:style>
  <w:style w:type="paragraph" w:styleId="HTMLAddress">
    <w:name w:val="HTML Address"/>
    <w:basedOn w:val="Normal"/>
    <w:link w:val="HTMLAddressChar"/>
    <w:uiPriority w:val="99"/>
    <w:semiHidden/>
    <w:rsid w:val="00E77CB3"/>
    <w:rPr>
      <w:i/>
      <w:iCs/>
    </w:rPr>
  </w:style>
  <w:style w:type="character" w:customStyle="1" w:styleId="HTMLAddressChar">
    <w:name w:val="HTML Address Char"/>
    <w:basedOn w:val="DefaultParagraphFont"/>
    <w:link w:val="HTMLAddress"/>
    <w:uiPriority w:val="99"/>
    <w:semiHidden/>
    <w:rsid w:val="00E77CB3"/>
    <w:rPr>
      <w:rFonts w:eastAsiaTheme="minorEastAsia"/>
      <w:i/>
      <w:iCs/>
      <w:sz w:val="24"/>
    </w:rPr>
  </w:style>
  <w:style w:type="character" w:styleId="HTMLCite">
    <w:name w:val="HTML Cite"/>
    <w:basedOn w:val="DefaultParagraphFont"/>
    <w:uiPriority w:val="99"/>
    <w:semiHidden/>
    <w:rsid w:val="00E77CB3"/>
    <w:rPr>
      <w:i/>
      <w:iCs/>
    </w:rPr>
  </w:style>
  <w:style w:type="character" w:styleId="HTMLCode">
    <w:name w:val="HTML Code"/>
    <w:basedOn w:val="DefaultParagraphFont"/>
    <w:uiPriority w:val="99"/>
    <w:semiHidden/>
    <w:rsid w:val="00E77CB3"/>
    <w:rPr>
      <w:rFonts w:ascii="Consolas" w:hAnsi="Consolas" w:cs="Consolas"/>
      <w:sz w:val="20"/>
      <w:szCs w:val="20"/>
    </w:rPr>
  </w:style>
  <w:style w:type="character" w:styleId="HTMLDefinition">
    <w:name w:val="HTML Definition"/>
    <w:basedOn w:val="DefaultParagraphFont"/>
    <w:uiPriority w:val="99"/>
    <w:semiHidden/>
    <w:rsid w:val="00E77CB3"/>
    <w:rPr>
      <w:i/>
      <w:iCs/>
    </w:rPr>
  </w:style>
  <w:style w:type="character" w:styleId="HTMLKeyboard">
    <w:name w:val="HTML Keyboard"/>
    <w:basedOn w:val="DefaultParagraphFont"/>
    <w:uiPriority w:val="99"/>
    <w:semiHidden/>
    <w:rsid w:val="00E77CB3"/>
    <w:rPr>
      <w:rFonts w:ascii="Consolas" w:hAnsi="Consolas" w:cs="Consolas"/>
      <w:sz w:val="20"/>
      <w:szCs w:val="20"/>
    </w:rPr>
  </w:style>
  <w:style w:type="paragraph" w:styleId="HTMLPreformatted">
    <w:name w:val="HTML Preformatted"/>
    <w:basedOn w:val="Normal"/>
    <w:link w:val="HTMLPreformattedChar"/>
    <w:uiPriority w:val="99"/>
    <w:semiHidden/>
    <w:rsid w:val="00E77CB3"/>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E77CB3"/>
    <w:rPr>
      <w:rFonts w:ascii="Consolas" w:eastAsiaTheme="minorEastAsia" w:hAnsi="Consolas" w:cs="Consolas"/>
      <w:sz w:val="20"/>
      <w:szCs w:val="20"/>
    </w:rPr>
  </w:style>
  <w:style w:type="character" w:styleId="HTMLSample">
    <w:name w:val="HTML Sample"/>
    <w:basedOn w:val="DefaultParagraphFont"/>
    <w:uiPriority w:val="99"/>
    <w:semiHidden/>
    <w:rsid w:val="00E77CB3"/>
    <w:rPr>
      <w:rFonts w:ascii="Consolas" w:hAnsi="Consolas" w:cs="Consolas"/>
      <w:sz w:val="24"/>
      <w:szCs w:val="24"/>
    </w:rPr>
  </w:style>
  <w:style w:type="character" w:styleId="HTMLTypewriter">
    <w:name w:val="HTML Typewriter"/>
    <w:basedOn w:val="DefaultParagraphFont"/>
    <w:uiPriority w:val="99"/>
    <w:semiHidden/>
    <w:rsid w:val="00E77CB3"/>
    <w:rPr>
      <w:rFonts w:ascii="Consolas" w:hAnsi="Consolas" w:cs="Consolas"/>
      <w:sz w:val="20"/>
      <w:szCs w:val="20"/>
    </w:rPr>
  </w:style>
  <w:style w:type="character" w:styleId="HTMLVariable">
    <w:name w:val="HTML Variable"/>
    <w:basedOn w:val="DefaultParagraphFont"/>
    <w:uiPriority w:val="99"/>
    <w:semiHidden/>
    <w:rsid w:val="00E77CB3"/>
    <w:rPr>
      <w:i/>
      <w:iCs/>
    </w:rPr>
  </w:style>
  <w:style w:type="paragraph" w:styleId="Index1">
    <w:name w:val="index 1"/>
    <w:basedOn w:val="Normal"/>
    <w:next w:val="Normal"/>
    <w:autoRedefine/>
    <w:uiPriority w:val="99"/>
    <w:semiHidden/>
    <w:rsid w:val="00E77CB3"/>
    <w:pPr>
      <w:ind w:left="240" w:hanging="240"/>
    </w:pPr>
  </w:style>
  <w:style w:type="paragraph" w:styleId="Index2">
    <w:name w:val="index 2"/>
    <w:basedOn w:val="Normal"/>
    <w:next w:val="Normal"/>
    <w:autoRedefine/>
    <w:uiPriority w:val="99"/>
    <w:semiHidden/>
    <w:rsid w:val="00E77CB3"/>
    <w:pPr>
      <w:ind w:left="480" w:hanging="240"/>
    </w:pPr>
  </w:style>
  <w:style w:type="paragraph" w:styleId="Index3">
    <w:name w:val="index 3"/>
    <w:basedOn w:val="Normal"/>
    <w:next w:val="Normal"/>
    <w:autoRedefine/>
    <w:uiPriority w:val="99"/>
    <w:semiHidden/>
    <w:rsid w:val="00E77CB3"/>
    <w:pPr>
      <w:ind w:left="720" w:hanging="240"/>
    </w:pPr>
  </w:style>
  <w:style w:type="paragraph" w:styleId="Index4">
    <w:name w:val="index 4"/>
    <w:basedOn w:val="Normal"/>
    <w:next w:val="Normal"/>
    <w:autoRedefine/>
    <w:uiPriority w:val="99"/>
    <w:semiHidden/>
    <w:rsid w:val="00E77CB3"/>
    <w:pPr>
      <w:ind w:left="960" w:hanging="240"/>
    </w:pPr>
  </w:style>
  <w:style w:type="paragraph" w:styleId="Index5">
    <w:name w:val="index 5"/>
    <w:basedOn w:val="Normal"/>
    <w:next w:val="Normal"/>
    <w:autoRedefine/>
    <w:uiPriority w:val="99"/>
    <w:semiHidden/>
    <w:rsid w:val="00E77CB3"/>
    <w:pPr>
      <w:ind w:left="1200" w:hanging="240"/>
    </w:pPr>
  </w:style>
  <w:style w:type="paragraph" w:styleId="Index6">
    <w:name w:val="index 6"/>
    <w:basedOn w:val="Normal"/>
    <w:next w:val="Normal"/>
    <w:autoRedefine/>
    <w:uiPriority w:val="99"/>
    <w:semiHidden/>
    <w:rsid w:val="00E77CB3"/>
    <w:pPr>
      <w:ind w:left="1440" w:hanging="240"/>
    </w:pPr>
  </w:style>
  <w:style w:type="paragraph" w:styleId="Index7">
    <w:name w:val="index 7"/>
    <w:basedOn w:val="Normal"/>
    <w:next w:val="Normal"/>
    <w:autoRedefine/>
    <w:uiPriority w:val="99"/>
    <w:semiHidden/>
    <w:rsid w:val="00E77CB3"/>
    <w:pPr>
      <w:ind w:left="1680" w:hanging="240"/>
    </w:pPr>
  </w:style>
  <w:style w:type="paragraph" w:styleId="Index8">
    <w:name w:val="index 8"/>
    <w:basedOn w:val="Normal"/>
    <w:next w:val="Normal"/>
    <w:autoRedefine/>
    <w:uiPriority w:val="99"/>
    <w:semiHidden/>
    <w:rsid w:val="00E77CB3"/>
    <w:pPr>
      <w:ind w:left="1920" w:hanging="240"/>
    </w:pPr>
  </w:style>
  <w:style w:type="paragraph" w:styleId="Index9">
    <w:name w:val="index 9"/>
    <w:basedOn w:val="Normal"/>
    <w:next w:val="Normal"/>
    <w:autoRedefine/>
    <w:uiPriority w:val="99"/>
    <w:semiHidden/>
    <w:rsid w:val="00E77CB3"/>
    <w:pPr>
      <w:ind w:left="2160" w:hanging="240"/>
    </w:pPr>
  </w:style>
  <w:style w:type="paragraph" w:styleId="IndexHeading">
    <w:name w:val="index heading"/>
    <w:basedOn w:val="Normal"/>
    <w:next w:val="Index1"/>
    <w:uiPriority w:val="99"/>
    <w:semiHidden/>
    <w:rsid w:val="00E77CB3"/>
    <w:rPr>
      <w:rFonts w:asciiTheme="majorHAnsi" w:eastAsiaTheme="majorEastAsia" w:hAnsiTheme="majorHAnsi" w:cstheme="majorBidi"/>
      <w:b/>
      <w:bCs/>
    </w:rPr>
  </w:style>
  <w:style w:type="table" w:styleId="LightGrid">
    <w:name w:val="Light Grid"/>
    <w:basedOn w:val="TableNormal"/>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E77CB3"/>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E77CB3"/>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E77CB3"/>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E77CB3"/>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E77CB3"/>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E77CB3"/>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E77CB3"/>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E77CB3"/>
  </w:style>
  <w:style w:type="paragraph" w:styleId="List">
    <w:name w:val="List"/>
    <w:basedOn w:val="Normal"/>
    <w:uiPriority w:val="99"/>
    <w:semiHidden/>
    <w:rsid w:val="00E77CB3"/>
    <w:pPr>
      <w:ind w:left="283" w:hanging="283"/>
      <w:contextualSpacing/>
    </w:pPr>
  </w:style>
  <w:style w:type="paragraph" w:styleId="List2">
    <w:name w:val="List 2"/>
    <w:basedOn w:val="Normal"/>
    <w:uiPriority w:val="99"/>
    <w:semiHidden/>
    <w:rsid w:val="00E77CB3"/>
    <w:pPr>
      <w:ind w:left="566" w:hanging="283"/>
      <w:contextualSpacing/>
    </w:pPr>
  </w:style>
  <w:style w:type="paragraph" w:styleId="List3">
    <w:name w:val="List 3"/>
    <w:basedOn w:val="Normal"/>
    <w:uiPriority w:val="99"/>
    <w:semiHidden/>
    <w:rsid w:val="00E77CB3"/>
    <w:pPr>
      <w:ind w:left="849" w:hanging="283"/>
      <w:contextualSpacing/>
    </w:pPr>
  </w:style>
  <w:style w:type="paragraph" w:styleId="List4">
    <w:name w:val="List 4"/>
    <w:basedOn w:val="Normal"/>
    <w:uiPriority w:val="99"/>
    <w:semiHidden/>
    <w:rsid w:val="00E77CB3"/>
    <w:pPr>
      <w:ind w:left="1132" w:hanging="283"/>
      <w:contextualSpacing/>
    </w:pPr>
  </w:style>
  <w:style w:type="paragraph" w:styleId="List5">
    <w:name w:val="List 5"/>
    <w:basedOn w:val="Normal"/>
    <w:uiPriority w:val="99"/>
    <w:semiHidden/>
    <w:rsid w:val="00E77CB3"/>
    <w:pPr>
      <w:ind w:left="1415" w:hanging="283"/>
      <w:contextualSpacing/>
    </w:pPr>
  </w:style>
  <w:style w:type="paragraph" w:styleId="ListBullet2">
    <w:name w:val="List Bullet 2"/>
    <w:basedOn w:val="Normal"/>
    <w:uiPriority w:val="99"/>
    <w:semiHidden/>
    <w:rsid w:val="00E77CB3"/>
    <w:pPr>
      <w:numPr>
        <w:numId w:val="5"/>
      </w:numPr>
      <w:contextualSpacing/>
    </w:pPr>
  </w:style>
  <w:style w:type="paragraph" w:styleId="ListBullet3">
    <w:name w:val="List Bullet 3"/>
    <w:basedOn w:val="Normal"/>
    <w:uiPriority w:val="99"/>
    <w:semiHidden/>
    <w:rsid w:val="00E77CB3"/>
    <w:pPr>
      <w:numPr>
        <w:numId w:val="6"/>
      </w:numPr>
      <w:contextualSpacing/>
    </w:pPr>
  </w:style>
  <w:style w:type="paragraph" w:styleId="ListBullet4">
    <w:name w:val="List Bullet 4"/>
    <w:basedOn w:val="Normal"/>
    <w:uiPriority w:val="99"/>
    <w:semiHidden/>
    <w:rsid w:val="00E77CB3"/>
    <w:pPr>
      <w:numPr>
        <w:numId w:val="7"/>
      </w:numPr>
      <w:contextualSpacing/>
    </w:pPr>
  </w:style>
  <w:style w:type="paragraph" w:styleId="ListBullet5">
    <w:name w:val="List Bullet 5"/>
    <w:basedOn w:val="Normal"/>
    <w:uiPriority w:val="99"/>
    <w:semiHidden/>
    <w:rsid w:val="00E77CB3"/>
    <w:pPr>
      <w:numPr>
        <w:numId w:val="8"/>
      </w:numPr>
      <w:contextualSpacing/>
    </w:pPr>
  </w:style>
  <w:style w:type="paragraph" w:styleId="ListContinue">
    <w:name w:val="List Continue"/>
    <w:basedOn w:val="Normal"/>
    <w:uiPriority w:val="99"/>
    <w:semiHidden/>
    <w:rsid w:val="00E77CB3"/>
    <w:pPr>
      <w:spacing w:after="120"/>
      <w:ind w:left="283"/>
      <w:contextualSpacing/>
    </w:pPr>
  </w:style>
  <w:style w:type="paragraph" w:styleId="ListContinue2">
    <w:name w:val="List Continue 2"/>
    <w:basedOn w:val="Normal"/>
    <w:uiPriority w:val="99"/>
    <w:semiHidden/>
    <w:rsid w:val="00E77CB3"/>
    <w:pPr>
      <w:spacing w:after="120"/>
      <w:ind w:left="566"/>
      <w:contextualSpacing/>
    </w:pPr>
  </w:style>
  <w:style w:type="paragraph" w:styleId="ListContinue3">
    <w:name w:val="List Continue 3"/>
    <w:basedOn w:val="Normal"/>
    <w:uiPriority w:val="99"/>
    <w:semiHidden/>
    <w:rsid w:val="00E77CB3"/>
    <w:pPr>
      <w:spacing w:after="120"/>
      <w:ind w:left="849"/>
      <w:contextualSpacing/>
    </w:pPr>
  </w:style>
  <w:style w:type="paragraph" w:styleId="ListContinue4">
    <w:name w:val="List Continue 4"/>
    <w:basedOn w:val="Normal"/>
    <w:uiPriority w:val="99"/>
    <w:semiHidden/>
    <w:rsid w:val="00E77CB3"/>
    <w:pPr>
      <w:spacing w:after="120"/>
      <w:ind w:left="1132"/>
      <w:contextualSpacing/>
    </w:pPr>
  </w:style>
  <w:style w:type="paragraph" w:styleId="ListContinue5">
    <w:name w:val="List Continue 5"/>
    <w:basedOn w:val="Normal"/>
    <w:uiPriority w:val="99"/>
    <w:semiHidden/>
    <w:rsid w:val="00E77CB3"/>
    <w:pPr>
      <w:spacing w:after="120"/>
      <w:ind w:left="1415"/>
      <w:contextualSpacing/>
    </w:pPr>
  </w:style>
  <w:style w:type="paragraph" w:styleId="ListNumber">
    <w:name w:val="List Number"/>
    <w:basedOn w:val="Normal"/>
    <w:uiPriority w:val="99"/>
    <w:semiHidden/>
    <w:rsid w:val="00E77CB3"/>
    <w:pPr>
      <w:numPr>
        <w:numId w:val="9"/>
      </w:numPr>
      <w:contextualSpacing/>
    </w:pPr>
  </w:style>
  <w:style w:type="paragraph" w:styleId="ListNumber2">
    <w:name w:val="List Number 2"/>
    <w:basedOn w:val="Normal"/>
    <w:uiPriority w:val="99"/>
    <w:semiHidden/>
    <w:rsid w:val="00E77CB3"/>
    <w:pPr>
      <w:numPr>
        <w:numId w:val="10"/>
      </w:numPr>
      <w:contextualSpacing/>
    </w:pPr>
  </w:style>
  <w:style w:type="paragraph" w:styleId="ListNumber3">
    <w:name w:val="List Number 3"/>
    <w:basedOn w:val="Normal"/>
    <w:uiPriority w:val="99"/>
    <w:semiHidden/>
    <w:rsid w:val="00E77CB3"/>
    <w:pPr>
      <w:numPr>
        <w:numId w:val="11"/>
      </w:numPr>
      <w:contextualSpacing/>
    </w:pPr>
  </w:style>
  <w:style w:type="paragraph" w:styleId="ListNumber4">
    <w:name w:val="List Number 4"/>
    <w:basedOn w:val="Normal"/>
    <w:uiPriority w:val="99"/>
    <w:semiHidden/>
    <w:rsid w:val="00E77CB3"/>
    <w:pPr>
      <w:numPr>
        <w:numId w:val="12"/>
      </w:numPr>
      <w:contextualSpacing/>
    </w:pPr>
  </w:style>
  <w:style w:type="paragraph" w:styleId="ListNumber5">
    <w:name w:val="List Number 5"/>
    <w:basedOn w:val="Normal"/>
    <w:uiPriority w:val="99"/>
    <w:semiHidden/>
    <w:rsid w:val="00E77CB3"/>
    <w:pPr>
      <w:numPr>
        <w:numId w:val="13"/>
      </w:numPr>
      <w:contextualSpacing/>
    </w:pPr>
  </w:style>
  <w:style w:type="paragraph" w:styleId="MacroText">
    <w:name w:val="macro"/>
    <w:link w:val="MacroTextChar"/>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E77CB3"/>
    <w:rPr>
      <w:rFonts w:ascii="Consolas" w:eastAsiaTheme="minorEastAsia" w:hAnsi="Consolas" w:cs="Consolas"/>
      <w:sz w:val="20"/>
      <w:szCs w:val="20"/>
    </w:rPr>
  </w:style>
  <w:style w:type="table" w:styleId="MediumGrid1">
    <w:name w:val="Medium Grid 1"/>
    <w:basedOn w:val="TableNormal"/>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E77CB3"/>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E77CB3"/>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E77CB3"/>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E77CB3"/>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E77CB3"/>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E77CB3"/>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E77CB3"/>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E77CB3"/>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E77CB3"/>
    <w:rPr>
      <w:rFonts w:ascii="Times New Roman" w:hAnsi="Times New Roman" w:cs="Times New Roman"/>
      <w:szCs w:val="24"/>
    </w:rPr>
  </w:style>
  <w:style w:type="paragraph" w:styleId="NormalIndent">
    <w:name w:val="Normal Indent"/>
    <w:basedOn w:val="Normal"/>
    <w:uiPriority w:val="99"/>
    <w:semiHidden/>
    <w:rsid w:val="00E77CB3"/>
    <w:pPr>
      <w:ind w:left="720"/>
    </w:pPr>
  </w:style>
  <w:style w:type="paragraph" w:styleId="NoteHeading">
    <w:name w:val="Note Heading"/>
    <w:basedOn w:val="Normal"/>
    <w:next w:val="Normal"/>
    <w:link w:val="NoteHeadingChar"/>
    <w:uiPriority w:val="99"/>
    <w:semiHidden/>
    <w:rsid w:val="00E77CB3"/>
  </w:style>
  <w:style w:type="character" w:customStyle="1" w:styleId="NoteHeadingChar">
    <w:name w:val="Note Heading Char"/>
    <w:basedOn w:val="DefaultParagraphFont"/>
    <w:link w:val="NoteHeading"/>
    <w:uiPriority w:val="99"/>
    <w:semiHidden/>
    <w:rsid w:val="00E77CB3"/>
    <w:rPr>
      <w:rFonts w:eastAsiaTheme="minorEastAsia"/>
      <w:sz w:val="24"/>
    </w:rPr>
  </w:style>
  <w:style w:type="character" w:styleId="PlaceholderText">
    <w:name w:val="Placeholder Text"/>
    <w:basedOn w:val="DefaultParagraphFont"/>
    <w:uiPriority w:val="99"/>
    <w:semiHidden/>
    <w:rsid w:val="002C1268"/>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E77CB3"/>
    <w:rPr>
      <w:rFonts w:ascii="Consolas" w:hAnsi="Consolas" w:cs="Consolas"/>
      <w:sz w:val="21"/>
      <w:szCs w:val="21"/>
    </w:rPr>
  </w:style>
  <w:style w:type="character" w:customStyle="1" w:styleId="PlainTextChar">
    <w:name w:val="Plain Text Char"/>
    <w:basedOn w:val="DefaultParagraphFont"/>
    <w:link w:val="PlainText"/>
    <w:uiPriority w:val="99"/>
    <w:semiHidden/>
    <w:rsid w:val="00E77CB3"/>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E77CB3"/>
  </w:style>
  <w:style w:type="character" w:customStyle="1" w:styleId="SalutationChar">
    <w:name w:val="Salutation Char"/>
    <w:basedOn w:val="DefaultParagraphFont"/>
    <w:link w:val="Salutation"/>
    <w:uiPriority w:val="99"/>
    <w:semiHidden/>
    <w:rsid w:val="00E77CB3"/>
    <w:rPr>
      <w:rFonts w:eastAsiaTheme="minorEastAsia"/>
      <w:sz w:val="24"/>
    </w:rPr>
  </w:style>
  <w:style w:type="paragraph" w:styleId="Signature">
    <w:name w:val="Signature"/>
    <w:basedOn w:val="Normal"/>
    <w:link w:val="SignatureChar"/>
    <w:uiPriority w:val="99"/>
    <w:semiHidden/>
    <w:rsid w:val="00E77CB3"/>
    <w:pPr>
      <w:ind w:left="4252"/>
    </w:pPr>
  </w:style>
  <w:style w:type="character" w:customStyle="1" w:styleId="SignatureChar">
    <w:name w:val="Signature Char"/>
    <w:basedOn w:val="DefaultParagraphFont"/>
    <w:link w:val="Signature"/>
    <w:uiPriority w:val="99"/>
    <w:semiHidden/>
    <w:rsid w:val="00E77CB3"/>
    <w:rPr>
      <w:rFonts w:eastAsiaTheme="minorEastAsia"/>
      <w:sz w:val="24"/>
    </w:rPr>
  </w:style>
  <w:style w:type="table" w:styleId="Table3Deffects1">
    <w:name w:val="Table 3D effects 1"/>
    <w:basedOn w:val="TableNormal"/>
    <w:uiPriority w:val="99"/>
    <w:semiHidden/>
    <w:rsid w:val="00E77CB3"/>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E77CB3"/>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E77CB3"/>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E77CB3"/>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E77CB3"/>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E77CB3"/>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E77CB3"/>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E77CB3"/>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E77CB3"/>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E77CB3"/>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E77CB3"/>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E77CB3"/>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E77CB3"/>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E77CB3"/>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E77CB3"/>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E77CB3"/>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E77CB3"/>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E77CB3"/>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E77CB3"/>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E77CB3"/>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E77CB3"/>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E77CB3"/>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E77CB3"/>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E77CB3"/>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E77CB3"/>
    <w:pPr>
      <w:ind w:left="240" w:hanging="240"/>
    </w:pPr>
  </w:style>
  <w:style w:type="paragraph" w:styleId="TableofFigures">
    <w:name w:val="table of figures"/>
    <w:basedOn w:val="Normal"/>
    <w:next w:val="Normal"/>
    <w:uiPriority w:val="99"/>
    <w:semiHidden/>
    <w:rsid w:val="00E77CB3"/>
  </w:style>
  <w:style w:type="table" w:styleId="TableProfessional">
    <w:name w:val="Table Professional"/>
    <w:basedOn w:val="TableNormal"/>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E77CB3"/>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E77CB3"/>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E77CB3"/>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E77CB3"/>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E77CB3"/>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E77CB3"/>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E77CB3"/>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E77CB3"/>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2C1268"/>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2C1268"/>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E77CB3"/>
    <w:pPr>
      <w:spacing w:after="100"/>
      <w:ind w:left="1680"/>
    </w:pPr>
  </w:style>
  <w:style w:type="paragraph" w:styleId="TOC9">
    <w:name w:val="toc 9"/>
    <w:basedOn w:val="Normal"/>
    <w:next w:val="Normal"/>
    <w:autoRedefine/>
    <w:uiPriority w:val="99"/>
    <w:semiHidden/>
    <w:rsid w:val="00E77CB3"/>
    <w:pPr>
      <w:spacing w:after="100"/>
      <w:ind w:left="1920"/>
    </w:pPr>
  </w:style>
  <w:style w:type="paragraph" w:customStyle="1" w:styleId="OpiHA0">
    <w:name w:val="Opi_H_A"/>
    <w:basedOn w:val="ECHRHeading1"/>
    <w:next w:val="OpiPara"/>
    <w:uiPriority w:val="41"/>
    <w:qFormat/>
    <w:rsid w:val="002C1268"/>
    <w:pPr>
      <w:tabs>
        <w:tab w:val="clear" w:pos="357"/>
      </w:tabs>
      <w:outlineLvl w:val="1"/>
    </w:pPr>
    <w:rPr>
      <w:b/>
    </w:rPr>
  </w:style>
  <w:style w:type="paragraph" w:customStyle="1" w:styleId="OpiHi">
    <w:name w:val="Opi_H_i"/>
    <w:basedOn w:val="ECHRHeading4"/>
    <w:uiPriority w:val="44"/>
    <w:qFormat/>
    <w:rsid w:val="002C1268"/>
    <w:pPr>
      <w:ind w:left="1037" w:hanging="357"/>
      <w:outlineLvl w:val="4"/>
    </w:pPr>
    <w:rPr>
      <w:b w:val="0"/>
      <w:i/>
    </w:rPr>
  </w:style>
  <w:style w:type="paragraph" w:customStyle="1" w:styleId="OpiPara">
    <w:name w:val="Opi_Para"/>
    <w:basedOn w:val="ECHRPara"/>
    <w:uiPriority w:val="46"/>
    <w:qFormat/>
    <w:rsid w:val="002C1268"/>
  </w:style>
  <w:style w:type="paragraph" w:customStyle="1" w:styleId="OpiParaSub">
    <w:name w:val="Opi_Para_Sub"/>
    <w:basedOn w:val="JuParaSub"/>
    <w:uiPriority w:val="47"/>
    <w:qFormat/>
    <w:rsid w:val="002C1268"/>
  </w:style>
  <w:style w:type="paragraph" w:customStyle="1" w:styleId="OpiQuot">
    <w:name w:val="Opi_Quot"/>
    <w:basedOn w:val="ECHRParaQuote"/>
    <w:uiPriority w:val="48"/>
    <w:qFormat/>
    <w:rsid w:val="002C1268"/>
  </w:style>
  <w:style w:type="paragraph" w:customStyle="1" w:styleId="OpiQuotSub">
    <w:name w:val="Opi_Quot_Sub"/>
    <w:basedOn w:val="JuQuotSub"/>
    <w:uiPriority w:val="49"/>
    <w:qFormat/>
    <w:rsid w:val="002C1268"/>
  </w:style>
  <w:style w:type="paragraph" w:customStyle="1" w:styleId="OpiTranslation">
    <w:name w:val="Opi_Translation"/>
    <w:basedOn w:val="Normal"/>
    <w:next w:val="OpiPara"/>
    <w:uiPriority w:val="40"/>
    <w:qFormat/>
    <w:rsid w:val="002C1268"/>
    <w:pPr>
      <w:jc w:val="center"/>
      <w:outlineLvl w:val="0"/>
    </w:pPr>
    <w:rPr>
      <w:i/>
    </w:rPr>
  </w:style>
  <w:style w:type="paragraph" w:customStyle="1" w:styleId="ECHRSpacer">
    <w:name w:val="ECHR_Spacer"/>
    <w:basedOn w:val="Normal"/>
    <w:uiPriority w:val="45"/>
    <w:rsid w:val="00AA755B"/>
    <w:pPr>
      <w:jc w:val="left"/>
    </w:pPr>
    <w:rPr>
      <w:rFonts w:eastAsiaTheme="minorHAnsi"/>
      <w:sz w:val="4"/>
    </w:rPr>
  </w:style>
  <w:style w:type="character" w:customStyle="1" w:styleId="ECHRParaChar">
    <w:name w:val="ECHR_Para Char"/>
    <w:aliases w:val="Ju_Para Char"/>
    <w:link w:val="ECHRPara"/>
    <w:uiPriority w:val="12"/>
    <w:rsid w:val="00E64ABD"/>
    <w:rPr>
      <w:rFonts w:eastAsiaTheme="minorEastAsia"/>
      <w:sz w:val="24"/>
      <w:lang w:val="en-GB"/>
    </w:rPr>
  </w:style>
  <w:style w:type="character" w:customStyle="1" w:styleId="JuHIRomanChar">
    <w:name w:val="Ju_H_I_Roman Char"/>
    <w:link w:val="ECHRHeading1"/>
    <w:uiPriority w:val="19"/>
    <w:rsid w:val="00E64ABD"/>
    <w:rPr>
      <w:rFonts w:asciiTheme="majorHAnsi" w:eastAsiaTheme="majorEastAsia" w:hAnsiTheme="majorHAnsi" w:cstheme="majorBidi"/>
      <w:bCs/>
      <w:sz w:val="24"/>
      <w:szCs w:val="28"/>
      <w:lang w:val="en-GB"/>
    </w:rPr>
  </w:style>
  <w:style w:type="character" w:customStyle="1" w:styleId="JuHAChar0">
    <w:name w:val="Ju_H_A Char"/>
    <w:basedOn w:val="DefaultParagraphFont"/>
    <w:link w:val="ECHRHeading2"/>
    <w:uiPriority w:val="20"/>
    <w:rsid w:val="00E64ABD"/>
    <w:rPr>
      <w:rFonts w:asciiTheme="majorHAnsi" w:eastAsiaTheme="majorEastAsia" w:hAnsiTheme="majorHAnsi" w:cstheme="majorBidi"/>
      <w:b/>
      <w:bCs/>
      <w:sz w:val="24"/>
      <w:szCs w:val="26"/>
      <w:lang w:val="en-GB"/>
    </w:rPr>
  </w:style>
  <w:style w:type="character" w:customStyle="1" w:styleId="JuHHeadChar">
    <w:name w:val="Ju_H_Head Char"/>
    <w:link w:val="ECHRTitle1"/>
    <w:uiPriority w:val="18"/>
    <w:rsid w:val="0083156D"/>
    <w:rPr>
      <w:rFonts w:asciiTheme="majorHAnsi" w:eastAsiaTheme="minorEastAsia" w:hAnsiTheme="majorHAnsi"/>
      <w:sz w:val="28"/>
      <w:lang w:val="en-GB"/>
    </w:rPr>
  </w:style>
  <w:style w:type="character" w:customStyle="1" w:styleId="JuHaChar">
    <w:name w:val="Ju_H_a Char"/>
    <w:basedOn w:val="DefaultParagraphFont"/>
    <w:link w:val="ECHRHeading4"/>
    <w:uiPriority w:val="22"/>
    <w:rsid w:val="0083156D"/>
    <w:rPr>
      <w:rFonts w:asciiTheme="majorHAnsi" w:eastAsiaTheme="majorEastAsia" w:hAnsiTheme="majorHAnsi" w:cstheme="majorBidi"/>
      <w:b/>
      <w:bCs/>
      <w:iCs/>
      <w:sz w:val="20"/>
      <w:lang w:val="en-GB"/>
    </w:rPr>
  </w:style>
  <w:style w:type="paragraph" w:customStyle="1" w:styleId="jupara">
    <w:name w:val="jupara"/>
    <w:basedOn w:val="Normal"/>
    <w:rsid w:val="00146D77"/>
    <w:pPr>
      <w:ind w:firstLine="284"/>
    </w:pPr>
    <w:rPr>
      <w:rFonts w:ascii="Times New Roman" w:eastAsia="Times New Roman" w:hAnsi="Times New Roman" w:cs="Times New Roman"/>
      <w:szCs w:val="24"/>
      <w:lang w:eastAsia="en-GB"/>
    </w:rPr>
  </w:style>
  <w:style w:type="paragraph" w:customStyle="1" w:styleId="jucase0">
    <w:name w:val="jucase"/>
    <w:basedOn w:val="Normal"/>
    <w:rsid w:val="00146D77"/>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8061562">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2037583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1927051-CE60-4626-968C-EF2459B6CE53}">
  <ds:schemaRefs>
    <ds:schemaRef ds:uri="http://schemas.openxmlformats.org/officeDocument/2006/bibliography"/>
  </ds:schemaRefs>
</ds:datastoreItem>
</file>

<file path=customXml/itemProps2.xml><?xml version="1.0" encoding="utf-8"?>
<ds:datastoreItem xmlns:ds="http://schemas.openxmlformats.org/officeDocument/2006/customXml" ds:itemID="{EB072700-C108-4F29-B410-87D9FF709A87}"/>
</file>

<file path=customXml/itemProps3.xml><?xml version="1.0" encoding="utf-8"?>
<ds:datastoreItem xmlns:ds="http://schemas.openxmlformats.org/officeDocument/2006/customXml" ds:itemID="{5FE7AD19-9E9B-4B3C-8495-8116F152475A}"/>
</file>

<file path=customXml/itemProps4.xml><?xml version="1.0" encoding="utf-8"?>
<ds:datastoreItem xmlns:ds="http://schemas.openxmlformats.org/officeDocument/2006/customXml" ds:itemID="{EA509F9F-F97E-4047-B427-89F8BD640E7A}"/>
</file>

<file path=docProps/app.xml><?xml version="1.0" encoding="utf-8"?>
<Properties xmlns="http://schemas.openxmlformats.org/officeDocument/2006/extended-properties" xmlns:vt="http://schemas.openxmlformats.org/officeDocument/2006/docPropsVTypes">
  <Template>Normal.dotm</Template>
  <TotalTime>0</TotalTime>
  <Pages>1</Pages>
  <Words>7213</Words>
  <Characters>41116</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48233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lastModifiedBy/>
  <cp:revision>1</cp:revision>
  <dcterms:created xsi:type="dcterms:W3CDTF">2021-08-11T13:08:00Z</dcterms:created>
  <dcterms:modified xsi:type="dcterms:W3CDTF">2021-08-11T13:08:00Z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36366/06</vt:lpwstr>
  </property>
  <property fmtid="{D5CDD505-2E9C-101B-9397-08002B2CF9AE}" pid="4" name="CASEID">
    <vt:lpwstr>412585</vt:lpwstr>
  </property>
  <property fmtid="{D5CDD505-2E9C-101B-9397-08002B2CF9AE}" pid="5" name="ContentTypeId">
    <vt:lpwstr>0x010100558EB02BDB9E204AB350EDD385B68E10</vt:lpwstr>
  </property>
</Properties>
</file>