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5.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43317B" w:rsidR="00E7737A" w:rsidP="0043317B" w:rsidRDefault="00E7737A">
      <w:pPr>
        <w:jc w:val="center"/>
      </w:pPr>
    </w:p>
    <w:p w:rsidRPr="0043317B" w:rsidR="002D2C99" w:rsidP="0043317B" w:rsidRDefault="002D2C99">
      <w:pPr>
        <w:jc w:val="center"/>
        <w:rPr>
          <w:lang w:val="fr-FR"/>
        </w:rPr>
      </w:pPr>
    </w:p>
    <w:p w:rsidRPr="0043317B" w:rsidR="002D2C99" w:rsidP="0043317B" w:rsidRDefault="006070A7">
      <w:pPr>
        <w:tabs>
          <w:tab w:val="left" w:pos="5529"/>
        </w:tabs>
        <w:jc w:val="center"/>
        <w:rPr>
          <w:lang w:val="fr-FR"/>
        </w:rPr>
      </w:pPr>
      <w:r w:rsidRPr="0043317B">
        <w:rPr>
          <w:lang w:val="fr-FR"/>
        </w:rPr>
        <w:t>DEUXIÈME SECTION</w:t>
      </w:r>
    </w:p>
    <w:p w:rsidRPr="0043317B" w:rsidR="002D2C99" w:rsidP="0043317B" w:rsidRDefault="002D2C99">
      <w:pPr>
        <w:jc w:val="center"/>
        <w:rPr>
          <w:lang w:val="fr-FR"/>
        </w:rPr>
      </w:pPr>
    </w:p>
    <w:p w:rsidRPr="0043317B" w:rsidR="002D2C99" w:rsidP="0043317B" w:rsidRDefault="002D2C99">
      <w:pPr>
        <w:jc w:val="center"/>
        <w:rPr>
          <w:lang w:val="fr-FR"/>
        </w:rPr>
      </w:pPr>
    </w:p>
    <w:p w:rsidRPr="0043317B" w:rsidR="002D2C99" w:rsidP="0043317B" w:rsidRDefault="002D2C99">
      <w:pPr>
        <w:jc w:val="center"/>
        <w:rPr>
          <w:lang w:val="fr-FR"/>
        </w:rPr>
      </w:pPr>
    </w:p>
    <w:p w:rsidRPr="0043317B" w:rsidR="002D2C99" w:rsidP="0043317B" w:rsidRDefault="002D2C99">
      <w:pPr>
        <w:jc w:val="center"/>
        <w:rPr>
          <w:lang w:val="fr-FR"/>
        </w:rPr>
      </w:pPr>
    </w:p>
    <w:p w:rsidRPr="0043317B" w:rsidR="0043317B" w:rsidP="0043317B" w:rsidRDefault="0043317B">
      <w:pPr>
        <w:jc w:val="center"/>
        <w:rPr>
          <w:lang w:val="fr-FR"/>
        </w:rPr>
      </w:pPr>
    </w:p>
    <w:p w:rsidRPr="0043317B" w:rsidR="002D2C99" w:rsidP="0043317B" w:rsidRDefault="002D2C99">
      <w:pPr>
        <w:jc w:val="center"/>
        <w:rPr>
          <w:lang w:val="fr-FR"/>
        </w:rPr>
      </w:pPr>
    </w:p>
    <w:p w:rsidRPr="0043317B" w:rsidR="002D2C99" w:rsidP="0043317B" w:rsidRDefault="002D2C99">
      <w:pPr>
        <w:jc w:val="center"/>
        <w:outlineLvl w:val="0"/>
        <w:rPr>
          <w:b/>
          <w:lang w:val="fr-FR"/>
        </w:rPr>
      </w:pPr>
      <w:r w:rsidRPr="0043317B">
        <w:rPr>
          <w:b/>
          <w:lang w:val="fr-FR"/>
        </w:rPr>
        <w:t xml:space="preserve">AFFAIRE </w:t>
      </w:r>
      <w:r w:rsidRPr="0043317B" w:rsidR="006070A7">
        <w:rPr>
          <w:b/>
          <w:lang w:val="fr-FR"/>
        </w:rPr>
        <w:t xml:space="preserve">UZAN </w:t>
      </w:r>
      <w:r w:rsidRPr="0043317B" w:rsidR="00CF023B">
        <w:rPr>
          <w:b/>
          <w:lang w:val="fr-FR"/>
        </w:rPr>
        <w:t xml:space="preserve">ET AUTRES </w:t>
      </w:r>
      <w:r w:rsidRPr="0043317B" w:rsidR="006070A7">
        <w:rPr>
          <w:b/>
          <w:lang w:val="fr-FR"/>
        </w:rPr>
        <w:t>c. TURQUIE</w:t>
      </w:r>
    </w:p>
    <w:p w:rsidRPr="0043317B" w:rsidR="002D2C99" w:rsidP="0043317B" w:rsidRDefault="002D2C99">
      <w:pPr>
        <w:jc w:val="center"/>
        <w:rPr>
          <w:lang w:val="fr-FR"/>
        </w:rPr>
      </w:pPr>
    </w:p>
    <w:p w:rsidRPr="0043317B" w:rsidR="002D2C99" w:rsidP="0043317B" w:rsidRDefault="002D2C99">
      <w:pPr>
        <w:jc w:val="center"/>
        <w:rPr>
          <w:i/>
          <w:lang w:val="fr-FR"/>
        </w:rPr>
      </w:pPr>
      <w:r w:rsidRPr="0043317B">
        <w:rPr>
          <w:i/>
          <w:lang w:val="fr-FR"/>
        </w:rPr>
        <w:t>(Requête</w:t>
      </w:r>
      <w:r w:rsidRPr="0043317B" w:rsidR="005F6EF3">
        <w:rPr>
          <w:i/>
          <w:lang w:val="fr-FR"/>
        </w:rPr>
        <w:t>s</w:t>
      </w:r>
      <w:r w:rsidRPr="0043317B">
        <w:rPr>
          <w:i/>
          <w:lang w:val="fr-FR"/>
        </w:rPr>
        <w:t xml:space="preserve"> n</w:t>
      </w:r>
      <w:r w:rsidRPr="0043317B">
        <w:rPr>
          <w:i/>
          <w:vertAlign w:val="superscript"/>
          <w:lang w:val="fr-FR"/>
        </w:rPr>
        <w:t>o</w:t>
      </w:r>
      <w:r w:rsidRPr="0043317B" w:rsidR="000D2B96">
        <w:rPr>
          <w:i/>
          <w:vertAlign w:val="superscript"/>
          <w:lang w:val="fr-FR"/>
        </w:rPr>
        <w:t>s</w:t>
      </w:r>
      <w:r w:rsidRPr="0043317B">
        <w:rPr>
          <w:i/>
          <w:lang w:val="fr-FR"/>
        </w:rPr>
        <w:t xml:space="preserve"> </w:t>
      </w:r>
      <w:r w:rsidRPr="0043317B" w:rsidR="006070A7">
        <w:rPr>
          <w:i/>
          <w:lang w:val="fr-FR"/>
        </w:rPr>
        <w:t>19620/05</w:t>
      </w:r>
      <w:r w:rsidRPr="0043317B" w:rsidR="005F6EF3">
        <w:rPr>
          <w:i/>
          <w:lang w:val="fr-FR"/>
        </w:rPr>
        <w:t xml:space="preserve">, </w:t>
      </w:r>
      <w:r w:rsidRPr="0043317B" w:rsidR="0003558A">
        <w:rPr>
          <w:i/>
          <w:lang w:val="fr-FR"/>
        </w:rPr>
        <w:t>41487/05, 17613/08 et 19316/08</w:t>
      </w:r>
      <w:r w:rsidRPr="0043317B">
        <w:rPr>
          <w:i/>
          <w:lang w:val="fr-FR"/>
        </w:rPr>
        <w:t>)</w:t>
      </w:r>
    </w:p>
    <w:p w:rsidRPr="0043317B" w:rsidR="002D2C99" w:rsidP="0043317B" w:rsidRDefault="002D2C99">
      <w:pPr>
        <w:jc w:val="center"/>
        <w:rPr>
          <w:lang w:val="fr-FR"/>
        </w:rPr>
      </w:pPr>
    </w:p>
    <w:p w:rsidRPr="0043317B" w:rsidR="002D2C99" w:rsidP="0043317B" w:rsidRDefault="002D2C99">
      <w:pPr>
        <w:jc w:val="center"/>
        <w:rPr>
          <w:lang w:val="fr-FR"/>
        </w:rPr>
      </w:pPr>
    </w:p>
    <w:p w:rsidRPr="0043317B" w:rsidR="002D2C99" w:rsidP="0043317B" w:rsidRDefault="002D2C99">
      <w:pPr>
        <w:jc w:val="center"/>
        <w:rPr>
          <w:lang w:val="fr-FR"/>
        </w:rPr>
      </w:pPr>
    </w:p>
    <w:p w:rsidRPr="0043317B" w:rsidR="002D2C99" w:rsidP="0043317B" w:rsidRDefault="002D2C99">
      <w:pPr>
        <w:jc w:val="center"/>
        <w:rPr>
          <w:lang w:val="fr-FR"/>
        </w:rPr>
      </w:pPr>
    </w:p>
    <w:p w:rsidRPr="0043317B" w:rsidR="002D2C99" w:rsidP="0043317B" w:rsidRDefault="002D2C99">
      <w:pPr>
        <w:jc w:val="center"/>
        <w:rPr>
          <w:lang w:val="fr-FR"/>
        </w:rPr>
      </w:pPr>
    </w:p>
    <w:p w:rsidRPr="0043317B" w:rsidR="002D2C99" w:rsidP="0043317B" w:rsidRDefault="002D2C99">
      <w:pPr>
        <w:jc w:val="center"/>
        <w:rPr>
          <w:lang w:val="fr-FR"/>
        </w:rPr>
      </w:pPr>
    </w:p>
    <w:p w:rsidRPr="0043317B" w:rsidR="002D2C99" w:rsidP="0043317B" w:rsidRDefault="002D2C99">
      <w:pPr>
        <w:jc w:val="center"/>
        <w:rPr>
          <w:lang w:val="fr-FR"/>
        </w:rPr>
      </w:pPr>
    </w:p>
    <w:p w:rsidRPr="0043317B" w:rsidR="002D2C99" w:rsidP="0043317B" w:rsidRDefault="002D2C99">
      <w:pPr>
        <w:jc w:val="center"/>
        <w:rPr>
          <w:lang w:val="fr-FR"/>
        </w:rPr>
      </w:pPr>
    </w:p>
    <w:p w:rsidRPr="0043317B" w:rsidR="002D2C99" w:rsidP="0043317B" w:rsidRDefault="002D2C99">
      <w:pPr>
        <w:jc w:val="center"/>
        <w:outlineLvl w:val="0"/>
        <w:rPr>
          <w:lang w:val="fr-FR"/>
        </w:rPr>
      </w:pPr>
      <w:r w:rsidRPr="0043317B">
        <w:rPr>
          <w:lang w:val="fr-FR"/>
        </w:rPr>
        <w:t>ARRÊT</w:t>
      </w:r>
    </w:p>
    <w:p w:rsidRPr="0043317B" w:rsidR="002D2C99" w:rsidP="0043317B" w:rsidRDefault="006070A7">
      <w:pPr>
        <w:jc w:val="center"/>
        <w:rPr>
          <w:lang w:val="fr-FR"/>
        </w:rPr>
      </w:pPr>
      <w:bookmarkStart w:name="JUDTYPE" w:id="0"/>
      <w:r w:rsidRPr="0043317B">
        <w:rPr>
          <w:lang w:val="fr-FR"/>
        </w:rPr>
        <w:t>(</w:t>
      </w:r>
      <w:r w:rsidRPr="0043317B">
        <w:rPr>
          <w:i/>
          <w:lang w:val="fr-FR"/>
        </w:rPr>
        <w:t>Fond</w:t>
      </w:r>
      <w:r w:rsidRPr="0043317B">
        <w:rPr>
          <w:lang w:val="fr-FR"/>
        </w:rPr>
        <w:t>)</w:t>
      </w:r>
      <w:bookmarkEnd w:id="0"/>
    </w:p>
    <w:p w:rsidRPr="0043317B" w:rsidR="002D2C99" w:rsidP="0043317B" w:rsidRDefault="002D2C99">
      <w:pPr>
        <w:pStyle w:val="ECHRPara"/>
        <w:ind w:firstLine="0"/>
        <w:jc w:val="center"/>
        <w:rPr>
          <w:lang w:val="fr-FR"/>
        </w:rPr>
      </w:pPr>
    </w:p>
    <w:p w:rsidRPr="0043317B" w:rsidR="00E7737A" w:rsidP="0043317B" w:rsidRDefault="00E7737A">
      <w:pPr>
        <w:pStyle w:val="ECHRPara"/>
        <w:ind w:firstLine="0"/>
        <w:jc w:val="center"/>
        <w:rPr>
          <w:lang w:val="fr-FR"/>
        </w:rPr>
      </w:pPr>
    </w:p>
    <w:p w:rsidRPr="0043317B" w:rsidR="002D2C99" w:rsidP="0043317B" w:rsidRDefault="002D2C99">
      <w:pPr>
        <w:pStyle w:val="ECHRPara"/>
        <w:ind w:firstLine="0"/>
        <w:jc w:val="center"/>
        <w:rPr>
          <w:lang w:val="fr-FR"/>
        </w:rPr>
      </w:pPr>
      <w:r w:rsidRPr="0043317B">
        <w:rPr>
          <w:lang w:val="fr-FR"/>
        </w:rPr>
        <w:t>STRASBOURG</w:t>
      </w:r>
    </w:p>
    <w:p w:rsidRPr="0043317B" w:rsidR="002D2C99" w:rsidP="0043317B" w:rsidRDefault="002D2C99">
      <w:pPr>
        <w:jc w:val="center"/>
        <w:rPr>
          <w:lang w:val="fr-FR"/>
        </w:rPr>
      </w:pPr>
      <w:bookmarkStart w:name="_GoBack" w:id="1"/>
      <w:bookmarkEnd w:id="1"/>
    </w:p>
    <w:p w:rsidRPr="0043317B" w:rsidR="002D2C99" w:rsidP="0043317B" w:rsidRDefault="006070A7">
      <w:pPr>
        <w:jc w:val="center"/>
        <w:rPr>
          <w:lang w:val="fr-FR"/>
        </w:rPr>
      </w:pPr>
      <w:r w:rsidRPr="0043317B">
        <w:rPr>
          <w:lang w:val="fr-FR"/>
        </w:rPr>
        <w:t>5 mars 2019</w:t>
      </w:r>
    </w:p>
    <w:p w:rsidRPr="0043317B" w:rsidR="006070A7" w:rsidP="0043317B" w:rsidRDefault="006070A7">
      <w:pPr>
        <w:jc w:val="center"/>
        <w:rPr>
          <w:lang w:val="fr-FR"/>
        </w:rPr>
      </w:pPr>
    </w:p>
    <w:p w:rsidRPr="0043317B" w:rsidR="006070A7" w:rsidP="0043317B" w:rsidRDefault="006070A7">
      <w:pPr>
        <w:jc w:val="center"/>
        <w:rPr>
          <w:lang w:val="fr-FR"/>
        </w:rPr>
      </w:pPr>
    </w:p>
    <w:p w:rsidRPr="0043317B" w:rsidR="0043317B" w:rsidP="0043317B" w:rsidRDefault="0043317B">
      <w:pPr>
        <w:jc w:val="center"/>
        <w:rPr>
          <w:lang w:val="fr-FR"/>
        </w:rPr>
      </w:pPr>
    </w:p>
    <w:p w:rsidRPr="0043317B" w:rsidR="0043317B" w:rsidP="0043317B" w:rsidRDefault="0043317B">
      <w:pPr>
        <w:pStyle w:val="jucase0"/>
        <w:ind w:firstLine="0"/>
        <w:jc w:val="center"/>
        <w:rPr>
          <w:color w:val="FF0000"/>
          <w:sz w:val="28"/>
          <w:szCs w:val="28"/>
          <w:u w:val="single"/>
          <w:lang w:val="fr-FR"/>
        </w:rPr>
      </w:pPr>
      <w:r w:rsidRPr="0043317B">
        <w:rPr>
          <w:color w:val="FF0000"/>
          <w:sz w:val="28"/>
          <w:szCs w:val="28"/>
          <w:u w:val="single"/>
          <w:lang w:val="fr-FR"/>
        </w:rPr>
        <w:t>DÉFINITIF</w:t>
      </w:r>
    </w:p>
    <w:p w:rsidRPr="0043317B" w:rsidR="0043317B" w:rsidP="0043317B" w:rsidRDefault="0043317B">
      <w:pPr>
        <w:pStyle w:val="jupara"/>
        <w:tabs>
          <w:tab w:val="left" w:pos="3450"/>
        </w:tabs>
        <w:ind w:firstLine="0"/>
        <w:jc w:val="center"/>
        <w:rPr>
          <w:color w:val="FF0000"/>
          <w:sz w:val="28"/>
          <w:szCs w:val="28"/>
          <w:lang w:val="fr-FR"/>
        </w:rPr>
      </w:pPr>
    </w:p>
    <w:p w:rsidRPr="0043317B" w:rsidR="0043317B" w:rsidP="0043317B" w:rsidRDefault="0043317B">
      <w:pPr>
        <w:pStyle w:val="jupara"/>
        <w:ind w:firstLine="0"/>
        <w:jc w:val="center"/>
        <w:rPr>
          <w:color w:val="FF0000"/>
          <w:sz w:val="28"/>
          <w:szCs w:val="28"/>
          <w:lang w:val="fr-FR"/>
        </w:rPr>
      </w:pPr>
      <w:r w:rsidRPr="0043317B">
        <w:rPr>
          <w:color w:val="FF0000"/>
          <w:sz w:val="28"/>
          <w:szCs w:val="28"/>
          <w:lang w:val="fr-FR"/>
        </w:rPr>
        <w:t>24/06/2019</w:t>
      </w:r>
    </w:p>
    <w:p w:rsidRPr="0043317B" w:rsidR="0043317B" w:rsidP="0043317B" w:rsidRDefault="0043317B">
      <w:pPr>
        <w:pStyle w:val="jupara"/>
        <w:ind w:firstLine="0"/>
        <w:jc w:val="center"/>
        <w:rPr>
          <w:u w:val="single"/>
          <w:lang w:val="fr-FR"/>
        </w:rPr>
      </w:pPr>
    </w:p>
    <w:p w:rsidRPr="0043317B" w:rsidR="0043317B" w:rsidP="0043317B" w:rsidRDefault="0043317B">
      <w:pPr>
        <w:pStyle w:val="jupara"/>
        <w:ind w:firstLine="0"/>
        <w:jc w:val="center"/>
        <w:rPr>
          <w:u w:val="single"/>
          <w:lang w:val="fr-FR"/>
        </w:rPr>
      </w:pPr>
    </w:p>
    <w:p w:rsidRPr="0043317B" w:rsidR="0043317B" w:rsidP="0043317B" w:rsidRDefault="0043317B">
      <w:pPr>
        <w:pStyle w:val="jupara"/>
        <w:ind w:firstLine="0"/>
        <w:jc w:val="center"/>
        <w:rPr>
          <w:u w:val="single"/>
          <w:lang w:val="fr-FR"/>
        </w:rPr>
      </w:pPr>
    </w:p>
    <w:p w:rsidRPr="0043317B" w:rsidR="002D2C99" w:rsidP="0043317B" w:rsidRDefault="0043317B">
      <w:pPr>
        <w:jc w:val="left"/>
        <w:rPr>
          <w:i/>
          <w:lang w:val="fr-FR"/>
        </w:rPr>
      </w:pPr>
      <w:r w:rsidRPr="0043317B">
        <w:rPr>
          <w:i/>
          <w:iCs/>
          <w:sz w:val="22"/>
          <w:lang w:val="fr-FR"/>
        </w:rPr>
        <w:t>Cet arrêt est devenu définitif en vertu de l’article 44 § 2 de la Convention. Il peut subir des retouches de forme.</w:t>
      </w:r>
    </w:p>
    <w:p w:rsidRPr="0043317B" w:rsidR="002D2C99" w:rsidP="0043317B" w:rsidRDefault="002D2C99">
      <w:pPr>
        <w:rPr>
          <w:lang w:val="fr-FR"/>
        </w:rPr>
        <w:sectPr w:rsidRPr="0043317B" w:rsidR="002D2C99" w:rsidSect="00F5432B">
          <w:headerReference w:type="default" r:id="rId8"/>
          <w:footerReference w:type="default" r:id="rId9"/>
          <w:footnotePr>
            <w:numRestart w:val="eachSect"/>
          </w:footnotePr>
          <w:pgSz w:w="11906" w:h="16838" w:code="9"/>
          <w:pgMar w:top="2274" w:right="2274" w:bottom="2274" w:left="2274" w:header="1701" w:footer="720" w:gutter="0"/>
          <w:pgNumType w:start="1"/>
          <w:cols w:space="720"/>
          <w:noEndnote/>
        </w:sectPr>
      </w:pPr>
    </w:p>
    <w:p w:rsidRPr="0043317B" w:rsidR="002D2C99" w:rsidP="0043317B" w:rsidRDefault="002D2C99">
      <w:pPr>
        <w:pStyle w:val="JuCase"/>
        <w:rPr>
          <w:lang w:val="fr-FR"/>
        </w:rPr>
      </w:pPr>
      <w:r w:rsidRPr="0043317B">
        <w:rPr>
          <w:lang w:val="fr-FR"/>
        </w:rPr>
        <w:t>En l</w:t>
      </w:r>
      <w:r w:rsidRPr="0043317B" w:rsidR="0043317B">
        <w:rPr>
          <w:lang w:val="fr-FR"/>
        </w:rPr>
        <w:t>’</w:t>
      </w:r>
      <w:r w:rsidRPr="0043317B">
        <w:rPr>
          <w:lang w:val="fr-FR"/>
        </w:rPr>
        <w:t xml:space="preserve">affaire </w:t>
      </w:r>
      <w:r w:rsidRPr="0043317B" w:rsidR="006070A7">
        <w:rPr>
          <w:lang w:val="fr-FR"/>
        </w:rPr>
        <w:t>Uzan</w:t>
      </w:r>
      <w:r w:rsidRPr="0043317B" w:rsidR="00CF023B">
        <w:rPr>
          <w:lang w:val="fr-FR"/>
        </w:rPr>
        <w:t xml:space="preserve"> et autres</w:t>
      </w:r>
      <w:r w:rsidRPr="0043317B" w:rsidR="006070A7">
        <w:rPr>
          <w:lang w:val="fr-FR"/>
        </w:rPr>
        <w:t xml:space="preserve"> c. Turquie</w:t>
      </w:r>
      <w:r w:rsidRPr="0043317B">
        <w:rPr>
          <w:lang w:val="fr-FR"/>
        </w:rPr>
        <w:t>,</w:t>
      </w:r>
    </w:p>
    <w:p w:rsidRPr="0043317B" w:rsidR="000A45C0" w:rsidP="0043317B" w:rsidRDefault="000A45C0">
      <w:pPr>
        <w:pStyle w:val="ECHRPara"/>
        <w:rPr>
          <w:lang w:val="fr-FR"/>
        </w:rPr>
      </w:pPr>
      <w:r w:rsidRPr="0043317B">
        <w:rPr>
          <w:lang w:val="fr-FR"/>
        </w:rPr>
        <w:t>La Cour européenne des droits de l</w:t>
      </w:r>
      <w:r w:rsidRPr="0043317B" w:rsidR="0043317B">
        <w:rPr>
          <w:lang w:val="fr-FR"/>
        </w:rPr>
        <w:t>’</w:t>
      </w:r>
      <w:r w:rsidRPr="0043317B">
        <w:rPr>
          <w:lang w:val="fr-FR"/>
        </w:rPr>
        <w:t>homme (deuxième section), siégeant en une chambre composée de :</w:t>
      </w:r>
    </w:p>
    <w:p w:rsidRPr="0043317B" w:rsidR="000A45C0" w:rsidP="0043317B" w:rsidRDefault="003C4A77">
      <w:pPr>
        <w:pStyle w:val="ECHRPara"/>
        <w:jc w:val="left"/>
        <w:rPr>
          <w:lang w:val="fr-FR"/>
        </w:rPr>
      </w:pPr>
      <w:r w:rsidRPr="0043317B">
        <w:rPr>
          <w:lang w:val="fr-FR"/>
        </w:rPr>
        <w:tab/>
        <w:t>Robert Spano,</w:t>
      </w:r>
      <w:r w:rsidRPr="0043317B">
        <w:rPr>
          <w:i/>
          <w:lang w:val="fr-FR"/>
        </w:rPr>
        <w:t xml:space="preserve"> président,</w:t>
      </w:r>
      <w:r w:rsidRPr="0043317B">
        <w:rPr>
          <w:i/>
          <w:lang w:val="fr-FR"/>
        </w:rPr>
        <w:br/>
      </w:r>
      <w:r w:rsidRPr="0043317B">
        <w:rPr>
          <w:lang w:val="fr-FR"/>
        </w:rPr>
        <w:tab/>
        <w:t>Paul Lemmens,</w:t>
      </w:r>
      <w:r w:rsidRPr="0043317B">
        <w:rPr>
          <w:i/>
          <w:lang w:val="fr-FR"/>
        </w:rPr>
        <w:br/>
      </w:r>
      <w:r w:rsidRPr="0043317B">
        <w:rPr>
          <w:lang w:val="fr-FR"/>
        </w:rPr>
        <w:tab/>
        <w:t>Işıl Karakaş,</w:t>
      </w:r>
      <w:r w:rsidRPr="0043317B">
        <w:rPr>
          <w:i/>
          <w:lang w:val="fr-FR"/>
        </w:rPr>
        <w:br/>
      </w:r>
      <w:r w:rsidRPr="0043317B">
        <w:rPr>
          <w:lang w:val="fr-FR"/>
        </w:rPr>
        <w:tab/>
        <w:t>Valeriu Griţco,</w:t>
      </w:r>
      <w:r w:rsidRPr="0043317B">
        <w:rPr>
          <w:i/>
          <w:lang w:val="fr-FR"/>
        </w:rPr>
        <w:br/>
      </w:r>
      <w:r w:rsidRPr="0043317B">
        <w:rPr>
          <w:lang w:val="fr-FR"/>
        </w:rPr>
        <w:tab/>
        <w:t>Stéphanie Mourou-Vikström,</w:t>
      </w:r>
      <w:r w:rsidRPr="0043317B">
        <w:rPr>
          <w:i/>
          <w:lang w:val="fr-FR"/>
        </w:rPr>
        <w:br/>
      </w:r>
      <w:r w:rsidRPr="0043317B">
        <w:rPr>
          <w:lang w:val="fr-FR"/>
        </w:rPr>
        <w:tab/>
        <w:t>Arnfinn Bårdsen,</w:t>
      </w:r>
      <w:r w:rsidRPr="0043317B">
        <w:rPr>
          <w:i/>
          <w:lang w:val="fr-FR"/>
        </w:rPr>
        <w:br/>
      </w:r>
      <w:r w:rsidRPr="0043317B">
        <w:rPr>
          <w:lang w:val="fr-FR"/>
        </w:rPr>
        <w:tab/>
        <w:t>Darian Pavli,</w:t>
      </w:r>
      <w:r w:rsidRPr="0043317B">
        <w:rPr>
          <w:i/>
          <w:lang w:val="fr-FR"/>
        </w:rPr>
        <w:t xml:space="preserve"> juges,</w:t>
      </w:r>
      <w:r w:rsidRPr="0043317B" w:rsidR="000A45C0">
        <w:rPr>
          <w:lang w:val="fr-FR"/>
        </w:rPr>
        <w:br/>
        <w:t xml:space="preserve">et de </w:t>
      </w:r>
      <w:r w:rsidRPr="0043317B" w:rsidR="00F707C8">
        <w:rPr>
          <w:lang w:val="fr-FR"/>
        </w:rPr>
        <w:t>Hasan Bakırcı</w:t>
      </w:r>
      <w:r w:rsidRPr="0043317B" w:rsidR="000A45C0">
        <w:rPr>
          <w:lang w:val="fr-FR"/>
        </w:rPr>
        <w:t xml:space="preserve">, </w:t>
      </w:r>
      <w:r w:rsidRPr="0043317B" w:rsidR="000A45C0">
        <w:rPr>
          <w:i/>
          <w:lang w:val="fr-FR"/>
        </w:rPr>
        <w:t>greffier</w:t>
      </w:r>
      <w:r w:rsidRPr="0043317B" w:rsidR="00F707C8">
        <w:rPr>
          <w:i/>
          <w:lang w:val="fr-FR"/>
        </w:rPr>
        <w:t xml:space="preserve"> adjoint</w:t>
      </w:r>
      <w:r w:rsidRPr="0043317B" w:rsidR="000A45C0">
        <w:rPr>
          <w:iCs/>
          <w:lang w:val="fr-FR"/>
        </w:rPr>
        <w:t xml:space="preserve"> </w:t>
      </w:r>
      <w:r w:rsidRPr="0043317B" w:rsidR="000A45C0">
        <w:rPr>
          <w:i/>
          <w:iCs/>
          <w:lang w:val="fr-FR"/>
        </w:rPr>
        <w:t>d</w:t>
      </w:r>
      <w:r w:rsidRPr="0043317B" w:rsidR="000A45C0">
        <w:rPr>
          <w:i/>
          <w:lang w:val="fr-FR"/>
        </w:rPr>
        <w:t>e section</w:t>
      </w:r>
      <w:r w:rsidRPr="0043317B" w:rsidR="000A45C0">
        <w:rPr>
          <w:lang w:val="fr-FR"/>
        </w:rPr>
        <w:t>,</w:t>
      </w:r>
    </w:p>
    <w:p w:rsidRPr="0043317B" w:rsidR="000A45C0" w:rsidP="0043317B" w:rsidRDefault="000A45C0">
      <w:pPr>
        <w:pStyle w:val="ECHRPara"/>
        <w:rPr>
          <w:lang w:val="fr-FR"/>
        </w:rPr>
      </w:pPr>
      <w:r w:rsidRPr="0043317B">
        <w:rPr>
          <w:lang w:val="fr-FR"/>
        </w:rPr>
        <w:t xml:space="preserve">Après en avoir délibéré en chambre du conseil le </w:t>
      </w:r>
      <w:r w:rsidRPr="0043317B" w:rsidR="00F707C8">
        <w:rPr>
          <w:lang w:val="fr-FR"/>
        </w:rPr>
        <w:t>5 février 2019</w:t>
      </w:r>
      <w:r w:rsidRPr="0043317B">
        <w:rPr>
          <w:lang w:val="fr-FR"/>
        </w:rPr>
        <w:t>,</w:t>
      </w:r>
    </w:p>
    <w:p w:rsidRPr="0043317B" w:rsidR="000A45C0" w:rsidP="0043317B" w:rsidRDefault="000A45C0">
      <w:pPr>
        <w:pStyle w:val="ECHRPara"/>
        <w:rPr>
          <w:lang w:val="fr-FR"/>
        </w:rPr>
      </w:pPr>
      <w:r w:rsidRPr="0043317B">
        <w:rPr>
          <w:lang w:val="fr-FR"/>
        </w:rPr>
        <w:t>Rend l</w:t>
      </w:r>
      <w:r w:rsidRPr="0043317B" w:rsidR="0043317B">
        <w:rPr>
          <w:lang w:val="fr-FR"/>
        </w:rPr>
        <w:t>’</w:t>
      </w:r>
      <w:r w:rsidRPr="0043317B">
        <w:rPr>
          <w:lang w:val="fr-FR"/>
        </w:rPr>
        <w:t>arrêt que voici, adopté à cette date :</w:t>
      </w:r>
    </w:p>
    <w:p w:rsidRPr="0043317B" w:rsidR="000A45C0" w:rsidP="0043317B" w:rsidRDefault="000A45C0">
      <w:pPr>
        <w:pStyle w:val="ECHRTitle1"/>
        <w:rPr>
          <w:lang w:val="fr-FR"/>
        </w:rPr>
      </w:pPr>
      <w:r w:rsidRPr="0043317B">
        <w:rPr>
          <w:lang w:val="fr-FR"/>
        </w:rPr>
        <w:t>PROCÉDURE</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1</w:t>
      </w:r>
      <w:r w:rsidRPr="0043317B">
        <w:rPr>
          <w:lang w:val="fr-FR"/>
        </w:rPr>
        <w:fldChar w:fldCharType="end"/>
      </w:r>
      <w:r w:rsidRPr="0043317B">
        <w:rPr>
          <w:lang w:val="fr-FR"/>
        </w:rPr>
        <w:t>.  À l</w:t>
      </w:r>
      <w:r w:rsidRPr="0043317B" w:rsidR="0043317B">
        <w:rPr>
          <w:lang w:val="fr-FR"/>
        </w:rPr>
        <w:t>’</w:t>
      </w:r>
      <w:r w:rsidRPr="0043317B">
        <w:rPr>
          <w:lang w:val="fr-FR"/>
        </w:rPr>
        <w:t>origine de l</w:t>
      </w:r>
      <w:r w:rsidRPr="0043317B" w:rsidR="0043317B">
        <w:rPr>
          <w:lang w:val="fr-FR"/>
        </w:rPr>
        <w:t>’</w:t>
      </w:r>
      <w:r w:rsidRPr="0043317B">
        <w:rPr>
          <w:lang w:val="fr-FR"/>
        </w:rPr>
        <w:t>affaire se trouvent quatre requêtes (n</w:t>
      </w:r>
      <w:r w:rsidRPr="0043317B">
        <w:rPr>
          <w:vertAlign w:val="superscript"/>
          <w:lang w:val="fr-FR"/>
        </w:rPr>
        <w:t>os</w:t>
      </w:r>
      <w:r w:rsidRPr="0043317B" w:rsidR="003C4A77">
        <w:rPr>
          <w:vertAlign w:val="superscript"/>
          <w:lang w:val="fr-FR"/>
        </w:rPr>
        <w:t> </w:t>
      </w:r>
      <w:r w:rsidRPr="0043317B">
        <w:rPr>
          <w:lang w:val="fr-FR"/>
        </w:rPr>
        <w:t>19620/05, 41487/05, 17613/08 et 19316/08) dirigées contre la République de Turquie et dont cinq ressortissants de cet État, M</w:t>
      </w:r>
      <w:r w:rsidRPr="0043317B">
        <w:rPr>
          <w:vertAlign w:val="superscript"/>
          <w:lang w:val="fr-FR"/>
        </w:rPr>
        <w:t>lle</w:t>
      </w:r>
      <w:r w:rsidRPr="0043317B">
        <w:rPr>
          <w:lang w:val="fr-FR"/>
        </w:rPr>
        <w:t xml:space="preserve"> Jasmin Paris Uzan et M. Renç Emre Uzan (requête n</w:t>
      </w:r>
      <w:r w:rsidRPr="0043317B">
        <w:rPr>
          <w:vertAlign w:val="superscript"/>
          <w:lang w:val="fr-FR"/>
        </w:rPr>
        <w:t>o</w:t>
      </w:r>
      <w:r w:rsidRPr="0043317B" w:rsidR="003C4A77">
        <w:rPr>
          <w:vertAlign w:val="superscript"/>
          <w:lang w:val="fr-FR"/>
        </w:rPr>
        <w:t xml:space="preserve"> </w:t>
      </w:r>
      <w:r w:rsidRPr="0043317B">
        <w:rPr>
          <w:lang w:val="fr-FR"/>
        </w:rPr>
        <w:t>19620/05), M</w:t>
      </w:r>
      <w:r w:rsidRPr="0043317B">
        <w:rPr>
          <w:vertAlign w:val="superscript"/>
          <w:lang w:val="fr-FR"/>
        </w:rPr>
        <w:t>me</w:t>
      </w:r>
      <w:r w:rsidRPr="0043317B" w:rsidR="003C4A77">
        <w:rPr>
          <w:vertAlign w:val="superscript"/>
          <w:lang w:val="fr-FR"/>
        </w:rPr>
        <w:t> </w:t>
      </w:r>
      <w:r w:rsidRPr="0043317B">
        <w:rPr>
          <w:lang w:val="fr-FR"/>
        </w:rPr>
        <w:t>Ayla</w:t>
      </w:r>
      <w:r w:rsidRPr="0043317B" w:rsidR="003C4A77">
        <w:rPr>
          <w:lang w:val="fr-FR"/>
        </w:rPr>
        <w:t> </w:t>
      </w:r>
      <w:r w:rsidRPr="0043317B">
        <w:rPr>
          <w:lang w:val="fr-FR"/>
        </w:rPr>
        <w:t>Uzan-Ashaboğlu</w:t>
      </w:r>
      <w:r w:rsidRPr="0043317B" w:rsidR="003C4A77">
        <w:rPr>
          <w:lang w:val="fr-FR"/>
        </w:rPr>
        <w:t xml:space="preserve"> (requête </w:t>
      </w:r>
      <w:r w:rsidRPr="0043317B">
        <w:rPr>
          <w:lang w:val="fr-FR"/>
        </w:rPr>
        <w:t>n</w:t>
      </w:r>
      <w:r w:rsidRPr="0043317B">
        <w:rPr>
          <w:vertAlign w:val="superscript"/>
          <w:lang w:val="fr-FR"/>
        </w:rPr>
        <w:t>o</w:t>
      </w:r>
      <w:r w:rsidRPr="0043317B">
        <w:rPr>
          <w:lang w:val="fr-FR"/>
        </w:rPr>
        <w:t> 41487/05), M</w:t>
      </w:r>
      <w:r w:rsidRPr="0043317B">
        <w:rPr>
          <w:vertAlign w:val="superscript"/>
          <w:lang w:val="fr-FR"/>
        </w:rPr>
        <w:t>me</w:t>
      </w:r>
      <w:r w:rsidRPr="0043317B">
        <w:rPr>
          <w:lang w:val="fr-FR"/>
        </w:rPr>
        <w:t xml:space="preserve"> Nimet Hülya Talu (requête n</w:t>
      </w:r>
      <w:r w:rsidRPr="0043317B">
        <w:rPr>
          <w:vertAlign w:val="superscript"/>
          <w:lang w:val="fr-FR"/>
        </w:rPr>
        <w:t>o</w:t>
      </w:r>
      <w:r w:rsidRPr="0043317B">
        <w:rPr>
          <w:lang w:val="fr-FR"/>
        </w:rPr>
        <w:t xml:space="preserve"> 17613/08) et M</w:t>
      </w:r>
      <w:r w:rsidRPr="0043317B">
        <w:rPr>
          <w:vertAlign w:val="superscript"/>
          <w:lang w:val="fr-FR"/>
        </w:rPr>
        <w:t>me</w:t>
      </w:r>
      <w:r w:rsidRPr="0043317B">
        <w:rPr>
          <w:lang w:val="fr-FR"/>
        </w:rPr>
        <w:t> </w:t>
      </w:r>
      <w:r w:rsidRPr="0043317B" w:rsidR="003C4A77">
        <w:rPr>
          <w:lang w:val="fr-FR"/>
        </w:rPr>
        <w:t>Bilge </w:t>
      </w:r>
      <w:r w:rsidRPr="0043317B">
        <w:rPr>
          <w:lang w:val="fr-FR"/>
        </w:rPr>
        <w:t>Doğru (requête n</w:t>
      </w:r>
      <w:r w:rsidRPr="0043317B">
        <w:rPr>
          <w:vertAlign w:val="superscript"/>
          <w:lang w:val="fr-FR"/>
        </w:rPr>
        <w:t>o</w:t>
      </w:r>
      <w:r w:rsidRPr="0043317B">
        <w:rPr>
          <w:lang w:val="fr-FR"/>
        </w:rPr>
        <w:t xml:space="preserve"> 19316/08) (« les requérants »), ont saisi la Cour en vertu de l</w:t>
      </w:r>
      <w:r w:rsidRPr="0043317B" w:rsidR="0043317B">
        <w:rPr>
          <w:lang w:val="fr-FR"/>
        </w:rPr>
        <w:t>’</w:t>
      </w:r>
      <w:r w:rsidRPr="0043317B">
        <w:rPr>
          <w:lang w:val="fr-FR"/>
        </w:rPr>
        <w:t>article 34 de la Convention de sauvegarde des droits de l</w:t>
      </w:r>
      <w:r w:rsidRPr="0043317B" w:rsidR="0043317B">
        <w:rPr>
          <w:lang w:val="fr-FR"/>
        </w:rPr>
        <w:t>’</w:t>
      </w:r>
      <w:r w:rsidRPr="0043317B">
        <w:rPr>
          <w:lang w:val="fr-FR"/>
        </w:rPr>
        <w:t xml:space="preserve">homme et des libertés fondamentales </w:t>
      </w:r>
      <w:r w:rsidRPr="0043317B" w:rsidR="003C4A77">
        <w:rPr>
          <w:lang w:val="fr-FR"/>
        </w:rPr>
        <w:t>(« la Convention »). La requête </w:t>
      </w:r>
      <w:r w:rsidRPr="0043317B">
        <w:rPr>
          <w:lang w:val="fr-FR"/>
        </w:rPr>
        <w:t>n</w:t>
      </w:r>
      <w:r w:rsidRPr="0043317B">
        <w:rPr>
          <w:vertAlign w:val="superscript"/>
          <w:lang w:val="fr-FR"/>
        </w:rPr>
        <w:t>o</w:t>
      </w:r>
      <w:r w:rsidRPr="0043317B">
        <w:rPr>
          <w:lang w:val="fr-FR"/>
        </w:rPr>
        <w:t> 19620/05 a été introduite le 24 mai 2005, la requête</w:t>
      </w:r>
      <w:r w:rsidRPr="0043317B" w:rsidR="003C4A77">
        <w:rPr>
          <w:lang w:val="fr-FR"/>
        </w:rPr>
        <w:t> </w:t>
      </w:r>
      <w:r w:rsidRPr="0043317B">
        <w:rPr>
          <w:lang w:val="fr-FR"/>
        </w:rPr>
        <w:t>n</w:t>
      </w:r>
      <w:r w:rsidRPr="0043317B">
        <w:rPr>
          <w:vertAlign w:val="superscript"/>
          <w:lang w:val="fr-FR"/>
        </w:rPr>
        <w:t>o</w:t>
      </w:r>
      <w:r w:rsidRPr="0043317B" w:rsidR="003C4A77">
        <w:rPr>
          <w:vertAlign w:val="superscript"/>
          <w:lang w:val="fr-FR"/>
        </w:rPr>
        <w:t> </w:t>
      </w:r>
      <w:r w:rsidRPr="0043317B">
        <w:rPr>
          <w:lang w:val="fr-FR"/>
        </w:rPr>
        <w:t>17613/08 le 16 novembre 2005, la requête n</w:t>
      </w:r>
      <w:r w:rsidRPr="0043317B">
        <w:rPr>
          <w:vertAlign w:val="superscript"/>
          <w:lang w:val="fr-FR"/>
        </w:rPr>
        <w:t>o</w:t>
      </w:r>
      <w:r w:rsidRPr="0043317B">
        <w:rPr>
          <w:lang w:val="fr-FR"/>
        </w:rPr>
        <w:t xml:space="preserve"> 17613/08 le 4 avril 2008 et la requête</w:t>
      </w:r>
      <w:r w:rsidRPr="0043317B" w:rsidR="003C4A77">
        <w:rPr>
          <w:lang w:val="fr-FR"/>
        </w:rPr>
        <w:t> </w:t>
      </w:r>
      <w:r w:rsidRPr="0043317B">
        <w:rPr>
          <w:lang w:val="fr-FR"/>
        </w:rPr>
        <w:t>n</w:t>
      </w:r>
      <w:r w:rsidRPr="0043317B">
        <w:rPr>
          <w:vertAlign w:val="superscript"/>
          <w:lang w:val="fr-FR"/>
        </w:rPr>
        <w:t>o</w:t>
      </w:r>
      <w:r w:rsidRPr="0043317B">
        <w:rPr>
          <w:lang w:val="fr-FR"/>
        </w:rPr>
        <w:t> 19316/08 le 15 avril 2008.</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2</w:t>
      </w:r>
      <w:r w:rsidRPr="0043317B">
        <w:rPr>
          <w:lang w:val="fr-FR"/>
        </w:rPr>
        <w:fldChar w:fldCharType="end"/>
      </w:r>
      <w:r w:rsidRPr="0043317B">
        <w:rPr>
          <w:lang w:val="fr-FR"/>
        </w:rPr>
        <w:t>.  Les requérants Jasmin Paris Uzan et Renç Emre Uzan ont été représentés par M</w:t>
      </w:r>
      <w:r w:rsidRPr="0043317B">
        <w:rPr>
          <w:vertAlign w:val="superscript"/>
          <w:lang w:val="fr-FR"/>
        </w:rPr>
        <w:t>e</w:t>
      </w:r>
      <w:r w:rsidRPr="0043317B">
        <w:rPr>
          <w:lang w:val="fr-FR"/>
        </w:rPr>
        <w:t xml:space="preserve"> H.-H. Kühne, avocat à Trier, la requérante Ayla Uzan</w:t>
      </w:r>
      <w:r w:rsidRPr="0043317B">
        <w:rPr>
          <w:lang w:val="fr-FR"/>
        </w:rPr>
        <w:noBreakHyphen/>
        <w:t>Ashaboğlu par M</w:t>
      </w:r>
      <w:r w:rsidRPr="0043317B">
        <w:rPr>
          <w:vertAlign w:val="superscript"/>
          <w:lang w:val="fr-FR"/>
        </w:rPr>
        <w:t>e</w:t>
      </w:r>
      <w:r w:rsidRPr="0043317B">
        <w:rPr>
          <w:lang w:val="fr-FR"/>
        </w:rPr>
        <w:t xml:space="preserve"> D. Bollecker, avocat à Strasbourg, la requérante Nimet Hülya Talu par M</w:t>
      </w:r>
      <w:r w:rsidRPr="0043317B">
        <w:rPr>
          <w:vertAlign w:val="superscript"/>
          <w:lang w:val="fr-FR"/>
        </w:rPr>
        <w:t>e</w:t>
      </w:r>
      <w:r w:rsidRPr="0043317B">
        <w:rPr>
          <w:lang w:val="fr-FR"/>
        </w:rPr>
        <w:t xml:space="preserve"> M.R. Kadıoğlu, avocat à Istanbul, et la requérante Bilge Doğru par M</w:t>
      </w:r>
      <w:r w:rsidRPr="0043317B">
        <w:rPr>
          <w:vertAlign w:val="superscript"/>
          <w:lang w:val="fr-FR"/>
        </w:rPr>
        <w:t>e</w:t>
      </w:r>
      <w:r w:rsidRPr="0043317B">
        <w:rPr>
          <w:lang w:val="fr-FR"/>
        </w:rPr>
        <w:t xml:space="preserve"> A. Papakçı, avocat à Istanbul. Le gouvernement turc (« le Gouvernement ») a été représenté par son agent.</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3</w:t>
      </w:r>
      <w:r w:rsidRPr="0043317B">
        <w:rPr>
          <w:lang w:val="fr-FR"/>
        </w:rPr>
        <w:fldChar w:fldCharType="end"/>
      </w:r>
      <w:r w:rsidRPr="0043317B">
        <w:rPr>
          <w:lang w:val="fr-FR"/>
        </w:rPr>
        <w:t>.  Les requérants alléguaient en particulier que la décision des autorités nationales de refuser la levée des mesures conservatoires imposées sur leurs biens, prise en dépit de l</w:t>
      </w:r>
      <w:r w:rsidRPr="0043317B" w:rsidR="0043317B">
        <w:rPr>
          <w:lang w:val="fr-FR"/>
        </w:rPr>
        <w:t>’</w:t>
      </w:r>
      <w:r w:rsidRPr="0043317B">
        <w:rPr>
          <w:lang w:val="fr-FR"/>
        </w:rPr>
        <w:t>absence de condamnation pénale prononcée à leur encontre et d</w:t>
      </w:r>
      <w:r w:rsidRPr="0043317B" w:rsidR="0043317B">
        <w:rPr>
          <w:lang w:val="fr-FR"/>
        </w:rPr>
        <w:t>’</w:t>
      </w:r>
      <w:r w:rsidRPr="0043317B">
        <w:rPr>
          <w:lang w:val="fr-FR"/>
        </w:rPr>
        <w:t>engagement de leur responsabilité civile, portait atteinte à leur droit de propriété.</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4</w:t>
      </w:r>
      <w:r w:rsidRPr="0043317B">
        <w:rPr>
          <w:lang w:val="fr-FR"/>
        </w:rPr>
        <w:fldChar w:fldCharType="end"/>
      </w:r>
      <w:r w:rsidRPr="0043317B">
        <w:rPr>
          <w:lang w:val="fr-FR"/>
        </w:rPr>
        <w:t>.  Le 21 octobre 2009, les requêtes ont été communiquées au Gouvernement.</w:t>
      </w:r>
    </w:p>
    <w:p w:rsidRPr="0043317B" w:rsidR="000A45C0" w:rsidP="0043317B" w:rsidRDefault="000A45C0">
      <w:pPr>
        <w:pStyle w:val="ECHRTitle1"/>
        <w:rPr>
          <w:lang w:val="fr-FR"/>
        </w:rPr>
      </w:pPr>
      <w:r w:rsidRPr="0043317B">
        <w:rPr>
          <w:lang w:val="fr-FR"/>
        </w:rPr>
        <w:t>EN FAIT</w:t>
      </w:r>
    </w:p>
    <w:p w:rsidRPr="0043317B" w:rsidR="000A45C0" w:rsidP="0043317B" w:rsidRDefault="000A45C0">
      <w:pPr>
        <w:pStyle w:val="ECHRHeading1"/>
        <w:rPr>
          <w:lang w:val="fr-FR"/>
        </w:rPr>
      </w:pPr>
      <w:r w:rsidRPr="0043317B">
        <w:rPr>
          <w:lang w:val="fr-FR"/>
        </w:rPr>
        <w:t>I.  LES CIRCONSTANCES DE L</w:t>
      </w:r>
      <w:r w:rsidRPr="0043317B" w:rsidR="0043317B">
        <w:rPr>
          <w:lang w:val="fr-FR"/>
        </w:rPr>
        <w:t>’</w:t>
      </w:r>
      <w:r w:rsidRPr="0043317B">
        <w:rPr>
          <w:lang w:val="fr-FR"/>
        </w:rPr>
        <w:t>ESPÈCE</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5</w:t>
      </w:r>
      <w:r w:rsidRPr="0043317B">
        <w:rPr>
          <w:lang w:val="fr-FR"/>
        </w:rPr>
        <w:fldChar w:fldCharType="end"/>
      </w:r>
      <w:r w:rsidRPr="0043317B">
        <w:rPr>
          <w:lang w:val="fr-FR"/>
        </w:rPr>
        <w:t>.  Les requérants Jasmin Paris Uzan et Renç Emre Uzan sont nés respectivement en 2003 et en 1999, et résident à Istanbul. La requérante Ayla</w:t>
      </w:r>
      <w:r w:rsidRPr="0043317B" w:rsidR="003C4A77">
        <w:rPr>
          <w:lang w:val="fr-FR"/>
        </w:rPr>
        <w:t> </w:t>
      </w:r>
      <w:r w:rsidRPr="0043317B">
        <w:rPr>
          <w:lang w:val="fr-FR"/>
        </w:rPr>
        <w:t>Uzan</w:t>
      </w:r>
      <w:r w:rsidRPr="0043317B" w:rsidR="003C4A77">
        <w:rPr>
          <w:lang w:val="fr-FR"/>
        </w:rPr>
        <w:t> </w:t>
      </w:r>
      <w:r w:rsidRPr="0043317B">
        <w:rPr>
          <w:lang w:val="fr-FR"/>
        </w:rPr>
        <w:t>Ashaboğlu est née en 1971 et réside à San Francisco. La requérante Nimet Hülya Talu est née en 1948 et réside à Istanbul. La requérante Bilge Doğru est née en 1952 et réside également à Istanbul.</w:t>
      </w:r>
    </w:p>
    <w:p w:rsidRPr="0043317B" w:rsidR="000A45C0" w:rsidP="0043317B" w:rsidRDefault="000A45C0">
      <w:pPr>
        <w:pStyle w:val="ECHRHeading2"/>
        <w:rPr>
          <w:lang w:val="fr-FR"/>
        </w:rPr>
      </w:pPr>
      <w:r w:rsidRPr="0043317B">
        <w:rPr>
          <w:lang w:val="fr-FR"/>
        </w:rPr>
        <w:t>A.  La genèse de l</w:t>
      </w:r>
      <w:r w:rsidRPr="0043317B" w:rsidR="0043317B">
        <w:rPr>
          <w:lang w:val="fr-FR"/>
        </w:rPr>
        <w:t>’</w:t>
      </w:r>
      <w:r w:rsidRPr="0043317B">
        <w:rPr>
          <w:lang w:val="fr-FR"/>
        </w:rPr>
        <w:t>affaire</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6</w:t>
      </w:r>
      <w:r w:rsidRPr="0043317B">
        <w:rPr>
          <w:lang w:val="fr-FR"/>
        </w:rPr>
        <w:fldChar w:fldCharType="end"/>
      </w:r>
      <w:r w:rsidRPr="0043317B">
        <w:rPr>
          <w:lang w:val="fr-FR"/>
        </w:rPr>
        <w:t>.  La banque Türkiye İmar Bankası T.A.Ş. (« İmarbank »), implantée à Istanbul, était contrôlée depuis 1984 par le groupe Uzan. Cet établissement, qui s</w:t>
      </w:r>
      <w:r w:rsidRPr="0043317B" w:rsidR="0043317B">
        <w:rPr>
          <w:lang w:val="fr-FR"/>
        </w:rPr>
        <w:t>’</w:t>
      </w:r>
      <w:r w:rsidRPr="0043317B">
        <w:rPr>
          <w:lang w:val="fr-FR"/>
        </w:rPr>
        <w:t>était différencié par une campagne promettant le plus haut taux d</w:t>
      </w:r>
      <w:r w:rsidRPr="0043317B" w:rsidR="0043317B">
        <w:rPr>
          <w:lang w:val="fr-FR"/>
        </w:rPr>
        <w:t>’</w:t>
      </w:r>
      <w:r w:rsidRPr="0043317B">
        <w:rPr>
          <w:lang w:val="fr-FR"/>
        </w:rPr>
        <w:t>intérêt pour les opérations bancaires, avait essuyé une perte de plusieurs milliards d</w:t>
      </w:r>
      <w:r w:rsidRPr="0043317B" w:rsidR="0043317B">
        <w:rPr>
          <w:lang w:val="fr-FR"/>
        </w:rPr>
        <w:t>’</w:t>
      </w:r>
      <w:r w:rsidRPr="0043317B">
        <w:rPr>
          <w:lang w:val="fr-FR"/>
        </w:rPr>
        <w:t>euros (EUR) et n</w:t>
      </w:r>
      <w:r w:rsidRPr="0043317B" w:rsidR="0043317B">
        <w:rPr>
          <w:lang w:val="fr-FR"/>
        </w:rPr>
        <w:t>’</w:t>
      </w:r>
      <w:r w:rsidRPr="0043317B">
        <w:rPr>
          <w:lang w:val="fr-FR"/>
        </w:rPr>
        <w:t>était plus en mesure d</w:t>
      </w:r>
      <w:r w:rsidRPr="0043317B" w:rsidR="0043317B">
        <w:rPr>
          <w:lang w:val="fr-FR"/>
        </w:rPr>
        <w:t>’</w:t>
      </w:r>
      <w:r w:rsidRPr="0043317B">
        <w:rPr>
          <w:lang w:val="fr-FR"/>
        </w:rPr>
        <w:t>assurer ses activités.</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7</w:t>
      </w:r>
      <w:r w:rsidRPr="0043317B">
        <w:rPr>
          <w:lang w:val="fr-FR"/>
        </w:rPr>
        <w:fldChar w:fldCharType="end"/>
      </w:r>
      <w:r w:rsidRPr="0043317B">
        <w:rPr>
          <w:lang w:val="fr-FR"/>
        </w:rPr>
        <w:t>.  Le 4 juillet 2003, l</w:t>
      </w:r>
      <w:r w:rsidRPr="0043317B" w:rsidR="0043317B">
        <w:rPr>
          <w:lang w:val="fr-FR"/>
        </w:rPr>
        <w:t>’</w:t>
      </w:r>
      <w:r w:rsidRPr="0043317B">
        <w:rPr>
          <w:lang w:val="fr-FR"/>
        </w:rPr>
        <w:t>Agence de réglementation et de supervision des banques (« l</w:t>
      </w:r>
      <w:r w:rsidRPr="0043317B" w:rsidR="0043317B">
        <w:rPr>
          <w:lang w:val="fr-FR"/>
        </w:rPr>
        <w:t>’</w:t>
      </w:r>
      <w:r w:rsidRPr="0043317B">
        <w:rPr>
          <w:lang w:val="fr-FR"/>
        </w:rPr>
        <w:t>ARSB ») annonça que, aux fins de garantie de la sécurité et de la stabilité du système financier turc, İmarbank s</w:t>
      </w:r>
      <w:r w:rsidRPr="0043317B" w:rsidR="0043317B">
        <w:rPr>
          <w:lang w:val="fr-FR"/>
        </w:rPr>
        <w:t>’</w:t>
      </w:r>
      <w:r w:rsidRPr="0043317B">
        <w:rPr>
          <w:lang w:val="fr-FR"/>
        </w:rPr>
        <w:t>était vu retirer sa licence bancaire, qui lui permettait d</w:t>
      </w:r>
      <w:r w:rsidRPr="0043317B" w:rsidR="0043317B">
        <w:rPr>
          <w:lang w:val="fr-FR"/>
        </w:rPr>
        <w:t>’</w:t>
      </w:r>
      <w:r w:rsidRPr="0043317B">
        <w:rPr>
          <w:lang w:val="fr-FR"/>
        </w:rPr>
        <w:t>effectuer des opérations bancaires et de recevoir des dépôts, par l</w:t>
      </w:r>
      <w:r w:rsidRPr="0043317B" w:rsidR="0043317B">
        <w:rPr>
          <w:lang w:val="fr-FR"/>
        </w:rPr>
        <w:t>’</w:t>
      </w:r>
      <w:r w:rsidRPr="0043317B">
        <w:rPr>
          <w:lang w:val="fr-FR"/>
        </w:rPr>
        <w:t>arrêté n</w:t>
      </w:r>
      <w:r w:rsidRPr="0043317B">
        <w:rPr>
          <w:vertAlign w:val="superscript"/>
          <w:lang w:val="fr-FR"/>
        </w:rPr>
        <w:t>o</w:t>
      </w:r>
      <w:r w:rsidRPr="0043317B" w:rsidR="003C4A77">
        <w:rPr>
          <w:vertAlign w:val="superscript"/>
          <w:lang w:val="fr-FR"/>
        </w:rPr>
        <w:t xml:space="preserve"> </w:t>
      </w:r>
      <w:r w:rsidRPr="0043317B">
        <w:rPr>
          <w:lang w:val="fr-FR"/>
        </w:rPr>
        <w:t>1085 du 3 juillet 2003, pris en application de l</w:t>
      </w:r>
      <w:r w:rsidRPr="0043317B" w:rsidR="0043317B">
        <w:rPr>
          <w:lang w:val="fr-FR"/>
        </w:rPr>
        <w:t>’</w:t>
      </w:r>
      <w:r w:rsidRPr="0043317B">
        <w:rPr>
          <w:lang w:val="fr-FR"/>
        </w:rPr>
        <w:t>article 14 § 3 de la loi n</w:t>
      </w:r>
      <w:r w:rsidRPr="0043317B">
        <w:rPr>
          <w:vertAlign w:val="superscript"/>
          <w:lang w:val="fr-FR"/>
        </w:rPr>
        <w:t>o</w:t>
      </w:r>
      <w:r w:rsidRPr="0043317B">
        <w:rPr>
          <w:lang w:val="fr-FR"/>
        </w:rPr>
        <w:t xml:space="preserve"> 4389 sur les banques, et ne pouvait donc plus continuer à se livrer à de telles activités, au motif qu</w:t>
      </w:r>
      <w:r w:rsidRPr="0043317B" w:rsidR="0043317B">
        <w:rPr>
          <w:lang w:val="fr-FR"/>
        </w:rPr>
        <w:t>’</w:t>
      </w:r>
      <w:r w:rsidRPr="0043317B">
        <w:rPr>
          <w:lang w:val="fr-FR"/>
        </w:rPr>
        <w:t>elle ne s</w:t>
      </w:r>
      <w:r w:rsidRPr="0043317B" w:rsidR="0043317B">
        <w:rPr>
          <w:lang w:val="fr-FR"/>
        </w:rPr>
        <w:t>’</w:t>
      </w:r>
      <w:r w:rsidRPr="0043317B">
        <w:rPr>
          <w:lang w:val="fr-FR"/>
        </w:rPr>
        <w:t>était pas acquittée de ses obligations ni n</w:t>
      </w:r>
      <w:r w:rsidRPr="0043317B" w:rsidR="0043317B">
        <w:rPr>
          <w:lang w:val="fr-FR"/>
        </w:rPr>
        <w:t>’</w:t>
      </w:r>
      <w:r w:rsidRPr="0043317B">
        <w:rPr>
          <w:lang w:val="fr-FR"/>
        </w:rPr>
        <w:t>avait pris les mesures préventives requises dans le délai imparti. Elle précisa que l</w:t>
      </w:r>
      <w:r w:rsidRPr="0043317B" w:rsidR="0043317B">
        <w:rPr>
          <w:lang w:val="fr-FR"/>
        </w:rPr>
        <w:t>’</w:t>
      </w:r>
      <w:r w:rsidRPr="0043317B">
        <w:rPr>
          <w:lang w:val="fr-FR"/>
        </w:rPr>
        <w:t>administration et le contrôle de ladite banque avaient été transférés au Fonds de garantie des dépôts d</w:t>
      </w:r>
      <w:r w:rsidRPr="0043317B" w:rsidR="0043317B">
        <w:rPr>
          <w:lang w:val="fr-FR"/>
        </w:rPr>
        <w:t>’</w:t>
      </w:r>
      <w:r w:rsidRPr="0043317B">
        <w:rPr>
          <w:lang w:val="fr-FR"/>
        </w:rPr>
        <w:t>épargne (</w:t>
      </w:r>
      <w:r w:rsidRPr="0043317B">
        <w:rPr>
          <w:i/>
          <w:lang w:val="fr-FR"/>
        </w:rPr>
        <w:t>Tasarruf Mevduatı Sigorta Fonu</w:t>
      </w:r>
      <w:r w:rsidRPr="0043317B">
        <w:rPr>
          <w:lang w:val="fr-FR"/>
        </w:rPr>
        <w:t xml:space="preserve">, </w:t>
      </w:r>
      <w:bookmarkStart w:name="OLE_LINK3" w:id="2"/>
      <w:bookmarkStart w:name="OLE_LINK4" w:id="3"/>
      <w:bookmarkEnd w:id="2"/>
      <w:bookmarkEnd w:id="3"/>
      <w:r w:rsidRPr="0043317B">
        <w:rPr>
          <w:lang w:val="fr-FR"/>
        </w:rPr>
        <w:t>«</w:t>
      </w:r>
      <w:r w:rsidRPr="0043317B" w:rsidR="003C4A77">
        <w:rPr>
          <w:lang w:val="fr-FR"/>
        </w:rPr>
        <w:t> </w:t>
      </w:r>
      <w:r w:rsidRPr="0043317B">
        <w:rPr>
          <w:lang w:val="fr-FR"/>
        </w:rPr>
        <w:t>le FADE »), en application de l</w:t>
      </w:r>
      <w:r w:rsidRPr="0043317B" w:rsidR="0043317B">
        <w:rPr>
          <w:lang w:val="fr-FR"/>
        </w:rPr>
        <w:t>’</w:t>
      </w:r>
      <w:r w:rsidRPr="0043317B">
        <w:rPr>
          <w:lang w:val="fr-FR"/>
        </w:rPr>
        <w:t>article 16 § 1 de la loi n</w:t>
      </w:r>
      <w:r w:rsidRPr="0043317B">
        <w:rPr>
          <w:vertAlign w:val="superscript"/>
          <w:lang w:val="fr-FR"/>
        </w:rPr>
        <w:t>o</w:t>
      </w:r>
      <w:r w:rsidRPr="0043317B">
        <w:rPr>
          <w:lang w:val="fr-FR"/>
        </w:rPr>
        <w:t> 4389.</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8</w:t>
      </w:r>
      <w:r w:rsidRPr="0043317B">
        <w:rPr>
          <w:lang w:val="fr-FR"/>
        </w:rPr>
        <w:fldChar w:fldCharType="end"/>
      </w:r>
      <w:r w:rsidRPr="0043317B">
        <w:rPr>
          <w:lang w:val="fr-FR"/>
        </w:rPr>
        <w:t>.  Le même jour, afin de protéger les droits des créanciers, de minorer les pertes éventuelles et de prévenir tout acte frauduleux, la première chambre du tribunal de commerce d</w:t>
      </w:r>
      <w:r w:rsidRPr="0043317B" w:rsidR="0043317B">
        <w:rPr>
          <w:lang w:val="fr-FR"/>
        </w:rPr>
        <w:t>’</w:t>
      </w:r>
      <w:r w:rsidRPr="0043317B">
        <w:rPr>
          <w:lang w:val="fr-FR"/>
        </w:rPr>
        <w:t>Ankara ordonna des mesures conservatoires sur les droits de propriété et les droits de créance des anciens administrateurs de İmarbank en application de la même loi</w:t>
      </w:r>
      <w:r w:rsidRPr="0043317B" w:rsidR="003C4A77">
        <w:rPr>
          <w:lang w:val="fr-FR"/>
        </w:rPr>
        <w:t xml:space="preserve"> (dossier </w:t>
      </w:r>
      <w:r w:rsidRPr="0043317B">
        <w:rPr>
          <w:lang w:val="fr-FR"/>
        </w:rPr>
        <w:t>n</w:t>
      </w:r>
      <w:r w:rsidRPr="0043317B">
        <w:rPr>
          <w:vertAlign w:val="superscript"/>
          <w:lang w:val="fr-FR"/>
        </w:rPr>
        <w:t>o</w:t>
      </w:r>
      <w:r w:rsidRPr="0043317B">
        <w:rPr>
          <w:lang w:val="fr-FR"/>
        </w:rPr>
        <w:t> 2003/827). Ces mesures conservatoires furent exécutées par le 3</w:t>
      </w:r>
      <w:r w:rsidRPr="0043317B">
        <w:rPr>
          <w:vertAlign w:val="superscript"/>
          <w:lang w:val="fr-FR"/>
        </w:rPr>
        <w:t>e</w:t>
      </w:r>
      <w:r w:rsidRPr="0043317B" w:rsidR="003C4A77">
        <w:rPr>
          <w:vertAlign w:val="superscript"/>
          <w:lang w:val="fr-FR"/>
        </w:rPr>
        <w:t> </w:t>
      </w:r>
      <w:r w:rsidRPr="0043317B">
        <w:rPr>
          <w:lang w:val="fr-FR"/>
        </w:rPr>
        <w:t>bureau d</w:t>
      </w:r>
      <w:r w:rsidRPr="0043317B" w:rsidR="0043317B">
        <w:rPr>
          <w:lang w:val="fr-FR"/>
        </w:rPr>
        <w:t>’</w:t>
      </w:r>
      <w:r w:rsidRPr="0043317B">
        <w:rPr>
          <w:lang w:val="fr-FR"/>
        </w:rPr>
        <w:t>exécution d</w:t>
      </w:r>
      <w:r w:rsidRPr="0043317B" w:rsidR="0043317B">
        <w:rPr>
          <w:lang w:val="fr-FR"/>
        </w:rPr>
        <w:t>’</w:t>
      </w:r>
      <w:r w:rsidRPr="0043317B">
        <w:rPr>
          <w:lang w:val="fr-FR"/>
        </w:rPr>
        <w:t>Ankara (dossiers n</w:t>
      </w:r>
      <w:r w:rsidRPr="0043317B" w:rsidR="003C4A77">
        <w:rPr>
          <w:vertAlign w:val="superscript"/>
          <w:lang w:val="fr-FR"/>
        </w:rPr>
        <w:t xml:space="preserve">os </w:t>
      </w:r>
      <w:r w:rsidRPr="0043317B">
        <w:rPr>
          <w:lang w:val="fr-FR"/>
        </w:rPr>
        <w:t>2003/267 1 et</w:t>
      </w:r>
      <w:r w:rsidRPr="0043317B" w:rsidR="003C4A77">
        <w:rPr>
          <w:lang w:val="fr-FR"/>
        </w:rPr>
        <w:t> </w:t>
      </w:r>
      <w:r w:rsidRPr="0043317B">
        <w:rPr>
          <w:lang w:val="fr-FR"/>
        </w:rPr>
        <w:t>2003/2672).</w:t>
      </w:r>
    </w:p>
    <w:p w:rsidRPr="0043317B" w:rsidR="000A45C0" w:rsidP="0043317B" w:rsidRDefault="000A45C0">
      <w:pPr>
        <w:pStyle w:val="ECHRPara"/>
        <w:rPr>
          <w:lang w:val="fr-FR"/>
        </w:rPr>
      </w:pPr>
      <w:r w:rsidRPr="0043317B">
        <w:rPr>
          <w:lang w:val="fr-FR"/>
        </w:rPr>
        <w:t>Toujours le même jour, les requér</w:t>
      </w:r>
      <w:r w:rsidRPr="0043317B" w:rsidR="003C4A77">
        <w:rPr>
          <w:lang w:val="fr-FR"/>
        </w:rPr>
        <w:t>antes Nimet Hülya Talu et Bilge </w:t>
      </w:r>
      <w:r w:rsidRPr="0043317B">
        <w:rPr>
          <w:lang w:val="fr-FR"/>
        </w:rPr>
        <w:t>Doğru, qui occupaient des postes de contrôleur de gestion (</w:t>
      </w:r>
      <w:r w:rsidRPr="0043317B">
        <w:rPr>
          <w:i/>
          <w:lang w:val="fr-FR"/>
        </w:rPr>
        <w:t>murakıp</w:t>
      </w:r>
      <w:r w:rsidRPr="0043317B">
        <w:rPr>
          <w:lang w:val="fr-FR"/>
        </w:rPr>
        <w:t>) au sein de İmarbank, furent démises de leurs fonctions par l</w:t>
      </w:r>
      <w:r w:rsidRPr="0043317B" w:rsidR="0043317B">
        <w:rPr>
          <w:lang w:val="fr-FR"/>
        </w:rPr>
        <w:t>’</w:t>
      </w:r>
      <w:r w:rsidRPr="0043317B" w:rsidR="003C4A77">
        <w:rPr>
          <w:lang w:val="fr-FR"/>
        </w:rPr>
        <w:t>arrêté </w:t>
      </w:r>
      <w:r w:rsidRPr="0043317B">
        <w:rPr>
          <w:lang w:val="fr-FR"/>
        </w:rPr>
        <w:t>n</w:t>
      </w:r>
      <w:r w:rsidRPr="0043317B">
        <w:rPr>
          <w:vertAlign w:val="superscript"/>
          <w:lang w:val="fr-FR"/>
        </w:rPr>
        <w:t>o</w:t>
      </w:r>
      <w:r w:rsidRPr="0043317B" w:rsidR="003C4A77">
        <w:rPr>
          <w:lang w:val="fr-FR"/>
        </w:rPr>
        <w:t> </w:t>
      </w:r>
      <w:r w:rsidRPr="0043317B">
        <w:rPr>
          <w:lang w:val="fr-FR"/>
        </w:rPr>
        <w:t>1085.</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9</w:t>
      </w:r>
      <w:r w:rsidRPr="0043317B">
        <w:rPr>
          <w:lang w:val="fr-FR"/>
        </w:rPr>
        <w:fldChar w:fldCharType="end"/>
      </w:r>
      <w:r w:rsidRPr="0043317B">
        <w:rPr>
          <w:lang w:val="fr-FR"/>
        </w:rPr>
        <w:t>.  Le 14 août 2003, la 2</w:t>
      </w:r>
      <w:r w:rsidRPr="0043317B">
        <w:rPr>
          <w:vertAlign w:val="superscript"/>
          <w:lang w:val="fr-FR"/>
        </w:rPr>
        <w:t>e</w:t>
      </w:r>
      <w:r w:rsidRPr="0043317B">
        <w:rPr>
          <w:lang w:val="fr-FR"/>
        </w:rPr>
        <w:t xml:space="preserve"> chambre du tribunal de police de Şişli émit une ordonnance de mesures conservatoires à l</w:t>
      </w:r>
      <w:r w:rsidRPr="0043317B" w:rsidR="0043317B">
        <w:rPr>
          <w:lang w:val="fr-FR"/>
        </w:rPr>
        <w:t>’</w:t>
      </w:r>
      <w:r w:rsidRPr="0043317B">
        <w:rPr>
          <w:lang w:val="fr-FR"/>
        </w:rPr>
        <w:t>encontre de plusieurs personnes.</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10</w:t>
      </w:r>
      <w:r w:rsidRPr="0043317B">
        <w:rPr>
          <w:lang w:val="fr-FR"/>
        </w:rPr>
        <w:fldChar w:fldCharType="end"/>
      </w:r>
      <w:r w:rsidRPr="0043317B">
        <w:rPr>
          <w:lang w:val="fr-FR"/>
        </w:rPr>
        <w:t>.  À différentes dates, le tribunal de police de Şişli rendit plusieurs ordonnances de mesures conservatoires, en application de l</w:t>
      </w:r>
      <w:r w:rsidRPr="0043317B" w:rsidR="0043317B">
        <w:rPr>
          <w:lang w:val="fr-FR"/>
        </w:rPr>
        <w:t>’</w:t>
      </w:r>
      <w:r w:rsidRPr="0043317B">
        <w:rPr>
          <w:lang w:val="fr-FR"/>
        </w:rPr>
        <w:t>article</w:t>
      </w:r>
      <w:r w:rsidRPr="0043317B" w:rsidR="003C4A77">
        <w:rPr>
          <w:lang w:val="fr-FR"/>
        </w:rPr>
        <w:t> provisoire </w:t>
      </w:r>
      <w:r w:rsidRPr="0043317B">
        <w:rPr>
          <w:lang w:val="fr-FR"/>
        </w:rPr>
        <w:t>2 de la loi n</w:t>
      </w:r>
      <w:r w:rsidRPr="0043317B">
        <w:rPr>
          <w:vertAlign w:val="superscript"/>
          <w:lang w:val="fr-FR"/>
        </w:rPr>
        <w:t xml:space="preserve">o </w:t>
      </w:r>
      <w:r w:rsidRPr="0043317B">
        <w:rPr>
          <w:lang w:val="fr-FR"/>
        </w:rPr>
        <w:t>4969, à l</w:t>
      </w:r>
      <w:r w:rsidRPr="0043317B" w:rsidR="0043317B">
        <w:rPr>
          <w:lang w:val="fr-FR"/>
        </w:rPr>
        <w:t>’</w:t>
      </w:r>
      <w:r w:rsidRPr="0043317B">
        <w:rPr>
          <w:lang w:val="fr-FR"/>
        </w:rPr>
        <w:t>égard des personnes visées au paragraphe 2 de cette disposition.</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11</w:t>
      </w:r>
      <w:r w:rsidRPr="0043317B">
        <w:rPr>
          <w:lang w:val="fr-FR"/>
        </w:rPr>
        <w:fldChar w:fldCharType="end"/>
      </w:r>
      <w:r w:rsidRPr="0043317B">
        <w:rPr>
          <w:lang w:val="fr-FR"/>
        </w:rPr>
        <w:t>.  Les mesures conservatoires ainsi décidées consistaient en la suspension des droits et des créances –</w:t>
      </w:r>
      <w:r w:rsidRPr="0043317B" w:rsidR="003C4A77">
        <w:rPr>
          <w:lang w:val="fr-FR"/>
        </w:rPr>
        <w:t> </w:t>
      </w:r>
      <w:r w:rsidRPr="0043317B">
        <w:rPr>
          <w:lang w:val="fr-FR"/>
        </w:rPr>
        <w:t>y compris les droits sur le contenu des coffres-forts détenus auprès des banques, des sociétés financières non bancaires et d</w:t>
      </w:r>
      <w:r w:rsidRPr="0043317B" w:rsidR="0043317B">
        <w:rPr>
          <w:lang w:val="fr-FR"/>
        </w:rPr>
        <w:t>’</w:t>
      </w:r>
      <w:r w:rsidRPr="0043317B">
        <w:rPr>
          <w:lang w:val="fr-FR"/>
        </w:rPr>
        <w:t>autres personnes morales</w:t>
      </w:r>
      <w:r w:rsidRPr="0043317B" w:rsidR="003C4A77">
        <w:rPr>
          <w:lang w:val="fr-FR"/>
        </w:rPr>
        <w:t> </w:t>
      </w:r>
      <w:r w:rsidRPr="0043317B">
        <w:rPr>
          <w:lang w:val="fr-FR"/>
        </w:rPr>
        <w:t>–, en la déchéance totale ou partielle du droit à la jouissance de la propriété et d</w:t>
      </w:r>
      <w:r w:rsidRPr="0043317B" w:rsidR="0043317B">
        <w:rPr>
          <w:lang w:val="fr-FR"/>
        </w:rPr>
        <w:t>’</w:t>
      </w:r>
      <w:r w:rsidRPr="0043317B">
        <w:rPr>
          <w:lang w:val="fr-FR"/>
        </w:rPr>
        <w:t>autres droits et créances réels, en la saisie de biens, titres, espèces et autres avoirs, et en leur remise à une autorité de paiement, ainsi qu</w:t>
      </w:r>
      <w:r w:rsidRPr="0043317B" w:rsidR="0043317B">
        <w:rPr>
          <w:lang w:val="fr-FR"/>
        </w:rPr>
        <w:t>’</w:t>
      </w:r>
      <w:r w:rsidRPr="0043317B">
        <w:rPr>
          <w:lang w:val="fr-FR"/>
        </w:rPr>
        <w:t>en l</w:t>
      </w:r>
      <w:r w:rsidRPr="0043317B" w:rsidR="0043317B">
        <w:rPr>
          <w:lang w:val="fr-FR"/>
        </w:rPr>
        <w:t>’</w:t>
      </w:r>
      <w:r w:rsidRPr="0043317B">
        <w:rPr>
          <w:lang w:val="fr-FR"/>
        </w:rPr>
        <w:t>imposition de mesures supplémentaires sur les droits et créances. Elles visaient le président et les membres du conseil d</w:t>
      </w:r>
      <w:r w:rsidRPr="0043317B" w:rsidR="0043317B">
        <w:rPr>
          <w:lang w:val="fr-FR"/>
        </w:rPr>
        <w:t>’</w:t>
      </w:r>
      <w:r w:rsidRPr="0043317B">
        <w:rPr>
          <w:lang w:val="fr-FR"/>
        </w:rPr>
        <w:t>administration de İmarbank, le président et les membres du comité de crédit, le directeur général, les directeurs généraux adjoints, les directeurs de succursales, les autres employés de la banque dont la signature engageait celle-ci et qui, directement ou indirectement, individuellement ou conjointement, en assuraient la gestion et le contrôle, ainsi que les conjoints et enfants des personnes susmentionnées.</w:t>
      </w:r>
    </w:p>
    <w:p w:rsidRPr="0043317B" w:rsidR="000A45C0" w:rsidP="0043317B" w:rsidRDefault="000A45C0">
      <w:pPr>
        <w:pStyle w:val="ECHRPara"/>
        <w:rPr>
          <w:lang w:val="fr-FR"/>
        </w:rPr>
      </w:pPr>
      <w:r w:rsidRPr="0043317B">
        <w:rPr>
          <w:lang w:val="fr-FR"/>
        </w:rPr>
        <w:t>Conformément à l</w:t>
      </w:r>
      <w:r w:rsidRPr="0043317B" w:rsidR="0043317B">
        <w:rPr>
          <w:lang w:val="fr-FR"/>
        </w:rPr>
        <w:t>’</w:t>
      </w:r>
      <w:r w:rsidRPr="0043317B">
        <w:rPr>
          <w:lang w:val="fr-FR"/>
        </w:rPr>
        <w:t>article provisoire 2 § 2 de la loi n</w:t>
      </w:r>
      <w:r w:rsidRPr="0043317B">
        <w:rPr>
          <w:vertAlign w:val="superscript"/>
          <w:lang w:val="fr-FR"/>
        </w:rPr>
        <w:t>o</w:t>
      </w:r>
      <w:r w:rsidRPr="0043317B">
        <w:rPr>
          <w:lang w:val="fr-FR"/>
        </w:rPr>
        <w:t xml:space="preserve"> 4969, ces mesures s</w:t>
      </w:r>
      <w:r w:rsidRPr="0043317B" w:rsidR="0043317B">
        <w:rPr>
          <w:lang w:val="fr-FR"/>
        </w:rPr>
        <w:t>’</w:t>
      </w:r>
      <w:r w:rsidRPr="0043317B">
        <w:rPr>
          <w:lang w:val="fr-FR"/>
        </w:rPr>
        <w:t>appliquaient aussi aux individus agissant au nom et pour le compte des personnes susmentionnées ou à ceux ayant acquis des fonds, des biens ou des droits au nom et pour le compte de ces mêmes personnes.</w:t>
      </w:r>
    </w:p>
    <w:p w:rsidRPr="0043317B" w:rsidR="000A45C0" w:rsidP="0043317B" w:rsidRDefault="000A45C0">
      <w:pPr>
        <w:pStyle w:val="ECHRPara"/>
        <w:rPr>
          <w:lang w:val="fr-FR"/>
        </w:rPr>
      </w:pPr>
      <w:r w:rsidRPr="0043317B">
        <w:rPr>
          <w:lang w:val="fr-FR"/>
        </w:rPr>
        <w:t>Lesdites mesures étaient circonscrites à la différence entre le montant des dépôts d</w:t>
      </w:r>
      <w:r w:rsidRPr="0043317B" w:rsidR="0043317B">
        <w:rPr>
          <w:lang w:val="fr-FR"/>
        </w:rPr>
        <w:t>’</w:t>
      </w:r>
      <w:r w:rsidRPr="0043317B">
        <w:rPr>
          <w:lang w:val="fr-FR"/>
        </w:rPr>
        <w:t>épargne assurés qui avait été déclaré par İmarbank aux autorités compétentes et le montant effectif des dépôts d</w:t>
      </w:r>
      <w:r w:rsidRPr="0043317B" w:rsidR="0043317B">
        <w:rPr>
          <w:lang w:val="fr-FR"/>
        </w:rPr>
        <w:t>’</w:t>
      </w:r>
      <w:r w:rsidRPr="0043317B">
        <w:rPr>
          <w:lang w:val="fr-FR"/>
        </w:rPr>
        <w:t>épargne.</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12</w:t>
      </w:r>
      <w:r w:rsidRPr="0043317B">
        <w:rPr>
          <w:lang w:val="fr-FR"/>
        </w:rPr>
        <w:fldChar w:fldCharType="end"/>
      </w:r>
      <w:r w:rsidRPr="0043317B">
        <w:rPr>
          <w:lang w:val="fr-FR"/>
        </w:rPr>
        <w:t>.  À la suite du transfert de la gestion et du contrôle de İmarbank au FADE, plusieurs plaintes pénales furent déposées contre les administrateurs et les actionnaires majoritaires de la banque. Vingt-cinq enquêtes pénales furent ouvertes pour des faits constitutifs d</w:t>
      </w:r>
      <w:r w:rsidRPr="0043317B" w:rsidR="0043317B">
        <w:rPr>
          <w:lang w:val="fr-FR"/>
        </w:rPr>
        <w:t>’</w:t>
      </w:r>
      <w:r w:rsidRPr="0043317B">
        <w:rPr>
          <w:lang w:val="fr-FR"/>
        </w:rPr>
        <w:t>infractions visées par l</w:t>
      </w:r>
      <w:r w:rsidRPr="0043317B" w:rsidR="0043317B">
        <w:rPr>
          <w:lang w:val="fr-FR"/>
        </w:rPr>
        <w:t>’</w:t>
      </w:r>
      <w:r w:rsidRPr="0043317B">
        <w:rPr>
          <w:lang w:val="fr-FR"/>
        </w:rPr>
        <w:t>ancienne loi</w:t>
      </w:r>
      <w:r w:rsidRPr="0043317B" w:rsidR="003C4A77">
        <w:rPr>
          <w:lang w:val="fr-FR"/>
        </w:rPr>
        <w:t> </w:t>
      </w:r>
      <w:r w:rsidRPr="0043317B">
        <w:rPr>
          <w:lang w:val="fr-FR"/>
        </w:rPr>
        <w:t>n</w:t>
      </w:r>
      <w:r w:rsidRPr="0043317B">
        <w:rPr>
          <w:vertAlign w:val="superscript"/>
          <w:lang w:val="fr-FR"/>
        </w:rPr>
        <w:t>o</w:t>
      </w:r>
      <w:r w:rsidRPr="0043317B" w:rsidR="003C4A77">
        <w:rPr>
          <w:vertAlign w:val="superscript"/>
          <w:lang w:val="fr-FR"/>
        </w:rPr>
        <w:t> </w:t>
      </w:r>
      <w:r w:rsidRPr="0043317B">
        <w:rPr>
          <w:lang w:val="fr-FR"/>
        </w:rPr>
        <w:t>4389, la nouvelle loi bancaire n</w:t>
      </w:r>
      <w:r w:rsidRPr="0043317B">
        <w:rPr>
          <w:vertAlign w:val="superscript"/>
          <w:lang w:val="fr-FR"/>
        </w:rPr>
        <w:t>o</w:t>
      </w:r>
      <w:r w:rsidRPr="0043317B" w:rsidR="003C4A77">
        <w:rPr>
          <w:lang w:val="fr-FR"/>
        </w:rPr>
        <w:t xml:space="preserve"> </w:t>
      </w:r>
      <w:r w:rsidRPr="0043317B">
        <w:rPr>
          <w:lang w:val="fr-FR"/>
        </w:rPr>
        <w:t>5411 et le code pénal.</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13</w:t>
      </w:r>
      <w:r w:rsidRPr="0043317B">
        <w:rPr>
          <w:lang w:val="fr-FR"/>
        </w:rPr>
        <w:fldChar w:fldCharType="end"/>
      </w:r>
      <w:r w:rsidRPr="0043317B">
        <w:rPr>
          <w:lang w:val="fr-FR"/>
        </w:rPr>
        <w:t>.  Le 3 décembre 2003, une procédure pénale principale fut diligentée devant la 8</w:t>
      </w:r>
      <w:r w:rsidRPr="0043317B">
        <w:rPr>
          <w:vertAlign w:val="superscript"/>
          <w:lang w:val="fr-FR"/>
        </w:rPr>
        <w:t>e</w:t>
      </w:r>
      <w:r w:rsidRPr="0043317B">
        <w:rPr>
          <w:lang w:val="fr-FR"/>
        </w:rPr>
        <w:t xml:space="preserve"> chambre de la cour d</w:t>
      </w:r>
      <w:r w:rsidRPr="0043317B" w:rsidR="0043317B">
        <w:rPr>
          <w:lang w:val="fr-FR"/>
        </w:rPr>
        <w:t>’</w:t>
      </w:r>
      <w:r w:rsidRPr="0043317B">
        <w:rPr>
          <w:lang w:val="fr-FR"/>
        </w:rPr>
        <w:t>assises d</w:t>
      </w:r>
      <w:r w:rsidRPr="0043317B" w:rsidR="0043317B">
        <w:rPr>
          <w:lang w:val="fr-FR"/>
        </w:rPr>
        <w:t>’</w:t>
      </w:r>
      <w:r w:rsidRPr="0043317B">
        <w:rPr>
          <w:lang w:val="fr-FR"/>
        </w:rPr>
        <w:t>Istanbul (dossier n</w:t>
      </w:r>
      <w:r w:rsidRPr="0043317B">
        <w:rPr>
          <w:vertAlign w:val="superscript"/>
          <w:lang w:val="fr-FR"/>
        </w:rPr>
        <w:t>o</w:t>
      </w:r>
      <w:r w:rsidRPr="0043317B">
        <w:rPr>
          <w:lang w:val="fr-FR"/>
        </w:rPr>
        <w:t> 2004/1) contre les administrateurs et les actionnaires majoritaires de İmarbank du chef de création d</w:t>
      </w:r>
      <w:r w:rsidRPr="0043317B" w:rsidR="0043317B">
        <w:rPr>
          <w:lang w:val="fr-FR"/>
        </w:rPr>
        <w:t>’</w:t>
      </w:r>
      <w:r w:rsidRPr="0043317B">
        <w:rPr>
          <w:lang w:val="fr-FR"/>
        </w:rPr>
        <w:t>une organisation en vue de commettre des infractions (détournement de fonds et fraude) en violation de l</w:t>
      </w:r>
      <w:r w:rsidRPr="0043317B" w:rsidR="0043317B">
        <w:rPr>
          <w:lang w:val="fr-FR"/>
        </w:rPr>
        <w:t>’</w:t>
      </w:r>
      <w:r w:rsidRPr="0043317B">
        <w:rPr>
          <w:lang w:val="fr-FR"/>
        </w:rPr>
        <w:t xml:space="preserve">article 223 de la </w:t>
      </w:r>
      <w:r w:rsidRPr="0043317B" w:rsidR="003C4A77">
        <w:rPr>
          <w:lang w:val="fr-FR"/>
        </w:rPr>
        <w:t>loi </w:t>
      </w:r>
      <w:r w:rsidRPr="0043317B">
        <w:rPr>
          <w:lang w:val="fr-FR"/>
        </w:rPr>
        <w:t>n</w:t>
      </w:r>
      <w:r w:rsidRPr="0043317B">
        <w:rPr>
          <w:vertAlign w:val="superscript"/>
          <w:lang w:val="fr-FR"/>
        </w:rPr>
        <w:t>o</w:t>
      </w:r>
      <w:r w:rsidRPr="0043317B">
        <w:rPr>
          <w:lang w:val="fr-FR"/>
        </w:rPr>
        <w:t> 4389.</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14</w:t>
      </w:r>
      <w:r w:rsidRPr="0043317B">
        <w:rPr>
          <w:lang w:val="fr-FR"/>
        </w:rPr>
        <w:fldChar w:fldCharType="end"/>
      </w:r>
      <w:r w:rsidRPr="0043317B">
        <w:rPr>
          <w:lang w:val="fr-FR"/>
        </w:rPr>
        <w:t>.  Le 24 décembre 2003, dans le cadre de son mandat légal, le FADE décida de poursuivre le recouvrement des créances détenues par le Trésor public sur İmarbank (paragraphe 24 ci-dessous), en application de la loi n</w:t>
      </w:r>
      <w:r w:rsidRPr="0043317B">
        <w:rPr>
          <w:vertAlign w:val="superscript"/>
          <w:lang w:val="fr-FR"/>
        </w:rPr>
        <w:t>o</w:t>
      </w:r>
      <w:r w:rsidRPr="0043317B">
        <w:rPr>
          <w:lang w:val="fr-FR"/>
        </w:rPr>
        <w:t> 6183 sur les procédures de recouvrement des créances publiques. Le montant des créances publiques fut évalué à</w:t>
      </w:r>
      <w:r w:rsidRPr="0043317B" w:rsidR="003C4A77">
        <w:rPr>
          <w:lang w:val="fr-FR"/>
        </w:rPr>
        <w:t xml:space="preserve"> </w:t>
      </w:r>
      <w:r w:rsidRPr="0043317B">
        <w:rPr>
          <w:lang w:val="fr-FR"/>
        </w:rPr>
        <w:t>7 552 995 710,63</w:t>
      </w:r>
      <w:r w:rsidRPr="0043317B" w:rsidR="003C4A77">
        <w:rPr>
          <w:lang w:val="fr-FR"/>
        </w:rPr>
        <w:t> </w:t>
      </w:r>
      <w:r w:rsidRPr="0043317B">
        <w:rPr>
          <w:lang w:val="fr-FR"/>
        </w:rPr>
        <w:t>livres</w:t>
      </w:r>
      <w:r w:rsidRPr="0043317B" w:rsidR="003C4A77">
        <w:rPr>
          <w:lang w:val="fr-FR"/>
        </w:rPr>
        <w:t> </w:t>
      </w:r>
      <w:r w:rsidRPr="0043317B">
        <w:rPr>
          <w:lang w:val="fr-FR"/>
        </w:rPr>
        <w:t>turques (TRY) (7 552 995 710 632 930 anciennes livres turques (TRL), soit environ 4 284 172</w:t>
      </w:r>
      <w:r w:rsidRPr="0043317B" w:rsidR="003C4A77">
        <w:rPr>
          <w:lang w:val="fr-FR"/>
        </w:rPr>
        <w:t> </w:t>
      </w:r>
      <w:r w:rsidRPr="0043317B">
        <w:rPr>
          <w:lang w:val="fr-FR"/>
        </w:rPr>
        <w:t>000</w:t>
      </w:r>
      <w:r w:rsidRPr="0043317B" w:rsidR="003C4A77">
        <w:rPr>
          <w:lang w:val="fr-FR"/>
        </w:rPr>
        <w:t> </w:t>
      </w:r>
      <w:r w:rsidRPr="0043317B">
        <w:rPr>
          <w:lang w:val="fr-FR"/>
        </w:rPr>
        <w:t>EUR à l</w:t>
      </w:r>
      <w:r w:rsidRPr="0043317B" w:rsidR="0043317B">
        <w:rPr>
          <w:lang w:val="fr-FR"/>
        </w:rPr>
        <w:t>’</w:t>
      </w:r>
      <w:r w:rsidRPr="0043317B">
        <w:rPr>
          <w:lang w:val="fr-FR"/>
        </w:rPr>
        <w:t>époque des faits).</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15</w:t>
      </w:r>
      <w:r w:rsidRPr="0043317B">
        <w:rPr>
          <w:lang w:val="fr-FR"/>
        </w:rPr>
        <w:fldChar w:fldCharType="end"/>
      </w:r>
      <w:r w:rsidRPr="0043317B">
        <w:rPr>
          <w:lang w:val="fr-FR"/>
        </w:rPr>
        <w:t>.  Par la suite, en application des articles 14, 15 et 16 de la</w:t>
      </w:r>
      <w:r w:rsidRPr="0043317B" w:rsidR="003C4A77">
        <w:rPr>
          <w:lang w:val="fr-FR"/>
        </w:rPr>
        <w:t xml:space="preserve"> loi </w:t>
      </w:r>
      <w:r w:rsidRPr="0043317B">
        <w:rPr>
          <w:lang w:val="fr-FR"/>
        </w:rPr>
        <w:t>n</w:t>
      </w:r>
      <w:r w:rsidRPr="0043317B">
        <w:rPr>
          <w:vertAlign w:val="superscript"/>
          <w:lang w:val="fr-FR"/>
        </w:rPr>
        <w:t>o</w:t>
      </w:r>
      <w:r w:rsidRPr="0043317B" w:rsidR="003C4A77">
        <w:rPr>
          <w:vertAlign w:val="superscript"/>
          <w:lang w:val="fr-FR"/>
        </w:rPr>
        <w:t> </w:t>
      </w:r>
      <w:r w:rsidRPr="0043317B">
        <w:rPr>
          <w:lang w:val="fr-FR"/>
        </w:rPr>
        <w:t>4389 et des dispositions de la loi n</w:t>
      </w:r>
      <w:r w:rsidRPr="0043317B">
        <w:rPr>
          <w:vertAlign w:val="superscript"/>
          <w:lang w:val="fr-FR"/>
        </w:rPr>
        <w:t>o</w:t>
      </w:r>
      <w:r w:rsidRPr="0043317B">
        <w:rPr>
          <w:lang w:val="fr-FR"/>
        </w:rPr>
        <w:t xml:space="preserve"> 6183, des poursuites judiciaires furent engagées contre plusieurs personnes physiques et morales en vue du recouvrement desdites créances publiques. Dans ce contexte, le 7</w:t>
      </w:r>
      <w:r w:rsidRPr="0043317B" w:rsidR="003C4A77">
        <w:rPr>
          <w:lang w:val="fr-FR"/>
        </w:rPr>
        <w:t> </w:t>
      </w:r>
      <w:r w:rsidRPr="0043317B">
        <w:rPr>
          <w:lang w:val="fr-FR"/>
        </w:rPr>
        <w:t>janvier 2004, le FADE demanda au procureur de la République de Şişli d</w:t>
      </w:r>
      <w:r w:rsidRPr="0043317B" w:rsidR="0043317B">
        <w:rPr>
          <w:lang w:val="fr-FR"/>
        </w:rPr>
        <w:t>’</w:t>
      </w:r>
      <w:r w:rsidRPr="0043317B">
        <w:rPr>
          <w:lang w:val="fr-FR"/>
        </w:rPr>
        <w:t>engager des poursuites pénales pour détournement de fonds et complicité de détournement de fonds à l</w:t>
      </w:r>
      <w:r w:rsidRPr="0043317B" w:rsidR="0043317B">
        <w:rPr>
          <w:lang w:val="fr-FR"/>
        </w:rPr>
        <w:t>’</w:t>
      </w:r>
      <w:r w:rsidRPr="0043317B">
        <w:rPr>
          <w:lang w:val="fr-FR"/>
        </w:rPr>
        <w:t>encontre des personnes morales et physiques, dont les requérants, à propos desquelles une ordonnance de mesures conservatoires avait été émise par le tribunal de police de Şişli en application de l</w:t>
      </w:r>
      <w:r w:rsidRPr="0043317B" w:rsidR="0043317B">
        <w:rPr>
          <w:lang w:val="fr-FR"/>
        </w:rPr>
        <w:t>’</w:t>
      </w:r>
      <w:r w:rsidRPr="0043317B">
        <w:rPr>
          <w:lang w:val="fr-FR"/>
        </w:rPr>
        <w:t>article 2 provisoire de la loi</w:t>
      </w:r>
      <w:r w:rsidRPr="0043317B" w:rsidR="003C4A77">
        <w:rPr>
          <w:lang w:val="fr-FR"/>
        </w:rPr>
        <w:t> </w:t>
      </w:r>
      <w:r w:rsidRPr="0043317B">
        <w:rPr>
          <w:lang w:val="fr-FR"/>
        </w:rPr>
        <w:t>n</w:t>
      </w:r>
      <w:r w:rsidRPr="0043317B">
        <w:rPr>
          <w:vertAlign w:val="superscript"/>
          <w:lang w:val="fr-FR"/>
        </w:rPr>
        <w:t>o</w:t>
      </w:r>
      <w:r w:rsidRPr="0043317B" w:rsidR="003C4A77">
        <w:rPr>
          <w:vertAlign w:val="superscript"/>
          <w:lang w:val="fr-FR"/>
        </w:rPr>
        <w:t> </w:t>
      </w:r>
      <w:r w:rsidRPr="0043317B">
        <w:rPr>
          <w:lang w:val="fr-FR"/>
        </w:rPr>
        <w:t>4969.</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16</w:t>
      </w:r>
      <w:r w:rsidRPr="0043317B">
        <w:rPr>
          <w:lang w:val="fr-FR"/>
        </w:rPr>
        <w:fldChar w:fldCharType="end"/>
      </w:r>
      <w:r w:rsidRPr="0043317B">
        <w:rPr>
          <w:lang w:val="fr-FR"/>
        </w:rPr>
        <w:t>.  Le 21 janvier 2004, le procureur de la République de Şişli rendit une décision de non-lieu pour manque de preuves. Il nota, en se référant à un rapport d</w:t>
      </w:r>
      <w:r w:rsidRPr="0043317B" w:rsidR="0043317B">
        <w:rPr>
          <w:lang w:val="fr-FR"/>
        </w:rPr>
        <w:t>’</w:t>
      </w:r>
      <w:r w:rsidRPr="0043317B">
        <w:rPr>
          <w:lang w:val="fr-FR"/>
        </w:rPr>
        <w:t>audit du 22 septembre 2003, ce qui suit : les infractions et leurs auteurs avaient été concrètement identifiés ; ledit rapport, établi à la suite de la réalisation d</w:t>
      </w:r>
      <w:r w:rsidRPr="0043317B" w:rsidR="0043317B">
        <w:rPr>
          <w:lang w:val="fr-FR"/>
        </w:rPr>
        <w:t>’</w:t>
      </w:r>
      <w:r w:rsidRPr="0043317B">
        <w:rPr>
          <w:lang w:val="fr-FR"/>
        </w:rPr>
        <w:t>une enquête d</w:t>
      </w:r>
      <w:r w:rsidRPr="0043317B" w:rsidR="0043317B">
        <w:rPr>
          <w:lang w:val="fr-FR"/>
        </w:rPr>
        <w:t>’</w:t>
      </w:r>
      <w:r w:rsidRPr="0043317B">
        <w:rPr>
          <w:lang w:val="fr-FR"/>
        </w:rPr>
        <w:t>audit technique, ne comportait aucune conclusion démontrant la participation des personnes visées par les mesures conservatoires au détournement allégué ; il n</w:t>
      </w:r>
      <w:r w:rsidRPr="0043317B" w:rsidR="0043317B">
        <w:rPr>
          <w:lang w:val="fr-FR"/>
        </w:rPr>
        <w:t>’</w:t>
      </w:r>
      <w:r w:rsidRPr="0043317B">
        <w:rPr>
          <w:lang w:val="fr-FR"/>
        </w:rPr>
        <w:t>avait été aucunement question d</w:t>
      </w:r>
      <w:r w:rsidRPr="0043317B" w:rsidR="0043317B">
        <w:rPr>
          <w:lang w:val="fr-FR"/>
        </w:rPr>
        <w:t>’</w:t>
      </w:r>
      <w:r w:rsidRPr="0043317B">
        <w:rPr>
          <w:lang w:val="fr-FR"/>
        </w:rPr>
        <w:t>une quelconque responsabilité pénale de ces personnes ; il n</w:t>
      </w:r>
      <w:r w:rsidRPr="0043317B" w:rsidR="0043317B">
        <w:rPr>
          <w:lang w:val="fr-FR"/>
        </w:rPr>
        <w:t>’</w:t>
      </w:r>
      <w:r w:rsidRPr="0043317B">
        <w:rPr>
          <w:lang w:val="fr-FR"/>
        </w:rPr>
        <w:t>était pas possible de considérer comme « accusées » les personnes physiques et morales qui avaient fait l</w:t>
      </w:r>
      <w:r w:rsidRPr="0043317B" w:rsidR="0043317B">
        <w:rPr>
          <w:lang w:val="fr-FR"/>
        </w:rPr>
        <w:t>’</w:t>
      </w:r>
      <w:r w:rsidRPr="0043317B">
        <w:rPr>
          <w:lang w:val="fr-FR"/>
        </w:rPr>
        <w:t>objet d</w:t>
      </w:r>
      <w:r w:rsidRPr="0043317B" w:rsidR="0043317B">
        <w:rPr>
          <w:lang w:val="fr-FR"/>
        </w:rPr>
        <w:t>’</w:t>
      </w:r>
      <w:r w:rsidRPr="0043317B">
        <w:rPr>
          <w:lang w:val="fr-FR"/>
        </w:rPr>
        <w:t>ordonnances prononcées sur le fondement de l</w:t>
      </w:r>
      <w:r w:rsidRPr="0043317B" w:rsidR="0043317B">
        <w:rPr>
          <w:lang w:val="fr-FR"/>
        </w:rPr>
        <w:t>’</w:t>
      </w:r>
      <w:r w:rsidRPr="0043317B">
        <w:rPr>
          <w:lang w:val="fr-FR"/>
        </w:rPr>
        <w:t>article provisoire 2 § 2 de la loi n</w:t>
      </w:r>
      <w:r w:rsidRPr="0043317B">
        <w:rPr>
          <w:vertAlign w:val="superscript"/>
          <w:lang w:val="fr-FR"/>
        </w:rPr>
        <w:t>o</w:t>
      </w:r>
      <w:r w:rsidRPr="0043317B">
        <w:rPr>
          <w:lang w:val="fr-FR"/>
        </w:rPr>
        <w:t xml:space="preserve"> 4969, qui était entrée en vigueur après la date de commission de l</w:t>
      </w:r>
      <w:r w:rsidRPr="0043317B" w:rsidR="0043317B">
        <w:rPr>
          <w:lang w:val="fr-FR"/>
        </w:rPr>
        <w:t>’</w:t>
      </w:r>
      <w:r w:rsidRPr="0043317B">
        <w:rPr>
          <w:lang w:val="fr-FR"/>
        </w:rPr>
        <w:t>infraction et avait pour but de réparer les préjudices occasionnés ; ces personnes ne pouvaient être accusées sur la seule base de leurs fonctions ; et, en tout état de cause, il n</w:t>
      </w:r>
      <w:r w:rsidRPr="0043317B" w:rsidR="0043317B">
        <w:rPr>
          <w:lang w:val="fr-FR"/>
        </w:rPr>
        <w:t>’</w:t>
      </w:r>
      <w:r w:rsidRPr="0043317B">
        <w:rPr>
          <w:lang w:val="fr-FR"/>
        </w:rPr>
        <w:t>y avait pas la moindre accusation concernant la participation de ces personnes au détournement de fonds.</w:t>
      </w:r>
    </w:p>
    <w:p w:rsidRPr="0043317B" w:rsidR="000A45C0" w:rsidP="0043317B" w:rsidRDefault="000A45C0">
      <w:pPr>
        <w:pStyle w:val="ECHRPara"/>
        <w:rPr>
          <w:lang w:val="fr-FR"/>
        </w:rPr>
      </w:pPr>
      <w:r w:rsidRPr="0043317B">
        <w:rPr>
          <w:lang w:val="fr-FR"/>
        </w:rPr>
        <w:t>Le procureur releva par ailleurs que, en dehors de l</w:t>
      </w:r>
      <w:r w:rsidRPr="0043317B" w:rsidR="0043317B">
        <w:rPr>
          <w:lang w:val="fr-FR"/>
        </w:rPr>
        <w:t>’</w:t>
      </w:r>
      <w:r w:rsidRPr="0043317B">
        <w:rPr>
          <w:lang w:val="fr-FR"/>
        </w:rPr>
        <w:t>incrimination contenue dans l</w:t>
      </w:r>
      <w:r w:rsidRPr="0043317B" w:rsidR="0043317B">
        <w:rPr>
          <w:lang w:val="fr-FR"/>
        </w:rPr>
        <w:t>’</w:t>
      </w:r>
      <w:r w:rsidRPr="0043317B">
        <w:rPr>
          <w:lang w:val="fr-FR"/>
        </w:rPr>
        <w:t>acte d</w:t>
      </w:r>
      <w:r w:rsidRPr="0043317B" w:rsidR="0043317B">
        <w:rPr>
          <w:lang w:val="fr-FR"/>
        </w:rPr>
        <w:t>’</w:t>
      </w:r>
      <w:r w:rsidRPr="0043317B">
        <w:rPr>
          <w:lang w:val="fr-FR"/>
        </w:rPr>
        <w:t>accusation initial, le dossier ne comportait aucun élément de preuve susceptible de permettre l</w:t>
      </w:r>
      <w:r w:rsidRPr="0043317B" w:rsidR="0043317B">
        <w:rPr>
          <w:lang w:val="fr-FR"/>
        </w:rPr>
        <w:t>’</w:t>
      </w:r>
      <w:r w:rsidRPr="0043317B">
        <w:rPr>
          <w:lang w:val="fr-FR"/>
        </w:rPr>
        <w:t>ouverture d</w:t>
      </w:r>
      <w:r w:rsidRPr="0043317B" w:rsidR="0043317B">
        <w:rPr>
          <w:lang w:val="fr-FR"/>
        </w:rPr>
        <w:t>’</w:t>
      </w:r>
      <w:r w:rsidRPr="0043317B">
        <w:rPr>
          <w:lang w:val="fr-FR"/>
        </w:rPr>
        <w:t>une procédure pénale à l</w:t>
      </w:r>
      <w:r w:rsidRPr="0043317B" w:rsidR="0043317B">
        <w:rPr>
          <w:lang w:val="fr-FR"/>
        </w:rPr>
        <w:t>’</w:t>
      </w:r>
      <w:r w:rsidRPr="0043317B">
        <w:rPr>
          <w:lang w:val="fr-FR"/>
        </w:rPr>
        <w:t>encontre des personnes visées par les ordonnances de mesures conservatoires.</w:t>
      </w:r>
    </w:p>
    <w:p w:rsidRPr="0043317B" w:rsidR="000A45C0" w:rsidP="0043317B" w:rsidRDefault="000A45C0">
      <w:pPr>
        <w:pStyle w:val="ECHRPara"/>
        <w:rPr>
          <w:lang w:val="fr-FR"/>
        </w:rPr>
      </w:pPr>
      <w:r w:rsidRPr="0043317B">
        <w:rPr>
          <w:lang w:val="fr-FR"/>
        </w:rPr>
        <w:t>Il considéra enfin que les poursuites pouvaient uniquement être engagées contre les personnes énumérées dans l</w:t>
      </w:r>
      <w:r w:rsidRPr="0043317B" w:rsidR="0043317B">
        <w:rPr>
          <w:lang w:val="fr-FR"/>
        </w:rPr>
        <w:t>’</w:t>
      </w:r>
      <w:r w:rsidRPr="0043317B">
        <w:rPr>
          <w:lang w:val="fr-FR"/>
        </w:rPr>
        <w:t>addendum annexé à la décision de non</w:t>
      </w:r>
      <w:r w:rsidRPr="0043317B">
        <w:rPr>
          <w:lang w:val="fr-FR"/>
        </w:rPr>
        <w:noBreakHyphen/>
        <w:t>lieu (parmi lesquelles figuraient K.U., Y.U, H.U, les dirigeants du groupe Uzan et de İmarbank), lequel ne contenait pas les noms des requérants.</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17</w:t>
      </w:r>
      <w:r w:rsidRPr="0043317B">
        <w:rPr>
          <w:lang w:val="fr-FR"/>
        </w:rPr>
        <w:fldChar w:fldCharType="end"/>
      </w:r>
      <w:r w:rsidRPr="0043317B">
        <w:rPr>
          <w:lang w:val="fr-FR"/>
        </w:rPr>
        <w:t>.  Le 10 mai 2004, la cour d</w:t>
      </w:r>
      <w:r w:rsidRPr="0043317B" w:rsidR="0043317B">
        <w:rPr>
          <w:lang w:val="fr-FR"/>
        </w:rPr>
        <w:t>’</w:t>
      </w:r>
      <w:r w:rsidRPr="0043317B">
        <w:rPr>
          <w:lang w:val="fr-FR"/>
        </w:rPr>
        <w:t>assises de Beyoglu rejeta l</w:t>
      </w:r>
      <w:r w:rsidRPr="0043317B" w:rsidR="0043317B">
        <w:rPr>
          <w:lang w:val="fr-FR"/>
        </w:rPr>
        <w:t>’</w:t>
      </w:r>
      <w:r w:rsidRPr="0043317B">
        <w:rPr>
          <w:lang w:val="fr-FR"/>
        </w:rPr>
        <w:t>opposition faite par le FADE contre la décision de non-lieu du 21 janvier 2004.</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18</w:t>
      </w:r>
      <w:r w:rsidRPr="0043317B">
        <w:rPr>
          <w:lang w:val="fr-FR"/>
        </w:rPr>
        <w:fldChar w:fldCharType="end"/>
      </w:r>
      <w:r w:rsidRPr="0043317B">
        <w:rPr>
          <w:lang w:val="fr-FR"/>
        </w:rPr>
        <w:t>.  Par ailleurs, à la suite du déclenchement de l</w:t>
      </w:r>
      <w:r w:rsidRPr="0043317B" w:rsidR="0043317B">
        <w:rPr>
          <w:lang w:val="fr-FR"/>
        </w:rPr>
        <w:t>’</w:t>
      </w:r>
      <w:r w:rsidRPr="0043317B">
        <w:rPr>
          <w:lang w:val="fr-FR"/>
        </w:rPr>
        <w:t>affaire pénale principale, les dossiers relatifs aux ordonnances de mesures conservatoires émises par le tribunal de police de Şişli furent joints au dossier principal (n</w:t>
      </w:r>
      <w:r w:rsidRPr="0043317B">
        <w:rPr>
          <w:vertAlign w:val="superscript"/>
          <w:lang w:val="fr-FR"/>
        </w:rPr>
        <w:t>o</w:t>
      </w:r>
      <w:r w:rsidRPr="0043317B">
        <w:rPr>
          <w:lang w:val="fr-FR"/>
        </w:rPr>
        <w:t> 2004/1) devant la 8</w:t>
      </w:r>
      <w:r w:rsidRPr="0043317B">
        <w:rPr>
          <w:vertAlign w:val="superscript"/>
          <w:lang w:val="fr-FR"/>
        </w:rPr>
        <w:t>e</w:t>
      </w:r>
      <w:r w:rsidRPr="0043317B">
        <w:rPr>
          <w:lang w:val="fr-FR"/>
        </w:rPr>
        <w:t xml:space="preserve"> chambre de la cour d</w:t>
      </w:r>
      <w:r w:rsidRPr="0043317B" w:rsidR="0043317B">
        <w:rPr>
          <w:lang w:val="fr-FR"/>
        </w:rPr>
        <w:t>’</w:t>
      </w:r>
      <w:r w:rsidRPr="0043317B">
        <w:rPr>
          <w:lang w:val="fr-FR"/>
        </w:rPr>
        <w:t>assises d</w:t>
      </w:r>
      <w:r w:rsidRPr="0043317B" w:rsidR="0043317B">
        <w:rPr>
          <w:lang w:val="fr-FR"/>
        </w:rPr>
        <w:t>’</w:t>
      </w:r>
      <w:r w:rsidRPr="0043317B">
        <w:rPr>
          <w:lang w:val="fr-FR"/>
        </w:rPr>
        <w:t>Istanbul.</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19</w:t>
      </w:r>
      <w:r w:rsidRPr="0043317B">
        <w:rPr>
          <w:lang w:val="fr-FR"/>
        </w:rPr>
        <w:fldChar w:fldCharType="end"/>
      </w:r>
      <w:r w:rsidRPr="0043317B">
        <w:rPr>
          <w:lang w:val="fr-FR"/>
        </w:rPr>
        <w:t>.  La cour d</w:t>
      </w:r>
      <w:r w:rsidRPr="0043317B" w:rsidR="0043317B">
        <w:rPr>
          <w:lang w:val="fr-FR"/>
        </w:rPr>
        <w:t>’</w:t>
      </w:r>
      <w:r w:rsidRPr="0043317B">
        <w:rPr>
          <w:lang w:val="fr-FR"/>
        </w:rPr>
        <w:t>assises d</w:t>
      </w:r>
      <w:r w:rsidRPr="0043317B" w:rsidR="0043317B">
        <w:rPr>
          <w:lang w:val="fr-FR"/>
        </w:rPr>
        <w:t>’</w:t>
      </w:r>
      <w:r w:rsidRPr="0043317B">
        <w:rPr>
          <w:lang w:val="fr-FR"/>
        </w:rPr>
        <w:t>Istanbul ordonna la détention provisoire par défaut des dirigeants de İmarbank, K.U., Y.U. et H.U., qui étaient en fuite et n</w:t>
      </w:r>
      <w:r w:rsidRPr="0043317B" w:rsidR="0043317B">
        <w:rPr>
          <w:lang w:val="fr-FR"/>
        </w:rPr>
        <w:t>’</w:t>
      </w:r>
      <w:r w:rsidRPr="0043317B">
        <w:rPr>
          <w:lang w:val="fr-FR"/>
        </w:rPr>
        <w:t>avaient pas comparu devant le tribunal de première instance. En outre, Interpol émit un avis de recherche (bulletin rouge) à l</w:t>
      </w:r>
      <w:r w:rsidRPr="0043317B" w:rsidR="0043317B">
        <w:rPr>
          <w:lang w:val="fr-FR"/>
        </w:rPr>
        <w:t>’</w:t>
      </w:r>
      <w:r w:rsidRPr="0043317B">
        <w:rPr>
          <w:lang w:val="fr-FR"/>
        </w:rPr>
        <w:t>encontre de ceux-ci.</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20</w:t>
      </w:r>
      <w:r w:rsidRPr="0043317B">
        <w:rPr>
          <w:lang w:val="fr-FR"/>
        </w:rPr>
        <w:fldChar w:fldCharType="end"/>
      </w:r>
      <w:r w:rsidRPr="0043317B">
        <w:rPr>
          <w:lang w:val="fr-FR"/>
        </w:rPr>
        <w:t>.  Le 8 juin 2005, la 2</w:t>
      </w:r>
      <w:r w:rsidRPr="0043317B">
        <w:rPr>
          <w:vertAlign w:val="superscript"/>
          <w:lang w:val="fr-FR"/>
        </w:rPr>
        <w:t>e</w:t>
      </w:r>
      <w:r w:rsidRPr="0043317B">
        <w:rPr>
          <w:lang w:val="fr-FR"/>
        </w:rPr>
        <w:t xml:space="preserve"> chambre du tribunal de commerce d</w:t>
      </w:r>
      <w:r w:rsidRPr="0043317B" w:rsidR="0043317B">
        <w:rPr>
          <w:lang w:val="fr-FR"/>
        </w:rPr>
        <w:t>’</w:t>
      </w:r>
      <w:r w:rsidRPr="0043317B">
        <w:rPr>
          <w:lang w:val="fr-FR"/>
        </w:rPr>
        <w:t>Istanbul prononça la faillite de İmarbank en application de l</w:t>
      </w:r>
      <w:r w:rsidRPr="0043317B" w:rsidR="0043317B">
        <w:rPr>
          <w:lang w:val="fr-FR"/>
        </w:rPr>
        <w:t>’</w:t>
      </w:r>
      <w:r w:rsidRPr="0043317B" w:rsidR="003C4A77">
        <w:rPr>
          <w:lang w:val="fr-FR"/>
        </w:rPr>
        <w:t>article 16 § 1 de la loi </w:t>
      </w:r>
      <w:r w:rsidRPr="0043317B">
        <w:rPr>
          <w:lang w:val="fr-FR"/>
        </w:rPr>
        <w:t>n</w:t>
      </w:r>
      <w:r w:rsidRPr="0043317B">
        <w:rPr>
          <w:vertAlign w:val="superscript"/>
          <w:lang w:val="fr-FR"/>
        </w:rPr>
        <w:t>o</w:t>
      </w:r>
      <w:r w:rsidRPr="0043317B">
        <w:rPr>
          <w:lang w:val="fr-FR"/>
        </w:rPr>
        <w:t> </w:t>
      </w:r>
      <w:r w:rsidRPr="0043317B" w:rsidR="003C4A77">
        <w:rPr>
          <w:lang w:val="fr-FR"/>
        </w:rPr>
        <w:t>4389 (dossier </w:t>
      </w:r>
      <w:r w:rsidRPr="0043317B">
        <w:rPr>
          <w:lang w:val="fr-FR"/>
        </w:rPr>
        <w:t>n</w:t>
      </w:r>
      <w:r w:rsidRPr="0043317B">
        <w:rPr>
          <w:vertAlign w:val="superscript"/>
          <w:lang w:val="fr-FR"/>
        </w:rPr>
        <w:t>o</w:t>
      </w:r>
      <w:r w:rsidRPr="0043317B" w:rsidR="003C4A77">
        <w:rPr>
          <w:vertAlign w:val="superscript"/>
          <w:lang w:val="fr-FR"/>
        </w:rPr>
        <w:t> </w:t>
      </w:r>
      <w:r w:rsidRPr="0043317B">
        <w:rPr>
          <w:lang w:val="fr-FR"/>
        </w:rPr>
        <w:t>2004/132).</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21</w:t>
      </w:r>
      <w:r w:rsidRPr="0043317B">
        <w:rPr>
          <w:lang w:val="fr-FR"/>
        </w:rPr>
        <w:fldChar w:fldCharType="end"/>
      </w:r>
      <w:r w:rsidRPr="0043317B">
        <w:rPr>
          <w:lang w:val="fr-FR"/>
        </w:rPr>
        <w:t>.  Le 21 février 2006, la 8</w:t>
      </w:r>
      <w:r w:rsidRPr="0043317B">
        <w:rPr>
          <w:vertAlign w:val="superscript"/>
          <w:lang w:val="fr-FR"/>
        </w:rPr>
        <w:t>e</w:t>
      </w:r>
      <w:r w:rsidRPr="0043317B">
        <w:rPr>
          <w:lang w:val="fr-FR"/>
        </w:rPr>
        <w:t xml:space="preserve"> chambre de la cour d</w:t>
      </w:r>
      <w:r w:rsidRPr="0043317B" w:rsidR="0043317B">
        <w:rPr>
          <w:lang w:val="fr-FR"/>
        </w:rPr>
        <w:t>’</w:t>
      </w:r>
      <w:r w:rsidRPr="0043317B">
        <w:rPr>
          <w:lang w:val="fr-FR"/>
        </w:rPr>
        <w:t>assises d</w:t>
      </w:r>
      <w:r w:rsidRPr="0043317B" w:rsidR="0043317B">
        <w:rPr>
          <w:lang w:val="fr-FR"/>
        </w:rPr>
        <w:t>’</w:t>
      </w:r>
      <w:r w:rsidRPr="0043317B">
        <w:rPr>
          <w:lang w:val="fr-FR"/>
        </w:rPr>
        <w:t>Istanbul rendit son arrêt concernant les accusations portées contre vingt-trois des personnes mises en cause. Cependant, en raison de l</w:t>
      </w:r>
      <w:r w:rsidRPr="0043317B" w:rsidR="0043317B">
        <w:rPr>
          <w:lang w:val="fr-FR"/>
        </w:rPr>
        <w:t>’</w:t>
      </w:r>
      <w:r w:rsidRPr="0043317B">
        <w:rPr>
          <w:lang w:val="fr-FR"/>
        </w:rPr>
        <w:t>absence des dirigeants K.U., Y.U. et H.U., l</w:t>
      </w:r>
      <w:r w:rsidRPr="0043317B" w:rsidR="0043317B">
        <w:rPr>
          <w:lang w:val="fr-FR"/>
        </w:rPr>
        <w:t>’</w:t>
      </w:r>
      <w:r w:rsidRPr="0043317B">
        <w:rPr>
          <w:lang w:val="fr-FR"/>
        </w:rPr>
        <w:t>affaire dirigée contre ceux-ci fut disjointe et fit l</w:t>
      </w:r>
      <w:r w:rsidRPr="0043317B" w:rsidR="0043317B">
        <w:rPr>
          <w:lang w:val="fr-FR"/>
        </w:rPr>
        <w:t>’</w:t>
      </w:r>
      <w:r w:rsidRPr="0043317B">
        <w:rPr>
          <w:lang w:val="fr-FR"/>
        </w:rPr>
        <w:t>objet d</w:t>
      </w:r>
      <w:r w:rsidRPr="0043317B" w:rsidR="0043317B">
        <w:rPr>
          <w:lang w:val="fr-FR"/>
        </w:rPr>
        <w:t>’</w:t>
      </w:r>
      <w:r w:rsidRPr="0043317B">
        <w:rPr>
          <w:lang w:val="fr-FR"/>
        </w:rPr>
        <w:t>un réenregistrement dans le dossier n</w:t>
      </w:r>
      <w:r w:rsidRPr="0043317B">
        <w:rPr>
          <w:vertAlign w:val="superscript"/>
          <w:lang w:val="fr-FR"/>
        </w:rPr>
        <w:t>o</w:t>
      </w:r>
      <w:r w:rsidRPr="0043317B">
        <w:rPr>
          <w:lang w:val="fr-FR"/>
        </w:rPr>
        <w:t xml:space="preserve"> 2006/17 devant la même juridiction.</w:t>
      </w:r>
    </w:p>
    <w:p w:rsidRPr="0043317B" w:rsidR="000A45C0" w:rsidP="0043317B" w:rsidRDefault="000A45C0">
      <w:pPr>
        <w:pStyle w:val="ECHRPara"/>
        <w:rPr>
          <w:lang w:val="fr-FR"/>
        </w:rPr>
      </w:pPr>
      <w:r w:rsidRPr="0043317B">
        <w:rPr>
          <w:lang w:val="fr-FR"/>
        </w:rPr>
        <w:t>Le même jour, la 8</w:t>
      </w:r>
      <w:r w:rsidRPr="0043317B">
        <w:rPr>
          <w:vertAlign w:val="superscript"/>
          <w:lang w:val="fr-FR"/>
        </w:rPr>
        <w:t>e</w:t>
      </w:r>
      <w:r w:rsidRPr="0043317B">
        <w:rPr>
          <w:lang w:val="fr-FR"/>
        </w:rPr>
        <w:t xml:space="preserve"> chambre de la cour d</w:t>
      </w:r>
      <w:r w:rsidRPr="0043317B" w:rsidR="0043317B">
        <w:rPr>
          <w:lang w:val="fr-FR"/>
        </w:rPr>
        <w:t>’</w:t>
      </w:r>
      <w:r w:rsidRPr="0043317B">
        <w:rPr>
          <w:lang w:val="fr-FR"/>
        </w:rPr>
        <w:t>assises d</w:t>
      </w:r>
      <w:r w:rsidRPr="0043317B" w:rsidR="0043317B">
        <w:rPr>
          <w:lang w:val="fr-FR"/>
        </w:rPr>
        <w:t>’</w:t>
      </w:r>
      <w:r w:rsidRPr="0043317B">
        <w:rPr>
          <w:lang w:val="fr-FR"/>
        </w:rPr>
        <w:t>Istanbul décida  également : le maintien des mesures conservatoires imposées aux personnes ayant été acquittées jusqu</w:t>
      </w:r>
      <w:r w:rsidRPr="0043317B" w:rsidR="0043317B">
        <w:rPr>
          <w:lang w:val="fr-FR"/>
        </w:rPr>
        <w:t>’</w:t>
      </w:r>
      <w:r w:rsidRPr="0043317B">
        <w:rPr>
          <w:lang w:val="fr-FR"/>
        </w:rPr>
        <w:t>à ce que son arrêt devînt définitif ; le maintien des mesures conservatoires imposées aux personnes ayant été condamnées jusqu</w:t>
      </w:r>
      <w:r w:rsidRPr="0043317B" w:rsidR="0043317B">
        <w:rPr>
          <w:lang w:val="fr-FR"/>
        </w:rPr>
        <w:t>’</w:t>
      </w:r>
      <w:r w:rsidRPr="0043317B">
        <w:rPr>
          <w:lang w:val="fr-FR"/>
        </w:rPr>
        <w:t>à ce que son arrêt devînt définitif et que les créances du FADE fussent recouvrées ; et, s</w:t>
      </w:r>
      <w:r w:rsidRPr="0043317B" w:rsidR="0043317B">
        <w:rPr>
          <w:lang w:val="fr-FR"/>
        </w:rPr>
        <w:t>’</w:t>
      </w:r>
      <w:r w:rsidRPr="0043317B">
        <w:rPr>
          <w:lang w:val="fr-FR"/>
        </w:rPr>
        <w:t>agissant du dossier n</w:t>
      </w:r>
      <w:r w:rsidRPr="0043317B">
        <w:rPr>
          <w:vertAlign w:val="superscript"/>
          <w:lang w:val="fr-FR"/>
        </w:rPr>
        <w:t>o</w:t>
      </w:r>
      <w:r w:rsidRPr="0043317B" w:rsidR="003C4A77">
        <w:rPr>
          <w:vertAlign w:val="superscript"/>
          <w:lang w:val="fr-FR"/>
        </w:rPr>
        <w:t xml:space="preserve"> </w:t>
      </w:r>
      <w:r w:rsidRPr="0043317B">
        <w:rPr>
          <w:lang w:val="fr-FR"/>
        </w:rPr>
        <w:t>2006/17, le maintien des mesures conservatoires en vigueur et leur traitement dans le cadre de ce dossier puisqu</w:t>
      </w:r>
      <w:r w:rsidRPr="0043317B" w:rsidR="0043317B">
        <w:rPr>
          <w:lang w:val="fr-FR"/>
        </w:rPr>
        <w:t>’</w:t>
      </w:r>
      <w:r w:rsidRPr="0043317B">
        <w:rPr>
          <w:lang w:val="fr-FR"/>
        </w:rPr>
        <w:t>il n</w:t>
      </w:r>
      <w:r w:rsidRPr="0043317B" w:rsidR="0043317B">
        <w:rPr>
          <w:lang w:val="fr-FR"/>
        </w:rPr>
        <w:t>’</w:t>
      </w:r>
      <w:r w:rsidRPr="0043317B">
        <w:rPr>
          <w:lang w:val="fr-FR"/>
        </w:rPr>
        <w:t>avait pas encore été statué au fond.</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22</w:t>
      </w:r>
      <w:r w:rsidRPr="0043317B">
        <w:rPr>
          <w:lang w:val="fr-FR"/>
        </w:rPr>
        <w:fldChar w:fldCharType="end"/>
      </w:r>
      <w:r w:rsidRPr="0043317B">
        <w:rPr>
          <w:lang w:val="fr-FR"/>
        </w:rPr>
        <w:t>.  Le 26 janvier 2007, la 7</w:t>
      </w:r>
      <w:r w:rsidRPr="0043317B">
        <w:rPr>
          <w:vertAlign w:val="superscript"/>
          <w:lang w:val="fr-FR"/>
        </w:rPr>
        <w:t>e</w:t>
      </w:r>
      <w:r w:rsidRPr="0043317B">
        <w:rPr>
          <w:lang w:val="fr-FR"/>
        </w:rPr>
        <w:t xml:space="preserve"> chambre de la Cour de cassation confirma l</w:t>
      </w:r>
      <w:r w:rsidRPr="0043317B" w:rsidR="0043317B">
        <w:rPr>
          <w:lang w:val="fr-FR"/>
        </w:rPr>
        <w:t>’</w:t>
      </w:r>
      <w:r w:rsidRPr="0043317B">
        <w:rPr>
          <w:lang w:val="fr-FR"/>
        </w:rPr>
        <w:t>arrêt du 21 février 2006, qui devint définitif.</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23</w:t>
      </w:r>
      <w:r w:rsidRPr="0043317B">
        <w:rPr>
          <w:lang w:val="fr-FR"/>
        </w:rPr>
        <w:fldChar w:fldCharType="end"/>
      </w:r>
      <w:r w:rsidRPr="0043317B">
        <w:rPr>
          <w:lang w:val="fr-FR"/>
        </w:rPr>
        <w:t>.  Plusieurs autres procédures pénales et administratives furent par ailleurs déclenchées contre diverses personnes physiques et morales, dont les requérants.</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24</w:t>
      </w:r>
      <w:r w:rsidRPr="0043317B">
        <w:rPr>
          <w:lang w:val="fr-FR"/>
        </w:rPr>
        <w:fldChar w:fldCharType="end"/>
      </w:r>
      <w:r w:rsidRPr="0043317B">
        <w:rPr>
          <w:lang w:val="fr-FR"/>
        </w:rPr>
        <w:t>.  Dans ce contexte, en application de la législation bancaire, le FADE procéda au paiement des sommes dues au titre des dépôts assurés aux épargnants. Ainsi, la différence entre le montant de l</w:t>
      </w:r>
      <w:r w:rsidRPr="0043317B" w:rsidR="0043317B">
        <w:rPr>
          <w:lang w:val="fr-FR"/>
        </w:rPr>
        <w:t>’</w:t>
      </w:r>
      <w:r w:rsidRPr="0043317B">
        <w:rPr>
          <w:lang w:val="fr-FR"/>
        </w:rPr>
        <w:t>épargne assurée déclaré par İmarbank et le montant effectif des dépôts d</w:t>
      </w:r>
      <w:r w:rsidRPr="0043317B" w:rsidR="0043317B">
        <w:rPr>
          <w:lang w:val="fr-FR"/>
        </w:rPr>
        <w:t>’</w:t>
      </w:r>
      <w:r w:rsidRPr="0043317B">
        <w:rPr>
          <w:lang w:val="fr-FR"/>
        </w:rPr>
        <w:t>épargne devint créance publique.</w:t>
      </w:r>
    </w:p>
    <w:p w:rsidRPr="0043317B" w:rsidR="000A45C0" w:rsidP="0043317B" w:rsidRDefault="000A45C0">
      <w:pPr>
        <w:pStyle w:val="ECHRHeading2"/>
        <w:rPr>
          <w:lang w:val="fr-FR"/>
        </w:rPr>
      </w:pPr>
      <w:r w:rsidRPr="0043317B">
        <w:rPr>
          <w:lang w:val="fr-FR"/>
        </w:rPr>
        <w:t>B.  Les procédures pénales dirigées à l</w:t>
      </w:r>
      <w:r w:rsidRPr="0043317B" w:rsidR="0043317B">
        <w:rPr>
          <w:lang w:val="fr-FR"/>
        </w:rPr>
        <w:t>’</w:t>
      </w:r>
      <w:r w:rsidRPr="0043317B">
        <w:rPr>
          <w:lang w:val="fr-FR"/>
        </w:rPr>
        <w:t>encontre des requérants</w:t>
      </w:r>
    </w:p>
    <w:p w:rsidRPr="0043317B" w:rsidR="000A45C0" w:rsidP="0043317B" w:rsidRDefault="000A45C0">
      <w:pPr>
        <w:pStyle w:val="ECHRHeading3"/>
        <w:rPr>
          <w:lang w:val="fr-FR"/>
        </w:rPr>
      </w:pPr>
      <w:r w:rsidRPr="0043317B">
        <w:rPr>
          <w:lang w:val="fr-FR"/>
        </w:rPr>
        <w:t>1.  M</w:t>
      </w:r>
      <w:r w:rsidRPr="0043317B">
        <w:rPr>
          <w:vertAlign w:val="superscript"/>
          <w:lang w:val="fr-FR"/>
        </w:rPr>
        <w:t>lle</w:t>
      </w:r>
      <w:r w:rsidRPr="0043317B" w:rsidR="003C4A77">
        <w:rPr>
          <w:vertAlign w:val="superscript"/>
          <w:lang w:val="fr-FR"/>
        </w:rPr>
        <w:t> </w:t>
      </w:r>
      <w:r w:rsidRPr="0043317B">
        <w:rPr>
          <w:lang w:val="fr-FR"/>
        </w:rPr>
        <w:t>Jasmin</w:t>
      </w:r>
      <w:r w:rsidRPr="0043317B" w:rsidR="003C4A77">
        <w:rPr>
          <w:lang w:val="fr-FR"/>
        </w:rPr>
        <w:t> </w:t>
      </w:r>
      <w:r w:rsidRPr="0043317B">
        <w:rPr>
          <w:lang w:val="fr-FR"/>
        </w:rPr>
        <w:t>Paris</w:t>
      </w:r>
      <w:r w:rsidRPr="0043317B" w:rsidR="003C4A77">
        <w:rPr>
          <w:lang w:val="fr-FR"/>
        </w:rPr>
        <w:t> Uzan et M. </w:t>
      </w:r>
      <w:r w:rsidRPr="0043317B">
        <w:rPr>
          <w:lang w:val="fr-FR"/>
        </w:rPr>
        <w:t>Renç</w:t>
      </w:r>
      <w:r w:rsidRPr="0043317B" w:rsidR="003C4A77">
        <w:rPr>
          <w:lang w:val="fr-FR"/>
        </w:rPr>
        <w:t> </w:t>
      </w:r>
      <w:r w:rsidRPr="0043317B">
        <w:rPr>
          <w:lang w:val="fr-FR"/>
        </w:rPr>
        <w:t>Emre</w:t>
      </w:r>
      <w:r w:rsidRPr="0043317B" w:rsidR="003C4A77">
        <w:rPr>
          <w:lang w:val="fr-FR"/>
        </w:rPr>
        <w:t> </w:t>
      </w:r>
      <w:r w:rsidRPr="0043317B">
        <w:rPr>
          <w:lang w:val="fr-FR"/>
        </w:rPr>
        <w:t>Uzan</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25</w:t>
      </w:r>
      <w:r w:rsidRPr="0043317B">
        <w:rPr>
          <w:lang w:val="fr-FR"/>
        </w:rPr>
        <w:fldChar w:fldCharType="end"/>
      </w:r>
      <w:r w:rsidRPr="0043317B">
        <w:rPr>
          <w:lang w:val="fr-FR"/>
        </w:rPr>
        <w:t>.  Les requérants Jasmin Paris Uzan et Renç Emre Uzan sont les enfants de l</w:t>
      </w:r>
      <w:r w:rsidRPr="0043317B" w:rsidR="0043317B">
        <w:rPr>
          <w:lang w:val="fr-FR"/>
        </w:rPr>
        <w:t>’</w:t>
      </w:r>
      <w:r w:rsidRPr="0043317B">
        <w:rPr>
          <w:lang w:val="fr-FR"/>
        </w:rPr>
        <w:t>un des dirigeants de İmarbank, C.C. Uzan, l</w:t>
      </w:r>
      <w:r w:rsidRPr="0043317B" w:rsidR="0043317B">
        <w:rPr>
          <w:lang w:val="fr-FR"/>
        </w:rPr>
        <w:t>’</w:t>
      </w:r>
      <w:r w:rsidRPr="0043317B">
        <w:rPr>
          <w:lang w:val="fr-FR"/>
        </w:rPr>
        <w:t>un des accusés dans le cadre de la procédure pénale principale.</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26</w:t>
      </w:r>
      <w:r w:rsidRPr="0043317B">
        <w:rPr>
          <w:lang w:val="fr-FR"/>
        </w:rPr>
        <w:fldChar w:fldCharType="end"/>
      </w:r>
      <w:r w:rsidRPr="0043317B">
        <w:rPr>
          <w:lang w:val="fr-FR"/>
        </w:rPr>
        <w:t>.  Le 14 août 2003, la 2</w:t>
      </w:r>
      <w:r w:rsidRPr="0043317B">
        <w:rPr>
          <w:vertAlign w:val="superscript"/>
          <w:lang w:val="fr-FR"/>
        </w:rPr>
        <w:t>e</w:t>
      </w:r>
      <w:r w:rsidRPr="0043317B">
        <w:rPr>
          <w:lang w:val="fr-FR"/>
        </w:rPr>
        <w:t xml:space="preserve"> chambre du tribunal de police de Şişli émit une ordonnance de mesures conservatoires à l</w:t>
      </w:r>
      <w:r w:rsidRPr="0043317B" w:rsidR="0043317B">
        <w:rPr>
          <w:lang w:val="fr-FR"/>
        </w:rPr>
        <w:t>’</w:t>
      </w:r>
      <w:r w:rsidRPr="0043317B">
        <w:rPr>
          <w:lang w:val="fr-FR"/>
        </w:rPr>
        <w:t>encontre du père des requérants susmentionnés, en application de l</w:t>
      </w:r>
      <w:r w:rsidRPr="0043317B" w:rsidR="0043317B">
        <w:rPr>
          <w:lang w:val="fr-FR"/>
        </w:rPr>
        <w:t>’</w:t>
      </w:r>
      <w:r w:rsidRPr="0043317B">
        <w:rPr>
          <w:lang w:val="fr-FR"/>
        </w:rPr>
        <w:t>article</w:t>
      </w:r>
      <w:r w:rsidRPr="0043317B" w:rsidR="003C4A77">
        <w:rPr>
          <w:lang w:val="fr-FR"/>
        </w:rPr>
        <w:t xml:space="preserve"> 2 provisoire de la loi </w:t>
      </w:r>
      <w:r w:rsidRPr="0043317B">
        <w:rPr>
          <w:lang w:val="fr-FR"/>
        </w:rPr>
        <w:t>n</w:t>
      </w:r>
      <w:r w:rsidRPr="0043317B">
        <w:rPr>
          <w:vertAlign w:val="superscript"/>
          <w:lang w:val="fr-FR"/>
        </w:rPr>
        <w:t>o</w:t>
      </w:r>
      <w:r w:rsidRPr="0043317B">
        <w:rPr>
          <w:lang w:val="fr-FR"/>
        </w:rPr>
        <w:t> 4969. Elle décida d</w:t>
      </w:r>
      <w:r w:rsidRPr="0043317B" w:rsidR="0043317B">
        <w:rPr>
          <w:lang w:val="fr-FR"/>
        </w:rPr>
        <w:t>’</w:t>
      </w:r>
      <w:r w:rsidRPr="0043317B">
        <w:rPr>
          <w:lang w:val="fr-FR"/>
        </w:rPr>
        <w:t>examiner ultérieurement la question de savoir s</w:t>
      </w:r>
      <w:r w:rsidRPr="0043317B" w:rsidR="0043317B">
        <w:rPr>
          <w:lang w:val="fr-FR"/>
        </w:rPr>
        <w:t>’</w:t>
      </w:r>
      <w:r w:rsidRPr="0043317B">
        <w:rPr>
          <w:lang w:val="fr-FR"/>
        </w:rPr>
        <w:t>il y avait lieu d</w:t>
      </w:r>
      <w:r w:rsidRPr="0043317B" w:rsidR="0043317B">
        <w:rPr>
          <w:lang w:val="fr-FR"/>
        </w:rPr>
        <w:t>’</w:t>
      </w:r>
      <w:r w:rsidRPr="0043317B">
        <w:rPr>
          <w:lang w:val="fr-FR"/>
        </w:rPr>
        <w:t>imposer ou non des mesures conservatoires à l</w:t>
      </w:r>
      <w:r w:rsidRPr="0043317B" w:rsidR="0043317B">
        <w:rPr>
          <w:lang w:val="fr-FR"/>
        </w:rPr>
        <w:t>’</w:t>
      </w:r>
      <w:r w:rsidRPr="0043317B">
        <w:rPr>
          <w:lang w:val="fr-FR"/>
        </w:rPr>
        <w:t>égard des conjoints et des enfants des dirigeants de la banque (dossier en référé n</w:t>
      </w:r>
      <w:r w:rsidRPr="0043317B">
        <w:rPr>
          <w:vertAlign w:val="superscript"/>
          <w:lang w:val="fr-FR"/>
        </w:rPr>
        <w:t>o</w:t>
      </w:r>
      <w:r w:rsidRPr="0043317B">
        <w:rPr>
          <w:lang w:val="fr-FR"/>
        </w:rPr>
        <w:t> 2003/426).</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27</w:t>
      </w:r>
      <w:r w:rsidRPr="0043317B">
        <w:rPr>
          <w:lang w:val="fr-FR"/>
        </w:rPr>
        <w:fldChar w:fldCharType="end"/>
      </w:r>
      <w:r w:rsidRPr="0043317B">
        <w:rPr>
          <w:lang w:val="fr-FR"/>
        </w:rPr>
        <w:t>.  Le 11 septembre 2003, pour faire suite à la décision du 14 août 2003, le même tribunal rendit une ordonnance de mesures conservatoires à l</w:t>
      </w:r>
      <w:r w:rsidRPr="0043317B" w:rsidR="0043317B">
        <w:rPr>
          <w:lang w:val="fr-FR"/>
        </w:rPr>
        <w:t>’</w:t>
      </w:r>
      <w:r w:rsidRPr="0043317B">
        <w:rPr>
          <w:lang w:val="fr-FR"/>
        </w:rPr>
        <w:t>encontre du requérant Renç Emre Uzan, en application de l</w:t>
      </w:r>
      <w:r w:rsidRPr="0043317B" w:rsidR="0043317B">
        <w:rPr>
          <w:lang w:val="fr-FR"/>
        </w:rPr>
        <w:t>’</w:t>
      </w:r>
      <w:r w:rsidRPr="0043317B">
        <w:rPr>
          <w:lang w:val="fr-FR"/>
        </w:rPr>
        <w:t>article</w:t>
      </w:r>
      <w:r w:rsidRPr="0043317B" w:rsidR="003C4A77">
        <w:rPr>
          <w:lang w:val="fr-FR"/>
        </w:rPr>
        <w:t> </w:t>
      </w:r>
      <w:r w:rsidRPr="0043317B">
        <w:rPr>
          <w:lang w:val="fr-FR"/>
        </w:rPr>
        <w:t>2 provisoire de la loi n</w:t>
      </w:r>
      <w:r w:rsidRPr="0043317B">
        <w:rPr>
          <w:vertAlign w:val="superscript"/>
          <w:lang w:val="fr-FR"/>
        </w:rPr>
        <w:t>o</w:t>
      </w:r>
      <w:r w:rsidRPr="0043317B">
        <w:rPr>
          <w:lang w:val="fr-FR"/>
        </w:rPr>
        <w:t xml:space="preserve"> 4969 (dossier en référé n</w:t>
      </w:r>
      <w:r w:rsidRPr="0043317B">
        <w:rPr>
          <w:vertAlign w:val="superscript"/>
          <w:lang w:val="fr-FR"/>
        </w:rPr>
        <w:t>o</w:t>
      </w:r>
      <w:r w:rsidRPr="0043317B">
        <w:rPr>
          <w:lang w:val="fr-FR"/>
        </w:rPr>
        <w:t> 2003/484).</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28</w:t>
      </w:r>
      <w:r w:rsidRPr="0043317B">
        <w:rPr>
          <w:lang w:val="fr-FR"/>
        </w:rPr>
        <w:fldChar w:fldCharType="end"/>
      </w:r>
      <w:r w:rsidRPr="0043317B">
        <w:rPr>
          <w:lang w:val="fr-FR"/>
        </w:rPr>
        <w:t>.  Le 3 novembre 2003, toujours dans le même contexte, il rendit une ordonnance de mesures conservatoires, à l</w:t>
      </w:r>
      <w:r w:rsidRPr="0043317B" w:rsidR="0043317B">
        <w:rPr>
          <w:lang w:val="fr-FR"/>
        </w:rPr>
        <w:t>’</w:t>
      </w:r>
      <w:r w:rsidRPr="0043317B">
        <w:rPr>
          <w:lang w:val="fr-FR"/>
        </w:rPr>
        <w:t>encontre de la requérante Jasmin Paris Uzan, également en application de l</w:t>
      </w:r>
      <w:r w:rsidRPr="0043317B" w:rsidR="0043317B">
        <w:rPr>
          <w:lang w:val="fr-FR"/>
        </w:rPr>
        <w:t>’</w:t>
      </w:r>
      <w:r w:rsidRPr="0043317B">
        <w:rPr>
          <w:lang w:val="fr-FR"/>
        </w:rPr>
        <w:t xml:space="preserve">article 2 provisoire de la </w:t>
      </w:r>
      <w:r w:rsidRPr="0043317B" w:rsidR="003C4A77">
        <w:rPr>
          <w:lang w:val="fr-FR"/>
        </w:rPr>
        <w:t>loi </w:t>
      </w:r>
      <w:r w:rsidRPr="0043317B">
        <w:rPr>
          <w:lang w:val="fr-FR"/>
        </w:rPr>
        <w:t>n</w:t>
      </w:r>
      <w:r w:rsidRPr="0043317B">
        <w:rPr>
          <w:vertAlign w:val="superscript"/>
          <w:lang w:val="fr-FR"/>
        </w:rPr>
        <w:t>o</w:t>
      </w:r>
      <w:r w:rsidRPr="0043317B">
        <w:rPr>
          <w:lang w:val="fr-FR"/>
        </w:rPr>
        <w:t> 4969 (dossier en référé n</w:t>
      </w:r>
      <w:r w:rsidRPr="0043317B">
        <w:rPr>
          <w:vertAlign w:val="superscript"/>
          <w:lang w:val="fr-FR"/>
        </w:rPr>
        <w:t>o</w:t>
      </w:r>
      <w:r w:rsidRPr="0043317B">
        <w:rPr>
          <w:lang w:val="fr-FR"/>
        </w:rPr>
        <w:t> 2003/484).</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29</w:t>
      </w:r>
      <w:r w:rsidRPr="0043317B">
        <w:rPr>
          <w:lang w:val="fr-FR"/>
        </w:rPr>
        <w:fldChar w:fldCharType="end"/>
      </w:r>
      <w:r w:rsidRPr="0043317B">
        <w:rPr>
          <w:lang w:val="fr-FR"/>
        </w:rPr>
        <w:t>.  Le 21 janvier 2004, le procureur de la République de Şişli rendit une décision de non-lieu à l</w:t>
      </w:r>
      <w:r w:rsidRPr="0043317B" w:rsidR="0043317B">
        <w:rPr>
          <w:lang w:val="fr-FR"/>
        </w:rPr>
        <w:t>’</w:t>
      </w:r>
      <w:r w:rsidRPr="0043317B">
        <w:rPr>
          <w:lang w:val="fr-FR"/>
        </w:rPr>
        <w:t>égard de tous les requérants (paragraphe 16 ci</w:t>
      </w:r>
      <w:r w:rsidRPr="0043317B">
        <w:rPr>
          <w:lang w:val="fr-FR"/>
        </w:rPr>
        <w:noBreakHyphen/>
        <w:t>dessus). Le 5 février 2004, le FADE forma opposition contre la décision de non-lieu. Le 10 mai 2004, la cour d</w:t>
      </w:r>
      <w:r w:rsidRPr="0043317B" w:rsidR="0043317B">
        <w:rPr>
          <w:lang w:val="fr-FR"/>
        </w:rPr>
        <w:t>’</w:t>
      </w:r>
      <w:r w:rsidRPr="0043317B">
        <w:rPr>
          <w:lang w:val="fr-FR"/>
        </w:rPr>
        <w:t>assises de Beyoğlu rejeta le recours du FADE et confirma la décision de non-lieu.</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30</w:t>
      </w:r>
      <w:r w:rsidRPr="0043317B">
        <w:rPr>
          <w:lang w:val="fr-FR"/>
        </w:rPr>
        <w:fldChar w:fldCharType="end"/>
      </w:r>
      <w:r w:rsidRPr="0043317B">
        <w:rPr>
          <w:lang w:val="fr-FR"/>
        </w:rPr>
        <w:t>.  À une date non précisée, bénéficiant de l</w:t>
      </w:r>
      <w:r w:rsidRPr="0043317B" w:rsidR="0043317B">
        <w:rPr>
          <w:lang w:val="fr-FR"/>
        </w:rPr>
        <w:t>’</w:t>
      </w:r>
      <w:r w:rsidRPr="0043317B">
        <w:rPr>
          <w:lang w:val="fr-FR"/>
        </w:rPr>
        <w:t>ordonnance de non-lieu rendue en leur faveur le 21 janvier 2004 (paragraphes 16 et 17 ci-dessus), les requérants Jasmin Paris Uzan et Renç Emre Uzan introduisirent devant le tribunal de police de Şişli une demande de levée des mesures conservatoires imposées sur leurs biens.</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31</w:t>
      </w:r>
      <w:r w:rsidRPr="0043317B">
        <w:rPr>
          <w:lang w:val="fr-FR"/>
        </w:rPr>
        <w:fldChar w:fldCharType="end"/>
      </w:r>
      <w:r w:rsidRPr="0043317B">
        <w:rPr>
          <w:lang w:val="fr-FR"/>
        </w:rPr>
        <w:t>.  Le 3 septembre 2004, le tribunal rendit une décision d</w:t>
      </w:r>
      <w:r w:rsidRPr="0043317B" w:rsidR="0043317B">
        <w:rPr>
          <w:lang w:val="fr-FR"/>
        </w:rPr>
        <w:t>’</w:t>
      </w:r>
      <w:r w:rsidRPr="0043317B">
        <w:rPr>
          <w:lang w:val="fr-FR"/>
        </w:rPr>
        <w:t xml:space="preserve">incompétence </w:t>
      </w:r>
      <w:r w:rsidRPr="0043317B">
        <w:rPr>
          <w:i/>
          <w:iCs/>
          <w:lang w:val="fr-FR"/>
        </w:rPr>
        <w:t>ratione materiae</w:t>
      </w:r>
      <w:r w:rsidRPr="0043317B">
        <w:rPr>
          <w:lang w:val="fr-FR"/>
        </w:rPr>
        <w:t xml:space="preserve"> en faveur de la 8</w:t>
      </w:r>
      <w:r w:rsidRPr="0043317B">
        <w:rPr>
          <w:vertAlign w:val="superscript"/>
          <w:lang w:val="fr-FR"/>
        </w:rPr>
        <w:t>e</w:t>
      </w:r>
      <w:r w:rsidRPr="0043317B">
        <w:rPr>
          <w:lang w:val="fr-FR"/>
        </w:rPr>
        <w:t xml:space="preserve"> chambre de la cour d</w:t>
      </w:r>
      <w:r w:rsidRPr="0043317B" w:rsidR="0043317B">
        <w:rPr>
          <w:lang w:val="fr-FR"/>
        </w:rPr>
        <w:t>’</w:t>
      </w:r>
      <w:r w:rsidRPr="0043317B">
        <w:rPr>
          <w:lang w:val="fr-FR"/>
        </w:rPr>
        <w:t>assises au motif que celle-ci était désignée comme unique instance compétente pour juger des infractions bancaires relatives à İmarbank. Le tribunal précisa que la cour d</w:t>
      </w:r>
      <w:r w:rsidRPr="0043317B" w:rsidR="0043317B">
        <w:rPr>
          <w:lang w:val="fr-FR"/>
        </w:rPr>
        <w:t>’</w:t>
      </w:r>
      <w:r w:rsidRPr="0043317B">
        <w:rPr>
          <w:lang w:val="fr-FR"/>
        </w:rPr>
        <w:t>assises aurait dû examiner la demande des requérants concernés dans le cadre des poursuites pénales diligentés à l</w:t>
      </w:r>
      <w:r w:rsidRPr="0043317B" w:rsidR="0043317B">
        <w:rPr>
          <w:lang w:val="fr-FR"/>
        </w:rPr>
        <w:t>’</w:t>
      </w:r>
      <w:r w:rsidRPr="0043317B">
        <w:rPr>
          <w:lang w:val="fr-FR"/>
        </w:rPr>
        <w:t>encontre des dirigeants de İmarbank, parmi lesquels se trouvait le père desdits requérants.</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32</w:t>
      </w:r>
      <w:r w:rsidRPr="0043317B">
        <w:rPr>
          <w:lang w:val="fr-FR"/>
        </w:rPr>
        <w:fldChar w:fldCharType="end"/>
      </w:r>
      <w:r w:rsidRPr="0043317B">
        <w:rPr>
          <w:lang w:val="fr-FR"/>
        </w:rPr>
        <w:t>.  Le 28 janvier 2005, se prévalant de l</w:t>
      </w:r>
      <w:r w:rsidRPr="0043317B" w:rsidR="0043317B">
        <w:rPr>
          <w:lang w:val="fr-FR"/>
        </w:rPr>
        <w:t>’</w:t>
      </w:r>
      <w:r w:rsidRPr="0043317B">
        <w:rPr>
          <w:lang w:val="fr-FR"/>
        </w:rPr>
        <w:t>ordonnance de non-lieu du 21 janvier 2004 rendue en leur faveur, les requérants susmentionnés demandèrent à la 8</w:t>
      </w:r>
      <w:r w:rsidRPr="0043317B">
        <w:rPr>
          <w:vertAlign w:val="superscript"/>
          <w:lang w:val="fr-FR"/>
        </w:rPr>
        <w:t>e</w:t>
      </w:r>
      <w:r w:rsidRPr="0043317B">
        <w:rPr>
          <w:lang w:val="fr-FR"/>
        </w:rPr>
        <w:t xml:space="preserve"> chambre de la cour d</w:t>
      </w:r>
      <w:r w:rsidRPr="0043317B" w:rsidR="0043317B">
        <w:rPr>
          <w:lang w:val="fr-FR"/>
        </w:rPr>
        <w:t>’</w:t>
      </w:r>
      <w:r w:rsidRPr="0043317B">
        <w:rPr>
          <w:lang w:val="fr-FR"/>
        </w:rPr>
        <w:t>assises d</w:t>
      </w:r>
      <w:r w:rsidRPr="0043317B" w:rsidR="0043317B">
        <w:rPr>
          <w:lang w:val="fr-FR"/>
        </w:rPr>
        <w:t>’</w:t>
      </w:r>
      <w:r w:rsidRPr="0043317B">
        <w:rPr>
          <w:lang w:val="fr-FR"/>
        </w:rPr>
        <w:t>Istanbul de lever les mesures conservatoires imposées sur leurs biens.</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33</w:t>
      </w:r>
      <w:r w:rsidRPr="0043317B">
        <w:rPr>
          <w:lang w:val="fr-FR"/>
        </w:rPr>
        <w:fldChar w:fldCharType="end"/>
      </w:r>
      <w:r w:rsidRPr="0043317B">
        <w:rPr>
          <w:lang w:val="fr-FR"/>
        </w:rPr>
        <w:t>.  Lors de l</w:t>
      </w:r>
      <w:r w:rsidRPr="0043317B" w:rsidR="0043317B">
        <w:rPr>
          <w:lang w:val="fr-FR"/>
        </w:rPr>
        <w:t>’</w:t>
      </w:r>
      <w:r w:rsidRPr="0043317B">
        <w:rPr>
          <w:lang w:val="fr-FR"/>
        </w:rPr>
        <w:t>audience du 16 février 2005, la 8</w:t>
      </w:r>
      <w:r w:rsidRPr="0043317B">
        <w:rPr>
          <w:vertAlign w:val="superscript"/>
          <w:lang w:val="fr-FR"/>
        </w:rPr>
        <w:t>e</w:t>
      </w:r>
      <w:r w:rsidRPr="0043317B">
        <w:rPr>
          <w:lang w:val="fr-FR"/>
        </w:rPr>
        <w:t xml:space="preserve"> chambre de la cour d</w:t>
      </w:r>
      <w:r w:rsidRPr="0043317B" w:rsidR="0043317B">
        <w:rPr>
          <w:lang w:val="fr-FR"/>
        </w:rPr>
        <w:t>’</w:t>
      </w:r>
      <w:r w:rsidRPr="0043317B">
        <w:rPr>
          <w:lang w:val="fr-FR"/>
        </w:rPr>
        <w:t>assises d</w:t>
      </w:r>
      <w:r w:rsidRPr="0043317B" w:rsidR="0043317B">
        <w:rPr>
          <w:lang w:val="fr-FR"/>
        </w:rPr>
        <w:t>’</w:t>
      </w:r>
      <w:r w:rsidRPr="0043317B">
        <w:rPr>
          <w:lang w:val="fr-FR"/>
        </w:rPr>
        <w:t>Istanbul se prononça, dans le cadre du dossier n</w:t>
      </w:r>
      <w:r w:rsidRPr="0043317B">
        <w:rPr>
          <w:vertAlign w:val="superscript"/>
          <w:lang w:val="fr-FR"/>
        </w:rPr>
        <w:t>o</w:t>
      </w:r>
      <w:r w:rsidRPr="0043317B">
        <w:rPr>
          <w:lang w:val="fr-FR"/>
        </w:rPr>
        <w:t xml:space="preserve"> 2004/1, sur la situation desdits requérants, à qui elle conféra « une qualité autre que celle de parties au procès » </w:t>
      </w:r>
      <w:r w:rsidRPr="0043317B">
        <w:rPr>
          <w:lang w:val="tr-TR"/>
        </w:rPr>
        <w:t>(</w:t>
      </w:r>
      <w:r w:rsidRPr="0043317B">
        <w:rPr>
          <w:i/>
          <w:lang w:val="tr-TR"/>
        </w:rPr>
        <w:t>dava dışı</w:t>
      </w:r>
      <w:r w:rsidRPr="0043317B">
        <w:rPr>
          <w:lang w:val="tr-TR"/>
        </w:rPr>
        <w:t>)</w:t>
      </w:r>
      <w:r w:rsidRPr="0043317B">
        <w:rPr>
          <w:vertAlign w:val="superscript"/>
          <w:lang w:val="fr-FR"/>
        </w:rPr>
        <w:footnoteReference w:id="1"/>
      </w:r>
      <w:r w:rsidRPr="0043317B">
        <w:rPr>
          <w:lang w:val="fr-FR"/>
        </w:rPr>
        <w:t>. Tout en évoquant dans son arrêt l</w:t>
      </w:r>
      <w:r w:rsidRPr="0043317B" w:rsidR="0043317B">
        <w:rPr>
          <w:lang w:val="fr-FR"/>
        </w:rPr>
        <w:t>’</w:t>
      </w:r>
      <w:r w:rsidRPr="0043317B">
        <w:rPr>
          <w:lang w:val="fr-FR"/>
        </w:rPr>
        <w:t>irresponsabilité pénale de ces requérants et en observant que ceux-ci pouvaient être tenus civilement responsables, la cour d</w:t>
      </w:r>
      <w:r w:rsidRPr="0043317B" w:rsidR="0043317B">
        <w:rPr>
          <w:lang w:val="fr-FR"/>
        </w:rPr>
        <w:t>’</w:t>
      </w:r>
      <w:r w:rsidRPr="0043317B">
        <w:rPr>
          <w:lang w:val="fr-FR"/>
        </w:rPr>
        <w:t>assises refusa de lever les mesures conservatoires. À l</w:t>
      </w:r>
      <w:r w:rsidRPr="0043317B" w:rsidR="0043317B">
        <w:rPr>
          <w:lang w:val="fr-FR"/>
        </w:rPr>
        <w:t>’</w:t>
      </w:r>
      <w:r w:rsidRPr="0043317B">
        <w:rPr>
          <w:lang w:val="fr-FR"/>
        </w:rPr>
        <w:t>appui de sa décision, elle releva que les intéressés jouissaient de l</w:t>
      </w:r>
      <w:r w:rsidRPr="0043317B" w:rsidR="0043317B">
        <w:rPr>
          <w:lang w:val="fr-FR"/>
        </w:rPr>
        <w:t>’</w:t>
      </w:r>
      <w:r w:rsidRPr="0043317B">
        <w:rPr>
          <w:lang w:val="fr-FR"/>
        </w:rPr>
        <w:t>aptitude à avoir des droits et des obligations. Elle nota ainsi que, même s</w:t>
      </w:r>
      <w:r w:rsidRPr="0043317B" w:rsidR="0043317B">
        <w:rPr>
          <w:lang w:val="fr-FR"/>
        </w:rPr>
        <w:t>’</w:t>
      </w:r>
      <w:r w:rsidRPr="0043317B">
        <w:rPr>
          <w:lang w:val="fr-FR"/>
        </w:rPr>
        <w:t>il leur était impossible d</w:t>
      </w:r>
      <w:r w:rsidRPr="0043317B" w:rsidR="0043317B">
        <w:rPr>
          <w:lang w:val="fr-FR"/>
        </w:rPr>
        <w:t>’</w:t>
      </w:r>
      <w:r w:rsidRPr="0043317B">
        <w:rPr>
          <w:lang w:val="fr-FR"/>
        </w:rPr>
        <w:t>avoir un revenu et de travailler en raison de leur jeune âge, ils pourraient acquérir certains droits par le biais de l</w:t>
      </w:r>
      <w:r w:rsidRPr="0043317B" w:rsidR="0043317B">
        <w:rPr>
          <w:lang w:val="fr-FR"/>
        </w:rPr>
        <w:t>’</w:t>
      </w:r>
      <w:r w:rsidRPr="0043317B">
        <w:rPr>
          <w:lang w:val="fr-FR"/>
        </w:rPr>
        <w:t>héritage et des donations, et que, par conséquent, en application de la loi n</w:t>
      </w:r>
      <w:r w:rsidRPr="0043317B">
        <w:rPr>
          <w:vertAlign w:val="superscript"/>
          <w:lang w:val="fr-FR"/>
        </w:rPr>
        <w:t>o</w:t>
      </w:r>
      <w:r w:rsidRPr="0043317B" w:rsidR="003C4A77">
        <w:rPr>
          <w:vertAlign w:val="superscript"/>
          <w:lang w:val="fr-FR"/>
        </w:rPr>
        <w:t xml:space="preserve"> </w:t>
      </w:r>
      <w:r w:rsidRPr="0043317B">
        <w:rPr>
          <w:lang w:val="fr-FR"/>
        </w:rPr>
        <w:t>4389, il serait possible d</w:t>
      </w:r>
      <w:r w:rsidRPr="0043317B" w:rsidR="0043317B">
        <w:rPr>
          <w:lang w:val="fr-FR"/>
        </w:rPr>
        <w:t>’</w:t>
      </w:r>
      <w:r w:rsidRPr="0043317B">
        <w:rPr>
          <w:lang w:val="fr-FR"/>
        </w:rPr>
        <w:t>ordonner des mesures conservatoires sur les biens qu</w:t>
      </w:r>
      <w:r w:rsidRPr="0043317B" w:rsidR="0043317B">
        <w:rPr>
          <w:lang w:val="fr-FR"/>
        </w:rPr>
        <w:t>’</w:t>
      </w:r>
      <w:r w:rsidRPr="0043317B">
        <w:rPr>
          <w:lang w:val="fr-FR"/>
        </w:rPr>
        <w:t>ils pourraient acquérir ou avaient déjà acquis, et de maintenir des mesures déjà ordonnées.</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34</w:t>
      </w:r>
      <w:r w:rsidRPr="0043317B">
        <w:rPr>
          <w:lang w:val="fr-FR"/>
        </w:rPr>
        <w:fldChar w:fldCharType="end"/>
      </w:r>
      <w:r w:rsidRPr="0043317B">
        <w:rPr>
          <w:lang w:val="fr-FR"/>
        </w:rPr>
        <w:t>.  Les requérants Jasmin Paris Uzan et Renç Emre Uzan formèrent un recours devant la première chambre de la cour d</w:t>
      </w:r>
      <w:r w:rsidRPr="0043317B" w:rsidR="0043317B">
        <w:rPr>
          <w:lang w:val="fr-FR"/>
        </w:rPr>
        <w:t>’</w:t>
      </w:r>
      <w:r w:rsidRPr="0043317B">
        <w:rPr>
          <w:lang w:val="fr-FR"/>
        </w:rPr>
        <w:t>assises. Par un arrêt du 24 février 2005, celle-ci confirma l</w:t>
      </w:r>
      <w:r w:rsidRPr="0043317B" w:rsidR="0043317B">
        <w:rPr>
          <w:lang w:val="fr-FR"/>
        </w:rPr>
        <w:t>’</w:t>
      </w:r>
      <w:r w:rsidRPr="0043317B">
        <w:rPr>
          <w:lang w:val="fr-FR"/>
        </w:rPr>
        <w:t>arrêt attaqué.</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35</w:t>
      </w:r>
      <w:r w:rsidRPr="0043317B">
        <w:rPr>
          <w:lang w:val="fr-FR"/>
        </w:rPr>
        <w:fldChar w:fldCharType="end"/>
      </w:r>
      <w:r w:rsidRPr="0043317B">
        <w:rPr>
          <w:lang w:val="fr-FR"/>
        </w:rPr>
        <w:t>.  Le 5 mai 2015, la 8</w:t>
      </w:r>
      <w:r w:rsidRPr="0043317B">
        <w:rPr>
          <w:vertAlign w:val="superscript"/>
          <w:lang w:val="fr-FR"/>
        </w:rPr>
        <w:t>e</w:t>
      </w:r>
      <w:r w:rsidRPr="0043317B">
        <w:rPr>
          <w:lang w:val="fr-FR"/>
        </w:rPr>
        <w:t xml:space="preserve"> chambre de la cour d</w:t>
      </w:r>
      <w:r w:rsidRPr="0043317B" w:rsidR="0043317B">
        <w:rPr>
          <w:lang w:val="fr-FR"/>
        </w:rPr>
        <w:t>’</w:t>
      </w:r>
      <w:r w:rsidRPr="0043317B">
        <w:rPr>
          <w:lang w:val="fr-FR"/>
        </w:rPr>
        <w:t>assises d</w:t>
      </w:r>
      <w:r w:rsidRPr="0043317B" w:rsidR="0043317B">
        <w:rPr>
          <w:lang w:val="fr-FR"/>
        </w:rPr>
        <w:t>’</w:t>
      </w:r>
      <w:r w:rsidRPr="0043317B">
        <w:rPr>
          <w:lang w:val="fr-FR"/>
        </w:rPr>
        <w:t>Istanbul décida de lever les mesures conservatoires à partir de cette date. Elle indiqua par ailleurs que la question pourrait être réexaminée à l</w:t>
      </w:r>
      <w:r w:rsidRPr="0043317B" w:rsidR="0043317B">
        <w:rPr>
          <w:lang w:val="fr-FR"/>
        </w:rPr>
        <w:t>’</w:t>
      </w:r>
      <w:r w:rsidRPr="0043317B">
        <w:rPr>
          <w:lang w:val="fr-FR"/>
        </w:rPr>
        <w:t>avenir au cas où le FADE alléguerait des transferts frauduleux de fonds vers lesdits requérants.</w:t>
      </w:r>
    </w:p>
    <w:p w:rsidRPr="0043317B" w:rsidR="000A45C0" w:rsidP="0043317B" w:rsidRDefault="000A45C0">
      <w:pPr>
        <w:pStyle w:val="ECHRHeading3"/>
        <w:rPr>
          <w:lang w:val="fr-FR"/>
        </w:rPr>
      </w:pPr>
      <w:r w:rsidRPr="0043317B">
        <w:rPr>
          <w:lang w:val="fr-FR"/>
        </w:rPr>
        <w:t>2.  M</w:t>
      </w:r>
      <w:r w:rsidRPr="0043317B">
        <w:rPr>
          <w:vertAlign w:val="superscript"/>
          <w:lang w:val="fr-FR"/>
        </w:rPr>
        <w:t>me</w:t>
      </w:r>
      <w:r w:rsidRPr="0043317B" w:rsidR="003C4A77">
        <w:rPr>
          <w:vertAlign w:val="superscript"/>
          <w:lang w:val="fr-FR"/>
        </w:rPr>
        <w:t> </w:t>
      </w:r>
      <w:r w:rsidRPr="0043317B">
        <w:rPr>
          <w:lang w:val="fr-FR"/>
        </w:rPr>
        <w:t>Ayla</w:t>
      </w:r>
      <w:r w:rsidRPr="0043317B" w:rsidR="003C4A77">
        <w:rPr>
          <w:lang w:val="fr-FR"/>
        </w:rPr>
        <w:t> </w:t>
      </w:r>
      <w:r w:rsidRPr="0043317B">
        <w:rPr>
          <w:lang w:val="fr-FR"/>
        </w:rPr>
        <w:t>Uzan</w:t>
      </w:r>
      <w:r w:rsidRPr="0043317B" w:rsidR="003C4A77">
        <w:rPr>
          <w:lang w:val="fr-FR"/>
        </w:rPr>
        <w:t> </w:t>
      </w:r>
      <w:r w:rsidRPr="0043317B">
        <w:rPr>
          <w:lang w:val="fr-FR"/>
        </w:rPr>
        <w:t>Ashaboğlu</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36</w:t>
      </w:r>
      <w:r w:rsidRPr="0043317B">
        <w:rPr>
          <w:lang w:val="fr-FR"/>
        </w:rPr>
        <w:fldChar w:fldCharType="end"/>
      </w:r>
      <w:r w:rsidRPr="0043317B">
        <w:rPr>
          <w:lang w:val="fr-FR"/>
        </w:rPr>
        <w:t>.  Le 14 août 2003, la 2</w:t>
      </w:r>
      <w:r w:rsidRPr="0043317B">
        <w:rPr>
          <w:vertAlign w:val="superscript"/>
          <w:lang w:val="fr-FR"/>
        </w:rPr>
        <w:t>e</w:t>
      </w:r>
      <w:r w:rsidRPr="0043317B">
        <w:rPr>
          <w:lang w:val="fr-FR"/>
        </w:rPr>
        <w:t xml:space="preserve"> chambre du tribunal de police de Şişli émit une ordonnance de mesures conservatoires à l</w:t>
      </w:r>
      <w:r w:rsidRPr="0043317B" w:rsidR="0043317B">
        <w:rPr>
          <w:lang w:val="fr-FR"/>
        </w:rPr>
        <w:t>’</w:t>
      </w:r>
      <w:r w:rsidRPr="0043317B">
        <w:rPr>
          <w:lang w:val="fr-FR"/>
        </w:rPr>
        <w:t>encontre du père de la requérante Ayla Uzan-Ashaboğlu, Y. U., membre et administrateur adjoint du conseil d</w:t>
      </w:r>
      <w:r w:rsidRPr="0043317B" w:rsidR="0043317B">
        <w:rPr>
          <w:lang w:val="fr-FR"/>
        </w:rPr>
        <w:t>’</w:t>
      </w:r>
      <w:r w:rsidRPr="0043317B">
        <w:rPr>
          <w:lang w:val="fr-FR"/>
        </w:rPr>
        <w:t>administration de İmarbank et directeur exécutif de celle-ci, l</w:t>
      </w:r>
      <w:r w:rsidRPr="0043317B" w:rsidR="0043317B">
        <w:rPr>
          <w:lang w:val="fr-FR"/>
        </w:rPr>
        <w:t>’</w:t>
      </w:r>
      <w:r w:rsidRPr="0043317B">
        <w:rPr>
          <w:lang w:val="fr-FR"/>
        </w:rPr>
        <w:t>un des accusés dans le cadre de la procédure pénale principale, en application de l</w:t>
      </w:r>
      <w:r w:rsidRPr="0043317B" w:rsidR="0043317B">
        <w:rPr>
          <w:lang w:val="fr-FR"/>
        </w:rPr>
        <w:t>’</w:t>
      </w:r>
      <w:r w:rsidRPr="0043317B">
        <w:rPr>
          <w:lang w:val="fr-FR"/>
        </w:rPr>
        <w:t>article 2 provisoire de la loi n</w:t>
      </w:r>
      <w:r w:rsidRPr="0043317B">
        <w:rPr>
          <w:vertAlign w:val="superscript"/>
          <w:lang w:val="fr-FR"/>
        </w:rPr>
        <w:t>o</w:t>
      </w:r>
      <w:r w:rsidRPr="0043317B">
        <w:rPr>
          <w:lang w:val="fr-FR"/>
        </w:rPr>
        <w:t xml:space="preserve"> 4969. Elle décida d</w:t>
      </w:r>
      <w:r w:rsidRPr="0043317B" w:rsidR="0043317B">
        <w:rPr>
          <w:lang w:val="fr-FR"/>
        </w:rPr>
        <w:t>’</w:t>
      </w:r>
      <w:r w:rsidRPr="0043317B">
        <w:rPr>
          <w:lang w:val="fr-FR"/>
        </w:rPr>
        <w:t>examiner ultérieurement la question de savoir s</w:t>
      </w:r>
      <w:r w:rsidRPr="0043317B" w:rsidR="0043317B">
        <w:rPr>
          <w:lang w:val="fr-FR"/>
        </w:rPr>
        <w:t>’</w:t>
      </w:r>
      <w:r w:rsidRPr="0043317B">
        <w:rPr>
          <w:lang w:val="fr-FR"/>
        </w:rPr>
        <w:t>il y avait lieu d</w:t>
      </w:r>
      <w:r w:rsidRPr="0043317B" w:rsidR="0043317B">
        <w:rPr>
          <w:lang w:val="fr-FR"/>
        </w:rPr>
        <w:t>’</w:t>
      </w:r>
      <w:r w:rsidRPr="0043317B">
        <w:rPr>
          <w:lang w:val="fr-FR"/>
        </w:rPr>
        <w:t>imposer ou non des mesures conservatoires à l</w:t>
      </w:r>
      <w:r w:rsidRPr="0043317B" w:rsidR="0043317B">
        <w:rPr>
          <w:lang w:val="fr-FR"/>
        </w:rPr>
        <w:t>’</w:t>
      </w:r>
      <w:r w:rsidRPr="0043317B">
        <w:rPr>
          <w:lang w:val="fr-FR"/>
        </w:rPr>
        <w:t>égard des conjoints et des enfants des dirigeants de la banque (dossier en référé n</w:t>
      </w:r>
      <w:r w:rsidRPr="0043317B">
        <w:rPr>
          <w:vertAlign w:val="superscript"/>
          <w:lang w:val="fr-FR"/>
        </w:rPr>
        <w:t>o</w:t>
      </w:r>
      <w:r w:rsidRPr="0043317B" w:rsidR="003C4A77">
        <w:rPr>
          <w:vertAlign w:val="superscript"/>
          <w:lang w:val="fr-FR"/>
        </w:rPr>
        <w:t> </w:t>
      </w:r>
      <w:r w:rsidRPr="0043317B">
        <w:rPr>
          <w:lang w:val="fr-FR"/>
        </w:rPr>
        <w:t>2003/426).</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37</w:t>
      </w:r>
      <w:r w:rsidRPr="0043317B">
        <w:rPr>
          <w:lang w:val="fr-FR"/>
        </w:rPr>
        <w:fldChar w:fldCharType="end"/>
      </w:r>
      <w:r w:rsidRPr="0043317B">
        <w:rPr>
          <w:lang w:val="fr-FR"/>
        </w:rPr>
        <w:t>.  Le 11 septembre 2003, pour faire suite à la décision du 14 août 2003, le même tribunal rendit une ordonnance de mesures conservatoires à l</w:t>
      </w:r>
      <w:r w:rsidRPr="0043317B" w:rsidR="0043317B">
        <w:rPr>
          <w:lang w:val="fr-FR"/>
        </w:rPr>
        <w:t>’</w:t>
      </w:r>
      <w:r w:rsidRPr="0043317B">
        <w:rPr>
          <w:lang w:val="fr-FR"/>
        </w:rPr>
        <w:t>encontre de la requérante Ayla Uzan-Ashaboğlu, en application de l</w:t>
      </w:r>
      <w:r w:rsidRPr="0043317B" w:rsidR="0043317B">
        <w:rPr>
          <w:lang w:val="fr-FR"/>
        </w:rPr>
        <w:t>’</w:t>
      </w:r>
      <w:r w:rsidRPr="0043317B">
        <w:rPr>
          <w:lang w:val="fr-FR"/>
        </w:rPr>
        <w:t>article 2 provisoire de la loi n</w:t>
      </w:r>
      <w:r w:rsidRPr="0043317B">
        <w:rPr>
          <w:vertAlign w:val="superscript"/>
          <w:lang w:val="fr-FR"/>
        </w:rPr>
        <w:t>o</w:t>
      </w:r>
      <w:r w:rsidRPr="0043317B">
        <w:rPr>
          <w:lang w:val="fr-FR"/>
        </w:rPr>
        <w:t xml:space="preserve"> 4969 (dossier en référé n</w:t>
      </w:r>
      <w:r w:rsidRPr="0043317B">
        <w:rPr>
          <w:vertAlign w:val="superscript"/>
          <w:lang w:val="fr-FR"/>
        </w:rPr>
        <w:t>o </w:t>
      </w:r>
      <w:r w:rsidRPr="0043317B">
        <w:rPr>
          <w:lang w:val="fr-FR"/>
        </w:rPr>
        <w:t>2003/484).</w:t>
      </w:r>
    </w:p>
    <w:p w:rsidRPr="0043317B" w:rsidR="000A45C0" w:rsidP="0043317B" w:rsidRDefault="000A45C0">
      <w:pPr>
        <w:pStyle w:val="ECHRPara"/>
        <w:rPr>
          <w:lang w:val="fr-FR"/>
        </w:rPr>
      </w:pPr>
      <w:r w:rsidRPr="0043317B">
        <w:rPr>
          <w:lang w:val="fr-FR"/>
        </w:rPr>
        <w:t>Sur la base de cette décision, à différentes dates non précisées, des mesures conservatoires furent ordonnées sur les biens de la requérante susmentionnée.</w:t>
      </w:r>
    </w:p>
    <w:p w:rsidRPr="0043317B" w:rsidR="000A45C0" w:rsidP="0043317B" w:rsidRDefault="000A45C0">
      <w:pPr>
        <w:pStyle w:val="ECHRPara"/>
        <w:rPr>
          <w:lang w:val="fr-FR"/>
        </w:rPr>
      </w:pPr>
      <w:r w:rsidRPr="0043317B">
        <w:rPr>
          <w:lang w:val="fr-FR"/>
        </w:rPr>
        <w:t>De même, le coffre-fort de l</w:t>
      </w:r>
      <w:r w:rsidRPr="0043317B" w:rsidR="0043317B">
        <w:rPr>
          <w:lang w:val="fr-FR"/>
        </w:rPr>
        <w:t>’</w:t>
      </w:r>
      <w:r w:rsidRPr="0043317B">
        <w:rPr>
          <w:lang w:val="fr-FR"/>
        </w:rPr>
        <w:t>intéressée, qui contenait 30 000 dollars américains (USD), 6 milliards TRL (environ 3 870 EUR), 50 pièces d</w:t>
      </w:r>
      <w:r w:rsidRPr="0043317B" w:rsidR="0043317B">
        <w:rPr>
          <w:lang w:val="fr-FR"/>
        </w:rPr>
        <w:t>’</w:t>
      </w:r>
      <w:r w:rsidRPr="0043317B">
        <w:rPr>
          <w:lang w:val="fr-FR"/>
        </w:rPr>
        <w:t>or (d</w:t>
      </w:r>
      <w:r w:rsidRPr="0043317B" w:rsidR="0043317B">
        <w:rPr>
          <w:lang w:val="fr-FR"/>
        </w:rPr>
        <w:t>’</w:t>
      </w:r>
      <w:r w:rsidRPr="0043317B">
        <w:rPr>
          <w:lang w:val="fr-FR"/>
        </w:rPr>
        <w:t>une valeur de 5 618 500 000 TRL à l</w:t>
      </w:r>
      <w:r w:rsidRPr="0043317B" w:rsidR="0043317B">
        <w:rPr>
          <w:lang w:val="fr-FR"/>
        </w:rPr>
        <w:t>’</w:t>
      </w:r>
      <w:r w:rsidRPr="0043317B">
        <w:rPr>
          <w:lang w:val="fr-FR"/>
        </w:rPr>
        <w:t>époque des faits</w:t>
      </w:r>
      <w:r w:rsidRPr="0043317B" w:rsidR="003C4A77">
        <w:rPr>
          <w:lang w:val="fr-FR"/>
        </w:rPr>
        <w:t xml:space="preserve"> (environ 3 620 </w:t>
      </w:r>
      <w:r w:rsidRPr="0043317B">
        <w:rPr>
          <w:lang w:val="fr-FR"/>
        </w:rPr>
        <w:t>EUR)) et 759 actions de Kepez T.A.O. de différents types (d</w:t>
      </w:r>
      <w:r w:rsidRPr="0043317B" w:rsidR="0043317B">
        <w:rPr>
          <w:lang w:val="fr-FR"/>
        </w:rPr>
        <w:t>’</w:t>
      </w:r>
      <w:r w:rsidRPr="0043317B">
        <w:rPr>
          <w:lang w:val="fr-FR"/>
        </w:rPr>
        <w:t>une valeur totale de 6 451 200 000 TRL (environ 4 160 EUR) à l</w:t>
      </w:r>
      <w:r w:rsidRPr="0043317B" w:rsidR="0043317B">
        <w:rPr>
          <w:lang w:val="fr-FR"/>
        </w:rPr>
        <w:t>’</w:t>
      </w:r>
      <w:r w:rsidRPr="0043317B">
        <w:rPr>
          <w:lang w:val="fr-FR"/>
        </w:rPr>
        <w:t>époque des faits), fut soumis, le 26 février 2004, à une saisie.</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38</w:t>
      </w:r>
      <w:r w:rsidRPr="0043317B">
        <w:rPr>
          <w:lang w:val="fr-FR"/>
        </w:rPr>
        <w:fldChar w:fldCharType="end"/>
      </w:r>
      <w:r w:rsidRPr="0043317B">
        <w:rPr>
          <w:lang w:val="fr-FR"/>
        </w:rPr>
        <w:t>.  Le 21 janvier 2004, le procureur de la République de Şişli rendit une décision de non-lieu à l</w:t>
      </w:r>
      <w:r w:rsidRPr="0043317B" w:rsidR="0043317B">
        <w:rPr>
          <w:lang w:val="fr-FR"/>
        </w:rPr>
        <w:t>’</w:t>
      </w:r>
      <w:r w:rsidRPr="0043317B">
        <w:rPr>
          <w:lang w:val="fr-FR"/>
        </w:rPr>
        <w:t>égard de tous les requérants (paragraphe</w:t>
      </w:r>
      <w:r w:rsidRPr="0043317B" w:rsidR="003C4A77">
        <w:rPr>
          <w:lang w:val="fr-FR"/>
        </w:rPr>
        <w:t> </w:t>
      </w:r>
      <w:r w:rsidRPr="0043317B">
        <w:rPr>
          <w:lang w:val="fr-FR"/>
        </w:rPr>
        <w:t>16 ci</w:t>
      </w:r>
      <w:r w:rsidRPr="0043317B">
        <w:rPr>
          <w:lang w:val="fr-FR"/>
        </w:rPr>
        <w:noBreakHyphen/>
        <w:t>dessus). Le 5 février 2004, le FADE forma opposition contre la décision de non-lieu. Le 10 mai 2004, la cour d</w:t>
      </w:r>
      <w:r w:rsidRPr="0043317B" w:rsidR="0043317B">
        <w:rPr>
          <w:lang w:val="fr-FR"/>
        </w:rPr>
        <w:t>’</w:t>
      </w:r>
      <w:r w:rsidRPr="0043317B">
        <w:rPr>
          <w:lang w:val="fr-FR"/>
        </w:rPr>
        <w:t>assises de Beyoğlu rejeta le recours du FADE et confirma la décision de non-lieu.</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39</w:t>
      </w:r>
      <w:r w:rsidRPr="0043317B">
        <w:rPr>
          <w:lang w:val="fr-FR"/>
        </w:rPr>
        <w:fldChar w:fldCharType="end"/>
      </w:r>
      <w:r w:rsidRPr="0043317B">
        <w:rPr>
          <w:lang w:val="fr-FR"/>
        </w:rPr>
        <w:t>.  Le 24 novembre 2016, le Gouvernement a informé la Cour que les mesures conservatoires ordonnées par la 2</w:t>
      </w:r>
      <w:r w:rsidRPr="0043317B">
        <w:rPr>
          <w:vertAlign w:val="superscript"/>
          <w:lang w:val="fr-FR"/>
        </w:rPr>
        <w:t>e</w:t>
      </w:r>
      <w:r w:rsidRPr="0043317B">
        <w:rPr>
          <w:lang w:val="fr-FR"/>
        </w:rPr>
        <w:t xml:space="preserve"> chambre du tribunal de police de Şişli à l</w:t>
      </w:r>
      <w:r w:rsidRPr="0043317B" w:rsidR="0043317B">
        <w:rPr>
          <w:lang w:val="fr-FR"/>
        </w:rPr>
        <w:t>’</w:t>
      </w:r>
      <w:r w:rsidRPr="0043317B">
        <w:rPr>
          <w:lang w:val="fr-FR"/>
        </w:rPr>
        <w:t>encontre de la requérante Ayla Uzan-Ashaboğlu étaient toujours en vigueur.</w:t>
      </w:r>
    </w:p>
    <w:p w:rsidRPr="0043317B" w:rsidR="000A45C0" w:rsidP="0043317B" w:rsidRDefault="000A45C0">
      <w:pPr>
        <w:pStyle w:val="ECHRHeading3"/>
        <w:rPr>
          <w:lang w:val="fr-FR"/>
        </w:rPr>
      </w:pPr>
      <w:r w:rsidRPr="0043317B">
        <w:rPr>
          <w:lang w:val="fr-FR"/>
        </w:rPr>
        <w:t>3.  M</w:t>
      </w:r>
      <w:r w:rsidRPr="0043317B">
        <w:rPr>
          <w:vertAlign w:val="superscript"/>
          <w:lang w:val="fr-FR"/>
        </w:rPr>
        <w:t>me</w:t>
      </w:r>
      <w:r w:rsidRPr="0043317B" w:rsidR="003C4A77">
        <w:rPr>
          <w:vertAlign w:val="superscript"/>
          <w:lang w:val="fr-FR"/>
        </w:rPr>
        <w:t> </w:t>
      </w:r>
      <w:r w:rsidRPr="0043317B">
        <w:rPr>
          <w:lang w:val="fr-FR"/>
        </w:rPr>
        <w:t>Nimet</w:t>
      </w:r>
      <w:r w:rsidRPr="0043317B" w:rsidR="003C4A77">
        <w:rPr>
          <w:lang w:val="fr-FR"/>
        </w:rPr>
        <w:t> </w:t>
      </w:r>
      <w:r w:rsidRPr="0043317B">
        <w:rPr>
          <w:lang w:val="fr-FR"/>
        </w:rPr>
        <w:t>Hülya</w:t>
      </w:r>
      <w:r w:rsidRPr="0043317B" w:rsidR="003C4A77">
        <w:rPr>
          <w:lang w:val="fr-FR"/>
        </w:rPr>
        <w:t> </w:t>
      </w:r>
      <w:r w:rsidRPr="0043317B">
        <w:rPr>
          <w:lang w:val="fr-FR"/>
        </w:rPr>
        <w:t>Talu</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40</w:t>
      </w:r>
      <w:r w:rsidRPr="0043317B">
        <w:rPr>
          <w:lang w:val="fr-FR"/>
        </w:rPr>
        <w:fldChar w:fldCharType="end"/>
      </w:r>
      <w:r w:rsidRPr="0043317B">
        <w:rPr>
          <w:lang w:val="fr-FR"/>
        </w:rPr>
        <w:t>.  Le 14 août 2003, la 2</w:t>
      </w:r>
      <w:r w:rsidRPr="0043317B">
        <w:rPr>
          <w:vertAlign w:val="superscript"/>
          <w:lang w:val="fr-FR"/>
        </w:rPr>
        <w:t>e</w:t>
      </w:r>
      <w:r w:rsidRPr="0043317B">
        <w:rPr>
          <w:lang w:val="fr-FR"/>
        </w:rPr>
        <w:t xml:space="preserve"> chambre du tribunal de police de Şişli, saisie par le FADE, ordonna des mesures conservatoires sur les biens de la requérante Nimet Hülya Talu, en raison du fait qu</w:t>
      </w:r>
      <w:r w:rsidRPr="0043317B" w:rsidR="0043317B">
        <w:rPr>
          <w:lang w:val="fr-FR"/>
        </w:rPr>
        <w:t>’</w:t>
      </w:r>
      <w:r w:rsidRPr="0043317B">
        <w:rPr>
          <w:lang w:val="fr-FR"/>
        </w:rPr>
        <w:t>elle avait occupé le poste de contrôleur de gestion de la banque (</w:t>
      </w:r>
      <w:r w:rsidRPr="0043317B">
        <w:rPr>
          <w:i/>
          <w:lang w:val="fr-FR"/>
        </w:rPr>
        <w:t>murakıp</w:t>
      </w:r>
      <w:r w:rsidRPr="0043317B">
        <w:rPr>
          <w:lang w:val="fr-FR"/>
        </w:rPr>
        <w:t>) au sein de İmarbank.</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41</w:t>
      </w:r>
      <w:r w:rsidRPr="0043317B">
        <w:rPr>
          <w:lang w:val="fr-FR"/>
        </w:rPr>
        <w:fldChar w:fldCharType="end"/>
      </w:r>
      <w:r w:rsidRPr="0043317B">
        <w:rPr>
          <w:lang w:val="fr-FR"/>
        </w:rPr>
        <w:t>.  À des dates non précisées, des mesures conservatoires furent ordonnées sur le salaire de cette dernière, sur sa voiture, ainsi que sur sa maison.</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42</w:t>
      </w:r>
      <w:r w:rsidRPr="0043317B">
        <w:rPr>
          <w:lang w:val="fr-FR"/>
        </w:rPr>
        <w:fldChar w:fldCharType="end"/>
      </w:r>
      <w:r w:rsidRPr="0043317B">
        <w:rPr>
          <w:lang w:val="fr-FR"/>
        </w:rPr>
        <w:t>.  Le 7 janvier 2004, le FADE déposa une plainte pénale pour détournement de fonds contre les personnes dont les biens avaient fait l</w:t>
      </w:r>
      <w:r w:rsidRPr="0043317B" w:rsidR="0043317B">
        <w:rPr>
          <w:lang w:val="fr-FR"/>
        </w:rPr>
        <w:t>’</w:t>
      </w:r>
      <w:r w:rsidRPr="0043317B">
        <w:rPr>
          <w:lang w:val="fr-FR"/>
        </w:rPr>
        <w:t>objet d</w:t>
      </w:r>
      <w:r w:rsidRPr="0043317B" w:rsidR="0043317B">
        <w:rPr>
          <w:lang w:val="fr-FR"/>
        </w:rPr>
        <w:t>’</w:t>
      </w:r>
      <w:r w:rsidRPr="0043317B">
        <w:rPr>
          <w:lang w:val="fr-FR"/>
        </w:rPr>
        <w:t>une mesure conservatoire.</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43</w:t>
      </w:r>
      <w:r w:rsidRPr="0043317B">
        <w:rPr>
          <w:lang w:val="fr-FR"/>
        </w:rPr>
        <w:fldChar w:fldCharType="end"/>
      </w:r>
      <w:r w:rsidRPr="0043317B">
        <w:rPr>
          <w:lang w:val="fr-FR"/>
        </w:rPr>
        <w:t>.  Le 21 janvier 2004, le procureur de la République de Şişli rendit une décision de non-lieu à l</w:t>
      </w:r>
      <w:r w:rsidRPr="0043317B" w:rsidR="0043317B">
        <w:rPr>
          <w:lang w:val="fr-FR"/>
        </w:rPr>
        <w:t>’</w:t>
      </w:r>
      <w:r w:rsidRPr="0043317B">
        <w:rPr>
          <w:lang w:val="fr-FR"/>
        </w:rPr>
        <w:t>égard de tous les requérants (paragraphe</w:t>
      </w:r>
      <w:r w:rsidRPr="0043317B" w:rsidR="003C4A77">
        <w:rPr>
          <w:lang w:val="fr-FR"/>
        </w:rPr>
        <w:t> </w:t>
      </w:r>
      <w:r w:rsidRPr="0043317B">
        <w:rPr>
          <w:lang w:val="fr-FR"/>
        </w:rPr>
        <w:t>16 ci</w:t>
      </w:r>
      <w:r w:rsidRPr="0043317B">
        <w:rPr>
          <w:lang w:val="fr-FR"/>
        </w:rPr>
        <w:noBreakHyphen/>
        <w:t>dessus). Le 5 février 2004, le FADE forma opposition contre la décision de non</w:t>
      </w:r>
      <w:r w:rsidRPr="0043317B">
        <w:rPr>
          <w:lang w:val="fr-FR"/>
        </w:rPr>
        <w:noBreakHyphen/>
        <w:t>lieu. Le 10 mai 2004, la cour d</w:t>
      </w:r>
      <w:r w:rsidRPr="0043317B" w:rsidR="0043317B">
        <w:rPr>
          <w:lang w:val="fr-FR"/>
        </w:rPr>
        <w:t>’</w:t>
      </w:r>
      <w:r w:rsidRPr="0043317B">
        <w:rPr>
          <w:lang w:val="fr-FR"/>
        </w:rPr>
        <w:t>assises de Beyoğlu rejeta le recours du FADE et confirma la décision de non-lieu.</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44</w:t>
      </w:r>
      <w:r w:rsidRPr="0043317B">
        <w:rPr>
          <w:lang w:val="fr-FR"/>
        </w:rPr>
        <w:fldChar w:fldCharType="end"/>
      </w:r>
      <w:r w:rsidRPr="0043317B">
        <w:rPr>
          <w:lang w:val="fr-FR"/>
        </w:rPr>
        <w:t>.  Le 11 mai 2004, à la demande de la requérante Nimet Hülya Talu, à qui elle conféra « une qualité autre que celle de partie au procès », la cour d</w:t>
      </w:r>
      <w:r w:rsidRPr="0043317B" w:rsidR="0043317B">
        <w:rPr>
          <w:lang w:val="fr-FR"/>
        </w:rPr>
        <w:t>’</w:t>
      </w:r>
      <w:r w:rsidRPr="0043317B">
        <w:rPr>
          <w:lang w:val="fr-FR"/>
        </w:rPr>
        <w:t>assises d</w:t>
      </w:r>
      <w:r w:rsidRPr="0043317B" w:rsidR="0043317B">
        <w:rPr>
          <w:lang w:val="fr-FR"/>
        </w:rPr>
        <w:t>’</w:t>
      </w:r>
      <w:r w:rsidRPr="0043317B">
        <w:rPr>
          <w:lang w:val="fr-FR"/>
        </w:rPr>
        <w:t>Istanbul ordonna, dans le cadre du dossier n</w:t>
      </w:r>
      <w:r w:rsidRPr="0043317B">
        <w:rPr>
          <w:vertAlign w:val="superscript"/>
          <w:lang w:val="fr-FR"/>
        </w:rPr>
        <w:t>o</w:t>
      </w:r>
      <w:r w:rsidRPr="0043317B">
        <w:rPr>
          <w:lang w:val="fr-FR"/>
        </w:rPr>
        <w:t xml:space="preserve"> 2004/1, une levée partielle des mesures conservatoires sur le seul salaire de ladite requérante.</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45</w:t>
      </w:r>
      <w:r w:rsidRPr="0043317B">
        <w:rPr>
          <w:lang w:val="fr-FR"/>
        </w:rPr>
        <w:fldChar w:fldCharType="end"/>
      </w:r>
      <w:r w:rsidRPr="0043317B">
        <w:rPr>
          <w:lang w:val="fr-FR"/>
        </w:rPr>
        <w:t>.  Dans sa décision, elle fixa la fraction de salaire mensuel insaisissable, laissée à la disposition de cette requérante, à 1 000 TRL (soit environ 550 EUR à l</w:t>
      </w:r>
      <w:r w:rsidRPr="0043317B" w:rsidR="0043317B">
        <w:rPr>
          <w:lang w:val="fr-FR"/>
        </w:rPr>
        <w:t>’</w:t>
      </w:r>
      <w:r w:rsidRPr="0043317B">
        <w:rPr>
          <w:lang w:val="fr-FR"/>
        </w:rPr>
        <w:t>époque des faits). Elle refusa pour le reste de lever les mesures conservatoires imposées aux autres biens de l</w:t>
      </w:r>
      <w:r w:rsidRPr="0043317B" w:rsidR="0043317B">
        <w:rPr>
          <w:lang w:val="fr-FR"/>
        </w:rPr>
        <w:t>’</w:t>
      </w:r>
      <w:r w:rsidRPr="0043317B">
        <w:rPr>
          <w:lang w:val="fr-FR"/>
        </w:rPr>
        <w:t>intéressée.</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46</w:t>
      </w:r>
      <w:r w:rsidRPr="0043317B">
        <w:rPr>
          <w:lang w:val="fr-FR"/>
        </w:rPr>
        <w:fldChar w:fldCharType="end"/>
      </w:r>
      <w:r w:rsidRPr="0043317B">
        <w:rPr>
          <w:lang w:val="fr-FR"/>
        </w:rPr>
        <w:t>.  Le 23 juin 2004, se prévalant de la décision de non-lieu du 21</w:t>
      </w:r>
      <w:r w:rsidRPr="0043317B" w:rsidR="003C4A77">
        <w:rPr>
          <w:lang w:val="fr-FR"/>
        </w:rPr>
        <w:t> </w:t>
      </w:r>
      <w:r w:rsidRPr="0043317B">
        <w:rPr>
          <w:lang w:val="fr-FR"/>
        </w:rPr>
        <w:t>janvier 2004, la requérante susmentionnée demanda à la 8</w:t>
      </w:r>
      <w:r w:rsidRPr="0043317B">
        <w:rPr>
          <w:vertAlign w:val="superscript"/>
          <w:lang w:val="fr-FR"/>
        </w:rPr>
        <w:t>e</w:t>
      </w:r>
      <w:r w:rsidRPr="0043317B">
        <w:rPr>
          <w:lang w:val="fr-FR"/>
        </w:rPr>
        <w:t xml:space="preserve"> chambre de la cour d</w:t>
      </w:r>
      <w:r w:rsidRPr="0043317B" w:rsidR="0043317B">
        <w:rPr>
          <w:lang w:val="fr-FR"/>
        </w:rPr>
        <w:t>’</w:t>
      </w:r>
      <w:r w:rsidRPr="0043317B">
        <w:rPr>
          <w:lang w:val="fr-FR"/>
        </w:rPr>
        <w:t>assises d</w:t>
      </w:r>
      <w:r w:rsidRPr="0043317B" w:rsidR="0043317B">
        <w:rPr>
          <w:lang w:val="fr-FR"/>
        </w:rPr>
        <w:t>’</w:t>
      </w:r>
      <w:r w:rsidRPr="0043317B">
        <w:rPr>
          <w:lang w:val="fr-FR"/>
        </w:rPr>
        <w:t>Istanbul la levée totale des mesures conservatoires imposées sur l</w:t>
      </w:r>
      <w:r w:rsidRPr="0043317B" w:rsidR="0043317B">
        <w:rPr>
          <w:lang w:val="fr-FR"/>
        </w:rPr>
        <w:t>’</w:t>
      </w:r>
      <w:r w:rsidRPr="0043317B">
        <w:rPr>
          <w:lang w:val="fr-FR"/>
        </w:rPr>
        <w:t>ensemble de ses biens.</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47</w:t>
      </w:r>
      <w:r w:rsidRPr="0043317B">
        <w:rPr>
          <w:lang w:val="fr-FR"/>
        </w:rPr>
        <w:fldChar w:fldCharType="end"/>
      </w:r>
      <w:r w:rsidRPr="0043317B">
        <w:rPr>
          <w:lang w:val="fr-FR"/>
        </w:rPr>
        <w:t>.  À l</w:t>
      </w:r>
      <w:r w:rsidRPr="0043317B" w:rsidR="0043317B">
        <w:rPr>
          <w:lang w:val="fr-FR"/>
        </w:rPr>
        <w:t>’</w:t>
      </w:r>
      <w:r w:rsidRPr="0043317B">
        <w:rPr>
          <w:lang w:val="fr-FR"/>
        </w:rPr>
        <w:t>audience du 1</w:t>
      </w:r>
      <w:r w:rsidRPr="0043317B">
        <w:rPr>
          <w:vertAlign w:val="superscript"/>
          <w:lang w:val="fr-FR"/>
        </w:rPr>
        <w:t>er</w:t>
      </w:r>
      <w:r w:rsidRPr="0043317B">
        <w:rPr>
          <w:lang w:val="fr-FR"/>
        </w:rPr>
        <w:t xml:space="preserve"> juillet 2004, la 8</w:t>
      </w:r>
      <w:r w:rsidRPr="0043317B">
        <w:rPr>
          <w:vertAlign w:val="superscript"/>
          <w:lang w:val="fr-FR"/>
        </w:rPr>
        <w:t>e</w:t>
      </w:r>
      <w:r w:rsidRPr="0043317B">
        <w:rPr>
          <w:lang w:val="fr-FR"/>
        </w:rPr>
        <w:t xml:space="preserve"> chambre de la cour d</w:t>
      </w:r>
      <w:r w:rsidRPr="0043317B" w:rsidR="0043317B">
        <w:rPr>
          <w:lang w:val="fr-FR"/>
        </w:rPr>
        <w:t>’</w:t>
      </w:r>
      <w:r w:rsidRPr="0043317B">
        <w:rPr>
          <w:lang w:val="fr-FR"/>
        </w:rPr>
        <w:t>assises d</w:t>
      </w:r>
      <w:r w:rsidRPr="0043317B" w:rsidR="0043317B">
        <w:rPr>
          <w:lang w:val="fr-FR"/>
        </w:rPr>
        <w:t>’</w:t>
      </w:r>
      <w:r w:rsidRPr="0043317B">
        <w:rPr>
          <w:lang w:val="fr-FR"/>
        </w:rPr>
        <w:t>Istanbul rejeta sa demande (dossier n</w:t>
      </w:r>
      <w:r w:rsidRPr="0043317B">
        <w:rPr>
          <w:vertAlign w:val="superscript"/>
          <w:lang w:val="fr-FR"/>
        </w:rPr>
        <w:t>o</w:t>
      </w:r>
      <w:r w:rsidRPr="0043317B" w:rsidR="003C4A77">
        <w:rPr>
          <w:vertAlign w:val="superscript"/>
          <w:lang w:val="fr-FR"/>
        </w:rPr>
        <w:t> </w:t>
      </w:r>
      <w:r w:rsidRPr="0043317B">
        <w:rPr>
          <w:lang w:val="fr-FR"/>
        </w:rPr>
        <w:t>2004/1).</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48</w:t>
      </w:r>
      <w:r w:rsidRPr="0043317B">
        <w:rPr>
          <w:lang w:val="fr-FR"/>
        </w:rPr>
        <w:fldChar w:fldCharType="end"/>
      </w:r>
      <w:r w:rsidRPr="0043317B">
        <w:rPr>
          <w:lang w:val="fr-FR"/>
        </w:rPr>
        <w:t>.  Le 21 juin 2005, la requérante Nimet Hülya Talu demanda à la 8</w:t>
      </w:r>
      <w:r w:rsidRPr="0043317B">
        <w:rPr>
          <w:vertAlign w:val="superscript"/>
          <w:lang w:val="fr-FR"/>
        </w:rPr>
        <w:t>e</w:t>
      </w:r>
      <w:r w:rsidRPr="0043317B">
        <w:rPr>
          <w:lang w:val="fr-FR"/>
        </w:rPr>
        <w:t> chambre de la cour d</w:t>
      </w:r>
      <w:r w:rsidRPr="0043317B" w:rsidR="0043317B">
        <w:rPr>
          <w:lang w:val="fr-FR"/>
        </w:rPr>
        <w:t>’</w:t>
      </w:r>
      <w:r w:rsidRPr="0043317B">
        <w:rPr>
          <w:lang w:val="fr-FR"/>
        </w:rPr>
        <w:t>assises d</w:t>
      </w:r>
      <w:r w:rsidRPr="0043317B" w:rsidR="0043317B">
        <w:rPr>
          <w:lang w:val="fr-FR"/>
        </w:rPr>
        <w:t>’</w:t>
      </w:r>
      <w:r w:rsidRPr="0043317B">
        <w:rPr>
          <w:lang w:val="fr-FR"/>
        </w:rPr>
        <w:t>Istanbul la levée des mesures conservatoires imposées sur ses épargnes (</w:t>
      </w:r>
      <w:r w:rsidRPr="0043317B">
        <w:rPr>
          <w:i/>
          <w:lang w:val="fr-FR"/>
        </w:rPr>
        <w:t>tasarruf teşvik nemaları</w:t>
      </w:r>
      <w:r w:rsidRPr="0043317B">
        <w:rPr>
          <w:lang w:val="fr-FR"/>
        </w:rPr>
        <w:t>) ainsi que sur ses salaires et indemnités dus au titre de la période où elle avait travaillé en tant que directrice de l</w:t>
      </w:r>
      <w:r w:rsidRPr="0043317B" w:rsidR="0043317B">
        <w:rPr>
          <w:lang w:val="fr-FR"/>
        </w:rPr>
        <w:t>’</w:t>
      </w:r>
      <w:r w:rsidRPr="0043317B">
        <w:rPr>
          <w:lang w:val="fr-FR"/>
        </w:rPr>
        <w:t>institut des sciences sociales de la faculté d</w:t>
      </w:r>
      <w:r w:rsidRPr="0043317B" w:rsidR="0043317B">
        <w:rPr>
          <w:lang w:val="fr-FR"/>
        </w:rPr>
        <w:t>’</w:t>
      </w:r>
      <w:r w:rsidRPr="0043317B">
        <w:rPr>
          <w:lang w:val="fr-FR"/>
        </w:rPr>
        <w:t>économie de l</w:t>
      </w:r>
      <w:r w:rsidRPr="0043317B" w:rsidR="0043317B">
        <w:rPr>
          <w:lang w:val="fr-FR"/>
        </w:rPr>
        <w:t>’</w:t>
      </w:r>
      <w:r w:rsidRPr="0043317B">
        <w:rPr>
          <w:lang w:val="fr-FR"/>
        </w:rPr>
        <w:t>université d</w:t>
      </w:r>
      <w:r w:rsidRPr="0043317B" w:rsidR="0043317B">
        <w:rPr>
          <w:lang w:val="fr-FR"/>
        </w:rPr>
        <w:t>’</w:t>
      </w:r>
      <w:r w:rsidRPr="0043317B">
        <w:rPr>
          <w:lang w:val="fr-FR"/>
        </w:rPr>
        <w:t>Istanbul.</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49</w:t>
      </w:r>
      <w:r w:rsidRPr="0043317B">
        <w:rPr>
          <w:lang w:val="fr-FR"/>
        </w:rPr>
        <w:fldChar w:fldCharType="end"/>
      </w:r>
      <w:r w:rsidRPr="0043317B">
        <w:rPr>
          <w:lang w:val="fr-FR"/>
        </w:rPr>
        <w:t>.  Le 28 juin 2005, lors de l</w:t>
      </w:r>
      <w:r w:rsidRPr="0043317B" w:rsidR="0043317B">
        <w:rPr>
          <w:lang w:val="fr-FR"/>
        </w:rPr>
        <w:t>’</w:t>
      </w:r>
      <w:r w:rsidRPr="0043317B">
        <w:rPr>
          <w:lang w:val="fr-FR"/>
        </w:rPr>
        <w:t>audience tenue ce jour-là, la 8</w:t>
      </w:r>
      <w:r w:rsidRPr="0043317B">
        <w:rPr>
          <w:vertAlign w:val="superscript"/>
          <w:lang w:val="fr-FR"/>
        </w:rPr>
        <w:t>e</w:t>
      </w:r>
      <w:r w:rsidRPr="0043317B">
        <w:rPr>
          <w:lang w:val="fr-FR"/>
        </w:rPr>
        <w:t xml:space="preserve"> chambre de la cour d</w:t>
      </w:r>
      <w:r w:rsidRPr="0043317B" w:rsidR="0043317B">
        <w:rPr>
          <w:lang w:val="fr-FR"/>
        </w:rPr>
        <w:t>’</w:t>
      </w:r>
      <w:r w:rsidRPr="0043317B">
        <w:rPr>
          <w:lang w:val="fr-FR"/>
        </w:rPr>
        <w:t>assises d</w:t>
      </w:r>
      <w:r w:rsidRPr="0043317B" w:rsidR="0043317B">
        <w:rPr>
          <w:lang w:val="fr-FR"/>
        </w:rPr>
        <w:t>’</w:t>
      </w:r>
      <w:r w:rsidRPr="0043317B">
        <w:rPr>
          <w:lang w:val="fr-FR"/>
        </w:rPr>
        <w:t>Istanbul ordonna la levée des mesures sur une partie de ses épargnes de ladite requérante, rejetant ainsi le reste de la demande formulée par celle-ci</w:t>
      </w:r>
      <w:r w:rsidRPr="0043317B" w:rsidR="003C4A77">
        <w:rPr>
          <w:lang w:val="fr-FR"/>
        </w:rPr>
        <w:t xml:space="preserve"> (dossier </w:t>
      </w:r>
      <w:r w:rsidRPr="0043317B">
        <w:rPr>
          <w:lang w:val="fr-FR"/>
        </w:rPr>
        <w:t>n</w:t>
      </w:r>
      <w:r w:rsidRPr="0043317B">
        <w:rPr>
          <w:vertAlign w:val="superscript"/>
          <w:lang w:val="fr-FR"/>
        </w:rPr>
        <w:t>o</w:t>
      </w:r>
      <w:r w:rsidRPr="0043317B" w:rsidR="003C4A77">
        <w:rPr>
          <w:lang w:val="fr-FR"/>
        </w:rPr>
        <w:t> </w:t>
      </w:r>
      <w:r w:rsidRPr="0043317B">
        <w:rPr>
          <w:lang w:val="fr-FR"/>
        </w:rPr>
        <w:t>2004/1).</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50</w:t>
      </w:r>
      <w:r w:rsidRPr="0043317B">
        <w:rPr>
          <w:lang w:val="fr-FR"/>
        </w:rPr>
        <w:fldChar w:fldCharType="end"/>
      </w:r>
      <w:r w:rsidRPr="0043317B">
        <w:rPr>
          <w:lang w:val="fr-FR"/>
        </w:rPr>
        <w:t>.  Le 21 février 2006, la 8</w:t>
      </w:r>
      <w:r w:rsidRPr="0043317B">
        <w:rPr>
          <w:vertAlign w:val="superscript"/>
          <w:lang w:val="fr-FR"/>
        </w:rPr>
        <w:t>e</w:t>
      </w:r>
      <w:r w:rsidRPr="0043317B">
        <w:rPr>
          <w:lang w:val="fr-FR"/>
        </w:rPr>
        <w:t xml:space="preserve"> chambre de la cour d</w:t>
      </w:r>
      <w:r w:rsidRPr="0043317B" w:rsidR="0043317B">
        <w:rPr>
          <w:lang w:val="fr-FR"/>
        </w:rPr>
        <w:t>’</w:t>
      </w:r>
      <w:r w:rsidRPr="0043317B">
        <w:rPr>
          <w:lang w:val="fr-FR"/>
        </w:rPr>
        <w:t>assises d</w:t>
      </w:r>
      <w:r w:rsidRPr="0043317B" w:rsidR="0043317B">
        <w:rPr>
          <w:lang w:val="fr-FR"/>
        </w:rPr>
        <w:t>’</w:t>
      </w:r>
      <w:r w:rsidRPr="0043317B">
        <w:rPr>
          <w:lang w:val="fr-FR"/>
        </w:rPr>
        <w:t>Istanbul rendit son arrêt dans le dossier n</w:t>
      </w:r>
      <w:r w:rsidRPr="0043317B">
        <w:rPr>
          <w:vertAlign w:val="superscript"/>
          <w:lang w:val="fr-FR"/>
        </w:rPr>
        <w:t>o</w:t>
      </w:r>
      <w:r w:rsidRPr="0043317B">
        <w:rPr>
          <w:lang w:val="fr-FR"/>
        </w:rPr>
        <w:t xml:space="preserve"> 2004/1 et décida de disjoindre le dossier concernant les dirigeants fugitifs de İmarbank, attribuant à celui-ci un nouveau numéro de dossier (n</w:t>
      </w:r>
      <w:r w:rsidRPr="0043317B">
        <w:rPr>
          <w:vertAlign w:val="superscript"/>
          <w:lang w:val="fr-FR"/>
        </w:rPr>
        <w:t>o</w:t>
      </w:r>
      <w:r w:rsidRPr="0043317B">
        <w:rPr>
          <w:lang w:val="fr-FR"/>
        </w:rPr>
        <w:t xml:space="preserve"> 2006/17). Elle ordonna ainsi le maintien des mesures conservatoires imposées aux personnes non parties au procès jusqu</w:t>
      </w:r>
      <w:r w:rsidRPr="0043317B" w:rsidR="0043317B">
        <w:rPr>
          <w:lang w:val="fr-FR"/>
        </w:rPr>
        <w:t>’</w:t>
      </w:r>
      <w:r w:rsidRPr="0043317B">
        <w:rPr>
          <w:lang w:val="fr-FR"/>
        </w:rPr>
        <w:t>à ce que l</w:t>
      </w:r>
      <w:r w:rsidRPr="0043317B" w:rsidR="0043317B">
        <w:rPr>
          <w:lang w:val="fr-FR"/>
        </w:rPr>
        <w:t>’</w:t>
      </w:r>
      <w:r w:rsidRPr="0043317B">
        <w:rPr>
          <w:lang w:val="fr-FR"/>
        </w:rPr>
        <w:t>affaire concernant les dirigeants de la banque (</w:t>
      </w:r>
      <w:r w:rsidRPr="0043317B" w:rsidR="003C4A77">
        <w:rPr>
          <w:lang w:val="fr-FR"/>
        </w:rPr>
        <w:t>dossier </w:t>
      </w:r>
      <w:r w:rsidRPr="0043317B">
        <w:rPr>
          <w:lang w:val="fr-FR"/>
        </w:rPr>
        <w:t>n</w:t>
      </w:r>
      <w:r w:rsidRPr="0043317B">
        <w:rPr>
          <w:vertAlign w:val="superscript"/>
          <w:lang w:val="fr-FR"/>
        </w:rPr>
        <w:t>o</w:t>
      </w:r>
      <w:r w:rsidRPr="0043317B">
        <w:rPr>
          <w:lang w:val="fr-FR"/>
        </w:rPr>
        <w:t> 2006/17) fût tranchée.</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51</w:t>
      </w:r>
      <w:r w:rsidRPr="0043317B">
        <w:rPr>
          <w:lang w:val="fr-FR"/>
        </w:rPr>
        <w:fldChar w:fldCharType="end"/>
      </w:r>
      <w:r w:rsidRPr="0043317B">
        <w:rPr>
          <w:lang w:val="fr-FR"/>
        </w:rPr>
        <w:t>.  Les 12 et 13 décembre 2006, la requérante Nimet Hülya Talu fit l</w:t>
      </w:r>
      <w:r w:rsidRPr="0043317B" w:rsidR="0043317B">
        <w:rPr>
          <w:lang w:val="fr-FR"/>
        </w:rPr>
        <w:t>’</w:t>
      </w:r>
      <w:r w:rsidRPr="0043317B">
        <w:rPr>
          <w:lang w:val="fr-FR"/>
        </w:rPr>
        <w:t>objet de deux nouvelles actions pénales (n</w:t>
      </w:r>
      <w:r w:rsidRPr="0043317B">
        <w:rPr>
          <w:vertAlign w:val="superscript"/>
          <w:lang w:val="fr-FR"/>
        </w:rPr>
        <w:t>os</w:t>
      </w:r>
      <w:r w:rsidRPr="0043317B" w:rsidR="003C4A77">
        <w:rPr>
          <w:vertAlign w:val="superscript"/>
          <w:lang w:val="fr-FR"/>
        </w:rPr>
        <w:t xml:space="preserve"> </w:t>
      </w:r>
      <w:r w:rsidRPr="0043317B">
        <w:rPr>
          <w:lang w:val="fr-FR"/>
        </w:rPr>
        <w:t>2006/99 et 2006/100), devant la cour d</w:t>
      </w:r>
      <w:r w:rsidRPr="0043317B" w:rsidR="0043317B">
        <w:rPr>
          <w:lang w:val="fr-FR"/>
        </w:rPr>
        <w:t>’</w:t>
      </w:r>
      <w:r w:rsidRPr="0043317B">
        <w:rPr>
          <w:lang w:val="fr-FR"/>
        </w:rPr>
        <w:t>assises, pour gestion d</w:t>
      </w:r>
      <w:r w:rsidRPr="0043317B" w:rsidR="0043317B">
        <w:rPr>
          <w:lang w:val="fr-FR"/>
        </w:rPr>
        <w:t>’</w:t>
      </w:r>
      <w:r w:rsidRPr="0043317B">
        <w:rPr>
          <w:lang w:val="fr-FR"/>
        </w:rPr>
        <w:t>opérations bancaires frauduleuse et non</w:t>
      </w:r>
      <w:r w:rsidRPr="0043317B">
        <w:rPr>
          <w:lang w:val="fr-FR"/>
        </w:rPr>
        <w:noBreakHyphen/>
        <w:t>communication des documents et renseignements requis par les autorités judiciaires.</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52</w:t>
      </w:r>
      <w:r w:rsidRPr="0043317B">
        <w:rPr>
          <w:lang w:val="fr-FR"/>
        </w:rPr>
        <w:fldChar w:fldCharType="end"/>
      </w:r>
      <w:r w:rsidRPr="0043317B">
        <w:rPr>
          <w:lang w:val="fr-FR"/>
        </w:rPr>
        <w:t>.  Les 5 et 20 juin 2007, l</w:t>
      </w:r>
      <w:r w:rsidRPr="0043317B" w:rsidR="0043317B">
        <w:rPr>
          <w:lang w:val="fr-FR"/>
        </w:rPr>
        <w:t>’</w:t>
      </w:r>
      <w:r w:rsidRPr="0043317B">
        <w:rPr>
          <w:lang w:val="fr-FR"/>
        </w:rPr>
        <w:t>intéressée réitéra la demande de levée des mesures conservatoires imposées sur ses biens, en se référant à l</w:t>
      </w:r>
      <w:r w:rsidRPr="0043317B" w:rsidR="0043317B">
        <w:rPr>
          <w:lang w:val="fr-FR"/>
        </w:rPr>
        <w:t>’</w:t>
      </w:r>
      <w:r w:rsidRPr="0043317B">
        <w:rPr>
          <w:lang w:val="fr-FR"/>
        </w:rPr>
        <w:t>état d</w:t>
      </w:r>
      <w:r w:rsidRPr="0043317B" w:rsidR="0043317B">
        <w:rPr>
          <w:lang w:val="fr-FR"/>
        </w:rPr>
        <w:t>’</w:t>
      </w:r>
      <w:r w:rsidRPr="0043317B">
        <w:rPr>
          <w:lang w:val="fr-FR"/>
        </w:rPr>
        <w:t>avancement de l</w:t>
      </w:r>
      <w:r w:rsidRPr="0043317B" w:rsidR="0043317B">
        <w:rPr>
          <w:lang w:val="fr-FR"/>
        </w:rPr>
        <w:t>’</w:t>
      </w:r>
      <w:r w:rsidRPr="0043317B">
        <w:rPr>
          <w:lang w:val="fr-FR"/>
        </w:rPr>
        <w:t>enquête.</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53</w:t>
      </w:r>
      <w:r w:rsidRPr="0043317B">
        <w:rPr>
          <w:lang w:val="fr-FR"/>
        </w:rPr>
        <w:fldChar w:fldCharType="end"/>
      </w:r>
      <w:r w:rsidRPr="0043317B">
        <w:rPr>
          <w:lang w:val="fr-FR"/>
        </w:rPr>
        <w:t>.  Le 23 juillet 2007, lors de son examen de la cause des dirigeants fugitifs de İmarbank (dossier n</w:t>
      </w:r>
      <w:r w:rsidRPr="0043317B">
        <w:rPr>
          <w:vertAlign w:val="superscript"/>
          <w:lang w:val="fr-FR"/>
        </w:rPr>
        <w:t>o</w:t>
      </w:r>
      <w:r w:rsidRPr="0043317B" w:rsidR="003C4A77">
        <w:rPr>
          <w:lang w:val="fr-FR"/>
        </w:rPr>
        <w:t xml:space="preserve"> </w:t>
      </w:r>
      <w:r w:rsidRPr="0043317B">
        <w:rPr>
          <w:lang w:val="fr-FR"/>
        </w:rPr>
        <w:t>2006/17), la 8</w:t>
      </w:r>
      <w:r w:rsidRPr="0043317B">
        <w:rPr>
          <w:vertAlign w:val="superscript"/>
          <w:lang w:val="fr-FR"/>
        </w:rPr>
        <w:t>e</w:t>
      </w:r>
      <w:r w:rsidRPr="0043317B">
        <w:rPr>
          <w:lang w:val="fr-FR"/>
        </w:rPr>
        <w:t xml:space="preserve"> chambre de la cour d</w:t>
      </w:r>
      <w:r w:rsidRPr="0043317B" w:rsidR="0043317B">
        <w:rPr>
          <w:lang w:val="fr-FR"/>
        </w:rPr>
        <w:t>’</w:t>
      </w:r>
      <w:r w:rsidRPr="0043317B">
        <w:rPr>
          <w:lang w:val="fr-FR"/>
        </w:rPr>
        <w:t>assises d</w:t>
      </w:r>
      <w:r w:rsidRPr="0043317B" w:rsidR="0043317B">
        <w:rPr>
          <w:lang w:val="fr-FR"/>
        </w:rPr>
        <w:t>’</w:t>
      </w:r>
      <w:r w:rsidRPr="0043317B">
        <w:rPr>
          <w:lang w:val="fr-FR"/>
        </w:rPr>
        <w:t>Istanbul refusa de lever les mesures conservatoires sur les biens de la requérante en question, à qui elle conféra de nouveau « une qualité autre que celle de partie au procès ». Ladite requérante forma un recours devant la première chambre de la cour d</w:t>
      </w:r>
      <w:r w:rsidRPr="0043317B" w:rsidR="0043317B">
        <w:rPr>
          <w:lang w:val="fr-FR"/>
        </w:rPr>
        <w:t>’</w:t>
      </w:r>
      <w:r w:rsidRPr="0043317B">
        <w:rPr>
          <w:lang w:val="fr-FR"/>
        </w:rPr>
        <w:t>assises contre le maintien des mesures conservatoires sur ses biens.</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54</w:t>
      </w:r>
      <w:r w:rsidRPr="0043317B">
        <w:rPr>
          <w:lang w:val="fr-FR"/>
        </w:rPr>
        <w:fldChar w:fldCharType="end"/>
      </w:r>
      <w:r w:rsidRPr="0043317B">
        <w:rPr>
          <w:lang w:val="fr-FR"/>
        </w:rPr>
        <w:t>.  Le 2 octobre 2007, la première chambre de la cour d</w:t>
      </w:r>
      <w:r w:rsidRPr="0043317B" w:rsidR="0043317B">
        <w:rPr>
          <w:lang w:val="fr-FR"/>
        </w:rPr>
        <w:t>’</w:t>
      </w:r>
      <w:r w:rsidRPr="0043317B">
        <w:rPr>
          <w:lang w:val="fr-FR"/>
        </w:rPr>
        <w:t>assises d</w:t>
      </w:r>
      <w:r w:rsidRPr="0043317B" w:rsidR="0043317B">
        <w:rPr>
          <w:lang w:val="fr-FR"/>
        </w:rPr>
        <w:t>’</w:t>
      </w:r>
      <w:r w:rsidRPr="0043317B">
        <w:rPr>
          <w:lang w:val="fr-FR"/>
        </w:rPr>
        <w:t>Istanbul rejeta ce recours. Son arrêt fut notifié à l</w:t>
      </w:r>
      <w:r w:rsidRPr="0043317B" w:rsidR="0043317B">
        <w:rPr>
          <w:lang w:val="fr-FR"/>
        </w:rPr>
        <w:t>’</w:t>
      </w:r>
      <w:r w:rsidRPr="0043317B" w:rsidR="003C4A77">
        <w:rPr>
          <w:lang w:val="fr-FR"/>
        </w:rPr>
        <w:t>intéressée le 18 </w:t>
      </w:r>
      <w:r w:rsidRPr="0043317B">
        <w:rPr>
          <w:lang w:val="fr-FR"/>
        </w:rPr>
        <w:t>octobre 2007.</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55</w:t>
      </w:r>
      <w:r w:rsidRPr="0043317B">
        <w:rPr>
          <w:lang w:val="fr-FR"/>
        </w:rPr>
        <w:fldChar w:fldCharType="end"/>
      </w:r>
      <w:r w:rsidRPr="0043317B">
        <w:rPr>
          <w:lang w:val="fr-FR"/>
        </w:rPr>
        <w:t>.  Par un arrêt rendu le 13 mars 2008, la cour d</w:t>
      </w:r>
      <w:r w:rsidRPr="0043317B" w:rsidR="0043317B">
        <w:rPr>
          <w:lang w:val="fr-FR"/>
        </w:rPr>
        <w:t>’</w:t>
      </w:r>
      <w:r w:rsidRPr="0043317B">
        <w:rPr>
          <w:lang w:val="fr-FR"/>
        </w:rPr>
        <w:t>assises acquitta la requérante Nimet Hülya Talu des chefs de gestion d</w:t>
      </w:r>
      <w:r w:rsidRPr="0043317B" w:rsidR="0043317B">
        <w:rPr>
          <w:lang w:val="fr-FR"/>
        </w:rPr>
        <w:t>’</w:t>
      </w:r>
      <w:r w:rsidRPr="0043317B">
        <w:rPr>
          <w:lang w:val="fr-FR"/>
        </w:rPr>
        <w:t>opérations bancaires frauduleuse et de non</w:t>
      </w:r>
      <w:r w:rsidRPr="0043317B">
        <w:rPr>
          <w:lang w:val="fr-FR"/>
        </w:rPr>
        <w:noBreakHyphen/>
        <w:t>communication des documents et renseignements requis par les autorités judiciaires (n</w:t>
      </w:r>
      <w:r w:rsidRPr="0043317B">
        <w:rPr>
          <w:vertAlign w:val="superscript"/>
          <w:lang w:val="fr-FR"/>
        </w:rPr>
        <w:t>o</w:t>
      </w:r>
      <w:r w:rsidRPr="0043317B" w:rsidR="003C4A77">
        <w:rPr>
          <w:vertAlign w:val="superscript"/>
          <w:lang w:val="fr-FR"/>
        </w:rPr>
        <w:t> </w:t>
      </w:r>
      <w:r w:rsidRPr="0043317B">
        <w:rPr>
          <w:lang w:val="fr-FR"/>
        </w:rPr>
        <w:t>2006/99).</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56</w:t>
      </w:r>
      <w:r w:rsidRPr="0043317B">
        <w:rPr>
          <w:lang w:val="fr-FR"/>
        </w:rPr>
        <w:fldChar w:fldCharType="end"/>
      </w:r>
      <w:r w:rsidRPr="0043317B">
        <w:rPr>
          <w:lang w:val="fr-FR"/>
        </w:rPr>
        <w:t xml:space="preserve">.  Le 20 août 2009, cette requérante demanda à nouveau la levée de toutes les mesures conservatoires imposées sur ses biens, dont le reste de ses épargnes, et, subsidiairement, la levée partielle des mesures imposées sur son salaire avec fixation de la fraction de salaire mensuel insaisissable à </w:t>
      </w:r>
      <w:r w:rsidRPr="0043317B" w:rsidR="003C4A77">
        <w:rPr>
          <w:lang w:val="fr-FR"/>
        </w:rPr>
        <w:t>2 500 </w:t>
      </w:r>
      <w:r w:rsidRPr="0043317B">
        <w:rPr>
          <w:lang w:val="fr-FR"/>
        </w:rPr>
        <w:t>TRL (environ 1</w:t>
      </w:r>
      <w:r w:rsidRPr="0043317B" w:rsidR="003C4A77">
        <w:rPr>
          <w:lang w:val="fr-FR"/>
        </w:rPr>
        <w:t> </w:t>
      </w:r>
      <w:r w:rsidRPr="0043317B">
        <w:rPr>
          <w:lang w:val="fr-FR"/>
        </w:rPr>
        <w:t>170</w:t>
      </w:r>
      <w:r w:rsidRPr="0043317B" w:rsidR="003C4A77">
        <w:rPr>
          <w:lang w:val="fr-FR"/>
        </w:rPr>
        <w:t> </w:t>
      </w:r>
      <w:r w:rsidRPr="0043317B">
        <w:rPr>
          <w:lang w:val="fr-FR"/>
        </w:rPr>
        <w:t>EUR).</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57</w:t>
      </w:r>
      <w:r w:rsidRPr="0043317B">
        <w:rPr>
          <w:lang w:val="fr-FR"/>
        </w:rPr>
        <w:fldChar w:fldCharType="end"/>
      </w:r>
      <w:r w:rsidRPr="0043317B">
        <w:rPr>
          <w:lang w:val="fr-FR"/>
        </w:rPr>
        <w:t>.  À l</w:t>
      </w:r>
      <w:r w:rsidRPr="0043317B" w:rsidR="0043317B">
        <w:rPr>
          <w:lang w:val="fr-FR"/>
        </w:rPr>
        <w:t>’</w:t>
      </w:r>
      <w:r w:rsidRPr="0043317B">
        <w:rPr>
          <w:lang w:val="fr-FR"/>
        </w:rPr>
        <w:t>audience du 1</w:t>
      </w:r>
      <w:r w:rsidRPr="0043317B">
        <w:rPr>
          <w:vertAlign w:val="superscript"/>
          <w:lang w:val="fr-FR"/>
        </w:rPr>
        <w:t>er</w:t>
      </w:r>
      <w:r w:rsidRPr="0043317B">
        <w:rPr>
          <w:lang w:val="fr-FR"/>
        </w:rPr>
        <w:t xml:space="preserve"> octobre 2009, la 8</w:t>
      </w:r>
      <w:r w:rsidRPr="0043317B">
        <w:rPr>
          <w:vertAlign w:val="superscript"/>
          <w:lang w:val="fr-FR"/>
        </w:rPr>
        <w:t>e</w:t>
      </w:r>
      <w:r w:rsidRPr="0043317B">
        <w:rPr>
          <w:lang w:val="fr-FR"/>
        </w:rPr>
        <w:t xml:space="preserve"> chambre de la cour d</w:t>
      </w:r>
      <w:r w:rsidRPr="0043317B" w:rsidR="0043317B">
        <w:rPr>
          <w:lang w:val="fr-FR"/>
        </w:rPr>
        <w:t>’</w:t>
      </w:r>
      <w:r w:rsidRPr="0043317B">
        <w:rPr>
          <w:lang w:val="fr-FR"/>
        </w:rPr>
        <w:t>assises leva partiellement les mesures conservatoires sur le salaire de l</w:t>
      </w:r>
      <w:r w:rsidRPr="0043317B" w:rsidR="0043317B">
        <w:rPr>
          <w:lang w:val="fr-FR"/>
        </w:rPr>
        <w:t>’</w:t>
      </w:r>
      <w:r w:rsidRPr="0043317B">
        <w:rPr>
          <w:lang w:val="fr-FR"/>
        </w:rPr>
        <w:t>intéressée en fixant la fraction de salaire mensuel insaisissable à 1 500 TRY (environ 690 EUR), et elle invita le FADE à lui faire part de ses observations pour le restant de la demande.</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58</w:t>
      </w:r>
      <w:r w:rsidRPr="0043317B">
        <w:rPr>
          <w:lang w:val="fr-FR"/>
        </w:rPr>
        <w:fldChar w:fldCharType="end"/>
      </w:r>
      <w:r w:rsidRPr="0043317B">
        <w:rPr>
          <w:lang w:val="fr-FR"/>
        </w:rPr>
        <w:t>.  Le 16 avril 2013, la 8</w:t>
      </w:r>
      <w:r w:rsidRPr="0043317B">
        <w:rPr>
          <w:vertAlign w:val="superscript"/>
          <w:lang w:val="fr-FR"/>
        </w:rPr>
        <w:t>e</w:t>
      </w:r>
      <w:r w:rsidRPr="0043317B">
        <w:rPr>
          <w:lang w:val="fr-FR"/>
        </w:rPr>
        <w:t xml:space="preserve"> chambre de la cour d</w:t>
      </w:r>
      <w:r w:rsidRPr="0043317B" w:rsidR="0043317B">
        <w:rPr>
          <w:lang w:val="fr-FR"/>
        </w:rPr>
        <w:t>’</w:t>
      </w:r>
      <w:r w:rsidRPr="0043317B">
        <w:rPr>
          <w:lang w:val="fr-FR"/>
        </w:rPr>
        <w:t>assises d</w:t>
      </w:r>
      <w:r w:rsidRPr="0043317B" w:rsidR="0043317B">
        <w:rPr>
          <w:lang w:val="fr-FR"/>
        </w:rPr>
        <w:t>’</w:t>
      </w:r>
      <w:r w:rsidRPr="0043317B">
        <w:rPr>
          <w:lang w:val="fr-FR"/>
        </w:rPr>
        <w:t>Istanbul décida la levée des mesures conservatoires ordonnées sur les biens de la requérante susmentionnée eu égard à l</w:t>
      </w:r>
      <w:r w:rsidRPr="0043317B" w:rsidR="0043317B">
        <w:rPr>
          <w:lang w:val="fr-FR"/>
        </w:rPr>
        <w:t>’</w:t>
      </w:r>
      <w:r w:rsidRPr="0043317B">
        <w:rPr>
          <w:lang w:val="fr-FR"/>
        </w:rPr>
        <w:t>acquittement de cette dernière dans le cadre du dossier</w:t>
      </w:r>
      <w:r w:rsidRPr="0043317B" w:rsidR="003C4A77">
        <w:rPr>
          <w:lang w:val="fr-FR"/>
        </w:rPr>
        <w:t> </w:t>
      </w:r>
      <w:r w:rsidRPr="0043317B">
        <w:rPr>
          <w:lang w:val="fr-FR"/>
        </w:rPr>
        <w:t>n</w:t>
      </w:r>
      <w:r w:rsidRPr="0043317B">
        <w:rPr>
          <w:vertAlign w:val="superscript"/>
          <w:lang w:val="fr-FR"/>
        </w:rPr>
        <w:t>o</w:t>
      </w:r>
      <w:r w:rsidRPr="0043317B" w:rsidR="003C4A77">
        <w:rPr>
          <w:lang w:val="fr-FR"/>
        </w:rPr>
        <w:t> </w:t>
      </w:r>
      <w:r w:rsidRPr="0043317B">
        <w:rPr>
          <w:lang w:val="fr-FR"/>
        </w:rPr>
        <w:t>2006/99.</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59</w:t>
      </w:r>
      <w:r w:rsidRPr="0043317B">
        <w:rPr>
          <w:lang w:val="fr-FR"/>
        </w:rPr>
        <w:fldChar w:fldCharType="end"/>
      </w:r>
      <w:r w:rsidRPr="0043317B">
        <w:rPr>
          <w:lang w:val="fr-FR"/>
        </w:rPr>
        <w:t>.  Dans sa lettre du 6 octobre 2016, le représentant de la requérante Nimet Hülya Talu a informé la Cour que, après la levée des mesures conservatoires, sa cliente avait reçu la somme de 275 000 TRY</w:t>
      </w:r>
      <w:r w:rsidRPr="0043317B" w:rsidR="003C4A77">
        <w:rPr>
          <w:lang w:val="fr-FR"/>
        </w:rPr>
        <w:t xml:space="preserve"> (environ 80 465 </w:t>
      </w:r>
      <w:r w:rsidRPr="0043317B">
        <w:rPr>
          <w:lang w:val="fr-FR"/>
        </w:rPr>
        <w:t>EUR), non assortie d</w:t>
      </w:r>
      <w:r w:rsidRPr="0043317B" w:rsidR="0043317B">
        <w:rPr>
          <w:lang w:val="fr-FR"/>
        </w:rPr>
        <w:t>’</w:t>
      </w:r>
      <w:r w:rsidRPr="0043317B">
        <w:rPr>
          <w:lang w:val="fr-FR"/>
        </w:rPr>
        <w:t>intérêts, au titre des arriérés de salaire sur les dix</w:t>
      </w:r>
      <w:r w:rsidRPr="0043317B" w:rsidR="003C4A77">
        <w:rPr>
          <w:lang w:val="fr-FR"/>
        </w:rPr>
        <w:t> </w:t>
      </w:r>
      <w:r w:rsidRPr="0043317B">
        <w:rPr>
          <w:lang w:val="fr-FR"/>
        </w:rPr>
        <w:t>dernières</w:t>
      </w:r>
      <w:r w:rsidRPr="0043317B" w:rsidR="003C4A77">
        <w:rPr>
          <w:lang w:val="fr-FR"/>
        </w:rPr>
        <w:t> </w:t>
      </w:r>
      <w:r w:rsidRPr="0043317B">
        <w:rPr>
          <w:lang w:val="fr-FR"/>
        </w:rPr>
        <w:t>années.</w:t>
      </w:r>
    </w:p>
    <w:p w:rsidRPr="0043317B" w:rsidR="000A45C0" w:rsidP="0043317B" w:rsidRDefault="000A45C0">
      <w:pPr>
        <w:pStyle w:val="ECHRHeading3"/>
        <w:rPr>
          <w:lang w:val="fr-FR"/>
        </w:rPr>
      </w:pPr>
      <w:r w:rsidRPr="0043317B">
        <w:rPr>
          <w:lang w:val="fr-FR"/>
        </w:rPr>
        <w:t>4.  M</w:t>
      </w:r>
      <w:r w:rsidRPr="0043317B">
        <w:rPr>
          <w:vertAlign w:val="superscript"/>
          <w:lang w:val="fr-FR"/>
        </w:rPr>
        <w:t>me</w:t>
      </w:r>
      <w:r w:rsidRPr="0043317B" w:rsidR="003C4A77">
        <w:rPr>
          <w:lang w:val="fr-FR"/>
        </w:rPr>
        <w:t> </w:t>
      </w:r>
      <w:r w:rsidRPr="0043317B">
        <w:rPr>
          <w:lang w:val="fr-FR"/>
        </w:rPr>
        <w:t>Bilge</w:t>
      </w:r>
      <w:r w:rsidRPr="0043317B" w:rsidR="003C4A77">
        <w:rPr>
          <w:lang w:val="fr-FR"/>
        </w:rPr>
        <w:t> </w:t>
      </w:r>
      <w:r w:rsidRPr="0043317B">
        <w:rPr>
          <w:lang w:val="fr-FR"/>
        </w:rPr>
        <w:t>Doğru</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60</w:t>
      </w:r>
      <w:r w:rsidRPr="0043317B">
        <w:rPr>
          <w:lang w:val="fr-FR"/>
        </w:rPr>
        <w:fldChar w:fldCharType="end"/>
      </w:r>
      <w:r w:rsidRPr="0043317B">
        <w:rPr>
          <w:lang w:val="fr-FR"/>
        </w:rPr>
        <w:t>.  Le 14 août 2003, la 2</w:t>
      </w:r>
      <w:r w:rsidRPr="0043317B">
        <w:rPr>
          <w:vertAlign w:val="superscript"/>
          <w:lang w:val="fr-FR"/>
        </w:rPr>
        <w:t>e</w:t>
      </w:r>
      <w:r w:rsidRPr="0043317B">
        <w:rPr>
          <w:lang w:val="fr-FR"/>
        </w:rPr>
        <w:t xml:space="preserve"> chambre du tribunal de police de Şişli, saisie par le FADE, ordonna des mesures conservatoires sur les biens de la requérante Bilge Doğru, en raison du fait qu</w:t>
      </w:r>
      <w:r w:rsidRPr="0043317B" w:rsidR="0043317B">
        <w:rPr>
          <w:lang w:val="fr-FR"/>
        </w:rPr>
        <w:t>’</w:t>
      </w:r>
      <w:r w:rsidRPr="0043317B">
        <w:rPr>
          <w:lang w:val="fr-FR"/>
        </w:rPr>
        <w:t>elle avait occupé le poste de contrôleur de gestion de la banque (</w:t>
      </w:r>
      <w:r w:rsidRPr="0043317B">
        <w:rPr>
          <w:i/>
          <w:lang w:val="fr-FR"/>
        </w:rPr>
        <w:t>murakıp</w:t>
      </w:r>
      <w:r w:rsidRPr="0043317B">
        <w:rPr>
          <w:lang w:val="fr-FR"/>
        </w:rPr>
        <w:t xml:space="preserve">) au sein de İmarbank. En conséquence, à différentes dates, les comptes détenus par cette dernière auprès des établissements </w:t>
      </w:r>
      <w:r w:rsidRPr="0043317B">
        <w:rPr>
          <w:lang w:val="tr-TR"/>
        </w:rPr>
        <w:t>T.C. Ziraat Bankası, Denizbank A.S., Finansbank A.S. et Türkiye Halk Bankası</w:t>
      </w:r>
      <w:r w:rsidRPr="0043317B">
        <w:rPr>
          <w:lang w:val="fr-FR"/>
        </w:rPr>
        <w:t xml:space="preserve"> furent saisis.</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61</w:t>
      </w:r>
      <w:r w:rsidRPr="0043317B">
        <w:rPr>
          <w:lang w:val="fr-FR"/>
        </w:rPr>
        <w:fldChar w:fldCharType="end"/>
      </w:r>
      <w:r w:rsidRPr="0043317B">
        <w:rPr>
          <w:lang w:val="fr-FR"/>
        </w:rPr>
        <w:t>.  Le 4 septembre 2003, pour faire suite à la décision du 14 août 2003, le même tribunal rendit une ordonnance de mesures conservatoires à l</w:t>
      </w:r>
      <w:r w:rsidRPr="0043317B" w:rsidR="0043317B">
        <w:rPr>
          <w:lang w:val="fr-FR"/>
        </w:rPr>
        <w:t>’</w:t>
      </w:r>
      <w:r w:rsidRPr="0043317B">
        <w:rPr>
          <w:lang w:val="fr-FR"/>
        </w:rPr>
        <w:t>encontre de cette requérante, en application de l</w:t>
      </w:r>
      <w:r w:rsidRPr="0043317B" w:rsidR="0043317B">
        <w:rPr>
          <w:lang w:val="fr-FR"/>
        </w:rPr>
        <w:t>’</w:t>
      </w:r>
      <w:r w:rsidRPr="0043317B">
        <w:rPr>
          <w:lang w:val="fr-FR"/>
        </w:rPr>
        <w:t>article 2 provisoire de la loi</w:t>
      </w:r>
      <w:r w:rsidRPr="0043317B" w:rsidR="003C4A77">
        <w:rPr>
          <w:lang w:val="fr-FR"/>
        </w:rPr>
        <w:t> </w:t>
      </w:r>
      <w:r w:rsidRPr="0043317B">
        <w:rPr>
          <w:lang w:val="fr-FR"/>
        </w:rPr>
        <w:t>n</w:t>
      </w:r>
      <w:r w:rsidRPr="0043317B">
        <w:rPr>
          <w:vertAlign w:val="superscript"/>
          <w:lang w:val="fr-FR"/>
        </w:rPr>
        <w:t>o</w:t>
      </w:r>
      <w:r w:rsidRPr="0043317B" w:rsidR="003C4A77">
        <w:rPr>
          <w:vertAlign w:val="superscript"/>
          <w:lang w:val="fr-FR"/>
        </w:rPr>
        <w:t> </w:t>
      </w:r>
      <w:r w:rsidRPr="0043317B">
        <w:rPr>
          <w:lang w:val="fr-FR"/>
        </w:rPr>
        <w:t>4969 (dossier en référé n</w:t>
      </w:r>
      <w:r w:rsidRPr="0043317B">
        <w:rPr>
          <w:vertAlign w:val="superscript"/>
          <w:lang w:val="fr-FR"/>
        </w:rPr>
        <w:t>o </w:t>
      </w:r>
      <w:r w:rsidRPr="0043317B">
        <w:rPr>
          <w:lang w:val="fr-FR"/>
        </w:rPr>
        <w:t>2003/484).</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62</w:t>
      </w:r>
      <w:r w:rsidRPr="0043317B">
        <w:rPr>
          <w:lang w:val="fr-FR"/>
        </w:rPr>
        <w:fldChar w:fldCharType="end"/>
      </w:r>
      <w:r w:rsidRPr="0043317B">
        <w:rPr>
          <w:lang w:val="fr-FR"/>
        </w:rPr>
        <w:t>.  À des dates non précisées, des mesures conservatoires furent ordonnées sur les comptes bancaires de l</w:t>
      </w:r>
      <w:r w:rsidRPr="0043317B" w:rsidR="0043317B">
        <w:rPr>
          <w:lang w:val="fr-FR"/>
        </w:rPr>
        <w:t>’</w:t>
      </w:r>
      <w:r w:rsidRPr="0043317B">
        <w:rPr>
          <w:lang w:val="fr-FR"/>
        </w:rPr>
        <w:t>intéressée, sur sa voiture ainsi que sur son bien immobilier sis à Bozcaada (Istanbul).</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63</w:t>
      </w:r>
      <w:r w:rsidRPr="0043317B">
        <w:rPr>
          <w:lang w:val="fr-FR"/>
        </w:rPr>
        <w:fldChar w:fldCharType="end"/>
      </w:r>
      <w:r w:rsidRPr="0043317B">
        <w:rPr>
          <w:lang w:val="fr-FR"/>
        </w:rPr>
        <w:t>.  Le 7 janvier 2004, le FADE déposa une plainte pénale pour détournement de fonds contre les personnes dont les biens avaient fait l</w:t>
      </w:r>
      <w:r w:rsidRPr="0043317B" w:rsidR="0043317B">
        <w:rPr>
          <w:lang w:val="fr-FR"/>
        </w:rPr>
        <w:t>’</w:t>
      </w:r>
      <w:r w:rsidRPr="0043317B">
        <w:rPr>
          <w:lang w:val="fr-FR"/>
        </w:rPr>
        <w:t>objet d</w:t>
      </w:r>
      <w:r w:rsidRPr="0043317B" w:rsidR="0043317B">
        <w:rPr>
          <w:lang w:val="fr-FR"/>
        </w:rPr>
        <w:t>’</w:t>
      </w:r>
      <w:r w:rsidRPr="0043317B">
        <w:rPr>
          <w:lang w:val="fr-FR"/>
        </w:rPr>
        <w:t>une mesure conservatoire.</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64</w:t>
      </w:r>
      <w:r w:rsidRPr="0043317B">
        <w:rPr>
          <w:lang w:val="fr-FR"/>
        </w:rPr>
        <w:fldChar w:fldCharType="end"/>
      </w:r>
      <w:r w:rsidRPr="0043317B">
        <w:rPr>
          <w:lang w:val="fr-FR"/>
        </w:rPr>
        <w:t>.  Le 21 janvier 2004, le procureur de la République de Şişli rendit une décision de non-lieu à l</w:t>
      </w:r>
      <w:r w:rsidRPr="0043317B" w:rsidR="0043317B">
        <w:rPr>
          <w:lang w:val="fr-FR"/>
        </w:rPr>
        <w:t>’</w:t>
      </w:r>
      <w:r w:rsidRPr="0043317B">
        <w:rPr>
          <w:lang w:val="fr-FR"/>
        </w:rPr>
        <w:t>égard de tous les requérants (paragraphe</w:t>
      </w:r>
      <w:r w:rsidRPr="0043317B" w:rsidR="003C4A77">
        <w:rPr>
          <w:lang w:val="fr-FR"/>
        </w:rPr>
        <w:t> </w:t>
      </w:r>
      <w:r w:rsidRPr="0043317B">
        <w:rPr>
          <w:lang w:val="fr-FR"/>
        </w:rPr>
        <w:t>16 ci</w:t>
      </w:r>
      <w:r w:rsidRPr="0043317B">
        <w:rPr>
          <w:lang w:val="fr-FR"/>
        </w:rPr>
        <w:noBreakHyphen/>
        <w:t>dessus). Le 5 février 2004, le FADE forma opposition contre la décision de non-lieu. Le 10 mai 2004, la cour d</w:t>
      </w:r>
      <w:r w:rsidRPr="0043317B" w:rsidR="0043317B">
        <w:rPr>
          <w:lang w:val="fr-FR"/>
        </w:rPr>
        <w:t>’</w:t>
      </w:r>
      <w:r w:rsidRPr="0043317B">
        <w:rPr>
          <w:lang w:val="fr-FR"/>
        </w:rPr>
        <w:t>assises de Beyoğlu rejeta le recours du FADE et confirma la décision de non-lieu.</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65</w:t>
      </w:r>
      <w:r w:rsidRPr="0043317B">
        <w:rPr>
          <w:lang w:val="fr-FR"/>
        </w:rPr>
        <w:fldChar w:fldCharType="end"/>
      </w:r>
      <w:r w:rsidRPr="0043317B">
        <w:rPr>
          <w:lang w:val="fr-FR"/>
        </w:rPr>
        <w:t>.  Le 11 mai 2004, la cour d</w:t>
      </w:r>
      <w:r w:rsidRPr="0043317B" w:rsidR="0043317B">
        <w:rPr>
          <w:lang w:val="fr-FR"/>
        </w:rPr>
        <w:t>’</w:t>
      </w:r>
      <w:r w:rsidRPr="0043317B">
        <w:rPr>
          <w:lang w:val="fr-FR"/>
        </w:rPr>
        <w:t>assises d</w:t>
      </w:r>
      <w:r w:rsidRPr="0043317B" w:rsidR="0043317B">
        <w:rPr>
          <w:lang w:val="fr-FR"/>
        </w:rPr>
        <w:t>’</w:t>
      </w:r>
      <w:r w:rsidRPr="0043317B">
        <w:rPr>
          <w:lang w:val="fr-FR"/>
        </w:rPr>
        <w:t>Istanbul se prononça, dans le cadre du dossier n</w:t>
      </w:r>
      <w:r w:rsidRPr="0043317B">
        <w:rPr>
          <w:vertAlign w:val="superscript"/>
          <w:lang w:val="fr-FR"/>
        </w:rPr>
        <w:t>o</w:t>
      </w:r>
      <w:r w:rsidRPr="0043317B">
        <w:rPr>
          <w:lang w:val="fr-FR"/>
        </w:rPr>
        <w:t xml:space="preserve"> 2004/1, sur la situation de cette requérante, à qui elle conféra « une qualité</w:t>
      </w:r>
      <w:r w:rsidRPr="0043317B" w:rsidR="003C4A77">
        <w:rPr>
          <w:lang w:val="fr-FR"/>
        </w:rPr>
        <w:t xml:space="preserve"> </w:t>
      </w:r>
      <w:r w:rsidRPr="0043317B">
        <w:rPr>
          <w:lang w:val="fr-FR"/>
        </w:rPr>
        <w:t>autre que celle de partie au procès », par une décision de refus de levée des mesures conservatoires sur les biens de l</w:t>
      </w:r>
      <w:r w:rsidRPr="0043317B" w:rsidR="0043317B">
        <w:rPr>
          <w:lang w:val="fr-FR"/>
        </w:rPr>
        <w:t>’</w:t>
      </w:r>
      <w:r w:rsidRPr="0043317B">
        <w:rPr>
          <w:lang w:val="fr-FR"/>
        </w:rPr>
        <w:t>intéressée.</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66</w:t>
      </w:r>
      <w:r w:rsidRPr="0043317B">
        <w:rPr>
          <w:lang w:val="fr-FR"/>
        </w:rPr>
        <w:fldChar w:fldCharType="end"/>
      </w:r>
      <w:r w:rsidRPr="0043317B">
        <w:rPr>
          <w:lang w:val="fr-FR"/>
        </w:rPr>
        <w:t>.  Le 3 décembre 2004, cette dernière demanda à la 8</w:t>
      </w:r>
      <w:r w:rsidRPr="0043317B">
        <w:rPr>
          <w:vertAlign w:val="superscript"/>
          <w:lang w:val="fr-FR"/>
        </w:rPr>
        <w:t>e</w:t>
      </w:r>
      <w:r w:rsidRPr="0043317B">
        <w:rPr>
          <w:lang w:val="fr-FR"/>
        </w:rPr>
        <w:t xml:space="preserve"> chambre de la cour d</w:t>
      </w:r>
      <w:r w:rsidRPr="0043317B" w:rsidR="0043317B">
        <w:rPr>
          <w:lang w:val="fr-FR"/>
        </w:rPr>
        <w:t>’</w:t>
      </w:r>
      <w:r w:rsidRPr="0043317B">
        <w:rPr>
          <w:lang w:val="fr-FR"/>
        </w:rPr>
        <w:t>assises d</w:t>
      </w:r>
      <w:r w:rsidRPr="0043317B" w:rsidR="0043317B">
        <w:rPr>
          <w:lang w:val="fr-FR"/>
        </w:rPr>
        <w:t>’</w:t>
      </w:r>
      <w:r w:rsidRPr="0043317B">
        <w:rPr>
          <w:lang w:val="fr-FR"/>
        </w:rPr>
        <w:t>Istanbul la levée des mesures conservatoires imposées sur ses biens.</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67</w:t>
      </w:r>
      <w:r w:rsidRPr="0043317B">
        <w:rPr>
          <w:lang w:val="fr-FR"/>
        </w:rPr>
        <w:fldChar w:fldCharType="end"/>
      </w:r>
      <w:r w:rsidRPr="0043317B">
        <w:rPr>
          <w:lang w:val="fr-FR"/>
        </w:rPr>
        <w:t>.  Le 22 décembre 2004, la 8</w:t>
      </w:r>
      <w:r w:rsidRPr="0043317B">
        <w:rPr>
          <w:vertAlign w:val="superscript"/>
          <w:lang w:val="fr-FR"/>
        </w:rPr>
        <w:t>e</w:t>
      </w:r>
      <w:r w:rsidRPr="0043317B">
        <w:rPr>
          <w:lang w:val="fr-FR"/>
        </w:rPr>
        <w:t xml:space="preserve"> chambre de la cour d</w:t>
      </w:r>
      <w:r w:rsidRPr="0043317B" w:rsidR="0043317B">
        <w:rPr>
          <w:lang w:val="fr-FR"/>
        </w:rPr>
        <w:t>’</w:t>
      </w:r>
      <w:r w:rsidRPr="0043317B">
        <w:rPr>
          <w:lang w:val="fr-FR"/>
        </w:rPr>
        <w:t>assises d</w:t>
      </w:r>
      <w:r w:rsidRPr="0043317B" w:rsidR="0043317B">
        <w:rPr>
          <w:lang w:val="fr-FR"/>
        </w:rPr>
        <w:t>’</w:t>
      </w:r>
      <w:r w:rsidRPr="0043317B">
        <w:rPr>
          <w:lang w:val="fr-FR"/>
        </w:rPr>
        <w:t>Istanbul ordonna la levée des mesures conservatoires sur les épargnes de l</w:t>
      </w:r>
      <w:r w:rsidRPr="0043317B" w:rsidR="0043317B">
        <w:rPr>
          <w:lang w:val="fr-FR"/>
        </w:rPr>
        <w:t>’</w:t>
      </w:r>
      <w:r w:rsidRPr="0043317B">
        <w:rPr>
          <w:lang w:val="fr-FR"/>
        </w:rPr>
        <w:t>intéressée, sur les sommes dues à celle-ci au titre du remboursement de la TVA (</w:t>
      </w:r>
      <w:r w:rsidRPr="0043317B">
        <w:rPr>
          <w:i/>
          <w:lang w:val="tr-TR"/>
        </w:rPr>
        <w:t>vergi iadesi</w:t>
      </w:r>
      <w:r w:rsidRPr="0043317B">
        <w:rPr>
          <w:lang w:val="fr-FR"/>
        </w:rPr>
        <w:t>), ainsi que sur son salaire en fixant la fraction de salaire mensuel insaisissable à 1 000 TRL (soit environ 540 EUR à l</w:t>
      </w:r>
      <w:r w:rsidRPr="0043317B" w:rsidR="0043317B">
        <w:rPr>
          <w:lang w:val="fr-FR"/>
        </w:rPr>
        <w:t>’</w:t>
      </w:r>
      <w:r w:rsidRPr="0043317B">
        <w:rPr>
          <w:lang w:val="fr-FR"/>
        </w:rPr>
        <w:t>époque des faits). S</w:t>
      </w:r>
      <w:r w:rsidRPr="0043317B" w:rsidR="0043317B">
        <w:rPr>
          <w:lang w:val="fr-FR"/>
        </w:rPr>
        <w:t>’</w:t>
      </w:r>
      <w:r w:rsidRPr="0043317B">
        <w:rPr>
          <w:lang w:val="fr-FR"/>
        </w:rPr>
        <w:t>agissant des mesures conservatoires imposées sur la voiture de la requérante en question, elle décida d</w:t>
      </w:r>
      <w:r w:rsidRPr="0043317B" w:rsidR="0043317B">
        <w:rPr>
          <w:lang w:val="fr-FR"/>
        </w:rPr>
        <w:t>’</w:t>
      </w:r>
      <w:r w:rsidRPr="0043317B">
        <w:rPr>
          <w:lang w:val="fr-FR"/>
        </w:rPr>
        <w:t>autoriser celle-ci à la soumettre au contrôle technique sous condition de l</w:t>
      </w:r>
      <w:r w:rsidRPr="0043317B" w:rsidR="0043317B">
        <w:rPr>
          <w:lang w:val="fr-FR"/>
        </w:rPr>
        <w:t>’</w:t>
      </w:r>
      <w:r w:rsidRPr="0043317B">
        <w:rPr>
          <w:lang w:val="fr-FR"/>
        </w:rPr>
        <w:t>établissement, par les autorités compétentes, d</w:t>
      </w:r>
      <w:r w:rsidRPr="0043317B" w:rsidR="0043317B">
        <w:rPr>
          <w:lang w:val="fr-FR"/>
        </w:rPr>
        <w:t>’</w:t>
      </w:r>
      <w:r w:rsidRPr="0043317B">
        <w:rPr>
          <w:lang w:val="fr-FR"/>
        </w:rPr>
        <w:t>une attestation certifiant que le véhicule était immatriculé à son nom. Elle refusa pour le reste de lever les mesures conservatoires imposées aux autres biens (dossier</w:t>
      </w:r>
      <w:r w:rsidRPr="0043317B" w:rsidR="003C4A77">
        <w:rPr>
          <w:lang w:val="fr-FR"/>
        </w:rPr>
        <w:t> </w:t>
      </w:r>
      <w:r w:rsidRPr="0043317B">
        <w:rPr>
          <w:lang w:val="fr-FR"/>
        </w:rPr>
        <w:t>n</w:t>
      </w:r>
      <w:r w:rsidRPr="0043317B">
        <w:rPr>
          <w:vertAlign w:val="superscript"/>
          <w:lang w:val="fr-FR"/>
        </w:rPr>
        <w:t>o</w:t>
      </w:r>
      <w:r w:rsidRPr="0043317B" w:rsidR="003C4A77">
        <w:rPr>
          <w:vertAlign w:val="superscript"/>
          <w:lang w:val="fr-FR"/>
        </w:rPr>
        <w:t> </w:t>
      </w:r>
      <w:r w:rsidRPr="0043317B">
        <w:rPr>
          <w:lang w:val="fr-FR"/>
        </w:rPr>
        <w:t>2004/1).</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68</w:t>
      </w:r>
      <w:r w:rsidRPr="0043317B">
        <w:rPr>
          <w:lang w:val="fr-FR"/>
        </w:rPr>
        <w:fldChar w:fldCharType="end"/>
      </w:r>
      <w:r w:rsidRPr="0043317B">
        <w:rPr>
          <w:lang w:val="fr-FR"/>
        </w:rPr>
        <w:t>.  Le 18 janvier 2005, la requérante Bilge Doğru réitéra sa demande de levée totale des mesures conservatoires sur l</w:t>
      </w:r>
      <w:r w:rsidRPr="0043317B" w:rsidR="0043317B">
        <w:rPr>
          <w:lang w:val="fr-FR"/>
        </w:rPr>
        <w:t>’</w:t>
      </w:r>
      <w:r w:rsidRPr="0043317B">
        <w:rPr>
          <w:lang w:val="fr-FR"/>
        </w:rPr>
        <w:t>ensemble de ses biens.</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69</w:t>
      </w:r>
      <w:r w:rsidRPr="0043317B">
        <w:rPr>
          <w:lang w:val="fr-FR"/>
        </w:rPr>
        <w:fldChar w:fldCharType="end"/>
      </w:r>
      <w:r w:rsidRPr="0043317B">
        <w:rPr>
          <w:lang w:val="fr-FR"/>
        </w:rPr>
        <w:t>.  Le 16 février 2005, la 8</w:t>
      </w:r>
      <w:r w:rsidRPr="0043317B">
        <w:rPr>
          <w:vertAlign w:val="superscript"/>
          <w:lang w:val="fr-FR"/>
        </w:rPr>
        <w:t>e</w:t>
      </w:r>
      <w:r w:rsidRPr="0043317B">
        <w:rPr>
          <w:lang w:val="fr-FR"/>
        </w:rPr>
        <w:t xml:space="preserve"> chambre de la cour d</w:t>
      </w:r>
      <w:r w:rsidRPr="0043317B" w:rsidR="0043317B">
        <w:rPr>
          <w:lang w:val="fr-FR"/>
        </w:rPr>
        <w:t>’</w:t>
      </w:r>
      <w:r w:rsidRPr="0043317B">
        <w:rPr>
          <w:lang w:val="fr-FR"/>
        </w:rPr>
        <w:t>assises d</w:t>
      </w:r>
      <w:r w:rsidRPr="0043317B" w:rsidR="0043317B">
        <w:rPr>
          <w:lang w:val="fr-FR"/>
        </w:rPr>
        <w:t>’</w:t>
      </w:r>
      <w:r w:rsidRPr="0043317B">
        <w:rPr>
          <w:lang w:val="fr-FR"/>
        </w:rPr>
        <w:t>Istanbul réitéra sa décision quant à une levée partielle sur le salaire dans la limite de 1</w:t>
      </w:r>
      <w:r w:rsidRPr="0043317B" w:rsidR="003C4A77">
        <w:rPr>
          <w:lang w:val="fr-FR"/>
        </w:rPr>
        <w:t> </w:t>
      </w:r>
      <w:r w:rsidRPr="0043317B">
        <w:rPr>
          <w:lang w:val="fr-FR"/>
        </w:rPr>
        <w:t>000</w:t>
      </w:r>
      <w:r w:rsidRPr="0043317B" w:rsidR="003C4A77">
        <w:rPr>
          <w:lang w:val="fr-FR"/>
        </w:rPr>
        <w:t> </w:t>
      </w:r>
      <w:r w:rsidRPr="0043317B">
        <w:rPr>
          <w:lang w:val="fr-FR"/>
        </w:rPr>
        <w:t>TRL (environ 590 EUR) et sur les sommes dues au titre du remboursement de la TVA. Elle indiqua qu</w:t>
      </w:r>
      <w:r w:rsidRPr="0043317B" w:rsidR="0043317B">
        <w:rPr>
          <w:lang w:val="fr-FR"/>
        </w:rPr>
        <w:t>’</w:t>
      </w:r>
      <w:r w:rsidRPr="0043317B">
        <w:rPr>
          <w:lang w:val="fr-FR"/>
        </w:rPr>
        <w:t>elle reconsidérerait la question des sommes dues au titre du remboursement des frais médicaux après le versement au dossier, par ladite requérante, des documents nécessaires. Elle refusa de faire droit à la demande pour le reste.</w:t>
      </w:r>
    </w:p>
    <w:p w:rsidRPr="0043317B" w:rsidR="000A45C0" w:rsidP="0043317B" w:rsidRDefault="000A45C0">
      <w:pPr>
        <w:pStyle w:val="ECHRPara"/>
        <w:rPr>
          <w:lang w:val="fr-FR"/>
        </w:rPr>
      </w:pPr>
      <w:r w:rsidRPr="0043317B">
        <w:rPr>
          <w:lang w:val="fr-FR"/>
        </w:rPr>
        <w:t>En ce qui concernait la demande, formulée par l</w:t>
      </w:r>
      <w:r w:rsidRPr="0043317B" w:rsidR="0043317B">
        <w:rPr>
          <w:lang w:val="fr-FR"/>
        </w:rPr>
        <w:t>’</w:t>
      </w:r>
      <w:r w:rsidRPr="0043317B">
        <w:rPr>
          <w:lang w:val="fr-FR"/>
        </w:rPr>
        <w:t>intéressée, de motivation de sa décision de maintien des mesures conservatoires, elle exposa que les décisions précédentes étaient motivées et qu</w:t>
      </w:r>
      <w:r w:rsidRPr="0043317B" w:rsidR="0043317B">
        <w:rPr>
          <w:lang w:val="fr-FR"/>
        </w:rPr>
        <w:t>’</w:t>
      </w:r>
      <w:r w:rsidRPr="0043317B">
        <w:rPr>
          <w:lang w:val="fr-FR"/>
        </w:rPr>
        <w:t>il n</w:t>
      </w:r>
      <w:r w:rsidRPr="0043317B" w:rsidR="0043317B">
        <w:rPr>
          <w:lang w:val="fr-FR"/>
        </w:rPr>
        <w:t>’</w:t>
      </w:r>
      <w:r w:rsidRPr="0043317B">
        <w:rPr>
          <w:lang w:val="fr-FR"/>
        </w:rPr>
        <w:t xml:space="preserve">était pas possible de motiver </w:t>
      </w:r>
      <w:r w:rsidRPr="0043317B">
        <w:rPr>
          <w:i/>
          <w:lang w:val="fr-FR"/>
        </w:rPr>
        <w:t>a posteriori</w:t>
      </w:r>
      <w:r w:rsidRPr="0043317B">
        <w:rPr>
          <w:lang w:val="fr-FR"/>
        </w:rPr>
        <w:t xml:space="preserve"> des décisions précédemment rendues ; elle rejeta par conséquent cette demande.</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70</w:t>
      </w:r>
      <w:r w:rsidRPr="0043317B">
        <w:rPr>
          <w:lang w:val="fr-FR"/>
        </w:rPr>
        <w:fldChar w:fldCharType="end"/>
      </w:r>
      <w:r w:rsidRPr="0043317B">
        <w:rPr>
          <w:lang w:val="fr-FR"/>
        </w:rPr>
        <w:t>.  Le 8 mars 2005, la requérante susmentionnée demanda à la cour d</w:t>
      </w:r>
      <w:r w:rsidRPr="0043317B" w:rsidR="0043317B">
        <w:rPr>
          <w:lang w:val="fr-FR"/>
        </w:rPr>
        <w:t>’</w:t>
      </w:r>
      <w:r w:rsidRPr="0043317B">
        <w:rPr>
          <w:lang w:val="fr-FR"/>
        </w:rPr>
        <w:t>assises l</w:t>
      </w:r>
      <w:r w:rsidRPr="0043317B" w:rsidR="0043317B">
        <w:rPr>
          <w:lang w:val="fr-FR"/>
        </w:rPr>
        <w:t>’</w:t>
      </w:r>
      <w:r w:rsidRPr="0043317B">
        <w:rPr>
          <w:lang w:val="fr-FR"/>
        </w:rPr>
        <w:t>autorisation de soumettre sa voiture au contrôle technique ainsi que la levée des mesures conservatoires imposées sur sa pension de retraite.</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71</w:t>
      </w:r>
      <w:r w:rsidRPr="0043317B">
        <w:rPr>
          <w:lang w:val="fr-FR"/>
        </w:rPr>
        <w:fldChar w:fldCharType="end"/>
      </w:r>
      <w:r w:rsidRPr="0043317B">
        <w:rPr>
          <w:lang w:val="fr-FR"/>
        </w:rPr>
        <w:t>.  À l</w:t>
      </w:r>
      <w:r w:rsidRPr="0043317B" w:rsidR="0043317B">
        <w:rPr>
          <w:lang w:val="fr-FR"/>
        </w:rPr>
        <w:t>’</w:t>
      </w:r>
      <w:r w:rsidRPr="0043317B">
        <w:rPr>
          <w:lang w:val="fr-FR"/>
        </w:rPr>
        <w:t>audience du 16 mars 2005, la 8</w:t>
      </w:r>
      <w:r w:rsidRPr="0043317B">
        <w:rPr>
          <w:vertAlign w:val="superscript"/>
          <w:lang w:val="fr-FR"/>
        </w:rPr>
        <w:t xml:space="preserve">e </w:t>
      </w:r>
      <w:r w:rsidRPr="0043317B">
        <w:rPr>
          <w:lang w:val="fr-FR"/>
        </w:rPr>
        <w:t>chambre de la cour d</w:t>
      </w:r>
      <w:r w:rsidRPr="0043317B" w:rsidR="0043317B">
        <w:rPr>
          <w:lang w:val="fr-FR"/>
        </w:rPr>
        <w:t>’</w:t>
      </w:r>
      <w:r w:rsidRPr="0043317B">
        <w:rPr>
          <w:lang w:val="fr-FR"/>
        </w:rPr>
        <w:t>assises d</w:t>
      </w:r>
      <w:r w:rsidRPr="0043317B" w:rsidR="0043317B">
        <w:rPr>
          <w:lang w:val="fr-FR"/>
        </w:rPr>
        <w:t>’</w:t>
      </w:r>
      <w:r w:rsidRPr="0043317B">
        <w:rPr>
          <w:lang w:val="fr-FR"/>
        </w:rPr>
        <w:t>Istanbul accueillit favorablement ces demandes.</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72</w:t>
      </w:r>
      <w:r w:rsidRPr="0043317B">
        <w:rPr>
          <w:lang w:val="fr-FR"/>
        </w:rPr>
        <w:fldChar w:fldCharType="end"/>
      </w:r>
      <w:r w:rsidRPr="0043317B">
        <w:rPr>
          <w:lang w:val="fr-FR"/>
        </w:rPr>
        <w:t>.  Le 21 février 2006, la 8</w:t>
      </w:r>
      <w:r w:rsidRPr="0043317B">
        <w:rPr>
          <w:vertAlign w:val="superscript"/>
          <w:lang w:val="fr-FR"/>
        </w:rPr>
        <w:t>e</w:t>
      </w:r>
      <w:r w:rsidRPr="0043317B">
        <w:rPr>
          <w:lang w:val="fr-FR"/>
        </w:rPr>
        <w:t xml:space="preserve"> chambre de la cour d</w:t>
      </w:r>
      <w:r w:rsidRPr="0043317B" w:rsidR="0043317B">
        <w:rPr>
          <w:lang w:val="fr-FR"/>
        </w:rPr>
        <w:t>’</w:t>
      </w:r>
      <w:r w:rsidRPr="0043317B">
        <w:rPr>
          <w:lang w:val="fr-FR"/>
        </w:rPr>
        <w:t>assises d</w:t>
      </w:r>
      <w:r w:rsidRPr="0043317B" w:rsidR="0043317B">
        <w:rPr>
          <w:lang w:val="fr-FR"/>
        </w:rPr>
        <w:t>’</w:t>
      </w:r>
      <w:r w:rsidRPr="0043317B">
        <w:rPr>
          <w:lang w:val="fr-FR"/>
        </w:rPr>
        <w:t>Istanbul rendit son arrêt dans le dossier n</w:t>
      </w:r>
      <w:r w:rsidRPr="0043317B">
        <w:rPr>
          <w:vertAlign w:val="superscript"/>
          <w:lang w:val="fr-FR"/>
        </w:rPr>
        <w:t>o</w:t>
      </w:r>
      <w:r w:rsidRPr="0043317B">
        <w:rPr>
          <w:lang w:val="fr-FR"/>
        </w:rPr>
        <w:t xml:space="preserve"> 2004/1 et décida de disjoindre le dossier concernant les dirigeants fugitifs de İmarbank, attribuant à celui-ci un nouveau numéro de dossier (n</w:t>
      </w:r>
      <w:r w:rsidRPr="0043317B">
        <w:rPr>
          <w:vertAlign w:val="superscript"/>
          <w:lang w:val="fr-FR"/>
        </w:rPr>
        <w:t>o</w:t>
      </w:r>
      <w:r w:rsidRPr="0043317B">
        <w:rPr>
          <w:lang w:val="fr-FR"/>
        </w:rPr>
        <w:t xml:space="preserve"> 2006/17). Elle ordonna ainsi le maintien des mesures conservatoires imposées aux personnes non parties au procès jusqu</w:t>
      </w:r>
      <w:r w:rsidRPr="0043317B" w:rsidR="0043317B">
        <w:rPr>
          <w:lang w:val="fr-FR"/>
        </w:rPr>
        <w:t>’</w:t>
      </w:r>
      <w:r w:rsidRPr="0043317B">
        <w:rPr>
          <w:lang w:val="fr-FR"/>
        </w:rPr>
        <w:t>à ce que l</w:t>
      </w:r>
      <w:r w:rsidRPr="0043317B" w:rsidR="0043317B">
        <w:rPr>
          <w:lang w:val="fr-FR"/>
        </w:rPr>
        <w:t>’</w:t>
      </w:r>
      <w:r w:rsidRPr="0043317B">
        <w:rPr>
          <w:lang w:val="fr-FR"/>
        </w:rPr>
        <w:t>affaire concernant les dirigeants de la banque (n</w:t>
      </w:r>
      <w:r w:rsidRPr="0043317B">
        <w:rPr>
          <w:vertAlign w:val="superscript"/>
          <w:lang w:val="fr-FR"/>
        </w:rPr>
        <w:t>o</w:t>
      </w:r>
      <w:r w:rsidRPr="0043317B" w:rsidR="003C4A77">
        <w:rPr>
          <w:vertAlign w:val="superscript"/>
          <w:lang w:val="fr-FR"/>
        </w:rPr>
        <w:t> </w:t>
      </w:r>
      <w:r w:rsidRPr="0043317B">
        <w:rPr>
          <w:lang w:val="fr-FR"/>
        </w:rPr>
        <w:t>2006/17) fût tranchée.</w:t>
      </w:r>
    </w:p>
    <w:p w:rsidRPr="0043317B" w:rsidR="000A45C0" w:rsidP="0043317B" w:rsidRDefault="000A45C0">
      <w:pPr>
        <w:pStyle w:val="ECHRPara"/>
        <w:rPr>
          <w:lang w:val="fr-FR"/>
        </w:rPr>
      </w:pPr>
      <w:r w:rsidRPr="0043317B">
        <w:rPr>
          <w:lang w:val="fr-FR"/>
        </w:rPr>
        <w:t>S</w:t>
      </w:r>
      <w:r w:rsidRPr="0043317B" w:rsidR="0043317B">
        <w:rPr>
          <w:lang w:val="fr-FR"/>
        </w:rPr>
        <w:t>’</w:t>
      </w:r>
      <w:r w:rsidRPr="0043317B">
        <w:rPr>
          <w:lang w:val="fr-FR"/>
        </w:rPr>
        <w:t>agissant de la demande de levée des mesures imposées à la requérante Bilge</w:t>
      </w:r>
      <w:r w:rsidRPr="0043317B" w:rsidR="003C4A77">
        <w:rPr>
          <w:lang w:val="fr-FR"/>
        </w:rPr>
        <w:t> </w:t>
      </w:r>
      <w:r w:rsidRPr="0043317B">
        <w:rPr>
          <w:lang w:val="fr-FR"/>
        </w:rPr>
        <w:t>Dogru, elle autorisa celle-ci à percevoir les sommes dues au titre du remboursement des frais médicaux et rejeta la demande pour le reste.</w:t>
      </w:r>
    </w:p>
    <w:p w:rsidRPr="0043317B" w:rsidR="000A45C0" w:rsidP="0043317B" w:rsidRDefault="000A45C0">
      <w:pPr>
        <w:pStyle w:val="ECHRPara"/>
        <w:rPr>
          <w:lang w:val="fr-FR"/>
        </w:rPr>
      </w:pPr>
      <w:r w:rsidRPr="0043317B">
        <w:rPr>
          <w:lang w:val="fr-FR"/>
        </w:rPr>
        <w:t>Le 26 janvier 2007, la Cour de cassation confirma cet arrêt. Les mesures conservatoires imposées aux biens de la requérante susmentionnée furent ainsi maintenues, alors que celles touchant le patrimoine des personnes ayant été acquittées furent levées le jour du prononcé de cette décision.</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73</w:t>
      </w:r>
      <w:r w:rsidRPr="0043317B">
        <w:rPr>
          <w:lang w:val="fr-FR"/>
        </w:rPr>
        <w:fldChar w:fldCharType="end"/>
      </w:r>
      <w:r w:rsidRPr="0043317B">
        <w:rPr>
          <w:lang w:val="fr-FR"/>
        </w:rPr>
        <w:t>.  Entre-temps, les 12 et 13 décembre 2006, ladite requérante avait fait l</w:t>
      </w:r>
      <w:r w:rsidRPr="0043317B" w:rsidR="0043317B">
        <w:rPr>
          <w:lang w:val="fr-FR"/>
        </w:rPr>
        <w:t>’</w:t>
      </w:r>
      <w:r w:rsidRPr="0043317B">
        <w:rPr>
          <w:lang w:val="fr-FR"/>
        </w:rPr>
        <w:t>objet de deux nouvelles actions pénales (n</w:t>
      </w:r>
      <w:r w:rsidRPr="0043317B">
        <w:rPr>
          <w:vertAlign w:val="superscript"/>
          <w:lang w:val="fr-FR"/>
        </w:rPr>
        <w:t>os</w:t>
      </w:r>
      <w:r w:rsidRPr="0043317B">
        <w:rPr>
          <w:lang w:val="fr-FR"/>
        </w:rPr>
        <w:t> 2006/99 et 2006/100), devant la cour d</w:t>
      </w:r>
      <w:r w:rsidRPr="0043317B" w:rsidR="0043317B">
        <w:rPr>
          <w:lang w:val="fr-FR"/>
        </w:rPr>
        <w:t>’</w:t>
      </w:r>
      <w:r w:rsidRPr="0043317B">
        <w:rPr>
          <w:lang w:val="fr-FR"/>
        </w:rPr>
        <w:t>assises, pour gestion d</w:t>
      </w:r>
      <w:r w:rsidRPr="0043317B" w:rsidR="0043317B">
        <w:rPr>
          <w:lang w:val="fr-FR"/>
        </w:rPr>
        <w:t>’</w:t>
      </w:r>
      <w:r w:rsidRPr="0043317B">
        <w:rPr>
          <w:lang w:val="fr-FR"/>
        </w:rPr>
        <w:t>opérations bancaires frauduleuse et non</w:t>
      </w:r>
      <w:r w:rsidRPr="0043317B">
        <w:rPr>
          <w:lang w:val="fr-FR"/>
        </w:rPr>
        <w:noBreakHyphen/>
        <w:t>communication des documents et renseignements requis par les autorités judiciaires.</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74</w:t>
      </w:r>
      <w:r w:rsidRPr="0043317B">
        <w:rPr>
          <w:lang w:val="fr-FR"/>
        </w:rPr>
        <w:fldChar w:fldCharType="end"/>
      </w:r>
      <w:r w:rsidRPr="0043317B">
        <w:rPr>
          <w:lang w:val="fr-FR"/>
        </w:rPr>
        <w:t>.  Les 5 et 20 juin 2007, l</w:t>
      </w:r>
      <w:r w:rsidRPr="0043317B" w:rsidR="0043317B">
        <w:rPr>
          <w:lang w:val="fr-FR"/>
        </w:rPr>
        <w:t>’</w:t>
      </w:r>
      <w:r w:rsidRPr="0043317B">
        <w:rPr>
          <w:lang w:val="fr-FR"/>
        </w:rPr>
        <w:t>intéressée réitéra la demande de levée des mesures conservatoires imposées sur ses biens, en se référant à l</w:t>
      </w:r>
      <w:r w:rsidRPr="0043317B" w:rsidR="0043317B">
        <w:rPr>
          <w:lang w:val="fr-FR"/>
        </w:rPr>
        <w:t>’</w:t>
      </w:r>
      <w:r w:rsidRPr="0043317B">
        <w:rPr>
          <w:lang w:val="fr-FR"/>
        </w:rPr>
        <w:t>état d</w:t>
      </w:r>
      <w:r w:rsidRPr="0043317B" w:rsidR="0043317B">
        <w:rPr>
          <w:lang w:val="fr-FR"/>
        </w:rPr>
        <w:t>’</w:t>
      </w:r>
      <w:r w:rsidRPr="0043317B">
        <w:rPr>
          <w:lang w:val="fr-FR"/>
        </w:rPr>
        <w:t>avancement de l</w:t>
      </w:r>
      <w:r w:rsidRPr="0043317B" w:rsidR="0043317B">
        <w:rPr>
          <w:lang w:val="fr-FR"/>
        </w:rPr>
        <w:t>’</w:t>
      </w:r>
      <w:r w:rsidRPr="0043317B">
        <w:rPr>
          <w:lang w:val="fr-FR"/>
        </w:rPr>
        <w:t>enquête.</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75</w:t>
      </w:r>
      <w:r w:rsidRPr="0043317B">
        <w:rPr>
          <w:lang w:val="fr-FR"/>
        </w:rPr>
        <w:fldChar w:fldCharType="end"/>
      </w:r>
      <w:r w:rsidRPr="0043317B">
        <w:rPr>
          <w:lang w:val="fr-FR"/>
        </w:rPr>
        <w:t>.  Le 23 juillet 2007, lors de son examen de la cause des dirigeants fugitifs de İmarbank (dossier n</w:t>
      </w:r>
      <w:r w:rsidRPr="0043317B">
        <w:rPr>
          <w:vertAlign w:val="superscript"/>
          <w:lang w:val="fr-FR"/>
        </w:rPr>
        <w:t>o</w:t>
      </w:r>
      <w:r w:rsidRPr="0043317B" w:rsidR="003C4A77">
        <w:rPr>
          <w:lang w:val="fr-FR"/>
        </w:rPr>
        <w:t xml:space="preserve"> </w:t>
      </w:r>
      <w:r w:rsidRPr="0043317B">
        <w:rPr>
          <w:lang w:val="fr-FR"/>
        </w:rPr>
        <w:t>2006/17), la 8</w:t>
      </w:r>
      <w:r w:rsidRPr="0043317B">
        <w:rPr>
          <w:vertAlign w:val="superscript"/>
          <w:lang w:val="fr-FR"/>
        </w:rPr>
        <w:t>e</w:t>
      </w:r>
      <w:r w:rsidRPr="0043317B">
        <w:rPr>
          <w:lang w:val="fr-FR"/>
        </w:rPr>
        <w:t xml:space="preserve"> chambre de la cour d</w:t>
      </w:r>
      <w:r w:rsidRPr="0043317B" w:rsidR="0043317B">
        <w:rPr>
          <w:lang w:val="fr-FR"/>
        </w:rPr>
        <w:t>’</w:t>
      </w:r>
      <w:r w:rsidRPr="0043317B">
        <w:rPr>
          <w:lang w:val="fr-FR"/>
        </w:rPr>
        <w:t>assises d</w:t>
      </w:r>
      <w:r w:rsidRPr="0043317B" w:rsidR="0043317B">
        <w:rPr>
          <w:lang w:val="fr-FR"/>
        </w:rPr>
        <w:t>’</w:t>
      </w:r>
      <w:r w:rsidRPr="0043317B">
        <w:rPr>
          <w:lang w:val="fr-FR"/>
        </w:rPr>
        <w:t>Istanbul refusa de lever les mesures conservatoires sur les biens de la requérante en question, à qui elle conféra de nouveau « une qualité autre que celle de partie au procès ». Ladite requérante forma un recours devant la première chambre de la cour d</w:t>
      </w:r>
      <w:r w:rsidRPr="0043317B" w:rsidR="0043317B">
        <w:rPr>
          <w:lang w:val="fr-FR"/>
        </w:rPr>
        <w:t>’</w:t>
      </w:r>
      <w:r w:rsidRPr="0043317B">
        <w:rPr>
          <w:lang w:val="fr-FR"/>
        </w:rPr>
        <w:t>assises contre le maintien des mesures conservatoires sur ses biens.</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76</w:t>
      </w:r>
      <w:r w:rsidRPr="0043317B">
        <w:rPr>
          <w:lang w:val="fr-FR"/>
        </w:rPr>
        <w:fldChar w:fldCharType="end"/>
      </w:r>
      <w:r w:rsidRPr="0043317B">
        <w:rPr>
          <w:lang w:val="fr-FR"/>
        </w:rPr>
        <w:t>.  Le 2 octobre 2007, la première chambre de la cour d</w:t>
      </w:r>
      <w:r w:rsidRPr="0043317B" w:rsidR="0043317B">
        <w:rPr>
          <w:lang w:val="fr-FR"/>
        </w:rPr>
        <w:t>’</w:t>
      </w:r>
      <w:r w:rsidRPr="0043317B">
        <w:rPr>
          <w:lang w:val="fr-FR"/>
        </w:rPr>
        <w:t>assises d</w:t>
      </w:r>
      <w:r w:rsidRPr="0043317B" w:rsidR="0043317B">
        <w:rPr>
          <w:lang w:val="fr-FR"/>
        </w:rPr>
        <w:t>’</w:t>
      </w:r>
      <w:r w:rsidRPr="0043317B">
        <w:rPr>
          <w:lang w:val="fr-FR"/>
        </w:rPr>
        <w:t>Istanbul rejeta ce recours. Son arrêt fut notifié à l</w:t>
      </w:r>
      <w:r w:rsidRPr="0043317B" w:rsidR="0043317B">
        <w:rPr>
          <w:lang w:val="fr-FR"/>
        </w:rPr>
        <w:t>’</w:t>
      </w:r>
      <w:r w:rsidRPr="0043317B" w:rsidR="003C4A77">
        <w:rPr>
          <w:lang w:val="fr-FR"/>
        </w:rPr>
        <w:t>intéressée le 18 </w:t>
      </w:r>
      <w:r w:rsidRPr="0043317B">
        <w:rPr>
          <w:lang w:val="fr-FR"/>
        </w:rPr>
        <w:t>octobre 2007.</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77</w:t>
      </w:r>
      <w:r w:rsidRPr="0043317B">
        <w:rPr>
          <w:lang w:val="fr-FR"/>
        </w:rPr>
        <w:fldChar w:fldCharType="end"/>
      </w:r>
      <w:r w:rsidRPr="0043317B">
        <w:rPr>
          <w:lang w:val="fr-FR"/>
        </w:rPr>
        <w:t>.  Par un arrêt rendu le 8 juillet 2008, la cour d</w:t>
      </w:r>
      <w:r w:rsidRPr="0043317B" w:rsidR="0043317B">
        <w:rPr>
          <w:lang w:val="fr-FR"/>
        </w:rPr>
        <w:t>’</w:t>
      </w:r>
      <w:r w:rsidRPr="0043317B">
        <w:rPr>
          <w:lang w:val="fr-FR"/>
        </w:rPr>
        <w:t>assises acquitta la requérante Bilge Doğru des chefs de gestion d</w:t>
      </w:r>
      <w:r w:rsidRPr="0043317B" w:rsidR="0043317B">
        <w:rPr>
          <w:lang w:val="fr-FR"/>
        </w:rPr>
        <w:t>’</w:t>
      </w:r>
      <w:r w:rsidRPr="0043317B">
        <w:rPr>
          <w:lang w:val="fr-FR"/>
        </w:rPr>
        <w:t>opérations bancaires frauduleuse et de non</w:t>
      </w:r>
      <w:r w:rsidRPr="0043317B">
        <w:rPr>
          <w:lang w:val="fr-FR"/>
        </w:rPr>
        <w:noBreakHyphen/>
        <w:t>communication des documents et renseignements requis par les autorités judiciaires (n</w:t>
      </w:r>
      <w:r w:rsidRPr="0043317B">
        <w:rPr>
          <w:vertAlign w:val="superscript"/>
          <w:lang w:val="fr-FR"/>
        </w:rPr>
        <w:t>o </w:t>
      </w:r>
      <w:r w:rsidRPr="0043317B">
        <w:rPr>
          <w:lang w:val="fr-FR"/>
        </w:rPr>
        <w:t>2006/100).</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78</w:t>
      </w:r>
      <w:r w:rsidRPr="0043317B">
        <w:rPr>
          <w:lang w:val="fr-FR"/>
        </w:rPr>
        <w:fldChar w:fldCharType="end"/>
      </w:r>
      <w:r w:rsidRPr="0043317B">
        <w:rPr>
          <w:lang w:val="fr-FR"/>
        </w:rPr>
        <w:t>.  Le 4 novembre 2013, la 8</w:t>
      </w:r>
      <w:r w:rsidRPr="0043317B">
        <w:rPr>
          <w:vertAlign w:val="superscript"/>
          <w:lang w:val="fr-FR"/>
        </w:rPr>
        <w:t>e</w:t>
      </w:r>
      <w:r w:rsidRPr="0043317B">
        <w:rPr>
          <w:lang w:val="fr-FR"/>
        </w:rPr>
        <w:t xml:space="preserve"> chambre de la cour d</w:t>
      </w:r>
      <w:r w:rsidRPr="0043317B" w:rsidR="0043317B">
        <w:rPr>
          <w:lang w:val="fr-FR"/>
        </w:rPr>
        <w:t>’</w:t>
      </w:r>
      <w:r w:rsidRPr="0043317B">
        <w:rPr>
          <w:lang w:val="fr-FR"/>
        </w:rPr>
        <w:t>assises d</w:t>
      </w:r>
      <w:r w:rsidRPr="0043317B" w:rsidR="0043317B">
        <w:rPr>
          <w:lang w:val="fr-FR"/>
        </w:rPr>
        <w:t>’</w:t>
      </w:r>
      <w:r w:rsidRPr="0043317B">
        <w:rPr>
          <w:lang w:val="fr-FR"/>
        </w:rPr>
        <w:t>Istanbul décida la levée des mesures conservatoires ordonnées sur certains des biens et les avoirs de l</w:t>
      </w:r>
      <w:r w:rsidRPr="0043317B" w:rsidR="0043317B">
        <w:rPr>
          <w:lang w:val="fr-FR"/>
        </w:rPr>
        <w:t>’</w:t>
      </w:r>
      <w:r w:rsidRPr="0043317B">
        <w:rPr>
          <w:lang w:val="fr-FR"/>
        </w:rPr>
        <w:t>intéressée, ne suivant pas en cela l</w:t>
      </w:r>
      <w:r w:rsidRPr="0043317B" w:rsidR="0043317B">
        <w:rPr>
          <w:lang w:val="fr-FR"/>
        </w:rPr>
        <w:t>’</w:t>
      </w:r>
      <w:r w:rsidRPr="0043317B">
        <w:rPr>
          <w:lang w:val="fr-FR"/>
        </w:rPr>
        <w:t>avis émis par le FADE.</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79</w:t>
      </w:r>
      <w:r w:rsidRPr="0043317B">
        <w:rPr>
          <w:lang w:val="fr-FR"/>
        </w:rPr>
        <w:fldChar w:fldCharType="end"/>
      </w:r>
      <w:r w:rsidRPr="0043317B">
        <w:rPr>
          <w:lang w:val="fr-FR"/>
        </w:rPr>
        <w:t>.  Devant la Cour, le représentant de la requérante Bilge Doğru a produit, joint à une lettre du 8 avril 2015, un document de la sous-préfecture de Bozcaada daté du 6 avril 2015, selon lequel la saisie imposée sur le bien immobilier de sa cliente.</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80</w:t>
      </w:r>
      <w:r w:rsidRPr="0043317B">
        <w:rPr>
          <w:lang w:val="fr-FR"/>
        </w:rPr>
        <w:fldChar w:fldCharType="end"/>
      </w:r>
      <w:r w:rsidRPr="0043317B">
        <w:rPr>
          <w:lang w:val="fr-FR"/>
        </w:rPr>
        <w:t>.  Dans sa lettre adressée à la Cour le 6 octobre 2016, le représentant de la requérante susmentionnée a allégué que la situation demeurait inchangée et que sa cliente pâtissait d</w:t>
      </w:r>
      <w:r w:rsidRPr="0043317B" w:rsidR="0043317B">
        <w:rPr>
          <w:lang w:val="fr-FR"/>
        </w:rPr>
        <w:t>’</w:t>
      </w:r>
      <w:r w:rsidRPr="0043317B">
        <w:rPr>
          <w:lang w:val="fr-FR"/>
        </w:rPr>
        <w:t>une incertitude à ce sujet. Il a versé au dossier un document daté du 15 avril 2016, produit par l</w:t>
      </w:r>
      <w:r w:rsidRPr="0043317B" w:rsidR="0043317B">
        <w:rPr>
          <w:lang w:val="fr-FR"/>
        </w:rPr>
        <w:t>’</w:t>
      </w:r>
      <w:r w:rsidRPr="0043317B">
        <w:rPr>
          <w:lang w:val="fr-FR"/>
        </w:rPr>
        <w:t xml:space="preserve">établissement Turkiye Halk </w:t>
      </w:r>
      <w:r w:rsidRPr="0043317B">
        <w:rPr>
          <w:lang w:val="tr-TR"/>
        </w:rPr>
        <w:t>Bankası A.Ş.</w:t>
      </w:r>
      <w:r w:rsidRPr="0043317B">
        <w:rPr>
          <w:lang w:val="fr-FR"/>
        </w:rPr>
        <w:t>, selon lequel le compte n</w:t>
      </w:r>
      <w:r w:rsidRPr="0043317B">
        <w:rPr>
          <w:vertAlign w:val="superscript"/>
          <w:lang w:val="fr-FR"/>
        </w:rPr>
        <w:t>o</w:t>
      </w:r>
      <w:r w:rsidRPr="0043317B">
        <w:rPr>
          <w:lang w:val="fr-FR"/>
        </w:rPr>
        <w:t xml:space="preserve"> 143-01016631 de sa cliente, ayant à son actif 65 825,25 TRY (environ 19</w:t>
      </w:r>
      <w:r w:rsidRPr="0043317B" w:rsidR="003C4A77">
        <w:rPr>
          <w:lang w:val="fr-FR"/>
        </w:rPr>
        <w:t> </w:t>
      </w:r>
      <w:r w:rsidRPr="0043317B">
        <w:rPr>
          <w:lang w:val="fr-FR"/>
        </w:rPr>
        <w:t>300 EUR), faisait toujours l</w:t>
      </w:r>
      <w:r w:rsidRPr="0043317B" w:rsidR="0043317B">
        <w:rPr>
          <w:lang w:val="fr-FR"/>
        </w:rPr>
        <w:t>’</w:t>
      </w:r>
      <w:r w:rsidRPr="0043317B">
        <w:rPr>
          <w:lang w:val="fr-FR"/>
        </w:rPr>
        <w:t>objet d</w:t>
      </w:r>
      <w:r w:rsidRPr="0043317B" w:rsidR="0043317B">
        <w:rPr>
          <w:lang w:val="fr-FR"/>
        </w:rPr>
        <w:t>’</w:t>
      </w:r>
      <w:r w:rsidRPr="0043317B">
        <w:rPr>
          <w:lang w:val="fr-FR"/>
        </w:rPr>
        <w:t>une saisie, réalisée par le 33</w:t>
      </w:r>
      <w:r w:rsidRPr="0043317B">
        <w:rPr>
          <w:vertAlign w:val="superscript"/>
          <w:lang w:val="fr-FR"/>
        </w:rPr>
        <w:t>e</w:t>
      </w:r>
      <w:r w:rsidRPr="0043317B">
        <w:rPr>
          <w:lang w:val="fr-FR"/>
        </w:rPr>
        <w:t xml:space="preserve"> bureau d</w:t>
      </w:r>
      <w:r w:rsidRPr="0043317B" w:rsidR="0043317B">
        <w:rPr>
          <w:lang w:val="fr-FR"/>
        </w:rPr>
        <w:t>’</w:t>
      </w:r>
      <w:r w:rsidRPr="0043317B">
        <w:rPr>
          <w:lang w:val="fr-FR"/>
        </w:rPr>
        <w:t>exécution d</w:t>
      </w:r>
      <w:r w:rsidRPr="0043317B" w:rsidR="0043317B">
        <w:rPr>
          <w:lang w:val="fr-FR"/>
        </w:rPr>
        <w:t>’</w:t>
      </w:r>
      <w:r w:rsidRPr="0043317B">
        <w:rPr>
          <w:lang w:val="fr-FR"/>
        </w:rPr>
        <w:t>Istanbul (dossier n</w:t>
      </w:r>
      <w:r w:rsidRPr="0043317B">
        <w:rPr>
          <w:vertAlign w:val="superscript"/>
          <w:lang w:val="fr-FR"/>
        </w:rPr>
        <w:t>o</w:t>
      </w:r>
      <w:r w:rsidRPr="0043317B">
        <w:rPr>
          <w:lang w:val="fr-FR"/>
        </w:rPr>
        <w:t> 2013/26698 E).</w:t>
      </w:r>
    </w:p>
    <w:p w:rsidRPr="0043317B" w:rsidR="000A45C0" w:rsidP="0043317B" w:rsidRDefault="000A45C0">
      <w:pPr>
        <w:pStyle w:val="ECHRHeading2"/>
        <w:rPr>
          <w:lang w:val="fr-FR"/>
        </w:rPr>
      </w:pPr>
      <w:r w:rsidRPr="0043317B">
        <w:rPr>
          <w:lang w:val="fr-FR"/>
        </w:rPr>
        <w:t>C.  Les procédures administratives dirigées à l</w:t>
      </w:r>
      <w:r w:rsidRPr="0043317B" w:rsidR="0043317B">
        <w:rPr>
          <w:lang w:val="fr-FR"/>
        </w:rPr>
        <w:t>’</w:t>
      </w:r>
      <w:r w:rsidRPr="0043317B">
        <w:rPr>
          <w:lang w:val="fr-FR"/>
        </w:rPr>
        <w:t>encontre des requérants</w:t>
      </w:r>
    </w:p>
    <w:p w:rsidRPr="0043317B" w:rsidR="000A45C0" w:rsidP="0043317B" w:rsidRDefault="000A45C0">
      <w:pPr>
        <w:pStyle w:val="ECHRHeading3"/>
        <w:rPr>
          <w:lang w:val="fr-FR"/>
        </w:rPr>
      </w:pPr>
      <w:r w:rsidRPr="0043317B">
        <w:rPr>
          <w:lang w:val="fr-FR"/>
        </w:rPr>
        <w:t>1.  M</w:t>
      </w:r>
      <w:r w:rsidRPr="0043317B">
        <w:rPr>
          <w:vertAlign w:val="superscript"/>
          <w:lang w:val="fr-FR"/>
        </w:rPr>
        <w:t>lle</w:t>
      </w:r>
      <w:r w:rsidRPr="0043317B" w:rsidR="003C4A77">
        <w:rPr>
          <w:vertAlign w:val="superscript"/>
          <w:lang w:val="fr-FR"/>
        </w:rPr>
        <w:t> </w:t>
      </w:r>
      <w:r w:rsidRPr="0043317B" w:rsidR="003C4A77">
        <w:rPr>
          <w:lang w:val="fr-FR"/>
        </w:rPr>
        <w:t>Jasmin Paris Uzan et M. </w:t>
      </w:r>
      <w:r w:rsidRPr="0043317B">
        <w:rPr>
          <w:lang w:val="fr-FR"/>
        </w:rPr>
        <w:t>Renç</w:t>
      </w:r>
      <w:r w:rsidRPr="0043317B" w:rsidR="003C4A77">
        <w:rPr>
          <w:lang w:val="fr-FR"/>
        </w:rPr>
        <w:t> </w:t>
      </w:r>
      <w:r w:rsidRPr="0043317B">
        <w:rPr>
          <w:lang w:val="fr-FR"/>
        </w:rPr>
        <w:t>Emre</w:t>
      </w:r>
      <w:r w:rsidRPr="0043317B" w:rsidR="003C4A77">
        <w:rPr>
          <w:lang w:val="fr-FR"/>
        </w:rPr>
        <w:t> </w:t>
      </w:r>
      <w:r w:rsidRPr="0043317B">
        <w:rPr>
          <w:lang w:val="fr-FR"/>
        </w:rPr>
        <w:t>Uzan</w:t>
      </w:r>
    </w:p>
    <w:p w:rsidRPr="0043317B" w:rsidR="00055BA9" w:rsidP="0043317B" w:rsidRDefault="00055BA9">
      <w:pPr>
        <w:pStyle w:val="ECHRHeading4"/>
        <w:rPr>
          <w:lang w:val="fr-FR"/>
        </w:rPr>
      </w:pPr>
      <w:r w:rsidRPr="0043317B">
        <w:rPr>
          <w:lang w:val="fr-FR"/>
        </w:rPr>
        <w:t>a)  M</w:t>
      </w:r>
      <w:r w:rsidRPr="0043317B">
        <w:rPr>
          <w:vertAlign w:val="superscript"/>
          <w:lang w:val="fr-FR"/>
        </w:rPr>
        <w:t>lle</w:t>
      </w:r>
      <w:r w:rsidRPr="0043317B" w:rsidR="00F707C8">
        <w:rPr>
          <w:lang w:val="fr-FR"/>
        </w:rPr>
        <w:t> </w:t>
      </w:r>
      <w:r w:rsidRPr="0043317B">
        <w:rPr>
          <w:lang w:val="fr-FR"/>
        </w:rPr>
        <w:t>Jasmin</w:t>
      </w:r>
      <w:r w:rsidRPr="0043317B" w:rsidR="00F707C8">
        <w:rPr>
          <w:lang w:val="fr-FR"/>
        </w:rPr>
        <w:t> </w:t>
      </w:r>
      <w:r w:rsidRPr="0043317B">
        <w:rPr>
          <w:lang w:val="fr-FR"/>
        </w:rPr>
        <w:t>Paris</w:t>
      </w:r>
      <w:r w:rsidRPr="0043317B" w:rsidR="00F707C8">
        <w:rPr>
          <w:lang w:val="fr-FR"/>
        </w:rPr>
        <w:t> </w:t>
      </w:r>
      <w:r w:rsidRPr="0043317B">
        <w:rPr>
          <w:lang w:val="fr-FR"/>
        </w:rPr>
        <w:t>Uzan</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81</w:t>
      </w:r>
      <w:r w:rsidRPr="0043317B">
        <w:rPr>
          <w:lang w:val="fr-FR"/>
        </w:rPr>
        <w:fldChar w:fldCharType="end"/>
      </w:r>
      <w:r w:rsidRPr="0043317B">
        <w:rPr>
          <w:lang w:val="fr-FR"/>
        </w:rPr>
        <w:t>.  Le 1</w:t>
      </w:r>
      <w:r w:rsidRPr="0043317B">
        <w:rPr>
          <w:vertAlign w:val="superscript"/>
          <w:lang w:val="fr-FR"/>
        </w:rPr>
        <w:t>er</w:t>
      </w:r>
      <w:r w:rsidRPr="0043317B">
        <w:rPr>
          <w:lang w:val="fr-FR"/>
        </w:rPr>
        <w:t xml:space="preserve"> mars 2004 et le 11 octobre 2004, en application de l</w:t>
      </w:r>
      <w:r w:rsidRPr="0043317B" w:rsidR="0043317B">
        <w:rPr>
          <w:lang w:val="fr-FR"/>
        </w:rPr>
        <w:t>’</w:t>
      </w:r>
      <w:r w:rsidRPr="0043317B">
        <w:rPr>
          <w:lang w:val="fr-FR"/>
        </w:rPr>
        <w:t>article 14 § 3 de la loi n</w:t>
      </w:r>
      <w:r w:rsidRPr="0043317B">
        <w:rPr>
          <w:vertAlign w:val="superscript"/>
          <w:lang w:val="fr-FR"/>
        </w:rPr>
        <w:t>o</w:t>
      </w:r>
      <w:r w:rsidRPr="0043317B">
        <w:rPr>
          <w:lang w:val="fr-FR"/>
        </w:rPr>
        <w:t xml:space="preserve"> 4389 et des dispositions de la loi n</w:t>
      </w:r>
      <w:r w:rsidRPr="0043317B">
        <w:rPr>
          <w:vertAlign w:val="superscript"/>
          <w:lang w:val="fr-FR"/>
        </w:rPr>
        <w:t>o</w:t>
      </w:r>
      <w:r w:rsidRPr="0043317B">
        <w:rPr>
          <w:lang w:val="fr-FR"/>
        </w:rPr>
        <w:t xml:space="preserve"> 6183, le FADE envoya à la requérante Jasmin Paris Uzan, respectivement, une lettre d</w:t>
      </w:r>
      <w:r w:rsidRPr="0043317B" w:rsidR="0043317B">
        <w:rPr>
          <w:lang w:val="fr-FR"/>
        </w:rPr>
        <w:t>’</w:t>
      </w:r>
      <w:r w:rsidRPr="0043317B">
        <w:rPr>
          <w:lang w:val="fr-FR"/>
        </w:rPr>
        <w:t>invitation à payer et un ordre de paiement, en vue du recouvrement des créances détenues par le Trésor public sur İmarbank. Le montant total au paiement duquel dont l</w:t>
      </w:r>
      <w:r w:rsidRPr="0043317B" w:rsidR="0043317B">
        <w:rPr>
          <w:lang w:val="fr-FR"/>
        </w:rPr>
        <w:t>’</w:t>
      </w:r>
      <w:r w:rsidRPr="0043317B">
        <w:rPr>
          <w:lang w:val="fr-FR"/>
        </w:rPr>
        <w:t>intéressée était tenue solidairement responsable s</w:t>
      </w:r>
      <w:r w:rsidRPr="0043317B" w:rsidR="0043317B">
        <w:rPr>
          <w:lang w:val="fr-FR"/>
        </w:rPr>
        <w:t>’</w:t>
      </w:r>
      <w:r w:rsidRPr="0043317B">
        <w:rPr>
          <w:lang w:val="fr-FR"/>
        </w:rPr>
        <w:t>élevait à 7 552 995 710,63 TRL (soit environ de 4 602 678 000</w:t>
      </w:r>
      <w:r w:rsidRPr="0043317B" w:rsidR="003C4A77">
        <w:rPr>
          <w:lang w:val="fr-FR"/>
        </w:rPr>
        <w:t> </w:t>
      </w:r>
      <w:r w:rsidRPr="0043317B">
        <w:rPr>
          <w:lang w:val="fr-FR"/>
        </w:rPr>
        <w:t>000</w:t>
      </w:r>
      <w:r w:rsidRPr="0043317B" w:rsidR="003C4A77">
        <w:rPr>
          <w:lang w:val="fr-FR"/>
        </w:rPr>
        <w:t> </w:t>
      </w:r>
      <w:r w:rsidRPr="0043317B">
        <w:rPr>
          <w:lang w:val="fr-FR"/>
        </w:rPr>
        <w:t>EUR à l</w:t>
      </w:r>
      <w:r w:rsidRPr="0043317B" w:rsidR="0043317B">
        <w:rPr>
          <w:lang w:val="fr-FR"/>
        </w:rPr>
        <w:t>’</w:t>
      </w:r>
      <w:r w:rsidRPr="0043317B">
        <w:rPr>
          <w:lang w:val="fr-FR"/>
        </w:rPr>
        <w:t>époque des faits).</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82</w:t>
      </w:r>
      <w:r w:rsidRPr="0043317B">
        <w:rPr>
          <w:lang w:val="fr-FR"/>
        </w:rPr>
        <w:fldChar w:fldCharType="end"/>
      </w:r>
      <w:r w:rsidRPr="0043317B">
        <w:rPr>
          <w:lang w:val="fr-FR"/>
        </w:rPr>
        <w:t>.  À une date non précisée, ladite requérante saisit le tribunal administratif d</w:t>
      </w:r>
      <w:r w:rsidRPr="0043317B" w:rsidR="0043317B">
        <w:rPr>
          <w:lang w:val="fr-FR"/>
        </w:rPr>
        <w:t>’</w:t>
      </w:r>
      <w:r w:rsidRPr="0043317B">
        <w:rPr>
          <w:lang w:val="fr-FR"/>
        </w:rPr>
        <w:t>Istanbul d</w:t>
      </w:r>
      <w:r w:rsidRPr="0043317B" w:rsidR="0043317B">
        <w:rPr>
          <w:lang w:val="fr-FR"/>
        </w:rPr>
        <w:t>’</w:t>
      </w:r>
      <w:r w:rsidRPr="0043317B">
        <w:rPr>
          <w:lang w:val="fr-FR"/>
        </w:rPr>
        <w:t>une demande d</w:t>
      </w:r>
      <w:r w:rsidRPr="0043317B" w:rsidR="0043317B">
        <w:rPr>
          <w:lang w:val="fr-FR"/>
        </w:rPr>
        <w:t>’</w:t>
      </w:r>
      <w:r w:rsidRPr="0043317B">
        <w:rPr>
          <w:lang w:val="fr-FR"/>
        </w:rPr>
        <w:t>annulation de la décision du FADE du 24 décembre 2003 (paragraphe 14 ci-dessus), ainsi que de la lettre d</w:t>
      </w:r>
      <w:r w:rsidRPr="0043317B" w:rsidR="0043317B">
        <w:rPr>
          <w:lang w:val="fr-FR"/>
        </w:rPr>
        <w:t>’</w:t>
      </w:r>
      <w:r w:rsidRPr="0043317B">
        <w:rPr>
          <w:lang w:val="fr-FR"/>
        </w:rPr>
        <w:t>invitation à payer du 1</w:t>
      </w:r>
      <w:r w:rsidRPr="0043317B">
        <w:rPr>
          <w:vertAlign w:val="superscript"/>
          <w:lang w:val="fr-FR"/>
        </w:rPr>
        <w:t>er</w:t>
      </w:r>
      <w:r w:rsidRPr="0043317B" w:rsidR="003C4A77">
        <w:rPr>
          <w:lang w:val="fr-FR"/>
        </w:rPr>
        <w:t xml:space="preserve"> </w:t>
      </w:r>
      <w:r w:rsidRPr="0043317B">
        <w:rPr>
          <w:lang w:val="fr-FR"/>
        </w:rPr>
        <w:t>mars 2004 et de l</w:t>
      </w:r>
      <w:r w:rsidRPr="0043317B" w:rsidR="0043317B">
        <w:rPr>
          <w:lang w:val="fr-FR"/>
        </w:rPr>
        <w:t>’</w:t>
      </w:r>
      <w:r w:rsidRPr="0043317B">
        <w:rPr>
          <w:lang w:val="fr-FR"/>
        </w:rPr>
        <w:t>ordre de</w:t>
      </w:r>
      <w:r w:rsidRPr="0043317B" w:rsidR="003C4A77">
        <w:rPr>
          <w:lang w:val="fr-FR"/>
        </w:rPr>
        <w:t xml:space="preserve"> paiement du 11 </w:t>
      </w:r>
      <w:r w:rsidRPr="0043317B">
        <w:rPr>
          <w:lang w:val="fr-FR"/>
        </w:rPr>
        <w:t>octobre 2004.</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83</w:t>
      </w:r>
      <w:r w:rsidRPr="0043317B">
        <w:rPr>
          <w:lang w:val="fr-FR"/>
        </w:rPr>
        <w:fldChar w:fldCharType="end"/>
      </w:r>
      <w:r w:rsidRPr="0043317B">
        <w:rPr>
          <w:lang w:val="fr-FR"/>
        </w:rPr>
        <w:t>.  Le 29 novembre 2005, la 3</w:t>
      </w:r>
      <w:r w:rsidRPr="0043317B">
        <w:rPr>
          <w:vertAlign w:val="superscript"/>
          <w:lang w:val="fr-FR"/>
        </w:rPr>
        <w:t>e</w:t>
      </w:r>
      <w:r w:rsidRPr="0043317B">
        <w:rPr>
          <w:lang w:val="fr-FR"/>
        </w:rPr>
        <w:t xml:space="preserve"> chambre du tribunal administratif d</w:t>
      </w:r>
      <w:r w:rsidRPr="0043317B" w:rsidR="0043317B">
        <w:rPr>
          <w:lang w:val="fr-FR"/>
        </w:rPr>
        <w:t>’</w:t>
      </w:r>
      <w:r w:rsidRPr="0043317B">
        <w:rPr>
          <w:lang w:val="fr-FR"/>
        </w:rPr>
        <w:t>Istanbul rejeta la demande d</w:t>
      </w:r>
      <w:r w:rsidRPr="0043317B" w:rsidR="0043317B">
        <w:rPr>
          <w:lang w:val="fr-FR"/>
        </w:rPr>
        <w:t>’</w:t>
      </w:r>
      <w:r w:rsidRPr="0043317B">
        <w:rPr>
          <w:lang w:val="fr-FR"/>
        </w:rPr>
        <w:t>annulation de la décision du FADE du 24 décembre 2003 et de la lettre d</w:t>
      </w:r>
      <w:r w:rsidRPr="0043317B" w:rsidR="0043317B">
        <w:rPr>
          <w:lang w:val="fr-FR"/>
        </w:rPr>
        <w:t>’</w:t>
      </w:r>
      <w:r w:rsidRPr="0043317B">
        <w:rPr>
          <w:lang w:val="fr-FR"/>
        </w:rPr>
        <w:t>invitation à payer du 1</w:t>
      </w:r>
      <w:r w:rsidRPr="0043317B">
        <w:rPr>
          <w:vertAlign w:val="superscript"/>
          <w:lang w:val="fr-FR"/>
        </w:rPr>
        <w:t>er</w:t>
      </w:r>
      <w:r w:rsidRPr="0043317B">
        <w:rPr>
          <w:lang w:val="fr-FR"/>
        </w:rPr>
        <w:t xml:space="preserve"> mars 2004.</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84</w:t>
      </w:r>
      <w:r w:rsidRPr="0043317B">
        <w:rPr>
          <w:lang w:val="fr-FR"/>
        </w:rPr>
        <w:fldChar w:fldCharType="end"/>
      </w:r>
      <w:r w:rsidRPr="0043317B">
        <w:rPr>
          <w:lang w:val="fr-FR"/>
        </w:rPr>
        <w:t>.  La requérante susmentionnée se pourvut en cassation contre le jugement du tribunal administratif.</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85</w:t>
      </w:r>
      <w:r w:rsidRPr="0043317B">
        <w:rPr>
          <w:lang w:val="fr-FR"/>
        </w:rPr>
        <w:fldChar w:fldCharType="end"/>
      </w:r>
      <w:r w:rsidRPr="0043317B">
        <w:rPr>
          <w:lang w:val="fr-FR"/>
        </w:rPr>
        <w:t>.  Le 18 avril 2007, la 13</w:t>
      </w:r>
      <w:r w:rsidRPr="0043317B">
        <w:rPr>
          <w:vertAlign w:val="superscript"/>
          <w:lang w:val="fr-FR"/>
        </w:rPr>
        <w:t>e</w:t>
      </w:r>
      <w:r w:rsidRPr="0043317B">
        <w:rPr>
          <w:lang w:val="fr-FR"/>
        </w:rPr>
        <w:t xml:space="preserve"> chambre du Conseil d</w:t>
      </w:r>
      <w:r w:rsidRPr="0043317B" w:rsidR="0043317B">
        <w:rPr>
          <w:lang w:val="fr-FR"/>
        </w:rPr>
        <w:t>’</w:t>
      </w:r>
      <w:r w:rsidRPr="0043317B">
        <w:rPr>
          <w:lang w:val="fr-FR"/>
        </w:rPr>
        <w:t>État cassa le jugement attaqué.</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86</w:t>
      </w:r>
      <w:r w:rsidRPr="0043317B">
        <w:rPr>
          <w:lang w:val="fr-FR"/>
        </w:rPr>
        <w:fldChar w:fldCharType="end"/>
      </w:r>
      <w:r w:rsidRPr="0043317B">
        <w:rPr>
          <w:lang w:val="fr-FR"/>
        </w:rPr>
        <w:t>.  Le 18 octobre 2007, la 3</w:t>
      </w:r>
      <w:r w:rsidRPr="0043317B">
        <w:rPr>
          <w:vertAlign w:val="superscript"/>
          <w:lang w:val="fr-FR"/>
        </w:rPr>
        <w:t>e</w:t>
      </w:r>
      <w:r w:rsidRPr="0043317B">
        <w:rPr>
          <w:lang w:val="fr-FR"/>
        </w:rPr>
        <w:t xml:space="preserve"> chambre du tribunal administratif d</w:t>
      </w:r>
      <w:r w:rsidRPr="0043317B" w:rsidR="0043317B">
        <w:rPr>
          <w:lang w:val="fr-FR"/>
        </w:rPr>
        <w:t>’</w:t>
      </w:r>
      <w:r w:rsidRPr="0043317B">
        <w:rPr>
          <w:lang w:val="fr-FR"/>
        </w:rPr>
        <w:t>Istanbul rejeta à nouveau la demande de ladite requérante. À une date non précisée, la 13</w:t>
      </w:r>
      <w:r w:rsidRPr="0043317B">
        <w:rPr>
          <w:vertAlign w:val="superscript"/>
          <w:lang w:val="fr-FR"/>
        </w:rPr>
        <w:t>e</w:t>
      </w:r>
      <w:r w:rsidRPr="0043317B">
        <w:rPr>
          <w:lang w:val="fr-FR"/>
        </w:rPr>
        <w:t xml:space="preserve"> chambre du Conseil d</w:t>
      </w:r>
      <w:r w:rsidRPr="0043317B" w:rsidR="0043317B">
        <w:rPr>
          <w:lang w:val="fr-FR"/>
        </w:rPr>
        <w:t>’</w:t>
      </w:r>
      <w:r w:rsidRPr="0043317B">
        <w:rPr>
          <w:lang w:val="fr-FR"/>
        </w:rPr>
        <w:t>État cassa la décision du tribunal administratif du 18 octobre 2007.</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87</w:t>
      </w:r>
      <w:r w:rsidRPr="0043317B">
        <w:rPr>
          <w:lang w:val="fr-FR"/>
        </w:rPr>
        <w:fldChar w:fldCharType="end"/>
      </w:r>
      <w:r w:rsidRPr="0043317B">
        <w:rPr>
          <w:lang w:val="fr-FR"/>
        </w:rPr>
        <w:t>.  Entre-temps, le 13 mars 2008, sur pourvoi en cassation formé par la requérante concernée à une date non précisée, la 13</w:t>
      </w:r>
      <w:r w:rsidRPr="0043317B">
        <w:rPr>
          <w:vertAlign w:val="superscript"/>
          <w:lang w:val="fr-FR"/>
        </w:rPr>
        <w:t>e</w:t>
      </w:r>
      <w:r w:rsidRPr="0043317B">
        <w:rPr>
          <w:lang w:val="fr-FR"/>
        </w:rPr>
        <w:t xml:space="preserve"> chambre du Conseil d</w:t>
      </w:r>
      <w:r w:rsidRPr="0043317B" w:rsidR="0043317B">
        <w:rPr>
          <w:lang w:val="fr-FR"/>
        </w:rPr>
        <w:t>’</w:t>
      </w:r>
      <w:r w:rsidRPr="0043317B">
        <w:rPr>
          <w:lang w:val="fr-FR"/>
        </w:rPr>
        <w:t>État avait ordonné le sursis à exécution de la lettre d</w:t>
      </w:r>
      <w:r w:rsidRPr="0043317B" w:rsidR="0043317B">
        <w:rPr>
          <w:lang w:val="fr-FR"/>
        </w:rPr>
        <w:t>’</w:t>
      </w:r>
      <w:r w:rsidRPr="0043317B">
        <w:rPr>
          <w:lang w:val="fr-FR"/>
        </w:rPr>
        <w:t>invitation à payer du 1</w:t>
      </w:r>
      <w:r w:rsidRPr="0043317B">
        <w:rPr>
          <w:vertAlign w:val="superscript"/>
          <w:lang w:val="fr-FR"/>
        </w:rPr>
        <w:t>er</w:t>
      </w:r>
      <w:r w:rsidRPr="0043317B" w:rsidR="003C4A77">
        <w:rPr>
          <w:lang w:val="fr-FR"/>
        </w:rPr>
        <w:t> </w:t>
      </w:r>
      <w:r w:rsidRPr="0043317B">
        <w:rPr>
          <w:lang w:val="fr-FR"/>
        </w:rPr>
        <w:t>mars 2004.</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88</w:t>
      </w:r>
      <w:r w:rsidRPr="0043317B">
        <w:rPr>
          <w:lang w:val="fr-FR"/>
        </w:rPr>
        <w:fldChar w:fldCharType="end"/>
      </w:r>
      <w:r w:rsidRPr="0043317B">
        <w:rPr>
          <w:lang w:val="fr-FR"/>
        </w:rPr>
        <w:t>.  Le 24 octobre 2010, la 3</w:t>
      </w:r>
      <w:r w:rsidRPr="0043317B">
        <w:rPr>
          <w:vertAlign w:val="superscript"/>
          <w:lang w:val="fr-FR"/>
        </w:rPr>
        <w:t>e</w:t>
      </w:r>
      <w:r w:rsidRPr="0043317B">
        <w:rPr>
          <w:lang w:val="fr-FR"/>
        </w:rPr>
        <w:t xml:space="preserve"> chambre du tribunal administratif d</w:t>
      </w:r>
      <w:r w:rsidRPr="0043317B" w:rsidR="0043317B">
        <w:rPr>
          <w:lang w:val="fr-FR"/>
        </w:rPr>
        <w:t>’</w:t>
      </w:r>
      <w:r w:rsidRPr="0043317B">
        <w:rPr>
          <w:lang w:val="fr-FR"/>
        </w:rPr>
        <w:t>Istanbul accueillit favorablement la demande de l</w:t>
      </w:r>
      <w:r w:rsidRPr="0043317B" w:rsidR="0043317B">
        <w:rPr>
          <w:lang w:val="fr-FR"/>
        </w:rPr>
        <w:t>’</w:t>
      </w:r>
      <w:r w:rsidRPr="0043317B">
        <w:rPr>
          <w:lang w:val="fr-FR"/>
        </w:rPr>
        <w:t>intéressée et annula la lettre d</w:t>
      </w:r>
      <w:r w:rsidRPr="0043317B" w:rsidR="0043317B">
        <w:rPr>
          <w:lang w:val="fr-FR"/>
        </w:rPr>
        <w:t>’</w:t>
      </w:r>
      <w:r w:rsidRPr="0043317B">
        <w:rPr>
          <w:lang w:val="fr-FR"/>
        </w:rPr>
        <w:t>invitation à payer.</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89</w:t>
      </w:r>
      <w:r w:rsidRPr="0043317B">
        <w:rPr>
          <w:lang w:val="fr-FR"/>
        </w:rPr>
        <w:fldChar w:fldCharType="end"/>
      </w:r>
      <w:r w:rsidRPr="0043317B">
        <w:rPr>
          <w:lang w:val="fr-FR"/>
        </w:rPr>
        <w:t>.  Le FADE se pourvut en cassation.</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90</w:t>
      </w:r>
      <w:r w:rsidRPr="0043317B">
        <w:rPr>
          <w:lang w:val="fr-FR"/>
        </w:rPr>
        <w:fldChar w:fldCharType="end"/>
      </w:r>
      <w:r w:rsidRPr="0043317B">
        <w:rPr>
          <w:lang w:val="fr-FR"/>
        </w:rPr>
        <w:t>.  Le 30 avril 2014, la 13</w:t>
      </w:r>
      <w:r w:rsidRPr="0043317B">
        <w:rPr>
          <w:vertAlign w:val="superscript"/>
          <w:lang w:val="fr-FR"/>
        </w:rPr>
        <w:t>e</w:t>
      </w:r>
      <w:r w:rsidRPr="0043317B">
        <w:rPr>
          <w:lang w:val="fr-FR"/>
        </w:rPr>
        <w:t xml:space="preserve"> chambre du Conseil d</w:t>
      </w:r>
      <w:r w:rsidRPr="0043317B" w:rsidR="0043317B">
        <w:rPr>
          <w:lang w:val="fr-FR"/>
        </w:rPr>
        <w:t>’</w:t>
      </w:r>
      <w:r w:rsidRPr="0043317B">
        <w:rPr>
          <w:lang w:val="fr-FR"/>
        </w:rPr>
        <w:t>État rejeta le pourvoi en cassation. Le 4 décembre 2014, le Conseil d</w:t>
      </w:r>
      <w:r w:rsidRPr="0043317B" w:rsidR="0043317B">
        <w:rPr>
          <w:lang w:val="fr-FR"/>
        </w:rPr>
        <w:t>’</w:t>
      </w:r>
      <w:r w:rsidRPr="0043317B">
        <w:rPr>
          <w:lang w:val="fr-FR"/>
        </w:rPr>
        <w:t>État rejeta le recours en rectification formulé par le FADE.</w:t>
      </w:r>
    </w:p>
    <w:p w:rsidRPr="0043317B" w:rsidR="000A45C0" w:rsidP="0043317B" w:rsidRDefault="000A45C0">
      <w:pPr>
        <w:pStyle w:val="ECHRHeading4"/>
        <w:rPr>
          <w:lang w:val="pl-PL"/>
        </w:rPr>
      </w:pPr>
      <w:r w:rsidRPr="0043317B">
        <w:rPr>
          <w:lang w:val="pl-PL"/>
        </w:rPr>
        <w:t>b)  </w:t>
      </w:r>
      <w:r w:rsidRPr="0043317B" w:rsidR="00F707C8">
        <w:rPr>
          <w:lang w:val="pl-PL"/>
        </w:rPr>
        <w:t>M. </w:t>
      </w:r>
      <w:r w:rsidRPr="0043317B">
        <w:rPr>
          <w:lang w:val="pl-PL"/>
        </w:rPr>
        <w:t>Renç</w:t>
      </w:r>
      <w:r w:rsidRPr="0043317B" w:rsidR="00F707C8">
        <w:rPr>
          <w:lang w:val="pl-PL"/>
        </w:rPr>
        <w:t> </w:t>
      </w:r>
      <w:r w:rsidRPr="0043317B">
        <w:rPr>
          <w:lang w:val="pl-PL"/>
        </w:rPr>
        <w:t>Emre</w:t>
      </w:r>
      <w:r w:rsidRPr="0043317B" w:rsidR="00F707C8">
        <w:rPr>
          <w:lang w:val="pl-PL"/>
        </w:rPr>
        <w:t> </w:t>
      </w:r>
      <w:r w:rsidRPr="0043317B">
        <w:rPr>
          <w:lang w:val="pl-PL"/>
        </w:rPr>
        <w:t>Uzan</w:t>
      </w:r>
    </w:p>
    <w:p w:rsidRPr="0043317B" w:rsidR="000A45C0" w:rsidP="0043317B" w:rsidRDefault="000A45C0">
      <w:pPr>
        <w:pStyle w:val="ECHRPara"/>
        <w:rPr>
          <w:lang w:val="fr-FR"/>
        </w:rPr>
      </w:pPr>
      <w:r w:rsidRPr="0043317B">
        <w:rPr>
          <w:lang w:val="fr-FR"/>
        </w:rPr>
        <w:fldChar w:fldCharType="begin"/>
      </w:r>
      <w:r w:rsidRPr="0043317B">
        <w:rPr>
          <w:lang w:val="pl-PL"/>
        </w:rPr>
        <w:instrText xml:space="preserve"> SEQ level0 \*arabic </w:instrText>
      </w:r>
      <w:r w:rsidRPr="0043317B">
        <w:rPr>
          <w:lang w:val="fr-FR"/>
        </w:rPr>
        <w:fldChar w:fldCharType="separate"/>
      </w:r>
      <w:r w:rsidRPr="0043317B" w:rsidR="0043317B">
        <w:rPr>
          <w:noProof/>
          <w:lang w:val="pl-PL"/>
        </w:rPr>
        <w:t>91</w:t>
      </w:r>
      <w:r w:rsidRPr="0043317B">
        <w:rPr>
          <w:lang w:val="fr-FR"/>
        </w:rPr>
        <w:fldChar w:fldCharType="end"/>
      </w:r>
      <w:r w:rsidRPr="0043317B">
        <w:rPr>
          <w:lang w:val="pl-PL"/>
        </w:rPr>
        <w:t>.  </w:t>
      </w:r>
      <w:r w:rsidRPr="0043317B">
        <w:rPr>
          <w:lang w:val="fr-FR"/>
        </w:rPr>
        <w:t>Le 18 février 2004 et le 29 mars 2004, en application de l</w:t>
      </w:r>
      <w:r w:rsidRPr="0043317B" w:rsidR="0043317B">
        <w:rPr>
          <w:lang w:val="fr-FR"/>
        </w:rPr>
        <w:t>’</w:t>
      </w:r>
      <w:r w:rsidRPr="0043317B">
        <w:rPr>
          <w:lang w:val="fr-FR"/>
        </w:rPr>
        <w:t>article 14 § 3 de la loi n</w:t>
      </w:r>
      <w:r w:rsidRPr="0043317B">
        <w:rPr>
          <w:vertAlign w:val="superscript"/>
          <w:lang w:val="fr-FR"/>
        </w:rPr>
        <w:t>o</w:t>
      </w:r>
      <w:r w:rsidRPr="0043317B">
        <w:rPr>
          <w:lang w:val="fr-FR"/>
        </w:rPr>
        <w:t xml:space="preserve"> 4389 et des dispositions de la loi n</w:t>
      </w:r>
      <w:r w:rsidRPr="0043317B">
        <w:rPr>
          <w:vertAlign w:val="superscript"/>
          <w:lang w:val="fr-FR"/>
        </w:rPr>
        <w:t>o</w:t>
      </w:r>
      <w:r w:rsidRPr="0043317B">
        <w:rPr>
          <w:lang w:val="fr-FR"/>
        </w:rPr>
        <w:t xml:space="preserve"> 6183, le FADE envoya au requérant Renç Emre Uzan, respectivement, une lettre d</w:t>
      </w:r>
      <w:r w:rsidRPr="0043317B" w:rsidR="0043317B">
        <w:rPr>
          <w:lang w:val="fr-FR"/>
        </w:rPr>
        <w:t>’</w:t>
      </w:r>
      <w:r w:rsidRPr="0043317B">
        <w:rPr>
          <w:lang w:val="fr-FR"/>
        </w:rPr>
        <w:t>invitation à payer et un ordre de paiement en vue du recouvrement des créances détenues par le Trésor public sur İmarbank. Le montant total du paiement dont le requérant était tenu solidairement responsable s</w:t>
      </w:r>
      <w:r w:rsidRPr="0043317B" w:rsidR="0043317B">
        <w:rPr>
          <w:lang w:val="fr-FR"/>
        </w:rPr>
        <w:t>’</w:t>
      </w:r>
      <w:r w:rsidRPr="0043317B">
        <w:rPr>
          <w:lang w:val="fr-FR"/>
        </w:rPr>
        <w:t>élevait à 7 552</w:t>
      </w:r>
      <w:r w:rsidRPr="0043317B" w:rsidR="003C4A77">
        <w:rPr>
          <w:lang w:val="fr-FR"/>
        </w:rPr>
        <w:t> </w:t>
      </w:r>
      <w:r w:rsidRPr="0043317B">
        <w:rPr>
          <w:lang w:val="fr-FR"/>
        </w:rPr>
        <w:t>995</w:t>
      </w:r>
      <w:r w:rsidRPr="0043317B" w:rsidR="003C4A77">
        <w:rPr>
          <w:lang w:val="fr-FR"/>
        </w:rPr>
        <w:t> </w:t>
      </w:r>
      <w:r w:rsidRPr="0043317B">
        <w:rPr>
          <w:lang w:val="fr-FR"/>
        </w:rPr>
        <w:t>710,63</w:t>
      </w:r>
      <w:r w:rsidRPr="0043317B" w:rsidR="003C4A77">
        <w:rPr>
          <w:lang w:val="fr-FR"/>
        </w:rPr>
        <w:t> </w:t>
      </w:r>
      <w:r w:rsidRPr="0043317B">
        <w:rPr>
          <w:lang w:val="fr-FR"/>
        </w:rPr>
        <w:t>TRL (soit environ 4 340</w:t>
      </w:r>
      <w:r w:rsidRPr="0043317B" w:rsidR="003C4A77">
        <w:rPr>
          <w:lang w:val="fr-FR"/>
        </w:rPr>
        <w:t> </w:t>
      </w:r>
      <w:r w:rsidRPr="0043317B">
        <w:rPr>
          <w:lang w:val="fr-FR"/>
        </w:rPr>
        <w:t>802</w:t>
      </w:r>
      <w:r w:rsidRPr="0043317B" w:rsidR="003C4A77">
        <w:rPr>
          <w:lang w:val="fr-FR"/>
        </w:rPr>
        <w:t> </w:t>
      </w:r>
      <w:r w:rsidRPr="0043317B">
        <w:rPr>
          <w:lang w:val="fr-FR"/>
        </w:rPr>
        <w:t>000 EUR à l</w:t>
      </w:r>
      <w:r w:rsidRPr="0043317B" w:rsidR="0043317B">
        <w:rPr>
          <w:lang w:val="fr-FR"/>
        </w:rPr>
        <w:t>’</w:t>
      </w:r>
      <w:r w:rsidRPr="0043317B">
        <w:rPr>
          <w:lang w:val="fr-FR"/>
        </w:rPr>
        <w:t>époque des faits).</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92</w:t>
      </w:r>
      <w:r w:rsidRPr="0043317B">
        <w:rPr>
          <w:lang w:val="fr-FR"/>
        </w:rPr>
        <w:fldChar w:fldCharType="end"/>
      </w:r>
      <w:r w:rsidRPr="0043317B">
        <w:rPr>
          <w:lang w:val="fr-FR"/>
        </w:rPr>
        <w:t>.  À une date non précisée, le requérant saisit le tribunal administratif d</w:t>
      </w:r>
      <w:r w:rsidRPr="0043317B" w:rsidR="0043317B">
        <w:rPr>
          <w:lang w:val="fr-FR"/>
        </w:rPr>
        <w:t>’</w:t>
      </w:r>
      <w:r w:rsidRPr="0043317B">
        <w:rPr>
          <w:lang w:val="fr-FR"/>
        </w:rPr>
        <w:t>Istanbul d</w:t>
      </w:r>
      <w:r w:rsidRPr="0043317B" w:rsidR="0043317B">
        <w:rPr>
          <w:lang w:val="fr-FR"/>
        </w:rPr>
        <w:t>’</w:t>
      </w:r>
      <w:r w:rsidRPr="0043317B">
        <w:rPr>
          <w:lang w:val="fr-FR"/>
        </w:rPr>
        <w:t>une demande d</w:t>
      </w:r>
      <w:r w:rsidRPr="0043317B" w:rsidR="0043317B">
        <w:rPr>
          <w:lang w:val="fr-FR"/>
        </w:rPr>
        <w:t>’</w:t>
      </w:r>
      <w:r w:rsidRPr="0043317B">
        <w:rPr>
          <w:lang w:val="fr-FR"/>
        </w:rPr>
        <w:t>annulation de la décision du FADE du 24 décembre 2003, ainsi que de la lettre d</w:t>
      </w:r>
      <w:r w:rsidRPr="0043317B" w:rsidR="0043317B">
        <w:rPr>
          <w:lang w:val="fr-FR"/>
        </w:rPr>
        <w:t>’</w:t>
      </w:r>
      <w:r w:rsidRPr="0043317B">
        <w:rPr>
          <w:lang w:val="fr-FR"/>
        </w:rPr>
        <w:t>invitation à payer du 18 février 2004 et de l</w:t>
      </w:r>
      <w:r w:rsidRPr="0043317B" w:rsidR="0043317B">
        <w:rPr>
          <w:lang w:val="fr-FR"/>
        </w:rPr>
        <w:t>’</w:t>
      </w:r>
      <w:r w:rsidRPr="0043317B">
        <w:rPr>
          <w:lang w:val="fr-FR"/>
        </w:rPr>
        <w:t>ordre de paiement du 29 mars 2004.</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93</w:t>
      </w:r>
      <w:r w:rsidRPr="0043317B">
        <w:rPr>
          <w:lang w:val="fr-FR"/>
        </w:rPr>
        <w:fldChar w:fldCharType="end"/>
      </w:r>
      <w:r w:rsidRPr="0043317B">
        <w:rPr>
          <w:lang w:val="fr-FR"/>
        </w:rPr>
        <w:t>.  Le 29 novembre 2005, la 3</w:t>
      </w:r>
      <w:r w:rsidRPr="0043317B">
        <w:rPr>
          <w:vertAlign w:val="superscript"/>
          <w:lang w:val="fr-FR"/>
        </w:rPr>
        <w:t>e</w:t>
      </w:r>
      <w:r w:rsidRPr="0043317B">
        <w:rPr>
          <w:lang w:val="fr-FR"/>
        </w:rPr>
        <w:t xml:space="preserve"> chambre du tribunal administratif d</w:t>
      </w:r>
      <w:r w:rsidRPr="0043317B" w:rsidR="0043317B">
        <w:rPr>
          <w:lang w:val="fr-FR"/>
        </w:rPr>
        <w:t>’</w:t>
      </w:r>
      <w:r w:rsidRPr="0043317B">
        <w:rPr>
          <w:lang w:val="fr-FR"/>
        </w:rPr>
        <w:t>Istanbul rejeta la demande d</w:t>
      </w:r>
      <w:r w:rsidRPr="0043317B" w:rsidR="0043317B">
        <w:rPr>
          <w:lang w:val="fr-FR"/>
        </w:rPr>
        <w:t>’</w:t>
      </w:r>
      <w:r w:rsidRPr="0043317B">
        <w:rPr>
          <w:lang w:val="fr-FR"/>
        </w:rPr>
        <w:t>annulation de la décision du FADE du 24 décembre 2003 et de la lettre d</w:t>
      </w:r>
      <w:r w:rsidRPr="0043317B" w:rsidR="0043317B">
        <w:rPr>
          <w:lang w:val="fr-FR"/>
        </w:rPr>
        <w:t>’</w:t>
      </w:r>
      <w:r w:rsidRPr="0043317B">
        <w:rPr>
          <w:lang w:val="fr-FR"/>
        </w:rPr>
        <w:t>invitation à payer du 18 février 2004.</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94</w:t>
      </w:r>
      <w:r w:rsidRPr="0043317B">
        <w:rPr>
          <w:lang w:val="fr-FR"/>
        </w:rPr>
        <w:fldChar w:fldCharType="end"/>
      </w:r>
      <w:r w:rsidRPr="0043317B">
        <w:rPr>
          <w:lang w:val="fr-FR"/>
        </w:rPr>
        <w:t>.  Le 18 avril 2007, le requérant se pourvut en cassation.</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95</w:t>
      </w:r>
      <w:r w:rsidRPr="0043317B">
        <w:rPr>
          <w:lang w:val="fr-FR"/>
        </w:rPr>
        <w:fldChar w:fldCharType="end"/>
      </w:r>
      <w:r w:rsidRPr="0043317B">
        <w:rPr>
          <w:lang w:val="fr-FR"/>
        </w:rPr>
        <w:t>.  Le 29 septembre 2007, la 13</w:t>
      </w:r>
      <w:r w:rsidRPr="0043317B">
        <w:rPr>
          <w:vertAlign w:val="superscript"/>
          <w:lang w:val="fr-FR"/>
        </w:rPr>
        <w:t>e</w:t>
      </w:r>
      <w:r w:rsidRPr="0043317B">
        <w:rPr>
          <w:lang w:val="fr-FR"/>
        </w:rPr>
        <w:t xml:space="preserve"> chambre du Conseil d</w:t>
      </w:r>
      <w:r w:rsidRPr="0043317B" w:rsidR="0043317B">
        <w:rPr>
          <w:lang w:val="fr-FR"/>
        </w:rPr>
        <w:t>’</w:t>
      </w:r>
      <w:r w:rsidRPr="0043317B">
        <w:rPr>
          <w:lang w:val="fr-FR"/>
        </w:rPr>
        <w:t>État cassa le jugement attaqué.</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96</w:t>
      </w:r>
      <w:r w:rsidRPr="0043317B">
        <w:rPr>
          <w:lang w:val="fr-FR"/>
        </w:rPr>
        <w:fldChar w:fldCharType="end"/>
      </w:r>
      <w:r w:rsidRPr="0043317B">
        <w:rPr>
          <w:lang w:val="fr-FR"/>
        </w:rPr>
        <w:t>.  L</w:t>
      </w:r>
      <w:r w:rsidRPr="0043317B" w:rsidR="0043317B">
        <w:rPr>
          <w:lang w:val="fr-FR"/>
        </w:rPr>
        <w:t>’</w:t>
      </w:r>
      <w:r w:rsidRPr="0043317B">
        <w:rPr>
          <w:lang w:val="fr-FR"/>
        </w:rPr>
        <w:t>affaire fut renvoyée devant la 3</w:t>
      </w:r>
      <w:r w:rsidRPr="0043317B">
        <w:rPr>
          <w:vertAlign w:val="superscript"/>
          <w:lang w:val="fr-FR"/>
        </w:rPr>
        <w:t>e</w:t>
      </w:r>
      <w:r w:rsidRPr="0043317B">
        <w:rPr>
          <w:lang w:val="fr-FR"/>
        </w:rPr>
        <w:t xml:space="preserve"> chambre du tribunal administratif d</w:t>
      </w:r>
      <w:r w:rsidRPr="0043317B" w:rsidR="0043317B">
        <w:rPr>
          <w:lang w:val="fr-FR"/>
        </w:rPr>
        <w:t>’</w:t>
      </w:r>
      <w:r w:rsidRPr="0043317B">
        <w:rPr>
          <w:lang w:val="fr-FR"/>
        </w:rPr>
        <w:t>Istanbul, qui, le 3 octobre 2007, rejeta à nouveau la demande du requérant.</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97</w:t>
      </w:r>
      <w:r w:rsidRPr="0043317B">
        <w:rPr>
          <w:lang w:val="fr-FR"/>
        </w:rPr>
        <w:fldChar w:fldCharType="end"/>
      </w:r>
      <w:r w:rsidRPr="0043317B">
        <w:rPr>
          <w:lang w:val="fr-FR"/>
        </w:rPr>
        <w:t>.  Le 19 mars 2008, sur pourvoi en cassation formé par le requérant à une date non précisée, la 13</w:t>
      </w:r>
      <w:r w:rsidRPr="0043317B">
        <w:rPr>
          <w:vertAlign w:val="superscript"/>
          <w:lang w:val="fr-FR"/>
        </w:rPr>
        <w:t>e</w:t>
      </w:r>
      <w:r w:rsidRPr="0043317B">
        <w:rPr>
          <w:lang w:val="fr-FR"/>
        </w:rPr>
        <w:t xml:space="preserve"> chambre du Conseil d</w:t>
      </w:r>
      <w:r w:rsidRPr="0043317B" w:rsidR="0043317B">
        <w:rPr>
          <w:lang w:val="fr-FR"/>
        </w:rPr>
        <w:t>’</w:t>
      </w:r>
      <w:r w:rsidRPr="0043317B">
        <w:rPr>
          <w:lang w:val="fr-FR"/>
        </w:rPr>
        <w:t>État ordonna le sursis à exécution de la lettre d</w:t>
      </w:r>
      <w:r w:rsidRPr="0043317B" w:rsidR="0043317B">
        <w:rPr>
          <w:lang w:val="fr-FR"/>
        </w:rPr>
        <w:t>’</w:t>
      </w:r>
      <w:r w:rsidRPr="0043317B">
        <w:rPr>
          <w:lang w:val="fr-FR"/>
        </w:rPr>
        <w:t>invitation à payer du 18 février 2004.</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98</w:t>
      </w:r>
      <w:r w:rsidRPr="0043317B">
        <w:rPr>
          <w:lang w:val="fr-FR"/>
        </w:rPr>
        <w:fldChar w:fldCharType="end"/>
      </w:r>
      <w:r w:rsidRPr="0043317B">
        <w:rPr>
          <w:lang w:val="fr-FR"/>
        </w:rPr>
        <w:t>.  Le 24 septembre 2009, le Conseil d</w:t>
      </w:r>
      <w:r w:rsidRPr="0043317B" w:rsidR="0043317B">
        <w:rPr>
          <w:lang w:val="fr-FR"/>
        </w:rPr>
        <w:t>’</w:t>
      </w:r>
      <w:r w:rsidRPr="0043317B">
        <w:rPr>
          <w:lang w:val="fr-FR"/>
        </w:rPr>
        <w:t>État confirma le jugement de la 3</w:t>
      </w:r>
      <w:r w:rsidRPr="0043317B">
        <w:rPr>
          <w:vertAlign w:val="superscript"/>
          <w:lang w:val="fr-FR"/>
        </w:rPr>
        <w:t>e</w:t>
      </w:r>
      <w:r w:rsidRPr="0043317B">
        <w:rPr>
          <w:lang w:val="fr-FR"/>
        </w:rPr>
        <w:t> chambre du tribunal administratif d</w:t>
      </w:r>
      <w:r w:rsidRPr="0043317B" w:rsidR="0043317B">
        <w:rPr>
          <w:lang w:val="fr-FR"/>
        </w:rPr>
        <w:t>’</w:t>
      </w:r>
      <w:r w:rsidRPr="0043317B">
        <w:rPr>
          <w:lang w:val="fr-FR"/>
        </w:rPr>
        <w:t>Istanbul en sa partie concernant la décision du FADE du 24 décembre 2003. La haute juridiction cassa, en revanche, la partie du jugement concernant la lettre d</w:t>
      </w:r>
      <w:r w:rsidRPr="0043317B" w:rsidR="0043317B">
        <w:rPr>
          <w:lang w:val="fr-FR"/>
        </w:rPr>
        <w:t>’</w:t>
      </w:r>
      <w:r w:rsidRPr="0043317B">
        <w:rPr>
          <w:lang w:val="fr-FR"/>
        </w:rPr>
        <w:t>invitation à payer du 18</w:t>
      </w:r>
      <w:r w:rsidRPr="0043317B" w:rsidR="003C4A77">
        <w:rPr>
          <w:lang w:val="fr-FR"/>
        </w:rPr>
        <w:t> </w:t>
      </w:r>
      <w:r w:rsidRPr="0043317B">
        <w:rPr>
          <w:lang w:val="fr-FR"/>
        </w:rPr>
        <w:t>février 2004. À ses yeux, il était en effet illégal de considérer le requérant comme responsable de l</w:t>
      </w:r>
      <w:r w:rsidRPr="0043317B" w:rsidR="0043317B">
        <w:rPr>
          <w:lang w:val="fr-FR"/>
        </w:rPr>
        <w:t>’</w:t>
      </w:r>
      <w:r w:rsidRPr="0043317B">
        <w:rPr>
          <w:lang w:val="fr-FR"/>
        </w:rPr>
        <w:t>ensemble des créances publiques en raison du seul fait qu</w:t>
      </w:r>
      <w:r w:rsidRPr="0043317B" w:rsidR="0043317B">
        <w:rPr>
          <w:lang w:val="fr-FR"/>
        </w:rPr>
        <w:t>’</w:t>
      </w:r>
      <w:r w:rsidRPr="0043317B">
        <w:rPr>
          <w:lang w:val="fr-FR"/>
        </w:rPr>
        <w:t>il était l</w:t>
      </w:r>
      <w:r w:rsidRPr="0043317B" w:rsidR="0043317B">
        <w:rPr>
          <w:lang w:val="fr-FR"/>
        </w:rPr>
        <w:t>’</w:t>
      </w:r>
      <w:r w:rsidRPr="0043317B">
        <w:rPr>
          <w:lang w:val="fr-FR"/>
        </w:rPr>
        <w:t>enfant d</w:t>
      </w:r>
      <w:r w:rsidRPr="0043317B" w:rsidR="0043317B">
        <w:rPr>
          <w:lang w:val="fr-FR"/>
        </w:rPr>
        <w:t>’</w:t>
      </w:r>
      <w:r w:rsidRPr="0043317B">
        <w:rPr>
          <w:lang w:val="fr-FR"/>
        </w:rPr>
        <w:t>un associé majoritaire, sans déterminer comment et dans quelle mesure les ressources de la banque avaient pu lui être transférées.</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99</w:t>
      </w:r>
      <w:r w:rsidRPr="0043317B">
        <w:rPr>
          <w:lang w:val="fr-FR"/>
        </w:rPr>
        <w:fldChar w:fldCharType="end"/>
      </w:r>
      <w:r w:rsidRPr="0043317B">
        <w:rPr>
          <w:lang w:val="fr-FR"/>
        </w:rPr>
        <w:t>.  Le 20 janvier 2010, la 3</w:t>
      </w:r>
      <w:r w:rsidRPr="0043317B">
        <w:rPr>
          <w:vertAlign w:val="superscript"/>
          <w:lang w:val="fr-FR"/>
        </w:rPr>
        <w:t>e</w:t>
      </w:r>
      <w:r w:rsidRPr="0043317B">
        <w:rPr>
          <w:lang w:val="fr-FR"/>
        </w:rPr>
        <w:t xml:space="preserve"> chambre du tribunal administratif d</w:t>
      </w:r>
      <w:r w:rsidRPr="0043317B" w:rsidR="0043317B">
        <w:rPr>
          <w:lang w:val="fr-FR"/>
        </w:rPr>
        <w:t>’</w:t>
      </w:r>
      <w:r w:rsidRPr="0043317B">
        <w:rPr>
          <w:lang w:val="fr-FR"/>
        </w:rPr>
        <w:t>Istanbul se conforma à l</w:t>
      </w:r>
      <w:r w:rsidRPr="0043317B" w:rsidR="0043317B">
        <w:rPr>
          <w:lang w:val="fr-FR"/>
        </w:rPr>
        <w:t>’</w:t>
      </w:r>
      <w:r w:rsidRPr="0043317B">
        <w:rPr>
          <w:lang w:val="fr-FR"/>
        </w:rPr>
        <w:t>arrêt du Conseil d</w:t>
      </w:r>
      <w:r w:rsidRPr="0043317B" w:rsidR="0043317B">
        <w:rPr>
          <w:lang w:val="fr-FR"/>
        </w:rPr>
        <w:t>’</w:t>
      </w:r>
      <w:r w:rsidRPr="0043317B">
        <w:rPr>
          <w:lang w:val="fr-FR"/>
        </w:rPr>
        <w:t>État et annula la lettre d</w:t>
      </w:r>
      <w:r w:rsidRPr="0043317B" w:rsidR="0043317B">
        <w:rPr>
          <w:lang w:val="fr-FR"/>
        </w:rPr>
        <w:t>’</w:t>
      </w:r>
      <w:r w:rsidRPr="0043317B">
        <w:rPr>
          <w:lang w:val="fr-FR"/>
        </w:rPr>
        <w:t>invitation à payer du 18 février 2004.</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100</w:t>
      </w:r>
      <w:r w:rsidRPr="0043317B">
        <w:rPr>
          <w:lang w:val="fr-FR"/>
        </w:rPr>
        <w:fldChar w:fldCharType="end"/>
      </w:r>
      <w:r w:rsidRPr="0043317B">
        <w:rPr>
          <w:lang w:val="fr-FR"/>
        </w:rPr>
        <w:t>.  Le 25 mai 2010, la 13</w:t>
      </w:r>
      <w:r w:rsidRPr="0043317B">
        <w:rPr>
          <w:vertAlign w:val="superscript"/>
          <w:lang w:val="fr-FR"/>
        </w:rPr>
        <w:t>e</w:t>
      </w:r>
      <w:r w:rsidRPr="0043317B">
        <w:rPr>
          <w:lang w:val="fr-FR"/>
        </w:rPr>
        <w:t xml:space="preserve"> chambre du Conseil d</w:t>
      </w:r>
      <w:r w:rsidRPr="0043317B" w:rsidR="0043317B">
        <w:rPr>
          <w:lang w:val="fr-FR"/>
        </w:rPr>
        <w:t>’</w:t>
      </w:r>
      <w:r w:rsidRPr="0043317B">
        <w:rPr>
          <w:lang w:val="fr-FR"/>
        </w:rPr>
        <w:t>État rejeta la demande du FADE de suspendre l</w:t>
      </w:r>
      <w:r w:rsidRPr="0043317B" w:rsidR="0043317B">
        <w:rPr>
          <w:lang w:val="fr-FR"/>
        </w:rPr>
        <w:t>’</w:t>
      </w:r>
      <w:r w:rsidRPr="0043317B">
        <w:rPr>
          <w:lang w:val="fr-FR"/>
        </w:rPr>
        <w:t>exécution du jugement du 20</w:t>
      </w:r>
      <w:r w:rsidRPr="0043317B" w:rsidR="003C4A77">
        <w:rPr>
          <w:lang w:val="fr-FR"/>
        </w:rPr>
        <w:t> </w:t>
      </w:r>
      <w:r w:rsidRPr="0043317B">
        <w:rPr>
          <w:lang w:val="fr-FR"/>
        </w:rPr>
        <w:t>janvier 2010.</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101</w:t>
      </w:r>
      <w:r w:rsidRPr="0043317B">
        <w:rPr>
          <w:lang w:val="fr-FR"/>
        </w:rPr>
        <w:fldChar w:fldCharType="end"/>
      </w:r>
      <w:r w:rsidRPr="0043317B">
        <w:rPr>
          <w:lang w:val="fr-FR"/>
        </w:rPr>
        <w:t>.  Entre-temps, le 29 novembre 2005, la 3</w:t>
      </w:r>
      <w:r w:rsidRPr="0043317B">
        <w:rPr>
          <w:vertAlign w:val="superscript"/>
          <w:lang w:val="fr-FR"/>
        </w:rPr>
        <w:t>e</w:t>
      </w:r>
      <w:r w:rsidRPr="0043317B">
        <w:rPr>
          <w:lang w:val="fr-FR"/>
        </w:rPr>
        <w:t xml:space="preserve"> chambre du tribunal administratif d</w:t>
      </w:r>
      <w:r w:rsidRPr="0043317B" w:rsidR="0043317B">
        <w:rPr>
          <w:lang w:val="fr-FR"/>
        </w:rPr>
        <w:t>’</w:t>
      </w:r>
      <w:r w:rsidRPr="0043317B">
        <w:rPr>
          <w:lang w:val="fr-FR"/>
        </w:rPr>
        <w:t>Istanbul avait rejeté la demande d</w:t>
      </w:r>
      <w:r w:rsidRPr="0043317B" w:rsidR="0043317B">
        <w:rPr>
          <w:lang w:val="fr-FR"/>
        </w:rPr>
        <w:t>’</w:t>
      </w:r>
      <w:r w:rsidRPr="0043317B">
        <w:rPr>
          <w:lang w:val="fr-FR"/>
        </w:rPr>
        <w:t>annulation de l</w:t>
      </w:r>
      <w:r w:rsidRPr="0043317B" w:rsidR="0043317B">
        <w:rPr>
          <w:lang w:val="fr-FR"/>
        </w:rPr>
        <w:t>’</w:t>
      </w:r>
      <w:r w:rsidRPr="0043317B">
        <w:rPr>
          <w:lang w:val="fr-FR"/>
        </w:rPr>
        <w:t>ordre de paiement du 29 mars 2004.</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102</w:t>
      </w:r>
      <w:r w:rsidRPr="0043317B">
        <w:rPr>
          <w:lang w:val="fr-FR"/>
        </w:rPr>
        <w:fldChar w:fldCharType="end"/>
      </w:r>
      <w:r w:rsidRPr="0043317B">
        <w:rPr>
          <w:lang w:val="fr-FR"/>
        </w:rPr>
        <w:t>.  À une date non précisée, le requérant se pourvut en cassation.</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103</w:t>
      </w:r>
      <w:r w:rsidRPr="0043317B">
        <w:rPr>
          <w:lang w:val="fr-FR"/>
        </w:rPr>
        <w:fldChar w:fldCharType="end"/>
      </w:r>
      <w:r w:rsidRPr="0043317B">
        <w:rPr>
          <w:lang w:val="fr-FR"/>
        </w:rPr>
        <w:t>.  Le 1</w:t>
      </w:r>
      <w:r w:rsidRPr="0043317B">
        <w:rPr>
          <w:vertAlign w:val="superscript"/>
          <w:lang w:val="fr-FR"/>
        </w:rPr>
        <w:t>er</w:t>
      </w:r>
      <w:r w:rsidRPr="0043317B">
        <w:rPr>
          <w:lang w:val="fr-FR"/>
        </w:rPr>
        <w:t xml:space="preserve"> novembre 2006, la 13</w:t>
      </w:r>
      <w:r w:rsidRPr="0043317B">
        <w:rPr>
          <w:vertAlign w:val="superscript"/>
          <w:lang w:val="fr-FR"/>
        </w:rPr>
        <w:t>e</w:t>
      </w:r>
      <w:r w:rsidRPr="0043317B">
        <w:rPr>
          <w:lang w:val="fr-FR"/>
        </w:rPr>
        <w:t xml:space="preserve"> chambre du Conseil d</w:t>
      </w:r>
      <w:r w:rsidRPr="0043317B" w:rsidR="0043317B">
        <w:rPr>
          <w:lang w:val="fr-FR"/>
        </w:rPr>
        <w:t>’</w:t>
      </w:r>
      <w:r w:rsidRPr="0043317B">
        <w:rPr>
          <w:lang w:val="fr-FR"/>
        </w:rPr>
        <w:t>État annula le jugement du 29 novembre 2005. À l</w:t>
      </w:r>
      <w:r w:rsidRPr="0043317B" w:rsidR="0043317B">
        <w:rPr>
          <w:lang w:val="fr-FR"/>
        </w:rPr>
        <w:t>’</w:t>
      </w:r>
      <w:r w:rsidRPr="0043317B">
        <w:rPr>
          <w:lang w:val="fr-FR"/>
        </w:rPr>
        <w:t>appui de sa décision, elle reprit la même motivation que celle retenue dans l</w:t>
      </w:r>
      <w:r w:rsidRPr="0043317B" w:rsidR="0043317B">
        <w:rPr>
          <w:lang w:val="fr-FR"/>
        </w:rPr>
        <w:t>’</w:t>
      </w:r>
      <w:r w:rsidRPr="0043317B">
        <w:rPr>
          <w:lang w:val="fr-FR"/>
        </w:rPr>
        <w:t>arrêt du 24 septembre 2009, à savoir qu</w:t>
      </w:r>
      <w:r w:rsidRPr="0043317B" w:rsidR="0043317B">
        <w:rPr>
          <w:lang w:val="fr-FR"/>
        </w:rPr>
        <w:t>’</w:t>
      </w:r>
      <w:r w:rsidRPr="0043317B">
        <w:rPr>
          <w:lang w:val="fr-FR"/>
        </w:rPr>
        <w:t>il était illégal de considérer le requérant comme responsable solidaire de l</w:t>
      </w:r>
      <w:r w:rsidRPr="0043317B" w:rsidR="0043317B">
        <w:rPr>
          <w:lang w:val="fr-FR"/>
        </w:rPr>
        <w:t>’</w:t>
      </w:r>
      <w:r w:rsidRPr="0043317B">
        <w:rPr>
          <w:lang w:val="fr-FR"/>
        </w:rPr>
        <w:t>ensemble des créances publiques en raison du seul fait qu</w:t>
      </w:r>
      <w:r w:rsidRPr="0043317B" w:rsidR="0043317B">
        <w:rPr>
          <w:lang w:val="fr-FR"/>
        </w:rPr>
        <w:t>’</w:t>
      </w:r>
      <w:r w:rsidRPr="0043317B">
        <w:rPr>
          <w:lang w:val="fr-FR"/>
        </w:rPr>
        <w:t>il était l</w:t>
      </w:r>
      <w:r w:rsidRPr="0043317B" w:rsidR="0043317B">
        <w:rPr>
          <w:lang w:val="fr-FR"/>
        </w:rPr>
        <w:t>’</w:t>
      </w:r>
      <w:r w:rsidRPr="0043317B">
        <w:rPr>
          <w:lang w:val="fr-FR"/>
        </w:rPr>
        <w:t>enfant d</w:t>
      </w:r>
      <w:r w:rsidRPr="0043317B" w:rsidR="0043317B">
        <w:rPr>
          <w:lang w:val="fr-FR"/>
        </w:rPr>
        <w:t>’</w:t>
      </w:r>
      <w:r w:rsidRPr="0043317B">
        <w:rPr>
          <w:lang w:val="fr-FR"/>
        </w:rPr>
        <w:t>un associé majoritaire, sans déterminer comment et dans quelle mesure les ressources de la banque avaient pu lui être transférées.</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104</w:t>
      </w:r>
      <w:r w:rsidRPr="0043317B">
        <w:rPr>
          <w:lang w:val="fr-FR"/>
        </w:rPr>
        <w:fldChar w:fldCharType="end"/>
      </w:r>
      <w:r w:rsidRPr="0043317B">
        <w:rPr>
          <w:lang w:val="fr-FR"/>
        </w:rPr>
        <w:t>.  Le 15 mai 2007, la 3</w:t>
      </w:r>
      <w:r w:rsidRPr="0043317B">
        <w:rPr>
          <w:vertAlign w:val="superscript"/>
          <w:lang w:val="fr-FR"/>
        </w:rPr>
        <w:t>e</w:t>
      </w:r>
      <w:r w:rsidRPr="0043317B">
        <w:rPr>
          <w:lang w:val="fr-FR"/>
        </w:rPr>
        <w:t xml:space="preserve"> chambre du tribunal administratif d</w:t>
      </w:r>
      <w:r w:rsidRPr="0043317B" w:rsidR="0043317B">
        <w:rPr>
          <w:lang w:val="fr-FR"/>
        </w:rPr>
        <w:t>’</w:t>
      </w:r>
      <w:r w:rsidRPr="0043317B">
        <w:rPr>
          <w:lang w:val="fr-FR"/>
        </w:rPr>
        <w:t>Istanbul se conforma à l</w:t>
      </w:r>
      <w:r w:rsidRPr="0043317B" w:rsidR="0043317B">
        <w:rPr>
          <w:lang w:val="fr-FR"/>
        </w:rPr>
        <w:t>’</w:t>
      </w:r>
      <w:r w:rsidRPr="0043317B">
        <w:rPr>
          <w:lang w:val="fr-FR"/>
        </w:rPr>
        <w:t>arrêt du Conseil d</w:t>
      </w:r>
      <w:r w:rsidRPr="0043317B" w:rsidR="0043317B">
        <w:rPr>
          <w:lang w:val="fr-FR"/>
        </w:rPr>
        <w:t>’</w:t>
      </w:r>
      <w:r w:rsidRPr="0043317B">
        <w:rPr>
          <w:lang w:val="fr-FR"/>
        </w:rPr>
        <w:t>État et annula l</w:t>
      </w:r>
      <w:r w:rsidRPr="0043317B" w:rsidR="0043317B">
        <w:rPr>
          <w:lang w:val="fr-FR"/>
        </w:rPr>
        <w:t>’</w:t>
      </w:r>
      <w:r w:rsidRPr="0043317B">
        <w:rPr>
          <w:lang w:val="fr-FR"/>
        </w:rPr>
        <w:t>ordre de paiement du 29 mars 2004.</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105</w:t>
      </w:r>
      <w:r w:rsidRPr="0043317B">
        <w:rPr>
          <w:lang w:val="fr-FR"/>
        </w:rPr>
        <w:fldChar w:fldCharType="end"/>
      </w:r>
      <w:r w:rsidRPr="0043317B">
        <w:rPr>
          <w:lang w:val="fr-FR"/>
        </w:rPr>
        <w:t>.  À une date non précisée, le FADE se pourvut en cassation contre le jugement du 15 mai 2007. Il demanda en outre le sursis à exécution de ce jugement.</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106</w:t>
      </w:r>
      <w:r w:rsidRPr="0043317B">
        <w:rPr>
          <w:lang w:val="fr-FR"/>
        </w:rPr>
        <w:fldChar w:fldCharType="end"/>
      </w:r>
      <w:r w:rsidRPr="0043317B">
        <w:rPr>
          <w:lang w:val="fr-FR"/>
        </w:rPr>
        <w:t>.  Le 15 octobre 2007, la 13</w:t>
      </w:r>
      <w:r w:rsidRPr="0043317B">
        <w:rPr>
          <w:vertAlign w:val="superscript"/>
          <w:lang w:val="fr-FR"/>
        </w:rPr>
        <w:t>e</w:t>
      </w:r>
      <w:r w:rsidRPr="0043317B">
        <w:rPr>
          <w:lang w:val="fr-FR"/>
        </w:rPr>
        <w:t xml:space="preserve"> chambre du Conseil d</w:t>
      </w:r>
      <w:r w:rsidRPr="0043317B" w:rsidR="0043317B">
        <w:rPr>
          <w:lang w:val="fr-FR"/>
        </w:rPr>
        <w:t>’</w:t>
      </w:r>
      <w:r w:rsidRPr="0043317B">
        <w:rPr>
          <w:lang w:val="fr-FR"/>
        </w:rPr>
        <w:t>État rejeta la demande de sursis à exécution du jugement.</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107</w:t>
      </w:r>
      <w:r w:rsidRPr="0043317B">
        <w:rPr>
          <w:lang w:val="fr-FR"/>
        </w:rPr>
        <w:fldChar w:fldCharType="end"/>
      </w:r>
      <w:r w:rsidRPr="0043317B">
        <w:rPr>
          <w:lang w:val="fr-FR"/>
        </w:rPr>
        <w:t>.  Le 3 février 2010, le Conseil d</w:t>
      </w:r>
      <w:r w:rsidRPr="0043317B" w:rsidR="0043317B">
        <w:rPr>
          <w:lang w:val="fr-FR"/>
        </w:rPr>
        <w:t>’</w:t>
      </w:r>
      <w:r w:rsidRPr="0043317B">
        <w:rPr>
          <w:lang w:val="fr-FR"/>
        </w:rPr>
        <w:t>État confirma ledit jugement.</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108</w:t>
      </w:r>
      <w:r w:rsidRPr="0043317B">
        <w:rPr>
          <w:lang w:val="fr-FR"/>
        </w:rPr>
        <w:fldChar w:fldCharType="end"/>
      </w:r>
      <w:r w:rsidRPr="0043317B">
        <w:rPr>
          <w:lang w:val="fr-FR"/>
        </w:rPr>
        <w:t>.  Le 14 octobre 2010, la 13</w:t>
      </w:r>
      <w:r w:rsidRPr="0043317B">
        <w:rPr>
          <w:vertAlign w:val="superscript"/>
          <w:lang w:val="fr-FR"/>
        </w:rPr>
        <w:t>e</w:t>
      </w:r>
      <w:r w:rsidRPr="0043317B">
        <w:rPr>
          <w:lang w:val="fr-FR"/>
        </w:rPr>
        <w:t xml:space="preserve"> chambre du Conseil d</w:t>
      </w:r>
      <w:r w:rsidRPr="0043317B" w:rsidR="0043317B">
        <w:rPr>
          <w:lang w:val="fr-FR"/>
        </w:rPr>
        <w:t>’</w:t>
      </w:r>
      <w:r w:rsidRPr="0043317B">
        <w:rPr>
          <w:lang w:val="fr-FR"/>
        </w:rPr>
        <w:t>État rejeta la demande en rectification faite par le FADE, ainsi que la demande de sursis à exécution également introduite par cette entité.</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109</w:t>
      </w:r>
      <w:r w:rsidRPr="0043317B">
        <w:rPr>
          <w:lang w:val="fr-FR"/>
        </w:rPr>
        <w:fldChar w:fldCharType="end"/>
      </w:r>
      <w:r w:rsidRPr="0043317B">
        <w:rPr>
          <w:lang w:val="fr-FR"/>
        </w:rPr>
        <w:t>.  Selon les informations fournies par le Gouvernement, aucune saisie n</w:t>
      </w:r>
      <w:r w:rsidRPr="0043317B" w:rsidR="0043317B">
        <w:rPr>
          <w:lang w:val="fr-FR"/>
        </w:rPr>
        <w:t>’</w:t>
      </w:r>
      <w:r w:rsidRPr="0043317B">
        <w:rPr>
          <w:lang w:val="fr-FR"/>
        </w:rPr>
        <w:t>a été effectuée sur les biens des requérants Jasmin Paris Uzan et Renç Emre</w:t>
      </w:r>
      <w:r w:rsidRPr="0043317B" w:rsidR="003C4A77">
        <w:rPr>
          <w:lang w:val="fr-FR"/>
        </w:rPr>
        <w:t> </w:t>
      </w:r>
      <w:r w:rsidRPr="0043317B">
        <w:rPr>
          <w:lang w:val="fr-FR"/>
        </w:rPr>
        <w:t>Uzan dans le cadre des procédures judiciaires engagées en application de la loi n</w:t>
      </w:r>
      <w:r w:rsidRPr="0043317B">
        <w:rPr>
          <w:vertAlign w:val="superscript"/>
          <w:lang w:val="fr-FR"/>
        </w:rPr>
        <w:t>o</w:t>
      </w:r>
      <w:r w:rsidRPr="0043317B">
        <w:rPr>
          <w:lang w:val="fr-FR"/>
        </w:rPr>
        <w:t xml:space="preserve"> 6183, et, en outre, le 10 août 2006, l</w:t>
      </w:r>
      <w:r w:rsidRPr="0043317B" w:rsidR="0043317B">
        <w:rPr>
          <w:lang w:val="fr-FR"/>
        </w:rPr>
        <w:t>’</w:t>
      </w:r>
      <w:r w:rsidRPr="0043317B">
        <w:rPr>
          <w:lang w:val="fr-FR"/>
        </w:rPr>
        <w:t>interdiction de quitter le pays imposée à ces deux requérants a été levée.</w:t>
      </w:r>
    </w:p>
    <w:p w:rsidRPr="0043317B" w:rsidR="000A45C0" w:rsidP="0043317B" w:rsidRDefault="000A45C0">
      <w:pPr>
        <w:pStyle w:val="ECHRHeading3"/>
        <w:rPr>
          <w:lang w:val="fr-FR"/>
        </w:rPr>
      </w:pPr>
      <w:r w:rsidRPr="0043317B">
        <w:rPr>
          <w:lang w:val="fr-FR"/>
        </w:rPr>
        <w:t>2.  M</w:t>
      </w:r>
      <w:r w:rsidRPr="0043317B">
        <w:rPr>
          <w:vertAlign w:val="superscript"/>
          <w:lang w:val="fr-FR"/>
        </w:rPr>
        <w:t>me</w:t>
      </w:r>
      <w:r w:rsidRPr="0043317B" w:rsidR="00F707C8">
        <w:rPr>
          <w:lang w:val="fr-FR"/>
        </w:rPr>
        <w:t> </w:t>
      </w:r>
      <w:r w:rsidRPr="0043317B">
        <w:rPr>
          <w:lang w:val="fr-FR"/>
        </w:rPr>
        <w:t>Ayla</w:t>
      </w:r>
      <w:r w:rsidRPr="0043317B" w:rsidR="00F707C8">
        <w:rPr>
          <w:lang w:val="fr-FR"/>
        </w:rPr>
        <w:t> </w:t>
      </w:r>
      <w:r w:rsidRPr="0043317B">
        <w:rPr>
          <w:lang w:val="fr-FR"/>
        </w:rPr>
        <w:t>Uzan</w:t>
      </w:r>
      <w:r w:rsidRPr="0043317B" w:rsidR="00F707C8">
        <w:rPr>
          <w:lang w:val="fr-FR"/>
        </w:rPr>
        <w:t> </w:t>
      </w:r>
      <w:r w:rsidRPr="0043317B">
        <w:rPr>
          <w:lang w:val="fr-FR"/>
        </w:rPr>
        <w:t>Ashaboğlu</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110</w:t>
      </w:r>
      <w:r w:rsidRPr="0043317B">
        <w:rPr>
          <w:lang w:val="fr-FR"/>
        </w:rPr>
        <w:fldChar w:fldCharType="end"/>
      </w:r>
      <w:r w:rsidRPr="0043317B">
        <w:rPr>
          <w:lang w:val="fr-FR"/>
        </w:rPr>
        <w:t>.  Le 27 janvier 2004 et le 29 mars 2004, en application de l</w:t>
      </w:r>
      <w:r w:rsidRPr="0043317B" w:rsidR="0043317B">
        <w:rPr>
          <w:lang w:val="fr-FR"/>
        </w:rPr>
        <w:t>’</w:t>
      </w:r>
      <w:r w:rsidRPr="0043317B">
        <w:rPr>
          <w:lang w:val="fr-FR"/>
        </w:rPr>
        <w:t>article 14 § 3 de la loi n</w:t>
      </w:r>
      <w:r w:rsidRPr="0043317B">
        <w:rPr>
          <w:vertAlign w:val="superscript"/>
          <w:lang w:val="fr-FR"/>
        </w:rPr>
        <w:t>o</w:t>
      </w:r>
      <w:r w:rsidRPr="0043317B">
        <w:rPr>
          <w:lang w:val="fr-FR"/>
        </w:rPr>
        <w:t xml:space="preserve"> 4389 et des dispositions de la loi n</w:t>
      </w:r>
      <w:r w:rsidRPr="0043317B">
        <w:rPr>
          <w:vertAlign w:val="superscript"/>
          <w:lang w:val="fr-FR"/>
        </w:rPr>
        <w:t>o</w:t>
      </w:r>
      <w:r w:rsidRPr="0043317B">
        <w:rPr>
          <w:lang w:val="fr-FR"/>
        </w:rPr>
        <w:t xml:space="preserve"> 6183, le FADE envoya à la requérante Ayla Uzan-Ashaboğlu, respectivement, une lettre d</w:t>
      </w:r>
      <w:r w:rsidRPr="0043317B" w:rsidR="0043317B">
        <w:rPr>
          <w:lang w:val="fr-FR"/>
        </w:rPr>
        <w:t>’</w:t>
      </w:r>
      <w:r w:rsidRPr="0043317B">
        <w:rPr>
          <w:lang w:val="fr-FR"/>
        </w:rPr>
        <w:t>invitation à payer et un ordre de paiement en vue du recouvrement des créances détenues par le Trésor public sur İmarbank. Le montant total du paiement dont ladite requérante était tenue solidairement responsable s</w:t>
      </w:r>
      <w:r w:rsidRPr="0043317B" w:rsidR="0043317B">
        <w:rPr>
          <w:lang w:val="fr-FR"/>
        </w:rPr>
        <w:t>’</w:t>
      </w:r>
      <w:r w:rsidRPr="0043317B">
        <w:rPr>
          <w:lang w:val="fr-FR"/>
        </w:rPr>
        <w:t>élevait à 7 552</w:t>
      </w:r>
      <w:r w:rsidRPr="0043317B" w:rsidR="003C4A77">
        <w:rPr>
          <w:lang w:val="fr-FR"/>
        </w:rPr>
        <w:t> </w:t>
      </w:r>
      <w:r w:rsidRPr="0043317B">
        <w:rPr>
          <w:lang w:val="fr-FR"/>
        </w:rPr>
        <w:t>995</w:t>
      </w:r>
      <w:r w:rsidRPr="0043317B" w:rsidR="003C4A77">
        <w:rPr>
          <w:lang w:val="fr-FR"/>
        </w:rPr>
        <w:t> </w:t>
      </w:r>
      <w:r w:rsidRPr="0043317B">
        <w:rPr>
          <w:lang w:val="fr-FR"/>
        </w:rPr>
        <w:t>710,63 TRL (soit environ 4 600</w:t>
      </w:r>
      <w:r w:rsidRPr="0043317B" w:rsidR="003C4A77">
        <w:rPr>
          <w:lang w:val="fr-FR"/>
        </w:rPr>
        <w:t> </w:t>
      </w:r>
      <w:r w:rsidRPr="0043317B">
        <w:rPr>
          <w:lang w:val="fr-FR"/>
        </w:rPr>
        <w:t>374</w:t>
      </w:r>
      <w:r w:rsidRPr="0043317B" w:rsidR="003C4A77">
        <w:rPr>
          <w:lang w:val="fr-FR"/>
        </w:rPr>
        <w:t> </w:t>
      </w:r>
      <w:r w:rsidRPr="0043317B">
        <w:rPr>
          <w:lang w:val="fr-FR"/>
        </w:rPr>
        <w:t>000 EUR à l</w:t>
      </w:r>
      <w:r w:rsidRPr="0043317B" w:rsidR="0043317B">
        <w:rPr>
          <w:lang w:val="fr-FR"/>
        </w:rPr>
        <w:t>’</w:t>
      </w:r>
      <w:r w:rsidRPr="0043317B">
        <w:rPr>
          <w:lang w:val="fr-FR"/>
        </w:rPr>
        <w:t>époque des faits).</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111</w:t>
      </w:r>
      <w:r w:rsidRPr="0043317B">
        <w:rPr>
          <w:lang w:val="fr-FR"/>
        </w:rPr>
        <w:fldChar w:fldCharType="end"/>
      </w:r>
      <w:r w:rsidRPr="0043317B">
        <w:rPr>
          <w:lang w:val="fr-FR"/>
        </w:rPr>
        <w:t>.  À une date non précisée, l</w:t>
      </w:r>
      <w:r w:rsidRPr="0043317B" w:rsidR="0043317B">
        <w:rPr>
          <w:lang w:val="fr-FR"/>
        </w:rPr>
        <w:t>’</w:t>
      </w:r>
      <w:r w:rsidRPr="0043317B">
        <w:rPr>
          <w:lang w:val="fr-FR"/>
        </w:rPr>
        <w:t>intéressée saisit le tribunal administratif d</w:t>
      </w:r>
      <w:r w:rsidRPr="0043317B" w:rsidR="0043317B">
        <w:rPr>
          <w:lang w:val="fr-FR"/>
        </w:rPr>
        <w:t>’</w:t>
      </w:r>
      <w:r w:rsidRPr="0043317B">
        <w:rPr>
          <w:lang w:val="fr-FR"/>
        </w:rPr>
        <w:t>Istanbul d</w:t>
      </w:r>
      <w:r w:rsidRPr="0043317B" w:rsidR="0043317B">
        <w:rPr>
          <w:lang w:val="fr-FR"/>
        </w:rPr>
        <w:t>’</w:t>
      </w:r>
      <w:r w:rsidRPr="0043317B">
        <w:rPr>
          <w:lang w:val="fr-FR"/>
        </w:rPr>
        <w:t>une demande d</w:t>
      </w:r>
      <w:r w:rsidRPr="0043317B" w:rsidR="0043317B">
        <w:rPr>
          <w:lang w:val="fr-FR"/>
        </w:rPr>
        <w:t>’</w:t>
      </w:r>
      <w:r w:rsidRPr="0043317B">
        <w:rPr>
          <w:lang w:val="fr-FR"/>
        </w:rPr>
        <w:t>annulation de la décision du FADE du 24 décembre 2003, ainsi que de la lettre d</w:t>
      </w:r>
      <w:r w:rsidRPr="0043317B" w:rsidR="0043317B">
        <w:rPr>
          <w:lang w:val="fr-FR"/>
        </w:rPr>
        <w:t>’</w:t>
      </w:r>
      <w:r w:rsidRPr="0043317B">
        <w:rPr>
          <w:lang w:val="fr-FR"/>
        </w:rPr>
        <w:t>invitation à payer du 27</w:t>
      </w:r>
      <w:r w:rsidRPr="0043317B" w:rsidR="003C4A77">
        <w:rPr>
          <w:lang w:val="fr-FR"/>
        </w:rPr>
        <w:t> </w:t>
      </w:r>
      <w:r w:rsidRPr="0043317B">
        <w:rPr>
          <w:lang w:val="fr-FR"/>
        </w:rPr>
        <w:t>janvier 2004 et de l</w:t>
      </w:r>
      <w:r w:rsidRPr="0043317B" w:rsidR="0043317B">
        <w:rPr>
          <w:lang w:val="fr-FR"/>
        </w:rPr>
        <w:t>’</w:t>
      </w:r>
      <w:r w:rsidRPr="0043317B">
        <w:rPr>
          <w:lang w:val="fr-FR"/>
        </w:rPr>
        <w:t>ordre de paiement du 29 mars 2004.</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112</w:t>
      </w:r>
      <w:r w:rsidRPr="0043317B">
        <w:rPr>
          <w:lang w:val="fr-FR"/>
        </w:rPr>
        <w:fldChar w:fldCharType="end"/>
      </w:r>
      <w:r w:rsidRPr="0043317B">
        <w:rPr>
          <w:lang w:val="fr-FR"/>
        </w:rPr>
        <w:t>.  Les 4 avril, 5 avril et 1</w:t>
      </w:r>
      <w:r w:rsidRPr="0043317B">
        <w:rPr>
          <w:vertAlign w:val="superscript"/>
          <w:lang w:val="fr-FR"/>
        </w:rPr>
        <w:t>er</w:t>
      </w:r>
      <w:r w:rsidRPr="0043317B">
        <w:rPr>
          <w:lang w:val="fr-FR"/>
        </w:rPr>
        <w:t xml:space="preserve"> juin 2005, le tribunal administratif rejeta les demandes de sursis à exécution faites par le FADE.</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113</w:t>
      </w:r>
      <w:r w:rsidRPr="0043317B">
        <w:rPr>
          <w:lang w:val="fr-FR"/>
        </w:rPr>
        <w:fldChar w:fldCharType="end"/>
      </w:r>
      <w:r w:rsidRPr="0043317B">
        <w:rPr>
          <w:lang w:val="fr-FR"/>
        </w:rPr>
        <w:t>.  Le 21 juillet 2006, la 2</w:t>
      </w:r>
      <w:r w:rsidRPr="0043317B">
        <w:rPr>
          <w:vertAlign w:val="superscript"/>
          <w:lang w:val="fr-FR"/>
        </w:rPr>
        <w:t>e</w:t>
      </w:r>
      <w:r w:rsidRPr="0043317B">
        <w:rPr>
          <w:lang w:val="fr-FR"/>
        </w:rPr>
        <w:t xml:space="preserve"> chambre du tribunal administratif d</w:t>
      </w:r>
      <w:r w:rsidRPr="0043317B" w:rsidR="0043317B">
        <w:rPr>
          <w:lang w:val="fr-FR"/>
        </w:rPr>
        <w:t>’</w:t>
      </w:r>
      <w:r w:rsidRPr="0043317B">
        <w:rPr>
          <w:lang w:val="fr-FR"/>
        </w:rPr>
        <w:t>Istanbul rejeta les demandes en annulation relatives à la décision du FADE du 24 décembre 2003 et à la lettre d</w:t>
      </w:r>
      <w:r w:rsidRPr="0043317B" w:rsidR="0043317B">
        <w:rPr>
          <w:lang w:val="fr-FR"/>
        </w:rPr>
        <w:t>’</w:t>
      </w:r>
      <w:r w:rsidRPr="0043317B">
        <w:rPr>
          <w:lang w:val="fr-FR"/>
        </w:rPr>
        <w:t>invitation à payer du 27</w:t>
      </w:r>
      <w:r w:rsidRPr="0043317B" w:rsidR="003C4A77">
        <w:rPr>
          <w:lang w:val="fr-FR"/>
        </w:rPr>
        <w:t> </w:t>
      </w:r>
      <w:r w:rsidRPr="0043317B">
        <w:rPr>
          <w:lang w:val="fr-FR"/>
        </w:rPr>
        <w:t>janvier 2004.</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114</w:t>
      </w:r>
      <w:r w:rsidRPr="0043317B">
        <w:rPr>
          <w:lang w:val="fr-FR"/>
        </w:rPr>
        <w:fldChar w:fldCharType="end"/>
      </w:r>
      <w:r w:rsidRPr="0043317B">
        <w:rPr>
          <w:lang w:val="fr-FR"/>
        </w:rPr>
        <w:t>.  La requérante susmentionnée se pourvut en cassation contre ce jugement.</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115</w:t>
      </w:r>
      <w:r w:rsidRPr="0043317B">
        <w:rPr>
          <w:lang w:val="fr-FR"/>
        </w:rPr>
        <w:fldChar w:fldCharType="end"/>
      </w:r>
      <w:r w:rsidRPr="0043317B">
        <w:rPr>
          <w:lang w:val="fr-FR"/>
        </w:rPr>
        <w:t>.  Le 8 octobre 2007, la 13</w:t>
      </w:r>
      <w:r w:rsidRPr="0043317B">
        <w:rPr>
          <w:vertAlign w:val="superscript"/>
          <w:lang w:val="fr-FR"/>
        </w:rPr>
        <w:t>e</w:t>
      </w:r>
      <w:r w:rsidRPr="0043317B">
        <w:rPr>
          <w:lang w:val="fr-FR"/>
        </w:rPr>
        <w:t xml:space="preserve"> chambre du Conseil d</w:t>
      </w:r>
      <w:r w:rsidRPr="0043317B" w:rsidR="0043317B">
        <w:rPr>
          <w:lang w:val="fr-FR"/>
        </w:rPr>
        <w:t>’</w:t>
      </w:r>
      <w:r w:rsidRPr="0043317B">
        <w:rPr>
          <w:lang w:val="fr-FR"/>
        </w:rPr>
        <w:t>État confirma le jugement du 21 juillet 2006 en sa partie concernant</w:t>
      </w:r>
      <w:r w:rsidRPr="0043317B" w:rsidR="003C4A77">
        <w:rPr>
          <w:lang w:val="fr-FR"/>
        </w:rPr>
        <w:t xml:space="preserve"> la décision du FADE du 24 </w:t>
      </w:r>
      <w:r w:rsidRPr="0043317B">
        <w:rPr>
          <w:lang w:val="fr-FR"/>
        </w:rPr>
        <w:t>décembre 2003. La haute juridiction cassa, en revanche, la partie du jugement concernant la lettre d</w:t>
      </w:r>
      <w:r w:rsidRPr="0043317B" w:rsidR="0043317B">
        <w:rPr>
          <w:lang w:val="fr-FR"/>
        </w:rPr>
        <w:t>’</w:t>
      </w:r>
      <w:r w:rsidRPr="0043317B">
        <w:rPr>
          <w:lang w:val="fr-FR"/>
        </w:rPr>
        <w:t>invitation à payer du 27 janvier 2004. À ses yeux, il était en effet illégal de considérer la requérante en question comme responsable de l</w:t>
      </w:r>
      <w:r w:rsidRPr="0043317B" w:rsidR="0043317B">
        <w:rPr>
          <w:lang w:val="fr-FR"/>
        </w:rPr>
        <w:t>’</w:t>
      </w:r>
      <w:r w:rsidRPr="0043317B">
        <w:rPr>
          <w:lang w:val="fr-FR"/>
        </w:rPr>
        <w:t>ensemble des créances publiques en raison du seul fait qu</w:t>
      </w:r>
      <w:r w:rsidRPr="0043317B" w:rsidR="0043317B">
        <w:rPr>
          <w:lang w:val="fr-FR"/>
        </w:rPr>
        <w:t>’</w:t>
      </w:r>
      <w:r w:rsidRPr="0043317B">
        <w:rPr>
          <w:lang w:val="fr-FR"/>
        </w:rPr>
        <w:t>elle était l</w:t>
      </w:r>
      <w:r w:rsidRPr="0043317B" w:rsidR="0043317B">
        <w:rPr>
          <w:lang w:val="fr-FR"/>
        </w:rPr>
        <w:t>’</w:t>
      </w:r>
      <w:r w:rsidRPr="0043317B">
        <w:rPr>
          <w:lang w:val="fr-FR"/>
        </w:rPr>
        <w:t>enfant d</w:t>
      </w:r>
      <w:r w:rsidRPr="0043317B" w:rsidR="0043317B">
        <w:rPr>
          <w:lang w:val="fr-FR"/>
        </w:rPr>
        <w:t>’</w:t>
      </w:r>
      <w:r w:rsidRPr="0043317B">
        <w:rPr>
          <w:lang w:val="fr-FR"/>
        </w:rPr>
        <w:t>un associé majoritaire, sans déterminer comment et dans quelle mesure les ressources de la banque avaient pu lui être transférées.</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116</w:t>
      </w:r>
      <w:r w:rsidRPr="0043317B">
        <w:rPr>
          <w:lang w:val="fr-FR"/>
        </w:rPr>
        <w:fldChar w:fldCharType="end"/>
      </w:r>
      <w:r w:rsidRPr="0043317B">
        <w:rPr>
          <w:lang w:val="fr-FR"/>
        </w:rPr>
        <w:t>.  Le 27 mars 2008, la 2</w:t>
      </w:r>
      <w:r w:rsidRPr="0043317B">
        <w:rPr>
          <w:vertAlign w:val="superscript"/>
          <w:lang w:val="fr-FR"/>
        </w:rPr>
        <w:t>e</w:t>
      </w:r>
      <w:r w:rsidRPr="0043317B">
        <w:rPr>
          <w:lang w:val="fr-FR"/>
        </w:rPr>
        <w:t xml:space="preserve"> chambre du tribunal administratif d</w:t>
      </w:r>
      <w:r w:rsidRPr="0043317B" w:rsidR="0043317B">
        <w:rPr>
          <w:lang w:val="fr-FR"/>
        </w:rPr>
        <w:t>’</w:t>
      </w:r>
      <w:r w:rsidRPr="0043317B">
        <w:rPr>
          <w:lang w:val="fr-FR"/>
        </w:rPr>
        <w:t>Istanbul annula la lettre d</w:t>
      </w:r>
      <w:r w:rsidRPr="0043317B" w:rsidR="0043317B">
        <w:rPr>
          <w:lang w:val="fr-FR"/>
        </w:rPr>
        <w:t>’</w:t>
      </w:r>
      <w:r w:rsidRPr="0043317B">
        <w:rPr>
          <w:lang w:val="fr-FR"/>
        </w:rPr>
        <w:t>invitation à payer en se fondant sur les motifs indiqués dans l</w:t>
      </w:r>
      <w:r w:rsidRPr="0043317B" w:rsidR="0043317B">
        <w:rPr>
          <w:lang w:val="fr-FR"/>
        </w:rPr>
        <w:t>’</w:t>
      </w:r>
      <w:r w:rsidRPr="0043317B">
        <w:rPr>
          <w:lang w:val="fr-FR"/>
        </w:rPr>
        <w:t>arrêt du Conseil d</w:t>
      </w:r>
      <w:r w:rsidRPr="0043317B" w:rsidR="0043317B">
        <w:rPr>
          <w:lang w:val="fr-FR"/>
        </w:rPr>
        <w:t>’</w:t>
      </w:r>
      <w:r w:rsidRPr="0043317B">
        <w:rPr>
          <w:lang w:val="fr-FR"/>
        </w:rPr>
        <w:t>État.</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117</w:t>
      </w:r>
      <w:r w:rsidRPr="0043317B">
        <w:rPr>
          <w:lang w:val="fr-FR"/>
        </w:rPr>
        <w:fldChar w:fldCharType="end"/>
      </w:r>
      <w:r w:rsidRPr="0043317B">
        <w:rPr>
          <w:lang w:val="fr-FR"/>
        </w:rPr>
        <w:t>.  À une date non précisée, le FADE se pourvut en cassation. Le 12 mai 2010, la 13</w:t>
      </w:r>
      <w:r w:rsidRPr="0043317B">
        <w:rPr>
          <w:vertAlign w:val="superscript"/>
          <w:lang w:val="fr-FR"/>
        </w:rPr>
        <w:t>e</w:t>
      </w:r>
      <w:r w:rsidRPr="0043317B">
        <w:rPr>
          <w:lang w:val="fr-FR"/>
        </w:rPr>
        <w:t xml:space="preserve"> chambre du Conseil d</w:t>
      </w:r>
      <w:r w:rsidRPr="0043317B" w:rsidR="0043317B">
        <w:rPr>
          <w:lang w:val="fr-FR"/>
        </w:rPr>
        <w:t>’</w:t>
      </w:r>
      <w:r w:rsidRPr="0043317B">
        <w:rPr>
          <w:lang w:val="fr-FR"/>
        </w:rPr>
        <w:t>État confirma l</w:t>
      </w:r>
      <w:r w:rsidRPr="0043317B" w:rsidR="0043317B">
        <w:rPr>
          <w:lang w:val="fr-FR"/>
        </w:rPr>
        <w:t>’</w:t>
      </w:r>
      <w:r w:rsidRPr="0043317B">
        <w:rPr>
          <w:lang w:val="fr-FR"/>
        </w:rPr>
        <w:t>arrêt du tribunal administratif.</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118</w:t>
      </w:r>
      <w:r w:rsidRPr="0043317B">
        <w:rPr>
          <w:lang w:val="fr-FR"/>
        </w:rPr>
        <w:fldChar w:fldCharType="end"/>
      </w:r>
      <w:r w:rsidRPr="0043317B">
        <w:rPr>
          <w:lang w:val="fr-FR"/>
        </w:rPr>
        <w:t>.  Le 16 mai 2011, la même chambre du Conseil d</w:t>
      </w:r>
      <w:r w:rsidRPr="0043317B" w:rsidR="0043317B">
        <w:rPr>
          <w:lang w:val="fr-FR"/>
        </w:rPr>
        <w:t>’</w:t>
      </w:r>
      <w:r w:rsidRPr="0043317B">
        <w:rPr>
          <w:lang w:val="fr-FR"/>
        </w:rPr>
        <w:t>État rejeta le recours en rectification formé par le FADE.</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119</w:t>
      </w:r>
      <w:r w:rsidRPr="0043317B">
        <w:rPr>
          <w:lang w:val="fr-FR"/>
        </w:rPr>
        <w:fldChar w:fldCharType="end"/>
      </w:r>
      <w:r w:rsidRPr="0043317B">
        <w:rPr>
          <w:lang w:val="fr-FR"/>
        </w:rPr>
        <w:t>.  Dans l</w:t>
      </w:r>
      <w:r w:rsidRPr="0043317B" w:rsidR="0043317B">
        <w:rPr>
          <w:lang w:val="fr-FR"/>
        </w:rPr>
        <w:t>’</w:t>
      </w:r>
      <w:r w:rsidRPr="0043317B">
        <w:rPr>
          <w:lang w:val="fr-FR"/>
        </w:rPr>
        <w:t>intervalle, par un jugement du 30 avril 2007, la 6</w:t>
      </w:r>
      <w:r w:rsidRPr="0043317B">
        <w:rPr>
          <w:vertAlign w:val="superscript"/>
          <w:lang w:val="fr-FR"/>
        </w:rPr>
        <w:t>e</w:t>
      </w:r>
      <w:r w:rsidRPr="0043317B" w:rsidR="003C4A77">
        <w:rPr>
          <w:lang w:val="fr-FR"/>
        </w:rPr>
        <w:t> </w:t>
      </w:r>
      <w:r w:rsidRPr="0043317B">
        <w:rPr>
          <w:lang w:val="fr-FR"/>
        </w:rPr>
        <w:t>chambre du tribunal administratif d</w:t>
      </w:r>
      <w:r w:rsidRPr="0043317B" w:rsidR="0043317B">
        <w:rPr>
          <w:lang w:val="fr-FR"/>
        </w:rPr>
        <w:t>’</w:t>
      </w:r>
      <w:r w:rsidRPr="0043317B">
        <w:rPr>
          <w:lang w:val="fr-FR"/>
        </w:rPr>
        <w:t>Istanbul avait rejeté la demande d</w:t>
      </w:r>
      <w:r w:rsidRPr="0043317B" w:rsidR="0043317B">
        <w:rPr>
          <w:lang w:val="fr-FR"/>
        </w:rPr>
        <w:t>’</w:t>
      </w:r>
      <w:r w:rsidRPr="0043317B">
        <w:rPr>
          <w:lang w:val="fr-FR"/>
        </w:rPr>
        <w:t>annulation de l</w:t>
      </w:r>
      <w:r w:rsidRPr="0043317B" w:rsidR="0043317B">
        <w:rPr>
          <w:lang w:val="fr-FR"/>
        </w:rPr>
        <w:t>’</w:t>
      </w:r>
      <w:r w:rsidRPr="0043317B">
        <w:rPr>
          <w:lang w:val="fr-FR"/>
        </w:rPr>
        <w:t>ordre de paiement du 29 mars 2004.</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120</w:t>
      </w:r>
      <w:r w:rsidRPr="0043317B">
        <w:rPr>
          <w:lang w:val="fr-FR"/>
        </w:rPr>
        <w:fldChar w:fldCharType="end"/>
      </w:r>
      <w:r w:rsidRPr="0043317B">
        <w:rPr>
          <w:lang w:val="fr-FR"/>
        </w:rPr>
        <w:t>.  La requérante Ayla Uzan-Ashaboğlu se pourvut en cassation contre ce jugement.</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121</w:t>
      </w:r>
      <w:r w:rsidRPr="0043317B">
        <w:rPr>
          <w:lang w:val="fr-FR"/>
        </w:rPr>
        <w:fldChar w:fldCharType="end"/>
      </w:r>
      <w:r w:rsidRPr="0043317B">
        <w:rPr>
          <w:lang w:val="fr-FR"/>
        </w:rPr>
        <w:t>.  Le 23 novembre 2007, la 13</w:t>
      </w:r>
      <w:r w:rsidRPr="0043317B">
        <w:rPr>
          <w:vertAlign w:val="superscript"/>
          <w:lang w:val="fr-FR"/>
        </w:rPr>
        <w:t>e</w:t>
      </w:r>
      <w:r w:rsidRPr="0043317B">
        <w:rPr>
          <w:lang w:val="fr-FR"/>
        </w:rPr>
        <w:t xml:space="preserve"> chambre du Conseil d</w:t>
      </w:r>
      <w:r w:rsidRPr="0043317B" w:rsidR="0043317B">
        <w:rPr>
          <w:lang w:val="fr-FR"/>
        </w:rPr>
        <w:t>’</w:t>
      </w:r>
      <w:r w:rsidRPr="0043317B">
        <w:rPr>
          <w:lang w:val="fr-FR"/>
        </w:rPr>
        <w:t>État décida le sursis à exécution de l</w:t>
      </w:r>
      <w:r w:rsidRPr="0043317B" w:rsidR="0043317B">
        <w:rPr>
          <w:lang w:val="fr-FR"/>
        </w:rPr>
        <w:t>’</w:t>
      </w:r>
      <w:r w:rsidRPr="0043317B">
        <w:rPr>
          <w:lang w:val="fr-FR"/>
        </w:rPr>
        <w:t>ordre de paiement du 29 mars 2004.</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122</w:t>
      </w:r>
      <w:r w:rsidRPr="0043317B">
        <w:rPr>
          <w:lang w:val="fr-FR"/>
        </w:rPr>
        <w:fldChar w:fldCharType="end"/>
      </w:r>
      <w:r w:rsidRPr="0043317B">
        <w:rPr>
          <w:lang w:val="fr-FR"/>
        </w:rPr>
        <w:t>.  Le 9 décembre 2009, la même chambre du Conseil d</w:t>
      </w:r>
      <w:r w:rsidRPr="0043317B" w:rsidR="0043317B">
        <w:rPr>
          <w:lang w:val="fr-FR"/>
        </w:rPr>
        <w:t>’</w:t>
      </w:r>
      <w:r w:rsidRPr="0043317B">
        <w:rPr>
          <w:lang w:val="fr-FR"/>
        </w:rPr>
        <w:t>État cassa le jugement du 30 avril 2007 du tribunal administratif d</w:t>
      </w:r>
      <w:r w:rsidRPr="0043317B" w:rsidR="0043317B">
        <w:rPr>
          <w:lang w:val="fr-FR"/>
        </w:rPr>
        <w:t>’</w:t>
      </w:r>
      <w:r w:rsidRPr="0043317B">
        <w:rPr>
          <w:lang w:val="fr-FR"/>
        </w:rPr>
        <w:t>Istanbul.</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123</w:t>
      </w:r>
      <w:r w:rsidRPr="0043317B">
        <w:rPr>
          <w:lang w:val="fr-FR"/>
        </w:rPr>
        <w:fldChar w:fldCharType="end"/>
      </w:r>
      <w:r w:rsidRPr="0043317B">
        <w:rPr>
          <w:lang w:val="fr-FR"/>
        </w:rPr>
        <w:t>.  Le 24 mars 2010, la 6</w:t>
      </w:r>
      <w:r w:rsidRPr="0043317B">
        <w:rPr>
          <w:vertAlign w:val="superscript"/>
          <w:lang w:val="fr-FR"/>
        </w:rPr>
        <w:t>e</w:t>
      </w:r>
      <w:r w:rsidRPr="0043317B">
        <w:rPr>
          <w:lang w:val="fr-FR"/>
        </w:rPr>
        <w:t xml:space="preserve"> chambre du tribunal administratif d</w:t>
      </w:r>
      <w:r w:rsidRPr="0043317B" w:rsidR="0043317B">
        <w:rPr>
          <w:lang w:val="fr-FR"/>
        </w:rPr>
        <w:t>’</w:t>
      </w:r>
      <w:r w:rsidRPr="0043317B">
        <w:rPr>
          <w:lang w:val="fr-FR"/>
        </w:rPr>
        <w:t>Istanbul annula l</w:t>
      </w:r>
      <w:r w:rsidRPr="0043317B" w:rsidR="0043317B">
        <w:rPr>
          <w:lang w:val="fr-FR"/>
        </w:rPr>
        <w:t>’</w:t>
      </w:r>
      <w:r w:rsidRPr="0043317B">
        <w:rPr>
          <w:lang w:val="fr-FR"/>
        </w:rPr>
        <w:t>ordre de paiement du 29 mars 2004.</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124</w:t>
      </w:r>
      <w:r w:rsidRPr="0043317B">
        <w:rPr>
          <w:lang w:val="fr-FR"/>
        </w:rPr>
        <w:fldChar w:fldCharType="end"/>
      </w:r>
      <w:r w:rsidRPr="0043317B">
        <w:rPr>
          <w:lang w:val="fr-FR"/>
        </w:rPr>
        <w:t>.  Le FADE se pourvut en cassation.</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125</w:t>
      </w:r>
      <w:r w:rsidRPr="0043317B">
        <w:rPr>
          <w:lang w:val="fr-FR"/>
        </w:rPr>
        <w:fldChar w:fldCharType="end"/>
      </w:r>
      <w:r w:rsidRPr="0043317B">
        <w:rPr>
          <w:lang w:val="fr-FR"/>
        </w:rPr>
        <w:t>.  Le 16 novembre 2011, la 13</w:t>
      </w:r>
      <w:r w:rsidRPr="0043317B">
        <w:rPr>
          <w:vertAlign w:val="superscript"/>
          <w:lang w:val="fr-FR"/>
        </w:rPr>
        <w:t>e</w:t>
      </w:r>
      <w:r w:rsidRPr="0043317B">
        <w:rPr>
          <w:lang w:val="fr-FR"/>
        </w:rPr>
        <w:t xml:space="preserve"> chambre du Conseil d</w:t>
      </w:r>
      <w:r w:rsidRPr="0043317B" w:rsidR="0043317B">
        <w:rPr>
          <w:lang w:val="fr-FR"/>
        </w:rPr>
        <w:t>’</w:t>
      </w:r>
      <w:r w:rsidRPr="0043317B">
        <w:rPr>
          <w:lang w:val="fr-FR"/>
        </w:rPr>
        <w:t>État confirma l</w:t>
      </w:r>
      <w:r w:rsidRPr="0043317B" w:rsidR="0043317B">
        <w:rPr>
          <w:lang w:val="fr-FR"/>
        </w:rPr>
        <w:t>’</w:t>
      </w:r>
      <w:r w:rsidRPr="0043317B">
        <w:rPr>
          <w:lang w:val="fr-FR"/>
        </w:rPr>
        <w:t>arrêt du tribunal administratif.</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126</w:t>
      </w:r>
      <w:r w:rsidRPr="0043317B">
        <w:rPr>
          <w:lang w:val="fr-FR"/>
        </w:rPr>
        <w:fldChar w:fldCharType="end"/>
      </w:r>
      <w:r w:rsidRPr="0043317B">
        <w:rPr>
          <w:lang w:val="fr-FR"/>
        </w:rPr>
        <w:t>.  Le 27 juin 2013, la même chambre du Conseil d</w:t>
      </w:r>
      <w:r w:rsidRPr="0043317B" w:rsidR="0043317B">
        <w:rPr>
          <w:lang w:val="fr-FR"/>
        </w:rPr>
        <w:t>’</w:t>
      </w:r>
      <w:r w:rsidRPr="0043317B">
        <w:rPr>
          <w:lang w:val="fr-FR"/>
        </w:rPr>
        <w:t>État rejeta le recours en rectification introduit par le FADE.</w:t>
      </w:r>
    </w:p>
    <w:p w:rsidRPr="0043317B" w:rsidR="000A45C0" w:rsidP="0043317B" w:rsidRDefault="000A45C0">
      <w:pPr>
        <w:pStyle w:val="ECHRHeading3"/>
        <w:rPr>
          <w:lang w:val="fr-FR"/>
        </w:rPr>
      </w:pPr>
      <w:r w:rsidRPr="0043317B">
        <w:rPr>
          <w:lang w:val="fr-FR"/>
        </w:rPr>
        <w:t>3.  M</w:t>
      </w:r>
      <w:r w:rsidRPr="0043317B">
        <w:rPr>
          <w:vertAlign w:val="superscript"/>
          <w:lang w:val="fr-FR"/>
        </w:rPr>
        <w:t>me</w:t>
      </w:r>
      <w:r w:rsidRPr="0043317B" w:rsidR="00F707C8">
        <w:rPr>
          <w:lang w:val="fr-FR"/>
        </w:rPr>
        <w:t> </w:t>
      </w:r>
      <w:r w:rsidRPr="0043317B">
        <w:rPr>
          <w:lang w:val="fr-FR"/>
        </w:rPr>
        <w:t>Nimet</w:t>
      </w:r>
      <w:r w:rsidRPr="0043317B" w:rsidR="00F707C8">
        <w:rPr>
          <w:lang w:val="fr-FR"/>
        </w:rPr>
        <w:t> </w:t>
      </w:r>
      <w:r w:rsidRPr="0043317B">
        <w:rPr>
          <w:lang w:val="fr-FR"/>
        </w:rPr>
        <w:t>Hülya</w:t>
      </w:r>
      <w:r w:rsidRPr="0043317B" w:rsidR="00F707C8">
        <w:rPr>
          <w:lang w:val="fr-FR"/>
        </w:rPr>
        <w:t> </w:t>
      </w:r>
      <w:r w:rsidRPr="0043317B">
        <w:rPr>
          <w:lang w:val="fr-FR"/>
        </w:rPr>
        <w:t>Talu</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127</w:t>
      </w:r>
      <w:r w:rsidRPr="0043317B">
        <w:rPr>
          <w:lang w:val="fr-FR"/>
        </w:rPr>
        <w:fldChar w:fldCharType="end"/>
      </w:r>
      <w:r w:rsidRPr="0043317B">
        <w:rPr>
          <w:lang w:val="fr-FR"/>
        </w:rPr>
        <w:t>.  Le 27 janvier 2004 et le 23 mars 2004, en application de l</w:t>
      </w:r>
      <w:r w:rsidRPr="0043317B" w:rsidR="0043317B">
        <w:rPr>
          <w:lang w:val="fr-FR"/>
        </w:rPr>
        <w:t>’</w:t>
      </w:r>
      <w:r w:rsidRPr="0043317B">
        <w:rPr>
          <w:lang w:val="fr-FR"/>
        </w:rPr>
        <w:t>article 14</w:t>
      </w:r>
      <w:r w:rsidRPr="0043317B" w:rsidR="003C4A77">
        <w:rPr>
          <w:lang w:val="fr-FR"/>
        </w:rPr>
        <w:t xml:space="preserve"> § </w:t>
      </w:r>
      <w:r w:rsidRPr="0043317B">
        <w:rPr>
          <w:lang w:val="fr-FR"/>
        </w:rPr>
        <w:t>3 de la loi n</w:t>
      </w:r>
      <w:r w:rsidRPr="0043317B">
        <w:rPr>
          <w:vertAlign w:val="superscript"/>
          <w:lang w:val="fr-FR"/>
        </w:rPr>
        <w:t>o</w:t>
      </w:r>
      <w:r w:rsidRPr="0043317B">
        <w:rPr>
          <w:lang w:val="fr-FR"/>
        </w:rPr>
        <w:t xml:space="preserve"> 4389 et des dispositions de la loi n</w:t>
      </w:r>
      <w:r w:rsidRPr="0043317B">
        <w:rPr>
          <w:vertAlign w:val="superscript"/>
          <w:lang w:val="fr-FR"/>
        </w:rPr>
        <w:t>o</w:t>
      </w:r>
      <w:r w:rsidRPr="0043317B">
        <w:rPr>
          <w:lang w:val="fr-FR"/>
        </w:rPr>
        <w:t xml:space="preserve"> 6183, le FADE envoya à la requérante Nimet Hülya Talu, respectivement, une lettre d</w:t>
      </w:r>
      <w:r w:rsidRPr="0043317B" w:rsidR="0043317B">
        <w:rPr>
          <w:lang w:val="fr-FR"/>
        </w:rPr>
        <w:t>’</w:t>
      </w:r>
      <w:r w:rsidRPr="0043317B">
        <w:rPr>
          <w:lang w:val="fr-FR"/>
        </w:rPr>
        <w:t>invitation à payer et un ordre de paiement en vue du recouvrement des créances détenues par le Trésor public sur İmarbank. Le montant total du paiement dont ladite requérante était tenue solidairement responsable s</w:t>
      </w:r>
      <w:r w:rsidRPr="0043317B" w:rsidR="0043317B">
        <w:rPr>
          <w:lang w:val="fr-FR"/>
        </w:rPr>
        <w:t>’</w:t>
      </w:r>
      <w:r w:rsidRPr="0043317B">
        <w:rPr>
          <w:lang w:val="fr-FR"/>
        </w:rPr>
        <w:t>élevait à 7 552</w:t>
      </w:r>
      <w:r w:rsidRPr="0043317B" w:rsidR="003C4A77">
        <w:rPr>
          <w:lang w:val="fr-FR"/>
        </w:rPr>
        <w:t> </w:t>
      </w:r>
      <w:r w:rsidRPr="0043317B">
        <w:rPr>
          <w:lang w:val="fr-FR"/>
        </w:rPr>
        <w:t>995</w:t>
      </w:r>
      <w:r w:rsidRPr="0043317B" w:rsidR="003C4A77">
        <w:rPr>
          <w:lang w:val="fr-FR"/>
        </w:rPr>
        <w:t> </w:t>
      </w:r>
      <w:r w:rsidRPr="0043317B">
        <w:rPr>
          <w:lang w:val="fr-FR"/>
        </w:rPr>
        <w:t>710,63</w:t>
      </w:r>
      <w:r w:rsidRPr="0043317B" w:rsidR="003C4A77">
        <w:rPr>
          <w:lang w:val="fr-FR"/>
        </w:rPr>
        <w:t> </w:t>
      </w:r>
      <w:r w:rsidRPr="0043317B">
        <w:rPr>
          <w:lang w:val="fr-FR"/>
        </w:rPr>
        <w:t xml:space="preserve">TRL (soit environ </w:t>
      </w:r>
      <w:r w:rsidRPr="0043317B" w:rsidR="003C4A77">
        <w:rPr>
          <w:lang w:val="fr-FR"/>
        </w:rPr>
        <w:t>4 600 374 </w:t>
      </w:r>
      <w:r w:rsidRPr="0043317B">
        <w:rPr>
          <w:lang w:val="fr-FR"/>
        </w:rPr>
        <w:t>000 EUR à l</w:t>
      </w:r>
      <w:r w:rsidRPr="0043317B" w:rsidR="0043317B">
        <w:rPr>
          <w:lang w:val="fr-FR"/>
        </w:rPr>
        <w:t>’</w:t>
      </w:r>
      <w:r w:rsidRPr="0043317B">
        <w:rPr>
          <w:lang w:val="fr-FR"/>
        </w:rPr>
        <w:t>époque des faits).</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128</w:t>
      </w:r>
      <w:r w:rsidRPr="0043317B">
        <w:rPr>
          <w:lang w:val="fr-FR"/>
        </w:rPr>
        <w:fldChar w:fldCharType="end"/>
      </w:r>
      <w:r w:rsidRPr="0043317B">
        <w:rPr>
          <w:lang w:val="fr-FR"/>
        </w:rPr>
        <w:t>.  À une date non précisée, l</w:t>
      </w:r>
      <w:r w:rsidRPr="0043317B" w:rsidR="0043317B">
        <w:rPr>
          <w:lang w:val="fr-FR"/>
        </w:rPr>
        <w:t>’</w:t>
      </w:r>
      <w:r w:rsidRPr="0043317B">
        <w:rPr>
          <w:lang w:val="fr-FR"/>
        </w:rPr>
        <w:t>intéressée saisit le tribunal administratif d</w:t>
      </w:r>
      <w:r w:rsidRPr="0043317B" w:rsidR="0043317B">
        <w:rPr>
          <w:lang w:val="fr-FR"/>
        </w:rPr>
        <w:t>’</w:t>
      </w:r>
      <w:r w:rsidRPr="0043317B">
        <w:rPr>
          <w:lang w:val="fr-FR"/>
        </w:rPr>
        <w:t>Istanbul d</w:t>
      </w:r>
      <w:r w:rsidRPr="0043317B" w:rsidR="0043317B">
        <w:rPr>
          <w:lang w:val="fr-FR"/>
        </w:rPr>
        <w:t>’</w:t>
      </w:r>
      <w:r w:rsidRPr="0043317B">
        <w:rPr>
          <w:lang w:val="fr-FR"/>
        </w:rPr>
        <w:t>une demande d</w:t>
      </w:r>
      <w:r w:rsidRPr="0043317B" w:rsidR="0043317B">
        <w:rPr>
          <w:lang w:val="fr-FR"/>
        </w:rPr>
        <w:t>’</w:t>
      </w:r>
      <w:r w:rsidRPr="0043317B">
        <w:rPr>
          <w:lang w:val="fr-FR"/>
        </w:rPr>
        <w:t>annulation de la lettre d</w:t>
      </w:r>
      <w:r w:rsidRPr="0043317B" w:rsidR="0043317B">
        <w:rPr>
          <w:lang w:val="fr-FR"/>
        </w:rPr>
        <w:t>’</w:t>
      </w:r>
      <w:r w:rsidRPr="0043317B">
        <w:rPr>
          <w:lang w:val="fr-FR"/>
        </w:rPr>
        <w:t>invitation à payer du 27</w:t>
      </w:r>
      <w:r w:rsidRPr="0043317B" w:rsidR="003C4A77">
        <w:rPr>
          <w:lang w:val="fr-FR"/>
        </w:rPr>
        <w:t> </w:t>
      </w:r>
      <w:r w:rsidRPr="0043317B">
        <w:rPr>
          <w:lang w:val="fr-FR"/>
        </w:rPr>
        <w:t>janvier 2004 et de l</w:t>
      </w:r>
      <w:r w:rsidRPr="0043317B" w:rsidR="0043317B">
        <w:rPr>
          <w:lang w:val="fr-FR"/>
        </w:rPr>
        <w:t>’</w:t>
      </w:r>
      <w:r w:rsidRPr="0043317B">
        <w:rPr>
          <w:lang w:val="fr-FR"/>
        </w:rPr>
        <w:t>ordre de paiement du 29 mars 2004.</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129</w:t>
      </w:r>
      <w:r w:rsidRPr="0043317B">
        <w:rPr>
          <w:lang w:val="fr-FR"/>
        </w:rPr>
        <w:fldChar w:fldCharType="end"/>
      </w:r>
      <w:r w:rsidRPr="0043317B">
        <w:rPr>
          <w:lang w:val="fr-FR"/>
        </w:rPr>
        <w:t>.  Le 29 juin 2007, la 6</w:t>
      </w:r>
      <w:r w:rsidRPr="0043317B">
        <w:rPr>
          <w:vertAlign w:val="superscript"/>
          <w:lang w:val="fr-FR"/>
        </w:rPr>
        <w:t>e</w:t>
      </w:r>
      <w:r w:rsidRPr="0043317B">
        <w:rPr>
          <w:lang w:val="fr-FR"/>
        </w:rPr>
        <w:t xml:space="preserve"> chambre du tribunal administratif d</w:t>
      </w:r>
      <w:r w:rsidRPr="0043317B" w:rsidR="0043317B">
        <w:rPr>
          <w:lang w:val="fr-FR"/>
        </w:rPr>
        <w:t>’</w:t>
      </w:r>
      <w:r w:rsidRPr="0043317B">
        <w:rPr>
          <w:lang w:val="fr-FR"/>
        </w:rPr>
        <w:t>Istanbul rejeta la demande d</w:t>
      </w:r>
      <w:r w:rsidRPr="0043317B" w:rsidR="0043317B">
        <w:rPr>
          <w:lang w:val="fr-FR"/>
        </w:rPr>
        <w:t>’</w:t>
      </w:r>
      <w:r w:rsidRPr="0043317B">
        <w:rPr>
          <w:lang w:val="fr-FR"/>
        </w:rPr>
        <w:t>annulation de la lettre d</w:t>
      </w:r>
      <w:r w:rsidRPr="0043317B" w:rsidR="0043317B">
        <w:rPr>
          <w:lang w:val="fr-FR"/>
        </w:rPr>
        <w:t>’</w:t>
      </w:r>
      <w:r w:rsidRPr="0043317B">
        <w:rPr>
          <w:lang w:val="fr-FR"/>
        </w:rPr>
        <w:t>invitation à payer du 27</w:t>
      </w:r>
      <w:r w:rsidRPr="0043317B" w:rsidR="003C4A77">
        <w:rPr>
          <w:lang w:val="fr-FR"/>
        </w:rPr>
        <w:t> </w:t>
      </w:r>
      <w:r w:rsidRPr="0043317B">
        <w:rPr>
          <w:lang w:val="fr-FR"/>
        </w:rPr>
        <w:t>janvier 2004.</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130</w:t>
      </w:r>
      <w:r w:rsidRPr="0043317B">
        <w:rPr>
          <w:lang w:val="fr-FR"/>
        </w:rPr>
        <w:fldChar w:fldCharType="end"/>
      </w:r>
      <w:r w:rsidRPr="0043317B">
        <w:rPr>
          <w:lang w:val="fr-FR"/>
        </w:rPr>
        <w:t>.  La requérante susmentionnée se pourvut en cassation contre ce jugement.</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131</w:t>
      </w:r>
      <w:r w:rsidRPr="0043317B">
        <w:rPr>
          <w:lang w:val="fr-FR"/>
        </w:rPr>
        <w:fldChar w:fldCharType="end"/>
      </w:r>
      <w:r w:rsidRPr="0043317B">
        <w:rPr>
          <w:lang w:val="fr-FR"/>
        </w:rPr>
        <w:t>.  Dans un premier temps, le 15 février 2008, la 13</w:t>
      </w:r>
      <w:r w:rsidRPr="0043317B">
        <w:rPr>
          <w:vertAlign w:val="superscript"/>
          <w:lang w:val="fr-FR"/>
        </w:rPr>
        <w:t>e</w:t>
      </w:r>
      <w:r w:rsidRPr="0043317B">
        <w:rPr>
          <w:lang w:val="fr-FR"/>
        </w:rPr>
        <w:t xml:space="preserve"> chambre du Conseil d</w:t>
      </w:r>
      <w:r w:rsidRPr="0043317B" w:rsidR="0043317B">
        <w:rPr>
          <w:lang w:val="fr-FR"/>
        </w:rPr>
        <w:t>’</w:t>
      </w:r>
      <w:r w:rsidRPr="0043317B">
        <w:rPr>
          <w:lang w:val="fr-FR"/>
        </w:rPr>
        <w:t>État ordonna le sursis à exécution de la lettre d</w:t>
      </w:r>
      <w:r w:rsidRPr="0043317B" w:rsidR="0043317B">
        <w:rPr>
          <w:lang w:val="fr-FR"/>
        </w:rPr>
        <w:t>’</w:t>
      </w:r>
      <w:r w:rsidRPr="0043317B">
        <w:rPr>
          <w:lang w:val="fr-FR"/>
        </w:rPr>
        <w:t>invitation à payer du 27 janvier 2004.</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132</w:t>
      </w:r>
      <w:r w:rsidRPr="0043317B">
        <w:rPr>
          <w:lang w:val="fr-FR"/>
        </w:rPr>
        <w:fldChar w:fldCharType="end"/>
      </w:r>
      <w:r w:rsidRPr="0043317B">
        <w:rPr>
          <w:lang w:val="fr-FR"/>
        </w:rPr>
        <w:t>.  Dans un deuxième temps, le 9 décembre 2009, la haute juridiction cassa le jugement du 29 juin 2007. À ses yeux, il était en effet illégal de considérer la requérante en question comme responsable de l</w:t>
      </w:r>
      <w:r w:rsidRPr="0043317B" w:rsidR="0043317B">
        <w:rPr>
          <w:lang w:val="fr-FR"/>
        </w:rPr>
        <w:t>’</w:t>
      </w:r>
      <w:r w:rsidRPr="0043317B">
        <w:rPr>
          <w:lang w:val="fr-FR"/>
        </w:rPr>
        <w:t>ensemble des créances publiques en raison du seul fait que sa signature pouvait lier la banque, sans déterminer comment et dans quelle mesure les ressources de celle-ci avaient pu lui être transférées.</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133</w:t>
      </w:r>
      <w:r w:rsidRPr="0043317B">
        <w:rPr>
          <w:lang w:val="fr-FR"/>
        </w:rPr>
        <w:fldChar w:fldCharType="end"/>
      </w:r>
      <w:r w:rsidRPr="0043317B">
        <w:rPr>
          <w:lang w:val="fr-FR"/>
        </w:rPr>
        <w:t>.  Le 16 mars 2010, réexaminant l</w:t>
      </w:r>
      <w:r w:rsidRPr="0043317B" w:rsidR="0043317B">
        <w:rPr>
          <w:lang w:val="fr-FR"/>
        </w:rPr>
        <w:t>’</w:t>
      </w:r>
      <w:r w:rsidRPr="0043317B">
        <w:rPr>
          <w:lang w:val="fr-FR"/>
        </w:rPr>
        <w:t>affaire sur renvoi du Conseil d</w:t>
      </w:r>
      <w:r w:rsidRPr="0043317B" w:rsidR="0043317B">
        <w:rPr>
          <w:lang w:val="fr-FR"/>
        </w:rPr>
        <w:t>’</w:t>
      </w:r>
      <w:r w:rsidRPr="0043317B">
        <w:rPr>
          <w:lang w:val="fr-FR"/>
        </w:rPr>
        <w:t>État, la 6</w:t>
      </w:r>
      <w:r w:rsidRPr="0043317B">
        <w:rPr>
          <w:vertAlign w:val="superscript"/>
          <w:lang w:val="fr-FR"/>
        </w:rPr>
        <w:t>e</w:t>
      </w:r>
      <w:r w:rsidRPr="0043317B">
        <w:rPr>
          <w:lang w:val="fr-FR"/>
        </w:rPr>
        <w:t xml:space="preserve"> chambre du tribunal administratif d</w:t>
      </w:r>
      <w:r w:rsidRPr="0043317B" w:rsidR="0043317B">
        <w:rPr>
          <w:lang w:val="fr-FR"/>
        </w:rPr>
        <w:t>’</w:t>
      </w:r>
      <w:r w:rsidRPr="0043317B">
        <w:rPr>
          <w:lang w:val="fr-FR"/>
        </w:rPr>
        <w:t>Istanbul rejeta à nouveau la demande de ladite requérante.</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134</w:t>
      </w:r>
      <w:r w:rsidRPr="0043317B">
        <w:rPr>
          <w:lang w:val="fr-FR"/>
        </w:rPr>
        <w:fldChar w:fldCharType="end"/>
      </w:r>
      <w:r w:rsidRPr="0043317B">
        <w:rPr>
          <w:lang w:val="fr-FR"/>
        </w:rPr>
        <w:t>.  Le 16 décembre 2010, la 13</w:t>
      </w:r>
      <w:r w:rsidRPr="0043317B">
        <w:rPr>
          <w:vertAlign w:val="superscript"/>
          <w:lang w:val="fr-FR"/>
        </w:rPr>
        <w:t>e</w:t>
      </w:r>
      <w:r w:rsidRPr="0043317B">
        <w:rPr>
          <w:lang w:val="fr-FR"/>
        </w:rPr>
        <w:t xml:space="preserve"> chambre du Conseil d</w:t>
      </w:r>
      <w:r w:rsidRPr="0043317B" w:rsidR="0043317B">
        <w:rPr>
          <w:lang w:val="fr-FR"/>
        </w:rPr>
        <w:t>’</w:t>
      </w:r>
      <w:r w:rsidRPr="0043317B">
        <w:rPr>
          <w:lang w:val="fr-FR"/>
        </w:rPr>
        <w:t>État cassa à nouveau le jugement du tribunal administratif.</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135</w:t>
      </w:r>
      <w:r w:rsidRPr="0043317B">
        <w:rPr>
          <w:lang w:val="fr-FR"/>
        </w:rPr>
        <w:fldChar w:fldCharType="end"/>
      </w:r>
      <w:r w:rsidRPr="0043317B">
        <w:rPr>
          <w:lang w:val="fr-FR"/>
        </w:rPr>
        <w:t>.  Le 20 avril 2011, la 6</w:t>
      </w:r>
      <w:r w:rsidRPr="0043317B">
        <w:rPr>
          <w:vertAlign w:val="superscript"/>
          <w:lang w:val="fr-FR"/>
        </w:rPr>
        <w:t>e</w:t>
      </w:r>
      <w:r w:rsidRPr="0043317B">
        <w:rPr>
          <w:lang w:val="fr-FR"/>
        </w:rPr>
        <w:t xml:space="preserve"> chambre du tribunal administratif d</w:t>
      </w:r>
      <w:r w:rsidRPr="0043317B" w:rsidR="0043317B">
        <w:rPr>
          <w:lang w:val="fr-FR"/>
        </w:rPr>
        <w:t>’</w:t>
      </w:r>
      <w:r w:rsidRPr="0043317B">
        <w:rPr>
          <w:lang w:val="fr-FR"/>
        </w:rPr>
        <w:t>Istanbul se conforma à l</w:t>
      </w:r>
      <w:r w:rsidRPr="0043317B" w:rsidR="0043317B">
        <w:rPr>
          <w:lang w:val="fr-FR"/>
        </w:rPr>
        <w:t>’</w:t>
      </w:r>
      <w:r w:rsidRPr="0043317B">
        <w:rPr>
          <w:lang w:val="fr-FR"/>
        </w:rPr>
        <w:t>arrêt du Conseil d</w:t>
      </w:r>
      <w:r w:rsidRPr="0043317B" w:rsidR="0043317B">
        <w:rPr>
          <w:lang w:val="fr-FR"/>
        </w:rPr>
        <w:t>’</w:t>
      </w:r>
      <w:r w:rsidRPr="0043317B">
        <w:rPr>
          <w:lang w:val="fr-FR"/>
        </w:rPr>
        <w:t>État et annula la lettre d</w:t>
      </w:r>
      <w:r w:rsidRPr="0043317B" w:rsidR="0043317B">
        <w:rPr>
          <w:lang w:val="fr-FR"/>
        </w:rPr>
        <w:t>’</w:t>
      </w:r>
      <w:r w:rsidRPr="0043317B">
        <w:rPr>
          <w:lang w:val="fr-FR"/>
        </w:rPr>
        <w:t>invitation à payer du 27</w:t>
      </w:r>
      <w:r w:rsidRPr="0043317B" w:rsidR="003C4A77">
        <w:rPr>
          <w:lang w:val="fr-FR"/>
        </w:rPr>
        <w:t xml:space="preserve"> </w:t>
      </w:r>
      <w:r w:rsidRPr="0043317B">
        <w:rPr>
          <w:lang w:val="fr-FR"/>
        </w:rPr>
        <w:t>janvier 2004.</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136</w:t>
      </w:r>
      <w:r w:rsidRPr="0043317B">
        <w:rPr>
          <w:lang w:val="fr-FR"/>
        </w:rPr>
        <w:fldChar w:fldCharType="end"/>
      </w:r>
      <w:r w:rsidRPr="0043317B">
        <w:rPr>
          <w:lang w:val="fr-FR"/>
        </w:rPr>
        <w:t>.  À une date non précisée, le FADE se pourvut en cassation.</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137</w:t>
      </w:r>
      <w:r w:rsidRPr="0043317B">
        <w:rPr>
          <w:lang w:val="fr-FR"/>
        </w:rPr>
        <w:fldChar w:fldCharType="end"/>
      </w:r>
      <w:r w:rsidRPr="0043317B">
        <w:rPr>
          <w:lang w:val="fr-FR"/>
        </w:rPr>
        <w:t>.  Le 30 janvier 2015, la 13</w:t>
      </w:r>
      <w:r w:rsidRPr="0043317B">
        <w:rPr>
          <w:vertAlign w:val="superscript"/>
          <w:lang w:val="fr-FR"/>
        </w:rPr>
        <w:t>e</w:t>
      </w:r>
      <w:r w:rsidRPr="0043317B">
        <w:rPr>
          <w:lang w:val="fr-FR"/>
        </w:rPr>
        <w:t xml:space="preserve"> chambre du Conseil d</w:t>
      </w:r>
      <w:r w:rsidRPr="0043317B" w:rsidR="0043317B">
        <w:rPr>
          <w:lang w:val="fr-FR"/>
        </w:rPr>
        <w:t>’</w:t>
      </w:r>
      <w:r w:rsidRPr="0043317B">
        <w:rPr>
          <w:lang w:val="fr-FR"/>
        </w:rPr>
        <w:t>État confirma le jugement du tribunal administratif.</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138</w:t>
      </w:r>
      <w:r w:rsidRPr="0043317B">
        <w:rPr>
          <w:lang w:val="fr-FR"/>
        </w:rPr>
        <w:fldChar w:fldCharType="end"/>
      </w:r>
      <w:r w:rsidRPr="0043317B">
        <w:rPr>
          <w:lang w:val="fr-FR"/>
        </w:rPr>
        <w:t>.  Le 9 juin 2015, la même chambre du Conseil d</w:t>
      </w:r>
      <w:r w:rsidRPr="0043317B" w:rsidR="0043317B">
        <w:rPr>
          <w:lang w:val="fr-FR"/>
        </w:rPr>
        <w:t>’</w:t>
      </w:r>
      <w:r w:rsidRPr="0043317B">
        <w:rPr>
          <w:lang w:val="fr-FR"/>
        </w:rPr>
        <w:t>État rejeta le recours en rectification formé par le FADE.</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139</w:t>
      </w:r>
      <w:r w:rsidRPr="0043317B">
        <w:rPr>
          <w:lang w:val="fr-FR"/>
        </w:rPr>
        <w:fldChar w:fldCharType="end"/>
      </w:r>
      <w:r w:rsidRPr="0043317B">
        <w:rPr>
          <w:lang w:val="fr-FR"/>
        </w:rPr>
        <w:t>.  Dans l</w:t>
      </w:r>
      <w:r w:rsidRPr="0043317B" w:rsidR="0043317B">
        <w:rPr>
          <w:lang w:val="fr-FR"/>
        </w:rPr>
        <w:t>’</w:t>
      </w:r>
      <w:r w:rsidRPr="0043317B">
        <w:rPr>
          <w:lang w:val="fr-FR"/>
        </w:rPr>
        <w:t>intervalle, par un jugement du 4 octobre 2007, la 6</w:t>
      </w:r>
      <w:r w:rsidRPr="0043317B">
        <w:rPr>
          <w:vertAlign w:val="superscript"/>
          <w:lang w:val="fr-FR"/>
        </w:rPr>
        <w:t>e</w:t>
      </w:r>
      <w:r w:rsidRPr="0043317B">
        <w:rPr>
          <w:lang w:val="fr-FR"/>
        </w:rPr>
        <w:t xml:space="preserve"> chambre du tribunal administratif d</w:t>
      </w:r>
      <w:r w:rsidRPr="0043317B" w:rsidR="0043317B">
        <w:rPr>
          <w:lang w:val="fr-FR"/>
        </w:rPr>
        <w:t>’</w:t>
      </w:r>
      <w:r w:rsidRPr="0043317B">
        <w:rPr>
          <w:lang w:val="fr-FR"/>
        </w:rPr>
        <w:t>Istanbul avait rejeté la demande d</w:t>
      </w:r>
      <w:r w:rsidRPr="0043317B" w:rsidR="0043317B">
        <w:rPr>
          <w:lang w:val="fr-FR"/>
        </w:rPr>
        <w:t>’</w:t>
      </w:r>
      <w:r w:rsidRPr="0043317B">
        <w:rPr>
          <w:lang w:val="fr-FR"/>
        </w:rPr>
        <w:t>annulation de l</w:t>
      </w:r>
      <w:r w:rsidRPr="0043317B" w:rsidR="0043317B">
        <w:rPr>
          <w:lang w:val="fr-FR"/>
        </w:rPr>
        <w:t>’</w:t>
      </w:r>
      <w:r w:rsidRPr="0043317B">
        <w:rPr>
          <w:lang w:val="fr-FR"/>
        </w:rPr>
        <w:t>ordre de paiement du 23</w:t>
      </w:r>
      <w:r w:rsidRPr="0043317B" w:rsidR="003C4A77">
        <w:rPr>
          <w:lang w:val="fr-FR"/>
        </w:rPr>
        <w:t xml:space="preserve"> </w:t>
      </w:r>
      <w:r w:rsidRPr="0043317B">
        <w:rPr>
          <w:lang w:val="fr-FR"/>
        </w:rPr>
        <w:t>mars 2004.</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140</w:t>
      </w:r>
      <w:r w:rsidRPr="0043317B">
        <w:rPr>
          <w:lang w:val="fr-FR"/>
        </w:rPr>
        <w:fldChar w:fldCharType="end"/>
      </w:r>
      <w:r w:rsidRPr="0043317B">
        <w:rPr>
          <w:lang w:val="fr-FR"/>
        </w:rPr>
        <w:t>.  La requérante Nimet Hülya Talu se pourvut en cassation contre ce jugement.</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141</w:t>
      </w:r>
      <w:r w:rsidRPr="0043317B">
        <w:rPr>
          <w:lang w:val="fr-FR"/>
        </w:rPr>
        <w:fldChar w:fldCharType="end"/>
      </w:r>
      <w:r w:rsidRPr="0043317B">
        <w:rPr>
          <w:lang w:val="fr-FR"/>
        </w:rPr>
        <w:t>.  Le 12 mars 2008, la 13</w:t>
      </w:r>
      <w:r w:rsidRPr="0043317B">
        <w:rPr>
          <w:vertAlign w:val="superscript"/>
          <w:lang w:val="fr-FR"/>
        </w:rPr>
        <w:t>e</w:t>
      </w:r>
      <w:r w:rsidRPr="0043317B">
        <w:rPr>
          <w:lang w:val="fr-FR"/>
        </w:rPr>
        <w:t xml:space="preserve"> chambre du Conseil d</w:t>
      </w:r>
      <w:r w:rsidRPr="0043317B" w:rsidR="0043317B">
        <w:rPr>
          <w:lang w:val="fr-FR"/>
        </w:rPr>
        <w:t>’</w:t>
      </w:r>
      <w:r w:rsidRPr="0043317B">
        <w:rPr>
          <w:lang w:val="fr-FR"/>
        </w:rPr>
        <w:t>État ordonna le sursis à exécution de cet ordre de paiement.</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142</w:t>
      </w:r>
      <w:r w:rsidRPr="0043317B">
        <w:rPr>
          <w:lang w:val="fr-FR"/>
        </w:rPr>
        <w:fldChar w:fldCharType="end"/>
      </w:r>
      <w:r w:rsidRPr="0043317B">
        <w:rPr>
          <w:lang w:val="fr-FR"/>
        </w:rPr>
        <w:t>.  Le 9 décembre 2009, la 13</w:t>
      </w:r>
      <w:r w:rsidRPr="0043317B">
        <w:rPr>
          <w:vertAlign w:val="superscript"/>
          <w:lang w:val="fr-FR"/>
        </w:rPr>
        <w:t>e</w:t>
      </w:r>
      <w:r w:rsidRPr="0043317B">
        <w:rPr>
          <w:lang w:val="fr-FR"/>
        </w:rPr>
        <w:t xml:space="preserve"> chambre du Conseil d</w:t>
      </w:r>
      <w:r w:rsidRPr="0043317B" w:rsidR="0043317B">
        <w:rPr>
          <w:lang w:val="fr-FR"/>
        </w:rPr>
        <w:t>’</w:t>
      </w:r>
      <w:r w:rsidRPr="0043317B">
        <w:rPr>
          <w:lang w:val="fr-FR"/>
        </w:rPr>
        <w:t>État cassa le jugement du 4 octobre 2007.</w:t>
      </w:r>
    </w:p>
    <w:p w:rsidRPr="0043317B" w:rsidR="000A45C0" w:rsidP="0043317B" w:rsidRDefault="000A45C0">
      <w:pPr>
        <w:pStyle w:val="ECHRHeading3"/>
        <w:rPr>
          <w:lang w:val="fr-FR"/>
        </w:rPr>
      </w:pPr>
      <w:r w:rsidRPr="0043317B">
        <w:rPr>
          <w:lang w:val="fr-FR"/>
        </w:rPr>
        <w:t>4.  M</w:t>
      </w:r>
      <w:r w:rsidRPr="0043317B">
        <w:rPr>
          <w:vertAlign w:val="superscript"/>
          <w:lang w:val="fr-FR"/>
        </w:rPr>
        <w:t>me</w:t>
      </w:r>
      <w:r w:rsidRPr="0043317B" w:rsidR="00F707C8">
        <w:rPr>
          <w:vertAlign w:val="superscript"/>
          <w:lang w:val="fr-FR"/>
        </w:rPr>
        <w:t> </w:t>
      </w:r>
      <w:r w:rsidRPr="0043317B">
        <w:rPr>
          <w:lang w:val="fr-FR"/>
        </w:rPr>
        <w:t>Bilge</w:t>
      </w:r>
      <w:r w:rsidRPr="0043317B" w:rsidR="00F707C8">
        <w:rPr>
          <w:lang w:val="fr-FR"/>
        </w:rPr>
        <w:t> </w:t>
      </w:r>
      <w:r w:rsidRPr="0043317B">
        <w:rPr>
          <w:lang w:val="fr-FR"/>
        </w:rPr>
        <w:t>Doğru</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143</w:t>
      </w:r>
      <w:r w:rsidRPr="0043317B">
        <w:rPr>
          <w:lang w:val="fr-FR"/>
        </w:rPr>
        <w:fldChar w:fldCharType="end"/>
      </w:r>
      <w:r w:rsidRPr="0043317B">
        <w:rPr>
          <w:lang w:val="fr-FR"/>
        </w:rPr>
        <w:t>.  Le 27 janvier 2004 et le 23 mars 2004, en application de l</w:t>
      </w:r>
      <w:r w:rsidRPr="0043317B" w:rsidR="0043317B">
        <w:rPr>
          <w:lang w:val="fr-FR"/>
        </w:rPr>
        <w:t>’</w:t>
      </w:r>
      <w:r w:rsidRPr="0043317B">
        <w:rPr>
          <w:lang w:val="fr-FR"/>
        </w:rPr>
        <w:t>article 14</w:t>
      </w:r>
      <w:r w:rsidRPr="0043317B" w:rsidR="003C4A77">
        <w:rPr>
          <w:lang w:val="fr-FR"/>
        </w:rPr>
        <w:t xml:space="preserve"> </w:t>
      </w:r>
      <w:r w:rsidRPr="0043317B">
        <w:rPr>
          <w:lang w:val="fr-FR"/>
        </w:rPr>
        <w:t>§</w:t>
      </w:r>
      <w:r w:rsidRPr="0043317B" w:rsidR="003C4A77">
        <w:rPr>
          <w:lang w:val="fr-FR"/>
        </w:rPr>
        <w:t> </w:t>
      </w:r>
      <w:r w:rsidRPr="0043317B">
        <w:rPr>
          <w:lang w:val="fr-FR"/>
        </w:rPr>
        <w:t>3 de la loi n</w:t>
      </w:r>
      <w:r w:rsidRPr="0043317B">
        <w:rPr>
          <w:vertAlign w:val="superscript"/>
          <w:lang w:val="fr-FR"/>
        </w:rPr>
        <w:t>o</w:t>
      </w:r>
      <w:r w:rsidRPr="0043317B">
        <w:rPr>
          <w:lang w:val="fr-FR"/>
        </w:rPr>
        <w:t xml:space="preserve"> 4389 et des dispositions de la loi n</w:t>
      </w:r>
      <w:r w:rsidRPr="0043317B">
        <w:rPr>
          <w:vertAlign w:val="superscript"/>
          <w:lang w:val="fr-FR"/>
        </w:rPr>
        <w:t>o</w:t>
      </w:r>
      <w:r w:rsidRPr="0043317B">
        <w:rPr>
          <w:lang w:val="fr-FR"/>
        </w:rPr>
        <w:t xml:space="preserve"> 6183, le FADE envoya à la requérante Bilge Doğru, respectivement, une lettre d</w:t>
      </w:r>
      <w:r w:rsidRPr="0043317B" w:rsidR="0043317B">
        <w:rPr>
          <w:lang w:val="fr-FR"/>
        </w:rPr>
        <w:t>’</w:t>
      </w:r>
      <w:r w:rsidRPr="0043317B">
        <w:rPr>
          <w:lang w:val="fr-FR"/>
        </w:rPr>
        <w:t>invitation à payer et un ordre de paiement en vue du recouvrement des créances détenues par le Trésor public sur İmarbank. Le montant total du paiement dont ladite requérante était tenue solidairement responsable s</w:t>
      </w:r>
      <w:r w:rsidRPr="0043317B" w:rsidR="0043317B">
        <w:rPr>
          <w:lang w:val="fr-FR"/>
        </w:rPr>
        <w:t>’</w:t>
      </w:r>
      <w:r w:rsidRPr="0043317B">
        <w:rPr>
          <w:lang w:val="fr-FR"/>
        </w:rPr>
        <w:t>élevait à</w:t>
      </w:r>
      <w:r w:rsidRPr="0043317B" w:rsidR="003C4A77">
        <w:rPr>
          <w:lang w:val="fr-FR"/>
        </w:rPr>
        <w:t xml:space="preserve"> </w:t>
      </w:r>
      <w:r w:rsidRPr="0043317B">
        <w:rPr>
          <w:lang w:val="fr-FR"/>
        </w:rPr>
        <w:t>7</w:t>
      </w:r>
      <w:r w:rsidRPr="0043317B" w:rsidR="003C4A77">
        <w:rPr>
          <w:lang w:val="fr-FR"/>
        </w:rPr>
        <w:t> </w:t>
      </w:r>
      <w:r w:rsidRPr="0043317B">
        <w:rPr>
          <w:lang w:val="fr-FR"/>
        </w:rPr>
        <w:t>552 995 710,63</w:t>
      </w:r>
      <w:r w:rsidRPr="0043317B" w:rsidR="003C4A77">
        <w:rPr>
          <w:lang w:val="fr-FR"/>
        </w:rPr>
        <w:t> </w:t>
      </w:r>
      <w:r w:rsidRPr="0043317B">
        <w:rPr>
          <w:lang w:val="fr-FR"/>
        </w:rPr>
        <w:t>TRL (soit environ 4 600</w:t>
      </w:r>
      <w:r w:rsidRPr="0043317B" w:rsidR="003C4A77">
        <w:rPr>
          <w:lang w:val="fr-FR"/>
        </w:rPr>
        <w:t> </w:t>
      </w:r>
      <w:r w:rsidRPr="0043317B">
        <w:rPr>
          <w:lang w:val="fr-FR"/>
        </w:rPr>
        <w:t>374</w:t>
      </w:r>
      <w:r w:rsidRPr="0043317B" w:rsidR="003C4A77">
        <w:rPr>
          <w:lang w:val="fr-FR"/>
        </w:rPr>
        <w:t> </w:t>
      </w:r>
      <w:r w:rsidRPr="0043317B">
        <w:rPr>
          <w:lang w:val="fr-FR"/>
        </w:rPr>
        <w:t>000 EUR à l</w:t>
      </w:r>
      <w:r w:rsidRPr="0043317B" w:rsidR="0043317B">
        <w:rPr>
          <w:lang w:val="fr-FR"/>
        </w:rPr>
        <w:t>’</w:t>
      </w:r>
      <w:r w:rsidRPr="0043317B">
        <w:rPr>
          <w:lang w:val="fr-FR"/>
        </w:rPr>
        <w:t>époque des faits).</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144</w:t>
      </w:r>
      <w:r w:rsidRPr="0043317B">
        <w:rPr>
          <w:lang w:val="fr-FR"/>
        </w:rPr>
        <w:fldChar w:fldCharType="end"/>
      </w:r>
      <w:r w:rsidRPr="0043317B">
        <w:rPr>
          <w:lang w:val="fr-FR"/>
        </w:rPr>
        <w:t>.  À une date non précisée, l</w:t>
      </w:r>
      <w:r w:rsidRPr="0043317B" w:rsidR="0043317B">
        <w:rPr>
          <w:lang w:val="fr-FR"/>
        </w:rPr>
        <w:t>’</w:t>
      </w:r>
      <w:r w:rsidRPr="0043317B">
        <w:rPr>
          <w:lang w:val="fr-FR"/>
        </w:rPr>
        <w:t>intéressée saisit le tribunal administratif d</w:t>
      </w:r>
      <w:r w:rsidRPr="0043317B" w:rsidR="0043317B">
        <w:rPr>
          <w:lang w:val="fr-FR"/>
        </w:rPr>
        <w:t>’</w:t>
      </w:r>
      <w:r w:rsidRPr="0043317B">
        <w:rPr>
          <w:lang w:val="fr-FR"/>
        </w:rPr>
        <w:t>Istanbul d</w:t>
      </w:r>
      <w:r w:rsidRPr="0043317B" w:rsidR="0043317B">
        <w:rPr>
          <w:lang w:val="fr-FR"/>
        </w:rPr>
        <w:t>’</w:t>
      </w:r>
      <w:r w:rsidRPr="0043317B">
        <w:rPr>
          <w:lang w:val="fr-FR"/>
        </w:rPr>
        <w:t>une demande d</w:t>
      </w:r>
      <w:r w:rsidRPr="0043317B" w:rsidR="0043317B">
        <w:rPr>
          <w:lang w:val="fr-FR"/>
        </w:rPr>
        <w:t>’</w:t>
      </w:r>
      <w:r w:rsidRPr="0043317B">
        <w:rPr>
          <w:lang w:val="fr-FR"/>
        </w:rPr>
        <w:t>annulation de la décision du FADE du 24 décembre 2003, ainsi que de la lettre d</w:t>
      </w:r>
      <w:r w:rsidRPr="0043317B" w:rsidR="0043317B">
        <w:rPr>
          <w:lang w:val="fr-FR"/>
        </w:rPr>
        <w:t>’</w:t>
      </w:r>
      <w:r w:rsidRPr="0043317B">
        <w:rPr>
          <w:lang w:val="fr-FR"/>
        </w:rPr>
        <w:t>invitation à payer du 27</w:t>
      </w:r>
      <w:r w:rsidRPr="0043317B" w:rsidR="003C4A77">
        <w:rPr>
          <w:lang w:val="fr-FR"/>
        </w:rPr>
        <w:t> </w:t>
      </w:r>
      <w:r w:rsidRPr="0043317B">
        <w:rPr>
          <w:lang w:val="fr-FR"/>
        </w:rPr>
        <w:t>janvier 2004 et de l</w:t>
      </w:r>
      <w:r w:rsidRPr="0043317B" w:rsidR="0043317B">
        <w:rPr>
          <w:lang w:val="fr-FR"/>
        </w:rPr>
        <w:t>’</w:t>
      </w:r>
      <w:r w:rsidRPr="0043317B">
        <w:rPr>
          <w:lang w:val="fr-FR"/>
        </w:rPr>
        <w:t>ordre de paiement du 23 mars 2004. Elle demanda également l</w:t>
      </w:r>
      <w:r w:rsidRPr="0043317B" w:rsidR="0043317B">
        <w:rPr>
          <w:lang w:val="fr-FR"/>
        </w:rPr>
        <w:t>’</w:t>
      </w:r>
      <w:r w:rsidRPr="0043317B">
        <w:rPr>
          <w:lang w:val="fr-FR"/>
        </w:rPr>
        <w:t>annulation de l</w:t>
      </w:r>
      <w:r w:rsidRPr="0043317B" w:rsidR="0043317B">
        <w:rPr>
          <w:lang w:val="fr-FR"/>
        </w:rPr>
        <w:t>’</w:t>
      </w:r>
      <w:r w:rsidRPr="0043317B">
        <w:rPr>
          <w:lang w:val="fr-FR"/>
        </w:rPr>
        <w:t>ordonnance de mesures provisoires sur ses biens, établie le</w:t>
      </w:r>
      <w:r w:rsidRPr="0043317B" w:rsidR="003C4A77">
        <w:rPr>
          <w:lang w:val="fr-FR"/>
        </w:rPr>
        <w:t xml:space="preserve"> </w:t>
      </w:r>
      <w:r w:rsidRPr="0043317B">
        <w:rPr>
          <w:lang w:val="fr-FR"/>
        </w:rPr>
        <w:t>2</w:t>
      </w:r>
      <w:r w:rsidRPr="0043317B" w:rsidR="003C4A77">
        <w:rPr>
          <w:lang w:val="fr-FR"/>
        </w:rPr>
        <w:t> </w:t>
      </w:r>
      <w:r w:rsidRPr="0043317B">
        <w:rPr>
          <w:lang w:val="fr-FR"/>
        </w:rPr>
        <w:t>janvier 2004.</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145</w:t>
      </w:r>
      <w:r w:rsidRPr="0043317B">
        <w:rPr>
          <w:lang w:val="fr-FR"/>
        </w:rPr>
        <w:fldChar w:fldCharType="end"/>
      </w:r>
      <w:r w:rsidRPr="0043317B">
        <w:rPr>
          <w:lang w:val="fr-FR"/>
        </w:rPr>
        <w:t>.  Le 20 décembre 2006, la 6</w:t>
      </w:r>
      <w:r w:rsidRPr="0043317B">
        <w:rPr>
          <w:vertAlign w:val="superscript"/>
          <w:lang w:val="fr-FR"/>
        </w:rPr>
        <w:t>e</w:t>
      </w:r>
      <w:r w:rsidRPr="0043317B">
        <w:rPr>
          <w:lang w:val="fr-FR"/>
        </w:rPr>
        <w:t xml:space="preserve"> chambre du tribunal administratif d</w:t>
      </w:r>
      <w:r w:rsidRPr="0043317B" w:rsidR="0043317B">
        <w:rPr>
          <w:lang w:val="fr-FR"/>
        </w:rPr>
        <w:t>’</w:t>
      </w:r>
      <w:r w:rsidRPr="0043317B">
        <w:rPr>
          <w:lang w:val="fr-FR"/>
        </w:rPr>
        <w:t>Istanbul rejeta la demande d</w:t>
      </w:r>
      <w:r w:rsidRPr="0043317B" w:rsidR="0043317B">
        <w:rPr>
          <w:lang w:val="fr-FR"/>
        </w:rPr>
        <w:t>’</w:t>
      </w:r>
      <w:r w:rsidRPr="0043317B">
        <w:rPr>
          <w:lang w:val="fr-FR"/>
        </w:rPr>
        <w:t>annulation de la décision du FADE du 24 décembre 2003 et de la lettre d</w:t>
      </w:r>
      <w:r w:rsidRPr="0043317B" w:rsidR="0043317B">
        <w:rPr>
          <w:lang w:val="fr-FR"/>
        </w:rPr>
        <w:t>’</w:t>
      </w:r>
      <w:r w:rsidRPr="0043317B">
        <w:rPr>
          <w:lang w:val="fr-FR"/>
        </w:rPr>
        <w:t>invitation à payer du 27 janvier 2004.</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146</w:t>
      </w:r>
      <w:r w:rsidRPr="0043317B">
        <w:rPr>
          <w:lang w:val="fr-FR"/>
        </w:rPr>
        <w:fldChar w:fldCharType="end"/>
      </w:r>
      <w:r w:rsidRPr="0043317B">
        <w:rPr>
          <w:lang w:val="fr-FR"/>
        </w:rPr>
        <w:t>.  La requérante susmentionnée se pourvut en cassation.</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147</w:t>
      </w:r>
      <w:r w:rsidRPr="0043317B">
        <w:rPr>
          <w:lang w:val="fr-FR"/>
        </w:rPr>
        <w:fldChar w:fldCharType="end"/>
      </w:r>
      <w:r w:rsidRPr="0043317B">
        <w:rPr>
          <w:lang w:val="fr-FR"/>
        </w:rPr>
        <w:t>.  Le 8 octobre 2007, la 13</w:t>
      </w:r>
      <w:r w:rsidRPr="0043317B">
        <w:rPr>
          <w:vertAlign w:val="superscript"/>
          <w:lang w:val="fr-FR"/>
        </w:rPr>
        <w:t>e</w:t>
      </w:r>
      <w:r w:rsidRPr="0043317B">
        <w:rPr>
          <w:lang w:val="fr-FR"/>
        </w:rPr>
        <w:t xml:space="preserve"> chambre du Conseil d</w:t>
      </w:r>
      <w:r w:rsidRPr="0043317B" w:rsidR="0043317B">
        <w:rPr>
          <w:lang w:val="fr-FR"/>
        </w:rPr>
        <w:t>’</w:t>
      </w:r>
      <w:r w:rsidRPr="0043317B">
        <w:rPr>
          <w:lang w:val="fr-FR"/>
        </w:rPr>
        <w:t>État confirma le jugement du 20 décembre 2006 en sa partie concernant la décision du FADE du 24 décembre 2003. La haute juridiction cassa, en revanche, la partie du jugement concernant la lettre d</w:t>
      </w:r>
      <w:r w:rsidRPr="0043317B" w:rsidR="0043317B">
        <w:rPr>
          <w:lang w:val="fr-FR"/>
        </w:rPr>
        <w:t>’</w:t>
      </w:r>
      <w:r w:rsidRPr="0043317B">
        <w:rPr>
          <w:lang w:val="fr-FR"/>
        </w:rPr>
        <w:t>invitation à payer du 27</w:t>
      </w:r>
      <w:r w:rsidRPr="0043317B" w:rsidR="003C4A77">
        <w:rPr>
          <w:lang w:val="fr-FR"/>
        </w:rPr>
        <w:t> </w:t>
      </w:r>
      <w:r w:rsidRPr="0043317B">
        <w:rPr>
          <w:lang w:val="fr-FR"/>
        </w:rPr>
        <w:t>janvier 2004. À ses yeux, il était en effet illégal de considérer la requérante en question comme responsable de l</w:t>
      </w:r>
      <w:r w:rsidRPr="0043317B" w:rsidR="0043317B">
        <w:rPr>
          <w:lang w:val="fr-FR"/>
        </w:rPr>
        <w:t>’</w:t>
      </w:r>
      <w:r w:rsidRPr="0043317B">
        <w:rPr>
          <w:lang w:val="fr-FR"/>
        </w:rPr>
        <w:t>ensemble des créances publiques en raison du seul fait qu</w:t>
      </w:r>
      <w:r w:rsidRPr="0043317B" w:rsidR="0043317B">
        <w:rPr>
          <w:lang w:val="fr-FR"/>
        </w:rPr>
        <w:t>’</w:t>
      </w:r>
      <w:r w:rsidRPr="0043317B">
        <w:rPr>
          <w:lang w:val="fr-FR"/>
        </w:rPr>
        <w:t>elle était l</w:t>
      </w:r>
      <w:r w:rsidRPr="0043317B" w:rsidR="0043317B">
        <w:rPr>
          <w:lang w:val="fr-FR"/>
        </w:rPr>
        <w:t>’</w:t>
      </w:r>
      <w:r w:rsidRPr="0043317B">
        <w:rPr>
          <w:lang w:val="fr-FR"/>
        </w:rPr>
        <w:t>enfant d</w:t>
      </w:r>
      <w:r w:rsidRPr="0043317B" w:rsidR="0043317B">
        <w:rPr>
          <w:lang w:val="fr-FR"/>
        </w:rPr>
        <w:t>’</w:t>
      </w:r>
      <w:r w:rsidRPr="0043317B">
        <w:rPr>
          <w:lang w:val="fr-FR"/>
        </w:rPr>
        <w:t>un associé majoritaire, sans déterminer comment et dans quelle mesure les ressources de la banque avaient pu lui être transférées.</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148</w:t>
      </w:r>
      <w:r w:rsidRPr="0043317B">
        <w:rPr>
          <w:lang w:val="fr-FR"/>
        </w:rPr>
        <w:fldChar w:fldCharType="end"/>
      </w:r>
      <w:r w:rsidRPr="0043317B">
        <w:rPr>
          <w:lang w:val="fr-FR"/>
        </w:rPr>
        <w:t>.  Le 6 mai 2008, réexaminant l</w:t>
      </w:r>
      <w:r w:rsidRPr="0043317B" w:rsidR="0043317B">
        <w:rPr>
          <w:lang w:val="fr-FR"/>
        </w:rPr>
        <w:t>’</w:t>
      </w:r>
      <w:r w:rsidRPr="0043317B">
        <w:rPr>
          <w:lang w:val="fr-FR"/>
        </w:rPr>
        <w:t>affaire sur renvoi du Conseil d</w:t>
      </w:r>
      <w:r w:rsidRPr="0043317B" w:rsidR="0043317B">
        <w:rPr>
          <w:lang w:val="fr-FR"/>
        </w:rPr>
        <w:t>’</w:t>
      </w:r>
      <w:r w:rsidRPr="0043317B">
        <w:rPr>
          <w:lang w:val="fr-FR"/>
        </w:rPr>
        <w:t>État, la 6</w:t>
      </w:r>
      <w:r w:rsidRPr="0043317B">
        <w:rPr>
          <w:vertAlign w:val="superscript"/>
          <w:lang w:val="fr-FR"/>
        </w:rPr>
        <w:t>e</w:t>
      </w:r>
      <w:r w:rsidRPr="0043317B">
        <w:rPr>
          <w:lang w:val="fr-FR"/>
        </w:rPr>
        <w:t xml:space="preserve"> chambre du tribunal administratif d</w:t>
      </w:r>
      <w:r w:rsidRPr="0043317B" w:rsidR="0043317B">
        <w:rPr>
          <w:lang w:val="fr-FR"/>
        </w:rPr>
        <w:t>’</w:t>
      </w:r>
      <w:r w:rsidRPr="0043317B">
        <w:rPr>
          <w:lang w:val="fr-FR"/>
        </w:rPr>
        <w:t>Istanbul rejeta à nouveau la demande de l</w:t>
      </w:r>
      <w:r w:rsidRPr="0043317B" w:rsidR="0043317B">
        <w:rPr>
          <w:lang w:val="fr-FR"/>
        </w:rPr>
        <w:t>’</w:t>
      </w:r>
      <w:r w:rsidRPr="0043317B">
        <w:rPr>
          <w:lang w:val="fr-FR"/>
        </w:rPr>
        <w:t>intéressée.</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149</w:t>
      </w:r>
      <w:r w:rsidRPr="0043317B">
        <w:rPr>
          <w:lang w:val="fr-FR"/>
        </w:rPr>
        <w:fldChar w:fldCharType="end"/>
      </w:r>
      <w:r w:rsidRPr="0043317B">
        <w:rPr>
          <w:lang w:val="fr-FR"/>
        </w:rPr>
        <w:t>.  Cette dernière se pourvut à nouveau en cassation.</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150</w:t>
      </w:r>
      <w:r w:rsidRPr="0043317B">
        <w:rPr>
          <w:lang w:val="fr-FR"/>
        </w:rPr>
        <w:fldChar w:fldCharType="end"/>
      </w:r>
      <w:r w:rsidRPr="0043317B">
        <w:rPr>
          <w:lang w:val="fr-FR"/>
        </w:rPr>
        <w:t>.  Le 17 décembre 2009, l</w:t>
      </w:r>
      <w:r w:rsidRPr="0043317B" w:rsidR="0043317B">
        <w:rPr>
          <w:lang w:val="fr-FR"/>
        </w:rPr>
        <w:t>’</w:t>
      </w:r>
      <w:r w:rsidRPr="0043317B">
        <w:rPr>
          <w:lang w:val="fr-FR"/>
        </w:rPr>
        <w:t>assemblée des chambres administratives réunies du Conseil d</w:t>
      </w:r>
      <w:r w:rsidRPr="0043317B" w:rsidR="0043317B">
        <w:rPr>
          <w:lang w:val="fr-FR"/>
        </w:rPr>
        <w:t>’</w:t>
      </w:r>
      <w:r w:rsidRPr="0043317B">
        <w:rPr>
          <w:lang w:val="fr-FR"/>
        </w:rPr>
        <w:t>État, reprenant les motifs de l</w:t>
      </w:r>
      <w:r w:rsidRPr="0043317B" w:rsidR="0043317B">
        <w:rPr>
          <w:lang w:val="fr-FR"/>
        </w:rPr>
        <w:t>’</w:t>
      </w:r>
      <w:r w:rsidRPr="0043317B">
        <w:rPr>
          <w:lang w:val="fr-FR"/>
        </w:rPr>
        <w:t>arrêt de la 13</w:t>
      </w:r>
      <w:r w:rsidRPr="0043317B">
        <w:rPr>
          <w:vertAlign w:val="superscript"/>
          <w:lang w:val="fr-FR"/>
        </w:rPr>
        <w:t>e</w:t>
      </w:r>
      <w:r w:rsidRPr="0043317B" w:rsidR="003C4A77">
        <w:rPr>
          <w:vertAlign w:val="superscript"/>
          <w:lang w:val="fr-FR"/>
        </w:rPr>
        <w:t> </w:t>
      </w:r>
      <w:r w:rsidRPr="0043317B">
        <w:rPr>
          <w:lang w:val="fr-FR"/>
        </w:rPr>
        <w:t>chambre du Conseil d</w:t>
      </w:r>
      <w:r w:rsidRPr="0043317B" w:rsidR="0043317B">
        <w:rPr>
          <w:lang w:val="fr-FR"/>
        </w:rPr>
        <w:t>’</w:t>
      </w:r>
      <w:r w:rsidRPr="0043317B">
        <w:rPr>
          <w:lang w:val="fr-FR"/>
        </w:rPr>
        <w:t>État du 8 octobre 2007, cassa le jugement du 6 mai 2008 rendu par la</w:t>
      </w:r>
      <w:r w:rsidRPr="0043317B" w:rsidR="003C4A77">
        <w:rPr>
          <w:lang w:val="fr-FR"/>
        </w:rPr>
        <w:t xml:space="preserve"> </w:t>
      </w:r>
      <w:r w:rsidRPr="0043317B">
        <w:rPr>
          <w:lang w:val="fr-FR"/>
        </w:rPr>
        <w:t>6</w:t>
      </w:r>
      <w:r w:rsidRPr="0043317B">
        <w:rPr>
          <w:vertAlign w:val="superscript"/>
          <w:lang w:val="fr-FR"/>
        </w:rPr>
        <w:t>e</w:t>
      </w:r>
      <w:r w:rsidRPr="0043317B">
        <w:rPr>
          <w:lang w:val="fr-FR"/>
        </w:rPr>
        <w:t xml:space="preserve"> chambre du tribunal administratif d</w:t>
      </w:r>
      <w:r w:rsidRPr="0043317B" w:rsidR="0043317B">
        <w:rPr>
          <w:lang w:val="fr-FR"/>
        </w:rPr>
        <w:t>’</w:t>
      </w:r>
      <w:r w:rsidRPr="0043317B">
        <w:rPr>
          <w:lang w:val="fr-FR"/>
        </w:rPr>
        <w:t>Istanbul.</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151</w:t>
      </w:r>
      <w:r w:rsidRPr="0043317B">
        <w:rPr>
          <w:lang w:val="fr-FR"/>
        </w:rPr>
        <w:fldChar w:fldCharType="end"/>
      </w:r>
      <w:r w:rsidRPr="0043317B">
        <w:rPr>
          <w:lang w:val="fr-FR"/>
        </w:rPr>
        <w:t>.  Le 16 décembre 2010, le recours en rectification formé par le FADE fut rejeté.</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152</w:t>
      </w:r>
      <w:r w:rsidRPr="0043317B">
        <w:rPr>
          <w:lang w:val="fr-FR"/>
        </w:rPr>
        <w:fldChar w:fldCharType="end"/>
      </w:r>
      <w:r w:rsidRPr="0043317B">
        <w:rPr>
          <w:lang w:val="fr-FR"/>
        </w:rPr>
        <w:t>.  Le 29 avril 2011, la 6</w:t>
      </w:r>
      <w:r w:rsidRPr="0043317B">
        <w:rPr>
          <w:vertAlign w:val="superscript"/>
          <w:lang w:val="fr-FR"/>
        </w:rPr>
        <w:t>e</w:t>
      </w:r>
      <w:r w:rsidRPr="0043317B">
        <w:rPr>
          <w:lang w:val="fr-FR"/>
        </w:rPr>
        <w:t xml:space="preserve"> chambre du tribunal administratif d</w:t>
      </w:r>
      <w:r w:rsidRPr="0043317B" w:rsidR="0043317B">
        <w:rPr>
          <w:lang w:val="fr-FR"/>
        </w:rPr>
        <w:t>’</w:t>
      </w:r>
      <w:r w:rsidRPr="0043317B">
        <w:rPr>
          <w:lang w:val="fr-FR"/>
        </w:rPr>
        <w:t>Istanbul accueillit favorablement la demande de la requérante Bilge Doğru et annula la lettre d</w:t>
      </w:r>
      <w:r w:rsidRPr="0043317B" w:rsidR="0043317B">
        <w:rPr>
          <w:lang w:val="fr-FR"/>
        </w:rPr>
        <w:t>’</w:t>
      </w:r>
      <w:r w:rsidRPr="0043317B">
        <w:rPr>
          <w:lang w:val="fr-FR"/>
        </w:rPr>
        <w:t>invitation à payer du 27 janvier 2004 ainsi que l</w:t>
      </w:r>
      <w:r w:rsidRPr="0043317B" w:rsidR="0043317B">
        <w:rPr>
          <w:lang w:val="fr-FR"/>
        </w:rPr>
        <w:t>’</w:t>
      </w:r>
      <w:r w:rsidRPr="0043317B">
        <w:rPr>
          <w:lang w:val="fr-FR"/>
        </w:rPr>
        <w:t>ordonnance de mesures provisoires en date du 2 janvier 2004.</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153</w:t>
      </w:r>
      <w:r w:rsidRPr="0043317B">
        <w:rPr>
          <w:lang w:val="fr-FR"/>
        </w:rPr>
        <w:fldChar w:fldCharType="end"/>
      </w:r>
      <w:r w:rsidRPr="0043317B">
        <w:rPr>
          <w:lang w:val="fr-FR"/>
        </w:rPr>
        <w:t>.  Le 30 janvier 2015, la 13</w:t>
      </w:r>
      <w:r w:rsidRPr="0043317B">
        <w:rPr>
          <w:vertAlign w:val="superscript"/>
          <w:lang w:val="fr-FR"/>
        </w:rPr>
        <w:t>e</w:t>
      </w:r>
      <w:r w:rsidRPr="0043317B">
        <w:rPr>
          <w:lang w:val="fr-FR"/>
        </w:rPr>
        <w:t xml:space="preserve"> chambre du Conseil d</w:t>
      </w:r>
      <w:r w:rsidRPr="0043317B" w:rsidR="0043317B">
        <w:rPr>
          <w:lang w:val="fr-FR"/>
        </w:rPr>
        <w:t>’</w:t>
      </w:r>
      <w:r w:rsidRPr="0043317B">
        <w:rPr>
          <w:lang w:val="fr-FR"/>
        </w:rPr>
        <w:t>État confirma le jugement du tribunal administratif sur le fond. Elle cassa le jugement en ce qui concernait les frais de la procédure.</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154</w:t>
      </w:r>
      <w:r w:rsidRPr="0043317B">
        <w:rPr>
          <w:lang w:val="fr-FR"/>
        </w:rPr>
        <w:fldChar w:fldCharType="end"/>
      </w:r>
      <w:r w:rsidRPr="0043317B">
        <w:rPr>
          <w:lang w:val="fr-FR"/>
        </w:rPr>
        <w:t>.  Le 24 mai 2016, la même chambre du Conseil d</w:t>
      </w:r>
      <w:r w:rsidRPr="0043317B" w:rsidR="0043317B">
        <w:rPr>
          <w:lang w:val="fr-FR"/>
        </w:rPr>
        <w:t>’</w:t>
      </w:r>
      <w:r w:rsidRPr="0043317B">
        <w:rPr>
          <w:lang w:val="fr-FR"/>
        </w:rPr>
        <w:t>État rejeta le recours en rectification formé par le FADE.</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155</w:t>
      </w:r>
      <w:r w:rsidRPr="0043317B">
        <w:rPr>
          <w:lang w:val="fr-FR"/>
        </w:rPr>
        <w:fldChar w:fldCharType="end"/>
      </w:r>
      <w:r w:rsidRPr="0043317B">
        <w:rPr>
          <w:lang w:val="fr-FR"/>
        </w:rPr>
        <w:t>.  Dans l</w:t>
      </w:r>
      <w:r w:rsidRPr="0043317B" w:rsidR="0043317B">
        <w:rPr>
          <w:lang w:val="fr-FR"/>
        </w:rPr>
        <w:t>’</w:t>
      </w:r>
      <w:r w:rsidRPr="0043317B">
        <w:rPr>
          <w:lang w:val="fr-FR"/>
        </w:rPr>
        <w:t>intervalle, le 26 décembre 2006, la 6</w:t>
      </w:r>
      <w:r w:rsidRPr="0043317B">
        <w:rPr>
          <w:vertAlign w:val="superscript"/>
          <w:lang w:val="fr-FR"/>
        </w:rPr>
        <w:t>e</w:t>
      </w:r>
      <w:r w:rsidRPr="0043317B">
        <w:rPr>
          <w:lang w:val="fr-FR"/>
        </w:rPr>
        <w:t xml:space="preserve"> chambre du tribunal administratif d</w:t>
      </w:r>
      <w:r w:rsidRPr="0043317B" w:rsidR="0043317B">
        <w:rPr>
          <w:lang w:val="fr-FR"/>
        </w:rPr>
        <w:t>’</w:t>
      </w:r>
      <w:r w:rsidRPr="0043317B">
        <w:rPr>
          <w:lang w:val="fr-FR"/>
        </w:rPr>
        <w:t>Istanbul avait rejeté la demande d</w:t>
      </w:r>
      <w:r w:rsidRPr="0043317B" w:rsidR="0043317B">
        <w:rPr>
          <w:lang w:val="fr-FR"/>
        </w:rPr>
        <w:t>’</w:t>
      </w:r>
      <w:r w:rsidRPr="0043317B">
        <w:rPr>
          <w:lang w:val="fr-FR"/>
        </w:rPr>
        <w:t>annulation de l</w:t>
      </w:r>
      <w:r w:rsidRPr="0043317B" w:rsidR="0043317B">
        <w:rPr>
          <w:lang w:val="fr-FR"/>
        </w:rPr>
        <w:t>’</w:t>
      </w:r>
      <w:r w:rsidRPr="0043317B">
        <w:rPr>
          <w:lang w:val="fr-FR"/>
        </w:rPr>
        <w:t>ordre de paiement du 23 mars 2004.</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156</w:t>
      </w:r>
      <w:r w:rsidRPr="0043317B">
        <w:rPr>
          <w:lang w:val="fr-FR"/>
        </w:rPr>
        <w:fldChar w:fldCharType="end"/>
      </w:r>
      <w:r w:rsidRPr="0043317B">
        <w:rPr>
          <w:lang w:val="fr-FR"/>
        </w:rPr>
        <w:t>.  La requérante susmentionnée se pourvut en cassation contre la décision du tribunal administratif.</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157</w:t>
      </w:r>
      <w:r w:rsidRPr="0043317B">
        <w:rPr>
          <w:lang w:val="fr-FR"/>
        </w:rPr>
        <w:fldChar w:fldCharType="end"/>
      </w:r>
      <w:r w:rsidRPr="0043317B">
        <w:rPr>
          <w:lang w:val="fr-FR"/>
        </w:rPr>
        <w:t>.  Le 23 août 2007, la 3</w:t>
      </w:r>
      <w:r w:rsidRPr="0043317B">
        <w:rPr>
          <w:vertAlign w:val="superscript"/>
          <w:lang w:val="fr-FR"/>
        </w:rPr>
        <w:t>e</w:t>
      </w:r>
      <w:r w:rsidRPr="0043317B">
        <w:rPr>
          <w:lang w:val="fr-FR"/>
        </w:rPr>
        <w:t xml:space="preserve"> chambre du Conseil d</w:t>
      </w:r>
      <w:r w:rsidRPr="0043317B" w:rsidR="0043317B">
        <w:rPr>
          <w:lang w:val="fr-FR"/>
        </w:rPr>
        <w:t>’</w:t>
      </w:r>
      <w:r w:rsidRPr="0043317B">
        <w:rPr>
          <w:lang w:val="fr-FR"/>
        </w:rPr>
        <w:t>État, après avoir demandé et reçu les observations du FADE à ce sujet, ordonna le sursis à exécution de l</w:t>
      </w:r>
      <w:r w:rsidRPr="0043317B" w:rsidR="0043317B">
        <w:rPr>
          <w:lang w:val="fr-FR"/>
        </w:rPr>
        <w:t>’</w:t>
      </w:r>
      <w:r w:rsidRPr="0043317B">
        <w:rPr>
          <w:lang w:val="fr-FR"/>
        </w:rPr>
        <w:t>ordre de paiement.</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158</w:t>
      </w:r>
      <w:r w:rsidRPr="0043317B">
        <w:rPr>
          <w:lang w:val="fr-FR"/>
        </w:rPr>
        <w:fldChar w:fldCharType="end"/>
      </w:r>
      <w:r w:rsidRPr="0043317B">
        <w:rPr>
          <w:lang w:val="fr-FR"/>
        </w:rPr>
        <w:t>.  Le 17 décembre 2009, l</w:t>
      </w:r>
      <w:r w:rsidRPr="0043317B" w:rsidR="0043317B">
        <w:rPr>
          <w:lang w:val="fr-FR"/>
        </w:rPr>
        <w:t>’</w:t>
      </w:r>
      <w:r w:rsidRPr="0043317B">
        <w:rPr>
          <w:lang w:val="fr-FR"/>
        </w:rPr>
        <w:t>assemblée des chambres administratives réunies du Conseil d</w:t>
      </w:r>
      <w:r w:rsidRPr="0043317B" w:rsidR="0043317B">
        <w:rPr>
          <w:lang w:val="fr-FR"/>
        </w:rPr>
        <w:t>’</w:t>
      </w:r>
      <w:r w:rsidRPr="0043317B">
        <w:rPr>
          <w:lang w:val="fr-FR"/>
        </w:rPr>
        <w:t>État infirma à nouveau le jugement de la 6</w:t>
      </w:r>
      <w:r w:rsidRPr="0043317B">
        <w:rPr>
          <w:vertAlign w:val="superscript"/>
          <w:lang w:val="fr-FR"/>
        </w:rPr>
        <w:t>e</w:t>
      </w:r>
      <w:r w:rsidRPr="0043317B">
        <w:rPr>
          <w:lang w:val="fr-FR"/>
        </w:rPr>
        <w:t xml:space="preserve"> chambre du tribunal administratif d</w:t>
      </w:r>
      <w:r w:rsidRPr="0043317B" w:rsidR="0043317B">
        <w:rPr>
          <w:lang w:val="fr-FR"/>
        </w:rPr>
        <w:t>’</w:t>
      </w:r>
      <w:r w:rsidRPr="0043317B">
        <w:rPr>
          <w:lang w:val="fr-FR"/>
        </w:rPr>
        <w:t>Istanbul et précisa que ladite requérante ne pouvait être tenue pour responsable du préjudice subi par le FADE.</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159</w:t>
      </w:r>
      <w:r w:rsidRPr="0043317B">
        <w:rPr>
          <w:lang w:val="fr-FR"/>
        </w:rPr>
        <w:fldChar w:fldCharType="end"/>
      </w:r>
      <w:r w:rsidRPr="0043317B">
        <w:rPr>
          <w:lang w:val="fr-FR"/>
        </w:rPr>
        <w:t>.  Le 29 avril 2011, la 6</w:t>
      </w:r>
      <w:r w:rsidRPr="0043317B">
        <w:rPr>
          <w:vertAlign w:val="superscript"/>
          <w:lang w:val="fr-FR"/>
        </w:rPr>
        <w:t>e</w:t>
      </w:r>
      <w:r w:rsidRPr="0043317B">
        <w:rPr>
          <w:lang w:val="fr-FR"/>
        </w:rPr>
        <w:t xml:space="preserve"> chambre du tribunal administratif d</w:t>
      </w:r>
      <w:r w:rsidRPr="0043317B" w:rsidR="0043317B">
        <w:rPr>
          <w:lang w:val="fr-FR"/>
        </w:rPr>
        <w:t>’</w:t>
      </w:r>
      <w:r w:rsidRPr="0043317B">
        <w:rPr>
          <w:lang w:val="fr-FR"/>
        </w:rPr>
        <w:t>Istanbul rendit sa décision, par laquelle elle jugea que la responsabilité de l</w:t>
      </w:r>
      <w:r w:rsidRPr="0043317B" w:rsidR="0043317B">
        <w:rPr>
          <w:lang w:val="fr-FR"/>
        </w:rPr>
        <w:t>’</w:t>
      </w:r>
      <w:r w:rsidRPr="0043317B">
        <w:rPr>
          <w:lang w:val="fr-FR"/>
        </w:rPr>
        <w:t>intéressée ne pouvait être engagée en ce qui concerne l</w:t>
      </w:r>
      <w:r w:rsidRPr="0043317B" w:rsidR="0043317B">
        <w:rPr>
          <w:lang w:val="fr-FR"/>
        </w:rPr>
        <w:t>’</w:t>
      </w:r>
      <w:r w:rsidRPr="0043317B">
        <w:rPr>
          <w:lang w:val="fr-FR"/>
        </w:rPr>
        <w:t>ordre du paiement.</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160</w:t>
      </w:r>
      <w:r w:rsidRPr="0043317B">
        <w:rPr>
          <w:lang w:val="fr-FR"/>
        </w:rPr>
        <w:fldChar w:fldCharType="end"/>
      </w:r>
      <w:r w:rsidRPr="0043317B">
        <w:rPr>
          <w:lang w:val="fr-FR"/>
        </w:rPr>
        <w:t>.  Le 14 septembre 2011, le même tribunal annula l</w:t>
      </w:r>
      <w:r w:rsidRPr="0043317B" w:rsidR="0043317B">
        <w:rPr>
          <w:lang w:val="fr-FR"/>
        </w:rPr>
        <w:t>’</w:t>
      </w:r>
      <w:r w:rsidRPr="0043317B">
        <w:rPr>
          <w:lang w:val="fr-FR"/>
        </w:rPr>
        <w:t>ordre de paiement émis par le FADE à l</w:t>
      </w:r>
      <w:r w:rsidRPr="0043317B" w:rsidR="0043317B">
        <w:rPr>
          <w:lang w:val="fr-FR"/>
        </w:rPr>
        <w:t>’</w:t>
      </w:r>
      <w:r w:rsidRPr="0043317B">
        <w:rPr>
          <w:lang w:val="fr-FR"/>
        </w:rPr>
        <w:t>encontre de la requérante.</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161</w:t>
      </w:r>
      <w:r w:rsidRPr="0043317B">
        <w:rPr>
          <w:lang w:val="fr-FR"/>
        </w:rPr>
        <w:fldChar w:fldCharType="end"/>
      </w:r>
      <w:r w:rsidRPr="0043317B">
        <w:rPr>
          <w:lang w:val="fr-FR"/>
        </w:rPr>
        <w:t>.  Le 30 janvier 2015, la 13</w:t>
      </w:r>
      <w:r w:rsidRPr="0043317B">
        <w:rPr>
          <w:vertAlign w:val="superscript"/>
          <w:lang w:val="fr-FR"/>
        </w:rPr>
        <w:t>e</w:t>
      </w:r>
      <w:r w:rsidRPr="0043317B">
        <w:rPr>
          <w:lang w:val="fr-FR"/>
        </w:rPr>
        <w:t xml:space="preserve"> chambre du Conseil d</w:t>
      </w:r>
      <w:r w:rsidRPr="0043317B" w:rsidR="0043317B">
        <w:rPr>
          <w:lang w:val="fr-FR"/>
        </w:rPr>
        <w:t>’</w:t>
      </w:r>
      <w:r w:rsidRPr="0043317B">
        <w:rPr>
          <w:lang w:val="fr-FR"/>
        </w:rPr>
        <w:t>État confirma le jugement du tribunal administratif.</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162</w:t>
      </w:r>
      <w:r w:rsidRPr="0043317B">
        <w:rPr>
          <w:lang w:val="fr-FR"/>
        </w:rPr>
        <w:fldChar w:fldCharType="end"/>
      </w:r>
      <w:r w:rsidRPr="0043317B">
        <w:rPr>
          <w:lang w:val="fr-FR"/>
        </w:rPr>
        <w:t>.  Le 24 mai 2016, le recours en rectification formé par le FADE fut rejeté.</w:t>
      </w:r>
    </w:p>
    <w:p w:rsidRPr="0043317B" w:rsidR="000A45C0" w:rsidP="0043317B" w:rsidRDefault="000A45C0">
      <w:pPr>
        <w:pStyle w:val="ECHRHeading1"/>
        <w:rPr>
          <w:lang w:val="fr-FR"/>
        </w:rPr>
      </w:pPr>
      <w:r w:rsidRPr="0043317B">
        <w:rPr>
          <w:lang w:val="fr-FR"/>
        </w:rPr>
        <w:t>II.  LE DROIT ET LA PRATIQUE INTERNES PERTINENTS</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163</w:t>
      </w:r>
      <w:r w:rsidRPr="0043317B">
        <w:rPr>
          <w:lang w:val="fr-FR"/>
        </w:rPr>
        <w:fldChar w:fldCharType="end"/>
      </w:r>
      <w:r w:rsidRPr="0043317B">
        <w:rPr>
          <w:lang w:val="fr-FR"/>
        </w:rPr>
        <w:t>.  Le régime établi par l</w:t>
      </w:r>
      <w:r w:rsidRPr="0043317B" w:rsidR="0043317B">
        <w:rPr>
          <w:lang w:val="fr-FR"/>
        </w:rPr>
        <w:t>’</w:t>
      </w:r>
      <w:r w:rsidRPr="0043317B">
        <w:rPr>
          <w:lang w:val="fr-FR"/>
        </w:rPr>
        <w:t>article 14 de la loi n</w:t>
      </w:r>
      <w:r w:rsidRPr="0043317B">
        <w:rPr>
          <w:vertAlign w:val="superscript"/>
          <w:lang w:val="fr-FR"/>
        </w:rPr>
        <w:t>o</w:t>
      </w:r>
      <w:r w:rsidRPr="0043317B">
        <w:rPr>
          <w:lang w:val="fr-FR"/>
        </w:rPr>
        <w:t xml:space="preserve"> 4389 sur les banques (« la loi n</w:t>
      </w:r>
      <w:r w:rsidRPr="0043317B">
        <w:rPr>
          <w:vertAlign w:val="superscript"/>
          <w:lang w:val="fr-FR"/>
        </w:rPr>
        <w:t>o</w:t>
      </w:r>
      <w:r w:rsidRPr="0043317B">
        <w:rPr>
          <w:lang w:val="fr-FR"/>
        </w:rPr>
        <w:t> 4389 »), dans sa version en vigueur à l</w:t>
      </w:r>
      <w:r w:rsidRPr="0043317B" w:rsidR="0043317B">
        <w:rPr>
          <w:lang w:val="fr-FR"/>
        </w:rPr>
        <w:t>’</w:t>
      </w:r>
      <w:r w:rsidRPr="0043317B">
        <w:rPr>
          <w:lang w:val="fr-FR"/>
        </w:rPr>
        <w:t>époque des faits et postérieure aux modifications apportées par la loi n</w:t>
      </w:r>
      <w:r w:rsidRPr="0043317B">
        <w:rPr>
          <w:vertAlign w:val="superscript"/>
          <w:lang w:val="fr-FR"/>
        </w:rPr>
        <w:t>o</w:t>
      </w:r>
      <w:r w:rsidRPr="0043317B">
        <w:rPr>
          <w:lang w:val="fr-FR"/>
        </w:rPr>
        <w:t xml:space="preserve"> 5020 du 26 décembre 2003, prévoyait une série de mesures en direction des établissements en difficulté, l</w:t>
      </w:r>
      <w:r w:rsidRPr="0043317B" w:rsidR="0043317B">
        <w:rPr>
          <w:lang w:val="fr-FR"/>
        </w:rPr>
        <w:t>’</w:t>
      </w:r>
      <w:r w:rsidRPr="0043317B">
        <w:rPr>
          <w:lang w:val="fr-FR"/>
        </w:rPr>
        <w:t>autorité de droit public régulatrice de ce secteur étant l</w:t>
      </w:r>
      <w:r w:rsidRPr="0043317B" w:rsidR="0043317B">
        <w:rPr>
          <w:lang w:val="fr-FR"/>
        </w:rPr>
        <w:t>’</w:t>
      </w:r>
      <w:r w:rsidRPr="0043317B">
        <w:rPr>
          <w:lang w:val="fr-FR"/>
        </w:rPr>
        <w:t>Agence de réglementation e</w:t>
      </w:r>
      <w:r w:rsidRPr="0043317B" w:rsidR="003C4A77">
        <w:rPr>
          <w:lang w:val="fr-FR"/>
        </w:rPr>
        <w:t>t de supervision des banques (« </w:t>
      </w:r>
      <w:r w:rsidRPr="0043317B">
        <w:rPr>
          <w:lang w:val="fr-FR"/>
        </w:rPr>
        <w:t>l</w:t>
      </w:r>
      <w:r w:rsidRPr="0043317B" w:rsidR="0043317B">
        <w:rPr>
          <w:lang w:val="fr-FR"/>
        </w:rPr>
        <w:t>’</w:t>
      </w:r>
      <w:r w:rsidRPr="0043317B" w:rsidR="003C4A77">
        <w:rPr>
          <w:lang w:val="fr-FR"/>
        </w:rPr>
        <w:t>ARSB </w:t>
      </w:r>
      <w:r w:rsidRPr="0043317B">
        <w:rPr>
          <w:lang w:val="fr-FR"/>
        </w:rPr>
        <w:t>»). Pour exercer ses prérogatives, celle-ci se fondait sur les informations financières et les rapports qui lui étaient adressés par des auditeurs assermentés. Si la banque visée présentait un déficit d</w:t>
      </w:r>
      <w:r w:rsidRPr="0043317B" w:rsidR="0043317B">
        <w:rPr>
          <w:lang w:val="fr-FR"/>
        </w:rPr>
        <w:t>’</w:t>
      </w:r>
      <w:r w:rsidRPr="0043317B">
        <w:rPr>
          <w:lang w:val="fr-FR"/>
        </w:rPr>
        <w:t>une importance telle qu</w:t>
      </w:r>
      <w:r w:rsidRPr="0043317B" w:rsidR="0043317B">
        <w:rPr>
          <w:lang w:val="fr-FR"/>
        </w:rPr>
        <w:t>’</w:t>
      </w:r>
      <w:r w:rsidRPr="0043317B">
        <w:rPr>
          <w:lang w:val="fr-FR"/>
        </w:rPr>
        <w:t>aucune mesure préventive ne pouvait y remédier, l</w:t>
      </w:r>
      <w:r w:rsidRPr="0043317B" w:rsidR="0043317B">
        <w:rPr>
          <w:lang w:val="fr-FR"/>
        </w:rPr>
        <w:t>’</w:t>
      </w:r>
      <w:r w:rsidRPr="0043317B">
        <w:rPr>
          <w:lang w:val="fr-FR"/>
        </w:rPr>
        <w:t>ARSB prononçait le transfert de l</w:t>
      </w:r>
      <w:r w:rsidRPr="0043317B" w:rsidR="0043317B">
        <w:rPr>
          <w:lang w:val="fr-FR"/>
        </w:rPr>
        <w:t>’</w:t>
      </w:r>
      <w:r w:rsidRPr="0043317B">
        <w:rPr>
          <w:lang w:val="fr-FR"/>
        </w:rPr>
        <w:t>administration et du contrôle de la banque au FADE (article</w:t>
      </w:r>
      <w:r w:rsidRPr="0043317B" w:rsidR="003C4A77">
        <w:rPr>
          <w:lang w:val="fr-FR"/>
        </w:rPr>
        <w:t xml:space="preserve"> </w:t>
      </w:r>
      <w:r w:rsidRPr="0043317B">
        <w:rPr>
          <w:lang w:val="fr-FR"/>
        </w:rPr>
        <w:t>14</w:t>
      </w:r>
      <w:r w:rsidRPr="0043317B" w:rsidR="003C4A77">
        <w:rPr>
          <w:lang w:val="fr-FR"/>
        </w:rPr>
        <w:t xml:space="preserve"> </w:t>
      </w:r>
      <w:r w:rsidRPr="0043317B">
        <w:rPr>
          <w:lang w:val="fr-FR"/>
        </w:rPr>
        <w:t>§</w:t>
      </w:r>
      <w:r w:rsidRPr="0043317B" w:rsidR="003C4A77">
        <w:rPr>
          <w:lang w:val="fr-FR"/>
        </w:rPr>
        <w:t xml:space="preserve"> </w:t>
      </w:r>
      <w:r w:rsidRPr="0043317B">
        <w:rPr>
          <w:lang w:val="fr-FR"/>
        </w:rPr>
        <w:t>3), une autre entité de droit public, chargée en vertu de l</w:t>
      </w:r>
      <w:r w:rsidRPr="0043317B" w:rsidR="0043317B">
        <w:rPr>
          <w:lang w:val="fr-FR"/>
        </w:rPr>
        <w:t>’</w:t>
      </w:r>
      <w:r w:rsidRPr="0043317B">
        <w:rPr>
          <w:lang w:val="fr-FR"/>
        </w:rPr>
        <w:t>article</w:t>
      </w:r>
      <w:r w:rsidRPr="0043317B" w:rsidR="003C4A77">
        <w:rPr>
          <w:lang w:val="fr-FR"/>
        </w:rPr>
        <w:t xml:space="preserve"> </w:t>
      </w:r>
      <w:r w:rsidRPr="0043317B">
        <w:rPr>
          <w:lang w:val="fr-FR"/>
        </w:rPr>
        <w:t>15 de la loi</w:t>
      </w:r>
      <w:r w:rsidRPr="0043317B" w:rsidR="003C4A77">
        <w:rPr>
          <w:lang w:val="fr-FR"/>
        </w:rPr>
        <w:t> </w:t>
      </w:r>
      <w:r w:rsidRPr="0043317B">
        <w:rPr>
          <w:lang w:val="fr-FR"/>
        </w:rPr>
        <w:t>n</w:t>
      </w:r>
      <w:r w:rsidRPr="0043317B">
        <w:rPr>
          <w:vertAlign w:val="superscript"/>
          <w:lang w:val="fr-FR"/>
        </w:rPr>
        <w:t>o</w:t>
      </w:r>
      <w:r w:rsidRPr="0043317B" w:rsidR="003C4A77">
        <w:rPr>
          <w:vertAlign w:val="superscript"/>
          <w:lang w:val="fr-FR"/>
        </w:rPr>
        <w:t> </w:t>
      </w:r>
      <w:r w:rsidRPr="0043317B">
        <w:rPr>
          <w:lang w:val="fr-FR"/>
        </w:rPr>
        <w:t>4389 du redressement des banques en difficulté.</w:t>
      </w:r>
    </w:p>
    <w:p w:rsidRPr="0043317B" w:rsidR="000A45C0" w:rsidP="0043317B" w:rsidRDefault="000A45C0">
      <w:pPr>
        <w:pStyle w:val="ECHRPara"/>
        <w:rPr>
          <w:lang w:val="fr-FR"/>
        </w:rPr>
      </w:pPr>
      <w:r w:rsidRPr="0043317B">
        <w:rPr>
          <w:lang w:val="fr-FR"/>
        </w:rPr>
        <w:t>Pour plus de détails sur l</w:t>
      </w:r>
      <w:r w:rsidRPr="0043317B" w:rsidR="0043317B">
        <w:rPr>
          <w:lang w:val="fr-FR"/>
        </w:rPr>
        <w:t>’</w:t>
      </w:r>
      <w:r w:rsidRPr="0043317B">
        <w:rPr>
          <w:lang w:val="fr-FR"/>
        </w:rPr>
        <w:t>article 14 de la loi n</w:t>
      </w:r>
      <w:r w:rsidRPr="0043317B">
        <w:rPr>
          <w:vertAlign w:val="superscript"/>
          <w:lang w:val="fr-FR"/>
        </w:rPr>
        <w:t>o</w:t>
      </w:r>
      <w:r w:rsidRPr="0043317B">
        <w:rPr>
          <w:lang w:val="fr-FR"/>
        </w:rPr>
        <w:t xml:space="preserve"> 4389, il convient de se référer à l</w:t>
      </w:r>
      <w:r w:rsidRPr="0043317B" w:rsidR="0043317B">
        <w:rPr>
          <w:lang w:val="fr-FR"/>
        </w:rPr>
        <w:t>’</w:t>
      </w:r>
      <w:r w:rsidRPr="0043317B">
        <w:rPr>
          <w:lang w:val="fr-FR"/>
        </w:rPr>
        <w:t xml:space="preserve">arrêt </w:t>
      </w:r>
      <w:r w:rsidRPr="0043317B">
        <w:rPr>
          <w:i/>
          <w:lang w:val="fr-FR"/>
        </w:rPr>
        <w:t xml:space="preserve">Yaşar Holding A.Ş. c. Turquie </w:t>
      </w:r>
      <w:r w:rsidRPr="0043317B">
        <w:rPr>
          <w:lang w:val="fr-FR"/>
        </w:rPr>
        <w:t>(fond) (n</w:t>
      </w:r>
      <w:r w:rsidRPr="0043317B">
        <w:rPr>
          <w:vertAlign w:val="superscript"/>
          <w:lang w:val="fr-FR"/>
        </w:rPr>
        <w:t>o</w:t>
      </w:r>
      <w:r w:rsidRPr="0043317B">
        <w:rPr>
          <w:lang w:val="fr-FR"/>
        </w:rPr>
        <w:t xml:space="preserve"> 48642/07, §</w:t>
      </w:r>
      <w:r w:rsidRPr="0043317B" w:rsidR="003C4A77">
        <w:rPr>
          <w:lang w:val="fr-FR"/>
        </w:rPr>
        <w:t> </w:t>
      </w:r>
      <w:r w:rsidRPr="0043317B">
        <w:rPr>
          <w:lang w:val="fr-FR"/>
        </w:rPr>
        <w:t>47, 4 avril 2017).</w:t>
      </w:r>
    </w:p>
    <w:p w:rsidRPr="0043317B" w:rsidR="000A45C0" w:rsidP="0043317B" w:rsidRDefault="000A45C0">
      <w:pPr>
        <w:pStyle w:val="ECHRPara"/>
        <w:rPr>
          <w:lang w:val="fr-FR"/>
        </w:rPr>
      </w:pPr>
      <w:r w:rsidRPr="0043317B">
        <w:fldChar w:fldCharType="begin"/>
      </w:r>
      <w:r w:rsidRPr="0043317B">
        <w:rPr>
          <w:lang w:val="fr-FR"/>
        </w:rPr>
        <w:instrText xml:space="preserve"> SEQ level0 \*arabic </w:instrText>
      </w:r>
      <w:r w:rsidRPr="0043317B">
        <w:fldChar w:fldCharType="separate"/>
      </w:r>
      <w:r w:rsidRPr="0043317B" w:rsidR="0043317B">
        <w:rPr>
          <w:noProof/>
          <w:lang w:val="fr-FR"/>
        </w:rPr>
        <w:t>164</w:t>
      </w:r>
      <w:r w:rsidRPr="0043317B">
        <w:rPr>
          <w:lang w:val="fr-FR"/>
        </w:rPr>
        <w:fldChar w:fldCharType="end"/>
      </w:r>
      <w:r w:rsidRPr="0043317B">
        <w:rPr>
          <w:lang w:val="fr-FR"/>
        </w:rPr>
        <w:t>.  L</w:t>
      </w:r>
      <w:r w:rsidRPr="0043317B" w:rsidR="0043317B">
        <w:rPr>
          <w:lang w:val="fr-FR"/>
        </w:rPr>
        <w:t>’</w:t>
      </w:r>
      <w:r w:rsidRPr="0043317B">
        <w:rPr>
          <w:lang w:val="fr-FR"/>
        </w:rPr>
        <w:t>article provisoire 2 de la loi n</w:t>
      </w:r>
      <w:r w:rsidRPr="0043317B">
        <w:rPr>
          <w:vertAlign w:val="superscript"/>
          <w:lang w:val="fr-FR"/>
        </w:rPr>
        <w:t>o</w:t>
      </w:r>
      <w:r w:rsidRPr="0043317B">
        <w:rPr>
          <w:lang w:val="fr-FR"/>
        </w:rPr>
        <w:t xml:space="preserve"> 4969 du 31 juillet 2003, qui permet de saisir les biens des dirigeants d</w:t>
      </w:r>
      <w:r w:rsidRPr="0043317B" w:rsidR="0043317B">
        <w:rPr>
          <w:lang w:val="fr-FR"/>
        </w:rPr>
        <w:t>’</w:t>
      </w:r>
      <w:r w:rsidRPr="0043317B">
        <w:rPr>
          <w:lang w:val="fr-FR"/>
        </w:rPr>
        <w:t>une banque, se lit ainsi en sa partie pertinente en l</w:t>
      </w:r>
      <w:r w:rsidRPr="0043317B" w:rsidR="0043317B">
        <w:rPr>
          <w:lang w:val="fr-FR"/>
        </w:rPr>
        <w:t>’</w:t>
      </w:r>
      <w:r w:rsidRPr="0043317B">
        <w:rPr>
          <w:lang w:val="fr-FR"/>
        </w:rPr>
        <w:t>espèce :</w:t>
      </w:r>
    </w:p>
    <w:p w:rsidRPr="0043317B" w:rsidR="000A45C0" w:rsidP="0043317B" w:rsidRDefault="000A45C0">
      <w:pPr>
        <w:pStyle w:val="ECHRParaQuote"/>
        <w:rPr>
          <w:lang w:val="fr-FR"/>
        </w:rPr>
      </w:pPr>
      <w:r w:rsidRPr="0043317B">
        <w:rPr>
          <w:lang w:val="fr-FR"/>
        </w:rPr>
        <w:t>« (...) Le FADE peut demander aux juridictions nationales (...) d</w:t>
      </w:r>
      <w:r w:rsidRPr="0043317B" w:rsidR="0043317B">
        <w:rPr>
          <w:lang w:val="fr-FR"/>
        </w:rPr>
        <w:t>’</w:t>
      </w:r>
      <w:r w:rsidRPr="0043317B">
        <w:rPr>
          <w:lang w:val="fr-FR"/>
        </w:rPr>
        <w:t>imposer le gel des avoirs des membres du conseil d</w:t>
      </w:r>
      <w:r w:rsidRPr="0043317B" w:rsidR="0043317B">
        <w:rPr>
          <w:lang w:val="fr-FR"/>
        </w:rPr>
        <w:t>’</w:t>
      </w:r>
      <w:r w:rsidRPr="0043317B">
        <w:rPr>
          <w:lang w:val="fr-FR"/>
        </w:rPr>
        <w:t>administration et du comité de crédit de la banque, du directeur général, des directeurs généraux adjoints, des responsables aptes à représenter la banque par leur signature, des directeurs d</w:t>
      </w:r>
      <w:r w:rsidRPr="0043317B" w:rsidR="0043317B">
        <w:rPr>
          <w:lang w:val="fr-FR"/>
        </w:rPr>
        <w:t>’</w:t>
      </w:r>
      <w:r w:rsidRPr="0043317B">
        <w:rPr>
          <w:lang w:val="fr-FR"/>
        </w:rPr>
        <w:t>agences, des associés qui détiennent la direction et le contrôle de la banque (...), en cas de fausse déclaration concernant le montant des fonds déposés à la banque couverts par l</w:t>
      </w:r>
      <w:r w:rsidRPr="0043317B" w:rsidR="0043317B">
        <w:rPr>
          <w:lang w:val="fr-FR"/>
        </w:rPr>
        <w:t>’</w:t>
      </w:r>
      <w:r w:rsidRPr="0043317B">
        <w:rPr>
          <w:lang w:val="fr-FR"/>
        </w:rPr>
        <w:t>assurance sur les dépôts d</w:t>
      </w:r>
      <w:r w:rsidRPr="0043317B" w:rsidR="0043317B">
        <w:rPr>
          <w:lang w:val="fr-FR"/>
        </w:rPr>
        <w:t>’</w:t>
      </w:r>
      <w:r w:rsidRPr="0043317B">
        <w:rPr>
          <w:lang w:val="fr-FR"/>
        </w:rPr>
        <w:t>épargne (...) Le tribunal compétent peut décider de limiter partiellement ou totalement les droits de disposition de ces personnes et aussi ceux de leurs époux (ses) et enfants concernant tous les droits faisant partie de leur patrimoine, y compris les droits sur les biens immobiliers, les créances et le contenu des coffres</w:t>
      </w:r>
      <w:r w:rsidRPr="0043317B">
        <w:rPr>
          <w:lang w:val="fr-FR"/>
        </w:rPr>
        <w:noBreakHyphen/>
        <w:t>forts loués à la banque en leur nom.</w:t>
      </w:r>
    </w:p>
    <w:p w:rsidRPr="0043317B" w:rsidR="000A45C0" w:rsidP="0043317B" w:rsidRDefault="000A45C0">
      <w:pPr>
        <w:pStyle w:val="ECHRParaQuote"/>
        <w:rPr>
          <w:lang w:val="fr-FR"/>
        </w:rPr>
      </w:pPr>
      <w:r w:rsidRPr="0043317B">
        <w:rPr>
          <w:lang w:val="fr-FR"/>
        </w:rPr>
        <w:t>(...) ces mesures sont aussi applicables aux personnes qui agissent au nom et pour le compte des personnes énumérées ci-dessus.</w:t>
      </w:r>
    </w:p>
    <w:p w:rsidRPr="0043317B" w:rsidR="000A45C0" w:rsidP="0043317B" w:rsidRDefault="000A45C0">
      <w:pPr>
        <w:pStyle w:val="ECHRParaQuote"/>
        <w:rPr>
          <w:lang w:val="fr-FR"/>
        </w:rPr>
      </w:pPr>
      <w:r w:rsidRPr="0043317B">
        <w:rPr>
          <w:lang w:val="fr-FR"/>
        </w:rPr>
        <w:t>(...) La mesure conservatoire ordonnée par le juge du tribunal de police devient caduque lorsque le FADE n</w:t>
      </w:r>
      <w:r w:rsidRPr="0043317B" w:rsidR="0043317B">
        <w:rPr>
          <w:lang w:val="fr-FR"/>
        </w:rPr>
        <w:t>’</w:t>
      </w:r>
      <w:r w:rsidRPr="0043317B">
        <w:rPr>
          <w:lang w:val="fr-FR"/>
        </w:rPr>
        <w:t>introduit pas une plainte au pénal contre l</w:t>
      </w:r>
      <w:r w:rsidRPr="0043317B" w:rsidR="0043317B">
        <w:rPr>
          <w:lang w:val="fr-FR"/>
        </w:rPr>
        <w:t>’</w:t>
      </w:r>
      <w:r w:rsidRPr="0043317B">
        <w:rPr>
          <w:lang w:val="fr-FR"/>
        </w:rPr>
        <w:t>intéressé dans un délai d</w:t>
      </w:r>
      <w:r w:rsidRPr="0043317B" w:rsidR="0043317B">
        <w:rPr>
          <w:lang w:val="fr-FR"/>
        </w:rPr>
        <w:t>’</w:t>
      </w:r>
      <w:r w:rsidRPr="0043317B">
        <w:rPr>
          <w:lang w:val="fr-FR"/>
        </w:rPr>
        <w:t>un an à partir de la date à laquelle la gestion et le contrôle de la banque lui ont été transférés. Dans le cas où le FADE introduit une plainte, la mesure conservatoire reste en vigueur jusqu</w:t>
      </w:r>
      <w:r w:rsidRPr="0043317B" w:rsidR="0043317B">
        <w:rPr>
          <w:lang w:val="fr-FR"/>
        </w:rPr>
        <w:t>’</w:t>
      </w:r>
      <w:r w:rsidRPr="0043317B">
        <w:rPr>
          <w:lang w:val="fr-FR"/>
        </w:rPr>
        <w:t>à ce qu</w:t>
      </w:r>
      <w:r w:rsidRPr="0043317B" w:rsidR="0043317B">
        <w:rPr>
          <w:lang w:val="fr-FR"/>
        </w:rPr>
        <w:t>’</w:t>
      </w:r>
      <w:r w:rsidRPr="0043317B">
        <w:rPr>
          <w:lang w:val="fr-FR"/>
        </w:rPr>
        <w:t>une décision de non-lieu soit prononcée ou un jugement définitif rendu à l</w:t>
      </w:r>
      <w:r w:rsidRPr="0043317B" w:rsidR="0043317B">
        <w:rPr>
          <w:lang w:val="fr-FR"/>
        </w:rPr>
        <w:t>’</w:t>
      </w:r>
      <w:r w:rsidRPr="0043317B">
        <w:rPr>
          <w:lang w:val="fr-FR"/>
        </w:rPr>
        <w:t>issue de l</w:t>
      </w:r>
      <w:r w:rsidRPr="0043317B" w:rsidR="0043317B">
        <w:rPr>
          <w:lang w:val="fr-FR"/>
        </w:rPr>
        <w:t>’</w:t>
      </w:r>
      <w:r w:rsidRPr="0043317B">
        <w:rPr>
          <w:lang w:val="fr-FR"/>
        </w:rPr>
        <w:t>action pénale. »</w:t>
      </w:r>
    </w:p>
    <w:p w:rsidRPr="0043317B" w:rsidR="000A45C0" w:rsidP="0043317B" w:rsidRDefault="000A45C0">
      <w:pPr>
        <w:pStyle w:val="ECHRPara"/>
        <w:rPr>
          <w:lang w:val="fr-FR"/>
        </w:rPr>
      </w:pPr>
      <w:r w:rsidRPr="0043317B">
        <w:fldChar w:fldCharType="begin"/>
      </w:r>
      <w:r w:rsidRPr="0043317B">
        <w:rPr>
          <w:lang w:val="fr-FR"/>
        </w:rPr>
        <w:instrText xml:space="preserve"> SEQ level0 \*arabic </w:instrText>
      </w:r>
      <w:r w:rsidRPr="0043317B">
        <w:fldChar w:fldCharType="separate"/>
      </w:r>
      <w:r w:rsidRPr="0043317B" w:rsidR="0043317B">
        <w:rPr>
          <w:noProof/>
          <w:lang w:val="fr-FR"/>
        </w:rPr>
        <w:t>165</w:t>
      </w:r>
      <w:r w:rsidRPr="0043317B">
        <w:rPr>
          <w:lang w:val="fr-FR"/>
        </w:rPr>
        <w:fldChar w:fldCharType="end"/>
      </w:r>
      <w:r w:rsidRPr="0043317B">
        <w:rPr>
          <w:lang w:val="fr-FR"/>
        </w:rPr>
        <w:t>.  L</w:t>
      </w:r>
      <w:r w:rsidRPr="0043317B" w:rsidR="0043317B">
        <w:rPr>
          <w:lang w:val="fr-FR"/>
        </w:rPr>
        <w:t>’</w:t>
      </w:r>
      <w:r w:rsidRPr="0043317B">
        <w:rPr>
          <w:lang w:val="fr-FR"/>
        </w:rPr>
        <w:t>article 27 de la loi n</w:t>
      </w:r>
      <w:r w:rsidRPr="0043317B">
        <w:rPr>
          <w:vertAlign w:val="superscript"/>
          <w:lang w:val="fr-FR"/>
        </w:rPr>
        <w:t>o</w:t>
      </w:r>
      <w:r w:rsidRPr="0043317B">
        <w:rPr>
          <w:lang w:val="fr-FR"/>
        </w:rPr>
        <w:t xml:space="preserve"> 5020 du 26 décembre 2003 est venu compléter cette disposition et a rajouté un article additionnel n</w:t>
      </w:r>
      <w:r w:rsidRPr="0043317B">
        <w:rPr>
          <w:vertAlign w:val="superscript"/>
          <w:lang w:val="fr-FR"/>
        </w:rPr>
        <w:t>o</w:t>
      </w:r>
      <w:r w:rsidRPr="0043317B" w:rsidR="003C4A77">
        <w:rPr>
          <w:lang w:val="fr-FR"/>
        </w:rPr>
        <w:t xml:space="preserve"> 1 à la loi </w:t>
      </w:r>
      <w:r w:rsidRPr="0043317B">
        <w:rPr>
          <w:lang w:val="fr-FR"/>
        </w:rPr>
        <w:t>n</w:t>
      </w:r>
      <w:r w:rsidRPr="0043317B">
        <w:rPr>
          <w:vertAlign w:val="superscript"/>
          <w:lang w:val="fr-FR"/>
        </w:rPr>
        <w:t>o</w:t>
      </w:r>
      <w:r w:rsidRPr="0043317B">
        <w:rPr>
          <w:lang w:val="fr-FR"/>
        </w:rPr>
        <w:t> 4389. Il prévoit le même principe en énumérant une à une les types de valeurs faisant partie du patrimoine qui sont susceptibles de faire l</w:t>
      </w:r>
      <w:r w:rsidRPr="0043317B" w:rsidR="0043317B">
        <w:rPr>
          <w:lang w:val="fr-FR"/>
        </w:rPr>
        <w:t>’</w:t>
      </w:r>
      <w:r w:rsidRPr="0043317B">
        <w:rPr>
          <w:lang w:val="fr-FR"/>
        </w:rPr>
        <w:t>objet d</w:t>
      </w:r>
      <w:r w:rsidRPr="0043317B" w:rsidR="0043317B">
        <w:rPr>
          <w:lang w:val="fr-FR"/>
        </w:rPr>
        <w:t>’</w:t>
      </w:r>
      <w:r w:rsidRPr="0043317B">
        <w:rPr>
          <w:lang w:val="fr-FR"/>
        </w:rPr>
        <w:t>une mesure conservatoire.</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166</w:t>
      </w:r>
      <w:r w:rsidRPr="0043317B">
        <w:rPr>
          <w:lang w:val="fr-FR"/>
        </w:rPr>
        <w:fldChar w:fldCharType="end"/>
      </w:r>
      <w:r w:rsidRPr="0043317B">
        <w:rPr>
          <w:lang w:val="fr-FR"/>
        </w:rPr>
        <w:t>.  Le FADE peut ainsi demander au tribunal compétent l</w:t>
      </w:r>
      <w:r w:rsidRPr="0043317B" w:rsidR="0043317B">
        <w:rPr>
          <w:lang w:val="fr-FR"/>
        </w:rPr>
        <w:t>’</w:t>
      </w:r>
      <w:r w:rsidRPr="0043317B">
        <w:rPr>
          <w:lang w:val="fr-FR"/>
        </w:rPr>
        <w:t>imposition de mesures conservatoires sur tous les biens des responsables de la direction et du contrôle d</w:t>
      </w:r>
      <w:r w:rsidRPr="0043317B" w:rsidR="0043317B">
        <w:rPr>
          <w:lang w:val="fr-FR"/>
        </w:rPr>
        <w:t>’</w:t>
      </w:r>
      <w:r w:rsidRPr="0043317B">
        <w:rPr>
          <w:lang w:val="fr-FR"/>
        </w:rPr>
        <w:t>une banque et de ses associés lorsqu</w:t>
      </w:r>
      <w:r w:rsidRPr="0043317B" w:rsidR="0043317B">
        <w:rPr>
          <w:lang w:val="fr-FR"/>
        </w:rPr>
        <w:t>’</w:t>
      </w:r>
      <w:r w:rsidRPr="0043317B">
        <w:rPr>
          <w:lang w:val="fr-FR"/>
        </w:rPr>
        <w:t>il est constaté que ceux-ci abusent des fonds propres de l</w:t>
      </w:r>
      <w:r w:rsidRPr="0043317B" w:rsidR="0043317B">
        <w:rPr>
          <w:lang w:val="fr-FR"/>
        </w:rPr>
        <w:t>’</w:t>
      </w:r>
      <w:r w:rsidRPr="0043317B">
        <w:rPr>
          <w:lang w:val="fr-FR"/>
        </w:rPr>
        <w:t>établissement de manière telle que le bon fonctionnement de ce dernier et les intérêts des tiers se trouvent mis en péril.</w:t>
      </w:r>
    </w:p>
    <w:p w:rsidRPr="0043317B" w:rsidR="000A45C0" w:rsidP="0043317B" w:rsidRDefault="000A45C0">
      <w:pPr>
        <w:pStyle w:val="ECHRPara"/>
        <w:rPr>
          <w:lang w:val="fr-FR"/>
        </w:rPr>
      </w:pPr>
      <w:r w:rsidRPr="0043317B">
        <w:fldChar w:fldCharType="begin"/>
      </w:r>
      <w:r w:rsidRPr="0043317B">
        <w:rPr>
          <w:lang w:val="fr-FR"/>
        </w:rPr>
        <w:instrText xml:space="preserve"> SEQ level0 \*arabic </w:instrText>
      </w:r>
      <w:r w:rsidRPr="0043317B">
        <w:fldChar w:fldCharType="separate"/>
      </w:r>
      <w:r w:rsidRPr="0043317B" w:rsidR="0043317B">
        <w:rPr>
          <w:noProof/>
          <w:lang w:val="fr-FR"/>
        </w:rPr>
        <w:t>167</w:t>
      </w:r>
      <w:r w:rsidRPr="0043317B">
        <w:rPr>
          <w:lang w:val="fr-FR"/>
        </w:rPr>
        <w:fldChar w:fldCharType="end"/>
      </w:r>
      <w:r w:rsidRPr="0043317B">
        <w:rPr>
          <w:lang w:val="fr-FR"/>
        </w:rPr>
        <w:t>.  Le 19 octobre 2005, la loi n</w:t>
      </w:r>
      <w:r w:rsidRPr="0043317B">
        <w:rPr>
          <w:vertAlign w:val="superscript"/>
          <w:lang w:val="fr-FR"/>
        </w:rPr>
        <w:t>o</w:t>
      </w:r>
      <w:r w:rsidRPr="0043317B">
        <w:rPr>
          <w:lang w:val="fr-FR"/>
        </w:rPr>
        <w:t> 4389 a été</w:t>
      </w:r>
      <w:r w:rsidRPr="0043317B" w:rsidR="003C4A77">
        <w:rPr>
          <w:lang w:val="fr-FR"/>
        </w:rPr>
        <w:t xml:space="preserve"> remplacée par la nouvelle loi </w:t>
      </w:r>
      <w:r w:rsidRPr="0043317B">
        <w:rPr>
          <w:lang w:val="fr-FR"/>
        </w:rPr>
        <w:t>n</w:t>
      </w:r>
      <w:r w:rsidRPr="0043317B">
        <w:rPr>
          <w:vertAlign w:val="superscript"/>
          <w:lang w:val="fr-FR"/>
        </w:rPr>
        <w:t>o</w:t>
      </w:r>
      <w:r w:rsidRPr="0043317B" w:rsidR="003C4A77">
        <w:rPr>
          <w:vertAlign w:val="superscript"/>
          <w:lang w:val="fr-FR"/>
        </w:rPr>
        <w:t> </w:t>
      </w:r>
      <w:r w:rsidRPr="0043317B">
        <w:rPr>
          <w:lang w:val="fr-FR"/>
        </w:rPr>
        <w:t>5411 sur les banques, qui prévoit un régime comparable à celui décrit ci-dessus. Dans le contexte de la présente affaire, il convient de rappeler que, selon l</w:t>
      </w:r>
      <w:r w:rsidRPr="0043317B" w:rsidR="0043317B">
        <w:rPr>
          <w:lang w:val="fr-FR"/>
        </w:rPr>
        <w:t>’</w:t>
      </w:r>
      <w:r w:rsidRPr="0043317B">
        <w:rPr>
          <w:lang w:val="fr-FR"/>
        </w:rPr>
        <w:t>article 135 de cette dernière loi, les mesures conservatoires restent en vigueur (à la condition qu</w:t>
      </w:r>
      <w:r w:rsidRPr="0043317B" w:rsidR="0043317B">
        <w:rPr>
          <w:lang w:val="fr-FR"/>
        </w:rPr>
        <w:t>’</w:t>
      </w:r>
      <w:r w:rsidRPr="0043317B">
        <w:rPr>
          <w:lang w:val="fr-FR"/>
        </w:rPr>
        <w:t>une plainte pénale ait été introduite ou une procédure de recouvrement de créances déclenchée) jusqu</w:t>
      </w:r>
      <w:r w:rsidRPr="0043317B" w:rsidR="0043317B">
        <w:rPr>
          <w:lang w:val="fr-FR"/>
        </w:rPr>
        <w:t>’</w:t>
      </w:r>
      <w:r w:rsidRPr="0043317B">
        <w:rPr>
          <w:lang w:val="fr-FR"/>
        </w:rPr>
        <w:t>à ce que les créances du FADE soient entièrement recouvrées.</w:t>
      </w:r>
    </w:p>
    <w:p w:rsidRPr="0043317B" w:rsidR="000A45C0" w:rsidP="0043317B" w:rsidRDefault="000A45C0">
      <w:pPr>
        <w:pStyle w:val="ECHRPara"/>
        <w:rPr>
          <w:lang w:val="fr-FR"/>
        </w:rPr>
      </w:pPr>
      <w:r w:rsidRPr="0043317B">
        <w:fldChar w:fldCharType="begin"/>
      </w:r>
      <w:r w:rsidRPr="0043317B">
        <w:rPr>
          <w:lang w:val="fr-FR"/>
        </w:rPr>
        <w:instrText xml:space="preserve"> SEQ level0 \*arabic </w:instrText>
      </w:r>
      <w:r w:rsidRPr="0043317B">
        <w:fldChar w:fldCharType="separate"/>
      </w:r>
      <w:r w:rsidRPr="0043317B" w:rsidR="0043317B">
        <w:rPr>
          <w:noProof/>
          <w:lang w:val="fr-FR"/>
        </w:rPr>
        <w:t>168</w:t>
      </w:r>
      <w:r w:rsidRPr="0043317B">
        <w:rPr>
          <w:lang w:val="fr-FR"/>
        </w:rPr>
        <w:fldChar w:fldCharType="end"/>
      </w:r>
      <w:r w:rsidRPr="0043317B">
        <w:rPr>
          <w:lang w:val="fr-FR"/>
        </w:rPr>
        <w:t>.  L</w:t>
      </w:r>
      <w:r w:rsidRPr="0043317B" w:rsidR="0043317B">
        <w:rPr>
          <w:lang w:val="fr-FR"/>
        </w:rPr>
        <w:t>’</w:t>
      </w:r>
      <w:r w:rsidRPr="0043317B" w:rsidR="003C4A77">
        <w:rPr>
          <w:lang w:val="fr-FR"/>
        </w:rPr>
        <w:t>article </w:t>
      </w:r>
      <w:r w:rsidRPr="0043317B">
        <w:rPr>
          <w:lang w:val="fr-FR"/>
        </w:rPr>
        <w:t>135 de la loi n</w:t>
      </w:r>
      <w:r w:rsidRPr="0043317B" w:rsidR="003C4A77">
        <w:rPr>
          <w:vertAlign w:val="superscript"/>
          <w:lang w:val="fr-FR"/>
        </w:rPr>
        <w:t xml:space="preserve">o </w:t>
      </w:r>
      <w:r w:rsidRPr="0043317B">
        <w:rPr>
          <w:lang w:val="fr-FR"/>
        </w:rPr>
        <w:t>5411 se lit ainsi en</w:t>
      </w:r>
      <w:r w:rsidRPr="0043317B" w:rsidR="003C4A77">
        <w:rPr>
          <w:lang w:val="fr-FR"/>
        </w:rPr>
        <w:t xml:space="preserve"> sa partie pertinente </w:t>
      </w:r>
      <w:r w:rsidRPr="0043317B">
        <w:rPr>
          <w:lang w:val="fr-FR"/>
        </w:rPr>
        <w:t>en l</w:t>
      </w:r>
      <w:r w:rsidRPr="0043317B" w:rsidR="0043317B">
        <w:rPr>
          <w:lang w:val="fr-FR"/>
        </w:rPr>
        <w:t>’</w:t>
      </w:r>
      <w:r w:rsidRPr="0043317B">
        <w:rPr>
          <w:lang w:val="fr-FR"/>
        </w:rPr>
        <w:t>espèce :</w:t>
      </w:r>
    </w:p>
    <w:p w:rsidRPr="0043317B" w:rsidR="000A45C0" w:rsidP="0043317B" w:rsidRDefault="000A45C0">
      <w:pPr>
        <w:pStyle w:val="ECHRParaQuote"/>
        <w:rPr>
          <w:lang w:val="fr-FR"/>
        </w:rPr>
      </w:pPr>
      <w:r w:rsidRPr="0043317B">
        <w:rPr>
          <w:lang w:val="fr-FR"/>
        </w:rPr>
        <w:t>« Lorsque la déclaration faite par la banque aux autorités compétentes concernant le montant des dépôts couverts par l</w:t>
      </w:r>
      <w:r w:rsidRPr="0043317B" w:rsidR="0043317B">
        <w:rPr>
          <w:lang w:val="fr-FR"/>
        </w:rPr>
        <w:t>’</w:t>
      </w:r>
      <w:r w:rsidRPr="0043317B">
        <w:rPr>
          <w:lang w:val="fr-FR"/>
        </w:rPr>
        <w:t>assurance (des comptes d</w:t>
      </w:r>
      <w:r w:rsidRPr="0043317B" w:rsidR="0043317B">
        <w:rPr>
          <w:lang w:val="fr-FR"/>
        </w:rPr>
        <w:t>’</w:t>
      </w:r>
      <w:r w:rsidRPr="0043317B">
        <w:rPr>
          <w:lang w:val="fr-FR"/>
        </w:rPr>
        <w:t>épargne) [témoigne d</w:t>
      </w:r>
      <w:r w:rsidRPr="0043317B" w:rsidR="0043317B">
        <w:rPr>
          <w:lang w:val="fr-FR"/>
        </w:rPr>
        <w:t>’</w:t>
      </w:r>
      <w:r w:rsidRPr="0043317B">
        <w:rPr>
          <w:lang w:val="fr-FR"/>
        </w:rPr>
        <w:t>une différence entre ce montant et le] montant réel constaté par le FADE, les avoirs des membres du conseil d</w:t>
      </w:r>
      <w:r w:rsidRPr="0043317B" w:rsidR="0043317B">
        <w:rPr>
          <w:lang w:val="fr-FR"/>
        </w:rPr>
        <w:t>’</w:t>
      </w:r>
      <w:r w:rsidRPr="0043317B">
        <w:rPr>
          <w:lang w:val="fr-FR"/>
        </w:rPr>
        <w:t>administration et du comité de crédit de la banque, du directeur général, des directeurs généraux adjoints, des responsables aptes à représenter la banque par leur signature, des directeurs d</w:t>
      </w:r>
      <w:r w:rsidRPr="0043317B" w:rsidR="0043317B">
        <w:rPr>
          <w:lang w:val="fr-FR"/>
        </w:rPr>
        <w:t>’</w:t>
      </w:r>
      <w:r w:rsidRPr="0043317B">
        <w:rPr>
          <w:lang w:val="fr-FR"/>
        </w:rPr>
        <w:t>agences, des associés qui détiennent la direction et le contrôle de la banque (...) peuvent être saisis (...) à la demande du FADE.</w:t>
      </w:r>
    </w:p>
    <w:p w:rsidRPr="0043317B" w:rsidR="000A45C0" w:rsidP="0043317B" w:rsidRDefault="000A45C0">
      <w:pPr>
        <w:pStyle w:val="ECHRParaQuote"/>
        <w:rPr>
          <w:lang w:val="fr-FR"/>
        </w:rPr>
      </w:pPr>
      <w:r w:rsidRPr="0043317B">
        <w:rPr>
          <w:lang w:val="fr-FR"/>
        </w:rPr>
        <w:t>(...) les mesures conservatoires restent en vigueur jusqu</w:t>
      </w:r>
      <w:r w:rsidRPr="0043317B" w:rsidR="0043317B">
        <w:rPr>
          <w:lang w:val="fr-FR"/>
        </w:rPr>
        <w:t>’</w:t>
      </w:r>
      <w:r w:rsidRPr="0043317B">
        <w:rPr>
          <w:lang w:val="fr-FR"/>
        </w:rPr>
        <w:t>à ce que toutes les créances du FADE soient entièrement recouvrées. Le tribunal décide que (...) les responsables [des pertes financières s</w:t>
      </w:r>
      <w:r w:rsidRPr="0043317B" w:rsidR="0043317B">
        <w:rPr>
          <w:lang w:val="fr-FR"/>
        </w:rPr>
        <w:t>’</w:t>
      </w:r>
      <w:r w:rsidRPr="0043317B">
        <w:rPr>
          <w:lang w:val="fr-FR"/>
        </w:rPr>
        <w:t>acquittent des sommes dues] directement auprès du FADE. Dans ce cas, les mesures conservatoires sont maintenues jusqu</w:t>
      </w:r>
      <w:r w:rsidRPr="0043317B" w:rsidR="0043317B">
        <w:rPr>
          <w:lang w:val="fr-FR"/>
        </w:rPr>
        <w:t>’</w:t>
      </w:r>
      <w:r w:rsidRPr="0043317B">
        <w:rPr>
          <w:lang w:val="fr-FR"/>
        </w:rPr>
        <w:t>à ce que la créance du FADE soit recouvrée sur les biens soumis aux mesures conservatoires.</w:t>
      </w:r>
    </w:p>
    <w:p w:rsidRPr="0043317B" w:rsidR="000A45C0" w:rsidP="0043317B" w:rsidRDefault="000A45C0">
      <w:pPr>
        <w:pStyle w:val="ECHRParaQuote"/>
        <w:rPr>
          <w:lang w:val="fr-FR"/>
        </w:rPr>
      </w:pPr>
      <w:r w:rsidRPr="0043317B">
        <w:rPr>
          <w:lang w:val="fr-FR"/>
        </w:rPr>
        <w:t>Les dispositions de la présente loi seront appliquées aux personnes qui, par leurs actes (même commis avant l</w:t>
      </w:r>
      <w:r w:rsidRPr="0043317B" w:rsidR="0043317B">
        <w:rPr>
          <w:lang w:val="fr-FR"/>
        </w:rPr>
        <w:t>’</w:t>
      </w:r>
      <w:r w:rsidRPr="0043317B">
        <w:rPr>
          <w:lang w:val="fr-FR"/>
        </w:rPr>
        <w:t>entrée en vigueur de la présente loi), ont créé une situation qui oblige le FADE à procéder à un paiement dans le cadre du présent article, [et seront aussi appliquées] à leurs époux (ses) et enfants sur tout type de biens appartenant à ceux-ci. »</w:t>
      </w:r>
    </w:p>
    <w:p w:rsidRPr="0043317B" w:rsidR="000A45C0" w:rsidP="0043317B" w:rsidRDefault="000A45C0">
      <w:pPr>
        <w:pStyle w:val="ECHRTitle1"/>
        <w:rPr>
          <w:lang w:val="fr-FR"/>
        </w:rPr>
      </w:pPr>
      <w:r w:rsidRPr="0043317B">
        <w:rPr>
          <w:lang w:val="fr-FR"/>
        </w:rPr>
        <w:t>EN DROIT</w:t>
      </w:r>
    </w:p>
    <w:p w:rsidRPr="0043317B" w:rsidR="000A45C0" w:rsidP="0043317B" w:rsidRDefault="000A45C0">
      <w:pPr>
        <w:pStyle w:val="ECHRHeading1"/>
        <w:rPr>
          <w:lang w:val="fr-FR"/>
        </w:rPr>
      </w:pPr>
      <w:r w:rsidRPr="0043317B">
        <w:rPr>
          <w:lang w:val="fr-FR"/>
        </w:rPr>
        <w:t>I.  SUR LA JONCTION DES REQUÊTES</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169</w:t>
      </w:r>
      <w:r w:rsidRPr="0043317B">
        <w:rPr>
          <w:lang w:val="fr-FR"/>
        </w:rPr>
        <w:fldChar w:fldCharType="end"/>
      </w:r>
      <w:r w:rsidRPr="0043317B">
        <w:rPr>
          <w:lang w:val="fr-FR"/>
        </w:rPr>
        <w:t>.  Compte tenu de la similitude des requêtes quant aux faits et à la question de fond qu</w:t>
      </w:r>
      <w:r w:rsidRPr="0043317B" w:rsidR="0043317B">
        <w:rPr>
          <w:lang w:val="fr-FR"/>
        </w:rPr>
        <w:t>’</w:t>
      </w:r>
      <w:r w:rsidRPr="0043317B">
        <w:rPr>
          <w:lang w:val="fr-FR"/>
        </w:rPr>
        <w:t>elles posent, la Cour décide de joindre celles-ci et de les examiner dans un seul et même arrêt.</w:t>
      </w:r>
    </w:p>
    <w:p w:rsidRPr="0043317B" w:rsidR="000A45C0" w:rsidP="0043317B" w:rsidRDefault="000A45C0">
      <w:pPr>
        <w:pStyle w:val="ECHRHeading1"/>
        <w:rPr>
          <w:lang w:val="fr-FR"/>
        </w:rPr>
      </w:pPr>
      <w:r w:rsidRPr="0043317B">
        <w:rPr>
          <w:lang w:val="fr-FR"/>
        </w:rPr>
        <w:t>II.  SUR LA VIOLATION ALLÉGUÉE DE L</w:t>
      </w:r>
      <w:r w:rsidRPr="0043317B" w:rsidR="0043317B">
        <w:rPr>
          <w:lang w:val="fr-FR"/>
        </w:rPr>
        <w:t>’</w:t>
      </w:r>
      <w:r w:rsidRPr="0043317B">
        <w:rPr>
          <w:lang w:val="fr-FR"/>
        </w:rPr>
        <w:t>ARTICLE 1 DU PROTOCOLE</w:t>
      </w:r>
      <w:r w:rsidRPr="0043317B" w:rsidR="003C4A77">
        <w:rPr>
          <w:lang w:val="fr-FR"/>
        </w:rPr>
        <w:t> </w:t>
      </w:r>
      <w:r w:rsidRPr="0043317B">
        <w:rPr>
          <w:lang w:val="fr-FR"/>
        </w:rPr>
        <w:t>N</w:t>
      </w:r>
      <w:r w:rsidRPr="0043317B" w:rsidR="00E7737A">
        <w:rPr>
          <w:vertAlign w:val="superscript"/>
          <w:lang w:val="fr-FR"/>
        </w:rPr>
        <w:t>o</w:t>
      </w:r>
      <w:r w:rsidRPr="0043317B">
        <w:rPr>
          <w:lang w:val="fr-FR"/>
        </w:rPr>
        <w:t> 1 À LA CONVENTION</w:t>
      </w:r>
    </w:p>
    <w:p w:rsidRPr="0043317B" w:rsidR="000A45C0" w:rsidP="0043317B" w:rsidRDefault="000A45C0">
      <w:pPr>
        <w:pStyle w:val="ECHRPara"/>
        <w:rPr>
          <w:bCs/>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170</w:t>
      </w:r>
      <w:r w:rsidRPr="0043317B">
        <w:rPr>
          <w:lang w:val="fr-FR"/>
        </w:rPr>
        <w:fldChar w:fldCharType="end"/>
      </w:r>
      <w:r w:rsidRPr="0043317B">
        <w:rPr>
          <w:lang w:val="fr-FR"/>
        </w:rPr>
        <w:t xml:space="preserve">.  Invoquant les articles 6 </w:t>
      </w:r>
      <w:r w:rsidRPr="0043317B">
        <w:rPr>
          <w:bCs/>
          <w:lang w:val="fr-FR"/>
        </w:rPr>
        <w:t>§ 1</w:t>
      </w:r>
      <w:r w:rsidRPr="0043317B">
        <w:rPr>
          <w:lang w:val="fr-FR"/>
        </w:rPr>
        <w:t xml:space="preserve">, </w:t>
      </w:r>
      <w:r w:rsidRPr="0043317B">
        <w:rPr>
          <w:bCs/>
          <w:lang w:val="fr-FR"/>
        </w:rPr>
        <w:t>6 § 2, 7 et 14 de la Convention</w:t>
      </w:r>
      <w:r w:rsidRPr="0043317B">
        <w:rPr>
          <w:lang w:val="fr-FR"/>
        </w:rPr>
        <w:t xml:space="preserve"> et l</w:t>
      </w:r>
      <w:r w:rsidRPr="0043317B" w:rsidR="0043317B">
        <w:rPr>
          <w:lang w:val="fr-FR"/>
        </w:rPr>
        <w:t>’</w:t>
      </w:r>
      <w:r w:rsidRPr="0043317B">
        <w:rPr>
          <w:lang w:val="fr-FR"/>
        </w:rPr>
        <w:t>article</w:t>
      </w:r>
      <w:r w:rsidRPr="0043317B" w:rsidR="003C4A77">
        <w:rPr>
          <w:lang w:val="fr-FR"/>
        </w:rPr>
        <w:t> </w:t>
      </w:r>
      <w:r w:rsidRPr="0043317B">
        <w:rPr>
          <w:lang w:val="fr-FR"/>
        </w:rPr>
        <w:t>1 du Protocole n</w:t>
      </w:r>
      <w:r w:rsidRPr="0043317B">
        <w:rPr>
          <w:vertAlign w:val="superscript"/>
          <w:lang w:val="fr-FR"/>
        </w:rPr>
        <w:t xml:space="preserve">o </w:t>
      </w:r>
      <w:r w:rsidRPr="0043317B">
        <w:rPr>
          <w:lang w:val="fr-FR"/>
        </w:rPr>
        <w:t xml:space="preserve">1 à la Convention, les requérants dénoncent essentiellement une violation de leur droit de propriété en raison du maintien des mesures conservatoires sur leurs biens et du refus des autorités de lever ces dernières. Ils </w:t>
      </w:r>
      <w:r w:rsidRPr="0043317B">
        <w:rPr>
          <w:bCs/>
          <w:lang w:val="fr-FR"/>
        </w:rPr>
        <w:t>se plaignent par ailleurs d</w:t>
      </w:r>
      <w:r w:rsidRPr="0043317B" w:rsidR="0043317B">
        <w:rPr>
          <w:bCs/>
          <w:lang w:val="fr-FR"/>
        </w:rPr>
        <w:t>’</w:t>
      </w:r>
      <w:r w:rsidRPr="0043317B">
        <w:rPr>
          <w:bCs/>
          <w:lang w:val="fr-FR"/>
        </w:rPr>
        <w:t>une illégalité des mesures conservatoires en cause et d</w:t>
      </w:r>
      <w:r w:rsidRPr="0043317B" w:rsidR="0043317B">
        <w:rPr>
          <w:bCs/>
          <w:lang w:val="fr-FR"/>
        </w:rPr>
        <w:t>’</w:t>
      </w:r>
      <w:r w:rsidRPr="0043317B">
        <w:rPr>
          <w:bCs/>
          <w:lang w:val="fr-FR"/>
        </w:rPr>
        <w:t>une violation du principe de présomption d</w:t>
      </w:r>
      <w:r w:rsidRPr="0043317B" w:rsidR="0043317B">
        <w:rPr>
          <w:bCs/>
          <w:lang w:val="fr-FR"/>
        </w:rPr>
        <w:t>’</w:t>
      </w:r>
      <w:r w:rsidRPr="0043317B">
        <w:rPr>
          <w:bCs/>
          <w:lang w:val="fr-FR"/>
        </w:rPr>
        <w:t>innocence, tel que garanti par la Convention. Ils critiquent également les mesures litigieuses en ce qu</w:t>
      </w:r>
      <w:r w:rsidRPr="0043317B" w:rsidR="0043317B">
        <w:rPr>
          <w:bCs/>
          <w:lang w:val="fr-FR"/>
        </w:rPr>
        <w:t>’</w:t>
      </w:r>
      <w:r w:rsidRPr="0043317B">
        <w:rPr>
          <w:bCs/>
          <w:lang w:val="fr-FR"/>
        </w:rPr>
        <w:t>elles seraient discriminatoires.</w:t>
      </w:r>
    </w:p>
    <w:p w:rsidRPr="0043317B" w:rsidR="000A45C0" w:rsidP="0043317B" w:rsidRDefault="000A45C0">
      <w:pPr>
        <w:pStyle w:val="ECHRPara"/>
        <w:rPr>
          <w:lang w:val="fr-FR"/>
        </w:rPr>
      </w:pPr>
      <w:r w:rsidRPr="0043317B">
        <w:rPr>
          <w:lang w:val="fr-FR"/>
        </w:rPr>
        <w:t>La Cour rappelle qu</w:t>
      </w:r>
      <w:r w:rsidRPr="0043317B" w:rsidR="0043317B">
        <w:rPr>
          <w:lang w:val="fr-FR"/>
        </w:rPr>
        <w:t>’</w:t>
      </w:r>
      <w:r w:rsidRPr="0043317B">
        <w:rPr>
          <w:lang w:val="fr-FR"/>
        </w:rPr>
        <w:t xml:space="preserve">en vertu du principe </w:t>
      </w:r>
      <w:r w:rsidRPr="0043317B">
        <w:rPr>
          <w:i/>
          <w:iCs/>
          <w:lang w:val="fr-FR"/>
        </w:rPr>
        <w:t>jura novit curia</w:t>
      </w:r>
      <w:r w:rsidRPr="0043317B">
        <w:rPr>
          <w:lang w:val="fr-FR"/>
        </w:rPr>
        <w:t>, elle n</w:t>
      </w:r>
      <w:r w:rsidRPr="0043317B" w:rsidR="0043317B">
        <w:rPr>
          <w:lang w:val="fr-FR"/>
        </w:rPr>
        <w:t>’</w:t>
      </w:r>
      <w:r w:rsidRPr="0043317B">
        <w:rPr>
          <w:lang w:val="fr-FR"/>
        </w:rPr>
        <w:t>est pas tenue par les moyens de droit avancés par les requérants en vertu de la Convention et de ses Protocoles, et elle peut décider de la qualification juridique à donner aux faits d</w:t>
      </w:r>
      <w:r w:rsidRPr="0043317B" w:rsidR="0043317B">
        <w:rPr>
          <w:lang w:val="fr-FR"/>
        </w:rPr>
        <w:t>’</w:t>
      </w:r>
      <w:r w:rsidRPr="0043317B">
        <w:rPr>
          <w:lang w:val="fr-FR"/>
        </w:rPr>
        <w:t>un grief en examinant celui-ci sur le terrain d</w:t>
      </w:r>
      <w:r w:rsidRPr="0043317B" w:rsidR="0043317B">
        <w:rPr>
          <w:lang w:val="fr-FR"/>
        </w:rPr>
        <w:t>’</w:t>
      </w:r>
      <w:r w:rsidRPr="0043317B">
        <w:rPr>
          <w:lang w:val="fr-FR"/>
        </w:rPr>
        <w:t>articles ou de dispositions de la Convention autres que ceux invoqués par les requérants (</w:t>
      </w:r>
      <w:r w:rsidRPr="0043317B">
        <w:rPr>
          <w:i/>
          <w:iCs/>
          <w:lang w:val="fr-FR"/>
        </w:rPr>
        <w:t>Radomilja et autres c. Croatie</w:t>
      </w:r>
      <w:r w:rsidRPr="0043317B">
        <w:rPr>
          <w:lang w:val="fr-FR"/>
        </w:rPr>
        <w:t xml:space="preserve"> [GC], n</w:t>
      </w:r>
      <w:r w:rsidRPr="0043317B">
        <w:rPr>
          <w:vertAlign w:val="superscript"/>
          <w:lang w:val="fr-FR"/>
        </w:rPr>
        <w:t>os</w:t>
      </w:r>
      <w:r w:rsidRPr="0043317B" w:rsidR="003C4A77">
        <w:rPr>
          <w:lang w:val="fr-FR"/>
        </w:rPr>
        <w:t> 37685/10 et </w:t>
      </w:r>
      <w:r w:rsidRPr="0043317B">
        <w:rPr>
          <w:lang w:val="fr-FR"/>
        </w:rPr>
        <w:t>22768/12, § 126, 20 mars 2018). En l</w:t>
      </w:r>
      <w:r w:rsidRPr="0043317B" w:rsidR="0043317B">
        <w:rPr>
          <w:lang w:val="fr-FR"/>
        </w:rPr>
        <w:t>’</w:t>
      </w:r>
      <w:r w:rsidRPr="0043317B">
        <w:rPr>
          <w:lang w:val="fr-FR"/>
        </w:rPr>
        <w:t>espèce, elle estime qu</w:t>
      </w:r>
      <w:r w:rsidRPr="0043317B" w:rsidR="0043317B">
        <w:rPr>
          <w:lang w:val="fr-FR"/>
        </w:rPr>
        <w:t>’</w:t>
      </w:r>
      <w:r w:rsidRPr="0043317B">
        <w:rPr>
          <w:lang w:val="fr-FR"/>
        </w:rPr>
        <w:t>il convient d</w:t>
      </w:r>
      <w:r w:rsidRPr="0043317B" w:rsidR="0043317B">
        <w:rPr>
          <w:lang w:val="fr-FR"/>
        </w:rPr>
        <w:t>’</w:t>
      </w:r>
      <w:r w:rsidRPr="0043317B">
        <w:rPr>
          <w:lang w:val="fr-FR"/>
        </w:rPr>
        <w:t>examiner les griefs sous l</w:t>
      </w:r>
      <w:r w:rsidRPr="0043317B" w:rsidR="0043317B">
        <w:rPr>
          <w:lang w:val="fr-FR"/>
        </w:rPr>
        <w:t>’</w:t>
      </w:r>
      <w:r w:rsidRPr="0043317B">
        <w:rPr>
          <w:lang w:val="fr-FR"/>
        </w:rPr>
        <w:t>angle du seul article 1 du Protocole</w:t>
      </w:r>
      <w:r w:rsidRPr="0043317B" w:rsidR="003C4A77">
        <w:rPr>
          <w:lang w:val="fr-FR"/>
        </w:rPr>
        <w:t xml:space="preserve"> </w:t>
      </w:r>
      <w:r w:rsidRPr="0043317B">
        <w:rPr>
          <w:lang w:val="fr-FR"/>
        </w:rPr>
        <w:t>n</w:t>
      </w:r>
      <w:r w:rsidRPr="0043317B">
        <w:rPr>
          <w:vertAlign w:val="superscript"/>
          <w:lang w:val="fr-FR"/>
        </w:rPr>
        <w:t>o</w:t>
      </w:r>
      <w:r w:rsidRPr="0043317B" w:rsidR="003C4A77">
        <w:rPr>
          <w:vertAlign w:val="superscript"/>
          <w:lang w:val="fr-FR"/>
        </w:rPr>
        <w:t xml:space="preserve"> </w:t>
      </w:r>
      <w:r w:rsidRPr="0043317B">
        <w:rPr>
          <w:lang w:val="fr-FR"/>
        </w:rPr>
        <w:t>1 à la Convention, ainsi libellé :</w:t>
      </w:r>
    </w:p>
    <w:p w:rsidRPr="0043317B" w:rsidR="000A45C0" w:rsidP="0043317B" w:rsidRDefault="000A45C0">
      <w:pPr>
        <w:pStyle w:val="ECHRParaQuote"/>
        <w:rPr>
          <w:lang w:val="fr-FR"/>
        </w:rPr>
      </w:pPr>
      <w:r w:rsidRPr="0043317B">
        <w:rPr>
          <w:lang w:val="fr-FR"/>
        </w:rPr>
        <w:t>« Toute personne physique ou morale a droit au respect de ses biens. Nul ne peut être privé de sa propriété que pour cause d</w:t>
      </w:r>
      <w:r w:rsidRPr="0043317B" w:rsidR="0043317B">
        <w:rPr>
          <w:lang w:val="fr-FR"/>
        </w:rPr>
        <w:t>’</w:t>
      </w:r>
      <w:r w:rsidRPr="0043317B">
        <w:rPr>
          <w:lang w:val="fr-FR"/>
        </w:rPr>
        <w:t>utilité publique et dans les conditions prévues par la loi et les principes généraux du droit international.</w:t>
      </w:r>
    </w:p>
    <w:p w:rsidRPr="0043317B" w:rsidR="000A45C0" w:rsidP="0043317B" w:rsidRDefault="000A45C0">
      <w:pPr>
        <w:pStyle w:val="ECHRParaQuote"/>
        <w:rPr>
          <w:lang w:val="fr-FR"/>
        </w:rPr>
      </w:pPr>
      <w:r w:rsidRPr="0043317B">
        <w:rPr>
          <w:lang w:val="fr-FR"/>
        </w:rPr>
        <w:t>Les dispositions précédentes ne portent pas atteinte au droit que possèdent les États de mettre en vigueur les lois qu</w:t>
      </w:r>
      <w:r w:rsidRPr="0043317B" w:rsidR="0043317B">
        <w:rPr>
          <w:lang w:val="fr-FR"/>
        </w:rPr>
        <w:t>’</w:t>
      </w:r>
      <w:r w:rsidRPr="0043317B">
        <w:rPr>
          <w:lang w:val="fr-FR"/>
        </w:rPr>
        <w:t>ils jugent nécessaires pour réglementer l</w:t>
      </w:r>
      <w:r w:rsidRPr="0043317B" w:rsidR="0043317B">
        <w:rPr>
          <w:lang w:val="fr-FR"/>
        </w:rPr>
        <w:t>’</w:t>
      </w:r>
      <w:r w:rsidRPr="0043317B">
        <w:rPr>
          <w:lang w:val="fr-FR"/>
        </w:rPr>
        <w:t>usage des biens conformément à l</w:t>
      </w:r>
      <w:r w:rsidRPr="0043317B" w:rsidR="0043317B">
        <w:rPr>
          <w:lang w:val="fr-FR"/>
        </w:rPr>
        <w:t>’</w:t>
      </w:r>
      <w:r w:rsidRPr="0043317B">
        <w:rPr>
          <w:lang w:val="fr-FR"/>
        </w:rPr>
        <w:t>intérêt général ou pour assurer le paiement des impôts ou d</w:t>
      </w:r>
      <w:r w:rsidRPr="0043317B" w:rsidR="0043317B">
        <w:rPr>
          <w:lang w:val="fr-FR"/>
        </w:rPr>
        <w:t>’</w:t>
      </w:r>
      <w:r w:rsidRPr="0043317B">
        <w:rPr>
          <w:lang w:val="fr-FR"/>
        </w:rPr>
        <w:t>autres contributions ou des amendes. »</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171</w:t>
      </w:r>
      <w:r w:rsidRPr="0043317B">
        <w:rPr>
          <w:lang w:val="fr-FR"/>
        </w:rPr>
        <w:fldChar w:fldCharType="end"/>
      </w:r>
      <w:r w:rsidRPr="0043317B">
        <w:rPr>
          <w:lang w:val="fr-FR"/>
        </w:rPr>
        <w:t>.  Le Gouvernement conteste la thèse des requérants.</w:t>
      </w:r>
    </w:p>
    <w:p w:rsidRPr="0043317B" w:rsidR="000A45C0" w:rsidP="0043317B" w:rsidRDefault="000A45C0">
      <w:pPr>
        <w:pStyle w:val="ECHRHeading2"/>
        <w:rPr>
          <w:lang w:val="fr-FR"/>
        </w:rPr>
      </w:pPr>
      <w:r w:rsidRPr="0043317B">
        <w:rPr>
          <w:lang w:val="fr-FR"/>
        </w:rPr>
        <w:t>A.  Sur la recevabilité</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172</w:t>
      </w:r>
      <w:r w:rsidRPr="0043317B">
        <w:rPr>
          <w:lang w:val="fr-FR"/>
        </w:rPr>
        <w:fldChar w:fldCharType="end"/>
      </w:r>
      <w:r w:rsidRPr="0043317B">
        <w:rPr>
          <w:lang w:val="fr-FR"/>
        </w:rPr>
        <w:t>.  En premier lieu, le Gouvernement excipe du non-épuisement des voies de recours internes dans le chef de la requérante Ayla Uzan</w:t>
      </w:r>
      <w:r w:rsidRPr="0043317B">
        <w:rPr>
          <w:lang w:val="fr-FR"/>
        </w:rPr>
        <w:noBreakHyphen/>
        <w:t>Ashaboğlu : il reproche à cette dernière de ne pas avoir contesté l</w:t>
      </w:r>
      <w:r w:rsidRPr="0043317B" w:rsidR="0043317B">
        <w:rPr>
          <w:lang w:val="fr-FR"/>
        </w:rPr>
        <w:t>’</w:t>
      </w:r>
      <w:r w:rsidRPr="0043317B">
        <w:rPr>
          <w:lang w:val="fr-FR"/>
        </w:rPr>
        <w:t>ordonnance de mesures conservatoires sur ses biens alors qu</w:t>
      </w:r>
      <w:r w:rsidRPr="0043317B" w:rsidR="0043317B">
        <w:rPr>
          <w:lang w:val="fr-FR"/>
        </w:rPr>
        <w:t>’</w:t>
      </w:r>
      <w:r w:rsidRPr="0043317B">
        <w:rPr>
          <w:lang w:val="fr-FR"/>
        </w:rPr>
        <w:t>elle en aurait eu la possibilité. Il soutient que la situation de cette requérante se distingue de celle des autres requérants en ce que rien dans les documents versés au dossier n</w:t>
      </w:r>
      <w:r w:rsidRPr="0043317B" w:rsidR="0043317B">
        <w:rPr>
          <w:lang w:val="fr-FR"/>
        </w:rPr>
        <w:t>’</w:t>
      </w:r>
      <w:r w:rsidRPr="0043317B">
        <w:rPr>
          <w:lang w:val="fr-FR"/>
        </w:rPr>
        <w:t>indique, selon lui, que l</w:t>
      </w:r>
      <w:r w:rsidRPr="0043317B" w:rsidR="0043317B">
        <w:rPr>
          <w:lang w:val="fr-FR"/>
        </w:rPr>
        <w:t>’</w:t>
      </w:r>
      <w:r w:rsidRPr="0043317B">
        <w:rPr>
          <w:lang w:val="fr-FR"/>
        </w:rPr>
        <w:t>intéressée ait contesté les mesures provisoires imposées sur ses biens. À ce sujet, il indique que ladite requérante n</w:t>
      </w:r>
      <w:r w:rsidRPr="0043317B" w:rsidR="0043317B">
        <w:rPr>
          <w:lang w:val="fr-FR"/>
        </w:rPr>
        <w:t>’</w:t>
      </w:r>
      <w:r w:rsidRPr="0043317B">
        <w:rPr>
          <w:lang w:val="fr-FR"/>
        </w:rPr>
        <w:t>est pas mentionnée dans la décision d</w:t>
      </w:r>
      <w:r w:rsidRPr="0043317B" w:rsidR="0043317B">
        <w:rPr>
          <w:lang w:val="fr-FR"/>
        </w:rPr>
        <w:t>’</w:t>
      </w:r>
      <w:r w:rsidRPr="0043317B">
        <w:rPr>
          <w:lang w:val="fr-FR"/>
        </w:rPr>
        <w:t>incompétence du 3 septembre 2004 parmi les personnes ayant demandé la levée des mesures provisoires. Il dit aussi qu</w:t>
      </w:r>
      <w:r w:rsidRPr="0043317B" w:rsidR="0043317B">
        <w:rPr>
          <w:lang w:val="fr-FR"/>
        </w:rPr>
        <w:t>’</w:t>
      </w:r>
      <w:r w:rsidRPr="0043317B">
        <w:rPr>
          <w:lang w:val="fr-FR"/>
        </w:rPr>
        <w:t>elle n</w:t>
      </w:r>
      <w:r w:rsidRPr="0043317B" w:rsidR="0043317B">
        <w:rPr>
          <w:lang w:val="fr-FR"/>
        </w:rPr>
        <w:t>’</w:t>
      </w:r>
      <w:r w:rsidRPr="0043317B">
        <w:rPr>
          <w:lang w:val="fr-FR"/>
        </w:rPr>
        <w:t>apparaît pas non plus dans les procès</w:t>
      </w:r>
      <w:r w:rsidRPr="0043317B">
        <w:rPr>
          <w:lang w:val="fr-FR"/>
        </w:rPr>
        <w:noBreakHyphen/>
        <w:t>verbaux de l</w:t>
      </w:r>
      <w:r w:rsidRPr="0043317B" w:rsidR="0043317B">
        <w:rPr>
          <w:lang w:val="fr-FR"/>
        </w:rPr>
        <w:t>’</w:t>
      </w:r>
      <w:r w:rsidRPr="0043317B">
        <w:rPr>
          <w:lang w:val="fr-FR"/>
        </w:rPr>
        <w:t>affaire pénale principale en tant que personne ayant contesté lesdites mesures.</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173</w:t>
      </w:r>
      <w:r w:rsidRPr="0043317B">
        <w:rPr>
          <w:lang w:val="fr-FR"/>
        </w:rPr>
        <w:fldChar w:fldCharType="end"/>
      </w:r>
      <w:r w:rsidRPr="0043317B">
        <w:rPr>
          <w:lang w:val="fr-FR"/>
        </w:rPr>
        <w:t>.  La requérante Ayla Uzan-Ashaboğlu conteste cette thèse. Elle soutient d</w:t>
      </w:r>
      <w:r w:rsidRPr="0043317B" w:rsidR="0043317B">
        <w:rPr>
          <w:lang w:val="fr-FR"/>
        </w:rPr>
        <w:t>’</w:t>
      </w:r>
      <w:r w:rsidRPr="0043317B">
        <w:rPr>
          <w:lang w:val="fr-FR"/>
        </w:rPr>
        <w:t>abord qu</w:t>
      </w:r>
      <w:r w:rsidRPr="0043317B" w:rsidR="0043317B">
        <w:rPr>
          <w:lang w:val="fr-FR"/>
        </w:rPr>
        <w:t>’</w:t>
      </w:r>
      <w:r w:rsidRPr="0043317B">
        <w:rPr>
          <w:lang w:val="fr-FR"/>
        </w:rPr>
        <w:t>elle n</w:t>
      </w:r>
      <w:r w:rsidRPr="0043317B" w:rsidR="0043317B">
        <w:rPr>
          <w:lang w:val="fr-FR"/>
        </w:rPr>
        <w:t>’</w:t>
      </w:r>
      <w:r w:rsidRPr="0043317B">
        <w:rPr>
          <w:lang w:val="fr-FR"/>
        </w:rPr>
        <w:t>a pas pu contester l</w:t>
      </w:r>
      <w:r w:rsidRPr="0043317B" w:rsidR="0043317B">
        <w:rPr>
          <w:lang w:val="fr-FR"/>
        </w:rPr>
        <w:t>’</w:t>
      </w:r>
      <w:r w:rsidRPr="0043317B">
        <w:rPr>
          <w:lang w:val="fr-FR"/>
        </w:rPr>
        <w:t>ordonnance de mesures conservatoires du 11 septembre 2003, car celle-ci ne lui aurait jamais été notifiée. Elle ajoute que, en tout état de cause, même si elle avait pu le faire, une telle contestation n</w:t>
      </w:r>
      <w:r w:rsidRPr="0043317B" w:rsidR="0043317B">
        <w:rPr>
          <w:lang w:val="fr-FR"/>
        </w:rPr>
        <w:t>’</w:t>
      </w:r>
      <w:r w:rsidRPr="0043317B">
        <w:rPr>
          <w:lang w:val="fr-FR"/>
        </w:rPr>
        <w:t>aurait eu, comme dans le cas des autres requérants, aucune chance de succès. Selon elle, il incombe au Gouvernement de prouver que le requérant visé par l</w:t>
      </w:r>
      <w:r w:rsidRPr="0043317B" w:rsidR="0043317B">
        <w:rPr>
          <w:lang w:val="fr-FR"/>
        </w:rPr>
        <w:t>’</w:t>
      </w:r>
      <w:r w:rsidRPr="0043317B">
        <w:rPr>
          <w:lang w:val="fr-FR"/>
        </w:rPr>
        <w:t>exception de non-épuisement des voies de recours internes n</w:t>
      </w:r>
      <w:r w:rsidRPr="0043317B" w:rsidR="0043317B">
        <w:rPr>
          <w:lang w:val="fr-FR"/>
        </w:rPr>
        <w:t>’</w:t>
      </w:r>
      <w:r w:rsidRPr="0043317B">
        <w:rPr>
          <w:lang w:val="fr-FR"/>
        </w:rPr>
        <w:t>a pas fait usage d</w:t>
      </w:r>
      <w:r w:rsidRPr="0043317B" w:rsidR="0043317B">
        <w:rPr>
          <w:lang w:val="fr-FR"/>
        </w:rPr>
        <w:t>’</w:t>
      </w:r>
      <w:r w:rsidRPr="0043317B">
        <w:rPr>
          <w:lang w:val="fr-FR"/>
        </w:rPr>
        <w:t>un recours qui était à la fois effectif et disponible au moment pertinent.</w:t>
      </w:r>
    </w:p>
    <w:p w:rsidRPr="0043317B" w:rsidR="000A45C0" w:rsidP="0043317B" w:rsidRDefault="000A45C0">
      <w:pPr>
        <w:pStyle w:val="ECHRPara"/>
        <w:rPr>
          <w:lang w:val="fr-FR"/>
        </w:rPr>
      </w:pPr>
      <w:r w:rsidRPr="0043317B">
        <w:rPr>
          <w:lang w:val="fr-FR"/>
        </w:rPr>
        <w:t>Par ailleurs, la requérante susmentionnée argue qu</w:t>
      </w:r>
      <w:r w:rsidRPr="0043317B" w:rsidR="0043317B">
        <w:rPr>
          <w:lang w:val="fr-FR"/>
        </w:rPr>
        <w:t>’</w:t>
      </w:r>
      <w:r w:rsidRPr="0043317B">
        <w:rPr>
          <w:lang w:val="fr-FR"/>
        </w:rPr>
        <w:t>elle n</w:t>
      </w:r>
      <w:r w:rsidRPr="0043317B" w:rsidR="0043317B">
        <w:rPr>
          <w:lang w:val="fr-FR"/>
        </w:rPr>
        <w:t>’</w:t>
      </w:r>
      <w:r w:rsidRPr="0043317B">
        <w:rPr>
          <w:lang w:val="fr-FR"/>
        </w:rPr>
        <w:t>était pas partie à l</w:t>
      </w:r>
      <w:r w:rsidRPr="0043317B" w:rsidR="0043317B">
        <w:rPr>
          <w:lang w:val="fr-FR"/>
        </w:rPr>
        <w:t>’</w:t>
      </w:r>
      <w:r w:rsidRPr="0043317B">
        <w:rPr>
          <w:lang w:val="fr-FR"/>
        </w:rPr>
        <w:t>affaire pénale principale, qu</w:t>
      </w:r>
      <w:r w:rsidRPr="0043317B" w:rsidR="0043317B">
        <w:rPr>
          <w:lang w:val="fr-FR"/>
        </w:rPr>
        <w:t>’</w:t>
      </w:r>
      <w:r w:rsidRPr="0043317B">
        <w:rPr>
          <w:lang w:val="fr-FR"/>
        </w:rPr>
        <w:t>elle n</w:t>
      </w:r>
      <w:r w:rsidRPr="0043317B" w:rsidR="0043317B">
        <w:rPr>
          <w:lang w:val="fr-FR"/>
        </w:rPr>
        <w:t>’</w:t>
      </w:r>
      <w:r w:rsidRPr="0043317B">
        <w:rPr>
          <w:lang w:val="fr-FR"/>
        </w:rPr>
        <w:t>a été informée d</w:t>
      </w:r>
      <w:r w:rsidRPr="0043317B" w:rsidR="0043317B">
        <w:rPr>
          <w:lang w:val="fr-FR"/>
        </w:rPr>
        <w:t>’</w:t>
      </w:r>
      <w:r w:rsidRPr="0043317B">
        <w:rPr>
          <w:lang w:val="fr-FR"/>
        </w:rPr>
        <w:t>aucune action ou décision la concernant dirigée contre sa personne ou contre ses biens avant février 2004, et que, par conséquent, elle n</w:t>
      </w:r>
      <w:r w:rsidRPr="0043317B" w:rsidR="0043317B">
        <w:rPr>
          <w:lang w:val="fr-FR"/>
        </w:rPr>
        <w:t>’</w:t>
      </w:r>
      <w:r w:rsidRPr="0043317B">
        <w:rPr>
          <w:lang w:val="fr-FR"/>
        </w:rPr>
        <w:t>aurait pas pu demander à la cour d</w:t>
      </w:r>
      <w:r w:rsidRPr="0043317B" w:rsidR="0043317B">
        <w:rPr>
          <w:lang w:val="fr-FR"/>
        </w:rPr>
        <w:t>’</w:t>
      </w:r>
      <w:r w:rsidRPr="0043317B">
        <w:rPr>
          <w:lang w:val="fr-FR"/>
        </w:rPr>
        <w:t>assises la levée de ces mesures.</w:t>
      </w:r>
    </w:p>
    <w:p w:rsidRPr="0043317B" w:rsidR="000A45C0" w:rsidP="0043317B" w:rsidRDefault="000A45C0">
      <w:pPr>
        <w:pStyle w:val="ECHRPara"/>
        <w:rPr>
          <w:lang w:val="fr-FR"/>
        </w:rPr>
      </w:pPr>
      <w:r w:rsidRPr="0043317B">
        <w:rPr>
          <w:lang w:val="fr-FR"/>
        </w:rPr>
        <w:t>Elle expose, en outre, qu</w:t>
      </w:r>
      <w:r w:rsidRPr="0043317B" w:rsidR="0043317B">
        <w:rPr>
          <w:lang w:val="fr-FR"/>
        </w:rPr>
        <w:t>’</w:t>
      </w:r>
      <w:r w:rsidRPr="0043317B">
        <w:rPr>
          <w:lang w:val="fr-FR"/>
        </w:rPr>
        <w:t>elle a non seulement marqué son opposition à l</w:t>
      </w:r>
      <w:r w:rsidRPr="0043317B" w:rsidR="0043317B">
        <w:rPr>
          <w:lang w:val="fr-FR"/>
        </w:rPr>
        <w:t>’</w:t>
      </w:r>
      <w:r w:rsidRPr="0043317B">
        <w:rPr>
          <w:lang w:val="fr-FR"/>
        </w:rPr>
        <w:t>exécution des saisies et demandé l</w:t>
      </w:r>
      <w:r w:rsidRPr="0043317B" w:rsidR="0043317B">
        <w:rPr>
          <w:lang w:val="fr-FR"/>
        </w:rPr>
        <w:t>’</w:t>
      </w:r>
      <w:r w:rsidRPr="0043317B">
        <w:rPr>
          <w:lang w:val="fr-FR"/>
        </w:rPr>
        <w:t>annulation du titre de créance émis par le FADE, puis celle de l</w:t>
      </w:r>
      <w:r w:rsidRPr="0043317B" w:rsidR="0043317B">
        <w:rPr>
          <w:lang w:val="fr-FR"/>
        </w:rPr>
        <w:t>’</w:t>
      </w:r>
      <w:r w:rsidRPr="0043317B">
        <w:rPr>
          <w:lang w:val="fr-FR"/>
        </w:rPr>
        <w:t>ordre de paiement, mais qu</w:t>
      </w:r>
      <w:r w:rsidRPr="0043317B" w:rsidR="0043317B">
        <w:rPr>
          <w:lang w:val="fr-FR"/>
        </w:rPr>
        <w:t>’</w:t>
      </w:r>
      <w:r w:rsidRPr="0043317B">
        <w:rPr>
          <w:lang w:val="fr-FR"/>
        </w:rPr>
        <w:t>elle a aussi contesté la procédure d</w:t>
      </w:r>
      <w:r w:rsidRPr="0043317B" w:rsidR="0043317B">
        <w:rPr>
          <w:lang w:val="fr-FR"/>
        </w:rPr>
        <w:t>’</w:t>
      </w:r>
      <w:r w:rsidRPr="0043317B">
        <w:rPr>
          <w:lang w:val="fr-FR"/>
        </w:rPr>
        <w:t>enchères, déclenchée par une ordonnance de mesures conservatoires, et la vente de sa propriété.</w:t>
      </w:r>
    </w:p>
    <w:p w:rsidRPr="0043317B" w:rsidR="000A45C0" w:rsidP="0043317B" w:rsidRDefault="000A45C0">
      <w:pPr>
        <w:pStyle w:val="ECHRPara"/>
        <w:rPr>
          <w:lang w:val="fr-FR"/>
        </w:rPr>
      </w:pPr>
      <w:r w:rsidRPr="0043317B">
        <w:rPr>
          <w:lang w:val="fr-FR"/>
        </w:rPr>
        <w:t>Elle indique que, selon la jurisprudence de la Cour, elle ne serait tenue d</w:t>
      </w:r>
      <w:r w:rsidRPr="0043317B" w:rsidR="0043317B">
        <w:rPr>
          <w:lang w:val="fr-FR"/>
        </w:rPr>
        <w:t>’</w:t>
      </w:r>
      <w:r w:rsidRPr="0043317B">
        <w:rPr>
          <w:lang w:val="fr-FR"/>
        </w:rPr>
        <w:t>utiliser qu</w:t>
      </w:r>
      <w:r w:rsidRPr="0043317B" w:rsidR="0043317B">
        <w:rPr>
          <w:lang w:val="fr-FR"/>
        </w:rPr>
        <w:t>’</w:t>
      </w:r>
      <w:r w:rsidRPr="0043317B">
        <w:rPr>
          <w:lang w:val="fr-FR"/>
        </w:rPr>
        <w:t>un seul recours en cas d</w:t>
      </w:r>
      <w:r w:rsidRPr="0043317B" w:rsidR="0043317B">
        <w:rPr>
          <w:lang w:val="fr-FR"/>
        </w:rPr>
        <w:t>’</w:t>
      </w:r>
      <w:r w:rsidRPr="0043317B">
        <w:rPr>
          <w:lang w:val="fr-FR"/>
        </w:rPr>
        <w:t>existence de plusieurs recours potentiellement effectifs.</w:t>
      </w:r>
    </w:p>
    <w:p w:rsidRPr="0043317B" w:rsidR="000A45C0" w:rsidP="0043317B" w:rsidRDefault="000A45C0">
      <w:pPr>
        <w:pStyle w:val="ECHRPara"/>
        <w:rPr>
          <w:lang w:val="fr-FR"/>
        </w:rPr>
      </w:pPr>
      <w:r w:rsidRPr="0043317B">
        <w:rPr>
          <w:lang w:val="fr-FR"/>
        </w:rPr>
        <w:t>Elle dit enfin que, la décision de non-lieu du 21 janvier 2004 étant devenue définitive, il ne peut plus, selon les dispositions de la loi</w:t>
      </w:r>
      <w:r w:rsidRPr="0043317B" w:rsidR="003C4A77">
        <w:rPr>
          <w:lang w:val="fr-FR"/>
        </w:rPr>
        <w:t> </w:t>
      </w:r>
      <w:r w:rsidRPr="0043317B">
        <w:rPr>
          <w:lang w:val="fr-FR"/>
        </w:rPr>
        <w:t>n</w:t>
      </w:r>
      <w:r w:rsidRPr="0043317B">
        <w:rPr>
          <w:vertAlign w:val="superscript"/>
          <w:lang w:val="fr-FR"/>
        </w:rPr>
        <w:t>o</w:t>
      </w:r>
      <w:r w:rsidRPr="0043317B">
        <w:rPr>
          <w:lang w:val="fr-FR"/>
        </w:rPr>
        <w:t> 4389 (telle que modifiée par la loi n</w:t>
      </w:r>
      <w:r w:rsidRPr="0043317B">
        <w:rPr>
          <w:vertAlign w:val="superscript"/>
          <w:lang w:val="fr-FR"/>
        </w:rPr>
        <w:t>o</w:t>
      </w:r>
      <w:r w:rsidRPr="0043317B">
        <w:rPr>
          <w:lang w:val="fr-FR"/>
        </w:rPr>
        <w:t xml:space="preserve"> 5020 du 26 décembre 2003), être fait application de l</w:t>
      </w:r>
      <w:r w:rsidRPr="0043317B" w:rsidR="0043317B">
        <w:rPr>
          <w:lang w:val="fr-FR"/>
        </w:rPr>
        <w:t>’</w:t>
      </w:r>
      <w:r w:rsidRPr="0043317B">
        <w:rPr>
          <w:lang w:val="fr-FR"/>
        </w:rPr>
        <w:t>ordonnance de mesures conservatoires prise à son encontre. Elle précise à cet égard que cette loi prévoit clairement que les mesures provisoires ordonnées par le tribunal de police deviennent caduques en cas de non-ouverture d</w:t>
      </w:r>
      <w:r w:rsidRPr="0043317B" w:rsidR="0043317B">
        <w:rPr>
          <w:lang w:val="fr-FR"/>
        </w:rPr>
        <w:t>’</w:t>
      </w:r>
      <w:r w:rsidRPr="0043317B">
        <w:rPr>
          <w:lang w:val="fr-FR"/>
        </w:rPr>
        <w:t>une enquête pénale dans l</w:t>
      </w:r>
      <w:r w:rsidRPr="0043317B" w:rsidR="0043317B">
        <w:rPr>
          <w:lang w:val="fr-FR"/>
        </w:rPr>
        <w:t>’</w:t>
      </w:r>
      <w:r w:rsidRPr="0043317B">
        <w:rPr>
          <w:lang w:val="fr-FR"/>
        </w:rPr>
        <w:t>année suivant le retrait d</w:t>
      </w:r>
      <w:r w:rsidRPr="0043317B" w:rsidR="0043317B">
        <w:rPr>
          <w:lang w:val="fr-FR"/>
        </w:rPr>
        <w:t>’</w:t>
      </w:r>
      <w:r w:rsidRPr="0043317B">
        <w:rPr>
          <w:lang w:val="fr-FR"/>
        </w:rPr>
        <w:t>une licence bancaire. Elle ajoute que, en revanche, en cas de déclenchement d</w:t>
      </w:r>
      <w:r w:rsidRPr="0043317B" w:rsidR="0043317B">
        <w:rPr>
          <w:lang w:val="fr-FR"/>
        </w:rPr>
        <w:t>’</w:t>
      </w:r>
      <w:r w:rsidRPr="0043317B">
        <w:rPr>
          <w:lang w:val="fr-FR"/>
        </w:rPr>
        <w:t>une enquête pénale et d</w:t>
      </w:r>
      <w:r w:rsidRPr="0043317B" w:rsidR="0043317B">
        <w:rPr>
          <w:lang w:val="fr-FR"/>
        </w:rPr>
        <w:t>’</w:t>
      </w:r>
      <w:r w:rsidRPr="0043317B">
        <w:rPr>
          <w:lang w:val="fr-FR"/>
        </w:rPr>
        <w:t>engagement subséquent d</w:t>
      </w:r>
      <w:r w:rsidRPr="0043317B" w:rsidR="0043317B">
        <w:rPr>
          <w:lang w:val="fr-FR"/>
        </w:rPr>
        <w:t>’</w:t>
      </w:r>
      <w:r w:rsidRPr="0043317B">
        <w:rPr>
          <w:lang w:val="fr-FR"/>
        </w:rPr>
        <w:t>une action pénale, les ordonnances de mesures conservatoires ne sont valables que jusqu</w:t>
      </w:r>
      <w:r w:rsidRPr="0043317B" w:rsidR="0043317B">
        <w:rPr>
          <w:lang w:val="fr-FR"/>
        </w:rPr>
        <w:t>’</w:t>
      </w:r>
      <w:r w:rsidRPr="0043317B">
        <w:rPr>
          <w:lang w:val="fr-FR"/>
        </w:rPr>
        <w:t>à la délivrance d</w:t>
      </w:r>
      <w:r w:rsidRPr="0043317B" w:rsidR="0043317B">
        <w:rPr>
          <w:lang w:val="fr-FR"/>
        </w:rPr>
        <w:t>’</w:t>
      </w:r>
      <w:r w:rsidRPr="0043317B">
        <w:rPr>
          <w:lang w:val="fr-FR"/>
        </w:rPr>
        <w:t>une décision de non-lieu ou jusqu</w:t>
      </w:r>
      <w:r w:rsidRPr="0043317B" w:rsidR="0043317B">
        <w:rPr>
          <w:lang w:val="fr-FR"/>
        </w:rPr>
        <w:t>’</w:t>
      </w:r>
      <w:r w:rsidRPr="0043317B">
        <w:rPr>
          <w:lang w:val="fr-FR"/>
        </w:rPr>
        <w:t>à l</w:t>
      </w:r>
      <w:r w:rsidRPr="0043317B" w:rsidR="0043317B">
        <w:rPr>
          <w:lang w:val="fr-FR"/>
        </w:rPr>
        <w:t>’</w:t>
      </w:r>
      <w:r w:rsidRPr="0043317B">
        <w:rPr>
          <w:lang w:val="fr-FR"/>
        </w:rPr>
        <w:t>adoption d</w:t>
      </w:r>
      <w:r w:rsidRPr="0043317B" w:rsidR="0043317B">
        <w:rPr>
          <w:lang w:val="fr-FR"/>
        </w:rPr>
        <w:t>’</w:t>
      </w:r>
      <w:r w:rsidRPr="0043317B">
        <w:rPr>
          <w:lang w:val="fr-FR"/>
        </w:rPr>
        <w:t>une décision définitive dans l</w:t>
      </w:r>
      <w:r w:rsidRPr="0043317B" w:rsidR="0043317B">
        <w:rPr>
          <w:lang w:val="fr-FR"/>
        </w:rPr>
        <w:t>’</w:t>
      </w:r>
      <w:r w:rsidRPr="0043317B">
        <w:rPr>
          <w:lang w:val="fr-FR"/>
        </w:rPr>
        <w:t>enquête pénale. Elle dit que, en l</w:t>
      </w:r>
      <w:r w:rsidRPr="0043317B" w:rsidR="0043317B">
        <w:rPr>
          <w:lang w:val="fr-FR"/>
        </w:rPr>
        <w:t>’</w:t>
      </w:r>
      <w:r w:rsidRPr="0043317B">
        <w:rPr>
          <w:lang w:val="fr-FR"/>
        </w:rPr>
        <w:t>espèce, aucune plainte pénale n</w:t>
      </w:r>
      <w:r w:rsidRPr="0043317B" w:rsidR="0043317B">
        <w:rPr>
          <w:lang w:val="fr-FR"/>
        </w:rPr>
        <w:t>’</w:t>
      </w:r>
      <w:r w:rsidRPr="0043317B">
        <w:rPr>
          <w:lang w:val="fr-FR"/>
        </w:rPr>
        <w:t>a jamais été déposée contre elle et que la décision de non</w:t>
      </w:r>
      <w:r w:rsidRPr="0043317B">
        <w:rPr>
          <w:lang w:val="fr-FR"/>
        </w:rPr>
        <w:noBreakHyphen/>
        <w:t>lieu est devenue définitive étant donné le rejet, le 10 mai 2004, du recours du FADE.</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174</w:t>
      </w:r>
      <w:r w:rsidRPr="0043317B">
        <w:rPr>
          <w:lang w:val="fr-FR"/>
        </w:rPr>
        <w:fldChar w:fldCharType="end"/>
      </w:r>
      <w:r w:rsidRPr="0043317B">
        <w:rPr>
          <w:lang w:val="fr-FR"/>
        </w:rPr>
        <w:t>.  Prenant note des arguments des parties sur la question de la contestation de l</w:t>
      </w:r>
      <w:r w:rsidRPr="0043317B" w:rsidR="0043317B">
        <w:rPr>
          <w:lang w:val="fr-FR"/>
        </w:rPr>
        <w:t>’</w:t>
      </w:r>
      <w:r w:rsidRPr="0043317B">
        <w:rPr>
          <w:lang w:val="fr-FR"/>
        </w:rPr>
        <w:t>ordonnance litigieuse devant le tribunal pénal, la Cour considère que, quand bien même elle n</w:t>
      </w:r>
      <w:r w:rsidRPr="0043317B" w:rsidR="0043317B">
        <w:rPr>
          <w:lang w:val="fr-FR"/>
        </w:rPr>
        <w:t>’</w:t>
      </w:r>
      <w:r w:rsidRPr="0043317B">
        <w:rPr>
          <w:lang w:val="fr-FR"/>
        </w:rPr>
        <w:t>aurait pas utilisé la voie pénale, la requérante Ayla Uzan-Ashaboğlu peut passer pour avoir épuisé les voies de recours internes puisqu</w:t>
      </w:r>
      <w:r w:rsidRPr="0043317B" w:rsidR="0043317B">
        <w:rPr>
          <w:lang w:val="fr-FR"/>
        </w:rPr>
        <w:t>’</w:t>
      </w:r>
      <w:r w:rsidRPr="0043317B">
        <w:rPr>
          <w:lang w:val="fr-FR"/>
        </w:rPr>
        <w:t>elle a saisi les juridictions administratives d</w:t>
      </w:r>
      <w:r w:rsidRPr="0043317B" w:rsidR="0043317B">
        <w:rPr>
          <w:lang w:val="fr-FR"/>
        </w:rPr>
        <w:t>’</w:t>
      </w:r>
      <w:r w:rsidRPr="0043317B">
        <w:rPr>
          <w:lang w:val="fr-FR"/>
        </w:rPr>
        <w:t>une demande d</w:t>
      </w:r>
      <w:r w:rsidRPr="0043317B" w:rsidR="0043317B">
        <w:rPr>
          <w:lang w:val="fr-FR"/>
        </w:rPr>
        <w:t>’</w:t>
      </w:r>
      <w:r w:rsidRPr="0043317B">
        <w:rPr>
          <w:lang w:val="fr-FR"/>
        </w:rPr>
        <w:t>annulation de la décision du FADE du 24 décembre 2003, ainsi que de la lettre d</w:t>
      </w:r>
      <w:r w:rsidRPr="0043317B" w:rsidR="0043317B">
        <w:rPr>
          <w:lang w:val="fr-FR"/>
        </w:rPr>
        <w:t>’</w:t>
      </w:r>
      <w:r w:rsidRPr="0043317B">
        <w:rPr>
          <w:lang w:val="fr-FR"/>
        </w:rPr>
        <w:t>invitation à payer du 27 janvier 2004 et de l</w:t>
      </w:r>
      <w:r w:rsidRPr="0043317B" w:rsidR="0043317B">
        <w:rPr>
          <w:lang w:val="fr-FR"/>
        </w:rPr>
        <w:t>’</w:t>
      </w:r>
      <w:r w:rsidRPr="0043317B">
        <w:rPr>
          <w:lang w:val="fr-FR"/>
        </w:rPr>
        <w:t>ordre de paiement du 29 mars 2004. À cet égard, la Cour rappelle qu</w:t>
      </w:r>
      <w:r w:rsidRPr="0043317B" w:rsidR="0043317B">
        <w:rPr>
          <w:lang w:val="fr-FR"/>
        </w:rPr>
        <w:t>’</w:t>
      </w:r>
      <w:r w:rsidRPr="0043317B">
        <w:rPr>
          <w:lang w:val="fr-FR"/>
        </w:rPr>
        <w:t>elle applique la règle de l</w:t>
      </w:r>
      <w:r w:rsidRPr="0043317B" w:rsidR="0043317B">
        <w:rPr>
          <w:lang w:val="fr-FR"/>
        </w:rPr>
        <w:t>’</w:t>
      </w:r>
      <w:r w:rsidRPr="0043317B">
        <w:rPr>
          <w:lang w:val="fr-FR"/>
        </w:rPr>
        <w:t>épuisement des voies de recours internes en tenant dûment compte du contexte et en faisant montre d</w:t>
      </w:r>
      <w:r w:rsidRPr="0043317B" w:rsidR="0043317B">
        <w:rPr>
          <w:lang w:val="fr-FR"/>
        </w:rPr>
        <w:t>’</w:t>
      </w:r>
      <w:r w:rsidRPr="0043317B">
        <w:rPr>
          <w:lang w:val="fr-FR"/>
        </w:rPr>
        <w:t>une certaine souplesse, sans formalisme excessif. Elle réaffirme que, lorsqu</w:t>
      </w:r>
      <w:r w:rsidRPr="0043317B" w:rsidR="0043317B">
        <w:rPr>
          <w:lang w:val="fr-FR"/>
        </w:rPr>
        <w:t>’</w:t>
      </w:r>
      <w:r w:rsidRPr="0043317B">
        <w:rPr>
          <w:lang w:val="fr-FR"/>
        </w:rPr>
        <w:t>une voie de recours a été utilisée, l</w:t>
      </w:r>
      <w:r w:rsidRPr="0043317B" w:rsidR="0043317B">
        <w:rPr>
          <w:lang w:val="fr-FR"/>
        </w:rPr>
        <w:t>’</w:t>
      </w:r>
      <w:r w:rsidRPr="0043317B">
        <w:rPr>
          <w:lang w:val="fr-FR"/>
        </w:rPr>
        <w:t>usage d</w:t>
      </w:r>
      <w:r w:rsidRPr="0043317B" w:rsidR="0043317B">
        <w:rPr>
          <w:lang w:val="fr-FR"/>
        </w:rPr>
        <w:t>’</w:t>
      </w:r>
      <w:r w:rsidRPr="0043317B">
        <w:rPr>
          <w:lang w:val="fr-FR"/>
        </w:rPr>
        <w:t>une autre voie dont le but est pratiquement le même n</w:t>
      </w:r>
      <w:r w:rsidRPr="0043317B" w:rsidR="0043317B">
        <w:rPr>
          <w:lang w:val="fr-FR"/>
        </w:rPr>
        <w:t>’</w:t>
      </w:r>
      <w:r w:rsidRPr="0043317B">
        <w:rPr>
          <w:lang w:val="fr-FR"/>
        </w:rPr>
        <w:t>est pas exigé (</w:t>
      </w:r>
      <w:r w:rsidRPr="0043317B" w:rsidR="00341AB5">
        <w:rPr>
          <w:i/>
          <w:lang w:val="fr-FR"/>
        </w:rPr>
        <w:t>Kozacıoğlu c. Turquie</w:t>
      </w:r>
      <w:r w:rsidRPr="0043317B" w:rsidR="00341AB5">
        <w:rPr>
          <w:lang w:val="fr-FR"/>
        </w:rPr>
        <w:t xml:space="preserve"> [GC], n</w:t>
      </w:r>
      <w:r w:rsidRPr="0043317B" w:rsidR="00341AB5">
        <w:rPr>
          <w:vertAlign w:val="superscript"/>
          <w:lang w:val="fr-FR"/>
        </w:rPr>
        <w:t>o</w:t>
      </w:r>
      <w:r w:rsidRPr="0043317B" w:rsidR="00341AB5">
        <w:rPr>
          <w:lang w:val="fr-FR"/>
        </w:rPr>
        <w:t xml:space="preserve"> 2334/03, §§ 39-43, CEDH 2009, </w:t>
      </w:r>
      <w:r w:rsidRPr="0043317B">
        <w:rPr>
          <w:i/>
          <w:lang w:val="fr-FR"/>
        </w:rPr>
        <w:t>Hüseyin Kaplan</w:t>
      </w:r>
      <w:r w:rsidRPr="0043317B">
        <w:rPr>
          <w:lang w:val="fr-FR"/>
        </w:rPr>
        <w:t xml:space="preserve"> </w:t>
      </w:r>
      <w:r w:rsidRPr="0043317B">
        <w:rPr>
          <w:i/>
          <w:lang w:val="fr-FR"/>
        </w:rPr>
        <w:t>c. Turquie</w:t>
      </w:r>
      <w:r w:rsidRPr="0043317B">
        <w:rPr>
          <w:lang w:val="fr-FR"/>
        </w:rPr>
        <w:t>, n</w:t>
      </w:r>
      <w:r w:rsidRPr="0043317B">
        <w:rPr>
          <w:vertAlign w:val="superscript"/>
          <w:lang w:val="fr-FR"/>
        </w:rPr>
        <w:t>o</w:t>
      </w:r>
      <w:r w:rsidRPr="0043317B">
        <w:rPr>
          <w:lang w:val="fr-FR"/>
        </w:rPr>
        <w:t xml:space="preserve"> 24508/09, § 30, 1</w:t>
      </w:r>
      <w:r w:rsidRPr="0043317B">
        <w:rPr>
          <w:vertAlign w:val="superscript"/>
          <w:lang w:val="fr-FR"/>
        </w:rPr>
        <w:t>er</w:t>
      </w:r>
      <w:r w:rsidRPr="0043317B">
        <w:rPr>
          <w:lang w:val="fr-FR"/>
        </w:rPr>
        <w:t xml:space="preserve"> octobre 2013, et </w:t>
      </w:r>
      <w:r w:rsidRPr="0043317B">
        <w:rPr>
          <w:i/>
          <w:lang w:val="fr-FR"/>
        </w:rPr>
        <w:t>Riad et Idiab c. Belgique</w:t>
      </w:r>
      <w:r w:rsidRPr="0043317B">
        <w:rPr>
          <w:lang w:val="fr-FR"/>
        </w:rPr>
        <w:t>, n</w:t>
      </w:r>
      <w:r w:rsidRPr="0043317B">
        <w:rPr>
          <w:vertAlign w:val="superscript"/>
          <w:lang w:val="fr-FR"/>
        </w:rPr>
        <w:t>os</w:t>
      </w:r>
      <w:r w:rsidRPr="0043317B">
        <w:rPr>
          <w:lang w:val="fr-FR"/>
        </w:rPr>
        <w:t xml:space="preserve"> 29787/03 et 29810/03, § 84, CEDH 2008). En l</w:t>
      </w:r>
      <w:r w:rsidRPr="0043317B" w:rsidR="0043317B">
        <w:rPr>
          <w:lang w:val="fr-FR"/>
        </w:rPr>
        <w:t>’</w:t>
      </w:r>
      <w:r w:rsidRPr="0043317B">
        <w:rPr>
          <w:lang w:val="fr-FR"/>
        </w:rPr>
        <w:t>occurrence, elle note que les juridictions administratives saisies, qui poursuivaient pratiquement le même but que les tribunaux pénaux dans ce contexte, ont amplement examiné la question de la responsabilité de ladite requérante et rendu plusieurs décisions à ce sujet.</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175</w:t>
      </w:r>
      <w:r w:rsidRPr="0043317B">
        <w:rPr>
          <w:lang w:val="fr-FR"/>
        </w:rPr>
        <w:fldChar w:fldCharType="end"/>
      </w:r>
      <w:r w:rsidRPr="0043317B">
        <w:rPr>
          <w:lang w:val="fr-FR"/>
        </w:rPr>
        <w:t>.  En deuxième lieu, le Gouvernement reproche aux requérantes</w:t>
      </w:r>
      <w:r w:rsidRPr="0043317B" w:rsidR="00E7737A">
        <w:rPr>
          <w:lang w:val="fr-FR"/>
        </w:rPr>
        <w:t xml:space="preserve"> </w:t>
      </w:r>
      <w:r w:rsidRPr="0043317B" w:rsidR="003C4A77">
        <w:rPr>
          <w:lang w:val="fr-FR"/>
        </w:rPr>
        <w:t>Nimet </w:t>
      </w:r>
      <w:r w:rsidRPr="0043317B">
        <w:rPr>
          <w:lang w:val="fr-FR"/>
        </w:rPr>
        <w:t>Hülya</w:t>
      </w:r>
      <w:r w:rsidRPr="0043317B" w:rsidR="003C4A77">
        <w:rPr>
          <w:lang w:val="fr-FR"/>
        </w:rPr>
        <w:t> </w:t>
      </w:r>
      <w:r w:rsidRPr="0043317B">
        <w:rPr>
          <w:lang w:val="fr-FR"/>
        </w:rPr>
        <w:t>Talu et Bilge Dogru, qui ont saisi la Cour respectivement le 4 avril 2008 et le 15 avril 2008, de ne pas avoir introduit leurs requêtes dans un délai de six mois à compter des dates des dernières décisions internes. Il indique, à ce sujet, que la date de l</w:t>
      </w:r>
      <w:r w:rsidRPr="0043317B" w:rsidR="0043317B">
        <w:rPr>
          <w:lang w:val="fr-FR"/>
        </w:rPr>
        <w:t>’</w:t>
      </w:r>
      <w:r w:rsidRPr="0043317B">
        <w:rPr>
          <w:lang w:val="fr-FR"/>
        </w:rPr>
        <w:t>ordonnance de mesures conservatoires est le 14</w:t>
      </w:r>
      <w:r w:rsidRPr="0043317B" w:rsidR="003C4A77">
        <w:rPr>
          <w:lang w:val="fr-FR"/>
        </w:rPr>
        <w:t xml:space="preserve"> </w:t>
      </w:r>
      <w:r w:rsidRPr="0043317B">
        <w:rPr>
          <w:lang w:val="fr-FR"/>
        </w:rPr>
        <w:t>août 2003, que celle du maintien des mesures par le tribunal de police d</w:t>
      </w:r>
      <w:r w:rsidRPr="0043317B" w:rsidR="0043317B">
        <w:rPr>
          <w:lang w:val="fr-FR"/>
        </w:rPr>
        <w:t>’</w:t>
      </w:r>
      <w:r w:rsidRPr="0043317B">
        <w:rPr>
          <w:lang w:val="fr-FR"/>
        </w:rPr>
        <w:t>Istanbul est le 21 février 2006, et que celle de la décision finale rendue dans le cadre de la procédure pénale devant la cour d</w:t>
      </w:r>
      <w:r w:rsidRPr="0043317B" w:rsidR="0043317B">
        <w:rPr>
          <w:lang w:val="fr-FR"/>
        </w:rPr>
        <w:t>’</w:t>
      </w:r>
      <w:r w:rsidRPr="0043317B">
        <w:rPr>
          <w:lang w:val="fr-FR"/>
        </w:rPr>
        <w:t>assises d</w:t>
      </w:r>
      <w:r w:rsidRPr="0043317B" w:rsidR="0043317B">
        <w:rPr>
          <w:lang w:val="fr-FR"/>
        </w:rPr>
        <w:t>’</w:t>
      </w:r>
      <w:r w:rsidRPr="0043317B">
        <w:rPr>
          <w:lang w:val="fr-FR"/>
        </w:rPr>
        <w:t>Istanbul est le 2 octobre 2007.</w:t>
      </w:r>
    </w:p>
    <w:p w:rsidRPr="0043317B" w:rsidR="000A45C0" w:rsidP="0043317B" w:rsidRDefault="000A45C0">
      <w:pPr>
        <w:pStyle w:val="ECHRPara"/>
        <w:rPr>
          <w:lang w:val="fr-FR"/>
        </w:rPr>
      </w:pPr>
      <w:r w:rsidRPr="0043317B">
        <w:rPr>
          <w:lang w:val="fr-FR"/>
        </w:rPr>
        <w:t>Il reproche aussi à la requérante Ayla Uzan-Ashaboğlu de ne pas avoir respecté la règle des six</w:t>
      </w:r>
      <w:r w:rsidRPr="0043317B" w:rsidR="003C4A77">
        <w:rPr>
          <w:lang w:val="fr-FR"/>
        </w:rPr>
        <w:t> </w:t>
      </w:r>
      <w:r w:rsidRPr="0043317B">
        <w:rPr>
          <w:lang w:val="fr-FR"/>
        </w:rPr>
        <w:t>mois.</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176</w:t>
      </w:r>
      <w:r w:rsidRPr="0043317B">
        <w:rPr>
          <w:lang w:val="fr-FR"/>
        </w:rPr>
        <w:fldChar w:fldCharType="end"/>
      </w:r>
      <w:r w:rsidRPr="0043317B">
        <w:rPr>
          <w:lang w:val="fr-FR"/>
        </w:rPr>
        <w:t>.  Les requérantes en question contestent cette thèse.</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177</w:t>
      </w:r>
      <w:r w:rsidRPr="0043317B">
        <w:rPr>
          <w:lang w:val="fr-FR"/>
        </w:rPr>
        <w:fldChar w:fldCharType="end"/>
      </w:r>
      <w:r w:rsidRPr="0043317B">
        <w:rPr>
          <w:lang w:val="fr-FR"/>
        </w:rPr>
        <w:t>.  La requérante Ayla Uzan-Ashaboğlu soutient que, malgré les dernières décisions rendues en sa faveur, elle n</w:t>
      </w:r>
      <w:r w:rsidRPr="0043317B" w:rsidR="0043317B">
        <w:rPr>
          <w:lang w:val="fr-FR"/>
        </w:rPr>
        <w:t>’</w:t>
      </w:r>
      <w:r w:rsidRPr="0043317B">
        <w:rPr>
          <w:lang w:val="fr-FR"/>
        </w:rPr>
        <w:t>a pas retrouvé le contrôle de ses biens et n</w:t>
      </w:r>
      <w:r w:rsidRPr="0043317B" w:rsidR="0043317B">
        <w:rPr>
          <w:lang w:val="fr-FR"/>
        </w:rPr>
        <w:t>’</w:t>
      </w:r>
      <w:r w:rsidRPr="0043317B">
        <w:rPr>
          <w:lang w:val="fr-FR"/>
        </w:rPr>
        <w:t>a reçu aucune compensation pour les pertes subies par elle. Ainsi, les violations de la Convention dénoncées par elle devant la Cour subsisteraient. Ses biens seraient toujours sous le contrôle du FADE sur la base de l</w:t>
      </w:r>
      <w:r w:rsidRPr="0043317B" w:rsidR="0043317B">
        <w:rPr>
          <w:lang w:val="fr-FR"/>
        </w:rPr>
        <w:t>’</w:t>
      </w:r>
      <w:r w:rsidRPr="0043317B">
        <w:rPr>
          <w:lang w:val="fr-FR"/>
        </w:rPr>
        <w:t>ordonnance du 11 septembre 2003.</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178</w:t>
      </w:r>
      <w:r w:rsidRPr="0043317B">
        <w:rPr>
          <w:lang w:val="fr-FR"/>
        </w:rPr>
        <w:fldChar w:fldCharType="end"/>
      </w:r>
      <w:r w:rsidRPr="0043317B">
        <w:rPr>
          <w:lang w:val="fr-FR"/>
        </w:rPr>
        <w:t>.  La Cour rappelle qu</w:t>
      </w:r>
      <w:r w:rsidRPr="0043317B" w:rsidR="0043317B">
        <w:rPr>
          <w:lang w:val="fr-FR"/>
        </w:rPr>
        <w:t>’</w:t>
      </w:r>
      <w:r w:rsidRPr="0043317B">
        <w:rPr>
          <w:lang w:val="fr-FR"/>
        </w:rPr>
        <w:t>aux termes de l</w:t>
      </w:r>
      <w:r w:rsidRPr="0043317B" w:rsidR="0043317B">
        <w:rPr>
          <w:lang w:val="fr-FR"/>
        </w:rPr>
        <w:t>’</w:t>
      </w:r>
      <w:r w:rsidRPr="0043317B">
        <w:rPr>
          <w:lang w:val="fr-FR"/>
        </w:rPr>
        <w:t>article 35 § 1 de la Convention elle ne peut être saisie qu</w:t>
      </w:r>
      <w:r w:rsidRPr="0043317B" w:rsidR="0043317B">
        <w:rPr>
          <w:lang w:val="fr-FR"/>
        </w:rPr>
        <w:t>’</w:t>
      </w:r>
      <w:r w:rsidRPr="0043317B">
        <w:rPr>
          <w:lang w:val="fr-FR"/>
        </w:rPr>
        <w:t>après l</w:t>
      </w:r>
      <w:r w:rsidRPr="0043317B" w:rsidR="0043317B">
        <w:rPr>
          <w:lang w:val="fr-FR"/>
        </w:rPr>
        <w:t>’</w:t>
      </w:r>
      <w:r w:rsidRPr="0043317B">
        <w:rPr>
          <w:lang w:val="fr-FR"/>
        </w:rPr>
        <w:t>épuisement des voies de recours internes et dans un délai de six mois à compter de la date de la décision interne définitive. Elle rappelle également que, lorsque la violation alléguée consiste en une situation continue, le délai de six mois ne commence à courir qu</w:t>
      </w:r>
      <w:r w:rsidRPr="0043317B" w:rsidR="0043317B">
        <w:rPr>
          <w:lang w:val="fr-FR"/>
        </w:rPr>
        <w:t>’</w:t>
      </w:r>
      <w:r w:rsidRPr="0043317B">
        <w:rPr>
          <w:lang w:val="fr-FR"/>
        </w:rPr>
        <w:t>à la date à laquelle cette situation continue a pris fin (</w:t>
      </w:r>
      <w:r w:rsidRPr="0043317B">
        <w:rPr>
          <w:i/>
          <w:lang w:val="fr-FR"/>
        </w:rPr>
        <w:t>Hüseyin Kaplan</w:t>
      </w:r>
      <w:r w:rsidRPr="0043317B">
        <w:rPr>
          <w:lang w:val="fr-FR"/>
        </w:rPr>
        <w:t xml:space="preserve">, précité, § 31, </w:t>
      </w:r>
      <w:r w:rsidRPr="0043317B">
        <w:rPr>
          <w:i/>
          <w:lang w:val="fr-FR"/>
        </w:rPr>
        <w:t>Marinakos c. Grèce</w:t>
      </w:r>
      <w:r w:rsidRPr="0043317B">
        <w:rPr>
          <w:lang w:val="fr-FR"/>
        </w:rPr>
        <w:t xml:space="preserve"> (déc.), n</w:t>
      </w:r>
      <w:r w:rsidRPr="0043317B">
        <w:rPr>
          <w:vertAlign w:val="superscript"/>
          <w:lang w:val="fr-FR"/>
        </w:rPr>
        <w:t>o</w:t>
      </w:r>
      <w:r w:rsidRPr="0043317B">
        <w:rPr>
          <w:lang w:val="fr-FR"/>
        </w:rPr>
        <w:t xml:space="preserve"> 49282/99, 29</w:t>
      </w:r>
      <w:r w:rsidRPr="0043317B" w:rsidR="003C4A77">
        <w:rPr>
          <w:lang w:val="fr-FR"/>
        </w:rPr>
        <w:t> </w:t>
      </w:r>
      <w:r w:rsidRPr="0043317B">
        <w:rPr>
          <w:lang w:val="fr-FR"/>
        </w:rPr>
        <w:t xml:space="preserve">mars 2000, </w:t>
      </w:r>
      <w:r w:rsidRPr="0043317B">
        <w:rPr>
          <w:i/>
          <w:lang w:val="fr-FR"/>
        </w:rPr>
        <w:t>Malama c. Grèce</w:t>
      </w:r>
      <w:r w:rsidRPr="0043317B">
        <w:rPr>
          <w:lang w:val="fr-FR"/>
        </w:rPr>
        <w:t>, n</w:t>
      </w:r>
      <w:r w:rsidRPr="0043317B">
        <w:rPr>
          <w:vertAlign w:val="superscript"/>
          <w:lang w:val="fr-FR"/>
        </w:rPr>
        <w:t>o</w:t>
      </w:r>
      <w:r w:rsidRPr="0043317B">
        <w:rPr>
          <w:lang w:val="fr-FR"/>
        </w:rPr>
        <w:t xml:space="preserve"> 43622/98, 1</w:t>
      </w:r>
      <w:r w:rsidRPr="0043317B">
        <w:rPr>
          <w:vertAlign w:val="superscript"/>
          <w:lang w:val="fr-FR"/>
        </w:rPr>
        <w:t>er</w:t>
      </w:r>
      <w:r w:rsidRPr="0043317B">
        <w:rPr>
          <w:lang w:val="fr-FR"/>
        </w:rPr>
        <w:t xml:space="preserve"> mars 2001, </w:t>
      </w:r>
      <w:r w:rsidRPr="0043317B">
        <w:rPr>
          <w:i/>
          <w:lang w:val="fr-FR"/>
        </w:rPr>
        <w:t>Paar c. Hongrie</w:t>
      </w:r>
      <w:r w:rsidRPr="0043317B">
        <w:rPr>
          <w:lang w:val="fr-FR"/>
        </w:rPr>
        <w:t xml:space="preserve"> (déc.), n</w:t>
      </w:r>
      <w:r w:rsidRPr="0043317B">
        <w:rPr>
          <w:vertAlign w:val="superscript"/>
          <w:lang w:val="fr-FR"/>
        </w:rPr>
        <w:t>o</w:t>
      </w:r>
      <w:r w:rsidRPr="0043317B">
        <w:rPr>
          <w:lang w:val="fr-FR"/>
        </w:rPr>
        <w:t xml:space="preserve"> 40867/98, 20 septembre 2001, </w:t>
      </w:r>
      <w:r w:rsidRPr="0043317B">
        <w:rPr>
          <w:i/>
          <w:lang w:val="fr-FR"/>
        </w:rPr>
        <w:t>Skowronski c. Pologne</w:t>
      </w:r>
      <w:r w:rsidRPr="0043317B">
        <w:rPr>
          <w:lang w:val="fr-FR"/>
        </w:rPr>
        <w:t xml:space="preserve"> (déc.), n</w:t>
      </w:r>
      <w:r w:rsidRPr="0043317B">
        <w:rPr>
          <w:vertAlign w:val="superscript"/>
          <w:lang w:val="fr-FR"/>
        </w:rPr>
        <w:t>o</w:t>
      </w:r>
      <w:r w:rsidRPr="0043317B">
        <w:rPr>
          <w:lang w:val="fr-FR"/>
        </w:rPr>
        <w:t xml:space="preserve"> 37609/97, 19 mars 2002, et </w:t>
      </w:r>
      <w:r w:rsidRPr="0043317B">
        <w:rPr>
          <w:i/>
          <w:lang w:val="fr-FR"/>
        </w:rPr>
        <w:t xml:space="preserve">Ülke c. Turquie </w:t>
      </w:r>
      <w:r w:rsidRPr="0043317B">
        <w:rPr>
          <w:lang w:val="fr-FR"/>
        </w:rPr>
        <w:t>(déc.), n</w:t>
      </w:r>
      <w:r w:rsidRPr="0043317B">
        <w:rPr>
          <w:vertAlign w:val="superscript"/>
          <w:lang w:val="fr-FR"/>
        </w:rPr>
        <w:t>o</w:t>
      </w:r>
      <w:r w:rsidRPr="0043317B">
        <w:rPr>
          <w:lang w:val="fr-FR"/>
        </w:rPr>
        <w:t xml:space="preserve"> 39437/98, 1</w:t>
      </w:r>
      <w:r w:rsidRPr="0043317B">
        <w:rPr>
          <w:vertAlign w:val="superscript"/>
          <w:lang w:val="fr-FR"/>
        </w:rPr>
        <w:t>er</w:t>
      </w:r>
      <w:r w:rsidRPr="0043317B" w:rsidR="003C4A77">
        <w:rPr>
          <w:vertAlign w:val="superscript"/>
          <w:lang w:val="fr-FR"/>
        </w:rPr>
        <w:t> </w:t>
      </w:r>
      <w:r w:rsidRPr="0043317B">
        <w:rPr>
          <w:lang w:val="fr-FR"/>
        </w:rPr>
        <w:t>juin 2004). La notion de « situation continue » désigne un état de choses résultant d</w:t>
      </w:r>
      <w:r w:rsidRPr="0043317B" w:rsidR="0043317B">
        <w:rPr>
          <w:lang w:val="fr-FR"/>
        </w:rPr>
        <w:t>’</w:t>
      </w:r>
      <w:r w:rsidRPr="0043317B">
        <w:rPr>
          <w:lang w:val="fr-FR"/>
        </w:rPr>
        <w:t>actions continues accomplies par l</w:t>
      </w:r>
      <w:r w:rsidRPr="0043317B" w:rsidR="0043317B">
        <w:rPr>
          <w:lang w:val="fr-FR"/>
        </w:rPr>
        <w:t>’</w:t>
      </w:r>
      <w:r w:rsidRPr="0043317B">
        <w:rPr>
          <w:lang w:val="fr-FR"/>
        </w:rPr>
        <w:t>État ou en son nom, dont un requérant est victime. Tant qu</w:t>
      </w:r>
      <w:r w:rsidRPr="0043317B" w:rsidR="0043317B">
        <w:rPr>
          <w:lang w:val="fr-FR"/>
        </w:rPr>
        <w:t>’</w:t>
      </w:r>
      <w:r w:rsidRPr="0043317B">
        <w:rPr>
          <w:lang w:val="fr-FR"/>
        </w:rPr>
        <w:t>une telle situ</w:t>
      </w:r>
      <w:r w:rsidRPr="0043317B" w:rsidR="00773A68">
        <w:rPr>
          <w:lang w:val="fr-FR"/>
        </w:rPr>
        <w:t>ation perdure, la règle des six </w:t>
      </w:r>
      <w:r w:rsidRPr="0043317B">
        <w:rPr>
          <w:lang w:val="fr-FR"/>
        </w:rPr>
        <w:t>mois ne trouve pas à s</w:t>
      </w:r>
      <w:r w:rsidRPr="0043317B" w:rsidR="0043317B">
        <w:rPr>
          <w:lang w:val="fr-FR"/>
        </w:rPr>
        <w:t>’</w:t>
      </w:r>
      <w:r w:rsidRPr="0043317B">
        <w:rPr>
          <w:lang w:val="fr-FR"/>
        </w:rPr>
        <w:t>appliquer (</w:t>
      </w:r>
      <w:r w:rsidRPr="0043317B">
        <w:rPr>
          <w:i/>
          <w:lang w:val="fr-FR"/>
        </w:rPr>
        <w:t>Iordache c. Roumanie</w:t>
      </w:r>
      <w:r w:rsidRPr="0043317B">
        <w:rPr>
          <w:lang w:val="fr-FR"/>
        </w:rPr>
        <w:t>, n</w:t>
      </w:r>
      <w:r w:rsidRPr="0043317B">
        <w:rPr>
          <w:vertAlign w:val="superscript"/>
          <w:lang w:val="fr-FR"/>
        </w:rPr>
        <w:t>o</w:t>
      </w:r>
      <w:r w:rsidRPr="0043317B" w:rsidR="00773A68">
        <w:rPr>
          <w:vertAlign w:val="superscript"/>
          <w:lang w:val="fr-FR"/>
        </w:rPr>
        <w:t> </w:t>
      </w:r>
      <w:r w:rsidRPr="0043317B">
        <w:rPr>
          <w:lang w:val="fr-FR"/>
        </w:rPr>
        <w:t>6817/02, §§</w:t>
      </w:r>
      <w:r w:rsidRPr="0043317B" w:rsidR="003C4A77">
        <w:rPr>
          <w:lang w:val="fr-FR"/>
        </w:rPr>
        <w:t> 49 et</w:t>
      </w:r>
      <w:r w:rsidRPr="0043317B" w:rsidR="00773A68">
        <w:rPr>
          <w:lang w:val="fr-FR"/>
        </w:rPr>
        <w:t xml:space="preserve"> </w:t>
      </w:r>
      <w:r w:rsidRPr="0043317B">
        <w:rPr>
          <w:lang w:val="fr-FR"/>
        </w:rPr>
        <w:t>50, 14 octobre 2008).</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179</w:t>
      </w:r>
      <w:r w:rsidRPr="0043317B">
        <w:rPr>
          <w:lang w:val="fr-FR"/>
        </w:rPr>
        <w:fldChar w:fldCharType="end"/>
      </w:r>
      <w:r w:rsidRPr="0043317B">
        <w:rPr>
          <w:lang w:val="fr-FR"/>
        </w:rPr>
        <w:t>.  En l</w:t>
      </w:r>
      <w:r w:rsidRPr="0043317B" w:rsidR="0043317B">
        <w:rPr>
          <w:lang w:val="fr-FR"/>
        </w:rPr>
        <w:t>’</w:t>
      </w:r>
      <w:r w:rsidRPr="0043317B">
        <w:rPr>
          <w:lang w:val="fr-FR"/>
        </w:rPr>
        <w:t>espèce, il suffit à la Cour de noter que les requérantes concernées ont introduit leurs requêtes à des dates où les procédures internes étaient toujours pendantes et les mesures conservatoires imposées sur leurs biens maintenues, quoique partiellement pour certaines.</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180</w:t>
      </w:r>
      <w:r w:rsidRPr="0043317B">
        <w:rPr>
          <w:lang w:val="fr-FR"/>
        </w:rPr>
        <w:fldChar w:fldCharType="end"/>
      </w:r>
      <w:r w:rsidRPr="0043317B">
        <w:rPr>
          <w:lang w:val="fr-FR"/>
        </w:rPr>
        <w:t>.  Compte tenu de ce qui précède, la Cour rejette les exceptions préliminaires du Gouvernement.</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181</w:t>
      </w:r>
      <w:r w:rsidRPr="0043317B">
        <w:rPr>
          <w:lang w:val="fr-FR"/>
        </w:rPr>
        <w:fldChar w:fldCharType="end"/>
      </w:r>
      <w:r w:rsidRPr="0043317B">
        <w:rPr>
          <w:lang w:val="fr-FR"/>
        </w:rPr>
        <w:t>.  Constatant par ailleurs que l</w:t>
      </w:r>
      <w:r w:rsidRPr="0043317B" w:rsidR="00AB33FF">
        <w:rPr>
          <w:lang w:val="fr-FR"/>
        </w:rPr>
        <w:t>es</w:t>
      </w:r>
      <w:r w:rsidRPr="0043317B">
        <w:rPr>
          <w:lang w:val="fr-FR"/>
        </w:rPr>
        <w:t xml:space="preserve"> requête</w:t>
      </w:r>
      <w:r w:rsidRPr="0043317B" w:rsidR="00AB33FF">
        <w:rPr>
          <w:lang w:val="fr-FR"/>
        </w:rPr>
        <w:t>s</w:t>
      </w:r>
      <w:r w:rsidRPr="0043317B">
        <w:rPr>
          <w:lang w:val="fr-FR"/>
        </w:rPr>
        <w:t xml:space="preserve"> n</w:t>
      </w:r>
      <w:r w:rsidRPr="0043317B" w:rsidR="00AB33FF">
        <w:rPr>
          <w:lang w:val="fr-FR"/>
        </w:rPr>
        <w:t>e sont</w:t>
      </w:r>
      <w:r w:rsidRPr="0043317B">
        <w:rPr>
          <w:lang w:val="fr-FR"/>
        </w:rPr>
        <w:t xml:space="preserve"> pas manifestement mal fondée</w:t>
      </w:r>
      <w:r w:rsidRPr="0043317B" w:rsidR="00AB33FF">
        <w:rPr>
          <w:lang w:val="fr-FR"/>
        </w:rPr>
        <w:t>s</w:t>
      </w:r>
      <w:r w:rsidRPr="0043317B">
        <w:rPr>
          <w:lang w:val="fr-FR"/>
        </w:rPr>
        <w:t xml:space="preserve"> au sens de l</w:t>
      </w:r>
      <w:r w:rsidRPr="0043317B" w:rsidR="0043317B">
        <w:rPr>
          <w:lang w:val="fr-FR"/>
        </w:rPr>
        <w:t>’</w:t>
      </w:r>
      <w:r w:rsidRPr="0043317B">
        <w:rPr>
          <w:lang w:val="fr-FR"/>
        </w:rPr>
        <w:t>article 35 § 3 de la Convention et qu</w:t>
      </w:r>
      <w:r w:rsidRPr="0043317B" w:rsidR="0043317B">
        <w:rPr>
          <w:lang w:val="fr-FR"/>
        </w:rPr>
        <w:t>’</w:t>
      </w:r>
      <w:r w:rsidRPr="0043317B">
        <w:rPr>
          <w:lang w:val="fr-FR"/>
        </w:rPr>
        <w:t>elle</w:t>
      </w:r>
      <w:r w:rsidRPr="0043317B" w:rsidR="00AB33FF">
        <w:rPr>
          <w:lang w:val="fr-FR"/>
        </w:rPr>
        <w:t>s</w:t>
      </w:r>
      <w:r w:rsidRPr="0043317B">
        <w:rPr>
          <w:lang w:val="fr-FR"/>
        </w:rPr>
        <w:t xml:space="preserve"> ne se heurte</w:t>
      </w:r>
      <w:r w:rsidRPr="0043317B" w:rsidR="00AB33FF">
        <w:rPr>
          <w:lang w:val="fr-FR"/>
        </w:rPr>
        <w:t>nt</w:t>
      </w:r>
      <w:r w:rsidRPr="0043317B">
        <w:rPr>
          <w:lang w:val="fr-FR"/>
        </w:rPr>
        <w:t xml:space="preserve"> à aucun autre</w:t>
      </w:r>
      <w:r w:rsidRPr="0043317B" w:rsidR="00AB33FF">
        <w:rPr>
          <w:lang w:val="fr-FR"/>
        </w:rPr>
        <w:t xml:space="preserve"> motif d</w:t>
      </w:r>
      <w:r w:rsidRPr="0043317B" w:rsidR="0043317B">
        <w:rPr>
          <w:lang w:val="fr-FR"/>
        </w:rPr>
        <w:t>’</w:t>
      </w:r>
      <w:r w:rsidRPr="0043317B" w:rsidR="00AB33FF">
        <w:rPr>
          <w:lang w:val="fr-FR"/>
        </w:rPr>
        <w:t>irrecevabilité, elle les</w:t>
      </w:r>
      <w:r w:rsidRPr="0043317B">
        <w:rPr>
          <w:lang w:val="fr-FR"/>
        </w:rPr>
        <w:t xml:space="preserve"> déclare recevable</w:t>
      </w:r>
      <w:r w:rsidRPr="0043317B" w:rsidR="00AB33FF">
        <w:rPr>
          <w:lang w:val="fr-FR"/>
        </w:rPr>
        <w:t>s</w:t>
      </w:r>
      <w:r w:rsidRPr="0043317B">
        <w:rPr>
          <w:lang w:val="fr-FR"/>
        </w:rPr>
        <w:t>.</w:t>
      </w:r>
    </w:p>
    <w:p w:rsidRPr="0043317B" w:rsidR="000A45C0" w:rsidP="0043317B" w:rsidRDefault="000A45C0">
      <w:pPr>
        <w:pStyle w:val="ECHRHeading2"/>
        <w:rPr>
          <w:lang w:val="fr-FR"/>
        </w:rPr>
      </w:pPr>
      <w:r w:rsidRPr="0043317B">
        <w:rPr>
          <w:lang w:val="fr-FR"/>
        </w:rPr>
        <w:t>B.  Sur le fond</w:t>
      </w:r>
    </w:p>
    <w:p w:rsidRPr="0043317B" w:rsidR="000A45C0" w:rsidP="0043317B" w:rsidRDefault="000A45C0">
      <w:pPr>
        <w:pStyle w:val="ECHRHeading3"/>
        <w:rPr>
          <w:lang w:val="fr-FR"/>
        </w:rPr>
      </w:pPr>
      <w:r w:rsidRPr="0043317B">
        <w:rPr>
          <w:lang w:val="fr-FR"/>
        </w:rPr>
        <w:t>1.  Thèses des parties</w:t>
      </w:r>
    </w:p>
    <w:p w:rsidRPr="0043317B" w:rsidR="000A45C0" w:rsidP="0043317B" w:rsidRDefault="000A45C0">
      <w:pPr>
        <w:pStyle w:val="ECHRHeading4"/>
        <w:rPr>
          <w:lang w:val="fr-FR"/>
        </w:rPr>
      </w:pPr>
      <w:r w:rsidRPr="0043317B">
        <w:rPr>
          <w:lang w:val="fr-FR"/>
        </w:rPr>
        <w:t>a)  Les requérants</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182</w:t>
      </w:r>
      <w:r w:rsidRPr="0043317B">
        <w:rPr>
          <w:lang w:val="fr-FR"/>
        </w:rPr>
        <w:fldChar w:fldCharType="end"/>
      </w:r>
      <w:r w:rsidRPr="0043317B">
        <w:rPr>
          <w:lang w:val="fr-FR"/>
        </w:rPr>
        <w:t>.  D</w:t>
      </w:r>
      <w:r w:rsidRPr="0043317B" w:rsidR="0043317B">
        <w:rPr>
          <w:lang w:val="fr-FR"/>
        </w:rPr>
        <w:t>’</w:t>
      </w:r>
      <w:r w:rsidRPr="0043317B">
        <w:rPr>
          <w:lang w:val="fr-FR"/>
        </w:rPr>
        <w:t>après les requérants Renç Emre Uzan et Jasmin Paris Uzan, le succès social et la réussite économique de leur famille et le fait que leur père était finalement apparu comme un des leaders de l</w:t>
      </w:r>
      <w:r w:rsidRPr="0043317B" w:rsidR="0043317B">
        <w:rPr>
          <w:lang w:val="fr-FR"/>
        </w:rPr>
        <w:t>’</w:t>
      </w:r>
      <w:r w:rsidRPr="0043317B">
        <w:rPr>
          <w:lang w:val="fr-FR"/>
        </w:rPr>
        <w:t>opposition en Turquie sont à l</w:t>
      </w:r>
      <w:r w:rsidRPr="0043317B" w:rsidR="0043317B">
        <w:rPr>
          <w:lang w:val="fr-FR"/>
        </w:rPr>
        <w:t>’</w:t>
      </w:r>
      <w:r w:rsidRPr="0043317B">
        <w:rPr>
          <w:lang w:val="fr-FR"/>
        </w:rPr>
        <w:t>origine d</w:t>
      </w:r>
      <w:r w:rsidRPr="0043317B" w:rsidR="0043317B">
        <w:rPr>
          <w:lang w:val="fr-FR"/>
        </w:rPr>
        <w:t>’</w:t>
      </w:r>
      <w:r w:rsidRPr="0043317B">
        <w:rPr>
          <w:lang w:val="fr-FR"/>
        </w:rPr>
        <w:t>attaques dirigées contre leur famille.</w:t>
      </w:r>
    </w:p>
    <w:p w:rsidRPr="0043317B" w:rsidR="000A45C0" w:rsidP="0043317B" w:rsidRDefault="000A45C0">
      <w:pPr>
        <w:pStyle w:val="ECHRPara"/>
        <w:rPr>
          <w:lang w:val="fr-FR"/>
        </w:rPr>
      </w:pPr>
      <w:r w:rsidRPr="0043317B">
        <w:rPr>
          <w:lang w:val="fr-FR"/>
        </w:rPr>
        <w:t>Les requérants susmentionnés soutiennent qu</w:t>
      </w:r>
      <w:r w:rsidRPr="0043317B" w:rsidR="0043317B">
        <w:rPr>
          <w:lang w:val="fr-FR"/>
        </w:rPr>
        <w:t>’</w:t>
      </w:r>
      <w:r w:rsidRPr="0043317B">
        <w:rPr>
          <w:lang w:val="fr-FR"/>
        </w:rPr>
        <w:t>en l</w:t>
      </w:r>
      <w:r w:rsidRPr="0043317B" w:rsidR="0043317B">
        <w:rPr>
          <w:lang w:val="fr-FR"/>
        </w:rPr>
        <w:t>’</w:t>
      </w:r>
      <w:r w:rsidRPr="0043317B">
        <w:rPr>
          <w:lang w:val="fr-FR"/>
        </w:rPr>
        <w:t>occurrence ils sont titulaires d</w:t>
      </w:r>
      <w:r w:rsidRPr="0043317B" w:rsidR="0043317B">
        <w:rPr>
          <w:lang w:val="fr-FR"/>
        </w:rPr>
        <w:t>’</w:t>
      </w:r>
      <w:r w:rsidRPr="0043317B">
        <w:rPr>
          <w:lang w:val="fr-FR"/>
        </w:rPr>
        <w:t>un « bien » au sens de l</w:t>
      </w:r>
      <w:r w:rsidRPr="0043317B" w:rsidR="0043317B">
        <w:rPr>
          <w:lang w:val="fr-FR"/>
        </w:rPr>
        <w:t>’</w:t>
      </w:r>
      <w:r w:rsidRPr="0043317B">
        <w:rPr>
          <w:lang w:val="fr-FR"/>
        </w:rPr>
        <w:t>article 1 du Protocole n</w:t>
      </w:r>
      <w:r w:rsidRPr="0043317B">
        <w:rPr>
          <w:vertAlign w:val="superscript"/>
          <w:lang w:val="fr-FR"/>
        </w:rPr>
        <w:t>o</w:t>
      </w:r>
      <w:r w:rsidRPr="0043317B">
        <w:rPr>
          <w:lang w:val="fr-FR"/>
        </w:rPr>
        <w:t xml:space="preserve"> 1 à la Convention. Selon eux, en effet, même s</w:t>
      </w:r>
      <w:r w:rsidRPr="0043317B" w:rsidR="0043317B">
        <w:rPr>
          <w:lang w:val="fr-FR"/>
        </w:rPr>
        <w:t>’</w:t>
      </w:r>
      <w:r w:rsidRPr="0043317B">
        <w:rPr>
          <w:lang w:val="fr-FR"/>
        </w:rPr>
        <w:t>ils sont mineurs, ils sont nécessairement en mesure d</w:t>
      </w:r>
      <w:r w:rsidRPr="0043317B" w:rsidR="0043317B">
        <w:rPr>
          <w:lang w:val="fr-FR"/>
        </w:rPr>
        <w:t>’</w:t>
      </w:r>
      <w:r w:rsidRPr="0043317B">
        <w:rPr>
          <w:lang w:val="fr-FR"/>
        </w:rPr>
        <w:t>acquérir par eux</w:t>
      </w:r>
      <w:r w:rsidRPr="0043317B">
        <w:rPr>
          <w:lang w:val="fr-FR"/>
        </w:rPr>
        <w:noBreakHyphen/>
        <w:t>mêmes des biens à l</w:t>
      </w:r>
      <w:r w:rsidRPr="0043317B" w:rsidR="0043317B">
        <w:rPr>
          <w:lang w:val="fr-FR"/>
        </w:rPr>
        <w:t>’</w:t>
      </w:r>
      <w:r w:rsidRPr="0043317B">
        <w:rPr>
          <w:lang w:val="fr-FR"/>
        </w:rPr>
        <w:t>avenir et peuvent également acquérir des droits, des créances et des biens par d</w:t>
      </w:r>
      <w:r w:rsidRPr="0043317B" w:rsidR="0043317B">
        <w:rPr>
          <w:lang w:val="fr-FR"/>
        </w:rPr>
        <w:t>’</w:t>
      </w:r>
      <w:r w:rsidRPr="0043317B">
        <w:rPr>
          <w:lang w:val="fr-FR"/>
        </w:rPr>
        <w:t>autres moyens, et ce sans qu</w:t>
      </w:r>
      <w:r w:rsidRPr="0043317B" w:rsidR="0043317B">
        <w:rPr>
          <w:lang w:val="fr-FR"/>
        </w:rPr>
        <w:t>’</w:t>
      </w:r>
      <w:r w:rsidRPr="0043317B">
        <w:rPr>
          <w:lang w:val="fr-FR"/>
        </w:rPr>
        <w:t>un membre de leur famille ne soit impliqué et sans qu</w:t>
      </w:r>
      <w:r w:rsidRPr="0043317B" w:rsidR="0043317B">
        <w:rPr>
          <w:lang w:val="fr-FR"/>
        </w:rPr>
        <w:t>’</w:t>
      </w:r>
      <w:r w:rsidRPr="0043317B">
        <w:rPr>
          <w:lang w:val="fr-FR"/>
        </w:rPr>
        <w:t>aucun lien avec les infractions alléguées ne soit relevé.</w:t>
      </w:r>
    </w:p>
    <w:p w:rsidRPr="0043317B" w:rsidR="000A45C0" w:rsidP="0043317B" w:rsidRDefault="000A45C0">
      <w:pPr>
        <w:pStyle w:val="ECHRPara"/>
        <w:rPr>
          <w:lang w:val="fr-FR"/>
        </w:rPr>
      </w:pPr>
      <w:r w:rsidRPr="0043317B">
        <w:rPr>
          <w:lang w:val="fr-FR"/>
        </w:rPr>
        <w:t>Lesdits requérants avancent les arguments suivants : l</w:t>
      </w:r>
      <w:r w:rsidRPr="0043317B" w:rsidR="003C4A77">
        <w:rPr>
          <w:lang w:val="fr-FR"/>
        </w:rPr>
        <w:t>es lois </w:t>
      </w:r>
      <w:r w:rsidRPr="0043317B">
        <w:rPr>
          <w:lang w:val="fr-FR"/>
        </w:rPr>
        <w:t>n</w:t>
      </w:r>
      <w:r w:rsidRPr="0043317B">
        <w:rPr>
          <w:vertAlign w:val="superscript"/>
          <w:lang w:val="fr-FR"/>
        </w:rPr>
        <w:t>os</w:t>
      </w:r>
      <w:r w:rsidRPr="0043317B" w:rsidR="003C4A77">
        <w:rPr>
          <w:vertAlign w:val="superscript"/>
          <w:lang w:val="fr-FR"/>
        </w:rPr>
        <w:t> </w:t>
      </w:r>
      <w:r w:rsidRPr="0043317B">
        <w:rPr>
          <w:lang w:val="fr-FR"/>
        </w:rPr>
        <w:t>4969 et 5020 ont été créées sur mesure pour l</w:t>
      </w:r>
      <w:r w:rsidRPr="0043317B" w:rsidR="0043317B">
        <w:rPr>
          <w:lang w:val="fr-FR"/>
        </w:rPr>
        <w:t>’</w:t>
      </w:r>
      <w:r w:rsidRPr="0043317B">
        <w:rPr>
          <w:lang w:val="fr-FR"/>
        </w:rPr>
        <w:t xml:space="preserve">affaire </w:t>
      </w:r>
      <w:r w:rsidRPr="0043317B">
        <w:rPr>
          <w:i/>
          <w:lang w:val="fr-FR"/>
        </w:rPr>
        <w:t>İmarbank</w:t>
      </w:r>
      <w:r w:rsidRPr="0043317B">
        <w:rPr>
          <w:lang w:val="fr-FR"/>
        </w:rPr>
        <w:t> ; n</w:t>
      </w:r>
      <w:r w:rsidRPr="0043317B" w:rsidR="0043317B">
        <w:rPr>
          <w:lang w:val="fr-FR"/>
        </w:rPr>
        <w:t>’</w:t>
      </w:r>
      <w:r w:rsidRPr="0043317B">
        <w:rPr>
          <w:lang w:val="fr-FR"/>
        </w:rPr>
        <w:t>étant pas parties à l</w:t>
      </w:r>
      <w:r w:rsidRPr="0043317B" w:rsidR="0043317B">
        <w:rPr>
          <w:lang w:val="fr-FR"/>
        </w:rPr>
        <w:t>’</w:t>
      </w:r>
      <w:r w:rsidRPr="0043317B">
        <w:rPr>
          <w:lang w:val="fr-FR"/>
        </w:rPr>
        <w:t>affaire pénale principale ayant vu les mesures conservatoires prises à leur encontre être prononcées, ils n</w:t>
      </w:r>
      <w:r w:rsidRPr="0043317B" w:rsidR="0043317B">
        <w:rPr>
          <w:lang w:val="fr-FR"/>
        </w:rPr>
        <w:t>’</w:t>
      </w:r>
      <w:r w:rsidRPr="0043317B">
        <w:rPr>
          <w:lang w:val="fr-FR"/>
        </w:rPr>
        <w:t>ont pas eu et n</w:t>
      </w:r>
      <w:r w:rsidRPr="0043317B" w:rsidR="0043317B">
        <w:rPr>
          <w:lang w:val="fr-FR"/>
        </w:rPr>
        <w:t>’</w:t>
      </w:r>
      <w:r w:rsidRPr="0043317B">
        <w:rPr>
          <w:lang w:val="fr-FR"/>
        </w:rPr>
        <w:t>ont toujours pas la possibilité de contester ces mesures, imposées par la 8</w:t>
      </w:r>
      <w:r w:rsidRPr="0043317B">
        <w:rPr>
          <w:vertAlign w:val="superscript"/>
          <w:lang w:val="fr-FR"/>
        </w:rPr>
        <w:t>e</w:t>
      </w:r>
      <w:r w:rsidRPr="0043317B">
        <w:rPr>
          <w:lang w:val="fr-FR"/>
        </w:rPr>
        <w:t xml:space="preserve"> chambre de la cour d</w:t>
      </w:r>
      <w:r w:rsidRPr="0043317B" w:rsidR="0043317B">
        <w:rPr>
          <w:lang w:val="fr-FR"/>
        </w:rPr>
        <w:t>’</w:t>
      </w:r>
      <w:r w:rsidRPr="0043317B">
        <w:rPr>
          <w:lang w:val="fr-FR"/>
        </w:rPr>
        <w:t>assises d</w:t>
      </w:r>
      <w:r w:rsidRPr="0043317B" w:rsidR="0043317B">
        <w:rPr>
          <w:lang w:val="fr-FR"/>
        </w:rPr>
        <w:t>’</w:t>
      </w:r>
      <w:r w:rsidRPr="0043317B">
        <w:rPr>
          <w:lang w:val="fr-FR"/>
        </w:rPr>
        <w:t>Istanbul le 16 février 2005 ; cette situation pourrait perdurer éternellement en raison de la décision des autorités turques de disjoindre et de suspendre l</w:t>
      </w:r>
      <w:r w:rsidRPr="0043317B" w:rsidR="0043317B">
        <w:rPr>
          <w:lang w:val="fr-FR"/>
        </w:rPr>
        <w:t>’</w:t>
      </w:r>
      <w:r w:rsidRPr="0043317B">
        <w:rPr>
          <w:lang w:val="fr-FR"/>
        </w:rPr>
        <w:t>affaire concernant K.U., Y.U. et H.U. au motif de l</w:t>
      </w:r>
      <w:r w:rsidRPr="0043317B" w:rsidR="0043317B">
        <w:rPr>
          <w:lang w:val="fr-FR"/>
        </w:rPr>
        <w:t>’</w:t>
      </w:r>
      <w:r w:rsidRPr="0043317B">
        <w:rPr>
          <w:lang w:val="fr-FR"/>
        </w:rPr>
        <w:t>absence de ceux-ci aux audiences ; les ordonnances contestées imposées sur leurs biens couvrent tout leur patrimoine actuel –</w:t>
      </w:r>
      <w:r w:rsidRPr="0043317B" w:rsidR="003C4A77">
        <w:rPr>
          <w:lang w:val="fr-FR"/>
        </w:rPr>
        <w:t> </w:t>
      </w:r>
      <w:r w:rsidRPr="0043317B">
        <w:rPr>
          <w:lang w:val="fr-FR"/>
        </w:rPr>
        <w:t>même si rien ne leur appartenait à l</w:t>
      </w:r>
      <w:r w:rsidRPr="0043317B" w:rsidR="0043317B">
        <w:rPr>
          <w:lang w:val="fr-FR"/>
        </w:rPr>
        <w:t>’</w:t>
      </w:r>
      <w:r w:rsidRPr="0043317B">
        <w:rPr>
          <w:lang w:val="fr-FR"/>
        </w:rPr>
        <w:t>époque de l</w:t>
      </w:r>
      <w:r w:rsidRPr="0043317B" w:rsidR="0043317B">
        <w:rPr>
          <w:lang w:val="fr-FR"/>
        </w:rPr>
        <w:t>’</w:t>
      </w:r>
      <w:r w:rsidRPr="0043317B">
        <w:rPr>
          <w:lang w:val="fr-FR"/>
        </w:rPr>
        <w:t>application de ces mesures, étant donné leur âge</w:t>
      </w:r>
      <w:r w:rsidRPr="0043317B" w:rsidR="003C4A77">
        <w:rPr>
          <w:lang w:val="fr-FR"/>
        </w:rPr>
        <w:t> </w:t>
      </w:r>
      <w:r w:rsidRPr="0043317B">
        <w:rPr>
          <w:lang w:val="fr-FR"/>
        </w:rPr>
        <w:t>– et futur ; même si l</w:t>
      </w:r>
      <w:r w:rsidRPr="0043317B" w:rsidR="0043317B">
        <w:rPr>
          <w:lang w:val="fr-FR"/>
        </w:rPr>
        <w:t>’</w:t>
      </w:r>
      <w:r w:rsidRPr="0043317B">
        <w:rPr>
          <w:lang w:val="fr-FR"/>
        </w:rPr>
        <w:t>on peut supposer que les mesures en cause pourront un jour être levées, de nouvelles mesures pourraient être imposées sur la base des lois n</w:t>
      </w:r>
      <w:r w:rsidRPr="0043317B">
        <w:rPr>
          <w:vertAlign w:val="superscript"/>
          <w:lang w:val="fr-FR"/>
        </w:rPr>
        <w:t>os</w:t>
      </w:r>
      <w:r w:rsidRPr="0043317B">
        <w:rPr>
          <w:lang w:val="fr-FR"/>
        </w:rPr>
        <w:t xml:space="preserve"> 4969 et 5020 tant que l</w:t>
      </w:r>
      <w:r w:rsidRPr="0043317B" w:rsidR="0043317B">
        <w:rPr>
          <w:lang w:val="fr-FR"/>
        </w:rPr>
        <w:t>’</w:t>
      </w:r>
      <w:r w:rsidRPr="0043317B">
        <w:rPr>
          <w:lang w:val="fr-FR"/>
        </w:rPr>
        <w:t>une des procédures menées dans le cadre de l</w:t>
      </w:r>
      <w:r w:rsidRPr="0043317B" w:rsidR="0043317B">
        <w:rPr>
          <w:lang w:val="fr-FR"/>
        </w:rPr>
        <w:t>’</w:t>
      </w:r>
      <w:r w:rsidRPr="0043317B">
        <w:rPr>
          <w:lang w:val="fr-FR"/>
        </w:rPr>
        <w:t xml:space="preserve">affaire </w:t>
      </w:r>
      <w:r w:rsidRPr="0043317B">
        <w:rPr>
          <w:i/>
          <w:lang w:val="fr-FR"/>
        </w:rPr>
        <w:t>İmarbank</w:t>
      </w:r>
      <w:r w:rsidRPr="0043317B">
        <w:rPr>
          <w:lang w:val="fr-FR"/>
        </w:rPr>
        <w:t xml:space="preserve"> restera ouverte ; n</w:t>
      </w:r>
      <w:r w:rsidRPr="0043317B" w:rsidR="0043317B">
        <w:rPr>
          <w:lang w:val="fr-FR"/>
        </w:rPr>
        <w:t>’</w:t>
      </w:r>
      <w:r w:rsidRPr="0043317B">
        <w:rPr>
          <w:lang w:val="fr-FR"/>
        </w:rPr>
        <w:t>étant pas parties à l</w:t>
      </w:r>
      <w:r w:rsidRPr="0043317B" w:rsidR="0043317B">
        <w:rPr>
          <w:lang w:val="fr-FR"/>
        </w:rPr>
        <w:t>’</w:t>
      </w:r>
      <w:r w:rsidRPr="0043317B">
        <w:rPr>
          <w:lang w:val="fr-FR"/>
        </w:rPr>
        <w:t>affaire pénale principale ayant vu les mesures conservatoires litigieuses être prononcées, ils peuvent toujours se voir délivrer, par le FADE, une nouvelle lettre d</w:t>
      </w:r>
      <w:r w:rsidRPr="0043317B" w:rsidR="0043317B">
        <w:rPr>
          <w:lang w:val="fr-FR"/>
        </w:rPr>
        <w:t>’</w:t>
      </w:r>
      <w:r w:rsidRPr="0043317B">
        <w:rPr>
          <w:lang w:val="fr-FR"/>
        </w:rPr>
        <w:t>invitation à payer sur la base des ordonnances, encore en vigueur, émises sur le fondement des lois n</w:t>
      </w:r>
      <w:r w:rsidRPr="0043317B">
        <w:rPr>
          <w:vertAlign w:val="superscript"/>
          <w:lang w:val="fr-FR"/>
        </w:rPr>
        <w:t>os</w:t>
      </w:r>
      <w:r w:rsidRPr="0043317B" w:rsidR="003C4A77">
        <w:rPr>
          <w:lang w:val="fr-FR"/>
        </w:rPr>
        <w:t xml:space="preserve"> 4969 et </w:t>
      </w:r>
      <w:r w:rsidRPr="0043317B">
        <w:rPr>
          <w:lang w:val="fr-FR"/>
        </w:rPr>
        <w:t>5020.</w:t>
      </w:r>
    </w:p>
    <w:p w:rsidRPr="0043317B" w:rsidR="000A45C0" w:rsidP="0043317B" w:rsidRDefault="000A45C0">
      <w:pPr>
        <w:pStyle w:val="ECHRPara"/>
        <w:rPr>
          <w:lang w:val="fr-FR"/>
        </w:rPr>
      </w:pPr>
      <w:r w:rsidRPr="0043317B">
        <w:rPr>
          <w:lang w:val="fr-FR"/>
        </w:rPr>
        <w:t>Ces deux requérants indiquent qu</w:t>
      </w:r>
      <w:r w:rsidRPr="0043317B" w:rsidR="0043317B">
        <w:rPr>
          <w:lang w:val="fr-FR"/>
        </w:rPr>
        <w:t>’</w:t>
      </w:r>
      <w:r w:rsidRPr="0043317B">
        <w:rPr>
          <w:lang w:val="fr-FR"/>
        </w:rPr>
        <w:t>ils étaient deux jeunes enfants à l</w:t>
      </w:r>
      <w:r w:rsidRPr="0043317B" w:rsidR="0043317B">
        <w:rPr>
          <w:lang w:val="fr-FR"/>
        </w:rPr>
        <w:t>’</w:t>
      </w:r>
      <w:r w:rsidRPr="0043317B">
        <w:rPr>
          <w:lang w:val="fr-FR"/>
        </w:rPr>
        <w:t>époque des faits à l</w:t>
      </w:r>
      <w:r w:rsidRPr="0043317B" w:rsidR="0043317B">
        <w:rPr>
          <w:lang w:val="fr-FR"/>
        </w:rPr>
        <w:t>’</w:t>
      </w:r>
      <w:r w:rsidRPr="0043317B">
        <w:rPr>
          <w:lang w:val="fr-FR"/>
        </w:rPr>
        <w:t>origine de l</w:t>
      </w:r>
      <w:r w:rsidRPr="0043317B" w:rsidR="0043317B">
        <w:rPr>
          <w:lang w:val="fr-FR"/>
        </w:rPr>
        <w:t>’</w:t>
      </w:r>
      <w:r w:rsidRPr="0043317B">
        <w:rPr>
          <w:lang w:val="fr-FR"/>
        </w:rPr>
        <w:t>application des lois et qu</w:t>
      </w:r>
      <w:r w:rsidRPr="0043317B" w:rsidR="0043317B">
        <w:rPr>
          <w:lang w:val="fr-FR"/>
        </w:rPr>
        <w:t>’</w:t>
      </w:r>
      <w:r w:rsidRPr="0043317B">
        <w:rPr>
          <w:lang w:val="fr-FR"/>
        </w:rPr>
        <w:t>ils n</w:t>
      </w:r>
      <w:r w:rsidRPr="0043317B" w:rsidR="0043317B">
        <w:rPr>
          <w:lang w:val="fr-FR"/>
        </w:rPr>
        <w:t>’</w:t>
      </w:r>
      <w:r w:rsidRPr="0043317B">
        <w:rPr>
          <w:lang w:val="fr-FR"/>
        </w:rPr>
        <w:t>avaient aucun moyen d</w:t>
      </w:r>
      <w:r w:rsidRPr="0043317B" w:rsidR="0043317B">
        <w:rPr>
          <w:lang w:val="fr-FR"/>
        </w:rPr>
        <w:t>’</w:t>
      </w:r>
      <w:r w:rsidRPr="0043317B">
        <w:rPr>
          <w:lang w:val="fr-FR"/>
        </w:rPr>
        <w:t>intervenir dans ces faits. Ils estiment par conséquent que la question relative à l</w:t>
      </w:r>
      <w:r w:rsidRPr="0043317B" w:rsidR="0043317B">
        <w:rPr>
          <w:lang w:val="fr-FR"/>
        </w:rPr>
        <w:t>’</w:t>
      </w:r>
      <w:r w:rsidRPr="0043317B">
        <w:rPr>
          <w:lang w:val="fr-FR"/>
        </w:rPr>
        <w:t>accessibilité, la précision et la prévisibilité des lois en question –</w:t>
      </w:r>
      <w:r w:rsidRPr="0043317B" w:rsidR="003C4A77">
        <w:rPr>
          <w:lang w:val="fr-FR"/>
        </w:rPr>
        <w:t> </w:t>
      </w:r>
      <w:r w:rsidRPr="0043317B">
        <w:rPr>
          <w:lang w:val="fr-FR"/>
        </w:rPr>
        <w:t>au demeurant discutables à leurs yeux</w:t>
      </w:r>
      <w:r w:rsidRPr="0043317B" w:rsidR="003C4A77">
        <w:rPr>
          <w:lang w:val="fr-FR"/>
        </w:rPr>
        <w:t> </w:t>
      </w:r>
      <w:r w:rsidRPr="0043317B">
        <w:rPr>
          <w:lang w:val="fr-FR"/>
        </w:rPr>
        <w:t>– importe peu. Ils disent n</w:t>
      </w:r>
      <w:r w:rsidRPr="0043317B" w:rsidR="0043317B">
        <w:rPr>
          <w:lang w:val="fr-FR"/>
        </w:rPr>
        <w:t>’</w:t>
      </w:r>
      <w:r w:rsidRPr="0043317B">
        <w:rPr>
          <w:lang w:val="fr-FR"/>
        </w:rPr>
        <w:t>avoir aucune responsabilité ni aucune emprise sur les infractions reprochées à leurs proches.</w:t>
      </w:r>
    </w:p>
    <w:p w:rsidRPr="0043317B" w:rsidR="000A45C0" w:rsidP="0043317B" w:rsidRDefault="000A45C0">
      <w:pPr>
        <w:pStyle w:val="ECHRPara"/>
        <w:rPr>
          <w:lang w:val="fr-FR"/>
        </w:rPr>
      </w:pPr>
      <w:r w:rsidRPr="0043317B">
        <w:rPr>
          <w:lang w:val="fr-FR"/>
        </w:rPr>
        <w:t>Concernant l</w:t>
      </w:r>
      <w:r w:rsidRPr="0043317B" w:rsidR="0043317B">
        <w:rPr>
          <w:lang w:val="fr-FR"/>
        </w:rPr>
        <w:t>’</w:t>
      </w:r>
      <w:r w:rsidRPr="0043317B">
        <w:rPr>
          <w:lang w:val="fr-FR"/>
        </w:rPr>
        <w:t>assertion du Gouvernement selon laquelle aucune saisie n</w:t>
      </w:r>
      <w:r w:rsidRPr="0043317B" w:rsidR="0043317B">
        <w:rPr>
          <w:lang w:val="fr-FR"/>
        </w:rPr>
        <w:t>’</w:t>
      </w:r>
      <w:r w:rsidRPr="0043317B">
        <w:rPr>
          <w:lang w:val="fr-FR"/>
        </w:rPr>
        <w:t>a été effectuée sur leurs biens, ils soutiennent que cette allégation est équivoque, au motif qu</w:t>
      </w:r>
      <w:r w:rsidRPr="0043317B" w:rsidR="0043317B">
        <w:rPr>
          <w:lang w:val="fr-FR"/>
        </w:rPr>
        <w:t>’</w:t>
      </w:r>
      <w:r w:rsidRPr="0043317B">
        <w:rPr>
          <w:lang w:val="fr-FR"/>
        </w:rPr>
        <w:t>ils ne possèdent pas encore d</w:t>
      </w:r>
      <w:r w:rsidRPr="0043317B" w:rsidR="0043317B">
        <w:rPr>
          <w:lang w:val="fr-FR"/>
        </w:rPr>
        <w:t>’</w:t>
      </w:r>
      <w:r w:rsidRPr="0043317B">
        <w:rPr>
          <w:lang w:val="fr-FR"/>
        </w:rPr>
        <w:t>actifs et qu</w:t>
      </w:r>
      <w:r w:rsidRPr="0043317B" w:rsidR="0043317B">
        <w:rPr>
          <w:lang w:val="fr-FR"/>
        </w:rPr>
        <w:t>’</w:t>
      </w:r>
      <w:r w:rsidRPr="0043317B">
        <w:rPr>
          <w:lang w:val="fr-FR"/>
        </w:rPr>
        <w:t>aucun bien leur appartenant ne peut de toute évidence être saisi. Ils ajoutent que cette assertion ne signifie pas que les autorités n</w:t>
      </w:r>
      <w:r w:rsidRPr="0043317B" w:rsidR="0043317B">
        <w:rPr>
          <w:lang w:val="fr-FR"/>
        </w:rPr>
        <w:t>’</w:t>
      </w:r>
      <w:r w:rsidRPr="0043317B">
        <w:rPr>
          <w:lang w:val="fr-FR"/>
        </w:rPr>
        <w:t>auraient pas l</w:t>
      </w:r>
      <w:r w:rsidRPr="0043317B" w:rsidR="0043317B">
        <w:rPr>
          <w:lang w:val="fr-FR"/>
        </w:rPr>
        <w:t>’</w:t>
      </w:r>
      <w:r w:rsidRPr="0043317B">
        <w:rPr>
          <w:lang w:val="fr-FR"/>
        </w:rPr>
        <w:t>intention de saisir leurs biens. À cet égard, ils arguent ce qui suit : les autorités turques ont dressé un inventaire de tous les biens existant dans la maison où ils vivaient, y compris ceux dont ils disposaient à titre strictement personnel, à savoir, entre autres, leurs lits, vêtements, jouets, ordinateurs, livres et vélos ; leurs biens personnels seront donc certainement concernés par les ordonnances de mesures provisoires ; ces ordonnances permettront très certainement la saisie de leurs biens dès qu</w:t>
      </w:r>
      <w:r w:rsidRPr="0043317B" w:rsidR="0043317B">
        <w:rPr>
          <w:lang w:val="fr-FR"/>
        </w:rPr>
        <w:t>’</w:t>
      </w:r>
      <w:r w:rsidRPr="0043317B">
        <w:rPr>
          <w:lang w:val="fr-FR"/>
        </w:rPr>
        <w:t>ils pourront en acquérir.</w:t>
      </w:r>
    </w:p>
    <w:p w:rsidRPr="0043317B" w:rsidR="000A45C0" w:rsidP="0043317B" w:rsidRDefault="000A45C0">
      <w:pPr>
        <w:pStyle w:val="ECHRPara"/>
        <w:rPr>
          <w:lang w:val="fr-FR"/>
        </w:rPr>
      </w:pPr>
      <w:r w:rsidRPr="0043317B">
        <w:rPr>
          <w:lang w:val="fr-FR"/>
        </w:rPr>
        <w:t>Les requérants Renç Emre Uzan et Jasmin Paris Uzan indiquent que le premier avait à peine 4 ans et que la seconde n</w:t>
      </w:r>
      <w:r w:rsidRPr="0043317B" w:rsidR="0043317B">
        <w:rPr>
          <w:lang w:val="fr-FR"/>
        </w:rPr>
        <w:t>’</w:t>
      </w:r>
      <w:r w:rsidRPr="0043317B">
        <w:rPr>
          <w:lang w:val="fr-FR"/>
        </w:rPr>
        <w:t>était même pas née au moment de la promulgation de la loi n</w:t>
      </w:r>
      <w:r w:rsidRPr="0043317B">
        <w:rPr>
          <w:vertAlign w:val="superscript"/>
          <w:lang w:val="fr-FR"/>
        </w:rPr>
        <w:t>o</w:t>
      </w:r>
      <w:r w:rsidRPr="0043317B">
        <w:rPr>
          <w:lang w:val="fr-FR"/>
        </w:rPr>
        <w:t xml:space="preserve"> 4969 par le Parlement turc, le 31 juillet 2003, et de son entrée en vigueur, le 12 août 2003, et que, en dépit de cette circonstance, le FADE a imposé des mesures conservatoires sur leurs biens, a porté plainte contre eux et a également émis des lettres d</w:t>
      </w:r>
      <w:r w:rsidRPr="0043317B" w:rsidR="0043317B">
        <w:rPr>
          <w:lang w:val="fr-FR"/>
        </w:rPr>
        <w:t>’</w:t>
      </w:r>
      <w:r w:rsidRPr="0043317B">
        <w:rPr>
          <w:lang w:val="fr-FR"/>
        </w:rPr>
        <w:t>invitation à payer pour un montant, exorbitant selon eux, de 7,5</w:t>
      </w:r>
      <w:r w:rsidRPr="0043317B" w:rsidR="003C4A77">
        <w:rPr>
          <w:lang w:val="fr-FR"/>
        </w:rPr>
        <w:t> </w:t>
      </w:r>
      <w:r w:rsidRPr="0043317B">
        <w:rPr>
          <w:lang w:val="fr-FR"/>
        </w:rPr>
        <w:t>milliards</w:t>
      </w:r>
      <w:r w:rsidRPr="0043317B" w:rsidR="003C4A77">
        <w:rPr>
          <w:lang w:val="fr-FR"/>
        </w:rPr>
        <w:t> </w:t>
      </w:r>
      <w:r w:rsidRPr="0043317B">
        <w:rPr>
          <w:lang w:val="fr-FR"/>
        </w:rPr>
        <w:t>TRY (soit environ 4 milliards EUR à l</w:t>
      </w:r>
      <w:r w:rsidRPr="0043317B" w:rsidR="0043317B">
        <w:rPr>
          <w:lang w:val="fr-FR"/>
        </w:rPr>
        <w:t>’</w:t>
      </w:r>
      <w:r w:rsidRPr="0043317B">
        <w:rPr>
          <w:lang w:val="fr-FR"/>
        </w:rPr>
        <w:t>époque des faits). À leurs dires, c</w:t>
      </w:r>
      <w:r w:rsidRPr="0043317B" w:rsidR="0043317B">
        <w:rPr>
          <w:lang w:val="fr-FR"/>
        </w:rPr>
        <w:t>’</w:t>
      </w:r>
      <w:r w:rsidRPr="0043317B">
        <w:rPr>
          <w:lang w:val="fr-FR"/>
        </w:rPr>
        <w:t>est ainsi que, pour traiter d</w:t>
      </w:r>
      <w:r w:rsidRPr="0043317B" w:rsidR="0043317B">
        <w:rPr>
          <w:lang w:val="fr-FR"/>
        </w:rPr>
        <w:t>’</w:t>
      </w:r>
      <w:r w:rsidRPr="0043317B">
        <w:rPr>
          <w:lang w:val="fr-FR"/>
        </w:rPr>
        <w:t>un cas particulier, un article de loi spécifique a été adopté, des mesures conservatoires ont été prises et des poursuites ont été engagées contre des personnes au seul motif qu</w:t>
      </w:r>
      <w:r w:rsidRPr="0043317B" w:rsidR="0043317B">
        <w:rPr>
          <w:lang w:val="fr-FR"/>
        </w:rPr>
        <w:t>’</w:t>
      </w:r>
      <w:r w:rsidRPr="0043317B">
        <w:rPr>
          <w:lang w:val="fr-FR"/>
        </w:rPr>
        <w:t>elles étaient les enfants d</w:t>
      </w:r>
      <w:r w:rsidRPr="0043317B" w:rsidR="0043317B">
        <w:rPr>
          <w:lang w:val="fr-FR"/>
        </w:rPr>
        <w:t>’</w:t>
      </w:r>
      <w:r w:rsidRPr="0043317B">
        <w:rPr>
          <w:lang w:val="fr-FR"/>
        </w:rPr>
        <w:t>un individu visé par des poursuites.</w:t>
      </w:r>
    </w:p>
    <w:p w:rsidRPr="0043317B" w:rsidR="000A45C0" w:rsidP="0043317B" w:rsidRDefault="000A45C0">
      <w:pPr>
        <w:pStyle w:val="ECHRPara"/>
        <w:rPr>
          <w:lang w:val="fr-FR"/>
        </w:rPr>
      </w:pPr>
      <w:r w:rsidRPr="0043317B">
        <w:rPr>
          <w:lang w:val="fr-FR"/>
        </w:rPr>
        <w:t xml:space="preserve">Ils exposent que cette pratique est connue sous le vocable allemand de </w:t>
      </w:r>
      <w:r w:rsidRPr="0043317B">
        <w:rPr>
          <w:i/>
          <w:lang w:val="fr-FR"/>
        </w:rPr>
        <w:t>Sippenhaft</w:t>
      </w:r>
      <w:r w:rsidRPr="0043317B">
        <w:rPr>
          <w:lang w:val="fr-FR"/>
        </w:rPr>
        <w:t>, qu</w:t>
      </w:r>
      <w:r w:rsidRPr="0043317B" w:rsidR="0043317B">
        <w:rPr>
          <w:lang w:val="fr-FR"/>
        </w:rPr>
        <w:t>’</w:t>
      </w:r>
      <w:r w:rsidRPr="0043317B">
        <w:rPr>
          <w:lang w:val="fr-FR"/>
        </w:rPr>
        <w:t>elle crée l</w:t>
      </w:r>
      <w:r w:rsidRPr="0043317B" w:rsidR="0043317B">
        <w:rPr>
          <w:lang w:val="fr-FR"/>
        </w:rPr>
        <w:t>’</w:t>
      </w:r>
      <w:r w:rsidRPr="0043317B">
        <w:rPr>
          <w:lang w:val="fr-FR"/>
        </w:rPr>
        <w:t>obligation pour les membres d</w:t>
      </w:r>
      <w:r w:rsidRPr="0043317B" w:rsidR="0043317B">
        <w:rPr>
          <w:lang w:val="fr-FR"/>
        </w:rPr>
        <w:t>’</w:t>
      </w:r>
      <w:r w:rsidRPr="0043317B">
        <w:rPr>
          <w:lang w:val="fr-FR"/>
        </w:rPr>
        <w:t>une même famille de payer une dette présumée contractée par l</w:t>
      </w:r>
      <w:r w:rsidRPr="0043317B" w:rsidR="0043317B">
        <w:rPr>
          <w:lang w:val="fr-FR"/>
        </w:rPr>
        <w:t>’</w:t>
      </w:r>
      <w:r w:rsidRPr="0043317B">
        <w:rPr>
          <w:lang w:val="fr-FR"/>
        </w:rPr>
        <w:t>un d</w:t>
      </w:r>
      <w:r w:rsidRPr="0043317B" w:rsidR="0043317B">
        <w:rPr>
          <w:lang w:val="fr-FR"/>
        </w:rPr>
        <w:t>’</w:t>
      </w:r>
      <w:r w:rsidRPr="0043317B">
        <w:rPr>
          <w:lang w:val="fr-FR"/>
        </w:rPr>
        <w:t>entre eux en raison de la commission d</w:t>
      </w:r>
      <w:r w:rsidRPr="0043317B" w:rsidR="0043317B">
        <w:rPr>
          <w:lang w:val="fr-FR"/>
        </w:rPr>
        <w:t>’</w:t>
      </w:r>
      <w:r w:rsidRPr="0043317B">
        <w:rPr>
          <w:lang w:val="fr-FR"/>
        </w:rPr>
        <w:t>une infraction, la seule condition étant d</w:t>
      </w:r>
      <w:r w:rsidRPr="0043317B" w:rsidR="0043317B">
        <w:rPr>
          <w:lang w:val="fr-FR"/>
        </w:rPr>
        <w:t>’</w:t>
      </w:r>
      <w:r w:rsidRPr="0043317B">
        <w:rPr>
          <w:lang w:val="fr-FR"/>
        </w:rPr>
        <w:t>être parent ou conjoint de celui-ci, et qu</w:t>
      </w:r>
      <w:r w:rsidRPr="0043317B" w:rsidR="0043317B">
        <w:rPr>
          <w:lang w:val="fr-FR"/>
        </w:rPr>
        <w:t>’</w:t>
      </w:r>
      <w:r w:rsidRPr="0043317B">
        <w:rPr>
          <w:lang w:val="fr-FR"/>
        </w:rPr>
        <w:t>il n</w:t>
      </w:r>
      <w:r w:rsidRPr="0043317B" w:rsidR="0043317B">
        <w:rPr>
          <w:lang w:val="fr-FR"/>
        </w:rPr>
        <w:t>’</w:t>
      </w:r>
      <w:r w:rsidRPr="0043317B">
        <w:rPr>
          <w:lang w:val="fr-FR"/>
        </w:rPr>
        <w:t>y a pas d</w:t>
      </w:r>
      <w:r w:rsidRPr="0043317B" w:rsidR="0043317B">
        <w:rPr>
          <w:lang w:val="fr-FR"/>
        </w:rPr>
        <w:t>’</w:t>
      </w:r>
      <w:r w:rsidRPr="0043317B">
        <w:rPr>
          <w:lang w:val="fr-FR"/>
        </w:rPr>
        <w:t>exigence relative à la participation possible de ce parent ou de ce conjoint à l</w:t>
      </w:r>
      <w:r w:rsidRPr="0043317B" w:rsidR="0043317B">
        <w:rPr>
          <w:lang w:val="fr-FR"/>
        </w:rPr>
        <w:t>’</w:t>
      </w:r>
      <w:r w:rsidRPr="0043317B">
        <w:rPr>
          <w:lang w:val="fr-FR"/>
        </w:rPr>
        <w:t>infraction ni de nécessité d</w:t>
      </w:r>
      <w:r w:rsidRPr="0043317B" w:rsidR="0043317B">
        <w:rPr>
          <w:lang w:val="fr-FR"/>
        </w:rPr>
        <w:t>’</w:t>
      </w:r>
      <w:r w:rsidRPr="0043317B">
        <w:rPr>
          <w:lang w:val="fr-FR"/>
        </w:rPr>
        <w:t>établir un lien entre les biens saisis et l</w:t>
      </w:r>
      <w:r w:rsidRPr="0043317B" w:rsidR="0043317B">
        <w:rPr>
          <w:lang w:val="fr-FR"/>
        </w:rPr>
        <w:t>’</w:t>
      </w:r>
      <w:r w:rsidRPr="0043317B">
        <w:rPr>
          <w:lang w:val="fr-FR"/>
        </w:rPr>
        <w:t>infraction présumée.</w:t>
      </w:r>
    </w:p>
    <w:p w:rsidRPr="0043317B" w:rsidR="000A45C0" w:rsidP="0043317B" w:rsidRDefault="000A45C0">
      <w:pPr>
        <w:pStyle w:val="ECHRPara"/>
        <w:rPr>
          <w:lang w:val="fr-FR"/>
        </w:rPr>
      </w:pPr>
      <w:r w:rsidRPr="0043317B">
        <w:rPr>
          <w:lang w:val="fr-FR"/>
        </w:rPr>
        <w:t>Ils déclarent n</w:t>
      </w:r>
      <w:r w:rsidRPr="0043317B" w:rsidR="0043317B">
        <w:rPr>
          <w:lang w:val="fr-FR"/>
        </w:rPr>
        <w:t>’</w:t>
      </w:r>
      <w:r w:rsidRPr="0043317B">
        <w:rPr>
          <w:lang w:val="fr-FR"/>
        </w:rPr>
        <w:t>avoir aucune possibilité de contester les mesures conservatoires au motif que de telles mesures peuvent être prises automatiquement, uniquement en raison de l</w:t>
      </w:r>
      <w:r w:rsidRPr="0043317B" w:rsidR="0043317B">
        <w:rPr>
          <w:lang w:val="fr-FR"/>
        </w:rPr>
        <w:t>’</w:t>
      </w:r>
      <w:r w:rsidRPr="0043317B">
        <w:rPr>
          <w:lang w:val="fr-FR"/>
        </w:rPr>
        <w:t>existence de liens familiaux. Selon eux, la personne visée par une mesure conservatoire ne peut en réalité pas contester cette dernière, car sa seule défense consisterait à se prévaloir d</w:t>
      </w:r>
      <w:r w:rsidRPr="0043317B" w:rsidR="0043317B">
        <w:rPr>
          <w:lang w:val="fr-FR"/>
        </w:rPr>
        <w:t>’</w:t>
      </w:r>
      <w:r w:rsidRPr="0043317B">
        <w:rPr>
          <w:lang w:val="fr-FR"/>
        </w:rPr>
        <w:t>une absence de relation parentale ou conjugale. Dans de telles circonstances, aucun recours effectif ne serait disponible pour dénoncer la mesure en question.</w:t>
      </w:r>
    </w:p>
    <w:p w:rsidRPr="0043317B" w:rsidR="000A45C0" w:rsidP="0043317B" w:rsidRDefault="000A45C0">
      <w:pPr>
        <w:pStyle w:val="ECHRPara"/>
        <w:rPr>
          <w:lang w:val="fr-FR"/>
        </w:rPr>
      </w:pPr>
      <w:r w:rsidRPr="0043317B">
        <w:rPr>
          <w:lang w:val="fr-FR"/>
        </w:rPr>
        <w:t>En ce qui concerne la proportionnalité des mesures, les requérants susmentionnés admettent que l</w:t>
      </w:r>
      <w:r w:rsidRPr="0043317B" w:rsidR="0043317B">
        <w:rPr>
          <w:lang w:val="fr-FR"/>
        </w:rPr>
        <w:t>’</w:t>
      </w:r>
      <w:r w:rsidRPr="0043317B">
        <w:rPr>
          <w:lang w:val="fr-FR"/>
        </w:rPr>
        <w:t>adoption de mesures de précaution sur les biens des personnes présumées être les auteurs d</w:t>
      </w:r>
      <w:r w:rsidRPr="0043317B" w:rsidR="0043317B">
        <w:rPr>
          <w:lang w:val="fr-FR"/>
        </w:rPr>
        <w:t>’</w:t>
      </w:r>
      <w:r w:rsidRPr="0043317B">
        <w:rPr>
          <w:lang w:val="fr-FR"/>
        </w:rPr>
        <w:t>une infraction peut être une solution appropriée pour empêcher les transferts frauduleux. Ils estiment toutefois que les juridictions turques imposent et maintiennent des mesures disproportionnées contre les enfants de ces personnes et qu</w:t>
      </w:r>
      <w:r w:rsidRPr="0043317B" w:rsidR="0043317B">
        <w:rPr>
          <w:lang w:val="fr-FR"/>
        </w:rPr>
        <w:t>’</w:t>
      </w:r>
      <w:r w:rsidRPr="0043317B">
        <w:rPr>
          <w:lang w:val="fr-FR"/>
        </w:rPr>
        <w:t>elles ont agi de la sorte dans leur cas. Sur ce dernier point, ils indiquent qu</w:t>
      </w:r>
      <w:r w:rsidRPr="0043317B" w:rsidR="0043317B">
        <w:rPr>
          <w:lang w:val="fr-FR"/>
        </w:rPr>
        <w:t>’</w:t>
      </w:r>
      <w:r w:rsidRPr="0043317B">
        <w:rPr>
          <w:lang w:val="fr-FR"/>
        </w:rPr>
        <w:t>eux</w:t>
      </w:r>
      <w:r w:rsidRPr="0043317B">
        <w:rPr>
          <w:lang w:val="fr-FR"/>
        </w:rPr>
        <w:noBreakHyphen/>
        <w:t>mêmes se retrouvent lourdement endettés pour une période indéterminée</w:t>
      </w:r>
      <w:r w:rsidRPr="0043317B" w:rsidR="003C4A77">
        <w:rPr>
          <w:lang w:val="fr-FR"/>
        </w:rPr>
        <w:t xml:space="preserve"> </w:t>
      </w:r>
      <w:r w:rsidRPr="0043317B">
        <w:rPr>
          <w:lang w:val="fr-FR"/>
        </w:rPr>
        <w:t>et que, étant âgés de 19 et 15 ans, ils grandissent sans aucune perspective de posséder des biens ni même d</w:t>
      </w:r>
      <w:r w:rsidRPr="0043317B" w:rsidR="0043317B">
        <w:rPr>
          <w:lang w:val="fr-FR"/>
        </w:rPr>
        <w:t>’</w:t>
      </w:r>
      <w:r w:rsidRPr="0043317B">
        <w:rPr>
          <w:lang w:val="fr-FR"/>
        </w:rPr>
        <w:t>en profiter. En ce qui concerne la situation actuelle, ils ajoutent qu</w:t>
      </w:r>
      <w:r w:rsidRPr="0043317B" w:rsidR="0043317B">
        <w:rPr>
          <w:lang w:val="fr-FR"/>
        </w:rPr>
        <w:t>’</w:t>
      </w:r>
      <w:r w:rsidRPr="0043317B">
        <w:rPr>
          <w:lang w:val="fr-FR"/>
        </w:rPr>
        <w:t>ils sont dès à présent conscients qu</w:t>
      </w:r>
      <w:r w:rsidRPr="0043317B" w:rsidR="0043317B">
        <w:rPr>
          <w:lang w:val="fr-FR"/>
        </w:rPr>
        <w:t>’</w:t>
      </w:r>
      <w:r w:rsidRPr="0043317B">
        <w:rPr>
          <w:lang w:val="fr-FR"/>
        </w:rPr>
        <w:t>ils ne pourront jamais faire leur vie en Turquie.</w:t>
      </w:r>
    </w:p>
    <w:p w:rsidRPr="0043317B" w:rsidR="000A45C0" w:rsidP="0043317B" w:rsidRDefault="000A45C0">
      <w:pPr>
        <w:pStyle w:val="ECHRPara"/>
        <w:rPr>
          <w:lang w:val="fr-FR"/>
        </w:rPr>
      </w:pPr>
      <w:r w:rsidRPr="0043317B">
        <w:rPr>
          <w:lang w:val="fr-FR"/>
        </w:rPr>
        <w:t>Ils soutiennent que l</w:t>
      </w:r>
      <w:r w:rsidRPr="0043317B" w:rsidR="0043317B">
        <w:rPr>
          <w:lang w:val="fr-FR"/>
        </w:rPr>
        <w:t>’</w:t>
      </w:r>
      <w:r w:rsidRPr="0043317B">
        <w:rPr>
          <w:lang w:val="fr-FR"/>
        </w:rPr>
        <w:t>ingérence des mesures litigieuses dans leur droit au respect de leurs biens était disproportionnée par rapport au but légitime poursuivi, et qu</w:t>
      </w:r>
      <w:r w:rsidRPr="0043317B" w:rsidR="0043317B">
        <w:rPr>
          <w:lang w:val="fr-FR"/>
        </w:rPr>
        <w:t>’</w:t>
      </w:r>
      <w:r w:rsidRPr="0043317B">
        <w:rPr>
          <w:lang w:val="fr-FR"/>
        </w:rPr>
        <w:t>elle a donc emporté violation de l</w:t>
      </w:r>
      <w:r w:rsidRPr="0043317B" w:rsidR="0043317B">
        <w:rPr>
          <w:lang w:val="fr-FR"/>
        </w:rPr>
        <w:t>’</w:t>
      </w:r>
      <w:r w:rsidRPr="0043317B">
        <w:rPr>
          <w:lang w:val="fr-FR"/>
        </w:rPr>
        <w:t>article 1 du Protocole n</w:t>
      </w:r>
      <w:r w:rsidRPr="0043317B">
        <w:rPr>
          <w:vertAlign w:val="superscript"/>
          <w:lang w:val="fr-FR"/>
        </w:rPr>
        <w:t>o</w:t>
      </w:r>
      <w:r w:rsidRPr="0043317B">
        <w:rPr>
          <w:lang w:val="fr-FR"/>
        </w:rPr>
        <w:t> 1 à la Convention.</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183</w:t>
      </w:r>
      <w:r w:rsidRPr="0043317B">
        <w:rPr>
          <w:lang w:val="fr-FR"/>
        </w:rPr>
        <w:fldChar w:fldCharType="end"/>
      </w:r>
      <w:r w:rsidRPr="0043317B">
        <w:rPr>
          <w:lang w:val="fr-FR"/>
        </w:rPr>
        <w:t>.  S</w:t>
      </w:r>
      <w:r w:rsidRPr="0043317B" w:rsidR="0043317B">
        <w:rPr>
          <w:lang w:val="fr-FR"/>
        </w:rPr>
        <w:t>’</w:t>
      </w:r>
      <w:r w:rsidRPr="0043317B">
        <w:rPr>
          <w:lang w:val="fr-FR"/>
        </w:rPr>
        <w:t>agissant des requérantes Nimet Hülya Talu et Bilge Doğru, elles se plaignent de l</w:t>
      </w:r>
      <w:r w:rsidRPr="0043317B" w:rsidR="0043317B">
        <w:rPr>
          <w:lang w:val="fr-FR"/>
        </w:rPr>
        <w:t>’</w:t>
      </w:r>
      <w:r w:rsidRPr="0043317B">
        <w:rPr>
          <w:lang w:val="fr-FR"/>
        </w:rPr>
        <w:t>imposition et du maintien des mesures conservatoires sur leurs biens ainsi que de la durée, excessive à leurs yeux, de l</w:t>
      </w:r>
      <w:r w:rsidRPr="0043317B" w:rsidR="0043317B">
        <w:rPr>
          <w:lang w:val="fr-FR"/>
        </w:rPr>
        <w:t>’</w:t>
      </w:r>
      <w:r w:rsidRPr="0043317B">
        <w:rPr>
          <w:lang w:val="fr-FR"/>
        </w:rPr>
        <w:t>application de celles-ci, et elles estiment avoir fait l</w:t>
      </w:r>
      <w:r w:rsidRPr="0043317B" w:rsidR="0043317B">
        <w:rPr>
          <w:lang w:val="fr-FR"/>
        </w:rPr>
        <w:t>’</w:t>
      </w:r>
      <w:r w:rsidRPr="0043317B">
        <w:rPr>
          <w:lang w:val="fr-FR"/>
        </w:rPr>
        <w:t>objet d</w:t>
      </w:r>
      <w:r w:rsidRPr="0043317B" w:rsidR="0043317B">
        <w:rPr>
          <w:lang w:val="fr-FR"/>
        </w:rPr>
        <w:t>’</w:t>
      </w:r>
      <w:r w:rsidRPr="0043317B">
        <w:rPr>
          <w:lang w:val="fr-FR"/>
        </w:rPr>
        <w:t>une discrimination.</w:t>
      </w:r>
    </w:p>
    <w:p w:rsidRPr="0043317B" w:rsidR="000A45C0" w:rsidP="0043317B" w:rsidRDefault="000A45C0">
      <w:pPr>
        <w:pStyle w:val="ECHRPara"/>
        <w:rPr>
          <w:lang w:val="fr-FR"/>
        </w:rPr>
      </w:pPr>
      <w:r w:rsidRPr="0043317B">
        <w:rPr>
          <w:lang w:val="fr-FR"/>
        </w:rPr>
        <w:t>Elles indiquent que les tribunaux nationaux leur ont conféré « une qualité autre que celle de parties au procès » et qu</w:t>
      </w:r>
      <w:r w:rsidRPr="0043317B" w:rsidR="0043317B">
        <w:rPr>
          <w:lang w:val="fr-FR"/>
        </w:rPr>
        <w:t>’</w:t>
      </w:r>
      <w:r w:rsidRPr="0043317B">
        <w:rPr>
          <w:lang w:val="fr-FR"/>
        </w:rPr>
        <w:t>ils ont systématiquement refusé de lever les mesures conservatoires sur leurs biens.</w:t>
      </w:r>
    </w:p>
    <w:p w:rsidRPr="0043317B" w:rsidR="000A45C0" w:rsidP="0043317B" w:rsidRDefault="000A45C0">
      <w:pPr>
        <w:pStyle w:val="ECHRPara"/>
        <w:rPr>
          <w:lang w:val="fr-FR"/>
        </w:rPr>
      </w:pPr>
      <w:r w:rsidRPr="0043317B">
        <w:rPr>
          <w:lang w:val="fr-FR"/>
        </w:rPr>
        <w:t>Dès lors, n</w:t>
      </w:r>
      <w:r w:rsidRPr="0043317B" w:rsidR="0043317B">
        <w:rPr>
          <w:lang w:val="fr-FR"/>
        </w:rPr>
        <w:t>’</w:t>
      </w:r>
      <w:r w:rsidRPr="0043317B">
        <w:rPr>
          <w:lang w:val="fr-FR"/>
        </w:rPr>
        <w:t>étant pas parties au procès pénal, elles seraient dans l</w:t>
      </w:r>
      <w:r w:rsidRPr="0043317B" w:rsidR="0043317B">
        <w:rPr>
          <w:lang w:val="fr-FR"/>
        </w:rPr>
        <w:t>’</w:t>
      </w:r>
      <w:r w:rsidRPr="0043317B">
        <w:rPr>
          <w:lang w:val="fr-FR"/>
        </w:rPr>
        <w:t>impossibilité de défendre leur cause devant les tribunaux nationaux et de se pourvoir en cassation.</w:t>
      </w:r>
    </w:p>
    <w:p w:rsidRPr="0043317B" w:rsidR="000A45C0" w:rsidP="0043317B" w:rsidRDefault="000A45C0">
      <w:pPr>
        <w:pStyle w:val="ECHRPara"/>
        <w:rPr>
          <w:lang w:val="fr-FR"/>
        </w:rPr>
      </w:pPr>
      <w:r w:rsidRPr="0043317B">
        <w:rPr>
          <w:lang w:val="fr-FR"/>
        </w:rPr>
        <w:t>Ces requérantes indiquent aussi que d</w:t>
      </w:r>
      <w:r w:rsidRPr="0043317B" w:rsidR="0043317B">
        <w:rPr>
          <w:lang w:val="fr-FR"/>
        </w:rPr>
        <w:t>’</w:t>
      </w:r>
      <w:r w:rsidRPr="0043317B">
        <w:rPr>
          <w:lang w:val="fr-FR"/>
        </w:rPr>
        <w:t>autres personnes ayant été jugées et acquittées par les tribunaux ont vu les mesures conservatoires imposées sur leurs biens être levées, mais qu</w:t>
      </w:r>
      <w:r w:rsidRPr="0043317B" w:rsidR="0043317B">
        <w:rPr>
          <w:lang w:val="fr-FR"/>
        </w:rPr>
        <w:t>’</w:t>
      </w:r>
      <w:r w:rsidRPr="0043317B">
        <w:rPr>
          <w:lang w:val="fr-FR"/>
        </w:rPr>
        <w:t>elles-mêmes, bien que bénéficiaires d</w:t>
      </w:r>
      <w:r w:rsidRPr="0043317B" w:rsidR="0043317B">
        <w:rPr>
          <w:lang w:val="fr-FR"/>
        </w:rPr>
        <w:t>’</w:t>
      </w:r>
      <w:r w:rsidRPr="0043317B">
        <w:rPr>
          <w:lang w:val="fr-FR"/>
        </w:rPr>
        <w:t>une décision de non-lieu rendue au tout début de la procédure, n</w:t>
      </w:r>
      <w:r w:rsidRPr="0043317B" w:rsidR="0043317B">
        <w:rPr>
          <w:lang w:val="fr-FR"/>
        </w:rPr>
        <w:t>’</w:t>
      </w:r>
      <w:r w:rsidRPr="0043317B">
        <w:rPr>
          <w:lang w:val="fr-FR"/>
        </w:rPr>
        <w:t>ont pas pu obtenir la levée des mesures conservatoires litigieuses.</w:t>
      </w:r>
    </w:p>
    <w:p w:rsidRPr="0043317B" w:rsidR="000A45C0" w:rsidP="0043317B" w:rsidRDefault="000A45C0">
      <w:pPr>
        <w:pStyle w:val="ECHRPara"/>
        <w:rPr>
          <w:lang w:val="fr-FR"/>
        </w:rPr>
      </w:pPr>
      <w:r w:rsidRPr="0043317B">
        <w:rPr>
          <w:lang w:val="fr-FR"/>
        </w:rPr>
        <w:t>Elles ajoutent que les tribunaux administratifs et civils ont jugé qu</w:t>
      </w:r>
      <w:r w:rsidRPr="0043317B" w:rsidR="0043317B">
        <w:rPr>
          <w:lang w:val="fr-FR"/>
        </w:rPr>
        <w:t>’</w:t>
      </w:r>
      <w:r w:rsidRPr="0043317B">
        <w:rPr>
          <w:lang w:val="fr-FR"/>
        </w:rPr>
        <w:t>elles ne pouvaient être tenues pour responsables du préjudice causé au FADE.</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184</w:t>
      </w:r>
      <w:r w:rsidRPr="0043317B">
        <w:rPr>
          <w:lang w:val="fr-FR"/>
        </w:rPr>
        <w:fldChar w:fldCharType="end"/>
      </w:r>
      <w:r w:rsidRPr="0043317B">
        <w:rPr>
          <w:lang w:val="fr-FR"/>
        </w:rPr>
        <w:t>.  Quant à la requérante Ayla Uzan-Ashaboğlu, elle indique que, au cours des dernières années, elle a été confrontée à de grandes difficultés à l</w:t>
      </w:r>
      <w:r w:rsidRPr="0043317B" w:rsidR="0043317B">
        <w:rPr>
          <w:lang w:val="fr-FR"/>
        </w:rPr>
        <w:t>’</w:t>
      </w:r>
      <w:r w:rsidRPr="0043317B">
        <w:rPr>
          <w:lang w:val="fr-FR"/>
        </w:rPr>
        <w:t>occasion de sa contestation devant les juridictions nationales des mesures conservatoires prises à son encontre et à l</w:t>
      </w:r>
      <w:r w:rsidRPr="0043317B" w:rsidR="0043317B">
        <w:rPr>
          <w:lang w:val="fr-FR"/>
        </w:rPr>
        <w:t>’</w:t>
      </w:r>
      <w:r w:rsidRPr="0043317B">
        <w:rPr>
          <w:lang w:val="fr-FR"/>
        </w:rPr>
        <w:t>encontre de ses biens, mais qu</w:t>
      </w:r>
      <w:r w:rsidRPr="0043317B" w:rsidR="0043317B">
        <w:rPr>
          <w:lang w:val="fr-FR"/>
        </w:rPr>
        <w:t>’</w:t>
      </w:r>
      <w:r w:rsidRPr="0043317B">
        <w:rPr>
          <w:lang w:val="fr-FR"/>
        </w:rPr>
        <w:t>elle a finalement obtenu des jugements et des ordonnances de sursis en sa faveur dans le cadre de recours portés devant le Conseil d</w:t>
      </w:r>
      <w:r w:rsidRPr="0043317B" w:rsidR="0043317B">
        <w:rPr>
          <w:lang w:val="fr-FR"/>
        </w:rPr>
        <w:t>’</w:t>
      </w:r>
      <w:r w:rsidRPr="0043317B">
        <w:rPr>
          <w:lang w:val="fr-FR"/>
        </w:rPr>
        <w:t>État. Cependant, les autorités compétentes auraient, à ce jour, ignoré toutes ces décisions, et elles auraient mis en vente ses biens. À cet égard, l</w:t>
      </w:r>
      <w:r w:rsidRPr="0043317B" w:rsidR="0043317B">
        <w:rPr>
          <w:lang w:val="fr-FR"/>
        </w:rPr>
        <w:t>’</w:t>
      </w:r>
      <w:r w:rsidRPr="0043317B">
        <w:rPr>
          <w:lang w:val="fr-FR"/>
        </w:rPr>
        <w:t>intéressée dit qu</w:t>
      </w:r>
      <w:r w:rsidRPr="0043317B" w:rsidR="0043317B">
        <w:rPr>
          <w:lang w:val="fr-FR"/>
        </w:rPr>
        <w:t>’</w:t>
      </w:r>
      <w:r w:rsidRPr="0043317B">
        <w:rPr>
          <w:lang w:val="fr-FR"/>
        </w:rPr>
        <w:t>elle a ainsi introduit une requête devant la Cour, déjà en 2004, par précaution, pour se plaindre de violations de divers articles de la Convention relativement à la privation de propriété et à la discrimination en raison de l</w:t>
      </w:r>
      <w:r w:rsidRPr="0043317B" w:rsidR="0043317B">
        <w:rPr>
          <w:lang w:val="fr-FR"/>
        </w:rPr>
        <w:t>’</w:t>
      </w:r>
      <w:r w:rsidRPr="0043317B">
        <w:rPr>
          <w:lang w:val="fr-FR"/>
        </w:rPr>
        <w:t>existence de liens familiaux.</w:t>
      </w:r>
    </w:p>
    <w:p w:rsidRPr="0043317B" w:rsidR="000A45C0" w:rsidP="0043317B" w:rsidRDefault="000A45C0">
      <w:pPr>
        <w:pStyle w:val="ECHRPara"/>
        <w:rPr>
          <w:lang w:val="fr-FR"/>
        </w:rPr>
      </w:pPr>
      <w:r w:rsidRPr="0043317B">
        <w:rPr>
          <w:lang w:val="fr-FR"/>
        </w:rPr>
        <w:t>Ladite requérante allègue que les saisies contestées ont été décidées par les juridictions nationales en application d</w:t>
      </w:r>
      <w:r w:rsidRPr="0043317B" w:rsidR="0043317B">
        <w:rPr>
          <w:lang w:val="fr-FR"/>
        </w:rPr>
        <w:t>’</w:t>
      </w:r>
      <w:r w:rsidRPr="0043317B">
        <w:rPr>
          <w:lang w:val="fr-FR"/>
        </w:rPr>
        <w:t>une loi qui permettrait une privation de propriété au seul motif de l</w:t>
      </w:r>
      <w:r w:rsidRPr="0043317B" w:rsidR="0043317B">
        <w:rPr>
          <w:lang w:val="fr-FR"/>
        </w:rPr>
        <w:t>’</w:t>
      </w:r>
      <w:r w:rsidRPr="0043317B">
        <w:rPr>
          <w:lang w:val="fr-FR"/>
        </w:rPr>
        <w:t>existence d</w:t>
      </w:r>
      <w:r w:rsidRPr="0043317B" w:rsidR="0043317B">
        <w:rPr>
          <w:lang w:val="fr-FR"/>
        </w:rPr>
        <w:t>’</w:t>
      </w:r>
      <w:r w:rsidRPr="0043317B">
        <w:rPr>
          <w:lang w:val="fr-FR"/>
        </w:rPr>
        <w:t>un lien familial, sans exiger de condition relativement à l</w:t>
      </w:r>
      <w:r w:rsidRPr="0043317B" w:rsidR="0043317B">
        <w:rPr>
          <w:lang w:val="fr-FR"/>
        </w:rPr>
        <w:t>’</w:t>
      </w:r>
      <w:r w:rsidRPr="0043317B">
        <w:rPr>
          <w:lang w:val="fr-FR"/>
        </w:rPr>
        <w:t>objet de la mesure, et qui enfreindrait donc les dispositions de la Convention. Elle soutient aussi que la loi en question, ayant servi de fondement aux décisions l</w:t>
      </w:r>
      <w:r w:rsidRPr="0043317B" w:rsidR="0043317B">
        <w:rPr>
          <w:lang w:val="fr-FR"/>
        </w:rPr>
        <w:t>’</w:t>
      </w:r>
      <w:r w:rsidRPr="0043317B">
        <w:rPr>
          <w:lang w:val="fr-FR"/>
        </w:rPr>
        <w:t>ayant privée de ses biens, a été votée sur mesure six mois après le transfert de la gestion et du contrôle de İmarbank au FADE.</w:t>
      </w:r>
    </w:p>
    <w:p w:rsidRPr="0043317B" w:rsidR="000A45C0" w:rsidP="0043317B" w:rsidRDefault="000A45C0">
      <w:pPr>
        <w:pStyle w:val="ECHRPara"/>
        <w:rPr>
          <w:lang w:val="fr-FR"/>
        </w:rPr>
      </w:pPr>
      <w:r w:rsidRPr="0043317B">
        <w:rPr>
          <w:lang w:val="fr-FR"/>
        </w:rPr>
        <w:t>Elle estime qu</w:t>
      </w:r>
      <w:r w:rsidRPr="0043317B" w:rsidR="0043317B">
        <w:rPr>
          <w:lang w:val="fr-FR"/>
        </w:rPr>
        <w:t>’</w:t>
      </w:r>
      <w:r w:rsidRPr="0043317B">
        <w:rPr>
          <w:lang w:val="fr-FR"/>
        </w:rPr>
        <w:t>il n</w:t>
      </w:r>
      <w:r w:rsidRPr="0043317B" w:rsidR="0043317B">
        <w:rPr>
          <w:lang w:val="fr-FR"/>
        </w:rPr>
        <w:t>’</w:t>
      </w:r>
      <w:r w:rsidRPr="0043317B">
        <w:rPr>
          <w:lang w:val="fr-FR"/>
        </w:rPr>
        <w:t xml:space="preserve">y a pas lieu de comparer sa situation à celle des requérants des affaires citées par le Gouvernement (entre autres </w:t>
      </w:r>
      <w:r w:rsidRPr="0043317B">
        <w:rPr>
          <w:i/>
          <w:lang w:val="fr-FR"/>
        </w:rPr>
        <w:t xml:space="preserve">Arcuri c. Italie </w:t>
      </w:r>
      <w:r w:rsidRPr="0043317B">
        <w:rPr>
          <w:lang w:val="fr-FR"/>
        </w:rPr>
        <w:t>(déc.), n</w:t>
      </w:r>
      <w:r w:rsidRPr="0043317B">
        <w:rPr>
          <w:vertAlign w:val="superscript"/>
          <w:lang w:val="fr-FR"/>
        </w:rPr>
        <w:t>o</w:t>
      </w:r>
      <w:r w:rsidRPr="0043317B">
        <w:rPr>
          <w:lang w:val="fr-FR"/>
        </w:rPr>
        <w:t xml:space="preserve"> 52024/99, CEDH 2001</w:t>
      </w:r>
      <w:r w:rsidRPr="0043317B">
        <w:rPr>
          <w:lang w:val="fr-FR"/>
        </w:rPr>
        <w:noBreakHyphen/>
        <w:t xml:space="preserve">VII, et </w:t>
      </w:r>
      <w:r w:rsidRPr="0043317B">
        <w:rPr>
          <w:i/>
          <w:lang w:val="fr-FR"/>
        </w:rPr>
        <w:t>Yildirim c. Italie</w:t>
      </w:r>
      <w:r w:rsidRPr="0043317B">
        <w:rPr>
          <w:lang w:val="fr-FR"/>
        </w:rPr>
        <w:t xml:space="preserve"> ((déc.), n</w:t>
      </w:r>
      <w:r w:rsidRPr="0043317B">
        <w:rPr>
          <w:vertAlign w:val="superscript"/>
          <w:lang w:val="fr-FR"/>
        </w:rPr>
        <w:t>o</w:t>
      </w:r>
      <w:r w:rsidRPr="0043317B">
        <w:rPr>
          <w:lang w:val="fr-FR"/>
        </w:rPr>
        <w:t> 38602/02, CEDH 2003-IV) aux motifs qu</w:t>
      </w:r>
      <w:r w:rsidRPr="0043317B" w:rsidR="0043317B">
        <w:rPr>
          <w:lang w:val="fr-FR"/>
        </w:rPr>
        <w:t>’</w:t>
      </w:r>
      <w:r w:rsidRPr="0043317B">
        <w:rPr>
          <w:lang w:val="fr-FR"/>
        </w:rPr>
        <w:t>elle n</w:t>
      </w:r>
      <w:r w:rsidRPr="0043317B" w:rsidR="0043317B">
        <w:rPr>
          <w:lang w:val="fr-FR"/>
        </w:rPr>
        <w:t>’</w:t>
      </w:r>
      <w:r w:rsidRPr="0043317B">
        <w:rPr>
          <w:lang w:val="fr-FR"/>
        </w:rPr>
        <w:t>a aucunement été impliquée dans les infractions reprochées, que ses propriétés n</w:t>
      </w:r>
      <w:r w:rsidRPr="0043317B" w:rsidR="0043317B">
        <w:rPr>
          <w:lang w:val="fr-FR"/>
        </w:rPr>
        <w:t>’</w:t>
      </w:r>
      <w:r w:rsidRPr="0043317B">
        <w:rPr>
          <w:lang w:val="fr-FR"/>
        </w:rPr>
        <w:t>ont jamais été liées à l</w:t>
      </w:r>
      <w:r w:rsidRPr="0043317B" w:rsidR="0043317B">
        <w:rPr>
          <w:lang w:val="fr-FR"/>
        </w:rPr>
        <w:t>’</w:t>
      </w:r>
      <w:r w:rsidRPr="0043317B">
        <w:rPr>
          <w:lang w:val="fr-FR"/>
        </w:rPr>
        <w:t xml:space="preserve">affaire </w:t>
      </w:r>
      <w:r w:rsidRPr="0043317B">
        <w:rPr>
          <w:i/>
          <w:lang w:val="fr-FR"/>
        </w:rPr>
        <w:t>İmarbank</w:t>
      </w:r>
      <w:r w:rsidRPr="0043317B">
        <w:rPr>
          <w:lang w:val="fr-FR"/>
        </w:rPr>
        <w:t>, qu</w:t>
      </w:r>
      <w:r w:rsidRPr="0043317B" w:rsidR="0043317B">
        <w:rPr>
          <w:lang w:val="fr-FR"/>
        </w:rPr>
        <w:t>’</w:t>
      </w:r>
      <w:r w:rsidRPr="0043317B">
        <w:rPr>
          <w:lang w:val="fr-FR"/>
        </w:rPr>
        <w:t>elle n</w:t>
      </w:r>
      <w:r w:rsidRPr="0043317B" w:rsidR="0043317B">
        <w:rPr>
          <w:lang w:val="fr-FR"/>
        </w:rPr>
        <w:t>’</w:t>
      </w:r>
      <w:r w:rsidRPr="0043317B">
        <w:rPr>
          <w:lang w:val="fr-FR"/>
        </w:rPr>
        <w:t>a jamais pu participer aux faits incriminés et qu</w:t>
      </w:r>
      <w:r w:rsidRPr="0043317B" w:rsidR="0043317B">
        <w:rPr>
          <w:lang w:val="fr-FR"/>
        </w:rPr>
        <w:t>’</w:t>
      </w:r>
      <w:r w:rsidRPr="0043317B">
        <w:rPr>
          <w:lang w:val="fr-FR"/>
        </w:rPr>
        <w:t>elle a en tout état de cause bénéficié d</w:t>
      </w:r>
      <w:r w:rsidRPr="0043317B" w:rsidR="0043317B">
        <w:rPr>
          <w:lang w:val="fr-FR"/>
        </w:rPr>
        <w:t>’</w:t>
      </w:r>
      <w:r w:rsidRPr="0043317B">
        <w:rPr>
          <w:lang w:val="fr-FR"/>
        </w:rPr>
        <w:t>une décision de non</w:t>
      </w:r>
      <w:r w:rsidRPr="0043317B">
        <w:rPr>
          <w:lang w:val="fr-FR"/>
        </w:rPr>
        <w:noBreakHyphen/>
        <w:t>lieu.</w:t>
      </w:r>
    </w:p>
    <w:p w:rsidRPr="0043317B" w:rsidR="000A45C0" w:rsidP="0043317B" w:rsidRDefault="000A45C0">
      <w:pPr>
        <w:pStyle w:val="ECHRPara"/>
        <w:rPr>
          <w:lang w:val="fr-FR"/>
        </w:rPr>
      </w:pPr>
      <w:r w:rsidRPr="0043317B">
        <w:rPr>
          <w:lang w:val="fr-FR"/>
        </w:rPr>
        <w:t>Elle fait part des arguments suivants : aussi accessible, précise et prévisible que fût le texte de loi applicable, elle n</w:t>
      </w:r>
      <w:r w:rsidRPr="0043317B" w:rsidR="0043317B">
        <w:rPr>
          <w:lang w:val="fr-FR"/>
        </w:rPr>
        <w:t>’</w:t>
      </w:r>
      <w:r w:rsidRPr="0043317B">
        <w:rPr>
          <w:lang w:val="fr-FR"/>
        </w:rPr>
        <w:t>avait aucun moyen de s</w:t>
      </w:r>
      <w:r w:rsidRPr="0043317B" w:rsidR="0043317B">
        <w:rPr>
          <w:lang w:val="fr-FR"/>
        </w:rPr>
        <w:t>’</w:t>
      </w:r>
      <w:r w:rsidRPr="0043317B">
        <w:rPr>
          <w:lang w:val="fr-FR"/>
        </w:rPr>
        <w:t>immiscer dans les faits incriminés ; elle est totalement étrangère à l</w:t>
      </w:r>
      <w:r w:rsidRPr="0043317B" w:rsidR="0043317B">
        <w:rPr>
          <w:lang w:val="fr-FR"/>
        </w:rPr>
        <w:t>’</w:t>
      </w:r>
      <w:r w:rsidRPr="0043317B">
        <w:rPr>
          <w:lang w:val="fr-FR"/>
        </w:rPr>
        <w:t xml:space="preserve">affaire </w:t>
      </w:r>
      <w:r w:rsidRPr="0043317B">
        <w:rPr>
          <w:i/>
          <w:lang w:val="fr-FR"/>
        </w:rPr>
        <w:t>İmarbank</w:t>
      </w:r>
      <w:r w:rsidRPr="0043317B">
        <w:rPr>
          <w:lang w:val="fr-FR"/>
        </w:rPr>
        <w:t> ; elle a été innocentée de toute complicité dans l</w:t>
      </w:r>
      <w:r w:rsidRPr="0043317B" w:rsidR="0043317B">
        <w:rPr>
          <w:lang w:val="fr-FR"/>
        </w:rPr>
        <w:t>’</w:t>
      </w:r>
      <w:r w:rsidRPr="0043317B">
        <w:rPr>
          <w:lang w:val="fr-FR"/>
        </w:rPr>
        <w:t>infraction présumée de détournement de fonds ; elle vit aux États-Unis depuis vingt ans, elle s</w:t>
      </w:r>
      <w:r w:rsidRPr="0043317B" w:rsidR="0043317B">
        <w:rPr>
          <w:lang w:val="fr-FR"/>
        </w:rPr>
        <w:t>’</w:t>
      </w:r>
      <w:r w:rsidRPr="0043317B">
        <w:rPr>
          <w:lang w:val="fr-FR"/>
        </w:rPr>
        <w:t>est mariée, a travaillé, a eu des enfants et a fait sa vie là-bas, et elle n</w:t>
      </w:r>
      <w:r w:rsidRPr="0043317B" w:rsidR="0043317B">
        <w:rPr>
          <w:lang w:val="fr-FR"/>
        </w:rPr>
        <w:t>’</w:t>
      </w:r>
      <w:r w:rsidRPr="0043317B">
        <w:rPr>
          <w:lang w:val="fr-FR"/>
        </w:rPr>
        <w:t>a eu aucune responsabilité ni aucune emprise concernant les infractions reprochées à son père.</w:t>
      </w:r>
    </w:p>
    <w:p w:rsidRPr="0043317B" w:rsidR="000A45C0" w:rsidP="0043317B" w:rsidRDefault="000A45C0">
      <w:pPr>
        <w:pStyle w:val="ECHRPara"/>
        <w:rPr>
          <w:lang w:val="fr-FR"/>
        </w:rPr>
      </w:pPr>
      <w:r w:rsidRPr="0043317B">
        <w:rPr>
          <w:lang w:val="fr-FR"/>
        </w:rPr>
        <w:t>En ce qui concerne l</w:t>
      </w:r>
      <w:r w:rsidRPr="0043317B" w:rsidR="0043317B">
        <w:rPr>
          <w:lang w:val="fr-FR"/>
        </w:rPr>
        <w:t>’</w:t>
      </w:r>
      <w:r w:rsidRPr="0043317B">
        <w:rPr>
          <w:lang w:val="fr-FR"/>
        </w:rPr>
        <w:t>application dans le temps des mesures conservatoires sur ses biens, elle informe la Cour que son terrain a été saisi, puis vendu aux enchères, en dépit de sa tentative, infructueuse, de contester la mise aux enchères, et que son véhicule fait toujours l</w:t>
      </w:r>
      <w:r w:rsidRPr="0043317B" w:rsidR="0043317B">
        <w:rPr>
          <w:lang w:val="fr-FR"/>
        </w:rPr>
        <w:t>’</w:t>
      </w:r>
      <w:r w:rsidRPr="0043317B">
        <w:rPr>
          <w:lang w:val="fr-FR"/>
        </w:rPr>
        <w:t>objet d</w:t>
      </w:r>
      <w:r w:rsidRPr="0043317B" w:rsidR="0043317B">
        <w:rPr>
          <w:lang w:val="fr-FR"/>
        </w:rPr>
        <w:t>’</w:t>
      </w:r>
      <w:r w:rsidRPr="0043317B">
        <w:rPr>
          <w:lang w:val="fr-FR"/>
        </w:rPr>
        <w:t>une saisie, de même que sa résidence, tous ses biens mobiliers et le coffre-fort de son mari.</w:t>
      </w:r>
    </w:p>
    <w:p w:rsidRPr="0043317B" w:rsidR="000A45C0" w:rsidP="0043317B" w:rsidRDefault="000A45C0">
      <w:pPr>
        <w:pStyle w:val="ECHRPara"/>
        <w:rPr>
          <w:lang w:val="fr-FR"/>
        </w:rPr>
      </w:pPr>
      <w:r w:rsidRPr="0043317B">
        <w:rPr>
          <w:lang w:val="fr-FR"/>
        </w:rPr>
        <w:t>Elle dit aussi que la 13</w:t>
      </w:r>
      <w:r w:rsidRPr="0043317B">
        <w:rPr>
          <w:vertAlign w:val="superscript"/>
          <w:lang w:val="fr-FR"/>
        </w:rPr>
        <w:t>e</w:t>
      </w:r>
      <w:r w:rsidRPr="0043317B">
        <w:rPr>
          <w:lang w:val="fr-FR"/>
        </w:rPr>
        <w:t xml:space="preserve"> chambre du Conseil d</w:t>
      </w:r>
      <w:r w:rsidRPr="0043317B" w:rsidR="0043317B">
        <w:rPr>
          <w:lang w:val="fr-FR"/>
        </w:rPr>
        <w:t>’</w:t>
      </w:r>
      <w:r w:rsidRPr="0043317B">
        <w:rPr>
          <w:lang w:val="fr-FR"/>
        </w:rPr>
        <w:t>État a rendu des décisions en sa faveur, mais qu</w:t>
      </w:r>
      <w:r w:rsidRPr="0043317B" w:rsidR="0043317B">
        <w:rPr>
          <w:lang w:val="fr-FR"/>
        </w:rPr>
        <w:t>’</w:t>
      </w:r>
      <w:r w:rsidRPr="0043317B">
        <w:rPr>
          <w:lang w:val="fr-FR"/>
        </w:rPr>
        <w:t>elle n</w:t>
      </w:r>
      <w:r w:rsidRPr="0043317B" w:rsidR="0043317B">
        <w:rPr>
          <w:lang w:val="fr-FR"/>
        </w:rPr>
        <w:t>’</w:t>
      </w:r>
      <w:r w:rsidRPr="0043317B">
        <w:rPr>
          <w:lang w:val="fr-FR"/>
        </w:rPr>
        <w:t>a pourtant jamais été avisée de la levée des mesures sur ses biens. Elle n</w:t>
      </w:r>
      <w:r w:rsidRPr="0043317B" w:rsidR="0043317B">
        <w:rPr>
          <w:lang w:val="fr-FR"/>
        </w:rPr>
        <w:t>’</w:t>
      </w:r>
      <w:r w:rsidRPr="0043317B">
        <w:rPr>
          <w:lang w:val="fr-FR"/>
        </w:rPr>
        <w:t>aurait reçu aucune compensation pour les pertes subies par elle.</w:t>
      </w:r>
    </w:p>
    <w:p w:rsidRPr="0043317B" w:rsidR="000A45C0" w:rsidP="0043317B" w:rsidRDefault="000A45C0">
      <w:pPr>
        <w:pStyle w:val="ECHRPara"/>
        <w:rPr>
          <w:lang w:val="fr-FR"/>
        </w:rPr>
      </w:pPr>
      <w:r w:rsidRPr="0043317B">
        <w:rPr>
          <w:lang w:val="fr-FR"/>
        </w:rPr>
        <w:t>La requérante Ayla Uzan-Ashaboğlu expose également que, dans sa décision de non-lieu du 21 janvier 2004, le procureur de la République de Şişli a indiqué ce qui suit : les infractions alléguées, dénoncées dans la plainte déposée par le FADE et relevées au cours de l</w:t>
      </w:r>
      <w:r w:rsidRPr="0043317B" w:rsidR="0043317B">
        <w:rPr>
          <w:lang w:val="fr-FR"/>
        </w:rPr>
        <w:t>’</w:t>
      </w:r>
      <w:r w:rsidRPr="0043317B">
        <w:rPr>
          <w:lang w:val="fr-FR"/>
        </w:rPr>
        <w:t>enquête d</w:t>
      </w:r>
      <w:r w:rsidRPr="0043317B" w:rsidR="0043317B">
        <w:rPr>
          <w:lang w:val="fr-FR"/>
        </w:rPr>
        <w:t>’</w:t>
      </w:r>
      <w:r w:rsidRPr="0043317B">
        <w:rPr>
          <w:lang w:val="fr-FR"/>
        </w:rPr>
        <w:t>audit, ainsi que leurs auteurs avaient été concrètement identifiés ; les personnes physiques et morales mises en cause avaient fait l</w:t>
      </w:r>
      <w:r w:rsidRPr="0043317B" w:rsidR="0043317B">
        <w:rPr>
          <w:lang w:val="fr-FR"/>
        </w:rPr>
        <w:t>’</w:t>
      </w:r>
      <w:r w:rsidRPr="0043317B">
        <w:rPr>
          <w:lang w:val="fr-FR"/>
        </w:rPr>
        <w:t>objet de mesures conservatoires prononcées sur la base d</w:t>
      </w:r>
      <w:r w:rsidRPr="0043317B" w:rsidR="0043317B">
        <w:rPr>
          <w:lang w:val="fr-FR"/>
        </w:rPr>
        <w:t>’</w:t>
      </w:r>
      <w:r w:rsidRPr="0043317B">
        <w:rPr>
          <w:lang w:val="fr-FR"/>
        </w:rPr>
        <w:t>allégations de détournement de fonds ; le rapport d</w:t>
      </w:r>
      <w:r w:rsidRPr="0043317B" w:rsidR="0043317B">
        <w:rPr>
          <w:lang w:val="fr-FR"/>
        </w:rPr>
        <w:t>’</w:t>
      </w:r>
      <w:r w:rsidRPr="0043317B">
        <w:rPr>
          <w:lang w:val="fr-FR"/>
        </w:rPr>
        <w:t>audit, établi à la suite de la réalisation d</w:t>
      </w:r>
      <w:r w:rsidRPr="0043317B" w:rsidR="0043317B">
        <w:rPr>
          <w:lang w:val="fr-FR"/>
        </w:rPr>
        <w:t>’</w:t>
      </w:r>
      <w:r w:rsidRPr="0043317B">
        <w:rPr>
          <w:lang w:val="fr-FR"/>
        </w:rPr>
        <w:t>une enquête d</w:t>
      </w:r>
      <w:r w:rsidRPr="0043317B" w:rsidR="0043317B">
        <w:rPr>
          <w:lang w:val="fr-FR"/>
        </w:rPr>
        <w:t>’</w:t>
      </w:r>
      <w:r w:rsidRPr="0043317B">
        <w:rPr>
          <w:lang w:val="fr-FR"/>
        </w:rPr>
        <w:t>audit technique, ne comportait aucune conclusion démontrant la participation des personnes visées par les mesures conservatoires au détournement allégué ; les ordonnances de mesures conservatoires prononcées à l</w:t>
      </w:r>
      <w:r w:rsidRPr="0043317B" w:rsidR="0043317B">
        <w:rPr>
          <w:lang w:val="fr-FR"/>
        </w:rPr>
        <w:t>’</w:t>
      </w:r>
      <w:r w:rsidRPr="0043317B">
        <w:rPr>
          <w:lang w:val="fr-FR"/>
        </w:rPr>
        <w:t>encontre de ces personnes physiques et morales avaient été émises sur le fondement de l</w:t>
      </w:r>
      <w:r w:rsidRPr="0043317B" w:rsidR="0043317B">
        <w:rPr>
          <w:lang w:val="fr-FR"/>
        </w:rPr>
        <w:t>’</w:t>
      </w:r>
      <w:r w:rsidRPr="0043317B">
        <w:rPr>
          <w:lang w:val="fr-FR"/>
        </w:rPr>
        <w:t>article provisoire 2 § 2 de la loi n</w:t>
      </w:r>
      <w:r w:rsidRPr="0043317B">
        <w:rPr>
          <w:vertAlign w:val="superscript"/>
          <w:lang w:val="fr-FR"/>
        </w:rPr>
        <w:t>o</w:t>
      </w:r>
      <w:r w:rsidRPr="0043317B">
        <w:rPr>
          <w:lang w:val="fr-FR"/>
        </w:rPr>
        <w:t xml:space="preserve"> 4969, entrée en vigueur après la date de commission des infractions alléguées</w:t>
      </w:r>
      <w:r w:rsidRPr="0043317B" w:rsidR="003C4A77">
        <w:rPr>
          <w:lang w:val="fr-FR"/>
        </w:rPr>
        <w:t> </w:t>
      </w:r>
      <w:r w:rsidRPr="0043317B">
        <w:rPr>
          <w:lang w:val="fr-FR"/>
        </w:rPr>
        <w:t>; ces personnes ne pouvaient être accusées sur la seule base de leurs fonctions</w:t>
      </w:r>
      <w:r w:rsidRPr="0043317B" w:rsidR="003C4A77">
        <w:rPr>
          <w:lang w:val="fr-FR"/>
        </w:rPr>
        <w:t> </w:t>
      </w:r>
      <w:r w:rsidRPr="0043317B">
        <w:rPr>
          <w:lang w:val="fr-FR"/>
        </w:rPr>
        <w:t>; en outre, dans ce rapport d</w:t>
      </w:r>
      <w:r w:rsidRPr="0043317B" w:rsidR="0043317B">
        <w:rPr>
          <w:lang w:val="fr-FR"/>
        </w:rPr>
        <w:t>’</w:t>
      </w:r>
      <w:r w:rsidRPr="0043317B">
        <w:rPr>
          <w:lang w:val="fr-FR"/>
        </w:rPr>
        <w:t>audit technique, il n</w:t>
      </w:r>
      <w:r w:rsidRPr="0043317B" w:rsidR="0043317B">
        <w:rPr>
          <w:lang w:val="fr-FR"/>
        </w:rPr>
        <w:t>’</w:t>
      </w:r>
      <w:r w:rsidRPr="0043317B">
        <w:rPr>
          <w:lang w:val="fr-FR"/>
        </w:rPr>
        <w:t>y avait pas la moindre accusation concernant la participation de ces personnes au détournement de fonds ; en dehors de l</w:t>
      </w:r>
      <w:r w:rsidRPr="0043317B" w:rsidR="0043317B">
        <w:rPr>
          <w:lang w:val="fr-FR"/>
        </w:rPr>
        <w:t>’</w:t>
      </w:r>
      <w:r w:rsidRPr="0043317B">
        <w:rPr>
          <w:lang w:val="fr-FR"/>
        </w:rPr>
        <w:t>incrimination contenue dans l</w:t>
      </w:r>
      <w:r w:rsidRPr="0043317B" w:rsidR="0043317B">
        <w:rPr>
          <w:lang w:val="fr-FR"/>
        </w:rPr>
        <w:t>’</w:t>
      </w:r>
      <w:r w:rsidRPr="0043317B">
        <w:rPr>
          <w:lang w:val="fr-FR"/>
        </w:rPr>
        <w:t>acte d</w:t>
      </w:r>
      <w:r w:rsidRPr="0043317B" w:rsidR="0043317B">
        <w:rPr>
          <w:lang w:val="fr-FR"/>
        </w:rPr>
        <w:t>’</w:t>
      </w:r>
      <w:r w:rsidRPr="0043317B">
        <w:rPr>
          <w:lang w:val="fr-FR"/>
        </w:rPr>
        <w:t>accusation initial, le dossier ne comportait aucune preuve pouvant justifier l</w:t>
      </w:r>
      <w:r w:rsidRPr="0043317B" w:rsidR="0043317B">
        <w:rPr>
          <w:lang w:val="fr-FR"/>
        </w:rPr>
        <w:t>’</w:t>
      </w:r>
      <w:r w:rsidRPr="0043317B">
        <w:rPr>
          <w:lang w:val="fr-FR"/>
        </w:rPr>
        <w:t>ouverture d</w:t>
      </w:r>
      <w:r w:rsidRPr="0043317B" w:rsidR="0043317B">
        <w:rPr>
          <w:lang w:val="fr-FR"/>
        </w:rPr>
        <w:t>’</w:t>
      </w:r>
      <w:r w:rsidRPr="0043317B">
        <w:rPr>
          <w:lang w:val="fr-FR"/>
        </w:rPr>
        <w:t>une procédure pénale contre les personnes visées par les ordonnances de mesures conservatoires ; enfin, les poursuites pénales pouvaient être engagées contre les seules personnes énumérées dans l</w:t>
      </w:r>
      <w:r w:rsidRPr="0043317B" w:rsidR="0043317B">
        <w:rPr>
          <w:lang w:val="fr-FR"/>
        </w:rPr>
        <w:t>’</w:t>
      </w:r>
      <w:r w:rsidRPr="0043317B">
        <w:rPr>
          <w:lang w:val="fr-FR"/>
        </w:rPr>
        <w:t>addendum annexé à la décision de non</w:t>
      </w:r>
      <w:r w:rsidRPr="0043317B">
        <w:rPr>
          <w:lang w:val="fr-FR"/>
        </w:rPr>
        <w:noBreakHyphen/>
        <w:t>lieu, à l</w:t>
      </w:r>
      <w:r w:rsidRPr="0043317B" w:rsidR="0043317B">
        <w:rPr>
          <w:lang w:val="fr-FR"/>
        </w:rPr>
        <w:t>’</w:t>
      </w:r>
      <w:r w:rsidRPr="0043317B">
        <w:rPr>
          <w:lang w:val="fr-FR"/>
        </w:rPr>
        <w:t>exclusion des personnes dont les noms n</w:t>
      </w:r>
      <w:r w:rsidRPr="0043317B" w:rsidR="0043317B">
        <w:rPr>
          <w:lang w:val="fr-FR"/>
        </w:rPr>
        <w:t>’</w:t>
      </w:r>
      <w:r w:rsidRPr="0043317B">
        <w:rPr>
          <w:lang w:val="fr-FR"/>
        </w:rPr>
        <w:t>apparaissaient pas sur la liste, parmi lesquelles l</w:t>
      </w:r>
      <w:r w:rsidRPr="0043317B" w:rsidR="0043317B">
        <w:rPr>
          <w:lang w:val="fr-FR"/>
        </w:rPr>
        <w:t>’</w:t>
      </w:r>
      <w:r w:rsidRPr="0043317B">
        <w:rPr>
          <w:lang w:val="fr-FR"/>
        </w:rPr>
        <w:t>intéressée.</w:t>
      </w:r>
    </w:p>
    <w:p w:rsidRPr="0043317B" w:rsidR="000A45C0" w:rsidP="0043317B" w:rsidRDefault="000A45C0">
      <w:pPr>
        <w:pStyle w:val="ECHRPara"/>
        <w:rPr>
          <w:lang w:val="fr-FR"/>
        </w:rPr>
      </w:pPr>
      <w:r w:rsidRPr="0043317B">
        <w:rPr>
          <w:lang w:val="fr-FR"/>
        </w:rPr>
        <w:t>S</w:t>
      </w:r>
      <w:r w:rsidRPr="0043317B" w:rsidR="0043317B">
        <w:rPr>
          <w:lang w:val="fr-FR"/>
        </w:rPr>
        <w:t>’</w:t>
      </w:r>
      <w:r w:rsidRPr="0043317B">
        <w:rPr>
          <w:lang w:val="fr-FR"/>
        </w:rPr>
        <w:t>agissant des arguments du Gouvernement selon lesquels les mesures conservatoires avaient pour seul but de permettre un contrôle de l</w:t>
      </w:r>
      <w:r w:rsidRPr="0043317B" w:rsidR="0043317B">
        <w:rPr>
          <w:lang w:val="fr-FR"/>
        </w:rPr>
        <w:t>’</w:t>
      </w:r>
      <w:r w:rsidRPr="0043317B">
        <w:rPr>
          <w:lang w:val="fr-FR"/>
        </w:rPr>
        <w:t>usage des biens, ladite requérante réplique que cela n</w:t>
      </w:r>
      <w:r w:rsidRPr="0043317B" w:rsidR="0043317B">
        <w:rPr>
          <w:lang w:val="fr-FR"/>
        </w:rPr>
        <w:t>’</w:t>
      </w:r>
      <w:r w:rsidRPr="0043317B">
        <w:rPr>
          <w:lang w:val="fr-FR"/>
        </w:rPr>
        <w:t>est pas le cas pour elle, car non seulement elle aurait perdu tout contrôle sur ses biens mobiliers, mais encore son terrain aurait été vendu aux enchères en février 2006. Ni elle ni son représentant n</w:t>
      </w:r>
      <w:r w:rsidRPr="0043317B" w:rsidR="0043317B">
        <w:rPr>
          <w:lang w:val="fr-FR"/>
        </w:rPr>
        <w:t>’</w:t>
      </w:r>
      <w:r w:rsidRPr="0043317B">
        <w:rPr>
          <w:lang w:val="fr-FR"/>
        </w:rPr>
        <w:t>auraient été informés de cette vente aux enchères, réalisée en dépit de la décision du Conseil d</w:t>
      </w:r>
      <w:r w:rsidRPr="0043317B" w:rsidR="0043317B">
        <w:rPr>
          <w:lang w:val="fr-FR"/>
        </w:rPr>
        <w:t>’</w:t>
      </w:r>
      <w:r w:rsidRPr="0043317B">
        <w:rPr>
          <w:lang w:val="fr-FR"/>
        </w:rPr>
        <w:t>État de suspendre l</w:t>
      </w:r>
      <w:r w:rsidRPr="0043317B" w:rsidR="0043317B">
        <w:rPr>
          <w:lang w:val="fr-FR"/>
        </w:rPr>
        <w:t>’</w:t>
      </w:r>
      <w:r w:rsidRPr="0043317B">
        <w:rPr>
          <w:lang w:val="fr-FR"/>
        </w:rPr>
        <w:t>exécution de l</w:t>
      </w:r>
      <w:r w:rsidRPr="0043317B" w:rsidR="0043317B">
        <w:rPr>
          <w:lang w:val="fr-FR"/>
        </w:rPr>
        <w:t>’</w:t>
      </w:r>
      <w:r w:rsidRPr="0043317B">
        <w:rPr>
          <w:lang w:val="fr-FR"/>
        </w:rPr>
        <w:t>ordre de paiement établi à son encontre.</w:t>
      </w:r>
    </w:p>
    <w:p w:rsidRPr="0043317B" w:rsidR="000A45C0" w:rsidP="0043317B" w:rsidRDefault="000A45C0">
      <w:pPr>
        <w:pStyle w:val="ECHRPara"/>
        <w:rPr>
          <w:lang w:val="fr-FR"/>
        </w:rPr>
      </w:pPr>
      <w:r w:rsidRPr="0043317B">
        <w:rPr>
          <w:lang w:val="fr-FR"/>
        </w:rPr>
        <w:t>En ce qui concerne l</w:t>
      </w:r>
      <w:r w:rsidRPr="0043317B" w:rsidR="0043317B">
        <w:rPr>
          <w:lang w:val="fr-FR"/>
        </w:rPr>
        <w:t>’</w:t>
      </w:r>
      <w:r w:rsidRPr="0043317B">
        <w:rPr>
          <w:lang w:val="fr-FR"/>
        </w:rPr>
        <w:t>allégation du Gouvernement selon laquelle il ne s</w:t>
      </w:r>
      <w:r w:rsidRPr="0043317B" w:rsidR="0043317B">
        <w:rPr>
          <w:lang w:val="fr-FR"/>
        </w:rPr>
        <w:t>’</w:t>
      </w:r>
      <w:r w:rsidRPr="0043317B">
        <w:rPr>
          <w:lang w:val="fr-FR"/>
        </w:rPr>
        <w:t>agissait que de mesures conservatoires et préventives, elle objecte que, bien que bénéficiant d</w:t>
      </w:r>
      <w:r w:rsidRPr="0043317B" w:rsidR="0043317B">
        <w:rPr>
          <w:lang w:val="fr-FR"/>
        </w:rPr>
        <w:t>’</w:t>
      </w:r>
      <w:r w:rsidRPr="0043317B">
        <w:rPr>
          <w:lang w:val="fr-FR"/>
        </w:rPr>
        <w:t>une décision de non-lieu, elle a vu ses biens être vendus.</w:t>
      </w:r>
    </w:p>
    <w:p w:rsidRPr="0043317B" w:rsidR="000A45C0" w:rsidP="0043317B" w:rsidRDefault="000A45C0">
      <w:pPr>
        <w:pStyle w:val="ECHRHeading4"/>
        <w:rPr>
          <w:lang w:val="fr-FR"/>
        </w:rPr>
      </w:pPr>
      <w:r w:rsidRPr="0043317B">
        <w:rPr>
          <w:lang w:val="fr-FR"/>
        </w:rPr>
        <w:t>b)  Le Gouvernement</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185</w:t>
      </w:r>
      <w:r w:rsidRPr="0043317B">
        <w:rPr>
          <w:lang w:val="fr-FR"/>
        </w:rPr>
        <w:fldChar w:fldCharType="end"/>
      </w:r>
      <w:r w:rsidRPr="0043317B">
        <w:rPr>
          <w:lang w:val="fr-FR"/>
        </w:rPr>
        <w:t>.  Dans ses observations sur le fond, le Gouvernement a d</w:t>
      </w:r>
      <w:r w:rsidRPr="0043317B" w:rsidR="0043317B">
        <w:rPr>
          <w:lang w:val="fr-FR"/>
        </w:rPr>
        <w:t>’</w:t>
      </w:r>
      <w:r w:rsidRPr="0043317B">
        <w:rPr>
          <w:lang w:val="fr-FR"/>
        </w:rPr>
        <w:t>abord présenté sa version des faits et ses arguments, en se référant à la jurisprudence de la Cour. Il s</w:t>
      </w:r>
      <w:r w:rsidRPr="0043317B" w:rsidR="0043317B">
        <w:rPr>
          <w:lang w:val="fr-FR"/>
        </w:rPr>
        <w:t>’</w:t>
      </w:r>
      <w:r w:rsidRPr="0043317B">
        <w:rPr>
          <w:lang w:val="fr-FR"/>
        </w:rPr>
        <w:t>est exprimé comme suit.</w:t>
      </w:r>
    </w:p>
    <w:p w:rsidRPr="0043317B" w:rsidR="000A45C0" w:rsidP="0043317B" w:rsidRDefault="000A45C0">
      <w:pPr>
        <w:pStyle w:val="ECHRPara"/>
        <w:rPr>
          <w:lang w:val="fr-FR"/>
        </w:rPr>
      </w:pPr>
      <w:r w:rsidRPr="0043317B">
        <w:rPr>
          <w:lang w:val="fr-FR"/>
        </w:rPr>
        <w:t>–</w:t>
      </w:r>
      <w:r w:rsidRPr="0043317B" w:rsidR="00F707C8">
        <w:rPr>
          <w:lang w:val="fr-FR"/>
        </w:rPr>
        <w:t>  </w:t>
      </w:r>
      <w:r w:rsidRPr="0043317B">
        <w:rPr>
          <w:lang w:val="fr-FR"/>
        </w:rPr>
        <w:t>La Convention ne garantit pas le droit d</w:t>
      </w:r>
      <w:r w:rsidRPr="0043317B" w:rsidR="0043317B">
        <w:rPr>
          <w:lang w:val="fr-FR"/>
        </w:rPr>
        <w:t>’</w:t>
      </w:r>
      <w:r w:rsidRPr="0043317B">
        <w:rPr>
          <w:lang w:val="fr-FR"/>
        </w:rPr>
        <w:t>acquérir des biens. Un requérant ne peut alléguer une violation de l</w:t>
      </w:r>
      <w:r w:rsidRPr="0043317B" w:rsidR="0043317B">
        <w:rPr>
          <w:lang w:val="fr-FR"/>
        </w:rPr>
        <w:t>’</w:t>
      </w:r>
      <w:r w:rsidRPr="0043317B">
        <w:rPr>
          <w:lang w:val="fr-FR"/>
        </w:rPr>
        <w:t>article 1 du Protocole n</w:t>
      </w:r>
      <w:r w:rsidRPr="0043317B">
        <w:rPr>
          <w:vertAlign w:val="superscript"/>
          <w:lang w:val="fr-FR"/>
        </w:rPr>
        <w:t>o</w:t>
      </w:r>
      <w:r w:rsidRPr="0043317B">
        <w:rPr>
          <w:lang w:val="fr-FR"/>
        </w:rPr>
        <w:t xml:space="preserve"> 1 que pour autant que les décisions attaquées se rapportent à ses « biens » au sens de cette disposition. L</w:t>
      </w:r>
      <w:r w:rsidRPr="0043317B" w:rsidR="0043317B">
        <w:rPr>
          <w:lang w:val="fr-FR"/>
        </w:rPr>
        <w:t>’</w:t>
      </w:r>
      <w:r w:rsidRPr="0043317B">
        <w:rPr>
          <w:lang w:val="fr-FR"/>
        </w:rPr>
        <w:t>article 1 du Protocole n</w:t>
      </w:r>
      <w:r w:rsidRPr="0043317B">
        <w:rPr>
          <w:vertAlign w:val="superscript"/>
          <w:lang w:val="fr-FR"/>
        </w:rPr>
        <w:t>o</w:t>
      </w:r>
      <w:r w:rsidRPr="0043317B">
        <w:rPr>
          <w:lang w:val="fr-FR"/>
        </w:rPr>
        <w:t xml:space="preserve"> 1 s</w:t>
      </w:r>
      <w:r w:rsidRPr="0043317B" w:rsidR="0043317B">
        <w:rPr>
          <w:lang w:val="fr-FR"/>
        </w:rPr>
        <w:t>’</w:t>
      </w:r>
      <w:r w:rsidRPr="0043317B">
        <w:rPr>
          <w:lang w:val="fr-FR"/>
        </w:rPr>
        <w:t>applique uniquement aux biens existants. Ainsi, les seuls revenus futurs pouvant être considérés comme des « biens » sont ceux ayant déjà été gagnés ou faisant l</w:t>
      </w:r>
      <w:r w:rsidRPr="0043317B" w:rsidR="0043317B">
        <w:rPr>
          <w:lang w:val="fr-FR"/>
        </w:rPr>
        <w:t>’</w:t>
      </w:r>
      <w:r w:rsidRPr="0043317B">
        <w:rPr>
          <w:lang w:val="fr-FR"/>
        </w:rPr>
        <w:t>objet d</w:t>
      </w:r>
      <w:r w:rsidRPr="0043317B" w:rsidR="0043317B">
        <w:rPr>
          <w:lang w:val="fr-FR"/>
        </w:rPr>
        <w:t>’</w:t>
      </w:r>
      <w:r w:rsidRPr="0043317B">
        <w:rPr>
          <w:lang w:val="fr-FR"/>
        </w:rPr>
        <w:t>une créance certaine. Selon la jurisprudence de la Cour, une personne qui se plaint d</w:t>
      </w:r>
      <w:r w:rsidRPr="0043317B" w:rsidR="0043317B">
        <w:rPr>
          <w:lang w:val="fr-FR"/>
        </w:rPr>
        <w:t>’</w:t>
      </w:r>
      <w:r w:rsidRPr="0043317B">
        <w:rPr>
          <w:lang w:val="fr-FR"/>
        </w:rPr>
        <w:t>une atteinte à son droit de propriété au titre de l</w:t>
      </w:r>
      <w:r w:rsidRPr="0043317B" w:rsidR="0043317B">
        <w:rPr>
          <w:lang w:val="fr-FR"/>
        </w:rPr>
        <w:t>’</w:t>
      </w:r>
      <w:r w:rsidRPr="0043317B" w:rsidR="003C4A77">
        <w:rPr>
          <w:lang w:val="fr-FR"/>
        </w:rPr>
        <w:t>article 1 du Protocole </w:t>
      </w:r>
      <w:r w:rsidRPr="0043317B">
        <w:rPr>
          <w:lang w:val="fr-FR"/>
        </w:rPr>
        <w:t>n</w:t>
      </w:r>
      <w:r w:rsidRPr="0043317B">
        <w:rPr>
          <w:vertAlign w:val="superscript"/>
          <w:lang w:val="fr-FR"/>
        </w:rPr>
        <w:t>o</w:t>
      </w:r>
      <w:r w:rsidRPr="0043317B" w:rsidR="003C4A77">
        <w:rPr>
          <w:vertAlign w:val="superscript"/>
          <w:lang w:val="fr-FR"/>
        </w:rPr>
        <w:t> </w:t>
      </w:r>
      <w:r w:rsidRPr="0043317B">
        <w:rPr>
          <w:lang w:val="fr-FR"/>
        </w:rPr>
        <w:t>1 à la Convention doit démontrer qu</w:t>
      </w:r>
      <w:r w:rsidRPr="0043317B" w:rsidR="0043317B">
        <w:rPr>
          <w:lang w:val="fr-FR"/>
        </w:rPr>
        <w:t>’</w:t>
      </w:r>
      <w:r w:rsidRPr="0043317B">
        <w:rPr>
          <w:lang w:val="fr-FR"/>
        </w:rPr>
        <w:t>un tel droit existe.</w:t>
      </w:r>
    </w:p>
    <w:p w:rsidRPr="0043317B" w:rsidR="000A45C0" w:rsidP="0043317B" w:rsidRDefault="000A45C0">
      <w:pPr>
        <w:pStyle w:val="ECHRPara"/>
        <w:rPr>
          <w:lang w:val="fr-FR"/>
        </w:rPr>
      </w:pPr>
      <w:r w:rsidRPr="0043317B">
        <w:rPr>
          <w:lang w:val="fr-FR"/>
        </w:rPr>
        <w:t>–</w:t>
      </w:r>
      <w:r w:rsidRPr="0043317B" w:rsidR="00F707C8">
        <w:rPr>
          <w:lang w:val="fr-FR"/>
        </w:rPr>
        <w:t>  </w:t>
      </w:r>
      <w:r w:rsidRPr="0043317B">
        <w:rPr>
          <w:lang w:val="fr-FR"/>
        </w:rPr>
        <w:t>Les ordonnances de mesures conservatoires en cause, qui</w:t>
      </w:r>
      <w:r w:rsidRPr="0043317B" w:rsidR="003C4A77">
        <w:rPr>
          <w:lang w:val="fr-FR"/>
        </w:rPr>
        <w:t xml:space="preserve"> – </w:t>
      </w:r>
      <w:r w:rsidRPr="0043317B">
        <w:rPr>
          <w:lang w:val="fr-FR"/>
        </w:rPr>
        <w:t>d</w:t>
      </w:r>
      <w:r w:rsidRPr="0043317B" w:rsidR="0043317B">
        <w:rPr>
          <w:lang w:val="fr-FR"/>
        </w:rPr>
        <w:t>’</w:t>
      </w:r>
      <w:r w:rsidRPr="0043317B">
        <w:rPr>
          <w:lang w:val="fr-FR"/>
        </w:rPr>
        <w:t>après le gouvernement défendeur</w:t>
      </w:r>
      <w:r w:rsidRPr="0043317B" w:rsidR="003C4A77">
        <w:rPr>
          <w:lang w:val="fr-FR"/>
        </w:rPr>
        <w:t> </w:t>
      </w:r>
      <w:r w:rsidRPr="0043317B">
        <w:rPr>
          <w:lang w:val="fr-FR"/>
        </w:rPr>
        <w:t>– n</w:t>
      </w:r>
      <w:r w:rsidRPr="0043317B" w:rsidR="0043317B">
        <w:rPr>
          <w:lang w:val="fr-FR"/>
        </w:rPr>
        <w:t>’</w:t>
      </w:r>
      <w:r w:rsidRPr="0043317B">
        <w:rPr>
          <w:lang w:val="fr-FR"/>
        </w:rPr>
        <w:t>ont pas privé les requérants de leurs biens mais les ont seulement empêchés de les utiliser, avaient pour finalité de permettre un contrôle de l</w:t>
      </w:r>
      <w:r w:rsidRPr="0043317B" w:rsidR="0043317B">
        <w:rPr>
          <w:lang w:val="fr-FR"/>
        </w:rPr>
        <w:t>’</w:t>
      </w:r>
      <w:r w:rsidRPr="0043317B">
        <w:rPr>
          <w:lang w:val="fr-FR"/>
        </w:rPr>
        <w:t>utilisation des biens des intéressés ; c</w:t>
      </w:r>
      <w:r w:rsidRPr="0043317B" w:rsidR="0043317B">
        <w:rPr>
          <w:lang w:val="fr-FR"/>
        </w:rPr>
        <w:t>’</w:t>
      </w:r>
      <w:r w:rsidRPr="0043317B">
        <w:rPr>
          <w:lang w:val="fr-FR"/>
        </w:rPr>
        <w:t xml:space="preserve">est donc la règle énoncée au </w:t>
      </w:r>
      <w:r w:rsidRPr="0043317B" w:rsidR="00773A68">
        <w:rPr>
          <w:lang w:val="fr-FR"/>
        </w:rPr>
        <w:t xml:space="preserve">second alinéa </w:t>
      </w:r>
      <w:r w:rsidRPr="0043317B">
        <w:rPr>
          <w:lang w:val="fr-FR"/>
        </w:rPr>
        <w:t>de l</w:t>
      </w:r>
      <w:r w:rsidRPr="0043317B" w:rsidR="0043317B">
        <w:rPr>
          <w:lang w:val="fr-FR"/>
        </w:rPr>
        <w:t>’</w:t>
      </w:r>
      <w:r w:rsidRPr="0043317B">
        <w:rPr>
          <w:lang w:val="fr-FR"/>
        </w:rPr>
        <w:t>article</w:t>
      </w:r>
      <w:r w:rsidRPr="0043317B" w:rsidR="003C4A77">
        <w:rPr>
          <w:lang w:val="fr-FR"/>
        </w:rPr>
        <w:t xml:space="preserve"> </w:t>
      </w:r>
      <w:r w:rsidRPr="0043317B">
        <w:rPr>
          <w:lang w:val="fr-FR"/>
        </w:rPr>
        <w:t>1 du Protocole n</w:t>
      </w:r>
      <w:r w:rsidRPr="0043317B">
        <w:rPr>
          <w:vertAlign w:val="superscript"/>
          <w:lang w:val="fr-FR"/>
        </w:rPr>
        <w:t>o</w:t>
      </w:r>
      <w:r w:rsidRPr="0043317B">
        <w:rPr>
          <w:lang w:val="fr-FR"/>
        </w:rPr>
        <w:t xml:space="preserve"> 1 qui est applicable en l</w:t>
      </w:r>
      <w:r w:rsidRPr="0043317B" w:rsidR="0043317B">
        <w:rPr>
          <w:lang w:val="fr-FR"/>
        </w:rPr>
        <w:t>’</w:t>
      </w:r>
      <w:r w:rsidRPr="0043317B">
        <w:rPr>
          <w:lang w:val="fr-FR"/>
        </w:rPr>
        <w:t>espèce.</w:t>
      </w:r>
    </w:p>
    <w:p w:rsidRPr="0043317B" w:rsidR="000A45C0" w:rsidP="0043317B" w:rsidRDefault="000A45C0">
      <w:pPr>
        <w:pStyle w:val="ECHRPara"/>
        <w:rPr>
          <w:lang w:val="fr-FR"/>
        </w:rPr>
      </w:pPr>
      <w:r w:rsidRPr="0043317B">
        <w:rPr>
          <w:lang w:val="fr-FR"/>
        </w:rPr>
        <w:t>–</w:t>
      </w:r>
      <w:r w:rsidRPr="0043317B" w:rsidR="00F707C8">
        <w:rPr>
          <w:lang w:val="fr-FR"/>
        </w:rPr>
        <w:t>  </w:t>
      </w:r>
      <w:r w:rsidRPr="0043317B">
        <w:rPr>
          <w:lang w:val="fr-FR"/>
        </w:rPr>
        <w:t>Le FADE a agi dans le respect de son mandat légal et n</w:t>
      </w:r>
      <w:r w:rsidRPr="0043317B" w:rsidR="0043317B">
        <w:rPr>
          <w:lang w:val="fr-FR"/>
        </w:rPr>
        <w:t>’</w:t>
      </w:r>
      <w:r w:rsidRPr="0043317B">
        <w:rPr>
          <w:lang w:val="fr-FR"/>
        </w:rPr>
        <w:t>avait pas l</w:t>
      </w:r>
      <w:r w:rsidRPr="0043317B" w:rsidR="0043317B">
        <w:rPr>
          <w:lang w:val="fr-FR"/>
        </w:rPr>
        <w:t>’</w:t>
      </w:r>
      <w:r w:rsidRPr="0043317B">
        <w:rPr>
          <w:lang w:val="fr-FR"/>
        </w:rPr>
        <w:t>intention de priver les requérants de leurs biens. En outre, il a agi conformément aux exigences de la Convention des Nations unies contre la corruption, qui –</w:t>
      </w:r>
      <w:r w:rsidRPr="0043317B" w:rsidR="003C4A77">
        <w:rPr>
          <w:lang w:val="fr-FR"/>
        </w:rPr>
        <w:t> </w:t>
      </w:r>
      <w:r w:rsidRPr="0043317B">
        <w:rPr>
          <w:lang w:val="fr-FR"/>
        </w:rPr>
        <w:t>selon le gouvernement défendeur</w:t>
      </w:r>
      <w:r w:rsidRPr="0043317B" w:rsidR="003C4A77">
        <w:rPr>
          <w:lang w:val="fr-FR"/>
        </w:rPr>
        <w:t> </w:t>
      </w:r>
      <w:r w:rsidRPr="0043317B">
        <w:rPr>
          <w:lang w:val="fr-FR"/>
        </w:rPr>
        <w:t>– aborde les actes d</w:t>
      </w:r>
      <w:r w:rsidRPr="0043317B" w:rsidR="0043317B">
        <w:rPr>
          <w:lang w:val="fr-FR"/>
        </w:rPr>
        <w:t>’</w:t>
      </w:r>
      <w:r w:rsidRPr="0043317B">
        <w:rPr>
          <w:lang w:val="fr-FR"/>
        </w:rPr>
        <w:t>enrichissement illicite et d</w:t>
      </w:r>
      <w:r w:rsidRPr="0043317B" w:rsidR="0043317B">
        <w:rPr>
          <w:lang w:val="fr-FR"/>
        </w:rPr>
        <w:t>’</w:t>
      </w:r>
      <w:r w:rsidRPr="0043317B">
        <w:rPr>
          <w:lang w:val="fr-FR"/>
        </w:rPr>
        <w:t>abus de fonctions au regard de la notion de corruption et traite des infractions de blanchiment du produit des actes illégaux, de dissimulation et d</w:t>
      </w:r>
      <w:r w:rsidRPr="0043317B" w:rsidR="0043317B">
        <w:rPr>
          <w:lang w:val="fr-FR"/>
        </w:rPr>
        <w:t>’</w:t>
      </w:r>
      <w:r w:rsidRPr="0043317B">
        <w:rPr>
          <w:lang w:val="fr-FR"/>
        </w:rPr>
        <w:t>entrave à la justice en rapport avec la corruption.</w:t>
      </w:r>
    </w:p>
    <w:p w:rsidRPr="0043317B" w:rsidR="000A45C0" w:rsidP="0043317B" w:rsidRDefault="000A45C0">
      <w:pPr>
        <w:pStyle w:val="ECHRPara"/>
        <w:rPr>
          <w:lang w:val="fr-FR"/>
        </w:rPr>
      </w:pPr>
      <w:r w:rsidRPr="0043317B">
        <w:rPr>
          <w:lang w:val="fr-FR"/>
        </w:rPr>
        <w:t>–</w:t>
      </w:r>
      <w:r w:rsidRPr="0043317B" w:rsidR="00F707C8">
        <w:rPr>
          <w:lang w:val="fr-FR"/>
        </w:rPr>
        <w:t>  </w:t>
      </w:r>
      <w:r w:rsidRPr="0043317B">
        <w:rPr>
          <w:lang w:val="fr-FR"/>
        </w:rPr>
        <w:t>Les ordonnances de mesures conservatoires en cause avaient une base légale en droit national.</w:t>
      </w:r>
    </w:p>
    <w:p w:rsidRPr="0043317B" w:rsidR="000A45C0" w:rsidP="0043317B" w:rsidRDefault="000A45C0">
      <w:pPr>
        <w:pStyle w:val="ECHRPara"/>
        <w:rPr>
          <w:lang w:val="fr-FR"/>
        </w:rPr>
      </w:pPr>
      <w:r w:rsidRPr="0043317B">
        <w:rPr>
          <w:lang w:val="fr-FR"/>
        </w:rPr>
        <w:t>Les juridictions internes ont en effet imposé et maintenu les ordonnances de mesures conservatoires sur les biens des requérants, en se fondant sur l</w:t>
      </w:r>
      <w:r w:rsidRPr="0043317B" w:rsidR="0043317B">
        <w:rPr>
          <w:lang w:val="fr-FR"/>
        </w:rPr>
        <w:t>’</w:t>
      </w:r>
      <w:r w:rsidRPr="0043317B">
        <w:rPr>
          <w:lang w:val="fr-FR"/>
        </w:rPr>
        <w:t>article 2 provisoire de la loi n</w:t>
      </w:r>
      <w:r w:rsidRPr="0043317B">
        <w:rPr>
          <w:vertAlign w:val="superscript"/>
          <w:lang w:val="fr-FR"/>
        </w:rPr>
        <w:t>o</w:t>
      </w:r>
      <w:r w:rsidRPr="0043317B">
        <w:rPr>
          <w:lang w:val="fr-FR"/>
        </w:rPr>
        <w:t xml:space="preserve"> 4969 et l</w:t>
      </w:r>
      <w:r w:rsidRPr="0043317B" w:rsidR="0043317B">
        <w:rPr>
          <w:lang w:val="fr-FR"/>
        </w:rPr>
        <w:t>’</w:t>
      </w:r>
      <w:r w:rsidRPr="0043317B">
        <w:rPr>
          <w:lang w:val="fr-FR"/>
        </w:rPr>
        <w:t>article additionnel 1 de l</w:t>
      </w:r>
      <w:r w:rsidRPr="0043317B" w:rsidR="0043317B">
        <w:rPr>
          <w:lang w:val="fr-FR"/>
        </w:rPr>
        <w:t>’</w:t>
      </w:r>
      <w:r w:rsidRPr="0043317B" w:rsidR="003C4A77">
        <w:rPr>
          <w:lang w:val="fr-FR"/>
        </w:rPr>
        <w:t>ancienne loi </w:t>
      </w:r>
      <w:r w:rsidRPr="0043317B">
        <w:rPr>
          <w:lang w:val="fr-FR"/>
        </w:rPr>
        <w:t>n</w:t>
      </w:r>
      <w:r w:rsidRPr="0043317B">
        <w:rPr>
          <w:vertAlign w:val="superscript"/>
          <w:lang w:val="fr-FR"/>
        </w:rPr>
        <w:t>o</w:t>
      </w:r>
      <w:r w:rsidRPr="0043317B">
        <w:rPr>
          <w:lang w:val="fr-FR"/>
        </w:rPr>
        <w:t> 4389. La législation nationale pertinente était accessible, précise et prévisible. Compte tenu des circonstances particulières de l</w:t>
      </w:r>
      <w:r w:rsidRPr="0043317B" w:rsidR="0043317B">
        <w:rPr>
          <w:lang w:val="fr-FR"/>
        </w:rPr>
        <w:t>’</w:t>
      </w:r>
      <w:r w:rsidRPr="0043317B">
        <w:rPr>
          <w:lang w:val="fr-FR"/>
        </w:rPr>
        <w:t xml:space="preserve">affaire </w:t>
      </w:r>
      <w:r w:rsidRPr="0043317B">
        <w:rPr>
          <w:i/>
          <w:lang w:val="fr-FR"/>
        </w:rPr>
        <w:t>İmarbank</w:t>
      </w:r>
      <w:r w:rsidRPr="0043317B">
        <w:rPr>
          <w:lang w:val="fr-FR"/>
        </w:rPr>
        <w:t xml:space="preserve"> et de l</w:t>
      </w:r>
      <w:r w:rsidRPr="0043317B" w:rsidR="0043317B">
        <w:rPr>
          <w:lang w:val="fr-FR"/>
        </w:rPr>
        <w:t>’</w:t>
      </w:r>
      <w:r w:rsidRPr="0043317B">
        <w:rPr>
          <w:lang w:val="fr-FR"/>
        </w:rPr>
        <w:t>ensemble des moyens des requérants, ceux-ci pouvaient et devaient connaître le droit interne et obtenir des conseils détaillés sur ses exigences.</w:t>
      </w:r>
    </w:p>
    <w:p w:rsidRPr="0043317B" w:rsidR="000A45C0" w:rsidP="0043317B" w:rsidRDefault="000A45C0">
      <w:pPr>
        <w:pStyle w:val="ECHRPara"/>
        <w:rPr>
          <w:lang w:val="fr-FR"/>
        </w:rPr>
      </w:pPr>
      <w:r w:rsidRPr="0043317B">
        <w:rPr>
          <w:lang w:val="fr-FR"/>
        </w:rPr>
        <w:t>De plus, selon l</w:t>
      </w:r>
      <w:r w:rsidRPr="0043317B" w:rsidR="0043317B">
        <w:rPr>
          <w:lang w:val="fr-FR"/>
        </w:rPr>
        <w:t>’</w:t>
      </w:r>
      <w:r w:rsidRPr="0043317B">
        <w:rPr>
          <w:lang w:val="fr-FR"/>
        </w:rPr>
        <w:t>article provisoire 2 de la loi n</w:t>
      </w:r>
      <w:r w:rsidRPr="0043317B">
        <w:rPr>
          <w:vertAlign w:val="superscript"/>
          <w:lang w:val="fr-FR"/>
        </w:rPr>
        <w:t>o</w:t>
      </w:r>
      <w:r w:rsidRPr="0043317B">
        <w:rPr>
          <w:lang w:val="fr-FR"/>
        </w:rPr>
        <w:t xml:space="preserve"> 4969 et l</w:t>
      </w:r>
      <w:r w:rsidRPr="0043317B" w:rsidR="0043317B">
        <w:rPr>
          <w:lang w:val="fr-FR"/>
        </w:rPr>
        <w:t>’</w:t>
      </w:r>
      <w:r w:rsidRPr="0043317B">
        <w:rPr>
          <w:lang w:val="fr-FR"/>
        </w:rPr>
        <w:t>article additionnel 1 § 3 de l</w:t>
      </w:r>
      <w:r w:rsidRPr="0043317B" w:rsidR="0043317B">
        <w:rPr>
          <w:lang w:val="fr-FR"/>
        </w:rPr>
        <w:t>’</w:t>
      </w:r>
      <w:r w:rsidRPr="0043317B">
        <w:rPr>
          <w:lang w:val="fr-FR"/>
        </w:rPr>
        <w:t>ancienne loi n</w:t>
      </w:r>
      <w:r w:rsidRPr="0043317B">
        <w:rPr>
          <w:vertAlign w:val="superscript"/>
          <w:lang w:val="fr-FR"/>
        </w:rPr>
        <w:t>o</w:t>
      </w:r>
      <w:r w:rsidRPr="0043317B">
        <w:rPr>
          <w:lang w:val="fr-FR"/>
        </w:rPr>
        <w:t xml:space="preserve"> 4389, il est possible d</w:t>
      </w:r>
      <w:r w:rsidRPr="0043317B" w:rsidR="0043317B">
        <w:rPr>
          <w:lang w:val="fr-FR"/>
        </w:rPr>
        <w:t>’</w:t>
      </w:r>
      <w:r w:rsidRPr="0043317B">
        <w:rPr>
          <w:lang w:val="fr-FR"/>
        </w:rPr>
        <w:t>ordonner des mesures conservatoires à l</w:t>
      </w:r>
      <w:r w:rsidRPr="0043317B" w:rsidR="0043317B">
        <w:rPr>
          <w:lang w:val="fr-FR"/>
        </w:rPr>
        <w:t>’</w:t>
      </w:r>
      <w:r w:rsidRPr="0043317B">
        <w:rPr>
          <w:lang w:val="fr-FR"/>
        </w:rPr>
        <w:t>encontre des proches des personnes soupçonnées d</w:t>
      </w:r>
      <w:r w:rsidRPr="0043317B" w:rsidR="0043317B">
        <w:rPr>
          <w:lang w:val="fr-FR"/>
        </w:rPr>
        <w:t>’</w:t>
      </w:r>
      <w:r w:rsidRPr="0043317B">
        <w:rPr>
          <w:lang w:val="fr-FR"/>
        </w:rPr>
        <w:t>avoir commis des infractions à la législation bancaire, ainsi qu</w:t>
      </w:r>
      <w:r w:rsidRPr="0043317B" w:rsidR="0043317B">
        <w:rPr>
          <w:lang w:val="fr-FR"/>
        </w:rPr>
        <w:t>’</w:t>
      </w:r>
      <w:r w:rsidRPr="0043317B">
        <w:rPr>
          <w:lang w:val="fr-FR"/>
        </w:rPr>
        <w:t>à l</w:t>
      </w:r>
      <w:r w:rsidRPr="0043317B" w:rsidR="0043317B">
        <w:rPr>
          <w:lang w:val="fr-FR"/>
        </w:rPr>
        <w:t>’</w:t>
      </w:r>
      <w:r w:rsidRPr="0043317B">
        <w:rPr>
          <w:lang w:val="fr-FR"/>
        </w:rPr>
        <w:t>encontre des individus agissant au nom et pour le compte de ces personnes ou de ceux ayant acquis des fonds, des biens ou des droits au nom et pour le compte de celles-ci, et ce afin d</w:t>
      </w:r>
      <w:r w:rsidRPr="0043317B" w:rsidR="0043317B">
        <w:rPr>
          <w:lang w:val="fr-FR"/>
        </w:rPr>
        <w:t>’</w:t>
      </w:r>
      <w:r w:rsidRPr="0043317B">
        <w:rPr>
          <w:lang w:val="fr-FR"/>
        </w:rPr>
        <w:t>empêcher les transferts frauduleux des droits, des créances et des biens.</w:t>
      </w:r>
    </w:p>
    <w:p w:rsidRPr="0043317B" w:rsidR="000A45C0" w:rsidP="0043317B" w:rsidRDefault="000A45C0">
      <w:pPr>
        <w:pStyle w:val="ECHRPara"/>
        <w:rPr>
          <w:lang w:val="fr-FR"/>
        </w:rPr>
      </w:pPr>
      <w:r w:rsidRPr="0043317B">
        <w:rPr>
          <w:lang w:val="fr-FR"/>
        </w:rPr>
        <w:t>En outre, d</w:t>
      </w:r>
      <w:r w:rsidRPr="0043317B" w:rsidR="0043317B">
        <w:rPr>
          <w:lang w:val="fr-FR"/>
        </w:rPr>
        <w:t>’</w:t>
      </w:r>
      <w:r w:rsidRPr="0043317B">
        <w:rPr>
          <w:lang w:val="fr-FR"/>
        </w:rPr>
        <w:t>après l</w:t>
      </w:r>
      <w:r w:rsidRPr="0043317B" w:rsidR="0043317B">
        <w:rPr>
          <w:lang w:val="fr-FR"/>
        </w:rPr>
        <w:t>’</w:t>
      </w:r>
      <w:r w:rsidRPr="0043317B">
        <w:rPr>
          <w:lang w:val="fr-FR"/>
        </w:rPr>
        <w:t>article additionnel 1 de l</w:t>
      </w:r>
      <w:r w:rsidRPr="0043317B" w:rsidR="0043317B">
        <w:rPr>
          <w:lang w:val="fr-FR"/>
        </w:rPr>
        <w:t>’</w:t>
      </w:r>
      <w:r w:rsidRPr="0043317B">
        <w:rPr>
          <w:lang w:val="fr-FR"/>
        </w:rPr>
        <w:t>ancienne loi n</w:t>
      </w:r>
      <w:r w:rsidRPr="0043317B">
        <w:rPr>
          <w:vertAlign w:val="superscript"/>
          <w:lang w:val="fr-FR"/>
        </w:rPr>
        <w:t>o</w:t>
      </w:r>
      <w:r w:rsidRPr="0043317B">
        <w:rPr>
          <w:lang w:val="fr-FR"/>
        </w:rPr>
        <w:t xml:space="preserve"> 4389, telle que modifiée par la loi n</w:t>
      </w:r>
      <w:r w:rsidRPr="0043317B">
        <w:rPr>
          <w:vertAlign w:val="superscript"/>
          <w:lang w:val="fr-FR"/>
        </w:rPr>
        <w:t>o</w:t>
      </w:r>
      <w:r w:rsidRPr="0043317B">
        <w:rPr>
          <w:lang w:val="fr-FR"/>
        </w:rPr>
        <w:t xml:space="preserve"> 5020 du 26 décembre 2003, en cas de déclenchement d</w:t>
      </w:r>
      <w:r w:rsidRPr="0043317B" w:rsidR="0043317B">
        <w:rPr>
          <w:lang w:val="fr-FR"/>
        </w:rPr>
        <w:t>’</w:t>
      </w:r>
      <w:r w:rsidRPr="0043317B">
        <w:rPr>
          <w:lang w:val="fr-FR"/>
        </w:rPr>
        <w:t>une action pénale, les mesures conservatoires continuent à produire leurs effets jusqu</w:t>
      </w:r>
      <w:r w:rsidRPr="0043317B" w:rsidR="0043317B">
        <w:rPr>
          <w:lang w:val="fr-FR"/>
        </w:rPr>
        <w:t>’</w:t>
      </w:r>
      <w:r w:rsidRPr="0043317B">
        <w:rPr>
          <w:lang w:val="fr-FR"/>
        </w:rPr>
        <w:t>à l</w:t>
      </w:r>
      <w:r w:rsidRPr="0043317B" w:rsidR="0043317B">
        <w:rPr>
          <w:lang w:val="fr-FR"/>
        </w:rPr>
        <w:t>’</w:t>
      </w:r>
      <w:r w:rsidRPr="0043317B">
        <w:rPr>
          <w:lang w:val="fr-FR"/>
        </w:rPr>
        <w:t>acquisition du caractère définitif du jugement du tribunal et jusqu</w:t>
      </w:r>
      <w:r w:rsidRPr="0043317B" w:rsidR="0043317B">
        <w:rPr>
          <w:lang w:val="fr-FR"/>
        </w:rPr>
        <w:t>’</w:t>
      </w:r>
      <w:r w:rsidRPr="0043317B">
        <w:rPr>
          <w:lang w:val="fr-FR"/>
        </w:rPr>
        <w:t>au recouvrement des créances du FADE au moyen de la conversion en espèces des droits et biens des personnes responsables des pertes financières soumis aux mesures conservatoires.</w:t>
      </w:r>
    </w:p>
    <w:p w:rsidRPr="0043317B" w:rsidR="000A45C0" w:rsidP="0043317B" w:rsidRDefault="000A45C0">
      <w:pPr>
        <w:pStyle w:val="ECHRPara"/>
        <w:rPr>
          <w:lang w:val="fr-FR"/>
        </w:rPr>
      </w:pPr>
      <w:r w:rsidRPr="0043317B">
        <w:rPr>
          <w:lang w:val="fr-FR"/>
        </w:rPr>
        <w:t>–</w:t>
      </w:r>
      <w:r w:rsidRPr="0043317B" w:rsidR="00F707C8">
        <w:rPr>
          <w:lang w:val="fr-FR"/>
        </w:rPr>
        <w:t>  </w:t>
      </w:r>
      <w:r w:rsidRPr="0043317B">
        <w:rPr>
          <w:lang w:val="fr-FR"/>
        </w:rPr>
        <w:t>Les mesures conservatoires en cause ont été imposées et maintenues pour minorer les éventuelles pertes, ainsi que pour prévenir les agissements visant à la réduction des montants des droits dus à l</w:t>
      </w:r>
      <w:r w:rsidRPr="0043317B" w:rsidR="0043317B">
        <w:rPr>
          <w:lang w:val="fr-FR"/>
        </w:rPr>
        <w:t>’</w:t>
      </w:r>
      <w:r w:rsidRPr="0043317B">
        <w:rPr>
          <w:lang w:val="fr-FR"/>
        </w:rPr>
        <w:t>État et aux particuliers, tels les transferts frauduleux d</w:t>
      </w:r>
      <w:r w:rsidRPr="0043317B" w:rsidR="0043317B">
        <w:rPr>
          <w:lang w:val="fr-FR"/>
        </w:rPr>
        <w:t>’</w:t>
      </w:r>
      <w:r w:rsidRPr="0043317B">
        <w:rPr>
          <w:lang w:val="fr-FR"/>
        </w:rPr>
        <w:t xml:space="preserve">actifs et les opérations fictives sur des biens et des créances ; elles poursuivaient donc un but légitime. Elles doivent être considérées comme des mesures préventives qui </w:t>
      </w:r>
      <w:r w:rsidRPr="0043317B" w:rsidR="003C4A77">
        <w:rPr>
          <w:lang w:val="fr-FR"/>
        </w:rPr>
        <w:t>– </w:t>
      </w:r>
      <w:r w:rsidRPr="0043317B">
        <w:rPr>
          <w:lang w:val="fr-FR"/>
        </w:rPr>
        <w:t>aux dires du gouvernement défendeur</w:t>
      </w:r>
      <w:r w:rsidRPr="0043317B" w:rsidR="003C4A77">
        <w:rPr>
          <w:lang w:val="fr-FR"/>
        </w:rPr>
        <w:t> </w:t>
      </w:r>
      <w:r w:rsidRPr="0043317B">
        <w:rPr>
          <w:lang w:val="fr-FR"/>
        </w:rPr>
        <w:t>– ont été prises dans l</w:t>
      </w:r>
      <w:r w:rsidRPr="0043317B" w:rsidR="0043317B">
        <w:rPr>
          <w:lang w:val="fr-FR"/>
        </w:rPr>
        <w:t>’</w:t>
      </w:r>
      <w:r w:rsidRPr="0043317B">
        <w:rPr>
          <w:lang w:val="fr-FR"/>
        </w:rPr>
        <w:t>intérêt général et sont destinées à garantir que les biens acquis par des activités illicites ne procurent pas d</w:t>
      </w:r>
      <w:r w:rsidRPr="0043317B" w:rsidR="0043317B">
        <w:rPr>
          <w:lang w:val="fr-FR"/>
        </w:rPr>
        <w:t>’</w:t>
      </w:r>
      <w:r w:rsidRPr="0043317B">
        <w:rPr>
          <w:lang w:val="fr-FR"/>
        </w:rPr>
        <w:t>avantages aux requérants ou à une organisation criminelle au détriment de la communauté.</w:t>
      </w:r>
    </w:p>
    <w:p w:rsidRPr="0043317B" w:rsidR="000A45C0" w:rsidP="0043317B" w:rsidRDefault="000A45C0">
      <w:pPr>
        <w:pStyle w:val="ECHRPara"/>
        <w:rPr>
          <w:lang w:val="fr-FR"/>
        </w:rPr>
      </w:pPr>
      <w:r w:rsidRPr="0043317B">
        <w:rPr>
          <w:lang w:val="fr-FR"/>
        </w:rPr>
        <w:t>–</w:t>
      </w:r>
      <w:r w:rsidRPr="0043317B" w:rsidR="00F707C8">
        <w:rPr>
          <w:lang w:val="fr-FR"/>
        </w:rPr>
        <w:t>  </w:t>
      </w:r>
      <w:r w:rsidRPr="0043317B">
        <w:rPr>
          <w:lang w:val="fr-FR"/>
        </w:rPr>
        <w:t>Selon la jurisprudence de la Cour, la confiscation a un but légitime de prévention de la criminalité et les États jouissent d</w:t>
      </w:r>
      <w:r w:rsidRPr="0043317B" w:rsidR="0043317B">
        <w:rPr>
          <w:lang w:val="fr-FR"/>
        </w:rPr>
        <w:t>’</w:t>
      </w:r>
      <w:r w:rsidRPr="0043317B">
        <w:rPr>
          <w:lang w:val="fr-FR"/>
        </w:rPr>
        <w:t>une large marge d</w:t>
      </w:r>
      <w:r w:rsidRPr="0043317B" w:rsidR="0043317B">
        <w:rPr>
          <w:lang w:val="fr-FR"/>
        </w:rPr>
        <w:t>’</w:t>
      </w:r>
      <w:r w:rsidRPr="0043317B">
        <w:rPr>
          <w:lang w:val="fr-FR"/>
        </w:rPr>
        <w:t>appréciation quant au choix des moyens d</w:t>
      </w:r>
      <w:r w:rsidRPr="0043317B" w:rsidR="0043317B">
        <w:rPr>
          <w:lang w:val="fr-FR"/>
        </w:rPr>
        <w:t>’</w:t>
      </w:r>
      <w:r w:rsidRPr="0043317B">
        <w:rPr>
          <w:lang w:val="fr-FR"/>
        </w:rPr>
        <w:t>exécution et quant à la détermination de la justification des conséquences de l</w:t>
      </w:r>
      <w:r w:rsidRPr="0043317B" w:rsidR="0043317B">
        <w:rPr>
          <w:lang w:val="fr-FR"/>
        </w:rPr>
        <w:t>’</w:t>
      </w:r>
      <w:r w:rsidRPr="0043317B">
        <w:rPr>
          <w:lang w:val="fr-FR"/>
        </w:rPr>
        <w:t>exécution par rapport à l</w:t>
      </w:r>
      <w:r w:rsidRPr="0043317B" w:rsidR="0043317B">
        <w:rPr>
          <w:lang w:val="fr-FR"/>
        </w:rPr>
        <w:t>’</w:t>
      </w:r>
      <w:r w:rsidRPr="0043317B">
        <w:rPr>
          <w:lang w:val="fr-FR"/>
        </w:rPr>
        <w:t>intérêt général.</w:t>
      </w:r>
    </w:p>
    <w:p w:rsidRPr="0043317B" w:rsidR="000A45C0" w:rsidP="0043317B" w:rsidRDefault="000A45C0">
      <w:pPr>
        <w:pStyle w:val="ECHRPara"/>
        <w:rPr>
          <w:lang w:val="fr-FR"/>
        </w:rPr>
      </w:pPr>
      <w:r w:rsidRPr="0043317B">
        <w:rPr>
          <w:lang w:val="fr-FR"/>
        </w:rPr>
        <w:t>–</w:t>
      </w:r>
      <w:r w:rsidRPr="0043317B" w:rsidR="00F707C8">
        <w:rPr>
          <w:lang w:val="fr-FR"/>
        </w:rPr>
        <w:t>  </w:t>
      </w:r>
      <w:r w:rsidRPr="0043317B">
        <w:rPr>
          <w:lang w:val="fr-FR"/>
        </w:rPr>
        <w:t>La compétence de la Cour pour vérifier le respect de la législation nationale est limitée et il n</w:t>
      </w:r>
      <w:r w:rsidRPr="0043317B" w:rsidR="0043317B">
        <w:rPr>
          <w:lang w:val="fr-FR"/>
        </w:rPr>
        <w:t>’</w:t>
      </w:r>
      <w:r w:rsidRPr="0043317B">
        <w:rPr>
          <w:lang w:val="fr-FR"/>
        </w:rPr>
        <w:t>appartient pas à celle-ci de se substituer aux juridictions internes. Il revient principalement aux autorités nationales, notamment aux tribunaux, de résoudre les problèmes d</w:t>
      </w:r>
      <w:r w:rsidRPr="0043317B" w:rsidR="0043317B">
        <w:rPr>
          <w:lang w:val="fr-FR"/>
        </w:rPr>
        <w:t>’</w:t>
      </w:r>
      <w:r w:rsidRPr="0043317B">
        <w:rPr>
          <w:lang w:val="fr-FR"/>
        </w:rPr>
        <w:t>interprétation de la législation nationale. Toutefois, cela n</w:t>
      </w:r>
      <w:r w:rsidRPr="0043317B" w:rsidR="0043317B">
        <w:rPr>
          <w:lang w:val="fr-FR"/>
        </w:rPr>
        <w:t>’</w:t>
      </w:r>
      <w:r w:rsidRPr="0043317B">
        <w:rPr>
          <w:lang w:val="fr-FR"/>
        </w:rPr>
        <w:t>empêche pas la Cour de vérifier la compatibilité des décisions des juridictions internes avec les exigences de l</w:t>
      </w:r>
      <w:r w:rsidRPr="0043317B" w:rsidR="0043317B">
        <w:rPr>
          <w:lang w:val="fr-FR"/>
        </w:rPr>
        <w:t>’</w:t>
      </w:r>
      <w:r w:rsidRPr="0043317B">
        <w:rPr>
          <w:lang w:val="fr-FR"/>
        </w:rPr>
        <w:t>article</w:t>
      </w:r>
      <w:r w:rsidRPr="0043317B" w:rsidR="003C4A77">
        <w:rPr>
          <w:lang w:val="fr-FR"/>
        </w:rPr>
        <w:t> </w:t>
      </w:r>
      <w:r w:rsidRPr="0043317B">
        <w:rPr>
          <w:lang w:val="fr-FR"/>
        </w:rPr>
        <w:t>1 du Protocole</w:t>
      </w:r>
      <w:r w:rsidRPr="0043317B" w:rsidR="003C4A77">
        <w:rPr>
          <w:lang w:val="fr-FR"/>
        </w:rPr>
        <w:t> </w:t>
      </w:r>
      <w:r w:rsidRPr="0043317B">
        <w:rPr>
          <w:lang w:val="fr-FR"/>
        </w:rPr>
        <w:t>n</w:t>
      </w:r>
      <w:r w:rsidRPr="0043317B">
        <w:rPr>
          <w:vertAlign w:val="superscript"/>
          <w:lang w:val="fr-FR"/>
        </w:rPr>
        <w:t>o</w:t>
      </w:r>
      <w:r w:rsidRPr="0043317B" w:rsidR="003C4A77">
        <w:rPr>
          <w:vertAlign w:val="superscript"/>
          <w:lang w:val="fr-FR"/>
        </w:rPr>
        <w:t> </w:t>
      </w:r>
      <w:r w:rsidRPr="0043317B">
        <w:rPr>
          <w:lang w:val="fr-FR"/>
        </w:rPr>
        <w:t>1.</w:t>
      </w:r>
    </w:p>
    <w:p w:rsidRPr="0043317B" w:rsidR="000A45C0" w:rsidP="0043317B" w:rsidRDefault="000A45C0">
      <w:pPr>
        <w:pStyle w:val="ECHRPara"/>
        <w:rPr>
          <w:lang w:val="fr-FR"/>
        </w:rPr>
      </w:pPr>
      <w:r w:rsidRPr="0043317B">
        <w:rPr>
          <w:lang w:val="fr-FR"/>
        </w:rPr>
        <w:t>Le Gouvernement a ensuite fait part des arguments suivants au sujet de la situation des requérants.</w:t>
      </w:r>
    </w:p>
    <w:p w:rsidRPr="0043317B" w:rsidR="000A45C0" w:rsidP="0043317B" w:rsidRDefault="000A45C0">
      <w:pPr>
        <w:pStyle w:val="ECHRPara"/>
        <w:rPr>
          <w:lang w:val="fr-FR"/>
        </w:rPr>
      </w:pPr>
      <w:r w:rsidRPr="0043317B">
        <w:rPr>
          <w:lang w:val="fr-FR"/>
        </w:rPr>
        <w:t>–</w:t>
      </w:r>
      <w:r w:rsidRPr="0043317B" w:rsidR="00F707C8">
        <w:rPr>
          <w:lang w:val="fr-FR"/>
        </w:rPr>
        <w:t>  </w:t>
      </w:r>
      <w:r w:rsidRPr="0043317B">
        <w:rPr>
          <w:lang w:val="fr-FR"/>
        </w:rPr>
        <w:t>En ce qui concerne les requérants Renç Emre Uzan et Jasmin</w:t>
      </w:r>
      <w:r w:rsidRPr="0043317B" w:rsidR="003C4A77">
        <w:rPr>
          <w:lang w:val="fr-FR"/>
        </w:rPr>
        <w:t> </w:t>
      </w:r>
      <w:r w:rsidRPr="0043317B">
        <w:rPr>
          <w:lang w:val="fr-FR"/>
        </w:rPr>
        <w:t>Paris</w:t>
      </w:r>
      <w:r w:rsidRPr="0043317B" w:rsidR="003C4A77">
        <w:rPr>
          <w:lang w:val="fr-FR"/>
        </w:rPr>
        <w:t> </w:t>
      </w:r>
      <w:r w:rsidRPr="0043317B">
        <w:rPr>
          <w:lang w:val="fr-FR"/>
        </w:rPr>
        <w:t>Uzan, le tribunal de première instance a constaté que ceux-ci n</w:t>
      </w:r>
      <w:r w:rsidRPr="0043317B" w:rsidR="0043317B">
        <w:rPr>
          <w:lang w:val="fr-FR"/>
        </w:rPr>
        <w:t>’</w:t>
      </w:r>
      <w:r w:rsidRPr="0043317B">
        <w:rPr>
          <w:lang w:val="fr-FR"/>
        </w:rPr>
        <w:t>étaient pas pénalement responsables en raison de leur âge, mais qu</w:t>
      </w:r>
      <w:r w:rsidRPr="0043317B" w:rsidR="0043317B">
        <w:rPr>
          <w:lang w:val="fr-FR"/>
        </w:rPr>
        <w:t>’</w:t>
      </w:r>
      <w:r w:rsidRPr="0043317B">
        <w:rPr>
          <w:lang w:val="fr-FR"/>
        </w:rPr>
        <w:t>ils pouvaient être tenus civilement responsables et avaient la capacité d</w:t>
      </w:r>
      <w:r w:rsidRPr="0043317B" w:rsidR="0043317B">
        <w:rPr>
          <w:lang w:val="fr-FR"/>
        </w:rPr>
        <w:t>’</w:t>
      </w:r>
      <w:r w:rsidRPr="0043317B">
        <w:rPr>
          <w:lang w:val="fr-FR"/>
        </w:rPr>
        <w:t>acquérir des droits. Cette juridiction a ainsi considéré que, même en n</w:t>
      </w:r>
      <w:r w:rsidRPr="0043317B" w:rsidR="0043317B">
        <w:rPr>
          <w:lang w:val="fr-FR"/>
        </w:rPr>
        <w:t>’</w:t>
      </w:r>
      <w:r w:rsidRPr="0043317B">
        <w:rPr>
          <w:lang w:val="fr-FR"/>
        </w:rPr>
        <w:t>étant pas en âge de travailler et de gagner un revenu, ces requérants pouvaient par conséquent acquérir des droits par des moyens légaux, tels l</w:t>
      </w:r>
      <w:r w:rsidRPr="0043317B" w:rsidR="0043317B">
        <w:rPr>
          <w:lang w:val="fr-FR"/>
        </w:rPr>
        <w:t>’</w:t>
      </w:r>
      <w:r w:rsidRPr="0043317B">
        <w:rPr>
          <w:lang w:val="fr-FR"/>
        </w:rPr>
        <w:t>héritage et les donations, et que, dans ces circonstances, en application de l</w:t>
      </w:r>
      <w:r w:rsidRPr="0043317B" w:rsidR="0043317B">
        <w:rPr>
          <w:lang w:val="fr-FR"/>
        </w:rPr>
        <w:t>’</w:t>
      </w:r>
      <w:r w:rsidRPr="0043317B">
        <w:rPr>
          <w:lang w:val="fr-FR"/>
        </w:rPr>
        <w:t>ancienne loi n</w:t>
      </w:r>
      <w:r w:rsidRPr="0043317B">
        <w:rPr>
          <w:vertAlign w:val="superscript"/>
          <w:lang w:val="fr-FR"/>
        </w:rPr>
        <w:t>o</w:t>
      </w:r>
      <w:r w:rsidRPr="0043317B">
        <w:rPr>
          <w:lang w:val="fr-FR"/>
        </w:rPr>
        <w:t xml:space="preserve"> 4389, il était possible d</w:t>
      </w:r>
      <w:r w:rsidRPr="0043317B" w:rsidR="0043317B">
        <w:rPr>
          <w:lang w:val="fr-FR"/>
        </w:rPr>
        <w:t>’</w:t>
      </w:r>
      <w:r w:rsidRPr="0043317B">
        <w:rPr>
          <w:lang w:val="fr-FR"/>
        </w:rPr>
        <w:t>imposer et de maintenir les mesures conservatoires sur les droits acquis ou susceptibles d</w:t>
      </w:r>
      <w:r w:rsidRPr="0043317B" w:rsidR="0043317B">
        <w:rPr>
          <w:lang w:val="fr-FR"/>
        </w:rPr>
        <w:t>’</w:t>
      </w:r>
      <w:r w:rsidRPr="0043317B">
        <w:rPr>
          <w:lang w:val="fr-FR"/>
        </w:rPr>
        <w:t>être acquis par eux autrement que par l</w:t>
      </w:r>
      <w:r w:rsidRPr="0043317B" w:rsidR="0043317B">
        <w:rPr>
          <w:lang w:val="fr-FR"/>
        </w:rPr>
        <w:t>’</w:t>
      </w:r>
      <w:r w:rsidRPr="0043317B">
        <w:rPr>
          <w:lang w:val="fr-FR"/>
        </w:rPr>
        <w:t>exercice d</w:t>
      </w:r>
      <w:r w:rsidRPr="0043317B" w:rsidR="0043317B">
        <w:rPr>
          <w:lang w:val="fr-FR"/>
        </w:rPr>
        <w:t>’</w:t>
      </w:r>
      <w:r w:rsidRPr="0043317B">
        <w:rPr>
          <w:lang w:val="fr-FR"/>
        </w:rPr>
        <w:t>une activité et le gain d</w:t>
      </w:r>
      <w:r w:rsidRPr="0043317B" w:rsidR="0043317B">
        <w:rPr>
          <w:lang w:val="fr-FR"/>
        </w:rPr>
        <w:t>’</w:t>
      </w:r>
      <w:r w:rsidRPr="0043317B">
        <w:rPr>
          <w:lang w:val="fr-FR"/>
        </w:rPr>
        <w:t>un revenu.</w:t>
      </w:r>
    </w:p>
    <w:p w:rsidRPr="0043317B" w:rsidR="000A45C0" w:rsidP="0043317B" w:rsidRDefault="000A45C0">
      <w:pPr>
        <w:pStyle w:val="ECHRPara"/>
        <w:rPr>
          <w:lang w:val="fr-FR"/>
        </w:rPr>
      </w:pPr>
      <w:r w:rsidRPr="0043317B">
        <w:rPr>
          <w:lang w:val="fr-FR"/>
        </w:rPr>
        <w:t>–</w:t>
      </w:r>
      <w:r w:rsidRPr="0043317B" w:rsidR="00F707C8">
        <w:rPr>
          <w:lang w:val="fr-FR"/>
        </w:rPr>
        <w:t>  </w:t>
      </w:r>
      <w:r w:rsidRPr="0043317B">
        <w:rPr>
          <w:lang w:val="fr-FR"/>
        </w:rPr>
        <w:t>S</w:t>
      </w:r>
      <w:r w:rsidRPr="0043317B" w:rsidR="0043317B">
        <w:rPr>
          <w:lang w:val="fr-FR"/>
        </w:rPr>
        <w:t>’</w:t>
      </w:r>
      <w:r w:rsidRPr="0043317B">
        <w:rPr>
          <w:lang w:val="fr-FR"/>
        </w:rPr>
        <w:t>agissant de la requérante Ayla Uzan-Ashaboğlu, elle avait des liens avec les accusés dans le cadre de l</w:t>
      </w:r>
      <w:r w:rsidRPr="0043317B" w:rsidR="0043317B">
        <w:rPr>
          <w:lang w:val="fr-FR"/>
        </w:rPr>
        <w:t>’</w:t>
      </w:r>
      <w:r w:rsidRPr="0043317B">
        <w:rPr>
          <w:lang w:val="fr-FR"/>
        </w:rPr>
        <w:t>affaire pénale principale, notamment Y.U., et il y avait donc des motifs raisonnables de croire que ces personnes auraient pu frauduleusement lui transférer leurs droits, créances et biens.</w:t>
      </w:r>
    </w:p>
    <w:p w:rsidRPr="0043317B" w:rsidR="000A45C0" w:rsidP="0043317B" w:rsidRDefault="000A45C0">
      <w:pPr>
        <w:pStyle w:val="ECHRPara"/>
        <w:rPr>
          <w:lang w:val="fr-FR"/>
        </w:rPr>
      </w:pPr>
      <w:r w:rsidRPr="0043317B">
        <w:rPr>
          <w:lang w:val="fr-FR"/>
        </w:rPr>
        <w:t>–</w:t>
      </w:r>
      <w:r w:rsidRPr="0043317B" w:rsidR="00F707C8">
        <w:rPr>
          <w:lang w:val="fr-FR"/>
        </w:rPr>
        <w:t>  </w:t>
      </w:r>
      <w:r w:rsidRPr="0043317B">
        <w:rPr>
          <w:lang w:val="fr-FR"/>
        </w:rPr>
        <w:t>Quant aux requérantes Nimet Hulya Talu et Bilge Dogru, elles étaient contrôleuses de gestion de la banque, d</w:t>
      </w:r>
      <w:r w:rsidRPr="0043317B" w:rsidR="0043317B">
        <w:rPr>
          <w:lang w:val="fr-FR"/>
        </w:rPr>
        <w:t>’</w:t>
      </w:r>
      <w:r w:rsidRPr="0043317B">
        <w:rPr>
          <w:lang w:val="fr-FR"/>
        </w:rPr>
        <w:t>où le maintien des mesures conservatoires imposées sur leurs biens. Il existait en effet des motifs raisonnables de croire qu</w:t>
      </w:r>
      <w:r w:rsidRPr="0043317B" w:rsidR="0043317B">
        <w:rPr>
          <w:lang w:val="fr-FR"/>
        </w:rPr>
        <w:t>’</w:t>
      </w:r>
      <w:r w:rsidRPr="0043317B">
        <w:rPr>
          <w:lang w:val="fr-FR"/>
        </w:rPr>
        <w:t>elles agissaient au nom et pour le compte des accusés dans le cadre de l</w:t>
      </w:r>
      <w:r w:rsidRPr="0043317B" w:rsidR="0043317B">
        <w:rPr>
          <w:lang w:val="fr-FR"/>
        </w:rPr>
        <w:t>’</w:t>
      </w:r>
      <w:r w:rsidRPr="0043317B">
        <w:rPr>
          <w:lang w:val="fr-FR"/>
        </w:rPr>
        <w:t>affaire pénale principale et pouvaient avoir acquis des fonds, des biens ou des droits au nom et pour le compte de ceux-ci.</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186</w:t>
      </w:r>
      <w:r w:rsidRPr="0043317B">
        <w:rPr>
          <w:lang w:val="fr-FR"/>
        </w:rPr>
        <w:fldChar w:fldCharType="end"/>
      </w:r>
      <w:r w:rsidRPr="0043317B">
        <w:rPr>
          <w:lang w:val="fr-FR"/>
        </w:rPr>
        <w:t>.  Le Gouvernement soutient aussi que, en application de l</w:t>
      </w:r>
      <w:r w:rsidRPr="0043317B" w:rsidR="0043317B">
        <w:rPr>
          <w:lang w:val="fr-FR"/>
        </w:rPr>
        <w:t>’</w:t>
      </w:r>
      <w:r w:rsidRPr="0043317B" w:rsidR="003C4A77">
        <w:rPr>
          <w:lang w:val="fr-FR"/>
        </w:rPr>
        <w:t>article </w:t>
      </w:r>
      <w:r w:rsidRPr="0043317B">
        <w:rPr>
          <w:lang w:val="fr-FR"/>
        </w:rPr>
        <w:t>135 de la loi n</w:t>
      </w:r>
      <w:r w:rsidRPr="0043317B">
        <w:rPr>
          <w:vertAlign w:val="superscript"/>
          <w:lang w:val="fr-FR"/>
        </w:rPr>
        <w:t>o</w:t>
      </w:r>
      <w:r w:rsidRPr="0043317B">
        <w:rPr>
          <w:lang w:val="fr-FR"/>
        </w:rPr>
        <w:t xml:space="preserve"> 5411, les mesures conservatoires litigieuses doivent rester en vigueur jusqu</w:t>
      </w:r>
      <w:r w:rsidRPr="0043317B" w:rsidR="0043317B">
        <w:rPr>
          <w:lang w:val="fr-FR"/>
        </w:rPr>
        <w:t>’</w:t>
      </w:r>
      <w:r w:rsidRPr="0043317B">
        <w:rPr>
          <w:lang w:val="fr-FR"/>
        </w:rPr>
        <w:t>à ce que toutes les actions pénales et civiles intentées à l</w:t>
      </w:r>
      <w:r w:rsidRPr="0043317B" w:rsidR="0043317B">
        <w:rPr>
          <w:lang w:val="fr-FR"/>
        </w:rPr>
        <w:t>’</w:t>
      </w:r>
      <w:r w:rsidRPr="0043317B">
        <w:rPr>
          <w:lang w:val="fr-FR"/>
        </w:rPr>
        <w:t>encontre des requérants soient terminées et que les décisions rendues soient définitives.</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187</w:t>
      </w:r>
      <w:r w:rsidRPr="0043317B">
        <w:rPr>
          <w:lang w:val="fr-FR"/>
        </w:rPr>
        <w:fldChar w:fldCharType="end"/>
      </w:r>
      <w:r w:rsidRPr="0043317B">
        <w:rPr>
          <w:lang w:val="fr-FR"/>
        </w:rPr>
        <w:t>.  Il précise que le dossier principal concernant l</w:t>
      </w:r>
      <w:r w:rsidRPr="0043317B" w:rsidR="0043317B">
        <w:rPr>
          <w:lang w:val="fr-FR"/>
        </w:rPr>
        <w:t>’</w:t>
      </w:r>
      <w:r w:rsidRPr="0043317B">
        <w:rPr>
          <w:lang w:val="fr-FR"/>
        </w:rPr>
        <w:t xml:space="preserve">affaire </w:t>
      </w:r>
      <w:r w:rsidRPr="0043317B">
        <w:rPr>
          <w:i/>
          <w:lang w:val="fr-FR"/>
        </w:rPr>
        <w:t>İmarbank</w:t>
      </w:r>
      <w:r w:rsidRPr="0043317B">
        <w:rPr>
          <w:lang w:val="fr-FR"/>
        </w:rPr>
        <w:t xml:space="preserve"> est celui qui est toujours pendant devant la 8</w:t>
      </w:r>
      <w:r w:rsidRPr="0043317B">
        <w:rPr>
          <w:vertAlign w:val="superscript"/>
          <w:lang w:val="fr-FR"/>
        </w:rPr>
        <w:t>e</w:t>
      </w:r>
      <w:r w:rsidRPr="0043317B">
        <w:rPr>
          <w:lang w:val="fr-FR"/>
        </w:rPr>
        <w:t xml:space="preserve"> cour d</w:t>
      </w:r>
      <w:r w:rsidRPr="0043317B" w:rsidR="0043317B">
        <w:rPr>
          <w:lang w:val="fr-FR"/>
        </w:rPr>
        <w:t>’</w:t>
      </w:r>
      <w:r w:rsidRPr="0043317B">
        <w:rPr>
          <w:lang w:val="fr-FR"/>
        </w:rPr>
        <w:t>assises d</w:t>
      </w:r>
      <w:r w:rsidRPr="0043317B" w:rsidR="0043317B">
        <w:rPr>
          <w:lang w:val="fr-FR"/>
        </w:rPr>
        <w:t>’</w:t>
      </w:r>
      <w:r w:rsidRPr="0043317B">
        <w:rPr>
          <w:lang w:val="fr-FR"/>
        </w:rPr>
        <w:t>Istanbul et que la procédure continue à l</w:t>
      </w:r>
      <w:r w:rsidRPr="0043317B" w:rsidR="0043317B">
        <w:rPr>
          <w:lang w:val="fr-FR"/>
        </w:rPr>
        <w:t>’</w:t>
      </w:r>
      <w:r w:rsidRPr="0043317B">
        <w:rPr>
          <w:lang w:val="fr-FR"/>
        </w:rPr>
        <w:t>encontre de certains dirigeants de İmarbank. Il ajoute que la non-comparution de certains accusés devant le tribunal a empêché les juridictions de trancher l</w:t>
      </w:r>
      <w:r w:rsidRPr="0043317B" w:rsidR="0043317B">
        <w:rPr>
          <w:lang w:val="fr-FR"/>
        </w:rPr>
        <w:t>’</w:t>
      </w:r>
      <w:r w:rsidRPr="0043317B">
        <w:rPr>
          <w:lang w:val="fr-FR"/>
        </w:rPr>
        <w:t>affaire définitivement. Selon lui, la levée des mesures conservatoires mettrait en péril la possibilité de recouvrement des créances publiques.</w:t>
      </w:r>
    </w:p>
    <w:p w:rsidRPr="0043317B" w:rsidR="000A45C0" w:rsidP="0043317B" w:rsidRDefault="000A45C0">
      <w:pPr>
        <w:pStyle w:val="ECHRPara"/>
        <w:rPr>
          <w:lang w:val="fr-FR"/>
        </w:rPr>
      </w:pPr>
      <w:r w:rsidRPr="0043317B">
        <w:rPr>
          <w:lang w:val="fr-FR"/>
        </w:rPr>
        <w:t>Le Gouvernement indique que les créances publiques en question n</w:t>
      </w:r>
      <w:r w:rsidRPr="0043317B" w:rsidR="0043317B">
        <w:rPr>
          <w:lang w:val="fr-FR"/>
        </w:rPr>
        <w:t>’</w:t>
      </w:r>
      <w:r w:rsidRPr="0043317B">
        <w:rPr>
          <w:lang w:val="fr-FR"/>
        </w:rPr>
        <w:t>ont pas encore été recouvrées et que les procédures engagées contre les requérants à l</w:t>
      </w:r>
      <w:r w:rsidRPr="0043317B" w:rsidR="0043317B">
        <w:rPr>
          <w:lang w:val="fr-FR"/>
        </w:rPr>
        <w:t>’</w:t>
      </w:r>
      <w:r w:rsidRPr="0043317B">
        <w:rPr>
          <w:lang w:val="fr-FR"/>
        </w:rPr>
        <w:t>initiative du FADE sur le fondement de la loi n</w:t>
      </w:r>
      <w:r w:rsidRPr="0043317B">
        <w:rPr>
          <w:vertAlign w:val="superscript"/>
          <w:lang w:val="fr-FR"/>
        </w:rPr>
        <w:t>o</w:t>
      </w:r>
      <w:r w:rsidRPr="0043317B">
        <w:rPr>
          <w:lang w:val="fr-FR"/>
        </w:rPr>
        <w:t xml:space="preserve"> 6183 se poursuivent. En l</w:t>
      </w:r>
      <w:r w:rsidRPr="0043317B" w:rsidR="0043317B">
        <w:rPr>
          <w:lang w:val="fr-FR"/>
        </w:rPr>
        <w:t>’</w:t>
      </w:r>
      <w:r w:rsidRPr="0043317B">
        <w:rPr>
          <w:lang w:val="fr-FR"/>
        </w:rPr>
        <w:t>espèce, la durée de l</w:t>
      </w:r>
      <w:r w:rsidRPr="0043317B" w:rsidR="0043317B">
        <w:rPr>
          <w:lang w:val="fr-FR"/>
        </w:rPr>
        <w:t>’</w:t>
      </w:r>
      <w:r w:rsidRPr="0043317B">
        <w:rPr>
          <w:lang w:val="fr-FR"/>
        </w:rPr>
        <w:t>affaire pénale principale n</w:t>
      </w:r>
      <w:r w:rsidRPr="0043317B" w:rsidR="0043317B">
        <w:rPr>
          <w:lang w:val="fr-FR"/>
        </w:rPr>
        <w:t>’</w:t>
      </w:r>
      <w:r w:rsidRPr="0043317B">
        <w:rPr>
          <w:lang w:val="fr-FR"/>
        </w:rPr>
        <w:t>aurait pas été prolongée inutilement. Aucune négligence ne pourrait être imputée aux autorités judiciaires étant donné l</w:t>
      </w:r>
      <w:r w:rsidRPr="0043317B" w:rsidR="0043317B">
        <w:rPr>
          <w:lang w:val="fr-FR"/>
        </w:rPr>
        <w:t>’</w:t>
      </w:r>
      <w:r w:rsidRPr="0043317B">
        <w:rPr>
          <w:lang w:val="fr-FR"/>
        </w:rPr>
        <w:t>incidence sur la durée du procès pénal de la complexité de celui-ci, du nombre d</w:t>
      </w:r>
      <w:r w:rsidRPr="0043317B" w:rsidR="0043317B">
        <w:rPr>
          <w:lang w:val="fr-FR"/>
        </w:rPr>
        <w:t>’</w:t>
      </w:r>
      <w:r w:rsidRPr="0043317B">
        <w:rPr>
          <w:lang w:val="fr-FR"/>
        </w:rPr>
        <w:t>accusés et des difficultés rencontrées dans le recueil des preuves. Il conviendrait également de tenir compte du retard généré dans l</w:t>
      </w:r>
      <w:r w:rsidRPr="0043317B" w:rsidR="0043317B">
        <w:rPr>
          <w:lang w:val="fr-FR"/>
        </w:rPr>
        <w:t>’</w:t>
      </w:r>
      <w:r w:rsidRPr="0043317B">
        <w:rPr>
          <w:lang w:val="fr-FR"/>
        </w:rPr>
        <w:t>aboutissement de la procédure pénale par la non</w:t>
      </w:r>
      <w:r w:rsidRPr="0043317B">
        <w:rPr>
          <w:lang w:val="fr-FR"/>
        </w:rPr>
        <w:noBreakHyphen/>
        <w:t>comparution aux audiences de K.U., Y.U. et H.U., malgré la délivrance de mandats d</w:t>
      </w:r>
      <w:r w:rsidRPr="0043317B" w:rsidR="0043317B">
        <w:rPr>
          <w:lang w:val="fr-FR"/>
        </w:rPr>
        <w:t>’</w:t>
      </w:r>
      <w:r w:rsidRPr="0043317B">
        <w:rPr>
          <w:lang w:val="fr-FR"/>
        </w:rPr>
        <w:t>arrêt contre ceux-ci.</w:t>
      </w:r>
    </w:p>
    <w:p w:rsidRPr="0043317B" w:rsidR="000A45C0" w:rsidP="0043317B" w:rsidRDefault="000A45C0">
      <w:pPr>
        <w:pStyle w:val="ECHRPara"/>
        <w:rPr>
          <w:lang w:val="fr-FR"/>
        </w:rPr>
      </w:pPr>
      <w:r w:rsidRPr="0043317B">
        <w:rPr>
          <w:lang w:val="fr-FR"/>
        </w:rPr>
        <w:t>Le Gouvernement indique en outre que les juridictions nationales ont dû établir les faits et, pour ce faire, évaluer objectivement les éléments factuels présentés par les parties, et que rien dans le dossier n</w:t>
      </w:r>
      <w:r w:rsidRPr="0043317B" w:rsidR="0043317B">
        <w:rPr>
          <w:lang w:val="fr-FR"/>
        </w:rPr>
        <w:t>’</w:t>
      </w:r>
      <w:r w:rsidRPr="0043317B">
        <w:rPr>
          <w:lang w:val="fr-FR"/>
        </w:rPr>
        <w:t>indique qu</w:t>
      </w:r>
      <w:r w:rsidRPr="0043317B" w:rsidR="0043317B">
        <w:rPr>
          <w:lang w:val="fr-FR"/>
        </w:rPr>
        <w:t>’</w:t>
      </w:r>
      <w:r w:rsidRPr="0043317B">
        <w:rPr>
          <w:lang w:val="fr-FR"/>
        </w:rPr>
        <w:t>elles ont apprécié les preuves de manière arbitraire.</w:t>
      </w:r>
    </w:p>
    <w:p w:rsidRPr="0043317B" w:rsidR="000A45C0" w:rsidP="0043317B" w:rsidRDefault="000A45C0">
      <w:pPr>
        <w:pStyle w:val="ECHRPara"/>
        <w:rPr>
          <w:lang w:val="fr-FR"/>
        </w:rPr>
      </w:pPr>
      <w:r w:rsidRPr="0043317B">
        <w:rPr>
          <w:lang w:val="fr-FR"/>
        </w:rPr>
        <w:t>Il soutient que les requérants ont disposé de tous les moyens pratiques et légaux (à savoir l</w:t>
      </w:r>
      <w:r w:rsidRPr="0043317B" w:rsidR="0043317B">
        <w:rPr>
          <w:lang w:val="fr-FR"/>
        </w:rPr>
        <w:t>’</w:t>
      </w:r>
      <w:r w:rsidRPr="0043317B">
        <w:rPr>
          <w:lang w:val="fr-FR"/>
        </w:rPr>
        <w:t>article 125 de la Constitutio</w:t>
      </w:r>
      <w:r w:rsidRPr="0043317B" w:rsidR="003C4A77">
        <w:rPr>
          <w:lang w:val="fr-FR"/>
        </w:rPr>
        <w:t>n et les dispositions de la loi </w:t>
      </w:r>
      <w:r w:rsidRPr="0043317B">
        <w:rPr>
          <w:lang w:val="fr-FR"/>
        </w:rPr>
        <w:t>n</w:t>
      </w:r>
      <w:r w:rsidRPr="0043317B">
        <w:rPr>
          <w:vertAlign w:val="superscript"/>
          <w:lang w:val="fr-FR"/>
        </w:rPr>
        <w:t>o </w:t>
      </w:r>
      <w:r w:rsidRPr="0043317B">
        <w:rPr>
          <w:lang w:val="fr-FR"/>
        </w:rPr>
        <w:t>2577 sur les procédures administratives) pour contester devant les tribunaux internes les mesures conservatoires imposées sur leurs biens.</w:t>
      </w:r>
    </w:p>
    <w:p w:rsidRPr="0043317B" w:rsidR="000A45C0" w:rsidP="0043317B" w:rsidRDefault="000A45C0">
      <w:pPr>
        <w:pStyle w:val="ECHRPara"/>
        <w:rPr>
          <w:lang w:val="fr-FR"/>
        </w:rPr>
      </w:pPr>
      <w:r w:rsidRPr="0043317B">
        <w:rPr>
          <w:lang w:val="fr-FR"/>
        </w:rPr>
        <w:t>Cela étant, il estime que compte tenu de la large marge d</w:t>
      </w:r>
      <w:r w:rsidRPr="0043317B" w:rsidR="0043317B">
        <w:rPr>
          <w:lang w:val="fr-FR"/>
        </w:rPr>
        <w:t>’</w:t>
      </w:r>
      <w:r w:rsidRPr="0043317B">
        <w:rPr>
          <w:lang w:val="fr-FR"/>
        </w:rPr>
        <w:t>appréciation qui serait accordée aux États dans le cadre de leur contrôle de la conformité de l</w:t>
      </w:r>
      <w:r w:rsidRPr="0043317B" w:rsidR="0043317B">
        <w:rPr>
          <w:lang w:val="fr-FR"/>
        </w:rPr>
        <w:t>’</w:t>
      </w:r>
      <w:r w:rsidRPr="0043317B">
        <w:rPr>
          <w:lang w:val="fr-FR"/>
        </w:rPr>
        <w:t>usage des biens à l</w:t>
      </w:r>
      <w:r w:rsidRPr="0043317B" w:rsidR="0043317B">
        <w:rPr>
          <w:lang w:val="fr-FR"/>
        </w:rPr>
        <w:t>’</w:t>
      </w:r>
      <w:r w:rsidRPr="0043317B">
        <w:rPr>
          <w:lang w:val="fr-FR"/>
        </w:rPr>
        <w:t>intérêt général, notamment dans le contexte d</w:t>
      </w:r>
      <w:r w:rsidRPr="0043317B" w:rsidR="0043317B">
        <w:rPr>
          <w:lang w:val="fr-FR"/>
        </w:rPr>
        <w:t>’</w:t>
      </w:r>
      <w:r w:rsidRPr="0043317B">
        <w:rPr>
          <w:lang w:val="fr-FR"/>
        </w:rPr>
        <w:t>une politique criminelle destinée à lutter contre les infractions particulièrement graves, l</w:t>
      </w:r>
      <w:r w:rsidRPr="0043317B" w:rsidR="0043317B">
        <w:rPr>
          <w:lang w:val="fr-FR"/>
        </w:rPr>
        <w:t>’</w:t>
      </w:r>
      <w:r w:rsidRPr="0043317B">
        <w:rPr>
          <w:lang w:val="fr-FR"/>
        </w:rPr>
        <w:t>ingérence dans le droit des requérants au respect de leurs biens n</w:t>
      </w:r>
      <w:r w:rsidRPr="0043317B" w:rsidR="0043317B">
        <w:rPr>
          <w:lang w:val="fr-FR"/>
        </w:rPr>
        <w:t>’</w:t>
      </w:r>
      <w:r w:rsidRPr="0043317B">
        <w:rPr>
          <w:lang w:val="fr-FR"/>
        </w:rPr>
        <w:t>était pas disproportionnée par rapport au but légitime poursuivi.</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188</w:t>
      </w:r>
      <w:r w:rsidRPr="0043317B">
        <w:rPr>
          <w:lang w:val="fr-FR"/>
        </w:rPr>
        <w:fldChar w:fldCharType="end"/>
      </w:r>
      <w:r w:rsidRPr="0043317B">
        <w:rPr>
          <w:lang w:val="fr-FR"/>
        </w:rPr>
        <w:t>.  Aussi le Gouvernement invite-t-il la Cour à conclure, à la lumière de ce qui précède, que l</w:t>
      </w:r>
      <w:r w:rsidRPr="0043317B" w:rsidR="0043317B">
        <w:rPr>
          <w:lang w:val="fr-FR"/>
        </w:rPr>
        <w:t>’</w:t>
      </w:r>
      <w:r w:rsidRPr="0043317B">
        <w:rPr>
          <w:lang w:val="fr-FR"/>
        </w:rPr>
        <w:t>ingérence dans les biens des intéressés était entourée de garanties suffisantes contre l</w:t>
      </w:r>
      <w:r w:rsidRPr="0043317B" w:rsidR="0043317B">
        <w:rPr>
          <w:lang w:val="fr-FR"/>
        </w:rPr>
        <w:t>’</w:t>
      </w:r>
      <w:r w:rsidRPr="0043317B">
        <w:rPr>
          <w:lang w:val="fr-FR"/>
        </w:rPr>
        <w:t>arbitraire et était donc légale au sens de l</w:t>
      </w:r>
      <w:r w:rsidRPr="0043317B" w:rsidR="0043317B">
        <w:rPr>
          <w:lang w:val="fr-FR"/>
        </w:rPr>
        <w:t>’</w:t>
      </w:r>
      <w:r w:rsidRPr="0043317B">
        <w:rPr>
          <w:lang w:val="fr-FR"/>
        </w:rPr>
        <w:t>article 1 du Protocole n</w:t>
      </w:r>
      <w:r w:rsidRPr="0043317B">
        <w:rPr>
          <w:vertAlign w:val="superscript"/>
          <w:lang w:val="fr-FR"/>
        </w:rPr>
        <w:t>o</w:t>
      </w:r>
      <w:r w:rsidRPr="0043317B">
        <w:rPr>
          <w:lang w:val="fr-FR"/>
        </w:rPr>
        <w:t xml:space="preserve"> 1, qu</w:t>
      </w:r>
      <w:r w:rsidRPr="0043317B" w:rsidR="0043317B">
        <w:rPr>
          <w:lang w:val="fr-FR"/>
        </w:rPr>
        <w:t>’</w:t>
      </w:r>
      <w:r w:rsidRPr="0043317B">
        <w:rPr>
          <w:lang w:val="fr-FR"/>
        </w:rPr>
        <w:t>il n</w:t>
      </w:r>
      <w:r w:rsidRPr="0043317B" w:rsidR="0043317B">
        <w:rPr>
          <w:lang w:val="fr-FR"/>
        </w:rPr>
        <w:t>’</w:t>
      </w:r>
      <w:r w:rsidRPr="0043317B">
        <w:rPr>
          <w:lang w:val="fr-FR"/>
        </w:rPr>
        <w:t>y a pas eu violation de cette disposition et que les griefs des requérants doivent par conséquent être rejetés comme étant manifestement mal fondés.</w:t>
      </w:r>
    </w:p>
    <w:p w:rsidRPr="0043317B" w:rsidR="000A45C0" w:rsidP="0043317B" w:rsidRDefault="000A45C0">
      <w:pPr>
        <w:pStyle w:val="ECHRHeading3"/>
        <w:rPr>
          <w:lang w:val="fr-FR"/>
        </w:rPr>
      </w:pPr>
      <w:r w:rsidRPr="0043317B">
        <w:rPr>
          <w:lang w:val="fr-FR"/>
        </w:rPr>
        <w:t>2.  Appréciation de la Cour</w:t>
      </w:r>
    </w:p>
    <w:p w:rsidRPr="0043317B" w:rsidR="000A45C0" w:rsidP="0043317B" w:rsidRDefault="000A45C0">
      <w:pPr>
        <w:pStyle w:val="ECHRHeading4"/>
        <w:rPr>
          <w:lang w:val="fr-FR"/>
        </w:rPr>
      </w:pPr>
      <w:r w:rsidRPr="0043317B">
        <w:rPr>
          <w:lang w:val="fr-FR"/>
        </w:rPr>
        <w:t>a)  Sur l</w:t>
      </w:r>
      <w:r w:rsidRPr="0043317B" w:rsidR="0043317B">
        <w:rPr>
          <w:lang w:val="fr-FR"/>
        </w:rPr>
        <w:t>’</w:t>
      </w:r>
      <w:r w:rsidRPr="0043317B">
        <w:rPr>
          <w:lang w:val="fr-FR"/>
        </w:rPr>
        <w:t>existence d</w:t>
      </w:r>
      <w:r w:rsidRPr="0043317B" w:rsidR="0043317B">
        <w:rPr>
          <w:lang w:val="fr-FR"/>
        </w:rPr>
        <w:t>’</w:t>
      </w:r>
      <w:r w:rsidRPr="0043317B">
        <w:rPr>
          <w:lang w:val="fr-FR"/>
        </w:rPr>
        <w:t>un bien et sur la nature de l</w:t>
      </w:r>
      <w:r w:rsidRPr="0043317B" w:rsidR="0043317B">
        <w:rPr>
          <w:lang w:val="fr-FR"/>
        </w:rPr>
        <w:t>’</w:t>
      </w:r>
      <w:r w:rsidRPr="0043317B">
        <w:rPr>
          <w:lang w:val="fr-FR"/>
        </w:rPr>
        <w:t>ingérence</w:t>
      </w:r>
    </w:p>
    <w:bookmarkStart w:name="lt_pId828" w:id="4"/>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189</w:t>
      </w:r>
      <w:r w:rsidRPr="0043317B">
        <w:rPr>
          <w:lang w:val="fr-FR"/>
        </w:rPr>
        <w:fldChar w:fldCharType="end"/>
      </w:r>
      <w:r w:rsidRPr="0043317B">
        <w:rPr>
          <w:lang w:val="fr-FR"/>
        </w:rPr>
        <w:t>.  En premier lieu, en ce qui concerne l</w:t>
      </w:r>
      <w:r w:rsidRPr="0043317B" w:rsidR="0043317B">
        <w:rPr>
          <w:lang w:val="fr-FR"/>
        </w:rPr>
        <w:t>’</w:t>
      </w:r>
      <w:r w:rsidRPr="0043317B">
        <w:rPr>
          <w:lang w:val="fr-FR"/>
        </w:rPr>
        <w:t>existence d</w:t>
      </w:r>
      <w:r w:rsidRPr="0043317B" w:rsidR="0043317B">
        <w:rPr>
          <w:lang w:val="fr-FR"/>
        </w:rPr>
        <w:t>’</w:t>
      </w:r>
      <w:r w:rsidRPr="0043317B">
        <w:rPr>
          <w:lang w:val="fr-FR"/>
        </w:rPr>
        <w:t>un bien, la Cour rappelle que l</w:t>
      </w:r>
      <w:r w:rsidRPr="0043317B" w:rsidR="0043317B">
        <w:rPr>
          <w:lang w:val="fr-FR"/>
        </w:rPr>
        <w:t>’</w:t>
      </w:r>
      <w:r w:rsidRPr="0043317B">
        <w:rPr>
          <w:lang w:val="fr-FR"/>
        </w:rPr>
        <w:t>article 1 du Protocole n</w:t>
      </w:r>
      <w:r w:rsidRPr="0043317B">
        <w:rPr>
          <w:vertAlign w:val="superscript"/>
          <w:lang w:val="fr-FR"/>
        </w:rPr>
        <w:t>o</w:t>
      </w:r>
      <w:r w:rsidRPr="0043317B">
        <w:rPr>
          <w:lang w:val="fr-FR"/>
        </w:rPr>
        <w:t xml:space="preserve"> 1 à la Convention, qui garantit en substance le droit de propriété, contient trois normes distinctes : la première, qui s</w:t>
      </w:r>
      <w:r w:rsidRPr="0043317B" w:rsidR="0043317B">
        <w:rPr>
          <w:lang w:val="fr-FR"/>
        </w:rPr>
        <w:t>’</w:t>
      </w:r>
      <w:r w:rsidRPr="0043317B">
        <w:rPr>
          <w:lang w:val="fr-FR"/>
        </w:rPr>
        <w:t>exprime dans la première phrase du premier alinéa et revêt un caractère général, énonce le principe du respect de la propriété ; la deuxième, figurant dans la seconde phrase du même alinéa, vise la privation de propriété et la subordonne à certaines conditions ; quant à la troisième, consignée dans le second alinéa, elle reconnaît aux États contractants le pouvoir, entre autres, de réglementer l</w:t>
      </w:r>
      <w:r w:rsidRPr="0043317B" w:rsidR="0043317B">
        <w:rPr>
          <w:lang w:val="fr-FR"/>
        </w:rPr>
        <w:t>’</w:t>
      </w:r>
      <w:r w:rsidRPr="0043317B">
        <w:rPr>
          <w:lang w:val="fr-FR"/>
        </w:rPr>
        <w:t>usage des biens conformément à l</w:t>
      </w:r>
      <w:r w:rsidRPr="0043317B" w:rsidR="0043317B">
        <w:rPr>
          <w:lang w:val="fr-FR"/>
        </w:rPr>
        <w:t>’</w:t>
      </w:r>
      <w:r w:rsidRPr="0043317B">
        <w:rPr>
          <w:lang w:val="fr-FR"/>
        </w:rPr>
        <w:t>intérêt général, en mettant en vigueur les lois qu</w:t>
      </w:r>
      <w:r w:rsidRPr="0043317B" w:rsidR="0043317B">
        <w:rPr>
          <w:lang w:val="fr-FR"/>
        </w:rPr>
        <w:t>’</w:t>
      </w:r>
      <w:r w:rsidRPr="0043317B">
        <w:rPr>
          <w:lang w:val="fr-FR"/>
        </w:rPr>
        <w:t>ils estiment nécessaires à cette fin. Il ne s</w:t>
      </w:r>
      <w:r w:rsidRPr="0043317B" w:rsidR="0043317B">
        <w:rPr>
          <w:lang w:val="fr-FR"/>
        </w:rPr>
        <w:t>’</w:t>
      </w:r>
      <w:r w:rsidRPr="0043317B">
        <w:rPr>
          <w:lang w:val="fr-FR"/>
        </w:rPr>
        <w:t>agit pas pour autant de règles dépourvues de rapport entre elles. La deuxième et la troisième ont trait à des exemples particuliers d</w:t>
      </w:r>
      <w:r w:rsidRPr="0043317B" w:rsidR="0043317B">
        <w:rPr>
          <w:lang w:val="fr-FR"/>
        </w:rPr>
        <w:t>’</w:t>
      </w:r>
      <w:r w:rsidRPr="0043317B">
        <w:rPr>
          <w:lang w:val="fr-FR"/>
        </w:rPr>
        <w:t>atteintes au droit de propriété ; dès lors, elles doivent s</w:t>
      </w:r>
      <w:r w:rsidRPr="0043317B" w:rsidR="0043317B">
        <w:rPr>
          <w:lang w:val="fr-FR"/>
        </w:rPr>
        <w:t>’</w:t>
      </w:r>
      <w:r w:rsidRPr="0043317B">
        <w:rPr>
          <w:lang w:val="fr-FR"/>
        </w:rPr>
        <w:t xml:space="preserve">interpréter à la lumière du principe consacré par la première (voir, </w:t>
      </w:r>
      <w:bookmarkStart w:name="lt_pId833" w:id="5"/>
      <w:bookmarkEnd w:id="4"/>
      <w:r w:rsidRPr="0043317B">
        <w:rPr>
          <w:lang w:val="fr-FR"/>
        </w:rPr>
        <w:t>parmi beaucoup d</w:t>
      </w:r>
      <w:r w:rsidRPr="0043317B" w:rsidR="0043317B">
        <w:rPr>
          <w:lang w:val="fr-FR"/>
        </w:rPr>
        <w:t>’</w:t>
      </w:r>
      <w:r w:rsidRPr="0043317B">
        <w:rPr>
          <w:lang w:val="fr-FR"/>
        </w:rPr>
        <w:t xml:space="preserve">autres, </w:t>
      </w:r>
      <w:r w:rsidRPr="0043317B">
        <w:rPr>
          <w:i/>
          <w:lang w:val="fr-FR"/>
        </w:rPr>
        <w:t>James et autres c. Royaume-Uni</w:t>
      </w:r>
      <w:r w:rsidRPr="0043317B" w:rsidR="003C4A77">
        <w:rPr>
          <w:lang w:val="fr-FR"/>
        </w:rPr>
        <w:t>, 21 février 1986, § 37, série </w:t>
      </w:r>
      <w:r w:rsidRPr="0043317B">
        <w:rPr>
          <w:lang w:val="fr-FR"/>
        </w:rPr>
        <w:t>A n</w:t>
      </w:r>
      <w:r w:rsidRPr="0043317B">
        <w:rPr>
          <w:vertAlign w:val="superscript"/>
          <w:lang w:val="fr-FR"/>
        </w:rPr>
        <w:t>o</w:t>
      </w:r>
      <w:r w:rsidRPr="0043317B">
        <w:rPr>
          <w:lang w:val="fr-FR"/>
        </w:rPr>
        <w:t xml:space="preserve"> 98, et </w:t>
      </w:r>
      <w:r w:rsidRPr="0043317B">
        <w:rPr>
          <w:i/>
          <w:lang w:val="fr-FR"/>
        </w:rPr>
        <w:t xml:space="preserve">Sargsyan c. Azerbaïdjan </w:t>
      </w:r>
      <w:r w:rsidRPr="0043317B">
        <w:rPr>
          <w:lang w:val="fr-FR"/>
        </w:rPr>
        <w:t>[GC], n</w:t>
      </w:r>
      <w:r w:rsidRPr="0043317B">
        <w:rPr>
          <w:vertAlign w:val="superscript"/>
          <w:lang w:val="fr-FR"/>
        </w:rPr>
        <w:t>o</w:t>
      </w:r>
      <w:r w:rsidRPr="0043317B">
        <w:rPr>
          <w:lang w:val="fr-FR"/>
        </w:rPr>
        <w:t xml:space="preserve"> 40167/06, § 217, CEDH</w:t>
      </w:r>
      <w:r w:rsidRPr="0043317B" w:rsidR="003C4A77">
        <w:rPr>
          <w:lang w:val="fr-FR"/>
        </w:rPr>
        <w:t> </w:t>
      </w:r>
      <w:r w:rsidRPr="0043317B">
        <w:rPr>
          <w:lang w:val="fr-FR"/>
        </w:rPr>
        <w:t>2015).</w:t>
      </w:r>
      <w:bookmarkEnd w:id="5"/>
    </w:p>
    <w:bookmarkStart w:name="lt_pId835" w:id="6"/>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190</w:t>
      </w:r>
      <w:r w:rsidRPr="0043317B">
        <w:rPr>
          <w:lang w:val="fr-FR"/>
        </w:rPr>
        <w:fldChar w:fldCharType="end"/>
      </w:r>
      <w:r w:rsidRPr="0043317B">
        <w:rPr>
          <w:lang w:val="fr-FR"/>
        </w:rPr>
        <w:t>.  La Cour rappelle également que la notion de « bien » au sens de l</w:t>
      </w:r>
      <w:r w:rsidRPr="0043317B" w:rsidR="0043317B">
        <w:rPr>
          <w:lang w:val="fr-FR"/>
        </w:rPr>
        <w:t>’</w:t>
      </w:r>
      <w:r w:rsidRPr="0043317B">
        <w:rPr>
          <w:lang w:val="fr-FR"/>
        </w:rPr>
        <w:t>article</w:t>
      </w:r>
      <w:r w:rsidRPr="0043317B" w:rsidR="003C4A77">
        <w:rPr>
          <w:lang w:val="fr-FR"/>
        </w:rPr>
        <w:t> </w:t>
      </w:r>
      <w:r w:rsidRPr="0043317B">
        <w:rPr>
          <w:lang w:val="fr-FR"/>
        </w:rPr>
        <w:t>1 du Protocole n</w:t>
      </w:r>
      <w:r w:rsidRPr="0043317B">
        <w:rPr>
          <w:vertAlign w:val="superscript"/>
          <w:lang w:val="fr-FR"/>
        </w:rPr>
        <w:t>o</w:t>
      </w:r>
      <w:r w:rsidRPr="0043317B">
        <w:rPr>
          <w:lang w:val="fr-FR"/>
        </w:rPr>
        <w:t xml:space="preserve"> 1 a une portée autonome qui ne se limite pas à la propriété de biens corporels et qui est indépendante des qualifications formelles du droit interne : certains autres droits et intérêts constituant des actifs peuvent aussi passer pour des « droits de propriété » et donc des « biens » aux fins de cette disposition (</w:t>
      </w:r>
      <w:r w:rsidRPr="0043317B">
        <w:rPr>
          <w:i/>
          <w:lang w:val="fr-FR"/>
        </w:rPr>
        <w:t>Iatridis c. Grèce</w:t>
      </w:r>
      <w:r w:rsidRPr="0043317B">
        <w:rPr>
          <w:lang w:val="fr-FR"/>
        </w:rPr>
        <w:t xml:space="preserve"> [GC], n</w:t>
      </w:r>
      <w:r w:rsidRPr="0043317B">
        <w:rPr>
          <w:vertAlign w:val="superscript"/>
          <w:lang w:val="fr-FR"/>
        </w:rPr>
        <w:t>o</w:t>
      </w:r>
      <w:r w:rsidRPr="0043317B" w:rsidR="003C4A77">
        <w:rPr>
          <w:vertAlign w:val="superscript"/>
          <w:lang w:val="fr-FR"/>
        </w:rPr>
        <w:t> </w:t>
      </w:r>
      <w:r w:rsidRPr="0043317B">
        <w:rPr>
          <w:lang w:val="fr-FR"/>
        </w:rPr>
        <w:t>31107/96, §</w:t>
      </w:r>
      <w:r w:rsidRPr="0043317B" w:rsidR="003C4A77">
        <w:rPr>
          <w:lang w:val="fr-FR"/>
        </w:rPr>
        <w:t> </w:t>
      </w:r>
      <w:r w:rsidRPr="0043317B">
        <w:rPr>
          <w:lang w:val="fr-FR"/>
        </w:rPr>
        <w:t xml:space="preserve">54, CEDH 1999-II, et </w:t>
      </w:r>
      <w:r w:rsidRPr="0043317B">
        <w:rPr>
          <w:i/>
          <w:lang w:val="fr-FR"/>
        </w:rPr>
        <w:t>Beyeler c. Italie</w:t>
      </w:r>
      <w:r w:rsidRPr="0043317B">
        <w:rPr>
          <w:lang w:val="fr-FR"/>
        </w:rPr>
        <w:t xml:space="preserve"> [GC], n</w:t>
      </w:r>
      <w:r w:rsidRPr="0043317B">
        <w:rPr>
          <w:vertAlign w:val="superscript"/>
          <w:lang w:val="fr-FR"/>
        </w:rPr>
        <w:t>o</w:t>
      </w:r>
      <w:r w:rsidRPr="0043317B">
        <w:rPr>
          <w:lang w:val="fr-FR"/>
        </w:rPr>
        <w:t xml:space="preserve"> 33202/96, §</w:t>
      </w:r>
      <w:r w:rsidRPr="0043317B" w:rsidR="003C4A77">
        <w:rPr>
          <w:lang w:val="fr-FR"/>
        </w:rPr>
        <w:t> </w:t>
      </w:r>
      <w:r w:rsidRPr="0043317B">
        <w:rPr>
          <w:lang w:val="fr-FR"/>
        </w:rPr>
        <w:t xml:space="preserve">100, CEDH 2000-I, </w:t>
      </w:r>
      <w:r w:rsidRPr="0043317B">
        <w:rPr>
          <w:i/>
          <w:lang w:val="fr-FR"/>
        </w:rPr>
        <w:t xml:space="preserve">Parrillo c. Italie </w:t>
      </w:r>
      <w:r w:rsidRPr="0043317B">
        <w:rPr>
          <w:lang w:val="fr-FR"/>
        </w:rPr>
        <w:t>[GC], n</w:t>
      </w:r>
      <w:r w:rsidRPr="0043317B">
        <w:rPr>
          <w:vertAlign w:val="superscript"/>
          <w:lang w:val="fr-FR"/>
        </w:rPr>
        <w:t>o</w:t>
      </w:r>
      <w:r w:rsidRPr="0043317B">
        <w:rPr>
          <w:lang w:val="fr-FR"/>
        </w:rPr>
        <w:t> 46470/11, § 211, CEDH</w:t>
      </w:r>
      <w:r w:rsidRPr="0043317B" w:rsidR="003C4A77">
        <w:rPr>
          <w:lang w:val="fr-FR"/>
        </w:rPr>
        <w:t> </w:t>
      </w:r>
      <w:r w:rsidRPr="0043317B">
        <w:rPr>
          <w:lang w:val="fr-FR"/>
        </w:rPr>
        <w:t>2015).</w:t>
      </w:r>
    </w:p>
    <w:bookmarkStart w:name="lt_pId838" w:id="7"/>
    <w:bookmarkEnd w:id="6"/>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191</w:t>
      </w:r>
      <w:r w:rsidRPr="0043317B">
        <w:rPr>
          <w:lang w:val="fr-FR"/>
        </w:rPr>
        <w:fldChar w:fldCharType="end"/>
      </w:r>
      <w:r w:rsidRPr="0043317B">
        <w:rPr>
          <w:lang w:val="fr-FR"/>
        </w:rPr>
        <w:t>. </w:t>
      </w:r>
      <w:bookmarkEnd w:id="7"/>
      <w:r w:rsidRPr="0043317B">
        <w:rPr>
          <w:lang w:val="fr-FR"/>
        </w:rPr>
        <w:t xml:space="preserve"> La Cour réaffirme en outre que, bien</w:t>
      </w:r>
      <w:r w:rsidRPr="0043317B" w:rsidR="00AB33FF">
        <w:rPr>
          <w:lang w:val="fr-FR"/>
        </w:rPr>
        <w:t xml:space="preserve"> que l</w:t>
      </w:r>
      <w:r w:rsidRPr="0043317B" w:rsidR="0043317B">
        <w:rPr>
          <w:lang w:val="fr-FR"/>
        </w:rPr>
        <w:t>’</w:t>
      </w:r>
      <w:r w:rsidRPr="0043317B" w:rsidR="00AB33FF">
        <w:rPr>
          <w:lang w:val="fr-FR"/>
        </w:rPr>
        <w:t>article 1 du Protocole n</w:t>
      </w:r>
      <w:r w:rsidRPr="0043317B" w:rsidR="00E7737A">
        <w:rPr>
          <w:vertAlign w:val="superscript"/>
          <w:lang w:val="fr-FR"/>
        </w:rPr>
        <w:t>o</w:t>
      </w:r>
      <w:r w:rsidRPr="0043317B" w:rsidR="00AB33FF">
        <w:rPr>
          <w:lang w:val="fr-FR"/>
        </w:rPr>
        <w:t> </w:t>
      </w:r>
      <w:r w:rsidRPr="0043317B">
        <w:rPr>
          <w:lang w:val="fr-FR"/>
        </w:rPr>
        <w:t xml:space="preserve">1 ne vaille que pour </w:t>
      </w:r>
      <w:r w:rsidRPr="0043317B">
        <w:rPr>
          <w:iCs/>
          <w:lang w:val="fr-FR"/>
        </w:rPr>
        <w:t>des</w:t>
      </w:r>
      <w:r w:rsidRPr="0043317B">
        <w:rPr>
          <w:lang w:val="fr-FR"/>
        </w:rPr>
        <w:t xml:space="preserve"> « biens actuels » et ne crée aucun droit d</w:t>
      </w:r>
      <w:r w:rsidRPr="0043317B" w:rsidR="0043317B">
        <w:rPr>
          <w:lang w:val="fr-FR"/>
        </w:rPr>
        <w:t>’</w:t>
      </w:r>
      <w:r w:rsidRPr="0043317B">
        <w:rPr>
          <w:lang w:val="fr-FR"/>
        </w:rPr>
        <w:t>en acquérir (</w:t>
      </w:r>
      <w:r w:rsidRPr="0043317B">
        <w:rPr>
          <w:i/>
          <w:iCs/>
          <w:lang w:val="fr-FR"/>
        </w:rPr>
        <w:t>Stummer c. Autriche</w:t>
      </w:r>
      <w:r w:rsidRPr="0043317B">
        <w:rPr>
          <w:lang w:val="fr-FR"/>
        </w:rPr>
        <w:t xml:space="preserve"> [GC], n</w:t>
      </w:r>
      <w:r w:rsidRPr="0043317B">
        <w:rPr>
          <w:vertAlign w:val="superscript"/>
          <w:lang w:val="fr-FR"/>
        </w:rPr>
        <w:t>o</w:t>
      </w:r>
      <w:r w:rsidRPr="0043317B">
        <w:rPr>
          <w:lang w:val="fr-FR"/>
        </w:rPr>
        <w:t xml:space="preserve"> 37452/02, § 82, CEDH 2011), dans certaines circonstances </w:t>
      </w:r>
      <w:r w:rsidRPr="0043317B">
        <w:rPr>
          <w:iCs/>
          <w:lang w:val="fr-FR"/>
        </w:rPr>
        <w:t>des valeurs patrimoniales, y compris des créances, en vertu desquelles le requérant peut</w:t>
      </w:r>
      <w:r w:rsidRPr="0043317B" w:rsidR="003C4A77">
        <w:rPr>
          <w:iCs/>
          <w:lang w:val="fr-FR"/>
        </w:rPr>
        <w:t xml:space="preserve"> prétendre avoir au moins une « </w:t>
      </w:r>
      <w:r w:rsidRPr="0043317B">
        <w:rPr>
          <w:iCs/>
          <w:lang w:val="fr-FR"/>
        </w:rPr>
        <w:t>espérance légitime</w:t>
      </w:r>
      <w:r w:rsidRPr="0043317B" w:rsidR="003C4A77">
        <w:rPr>
          <w:iCs/>
          <w:lang w:val="fr-FR"/>
        </w:rPr>
        <w:t> </w:t>
      </w:r>
      <w:r w:rsidRPr="0043317B">
        <w:rPr>
          <w:iCs/>
          <w:lang w:val="fr-FR"/>
        </w:rPr>
        <w:t>» d</w:t>
      </w:r>
      <w:r w:rsidRPr="0043317B" w:rsidR="0043317B">
        <w:rPr>
          <w:iCs/>
          <w:lang w:val="fr-FR"/>
        </w:rPr>
        <w:t>’</w:t>
      </w:r>
      <w:r w:rsidRPr="0043317B">
        <w:rPr>
          <w:iCs/>
          <w:lang w:val="fr-FR"/>
        </w:rPr>
        <w:t>obtenir la jouissance effective d</w:t>
      </w:r>
      <w:r w:rsidRPr="0043317B" w:rsidR="0043317B">
        <w:rPr>
          <w:iCs/>
          <w:lang w:val="fr-FR"/>
        </w:rPr>
        <w:t>’</w:t>
      </w:r>
      <w:r w:rsidRPr="0043317B">
        <w:rPr>
          <w:iCs/>
          <w:lang w:val="fr-FR"/>
        </w:rPr>
        <w:t>un droit de propriété</w:t>
      </w:r>
      <w:r w:rsidRPr="0043317B">
        <w:rPr>
          <w:lang w:val="fr-FR"/>
        </w:rPr>
        <w:t xml:space="preserve">, </w:t>
      </w:r>
      <w:r w:rsidRPr="0043317B">
        <w:rPr>
          <w:iCs/>
          <w:lang w:val="fr-FR"/>
        </w:rPr>
        <w:t>peuvent</w:t>
      </w:r>
      <w:r w:rsidRPr="0043317B">
        <w:rPr>
          <w:lang w:val="fr-FR"/>
        </w:rPr>
        <w:t xml:space="preserve"> également bénéficier de la protection de cette disposition (voir, parmi beaucoup d</w:t>
      </w:r>
      <w:r w:rsidRPr="0043317B" w:rsidR="0043317B">
        <w:rPr>
          <w:lang w:val="fr-FR"/>
        </w:rPr>
        <w:t>’</w:t>
      </w:r>
      <w:r w:rsidRPr="0043317B">
        <w:rPr>
          <w:lang w:val="fr-FR"/>
        </w:rPr>
        <w:t xml:space="preserve">autres, </w:t>
      </w:r>
      <w:r w:rsidRPr="0043317B">
        <w:rPr>
          <w:i/>
          <w:iCs/>
          <w:lang w:val="fr-FR"/>
        </w:rPr>
        <w:t>Fabris c. France</w:t>
      </w:r>
      <w:r w:rsidRPr="0043317B">
        <w:rPr>
          <w:lang w:val="fr-FR"/>
        </w:rPr>
        <w:t xml:space="preserve"> [GC], n</w:t>
      </w:r>
      <w:r w:rsidRPr="0043317B">
        <w:rPr>
          <w:vertAlign w:val="superscript"/>
          <w:lang w:val="fr-FR"/>
        </w:rPr>
        <w:t>o</w:t>
      </w:r>
      <w:r w:rsidRPr="0043317B">
        <w:rPr>
          <w:lang w:val="fr-FR"/>
        </w:rPr>
        <w:t xml:space="preserve"> 16574/08, §</w:t>
      </w:r>
      <w:r w:rsidRPr="0043317B" w:rsidR="003C4A77">
        <w:rPr>
          <w:lang w:val="fr-FR"/>
        </w:rPr>
        <w:t> </w:t>
      </w:r>
      <w:r w:rsidRPr="0043317B">
        <w:rPr>
          <w:lang w:val="fr-FR"/>
        </w:rPr>
        <w:t>50, CEDH</w:t>
      </w:r>
      <w:r w:rsidRPr="0043317B" w:rsidR="003C4A77">
        <w:rPr>
          <w:lang w:val="fr-FR"/>
        </w:rPr>
        <w:t> </w:t>
      </w:r>
      <w:r w:rsidRPr="0043317B">
        <w:rPr>
          <w:lang w:val="fr-FR"/>
        </w:rPr>
        <w:t xml:space="preserve">2013 (extraits), et </w:t>
      </w:r>
      <w:r w:rsidRPr="0043317B">
        <w:rPr>
          <w:i/>
          <w:iCs/>
          <w:lang w:val="fr-FR"/>
        </w:rPr>
        <w:t>Radomilja et autres c. Croatie</w:t>
      </w:r>
      <w:r w:rsidRPr="0043317B">
        <w:rPr>
          <w:lang w:val="fr-FR"/>
        </w:rPr>
        <w:t xml:space="preserve"> [GC], n</w:t>
      </w:r>
      <w:r w:rsidRPr="0043317B">
        <w:rPr>
          <w:vertAlign w:val="superscript"/>
          <w:lang w:val="fr-FR"/>
        </w:rPr>
        <w:t>os</w:t>
      </w:r>
      <w:r w:rsidRPr="0043317B" w:rsidR="003C4A77">
        <w:rPr>
          <w:lang w:val="fr-FR"/>
        </w:rPr>
        <w:t> 37685/10 et </w:t>
      </w:r>
      <w:r w:rsidRPr="0043317B">
        <w:rPr>
          <w:lang w:val="fr-FR"/>
        </w:rPr>
        <w:t>22768/12, §§ 142-143, 20 mars 2018).</w:t>
      </w:r>
    </w:p>
    <w:bookmarkStart w:name="lt_pId841" w:id="8"/>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192</w:t>
      </w:r>
      <w:r w:rsidRPr="0043317B">
        <w:rPr>
          <w:lang w:val="fr-FR"/>
        </w:rPr>
        <w:fldChar w:fldCharType="end"/>
      </w:r>
      <w:r w:rsidRPr="0043317B">
        <w:rPr>
          <w:lang w:val="fr-FR"/>
        </w:rPr>
        <w:t>.  À ce sujet, elle redit qu</w:t>
      </w:r>
      <w:r w:rsidRPr="0043317B" w:rsidR="0043317B">
        <w:rPr>
          <w:lang w:val="fr-FR"/>
        </w:rPr>
        <w:t>’</w:t>
      </w:r>
      <w:r w:rsidRPr="0043317B">
        <w:rPr>
          <w:lang w:val="fr-FR"/>
        </w:rPr>
        <w:t>une espérance légitime doit être plus concrète qu</w:t>
      </w:r>
      <w:r w:rsidRPr="0043317B" w:rsidR="0043317B">
        <w:rPr>
          <w:lang w:val="fr-FR"/>
        </w:rPr>
        <w:t>’</w:t>
      </w:r>
      <w:r w:rsidRPr="0043317B">
        <w:rPr>
          <w:lang w:val="fr-FR"/>
        </w:rPr>
        <w:t>un simple espoir et se fonder sur une disposition juridique ou un acte juridique tel qu</w:t>
      </w:r>
      <w:r w:rsidRPr="0043317B" w:rsidR="0043317B">
        <w:rPr>
          <w:lang w:val="fr-FR"/>
        </w:rPr>
        <w:t>’</w:t>
      </w:r>
      <w:r w:rsidRPr="0043317B">
        <w:rPr>
          <w:lang w:val="fr-FR"/>
        </w:rPr>
        <w:t>une décision judiciaire.</w:t>
      </w:r>
      <w:bookmarkEnd w:id="8"/>
      <w:r w:rsidRPr="0043317B">
        <w:rPr>
          <w:lang w:val="fr-FR"/>
        </w:rPr>
        <w:t xml:space="preserve"> </w:t>
      </w:r>
      <w:bookmarkStart w:name="lt_pId842" w:id="9"/>
      <w:r w:rsidRPr="0043317B">
        <w:rPr>
          <w:lang w:val="fr-FR"/>
        </w:rPr>
        <w:t>L</w:t>
      </w:r>
      <w:r w:rsidRPr="0043317B" w:rsidR="0043317B">
        <w:rPr>
          <w:lang w:val="fr-FR"/>
        </w:rPr>
        <w:t>’</w:t>
      </w:r>
      <w:r w:rsidRPr="0043317B">
        <w:rPr>
          <w:lang w:val="fr-FR"/>
        </w:rPr>
        <w:t>espoir de voir renaître un droit patrimonial éteint depuis longtemps ne peut être considéré comme un « bien », pas plus qu</w:t>
      </w:r>
      <w:r w:rsidRPr="0043317B" w:rsidR="0043317B">
        <w:rPr>
          <w:lang w:val="fr-FR"/>
        </w:rPr>
        <w:t>’</w:t>
      </w:r>
      <w:r w:rsidRPr="0043317B">
        <w:rPr>
          <w:lang w:val="fr-FR"/>
        </w:rPr>
        <w:t>une créance conditionnelle devenue caduque par la non</w:t>
      </w:r>
      <w:r w:rsidRPr="0043317B">
        <w:rPr>
          <w:lang w:val="fr-FR"/>
        </w:rPr>
        <w:noBreakHyphen/>
        <w:t>réalisation d</w:t>
      </w:r>
      <w:r w:rsidRPr="0043317B" w:rsidR="0043317B">
        <w:rPr>
          <w:lang w:val="fr-FR"/>
        </w:rPr>
        <w:t>’</w:t>
      </w:r>
      <w:r w:rsidRPr="0043317B">
        <w:rPr>
          <w:lang w:val="fr-FR"/>
        </w:rPr>
        <w:t>une condition (</w:t>
      </w:r>
      <w:r w:rsidRPr="0043317B">
        <w:rPr>
          <w:i/>
          <w:lang w:val="fr-FR"/>
        </w:rPr>
        <w:t>Gratzinger et Gratzingerova</w:t>
      </w:r>
      <w:r w:rsidRPr="0043317B" w:rsidR="003C4A77">
        <w:rPr>
          <w:i/>
          <w:lang w:val="fr-FR"/>
        </w:rPr>
        <w:t xml:space="preserve"> c. </w:t>
      </w:r>
      <w:r w:rsidRPr="0043317B">
        <w:rPr>
          <w:i/>
          <w:lang w:val="fr-FR"/>
        </w:rPr>
        <w:t>République tchèque</w:t>
      </w:r>
      <w:r w:rsidRPr="0043317B">
        <w:rPr>
          <w:lang w:val="fr-FR"/>
        </w:rPr>
        <w:t xml:space="preserve"> (déc.) [GC], n</w:t>
      </w:r>
      <w:r w:rsidRPr="0043317B">
        <w:rPr>
          <w:vertAlign w:val="superscript"/>
          <w:lang w:val="fr-FR"/>
        </w:rPr>
        <w:t>o</w:t>
      </w:r>
      <w:r w:rsidRPr="0043317B">
        <w:rPr>
          <w:lang w:val="fr-FR"/>
        </w:rPr>
        <w:t xml:space="preserve"> 39794/98, §§ 69 et 73, CEDH 2002-VII).</w:t>
      </w:r>
      <w:bookmarkEnd w:id="9"/>
      <w:r w:rsidRPr="0043317B">
        <w:rPr>
          <w:lang w:val="fr-FR"/>
        </w:rPr>
        <w:t xml:space="preserve"> </w:t>
      </w:r>
      <w:bookmarkStart w:name="lt_pId843" w:id="10"/>
      <w:r w:rsidRPr="0043317B">
        <w:rPr>
          <w:lang w:val="fr-FR"/>
        </w:rPr>
        <w:t>De plus, on ne peut conclure à l</w:t>
      </w:r>
      <w:r w:rsidRPr="0043317B" w:rsidR="0043317B">
        <w:rPr>
          <w:lang w:val="fr-FR"/>
        </w:rPr>
        <w:t>’</w:t>
      </w:r>
      <w:r w:rsidRPr="0043317B">
        <w:rPr>
          <w:lang w:val="fr-FR"/>
        </w:rPr>
        <w:t>existence d</w:t>
      </w:r>
      <w:r w:rsidRPr="0043317B" w:rsidR="0043317B">
        <w:rPr>
          <w:lang w:val="fr-FR"/>
        </w:rPr>
        <w:t>’</w:t>
      </w:r>
      <w:r w:rsidRPr="0043317B">
        <w:rPr>
          <w:lang w:val="fr-FR"/>
        </w:rPr>
        <w:t>une « espérance légitime » lorsqu</w:t>
      </w:r>
      <w:r w:rsidRPr="0043317B" w:rsidR="0043317B">
        <w:rPr>
          <w:lang w:val="fr-FR"/>
        </w:rPr>
        <w:t>’</w:t>
      </w:r>
      <w:r w:rsidRPr="0043317B">
        <w:rPr>
          <w:lang w:val="fr-FR"/>
        </w:rPr>
        <w:t>il y a controverse sur la façon dont le droit interne doit être interprété et appliqué et que les arguments développés par le requérant à cet égard sont en définitive rejetés par les juridictions nationales (</w:t>
      </w:r>
      <w:r w:rsidRPr="0043317B">
        <w:rPr>
          <w:i/>
          <w:lang w:val="fr-FR"/>
        </w:rPr>
        <w:t xml:space="preserve">Kopecký c. Slovaquie </w:t>
      </w:r>
      <w:r w:rsidRPr="0043317B">
        <w:rPr>
          <w:lang w:val="fr-FR"/>
        </w:rPr>
        <w:t>[GC], n</w:t>
      </w:r>
      <w:r w:rsidRPr="0043317B">
        <w:rPr>
          <w:vertAlign w:val="superscript"/>
          <w:lang w:val="fr-FR"/>
        </w:rPr>
        <w:t>o</w:t>
      </w:r>
      <w:r w:rsidRPr="0043317B" w:rsidR="003C4A77">
        <w:rPr>
          <w:vertAlign w:val="superscript"/>
          <w:lang w:val="fr-FR"/>
        </w:rPr>
        <w:t> </w:t>
      </w:r>
      <w:r w:rsidRPr="0043317B">
        <w:rPr>
          <w:lang w:val="fr-FR"/>
        </w:rPr>
        <w:t>44912/98, § 50, CEDH 2004</w:t>
      </w:r>
      <w:r w:rsidRPr="0043317B">
        <w:rPr>
          <w:lang w:val="fr-FR"/>
        </w:rPr>
        <w:noBreakHyphen/>
        <w:t>IX</w:t>
      </w:r>
      <w:bookmarkStart w:name="lt_pId844" w:id="11"/>
      <w:bookmarkEnd w:id="10"/>
      <w:r w:rsidRPr="0043317B">
        <w:rPr>
          <w:lang w:val="fr-FR"/>
        </w:rPr>
        <w:t>).</w:t>
      </w:r>
      <w:bookmarkEnd w:id="11"/>
      <w:r w:rsidRPr="0043317B">
        <w:rPr>
          <w:lang w:val="fr-FR"/>
        </w:rPr>
        <w:t xml:space="preserve"> En revanche, un intérêt patrimonial</w:t>
      </w:r>
      <w:r w:rsidRPr="0043317B" w:rsidR="003C4A77">
        <w:rPr>
          <w:lang w:val="fr-FR"/>
        </w:rPr>
        <w:t xml:space="preserve"> reconnu par le droit interne – </w:t>
      </w:r>
      <w:r w:rsidRPr="0043317B">
        <w:rPr>
          <w:lang w:val="fr-FR"/>
        </w:rPr>
        <w:t>même s</w:t>
      </w:r>
      <w:r w:rsidRPr="0043317B" w:rsidR="0043317B">
        <w:rPr>
          <w:lang w:val="fr-FR"/>
        </w:rPr>
        <w:t>’</w:t>
      </w:r>
      <w:r w:rsidRPr="0043317B">
        <w:rPr>
          <w:lang w:val="fr-FR"/>
        </w:rPr>
        <w:t>il est révocable dans certaines circonstances</w:t>
      </w:r>
      <w:r w:rsidRPr="0043317B" w:rsidR="003C4A77">
        <w:rPr>
          <w:lang w:val="fr-FR"/>
        </w:rPr>
        <w:t> </w:t>
      </w:r>
      <w:r w:rsidRPr="0043317B">
        <w:rPr>
          <w:lang w:val="fr-FR"/>
        </w:rPr>
        <w:t>– peut s</w:t>
      </w:r>
      <w:r w:rsidRPr="0043317B" w:rsidR="0043317B">
        <w:rPr>
          <w:lang w:val="fr-FR"/>
        </w:rPr>
        <w:t>’</w:t>
      </w:r>
      <w:r w:rsidRPr="0043317B">
        <w:rPr>
          <w:lang w:val="fr-FR"/>
        </w:rPr>
        <w:t>analyser en un « bien » au sens de l</w:t>
      </w:r>
      <w:r w:rsidRPr="0043317B" w:rsidR="0043317B">
        <w:rPr>
          <w:lang w:val="fr-FR"/>
        </w:rPr>
        <w:t>’</w:t>
      </w:r>
      <w:r w:rsidRPr="0043317B">
        <w:rPr>
          <w:lang w:val="fr-FR"/>
        </w:rPr>
        <w:t>article 1 du Protocole</w:t>
      </w:r>
      <w:r w:rsidRPr="0043317B" w:rsidR="003C4A77">
        <w:rPr>
          <w:lang w:val="fr-FR"/>
        </w:rPr>
        <w:t> </w:t>
      </w:r>
      <w:r w:rsidRPr="0043317B">
        <w:rPr>
          <w:lang w:val="fr-FR"/>
        </w:rPr>
        <w:t>n</w:t>
      </w:r>
      <w:r w:rsidRPr="0043317B">
        <w:rPr>
          <w:vertAlign w:val="superscript"/>
          <w:lang w:val="fr-FR"/>
        </w:rPr>
        <w:t>o</w:t>
      </w:r>
      <w:r w:rsidRPr="0043317B" w:rsidR="003C4A77">
        <w:rPr>
          <w:vertAlign w:val="superscript"/>
          <w:lang w:val="fr-FR"/>
        </w:rPr>
        <w:t> </w:t>
      </w:r>
      <w:r w:rsidRPr="0043317B">
        <w:rPr>
          <w:lang w:val="fr-FR"/>
        </w:rPr>
        <w:t>1</w:t>
      </w:r>
      <w:bookmarkStart w:name="lt_pId845" w:id="12"/>
      <w:r w:rsidRPr="0043317B">
        <w:rPr>
          <w:lang w:val="fr-FR"/>
        </w:rPr>
        <w:t xml:space="preserve"> (</w:t>
      </w:r>
      <w:r w:rsidRPr="0043317B">
        <w:rPr>
          <w:i/>
          <w:lang w:val="fr-FR"/>
        </w:rPr>
        <w:t>Beyeler</w:t>
      </w:r>
      <w:r w:rsidRPr="0043317B">
        <w:rPr>
          <w:lang w:val="fr-FR"/>
        </w:rPr>
        <w:t>, précité, §</w:t>
      </w:r>
      <w:r w:rsidRPr="0043317B" w:rsidR="003C4A77">
        <w:rPr>
          <w:lang w:val="fr-FR"/>
        </w:rPr>
        <w:t> </w:t>
      </w:r>
      <w:r w:rsidRPr="0043317B">
        <w:rPr>
          <w:lang w:val="fr-FR"/>
        </w:rPr>
        <w:t>105).</w:t>
      </w:r>
      <w:bookmarkEnd w:id="12"/>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193</w:t>
      </w:r>
      <w:r w:rsidRPr="0043317B">
        <w:rPr>
          <w:lang w:val="fr-FR"/>
        </w:rPr>
        <w:fldChar w:fldCharType="end"/>
      </w:r>
      <w:r w:rsidRPr="0043317B">
        <w:rPr>
          <w:lang w:val="fr-FR"/>
        </w:rPr>
        <w:t>.  En l</w:t>
      </w:r>
      <w:r w:rsidRPr="0043317B" w:rsidR="0043317B">
        <w:rPr>
          <w:lang w:val="fr-FR"/>
        </w:rPr>
        <w:t>’</w:t>
      </w:r>
      <w:r w:rsidRPr="0043317B">
        <w:rPr>
          <w:lang w:val="fr-FR"/>
        </w:rPr>
        <w:t>espèce, pour ce qui est des requérantes Ayla Uzan</w:t>
      </w:r>
      <w:r w:rsidRPr="0043317B">
        <w:rPr>
          <w:lang w:val="fr-FR"/>
        </w:rPr>
        <w:noBreakHyphen/>
        <w:t>Ashaboğlu, Nimet</w:t>
      </w:r>
      <w:r w:rsidRPr="0043317B" w:rsidR="003C4A77">
        <w:rPr>
          <w:lang w:val="fr-FR"/>
        </w:rPr>
        <w:t> </w:t>
      </w:r>
      <w:r w:rsidRPr="0043317B">
        <w:rPr>
          <w:lang w:val="fr-FR"/>
        </w:rPr>
        <w:t>Hülya</w:t>
      </w:r>
      <w:r w:rsidRPr="0043317B" w:rsidR="003C4A77">
        <w:rPr>
          <w:lang w:val="fr-FR"/>
        </w:rPr>
        <w:t> </w:t>
      </w:r>
      <w:r w:rsidRPr="0043317B">
        <w:rPr>
          <w:lang w:val="fr-FR"/>
        </w:rPr>
        <w:t>Talu et Bilge Doğru, compte tenu des faits et décisions de justice exposés ci-dessus, la Cour considère, à la différence du Gouvernement, qui s</w:t>
      </w:r>
      <w:r w:rsidRPr="0043317B" w:rsidR="0043317B">
        <w:rPr>
          <w:lang w:val="fr-FR"/>
        </w:rPr>
        <w:t>’</w:t>
      </w:r>
      <w:r w:rsidRPr="0043317B">
        <w:rPr>
          <w:lang w:val="fr-FR"/>
        </w:rPr>
        <w:t>est exprimé sur ce point de manière générale sans rentrer dans les détails, que les salaires, les avoirs et les biens mobiliers et immobiliers sur lesquels les tribunaux internes ont ordonné des mesures conservatoires s</w:t>
      </w:r>
      <w:r w:rsidRPr="0043317B" w:rsidR="0043317B">
        <w:rPr>
          <w:lang w:val="fr-FR"/>
        </w:rPr>
        <w:t>’</w:t>
      </w:r>
      <w:r w:rsidRPr="0043317B">
        <w:rPr>
          <w:lang w:val="fr-FR"/>
        </w:rPr>
        <w:t>analysent en des « biens » au sens de l</w:t>
      </w:r>
      <w:r w:rsidRPr="0043317B" w:rsidR="0043317B">
        <w:rPr>
          <w:lang w:val="fr-FR"/>
        </w:rPr>
        <w:t>’</w:t>
      </w:r>
      <w:r w:rsidRPr="0043317B">
        <w:rPr>
          <w:lang w:val="fr-FR"/>
        </w:rPr>
        <w:t>article 1 du Protocole</w:t>
      </w:r>
      <w:r w:rsidRPr="0043317B" w:rsidR="003C4A77">
        <w:rPr>
          <w:lang w:val="fr-FR"/>
        </w:rPr>
        <w:t> </w:t>
      </w:r>
      <w:r w:rsidRPr="0043317B">
        <w:rPr>
          <w:lang w:val="fr-FR"/>
        </w:rPr>
        <w:t>n</w:t>
      </w:r>
      <w:r w:rsidRPr="0043317B">
        <w:rPr>
          <w:vertAlign w:val="superscript"/>
          <w:lang w:val="fr-FR"/>
        </w:rPr>
        <w:t>o</w:t>
      </w:r>
      <w:r w:rsidRPr="0043317B" w:rsidR="003C4A77">
        <w:rPr>
          <w:vertAlign w:val="superscript"/>
          <w:lang w:val="fr-FR"/>
        </w:rPr>
        <w:t> </w:t>
      </w:r>
      <w:r w:rsidRPr="0043317B">
        <w:rPr>
          <w:lang w:val="fr-FR"/>
        </w:rPr>
        <w:t>1 à la Convention.</w:t>
      </w:r>
    </w:p>
    <w:p w:rsidRPr="0043317B" w:rsidR="000A45C0" w:rsidP="0043317B" w:rsidRDefault="000A45C0">
      <w:pPr>
        <w:pStyle w:val="ECHRPara"/>
        <w:rPr>
          <w:lang w:val="fr-FR"/>
        </w:rPr>
      </w:pPr>
      <w:r w:rsidRPr="0043317B">
        <w:rPr>
          <w:lang w:val="fr-FR"/>
        </w:rPr>
        <w:t xml:space="preserve">Pour ce qui est des requérants Jasmin Paris Uzan et Renç Emre Uzan , </w:t>
      </w:r>
      <w:r w:rsidRPr="0043317B" w:rsidR="00AF2711">
        <w:rPr>
          <w:lang w:val="fr-FR"/>
        </w:rPr>
        <w:t>à</w:t>
      </w:r>
      <w:r w:rsidRPr="0043317B">
        <w:rPr>
          <w:lang w:val="fr-FR"/>
        </w:rPr>
        <w:t xml:space="preserve"> l</w:t>
      </w:r>
      <w:r w:rsidRPr="0043317B" w:rsidR="0043317B">
        <w:rPr>
          <w:lang w:val="fr-FR"/>
        </w:rPr>
        <w:t>’</w:t>
      </w:r>
      <w:r w:rsidRPr="0043317B">
        <w:rPr>
          <w:lang w:val="fr-FR"/>
        </w:rPr>
        <w:t>instar des juridictions internes et du Gouvernement, la Cour observe, d</w:t>
      </w:r>
      <w:r w:rsidRPr="0043317B" w:rsidR="0043317B">
        <w:rPr>
          <w:lang w:val="fr-FR"/>
        </w:rPr>
        <w:t>’</w:t>
      </w:r>
      <w:r w:rsidRPr="0043317B">
        <w:rPr>
          <w:lang w:val="fr-FR"/>
        </w:rPr>
        <w:t>une part, que ces deux requérants, qui étaient mineurs à l</w:t>
      </w:r>
      <w:r w:rsidRPr="0043317B" w:rsidR="0043317B">
        <w:rPr>
          <w:lang w:val="fr-FR"/>
        </w:rPr>
        <w:t>’</w:t>
      </w:r>
      <w:r w:rsidRPr="0043317B">
        <w:rPr>
          <w:lang w:val="fr-FR"/>
        </w:rPr>
        <w:t>époque des faits, n</w:t>
      </w:r>
      <w:r w:rsidRPr="0043317B" w:rsidR="0043317B">
        <w:rPr>
          <w:lang w:val="fr-FR"/>
        </w:rPr>
        <w:t>’</w:t>
      </w:r>
      <w:r w:rsidRPr="0043317B">
        <w:rPr>
          <w:lang w:val="fr-FR"/>
        </w:rPr>
        <w:t>avaient pas de biens actuels au sens de l</w:t>
      </w:r>
      <w:r w:rsidRPr="0043317B" w:rsidR="0043317B">
        <w:rPr>
          <w:lang w:val="fr-FR"/>
        </w:rPr>
        <w:t>’</w:t>
      </w:r>
      <w:r w:rsidRPr="0043317B">
        <w:rPr>
          <w:lang w:val="fr-FR"/>
        </w:rPr>
        <w:t>article 1 du Protocole 1 à la Convention et, d</w:t>
      </w:r>
      <w:r w:rsidRPr="0043317B" w:rsidR="0043317B">
        <w:rPr>
          <w:lang w:val="fr-FR"/>
        </w:rPr>
        <w:t>’</w:t>
      </w:r>
      <w:r w:rsidRPr="0043317B">
        <w:rPr>
          <w:lang w:val="fr-FR"/>
        </w:rPr>
        <w:t>autre part, qu</w:t>
      </w:r>
      <w:r w:rsidRPr="0043317B" w:rsidR="0043317B">
        <w:rPr>
          <w:lang w:val="fr-FR"/>
        </w:rPr>
        <w:t>’</w:t>
      </w:r>
      <w:r w:rsidRPr="0043317B">
        <w:rPr>
          <w:lang w:val="fr-FR"/>
        </w:rPr>
        <w:t>ils avaient l</w:t>
      </w:r>
      <w:r w:rsidRPr="0043317B" w:rsidR="0043317B">
        <w:rPr>
          <w:lang w:val="fr-FR"/>
        </w:rPr>
        <w:t>’</w:t>
      </w:r>
      <w:r w:rsidRPr="0043317B">
        <w:rPr>
          <w:lang w:val="fr-FR"/>
        </w:rPr>
        <w:t>espérance légitime d</w:t>
      </w:r>
      <w:r w:rsidRPr="0043317B" w:rsidR="0043317B">
        <w:rPr>
          <w:lang w:val="fr-FR"/>
        </w:rPr>
        <w:t>’</w:t>
      </w:r>
      <w:r w:rsidRPr="0043317B">
        <w:rPr>
          <w:lang w:val="fr-FR"/>
        </w:rPr>
        <w:t>en avoir pour le reste de leur vie. Eu égard au constat des juridictions internes selon lequel ils jouissaient de l</w:t>
      </w:r>
      <w:r w:rsidRPr="0043317B" w:rsidR="0043317B">
        <w:rPr>
          <w:lang w:val="fr-FR"/>
        </w:rPr>
        <w:t>’</w:t>
      </w:r>
      <w:r w:rsidRPr="0043317B">
        <w:rPr>
          <w:lang w:val="fr-FR"/>
        </w:rPr>
        <w:t>aptitude à avoir des droits et des obligations et qu</w:t>
      </w:r>
      <w:r w:rsidRPr="0043317B" w:rsidR="0043317B">
        <w:rPr>
          <w:lang w:val="fr-FR"/>
        </w:rPr>
        <w:t>’</w:t>
      </w:r>
      <w:r w:rsidRPr="0043317B">
        <w:rPr>
          <w:lang w:val="fr-FR"/>
        </w:rPr>
        <w:t>ils pourraient acquérir certains droits par le biais de l</w:t>
      </w:r>
      <w:r w:rsidRPr="0043317B" w:rsidR="0043317B">
        <w:rPr>
          <w:lang w:val="fr-FR"/>
        </w:rPr>
        <w:t>’</w:t>
      </w:r>
      <w:r w:rsidRPr="0043317B">
        <w:rPr>
          <w:lang w:val="fr-FR"/>
        </w:rPr>
        <w:t xml:space="preserve">héritage et des donations (paragraphe 33 ci-dessus), repris par le Gouvernement </w:t>
      </w:r>
      <w:r w:rsidRPr="0043317B" w:rsidR="003C4A77">
        <w:rPr>
          <w:lang w:val="fr-FR"/>
        </w:rPr>
        <w:t>(paragraphe </w:t>
      </w:r>
      <w:r w:rsidRPr="0043317B">
        <w:rPr>
          <w:lang w:val="fr-FR"/>
        </w:rPr>
        <w:t>185 ci-dessus), et eu égard au caractère automatique, généralisé et inflexible des mesures conservatoires et à leur durée incertaine, la Cour conclut que, bien que mineurs, les requérants susmentionnés pouvaient nourrir une « espérance légitime » relevant de la notion de « bien » au sens de l</w:t>
      </w:r>
      <w:r w:rsidRPr="0043317B" w:rsidR="0043317B">
        <w:rPr>
          <w:lang w:val="fr-FR"/>
        </w:rPr>
        <w:t>’</w:t>
      </w:r>
      <w:r w:rsidRPr="0043317B">
        <w:rPr>
          <w:lang w:val="fr-FR"/>
        </w:rPr>
        <w:t>article 1 du Protocole</w:t>
      </w:r>
      <w:r w:rsidRPr="0043317B" w:rsidR="003C4A77">
        <w:rPr>
          <w:lang w:val="fr-FR"/>
        </w:rPr>
        <w:t> </w:t>
      </w:r>
      <w:r w:rsidRPr="0043317B">
        <w:rPr>
          <w:lang w:val="fr-FR"/>
        </w:rPr>
        <w:t>n</w:t>
      </w:r>
      <w:r w:rsidRPr="0043317B">
        <w:rPr>
          <w:vertAlign w:val="superscript"/>
          <w:lang w:val="fr-FR"/>
        </w:rPr>
        <w:t>o</w:t>
      </w:r>
      <w:r w:rsidRPr="0043317B" w:rsidR="003C4A77">
        <w:rPr>
          <w:vertAlign w:val="superscript"/>
          <w:lang w:val="fr-FR"/>
        </w:rPr>
        <w:t> </w:t>
      </w:r>
      <w:r w:rsidRPr="0043317B">
        <w:rPr>
          <w:lang w:val="fr-FR"/>
        </w:rPr>
        <w:t>1.</w:t>
      </w:r>
    </w:p>
    <w:p w:rsidRPr="0043317B" w:rsidR="00E7737A"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194</w:t>
      </w:r>
      <w:r w:rsidRPr="0043317B">
        <w:rPr>
          <w:lang w:val="fr-FR"/>
        </w:rPr>
        <w:fldChar w:fldCharType="end"/>
      </w:r>
      <w:r w:rsidRPr="0043317B">
        <w:rPr>
          <w:lang w:val="fr-FR"/>
        </w:rPr>
        <w:t>.  En deuxième lieu, en ce qui concerne la nature de l</w:t>
      </w:r>
      <w:r w:rsidRPr="0043317B" w:rsidR="0043317B">
        <w:rPr>
          <w:lang w:val="fr-FR"/>
        </w:rPr>
        <w:t>’</w:t>
      </w:r>
      <w:r w:rsidRPr="0043317B">
        <w:rPr>
          <w:lang w:val="fr-FR"/>
        </w:rPr>
        <w:t>ingérence, la Cour rappelle que la rétention des biens saisis par les autorités judiciaires dans le cadre d</w:t>
      </w:r>
      <w:r w:rsidRPr="0043317B" w:rsidR="0043317B">
        <w:rPr>
          <w:lang w:val="fr-FR"/>
        </w:rPr>
        <w:t>’</w:t>
      </w:r>
      <w:r w:rsidRPr="0043317B">
        <w:rPr>
          <w:lang w:val="fr-FR"/>
        </w:rPr>
        <w:t>une procédure pénale doit être examinée sous l</w:t>
      </w:r>
      <w:r w:rsidRPr="0043317B" w:rsidR="0043317B">
        <w:rPr>
          <w:lang w:val="fr-FR"/>
        </w:rPr>
        <w:t>’</w:t>
      </w:r>
      <w:r w:rsidRPr="0043317B">
        <w:rPr>
          <w:lang w:val="fr-FR"/>
        </w:rPr>
        <w:t>angle du droit pour l</w:t>
      </w:r>
      <w:r w:rsidRPr="0043317B" w:rsidR="0043317B">
        <w:rPr>
          <w:lang w:val="fr-FR"/>
        </w:rPr>
        <w:t>’</w:t>
      </w:r>
      <w:r w:rsidRPr="0043317B">
        <w:rPr>
          <w:lang w:val="fr-FR"/>
        </w:rPr>
        <w:t>État de réglementer l</w:t>
      </w:r>
      <w:r w:rsidRPr="0043317B" w:rsidR="0043317B">
        <w:rPr>
          <w:lang w:val="fr-FR"/>
        </w:rPr>
        <w:t>’</w:t>
      </w:r>
      <w:r w:rsidRPr="0043317B">
        <w:rPr>
          <w:lang w:val="fr-FR"/>
        </w:rPr>
        <w:t>usage des biens conformément à l</w:t>
      </w:r>
      <w:r w:rsidRPr="0043317B" w:rsidR="0043317B">
        <w:rPr>
          <w:lang w:val="fr-FR"/>
        </w:rPr>
        <w:t>’</w:t>
      </w:r>
      <w:r w:rsidRPr="0043317B">
        <w:rPr>
          <w:lang w:val="fr-FR"/>
        </w:rPr>
        <w:t xml:space="preserve">intérêt général, au sens du second </w:t>
      </w:r>
      <w:r w:rsidRPr="0043317B" w:rsidR="002A7BF0">
        <w:rPr>
          <w:lang w:val="fr-FR"/>
        </w:rPr>
        <w:t>alinéa</w:t>
      </w:r>
      <w:r w:rsidRPr="0043317B">
        <w:rPr>
          <w:lang w:val="fr-FR"/>
        </w:rPr>
        <w:t xml:space="preserve"> de l</w:t>
      </w:r>
      <w:r w:rsidRPr="0043317B" w:rsidR="0043317B">
        <w:rPr>
          <w:lang w:val="fr-FR"/>
        </w:rPr>
        <w:t>’</w:t>
      </w:r>
      <w:r w:rsidRPr="0043317B">
        <w:rPr>
          <w:lang w:val="fr-FR"/>
        </w:rPr>
        <w:t>article 1 du Protocole</w:t>
      </w:r>
      <w:r w:rsidRPr="0043317B" w:rsidR="003C4A77">
        <w:rPr>
          <w:lang w:val="fr-FR"/>
        </w:rPr>
        <w:t> </w:t>
      </w:r>
      <w:r w:rsidRPr="0043317B">
        <w:rPr>
          <w:lang w:val="fr-FR"/>
        </w:rPr>
        <w:t>n</w:t>
      </w:r>
      <w:r w:rsidRPr="0043317B">
        <w:rPr>
          <w:vertAlign w:val="superscript"/>
          <w:lang w:val="fr-FR"/>
        </w:rPr>
        <w:t>o</w:t>
      </w:r>
      <w:r w:rsidRPr="0043317B" w:rsidR="003C4A77">
        <w:rPr>
          <w:vertAlign w:val="superscript"/>
          <w:lang w:val="fr-FR"/>
        </w:rPr>
        <w:t> </w:t>
      </w:r>
      <w:r w:rsidRPr="0043317B">
        <w:rPr>
          <w:lang w:val="fr-FR"/>
        </w:rPr>
        <w:t>1 (</w:t>
      </w:r>
      <w:r w:rsidRPr="0043317B" w:rsidR="00341AB5">
        <w:rPr>
          <w:i/>
          <w:lang w:val="fr-FR"/>
        </w:rPr>
        <w:t>Smirnov c. </w:t>
      </w:r>
      <w:r w:rsidRPr="0043317B">
        <w:rPr>
          <w:i/>
          <w:lang w:val="fr-FR"/>
        </w:rPr>
        <w:t>Russie</w:t>
      </w:r>
      <w:r w:rsidRPr="0043317B">
        <w:rPr>
          <w:lang w:val="fr-FR"/>
        </w:rPr>
        <w:t>, n</w:t>
      </w:r>
      <w:r w:rsidRPr="0043317B">
        <w:rPr>
          <w:vertAlign w:val="superscript"/>
          <w:lang w:val="fr-FR"/>
        </w:rPr>
        <w:t>o</w:t>
      </w:r>
      <w:r w:rsidRPr="0043317B" w:rsidR="00341AB5">
        <w:rPr>
          <w:lang w:val="fr-FR"/>
        </w:rPr>
        <w:t xml:space="preserve"> </w:t>
      </w:r>
      <w:r w:rsidRPr="0043317B">
        <w:rPr>
          <w:lang w:val="fr-FR"/>
        </w:rPr>
        <w:t>71362/01, § 54, CEDH 2007</w:t>
      </w:r>
      <w:r w:rsidRPr="0043317B">
        <w:rPr>
          <w:lang w:val="fr-FR"/>
        </w:rPr>
        <w:noBreakHyphen/>
        <w:t xml:space="preserve">VII, </w:t>
      </w:r>
      <w:r w:rsidRPr="0043317B" w:rsidR="00341AB5">
        <w:rPr>
          <w:i/>
          <w:lang w:val="fr-FR"/>
        </w:rPr>
        <w:t>Borjonov c. Russie</w:t>
      </w:r>
      <w:r w:rsidRPr="0043317B" w:rsidR="00341AB5">
        <w:rPr>
          <w:lang w:val="fr-FR"/>
        </w:rPr>
        <w:t>, n</w:t>
      </w:r>
      <w:r w:rsidRPr="0043317B" w:rsidR="00341AB5">
        <w:rPr>
          <w:vertAlign w:val="superscript"/>
          <w:lang w:val="fr-FR"/>
        </w:rPr>
        <w:t>o</w:t>
      </w:r>
      <w:r w:rsidRPr="0043317B" w:rsidR="00341AB5">
        <w:rPr>
          <w:lang w:val="fr-FR"/>
        </w:rPr>
        <w:t xml:space="preserve"> 18274/04, § 57, 22 janvier 2009, et </w:t>
      </w:r>
      <w:r w:rsidRPr="0043317B" w:rsidR="00341AB5">
        <w:rPr>
          <w:i/>
          <w:lang w:val="fr-FR"/>
        </w:rPr>
        <w:t xml:space="preserve">Adamczyk c. </w:t>
      </w:r>
      <w:r w:rsidRPr="0043317B">
        <w:rPr>
          <w:i/>
          <w:lang w:val="fr-FR"/>
        </w:rPr>
        <w:t xml:space="preserve">Pologne </w:t>
      </w:r>
      <w:r w:rsidRPr="0043317B">
        <w:rPr>
          <w:lang w:val="fr-FR"/>
        </w:rPr>
        <w:t>(déc.), n</w:t>
      </w:r>
      <w:r w:rsidRPr="0043317B">
        <w:rPr>
          <w:vertAlign w:val="superscript"/>
          <w:lang w:val="fr-FR"/>
        </w:rPr>
        <w:t>o</w:t>
      </w:r>
      <w:r w:rsidRPr="0043317B" w:rsidR="00341AB5">
        <w:rPr>
          <w:lang w:val="fr-FR"/>
        </w:rPr>
        <w:t> 28551/04, 7 novembre 2006</w:t>
      </w:r>
      <w:r w:rsidRPr="0043317B">
        <w:rPr>
          <w:lang w:val="fr-FR"/>
        </w:rPr>
        <w:t>). Elle constate qu</w:t>
      </w:r>
      <w:r w:rsidRPr="0043317B" w:rsidR="0043317B">
        <w:rPr>
          <w:lang w:val="fr-FR"/>
        </w:rPr>
        <w:t>’</w:t>
      </w:r>
      <w:r w:rsidRPr="0043317B">
        <w:rPr>
          <w:lang w:val="fr-FR"/>
        </w:rPr>
        <w:t>en l</w:t>
      </w:r>
      <w:r w:rsidRPr="0043317B" w:rsidR="0043317B">
        <w:rPr>
          <w:lang w:val="fr-FR"/>
        </w:rPr>
        <w:t>’</w:t>
      </w:r>
      <w:r w:rsidRPr="0043317B">
        <w:rPr>
          <w:lang w:val="fr-FR"/>
        </w:rPr>
        <w:t>espèce les mesures conservatoires prises contre les requérants avaient en principe pour but non pas de priver ces derniers de leurs biens, mais seulement de les empêcher temporairement d</w:t>
      </w:r>
      <w:r w:rsidRPr="0043317B" w:rsidR="0043317B">
        <w:rPr>
          <w:lang w:val="fr-FR"/>
        </w:rPr>
        <w:t>’</w:t>
      </w:r>
      <w:r w:rsidRPr="0043317B">
        <w:rPr>
          <w:lang w:val="fr-FR"/>
        </w:rPr>
        <w:t>en user, dans l</w:t>
      </w:r>
      <w:r w:rsidRPr="0043317B" w:rsidR="0043317B">
        <w:rPr>
          <w:lang w:val="fr-FR"/>
        </w:rPr>
        <w:t>’</w:t>
      </w:r>
      <w:r w:rsidRPr="0043317B">
        <w:rPr>
          <w:lang w:val="fr-FR"/>
        </w:rPr>
        <w:t>attente de l</w:t>
      </w:r>
      <w:r w:rsidRPr="0043317B" w:rsidR="0043317B">
        <w:rPr>
          <w:lang w:val="fr-FR"/>
        </w:rPr>
        <w:t>’</w:t>
      </w:r>
      <w:r w:rsidRPr="0043317B">
        <w:rPr>
          <w:lang w:val="fr-FR"/>
        </w:rPr>
        <w:t>issue de la procédure pénale ainsi que du recouvrement des sommes réclamées par le FADE.</w:t>
      </w:r>
    </w:p>
    <w:p w:rsidRPr="0043317B" w:rsidR="000A45C0" w:rsidP="0043317B" w:rsidRDefault="000A45C0">
      <w:pPr>
        <w:pStyle w:val="ECHRPara"/>
        <w:rPr>
          <w:i/>
          <w:lang w:val="fr-FR"/>
        </w:rPr>
      </w:pPr>
      <w:r w:rsidRPr="0043317B">
        <w:rPr>
          <w:lang w:val="fr-FR"/>
        </w:rPr>
        <w:t>La Cour note également que selon M</w:t>
      </w:r>
      <w:r w:rsidRPr="0043317B">
        <w:rPr>
          <w:vertAlign w:val="superscript"/>
          <w:lang w:val="fr-FR"/>
        </w:rPr>
        <w:t>me</w:t>
      </w:r>
      <w:r w:rsidRPr="0043317B">
        <w:rPr>
          <w:lang w:val="fr-FR"/>
        </w:rPr>
        <w:t xml:space="preserve"> Ayla Uzan les autorités compétentes auraient mis en vente aux enchères ses biens, mais estime qu</w:t>
      </w:r>
      <w:r w:rsidRPr="0043317B" w:rsidR="0043317B">
        <w:rPr>
          <w:lang w:val="fr-FR"/>
        </w:rPr>
        <w:t>’</w:t>
      </w:r>
      <w:r w:rsidRPr="0043317B">
        <w:rPr>
          <w:lang w:val="fr-FR"/>
        </w:rPr>
        <w:t>une éventuelle privation de propriété dans ce contexte ne change à rien à la nature</w:t>
      </w:r>
      <w:r w:rsidRPr="0043317B" w:rsidR="00E7737A">
        <w:rPr>
          <w:lang w:val="fr-FR"/>
        </w:rPr>
        <w:t xml:space="preserve"> </w:t>
      </w:r>
      <w:r w:rsidRPr="0043317B">
        <w:rPr>
          <w:lang w:val="fr-FR"/>
        </w:rPr>
        <w:t>de l</w:t>
      </w:r>
      <w:r w:rsidRPr="0043317B" w:rsidR="0043317B">
        <w:rPr>
          <w:lang w:val="fr-FR"/>
        </w:rPr>
        <w:t>’</w:t>
      </w:r>
      <w:r w:rsidRPr="0043317B">
        <w:rPr>
          <w:lang w:val="fr-FR"/>
        </w:rPr>
        <w:t>ingérence qui doit toujours être examinée sous l</w:t>
      </w:r>
      <w:r w:rsidRPr="0043317B" w:rsidR="0043317B">
        <w:rPr>
          <w:lang w:val="fr-FR"/>
        </w:rPr>
        <w:t>’</w:t>
      </w:r>
      <w:r w:rsidRPr="0043317B">
        <w:rPr>
          <w:lang w:val="fr-FR"/>
        </w:rPr>
        <w:t>angle du droit pour l</w:t>
      </w:r>
      <w:r w:rsidRPr="0043317B" w:rsidR="0043317B">
        <w:rPr>
          <w:lang w:val="fr-FR"/>
        </w:rPr>
        <w:t>’</w:t>
      </w:r>
      <w:r w:rsidRPr="0043317B">
        <w:rPr>
          <w:lang w:val="fr-FR"/>
        </w:rPr>
        <w:t>État de réglementer l</w:t>
      </w:r>
      <w:r w:rsidRPr="0043317B" w:rsidR="0043317B">
        <w:rPr>
          <w:lang w:val="fr-FR"/>
        </w:rPr>
        <w:t>’</w:t>
      </w:r>
      <w:r w:rsidRPr="0043317B">
        <w:rPr>
          <w:lang w:val="fr-FR"/>
        </w:rPr>
        <w:t>usage des biens conformément à l</w:t>
      </w:r>
      <w:r w:rsidRPr="0043317B" w:rsidR="0043317B">
        <w:rPr>
          <w:lang w:val="fr-FR"/>
        </w:rPr>
        <w:t>’</w:t>
      </w:r>
      <w:r w:rsidRPr="0043317B">
        <w:rPr>
          <w:lang w:val="fr-FR"/>
        </w:rPr>
        <w:t>intérêt général, au sens du second paragraphe de l</w:t>
      </w:r>
      <w:r w:rsidRPr="0043317B" w:rsidR="0043317B">
        <w:rPr>
          <w:lang w:val="fr-FR"/>
        </w:rPr>
        <w:t>’</w:t>
      </w:r>
      <w:r w:rsidRPr="0043317B">
        <w:rPr>
          <w:lang w:val="fr-FR"/>
        </w:rPr>
        <w:t>article 1 du Protocole n</w:t>
      </w:r>
      <w:r w:rsidRPr="0043317B">
        <w:rPr>
          <w:vertAlign w:val="superscript"/>
          <w:lang w:val="fr-FR"/>
        </w:rPr>
        <w:t>o</w:t>
      </w:r>
      <w:r w:rsidRPr="0043317B">
        <w:rPr>
          <w:lang w:val="fr-FR"/>
        </w:rPr>
        <w:t xml:space="preserve"> 1 (</w:t>
      </w:r>
      <w:r w:rsidRPr="0043317B">
        <w:rPr>
          <w:i/>
          <w:lang w:val="fr-FR"/>
        </w:rPr>
        <w:t>Frizen c. Russie</w:t>
      </w:r>
      <w:r w:rsidRPr="0043317B">
        <w:rPr>
          <w:lang w:val="fr-FR"/>
        </w:rPr>
        <w:t>, n</w:t>
      </w:r>
      <w:r w:rsidRPr="0043317B">
        <w:rPr>
          <w:vertAlign w:val="superscript"/>
          <w:lang w:val="fr-FR"/>
        </w:rPr>
        <w:t>o</w:t>
      </w:r>
      <w:r w:rsidRPr="0043317B">
        <w:rPr>
          <w:lang w:val="fr-FR"/>
        </w:rPr>
        <w:t xml:space="preserve"> 58254/00, § 31, 24  mars 2005, </w:t>
      </w:r>
      <w:r w:rsidRPr="0043317B">
        <w:rPr>
          <w:i/>
          <w:lang w:val="fr-FR"/>
        </w:rPr>
        <w:t>Sud Fondi S.r.l. et autres c. Italie</w:t>
      </w:r>
      <w:r w:rsidRPr="0043317B">
        <w:rPr>
          <w:lang w:val="fr-FR"/>
        </w:rPr>
        <w:t>, n</w:t>
      </w:r>
      <w:r w:rsidRPr="0043317B">
        <w:rPr>
          <w:vertAlign w:val="superscript"/>
          <w:lang w:val="fr-FR"/>
        </w:rPr>
        <w:t>o</w:t>
      </w:r>
      <w:r w:rsidRPr="0043317B">
        <w:rPr>
          <w:lang w:val="fr-FR"/>
        </w:rPr>
        <w:t xml:space="preserve"> 75909/01, § 129, 20 janvier 2009, et </w:t>
      </w:r>
      <w:r w:rsidRPr="0043317B">
        <w:rPr>
          <w:i/>
          <w:iCs/>
          <w:lang w:val="fr-FR"/>
        </w:rPr>
        <w:t xml:space="preserve">G.I.E.M. S.R.L. et autres c. Italie </w:t>
      </w:r>
      <w:r w:rsidRPr="0043317B">
        <w:rPr>
          <w:iCs/>
          <w:lang w:val="fr-FR"/>
        </w:rPr>
        <w:t>(fond)</w:t>
      </w:r>
      <w:r w:rsidRPr="0043317B">
        <w:rPr>
          <w:lang w:val="fr-FR"/>
        </w:rPr>
        <w:t xml:space="preserve"> [GC]</w:t>
      </w:r>
      <w:r w:rsidRPr="0043317B">
        <w:rPr>
          <w:iCs/>
          <w:lang w:val="fr-FR"/>
        </w:rPr>
        <w:t>,</w:t>
      </w:r>
      <w:r w:rsidRPr="0043317B">
        <w:rPr>
          <w:lang w:val="fr-FR"/>
        </w:rPr>
        <w:t xml:space="preserve"> n</w:t>
      </w:r>
      <w:r w:rsidRPr="0043317B">
        <w:rPr>
          <w:vertAlign w:val="superscript"/>
          <w:lang w:val="fr-FR"/>
        </w:rPr>
        <w:t>os</w:t>
      </w:r>
      <w:r w:rsidRPr="0043317B">
        <w:rPr>
          <w:lang w:val="fr-FR"/>
        </w:rPr>
        <w:t> 1828/06 et 2 autres, § 290, 28 juin 2018).</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195</w:t>
      </w:r>
      <w:r w:rsidRPr="0043317B">
        <w:rPr>
          <w:lang w:val="fr-FR"/>
        </w:rPr>
        <w:fldChar w:fldCharType="end"/>
      </w:r>
      <w:r w:rsidRPr="0043317B">
        <w:rPr>
          <w:lang w:val="fr-FR"/>
        </w:rPr>
        <w:t>.  La Cour doit à présent rechercher si l</w:t>
      </w:r>
      <w:r w:rsidRPr="0043317B" w:rsidR="0043317B">
        <w:rPr>
          <w:lang w:val="fr-FR"/>
        </w:rPr>
        <w:t>’</w:t>
      </w:r>
      <w:r w:rsidRPr="0043317B">
        <w:rPr>
          <w:lang w:val="fr-FR"/>
        </w:rPr>
        <w:t>ingérence se justifie sous l</w:t>
      </w:r>
      <w:r w:rsidRPr="0043317B" w:rsidR="0043317B">
        <w:rPr>
          <w:lang w:val="fr-FR"/>
        </w:rPr>
        <w:t>’</w:t>
      </w:r>
      <w:r w:rsidRPr="0043317B">
        <w:rPr>
          <w:lang w:val="fr-FR"/>
        </w:rPr>
        <w:t>angle de l</w:t>
      </w:r>
      <w:r w:rsidRPr="0043317B" w:rsidR="0043317B">
        <w:rPr>
          <w:lang w:val="fr-FR"/>
        </w:rPr>
        <w:t>’</w:t>
      </w:r>
      <w:r w:rsidRPr="0043317B">
        <w:rPr>
          <w:lang w:val="fr-FR"/>
        </w:rPr>
        <w:t>article 1 du Protocole n</w:t>
      </w:r>
      <w:r w:rsidRPr="0043317B">
        <w:rPr>
          <w:vertAlign w:val="superscript"/>
          <w:lang w:val="fr-FR"/>
        </w:rPr>
        <w:t>o</w:t>
      </w:r>
      <w:r w:rsidRPr="0043317B">
        <w:rPr>
          <w:lang w:val="fr-FR"/>
        </w:rPr>
        <w:t xml:space="preserve"> 1 à la Convention. À cet égard, il convient de redire que, pour être compatible avec cette disposition, une ingérence doit remplir trois conditions : elle doit « mettre en vigueur les lois qu</w:t>
      </w:r>
      <w:r w:rsidRPr="0043317B" w:rsidR="0043317B">
        <w:rPr>
          <w:lang w:val="fr-FR"/>
        </w:rPr>
        <w:t>’</w:t>
      </w:r>
      <w:r w:rsidRPr="0043317B">
        <w:rPr>
          <w:lang w:val="fr-FR"/>
        </w:rPr>
        <w:t>ils jugent nécessaires pour réglementer l</w:t>
      </w:r>
      <w:r w:rsidRPr="0043317B" w:rsidR="0043317B">
        <w:rPr>
          <w:lang w:val="fr-FR"/>
        </w:rPr>
        <w:t>’</w:t>
      </w:r>
      <w:r w:rsidRPr="0043317B">
        <w:rPr>
          <w:lang w:val="fr-FR"/>
        </w:rPr>
        <w:t>usage des biens</w:t>
      </w:r>
      <w:r w:rsidRPr="0043317B" w:rsidR="003C4A77">
        <w:rPr>
          <w:lang w:val="fr-FR"/>
        </w:rPr>
        <w:t> </w:t>
      </w:r>
      <w:r w:rsidRPr="0043317B">
        <w:rPr>
          <w:lang w:val="fr-FR"/>
        </w:rPr>
        <w:t>», être conforme « à l</w:t>
      </w:r>
      <w:r w:rsidRPr="0043317B" w:rsidR="0043317B">
        <w:rPr>
          <w:lang w:val="fr-FR"/>
        </w:rPr>
        <w:t>’</w:t>
      </w:r>
      <w:r w:rsidRPr="0043317B">
        <w:rPr>
          <w:lang w:val="fr-FR"/>
        </w:rPr>
        <w:t>intérêt général » et respecter un juste équilibre entre les droits du propriétaire et les intérêts de la communauté.</w:t>
      </w:r>
    </w:p>
    <w:p w:rsidRPr="0043317B" w:rsidR="000A45C0" w:rsidP="0043317B" w:rsidRDefault="000A45C0">
      <w:pPr>
        <w:pStyle w:val="ECHRHeading4"/>
        <w:rPr>
          <w:lang w:val="fr-FR"/>
        </w:rPr>
      </w:pPr>
      <w:r w:rsidRPr="0043317B">
        <w:rPr>
          <w:lang w:val="fr-FR"/>
        </w:rPr>
        <w:t>b)  Sur le respect du principe de légalité</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196</w:t>
      </w:r>
      <w:r w:rsidRPr="0043317B">
        <w:rPr>
          <w:lang w:val="fr-FR"/>
        </w:rPr>
        <w:fldChar w:fldCharType="end"/>
      </w:r>
      <w:r w:rsidRPr="0043317B">
        <w:rPr>
          <w:lang w:val="fr-FR"/>
        </w:rPr>
        <w:t>.  La Cour rappelle que l</w:t>
      </w:r>
      <w:r w:rsidRPr="0043317B" w:rsidR="0043317B">
        <w:rPr>
          <w:lang w:val="fr-FR"/>
        </w:rPr>
        <w:t>’</w:t>
      </w:r>
      <w:r w:rsidRPr="0043317B">
        <w:rPr>
          <w:lang w:val="fr-FR"/>
        </w:rPr>
        <w:t>article 1 du Protocole n</w:t>
      </w:r>
      <w:r w:rsidRPr="0043317B">
        <w:rPr>
          <w:vertAlign w:val="superscript"/>
          <w:lang w:val="fr-FR"/>
        </w:rPr>
        <w:t>o</w:t>
      </w:r>
      <w:r w:rsidRPr="0043317B">
        <w:rPr>
          <w:lang w:val="fr-FR"/>
        </w:rPr>
        <w:t xml:space="preserve"> 1 à la Convention exige, avant tout et surtout, qu</w:t>
      </w:r>
      <w:r w:rsidRPr="0043317B" w:rsidR="0043317B">
        <w:rPr>
          <w:lang w:val="fr-FR"/>
        </w:rPr>
        <w:t>’</w:t>
      </w:r>
      <w:r w:rsidRPr="0043317B">
        <w:rPr>
          <w:lang w:val="fr-FR"/>
        </w:rPr>
        <w:t>une ingérence de l</w:t>
      </w:r>
      <w:r w:rsidRPr="0043317B" w:rsidR="0043317B">
        <w:rPr>
          <w:lang w:val="fr-FR"/>
        </w:rPr>
        <w:t>’</w:t>
      </w:r>
      <w:r w:rsidRPr="0043317B">
        <w:rPr>
          <w:lang w:val="fr-FR"/>
        </w:rPr>
        <w:t>autorité publique dans la jouissance du droit au respect des biens soit légale. La prééminence du droit, l</w:t>
      </w:r>
      <w:r w:rsidRPr="0043317B" w:rsidR="0043317B">
        <w:rPr>
          <w:lang w:val="fr-FR"/>
        </w:rPr>
        <w:t>’</w:t>
      </w:r>
      <w:r w:rsidRPr="0043317B">
        <w:rPr>
          <w:lang w:val="fr-FR"/>
        </w:rPr>
        <w:t>un des principes fondamentaux d</w:t>
      </w:r>
      <w:r w:rsidRPr="0043317B" w:rsidR="0043317B">
        <w:rPr>
          <w:lang w:val="fr-FR"/>
        </w:rPr>
        <w:t>’</w:t>
      </w:r>
      <w:r w:rsidRPr="0043317B">
        <w:rPr>
          <w:lang w:val="fr-FR"/>
        </w:rPr>
        <w:t>une société démocratique, est une notion inhérente à l</w:t>
      </w:r>
      <w:r w:rsidRPr="0043317B" w:rsidR="0043317B">
        <w:rPr>
          <w:lang w:val="fr-FR"/>
        </w:rPr>
        <w:t>’</w:t>
      </w:r>
      <w:r w:rsidRPr="0043317B">
        <w:rPr>
          <w:lang w:val="fr-FR"/>
        </w:rPr>
        <w:t>ensemble des articles de la Convention (</w:t>
      </w:r>
      <w:r w:rsidRPr="0043317B" w:rsidR="003C4A77">
        <w:rPr>
          <w:i/>
          <w:lang w:val="fr-FR"/>
        </w:rPr>
        <w:t>Vistiņš et Perepjolkins c. </w:t>
      </w:r>
      <w:r w:rsidRPr="0043317B">
        <w:rPr>
          <w:i/>
          <w:lang w:val="fr-FR"/>
        </w:rPr>
        <w:t xml:space="preserve">Lettonie </w:t>
      </w:r>
      <w:r w:rsidRPr="0043317B">
        <w:rPr>
          <w:lang w:val="fr-FR"/>
        </w:rPr>
        <w:t>[GC], n</w:t>
      </w:r>
      <w:r w:rsidRPr="0043317B">
        <w:rPr>
          <w:vertAlign w:val="superscript"/>
          <w:lang w:val="fr-FR"/>
        </w:rPr>
        <w:t>o</w:t>
      </w:r>
      <w:r w:rsidRPr="0043317B">
        <w:rPr>
          <w:lang w:val="fr-FR"/>
        </w:rPr>
        <w:t xml:space="preserve"> 71243/01, §§ 94 et 95, 25 octobre 2012). Il en découle que la nécessité d</w:t>
      </w:r>
      <w:r w:rsidRPr="0043317B" w:rsidR="0043317B">
        <w:rPr>
          <w:lang w:val="fr-FR"/>
        </w:rPr>
        <w:t>’</w:t>
      </w:r>
      <w:r w:rsidRPr="0043317B">
        <w:rPr>
          <w:lang w:val="fr-FR"/>
        </w:rPr>
        <w:t>examiner la question du juste équilibre « ne peut se faire sentir que lorsqu</w:t>
      </w:r>
      <w:r w:rsidRPr="0043317B" w:rsidR="0043317B">
        <w:rPr>
          <w:lang w:val="fr-FR"/>
        </w:rPr>
        <w:t>’</w:t>
      </w:r>
      <w:r w:rsidRPr="0043317B">
        <w:rPr>
          <w:lang w:val="fr-FR"/>
        </w:rPr>
        <w:t>il s</w:t>
      </w:r>
      <w:r w:rsidRPr="0043317B" w:rsidR="0043317B">
        <w:rPr>
          <w:lang w:val="fr-FR"/>
        </w:rPr>
        <w:t>’</w:t>
      </w:r>
      <w:r w:rsidRPr="0043317B">
        <w:rPr>
          <w:lang w:val="fr-FR"/>
        </w:rPr>
        <w:t>est avéré que l</w:t>
      </w:r>
      <w:r w:rsidRPr="0043317B" w:rsidR="0043317B">
        <w:rPr>
          <w:lang w:val="fr-FR"/>
        </w:rPr>
        <w:t>’</w:t>
      </w:r>
      <w:r w:rsidRPr="0043317B">
        <w:rPr>
          <w:lang w:val="fr-FR"/>
        </w:rPr>
        <w:t>ingérence litigieuse a respecté le principe de légalité et n</w:t>
      </w:r>
      <w:r w:rsidRPr="0043317B" w:rsidR="0043317B">
        <w:rPr>
          <w:lang w:val="fr-FR"/>
        </w:rPr>
        <w:t>’</w:t>
      </w:r>
      <w:r w:rsidRPr="0043317B">
        <w:rPr>
          <w:lang w:val="fr-FR"/>
        </w:rPr>
        <w:t>était pas arbitraire » (</w:t>
      </w:r>
      <w:r w:rsidRPr="0043317B">
        <w:rPr>
          <w:i/>
          <w:lang w:val="fr-FR"/>
        </w:rPr>
        <w:t>Guiso-Gallisay c.</w:t>
      </w:r>
      <w:r w:rsidRPr="0043317B" w:rsidR="003C4A77">
        <w:rPr>
          <w:i/>
          <w:lang w:val="fr-FR"/>
        </w:rPr>
        <w:t> </w:t>
      </w:r>
      <w:r w:rsidRPr="0043317B">
        <w:rPr>
          <w:i/>
          <w:lang w:val="fr-FR"/>
        </w:rPr>
        <w:t>Italie</w:t>
      </w:r>
      <w:r w:rsidRPr="0043317B">
        <w:rPr>
          <w:lang w:val="fr-FR"/>
        </w:rPr>
        <w:t>, n</w:t>
      </w:r>
      <w:r w:rsidRPr="0043317B">
        <w:rPr>
          <w:vertAlign w:val="superscript"/>
          <w:lang w:val="fr-FR"/>
        </w:rPr>
        <w:t>o</w:t>
      </w:r>
      <w:r w:rsidRPr="0043317B">
        <w:rPr>
          <w:lang w:val="fr-FR"/>
        </w:rPr>
        <w:t> 58858/00, § 80, 8 décembre 2005, avec les références qui y sont citées).</w:t>
      </w:r>
    </w:p>
    <w:p w:rsidRPr="0043317B" w:rsidR="000A45C0" w:rsidP="0043317B" w:rsidRDefault="000A45C0">
      <w:pPr>
        <w:pStyle w:val="ECHRPara"/>
        <w:rPr>
          <w:lang w:val="fr-FR"/>
        </w:rPr>
      </w:pPr>
      <w:r w:rsidRPr="0043317B">
        <w:rPr>
          <w:bCs/>
          <w:lang w:val="fr-FR"/>
        </w:rPr>
        <w:fldChar w:fldCharType="begin"/>
      </w:r>
      <w:r w:rsidRPr="0043317B">
        <w:rPr>
          <w:bCs/>
          <w:lang w:val="fr-FR"/>
        </w:rPr>
        <w:instrText xml:space="preserve"> SEQ level0 \*arabic </w:instrText>
      </w:r>
      <w:r w:rsidRPr="0043317B">
        <w:rPr>
          <w:bCs/>
          <w:lang w:val="fr-FR"/>
        </w:rPr>
        <w:fldChar w:fldCharType="separate"/>
      </w:r>
      <w:r w:rsidRPr="0043317B" w:rsidR="0043317B">
        <w:rPr>
          <w:bCs/>
          <w:noProof/>
          <w:lang w:val="fr-FR"/>
        </w:rPr>
        <w:t>197</w:t>
      </w:r>
      <w:r w:rsidRPr="0043317B">
        <w:rPr>
          <w:lang w:val="fr-FR"/>
        </w:rPr>
        <w:fldChar w:fldCharType="end"/>
      </w:r>
      <w:r w:rsidRPr="0043317B">
        <w:rPr>
          <w:bCs/>
          <w:lang w:val="fr-FR"/>
        </w:rPr>
        <w:t>.  </w:t>
      </w:r>
      <w:r w:rsidRPr="0043317B">
        <w:rPr>
          <w:lang w:val="fr-FR"/>
        </w:rPr>
        <w:t>La Cour rappelle aussi que le principe de la légalité présuppose également l</w:t>
      </w:r>
      <w:r w:rsidRPr="0043317B" w:rsidR="0043317B">
        <w:rPr>
          <w:lang w:val="fr-FR"/>
        </w:rPr>
        <w:t>’</w:t>
      </w:r>
      <w:r w:rsidRPr="0043317B">
        <w:rPr>
          <w:lang w:val="fr-FR"/>
        </w:rPr>
        <w:t>existence de normes de droit interne suffisamment accessibles, précises et prévisibles dans leur application (</w:t>
      </w:r>
      <w:r w:rsidRPr="0043317B">
        <w:rPr>
          <w:i/>
          <w:lang w:val="fr-FR"/>
        </w:rPr>
        <w:t>Ex-Roi de Grèce et autres c. Grèce</w:t>
      </w:r>
      <w:r w:rsidRPr="0043317B">
        <w:rPr>
          <w:lang w:val="fr-FR"/>
        </w:rPr>
        <w:t xml:space="preserve"> [GC], n</w:t>
      </w:r>
      <w:r w:rsidRPr="0043317B">
        <w:rPr>
          <w:vertAlign w:val="superscript"/>
          <w:lang w:val="fr-FR"/>
        </w:rPr>
        <w:t>o</w:t>
      </w:r>
      <w:r w:rsidRPr="0043317B">
        <w:rPr>
          <w:lang w:val="fr-FR"/>
        </w:rPr>
        <w:t xml:space="preserve"> 25701/94, § 79, CEDH CEDH 2000-XII, </w:t>
      </w:r>
      <w:r w:rsidRPr="0043317B">
        <w:rPr>
          <w:i/>
          <w:lang w:val="fr-FR"/>
        </w:rPr>
        <w:t>Beyeler</w:t>
      </w:r>
      <w:r w:rsidRPr="0043317B">
        <w:rPr>
          <w:lang w:val="fr-FR"/>
        </w:rPr>
        <w:t xml:space="preserve">, précité, §§ 109 et 110, et </w:t>
      </w:r>
      <w:r w:rsidRPr="0043317B">
        <w:rPr>
          <w:i/>
          <w:lang w:val="fr-FR"/>
        </w:rPr>
        <w:t>Fener Rum Patrikliği c. Turquie</w:t>
      </w:r>
      <w:r w:rsidRPr="0043317B">
        <w:rPr>
          <w:lang w:val="fr-FR"/>
        </w:rPr>
        <w:t>, n</w:t>
      </w:r>
      <w:r w:rsidRPr="0043317B">
        <w:rPr>
          <w:vertAlign w:val="superscript"/>
          <w:lang w:val="fr-FR"/>
        </w:rPr>
        <w:t>o</w:t>
      </w:r>
      <w:r w:rsidRPr="0043317B">
        <w:rPr>
          <w:lang w:val="fr-FR"/>
        </w:rPr>
        <w:t xml:space="preserve"> 14340/05, §</w:t>
      </w:r>
      <w:r w:rsidRPr="0043317B" w:rsidR="003C4A77">
        <w:rPr>
          <w:lang w:val="fr-FR"/>
        </w:rPr>
        <w:t> </w:t>
      </w:r>
      <w:r w:rsidRPr="0043317B">
        <w:rPr>
          <w:lang w:val="fr-FR"/>
        </w:rPr>
        <w:t>70, 8 juillet 2008). Quant à la portée de la notion de « prévisibilité », elle dépend dans une large mesure du contenu du texte dont il s</w:t>
      </w:r>
      <w:r w:rsidRPr="0043317B" w:rsidR="0043317B">
        <w:rPr>
          <w:lang w:val="fr-FR"/>
        </w:rPr>
        <w:t>’</w:t>
      </w:r>
      <w:r w:rsidRPr="0043317B">
        <w:rPr>
          <w:lang w:val="fr-FR"/>
        </w:rPr>
        <w:t xml:space="preserve">agit, du domaine que celui-ci couvre ainsi que du nombre et de la qualité de ses destinataires (voir, </w:t>
      </w:r>
      <w:r w:rsidRPr="0043317B">
        <w:rPr>
          <w:i/>
          <w:lang w:val="fr-FR"/>
        </w:rPr>
        <w:t>mutatis mutandis</w:t>
      </w:r>
      <w:r w:rsidRPr="0043317B">
        <w:rPr>
          <w:lang w:val="fr-FR"/>
        </w:rPr>
        <w:t xml:space="preserve">, </w:t>
      </w:r>
      <w:r w:rsidRPr="0043317B">
        <w:rPr>
          <w:i/>
          <w:lang w:val="fr-FR"/>
        </w:rPr>
        <w:t>Sud Fondi srl et autres c. Italie</w:t>
      </w:r>
      <w:r w:rsidRPr="0043317B">
        <w:rPr>
          <w:lang w:val="fr-FR"/>
        </w:rPr>
        <w:t>, n</w:t>
      </w:r>
      <w:r w:rsidRPr="0043317B">
        <w:rPr>
          <w:vertAlign w:val="superscript"/>
          <w:lang w:val="fr-FR"/>
        </w:rPr>
        <w:t>o</w:t>
      </w:r>
      <w:r w:rsidRPr="0043317B" w:rsidR="003C4A77">
        <w:rPr>
          <w:lang w:val="fr-FR"/>
        </w:rPr>
        <w:t xml:space="preserve"> 75909/01, § </w:t>
      </w:r>
      <w:r w:rsidRPr="0043317B">
        <w:rPr>
          <w:lang w:val="fr-FR"/>
        </w:rPr>
        <w:t xml:space="preserve">109, 20 janvier 2009, et </w:t>
      </w:r>
      <w:r w:rsidRPr="0043317B">
        <w:rPr>
          <w:i/>
          <w:lang w:val="fr-FR"/>
        </w:rPr>
        <w:t>Yaşar Holding A.Ş.</w:t>
      </w:r>
      <w:r w:rsidRPr="0043317B">
        <w:rPr>
          <w:lang w:val="fr-FR"/>
        </w:rPr>
        <w:t>, précité, § 92, 4 avril 2017).</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198</w:t>
      </w:r>
      <w:r w:rsidRPr="0043317B">
        <w:rPr>
          <w:lang w:val="fr-FR"/>
        </w:rPr>
        <w:fldChar w:fldCharType="end"/>
      </w:r>
      <w:r w:rsidRPr="0043317B">
        <w:rPr>
          <w:lang w:val="fr-FR"/>
        </w:rPr>
        <w:t>.  En l</w:t>
      </w:r>
      <w:r w:rsidRPr="0043317B" w:rsidR="0043317B">
        <w:rPr>
          <w:lang w:val="fr-FR"/>
        </w:rPr>
        <w:t>’</w:t>
      </w:r>
      <w:r w:rsidRPr="0043317B">
        <w:rPr>
          <w:lang w:val="fr-FR"/>
        </w:rPr>
        <w:t>espèce, la Cour relève que les mesures conservatoires ont été ordonnées et maintenues sur le fondement de l</w:t>
      </w:r>
      <w:r w:rsidRPr="0043317B" w:rsidR="0043317B">
        <w:rPr>
          <w:lang w:val="fr-FR"/>
        </w:rPr>
        <w:t>’</w:t>
      </w:r>
      <w:r w:rsidRPr="0043317B" w:rsidR="003C4A77">
        <w:rPr>
          <w:lang w:val="fr-FR"/>
        </w:rPr>
        <w:t>article 2 provisoire de la loi </w:t>
      </w:r>
      <w:r w:rsidRPr="0043317B">
        <w:rPr>
          <w:lang w:val="fr-FR"/>
        </w:rPr>
        <w:t>n</w:t>
      </w:r>
      <w:r w:rsidRPr="0043317B">
        <w:rPr>
          <w:vertAlign w:val="superscript"/>
          <w:lang w:val="fr-FR"/>
        </w:rPr>
        <w:t>o </w:t>
      </w:r>
      <w:r w:rsidRPr="0043317B">
        <w:rPr>
          <w:lang w:val="fr-FR"/>
        </w:rPr>
        <w:t>4969 du 31 juillet 2003, de l</w:t>
      </w:r>
      <w:r w:rsidRPr="0043317B" w:rsidR="0043317B">
        <w:rPr>
          <w:lang w:val="fr-FR"/>
        </w:rPr>
        <w:t>’</w:t>
      </w:r>
      <w:r w:rsidRPr="0043317B">
        <w:rPr>
          <w:lang w:val="fr-FR"/>
        </w:rPr>
        <w:t>article additionnel 1 de l</w:t>
      </w:r>
      <w:r w:rsidRPr="0043317B" w:rsidR="0043317B">
        <w:rPr>
          <w:lang w:val="fr-FR"/>
        </w:rPr>
        <w:t>’</w:t>
      </w:r>
      <w:r w:rsidRPr="0043317B" w:rsidR="003C4A77">
        <w:rPr>
          <w:lang w:val="fr-FR"/>
        </w:rPr>
        <w:t>ancienne loi </w:t>
      </w:r>
      <w:r w:rsidRPr="0043317B">
        <w:rPr>
          <w:lang w:val="fr-FR"/>
        </w:rPr>
        <w:t>n</w:t>
      </w:r>
      <w:r w:rsidRPr="0043317B">
        <w:rPr>
          <w:vertAlign w:val="superscript"/>
          <w:lang w:val="fr-FR"/>
        </w:rPr>
        <w:t>o</w:t>
      </w:r>
      <w:r w:rsidRPr="0043317B">
        <w:rPr>
          <w:lang w:val="fr-FR"/>
        </w:rPr>
        <w:t> 4389, telle que modifiée par la loi n</w:t>
      </w:r>
      <w:r w:rsidRPr="0043317B">
        <w:rPr>
          <w:vertAlign w:val="superscript"/>
          <w:lang w:val="fr-FR"/>
        </w:rPr>
        <w:t>o</w:t>
      </w:r>
      <w:r w:rsidRPr="0043317B" w:rsidR="003C4A77">
        <w:rPr>
          <w:lang w:val="fr-FR"/>
        </w:rPr>
        <w:t xml:space="preserve"> </w:t>
      </w:r>
      <w:r w:rsidRPr="0043317B">
        <w:rPr>
          <w:lang w:val="fr-FR"/>
        </w:rPr>
        <w:t>5020 du 26 décembre 2003, et de l</w:t>
      </w:r>
      <w:r w:rsidRPr="0043317B" w:rsidR="0043317B">
        <w:rPr>
          <w:lang w:val="fr-FR"/>
        </w:rPr>
        <w:t>’</w:t>
      </w:r>
      <w:r w:rsidRPr="0043317B">
        <w:rPr>
          <w:lang w:val="fr-FR"/>
        </w:rPr>
        <w:t>article 135 de la loi n</w:t>
      </w:r>
      <w:r w:rsidRPr="0043317B">
        <w:rPr>
          <w:vertAlign w:val="superscript"/>
          <w:lang w:val="fr-FR"/>
        </w:rPr>
        <w:t>o</w:t>
      </w:r>
      <w:r w:rsidRPr="0043317B">
        <w:rPr>
          <w:lang w:val="fr-FR"/>
        </w:rPr>
        <w:t xml:space="preserve"> 5411 du 19 octobre 2005. Elle rappelle qu</w:t>
      </w:r>
      <w:r w:rsidRPr="0043317B" w:rsidR="0043317B">
        <w:rPr>
          <w:lang w:val="fr-FR"/>
        </w:rPr>
        <w:t>’</w:t>
      </w:r>
      <w:r w:rsidRPr="0043317B">
        <w:rPr>
          <w:lang w:val="fr-FR"/>
        </w:rPr>
        <w:t xml:space="preserve">il ne lui appartient pas de se prononcer </w:t>
      </w:r>
      <w:r w:rsidRPr="0043317B">
        <w:rPr>
          <w:i/>
          <w:lang w:val="fr-FR"/>
        </w:rPr>
        <w:t>in abstracto</w:t>
      </w:r>
      <w:r w:rsidRPr="0043317B">
        <w:rPr>
          <w:lang w:val="fr-FR"/>
        </w:rPr>
        <w:t xml:space="preserve"> sur la compatibilité de ces dispositions avec la Convention, mais d</w:t>
      </w:r>
      <w:r w:rsidRPr="0043317B" w:rsidR="0043317B">
        <w:rPr>
          <w:lang w:val="fr-FR"/>
        </w:rPr>
        <w:t>’</w:t>
      </w:r>
      <w:r w:rsidRPr="0043317B">
        <w:rPr>
          <w:lang w:val="fr-FR"/>
        </w:rPr>
        <w:t xml:space="preserve">apprécier </w:t>
      </w:r>
      <w:r w:rsidRPr="0043317B">
        <w:rPr>
          <w:i/>
          <w:lang w:val="fr-FR"/>
        </w:rPr>
        <w:t>in concreto</w:t>
      </w:r>
      <w:r w:rsidRPr="0043317B">
        <w:rPr>
          <w:lang w:val="fr-FR"/>
        </w:rPr>
        <w:t xml:space="preserve"> l</w:t>
      </w:r>
      <w:r w:rsidRPr="0043317B" w:rsidR="0043317B">
        <w:rPr>
          <w:lang w:val="fr-FR"/>
        </w:rPr>
        <w:t>’</w:t>
      </w:r>
      <w:r w:rsidRPr="0043317B">
        <w:rPr>
          <w:lang w:val="fr-FR"/>
        </w:rPr>
        <w:t>incidence de l</w:t>
      </w:r>
      <w:r w:rsidRPr="0043317B" w:rsidR="0043317B">
        <w:rPr>
          <w:lang w:val="fr-FR"/>
        </w:rPr>
        <w:t>’</w:t>
      </w:r>
      <w:r w:rsidRPr="0043317B">
        <w:rPr>
          <w:lang w:val="fr-FR"/>
        </w:rPr>
        <w:t>application de ces lois sur le droit des requérants au respect de leurs biens, au sens de l</w:t>
      </w:r>
      <w:r w:rsidRPr="0043317B" w:rsidR="0043317B">
        <w:rPr>
          <w:lang w:val="fr-FR"/>
        </w:rPr>
        <w:t>’</w:t>
      </w:r>
      <w:r w:rsidRPr="0043317B">
        <w:rPr>
          <w:lang w:val="fr-FR"/>
        </w:rPr>
        <w:t>article 1 du Protocole n</w:t>
      </w:r>
      <w:r w:rsidRPr="0043317B">
        <w:rPr>
          <w:vertAlign w:val="superscript"/>
          <w:lang w:val="fr-FR"/>
        </w:rPr>
        <w:t>o</w:t>
      </w:r>
      <w:r w:rsidRPr="0043317B" w:rsidR="003C4A77">
        <w:rPr>
          <w:vertAlign w:val="superscript"/>
          <w:lang w:val="fr-FR"/>
        </w:rPr>
        <w:t xml:space="preserve"> </w:t>
      </w:r>
      <w:r w:rsidRPr="0043317B">
        <w:rPr>
          <w:lang w:val="fr-FR"/>
        </w:rPr>
        <w:t>1.La Cour rappelle que le pouvoir qu</w:t>
      </w:r>
      <w:r w:rsidRPr="0043317B" w:rsidR="0043317B">
        <w:rPr>
          <w:lang w:val="fr-FR"/>
        </w:rPr>
        <w:t>’</w:t>
      </w:r>
      <w:r w:rsidRPr="0043317B">
        <w:rPr>
          <w:lang w:val="fr-FR"/>
        </w:rPr>
        <w:t>elle a de contrôler le respect du droit interne est limité. C</w:t>
      </w:r>
      <w:r w:rsidRPr="0043317B" w:rsidR="0043317B">
        <w:rPr>
          <w:lang w:val="fr-FR"/>
        </w:rPr>
        <w:t>’</w:t>
      </w:r>
      <w:r w:rsidRPr="0043317B">
        <w:rPr>
          <w:lang w:val="fr-FR"/>
        </w:rPr>
        <w:t>est au premier chef aux autorités nationales, notamment aux tribunaux, qu</w:t>
      </w:r>
      <w:r w:rsidRPr="0043317B" w:rsidR="0043317B">
        <w:rPr>
          <w:lang w:val="fr-FR"/>
        </w:rPr>
        <w:t>’</w:t>
      </w:r>
      <w:r w:rsidRPr="0043317B">
        <w:rPr>
          <w:lang w:val="fr-FR"/>
        </w:rPr>
        <w:t>il incombe d</w:t>
      </w:r>
      <w:r w:rsidRPr="0043317B" w:rsidR="0043317B">
        <w:rPr>
          <w:lang w:val="fr-FR"/>
        </w:rPr>
        <w:t>’</w:t>
      </w:r>
      <w:r w:rsidRPr="0043317B">
        <w:rPr>
          <w:lang w:val="fr-FR"/>
        </w:rPr>
        <w:t>interpréter et d</w:t>
      </w:r>
      <w:r w:rsidRPr="0043317B" w:rsidR="0043317B">
        <w:rPr>
          <w:lang w:val="fr-FR"/>
        </w:rPr>
        <w:t>’</w:t>
      </w:r>
      <w:r w:rsidRPr="0043317B">
        <w:rPr>
          <w:lang w:val="fr-FR"/>
        </w:rPr>
        <w:t>appliquer le droit interne, même dans les domaines où la Convention s</w:t>
      </w:r>
      <w:r w:rsidRPr="0043317B" w:rsidR="0043317B">
        <w:rPr>
          <w:lang w:val="fr-FR"/>
        </w:rPr>
        <w:t>’</w:t>
      </w:r>
      <w:r w:rsidRPr="0043317B">
        <w:rPr>
          <w:lang w:val="fr-FR"/>
        </w:rPr>
        <w:t>en « approprie » les normes : par la force des choses, lesdites autorités sont spécialement qualifiées pour trancher les questions surgissant à cet égard (</w:t>
      </w:r>
      <w:r w:rsidRPr="0043317B">
        <w:rPr>
          <w:i/>
          <w:iCs/>
          <w:lang w:val="fr-FR"/>
        </w:rPr>
        <w:t>Zagrebačka banka d.d.</w:t>
      </w:r>
      <w:r w:rsidRPr="0043317B">
        <w:rPr>
          <w:lang w:val="fr-FR"/>
        </w:rPr>
        <w:t xml:space="preserve"> </w:t>
      </w:r>
      <w:r w:rsidRPr="0043317B">
        <w:rPr>
          <w:i/>
          <w:lang w:val="fr-FR"/>
        </w:rPr>
        <w:t>c.</w:t>
      </w:r>
      <w:r w:rsidRPr="0043317B">
        <w:rPr>
          <w:lang w:val="fr-FR"/>
        </w:rPr>
        <w:t xml:space="preserve"> </w:t>
      </w:r>
      <w:r w:rsidRPr="0043317B">
        <w:rPr>
          <w:i/>
          <w:iCs/>
          <w:lang w:val="fr-FR"/>
        </w:rPr>
        <w:t>Croatie</w:t>
      </w:r>
      <w:r w:rsidRPr="0043317B">
        <w:rPr>
          <w:lang w:val="fr-FR"/>
        </w:rPr>
        <w:t>, n</w:t>
      </w:r>
      <w:r w:rsidRPr="0043317B">
        <w:rPr>
          <w:vertAlign w:val="superscript"/>
          <w:lang w:val="fr-FR"/>
        </w:rPr>
        <w:t>o</w:t>
      </w:r>
      <w:r w:rsidRPr="0043317B" w:rsidR="003C4A77">
        <w:rPr>
          <w:vertAlign w:val="superscript"/>
          <w:lang w:val="fr-FR"/>
        </w:rPr>
        <w:t xml:space="preserve"> </w:t>
      </w:r>
      <w:r w:rsidRPr="0043317B">
        <w:rPr>
          <w:lang w:val="fr-FR"/>
        </w:rPr>
        <w:t>39544/05</w:t>
      </w:r>
      <w:r w:rsidRPr="0043317B" w:rsidR="003C4A77">
        <w:rPr>
          <w:lang w:val="fr-FR"/>
        </w:rPr>
        <w:t>, § 263, 12 </w:t>
      </w:r>
      <w:r w:rsidRPr="0043317B">
        <w:rPr>
          <w:lang w:val="fr-FR"/>
        </w:rPr>
        <w:t>décembre 2013). C</w:t>
      </w:r>
      <w:r w:rsidRPr="0043317B" w:rsidR="0043317B">
        <w:rPr>
          <w:lang w:val="fr-FR"/>
        </w:rPr>
        <w:t>’</w:t>
      </w:r>
      <w:r w:rsidRPr="0043317B">
        <w:rPr>
          <w:lang w:val="fr-FR"/>
        </w:rPr>
        <w:t>est d</w:t>
      </w:r>
      <w:r w:rsidRPr="0043317B" w:rsidR="0043317B">
        <w:rPr>
          <w:lang w:val="fr-FR"/>
        </w:rPr>
        <w:t>’</w:t>
      </w:r>
      <w:r w:rsidRPr="0043317B">
        <w:rPr>
          <w:lang w:val="fr-FR"/>
        </w:rPr>
        <w:t>autant plus vrai lorsque sont en cause, comme en l</w:t>
      </w:r>
      <w:r w:rsidRPr="0043317B" w:rsidR="0043317B">
        <w:rPr>
          <w:lang w:val="fr-FR"/>
        </w:rPr>
        <w:t>’</w:t>
      </w:r>
      <w:r w:rsidRPr="0043317B">
        <w:rPr>
          <w:lang w:val="fr-FR"/>
        </w:rPr>
        <w:t>espèce, de difficiles questions d</w:t>
      </w:r>
      <w:r w:rsidRPr="0043317B" w:rsidR="0043317B">
        <w:rPr>
          <w:lang w:val="fr-FR"/>
        </w:rPr>
        <w:t>’</w:t>
      </w:r>
      <w:r w:rsidRPr="0043317B">
        <w:rPr>
          <w:lang w:val="fr-FR"/>
        </w:rPr>
        <w:t>interprétation du droit national (</w:t>
      </w:r>
      <w:r w:rsidRPr="0043317B">
        <w:rPr>
          <w:i/>
          <w:lang w:val="fr-FR"/>
        </w:rPr>
        <w:t>Anheuser-Busch Inc. c. Portugal</w:t>
      </w:r>
      <w:r w:rsidRPr="0043317B">
        <w:rPr>
          <w:lang w:val="fr-FR"/>
        </w:rPr>
        <w:t xml:space="preserve"> [GC], n</w:t>
      </w:r>
      <w:r w:rsidRPr="0043317B">
        <w:rPr>
          <w:vertAlign w:val="superscript"/>
          <w:lang w:val="fr-FR"/>
        </w:rPr>
        <w:t>o</w:t>
      </w:r>
      <w:r w:rsidRPr="0043317B" w:rsidR="003C4A77">
        <w:rPr>
          <w:lang w:val="fr-FR"/>
        </w:rPr>
        <w:t xml:space="preserve"> 73049/01, § 83, CEDH </w:t>
      </w:r>
      <w:r w:rsidRPr="0043317B">
        <w:rPr>
          <w:lang w:val="fr-FR"/>
        </w:rPr>
        <w:t>2007</w:t>
      </w:r>
      <w:r w:rsidRPr="0043317B" w:rsidR="003C4A77">
        <w:rPr>
          <w:lang w:val="fr-FR"/>
        </w:rPr>
        <w:t> </w:t>
      </w:r>
      <w:r w:rsidRPr="0043317B">
        <w:rPr>
          <w:lang w:val="fr-FR"/>
        </w:rPr>
        <w:t>I). Sauf si l</w:t>
      </w:r>
      <w:r w:rsidRPr="0043317B" w:rsidR="0043317B">
        <w:rPr>
          <w:lang w:val="fr-FR"/>
        </w:rPr>
        <w:t>’</w:t>
      </w:r>
      <w:r w:rsidRPr="0043317B">
        <w:rPr>
          <w:lang w:val="fr-FR"/>
        </w:rPr>
        <w:t>interprétation retenue est arbitraire ou manifestement déraisonnable, la tâche de la Cour se limite à déterminer si ses effets sont compatibles avec la Convention (</w:t>
      </w:r>
      <w:r w:rsidRPr="0043317B">
        <w:rPr>
          <w:i/>
          <w:lang w:val="fr-FR"/>
        </w:rPr>
        <w:t>ibidem</w:t>
      </w:r>
      <w:r w:rsidRPr="0043317B">
        <w:rPr>
          <w:lang w:val="fr-FR"/>
        </w:rPr>
        <w:t>, §§ 83 et 86). C</w:t>
      </w:r>
      <w:r w:rsidRPr="0043317B" w:rsidR="0043317B">
        <w:rPr>
          <w:lang w:val="fr-FR"/>
        </w:rPr>
        <w:t>’</w:t>
      </w:r>
      <w:r w:rsidRPr="0043317B">
        <w:rPr>
          <w:lang w:val="fr-FR"/>
        </w:rPr>
        <w:t>est pour cette raison que la Cour a jugé que, en principe, un requérant ne peut passer pour jouir d</w:t>
      </w:r>
      <w:r w:rsidRPr="0043317B" w:rsidR="0043317B">
        <w:rPr>
          <w:lang w:val="fr-FR"/>
        </w:rPr>
        <w:t>’</w:t>
      </w:r>
      <w:r w:rsidRPr="0043317B">
        <w:rPr>
          <w:lang w:val="fr-FR"/>
        </w:rPr>
        <w:t>une créance suffisamment certaine s</w:t>
      </w:r>
      <w:r w:rsidRPr="0043317B" w:rsidR="0043317B">
        <w:rPr>
          <w:lang w:val="fr-FR"/>
        </w:rPr>
        <w:t>’</w:t>
      </w:r>
      <w:r w:rsidRPr="0043317B">
        <w:rPr>
          <w:lang w:val="fr-FR"/>
        </w:rPr>
        <w:t>analysant en une « valeur patrimoniale » aux fins de l</w:t>
      </w:r>
      <w:r w:rsidRPr="0043317B" w:rsidR="0043317B">
        <w:rPr>
          <w:lang w:val="fr-FR"/>
        </w:rPr>
        <w:t>’</w:t>
      </w:r>
      <w:r w:rsidRPr="0043317B">
        <w:rPr>
          <w:lang w:val="fr-FR"/>
        </w:rPr>
        <w:t>article 1 du Protocole n</w:t>
      </w:r>
      <w:r w:rsidRPr="0043317B">
        <w:rPr>
          <w:vertAlign w:val="superscript"/>
          <w:lang w:val="fr-FR"/>
        </w:rPr>
        <w:t>o</w:t>
      </w:r>
      <w:r w:rsidRPr="0043317B">
        <w:rPr>
          <w:lang w:val="fr-FR"/>
        </w:rPr>
        <w:t xml:space="preserve"> 1 lorsqu</w:t>
      </w:r>
      <w:r w:rsidRPr="0043317B" w:rsidR="0043317B">
        <w:rPr>
          <w:lang w:val="fr-FR"/>
        </w:rPr>
        <w:t>’</w:t>
      </w:r>
      <w:r w:rsidRPr="0043317B">
        <w:rPr>
          <w:lang w:val="fr-FR"/>
        </w:rPr>
        <w:t xml:space="preserve">il y a controverse sur la façon dont le droit interne doit être interprété et appliqué et que la question du respect par lui des prescriptions légales appelle une décision de justice (voir, par exemple, </w:t>
      </w:r>
      <w:r w:rsidRPr="0043317B">
        <w:rPr>
          <w:i/>
          <w:lang w:val="fr-FR"/>
        </w:rPr>
        <w:t>Kopecký</w:t>
      </w:r>
      <w:r w:rsidRPr="0043317B" w:rsidR="003C4A77">
        <w:rPr>
          <w:lang w:val="fr-FR"/>
        </w:rPr>
        <w:t xml:space="preserve">, précité, §§ </w:t>
      </w:r>
      <w:r w:rsidRPr="0043317B">
        <w:rPr>
          <w:lang w:val="fr-FR"/>
        </w:rPr>
        <w:t>50</w:t>
      </w:r>
      <w:r w:rsidRPr="0043317B" w:rsidR="003C4A77">
        <w:rPr>
          <w:lang w:val="fr-FR"/>
        </w:rPr>
        <w:t xml:space="preserve"> </w:t>
      </w:r>
      <w:r w:rsidRPr="0043317B">
        <w:rPr>
          <w:lang w:val="fr-FR"/>
        </w:rPr>
        <w:t xml:space="preserve">et 58, et </w:t>
      </w:r>
      <w:r w:rsidRPr="0043317B">
        <w:rPr>
          <w:i/>
          <w:lang w:val="fr-FR"/>
        </w:rPr>
        <w:t>Milašinović c. Croatie</w:t>
      </w:r>
      <w:r w:rsidRPr="0043317B">
        <w:rPr>
          <w:lang w:val="fr-FR"/>
        </w:rPr>
        <w:t xml:space="preserve"> (déc.), n</w:t>
      </w:r>
      <w:r w:rsidRPr="0043317B">
        <w:rPr>
          <w:vertAlign w:val="superscript"/>
          <w:lang w:val="fr-FR"/>
        </w:rPr>
        <w:t>o</w:t>
      </w:r>
      <w:r w:rsidRPr="0043317B">
        <w:rPr>
          <w:lang w:val="fr-FR"/>
        </w:rPr>
        <w:t> 26659/08, 1</w:t>
      </w:r>
      <w:r w:rsidRPr="0043317B">
        <w:rPr>
          <w:vertAlign w:val="superscript"/>
          <w:lang w:val="fr-FR"/>
        </w:rPr>
        <w:t>er</w:t>
      </w:r>
      <w:r w:rsidRPr="0043317B">
        <w:rPr>
          <w:lang w:val="fr-FR"/>
        </w:rPr>
        <w:t xml:space="preserve"> juillet 2010, </w:t>
      </w:r>
      <w:r w:rsidRPr="0043317B">
        <w:rPr>
          <w:i/>
          <w:lang w:val="fr-FR"/>
        </w:rPr>
        <w:t>Radomilja et autres c. Croatie [GC],</w:t>
      </w:r>
      <w:r w:rsidRPr="0043317B">
        <w:rPr>
          <w:lang w:val="fr-FR"/>
        </w:rPr>
        <w:t xml:space="preserve"> n</w:t>
      </w:r>
      <w:r w:rsidRPr="0043317B">
        <w:rPr>
          <w:vertAlign w:val="superscript"/>
          <w:lang w:val="fr-FR"/>
        </w:rPr>
        <w:t>os</w:t>
      </w:r>
      <w:r w:rsidRPr="0043317B">
        <w:rPr>
          <w:lang w:val="fr-FR"/>
        </w:rPr>
        <w:t xml:space="preserve"> 37685/10 et 22768/12, § 149, 20 mars 2018, </w:t>
      </w:r>
      <w:r w:rsidRPr="0043317B" w:rsidR="003C4A77">
        <w:rPr>
          <w:i/>
          <w:iCs/>
          <w:lang w:val="fr-FR"/>
        </w:rPr>
        <w:t>S., </w:t>
      </w:r>
      <w:r w:rsidRPr="0043317B">
        <w:rPr>
          <w:i/>
          <w:iCs/>
          <w:lang w:val="fr-FR"/>
        </w:rPr>
        <w:t>V.</w:t>
      </w:r>
      <w:r w:rsidRPr="0043317B" w:rsidR="003C4A77">
        <w:rPr>
          <w:i/>
          <w:iCs/>
          <w:lang w:val="fr-FR"/>
        </w:rPr>
        <w:t> </w:t>
      </w:r>
      <w:r w:rsidRPr="0043317B">
        <w:rPr>
          <w:i/>
          <w:iCs/>
          <w:lang w:val="fr-FR"/>
        </w:rPr>
        <w:t>et</w:t>
      </w:r>
      <w:r w:rsidRPr="0043317B" w:rsidR="003C4A77">
        <w:rPr>
          <w:i/>
          <w:iCs/>
          <w:lang w:val="fr-FR"/>
        </w:rPr>
        <w:t> </w:t>
      </w:r>
      <w:r w:rsidRPr="0043317B">
        <w:rPr>
          <w:i/>
          <w:iCs/>
          <w:lang w:val="fr-FR"/>
        </w:rPr>
        <w:t>A. c. Danemark</w:t>
      </w:r>
      <w:r w:rsidRPr="0043317B">
        <w:rPr>
          <w:lang w:val="fr-FR"/>
        </w:rPr>
        <w:t xml:space="preserve"> [GC], n</w:t>
      </w:r>
      <w:r w:rsidRPr="0043317B">
        <w:rPr>
          <w:vertAlign w:val="superscript"/>
          <w:lang w:val="fr-FR"/>
        </w:rPr>
        <w:t>os</w:t>
      </w:r>
      <w:r w:rsidRPr="0043317B">
        <w:rPr>
          <w:lang w:val="fr-FR"/>
        </w:rPr>
        <w:t xml:space="preserve"> 35553/12 et 2 autres, § 148, 22</w:t>
      </w:r>
      <w:r w:rsidRPr="0043317B" w:rsidR="003C4A77">
        <w:rPr>
          <w:lang w:val="fr-FR"/>
        </w:rPr>
        <w:t> </w:t>
      </w:r>
      <w:r w:rsidRPr="0043317B">
        <w:rPr>
          <w:lang w:val="fr-FR"/>
        </w:rPr>
        <w:t xml:space="preserve">octobre 2018, et </w:t>
      </w:r>
      <w:r w:rsidRPr="0043317B">
        <w:rPr>
          <w:i/>
          <w:iCs/>
          <w:lang w:val="fr-FR"/>
        </w:rPr>
        <w:t>Molla Sali c. Grèce</w:t>
      </w:r>
      <w:r w:rsidRPr="0043317B">
        <w:rPr>
          <w:lang w:val="fr-FR"/>
        </w:rPr>
        <w:t xml:space="preserve"> [GC], n</w:t>
      </w:r>
      <w:r w:rsidRPr="0043317B">
        <w:rPr>
          <w:vertAlign w:val="superscript"/>
          <w:lang w:val="fr-FR"/>
        </w:rPr>
        <w:t>o</w:t>
      </w:r>
      <w:r w:rsidRPr="0043317B">
        <w:rPr>
          <w:lang w:val="fr-FR"/>
        </w:rPr>
        <w:t xml:space="preserve"> 20452/14, § 149, 19 décembre 2018).</w:t>
      </w:r>
    </w:p>
    <w:p w:rsidRPr="0043317B" w:rsidR="000A45C0" w:rsidP="0043317B" w:rsidRDefault="000A45C0">
      <w:pPr>
        <w:pStyle w:val="ECHRPara"/>
        <w:rPr>
          <w:lang w:val="fr-FR"/>
        </w:rPr>
      </w:pPr>
      <w:r w:rsidRPr="0043317B">
        <w:fldChar w:fldCharType="begin"/>
      </w:r>
      <w:r w:rsidRPr="0043317B">
        <w:rPr>
          <w:lang w:val="fr-FR"/>
        </w:rPr>
        <w:instrText xml:space="preserve"> SEQ level0 \*arabic </w:instrText>
      </w:r>
      <w:r w:rsidRPr="0043317B">
        <w:fldChar w:fldCharType="separate"/>
      </w:r>
      <w:r w:rsidRPr="0043317B" w:rsidR="0043317B">
        <w:rPr>
          <w:noProof/>
          <w:lang w:val="fr-FR"/>
        </w:rPr>
        <w:t>199</w:t>
      </w:r>
      <w:r w:rsidRPr="0043317B">
        <w:rPr>
          <w:lang w:val="fr-FR"/>
        </w:rPr>
        <w:fldChar w:fldCharType="end"/>
      </w:r>
      <w:r w:rsidRPr="0043317B">
        <w:rPr>
          <w:lang w:val="fr-FR"/>
        </w:rPr>
        <w:t>.  Dans la présente affaire, la Cour note que la loi n</w:t>
      </w:r>
      <w:r w:rsidRPr="0043317B" w:rsidR="003C4A77">
        <w:rPr>
          <w:vertAlign w:val="superscript"/>
          <w:lang w:val="fr-FR"/>
        </w:rPr>
        <w:t xml:space="preserve">o </w:t>
      </w:r>
      <w:r w:rsidRPr="0043317B">
        <w:rPr>
          <w:lang w:val="fr-FR"/>
        </w:rPr>
        <w:t>4969 du 31 juillet 2003, qui, en son article 2 provisoire, a servi de fondement à l</w:t>
      </w:r>
      <w:r w:rsidRPr="0043317B" w:rsidR="0043317B">
        <w:rPr>
          <w:lang w:val="fr-FR"/>
        </w:rPr>
        <w:t>’</w:t>
      </w:r>
      <w:r w:rsidRPr="0043317B">
        <w:rPr>
          <w:lang w:val="fr-FR"/>
        </w:rPr>
        <w:t>ordonnance de mesures conservatoires et les autres lois applicables en l</w:t>
      </w:r>
      <w:r w:rsidRPr="0043317B" w:rsidR="0043317B">
        <w:rPr>
          <w:lang w:val="fr-FR"/>
        </w:rPr>
        <w:t>’</w:t>
      </w:r>
      <w:r w:rsidRPr="0043317B">
        <w:rPr>
          <w:lang w:val="fr-FR"/>
        </w:rPr>
        <w:t>espèce, qui ont servi à motiver le maintien de ces mesures, sont entrées en vigueur après la date de transfert de la gestion et du contrôle de İmarbank. Cela dit, une éventuelle application de l</w:t>
      </w:r>
      <w:r w:rsidRPr="0043317B" w:rsidR="0043317B">
        <w:rPr>
          <w:lang w:val="fr-FR"/>
        </w:rPr>
        <w:t>’</w:t>
      </w:r>
      <w:r w:rsidRPr="0043317B">
        <w:rPr>
          <w:lang w:val="fr-FR"/>
        </w:rPr>
        <w:t>article additionnel 1 de l</w:t>
      </w:r>
      <w:r w:rsidRPr="0043317B" w:rsidR="0043317B">
        <w:rPr>
          <w:lang w:val="fr-FR"/>
        </w:rPr>
        <w:t>’</w:t>
      </w:r>
      <w:r w:rsidRPr="0043317B" w:rsidR="003C4A77">
        <w:rPr>
          <w:lang w:val="fr-FR"/>
        </w:rPr>
        <w:t>ancienne loi </w:t>
      </w:r>
      <w:r w:rsidRPr="0043317B">
        <w:rPr>
          <w:lang w:val="fr-FR"/>
        </w:rPr>
        <w:t>n</w:t>
      </w:r>
      <w:r w:rsidRPr="0043317B">
        <w:rPr>
          <w:vertAlign w:val="superscript"/>
          <w:lang w:val="fr-FR"/>
        </w:rPr>
        <w:t>o</w:t>
      </w:r>
      <w:r w:rsidRPr="0043317B">
        <w:rPr>
          <w:lang w:val="fr-FR"/>
        </w:rPr>
        <w:t> 4389, telle que modifiée par la loi n</w:t>
      </w:r>
      <w:r w:rsidRPr="0043317B">
        <w:rPr>
          <w:vertAlign w:val="superscript"/>
          <w:lang w:val="fr-FR"/>
        </w:rPr>
        <w:t>o</w:t>
      </w:r>
      <w:r w:rsidRPr="0043317B">
        <w:rPr>
          <w:lang w:val="fr-FR"/>
        </w:rPr>
        <w:t xml:space="preserve"> 5020 du 26 décembre 2003, et de l</w:t>
      </w:r>
      <w:r w:rsidRPr="0043317B" w:rsidR="0043317B">
        <w:rPr>
          <w:lang w:val="fr-FR"/>
        </w:rPr>
        <w:t>’</w:t>
      </w:r>
      <w:r w:rsidRPr="0043317B" w:rsidR="003C4A77">
        <w:rPr>
          <w:lang w:val="fr-FR"/>
        </w:rPr>
        <w:t>article </w:t>
      </w:r>
      <w:r w:rsidRPr="0043317B">
        <w:rPr>
          <w:lang w:val="fr-FR"/>
        </w:rPr>
        <w:t>135 de la loi n</w:t>
      </w:r>
      <w:r w:rsidRPr="0043317B">
        <w:rPr>
          <w:vertAlign w:val="superscript"/>
          <w:lang w:val="fr-FR"/>
        </w:rPr>
        <w:t>o</w:t>
      </w:r>
      <w:r w:rsidRPr="0043317B">
        <w:rPr>
          <w:lang w:val="fr-FR"/>
        </w:rPr>
        <w:t> 5411 du 19 octobre 2005 au cas des requérants n</w:t>
      </w:r>
      <w:r w:rsidRPr="0043317B" w:rsidR="0043317B">
        <w:rPr>
          <w:lang w:val="fr-FR"/>
        </w:rPr>
        <w:t>’</w:t>
      </w:r>
      <w:r w:rsidRPr="0043317B">
        <w:rPr>
          <w:lang w:val="fr-FR"/>
        </w:rPr>
        <w:t xml:space="preserve">aurait pas constitué </w:t>
      </w:r>
      <w:r w:rsidRPr="0043317B">
        <w:rPr>
          <w:i/>
          <w:lang w:val="fr-FR"/>
        </w:rPr>
        <w:t>per se</w:t>
      </w:r>
      <w:r w:rsidRPr="0043317B">
        <w:rPr>
          <w:lang w:val="fr-FR"/>
        </w:rPr>
        <w:t xml:space="preserve"> une violation de l</w:t>
      </w:r>
      <w:r w:rsidRPr="0043317B" w:rsidR="0043317B">
        <w:rPr>
          <w:lang w:val="fr-FR"/>
        </w:rPr>
        <w:t>’</w:t>
      </w:r>
      <w:r w:rsidRPr="0043317B">
        <w:rPr>
          <w:lang w:val="fr-FR"/>
        </w:rPr>
        <w:t>article 1 du Protocole</w:t>
      </w:r>
      <w:r w:rsidRPr="0043317B" w:rsidR="003C4A77">
        <w:rPr>
          <w:lang w:val="fr-FR"/>
        </w:rPr>
        <w:t> </w:t>
      </w:r>
      <w:r w:rsidRPr="0043317B">
        <w:rPr>
          <w:lang w:val="fr-FR"/>
        </w:rPr>
        <w:t>n</w:t>
      </w:r>
      <w:r w:rsidRPr="0043317B">
        <w:rPr>
          <w:vertAlign w:val="superscript"/>
          <w:lang w:val="fr-FR"/>
        </w:rPr>
        <w:t>o</w:t>
      </w:r>
      <w:r w:rsidRPr="0043317B" w:rsidR="003C4A77">
        <w:rPr>
          <w:vertAlign w:val="superscript"/>
          <w:lang w:val="fr-FR"/>
        </w:rPr>
        <w:t> </w:t>
      </w:r>
      <w:r w:rsidRPr="0043317B">
        <w:rPr>
          <w:lang w:val="fr-FR"/>
        </w:rPr>
        <w:t>1, car cette dernière disposition n</w:t>
      </w:r>
      <w:r w:rsidRPr="0043317B" w:rsidR="0043317B">
        <w:rPr>
          <w:lang w:val="fr-FR"/>
        </w:rPr>
        <w:t>’</w:t>
      </w:r>
      <w:r w:rsidRPr="0043317B">
        <w:rPr>
          <w:lang w:val="fr-FR"/>
        </w:rPr>
        <w:t>interdit pas, en tant que telle, l</w:t>
      </w:r>
      <w:r w:rsidRPr="0043317B" w:rsidR="0043317B">
        <w:rPr>
          <w:lang w:val="fr-FR"/>
        </w:rPr>
        <w:t>’</w:t>
      </w:r>
      <w:r w:rsidRPr="0043317B">
        <w:rPr>
          <w:lang w:val="fr-FR"/>
        </w:rPr>
        <w:t>application rétroactive d</w:t>
      </w:r>
      <w:r w:rsidRPr="0043317B" w:rsidR="0043317B">
        <w:rPr>
          <w:lang w:val="fr-FR"/>
        </w:rPr>
        <w:t>’</w:t>
      </w:r>
      <w:r w:rsidRPr="0043317B">
        <w:rPr>
          <w:lang w:val="fr-FR"/>
        </w:rPr>
        <w:t xml:space="preserve">une loi en matière civile (voir, </w:t>
      </w:r>
      <w:r w:rsidRPr="0043317B">
        <w:rPr>
          <w:i/>
          <w:lang w:val="fr-FR"/>
        </w:rPr>
        <w:t>mutatis mutandis</w:t>
      </w:r>
      <w:r w:rsidRPr="0043317B">
        <w:rPr>
          <w:lang w:val="fr-FR"/>
        </w:rPr>
        <w:t xml:space="preserve">, </w:t>
      </w:r>
      <w:r w:rsidRPr="0043317B">
        <w:rPr>
          <w:i/>
          <w:lang w:val="fr-FR"/>
        </w:rPr>
        <w:t>M.A. et autres c. Finlande</w:t>
      </w:r>
      <w:r w:rsidRPr="0043317B">
        <w:rPr>
          <w:lang w:val="fr-FR"/>
        </w:rPr>
        <w:t xml:space="preserve"> (déc.), n</w:t>
      </w:r>
      <w:r w:rsidRPr="0043317B">
        <w:rPr>
          <w:vertAlign w:val="superscript"/>
          <w:lang w:val="fr-FR"/>
        </w:rPr>
        <w:t>o</w:t>
      </w:r>
      <w:r w:rsidRPr="0043317B">
        <w:rPr>
          <w:lang w:val="fr-FR"/>
        </w:rPr>
        <w:t xml:space="preserve"> 27793/95, 10 juin 2003, et </w:t>
      </w:r>
      <w:r w:rsidRPr="0043317B" w:rsidR="003C4A77">
        <w:rPr>
          <w:i/>
          <w:lang w:val="fr-FR"/>
        </w:rPr>
        <w:t>Di Belmonte c. </w:t>
      </w:r>
      <w:r w:rsidRPr="0043317B">
        <w:rPr>
          <w:i/>
          <w:lang w:val="fr-FR"/>
        </w:rPr>
        <w:t>Italie (n</w:t>
      </w:r>
      <w:r w:rsidRPr="0043317B">
        <w:rPr>
          <w:i/>
          <w:vertAlign w:val="superscript"/>
          <w:lang w:val="fr-FR"/>
        </w:rPr>
        <w:t>o</w:t>
      </w:r>
      <w:r w:rsidRPr="0043317B">
        <w:rPr>
          <w:i/>
          <w:lang w:val="fr-FR"/>
        </w:rPr>
        <w:t> 2)</w:t>
      </w:r>
      <w:r w:rsidRPr="0043317B">
        <w:rPr>
          <w:lang w:val="fr-FR"/>
        </w:rPr>
        <w:t xml:space="preserve"> (déc.), n</w:t>
      </w:r>
      <w:r w:rsidRPr="0043317B">
        <w:rPr>
          <w:vertAlign w:val="superscript"/>
          <w:lang w:val="fr-FR"/>
        </w:rPr>
        <w:t>o</w:t>
      </w:r>
      <w:r w:rsidRPr="0043317B" w:rsidR="003C4A77">
        <w:rPr>
          <w:lang w:val="fr-FR"/>
        </w:rPr>
        <w:t xml:space="preserve"> </w:t>
      </w:r>
      <w:r w:rsidRPr="0043317B">
        <w:rPr>
          <w:lang w:val="fr-FR"/>
        </w:rPr>
        <w:t>72665/01, 3 juin 2004).</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200</w:t>
      </w:r>
      <w:r w:rsidRPr="0043317B">
        <w:rPr>
          <w:lang w:val="fr-FR"/>
        </w:rPr>
        <w:fldChar w:fldCharType="end"/>
      </w:r>
      <w:r w:rsidRPr="0043317B">
        <w:rPr>
          <w:lang w:val="fr-FR"/>
        </w:rPr>
        <w:t>.  En l</w:t>
      </w:r>
      <w:r w:rsidRPr="0043317B" w:rsidR="0043317B">
        <w:rPr>
          <w:lang w:val="fr-FR"/>
        </w:rPr>
        <w:t>’</w:t>
      </w:r>
      <w:r w:rsidRPr="0043317B">
        <w:rPr>
          <w:lang w:val="fr-FR"/>
        </w:rPr>
        <w:t>occurrence, aux yeux de la Cour, se posent plutôt la question de savoir si les lois qui ont servi de fondement aux mesures conservatoires étaient suffisamment accessibles, précises et prévisibles, et celle de savoir si les requérants, qui ont tous bénéficié d</w:t>
      </w:r>
      <w:r w:rsidRPr="0043317B" w:rsidR="0043317B">
        <w:rPr>
          <w:lang w:val="fr-FR"/>
        </w:rPr>
        <w:t>’</w:t>
      </w:r>
      <w:r w:rsidRPr="0043317B">
        <w:rPr>
          <w:lang w:val="fr-FR"/>
        </w:rPr>
        <w:t>une décision de non-lieu le 21 janvier 2004 –</w:t>
      </w:r>
      <w:r w:rsidRPr="0043317B" w:rsidR="003C4A77">
        <w:rPr>
          <w:lang w:val="fr-FR"/>
        </w:rPr>
        <w:t> </w:t>
      </w:r>
      <w:r w:rsidRPr="0043317B">
        <w:rPr>
          <w:lang w:val="fr-FR"/>
        </w:rPr>
        <w:t>soit quelques mois après le déclenchement de l</w:t>
      </w:r>
      <w:r w:rsidRPr="0043317B" w:rsidR="0043317B">
        <w:rPr>
          <w:lang w:val="fr-FR"/>
        </w:rPr>
        <w:t>’</w:t>
      </w:r>
      <w:r w:rsidRPr="0043317B">
        <w:rPr>
          <w:lang w:val="fr-FR"/>
        </w:rPr>
        <w:t>affaire</w:t>
      </w:r>
      <w:r w:rsidRPr="0043317B" w:rsidR="003C4A77">
        <w:rPr>
          <w:lang w:val="fr-FR"/>
        </w:rPr>
        <w:t> </w:t>
      </w:r>
      <w:r w:rsidRPr="0043317B">
        <w:rPr>
          <w:lang w:val="fr-FR"/>
        </w:rPr>
        <w:t>–</w:t>
      </w:r>
      <w:r w:rsidRPr="0043317B" w:rsidR="003C4A77">
        <w:rPr>
          <w:lang w:val="fr-FR"/>
        </w:rPr>
        <w:t xml:space="preserve"> </w:t>
      </w:r>
      <w:r w:rsidRPr="0043317B">
        <w:rPr>
          <w:lang w:val="fr-FR"/>
        </w:rPr>
        <w:t>et qui n</w:t>
      </w:r>
      <w:r w:rsidRPr="0043317B" w:rsidR="0043317B">
        <w:rPr>
          <w:lang w:val="fr-FR"/>
        </w:rPr>
        <w:t>’</w:t>
      </w:r>
      <w:r w:rsidRPr="0043317B">
        <w:rPr>
          <w:lang w:val="fr-FR"/>
        </w:rPr>
        <w:t>ont jamais été condamnés par les juridictions internes dans le cadre de cette affaire, pouvaient ou devaient s</w:t>
      </w:r>
      <w:r w:rsidRPr="0043317B" w:rsidR="0043317B">
        <w:rPr>
          <w:lang w:val="fr-FR"/>
        </w:rPr>
        <w:t>’</w:t>
      </w:r>
      <w:r w:rsidRPr="0043317B">
        <w:rPr>
          <w:lang w:val="fr-FR"/>
        </w:rPr>
        <w:t>attendre à une application automatique de ces mesures tout au long de la procédure. Il convient ainsi de déterminer, à la lumière de l</w:t>
      </w:r>
      <w:r w:rsidRPr="0043317B" w:rsidR="0043317B">
        <w:rPr>
          <w:lang w:val="fr-FR"/>
        </w:rPr>
        <w:t>’</w:t>
      </w:r>
      <w:r w:rsidRPr="0043317B">
        <w:rPr>
          <w:lang w:val="fr-FR"/>
        </w:rPr>
        <w:t>article 135 de la loi n</w:t>
      </w:r>
      <w:r w:rsidRPr="0043317B">
        <w:rPr>
          <w:vertAlign w:val="superscript"/>
          <w:lang w:val="fr-FR"/>
        </w:rPr>
        <w:t>o</w:t>
      </w:r>
      <w:r w:rsidRPr="0043317B">
        <w:rPr>
          <w:lang w:val="fr-FR"/>
        </w:rPr>
        <w:t xml:space="preserve"> 5411</w:t>
      </w:r>
      <w:r w:rsidRPr="0043317B" w:rsidR="003C4A77">
        <w:rPr>
          <w:lang w:val="fr-FR"/>
        </w:rPr>
        <w:t xml:space="preserve"> – </w:t>
      </w:r>
      <w:r w:rsidRPr="0043317B">
        <w:rPr>
          <w:lang w:val="fr-FR"/>
        </w:rPr>
        <w:t>selon lequel les tribunaux internes doivent désigner les responsables des pertes financières, qui seront alors tenus de rembourser au FADE les sommes que ce dernier a dû verser aux clients de la banque dans le cadre de l</w:t>
      </w:r>
      <w:r w:rsidRPr="0043317B" w:rsidR="0043317B">
        <w:rPr>
          <w:lang w:val="fr-FR"/>
        </w:rPr>
        <w:t>’</w:t>
      </w:r>
      <w:r w:rsidRPr="0043317B">
        <w:rPr>
          <w:lang w:val="fr-FR"/>
        </w:rPr>
        <w:t>assurance sur les dépôts d</w:t>
      </w:r>
      <w:r w:rsidRPr="0043317B" w:rsidR="0043317B">
        <w:rPr>
          <w:lang w:val="fr-FR"/>
        </w:rPr>
        <w:t>’</w:t>
      </w:r>
      <w:r w:rsidRPr="0043317B">
        <w:rPr>
          <w:lang w:val="fr-FR"/>
        </w:rPr>
        <w:t>épargne</w:t>
      </w:r>
      <w:r w:rsidRPr="0043317B" w:rsidR="003C4A77">
        <w:rPr>
          <w:lang w:val="fr-FR"/>
        </w:rPr>
        <w:t> </w:t>
      </w:r>
      <w:r w:rsidRPr="0043317B">
        <w:rPr>
          <w:lang w:val="fr-FR"/>
        </w:rPr>
        <w:t>–, si et dans quelle mesure, après l</w:t>
      </w:r>
      <w:r w:rsidRPr="0043317B" w:rsidR="0043317B">
        <w:rPr>
          <w:lang w:val="fr-FR"/>
        </w:rPr>
        <w:t>’</w:t>
      </w:r>
      <w:r w:rsidRPr="0043317B">
        <w:rPr>
          <w:lang w:val="fr-FR"/>
        </w:rPr>
        <w:t>adoption de la décision de non-lieu (pour tous les requérants) et celle des décisions d</w:t>
      </w:r>
      <w:r w:rsidRPr="0043317B" w:rsidR="0043317B">
        <w:rPr>
          <w:lang w:val="fr-FR"/>
        </w:rPr>
        <w:t>’</w:t>
      </w:r>
      <w:r w:rsidRPr="0043317B">
        <w:rPr>
          <w:lang w:val="fr-FR"/>
        </w:rPr>
        <w:t>acquittement (pour les requérantes Nimet Hülya Talu et Bilge Doğru), les requérants pouvaient être tenues responsables du préjudice matériel subi par le FADE. La Cour est d</w:t>
      </w:r>
      <w:r w:rsidRPr="0043317B" w:rsidR="0043317B">
        <w:rPr>
          <w:lang w:val="fr-FR"/>
        </w:rPr>
        <w:t>’</w:t>
      </w:r>
      <w:r w:rsidRPr="0043317B">
        <w:rPr>
          <w:lang w:val="fr-FR"/>
        </w:rPr>
        <w:t>avis qu</w:t>
      </w:r>
      <w:r w:rsidRPr="0043317B" w:rsidR="0043317B">
        <w:rPr>
          <w:lang w:val="fr-FR"/>
        </w:rPr>
        <w:t>’</w:t>
      </w:r>
      <w:r w:rsidRPr="0043317B">
        <w:rPr>
          <w:lang w:val="fr-FR"/>
        </w:rPr>
        <w:t>une réponse affirmative ne semble pas être évidente.</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201</w:t>
      </w:r>
      <w:r w:rsidRPr="0043317B">
        <w:rPr>
          <w:lang w:val="fr-FR"/>
        </w:rPr>
        <w:fldChar w:fldCharType="end"/>
      </w:r>
      <w:r w:rsidRPr="0043317B">
        <w:rPr>
          <w:lang w:val="fr-FR"/>
        </w:rPr>
        <w:t>.  En tout état de cause, la Cour note qu</w:t>
      </w:r>
      <w:r w:rsidRPr="0043317B" w:rsidR="0043317B">
        <w:rPr>
          <w:lang w:val="fr-FR"/>
        </w:rPr>
        <w:t>’</w:t>
      </w:r>
      <w:r w:rsidRPr="0043317B">
        <w:rPr>
          <w:lang w:val="fr-FR"/>
        </w:rPr>
        <w:t>il était loisible aux tribunaux, en vertu des lois en question, de décider le maintien des mesures conservatoires tant que toutes les sommes réclamées par le FADE n</w:t>
      </w:r>
      <w:r w:rsidRPr="0043317B" w:rsidR="0043317B">
        <w:rPr>
          <w:lang w:val="fr-FR"/>
        </w:rPr>
        <w:t>’</w:t>
      </w:r>
      <w:r w:rsidRPr="0043317B">
        <w:rPr>
          <w:lang w:val="fr-FR"/>
        </w:rPr>
        <w:t>avaient pas été recouvrées, et ce dans un contexte marqué par une incertitude quant à l</w:t>
      </w:r>
      <w:r w:rsidRPr="0043317B" w:rsidR="0043317B">
        <w:rPr>
          <w:lang w:val="fr-FR"/>
        </w:rPr>
        <w:t>’</w:t>
      </w:r>
      <w:r w:rsidRPr="0043317B">
        <w:rPr>
          <w:lang w:val="fr-FR"/>
        </w:rPr>
        <w:t>issue de la procédure pénale visant les responsables présumés des pertes financières étant donné l</w:t>
      </w:r>
      <w:r w:rsidRPr="0043317B" w:rsidR="0043317B">
        <w:rPr>
          <w:lang w:val="fr-FR"/>
        </w:rPr>
        <w:t>’</w:t>
      </w:r>
      <w:r w:rsidRPr="0043317B">
        <w:rPr>
          <w:lang w:val="fr-FR"/>
        </w:rPr>
        <w:t>absence de ces personnes. Pour les raisons énoncées ci-après, elle ne juge pas nécessaire d</w:t>
      </w:r>
      <w:r w:rsidRPr="0043317B" w:rsidR="0043317B">
        <w:rPr>
          <w:lang w:val="fr-FR"/>
        </w:rPr>
        <w:t>’</w:t>
      </w:r>
      <w:r w:rsidRPr="0043317B">
        <w:rPr>
          <w:lang w:val="fr-FR"/>
        </w:rPr>
        <w:t>examiner p</w:t>
      </w:r>
      <w:r w:rsidRPr="0043317B" w:rsidR="002A7BF0">
        <w:rPr>
          <w:lang w:val="fr-FR"/>
        </w:rPr>
        <w:t>l</w:t>
      </w:r>
      <w:r w:rsidRPr="0043317B">
        <w:rPr>
          <w:lang w:val="fr-FR"/>
        </w:rPr>
        <w:t>us avant le point de savoir si un pouvoir discrétionnaire aussi vaste réponde au critère de légalité.</w:t>
      </w:r>
    </w:p>
    <w:p w:rsidRPr="0043317B" w:rsidR="000A45C0" w:rsidP="0043317B" w:rsidRDefault="000A45C0">
      <w:pPr>
        <w:pStyle w:val="ECHRHeading4"/>
        <w:rPr>
          <w:lang w:val="fr-FR"/>
        </w:rPr>
      </w:pPr>
      <w:r w:rsidRPr="0043317B">
        <w:rPr>
          <w:lang w:val="fr-FR"/>
        </w:rPr>
        <w:t>c)  Sur le but légitime de l</w:t>
      </w:r>
      <w:r w:rsidRPr="0043317B" w:rsidR="0043317B">
        <w:rPr>
          <w:lang w:val="fr-FR"/>
        </w:rPr>
        <w:t>’</w:t>
      </w:r>
      <w:r w:rsidRPr="0043317B">
        <w:rPr>
          <w:lang w:val="fr-FR"/>
        </w:rPr>
        <w:t>ingérence</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202</w:t>
      </w:r>
      <w:r w:rsidRPr="0043317B">
        <w:rPr>
          <w:lang w:val="fr-FR"/>
        </w:rPr>
        <w:fldChar w:fldCharType="end"/>
      </w:r>
      <w:r w:rsidRPr="0043317B">
        <w:rPr>
          <w:lang w:val="fr-FR"/>
        </w:rPr>
        <w:t>.  La Cour note qu</w:t>
      </w:r>
      <w:r w:rsidRPr="0043317B" w:rsidR="0043317B">
        <w:rPr>
          <w:lang w:val="fr-FR"/>
        </w:rPr>
        <w:t>’</w:t>
      </w:r>
      <w:r w:rsidRPr="0043317B">
        <w:rPr>
          <w:lang w:val="fr-FR"/>
        </w:rPr>
        <w:t>il n</w:t>
      </w:r>
      <w:r w:rsidRPr="0043317B" w:rsidR="0043317B">
        <w:rPr>
          <w:lang w:val="fr-FR"/>
        </w:rPr>
        <w:t>’</w:t>
      </w:r>
      <w:r w:rsidRPr="0043317B">
        <w:rPr>
          <w:lang w:val="fr-FR"/>
        </w:rPr>
        <w:t>est pas controversé entre les parties que les mesures litigieuses répondaient à un intérêt général, qui était d</w:t>
      </w:r>
      <w:r w:rsidRPr="0043317B" w:rsidR="0043317B">
        <w:rPr>
          <w:lang w:val="fr-FR"/>
        </w:rPr>
        <w:t>’</w:t>
      </w:r>
      <w:r w:rsidRPr="0043317B">
        <w:rPr>
          <w:lang w:val="fr-FR"/>
        </w:rPr>
        <w:t>empêcher l</w:t>
      </w:r>
      <w:r w:rsidRPr="0043317B" w:rsidR="0043317B">
        <w:rPr>
          <w:lang w:val="fr-FR"/>
        </w:rPr>
        <w:t>’</w:t>
      </w:r>
      <w:r w:rsidRPr="0043317B">
        <w:rPr>
          <w:lang w:val="fr-FR"/>
        </w:rPr>
        <w:t>usage de biens susceptibles d</w:t>
      </w:r>
      <w:r w:rsidRPr="0043317B" w:rsidR="0043317B">
        <w:rPr>
          <w:lang w:val="fr-FR"/>
        </w:rPr>
        <w:t>’</w:t>
      </w:r>
      <w:r w:rsidRPr="0043317B">
        <w:rPr>
          <w:lang w:val="fr-FR"/>
        </w:rPr>
        <w:t>avoir été acquis avec des fonds provenant d</w:t>
      </w:r>
      <w:r w:rsidRPr="0043317B" w:rsidR="0043317B">
        <w:rPr>
          <w:lang w:val="fr-FR"/>
        </w:rPr>
        <w:t>’</w:t>
      </w:r>
      <w:r w:rsidRPr="0043317B">
        <w:rPr>
          <w:lang w:val="fr-FR"/>
        </w:rPr>
        <w:t>activités criminelles. La question qui se pose est celle de savoir si, dans les circonstances concrètes de l</w:t>
      </w:r>
      <w:r w:rsidRPr="0043317B" w:rsidR="0043317B">
        <w:rPr>
          <w:lang w:val="fr-FR"/>
        </w:rPr>
        <w:t>’</w:t>
      </w:r>
      <w:r w:rsidRPr="0043317B">
        <w:rPr>
          <w:lang w:val="fr-FR"/>
        </w:rPr>
        <w:t>affaire, l</w:t>
      </w:r>
      <w:r w:rsidRPr="0043317B" w:rsidR="0043317B">
        <w:rPr>
          <w:lang w:val="fr-FR"/>
        </w:rPr>
        <w:t>’</w:t>
      </w:r>
      <w:r w:rsidRPr="0043317B">
        <w:rPr>
          <w:lang w:val="fr-FR"/>
        </w:rPr>
        <w:t>application des lois en question et la durée excessive et incertaine des mesures conservatoires ont imposé aux requérants des charges excessives.</w:t>
      </w:r>
    </w:p>
    <w:p w:rsidRPr="0043317B" w:rsidR="000A45C0" w:rsidP="0043317B" w:rsidRDefault="000A45C0">
      <w:pPr>
        <w:pStyle w:val="ECHRHeading4"/>
        <w:rPr>
          <w:lang w:val="fr-FR"/>
        </w:rPr>
      </w:pPr>
      <w:r w:rsidRPr="0043317B">
        <w:rPr>
          <w:lang w:val="fr-FR"/>
        </w:rPr>
        <w:t>d)  Sur la proportionnalité de l</w:t>
      </w:r>
      <w:r w:rsidRPr="0043317B" w:rsidR="0043317B">
        <w:rPr>
          <w:lang w:val="fr-FR"/>
        </w:rPr>
        <w:t>’</w:t>
      </w:r>
      <w:r w:rsidRPr="0043317B">
        <w:rPr>
          <w:lang w:val="fr-FR"/>
        </w:rPr>
        <w:t>ingérence</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203</w:t>
      </w:r>
      <w:r w:rsidRPr="0043317B">
        <w:rPr>
          <w:lang w:val="fr-FR"/>
        </w:rPr>
        <w:fldChar w:fldCharType="end"/>
      </w:r>
      <w:r w:rsidRPr="0043317B">
        <w:rPr>
          <w:lang w:val="fr-FR"/>
        </w:rPr>
        <w:t>.  Quant à la proportionnalité des mesures en cause, la Cour rappelle que l</w:t>
      </w:r>
      <w:r w:rsidRPr="0043317B" w:rsidR="0043317B">
        <w:rPr>
          <w:lang w:val="fr-FR"/>
        </w:rPr>
        <w:t>’</w:t>
      </w:r>
      <w:r w:rsidRPr="0043317B">
        <w:rPr>
          <w:lang w:val="fr-FR"/>
        </w:rPr>
        <w:t>article 1 du Protocole n</w:t>
      </w:r>
      <w:r w:rsidRPr="0043317B">
        <w:rPr>
          <w:vertAlign w:val="superscript"/>
          <w:lang w:val="fr-FR"/>
        </w:rPr>
        <w:t>o</w:t>
      </w:r>
      <w:r w:rsidRPr="0043317B">
        <w:rPr>
          <w:lang w:val="fr-FR"/>
        </w:rPr>
        <w:t> 1 exige pour toute ingérence un rapport raisonnable de proportionnalité entre les moyens employés et le but visé (</w:t>
      </w:r>
      <w:r w:rsidRPr="0043317B">
        <w:rPr>
          <w:i/>
          <w:iCs/>
          <w:lang w:val="fr-FR"/>
        </w:rPr>
        <w:t xml:space="preserve">Jahn et autres c. Allemagne </w:t>
      </w:r>
      <w:r w:rsidRPr="0043317B">
        <w:rPr>
          <w:lang w:val="fr-FR"/>
        </w:rPr>
        <w:t>[GC], n</w:t>
      </w:r>
      <w:r w:rsidRPr="0043317B">
        <w:rPr>
          <w:vertAlign w:val="superscript"/>
          <w:lang w:val="fr-FR"/>
        </w:rPr>
        <w:t>os</w:t>
      </w:r>
      <w:r w:rsidRPr="0043317B" w:rsidR="003C4A77">
        <w:rPr>
          <w:lang w:val="fr-FR"/>
        </w:rPr>
        <w:t xml:space="preserve"> 46720/99, 72203/01 et </w:t>
      </w:r>
      <w:r w:rsidRPr="0043317B">
        <w:rPr>
          <w:lang w:val="fr-FR"/>
        </w:rPr>
        <w:t>72552/01, §§ 83-95, CEDH</w:t>
      </w:r>
      <w:r w:rsidRPr="0043317B" w:rsidR="003C4A77">
        <w:rPr>
          <w:lang w:val="fr-FR"/>
        </w:rPr>
        <w:t xml:space="preserve"> </w:t>
      </w:r>
      <w:r w:rsidRPr="0043317B">
        <w:rPr>
          <w:lang w:val="fr-FR"/>
        </w:rPr>
        <w:t>2005-VI). Ce juste équilibre est rompu si la personne concernée doit supporter une charge excessive et exorbitante (</w:t>
      </w:r>
      <w:r w:rsidRPr="0043317B">
        <w:rPr>
          <w:i/>
          <w:iCs/>
          <w:lang w:val="fr-FR"/>
        </w:rPr>
        <w:t>Sporrong et Lönnroth</w:t>
      </w:r>
      <w:r w:rsidRPr="0043317B">
        <w:rPr>
          <w:iCs/>
          <w:lang w:val="fr-FR"/>
        </w:rPr>
        <w:t xml:space="preserve"> </w:t>
      </w:r>
      <w:r w:rsidRPr="0043317B">
        <w:rPr>
          <w:i/>
          <w:iCs/>
          <w:lang w:val="fr-FR"/>
        </w:rPr>
        <w:t>c. Suède</w:t>
      </w:r>
      <w:r w:rsidRPr="0043317B">
        <w:rPr>
          <w:iCs/>
          <w:lang w:val="fr-FR"/>
        </w:rPr>
        <w:t xml:space="preserve">, 23 septembre 1982, </w:t>
      </w:r>
      <w:r w:rsidRPr="0043317B">
        <w:rPr>
          <w:lang w:val="fr-FR"/>
        </w:rPr>
        <w:t xml:space="preserve">§§ 69-74, </w:t>
      </w:r>
      <w:r w:rsidRPr="0043317B">
        <w:rPr>
          <w:iCs/>
          <w:lang w:val="fr-FR"/>
        </w:rPr>
        <w:t>série A n</w:t>
      </w:r>
      <w:r w:rsidRPr="0043317B">
        <w:rPr>
          <w:iCs/>
          <w:vertAlign w:val="superscript"/>
          <w:lang w:val="fr-FR"/>
        </w:rPr>
        <w:t>o</w:t>
      </w:r>
      <w:r w:rsidRPr="0043317B">
        <w:rPr>
          <w:iCs/>
          <w:lang w:val="fr-FR"/>
        </w:rPr>
        <w:t xml:space="preserve"> 52, </w:t>
      </w:r>
      <w:r w:rsidRPr="0043317B">
        <w:rPr>
          <w:i/>
          <w:iCs/>
          <w:lang w:val="fr-FR"/>
        </w:rPr>
        <w:t>Maggio et autres c. Italie</w:t>
      </w:r>
      <w:r w:rsidRPr="0043317B">
        <w:rPr>
          <w:lang w:val="fr-FR"/>
        </w:rPr>
        <w:t>, n</w:t>
      </w:r>
      <w:r w:rsidRPr="0043317B">
        <w:rPr>
          <w:vertAlign w:val="superscript"/>
          <w:lang w:val="fr-FR"/>
        </w:rPr>
        <w:t>os</w:t>
      </w:r>
      <w:r w:rsidRPr="0043317B">
        <w:rPr>
          <w:lang w:val="fr-FR"/>
        </w:rPr>
        <w:t xml:space="preserve"> 46286/09, </w:t>
      </w:r>
      <w:r w:rsidRPr="0043317B" w:rsidR="003C4A77">
        <w:rPr>
          <w:lang w:val="fr-FR"/>
        </w:rPr>
        <w:t>52851/08, 53727/08, 54486/08 et </w:t>
      </w:r>
      <w:r w:rsidRPr="0043317B">
        <w:rPr>
          <w:lang w:val="fr-FR"/>
        </w:rPr>
        <w:t xml:space="preserve">56001/08, § 57, 31 mai 2011, et </w:t>
      </w:r>
      <w:r w:rsidRPr="0043317B">
        <w:rPr>
          <w:i/>
          <w:iCs/>
          <w:lang w:val="fr-FR"/>
        </w:rPr>
        <w:t xml:space="preserve">G.I.E.M. S.R.L. et autres c. Italie </w:t>
      </w:r>
      <w:r w:rsidRPr="0043317B">
        <w:rPr>
          <w:iCs/>
          <w:lang w:val="fr-FR"/>
        </w:rPr>
        <w:t>(fond)</w:t>
      </w:r>
      <w:r w:rsidRPr="0043317B">
        <w:rPr>
          <w:lang w:val="fr-FR"/>
        </w:rPr>
        <w:t xml:space="preserve"> [GC]</w:t>
      </w:r>
      <w:r w:rsidRPr="0043317B">
        <w:rPr>
          <w:iCs/>
          <w:lang w:val="fr-FR"/>
        </w:rPr>
        <w:t>,</w:t>
      </w:r>
      <w:r w:rsidRPr="0043317B">
        <w:rPr>
          <w:lang w:val="fr-FR"/>
        </w:rPr>
        <w:t xml:space="preserve"> n</w:t>
      </w:r>
      <w:r w:rsidRPr="0043317B">
        <w:rPr>
          <w:vertAlign w:val="superscript"/>
          <w:lang w:val="fr-FR"/>
        </w:rPr>
        <w:t>os</w:t>
      </w:r>
      <w:r w:rsidRPr="0043317B">
        <w:rPr>
          <w:lang w:val="fr-FR"/>
        </w:rPr>
        <w:t> 1828/06 et 2 autres, § 300, 28 juin 2018).</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204</w:t>
      </w:r>
      <w:r w:rsidRPr="0043317B">
        <w:rPr>
          <w:lang w:val="fr-FR"/>
        </w:rPr>
        <w:fldChar w:fldCharType="end"/>
      </w:r>
      <w:r w:rsidRPr="0043317B">
        <w:rPr>
          <w:lang w:val="fr-FR"/>
        </w:rPr>
        <w:t>.  En l</w:t>
      </w:r>
      <w:r w:rsidRPr="0043317B" w:rsidR="0043317B">
        <w:rPr>
          <w:lang w:val="fr-FR"/>
        </w:rPr>
        <w:t>’</w:t>
      </w:r>
      <w:r w:rsidRPr="0043317B">
        <w:rPr>
          <w:lang w:val="fr-FR"/>
        </w:rPr>
        <w:t>espèce, la Cour dit tout d</w:t>
      </w:r>
      <w:r w:rsidRPr="0043317B" w:rsidR="0043317B">
        <w:rPr>
          <w:lang w:val="fr-FR"/>
        </w:rPr>
        <w:t>’</w:t>
      </w:r>
      <w:r w:rsidRPr="0043317B">
        <w:rPr>
          <w:lang w:val="fr-FR"/>
        </w:rPr>
        <w:t>abord reconnaître l</w:t>
      </w:r>
      <w:r w:rsidRPr="0043317B" w:rsidR="0043317B">
        <w:rPr>
          <w:lang w:val="fr-FR"/>
        </w:rPr>
        <w:t>’</w:t>
      </w:r>
      <w:r w:rsidRPr="0043317B">
        <w:rPr>
          <w:lang w:val="fr-FR"/>
        </w:rPr>
        <w:t>importance et la complexité de l</w:t>
      </w:r>
      <w:r w:rsidRPr="0043317B" w:rsidR="0043317B">
        <w:rPr>
          <w:lang w:val="fr-FR"/>
        </w:rPr>
        <w:t>’</w:t>
      </w:r>
      <w:r w:rsidRPr="0043317B">
        <w:rPr>
          <w:lang w:val="fr-FR"/>
        </w:rPr>
        <w:t xml:space="preserve">affaire </w:t>
      </w:r>
      <w:r w:rsidRPr="0043317B">
        <w:rPr>
          <w:i/>
          <w:lang w:val="fr-FR"/>
        </w:rPr>
        <w:t>İmarbank</w:t>
      </w:r>
      <w:r w:rsidRPr="0043317B">
        <w:rPr>
          <w:lang w:val="fr-FR"/>
        </w:rPr>
        <w:t xml:space="preserve"> pour les autorités financières, administratives et judiciaires turques, ainsi que la nécessité de prendre des mesures afin de protéger les droits d</w:t>
      </w:r>
      <w:r w:rsidRPr="0043317B" w:rsidR="0043317B">
        <w:rPr>
          <w:lang w:val="fr-FR"/>
        </w:rPr>
        <w:t>’</w:t>
      </w:r>
      <w:r w:rsidRPr="0043317B">
        <w:rPr>
          <w:lang w:val="fr-FR"/>
        </w:rPr>
        <w:t>un large nombre d</w:t>
      </w:r>
      <w:r w:rsidRPr="0043317B" w:rsidR="0043317B">
        <w:rPr>
          <w:lang w:val="fr-FR"/>
        </w:rPr>
        <w:t>’</w:t>
      </w:r>
      <w:r w:rsidRPr="0043317B">
        <w:rPr>
          <w:lang w:val="fr-FR"/>
        </w:rPr>
        <w:t xml:space="preserve">individus affectés par la situation, de minorer les pertes éventuelles et de prévenir tout acte frauduleux, de recouvrer les fonds publics et de trouver les responsables présumés des pertes financières. Destinées à empêcher les transferts frauduleux de fonds publics, les mesures conservatoires peuvent constituer une arme efficace et nécessaire pour combattre des actes frauduleux dans le milieu financier (voir, </w:t>
      </w:r>
      <w:r w:rsidRPr="0043317B">
        <w:rPr>
          <w:i/>
          <w:lang w:val="fr-FR"/>
        </w:rPr>
        <w:t>mutatis mutandis</w:t>
      </w:r>
      <w:r w:rsidRPr="0043317B">
        <w:rPr>
          <w:lang w:val="fr-FR"/>
        </w:rPr>
        <w:t xml:space="preserve">, </w:t>
      </w:r>
      <w:r w:rsidRPr="0043317B">
        <w:rPr>
          <w:i/>
          <w:lang w:val="fr-FR"/>
        </w:rPr>
        <w:t>Raimondo c. Italie</w:t>
      </w:r>
      <w:r w:rsidRPr="0043317B" w:rsidR="003C4A77">
        <w:rPr>
          <w:lang w:val="fr-FR"/>
        </w:rPr>
        <w:t>, 22 </w:t>
      </w:r>
      <w:r w:rsidRPr="0043317B">
        <w:rPr>
          <w:lang w:val="fr-FR"/>
        </w:rPr>
        <w:t>février 1994, § 30, série A n</w:t>
      </w:r>
      <w:r w:rsidRPr="0043317B">
        <w:rPr>
          <w:vertAlign w:val="superscript"/>
          <w:lang w:val="fr-FR"/>
        </w:rPr>
        <w:t>o</w:t>
      </w:r>
      <w:r w:rsidRPr="0043317B">
        <w:rPr>
          <w:lang w:val="fr-FR"/>
        </w:rPr>
        <w:t xml:space="preserve"> 281</w:t>
      </w:r>
      <w:r w:rsidRPr="0043317B">
        <w:rPr>
          <w:lang w:val="fr-FR"/>
        </w:rPr>
        <w:noBreakHyphen/>
        <w:t xml:space="preserve">A, et </w:t>
      </w:r>
      <w:r w:rsidRPr="0043317B">
        <w:rPr>
          <w:i/>
          <w:lang w:val="fr-FR"/>
        </w:rPr>
        <w:t xml:space="preserve">Arcuri c. Italie </w:t>
      </w:r>
      <w:r w:rsidRPr="0043317B">
        <w:rPr>
          <w:lang w:val="fr-FR"/>
        </w:rPr>
        <w:t>(déc.), n</w:t>
      </w:r>
      <w:r w:rsidRPr="0043317B">
        <w:rPr>
          <w:vertAlign w:val="superscript"/>
          <w:lang w:val="fr-FR"/>
        </w:rPr>
        <w:t>o</w:t>
      </w:r>
      <w:r w:rsidRPr="0043317B" w:rsidR="003C4A77">
        <w:rPr>
          <w:lang w:val="fr-FR"/>
        </w:rPr>
        <w:t> </w:t>
      </w:r>
      <w:r w:rsidRPr="0043317B">
        <w:rPr>
          <w:lang w:val="fr-FR"/>
        </w:rPr>
        <w:t>52024/99, CEDH 2001</w:t>
      </w:r>
      <w:r w:rsidRPr="0043317B">
        <w:rPr>
          <w:lang w:val="fr-FR"/>
        </w:rPr>
        <w:noBreakHyphen/>
        <w:t>VII). Dans ce contexte, la Cour constate que l</w:t>
      </w:r>
      <w:r w:rsidRPr="0043317B" w:rsidR="0043317B">
        <w:rPr>
          <w:lang w:val="fr-FR"/>
        </w:rPr>
        <w:t>’</w:t>
      </w:r>
      <w:r w:rsidRPr="0043317B">
        <w:rPr>
          <w:lang w:val="fr-FR"/>
        </w:rPr>
        <w:t>imposition des mesures provisoires par la 2</w:t>
      </w:r>
      <w:r w:rsidRPr="0043317B">
        <w:rPr>
          <w:vertAlign w:val="superscript"/>
          <w:lang w:val="fr-FR"/>
        </w:rPr>
        <w:t>e</w:t>
      </w:r>
      <w:r w:rsidRPr="0043317B">
        <w:rPr>
          <w:lang w:val="fr-FR"/>
        </w:rPr>
        <w:t> chambre du tribunal de police de Şişli, le 14 août 2003, ne va pas en soi à l</w:t>
      </w:r>
      <w:r w:rsidRPr="0043317B" w:rsidR="0043317B">
        <w:rPr>
          <w:lang w:val="fr-FR"/>
        </w:rPr>
        <w:t>’</w:t>
      </w:r>
      <w:r w:rsidRPr="0043317B">
        <w:rPr>
          <w:lang w:val="fr-FR"/>
        </w:rPr>
        <w:t>encontre du principe de proportionnalité. Elle constate en même temps que les mesures conservatoires et les saisies des biens appartenant aux requérants, que ces derniers soient parties ou non aux procédures, sont, par nature, des mesures sévères et restrictives. Pareilles mesures et saisies sont susceptibles d</w:t>
      </w:r>
      <w:r w:rsidRPr="0043317B" w:rsidR="0043317B">
        <w:rPr>
          <w:lang w:val="fr-FR"/>
        </w:rPr>
        <w:t>’</w:t>
      </w:r>
      <w:r w:rsidRPr="0043317B">
        <w:rPr>
          <w:lang w:val="fr-FR"/>
        </w:rPr>
        <w:t>affecter les droits d</w:t>
      </w:r>
      <w:r w:rsidRPr="0043317B" w:rsidR="0043317B">
        <w:rPr>
          <w:lang w:val="fr-FR"/>
        </w:rPr>
        <w:t>’</w:t>
      </w:r>
      <w:r w:rsidRPr="0043317B">
        <w:rPr>
          <w:lang w:val="fr-FR"/>
        </w:rPr>
        <w:t xml:space="preserve">un propriétaire à un point tel que son activité principale, voire ses conditions de vie, peuvent être compromises (voir, </w:t>
      </w:r>
      <w:r w:rsidRPr="0043317B">
        <w:rPr>
          <w:i/>
          <w:lang w:val="fr-FR"/>
        </w:rPr>
        <w:t>mutatis mutandis</w:t>
      </w:r>
      <w:r w:rsidRPr="0043317B">
        <w:rPr>
          <w:lang w:val="fr-FR"/>
        </w:rPr>
        <w:t xml:space="preserve">, </w:t>
      </w:r>
      <w:r w:rsidRPr="0043317B" w:rsidR="00341AB5">
        <w:rPr>
          <w:i/>
          <w:lang w:val="fr-FR"/>
        </w:rPr>
        <w:t>JGK Statyba Ltd et Guselnikovas c. Lituanie</w:t>
      </w:r>
      <w:r w:rsidRPr="0043317B" w:rsidR="00341AB5">
        <w:rPr>
          <w:lang w:val="fr-FR"/>
        </w:rPr>
        <w:t>, n</w:t>
      </w:r>
      <w:r w:rsidRPr="0043317B" w:rsidR="00341AB5">
        <w:rPr>
          <w:vertAlign w:val="superscript"/>
          <w:lang w:val="fr-FR"/>
        </w:rPr>
        <w:t>o</w:t>
      </w:r>
      <w:r w:rsidRPr="0043317B" w:rsidR="00341AB5">
        <w:rPr>
          <w:lang w:val="fr-FR"/>
        </w:rPr>
        <w:t xml:space="preserve"> 3330/12, § 129, 5 novembre 2013, </w:t>
      </w:r>
      <w:r w:rsidRPr="0043317B">
        <w:rPr>
          <w:i/>
          <w:lang w:val="fr-FR"/>
        </w:rPr>
        <w:t>Markass Car Hire Ltd c. Chypre</w:t>
      </w:r>
      <w:r w:rsidRPr="0043317B">
        <w:rPr>
          <w:lang w:val="fr-FR"/>
        </w:rPr>
        <w:t>, n</w:t>
      </w:r>
      <w:r w:rsidRPr="0043317B">
        <w:rPr>
          <w:vertAlign w:val="superscript"/>
          <w:lang w:val="fr-FR"/>
        </w:rPr>
        <w:t>o</w:t>
      </w:r>
      <w:r w:rsidRPr="0043317B">
        <w:rPr>
          <w:lang w:val="fr-FR"/>
        </w:rPr>
        <w:t xml:space="preserve"> 51591/99, § 39, 2 juillet 2002,</w:t>
      </w:r>
      <w:r w:rsidRPr="0043317B" w:rsidR="00341AB5">
        <w:rPr>
          <w:lang w:val="fr-FR"/>
        </w:rPr>
        <w:t xml:space="preserve"> et</w:t>
      </w:r>
      <w:r w:rsidRPr="0043317B">
        <w:rPr>
          <w:lang w:val="fr-FR"/>
        </w:rPr>
        <w:t xml:space="preserve"> </w:t>
      </w:r>
      <w:r w:rsidRPr="0043317B" w:rsidR="003C4A77">
        <w:rPr>
          <w:i/>
          <w:lang w:val="fr-FR"/>
        </w:rPr>
        <w:t>Vendittelli c. </w:t>
      </w:r>
      <w:r w:rsidRPr="0043317B">
        <w:rPr>
          <w:i/>
          <w:lang w:val="fr-FR"/>
        </w:rPr>
        <w:t>Italie</w:t>
      </w:r>
      <w:r w:rsidRPr="0043317B" w:rsidR="003C4A77">
        <w:rPr>
          <w:lang w:val="fr-FR"/>
        </w:rPr>
        <w:t>, 18 </w:t>
      </w:r>
      <w:r w:rsidRPr="0043317B">
        <w:rPr>
          <w:lang w:val="fr-FR"/>
        </w:rPr>
        <w:t>juillet 1994, § 35, série A n</w:t>
      </w:r>
      <w:r w:rsidRPr="0043317B">
        <w:rPr>
          <w:vertAlign w:val="superscript"/>
          <w:lang w:val="fr-FR"/>
        </w:rPr>
        <w:t>o</w:t>
      </w:r>
      <w:r w:rsidRPr="0043317B" w:rsidR="00341AB5">
        <w:rPr>
          <w:lang w:val="fr-FR"/>
        </w:rPr>
        <w:t> 293</w:t>
      </w:r>
      <w:r w:rsidRPr="0043317B" w:rsidR="00341AB5">
        <w:rPr>
          <w:lang w:val="fr-FR"/>
        </w:rPr>
        <w:noBreakHyphen/>
        <w:t>A</w:t>
      </w:r>
      <w:r w:rsidRPr="0043317B">
        <w:rPr>
          <w:lang w:val="fr-FR"/>
        </w:rPr>
        <w:t>).</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205</w:t>
      </w:r>
      <w:r w:rsidRPr="0043317B">
        <w:rPr>
          <w:lang w:val="fr-FR"/>
        </w:rPr>
        <w:fldChar w:fldCharType="end"/>
      </w:r>
      <w:r w:rsidRPr="0043317B">
        <w:rPr>
          <w:lang w:val="fr-FR"/>
        </w:rPr>
        <w:t>.  La Cour admet que l</w:t>
      </w:r>
      <w:r w:rsidRPr="0043317B" w:rsidR="0043317B">
        <w:rPr>
          <w:lang w:val="fr-FR"/>
        </w:rPr>
        <w:t>’</w:t>
      </w:r>
      <w:r w:rsidRPr="0043317B">
        <w:rPr>
          <w:lang w:val="fr-FR"/>
        </w:rPr>
        <w:t>ordonnance de mesures provisoires, en tant que telle, peut être justifiée par « l</w:t>
      </w:r>
      <w:r w:rsidRPr="0043317B" w:rsidR="0043317B">
        <w:rPr>
          <w:lang w:val="fr-FR"/>
        </w:rPr>
        <w:t>’</w:t>
      </w:r>
      <w:r w:rsidRPr="0043317B">
        <w:rPr>
          <w:lang w:val="fr-FR"/>
        </w:rPr>
        <w:t>intérêt général » si elle vise à prévenir les actes frauduleux afin de garantir la satisfaction du créancier. Toutefois, compte tenu du caractère restrictif des mesures préventives, il faut mettre fin à ces dernières dès lors qu</w:t>
      </w:r>
      <w:r w:rsidRPr="0043317B" w:rsidR="0043317B">
        <w:rPr>
          <w:lang w:val="fr-FR"/>
        </w:rPr>
        <w:t>’</w:t>
      </w:r>
      <w:r w:rsidRPr="0043317B">
        <w:rPr>
          <w:lang w:val="fr-FR"/>
        </w:rPr>
        <w:t xml:space="preserve">elles se révèlent ne plus être nécessaires (voir, </w:t>
      </w:r>
      <w:r w:rsidRPr="0043317B">
        <w:rPr>
          <w:i/>
          <w:lang w:val="fr-FR"/>
        </w:rPr>
        <w:t>mutatis mutandis</w:t>
      </w:r>
      <w:r w:rsidRPr="0043317B">
        <w:rPr>
          <w:lang w:val="fr-FR"/>
        </w:rPr>
        <w:t xml:space="preserve">, </w:t>
      </w:r>
      <w:r w:rsidRPr="0043317B">
        <w:rPr>
          <w:i/>
          <w:lang w:val="fr-FR"/>
        </w:rPr>
        <w:t>Raimondo</w:t>
      </w:r>
      <w:r w:rsidRPr="0043317B">
        <w:rPr>
          <w:lang w:val="fr-FR"/>
        </w:rPr>
        <w:t xml:space="preserve">, précité, § 36, et </w:t>
      </w:r>
      <w:r w:rsidRPr="0043317B">
        <w:rPr>
          <w:i/>
          <w:lang w:val="fr-FR"/>
        </w:rPr>
        <w:t>Vendittelli</w:t>
      </w:r>
      <w:r w:rsidRPr="0043317B">
        <w:rPr>
          <w:lang w:val="fr-FR"/>
        </w:rPr>
        <w:t>, précité, § 40) : en effet, plus les mesures provisoires restent en vigueur, plus l</w:t>
      </w:r>
      <w:r w:rsidRPr="0043317B" w:rsidR="0043317B">
        <w:rPr>
          <w:lang w:val="fr-FR"/>
        </w:rPr>
        <w:t>’</w:t>
      </w:r>
      <w:r w:rsidRPr="0043317B">
        <w:rPr>
          <w:lang w:val="fr-FR"/>
        </w:rPr>
        <w:t>impact sur la jouissance paisible du bien par le propriétaire est important (</w:t>
      </w:r>
      <w:r w:rsidRPr="0043317B">
        <w:rPr>
          <w:i/>
          <w:lang w:val="fr-FR"/>
        </w:rPr>
        <w:t>JGK Statyba Ltd et Guselnikovas</w:t>
      </w:r>
      <w:r w:rsidRPr="0043317B">
        <w:rPr>
          <w:lang w:val="fr-FR"/>
        </w:rPr>
        <w:t>, précité, §</w:t>
      </w:r>
      <w:r w:rsidRPr="0043317B" w:rsidR="003C4A77">
        <w:rPr>
          <w:lang w:val="fr-FR"/>
        </w:rPr>
        <w:t> </w:t>
      </w:r>
      <w:r w:rsidRPr="0043317B">
        <w:rPr>
          <w:lang w:val="fr-FR"/>
        </w:rPr>
        <w:t>130).</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206</w:t>
      </w:r>
      <w:r w:rsidRPr="0043317B">
        <w:rPr>
          <w:lang w:val="fr-FR"/>
        </w:rPr>
        <w:fldChar w:fldCharType="end"/>
      </w:r>
      <w:r w:rsidRPr="0043317B">
        <w:rPr>
          <w:lang w:val="fr-FR"/>
        </w:rPr>
        <w:t>.  En l</w:t>
      </w:r>
      <w:r w:rsidRPr="0043317B" w:rsidR="0043317B">
        <w:rPr>
          <w:lang w:val="fr-FR"/>
        </w:rPr>
        <w:t>’</w:t>
      </w:r>
      <w:r w:rsidRPr="0043317B">
        <w:rPr>
          <w:lang w:val="fr-FR"/>
        </w:rPr>
        <w:t>occurrence, la Cour constate que le problème de la proportionnalité des mesures provisoires se pose plutôt à partir de la date à laquelle les requérants ont bénéficié de la décision de non-lieu du 21</w:t>
      </w:r>
      <w:r w:rsidRPr="0043317B" w:rsidR="003C4A77">
        <w:rPr>
          <w:lang w:val="fr-FR"/>
        </w:rPr>
        <w:t> </w:t>
      </w:r>
      <w:r w:rsidRPr="0043317B">
        <w:rPr>
          <w:lang w:val="fr-FR"/>
        </w:rPr>
        <w:t>janvier 2004.</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207</w:t>
      </w:r>
      <w:r w:rsidRPr="0043317B">
        <w:rPr>
          <w:lang w:val="fr-FR"/>
        </w:rPr>
        <w:fldChar w:fldCharType="end"/>
      </w:r>
      <w:r w:rsidRPr="0043317B">
        <w:rPr>
          <w:lang w:val="fr-FR"/>
        </w:rPr>
        <w:t>.  Elle estime qu</w:t>
      </w:r>
      <w:r w:rsidRPr="0043317B" w:rsidR="0043317B">
        <w:rPr>
          <w:lang w:val="fr-FR"/>
        </w:rPr>
        <w:t>’</w:t>
      </w:r>
      <w:r w:rsidRPr="0043317B">
        <w:rPr>
          <w:lang w:val="fr-FR"/>
        </w:rPr>
        <w:t>en l</w:t>
      </w:r>
      <w:r w:rsidRPr="0043317B" w:rsidR="0043317B">
        <w:rPr>
          <w:lang w:val="fr-FR"/>
        </w:rPr>
        <w:t>’</w:t>
      </w:r>
      <w:r w:rsidRPr="0043317B">
        <w:rPr>
          <w:lang w:val="fr-FR"/>
        </w:rPr>
        <w:t xml:space="preserve">espèce la violation alléguée du droit de propriété des requérants est étroitement liée, entre autres, à la durée de la procédure et en est une conséquence indirecte (voir, </w:t>
      </w:r>
      <w:r w:rsidRPr="0043317B">
        <w:rPr>
          <w:i/>
          <w:lang w:val="fr-FR"/>
        </w:rPr>
        <w:t>mutatis mutandis</w:t>
      </w:r>
      <w:r w:rsidRPr="0043317B">
        <w:rPr>
          <w:lang w:val="fr-FR"/>
        </w:rPr>
        <w:t xml:space="preserve">, </w:t>
      </w:r>
      <w:r w:rsidRPr="0043317B">
        <w:rPr>
          <w:i/>
          <w:lang w:val="fr-FR"/>
        </w:rPr>
        <w:t>Kunić c. Croatie</w:t>
      </w:r>
      <w:r w:rsidRPr="0043317B">
        <w:rPr>
          <w:lang w:val="fr-FR"/>
        </w:rPr>
        <w:t>, n</w:t>
      </w:r>
      <w:r w:rsidRPr="0043317B">
        <w:rPr>
          <w:vertAlign w:val="superscript"/>
          <w:lang w:val="fr-FR"/>
        </w:rPr>
        <w:t>o</w:t>
      </w:r>
      <w:r w:rsidRPr="0043317B">
        <w:rPr>
          <w:lang w:val="fr-FR"/>
        </w:rPr>
        <w:t xml:space="preserve"> 22344/02, § 67, 11 janvier 2007, et </w:t>
      </w:r>
      <w:r w:rsidRPr="0043317B">
        <w:rPr>
          <w:i/>
          <w:lang w:val="fr-FR"/>
        </w:rPr>
        <w:t>JGK Statyba Ltd et Guselnikovas</w:t>
      </w:r>
      <w:r w:rsidRPr="0043317B">
        <w:rPr>
          <w:lang w:val="fr-FR"/>
        </w:rPr>
        <w:t>,</w:t>
      </w:r>
      <w:r w:rsidRPr="0043317B">
        <w:rPr>
          <w:i/>
          <w:lang w:val="fr-FR"/>
        </w:rPr>
        <w:t xml:space="preserve"> </w:t>
      </w:r>
      <w:r w:rsidRPr="0043317B">
        <w:rPr>
          <w:lang w:val="fr-FR"/>
        </w:rPr>
        <w:t xml:space="preserve">précité, § 131). Il y a lieu de souligner que les mesures conservatoires litigieuses sont restées en vigueur </w:t>
      </w:r>
      <w:r w:rsidRPr="0043317B" w:rsidR="00EE1DBF">
        <w:rPr>
          <w:rFonts w:ascii="Times New Roman" w:hAnsi="Times New Roman" w:eastAsia="Times New Roman" w:cs="Times New Roman"/>
          <w:lang w:val="fr-FR"/>
        </w:rPr>
        <w:t>au moins près de dix</w:t>
      </w:r>
      <w:r w:rsidRPr="0043317B" w:rsidR="003C4A77">
        <w:rPr>
          <w:lang w:val="fr-FR"/>
        </w:rPr>
        <w:t> </w:t>
      </w:r>
      <w:r w:rsidRPr="0043317B">
        <w:rPr>
          <w:lang w:val="fr-FR"/>
        </w:rPr>
        <w:t>ans dans le cas de chacun des requérants.</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208</w:t>
      </w:r>
      <w:r w:rsidRPr="0043317B">
        <w:rPr>
          <w:lang w:val="fr-FR"/>
        </w:rPr>
        <w:fldChar w:fldCharType="end"/>
      </w:r>
      <w:r w:rsidRPr="0043317B">
        <w:rPr>
          <w:lang w:val="fr-FR"/>
        </w:rPr>
        <w:t>.  Plus précisément, dans le cas des requérants Jasmin Paris Uzan et Renç Emre Uzan, la Cour remarque que les mesures conservatoires ont été levées le 5 mai 2015.</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209</w:t>
      </w:r>
      <w:r w:rsidRPr="0043317B">
        <w:rPr>
          <w:lang w:val="fr-FR"/>
        </w:rPr>
        <w:fldChar w:fldCharType="end"/>
      </w:r>
      <w:r w:rsidRPr="0043317B">
        <w:rPr>
          <w:lang w:val="fr-FR"/>
        </w:rPr>
        <w:t>.  En ce qui concerne la requérante Ayla Uzan-Ashaboğlu, la Cour note que le Gouvernement et l</w:t>
      </w:r>
      <w:r w:rsidRPr="0043317B" w:rsidR="0043317B">
        <w:rPr>
          <w:lang w:val="fr-FR"/>
        </w:rPr>
        <w:t>’</w:t>
      </w:r>
      <w:r w:rsidRPr="0043317B">
        <w:rPr>
          <w:lang w:val="fr-FR"/>
        </w:rPr>
        <w:t>intéressée s</w:t>
      </w:r>
      <w:r w:rsidRPr="0043317B" w:rsidR="0043317B">
        <w:rPr>
          <w:lang w:val="fr-FR"/>
        </w:rPr>
        <w:t>’</w:t>
      </w:r>
      <w:r w:rsidRPr="0043317B">
        <w:rPr>
          <w:lang w:val="fr-FR"/>
        </w:rPr>
        <w:t>accordent pour dire que les mesures prises à encontre de celle-ci sont toujours en vigueur.</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210</w:t>
      </w:r>
      <w:r w:rsidRPr="0043317B">
        <w:rPr>
          <w:lang w:val="fr-FR"/>
        </w:rPr>
        <w:fldChar w:fldCharType="end"/>
      </w:r>
      <w:r w:rsidRPr="0043317B">
        <w:rPr>
          <w:lang w:val="fr-FR"/>
        </w:rPr>
        <w:t>.  Elle note que, pour la requérante Nimet Hülya Talu, ces mesures ont été levées le 16 avril 2013, alors que celle-ci a été acquittée 13</w:t>
      </w:r>
      <w:r w:rsidRPr="0043317B" w:rsidR="003C4A77">
        <w:rPr>
          <w:lang w:val="fr-FR"/>
        </w:rPr>
        <w:t> </w:t>
      </w:r>
      <w:r w:rsidRPr="0043317B">
        <w:rPr>
          <w:lang w:val="fr-FR"/>
        </w:rPr>
        <w:t>mars 2008, par la cour d</w:t>
      </w:r>
      <w:r w:rsidRPr="0043317B" w:rsidR="0043317B">
        <w:rPr>
          <w:lang w:val="fr-FR"/>
        </w:rPr>
        <w:t>’</w:t>
      </w:r>
      <w:r w:rsidRPr="0043317B">
        <w:rPr>
          <w:lang w:val="fr-FR"/>
        </w:rPr>
        <w:t>assises, des chefs de gestion d</w:t>
      </w:r>
      <w:r w:rsidRPr="0043317B" w:rsidR="0043317B">
        <w:rPr>
          <w:lang w:val="fr-FR"/>
        </w:rPr>
        <w:t>’</w:t>
      </w:r>
      <w:r w:rsidRPr="0043317B">
        <w:rPr>
          <w:lang w:val="fr-FR"/>
        </w:rPr>
        <w:t>opérations bancaires frauduleuse et de non</w:t>
      </w:r>
      <w:r w:rsidRPr="0043317B">
        <w:rPr>
          <w:lang w:val="fr-FR"/>
        </w:rPr>
        <w:noBreakHyphen/>
        <w:t>communication des documents et renseignements requis par les autorités judiciaires.</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211</w:t>
      </w:r>
      <w:r w:rsidRPr="0043317B">
        <w:rPr>
          <w:lang w:val="fr-FR"/>
        </w:rPr>
        <w:fldChar w:fldCharType="end"/>
      </w:r>
      <w:r w:rsidRPr="0043317B">
        <w:rPr>
          <w:lang w:val="fr-FR"/>
        </w:rPr>
        <w:t>.  Enfin, s</w:t>
      </w:r>
      <w:r w:rsidRPr="0043317B" w:rsidR="0043317B">
        <w:rPr>
          <w:lang w:val="fr-FR"/>
        </w:rPr>
        <w:t>’</w:t>
      </w:r>
      <w:r w:rsidRPr="0043317B">
        <w:rPr>
          <w:lang w:val="fr-FR"/>
        </w:rPr>
        <w:t>agissant de la requérante Bilge Doğru, il convient d</w:t>
      </w:r>
      <w:r w:rsidRPr="0043317B" w:rsidR="0043317B">
        <w:rPr>
          <w:lang w:val="fr-FR"/>
        </w:rPr>
        <w:t>’</w:t>
      </w:r>
      <w:r w:rsidRPr="0043317B">
        <w:rPr>
          <w:lang w:val="fr-FR"/>
        </w:rPr>
        <w:t>observer que, alors que le Gouvernement a informé la Cour de la levée, le 4</w:t>
      </w:r>
      <w:r w:rsidRPr="0043317B" w:rsidR="003C4A77">
        <w:rPr>
          <w:lang w:val="fr-FR"/>
        </w:rPr>
        <w:t> </w:t>
      </w:r>
      <w:r w:rsidRPr="0043317B">
        <w:rPr>
          <w:lang w:val="fr-FR"/>
        </w:rPr>
        <w:t>novembre 2013, des mesures conservatoires imposées à ladite requérante, le représentant de cette dernière a fourni des documents démontrant que les mesures visant le patrimoine de sa cliente –</w:t>
      </w:r>
      <w:r w:rsidRPr="0043317B" w:rsidR="003C4A77">
        <w:rPr>
          <w:lang w:val="fr-FR"/>
        </w:rPr>
        <w:t> </w:t>
      </w:r>
      <w:r w:rsidRPr="0043317B">
        <w:rPr>
          <w:lang w:val="fr-FR"/>
        </w:rPr>
        <w:t>pourtant acquittée le 8 juillet 2008, par la cour d</w:t>
      </w:r>
      <w:r w:rsidRPr="0043317B" w:rsidR="0043317B">
        <w:rPr>
          <w:lang w:val="fr-FR"/>
        </w:rPr>
        <w:t>’</w:t>
      </w:r>
      <w:r w:rsidRPr="0043317B">
        <w:rPr>
          <w:lang w:val="fr-FR"/>
        </w:rPr>
        <w:t>assises, des chefs de gestion d</w:t>
      </w:r>
      <w:r w:rsidRPr="0043317B" w:rsidR="0043317B">
        <w:rPr>
          <w:lang w:val="fr-FR"/>
        </w:rPr>
        <w:t>’</w:t>
      </w:r>
      <w:r w:rsidRPr="0043317B">
        <w:rPr>
          <w:lang w:val="fr-FR"/>
        </w:rPr>
        <w:t>opérations bancaires frauduleuse et de non</w:t>
      </w:r>
      <w:r w:rsidRPr="0043317B">
        <w:rPr>
          <w:lang w:val="fr-FR"/>
        </w:rPr>
        <w:noBreakHyphen/>
        <w:t>communication des documents et renseignements requi</w:t>
      </w:r>
      <w:r w:rsidRPr="0043317B" w:rsidR="003C4A77">
        <w:rPr>
          <w:lang w:val="fr-FR"/>
        </w:rPr>
        <w:t>s par les autorités judiciaires </w:t>
      </w:r>
      <w:r w:rsidRPr="0043317B">
        <w:rPr>
          <w:lang w:val="fr-FR"/>
        </w:rPr>
        <w:t>– étaient maintenues, du moins partiellement.</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212</w:t>
      </w:r>
      <w:r w:rsidRPr="0043317B">
        <w:rPr>
          <w:lang w:val="fr-FR"/>
        </w:rPr>
        <w:fldChar w:fldCharType="end"/>
      </w:r>
      <w:r w:rsidRPr="0043317B">
        <w:rPr>
          <w:lang w:val="fr-FR"/>
        </w:rPr>
        <w:t>.  En évaluant la gravité de la charge imposée aux requérants, la Cour juge également pertinents les éléments suivants.</w:t>
      </w:r>
    </w:p>
    <w:p w:rsidRPr="0043317B" w:rsidR="000A45C0" w:rsidP="0043317B" w:rsidRDefault="000A45C0">
      <w:pPr>
        <w:pStyle w:val="ECHRPara"/>
        <w:rPr>
          <w:i/>
          <w:lang w:val="it-IT"/>
        </w:rPr>
      </w:pPr>
      <w:r w:rsidRPr="0043317B">
        <w:rPr>
          <w:lang w:val="fr-FR"/>
        </w:rPr>
        <w:t>–</w:t>
      </w:r>
      <w:r w:rsidRPr="0043317B" w:rsidR="00F707C8">
        <w:rPr>
          <w:lang w:val="fr-FR"/>
        </w:rPr>
        <w:t>  </w:t>
      </w:r>
      <w:r w:rsidRPr="0043317B">
        <w:rPr>
          <w:lang w:val="fr-FR"/>
        </w:rPr>
        <w:t>La durée de la validité des restrictions en cause, qui se sont poursuivies sur plus de douze ans pour les requérants Jasmin Paris Uzan et Renç</w:t>
      </w:r>
      <w:r w:rsidRPr="0043317B" w:rsidR="003C4A77">
        <w:rPr>
          <w:lang w:val="fr-FR"/>
        </w:rPr>
        <w:t> </w:t>
      </w:r>
      <w:r w:rsidRPr="0043317B">
        <w:rPr>
          <w:lang w:val="fr-FR"/>
        </w:rPr>
        <w:t>Emre</w:t>
      </w:r>
      <w:r w:rsidRPr="0043317B" w:rsidR="003C4A77">
        <w:rPr>
          <w:lang w:val="fr-FR"/>
        </w:rPr>
        <w:t> </w:t>
      </w:r>
      <w:r w:rsidRPr="0043317B">
        <w:rPr>
          <w:lang w:val="fr-FR"/>
        </w:rPr>
        <w:t xml:space="preserve">Uzan, </w:t>
      </w:r>
      <w:r w:rsidRPr="0043317B" w:rsidR="00406A89">
        <w:rPr>
          <w:lang w:val="fr-FR"/>
        </w:rPr>
        <w:t xml:space="preserve">sur près de dix ans </w:t>
      </w:r>
      <w:r w:rsidRPr="0043317B">
        <w:rPr>
          <w:lang w:val="fr-FR"/>
        </w:rPr>
        <w:t>pour la requérante</w:t>
      </w:r>
      <w:r w:rsidRPr="0043317B" w:rsidR="00CB2B6D">
        <w:rPr>
          <w:lang w:val="fr-FR"/>
        </w:rPr>
        <w:t xml:space="preserve"> Nimet </w:t>
      </w:r>
      <w:r w:rsidRPr="0043317B">
        <w:rPr>
          <w:lang w:val="fr-FR"/>
        </w:rPr>
        <w:t>Hülya</w:t>
      </w:r>
      <w:r w:rsidRPr="0043317B" w:rsidR="00CB2B6D">
        <w:rPr>
          <w:lang w:val="fr-FR"/>
        </w:rPr>
        <w:t> </w:t>
      </w:r>
      <w:r w:rsidRPr="0043317B">
        <w:rPr>
          <w:lang w:val="fr-FR"/>
        </w:rPr>
        <w:t>Talu, et sur plus de quinze ans pour les requérantes Bilge Doğru et Ayla</w:t>
      </w:r>
      <w:r w:rsidRPr="0043317B" w:rsidR="00CB2B6D">
        <w:rPr>
          <w:lang w:val="fr-FR"/>
        </w:rPr>
        <w:t> Uzan</w:t>
      </w:r>
      <w:r w:rsidRPr="0043317B" w:rsidR="00CB2B6D">
        <w:rPr>
          <w:lang w:val="fr-FR"/>
        </w:rPr>
        <w:noBreakHyphen/>
      </w:r>
      <w:r w:rsidRPr="0043317B">
        <w:rPr>
          <w:lang w:val="fr-FR"/>
        </w:rPr>
        <w:t xml:space="preserve">Ashaboğlu (voir, par exemple, les affaires </w:t>
      </w:r>
      <w:r w:rsidRPr="0043317B">
        <w:rPr>
          <w:i/>
          <w:lang w:val="fr-FR"/>
        </w:rPr>
        <w:t>Sporrong et Lönnroth</w:t>
      </w:r>
      <w:r w:rsidRPr="0043317B">
        <w:rPr>
          <w:lang w:val="fr-FR"/>
        </w:rPr>
        <w:t>, précité, §</w:t>
      </w:r>
      <w:r w:rsidRPr="0043317B" w:rsidR="00CB2B6D">
        <w:rPr>
          <w:lang w:val="fr-FR"/>
        </w:rPr>
        <w:t xml:space="preserve"> </w:t>
      </w:r>
      <w:r w:rsidRPr="0043317B">
        <w:rPr>
          <w:lang w:val="fr-FR"/>
        </w:rPr>
        <w:t xml:space="preserve">72, et </w:t>
      </w:r>
      <w:r w:rsidRPr="0043317B">
        <w:rPr>
          <w:i/>
          <w:lang w:val="fr-FR"/>
        </w:rPr>
        <w:t>JGK Statyba Ltd et Guselnikovas</w:t>
      </w:r>
      <w:r w:rsidRPr="0043317B">
        <w:rPr>
          <w:lang w:val="fr-FR"/>
        </w:rPr>
        <w:t>, précité, §</w:t>
      </w:r>
      <w:r w:rsidRPr="0043317B" w:rsidR="00CB2B6D">
        <w:rPr>
          <w:lang w:val="fr-FR"/>
        </w:rPr>
        <w:t> </w:t>
      </w:r>
      <w:r w:rsidRPr="0043317B">
        <w:rPr>
          <w:lang w:val="fr-FR"/>
        </w:rPr>
        <w:t xml:space="preserve">143, où les restrictions à la pleine jouissance du droit de propriété ont duré respectivement douze ans et plus de dix ans ; voir aussi </w:t>
      </w:r>
      <w:r w:rsidRPr="0043317B">
        <w:rPr>
          <w:i/>
          <w:iCs/>
          <w:lang w:val="fr-FR"/>
        </w:rPr>
        <w:t>Zelenchuk et Tsytsyura c. Ukraine</w:t>
      </w:r>
      <w:r w:rsidRPr="0043317B">
        <w:rPr>
          <w:lang w:val="fr-FR"/>
        </w:rPr>
        <w:t>, n</w:t>
      </w:r>
      <w:r w:rsidRPr="0043317B">
        <w:rPr>
          <w:vertAlign w:val="superscript"/>
          <w:lang w:val="fr-FR"/>
        </w:rPr>
        <w:t>os</w:t>
      </w:r>
      <w:r w:rsidRPr="0043317B">
        <w:rPr>
          <w:lang w:val="fr-FR"/>
        </w:rPr>
        <w:t xml:space="preserve"> 846/16 et 1075/16, § 144, 22 mai 2018).</w:t>
      </w:r>
    </w:p>
    <w:p w:rsidRPr="0043317B" w:rsidR="000A45C0" w:rsidP="0043317B" w:rsidRDefault="000A45C0">
      <w:pPr>
        <w:pStyle w:val="ECHRPara"/>
        <w:rPr>
          <w:lang w:val="fr-FR"/>
        </w:rPr>
      </w:pPr>
      <w:r w:rsidRPr="0043317B">
        <w:rPr>
          <w:lang w:val="fr-FR"/>
        </w:rPr>
        <w:t>–</w:t>
      </w:r>
      <w:r w:rsidRPr="0043317B" w:rsidR="00F707C8">
        <w:rPr>
          <w:lang w:val="fr-FR"/>
        </w:rPr>
        <w:t>  </w:t>
      </w:r>
      <w:r w:rsidRPr="0043317B">
        <w:rPr>
          <w:lang w:val="fr-FR"/>
        </w:rPr>
        <w:t>L</w:t>
      </w:r>
      <w:r w:rsidRPr="0043317B" w:rsidR="0043317B">
        <w:rPr>
          <w:lang w:val="fr-FR"/>
        </w:rPr>
        <w:t>’</w:t>
      </w:r>
      <w:r w:rsidRPr="0043317B">
        <w:rPr>
          <w:lang w:val="fr-FR"/>
        </w:rPr>
        <w:t>étendue des restrictions en question, en ce qu</w:t>
      </w:r>
      <w:r w:rsidRPr="0043317B" w:rsidR="0043317B">
        <w:rPr>
          <w:lang w:val="fr-FR"/>
        </w:rPr>
        <w:t>’</w:t>
      </w:r>
      <w:r w:rsidRPr="0043317B">
        <w:rPr>
          <w:lang w:val="fr-FR"/>
        </w:rPr>
        <w:t>elles privent les requérants Jasmin Paris Uzan et Renç Emre Uzan de la possibilité d</w:t>
      </w:r>
      <w:r w:rsidRPr="0043317B" w:rsidR="0043317B">
        <w:rPr>
          <w:lang w:val="fr-FR"/>
        </w:rPr>
        <w:t>’</w:t>
      </w:r>
      <w:r w:rsidRPr="0043317B">
        <w:rPr>
          <w:lang w:val="fr-FR"/>
        </w:rPr>
        <w:t>acquérir toutes sortes de biens, et en ce qu</w:t>
      </w:r>
      <w:r w:rsidRPr="0043317B" w:rsidR="0043317B">
        <w:rPr>
          <w:lang w:val="fr-FR"/>
        </w:rPr>
        <w:t>’</w:t>
      </w:r>
      <w:r w:rsidRPr="0043317B">
        <w:rPr>
          <w:lang w:val="fr-FR"/>
        </w:rPr>
        <w:t>elles empêchent la requérante Nimet Hülya Talu de disposer de son salaire de professeur à l</w:t>
      </w:r>
      <w:r w:rsidRPr="0043317B" w:rsidR="0043317B">
        <w:rPr>
          <w:lang w:val="fr-FR"/>
        </w:rPr>
        <w:t>’</w:t>
      </w:r>
      <w:r w:rsidRPr="0043317B">
        <w:rPr>
          <w:lang w:val="fr-FR"/>
        </w:rPr>
        <w:t>université et de son véhicule, la requérante Bilge Doğru de ses économies et également de sa voiture, et la requérante Ayla Uzan</w:t>
      </w:r>
      <w:r w:rsidRPr="0043317B">
        <w:rPr>
          <w:lang w:val="fr-FR"/>
        </w:rPr>
        <w:noBreakHyphen/>
        <w:t>Ashaboğlu de son domicile et aussi de son véhicule.</w:t>
      </w:r>
    </w:p>
    <w:p w:rsidRPr="0043317B" w:rsidR="000A45C0" w:rsidP="0043317B" w:rsidRDefault="000A45C0">
      <w:pPr>
        <w:pStyle w:val="ECHRPara"/>
        <w:rPr>
          <w:lang w:val="fr-FR"/>
        </w:rPr>
      </w:pPr>
      <w:r w:rsidRPr="0043317B">
        <w:rPr>
          <w:lang w:val="fr-FR"/>
        </w:rPr>
        <w:t>–</w:t>
      </w:r>
      <w:r w:rsidRPr="0043317B" w:rsidR="00F707C8">
        <w:rPr>
          <w:lang w:val="fr-FR"/>
        </w:rPr>
        <w:t>  </w:t>
      </w:r>
      <w:r w:rsidRPr="0043317B">
        <w:rPr>
          <w:lang w:val="fr-FR"/>
        </w:rPr>
        <w:t>Le caractère automatique, généralisé et inflexible des restrictions en cause, qui ne font pas l</w:t>
      </w:r>
      <w:r w:rsidRPr="0043317B" w:rsidR="0043317B">
        <w:rPr>
          <w:lang w:val="fr-FR"/>
        </w:rPr>
        <w:t>’</w:t>
      </w:r>
      <w:r w:rsidRPr="0043317B">
        <w:rPr>
          <w:lang w:val="fr-FR"/>
        </w:rPr>
        <w:t>objet d</w:t>
      </w:r>
      <w:r w:rsidRPr="0043317B" w:rsidR="0043317B">
        <w:rPr>
          <w:lang w:val="fr-FR"/>
        </w:rPr>
        <w:t>’</w:t>
      </w:r>
      <w:r w:rsidRPr="0043317B">
        <w:rPr>
          <w:lang w:val="fr-FR"/>
        </w:rPr>
        <w:t xml:space="preserve">un contrôle régulier individuel (comparer, </w:t>
      </w:r>
      <w:r w:rsidRPr="0043317B">
        <w:rPr>
          <w:i/>
          <w:lang w:val="fr-FR"/>
        </w:rPr>
        <w:t>mutatis mutandis</w:t>
      </w:r>
      <w:r w:rsidRPr="0043317B">
        <w:rPr>
          <w:lang w:val="fr-FR"/>
        </w:rPr>
        <w:t xml:space="preserve">, avec </w:t>
      </w:r>
      <w:r w:rsidRPr="0043317B">
        <w:rPr>
          <w:i/>
          <w:lang w:val="it-IT"/>
        </w:rPr>
        <w:t>Immobiliare Saffi c. Italie</w:t>
      </w:r>
      <w:r w:rsidRPr="0043317B">
        <w:rPr>
          <w:lang w:val="it-IT"/>
        </w:rPr>
        <w:t xml:space="preserve"> [GC], n</w:t>
      </w:r>
      <w:r w:rsidRPr="0043317B">
        <w:rPr>
          <w:vertAlign w:val="superscript"/>
          <w:lang w:val="it-IT"/>
        </w:rPr>
        <w:t>o</w:t>
      </w:r>
      <w:r w:rsidRPr="0043317B">
        <w:rPr>
          <w:lang w:val="it-IT"/>
        </w:rPr>
        <w:t xml:space="preserve"> 22774/93, §</w:t>
      </w:r>
      <w:r w:rsidRPr="0043317B" w:rsidR="00CB2B6D">
        <w:rPr>
          <w:lang w:val="it-IT"/>
        </w:rPr>
        <w:t> </w:t>
      </w:r>
      <w:r w:rsidRPr="0043317B">
        <w:rPr>
          <w:lang w:val="it-IT"/>
        </w:rPr>
        <w:t>54, CEDH 1999</w:t>
      </w:r>
      <w:r w:rsidRPr="0043317B">
        <w:rPr>
          <w:lang w:val="it-IT"/>
        </w:rPr>
        <w:noBreakHyphen/>
        <w:t>V</w:t>
      </w:r>
      <w:r w:rsidRPr="0043317B">
        <w:rPr>
          <w:lang w:val="fr-FR"/>
        </w:rPr>
        <w:t>, § 54, où la Cour a conclu à la violation de l</w:t>
      </w:r>
      <w:r w:rsidRPr="0043317B" w:rsidR="0043317B">
        <w:rPr>
          <w:lang w:val="fr-FR"/>
        </w:rPr>
        <w:t>’</w:t>
      </w:r>
      <w:r w:rsidRPr="0043317B">
        <w:rPr>
          <w:lang w:val="fr-FR"/>
        </w:rPr>
        <w:t>article 1 du Protocole n</w:t>
      </w:r>
      <w:r w:rsidRPr="0043317B">
        <w:rPr>
          <w:vertAlign w:val="superscript"/>
          <w:lang w:val="fr-FR"/>
        </w:rPr>
        <w:t>o</w:t>
      </w:r>
      <w:r w:rsidRPr="0043317B">
        <w:rPr>
          <w:lang w:val="fr-FR"/>
        </w:rPr>
        <w:t xml:space="preserve"> 1 en partie car aucun tribunal n</w:t>
      </w:r>
      <w:r w:rsidRPr="0043317B" w:rsidR="0043317B">
        <w:rPr>
          <w:lang w:val="fr-FR"/>
        </w:rPr>
        <w:t>’</w:t>
      </w:r>
      <w:r w:rsidRPr="0043317B">
        <w:rPr>
          <w:lang w:val="fr-FR"/>
        </w:rPr>
        <w:t>était compétent pour statuer sur les conséquences pouvant découler du retard dans l</w:t>
      </w:r>
      <w:r w:rsidRPr="0043317B" w:rsidR="0043317B">
        <w:rPr>
          <w:lang w:val="fr-FR"/>
        </w:rPr>
        <w:t>’</w:t>
      </w:r>
      <w:r w:rsidRPr="0043317B">
        <w:rPr>
          <w:lang w:val="fr-FR"/>
        </w:rPr>
        <w:t>exécution des ordonnances d</w:t>
      </w:r>
      <w:r w:rsidRPr="0043317B" w:rsidR="0043317B">
        <w:rPr>
          <w:lang w:val="fr-FR"/>
        </w:rPr>
        <w:t>’</w:t>
      </w:r>
      <w:r w:rsidRPr="0043317B">
        <w:rPr>
          <w:lang w:val="fr-FR"/>
        </w:rPr>
        <w:t>expulsion dans l</w:t>
      </w:r>
      <w:r w:rsidRPr="0043317B" w:rsidR="0043317B">
        <w:rPr>
          <w:lang w:val="fr-FR"/>
        </w:rPr>
        <w:t>’</w:t>
      </w:r>
      <w:r w:rsidRPr="0043317B">
        <w:rPr>
          <w:lang w:val="fr-FR"/>
        </w:rPr>
        <w:t>affaire d</w:t>
      </w:r>
      <w:r w:rsidRPr="0043317B" w:rsidR="0043317B">
        <w:rPr>
          <w:lang w:val="fr-FR"/>
        </w:rPr>
        <w:t>’</w:t>
      </w:r>
      <w:r w:rsidRPr="0043317B">
        <w:rPr>
          <w:lang w:val="fr-FR"/>
        </w:rPr>
        <w:t xml:space="preserve">un propriétaire donné, </w:t>
      </w:r>
      <w:r w:rsidRPr="0043317B">
        <w:rPr>
          <w:i/>
          <w:lang w:val="fr-FR"/>
        </w:rPr>
        <w:t>Spadea et Scalabrino</w:t>
      </w:r>
      <w:r w:rsidRPr="0043317B">
        <w:rPr>
          <w:lang w:val="fr-FR"/>
        </w:rPr>
        <w:t xml:space="preserve"> </w:t>
      </w:r>
      <w:r w:rsidRPr="0043317B">
        <w:rPr>
          <w:i/>
          <w:lang w:val="fr-FR"/>
        </w:rPr>
        <w:t>c. Italie</w:t>
      </w:r>
      <w:r w:rsidRPr="0043317B">
        <w:rPr>
          <w:lang w:val="fr-FR"/>
        </w:rPr>
        <w:t>, n</w:t>
      </w:r>
      <w:r w:rsidRPr="0043317B">
        <w:rPr>
          <w:vertAlign w:val="superscript"/>
          <w:lang w:val="fr-FR"/>
        </w:rPr>
        <w:t>o</w:t>
      </w:r>
      <w:r w:rsidRPr="0043317B">
        <w:rPr>
          <w:lang w:val="fr-FR"/>
        </w:rPr>
        <w:t xml:space="preserve"> 12868/87, §§ 37-40, 28 septembre 1995, et </w:t>
      </w:r>
      <w:r w:rsidRPr="0043317B">
        <w:rPr>
          <w:i/>
          <w:lang w:val="fr-FR"/>
        </w:rPr>
        <w:t xml:space="preserve">P. Plaisier BV et autres c. Pays-Bas </w:t>
      </w:r>
      <w:r w:rsidRPr="0043317B">
        <w:rPr>
          <w:lang w:val="fr-FR"/>
        </w:rPr>
        <w:t>(déc.), n</w:t>
      </w:r>
      <w:r w:rsidRPr="0043317B">
        <w:rPr>
          <w:vertAlign w:val="superscript"/>
          <w:lang w:val="fr-FR"/>
        </w:rPr>
        <w:t>os</w:t>
      </w:r>
      <w:r w:rsidRPr="0043317B">
        <w:rPr>
          <w:lang w:val="fr-FR"/>
        </w:rPr>
        <w:t xml:space="preserve"> 46184/16, 47789/16 et 19958/17, § 91, 14 novembre 2017, où une évaluation individualisée de la gravité de la charge imposée à la requérante par les juridictions nationales n</w:t>
      </w:r>
      <w:r w:rsidRPr="0043317B" w:rsidR="0043317B">
        <w:rPr>
          <w:lang w:val="fr-FR"/>
        </w:rPr>
        <w:t>’</w:t>
      </w:r>
      <w:r w:rsidRPr="0043317B">
        <w:rPr>
          <w:lang w:val="fr-FR"/>
        </w:rPr>
        <w:t>a pas été exclue). À cet égard, il convient de constater que les requérants de la présente espèce n</w:t>
      </w:r>
      <w:r w:rsidRPr="0043317B" w:rsidR="0043317B">
        <w:rPr>
          <w:lang w:val="fr-FR"/>
        </w:rPr>
        <w:t>’</w:t>
      </w:r>
      <w:r w:rsidRPr="0043317B">
        <w:rPr>
          <w:lang w:val="fr-FR"/>
        </w:rPr>
        <w:t>ont jamais été condamnés par les juridictions internes dans le cadre de l</w:t>
      </w:r>
      <w:r w:rsidRPr="0043317B" w:rsidR="0043317B">
        <w:rPr>
          <w:lang w:val="fr-FR"/>
        </w:rPr>
        <w:t>’</w:t>
      </w:r>
      <w:r w:rsidRPr="0043317B">
        <w:rPr>
          <w:lang w:val="fr-FR"/>
        </w:rPr>
        <w:t>affaire pénale, et que les ordres de paiement émis à leur encontre ont été annulés par les tribunaux compétents. Ces derniers ont ainsi établi que les intéressés ne pouvaient être tenus pour responsables du préjudice matériel subi par le FADE.</w:t>
      </w:r>
    </w:p>
    <w:p w:rsidRPr="0043317B" w:rsidR="000A45C0" w:rsidP="0043317B" w:rsidRDefault="000A45C0">
      <w:pPr>
        <w:pStyle w:val="ECHRPara"/>
        <w:rPr>
          <w:lang w:val="fr-FR"/>
        </w:rPr>
      </w:pPr>
      <w:r w:rsidRPr="0043317B">
        <w:rPr>
          <w:lang w:val="fr-FR"/>
        </w:rPr>
        <w:t>–</w:t>
      </w:r>
      <w:r w:rsidRPr="0043317B" w:rsidR="00F707C8">
        <w:rPr>
          <w:lang w:val="fr-FR"/>
        </w:rPr>
        <w:t>  </w:t>
      </w:r>
      <w:r w:rsidRPr="0043317B">
        <w:rPr>
          <w:lang w:val="fr-FR"/>
        </w:rPr>
        <w:t>L</w:t>
      </w:r>
      <w:r w:rsidRPr="0043317B" w:rsidR="0043317B">
        <w:rPr>
          <w:lang w:val="fr-FR"/>
        </w:rPr>
        <w:t>’</w:t>
      </w:r>
      <w:r w:rsidRPr="0043317B">
        <w:rPr>
          <w:lang w:val="fr-FR"/>
        </w:rPr>
        <w:t>absence, dans le dossier, d</w:t>
      </w:r>
      <w:r w:rsidRPr="0043317B" w:rsidR="0043317B">
        <w:rPr>
          <w:lang w:val="fr-FR"/>
        </w:rPr>
        <w:t>’</w:t>
      </w:r>
      <w:r w:rsidRPr="0043317B">
        <w:rPr>
          <w:lang w:val="fr-FR"/>
        </w:rPr>
        <w:t>éléments qui laisseraient à penser que les requérants pouvaient avoir été impliqués dans une quelconque fraude. À cet égard, il importe de relever que les intéressés ont tous bénéficié d</w:t>
      </w:r>
      <w:r w:rsidRPr="0043317B" w:rsidR="0043317B">
        <w:rPr>
          <w:lang w:val="fr-FR"/>
        </w:rPr>
        <w:t>’</w:t>
      </w:r>
      <w:r w:rsidRPr="0043317B">
        <w:rPr>
          <w:lang w:val="fr-FR"/>
        </w:rPr>
        <w:t>une décision de non-lieu le 21 janvier 2004, approuvée par la cour d</w:t>
      </w:r>
      <w:r w:rsidRPr="0043317B" w:rsidR="0043317B">
        <w:rPr>
          <w:lang w:val="fr-FR"/>
        </w:rPr>
        <w:t>’</w:t>
      </w:r>
      <w:r w:rsidRPr="0043317B">
        <w:rPr>
          <w:lang w:val="fr-FR"/>
        </w:rPr>
        <w:t>assises de Beyoğlu le 10 mai 2004, et qu</w:t>
      </w:r>
      <w:r w:rsidRPr="0043317B" w:rsidR="0043317B">
        <w:rPr>
          <w:lang w:val="fr-FR"/>
        </w:rPr>
        <w:t>’</w:t>
      </w:r>
      <w:r w:rsidRPr="0043317B">
        <w:rPr>
          <w:lang w:val="fr-FR"/>
        </w:rPr>
        <w:t>ils n</w:t>
      </w:r>
      <w:r w:rsidRPr="0043317B" w:rsidR="0043317B">
        <w:rPr>
          <w:lang w:val="fr-FR"/>
        </w:rPr>
        <w:t>’</w:t>
      </w:r>
      <w:r w:rsidRPr="0043317B">
        <w:rPr>
          <w:lang w:val="fr-FR"/>
        </w:rPr>
        <w:t>étaient pas visés par la procédure pénale principale. Pour autant, les autorités internes n</w:t>
      </w:r>
      <w:r w:rsidRPr="0043317B" w:rsidR="0043317B">
        <w:rPr>
          <w:lang w:val="fr-FR"/>
        </w:rPr>
        <w:t>’</w:t>
      </w:r>
      <w:r w:rsidRPr="0043317B">
        <w:rPr>
          <w:lang w:val="fr-FR"/>
        </w:rPr>
        <w:t>ont envisagé de mesures alternatives que très tardivement, voire jamais. Dans le cas des requérantes Nimet</w:t>
      </w:r>
      <w:r w:rsidRPr="0043317B" w:rsidR="00CB2B6D">
        <w:rPr>
          <w:lang w:val="fr-FR"/>
        </w:rPr>
        <w:t> </w:t>
      </w:r>
      <w:r w:rsidRPr="0043317B">
        <w:rPr>
          <w:lang w:val="fr-FR"/>
        </w:rPr>
        <w:t>Hülya</w:t>
      </w:r>
      <w:r w:rsidRPr="0043317B" w:rsidR="00CB2B6D">
        <w:rPr>
          <w:lang w:val="fr-FR"/>
        </w:rPr>
        <w:t> </w:t>
      </w:r>
      <w:r w:rsidRPr="0043317B">
        <w:rPr>
          <w:lang w:val="fr-FR"/>
        </w:rPr>
        <w:t>Talu et Bilge Doğru, il y a lieu de noter que celles</w:t>
      </w:r>
      <w:r w:rsidRPr="0043317B">
        <w:rPr>
          <w:lang w:val="fr-FR"/>
        </w:rPr>
        <w:noBreakHyphen/>
        <w:t>ci ont bénéficié de décisions d</w:t>
      </w:r>
      <w:r w:rsidRPr="0043317B" w:rsidR="0043317B">
        <w:rPr>
          <w:lang w:val="fr-FR"/>
        </w:rPr>
        <w:t>’</w:t>
      </w:r>
      <w:r w:rsidRPr="0043317B">
        <w:rPr>
          <w:lang w:val="fr-FR"/>
        </w:rPr>
        <w:t>acquittement, le 13 mars 2008 et le 8 juillet 2008 respectivement, mais qu</w:t>
      </w:r>
      <w:r w:rsidRPr="0043317B" w:rsidR="0043317B">
        <w:rPr>
          <w:lang w:val="fr-FR"/>
        </w:rPr>
        <w:t>’</w:t>
      </w:r>
      <w:r w:rsidRPr="0043317B">
        <w:rPr>
          <w:lang w:val="fr-FR"/>
        </w:rPr>
        <w:t>une partie importante des mesures imposées sur leurs biens a continué à être en vigueur</w:t>
      </w:r>
      <w:r w:rsidRPr="0043317B" w:rsidR="00CB2B6D">
        <w:rPr>
          <w:lang w:val="fr-FR"/>
        </w:rPr>
        <w:t xml:space="preserve"> – </w:t>
      </w:r>
      <w:r w:rsidRPr="0043317B">
        <w:rPr>
          <w:lang w:val="fr-FR"/>
        </w:rPr>
        <w:t>et ce alors qu</w:t>
      </w:r>
      <w:r w:rsidRPr="0043317B" w:rsidR="0043317B">
        <w:rPr>
          <w:lang w:val="fr-FR"/>
        </w:rPr>
        <w:t>’</w:t>
      </w:r>
      <w:r w:rsidRPr="0043317B">
        <w:rPr>
          <w:lang w:val="fr-FR"/>
        </w:rPr>
        <w:t>aucune autre procédure pénale dirigée contre les intéressées n</w:t>
      </w:r>
      <w:r w:rsidRPr="0043317B" w:rsidR="0043317B">
        <w:rPr>
          <w:lang w:val="fr-FR"/>
        </w:rPr>
        <w:t>’</w:t>
      </w:r>
      <w:r w:rsidRPr="0043317B">
        <w:rPr>
          <w:lang w:val="fr-FR"/>
        </w:rPr>
        <w:t>était pendante</w:t>
      </w:r>
      <w:r w:rsidRPr="0043317B" w:rsidR="00CB2B6D">
        <w:rPr>
          <w:lang w:val="fr-FR"/>
        </w:rPr>
        <w:t> </w:t>
      </w:r>
      <w:r w:rsidRPr="0043317B">
        <w:rPr>
          <w:lang w:val="fr-FR"/>
        </w:rPr>
        <w:t>–, et que les arriérés de salaire sur dix ans de la première de ces requérantes n</w:t>
      </w:r>
      <w:r w:rsidRPr="0043317B" w:rsidR="0043317B">
        <w:rPr>
          <w:lang w:val="fr-FR"/>
        </w:rPr>
        <w:t>’</w:t>
      </w:r>
      <w:r w:rsidRPr="0043317B">
        <w:rPr>
          <w:lang w:val="fr-FR"/>
        </w:rPr>
        <w:t>ont été versés qu</w:t>
      </w:r>
      <w:r w:rsidRPr="0043317B" w:rsidR="0043317B">
        <w:rPr>
          <w:lang w:val="fr-FR"/>
        </w:rPr>
        <w:t>’</w:t>
      </w:r>
      <w:r w:rsidRPr="0043317B">
        <w:rPr>
          <w:lang w:val="fr-FR"/>
        </w:rPr>
        <w:t xml:space="preserve">en 2013. De même, en ce qui concerne la requérante </w:t>
      </w:r>
      <w:r w:rsidRPr="0043317B" w:rsidR="00CB2B6D">
        <w:rPr>
          <w:lang w:val="fr-FR"/>
        </w:rPr>
        <w:t>Ayla </w:t>
      </w:r>
      <w:r w:rsidRPr="0043317B">
        <w:rPr>
          <w:lang w:val="fr-FR"/>
        </w:rPr>
        <w:t>Uzan</w:t>
      </w:r>
      <w:r w:rsidRPr="0043317B">
        <w:rPr>
          <w:lang w:val="fr-FR"/>
        </w:rPr>
        <w:noBreakHyphen/>
        <w:t>Ashaboğlu, il ne ressort pas du dossier que cette dernière, qui a pourtant bénéficié de décisions de justice rendues en sa faveur, s</w:t>
      </w:r>
      <w:r w:rsidRPr="0043317B" w:rsidR="0043317B">
        <w:rPr>
          <w:lang w:val="fr-FR"/>
        </w:rPr>
        <w:t>’</w:t>
      </w:r>
      <w:r w:rsidRPr="0043317B">
        <w:rPr>
          <w:lang w:val="fr-FR"/>
        </w:rPr>
        <w:t>est vu appliquer une quelconque mesure alternative.</w:t>
      </w:r>
    </w:p>
    <w:p w:rsidRPr="0043317B" w:rsidR="000A45C0" w:rsidP="0043317B" w:rsidRDefault="000A45C0">
      <w:pPr>
        <w:pStyle w:val="ECHRPara"/>
        <w:rPr>
          <w:lang w:val="fr-FR"/>
        </w:rPr>
      </w:pPr>
      <w:r w:rsidRPr="0043317B">
        <w:rPr>
          <w:lang w:val="fr-FR"/>
        </w:rPr>
        <w:t>Toujours est</w:t>
      </w:r>
      <w:r w:rsidRPr="0043317B">
        <w:rPr>
          <w:lang w:val="fr-FR"/>
        </w:rPr>
        <w:noBreakHyphen/>
        <w:t>il qu</w:t>
      </w:r>
      <w:r w:rsidRPr="0043317B" w:rsidR="0043317B">
        <w:rPr>
          <w:lang w:val="fr-FR"/>
        </w:rPr>
        <w:t>’</w:t>
      </w:r>
      <w:r w:rsidRPr="0043317B">
        <w:rPr>
          <w:lang w:val="fr-FR"/>
        </w:rPr>
        <w:t>aucun élément du dossier n</w:t>
      </w:r>
      <w:r w:rsidRPr="0043317B" w:rsidR="0043317B">
        <w:rPr>
          <w:lang w:val="fr-FR"/>
        </w:rPr>
        <w:t>’</w:t>
      </w:r>
      <w:r w:rsidRPr="0043317B">
        <w:rPr>
          <w:lang w:val="fr-FR"/>
        </w:rPr>
        <w:t>indique que le recouvrement des créances publiques, dont le montant s</w:t>
      </w:r>
      <w:r w:rsidRPr="0043317B" w:rsidR="0043317B">
        <w:rPr>
          <w:lang w:val="fr-FR"/>
        </w:rPr>
        <w:t>’</w:t>
      </w:r>
      <w:r w:rsidRPr="0043317B">
        <w:rPr>
          <w:lang w:val="fr-FR"/>
        </w:rPr>
        <w:t>élevait à plus de 4 milliards</w:t>
      </w:r>
      <w:r w:rsidRPr="0043317B" w:rsidR="00CB2B6D">
        <w:rPr>
          <w:lang w:val="fr-FR"/>
        </w:rPr>
        <w:t> </w:t>
      </w:r>
      <w:r w:rsidRPr="0043317B">
        <w:rPr>
          <w:lang w:val="fr-FR"/>
        </w:rPr>
        <w:t xml:space="preserve">EUR, méritait une meilleure protection que les biens des requérants (voir, </w:t>
      </w:r>
      <w:r w:rsidRPr="0043317B">
        <w:rPr>
          <w:i/>
          <w:lang w:val="fr-FR"/>
        </w:rPr>
        <w:t>mutatis mutandis</w:t>
      </w:r>
      <w:r w:rsidRPr="0043317B">
        <w:rPr>
          <w:lang w:val="fr-FR"/>
        </w:rPr>
        <w:t xml:space="preserve">, </w:t>
      </w:r>
      <w:r w:rsidRPr="0043317B">
        <w:rPr>
          <w:i/>
          <w:lang w:val="fr-FR"/>
        </w:rPr>
        <w:t>JGK Statyba Ltd et Guselnikovas</w:t>
      </w:r>
      <w:r w:rsidRPr="0043317B">
        <w:rPr>
          <w:lang w:val="fr-FR"/>
        </w:rPr>
        <w:t>,</w:t>
      </w:r>
      <w:r w:rsidRPr="0043317B">
        <w:rPr>
          <w:i/>
          <w:lang w:val="fr-FR"/>
        </w:rPr>
        <w:t xml:space="preserve"> </w:t>
      </w:r>
      <w:r w:rsidRPr="0043317B">
        <w:rPr>
          <w:lang w:val="fr-FR"/>
        </w:rPr>
        <w:t>précité,</w:t>
      </w:r>
      <w:r w:rsidRPr="0043317B">
        <w:rPr>
          <w:i/>
          <w:lang w:val="fr-FR"/>
        </w:rPr>
        <w:t xml:space="preserve"> </w:t>
      </w:r>
      <w:r w:rsidRPr="0043317B">
        <w:rPr>
          <w:lang w:val="fr-FR"/>
        </w:rPr>
        <w:t xml:space="preserve">§ 120, et </w:t>
      </w:r>
      <w:r w:rsidRPr="0043317B">
        <w:rPr>
          <w:i/>
          <w:iCs/>
          <w:lang w:val="fr-FR"/>
        </w:rPr>
        <w:t>Lachikhina c. Russie</w:t>
      </w:r>
      <w:r w:rsidRPr="0043317B">
        <w:rPr>
          <w:lang w:val="fr-FR"/>
        </w:rPr>
        <w:t>, n</w:t>
      </w:r>
      <w:r w:rsidRPr="0043317B">
        <w:rPr>
          <w:vertAlign w:val="superscript"/>
          <w:lang w:val="fr-FR"/>
        </w:rPr>
        <w:t>o</w:t>
      </w:r>
      <w:r w:rsidRPr="0043317B">
        <w:rPr>
          <w:lang w:val="fr-FR"/>
        </w:rPr>
        <w:t xml:space="preserve"> 38783/07, § 63, 10 octobre 2017).</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213</w:t>
      </w:r>
      <w:r w:rsidRPr="0043317B">
        <w:rPr>
          <w:lang w:val="fr-FR"/>
        </w:rPr>
        <w:fldChar w:fldCharType="end"/>
      </w:r>
      <w:r w:rsidRPr="0043317B">
        <w:rPr>
          <w:lang w:val="fr-FR"/>
        </w:rPr>
        <w:t>.  Par ailleurs, la Cour constate que l</w:t>
      </w:r>
      <w:r w:rsidRPr="0043317B" w:rsidR="0043317B">
        <w:rPr>
          <w:lang w:val="fr-FR"/>
        </w:rPr>
        <w:t>’</w:t>
      </w:r>
      <w:r w:rsidRPr="0043317B">
        <w:rPr>
          <w:lang w:val="fr-FR"/>
        </w:rPr>
        <w:t>attribution par la cour d</w:t>
      </w:r>
      <w:r w:rsidRPr="0043317B" w:rsidR="0043317B">
        <w:rPr>
          <w:lang w:val="fr-FR"/>
        </w:rPr>
        <w:t>’</w:t>
      </w:r>
      <w:r w:rsidRPr="0043317B">
        <w:rPr>
          <w:lang w:val="fr-FR"/>
        </w:rPr>
        <w:t>assises d</w:t>
      </w:r>
      <w:r w:rsidRPr="0043317B" w:rsidR="0043317B">
        <w:rPr>
          <w:lang w:val="fr-FR"/>
        </w:rPr>
        <w:t>’</w:t>
      </w:r>
      <w:r w:rsidRPr="0043317B">
        <w:rPr>
          <w:lang w:val="fr-FR"/>
        </w:rPr>
        <w:t>Istanbul à certains des requérants d</w:t>
      </w:r>
      <w:r w:rsidRPr="0043317B" w:rsidR="0043317B">
        <w:rPr>
          <w:lang w:val="fr-FR"/>
        </w:rPr>
        <w:t>’</w:t>
      </w:r>
      <w:r w:rsidRPr="0043317B">
        <w:rPr>
          <w:lang w:val="fr-FR"/>
        </w:rPr>
        <w:t>« une qualité autre que celle de parties au procès » a empêché et empêche toujours les intéressés de participer à la procédure pénale principale, à laquelle est pourtant attaché le sort de leurs droits. Or ni les juridictions internes, dans leurs décisions, ni le Gouvernement, dans ses observations, n</w:t>
      </w:r>
      <w:r w:rsidRPr="0043317B" w:rsidR="0043317B">
        <w:rPr>
          <w:lang w:val="fr-FR"/>
        </w:rPr>
        <w:t>’</w:t>
      </w:r>
      <w:r w:rsidRPr="0043317B">
        <w:rPr>
          <w:lang w:val="fr-FR"/>
        </w:rPr>
        <w:t>ont expliqué quel était le fondement de l</w:t>
      </w:r>
      <w:r w:rsidRPr="0043317B" w:rsidR="0043317B">
        <w:rPr>
          <w:lang w:val="fr-FR"/>
        </w:rPr>
        <w:t>’</w:t>
      </w:r>
      <w:r w:rsidRPr="0043317B">
        <w:rPr>
          <w:lang w:val="fr-FR"/>
        </w:rPr>
        <w:t>octroi de cette qualité auxdits requérants.</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214</w:t>
      </w:r>
      <w:r w:rsidRPr="0043317B">
        <w:rPr>
          <w:lang w:val="fr-FR"/>
        </w:rPr>
        <w:fldChar w:fldCharType="end"/>
      </w:r>
      <w:r w:rsidRPr="0043317B">
        <w:rPr>
          <w:lang w:val="fr-FR"/>
        </w:rPr>
        <w:t>.  En outre, la Cour estime qu</w:t>
      </w:r>
      <w:r w:rsidRPr="0043317B" w:rsidR="0043317B">
        <w:rPr>
          <w:lang w:val="fr-FR"/>
        </w:rPr>
        <w:t>’</w:t>
      </w:r>
      <w:r w:rsidRPr="0043317B">
        <w:rPr>
          <w:lang w:val="fr-FR"/>
        </w:rPr>
        <w:t>il convient de ne pas négliger l</w:t>
      </w:r>
      <w:r w:rsidRPr="0043317B" w:rsidR="0043317B">
        <w:rPr>
          <w:lang w:val="fr-FR"/>
        </w:rPr>
        <w:t>’</w:t>
      </w:r>
      <w:r w:rsidRPr="0043317B">
        <w:rPr>
          <w:lang w:val="fr-FR"/>
        </w:rPr>
        <w:t>importance des obligations procédurales au titre de l</w:t>
      </w:r>
      <w:r w:rsidRPr="0043317B" w:rsidR="0043317B">
        <w:rPr>
          <w:lang w:val="fr-FR"/>
        </w:rPr>
        <w:t>’</w:t>
      </w:r>
      <w:r w:rsidRPr="0043317B">
        <w:rPr>
          <w:lang w:val="fr-FR"/>
        </w:rPr>
        <w:t>article 1 du Protocole n</w:t>
      </w:r>
      <w:r w:rsidRPr="0043317B">
        <w:rPr>
          <w:vertAlign w:val="superscript"/>
          <w:lang w:val="fr-FR"/>
        </w:rPr>
        <w:t>o</w:t>
      </w:r>
      <w:r w:rsidRPr="0043317B">
        <w:rPr>
          <w:lang w:val="fr-FR"/>
        </w:rPr>
        <w:t> 1. Ainsi, elle a maintes fois relevé que, nonobstant le silence de l</w:t>
      </w:r>
      <w:r w:rsidRPr="0043317B" w:rsidR="0043317B">
        <w:rPr>
          <w:lang w:val="fr-FR"/>
        </w:rPr>
        <w:t>’</w:t>
      </w:r>
      <w:r w:rsidRPr="0043317B">
        <w:rPr>
          <w:lang w:val="fr-FR"/>
        </w:rPr>
        <w:t>article 1 du Protocole n</w:t>
      </w:r>
      <w:r w:rsidRPr="0043317B">
        <w:rPr>
          <w:vertAlign w:val="superscript"/>
          <w:lang w:val="fr-FR"/>
        </w:rPr>
        <w:t>o</w:t>
      </w:r>
      <w:r w:rsidRPr="0043317B">
        <w:rPr>
          <w:lang w:val="fr-FR"/>
        </w:rPr>
        <w:t> 1 en matière d</w:t>
      </w:r>
      <w:r w:rsidRPr="0043317B" w:rsidR="0043317B">
        <w:rPr>
          <w:lang w:val="fr-FR"/>
        </w:rPr>
        <w:t>’</w:t>
      </w:r>
      <w:r w:rsidRPr="0043317B">
        <w:rPr>
          <w:lang w:val="fr-FR"/>
        </w:rPr>
        <w:t>exigences procédurales, une procédure judiciaire afférente au droit au respect des biens doit aussi offrir à la personne concernée une occasion adéquate d</w:t>
      </w:r>
      <w:r w:rsidRPr="0043317B" w:rsidR="0043317B">
        <w:rPr>
          <w:lang w:val="fr-FR"/>
        </w:rPr>
        <w:t>’</w:t>
      </w:r>
      <w:r w:rsidRPr="0043317B">
        <w:rPr>
          <w:lang w:val="fr-FR"/>
        </w:rPr>
        <w:t>exposer sa cause aux autorités compétentes afin de contester effectivement les mesures portant atteinte aux droits garantis par cette disposition (</w:t>
      </w:r>
      <w:r w:rsidRPr="0043317B">
        <w:rPr>
          <w:i/>
          <w:iCs/>
          <w:lang w:val="fr-FR"/>
        </w:rPr>
        <w:t>Sovtransavto Holding c. Ukraine</w:t>
      </w:r>
      <w:r w:rsidRPr="0043317B">
        <w:rPr>
          <w:lang w:val="fr-FR"/>
        </w:rPr>
        <w:t>, n</w:t>
      </w:r>
      <w:r w:rsidRPr="0043317B">
        <w:rPr>
          <w:vertAlign w:val="superscript"/>
          <w:lang w:val="fr-FR"/>
        </w:rPr>
        <w:t>o</w:t>
      </w:r>
      <w:r w:rsidRPr="0043317B" w:rsidR="00CB2B6D">
        <w:rPr>
          <w:vertAlign w:val="superscript"/>
          <w:lang w:val="fr-FR"/>
        </w:rPr>
        <w:t xml:space="preserve"> </w:t>
      </w:r>
      <w:r w:rsidRPr="0043317B">
        <w:rPr>
          <w:lang w:val="fr-FR"/>
        </w:rPr>
        <w:t>48553/99, § 96, CEDH 2002</w:t>
      </w:r>
      <w:r w:rsidRPr="0043317B">
        <w:rPr>
          <w:lang w:val="fr-FR"/>
        </w:rPr>
        <w:noBreakHyphen/>
        <w:t xml:space="preserve">VII, </w:t>
      </w:r>
      <w:r w:rsidRPr="0043317B">
        <w:rPr>
          <w:i/>
          <w:iCs/>
          <w:lang w:val="fr-FR"/>
        </w:rPr>
        <w:t>Capital Bank AD c. Bulgarie</w:t>
      </w:r>
      <w:r w:rsidRPr="0043317B">
        <w:rPr>
          <w:lang w:val="fr-FR"/>
        </w:rPr>
        <w:t>, n</w:t>
      </w:r>
      <w:r w:rsidRPr="0043317B" w:rsidR="00CB2B6D">
        <w:rPr>
          <w:vertAlign w:val="superscript"/>
          <w:lang w:val="fr-FR"/>
        </w:rPr>
        <w:t xml:space="preserve">o </w:t>
      </w:r>
      <w:r w:rsidRPr="0043317B">
        <w:rPr>
          <w:lang w:val="fr-FR"/>
        </w:rPr>
        <w:t>49429/99, § 134, CEDH 2005</w:t>
      </w:r>
      <w:r w:rsidRPr="0043317B">
        <w:rPr>
          <w:lang w:val="fr-FR"/>
        </w:rPr>
        <w:noBreakHyphen/>
        <w:t xml:space="preserve">XII (extraits), </w:t>
      </w:r>
      <w:r w:rsidRPr="0043317B">
        <w:rPr>
          <w:i/>
          <w:iCs/>
          <w:lang w:val="fr-FR"/>
        </w:rPr>
        <w:t>Anheuser-Busch Inc.</w:t>
      </w:r>
      <w:r w:rsidRPr="0043317B">
        <w:rPr>
          <w:lang w:val="fr-FR"/>
        </w:rPr>
        <w:t xml:space="preserve">, précité, § 83, </w:t>
      </w:r>
      <w:r w:rsidRPr="0043317B">
        <w:rPr>
          <w:i/>
          <w:lang w:val="fr-FR"/>
        </w:rPr>
        <w:t>J</w:t>
      </w:r>
      <w:r w:rsidRPr="0043317B">
        <w:rPr>
          <w:i/>
          <w:iCs/>
          <w:lang w:val="fr-FR"/>
        </w:rPr>
        <w:t>.A. Pye (Oxford) Ltd et J.A. Pye (Oxford) Land Ltd c. Royaume-Uni</w:t>
      </w:r>
      <w:r w:rsidRPr="0043317B">
        <w:rPr>
          <w:lang w:val="fr-FR"/>
        </w:rPr>
        <w:t xml:space="preserve"> [GC], n</w:t>
      </w:r>
      <w:r w:rsidRPr="0043317B">
        <w:rPr>
          <w:vertAlign w:val="superscript"/>
          <w:lang w:val="fr-FR"/>
        </w:rPr>
        <w:t>o</w:t>
      </w:r>
      <w:r w:rsidRPr="0043317B">
        <w:rPr>
          <w:lang w:val="fr-FR"/>
        </w:rPr>
        <w:t xml:space="preserve"> 44302/02, § 57, CEDH 2007</w:t>
      </w:r>
      <w:r w:rsidRPr="0043317B">
        <w:rPr>
          <w:lang w:val="fr-FR"/>
        </w:rPr>
        <w:noBreakHyphen/>
        <w:t xml:space="preserve">III, </w:t>
      </w:r>
      <w:r w:rsidRPr="0043317B">
        <w:rPr>
          <w:i/>
          <w:iCs/>
          <w:lang w:val="fr-FR"/>
        </w:rPr>
        <w:t>Zafranas c. Grèce</w:t>
      </w:r>
      <w:r w:rsidRPr="0043317B">
        <w:rPr>
          <w:lang w:val="fr-FR"/>
        </w:rPr>
        <w:t>, n</w:t>
      </w:r>
      <w:r w:rsidRPr="0043317B">
        <w:rPr>
          <w:vertAlign w:val="superscript"/>
          <w:lang w:val="fr-FR"/>
        </w:rPr>
        <w:t>o</w:t>
      </w:r>
      <w:r w:rsidRPr="0043317B">
        <w:rPr>
          <w:lang w:val="fr-FR"/>
        </w:rPr>
        <w:t xml:space="preserve"> 4056/08, § 36, 4 octobre 2011, et </w:t>
      </w:r>
      <w:r w:rsidRPr="0043317B">
        <w:rPr>
          <w:i/>
          <w:iCs/>
          <w:lang w:val="fr-FR"/>
        </w:rPr>
        <w:t>Giavi c. Grèce</w:t>
      </w:r>
      <w:r w:rsidRPr="0043317B">
        <w:rPr>
          <w:lang w:val="fr-FR"/>
        </w:rPr>
        <w:t>, n</w:t>
      </w:r>
      <w:r w:rsidRPr="0043317B">
        <w:rPr>
          <w:vertAlign w:val="superscript"/>
          <w:lang w:val="fr-FR"/>
        </w:rPr>
        <w:t>o</w:t>
      </w:r>
      <w:r w:rsidRPr="0043317B">
        <w:rPr>
          <w:lang w:val="fr-FR"/>
        </w:rPr>
        <w:t> 25816/09, §</w:t>
      </w:r>
      <w:r w:rsidRPr="0043317B" w:rsidR="00CB2B6D">
        <w:rPr>
          <w:lang w:val="fr-FR"/>
        </w:rPr>
        <w:t> </w:t>
      </w:r>
      <w:r w:rsidRPr="0043317B">
        <w:rPr>
          <w:lang w:val="fr-FR"/>
        </w:rPr>
        <w:t xml:space="preserve">44, 3 octobre 2013 ; voir également, </w:t>
      </w:r>
      <w:r w:rsidRPr="0043317B">
        <w:rPr>
          <w:i/>
          <w:lang w:val="fr-FR"/>
        </w:rPr>
        <w:t>mutatis mutandis</w:t>
      </w:r>
      <w:r w:rsidRPr="0043317B">
        <w:rPr>
          <w:lang w:val="fr-FR"/>
        </w:rPr>
        <w:t xml:space="preserve">, </w:t>
      </w:r>
      <w:r w:rsidRPr="0043317B">
        <w:rPr>
          <w:i/>
          <w:iCs/>
          <w:lang w:val="fr-FR"/>
        </w:rPr>
        <w:t>Al</w:t>
      </w:r>
      <w:r w:rsidRPr="0043317B">
        <w:rPr>
          <w:i/>
          <w:iCs/>
          <w:lang w:val="fr-FR"/>
        </w:rPr>
        <w:noBreakHyphen/>
        <w:t>Nashif c. Bulgarie</w:t>
      </w:r>
      <w:r w:rsidRPr="0043317B">
        <w:rPr>
          <w:lang w:val="fr-FR"/>
        </w:rPr>
        <w:t>, n</w:t>
      </w:r>
      <w:r w:rsidRPr="0043317B">
        <w:rPr>
          <w:vertAlign w:val="superscript"/>
          <w:lang w:val="fr-FR"/>
        </w:rPr>
        <w:t>o</w:t>
      </w:r>
      <w:r w:rsidRPr="0043317B">
        <w:rPr>
          <w:lang w:val="fr-FR"/>
        </w:rPr>
        <w:t xml:space="preserve"> 50963/99, § 123, 20 juin 2002, et </w:t>
      </w:r>
      <w:r w:rsidRPr="0043317B">
        <w:rPr>
          <w:i/>
          <w:iCs/>
          <w:lang w:val="fr-FR"/>
        </w:rPr>
        <w:t>Grande Stevens</w:t>
      </w:r>
      <w:r w:rsidRPr="0043317B">
        <w:rPr>
          <w:lang w:val="fr-FR"/>
        </w:rPr>
        <w:t xml:space="preserve"> </w:t>
      </w:r>
      <w:r w:rsidRPr="0043317B">
        <w:rPr>
          <w:i/>
          <w:iCs/>
          <w:lang w:val="fr-FR"/>
        </w:rPr>
        <w:t>et autres</w:t>
      </w:r>
      <w:r w:rsidRPr="0043317B">
        <w:rPr>
          <w:i/>
          <w:lang w:val="fr-FR"/>
        </w:rPr>
        <w:t xml:space="preserve"> </w:t>
      </w:r>
      <w:r w:rsidRPr="0043317B">
        <w:rPr>
          <w:i/>
          <w:iCs/>
          <w:lang w:val="fr-FR"/>
        </w:rPr>
        <w:t>c. Italie, n</w:t>
      </w:r>
      <w:r w:rsidRPr="0043317B">
        <w:rPr>
          <w:i/>
          <w:iCs/>
          <w:vertAlign w:val="superscript"/>
          <w:lang w:val="fr-FR"/>
        </w:rPr>
        <w:t>os</w:t>
      </w:r>
      <w:r w:rsidRPr="0043317B">
        <w:rPr>
          <w:i/>
          <w:iCs/>
          <w:lang w:val="fr-FR"/>
        </w:rPr>
        <w:t xml:space="preserve"> 18640/10 et 4 autres</w:t>
      </w:r>
      <w:r w:rsidRPr="0043317B">
        <w:rPr>
          <w:iCs/>
          <w:lang w:val="fr-FR"/>
        </w:rPr>
        <w:t>, § 188, 4 mars 2014</w:t>
      </w:r>
      <w:r w:rsidRPr="0043317B">
        <w:rPr>
          <w:lang w:val="fr-FR"/>
        </w:rPr>
        <w:t>). Une ingérence dans les droits prévus par l</w:t>
      </w:r>
      <w:r w:rsidRPr="0043317B" w:rsidR="0043317B">
        <w:rPr>
          <w:lang w:val="fr-FR"/>
        </w:rPr>
        <w:t>’</w:t>
      </w:r>
      <w:r w:rsidRPr="0043317B">
        <w:rPr>
          <w:lang w:val="fr-FR"/>
        </w:rPr>
        <w:t>article 1 du Protocole n</w:t>
      </w:r>
      <w:r w:rsidRPr="0043317B">
        <w:rPr>
          <w:vertAlign w:val="superscript"/>
          <w:lang w:val="fr-FR"/>
        </w:rPr>
        <w:t>o</w:t>
      </w:r>
      <w:r w:rsidRPr="0043317B">
        <w:rPr>
          <w:lang w:val="fr-FR"/>
        </w:rPr>
        <w:t xml:space="preserve"> 1 ne peut ainsi avoir de légitimité en l</w:t>
      </w:r>
      <w:r w:rsidRPr="0043317B" w:rsidR="0043317B">
        <w:rPr>
          <w:lang w:val="fr-FR"/>
        </w:rPr>
        <w:t>’</w:t>
      </w:r>
      <w:r w:rsidRPr="0043317B">
        <w:rPr>
          <w:lang w:val="fr-FR"/>
        </w:rPr>
        <w:t>absence d</w:t>
      </w:r>
      <w:r w:rsidRPr="0043317B" w:rsidR="0043317B">
        <w:rPr>
          <w:lang w:val="fr-FR"/>
        </w:rPr>
        <w:t>’</w:t>
      </w:r>
      <w:r w:rsidRPr="0043317B">
        <w:rPr>
          <w:lang w:val="fr-FR"/>
        </w:rPr>
        <w:t>un débat contradictoire et respectueux du principe de l</w:t>
      </w:r>
      <w:r w:rsidRPr="0043317B" w:rsidR="0043317B">
        <w:rPr>
          <w:lang w:val="fr-FR"/>
        </w:rPr>
        <w:t>’</w:t>
      </w:r>
      <w:r w:rsidRPr="0043317B">
        <w:rPr>
          <w:lang w:val="fr-FR"/>
        </w:rPr>
        <w:t>égalité des armes, qui permette de discuter des aspects présentant de l</w:t>
      </w:r>
      <w:r w:rsidRPr="0043317B" w:rsidR="0043317B">
        <w:rPr>
          <w:lang w:val="fr-FR"/>
        </w:rPr>
        <w:t>’</w:t>
      </w:r>
      <w:r w:rsidRPr="0043317B">
        <w:rPr>
          <w:lang w:val="fr-FR"/>
        </w:rPr>
        <w:t>importance pour l</w:t>
      </w:r>
      <w:r w:rsidRPr="0043317B" w:rsidR="0043317B">
        <w:rPr>
          <w:lang w:val="fr-FR"/>
        </w:rPr>
        <w:t>’</w:t>
      </w:r>
      <w:r w:rsidRPr="0043317B">
        <w:rPr>
          <w:lang w:val="fr-FR"/>
        </w:rPr>
        <w:t>issue de la cause. Pour s</w:t>
      </w:r>
      <w:r w:rsidRPr="0043317B" w:rsidR="0043317B">
        <w:rPr>
          <w:lang w:val="fr-FR"/>
        </w:rPr>
        <w:t>’</w:t>
      </w:r>
      <w:r w:rsidRPr="0043317B">
        <w:rPr>
          <w:lang w:val="fr-FR"/>
        </w:rPr>
        <w:t>assurer du respect de cette condition, il y a lieu de considérer les procédures applicables d</w:t>
      </w:r>
      <w:r w:rsidRPr="0043317B" w:rsidR="0043317B">
        <w:rPr>
          <w:lang w:val="fr-FR"/>
        </w:rPr>
        <w:t>’</w:t>
      </w:r>
      <w:r w:rsidRPr="0043317B">
        <w:rPr>
          <w:lang w:val="fr-FR"/>
        </w:rPr>
        <w:t>un point de vue général (voir, parmi d</w:t>
      </w:r>
      <w:r w:rsidRPr="0043317B" w:rsidR="0043317B">
        <w:rPr>
          <w:lang w:val="fr-FR"/>
        </w:rPr>
        <w:t>’</w:t>
      </w:r>
      <w:r w:rsidRPr="0043317B">
        <w:rPr>
          <w:lang w:val="fr-FR"/>
        </w:rPr>
        <w:t xml:space="preserve">autres, </w:t>
      </w:r>
      <w:r w:rsidRPr="0043317B">
        <w:rPr>
          <w:i/>
          <w:iCs/>
          <w:lang w:val="fr-FR"/>
        </w:rPr>
        <w:t>AGOSI c. Royaume-Uni</w:t>
      </w:r>
      <w:r w:rsidRPr="0043317B">
        <w:rPr>
          <w:iCs/>
          <w:lang w:val="fr-FR"/>
        </w:rPr>
        <w:t>,</w:t>
      </w:r>
      <w:r w:rsidRPr="0043317B">
        <w:rPr>
          <w:lang w:val="fr-FR"/>
        </w:rPr>
        <w:t xml:space="preserve"> </w:t>
      </w:r>
      <w:r w:rsidRPr="0043317B">
        <w:rPr>
          <w:iCs/>
          <w:lang w:val="fr-FR"/>
        </w:rPr>
        <w:t>n</w:t>
      </w:r>
      <w:r w:rsidRPr="0043317B">
        <w:rPr>
          <w:iCs/>
          <w:vertAlign w:val="superscript"/>
          <w:lang w:val="fr-FR"/>
        </w:rPr>
        <w:t>o</w:t>
      </w:r>
      <w:r w:rsidRPr="0043317B" w:rsidR="00CB2B6D">
        <w:rPr>
          <w:iCs/>
          <w:vertAlign w:val="superscript"/>
          <w:lang w:val="fr-FR"/>
        </w:rPr>
        <w:t xml:space="preserve"> </w:t>
      </w:r>
      <w:r w:rsidRPr="0043317B" w:rsidR="00CB2B6D">
        <w:rPr>
          <w:iCs/>
          <w:lang w:val="fr-FR"/>
        </w:rPr>
        <w:t>9118/80</w:t>
      </w:r>
      <w:r w:rsidRPr="0043317B">
        <w:rPr>
          <w:iCs/>
          <w:lang w:val="fr-FR"/>
        </w:rPr>
        <w:t xml:space="preserve">, </w:t>
      </w:r>
      <w:r w:rsidRPr="0043317B">
        <w:rPr>
          <w:lang w:val="fr-FR"/>
        </w:rPr>
        <w:t>§</w:t>
      </w:r>
      <w:r w:rsidRPr="0043317B" w:rsidR="00CB2B6D">
        <w:rPr>
          <w:lang w:val="fr-FR"/>
        </w:rPr>
        <w:t> </w:t>
      </w:r>
      <w:r w:rsidRPr="0043317B">
        <w:rPr>
          <w:lang w:val="fr-FR"/>
        </w:rPr>
        <w:t xml:space="preserve">55, 24 octobre 1986, </w:t>
      </w:r>
      <w:r w:rsidRPr="0043317B">
        <w:rPr>
          <w:i/>
          <w:lang w:val="fr-FR"/>
        </w:rPr>
        <w:t>Hentrich c. France</w:t>
      </w:r>
      <w:r w:rsidRPr="0043317B">
        <w:rPr>
          <w:lang w:val="fr-FR"/>
        </w:rPr>
        <w:t>, § 49, 22 septembre 1994, série A n</w:t>
      </w:r>
      <w:r w:rsidRPr="0043317B">
        <w:rPr>
          <w:vertAlign w:val="superscript"/>
          <w:lang w:val="fr-FR"/>
        </w:rPr>
        <w:t>o</w:t>
      </w:r>
      <w:r w:rsidRPr="0043317B">
        <w:rPr>
          <w:lang w:val="fr-FR"/>
        </w:rPr>
        <w:t> 296</w:t>
      </w:r>
      <w:r w:rsidRPr="0043317B">
        <w:rPr>
          <w:lang w:val="fr-FR"/>
        </w:rPr>
        <w:noBreakHyphen/>
        <w:t xml:space="preserve">A, </w:t>
      </w:r>
      <w:r w:rsidRPr="0043317B">
        <w:rPr>
          <w:i/>
          <w:iCs/>
          <w:lang w:val="fr-FR"/>
        </w:rPr>
        <w:t>Jokela c. Finlande</w:t>
      </w:r>
      <w:r w:rsidRPr="0043317B">
        <w:rPr>
          <w:lang w:val="fr-FR"/>
        </w:rPr>
        <w:t>, n</w:t>
      </w:r>
      <w:r w:rsidRPr="0043317B">
        <w:rPr>
          <w:vertAlign w:val="superscript"/>
          <w:lang w:val="fr-FR"/>
        </w:rPr>
        <w:t>o</w:t>
      </w:r>
      <w:r w:rsidRPr="0043317B">
        <w:rPr>
          <w:lang w:val="fr-FR"/>
        </w:rPr>
        <w:t xml:space="preserve"> 28856/95, § 45, CEDH 2002</w:t>
      </w:r>
      <w:r w:rsidRPr="0043317B">
        <w:rPr>
          <w:lang w:val="fr-FR"/>
        </w:rPr>
        <w:noBreakHyphen/>
        <w:t xml:space="preserve">IV, </w:t>
      </w:r>
      <w:r w:rsidRPr="0043317B">
        <w:rPr>
          <w:i/>
          <w:iCs/>
          <w:lang w:val="fr-FR"/>
        </w:rPr>
        <w:t>Gáll c. Hongrie</w:t>
      </w:r>
      <w:r w:rsidRPr="0043317B">
        <w:rPr>
          <w:lang w:val="fr-FR"/>
        </w:rPr>
        <w:t>, n</w:t>
      </w:r>
      <w:r w:rsidRPr="0043317B">
        <w:rPr>
          <w:vertAlign w:val="superscript"/>
          <w:lang w:val="fr-FR"/>
        </w:rPr>
        <w:t>o</w:t>
      </w:r>
      <w:r w:rsidRPr="0043317B" w:rsidR="00CB2B6D">
        <w:rPr>
          <w:vertAlign w:val="superscript"/>
          <w:lang w:val="fr-FR"/>
        </w:rPr>
        <w:t xml:space="preserve"> </w:t>
      </w:r>
      <w:r w:rsidRPr="0043317B">
        <w:rPr>
          <w:lang w:val="fr-FR"/>
        </w:rPr>
        <w:t xml:space="preserve">49570/11, § 63, 25 juin 2013, </w:t>
      </w:r>
      <w:r w:rsidRPr="0043317B">
        <w:rPr>
          <w:i/>
          <w:iCs/>
          <w:lang w:val="fr-FR"/>
        </w:rPr>
        <w:t>Sociedad Anónima del Ucieza</w:t>
      </w:r>
      <w:r w:rsidRPr="0043317B">
        <w:rPr>
          <w:lang w:val="fr-FR"/>
        </w:rPr>
        <w:t xml:space="preserve"> </w:t>
      </w:r>
      <w:r w:rsidRPr="0043317B">
        <w:rPr>
          <w:i/>
          <w:iCs/>
          <w:lang w:val="fr-FR"/>
        </w:rPr>
        <w:t>c.</w:t>
      </w:r>
      <w:r w:rsidRPr="0043317B">
        <w:rPr>
          <w:lang w:val="fr-FR"/>
        </w:rPr>
        <w:t> </w:t>
      </w:r>
      <w:r w:rsidRPr="0043317B">
        <w:rPr>
          <w:i/>
          <w:iCs/>
          <w:lang w:val="fr-FR"/>
        </w:rPr>
        <w:t>Espagne</w:t>
      </w:r>
      <w:r w:rsidRPr="0043317B">
        <w:rPr>
          <w:lang w:val="fr-FR"/>
        </w:rPr>
        <w:t>, n</w:t>
      </w:r>
      <w:r w:rsidRPr="0043317B">
        <w:rPr>
          <w:vertAlign w:val="superscript"/>
          <w:lang w:val="fr-FR"/>
        </w:rPr>
        <w:t>o</w:t>
      </w:r>
      <w:r w:rsidRPr="0043317B" w:rsidR="00CB2B6D">
        <w:rPr>
          <w:vertAlign w:val="superscript"/>
          <w:lang w:val="fr-FR"/>
        </w:rPr>
        <w:t xml:space="preserve"> </w:t>
      </w:r>
      <w:r w:rsidRPr="0043317B">
        <w:rPr>
          <w:lang w:val="fr-FR"/>
        </w:rPr>
        <w:t xml:space="preserve">38963/08, § 74, 4 novembre 2014, et </w:t>
      </w:r>
      <w:r w:rsidRPr="0043317B">
        <w:rPr>
          <w:i/>
          <w:iCs/>
          <w:lang w:val="fr-FR"/>
        </w:rPr>
        <w:t>G.I.E.M. S.R.L. et autres</w:t>
      </w:r>
      <w:r w:rsidRPr="0043317B">
        <w:rPr>
          <w:iCs/>
          <w:lang w:val="fr-FR"/>
        </w:rPr>
        <w:t>, précité, §</w:t>
      </w:r>
      <w:r w:rsidRPr="0043317B" w:rsidR="00CB2B6D">
        <w:rPr>
          <w:lang w:val="fr-FR"/>
        </w:rPr>
        <w:t> </w:t>
      </w:r>
      <w:r w:rsidRPr="0043317B">
        <w:rPr>
          <w:lang w:val="fr-FR"/>
        </w:rPr>
        <w:t>302).</w:t>
      </w:r>
    </w:p>
    <w:p w:rsidRPr="0043317B" w:rsidR="000A45C0" w:rsidP="0043317B" w:rsidRDefault="000A45C0">
      <w:pPr>
        <w:pStyle w:val="ECHRPara"/>
        <w:rPr>
          <w:i/>
          <w:lang w:val="pt-PT"/>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215</w:t>
      </w:r>
      <w:r w:rsidRPr="0043317B">
        <w:rPr>
          <w:lang w:val="fr-FR"/>
        </w:rPr>
        <w:fldChar w:fldCharType="end"/>
      </w:r>
      <w:r w:rsidRPr="0043317B">
        <w:rPr>
          <w:lang w:val="fr-FR"/>
        </w:rPr>
        <w:t>.  Dans la présente affaire, la Cour estime que l</w:t>
      </w:r>
      <w:r w:rsidRPr="0043317B" w:rsidR="0043317B">
        <w:rPr>
          <w:lang w:val="fr-FR"/>
        </w:rPr>
        <w:t>’</w:t>
      </w:r>
      <w:r w:rsidRPr="0043317B">
        <w:rPr>
          <w:lang w:val="fr-FR"/>
        </w:rPr>
        <w:t>imposition et le maintien automatique des mesures conservatoires sur les biens des requérants en application des lois susmentionnées, justifiés, dans le cas des uns, par le seul fait de l</w:t>
      </w:r>
      <w:r w:rsidRPr="0043317B" w:rsidR="0043317B">
        <w:rPr>
          <w:lang w:val="fr-FR"/>
        </w:rPr>
        <w:t>’</w:t>
      </w:r>
      <w:r w:rsidRPr="0043317B">
        <w:rPr>
          <w:lang w:val="fr-FR"/>
        </w:rPr>
        <w:t>existence d</w:t>
      </w:r>
      <w:r w:rsidRPr="0043317B" w:rsidR="0043317B">
        <w:rPr>
          <w:lang w:val="fr-FR"/>
        </w:rPr>
        <w:t>’</w:t>
      </w:r>
      <w:r w:rsidRPr="0043317B">
        <w:rPr>
          <w:lang w:val="fr-FR"/>
        </w:rPr>
        <w:t>un lien de parenté avec les dirigeants de la banque et, dans le cas des autres, par le seul fait de l</w:t>
      </w:r>
      <w:r w:rsidRPr="0043317B" w:rsidR="0043317B">
        <w:rPr>
          <w:lang w:val="fr-FR"/>
        </w:rPr>
        <w:t>’</w:t>
      </w:r>
      <w:r w:rsidRPr="0043317B">
        <w:rPr>
          <w:lang w:val="fr-FR"/>
        </w:rPr>
        <w:t>exercice, à un moment donné, de responsabilités au sein de la banque</w:t>
      </w:r>
      <w:r w:rsidRPr="0043317B" w:rsidR="00CB2B6D">
        <w:rPr>
          <w:lang w:val="fr-FR"/>
        </w:rPr>
        <w:t xml:space="preserve"> – </w:t>
      </w:r>
      <w:r w:rsidRPr="0043317B">
        <w:rPr>
          <w:lang w:val="fr-FR"/>
        </w:rPr>
        <w:t>et ce en dépit du prononcé de décisions de non-lieu et d</w:t>
      </w:r>
      <w:r w:rsidRPr="0043317B" w:rsidR="0043317B">
        <w:rPr>
          <w:lang w:val="fr-FR"/>
        </w:rPr>
        <w:t>’</w:t>
      </w:r>
      <w:r w:rsidRPr="0043317B">
        <w:rPr>
          <w:lang w:val="fr-FR"/>
        </w:rPr>
        <w:t>acquittement pour tous les chefs d</w:t>
      </w:r>
      <w:r w:rsidRPr="0043317B" w:rsidR="0043317B">
        <w:rPr>
          <w:lang w:val="fr-FR"/>
        </w:rPr>
        <w:t>’</w:t>
      </w:r>
      <w:r w:rsidRPr="0043317B">
        <w:rPr>
          <w:lang w:val="fr-FR"/>
        </w:rPr>
        <w:t>accusation</w:t>
      </w:r>
      <w:r w:rsidRPr="0043317B" w:rsidR="00CB2B6D">
        <w:rPr>
          <w:lang w:val="fr-FR"/>
        </w:rPr>
        <w:t> </w:t>
      </w:r>
      <w:r w:rsidRPr="0043317B">
        <w:rPr>
          <w:lang w:val="fr-FR"/>
        </w:rPr>
        <w:t>–, s</w:t>
      </w:r>
      <w:r w:rsidRPr="0043317B" w:rsidR="0043317B">
        <w:rPr>
          <w:lang w:val="fr-FR"/>
        </w:rPr>
        <w:t>’</w:t>
      </w:r>
      <w:r w:rsidRPr="0043317B">
        <w:rPr>
          <w:lang w:val="fr-FR"/>
        </w:rPr>
        <w:t>accordent mal avec ces principes puisqu</w:t>
      </w:r>
      <w:r w:rsidRPr="0043317B" w:rsidR="0043317B">
        <w:rPr>
          <w:lang w:val="fr-FR"/>
        </w:rPr>
        <w:t>’</w:t>
      </w:r>
      <w:r w:rsidRPr="0043317B">
        <w:rPr>
          <w:lang w:val="fr-FR"/>
        </w:rPr>
        <w:t>ils ne permettent pas au juge d</w:t>
      </w:r>
      <w:r w:rsidRPr="0043317B" w:rsidR="0043317B">
        <w:rPr>
          <w:lang w:val="fr-FR"/>
        </w:rPr>
        <w:t>’</w:t>
      </w:r>
      <w:r w:rsidRPr="0043317B">
        <w:rPr>
          <w:lang w:val="fr-FR"/>
        </w:rPr>
        <w:t>évaluer quels sont les instruments les plus adaptés aux circonstances spécifiques de l</w:t>
      </w:r>
      <w:r w:rsidRPr="0043317B" w:rsidR="0043317B">
        <w:rPr>
          <w:lang w:val="fr-FR"/>
        </w:rPr>
        <w:t>’</w:t>
      </w:r>
      <w:r w:rsidRPr="0043317B">
        <w:rPr>
          <w:lang w:val="fr-FR"/>
        </w:rPr>
        <w:t>espèce ni, plus généralement, d</w:t>
      </w:r>
      <w:r w:rsidRPr="0043317B" w:rsidR="0043317B">
        <w:rPr>
          <w:lang w:val="fr-FR"/>
        </w:rPr>
        <w:t>’</w:t>
      </w:r>
      <w:r w:rsidRPr="0043317B">
        <w:rPr>
          <w:lang w:val="fr-FR"/>
        </w:rPr>
        <w:t>effectuer une mise en balance entre le but légitime sous-jacent et les droits des intéressés  touchés par ladite sanction. De plus, les requérants n</w:t>
      </w:r>
      <w:r w:rsidRPr="0043317B" w:rsidR="0043317B">
        <w:rPr>
          <w:lang w:val="fr-FR"/>
        </w:rPr>
        <w:t>’</w:t>
      </w:r>
      <w:r w:rsidRPr="0043317B">
        <w:rPr>
          <w:lang w:val="fr-FR"/>
        </w:rPr>
        <w:t>ayant pas été parties à la procédure pénale principale, ils n</w:t>
      </w:r>
      <w:r w:rsidRPr="0043317B" w:rsidR="0043317B">
        <w:rPr>
          <w:lang w:val="fr-FR"/>
        </w:rPr>
        <w:t>’</w:t>
      </w:r>
      <w:r w:rsidRPr="0043317B">
        <w:rPr>
          <w:lang w:val="fr-FR"/>
        </w:rPr>
        <w:t>ont bénéficié d</w:t>
      </w:r>
      <w:r w:rsidRPr="0043317B" w:rsidR="0043317B">
        <w:rPr>
          <w:lang w:val="fr-FR"/>
        </w:rPr>
        <w:t>’</w:t>
      </w:r>
      <w:r w:rsidRPr="0043317B">
        <w:rPr>
          <w:lang w:val="fr-FR"/>
        </w:rPr>
        <w:t xml:space="preserve">aucune des garanties procédurales visées au paragraphe précédent (voir, </w:t>
      </w:r>
      <w:r w:rsidRPr="0043317B">
        <w:rPr>
          <w:i/>
          <w:lang w:val="fr-FR"/>
        </w:rPr>
        <w:t>mutatis mutandis</w:t>
      </w:r>
      <w:r w:rsidRPr="0043317B">
        <w:rPr>
          <w:lang w:val="fr-FR"/>
        </w:rPr>
        <w:t xml:space="preserve">, </w:t>
      </w:r>
      <w:r w:rsidRPr="0043317B">
        <w:rPr>
          <w:i/>
          <w:iCs/>
          <w:lang w:val="fr-FR"/>
        </w:rPr>
        <w:t>G.I.E.M. S.R.L. et autres</w:t>
      </w:r>
      <w:r w:rsidRPr="0043317B">
        <w:rPr>
          <w:iCs/>
          <w:lang w:val="fr-FR"/>
        </w:rPr>
        <w:t>, précité, §</w:t>
      </w:r>
      <w:r w:rsidRPr="0043317B">
        <w:rPr>
          <w:lang w:val="fr-FR"/>
        </w:rPr>
        <w:t xml:space="preserve"> 303).</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216</w:t>
      </w:r>
      <w:r w:rsidRPr="0043317B">
        <w:rPr>
          <w:lang w:val="fr-FR"/>
        </w:rPr>
        <w:fldChar w:fldCharType="end"/>
      </w:r>
      <w:r w:rsidRPr="0043317B">
        <w:rPr>
          <w:lang w:val="fr-FR"/>
        </w:rPr>
        <w:t>.  Compte tenu de ce qui précède, la Cour conclut que les autorités turques n</w:t>
      </w:r>
      <w:r w:rsidRPr="0043317B" w:rsidR="0043317B">
        <w:rPr>
          <w:lang w:val="fr-FR"/>
        </w:rPr>
        <w:t>’</w:t>
      </w:r>
      <w:r w:rsidRPr="0043317B">
        <w:rPr>
          <w:lang w:val="fr-FR"/>
        </w:rPr>
        <w:t>ont pas ménagé un « juste équilibre » entre les impératifs de l</w:t>
      </w:r>
      <w:r w:rsidRPr="0043317B" w:rsidR="0043317B">
        <w:rPr>
          <w:lang w:val="fr-FR"/>
        </w:rPr>
        <w:t>’</w:t>
      </w:r>
      <w:r w:rsidRPr="0043317B">
        <w:rPr>
          <w:lang w:val="fr-FR"/>
        </w:rPr>
        <w:t>intérêt général et les exigences de la protection des droits des requérants au respect de leurs biens. Partant, il y a eu violation de l</w:t>
      </w:r>
      <w:r w:rsidRPr="0043317B" w:rsidR="0043317B">
        <w:rPr>
          <w:lang w:val="fr-FR"/>
        </w:rPr>
        <w:t>’</w:t>
      </w:r>
      <w:r w:rsidRPr="0043317B">
        <w:rPr>
          <w:lang w:val="fr-FR"/>
        </w:rPr>
        <w:t>article 1 du Protocole n</w:t>
      </w:r>
      <w:r w:rsidRPr="0043317B">
        <w:rPr>
          <w:vertAlign w:val="superscript"/>
          <w:lang w:val="fr-FR"/>
        </w:rPr>
        <w:t>o</w:t>
      </w:r>
      <w:r w:rsidRPr="0043317B">
        <w:rPr>
          <w:lang w:val="fr-FR"/>
        </w:rPr>
        <w:t> 1 à la Convention.</w:t>
      </w:r>
    </w:p>
    <w:p w:rsidRPr="0043317B" w:rsidR="000A45C0" w:rsidP="0043317B" w:rsidRDefault="000A45C0">
      <w:pPr>
        <w:pStyle w:val="ECHRHeading1"/>
        <w:rPr>
          <w:lang w:val="fr-FR"/>
        </w:rPr>
      </w:pPr>
      <w:r w:rsidRPr="0043317B">
        <w:rPr>
          <w:lang w:val="fr-FR"/>
        </w:rPr>
        <w:t>III.  SUR L</w:t>
      </w:r>
      <w:r w:rsidRPr="0043317B" w:rsidR="0043317B">
        <w:rPr>
          <w:lang w:val="fr-FR"/>
        </w:rPr>
        <w:t>’</w:t>
      </w:r>
      <w:r w:rsidRPr="0043317B">
        <w:rPr>
          <w:lang w:val="fr-FR"/>
        </w:rPr>
        <w:t>APPLICATION DE L</w:t>
      </w:r>
      <w:r w:rsidRPr="0043317B" w:rsidR="0043317B">
        <w:rPr>
          <w:lang w:val="fr-FR"/>
        </w:rPr>
        <w:t>’</w:t>
      </w:r>
      <w:r w:rsidRPr="0043317B">
        <w:rPr>
          <w:lang w:val="fr-FR"/>
        </w:rPr>
        <w:t>ARTICLE 41 DE LA CONVENTION</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217</w:t>
      </w:r>
      <w:r w:rsidRPr="0043317B">
        <w:rPr>
          <w:lang w:val="fr-FR"/>
        </w:rPr>
        <w:fldChar w:fldCharType="end"/>
      </w:r>
      <w:r w:rsidRPr="0043317B">
        <w:rPr>
          <w:lang w:val="fr-FR"/>
        </w:rPr>
        <w:t>.  Aux termes de l</w:t>
      </w:r>
      <w:r w:rsidRPr="0043317B" w:rsidR="0043317B">
        <w:rPr>
          <w:lang w:val="fr-FR"/>
        </w:rPr>
        <w:t>’</w:t>
      </w:r>
      <w:r w:rsidRPr="0043317B">
        <w:rPr>
          <w:lang w:val="fr-FR"/>
        </w:rPr>
        <w:t>article 41 de la Convention,</w:t>
      </w:r>
    </w:p>
    <w:p w:rsidRPr="0043317B" w:rsidR="000A45C0" w:rsidP="0043317B" w:rsidRDefault="000A45C0">
      <w:pPr>
        <w:pStyle w:val="ECHRParaQuote"/>
        <w:rPr>
          <w:lang w:val="fr-FR"/>
        </w:rPr>
      </w:pPr>
      <w:r w:rsidRPr="0043317B">
        <w:rPr>
          <w:lang w:val="fr-FR"/>
        </w:rPr>
        <w:t>« Si la Cour déclare qu</w:t>
      </w:r>
      <w:r w:rsidRPr="0043317B" w:rsidR="0043317B">
        <w:rPr>
          <w:lang w:val="fr-FR"/>
        </w:rPr>
        <w:t>’</w:t>
      </w:r>
      <w:r w:rsidRPr="0043317B">
        <w:rPr>
          <w:lang w:val="fr-FR"/>
        </w:rPr>
        <w:t>il y a eu violation de la Convention ou de ses Protocoles, et si le droit interne de la Haute Partie contractante ne permet d</w:t>
      </w:r>
      <w:r w:rsidRPr="0043317B" w:rsidR="0043317B">
        <w:rPr>
          <w:lang w:val="fr-FR"/>
        </w:rPr>
        <w:t>’</w:t>
      </w:r>
      <w:r w:rsidRPr="0043317B">
        <w:rPr>
          <w:lang w:val="fr-FR"/>
        </w:rPr>
        <w:t>effacer qu</w:t>
      </w:r>
      <w:r w:rsidRPr="0043317B" w:rsidR="0043317B">
        <w:rPr>
          <w:lang w:val="fr-FR"/>
        </w:rPr>
        <w:t>’</w:t>
      </w:r>
      <w:r w:rsidRPr="0043317B">
        <w:rPr>
          <w:lang w:val="fr-FR"/>
        </w:rPr>
        <w:t>imparfaitement les conséquences de cette violation, la Cour accorde à la partie lésée, s</w:t>
      </w:r>
      <w:r w:rsidRPr="0043317B" w:rsidR="0043317B">
        <w:rPr>
          <w:lang w:val="fr-FR"/>
        </w:rPr>
        <w:t>’</w:t>
      </w:r>
      <w:r w:rsidRPr="0043317B">
        <w:rPr>
          <w:lang w:val="fr-FR"/>
        </w:rPr>
        <w:t>il y a lieu, une satisfaction équitable. »</w:t>
      </w:r>
    </w:p>
    <w:p w:rsidRPr="0043317B" w:rsidR="000A45C0" w:rsidP="0043317B" w:rsidRDefault="000A45C0">
      <w:pPr>
        <w:pStyle w:val="ECHRHeading2"/>
        <w:rPr>
          <w:lang w:val="fr-FR"/>
        </w:rPr>
      </w:pPr>
      <w:r w:rsidRPr="0043317B">
        <w:rPr>
          <w:lang w:val="fr-FR"/>
        </w:rPr>
        <w:t>A.  Dommage</w:t>
      </w:r>
    </w:p>
    <w:p w:rsidRPr="0043317B" w:rsidR="000A45C0" w:rsidP="0043317B" w:rsidRDefault="000A45C0">
      <w:pPr>
        <w:pStyle w:val="ECHRHeading3"/>
        <w:rPr>
          <w:lang w:val="fr-FR"/>
        </w:rPr>
      </w:pPr>
      <w:r w:rsidRPr="0043317B">
        <w:rPr>
          <w:lang w:val="fr-FR"/>
        </w:rPr>
        <w:t>1.  La position des requérants</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218</w:t>
      </w:r>
      <w:r w:rsidRPr="0043317B">
        <w:rPr>
          <w:lang w:val="fr-FR"/>
        </w:rPr>
        <w:fldChar w:fldCharType="end"/>
      </w:r>
      <w:r w:rsidRPr="0043317B">
        <w:rPr>
          <w:lang w:val="fr-FR"/>
        </w:rPr>
        <w:t>.  Les requérants présentent les demandes suivantes au titre des préjudices matériel et moral qu</w:t>
      </w:r>
      <w:r w:rsidRPr="0043317B" w:rsidR="0043317B">
        <w:rPr>
          <w:lang w:val="fr-FR"/>
        </w:rPr>
        <w:t>’</w:t>
      </w:r>
      <w:r w:rsidRPr="0043317B">
        <w:rPr>
          <w:lang w:val="fr-FR"/>
        </w:rPr>
        <w:t>ils estiment avoir subis.</w:t>
      </w:r>
    </w:p>
    <w:p w:rsidRPr="0043317B" w:rsidR="000A45C0" w:rsidP="0043317B" w:rsidRDefault="000A45C0">
      <w:pPr>
        <w:pStyle w:val="ECHRHeading4"/>
        <w:rPr>
          <w:lang w:val="fr-FR"/>
        </w:rPr>
      </w:pPr>
      <w:r w:rsidRPr="0043317B">
        <w:rPr>
          <w:lang w:val="fr-FR"/>
        </w:rPr>
        <w:t>a)  Mlle</w:t>
      </w:r>
      <w:r w:rsidRPr="0043317B" w:rsidR="00CB2B6D">
        <w:rPr>
          <w:lang w:val="fr-FR"/>
        </w:rPr>
        <w:t> </w:t>
      </w:r>
      <w:r w:rsidRPr="0043317B">
        <w:rPr>
          <w:lang w:val="fr-FR"/>
        </w:rPr>
        <w:t>Jasmin</w:t>
      </w:r>
      <w:r w:rsidRPr="0043317B" w:rsidR="00CB2B6D">
        <w:rPr>
          <w:lang w:val="fr-FR"/>
        </w:rPr>
        <w:t> Paris Uzan et M. Renç Emre </w:t>
      </w:r>
      <w:r w:rsidRPr="0043317B">
        <w:rPr>
          <w:lang w:val="fr-FR"/>
        </w:rPr>
        <w:t>Uzan</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219</w:t>
      </w:r>
      <w:r w:rsidRPr="0043317B">
        <w:rPr>
          <w:lang w:val="fr-FR"/>
        </w:rPr>
        <w:fldChar w:fldCharType="end"/>
      </w:r>
      <w:r w:rsidRPr="0043317B">
        <w:rPr>
          <w:lang w:val="fr-FR"/>
        </w:rPr>
        <w:t>.  Les requérants Jasmin Paris Uzan et Renç Emre Uzan ne formulent aucune demande pour dommage matériel.</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220</w:t>
      </w:r>
      <w:r w:rsidRPr="0043317B">
        <w:rPr>
          <w:lang w:val="fr-FR"/>
        </w:rPr>
        <w:fldChar w:fldCharType="end"/>
      </w:r>
      <w:r w:rsidRPr="0043317B">
        <w:rPr>
          <w:lang w:val="fr-FR"/>
        </w:rPr>
        <w:t>.  Ils sollicitent 10 000 euros (EUR) chacun pour dommage moral, en raison de la souffrance que l</w:t>
      </w:r>
      <w:r w:rsidRPr="0043317B" w:rsidR="0043317B">
        <w:rPr>
          <w:lang w:val="fr-FR"/>
        </w:rPr>
        <w:t>’</w:t>
      </w:r>
      <w:r w:rsidRPr="0043317B">
        <w:rPr>
          <w:lang w:val="fr-FR"/>
        </w:rPr>
        <w:t xml:space="preserve">affaire </w:t>
      </w:r>
      <w:r w:rsidRPr="0043317B">
        <w:rPr>
          <w:i/>
          <w:lang w:val="fr-FR"/>
        </w:rPr>
        <w:t>İmarbank</w:t>
      </w:r>
      <w:r w:rsidRPr="0043317B">
        <w:rPr>
          <w:lang w:val="fr-FR"/>
        </w:rPr>
        <w:t xml:space="preserve"> leur aurait causée.</w:t>
      </w:r>
    </w:p>
    <w:p w:rsidRPr="0043317B" w:rsidR="000A45C0" w:rsidP="0043317B" w:rsidRDefault="000A45C0">
      <w:pPr>
        <w:pStyle w:val="ECHRHeading4"/>
        <w:rPr>
          <w:lang w:val="fr-FR"/>
        </w:rPr>
      </w:pPr>
      <w:r w:rsidRPr="0043317B">
        <w:rPr>
          <w:lang w:val="fr-FR"/>
        </w:rPr>
        <w:t>b)  </w:t>
      </w:r>
      <w:r w:rsidRPr="0043317B" w:rsidR="006A626A">
        <w:rPr>
          <w:lang w:val="fr-FR"/>
        </w:rPr>
        <w:t>M</w:t>
      </w:r>
      <w:r w:rsidRPr="0043317B" w:rsidR="006A626A">
        <w:rPr>
          <w:vertAlign w:val="superscript"/>
          <w:lang w:val="fr-FR"/>
        </w:rPr>
        <w:t>me</w:t>
      </w:r>
      <w:r w:rsidRPr="0043317B" w:rsidR="00CB2B6D">
        <w:rPr>
          <w:lang w:val="fr-FR"/>
        </w:rPr>
        <w:t> </w:t>
      </w:r>
      <w:r w:rsidRPr="0043317B">
        <w:rPr>
          <w:lang w:val="fr-FR"/>
        </w:rPr>
        <w:t>Ayla</w:t>
      </w:r>
      <w:r w:rsidRPr="0043317B" w:rsidR="00CB2B6D">
        <w:rPr>
          <w:lang w:val="fr-FR"/>
        </w:rPr>
        <w:t> </w:t>
      </w:r>
      <w:r w:rsidRPr="0043317B">
        <w:rPr>
          <w:lang w:val="fr-FR"/>
        </w:rPr>
        <w:t>Uzan-Ashaboğlu</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221</w:t>
      </w:r>
      <w:r w:rsidRPr="0043317B">
        <w:rPr>
          <w:lang w:val="fr-FR"/>
        </w:rPr>
        <w:fldChar w:fldCharType="end"/>
      </w:r>
      <w:r w:rsidRPr="0043317B">
        <w:rPr>
          <w:lang w:val="fr-FR"/>
        </w:rPr>
        <w:t>.  La requérante Ayla Uzan-Ashaboğlu réclame la restitution de sa propriété (d</w:t>
      </w:r>
      <w:r w:rsidRPr="0043317B" w:rsidR="0043317B">
        <w:rPr>
          <w:lang w:val="fr-FR"/>
        </w:rPr>
        <w:t>’</w:t>
      </w:r>
      <w:r w:rsidRPr="0043317B">
        <w:rPr>
          <w:lang w:val="fr-FR"/>
        </w:rPr>
        <w:t>une superficie de 16 954 m²) saisie à l</w:t>
      </w:r>
      <w:r w:rsidRPr="0043317B" w:rsidR="0043317B">
        <w:rPr>
          <w:lang w:val="fr-FR"/>
        </w:rPr>
        <w:t>’</w:t>
      </w:r>
      <w:r w:rsidRPr="0043317B">
        <w:rPr>
          <w:lang w:val="fr-FR"/>
        </w:rPr>
        <w:t>occasion de cette affaire, et, subsidiairement, en cas d</w:t>
      </w:r>
      <w:r w:rsidRPr="0043317B" w:rsidR="0043317B">
        <w:rPr>
          <w:lang w:val="fr-FR"/>
        </w:rPr>
        <w:t>’</w:t>
      </w:r>
      <w:r w:rsidRPr="0043317B">
        <w:rPr>
          <w:lang w:val="fr-FR"/>
        </w:rPr>
        <w:t>impossibilité de procéder à cette restitution, la somme de 4 570 000 EUR (soit 6 millions de dollars américains (USD) à l</w:t>
      </w:r>
      <w:r w:rsidRPr="0043317B" w:rsidR="0043317B">
        <w:rPr>
          <w:lang w:val="fr-FR"/>
        </w:rPr>
        <w:t>’</w:t>
      </w:r>
      <w:r w:rsidRPr="0043317B">
        <w:rPr>
          <w:lang w:val="fr-FR"/>
        </w:rPr>
        <w:t>époque de la demande) pour dommage matériel. À l</w:t>
      </w:r>
      <w:r w:rsidRPr="0043317B" w:rsidR="0043317B">
        <w:rPr>
          <w:lang w:val="fr-FR"/>
        </w:rPr>
        <w:t>’</w:t>
      </w:r>
      <w:r w:rsidRPr="0043317B">
        <w:rPr>
          <w:lang w:val="fr-FR"/>
        </w:rPr>
        <w:t>appui de sa demande, elle verse au dossier un rapport d</w:t>
      </w:r>
      <w:r w:rsidRPr="0043317B" w:rsidR="0043317B">
        <w:rPr>
          <w:lang w:val="fr-FR"/>
        </w:rPr>
        <w:t>’</w:t>
      </w:r>
      <w:r w:rsidRPr="0043317B">
        <w:rPr>
          <w:lang w:val="fr-FR"/>
        </w:rPr>
        <w:t>estimation de la valeur de son bien immobilier, ainsi qu</w:t>
      </w:r>
      <w:r w:rsidRPr="0043317B" w:rsidR="0043317B">
        <w:rPr>
          <w:lang w:val="fr-FR"/>
        </w:rPr>
        <w:t>’</w:t>
      </w:r>
      <w:r w:rsidRPr="0043317B">
        <w:rPr>
          <w:lang w:val="fr-FR"/>
        </w:rPr>
        <w:t>une copie de sa déclaration de taxe foncière de l</w:t>
      </w:r>
      <w:r w:rsidRPr="0043317B" w:rsidR="0043317B">
        <w:rPr>
          <w:lang w:val="fr-FR"/>
        </w:rPr>
        <w:t>’</w:t>
      </w:r>
      <w:r w:rsidRPr="0043317B">
        <w:rPr>
          <w:lang w:val="fr-FR"/>
        </w:rPr>
        <w:t>année 1998, dans laquelle la valeur a été déclarée à 260 milliards d</w:t>
      </w:r>
      <w:r w:rsidRPr="0043317B" w:rsidR="0043317B">
        <w:rPr>
          <w:lang w:val="fr-FR"/>
        </w:rPr>
        <w:t>’</w:t>
      </w:r>
      <w:r w:rsidRPr="0043317B">
        <w:rPr>
          <w:lang w:val="fr-FR"/>
        </w:rPr>
        <w:t>anciennes livres</w:t>
      </w:r>
      <w:r w:rsidRPr="0043317B" w:rsidR="00CB2B6D">
        <w:rPr>
          <w:lang w:val="fr-FR"/>
        </w:rPr>
        <w:t> </w:t>
      </w:r>
      <w:r w:rsidRPr="0043317B">
        <w:rPr>
          <w:lang w:val="fr-FR"/>
        </w:rPr>
        <w:t>turques (TRL) (environ 1 250 000 USD à l</w:t>
      </w:r>
      <w:r w:rsidRPr="0043317B" w:rsidR="0043317B">
        <w:rPr>
          <w:lang w:val="fr-FR"/>
        </w:rPr>
        <w:t>’</w:t>
      </w:r>
      <w:r w:rsidRPr="0043317B">
        <w:rPr>
          <w:lang w:val="fr-FR"/>
        </w:rPr>
        <w:t>époque de la demande).</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222</w:t>
      </w:r>
      <w:r w:rsidRPr="0043317B">
        <w:rPr>
          <w:lang w:val="fr-FR"/>
        </w:rPr>
        <w:fldChar w:fldCharType="end"/>
      </w:r>
      <w:r w:rsidRPr="0043317B">
        <w:rPr>
          <w:lang w:val="fr-FR"/>
        </w:rPr>
        <w:t>.  Elle demande également 2 285 000 EUR (soit 3 millions USD à l</w:t>
      </w:r>
      <w:r w:rsidRPr="0043317B" w:rsidR="0043317B">
        <w:rPr>
          <w:lang w:val="fr-FR"/>
        </w:rPr>
        <w:t>’</w:t>
      </w:r>
      <w:r w:rsidRPr="0043317B">
        <w:rPr>
          <w:lang w:val="fr-FR"/>
        </w:rPr>
        <w:t>époque de la demande) pour dommage moral.</w:t>
      </w:r>
    </w:p>
    <w:p w:rsidRPr="0043317B" w:rsidR="000A45C0" w:rsidP="0043317B" w:rsidRDefault="000A45C0">
      <w:pPr>
        <w:pStyle w:val="ECHRHeading4"/>
        <w:rPr>
          <w:lang w:val="fr-FR"/>
        </w:rPr>
      </w:pPr>
      <w:r w:rsidRPr="0043317B">
        <w:rPr>
          <w:lang w:val="fr-FR"/>
        </w:rPr>
        <w:t>c)  </w:t>
      </w:r>
      <w:r w:rsidRPr="0043317B" w:rsidR="006A626A">
        <w:rPr>
          <w:lang w:val="fr-FR"/>
        </w:rPr>
        <w:t>M</w:t>
      </w:r>
      <w:r w:rsidRPr="0043317B" w:rsidR="006A626A">
        <w:rPr>
          <w:vertAlign w:val="superscript"/>
          <w:lang w:val="fr-FR"/>
        </w:rPr>
        <w:t>me</w:t>
      </w:r>
      <w:r w:rsidRPr="0043317B" w:rsidR="00CB2B6D">
        <w:rPr>
          <w:lang w:val="fr-FR"/>
        </w:rPr>
        <w:t> </w:t>
      </w:r>
      <w:r w:rsidRPr="0043317B">
        <w:rPr>
          <w:lang w:val="fr-FR"/>
        </w:rPr>
        <w:t>Nimet</w:t>
      </w:r>
      <w:r w:rsidRPr="0043317B" w:rsidR="00CB2B6D">
        <w:rPr>
          <w:lang w:val="fr-FR"/>
        </w:rPr>
        <w:t> </w:t>
      </w:r>
      <w:r w:rsidRPr="0043317B">
        <w:rPr>
          <w:lang w:val="fr-FR"/>
        </w:rPr>
        <w:t>Hülya</w:t>
      </w:r>
      <w:r w:rsidRPr="0043317B" w:rsidR="00CB2B6D">
        <w:rPr>
          <w:lang w:val="fr-FR"/>
        </w:rPr>
        <w:t> </w:t>
      </w:r>
      <w:r w:rsidRPr="0043317B">
        <w:rPr>
          <w:lang w:val="fr-FR"/>
        </w:rPr>
        <w:t>Talu</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223</w:t>
      </w:r>
      <w:r w:rsidRPr="0043317B">
        <w:rPr>
          <w:lang w:val="fr-FR"/>
        </w:rPr>
        <w:fldChar w:fldCharType="end"/>
      </w:r>
      <w:r w:rsidRPr="0043317B">
        <w:rPr>
          <w:lang w:val="fr-FR"/>
        </w:rPr>
        <w:t xml:space="preserve">.  Dans ses demandes formulées le 26 juillet 2010, la requérante Nimet Hülya Talu réclamait un montant de 1 530 047,24 EUR pour dommage matériel en raison du préjudice que les mesures conservatoires ordonnées sur son salaire, sa voiture, sa maison sise à </w:t>
      </w:r>
      <w:r w:rsidRPr="0043317B">
        <w:rPr>
          <w:lang w:val="tr-TR"/>
        </w:rPr>
        <w:t>Çekmeköy</w:t>
      </w:r>
      <w:r w:rsidRPr="0043317B">
        <w:rPr>
          <w:lang w:val="fr-FR"/>
        </w:rPr>
        <w:t xml:space="preserve"> (Istanbul) et son appartement sis à </w:t>
      </w:r>
      <w:r w:rsidRPr="0043317B">
        <w:rPr>
          <w:lang w:val="tr-TR"/>
        </w:rPr>
        <w:t>Kınalı</w:t>
      </w:r>
      <w:r w:rsidRPr="0043317B">
        <w:rPr>
          <w:lang w:val="fr-FR"/>
        </w:rPr>
        <w:t>ada (Istanbul) lui auraient causé. Elle demandait également une indemnité mensuelle de 3 000 EUR à partir du 1</w:t>
      </w:r>
      <w:r w:rsidRPr="0043317B">
        <w:rPr>
          <w:vertAlign w:val="superscript"/>
          <w:lang w:val="fr-FR"/>
        </w:rPr>
        <w:t>er</w:t>
      </w:r>
      <w:r w:rsidRPr="0043317B">
        <w:rPr>
          <w:lang w:val="fr-FR"/>
        </w:rPr>
        <w:t> août 2010, toujours au titre du préjudice matériel.</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224</w:t>
      </w:r>
      <w:r w:rsidRPr="0043317B">
        <w:rPr>
          <w:lang w:val="fr-FR"/>
        </w:rPr>
        <w:fldChar w:fldCharType="end"/>
      </w:r>
      <w:r w:rsidRPr="0043317B">
        <w:rPr>
          <w:lang w:val="fr-FR"/>
        </w:rPr>
        <w:t>.  Dans sa lettre du 7 avril 2015, l</w:t>
      </w:r>
      <w:r w:rsidRPr="0043317B" w:rsidR="0043317B">
        <w:rPr>
          <w:lang w:val="fr-FR"/>
        </w:rPr>
        <w:t>’</w:t>
      </w:r>
      <w:r w:rsidRPr="0043317B">
        <w:rPr>
          <w:lang w:val="fr-FR"/>
        </w:rPr>
        <w:t>intéressée a informé la Cour que les mesures avaient été levées sur son salaire, tout en précisant que le reste des mesures était maintenu.</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225</w:t>
      </w:r>
      <w:r w:rsidRPr="0043317B">
        <w:rPr>
          <w:lang w:val="fr-FR"/>
        </w:rPr>
        <w:fldChar w:fldCharType="end"/>
      </w:r>
      <w:r w:rsidRPr="0043317B">
        <w:rPr>
          <w:lang w:val="fr-FR"/>
        </w:rPr>
        <w:t>.  Dans sa lettre du 6 octobre 2016, elle a avisé la Cour que, après la levée des mesures conservatoires, elle avait reçu la somme de 275</w:t>
      </w:r>
      <w:r w:rsidRPr="0043317B" w:rsidR="00CB2B6D">
        <w:rPr>
          <w:lang w:val="fr-FR"/>
        </w:rPr>
        <w:t> 000 </w:t>
      </w:r>
      <w:r w:rsidRPr="0043317B">
        <w:rPr>
          <w:lang w:val="fr-FR"/>
        </w:rPr>
        <w:t>TRY (environ 80 465 EUR), non assortie d</w:t>
      </w:r>
      <w:r w:rsidRPr="0043317B" w:rsidR="0043317B">
        <w:rPr>
          <w:lang w:val="fr-FR"/>
        </w:rPr>
        <w:t>’</w:t>
      </w:r>
      <w:r w:rsidRPr="0043317B">
        <w:rPr>
          <w:lang w:val="fr-FR"/>
        </w:rPr>
        <w:t>intérêts, au titre des arriérés de salaire sur les dix dernières années. Elle n</w:t>
      </w:r>
      <w:r w:rsidRPr="0043317B" w:rsidR="0043317B">
        <w:rPr>
          <w:lang w:val="fr-FR"/>
        </w:rPr>
        <w:t>’</w:t>
      </w:r>
      <w:r w:rsidRPr="0043317B">
        <w:rPr>
          <w:lang w:val="fr-FR"/>
        </w:rPr>
        <w:t>a toutefois pas mis à jour sa demande de dédommagement du préjudice matériel.</w:t>
      </w:r>
    </w:p>
    <w:p w:rsidRPr="0043317B" w:rsidR="000A45C0" w:rsidP="0043317B" w:rsidRDefault="000A45C0">
      <w:pPr>
        <w:pStyle w:val="ECHRHeading4"/>
        <w:rPr>
          <w:lang w:val="fr-FR"/>
        </w:rPr>
      </w:pPr>
      <w:r w:rsidRPr="0043317B">
        <w:rPr>
          <w:lang w:val="fr-FR"/>
        </w:rPr>
        <w:t>d)  </w:t>
      </w:r>
      <w:r w:rsidRPr="0043317B" w:rsidR="006A626A">
        <w:rPr>
          <w:lang w:val="fr-FR"/>
        </w:rPr>
        <w:t>M</w:t>
      </w:r>
      <w:r w:rsidRPr="0043317B" w:rsidR="006A626A">
        <w:rPr>
          <w:vertAlign w:val="superscript"/>
          <w:lang w:val="fr-FR"/>
        </w:rPr>
        <w:t>me</w:t>
      </w:r>
      <w:r w:rsidRPr="0043317B" w:rsidR="00CB2B6D">
        <w:rPr>
          <w:lang w:val="fr-FR"/>
        </w:rPr>
        <w:t> </w:t>
      </w:r>
      <w:r w:rsidRPr="0043317B">
        <w:rPr>
          <w:lang w:val="fr-FR"/>
        </w:rPr>
        <w:t>Bilge</w:t>
      </w:r>
      <w:r w:rsidRPr="0043317B" w:rsidR="00CB2B6D">
        <w:rPr>
          <w:lang w:val="fr-FR"/>
        </w:rPr>
        <w:t> </w:t>
      </w:r>
      <w:r w:rsidRPr="0043317B">
        <w:rPr>
          <w:lang w:val="fr-FR"/>
        </w:rPr>
        <w:t>Doğru</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226</w:t>
      </w:r>
      <w:r w:rsidRPr="0043317B">
        <w:rPr>
          <w:lang w:val="fr-FR"/>
        </w:rPr>
        <w:fldChar w:fldCharType="end"/>
      </w:r>
      <w:r w:rsidRPr="0043317B">
        <w:rPr>
          <w:lang w:val="fr-FR"/>
        </w:rPr>
        <w:t>.  La requérante Bilge Doğru sollicite plusieurs sommes au titre du préjudice matériel. Les montants qu</w:t>
      </w:r>
      <w:r w:rsidRPr="0043317B" w:rsidR="0043317B">
        <w:rPr>
          <w:lang w:val="fr-FR"/>
        </w:rPr>
        <w:t>’</w:t>
      </w:r>
      <w:r w:rsidRPr="0043317B">
        <w:rPr>
          <w:lang w:val="fr-FR"/>
        </w:rPr>
        <w:t>elle revendique sont ventilés comme suit :</w:t>
      </w:r>
    </w:p>
    <w:p w:rsidRPr="0043317B" w:rsidR="000A45C0" w:rsidP="0043317B" w:rsidRDefault="00F707C8">
      <w:pPr>
        <w:pStyle w:val="ECHRPara"/>
        <w:rPr>
          <w:lang w:val="fr-FR"/>
        </w:rPr>
      </w:pPr>
      <w:r w:rsidRPr="0043317B">
        <w:rPr>
          <w:lang w:val="fr-FR"/>
        </w:rPr>
        <w:t>-  </w:t>
      </w:r>
      <w:r w:rsidRPr="0043317B" w:rsidR="000A45C0">
        <w:rPr>
          <w:lang w:val="fr-FR"/>
        </w:rPr>
        <w:t>132</w:t>
      </w:r>
      <w:r w:rsidRPr="0043317B">
        <w:rPr>
          <w:lang w:val="fr-FR"/>
        </w:rPr>
        <w:t> </w:t>
      </w:r>
      <w:r w:rsidRPr="0043317B" w:rsidR="000A45C0">
        <w:rPr>
          <w:lang w:val="fr-FR"/>
        </w:rPr>
        <w:t>000</w:t>
      </w:r>
      <w:r w:rsidRPr="0043317B">
        <w:rPr>
          <w:lang w:val="fr-FR"/>
        </w:rPr>
        <w:t> </w:t>
      </w:r>
      <w:r w:rsidRPr="0043317B" w:rsidR="000A45C0">
        <w:rPr>
          <w:lang w:val="fr-FR"/>
        </w:rPr>
        <w:t>TRY (environ 67</w:t>
      </w:r>
      <w:r w:rsidRPr="0043317B">
        <w:rPr>
          <w:lang w:val="fr-FR"/>
        </w:rPr>
        <w:t> </w:t>
      </w:r>
      <w:r w:rsidRPr="0043317B" w:rsidR="000A45C0">
        <w:rPr>
          <w:lang w:val="fr-FR"/>
        </w:rPr>
        <w:t>690 EUR à l</w:t>
      </w:r>
      <w:r w:rsidRPr="0043317B" w:rsidR="0043317B">
        <w:rPr>
          <w:lang w:val="fr-FR"/>
        </w:rPr>
        <w:t>’</w:t>
      </w:r>
      <w:r w:rsidRPr="0043317B" w:rsidR="000A45C0">
        <w:rPr>
          <w:lang w:val="fr-FR"/>
        </w:rPr>
        <w:t xml:space="preserve">époque de la demande) pour manque à gagner, cette somme étant calculée sur la base de </w:t>
      </w:r>
      <w:r w:rsidRPr="0043317B" w:rsidR="00CB2B6D">
        <w:rPr>
          <w:lang w:val="fr-FR"/>
        </w:rPr>
        <w:t>deux </w:t>
      </w:r>
      <w:r w:rsidRPr="0043317B" w:rsidR="000A45C0">
        <w:rPr>
          <w:lang w:val="fr-FR"/>
        </w:rPr>
        <w:t>cents heures de travail, à un tarif horaire de 660 TRY, que ladite requérante aurait consacrées aux procès ouverts à son encontre ;</w:t>
      </w:r>
    </w:p>
    <w:p w:rsidRPr="0043317B" w:rsidR="000A45C0" w:rsidP="0043317B" w:rsidRDefault="00F707C8">
      <w:pPr>
        <w:pStyle w:val="ECHRPara"/>
        <w:rPr>
          <w:lang w:val="fr-FR"/>
        </w:rPr>
      </w:pPr>
      <w:r w:rsidRPr="0043317B">
        <w:rPr>
          <w:lang w:val="fr-FR"/>
        </w:rPr>
        <w:t>-  </w:t>
      </w:r>
      <w:r w:rsidRPr="0043317B" w:rsidR="000A45C0">
        <w:rPr>
          <w:lang w:val="fr-FR"/>
        </w:rPr>
        <w:t>500</w:t>
      </w:r>
      <w:r w:rsidRPr="0043317B">
        <w:rPr>
          <w:lang w:val="fr-FR"/>
        </w:rPr>
        <w:t> </w:t>
      </w:r>
      <w:r w:rsidRPr="0043317B" w:rsidR="000A45C0">
        <w:rPr>
          <w:lang w:val="fr-FR"/>
        </w:rPr>
        <w:t>000</w:t>
      </w:r>
      <w:r w:rsidRPr="0043317B">
        <w:rPr>
          <w:lang w:val="fr-FR"/>
        </w:rPr>
        <w:t> </w:t>
      </w:r>
      <w:r w:rsidRPr="0043317B" w:rsidR="000A45C0">
        <w:rPr>
          <w:lang w:val="fr-FR"/>
        </w:rPr>
        <w:t>TRY (environ 256</w:t>
      </w:r>
      <w:r w:rsidRPr="0043317B">
        <w:rPr>
          <w:lang w:val="fr-FR"/>
        </w:rPr>
        <w:t> </w:t>
      </w:r>
      <w:r w:rsidRPr="0043317B" w:rsidR="000A45C0">
        <w:rPr>
          <w:lang w:val="fr-FR"/>
        </w:rPr>
        <w:t>410 EUR à l</w:t>
      </w:r>
      <w:r w:rsidRPr="0043317B" w:rsidR="0043317B">
        <w:rPr>
          <w:lang w:val="fr-FR"/>
        </w:rPr>
        <w:t>’</w:t>
      </w:r>
      <w:r w:rsidRPr="0043317B" w:rsidR="000A45C0">
        <w:rPr>
          <w:lang w:val="fr-FR"/>
        </w:rPr>
        <w:t>époque de la demande) également pour manque à gagner, qui correspondraient à une somme mensuelle de 5 000 TRY (environ 2 565 EUR à l</w:t>
      </w:r>
      <w:r w:rsidRPr="0043317B" w:rsidR="0043317B">
        <w:rPr>
          <w:lang w:val="fr-FR"/>
        </w:rPr>
        <w:t>’</w:t>
      </w:r>
      <w:r w:rsidRPr="0043317B" w:rsidR="000A45C0">
        <w:rPr>
          <w:lang w:val="fr-FR"/>
        </w:rPr>
        <w:t>époque de la demande) depuis le début des procédures ;</w:t>
      </w:r>
    </w:p>
    <w:p w:rsidRPr="0043317B" w:rsidR="000A45C0" w:rsidP="0043317B" w:rsidRDefault="00F707C8">
      <w:pPr>
        <w:pStyle w:val="ECHRPara"/>
        <w:rPr>
          <w:lang w:val="fr-FR"/>
        </w:rPr>
      </w:pPr>
      <w:r w:rsidRPr="0043317B">
        <w:rPr>
          <w:lang w:val="fr-FR"/>
        </w:rPr>
        <w:t>-  </w:t>
      </w:r>
      <w:r w:rsidRPr="0043317B" w:rsidR="000A45C0">
        <w:rPr>
          <w:lang w:val="fr-FR"/>
        </w:rPr>
        <w:t>36</w:t>
      </w:r>
      <w:r w:rsidRPr="0043317B">
        <w:rPr>
          <w:lang w:val="fr-FR"/>
        </w:rPr>
        <w:t> </w:t>
      </w:r>
      <w:r w:rsidRPr="0043317B" w:rsidR="000A45C0">
        <w:rPr>
          <w:lang w:val="fr-FR"/>
        </w:rPr>
        <w:t>560</w:t>
      </w:r>
      <w:r w:rsidRPr="0043317B">
        <w:rPr>
          <w:lang w:val="fr-FR"/>
        </w:rPr>
        <w:t> </w:t>
      </w:r>
      <w:r w:rsidRPr="0043317B" w:rsidR="000A45C0">
        <w:rPr>
          <w:lang w:val="fr-FR"/>
        </w:rPr>
        <w:t>TRY (environ 18</w:t>
      </w:r>
      <w:r w:rsidRPr="0043317B">
        <w:rPr>
          <w:lang w:val="fr-FR"/>
        </w:rPr>
        <w:t> </w:t>
      </w:r>
      <w:r w:rsidRPr="0043317B" w:rsidR="000A45C0">
        <w:rPr>
          <w:lang w:val="fr-FR"/>
        </w:rPr>
        <w:t>750 EUR à l</w:t>
      </w:r>
      <w:r w:rsidRPr="0043317B" w:rsidR="0043317B">
        <w:rPr>
          <w:lang w:val="fr-FR"/>
        </w:rPr>
        <w:t>’</w:t>
      </w:r>
      <w:r w:rsidRPr="0043317B" w:rsidR="000A45C0">
        <w:rPr>
          <w:lang w:val="fr-FR"/>
        </w:rPr>
        <w:t>époque de la demande) pour les honoraires d</w:t>
      </w:r>
      <w:r w:rsidRPr="0043317B" w:rsidR="0043317B">
        <w:rPr>
          <w:lang w:val="fr-FR"/>
        </w:rPr>
        <w:t>’</w:t>
      </w:r>
      <w:r w:rsidRPr="0043317B" w:rsidR="000A45C0">
        <w:rPr>
          <w:lang w:val="fr-FR"/>
        </w:rPr>
        <w:t>avocat acquittés par l</w:t>
      </w:r>
      <w:r w:rsidRPr="0043317B" w:rsidR="0043317B">
        <w:rPr>
          <w:lang w:val="fr-FR"/>
        </w:rPr>
        <w:t>’</w:t>
      </w:r>
      <w:r w:rsidRPr="0043317B" w:rsidR="000A45C0">
        <w:rPr>
          <w:lang w:val="fr-FR"/>
        </w:rPr>
        <w:t>intéressée en raison des procédures diligentées contre elle.</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227</w:t>
      </w:r>
      <w:r w:rsidRPr="0043317B">
        <w:rPr>
          <w:lang w:val="fr-FR"/>
        </w:rPr>
        <w:fldChar w:fldCharType="end"/>
      </w:r>
      <w:r w:rsidRPr="0043317B">
        <w:rPr>
          <w:lang w:val="fr-FR"/>
        </w:rPr>
        <w:t>.  Cette requérante réclame également 500 000 TRY (environ 256</w:t>
      </w:r>
      <w:r w:rsidRPr="0043317B" w:rsidR="00CB2B6D">
        <w:rPr>
          <w:lang w:val="fr-FR"/>
        </w:rPr>
        <w:t> </w:t>
      </w:r>
      <w:r w:rsidRPr="0043317B">
        <w:rPr>
          <w:lang w:val="fr-FR"/>
        </w:rPr>
        <w:t>410</w:t>
      </w:r>
      <w:r w:rsidRPr="0043317B" w:rsidR="00CB2B6D">
        <w:rPr>
          <w:lang w:val="fr-FR"/>
        </w:rPr>
        <w:t> </w:t>
      </w:r>
      <w:r w:rsidRPr="0043317B">
        <w:rPr>
          <w:lang w:val="fr-FR"/>
        </w:rPr>
        <w:t>EUR à l</w:t>
      </w:r>
      <w:r w:rsidRPr="0043317B" w:rsidR="0043317B">
        <w:rPr>
          <w:lang w:val="fr-FR"/>
        </w:rPr>
        <w:t>’</w:t>
      </w:r>
      <w:r w:rsidRPr="0043317B">
        <w:rPr>
          <w:lang w:val="fr-FR"/>
        </w:rPr>
        <w:t>époque de la demande) au titre du préjudice moral.</w:t>
      </w:r>
    </w:p>
    <w:p w:rsidRPr="0043317B" w:rsidR="000A45C0" w:rsidP="0043317B" w:rsidRDefault="000A45C0">
      <w:pPr>
        <w:pStyle w:val="ECHRHeading3"/>
        <w:rPr>
          <w:lang w:val="fr-FR"/>
        </w:rPr>
      </w:pPr>
      <w:r w:rsidRPr="0043317B">
        <w:rPr>
          <w:lang w:val="fr-FR"/>
        </w:rPr>
        <w:t>2.  La position du Gouvernement</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228</w:t>
      </w:r>
      <w:r w:rsidRPr="0043317B">
        <w:rPr>
          <w:lang w:val="fr-FR"/>
        </w:rPr>
        <w:fldChar w:fldCharType="end"/>
      </w:r>
      <w:r w:rsidRPr="0043317B">
        <w:rPr>
          <w:lang w:val="fr-FR"/>
        </w:rPr>
        <w:t>.  Le Gouvernement conteste l</w:t>
      </w:r>
      <w:r w:rsidRPr="0043317B" w:rsidR="0043317B">
        <w:rPr>
          <w:lang w:val="fr-FR"/>
        </w:rPr>
        <w:t>’</w:t>
      </w:r>
      <w:r w:rsidRPr="0043317B">
        <w:rPr>
          <w:lang w:val="fr-FR"/>
        </w:rPr>
        <w:t>ensemble des demandes formulées par les requérants. Il invite la Cour à rejeter ces prétentions.</w:t>
      </w:r>
    </w:p>
    <w:p w:rsidRPr="0043317B" w:rsidR="000A45C0" w:rsidP="0043317B" w:rsidRDefault="000A45C0">
      <w:pPr>
        <w:pStyle w:val="ECHRHeading2"/>
        <w:rPr>
          <w:lang w:val="fr-FR"/>
        </w:rPr>
      </w:pPr>
      <w:r w:rsidRPr="0043317B">
        <w:rPr>
          <w:lang w:val="fr-FR"/>
        </w:rPr>
        <w:t>B.  Frais et dépens</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229</w:t>
      </w:r>
      <w:r w:rsidRPr="0043317B">
        <w:rPr>
          <w:lang w:val="fr-FR"/>
        </w:rPr>
        <w:fldChar w:fldCharType="end"/>
      </w:r>
      <w:r w:rsidRPr="0043317B">
        <w:rPr>
          <w:lang w:val="fr-FR"/>
        </w:rPr>
        <w:t>.  Certains des requérants demandent également des montants pour les frais et dépens engagés devant la Cour.</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230</w:t>
      </w:r>
      <w:r w:rsidRPr="0043317B">
        <w:rPr>
          <w:lang w:val="fr-FR"/>
        </w:rPr>
        <w:fldChar w:fldCharType="end"/>
      </w:r>
      <w:r w:rsidRPr="0043317B">
        <w:rPr>
          <w:lang w:val="fr-FR"/>
        </w:rPr>
        <w:t>.  Les requérants Jasmin Paris Uzan et Renç Emre Uzan réclament 40</w:t>
      </w:r>
      <w:r w:rsidRPr="0043317B" w:rsidR="00CB2B6D">
        <w:rPr>
          <w:lang w:val="fr-FR"/>
        </w:rPr>
        <w:t> </w:t>
      </w:r>
      <w:r w:rsidRPr="0043317B">
        <w:rPr>
          <w:lang w:val="fr-FR"/>
        </w:rPr>
        <w:t>800</w:t>
      </w:r>
      <w:r w:rsidRPr="0043317B" w:rsidR="00CB2B6D">
        <w:rPr>
          <w:lang w:val="fr-FR"/>
        </w:rPr>
        <w:t> </w:t>
      </w:r>
      <w:r w:rsidRPr="0043317B">
        <w:rPr>
          <w:lang w:val="fr-FR"/>
        </w:rPr>
        <w:t>EUR. À titre de justificatifs, ils soumettent un tableau détaillé du travail accompli ainsi que des reçus pour les montants versés.</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231</w:t>
      </w:r>
      <w:r w:rsidRPr="0043317B">
        <w:rPr>
          <w:lang w:val="fr-FR"/>
        </w:rPr>
        <w:fldChar w:fldCharType="end"/>
      </w:r>
      <w:r w:rsidRPr="0043317B">
        <w:rPr>
          <w:lang w:val="fr-FR"/>
        </w:rPr>
        <w:t>.  La requérante Ayla Uzan-Ashaboğlu demande 113 725 EUR. À titre de justificatifs, elle soumet un tableau détaillé du travail accompli ainsi que des reçus pour les montants des paiements effectués.</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232</w:t>
      </w:r>
      <w:r w:rsidRPr="0043317B">
        <w:rPr>
          <w:lang w:val="fr-FR"/>
        </w:rPr>
        <w:fldChar w:fldCharType="end"/>
      </w:r>
      <w:r w:rsidRPr="0043317B">
        <w:rPr>
          <w:lang w:val="fr-FR"/>
        </w:rPr>
        <w:t>.  La requérante Nimet Hülya Talu ne formule aucune demande pour les frais et dépens.</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233</w:t>
      </w:r>
      <w:r w:rsidRPr="0043317B">
        <w:rPr>
          <w:lang w:val="fr-FR"/>
        </w:rPr>
        <w:fldChar w:fldCharType="end"/>
      </w:r>
      <w:r w:rsidRPr="0043317B">
        <w:rPr>
          <w:lang w:val="fr-FR"/>
        </w:rPr>
        <w:t>.  La requérante Bilge Doğru demande 12 750 TRY (environ 6</w:t>
      </w:r>
      <w:r w:rsidRPr="0043317B" w:rsidR="00CB2B6D">
        <w:rPr>
          <w:lang w:val="fr-FR"/>
        </w:rPr>
        <w:t> 540 </w:t>
      </w:r>
      <w:r w:rsidRPr="0043317B">
        <w:rPr>
          <w:lang w:val="fr-FR"/>
        </w:rPr>
        <w:t>EUR à l</w:t>
      </w:r>
      <w:r w:rsidRPr="0043317B" w:rsidR="0043317B">
        <w:rPr>
          <w:lang w:val="fr-FR"/>
        </w:rPr>
        <w:t>’</w:t>
      </w:r>
      <w:r w:rsidRPr="0043317B">
        <w:rPr>
          <w:lang w:val="fr-FR"/>
        </w:rPr>
        <w:t>époque de la demande) pour les frais et dépens engagés devant la Cour et 15 % du montant qui pourrait être alloué par celle</w:t>
      </w:r>
      <w:r w:rsidRPr="0043317B">
        <w:rPr>
          <w:lang w:val="fr-FR"/>
        </w:rPr>
        <w:noBreakHyphen/>
        <w:t>ci, tous chefs de dommage confondus, pour les honoraires d</w:t>
      </w:r>
      <w:r w:rsidRPr="0043317B" w:rsidR="0043317B">
        <w:rPr>
          <w:lang w:val="fr-FR"/>
        </w:rPr>
        <w:t>’</w:t>
      </w:r>
      <w:r w:rsidRPr="0043317B">
        <w:rPr>
          <w:lang w:val="fr-FR"/>
        </w:rPr>
        <w:t>avocat. Elle soumet à titre de justificatif le barème tarifaire du barreau d</w:t>
      </w:r>
      <w:r w:rsidRPr="0043317B" w:rsidR="0043317B">
        <w:rPr>
          <w:lang w:val="fr-FR"/>
        </w:rPr>
        <w:t>’</w:t>
      </w:r>
      <w:r w:rsidRPr="0043317B">
        <w:rPr>
          <w:lang w:val="fr-FR"/>
        </w:rPr>
        <w:t>Istanbul.</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234</w:t>
      </w:r>
      <w:r w:rsidRPr="0043317B">
        <w:rPr>
          <w:lang w:val="fr-FR"/>
        </w:rPr>
        <w:fldChar w:fldCharType="end"/>
      </w:r>
      <w:r w:rsidRPr="0043317B">
        <w:rPr>
          <w:lang w:val="fr-FR"/>
        </w:rPr>
        <w:t>.  Le Gouvernement conteste ces prétentions.</w:t>
      </w:r>
    </w:p>
    <w:p w:rsidRPr="0043317B" w:rsidR="000A45C0" w:rsidP="0043317B" w:rsidRDefault="000A45C0">
      <w:pPr>
        <w:pStyle w:val="ECHR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235</w:t>
      </w:r>
      <w:r w:rsidRPr="0043317B">
        <w:rPr>
          <w:lang w:val="fr-FR"/>
        </w:rPr>
        <w:fldChar w:fldCharType="end"/>
      </w:r>
      <w:r w:rsidRPr="0043317B">
        <w:rPr>
          <w:lang w:val="fr-FR"/>
        </w:rPr>
        <w:t>.  Eu égard aux circonstances de la cause, la Cour estime que la question de l</w:t>
      </w:r>
      <w:r w:rsidRPr="0043317B" w:rsidR="0043317B">
        <w:rPr>
          <w:lang w:val="fr-FR"/>
        </w:rPr>
        <w:t>’</w:t>
      </w:r>
      <w:r w:rsidRPr="0043317B">
        <w:rPr>
          <w:lang w:val="fr-FR"/>
        </w:rPr>
        <w:t>application de l</w:t>
      </w:r>
      <w:r w:rsidRPr="0043317B" w:rsidR="0043317B">
        <w:rPr>
          <w:lang w:val="fr-FR"/>
        </w:rPr>
        <w:t>’</w:t>
      </w:r>
      <w:r w:rsidRPr="0043317B">
        <w:rPr>
          <w:lang w:val="fr-FR"/>
        </w:rPr>
        <w:t>article 41 de la Convention ne se trouve pas en état. Par conséquent, il y a lieu de la réserver en entier et de fixer la procédure ultérieure, en tenant compte de l</w:t>
      </w:r>
      <w:r w:rsidRPr="0043317B" w:rsidR="0043317B">
        <w:rPr>
          <w:lang w:val="fr-FR"/>
        </w:rPr>
        <w:t>’</w:t>
      </w:r>
      <w:r w:rsidRPr="0043317B">
        <w:rPr>
          <w:lang w:val="fr-FR"/>
        </w:rPr>
        <w:t>éventualité que l</w:t>
      </w:r>
      <w:r w:rsidRPr="0043317B" w:rsidR="0043317B">
        <w:rPr>
          <w:lang w:val="fr-FR"/>
        </w:rPr>
        <w:t>’</w:t>
      </w:r>
      <w:r w:rsidRPr="0043317B">
        <w:rPr>
          <w:lang w:val="fr-FR"/>
        </w:rPr>
        <w:t>État défendeur et les requérants parviennent à un accord sur ce point (article 75 § 1 du règlement de la Cour).</w:t>
      </w:r>
    </w:p>
    <w:p w:rsidRPr="0043317B" w:rsidR="00642EBD" w:rsidP="0043317B" w:rsidRDefault="00642EBD">
      <w:pPr>
        <w:pStyle w:val="ECHRTitle1"/>
        <w:rPr>
          <w:lang w:val="fr-FR"/>
        </w:rPr>
      </w:pPr>
      <w:r w:rsidRPr="0043317B">
        <w:rPr>
          <w:lang w:val="fr-FR"/>
        </w:rPr>
        <w:t>PAR CES MOTIFS, LA COUR</w:t>
      </w:r>
    </w:p>
    <w:p w:rsidRPr="0043317B" w:rsidR="00642EBD" w:rsidP="0043317B" w:rsidRDefault="00642EBD">
      <w:pPr>
        <w:pStyle w:val="JuList"/>
        <w:rPr>
          <w:lang w:val="fr-FR"/>
        </w:rPr>
      </w:pPr>
      <w:r w:rsidRPr="0043317B">
        <w:rPr>
          <w:lang w:val="fr-FR"/>
        </w:rPr>
        <w:t>1.</w:t>
      </w:r>
      <w:r w:rsidRPr="0043317B">
        <w:rPr>
          <w:i/>
          <w:lang w:val="fr-FR"/>
        </w:rPr>
        <w:t>  Décide</w:t>
      </w:r>
      <w:r w:rsidRPr="0043317B">
        <w:rPr>
          <w:lang w:val="fr-FR"/>
        </w:rPr>
        <w:t xml:space="preserve"> de joindre les requêtes ;</w:t>
      </w:r>
    </w:p>
    <w:p w:rsidRPr="0043317B" w:rsidR="00642EBD" w:rsidP="0043317B" w:rsidRDefault="00642EBD">
      <w:pPr>
        <w:pStyle w:val="JuList"/>
        <w:rPr>
          <w:lang w:val="fr-FR"/>
        </w:rPr>
      </w:pPr>
    </w:p>
    <w:p w:rsidRPr="0043317B" w:rsidR="00642EBD" w:rsidP="0043317B" w:rsidRDefault="00642EBD">
      <w:pPr>
        <w:pStyle w:val="JuList"/>
        <w:rPr>
          <w:lang w:val="fr-FR"/>
        </w:rPr>
      </w:pPr>
      <w:r w:rsidRPr="0043317B">
        <w:rPr>
          <w:lang w:val="fr-FR"/>
        </w:rPr>
        <w:t>2.  </w:t>
      </w:r>
      <w:r w:rsidRPr="0043317B">
        <w:rPr>
          <w:i/>
          <w:lang w:val="fr-FR"/>
        </w:rPr>
        <w:t>Déclare</w:t>
      </w:r>
      <w:r w:rsidRPr="0043317B">
        <w:rPr>
          <w:lang w:val="fr-FR"/>
        </w:rPr>
        <w:t>, à l</w:t>
      </w:r>
      <w:r w:rsidRPr="0043317B" w:rsidR="0043317B">
        <w:rPr>
          <w:lang w:val="fr-FR"/>
        </w:rPr>
        <w:t>’</w:t>
      </w:r>
      <w:r w:rsidRPr="0043317B">
        <w:rPr>
          <w:lang w:val="fr-FR"/>
        </w:rPr>
        <w:t>una</w:t>
      </w:r>
      <w:r w:rsidRPr="0043317B" w:rsidR="000321F2">
        <w:rPr>
          <w:lang w:val="fr-FR"/>
        </w:rPr>
        <w:t xml:space="preserve">nimité, les requêtes recevables </w:t>
      </w:r>
      <w:r w:rsidRPr="0043317B">
        <w:rPr>
          <w:color w:val="000000" w:themeColor="text1"/>
          <w:lang w:val="fr-FR"/>
        </w:rPr>
        <w:t xml:space="preserve">dans le chef de </w:t>
      </w:r>
      <w:r w:rsidRPr="0043317B">
        <w:rPr>
          <w:lang w:val="fr-FR"/>
        </w:rPr>
        <w:t>M</w:t>
      </w:r>
      <w:r w:rsidRPr="0043317B">
        <w:rPr>
          <w:vertAlign w:val="superscript"/>
          <w:lang w:val="fr-FR"/>
        </w:rPr>
        <w:t>me</w:t>
      </w:r>
      <w:r w:rsidRPr="0043317B" w:rsidR="00CB2B6D">
        <w:rPr>
          <w:vertAlign w:val="superscript"/>
          <w:lang w:val="fr-FR"/>
        </w:rPr>
        <w:t> </w:t>
      </w:r>
      <w:r w:rsidRPr="0043317B">
        <w:rPr>
          <w:lang w:val="fr-FR"/>
        </w:rPr>
        <w:t>Ayla</w:t>
      </w:r>
      <w:r w:rsidRPr="0043317B" w:rsidR="00CB2B6D">
        <w:rPr>
          <w:lang w:val="fr-FR"/>
        </w:rPr>
        <w:t> </w:t>
      </w:r>
      <w:r w:rsidRPr="0043317B">
        <w:rPr>
          <w:lang w:val="fr-FR"/>
        </w:rPr>
        <w:t>Uzan-</w:t>
      </w:r>
      <w:r w:rsidRPr="0043317B">
        <w:rPr>
          <w:rFonts w:ascii="Times New Roman" w:hAnsi="Times New Roman" w:eastAsia="Times New Roman" w:cs="Times New Roman"/>
          <w:szCs w:val="20"/>
          <w:lang w:val="fr-FR" w:eastAsia="fr-FR"/>
        </w:rPr>
        <w:t>Ashaboğlu</w:t>
      </w:r>
      <w:r w:rsidRPr="0043317B">
        <w:rPr>
          <w:lang w:val="fr-FR"/>
        </w:rPr>
        <w:t xml:space="preserve"> (requête n</w:t>
      </w:r>
      <w:r w:rsidRPr="0043317B">
        <w:rPr>
          <w:vertAlign w:val="superscript"/>
          <w:lang w:val="fr-FR"/>
        </w:rPr>
        <w:t>o</w:t>
      </w:r>
      <w:r w:rsidRPr="0043317B">
        <w:rPr>
          <w:lang w:val="fr-FR"/>
        </w:rPr>
        <w:t> 41487/05), M</w:t>
      </w:r>
      <w:r w:rsidRPr="0043317B">
        <w:rPr>
          <w:vertAlign w:val="superscript"/>
          <w:lang w:val="fr-FR"/>
        </w:rPr>
        <w:t>me</w:t>
      </w:r>
      <w:r w:rsidRPr="0043317B" w:rsidR="00CB2B6D">
        <w:rPr>
          <w:vertAlign w:val="superscript"/>
          <w:lang w:val="fr-FR"/>
        </w:rPr>
        <w:t> </w:t>
      </w:r>
      <w:r w:rsidRPr="0043317B">
        <w:rPr>
          <w:lang w:val="fr-FR"/>
        </w:rPr>
        <w:t>Nimet</w:t>
      </w:r>
      <w:r w:rsidRPr="0043317B" w:rsidR="00CB2B6D">
        <w:rPr>
          <w:lang w:val="fr-FR"/>
        </w:rPr>
        <w:t> </w:t>
      </w:r>
      <w:r w:rsidRPr="0043317B">
        <w:rPr>
          <w:lang w:val="fr-FR"/>
        </w:rPr>
        <w:t>Hülya</w:t>
      </w:r>
      <w:r w:rsidRPr="0043317B" w:rsidR="00CB2B6D">
        <w:rPr>
          <w:lang w:val="fr-FR"/>
        </w:rPr>
        <w:t xml:space="preserve"> </w:t>
      </w:r>
      <w:r w:rsidRPr="0043317B">
        <w:rPr>
          <w:lang w:val="fr-FR"/>
        </w:rPr>
        <w:t>Talu (requête n</w:t>
      </w:r>
      <w:r w:rsidRPr="0043317B">
        <w:rPr>
          <w:vertAlign w:val="superscript"/>
          <w:lang w:val="fr-FR"/>
        </w:rPr>
        <w:t>o</w:t>
      </w:r>
      <w:r w:rsidRPr="0043317B">
        <w:rPr>
          <w:lang w:val="fr-FR"/>
        </w:rPr>
        <w:t xml:space="preserve"> 17613/08) et M</w:t>
      </w:r>
      <w:r w:rsidRPr="0043317B">
        <w:rPr>
          <w:vertAlign w:val="superscript"/>
          <w:lang w:val="fr-FR"/>
        </w:rPr>
        <w:t>me</w:t>
      </w:r>
      <w:r w:rsidRPr="0043317B">
        <w:rPr>
          <w:lang w:val="fr-FR"/>
        </w:rPr>
        <w:t> Bilge</w:t>
      </w:r>
      <w:r w:rsidRPr="0043317B" w:rsidR="00CB2B6D">
        <w:rPr>
          <w:lang w:val="fr-FR"/>
        </w:rPr>
        <w:t> </w:t>
      </w:r>
      <w:r w:rsidRPr="0043317B">
        <w:rPr>
          <w:lang w:val="fr-FR"/>
        </w:rPr>
        <w:t>Do</w:t>
      </w:r>
      <w:r w:rsidRPr="0043317B">
        <w:rPr>
          <w:rFonts w:ascii="Times New Roman" w:hAnsi="Times New Roman" w:eastAsia="Times New Roman" w:cs="Times New Roman"/>
          <w:szCs w:val="20"/>
          <w:lang w:val="fr-FR" w:eastAsia="fr-FR"/>
        </w:rPr>
        <w:t>ğ</w:t>
      </w:r>
      <w:r w:rsidRPr="0043317B">
        <w:rPr>
          <w:lang w:val="fr-FR"/>
        </w:rPr>
        <w:t>ru</w:t>
      </w:r>
      <w:r w:rsidRPr="0043317B">
        <w:rPr>
          <w:color w:val="000000" w:themeColor="text1"/>
          <w:lang w:val="fr-FR"/>
        </w:rPr>
        <w:t xml:space="preserve"> </w:t>
      </w:r>
      <w:r w:rsidRPr="0043317B">
        <w:rPr>
          <w:lang w:val="fr-FR"/>
        </w:rPr>
        <w:t>;</w:t>
      </w:r>
    </w:p>
    <w:p w:rsidRPr="0043317B" w:rsidR="00642EBD" w:rsidP="0043317B" w:rsidRDefault="00642EBD">
      <w:pPr>
        <w:pStyle w:val="JuList"/>
        <w:rPr>
          <w:lang w:val="fr-FR"/>
        </w:rPr>
      </w:pPr>
    </w:p>
    <w:p w:rsidRPr="0043317B" w:rsidR="00642EBD" w:rsidP="0043317B" w:rsidRDefault="00642EBD">
      <w:pPr>
        <w:pStyle w:val="JuList"/>
        <w:rPr>
          <w:lang w:val="fr-FR"/>
        </w:rPr>
      </w:pPr>
      <w:r w:rsidRPr="0043317B">
        <w:rPr>
          <w:lang w:val="fr-FR"/>
        </w:rPr>
        <w:t>3.  </w:t>
      </w:r>
      <w:r w:rsidRPr="0043317B">
        <w:rPr>
          <w:i/>
          <w:lang w:val="fr-FR"/>
        </w:rPr>
        <w:t>Déclare,</w:t>
      </w:r>
      <w:r w:rsidRPr="0043317B">
        <w:rPr>
          <w:lang w:val="fr-FR"/>
        </w:rPr>
        <w:t xml:space="preserve"> </w:t>
      </w:r>
      <w:r w:rsidRPr="0043317B">
        <w:rPr>
          <w:color w:val="000000" w:themeColor="text1"/>
          <w:lang w:val="fr-FR"/>
        </w:rPr>
        <w:t>à la majorité</w:t>
      </w:r>
      <w:r w:rsidRPr="0043317B">
        <w:rPr>
          <w:lang w:val="fr-FR"/>
        </w:rPr>
        <w:t>, la requête recevable dans le chef de M</w:t>
      </w:r>
      <w:r w:rsidRPr="0043317B">
        <w:rPr>
          <w:vertAlign w:val="superscript"/>
          <w:lang w:val="fr-FR"/>
        </w:rPr>
        <w:t>lle</w:t>
      </w:r>
      <w:r w:rsidRPr="0043317B" w:rsidR="00CB2B6D">
        <w:rPr>
          <w:lang w:val="fr-FR"/>
        </w:rPr>
        <w:t> Jasmin </w:t>
      </w:r>
      <w:r w:rsidRPr="0043317B">
        <w:rPr>
          <w:lang w:val="fr-FR"/>
        </w:rPr>
        <w:t>Paris</w:t>
      </w:r>
      <w:r w:rsidRPr="0043317B" w:rsidR="00CB2B6D">
        <w:rPr>
          <w:lang w:val="fr-FR"/>
        </w:rPr>
        <w:t> </w:t>
      </w:r>
      <w:r w:rsidRPr="0043317B">
        <w:rPr>
          <w:lang w:val="fr-FR"/>
        </w:rPr>
        <w:t>Uzan et M.</w:t>
      </w:r>
      <w:r w:rsidRPr="0043317B" w:rsidR="00CB2B6D">
        <w:rPr>
          <w:lang w:val="fr-FR"/>
        </w:rPr>
        <w:t xml:space="preserve"> </w:t>
      </w:r>
      <w:r w:rsidRPr="0043317B">
        <w:rPr>
          <w:lang w:val="fr-FR"/>
        </w:rPr>
        <w:t>Renç</w:t>
      </w:r>
      <w:r w:rsidRPr="0043317B" w:rsidR="00CB2B6D">
        <w:rPr>
          <w:lang w:val="fr-FR"/>
        </w:rPr>
        <w:t xml:space="preserve"> </w:t>
      </w:r>
      <w:r w:rsidRPr="0043317B">
        <w:rPr>
          <w:lang w:val="fr-FR"/>
        </w:rPr>
        <w:t>Emre Uzan (requête</w:t>
      </w:r>
      <w:r w:rsidRPr="0043317B" w:rsidR="00CB2B6D">
        <w:rPr>
          <w:lang w:val="fr-FR"/>
        </w:rPr>
        <w:t> </w:t>
      </w:r>
      <w:r w:rsidRPr="0043317B">
        <w:rPr>
          <w:lang w:val="fr-FR"/>
        </w:rPr>
        <w:t>n</w:t>
      </w:r>
      <w:r w:rsidRPr="0043317B">
        <w:rPr>
          <w:vertAlign w:val="superscript"/>
          <w:lang w:val="fr-FR"/>
        </w:rPr>
        <w:t>o </w:t>
      </w:r>
      <w:r w:rsidRPr="0043317B">
        <w:rPr>
          <w:lang w:val="fr-FR"/>
        </w:rPr>
        <w:t>19620/05) ;</w:t>
      </w:r>
    </w:p>
    <w:p w:rsidRPr="0043317B" w:rsidR="00642EBD" w:rsidP="0043317B" w:rsidRDefault="00642EBD">
      <w:pPr>
        <w:pStyle w:val="JuList"/>
        <w:rPr>
          <w:lang w:val="fr-FR"/>
        </w:rPr>
      </w:pPr>
    </w:p>
    <w:p w:rsidRPr="0043317B" w:rsidR="00642EBD" w:rsidP="0043317B" w:rsidRDefault="00642EBD">
      <w:pPr>
        <w:pStyle w:val="JuList"/>
        <w:rPr>
          <w:lang w:val="fr-FR"/>
        </w:rPr>
      </w:pPr>
      <w:r w:rsidRPr="0043317B">
        <w:rPr>
          <w:lang w:val="fr-FR"/>
        </w:rPr>
        <w:t>4.  </w:t>
      </w:r>
      <w:r w:rsidRPr="0043317B">
        <w:rPr>
          <w:i/>
          <w:lang w:val="fr-FR"/>
        </w:rPr>
        <w:t>Dit</w:t>
      </w:r>
      <w:r w:rsidRPr="0043317B">
        <w:rPr>
          <w:lang w:val="fr-FR"/>
        </w:rPr>
        <w:t xml:space="preserve"> , à l</w:t>
      </w:r>
      <w:r w:rsidRPr="0043317B" w:rsidR="0043317B">
        <w:rPr>
          <w:lang w:val="fr-FR"/>
        </w:rPr>
        <w:t>’</w:t>
      </w:r>
      <w:r w:rsidRPr="0043317B">
        <w:rPr>
          <w:lang w:val="fr-FR"/>
        </w:rPr>
        <w:t>unanimité, qu</w:t>
      </w:r>
      <w:r w:rsidRPr="0043317B" w:rsidR="0043317B">
        <w:rPr>
          <w:lang w:val="fr-FR"/>
        </w:rPr>
        <w:t>’</w:t>
      </w:r>
      <w:r w:rsidRPr="0043317B">
        <w:rPr>
          <w:lang w:val="fr-FR"/>
        </w:rPr>
        <w:t>il y a eu violation de l</w:t>
      </w:r>
      <w:r w:rsidRPr="0043317B" w:rsidR="0043317B">
        <w:rPr>
          <w:lang w:val="fr-FR"/>
        </w:rPr>
        <w:t>’</w:t>
      </w:r>
      <w:r w:rsidRPr="0043317B">
        <w:rPr>
          <w:lang w:val="fr-FR"/>
        </w:rPr>
        <w:t>article 1 du Protocole n</w:t>
      </w:r>
      <w:r w:rsidRPr="0043317B">
        <w:rPr>
          <w:vertAlign w:val="superscript"/>
          <w:lang w:val="fr-FR"/>
        </w:rPr>
        <w:t>o</w:t>
      </w:r>
      <w:r w:rsidRPr="0043317B">
        <w:rPr>
          <w:lang w:val="fr-FR"/>
        </w:rPr>
        <w:t xml:space="preserve"> 1 à la Convention</w:t>
      </w:r>
      <w:r w:rsidRPr="0043317B" w:rsidR="002A7BF0">
        <w:rPr>
          <w:lang w:val="fr-FR"/>
        </w:rPr>
        <w:t xml:space="preserve"> </w:t>
      </w:r>
      <w:r w:rsidRPr="0043317B">
        <w:rPr>
          <w:color w:val="000000" w:themeColor="text1"/>
          <w:lang w:val="fr-FR"/>
        </w:rPr>
        <w:t xml:space="preserve">le chef de </w:t>
      </w:r>
      <w:r w:rsidRPr="0043317B">
        <w:rPr>
          <w:lang w:val="fr-FR"/>
        </w:rPr>
        <w:t>M</w:t>
      </w:r>
      <w:r w:rsidRPr="0043317B">
        <w:rPr>
          <w:vertAlign w:val="superscript"/>
          <w:lang w:val="fr-FR"/>
        </w:rPr>
        <w:t>me</w:t>
      </w:r>
      <w:r w:rsidRPr="0043317B" w:rsidR="002A7BF0">
        <w:rPr>
          <w:vertAlign w:val="superscript"/>
          <w:lang w:val="fr-FR"/>
        </w:rPr>
        <w:t xml:space="preserve"> </w:t>
      </w:r>
      <w:r w:rsidRPr="0043317B" w:rsidR="00CB2B6D">
        <w:rPr>
          <w:lang w:val="fr-FR"/>
        </w:rPr>
        <w:t>Ayla</w:t>
      </w:r>
      <w:r w:rsidRPr="0043317B" w:rsidR="002A7BF0">
        <w:rPr>
          <w:lang w:val="fr-FR"/>
        </w:rPr>
        <w:t xml:space="preserve"> </w:t>
      </w:r>
      <w:r w:rsidRPr="0043317B">
        <w:rPr>
          <w:lang w:val="fr-FR"/>
        </w:rPr>
        <w:t>Uzan-</w:t>
      </w:r>
      <w:r w:rsidRPr="0043317B">
        <w:rPr>
          <w:rFonts w:ascii="Times New Roman" w:hAnsi="Times New Roman" w:eastAsia="Times New Roman" w:cs="Times New Roman"/>
          <w:szCs w:val="20"/>
          <w:lang w:val="fr-FR" w:eastAsia="fr-FR"/>
        </w:rPr>
        <w:t>Ashaboğlu</w:t>
      </w:r>
      <w:r w:rsidRPr="0043317B" w:rsidR="00CB2B6D">
        <w:rPr>
          <w:lang w:val="fr-FR"/>
        </w:rPr>
        <w:t xml:space="preserve"> (requête</w:t>
      </w:r>
      <w:r w:rsidRPr="0043317B" w:rsidR="002A7BF0">
        <w:rPr>
          <w:lang w:val="fr-FR"/>
        </w:rPr>
        <w:t xml:space="preserve"> </w:t>
      </w:r>
      <w:r w:rsidRPr="0043317B">
        <w:rPr>
          <w:lang w:val="fr-FR"/>
        </w:rPr>
        <w:t>n</w:t>
      </w:r>
      <w:r w:rsidRPr="0043317B">
        <w:rPr>
          <w:vertAlign w:val="superscript"/>
          <w:lang w:val="fr-FR"/>
        </w:rPr>
        <w:t>o</w:t>
      </w:r>
      <w:r w:rsidRPr="0043317B">
        <w:rPr>
          <w:lang w:val="fr-FR"/>
        </w:rPr>
        <w:t> 41487/05), M</w:t>
      </w:r>
      <w:r w:rsidRPr="0043317B">
        <w:rPr>
          <w:vertAlign w:val="superscript"/>
          <w:lang w:val="fr-FR"/>
        </w:rPr>
        <w:t>me</w:t>
      </w:r>
      <w:r w:rsidRPr="0043317B">
        <w:rPr>
          <w:lang w:val="fr-FR"/>
        </w:rPr>
        <w:t xml:space="preserve"> Nimet Hülya Talu (requête n</w:t>
      </w:r>
      <w:r w:rsidRPr="0043317B">
        <w:rPr>
          <w:vertAlign w:val="superscript"/>
          <w:lang w:val="fr-FR"/>
        </w:rPr>
        <w:t>o</w:t>
      </w:r>
      <w:r w:rsidRPr="0043317B">
        <w:rPr>
          <w:lang w:val="fr-FR"/>
        </w:rPr>
        <w:t xml:space="preserve"> 17613/08) et M</w:t>
      </w:r>
      <w:r w:rsidRPr="0043317B">
        <w:rPr>
          <w:vertAlign w:val="superscript"/>
          <w:lang w:val="fr-FR"/>
        </w:rPr>
        <w:t>me</w:t>
      </w:r>
      <w:r w:rsidRPr="0043317B">
        <w:rPr>
          <w:lang w:val="fr-FR"/>
        </w:rPr>
        <w:t> Bilge</w:t>
      </w:r>
      <w:r w:rsidRPr="0043317B" w:rsidR="00CB2B6D">
        <w:rPr>
          <w:lang w:val="fr-FR"/>
        </w:rPr>
        <w:t> </w:t>
      </w:r>
      <w:r w:rsidRPr="0043317B">
        <w:rPr>
          <w:lang w:val="fr-FR"/>
        </w:rPr>
        <w:t>Do</w:t>
      </w:r>
      <w:r w:rsidRPr="0043317B">
        <w:rPr>
          <w:rFonts w:ascii="Times New Roman" w:hAnsi="Times New Roman" w:eastAsia="Times New Roman" w:cs="Times New Roman"/>
          <w:szCs w:val="20"/>
          <w:lang w:val="fr-FR" w:eastAsia="fr-FR"/>
        </w:rPr>
        <w:t>ğ</w:t>
      </w:r>
      <w:r w:rsidRPr="0043317B">
        <w:rPr>
          <w:lang w:val="fr-FR"/>
        </w:rPr>
        <w:t>ru</w:t>
      </w:r>
      <w:r w:rsidRPr="0043317B" w:rsidR="00607C1C">
        <w:rPr>
          <w:lang w:val="fr-FR"/>
        </w:rPr>
        <w:t xml:space="preserve"> </w:t>
      </w:r>
      <w:r w:rsidRPr="0043317B">
        <w:rPr>
          <w:lang w:val="fr-FR"/>
        </w:rPr>
        <w:t>;</w:t>
      </w:r>
    </w:p>
    <w:p w:rsidRPr="0043317B" w:rsidR="00642EBD" w:rsidP="0043317B" w:rsidRDefault="00642EBD">
      <w:pPr>
        <w:pStyle w:val="JuList"/>
        <w:rPr>
          <w:lang w:val="fr-FR"/>
        </w:rPr>
      </w:pPr>
    </w:p>
    <w:p w:rsidRPr="0043317B" w:rsidR="00642EBD" w:rsidP="0043317B" w:rsidRDefault="00642EBD">
      <w:pPr>
        <w:pStyle w:val="JuList"/>
        <w:rPr>
          <w:lang w:val="fr-FR"/>
        </w:rPr>
      </w:pPr>
      <w:r w:rsidRPr="0043317B">
        <w:rPr>
          <w:lang w:val="fr-FR"/>
        </w:rPr>
        <w:t>5.  </w:t>
      </w:r>
      <w:r w:rsidRPr="0043317B">
        <w:rPr>
          <w:i/>
          <w:lang w:val="fr-FR"/>
        </w:rPr>
        <w:t>Dit</w:t>
      </w:r>
      <w:r w:rsidRPr="0043317B">
        <w:rPr>
          <w:lang w:val="fr-FR"/>
        </w:rPr>
        <w:t>, par six voix contre une, qu</w:t>
      </w:r>
      <w:r w:rsidRPr="0043317B" w:rsidR="0043317B">
        <w:rPr>
          <w:lang w:val="fr-FR"/>
        </w:rPr>
        <w:t>’</w:t>
      </w:r>
      <w:r w:rsidRPr="0043317B">
        <w:rPr>
          <w:lang w:val="fr-FR"/>
        </w:rPr>
        <w:t>il y a eu violation de l</w:t>
      </w:r>
      <w:r w:rsidRPr="0043317B" w:rsidR="0043317B">
        <w:rPr>
          <w:lang w:val="fr-FR"/>
        </w:rPr>
        <w:t>’</w:t>
      </w:r>
      <w:r w:rsidRPr="0043317B">
        <w:rPr>
          <w:lang w:val="fr-FR"/>
        </w:rPr>
        <w:t>article 1 du Protocole n</w:t>
      </w:r>
      <w:r w:rsidRPr="0043317B">
        <w:rPr>
          <w:vertAlign w:val="superscript"/>
          <w:lang w:val="fr-FR"/>
        </w:rPr>
        <w:t>o</w:t>
      </w:r>
      <w:r w:rsidRPr="0043317B">
        <w:rPr>
          <w:lang w:val="fr-FR"/>
        </w:rPr>
        <w:t xml:space="preserve"> 1 à la Convention dans le chef de M</w:t>
      </w:r>
      <w:r w:rsidRPr="0043317B">
        <w:rPr>
          <w:vertAlign w:val="superscript"/>
          <w:lang w:val="fr-FR"/>
        </w:rPr>
        <w:t>lle</w:t>
      </w:r>
      <w:r w:rsidRPr="0043317B">
        <w:rPr>
          <w:lang w:val="fr-FR"/>
        </w:rPr>
        <w:t xml:space="preserve"> Ja</w:t>
      </w:r>
      <w:r w:rsidRPr="0043317B" w:rsidR="00CB2B6D">
        <w:rPr>
          <w:lang w:val="fr-FR"/>
        </w:rPr>
        <w:t>smin Paris Uzan et M. Renç Emre Uzan (requête </w:t>
      </w:r>
      <w:r w:rsidRPr="0043317B">
        <w:rPr>
          <w:lang w:val="fr-FR"/>
        </w:rPr>
        <w:t>n</w:t>
      </w:r>
      <w:r w:rsidRPr="0043317B">
        <w:rPr>
          <w:vertAlign w:val="superscript"/>
          <w:lang w:val="fr-FR"/>
        </w:rPr>
        <w:t>o </w:t>
      </w:r>
      <w:r w:rsidRPr="0043317B">
        <w:rPr>
          <w:lang w:val="fr-FR"/>
        </w:rPr>
        <w:t>19620/05)</w:t>
      </w:r>
      <w:r w:rsidRPr="0043317B" w:rsidR="00607C1C">
        <w:rPr>
          <w:lang w:val="fr-FR"/>
        </w:rPr>
        <w:t xml:space="preserve"> </w:t>
      </w:r>
      <w:r w:rsidRPr="0043317B">
        <w:rPr>
          <w:lang w:val="fr-FR"/>
        </w:rPr>
        <w:t>;</w:t>
      </w:r>
    </w:p>
    <w:p w:rsidRPr="0043317B" w:rsidR="00642EBD" w:rsidP="0043317B" w:rsidRDefault="00642EBD">
      <w:pPr>
        <w:pStyle w:val="JuList"/>
        <w:rPr>
          <w:lang w:val="fr-FR"/>
        </w:rPr>
      </w:pPr>
    </w:p>
    <w:p w:rsidRPr="0043317B" w:rsidR="00642EBD" w:rsidP="0043317B" w:rsidRDefault="00642EBD">
      <w:pPr>
        <w:pStyle w:val="JuList"/>
        <w:rPr>
          <w:lang w:val="fr-FR"/>
        </w:rPr>
      </w:pPr>
      <w:r w:rsidRPr="0043317B">
        <w:rPr>
          <w:lang w:val="fr-FR"/>
        </w:rPr>
        <w:t>6.  </w:t>
      </w:r>
      <w:r w:rsidRPr="0043317B">
        <w:rPr>
          <w:i/>
          <w:lang w:val="fr-FR"/>
        </w:rPr>
        <w:t>Dit</w:t>
      </w:r>
      <w:r w:rsidRPr="0043317B">
        <w:rPr>
          <w:lang w:val="fr-FR"/>
        </w:rPr>
        <w:t>, à l</w:t>
      </w:r>
      <w:r w:rsidRPr="0043317B" w:rsidR="0043317B">
        <w:rPr>
          <w:lang w:val="fr-FR"/>
        </w:rPr>
        <w:t>’</w:t>
      </w:r>
      <w:r w:rsidRPr="0043317B">
        <w:rPr>
          <w:lang w:val="fr-FR"/>
        </w:rPr>
        <w:t>unanimité, que la question de l</w:t>
      </w:r>
      <w:r w:rsidRPr="0043317B" w:rsidR="0043317B">
        <w:rPr>
          <w:lang w:val="fr-FR"/>
        </w:rPr>
        <w:t>’</w:t>
      </w:r>
      <w:r w:rsidRPr="0043317B">
        <w:rPr>
          <w:lang w:val="fr-FR"/>
        </w:rPr>
        <w:t>application de l</w:t>
      </w:r>
      <w:r w:rsidRPr="0043317B" w:rsidR="0043317B">
        <w:rPr>
          <w:lang w:val="fr-FR"/>
        </w:rPr>
        <w:t>’</w:t>
      </w:r>
      <w:r w:rsidRPr="0043317B">
        <w:rPr>
          <w:lang w:val="fr-FR"/>
        </w:rPr>
        <w:t>article</w:t>
      </w:r>
      <w:r w:rsidRPr="0043317B" w:rsidR="00CB2B6D">
        <w:rPr>
          <w:lang w:val="fr-FR"/>
        </w:rPr>
        <w:t xml:space="preserve"> </w:t>
      </w:r>
      <w:r w:rsidRPr="0043317B">
        <w:rPr>
          <w:lang w:val="fr-FR"/>
        </w:rPr>
        <w:t>41 de la Convention ne se trouve pas en état et, en conséquence,</w:t>
      </w:r>
    </w:p>
    <w:p w:rsidRPr="0043317B" w:rsidR="00642EBD" w:rsidP="0043317B" w:rsidRDefault="00642EBD">
      <w:pPr>
        <w:pStyle w:val="JuLista"/>
        <w:rPr>
          <w:lang w:val="fr-FR"/>
        </w:rPr>
      </w:pPr>
      <w:r w:rsidRPr="0043317B">
        <w:rPr>
          <w:lang w:val="fr-FR"/>
        </w:rPr>
        <w:t xml:space="preserve">a)  la </w:t>
      </w:r>
      <w:r w:rsidRPr="0043317B">
        <w:rPr>
          <w:i/>
          <w:lang w:val="fr-FR"/>
        </w:rPr>
        <w:t>réserve</w:t>
      </w:r>
      <w:r w:rsidRPr="0043317B">
        <w:rPr>
          <w:lang w:val="fr-FR"/>
        </w:rPr>
        <w:t> ;</w:t>
      </w:r>
    </w:p>
    <w:p w:rsidRPr="0043317B" w:rsidR="00642EBD" w:rsidP="0043317B" w:rsidRDefault="00642EBD">
      <w:pPr>
        <w:pStyle w:val="JuLista"/>
        <w:rPr>
          <w:lang w:val="fr-FR"/>
        </w:rPr>
      </w:pPr>
      <w:r w:rsidRPr="0043317B">
        <w:rPr>
          <w:lang w:val="fr-FR"/>
        </w:rPr>
        <w:t>b)  </w:t>
      </w:r>
      <w:r w:rsidRPr="0043317B">
        <w:rPr>
          <w:i/>
          <w:lang w:val="fr-FR"/>
        </w:rPr>
        <w:t>invite</w:t>
      </w:r>
      <w:r w:rsidRPr="0043317B">
        <w:rPr>
          <w:lang w:val="fr-FR"/>
        </w:rPr>
        <w:t xml:space="preserve"> le Gouvernement et les requérants à lui adresser par écrit, dans le délai de six mois à compter de la date de notification du présent arrêt, leurs observations sur cette question et, notamment, à lui donner connaissance de tout accord auquel ils pourraient aboutir ;</w:t>
      </w:r>
    </w:p>
    <w:p w:rsidRPr="0043317B" w:rsidR="00642EBD" w:rsidP="0043317B" w:rsidRDefault="00642EBD">
      <w:pPr>
        <w:pStyle w:val="JuLista"/>
        <w:rPr>
          <w:lang w:val="fr-FR"/>
        </w:rPr>
      </w:pPr>
      <w:r w:rsidRPr="0043317B">
        <w:rPr>
          <w:lang w:val="fr-FR"/>
        </w:rPr>
        <w:t>c)  </w:t>
      </w:r>
      <w:r w:rsidRPr="0043317B">
        <w:rPr>
          <w:i/>
          <w:lang w:val="fr-FR"/>
        </w:rPr>
        <w:t>réserve</w:t>
      </w:r>
      <w:r w:rsidRPr="0043317B">
        <w:rPr>
          <w:lang w:val="fr-FR"/>
        </w:rPr>
        <w:t xml:space="preserve"> la procédure ultérieure et </w:t>
      </w:r>
      <w:r w:rsidRPr="0043317B">
        <w:rPr>
          <w:i/>
          <w:lang w:val="fr-FR"/>
        </w:rPr>
        <w:t xml:space="preserve">délègue </w:t>
      </w:r>
      <w:r w:rsidRPr="0043317B">
        <w:rPr>
          <w:lang w:val="fr-FR"/>
        </w:rPr>
        <w:t>au président le soin de la fixer au besoin.</w:t>
      </w:r>
    </w:p>
    <w:p w:rsidRPr="0043317B" w:rsidR="00642EBD" w:rsidP="0043317B" w:rsidRDefault="00642EBD">
      <w:pPr>
        <w:pStyle w:val="JuParaLast"/>
        <w:keepNext w:val="0"/>
        <w:keepLines w:val="0"/>
        <w:rPr>
          <w:lang w:val="fr-FR"/>
        </w:rPr>
      </w:pPr>
      <w:r w:rsidRPr="0043317B">
        <w:rPr>
          <w:lang w:val="fr-FR"/>
        </w:rPr>
        <w:t>Fait en françai</w:t>
      </w:r>
      <w:r w:rsidRPr="0043317B" w:rsidR="00782568">
        <w:rPr>
          <w:lang w:val="fr-FR"/>
        </w:rPr>
        <w:t>s, puis communiqué par écrit le 5 mars 2019</w:t>
      </w:r>
      <w:r w:rsidRPr="0043317B">
        <w:rPr>
          <w:lang w:val="fr-FR"/>
        </w:rPr>
        <w:t>, en application de l</w:t>
      </w:r>
      <w:r w:rsidRPr="0043317B" w:rsidR="0043317B">
        <w:rPr>
          <w:lang w:val="fr-FR"/>
        </w:rPr>
        <w:t>’</w:t>
      </w:r>
      <w:r w:rsidRPr="0043317B">
        <w:rPr>
          <w:lang w:val="fr-FR"/>
        </w:rPr>
        <w:t>article 77 §§ 2 et 3 du règlement de la Cour.</w:t>
      </w:r>
    </w:p>
    <w:p w:rsidRPr="0043317B" w:rsidR="004D15F3" w:rsidP="0043317B" w:rsidRDefault="00642EBD">
      <w:pPr>
        <w:pStyle w:val="JuSigned"/>
        <w:rPr>
          <w:lang w:val="fr-FR"/>
        </w:rPr>
      </w:pPr>
      <w:r w:rsidRPr="0043317B">
        <w:rPr>
          <w:lang w:val="fr-FR"/>
        </w:rPr>
        <w:tab/>
      </w:r>
      <w:r w:rsidRPr="0043317B" w:rsidR="00CB2B6D">
        <w:rPr>
          <w:lang w:val="fr-FR"/>
        </w:rPr>
        <w:t>H</w:t>
      </w:r>
      <w:r w:rsidRPr="0043317B" w:rsidR="00CB2B6D">
        <w:rPr>
          <w:lang w:val="tr-TR"/>
        </w:rPr>
        <w:t>asan Bakırcı</w:t>
      </w:r>
      <w:r w:rsidRPr="0043317B">
        <w:rPr>
          <w:lang w:val="fr-FR"/>
        </w:rPr>
        <w:tab/>
      </w:r>
      <w:r w:rsidRPr="0043317B">
        <w:rPr>
          <w:szCs w:val="24"/>
          <w:lang w:val="fr-FR"/>
        </w:rPr>
        <w:t>Robert Spano</w:t>
      </w:r>
      <w:r w:rsidRPr="0043317B">
        <w:rPr>
          <w:lang w:val="fr-FR"/>
        </w:rPr>
        <w:br/>
      </w:r>
      <w:r w:rsidRPr="0043317B">
        <w:rPr>
          <w:lang w:val="fr-FR"/>
        </w:rPr>
        <w:tab/>
        <w:t>Greffier</w:t>
      </w:r>
      <w:r w:rsidRPr="0043317B" w:rsidR="00CB2B6D">
        <w:rPr>
          <w:lang w:val="fr-FR"/>
        </w:rPr>
        <w:t xml:space="preserve"> adjoint</w:t>
      </w:r>
      <w:r w:rsidRPr="0043317B">
        <w:rPr>
          <w:lang w:val="fr-FR"/>
        </w:rPr>
        <w:tab/>
        <w:t>Président</w:t>
      </w:r>
    </w:p>
    <w:p w:rsidRPr="0043317B" w:rsidR="006F7ED3" w:rsidP="0043317B" w:rsidRDefault="006F7ED3">
      <w:pPr>
        <w:pStyle w:val="JuParaLast"/>
        <w:rPr>
          <w:lang w:val="fr-FR"/>
        </w:rPr>
      </w:pPr>
      <w:r w:rsidRPr="0043317B">
        <w:rPr>
          <w:lang w:val="fr-FR"/>
        </w:rPr>
        <w:t>Au présent arrêt se trouve joint, conformément aux arti</w:t>
      </w:r>
      <w:r w:rsidRPr="0043317B" w:rsidR="000321F2">
        <w:rPr>
          <w:lang w:val="fr-FR"/>
        </w:rPr>
        <w:t xml:space="preserve">cles 45 § 2 de la Convention et </w:t>
      </w:r>
      <w:r w:rsidRPr="0043317B">
        <w:rPr>
          <w:lang w:val="fr-FR"/>
        </w:rPr>
        <w:t>74 §</w:t>
      </w:r>
      <w:r w:rsidRPr="0043317B" w:rsidR="000321F2">
        <w:rPr>
          <w:lang w:val="fr-FR"/>
        </w:rPr>
        <w:t xml:space="preserve"> </w:t>
      </w:r>
      <w:r w:rsidRPr="0043317B">
        <w:rPr>
          <w:lang w:val="fr-FR"/>
        </w:rPr>
        <w:t>2 du règlement, l</w:t>
      </w:r>
      <w:r w:rsidRPr="0043317B" w:rsidR="0043317B">
        <w:rPr>
          <w:lang w:val="fr-FR"/>
        </w:rPr>
        <w:t>’</w:t>
      </w:r>
      <w:r w:rsidRPr="0043317B">
        <w:rPr>
          <w:lang w:val="fr-FR"/>
        </w:rPr>
        <w:t>exposé de l</w:t>
      </w:r>
      <w:r w:rsidRPr="0043317B" w:rsidR="0043317B">
        <w:rPr>
          <w:lang w:val="fr-FR"/>
        </w:rPr>
        <w:t>’</w:t>
      </w:r>
      <w:r w:rsidRPr="0043317B">
        <w:rPr>
          <w:lang w:val="fr-FR"/>
        </w:rPr>
        <w:t>opinion séparée du juge </w:t>
      </w:r>
      <w:r w:rsidRPr="0043317B" w:rsidR="00001F2E">
        <w:rPr>
          <w:lang w:val="fr-FR"/>
        </w:rPr>
        <w:t>Lemmens</w:t>
      </w:r>
      <w:r w:rsidRPr="0043317B">
        <w:rPr>
          <w:lang w:val="fr-FR"/>
        </w:rPr>
        <w:t>.</w:t>
      </w:r>
    </w:p>
    <w:p w:rsidRPr="0043317B" w:rsidR="006F7ED3" w:rsidP="0043317B" w:rsidRDefault="00001F2E">
      <w:pPr>
        <w:pStyle w:val="JuInitialled"/>
        <w:rPr>
          <w:lang w:val="fr-FR"/>
        </w:rPr>
      </w:pPr>
      <w:r w:rsidRPr="0043317B">
        <w:rPr>
          <w:lang w:val="fr-FR"/>
        </w:rPr>
        <w:t>R.S.</w:t>
      </w:r>
      <w:r w:rsidRPr="0043317B" w:rsidR="006F7ED3">
        <w:rPr>
          <w:lang w:val="fr-FR"/>
        </w:rPr>
        <w:br/>
      </w:r>
      <w:r w:rsidRPr="0043317B">
        <w:rPr>
          <w:lang w:val="fr-FR"/>
        </w:rPr>
        <w:t>H.B.</w:t>
      </w:r>
    </w:p>
    <w:p w:rsidRPr="0043317B" w:rsidR="006F7ED3" w:rsidP="0043317B" w:rsidRDefault="006F7ED3">
      <w:pPr>
        <w:pStyle w:val="JuParaLast"/>
        <w:rPr>
          <w:lang w:val="fr-FR"/>
        </w:rPr>
      </w:pPr>
    </w:p>
    <w:p w:rsidRPr="0043317B" w:rsidR="00001F2E" w:rsidP="0043317B" w:rsidRDefault="00001F2E">
      <w:pPr>
        <w:pStyle w:val="ECHRPara"/>
        <w:rPr>
          <w:lang w:val="fr-FR"/>
        </w:rPr>
        <w:sectPr w:rsidRPr="0043317B" w:rsidR="00001F2E">
          <w:headerReference w:type="even" r:id="rId10"/>
          <w:headerReference w:type="default" r:id="rId11"/>
          <w:footerReference w:type="even" r:id="rId12"/>
          <w:footerReference w:type="default" r:id="rId13"/>
          <w:footnotePr>
            <w:numRestart w:val="eachSect"/>
          </w:footnotePr>
          <w:pgSz w:w="11906" w:h="16838" w:code="9"/>
          <w:pgMar w:top="2274" w:right="2274" w:bottom="2274" w:left="2274" w:header="1701" w:footer="720" w:gutter="0"/>
          <w:pgNumType w:start="1"/>
          <w:cols w:space="720"/>
          <w:noEndnote/>
        </w:sectPr>
      </w:pPr>
    </w:p>
    <w:p w:rsidRPr="0043317B" w:rsidR="00380523" w:rsidP="0043317B" w:rsidRDefault="00380523">
      <w:pPr>
        <w:pStyle w:val="ECHRTitleCentre1"/>
        <w:rPr>
          <w:lang w:val="fr-FR"/>
        </w:rPr>
      </w:pPr>
      <w:r w:rsidRPr="0043317B">
        <w:rPr>
          <w:lang w:val="fr-FR"/>
        </w:rPr>
        <w:t>OPINION PARTIELLEMENT</w:t>
      </w:r>
      <w:r w:rsidRPr="0043317B" w:rsidR="00E7737A">
        <w:rPr>
          <w:lang w:val="fr-FR"/>
        </w:rPr>
        <w:t xml:space="preserve"> DISSIDENTE</w:t>
      </w:r>
      <w:r w:rsidRPr="0043317B" w:rsidR="00E7737A">
        <w:rPr>
          <w:lang w:val="fr-FR"/>
        </w:rPr>
        <w:br/>
      </w:r>
      <w:r w:rsidRPr="0043317B">
        <w:rPr>
          <w:lang w:val="fr-FR"/>
        </w:rPr>
        <w:t>DU JUGE LEMMENS</w:t>
      </w:r>
    </w:p>
    <w:p w:rsidRPr="0043317B" w:rsidR="00380523" w:rsidP="0043317B" w:rsidRDefault="00380523">
      <w:pPr>
        <w:pStyle w:val="OpiPara"/>
        <w:rPr>
          <w:lang w:val="fr-FR"/>
        </w:rPr>
      </w:pPr>
      <w:r w:rsidRPr="0043317B">
        <w:rPr>
          <w:lang w:val="fr-FR"/>
        </w:rPr>
        <w:fldChar w:fldCharType="begin"/>
      </w:r>
      <w:r w:rsidRPr="0043317B">
        <w:rPr>
          <w:lang w:val="fr-FR"/>
        </w:rPr>
        <w:instrText xml:space="preserve"> SEQ level0 \*arabic \r1</w:instrText>
      </w:r>
      <w:r w:rsidRPr="0043317B">
        <w:rPr>
          <w:lang w:val="fr-FR"/>
        </w:rPr>
        <w:fldChar w:fldCharType="begin"/>
      </w:r>
      <w:r w:rsidRPr="0043317B">
        <w:rPr>
          <w:lang w:val="fr-FR"/>
        </w:rPr>
        <w:instrText xml:space="preserve"> .  SEQ level0 \*arabic </w:instrText>
      </w:r>
      <w:r w:rsidRPr="0043317B">
        <w:rPr>
          <w:lang w:val="fr-FR"/>
        </w:rPr>
        <w:fldChar w:fldCharType="separate"/>
      </w:r>
      <w:r w:rsidRPr="0043317B">
        <w:rPr>
          <w:noProof/>
          <w:lang w:val="fr-FR"/>
        </w:rPr>
        <w:instrText>236</w:instrText>
      </w:r>
      <w:r w:rsidRPr="0043317B">
        <w:rPr>
          <w:lang w:val="fr-FR"/>
        </w:rPr>
        <w:fldChar w:fldCharType="end"/>
      </w:r>
      <w:r w:rsidRPr="0043317B">
        <w:rPr>
          <w:lang w:val="fr-FR"/>
        </w:rPr>
        <w:instrText xml:space="preserve"> </w:instrText>
      </w:r>
      <w:r w:rsidRPr="0043317B">
        <w:rPr>
          <w:lang w:val="fr-FR"/>
        </w:rPr>
        <w:fldChar w:fldCharType="separate"/>
      </w:r>
      <w:r w:rsidRPr="0043317B" w:rsidR="0043317B">
        <w:rPr>
          <w:noProof/>
          <w:lang w:val="fr-FR"/>
        </w:rPr>
        <w:t>1</w:t>
      </w:r>
      <w:r w:rsidRPr="0043317B">
        <w:rPr>
          <w:lang w:val="fr-FR"/>
        </w:rPr>
        <w:fldChar w:fldCharType="end"/>
      </w:r>
      <w:r w:rsidRPr="0043317B">
        <w:rPr>
          <w:lang w:val="fr-FR"/>
        </w:rPr>
        <w:t>.  J</w:t>
      </w:r>
      <w:r w:rsidRPr="0043317B" w:rsidR="0043317B">
        <w:rPr>
          <w:lang w:val="fr-FR"/>
        </w:rPr>
        <w:t>’</w:t>
      </w:r>
      <w:r w:rsidRPr="0043317B">
        <w:rPr>
          <w:lang w:val="fr-FR"/>
        </w:rPr>
        <w:t>ai voté avec la majorité en faveur du constat de violation de l</w:t>
      </w:r>
      <w:r w:rsidRPr="0043317B" w:rsidR="0043317B">
        <w:rPr>
          <w:lang w:val="fr-FR"/>
        </w:rPr>
        <w:t>’</w:t>
      </w:r>
      <w:r w:rsidRPr="0043317B" w:rsidR="00526720">
        <w:rPr>
          <w:lang w:val="fr-FR"/>
        </w:rPr>
        <w:t>article </w:t>
      </w:r>
      <w:r w:rsidRPr="0043317B">
        <w:rPr>
          <w:lang w:val="fr-FR"/>
        </w:rPr>
        <w:t>1 du Protocole n</w:t>
      </w:r>
      <w:r w:rsidRPr="0043317B">
        <w:rPr>
          <w:vertAlign w:val="superscript"/>
          <w:lang w:val="fr-FR"/>
        </w:rPr>
        <w:t>o</w:t>
      </w:r>
      <w:r w:rsidRPr="0043317B">
        <w:rPr>
          <w:lang w:val="fr-FR"/>
        </w:rPr>
        <w:t xml:space="preserve"> 1 à la Convention dans le chef de la plupart des requérants. À mon regret, toutefois, je ne trouve pas suffisamment d</w:t>
      </w:r>
      <w:r w:rsidRPr="0043317B" w:rsidR="0043317B">
        <w:rPr>
          <w:lang w:val="fr-FR"/>
        </w:rPr>
        <w:t>’</w:t>
      </w:r>
      <w:r w:rsidRPr="0043317B">
        <w:rPr>
          <w:lang w:val="fr-FR"/>
        </w:rPr>
        <w:t>arguments dans l</w:t>
      </w:r>
      <w:r w:rsidRPr="0043317B" w:rsidR="0043317B">
        <w:rPr>
          <w:lang w:val="fr-FR"/>
        </w:rPr>
        <w:t>’</w:t>
      </w:r>
      <w:r w:rsidRPr="0043317B">
        <w:rPr>
          <w:lang w:val="fr-FR"/>
        </w:rPr>
        <w:t>arrêt pour étendre cette conclusion aux requérants Jasmin</w:t>
      </w:r>
      <w:r w:rsidRPr="0043317B" w:rsidR="00526720">
        <w:rPr>
          <w:lang w:val="fr-FR"/>
        </w:rPr>
        <w:t> </w:t>
      </w:r>
      <w:r w:rsidRPr="0043317B">
        <w:rPr>
          <w:lang w:val="fr-FR"/>
        </w:rPr>
        <w:t>Paris</w:t>
      </w:r>
      <w:r w:rsidRPr="0043317B" w:rsidR="00526720">
        <w:rPr>
          <w:lang w:val="fr-FR"/>
        </w:rPr>
        <w:t> </w:t>
      </w:r>
      <w:r w:rsidRPr="0043317B">
        <w:rPr>
          <w:lang w:val="fr-FR"/>
        </w:rPr>
        <w:t>Uzan et Renç</w:t>
      </w:r>
      <w:r w:rsidRPr="0043317B" w:rsidR="00526720">
        <w:rPr>
          <w:lang w:val="fr-FR"/>
        </w:rPr>
        <w:t> </w:t>
      </w:r>
      <w:r w:rsidRPr="0043317B">
        <w:rPr>
          <w:lang w:val="fr-FR"/>
        </w:rPr>
        <w:t>Emre</w:t>
      </w:r>
      <w:r w:rsidRPr="0043317B" w:rsidR="00526720">
        <w:rPr>
          <w:lang w:val="fr-FR"/>
        </w:rPr>
        <w:t> </w:t>
      </w:r>
      <w:r w:rsidRPr="0043317B">
        <w:rPr>
          <w:lang w:val="fr-FR"/>
        </w:rPr>
        <w:t>Uzan.</w:t>
      </w:r>
    </w:p>
    <w:p w:rsidRPr="0043317B" w:rsidR="00380523" w:rsidP="0043317B" w:rsidRDefault="00380523">
      <w:pPr>
        <w:pStyle w:val="OpiPara"/>
        <w:rPr>
          <w:lang w:val="fr-FR"/>
        </w:rPr>
      </w:pPr>
    </w:p>
    <w:p w:rsidRPr="0043317B" w:rsidR="00380523" w:rsidP="0043317B" w:rsidRDefault="00380523">
      <w:pPr>
        <w:pStyle w:val="Opi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2</w:t>
      </w:r>
      <w:r w:rsidRPr="0043317B">
        <w:rPr>
          <w:lang w:val="fr-FR"/>
        </w:rPr>
        <w:fldChar w:fldCharType="end"/>
      </w:r>
      <w:r w:rsidRPr="0043317B">
        <w:rPr>
          <w:lang w:val="fr-FR"/>
        </w:rPr>
        <w:t>.  Ces deux requérants étaient âgés d</w:t>
      </w:r>
      <w:r w:rsidRPr="0043317B" w:rsidR="0043317B">
        <w:rPr>
          <w:lang w:val="fr-FR"/>
        </w:rPr>
        <w:t>’</w:t>
      </w:r>
      <w:r w:rsidRPr="0043317B">
        <w:rPr>
          <w:lang w:val="fr-FR"/>
        </w:rPr>
        <w:t>environ quatre ans et un an au moment où des mesures conservatoires furent ordonnées à leur égard (paragraphes</w:t>
      </w:r>
      <w:r w:rsidRPr="0043317B" w:rsidR="00526720">
        <w:rPr>
          <w:lang w:val="fr-FR"/>
        </w:rPr>
        <w:t> </w:t>
      </w:r>
      <w:r w:rsidRPr="0043317B">
        <w:rPr>
          <w:lang w:val="fr-FR"/>
        </w:rPr>
        <w:t>27 et 28 de l</w:t>
      </w:r>
      <w:r w:rsidRPr="0043317B" w:rsidR="0043317B">
        <w:rPr>
          <w:lang w:val="fr-FR"/>
        </w:rPr>
        <w:t>’</w:t>
      </w:r>
      <w:r w:rsidRPr="0043317B">
        <w:rPr>
          <w:lang w:val="fr-FR"/>
        </w:rPr>
        <w:t>arrêt). En rejetant leurs recours contre ces mesures, la cour d</w:t>
      </w:r>
      <w:r w:rsidRPr="0043317B" w:rsidR="0043317B">
        <w:rPr>
          <w:lang w:val="fr-FR"/>
        </w:rPr>
        <w:t>’</w:t>
      </w:r>
      <w:r w:rsidRPr="0043317B">
        <w:rPr>
          <w:lang w:val="fr-FR"/>
        </w:rPr>
        <w:t>assises d</w:t>
      </w:r>
      <w:r w:rsidRPr="0043317B" w:rsidR="0043317B">
        <w:rPr>
          <w:lang w:val="fr-FR"/>
        </w:rPr>
        <w:t>’</w:t>
      </w:r>
      <w:r w:rsidRPr="0043317B">
        <w:rPr>
          <w:lang w:val="fr-FR"/>
        </w:rPr>
        <w:t>Istanbul considéra notamment qu</w:t>
      </w:r>
      <w:r w:rsidRPr="0043317B" w:rsidR="0043317B">
        <w:rPr>
          <w:lang w:val="fr-FR"/>
        </w:rPr>
        <w:t>’</w:t>
      </w:r>
      <w:r w:rsidRPr="0043317B">
        <w:rPr>
          <w:lang w:val="fr-FR"/>
        </w:rPr>
        <w:t>ils « jouissaient de l</w:t>
      </w:r>
      <w:r w:rsidRPr="0043317B" w:rsidR="0043317B">
        <w:rPr>
          <w:lang w:val="fr-FR"/>
        </w:rPr>
        <w:t>’</w:t>
      </w:r>
      <w:r w:rsidRPr="0043317B">
        <w:rPr>
          <w:lang w:val="fr-FR"/>
        </w:rPr>
        <w:t>aptitude à avoir des droits et des obligations », et qu</w:t>
      </w:r>
      <w:r w:rsidRPr="0043317B" w:rsidR="0043317B">
        <w:rPr>
          <w:lang w:val="fr-FR"/>
        </w:rPr>
        <w:t>’</w:t>
      </w:r>
      <w:r w:rsidRPr="0043317B">
        <w:rPr>
          <w:lang w:val="fr-FR"/>
        </w:rPr>
        <w:t>« ils pourraient acquérir certains droits par le biais de l</w:t>
      </w:r>
      <w:r w:rsidRPr="0043317B" w:rsidR="0043317B">
        <w:rPr>
          <w:lang w:val="fr-FR"/>
        </w:rPr>
        <w:t>’</w:t>
      </w:r>
      <w:r w:rsidRPr="0043317B">
        <w:rPr>
          <w:lang w:val="fr-FR"/>
        </w:rPr>
        <w:t>héritage et des donations » ; elle estima par conséquent que des mesures conservatoires pouvaient être ordonnées « sur les biens qu</w:t>
      </w:r>
      <w:r w:rsidRPr="0043317B" w:rsidR="0043317B">
        <w:rPr>
          <w:lang w:val="fr-FR"/>
        </w:rPr>
        <w:t>’</w:t>
      </w:r>
      <w:r w:rsidRPr="0043317B">
        <w:rPr>
          <w:lang w:val="fr-FR"/>
        </w:rPr>
        <w:t>ils pourraient acquérir ou avaient déjà acquis » (paragraphe 33 de l</w:t>
      </w:r>
      <w:r w:rsidRPr="0043317B" w:rsidR="0043317B">
        <w:rPr>
          <w:lang w:val="fr-FR"/>
        </w:rPr>
        <w:t>’</w:t>
      </w:r>
      <w:r w:rsidRPr="0043317B">
        <w:rPr>
          <w:lang w:val="fr-FR"/>
        </w:rPr>
        <w:t>arrêt).</w:t>
      </w:r>
    </w:p>
    <w:p w:rsidRPr="0043317B" w:rsidR="00380523" w:rsidP="0043317B" w:rsidRDefault="00380523">
      <w:pPr>
        <w:pStyle w:val="OpiPara"/>
        <w:rPr>
          <w:lang w:val="fr-FR"/>
        </w:rPr>
      </w:pPr>
    </w:p>
    <w:p w:rsidRPr="0043317B" w:rsidR="00380523" w:rsidP="0043317B" w:rsidRDefault="00380523">
      <w:pPr>
        <w:pStyle w:val="OpiPara"/>
        <w:rPr>
          <w:lang w:val="fr-FR"/>
        </w:rPr>
      </w:pPr>
      <w:r w:rsidRPr="0043317B">
        <w:rPr>
          <w:lang w:val="fr-FR"/>
        </w:rPr>
        <w:t>Les mesures ont été levées à une date où ces requérants étaient âgés de seize ans et douze ans (paragraphe 35 de l</w:t>
      </w:r>
      <w:r w:rsidRPr="0043317B" w:rsidR="0043317B">
        <w:rPr>
          <w:lang w:val="fr-FR"/>
        </w:rPr>
        <w:t>’</w:t>
      </w:r>
      <w:r w:rsidRPr="0043317B">
        <w:rPr>
          <w:lang w:val="fr-FR"/>
        </w:rPr>
        <w:t>arrêt).</w:t>
      </w:r>
    </w:p>
    <w:p w:rsidRPr="0043317B" w:rsidR="00380523" w:rsidP="0043317B" w:rsidRDefault="00380523">
      <w:pPr>
        <w:pStyle w:val="OpiPara"/>
        <w:rPr>
          <w:lang w:val="fr-FR"/>
        </w:rPr>
      </w:pPr>
    </w:p>
    <w:p w:rsidRPr="0043317B" w:rsidR="00380523" w:rsidP="0043317B" w:rsidRDefault="00380523">
      <w:pPr>
        <w:pStyle w:val="OpiPara"/>
        <w:rPr>
          <w:lang w:val="fr-FR"/>
        </w:rPr>
      </w:pPr>
      <w:r w:rsidRPr="0043317B">
        <w:rPr>
          <w:lang w:val="fr-FR"/>
        </w:rPr>
        <w:t>Sur la base des éléments pris en compte par la cour d</w:t>
      </w:r>
      <w:r w:rsidRPr="0043317B" w:rsidR="0043317B">
        <w:rPr>
          <w:lang w:val="fr-FR"/>
        </w:rPr>
        <w:t>’</w:t>
      </w:r>
      <w:r w:rsidRPr="0043317B">
        <w:rPr>
          <w:lang w:val="fr-FR"/>
        </w:rPr>
        <w:t>assises, la majorité considère que ces deux requérants « pouvaient nourrir une « espérance légitime » relevant de la notion de « bien » au sens de l</w:t>
      </w:r>
      <w:r w:rsidRPr="0043317B" w:rsidR="0043317B">
        <w:rPr>
          <w:lang w:val="fr-FR"/>
        </w:rPr>
        <w:t>’</w:t>
      </w:r>
      <w:r w:rsidRPr="0043317B">
        <w:rPr>
          <w:lang w:val="fr-FR"/>
        </w:rPr>
        <w:t>article 1 du Protocole</w:t>
      </w:r>
      <w:r w:rsidRPr="0043317B" w:rsidR="00526720">
        <w:rPr>
          <w:lang w:val="fr-FR"/>
        </w:rPr>
        <w:t> </w:t>
      </w:r>
      <w:r w:rsidRPr="0043317B">
        <w:rPr>
          <w:lang w:val="fr-FR"/>
        </w:rPr>
        <w:t>n</w:t>
      </w:r>
      <w:r w:rsidRPr="0043317B">
        <w:rPr>
          <w:vertAlign w:val="superscript"/>
          <w:lang w:val="fr-FR"/>
        </w:rPr>
        <w:t>o</w:t>
      </w:r>
      <w:r w:rsidRPr="0043317B" w:rsidR="00526720">
        <w:rPr>
          <w:vertAlign w:val="superscript"/>
          <w:lang w:val="fr-FR"/>
        </w:rPr>
        <w:t> </w:t>
      </w:r>
      <w:r w:rsidRPr="0043317B">
        <w:rPr>
          <w:lang w:val="fr-FR"/>
        </w:rPr>
        <w:t>1 » (paragraphe 193 de l</w:t>
      </w:r>
      <w:r w:rsidRPr="0043317B" w:rsidR="0043317B">
        <w:rPr>
          <w:lang w:val="fr-FR"/>
        </w:rPr>
        <w:t>’</w:t>
      </w:r>
      <w:r w:rsidRPr="0043317B">
        <w:rPr>
          <w:lang w:val="fr-FR"/>
        </w:rPr>
        <w:t>arrêt).</w:t>
      </w:r>
    </w:p>
    <w:p w:rsidRPr="0043317B" w:rsidR="00380523" w:rsidP="0043317B" w:rsidRDefault="00380523">
      <w:pPr>
        <w:pStyle w:val="OpiPara"/>
        <w:rPr>
          <w:lang w:val="fr-FR"/>
        </w:rPr>
      </w:pPr>
    </w:p>
    <w:p w:rsidRPr="0043317B" w:rsidR="00380523" w:rsidP="0043317B" w:rsidRDefault="00380523">
      <w:pPr>
        <w:pStyle w:val="Opi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3</w:t>
      </w:r>
      <w:r w:rsidRPr="0043317B">
        <w:rPr>
          <w:lang w:val="fr-FR"/>
        </w:rPr>
        <w:fldChar w:fldCharType="end"/>
      </w:r>
      <w:r w:rsidRPr="0043317B">
        <w:rPr>
          <w:lang w:val="fr-FR"/>
        </w:rPr>
        <w:t>.  L</w:t>
      </w:r>
      <w:r w:rsidRPr="0043317B" w:rsidR="0043317B">
        <w:rPr>
          <w:lang w:val="fr-FR"/>
        </w:rPr>
        <w:t>’</w:t>
      </w:r>
      <w:r w:rsidRPr="0043317B">
        <w:rPr>
          <w:lang w:val="fr-FR"/>
        </w:rPr>
        <w:t>article 1 du Protocole n</w:t>
      </w:r>
      <w:r w:rsidRPr="0043317B">
        <w:rPr>
          <w:vertAlign w:val="superscript"/>
          <w:lang w:val="fr-FR"/>
        </w:rPr>
        <w:t>o</w:t>
      </w:r>
      <w:r w:rsidRPr="0043317B">
        <w:rPr>
          <w:lang w:val="fr-FR"/>
        </w:rPr>
        <w:t xml:space="preserve"> 1 ne vaut que pour des biens actuels et ne crée aucun droit d</w:t>
      </w:r>
      <w:r w:rsidRPr="0043317B" w:rsidR="0043317B">
        <w:rPr>
          <w:lang w:val="fr-FR"/>
        </w:rPr>
        <w:t>’</w:t>
      </w:r>
      <w:r w:rsidRPr="0043317B">
        <w:rPr>
          <w:lang w:val="fr-FR"/>
        </w:rPr>
        <w:t>en acquérir (paragraphe 191 de l</w:t>
      </w:r>
      <w:r w:rsidRPr="0043317B" w:rsidR="0043317B">
        <w:rPr>
          <w:lang w:val="fr-FR"/>
        </w:rPr>
        <w:t>’</w:t>
      </w:r>
      <w:r w:rsidRPr="0043317B">
        <w:rPr>
          <w:lang w:val="fr-FR"/>
        </w:rPr>
        <w:t>arrêt).</w:t>
      </w:r>
    </w:p>
    <w:p w:rsidRPr="0043317B" w:rsidR="00380523" w:rsidP="0043317B" w:rsidRDefault="00380523">
      <w:pPr>
        <w:pStyle w:val="OpiPara"/>
        <w:rPr>
          <w:lang w:val="fr-FR"/>
        </w:rPr>
      </w:pPr>
    </w:p>
    <w:p w:rsidRPr="0043317B" w:rsidR="00380523" w:rsidP="0043317B" w:rsidRDefault="00380523">
      <w:pPr>
        <w:pStyle w:val="OpiPara"/>
        <w:rPr>
          <w:lang w:val="fr-FR"/>
        </w:rPr>
      </w:pPr>
      <w:r w:rsidRPr="0043317B">
        <w:rPr>
          <w:lang w:val="fr-FR"/>
        </w:rPr>
        <w:t>Certes, des créances peuvent sous certaines conditions être considérées comme des « biens » au sens de l</w:t>
      </w:r>
      <w:r w:rsidRPr="0043317B" w:rsidR="0043317B">
        <w:rPr>
          <w:lang w:val="fr-FR"/>
        </w:rPr>
        <w:t>’</w:t>
      </w:r>
      <w:r w:rsidRPr="0043317B">
        <w:rPr>
          <w:lang w:val="fr-FR"/>
        </w:rPr>
        <w:t>article 1 (</w:t>
      </w:r>
      <w:r w:rsidRPr="0043317B">
        <w:rPr>
          <w:i/>
          <w:lang w:val="fr-FR"/>
        </w:rPr>
        <w:t>ibidem</w:t>
      </w:r>
      <w:r w:rsidRPr="0043317B">
        <w:rPr>
          <w:lang w:val="fr-FR"/>
        </w:rPr>
        <w:t>). Il en est ainsi lorsque l</w:t>
      </w:r>
      <w:r w:rsidRPr="0043317B" w:rsidR="0043317B">
        <w:rPr>
          <w:lang w:val="fr-FR"/>
        </w:rPr>
        <w:t>’</w:t>
      </w:r>
      <w:r w:rsidRPr="0043317B">
        <w:rPr>
          <w:lang w:val="fr-FR"/>
        </w:rPr>
        <w:t>intérêt patrimonial concerné a une base suffisante en droit interne, par exemple lorsqu</w:t>
      </w:r>
      <w:r w:rsidRPr="0043317B" w:rsidR="0043317B">
        <w:rPr>
          <w:lang w:val="fr-FR"/>
        </w:rPr>
        <w:t>’</w:t>
      </w:r>
      <w:r w:rsidRPr="0043317B">
        <w:rPr>
          <w:lang w:val="fr-FR"/>
        </w:rPr>
        <w:t xml:space="preserve">il est confirmé par une jurisprudence bien établie des tribunaux (voir, notamment, </w:t>
      </w:r>
      <w:r w:rsidRPr="0043317B">
        <w:rPr>
          <w:i/>
          <w:lang w:val="fr-FR"/>
        </w:rPr>
        <w:t>Kopecký c. Slovaquie</w:t>
      </w:r>
      <w:r w:rsidRPr="0043317B">
        <w:rPr>
          <w:lang w:val="fr-FR"/>
        </w:rPr>
        <w:t xml:space="preserve"> [GC], n</w:t>
      </w:r>
      <w:r w:rsidRPr="0043317B">
        <w:rPr>
          <w:vertAlign w:val="superscript"/>
          <w:lang w:val="fr-FR"/>
        </w:rPr>
        <w:t>o</w:t>
      </w:r>
      <w:r w:rsidRPr="0043317B">
        <w:rPr>
          <w:lang w:val="fr-FR"/>
        </w:rPr>
        <w:t xml:space="preserve"> 44912/98, §</w:t>
      </w:r>
      <w:r w:rsidRPr="0043317B" w:rsidR="00526720">
        <w:rPr>
          <w:lang w:val="fr-FR"/>
        </w:rPr>
        <w:t> </w:t>
      </w:r>
      <w:r w:rsidRPr="0043317B">
        <w:rPr>
          <w:lang w:val="fr-FR"/>
        </w:rPr>
        <w:t>52, CEDH</w:t>
      </w:r>
      <w:r w:rsidRPr="0043317B" w:rsidR="00526720">
        <w:rPr>
          <w:lang w:val="fr-FR"/>
        </w:rPr>
        <w:t> </w:t>
      </w:r>
      <w:r w:rsidRPr="0043317B">
        <w:rPr>
          <w:lang w:val="fr-FR"/>
        </w:rPr>
        <w:t>2004</w:t>
      </w:r>
      <w:r w:rsidRPr="0043317B">
        <w:rPr>
          <w:lang w:val="fr-FR"/>
        </w:rPr>
        <w:noBreakHyphen/>
        <w:t xml:space="preserve">IX, </w:t>
      </w:r>
      <w:r w:rsidRPr="0043317B">
        <w:rPr>
          <w:i/>
          <w:lang w:val="fr-FR"/>
        </w:rPr>
        <w:t>Maurice c. France</w:t>
      </w:r>
      <w:r w:rsidRPr="0043317B">
        <w:rPr>
          <w:lang w:val="fr-FR"/>
        </w:rPr>
        <w:t xml:space="preserve"> [GC], n</w:t>
      </w:r>
      <w:r w:rsidRPr="0043317B">
        <w:rPr>
          <w:vertAlign w:val="superscript"/>
          <w:lang w:val="fr-FR"/>
        </w:rPr>
        <w:t>o</w:t>
      </w:r>
      <w:r w:rsidRPr="0043317B">
        <w:rPr>
          <w:lang w:val="fr-FR"/>
        </w:rPr>
        <w:t xml:space="preserve"> 11810/</w:t>
      </w:r>
      <w:r w:rsidRPr="0043317B" w:rsidR="00526720">
        <w:rPr>
          <w:lang w:val="fr-FR"/>
        </w:rPr>
        <w:t>03, § 66, CEDH </w:t>
      </w:r>
      <w:r w:rsidRPr="0043317B">
        <w:rPr>
          <w:lang w:val="fr-FR"/>
        </w:rPr>
        <w:t>2005</w:t>
      </w:r>
      <w:r w:rsidRPr="0043317B">
        <w:rPr>
          <w:lang w:val="fr-FR"/>
        </w:rPr>
        <w:noBreakHyphen/>
        <w:t xml:space="preserve">IX, </w:t>
      </w:r>
      <w:r w:rsidRPr="0043317B">
        <w:rPr>
          <w:i/>
          <w:lang w:val="fr-FR"/>
        </w:rPr>
        <w:t>Draon c. France</w:t>
      </w:r>
      <w:r w:rsidRPr="0043317B">
        <w:rPr>
          <w:lang w:val="fr-FR"/>
        </w:rPr>
        <w:t xml:space="preserve"> [GC], n</w:t>
      </w:r>
      <w:r w:rsidRPr="0043317B">
        <w:rPr>
          <w:vertAlign w:val="superscript"/>
          <w:lang w:val="fr-FR"/>
        </w:rPr>
        <w:t>o</w:t>
      </w:r>
      <w:r w:rsidRPr="0043317B">
        <w:rPr>
          <w:lang w:val="fr-FR"/>
        </w:rPr>
        <w:t xml:space="preserve"> 1513/03, § 68, 6 octobre 2005, </w:t>
      </w:r>
      <w:r w:rsidRPr="0043317B">
        <w:rPr>
          <w:i/>
          <w:lang w:val="fr-FR"/>
        </w:rPr>
        <w:t>Roche c.</w:t>
      </w:r>
      <w:r w:rsidRPr="0043317B" w:rsidR="00526720">
        <w:rPr>
          <w:i/>
          <w:lang w:val="fr-FR"/>
        </w:rPr>
        <w:t xml:space="preserve"> </w:t>
      </w:r>
      <w:r w:rsidRPr="0043317B">
        <w:rPr>
          <w:i/>
          <w:lang w:val="fr-FR"/>
        </w:rPr>
        <w:t>Royaume-Uni</w:t>
      </w:r>
      <w:r w:rsidRPr="0043317B">
        <w:rPr>
          <w:lang w:val="fr-FR"/>
        </w:rPr>
        <w:t xml:space="preserve"> [GC], n</w:t>
      </w:r>
      <w:r w:rsidRPr="0043317B">
        <w:rPr>
          <w:vertAlign w:val="superscript"/>
          <w:lang w:val="fr-FR"/>
        </w:rPr>
        <w:t>o</w:t>
      </w:r>
      <w:r w:rsidRPr="0043317B">
        <w:rPr>
          <w:lang w:val="fr-FR"/>
        </w:rPr>
        <w:t xml:space="preserve"> 32555/96, § 129, CEDH 2005</w:t>
      </w:r>
      <w:r w:rsidRPr="0043317B">
        <w:rPr>
          <w:lang w:val="fr-FR"/>
        </w:rPr>
        <w:noBreakHyphen/>
        <w:t xml:space="preserve">X, et </w:t>
      </w:r>
      <w:r w:rsidRPr="0043317B">
        <w:rPr>
          <w:i/>
          <w:lang w:val="fr-FR"/>
        </w:rPr>
        <w:t>Vilho Eskelinen et autres c. Finlande</w:t>
      </w:r>
      <w:r w:rsidRPr="0043317B">
        <w:rPr>
          <w:lang w:val="fr-FR"/>
        </w:rPr>
        <w:t xml:space="preserve"> [GC], n</w:t>
      </w:r>
      <w:r w:rsidRPr="0043317B">
        <w:rPr>
          <w:vertAlign w:val="superscript"/>
          <w:lang w:val="fr-FR"/>
        </w:rPr>
        <w:t>o</w:t>
      </w:r>
      <w:r w:rsidRPr="0043317B">
        <w:rPr>
          <w:lang w:val="fr-FR"/>
        </w:rPr>
        <w:t xml:space="preserve"> 63235/00, § 94, CEDH 2007</w:t>
      </w:r>
      <w:r w:rsidRPr="0043317B">
        <w:rPr>
          <w:lang w:val="fr-FR"/>
        </w:rPr>
        <w:noBreakHyphen/>
        <w:t>II), ce qui revient à dire que la créance est suffisamment établie pour être exigible (</w:t>
      </w:r>
      <w:r w:rsidRPr="0043317B">
        <w:rPr>
          <w:i/>
          <w:lang w:val="fr-FR"/>
        </w:rPr>
        <w:t>Raffineries grecques Stran et Stratis Andreadis c. Grèce</w:t>
      </w:r>
      <w:r w:rsidRPr="0043317B" w:rsidR="00526720">
        <w:rPr>
          <w:lang w:val="fr-FR"/>
        </w:rPr>
        <w:t>, 9 décembre 1994, § </w:t>
      </w:r>
      <w:r w:rsidRPr="0043317B">
        <w:rPr>
          <w:lang w:val="fr-FR"/>
        </w:rPr>
        <w:t>59, série A n</w:t>
      </w:r>
      <w:r w:rsidRPr="0043317B">
        <w:rPr>
          <w:vertAlign w:val="superscript"/>
          <w:lang w:val="fr-FR"/>
        </w:rPr>
        <w:t>o</w:t>
      </w:r>
      <w:r w:rsidRPr="0043317B">
        <w:rPr>
          <w:lang w:val="fr-FR"/>
        </w:rPr>
        <w:t xml:space="preserve"> 301</w:t>
      </w:r>
      <w:r w:rsidRPr="0043317B">
        <w:rPr>
          <w:lang w:val="fr-FR"/>
        </w:rPr>
        <w:noBreakHyphen/>
        <w:t xml:space="preserve">B, </w:t>
      </w:r>
      <w:r w:rsidRPr="0043317B">
        <w:rPr>
          <w:i/>
          <w:lang w:val="fr-FR"/>
        </w:rPr>
        <w:t>Polacek et Polackova c. République tchèque</w:t>
      </w:r>
      <w:r w:rsidRPr="0043317B">
        <w:rPr>
          <w:lang w:val="fr-FR"/>
        </w:rPr>
        <w:t xml:space="preserve"> (déc.) [GC], n</w:t>
      </w:r>
      <w:r w:rsidRPr="0043317B">
        <w:rPr>
          <w:vertAlign w:val="superscript"/>
          <w:lang w:val="fr-FR"/>
        </w:rPr>
        <w:t>o</w:t>
      </w:r>
      <w:r w:rsidRPr="0043317B">
        <w:rPr>
          <w:lang w:val="fr-FR"/>
        </w:rPr>
        <w:t xml:space="preserve"> 38645/97, § 67, 10 juillet 2002, </w:t>
      </w:r>
      <w:r w:rsidRPr="0043317B">
        <w:rPr>
          <w:i/>
          <w:lang w:val="fr-FR"/>
        </w:rPr>
        <w:t>Gratzinger et Gratzingerova c. République tchèque</w:t>
      </w:r>
      <w:r w:rsidRPr="0043317B">
        <w:rPr>
          <w:lang w:val="fr-FR"/>
        </w:rPr>
        <w:t xml:space="preserve"> (déc.) [GC], n</w:t>
      </w:r>
      <w:r w:rsidRPr="0043317B">
        <w:rPr>
          <w:vertAlign w:val="superscript"/>
          <w:lang w:val="fr-FR"/>
        </w:rPr>
        <w:t>o</w:t>
      </w:r>
      <w:r w:rsidRPr="0043317B">
        <w:rPr>
          <w:lang w:val="fr-FR"/>
        </w:rPr>
        <w:t xml:space="preserve"> 39794/98, § 74, CEDH 2002</w:t>
      </w:r>
      <w:r w:rsidRPr="0043317B">
        <w:rPr>
          <w:lang w:val="fr-FR"/>
        </w:rPr>
        <w:noBreakHyphen/>
        <w:t xml:space="preserve">VII, et </w:t>
      </w:r>
      <w:r w:rsidRPr="0043317B">
        <w:rPr>
          <w:i/>
          <w:iCs/>
          <w:lang w:val="fr-FR"/>
        </w:rPr>
        <w:t>Radomilja et autres c. Croatie</w:t>
      </w:r>
      <w:r w:rsidRPr="0043317B">
        <w:rPr>
          <w:lang w:val="fr-FR"/>
        </w:rPr>
        <w:t xml:space="preserve"> [GC], n</w:t>
      </w:r>
      <w:r w:rsidRPr="0043317B">
        <w:rPr>
          <w:vertAlign w:val="superscript"/>
          <w:lang w:val="fr-FR"/>
        </w:rPr>
        <w:t>os</w:t>
      </w:r>
      <w:r w:rsidRPr="0043317B">
        <w:rPr>
          <w:lang w:val="fr-FR"/>
        </w:rPr>
        <w:t xml:space="preserve"> 37685/10 et 22768/12, §</w:t>
      </w:r>
      <w:r w:rsidRPr="0043317B" w:rsidR="00526720">
        <w:rPr>
          <w:lang w:val="fr-FR"/>
        </w:rPr>
        <w:t> </w:t>
      </w:r>
      <w:r w:rsidRPr="0043317B">
        <w:rPr>
          <w:lang w:val="fr-FR"/>
        </w:rPr>
        <w:t>142, 20 mars 2018). Dans ces cas, il s</w:t>
      </w:r>
      <w:r w:rsidRPr="0043317B" w:rsidR="0043317B">
        <w:rPr>
          <w:lang w:val="fr-FR"/>
        </w:rPr>
        <w:t>’</w:t>
      </w:r>
      <w:r w:rsidRPr="0043317B">
        <w:rPr>
          <w:lang w:val="fr-FR"/>
        </w:rPr>
        <w:t>agit de créances en vertu desquelles l</w:t>
      </w:r>
      <w:r w:rsidRPr="0043317B" w:rsidR="0043317B">
        <w:rPr>
          <w:lang w:val="fr-FR"/>
        </w:rPr>
        <w:t>’</w:t>
      </w:r>
      <w:r w:rsidRPr="0043317B">
        <w:rPr>
          <w:lang w:val="fr-FR"/>
        </w:rPr>
        <w:t>intéressé peut prétendre avoir au moins une « espérance légitime » d</w:t>
      </w:r>
      <w:r w:rsidRPr="0043317B" w:rsidR="0043317B">
        <w:rPr>
          <w:lang w:val="fr-FR"/>
        </w:rPr>
        <w:t>’</w:t>
      </w:r>
      <w:r w:rsidRPr="0043317B">
        <w:rPr>
          <w:lang w:val="fr-FR"/>
        </w:rPr>
        <w:t>obtenir la jouissance effective d</w:t>
      </w:r>
      <w:r w:rsidRPr="0043317B" w:rsidR="0043317B">
        <w:rPr>
          <w:lang w:val="fr-FR"/>
        </w:rPr>
        <w:t>’</w:t>
      </w:r>
      <w:r w:rsidRPr="0043317B">
        <w:rPr>
          <w:lang w:val="fr-FR"/>
        </w:rPr>
        <w:t>un droit de propriété (paragraphe 191 de l</w:t>
      </w:r>
      <w:r w:rsidRPr="0043317B" w:rsidR="0043317B">
        <w:rPr>
          <w:lang w:val="fr-FR"/>
        </w:rPr>
        <w:t>’</w:t>
      </w:r>
      <w:r w:rsidRPr="0043317B">
        <w:rPr>
          <w:lang w:val="fr-FR"/>
        </w:rPr>
        <w:t>arrêt).</w:t>
      </w:r>
    </w:p>
    <w:p w:rsidRPr="0043317B" w:rsidR="00380523" w:rsidP="0043317B" w:rsidRDefault="00380523">
      <w:pPr>
        <w:pStyle w:val="OpiPara"/>
        <w:rPr>
          <w:lang w:val="fr-FR"/>
        </w:rPr>
      </w:pPr>
    </w:p>
    <w:p w:rsidRPr="0043317B" w:rsidR="00380523" w:rsidP="0043317B" w:rsidRDefault="00380523">
      <w:pPr>
        <w:pStyle w:val="OpiPara"/>
        <w:rPr>
          <w:lang w:val="fr-FR"/>
        </w:rPr>
      </w:pPr>
      <w:r w:rsidRPr="0043317B">
        <w:rPr>
          <w:lang w:val="fr-FR"/>
        </w:rPr>
        <w:t>Récemment, la Cour a rappelé qu</w:t>
      </w:r>
      <w:r w:rsidRPr="0043317B" w:rsidR="0043317B">
        <w:rPr>
          <w:lang w:val="fr-FR"/>
        </w:rPr>
        <w:t>’</w:t>
      </w:r>
      <w:r w:rsidRPr="0043317B">
        <w:rPr>
          <w:lang w:val="fr-FR"/>
        </w:rPr>
        <w:t> « une espérance légitime n</w:t>
      </w:r>
      <w:r w:rsidRPr="0043317B" w:rsidR="0043317B">
        <w:rPr>
          <w:lang w:val="fr-FR"/>
        </w:rPr>
        <w:t>’</w:t>
      </w:r>
      <w:r w:rsidRPr="0043317B">
        <w:rPr>
          <w:lang w:val="fr-FR"/>
        </w:rPr>
        <w:t>a pas d</w:t>
      </w:r>
      <w:r w:rsidRPr="0043317B" w:rsidR="0043317B">
        <w:rPr>
          <w:lang w:val="fr-FR"/>
        </w:rPr>
        <w:t>’</w:t>
      </w:r>
      <w:r w:rsidRPr="0043317B">
        <w:rPr>
          <w:lang w:val="fr-FR"/>
        </w:rPr>
        <w:t>existence indépendante » et qu</w:t>
      </w:r>
      <w:r w:rsidRPr="0043317B" w:rsidR="0043317B">
        <w:rPr>
          <w:lang w:val="fr-FR"/>
        </w:rPr>
        <w:t>’</w:t>
      </w:r>
      <w:r w:rsidRPr="0043317B">
        <w:rPr>
          <w:lang w:val="fr-FR"/>
        </w:rPr>
        <w:t> « elle doit être rattachée à un intérêt patrimonial pour lequel il existe une base juridique suffisante en droit national » (</w:t>
      </w:r>
      <w:r w:rsidRPr="0043317B">
        <w:rPr>
          <w:i/>
          <w:iCs/>
          <w:lang w:val="fr-FR"/>
        </w:rPr>
        <w:t>Radomilja et autres</w:t>
      </w:r>
      <w:r w:rsidRPr="0043317B">
        <w:rPr>
          <w:iCs/>
          <w:lang w:val="fr-FR"/>
        </w:rPr>
        <w:t xml:space="preserve">, précité, § 143 ; voir également </w:t>
      </w:r>
      <w:r w:rsidRPr="0043317B">
        <w:rPr>
          <w:i/>
          <w:iCs/>
          <w:lang w:val="fr-FR"/>
        </w:rPr>
        <w:t>Bikić c. Croatie</w:t>
      </w:r>
      <w:r w:rsidRPr="0043317B">
        <w:rPr>
          <w:lang w:val="fr-FR"/>
        </w:rPr>
        <w:t>, n</w:t>
      </w:r>
      <w:r w:rsidRPr="0043317B">
        <w:rPr>
          <w:vertAlign w:val="superscript"/>
          <w:lang w:val="fr-FR"/>
        </w:rPr>
        <w:t>o</w:t>
      </w:r>
      <w:r w:rsidRPr="0043317B">
        <w:rPr>
          <w:lang w:val="fr-FR"/>
        </w:rPr>
        <w:t xml:space="preserve"> 50101/12, § 46, 29 mai 2018, </w:t>
      </w:r>
      <w:r w:rsidRPr="0043317B">
        <w:rPr>
          <w:i/>
          <w:lang w:val="fr-FR"/>
        </w:rPr>
        <w:t>Arzhiyeva et Tsadayev c. Russie</w:t>
      </w:r>
      <w:r w:rsidRPr="0043317B">
        <w:rPr>
          <w:lang w:val="fr-FR"/>
        </w:rPr>
        <w:t>, n</w:t>
      </w:r>
      <w:r w:rsidRPr="0043317B">
        <w:rPr>
          <w:vertAlign w:val="superscript"/>
          <w:lang w:val="fr-FR"/>
        </w:rPr>
        <w:t>os</w:t>
      </w:r>
      <w:r w:rsidRPr="0043317B" w:rsidR="00526720">
        <w:rPr>
          <w:vertAlign w:val="superscript"/>
          <w:lang w:val="fr-FR"/>
        </w:rPr>
        <w:t xml:space="preserve"> </w:t>
      </w:r>
      <w:r w:rsidRPr="0043317B">
        <w:rPr>
          <w:lang w:val="fr-FR"/>
        </w:rPr>
        <w:t xml:space="preserve">66590/10 et 3773/11, § 43, 13 novembre 2018, et </w:t>
      </w:r>
      <w:r w:rsidRPr="0043317B">
        <w:rPr>
          <w:i/>
          <w:iCs/>
          <w:lang w:val="fr-FR"/>
        </w:rPr>
        <w:t>Basa c. Turquie</w:t>
      </w:r>
      <w:r w:rsidRPr="0043317B">
        <w:rPr>
          <w:lang w:val="fr-FR"/>
        </w:rPr>
        <w:t>, n</w:t>
      </w:r>
      <w:r w:rsidRPr="0043317B">
        <w:rPr>
          <w:vertAlign w:val="superscript"/>
          <w:lang w:val="fr-FR"/>
        </w:rPr>
        <w:t>os</w:t>
      </w:r>
      <w:r w:rsidRPr="0043317B">
        <w:rPr>
          <w:lang w:val="fr-FR"/>
        </w:rPr>
        <w:t> 18740/05 et 19507/05, § 82, 15 janvier 2019, non encore définitif</w:t>
      </w:r>
      <w:r w:rsidRPr="0043317B">
        <w:rPr>
          <w:iCs/>
          <w:lang w:val="fr-FR"/>
        </w:rPr>
        <w:t>).</w:t>
      </w:r>
    </w:p>
    <w:p w:rsidRPr="0043317B" w:rsidR="00380523" w:rsidP="0043317B" w:rsidRDefault="00380523">
      <w:pPr>
        <w:pStyle w:val="OpiPara"/>
        <w:rPr>
          <w:lang w:val="fr-FR"/>
        </w:rPr>
      </w:pPr>
    </w:p>
    <w:p w:rsidRPr="0043317B" w:rsidR="00380523" w:rsidP="0043317B" w:rsidRDefault="00380523">
      <w:pPr>
        <w:pStyle w:val="OpiPara"/>
        <w:rPr>
          <w:lang w:val="fr-FR"/>
        </w:rPr>
      </w:pPr>
      <w:r w:rsidRPr="0043317B">
        <w:rPr>
          <w:lang w:val="fr-FR"/>
        </w:rPr>
        <w:t>La situation décrite ci-dessus est à comparer avec celle où le requérant n</w:t>
      </w:r>
      <w:r w:rsidRPr="0043317B" w:rsidR="0043317B">
        <w:rPr>
          <w:lang w:val="fr-FR"/>
        </w:rPr>
        <w:t>’</w:t>
      </w:r>
      <w:r w:rsidRPr="0043317B">
        <w:rPr>
          <w:lang w:val="fr-FR"/>
        </w:rPr>
        <w:t>a qu</w:t>
      </w:r>
      <w:r w:rsidRPr="0043317B" w:rsidR="0043317B">
        <w:rPr>
          <w:lang w:val="fr-FR"/>
        </w:rPr>
        <w:t>’</w:t>
      </w:r>
      <w:r w:rsidRPr="0043317B">
        <w:rPr>
          <w:lang w:val="fr-FR"/>
        </w:rPr>
        <w:t>un « espoir » de voir reconnaître un droit de propriété qu</w:t>
      </w:r>
      <w:r w:rsidRPr="0043317B" w:rsidR="0043317B">
        <w:rPr>
          <w:lang w:val="fr-FR"/>
        </w:rPr>
        <w:t>’</w:t>
      </w:r>
      <w:r w:rsidRPr="0043317B">
        <w:rPr>
          <w:lang w:val="fr-FR"/>
        </w:rPr>
        <w:t>il est dans l</w:t>
      </w:r>
      <w:r w:rsidRPr="0043317B" w:rsidR="0043317B">
        <w:rPr>
          <w:lang w:val="fr-FR"/>
        </w:rPr>
        <w:t>’</w:t>
      </w:r>
      <w:r w:rsidRPr="0043317B">
        <w:rPr>
          <w:lang w:val="fr-FR"/>
        </w:rPr>
        <w:t>impossibilité d</w:t>
      </w:r>
      <w:r w:rsidRPr="0043317B" w:rsidR="0043317B">
        <w:rPr>
          <w:lang w:val="fr-FR"/>
        </w:rPr>
        <w:t>’</w:t>
      </w:r>
      <w:r w:rsidRPr="0043317B">
        <w:rPr>
          <w:lang w:val="fr-FR"/>
        </w:rPr>
        <w:t>exercer effectivement : un tel espoir ne peut pas être considéré comme un « bien » (</w:t>
      </w:r>
      <w:r w:rsidRPr="0043317B">
        <w:rPr>
          <w:i/>
          <w:lang w:val="fr-FR"/>
        </w:rPr>
        <w:t>Kopecký</w:t>
      </w:r>
      <w:r w:rsidRPr="0043317B">
        <w:rPr>
          <w:lang w:val="fr-FR"/>
        </w:rPr>
        <w:t xml:space="preserve">, précité, § 35, </w:t>
      </w:r>
      <w:r w:rsidRPr="0043317B" w:rsidR="00526720">
        <w:rPr>
          <w:i/>
          <w:lang w:val="fr-FR"/>
        </w:rPr>
        <w:t>Von Maltzan et autres c. </w:t>
      </w:r>
      <w:r w:rsidRPr="0043317B">
        <w:rPr>
          <w:i/>
          <w:lang w:val="fr-FR"/>
        </w:rPr>
        <w:t xml:space="preserve">Allemagne </w:t>
      </w:r>
      <w:r w:rsidRPr="0043317B">
        <w:rPr>
          <w:lang w:val="fr-FR"/>
        </w:rPr>
        <w:t>(déc.) [GC],</w:t>
      </w:r>
      <w:r w:rsidRPr="0043317B">
        <w:rPr>
          <w:i/>
          <w:lang w:val="fr-FR"/>
        </w:rPr>
        <w:t xml:space="preserve"> </w:t>
      </w:r>
      <w:r w:rsidRPr="0043317B">
        <w:rPr>
          <w:lang w:val="fr-FR"/>
        </w:rPr>
        <w:t>n</w:t>
      </w:r>
      <w:r w:rsidRPr="0043317B">
        <w:rPr>
          <w:vertAlign w:val="superscript"/>
          <w:lang w:val="fr-FR"/>
        </w:rPr>
        <w:t>os</w:t>
      </w:r>
      <w:r w:rsidRPr="0043317B">
        <w:rPr>
          <w:lang w:val="fr-FR"/>
        </w:rPr>
        <w:t xml:space="preserve"> 71916/01 et 2 autres, § 74, CEDH 2005</w:t>
      </w:r>
      <w:r w:rsidRPr="0043317B">
        <w:rPr>
          <w:lang w:val="fr-FR"/>
        </w:rPr>
        <w:noBreakHyphen/>
        <w:t xml:space="preserve">V, et </w:t>
      </w:r>
      <w:r w:rsidRPr="0043317B">
        <w:rPr>
          <w:i/>
          <w:lang w:val="fr-FR"/>
        </w:rPr>
        <w:t>Anheuser-Busch Inc.</w:t>
      </w:r>
      <w:r w:rsidRPr="0043317B">
        <w:rPr>
          <w:lang w:val="fr-FR"/>
        </w:rPr>
        <w:t xml:space="preserve"> </w:t>
      </w:r>
      <w:r w:rsidRPr="0043317B">
        <w:rPr>
          <w:i/>
          <w:lang w:val="fr-FR"/>
        </w:rPr>
        <w:t>c</w:t>
      </w:r>
      <w:r w:rsidRPr="0043317B">
        <w:rPr>
          <w:lang w:val="fr-FR"/>
        </w:rPr>
        <w:t xml:space="preserve">. </w:t>
      </w:r>
      <w:r w:rsidRPr="0043317B">
        <w:rPr>
          <w:i/>
          <w:lang w:val="fr-FR"/>
        </w:rPr>
        <w:t>Portugal</w:t>
      </w:r>
      <w:r w:rsidRPr="0043317B">
        <w:rPr>
          <w:lang w:val="fr-FR"/>
        </w:rPr>
        <w:t xml:space="preserve"> [GC], n</w:t>
      </w:r>
      <w:r w:rsidRPr="0043317B">
        <w:rPr>
          <w:vertAlign w:val="superscript"/>
          <w:lang w:val="fr-FR"/>
        </w:rPr>
        <w:t>o</w:t>
      </w:r>
      <w:r w:rsidRPr="0043317B">
        <w:rPr>
          <w:lang w:val="fr-FR"/>
        </w:rPr>
        <w:t xml:space="preserve"> 73049/01, § 64, CEDH</w:t>
      </w:r>
      <w:r w:rsidRPr="0043317B" w:rsidR="00526720">
        <w:rPr>
          <w:lang w:val="fr-FR"/>
        </w:rPr>
        <w:t> </w:t>
      </w:r>
      <w:r w:rsidRPr="0043317B">
        <w:rPr>
          <w:lang w:val="fr-FR"/>
        </w:rPr>
        <w:t>2007</w:t>
      </w:r>
      <w:r w:rsidRPr="0043317B">
        <w:rPr>
          <w:lang w:val="fr-FR"/>
        </w:rPr>
        <w:noBreakHyphen/>
        <w:t>I).</w:t>
      </w:r>
    </w:p>
    <w:p w:rsidRPr="0043317B" w:rsidR="00380523" w:rsidP="0043317B" w:rsidRDefault="00380523">
      <w:pPr>
        <w:pStyle w:val="OpiPara"/>
        <w:rPr>
          <w:lang w:val="fr-FR"/>
        </w:rPr>
      </w:pPr>
    </w:p>
    <w:p w:rsidRPr="0043317B" w:rsidR="00380523" w:rsidP="0043317B" w:rsidRDefault="00380523">
      <w:pPr>
        <w:pStyle w:val="OpiPara"/>
        <w:rPr>
          <w:lang w:val="fr-FR"/>
        </w:rPr>
      </w:pPr>
      <w:r w:rsidRPr="0043317B">
        <w:rPr>
          <w:lang w:val="fr-FR"/>
        </w:rPr>
        <w:fldChar w:fldCharType="begin"/>
      </w:r>
      <w:r w:rsidRPr="0043317B">
        <w:rPr>
          <w:lang w:val="fr-FR"/>
        </w:rPr>
        <w:instrText xml:space="preserve"> SEQ level0 \*arabic </w:instrText>
      </w:r>
      <w:r w:rsidRPr="0043317B">
        <w:rPr>
          <w:lang w:val="fr-FR"/>
        </w:rPr>
        <w:fldChar w:fldCharType="separate"/>
      </w:r>
      <w:r w:rsidRPr="0043317B" w:rsidR="0043317B">
        <w:rPr>
          <w:noProof/>
          <w:lang w:val="fr-FR"/>
        </w:rPr>
        <w:t>4</w:t>
      </w:r>
      <w:r w:rsidRPr="0043317B">
        <w:rPr>
          <w:lang w:val="fr-FR"/>
        </w:rPr>
        <w:fldChar w:fldCharType="end"/>
      </w:r>
      <w:r w:rsidRPr="0043317B">
        <w:rPr>
          <w:lang w:val="fr-FR"/>
        </w:rPr>
        <w:t>.  En l</w:t>
      </w:r>
      <w:r w:rsidRPr="0043317B" w:rsidR="0043317B">
        <w:rPr>
          <w:lang w:val="fr-FR"/>
        </w:rPr>
        <w:t>’</w:t>
      </w:r>
      <w:r w:rsidRPr="0043317B">
        <w:rPr>
          <w:lang w:val="fr-FR"/>
        </w:rPr>
        <w:t>espèce, la majorité admet que les requérants Jasmin Paris Uzan et Renç</w:t>
      </w:r>
      <w:r w:rsidRPr="0043317B" w:rsidR="00526720">
        <w:rPr>
          <w:lang w:val="fr-FR"/>
        </w:rPr>
        <w:t> </w:t>
      </w:r>
      <w:r w:rsidRPr="0043317B">
        <w:rPr>
          <w:lang w:val="fr-FR"/>
        </w:rPr>
        <w:t>Emre</w:t>
      </w:r>
      <w:r w:rsidRPr="0043317B" w:rsidR="00526720">
        <w:rPr>
          <w:lang w:val="fr-FR"/>
        </w:rPr>
        <w:t> </w:t>
      </w:r>
      <w:r w:rsidRPr="0043317B">
        <w:rPr>
          <w:lang w:val="fr-FR"/>
        </w:rPr>
        <w:t>Uzan ne disposaient pas de biens actuels pendant la période pendant laquelle les mesures conservatoires étaient en vigueur</w:t>
      </w:r>
      <w:r w:rsidRPr="0043317B" w:rsidR="00526720">
        <w:rPr>
          <w:lang w:val="fr-FR"/>
        </w:rPr>
        <w:t xml:space="preserve"> (paragraphe </w:t>
      </w:r>
      <w:r w:rsidRPr="0043317B">
        <w:rPr>
          <w:lang w:val="fr-FR"/>
        </w:rPr>
        <w:t>193 de l</w:t>
      </w:r>
      <w:r w:rsidRPr="0043317B" w:rsidR="0043317B">
        <w:rPr>
          <w:lang w:val="fr-FR"/>
        </w:rPr>
        <w:t>’</w:t>
      </w:r>
      <w:r w:rsidRPr="0043317B">
        <w:rPr>
          <w:lang w:val="fr-FR"/>
        </w:rPr>
        <w:t>arrêt). Elle se limite à constater, à l</w:t>
      </w:r>
      <w:r w:rsidRPr="0043317B" w:rsidR="0043317B">
        <w:rPr>
          <w:lang w:val="fr-FR"/>
        </w:rPr>
        <w:t>’</w:t>
      </w:r>
      <w:r w:rsidRPr="0043317B">
        <w:rPr>
          <w:lang w:val="fr-FR"/>
        </w:rPr>
        <w:t>instar des juridictions nationales, que ces requérants « pourraient acquérir certains droits par le biais de l</w:t>
      </w:r>
      <w:r w:rsidRPr="0043317B" w:rsidR="0043317B">
        <w:rPr>
          <w:lang w:val="fr-FR"/>
        </w:rPr>
        <w:t>’</w:t>
      </w:r>
      <w:r w:rsidRPr="0043317B">
        <w:rPr>
          <w:lang w:val="fr-FR"/>
        </w:rPr>
        <w:t>héritage et des donations » (</w:t>
      </w:r>
      <w:r w:rsidRPr="0043317B">
        <w:rPr>
          <w:i/>
          <w:lang w:val="fr-FR"/>
        </w:rPr>
        <w:t>ibidem</w:t>
      </w:r>
      <w:r w:rsidRPr="0043317B">
        <w:rPr>
          <w:lang w:val="fr-FR"/>
        </w:rPr>
        <w:t>). De là suit la conclusion, indiquée ci-dessus, que ces requérants « pouvaient nourrir une « espérance légitime » relevant de la notion de « bien » au sens de l</w:t>
      </w:r>
      <w:r w:rsidRPr="0043317B" w:rsidR="0043317B">
        <w:rPr>
          <w:lang w:val="fr-FR"/>
        </w:rPr>
        <w:t>’</w:t>
      </w:r>
      <w:r w:rsidRPr="0043317B">
        <w:rPr>
          <w:lang w:val="fr-FR"/>
        </w:rPr>
        <w:t>article</w:t>
      </w:r>
      <w:r w:rsidRPr="0043317B" w:rsidR="00526720">
        <w:rPr>
          <w:lang w:val="fr-FR"/>
        </w:rPr>
        <w:t xml:space="preserve"> 1 du Protocole </w:t>
      </w:r>
      <w:r w:rsidRPr="0043317B">
        <w:rPr>
          <w:lang w:val="fr-FR"/>
        </w:rPr>
        <w:t>n</w:t>
      </w:r>
      <w:r w:rsidRPr="0043317B">
        <w:rPr>
          <w:vertAlign w:val="superscript"/>
          <w:lang w:val="fr-FR"/>
        </w:rPr>
        <w:t>o</w:t>
      </w:r>
      <w:r w:rsidRPr="0043317B" w:rsidR="00526720">
        <w:rPr>
          <w:vertAlign w:val="superscript"/>
          <w:lang w:val="fr-FR"/>
        </w:rPr>
        <w:t xml:space="preserve"> </w:t>
      </w:r>
      <w:r w:rsidRPr="0043317B">
        <w:rPr>
          <w:lang w:val="fr-FR"/>
        </w:rPr>
        <w:t>1 » (</w:t>
      </w:r>
      <w:r w:rsidRPr="0043317B">
        <w:rPr>
          <w:i/>
          <w:lang w:val="fr-FR"/>
        </w:rPr>
        <w:t>ibidem</w:t>
      </w:r>
      <w:r w:rsidRPr="0043317B">
        <w:rPr>
          <w:lang w:val="fr-FR"/>
        </w:rPr>
        <w:t>).</w:t>
      </w:r>
    </w:p>
    <w:p w:rsidRPr="0043317B" w:rsidR="00380523" w:rsidP="0043317B" w:rsidRDefault="00380523">
      <w:pPr>
        <w:pStyle w:val="OpiPara"/>
        <w:rPr>
          <w:lang w:val="fr-FR"/>
        </w:rPr>
      </w:pPr>
    </w:p>
    <w:p w:rsidRPr="0043317B" w:rsidR="00380523" w:rsidP="0043317B" w:rsidRDefault="00380523">
      <w:pPr>
        <w:pStyle w:val="OpiPara"/>
        <w:rPr>
          <w:lang w:val="fr-FR"/>
        </w:rPr>
      </w:pPr>
      <w:r w:rsidRPr="0043317B">
        <w:rPr>
          <w:lang w:val="fr-FR"/>
        </w:rPr>
        <w:t>À mon avis, faute de prouver qu</w:t>
      </w:r>
      <w:r w:rsidRPr="0043317B" w:rsidR="0043317B">
        <w:rPr>
          <w:lang w:val="fr-FR"/>
        </w:rPr>
        <w:t>’</w:t>
      </w:r>
      <w:r w:rsidRPr="0043317B">
        <w:rPr>
          <w:lang w:val="fr-FR"/>
        </w:rPr>
        <w:t>ils disposaient déjà, pendant la période considérée, de créances (auxquelles une espérance légitime pouvait éventuellement s</w:t>
      </w:r>
      <w:r w:rsidRPr="0043317B" w:rsidR="0043317B">
        <w:rPr>
          <w:lang w:val="fr-FR"/>
        </w:rPr>
        <w:t>’</w:t>
      </w:r>
      <w:r w:rsidRPr="0043317B">
        <w:rPr>
          <w:lang w:val="fr-FR"/>
        </w:rPr>
        <w:t>attacher), les requérants n</w:t>
      </w:r>
      <w:r w:rsidRPr="0043317B" w:rsidR="0043317B">
        <w:rPr>
          <w:lang w:val="fr-FR"/>
        </w:rPr>
        <w:t>’</w:t>
      </w:r>
      <w:r w:rsidRPr="0043317B">
        <w:rPr>
          <w:lang w:val="fr-FR"/>
        </w:rPr>
        <w:t>ont pas établi qu</w:t>
      </w:r>
      <w:r w:rsidRPr="0043317B" w:rsidR="0043317B">
        <w:rPr>
          <w:lang w:val="fr-FR"/>
        </w:rPr>
        <w:t>’</w:t>
      </w:r>
      <w:r w:rsidRPr="0043317B">
        <w:rPr>
          <w:lang w:val="fr-FR"/>
        </w:rPr>
        <w:t>ils disposaient de « biens » jouissant de la protection de l</w:t>
      </w:r>
      <w:r w:rsidRPr="0043317B" w:rsidR="0043317B">
        <w:rPr>
          <w:lang w:val="fr-FR"/>
        </w:rPr>
        <w:t>’</w:t>
      </w:r>
      <w:r w:rsidRPr="0043317B">
        <w:rPr>
          <w:lang w:val="fr-FR"/>
        </w:rPr>
        <w:t>article 1 du Protocole n</w:t>
      </w:r>
      <w:r w:rsidRPr="0043317B">
        <w:rPr>
          <w:vertAlign w:val="superscript"/>
          <w:lang w:val="fr-FR"/>
        </w:rPr>
        <w:t>o</w:t>
      </w:r>
      <w:r w:rsidRPr="0043317B">
        <w:rPr>
          <w:lang w:val="fr-FR"/>
        </w:rPr>
        <w:t xml:space="preserve"> 1. Leurs prétentions s</w:t>
      </w:r>
      <w:r w:rsidRPr="0043317B" w:rsidR="0043317B">
        <w:rPr>
          <w:lang w:val="fr-FR"/>
        </w:rPr>
        <w:t>’</w:t>
      </w:r>
      <w:r w:rsidRPr="0043317B">
        <w:rPr>
          <w:lang w:val="fr-FR"/>
        </w:rPr>
        <w:t>analysent plutôt comme un « espoir » d</w:t>
      </w:r>
      <w:r w:rsidRPr="0043317B" w:rsidR="0043317B">
        <w:rPr>
          <w:lang w:val="fr-FR"/>
        </w:rPr>
        <w:t>’</w:t>
      </w:r>
      <w:r w:rsidRPr="0043317B">
        <w:rPr>
          <w:lang w:val="fr-FR"/>
        </w:rPr>
        <w:t>obtenir un jour des biens.</w:t>
      </w:r>
    </w:p>
    <w:p w:rsidRPr="0043317B" w:rsidR="00380523" w:rsidP="0043317B" w:rsidRDefault="00380523">
      <w:pPr>
        <w:pStyle w:val="OpiPara"/>
        <w:rPr>
          <w:lang w:val="fr-FR"/>
        </w:rPr>
      </w:pPr>
    </w:p>
    <w:p w:rsidRPr="0043317B" w:rsidR="006F7ED3" w:rsidP="0043317B" w:rsidRDefault="00380523">
      <w:pPr>
        <w:pStyle w:val="OpiPara"/>
        <w:rPr>
          <w:lang w:val="fr-FR"/>
        </w:rPr>
      </w:pPr>
      <w:r w:rsidRPr="0043317B">
        <w:rPr>
          <w:lang w:val="fr-FR"/>
        </w:rPr>
        <w:t>Dans ces circonstances, j</w:t>
      </w:r>
      <w:r w:rsidRPr="0043317B" w:rsidR="0043317B">
        <w:rPr>
          <w:lang w:val="fr-FR"/>
        </w:rPr>
        <w:t>’</w:t>
      </w:r>
      <w:r w:rsidRPr="0043317B">
        <w:rPr>
          <w:lang w:val="fr-FR"/>
        </w:rPr>
        <w:t xml:space="preserve">estime que leur grief est incompatible </w:t>
      </w:r>
      <w:r w:rsidRPr="0043317B">
        <w:rPr>
          <w:i/>
          <w:lang w:val="fr-FR"/>
        </w:rPr>
        <w:t>ratione materiae</w:t>
      </w:r>
      <w:r w:rsidRPr="0043317B">
        <w:rPr>
          <w:lang w:val="fr-FR"/>
        </w:rPr>
        <w:t xml:space="preserve"> avec les dispositions de la Convention, et donc qu</w:t>
      </w:r>
      <w:r w:rsidRPr="0043317B" w:rsidR="0043317B">
        <w:rPr>
          <w:lang w:val="fr-FR"/>
        </w:rPr>
        <w:t>’</w:t>
      </w:r>
      <w:r w:rsidRPr="0043317B">
        <w:rPr>
          <w:lang w:val="fr-FR"/>
        </w:rPr>
        <w:t>il n</w:t>
      </w:r>
      <w:r w:rsidRPr="0043317B" w:rsidR="0043317B">
        <w:rPr>
          <w:lang w:val="fr-FR"/>
        </w:rPr>
        <w:t>’</w:t>
      </w:r>
      <w:r w:rsidRPr="0043317B">
        <w:rPr>
          <w:lang w:val="fr-FR"/>
        </w:rPr>
        <w:t>y a pas eu violation de l</w:t>
      </w:r>
      <w:r w:rsidRPr="0043317B" w:rsidR="0043317B">
        <w:rPr>
          <w:lang w:val="fr-FR"/>
        </w:rPr>
        <w:t>’</w:t>
      </w:r>
      <w:r w:rsidRPr="0043317B">
        <w:rPr>
          <w:lang w:val="fr-FR"/>
        </w:rPr>
        <w:t>article précité.</w:t>
      </w:r>
    </w:p>
    <w:sectPr w:rsidRPr="0043317B" w:rsidR="006F7ED3">
      <w:headerReference w:type="even" r:id="rId14"/>
      <w:headerReference w:type="default" r:id="rId15"/>
      <w:pgSz w:w="11906" w:h="16838" w:code="9"/>
      <w:pgMar w:top="2274" w:right="2274" w:bottom="2274" w:left="2274" w:header="1701"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27620" w:rsidRPr="001D19C3" w:rsidRDefault="00427620" w:rsidP="002D2C99">
      <w:pPr>
        <w:rPr>
          <w:lang w:val="fr-FR"/>
        </w:rPr>
      </w:pPr>
      <w:r w:rsidRPr="001D19C3">
        <w:rPr>
          <w:lang w:val="fr-FR"/>
        </w:rPr>
        <w:separator/>
      </w:r>
    </w:p>
  </w:endnote>
  <w:endnote w:type="continuationSeparator" w:id="0">
    <w:p w:rsidR="00427620" w:rsidRPr="001D19C3" w:rsidRDefault="00427620" w:rsidP="002D2C99">
      <w:pPr>
        <w:rPr>
          <w:lang w:val="fr-FR"/>
        </w:rPr>
      </w:pPr>
      <w:r w:rsidRPr="001D19C3">
        <w:rPr>
          <w:lang w:val="fr-FR"/>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7620" w:rsidRPr="00150BFA" w:rsidRDefault="00427620" w:rsidP="003F5627">
    <w:pPr>
      <w:jc w:val="center"/>
    </w:pPr>
    <w:r>
      <w:rPr>
        <w:noProof/>
        <w:lang w:val="en-US" w:eastAsia="ja-JP"/>
      </w:rPr>
      <w:drawing>
        <wp:inline distT="0" distB="0" distL="0" distR="0" wp14:anchorId="1B553E52" wp14:editId="30448524">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427620" w:rsidRPr="001D19C3" w:rsidRDefault="00427620" w:rsidP="003F5627">
    <w:pPr>
      <w:rPr>
        <w:lang w:val="fr-FR"/>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7620" w:rsidRDefault="00427620" w:rsidP="003F5627"/>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7620" w:rsidRDefault="00427620" w:rsidP="003F5627"/>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27620" w:rsidRPr="001D19C3" w:rsidRDefault="00427620" w:rsidP="002D2C99">
      <w:pPr>
        <w:rPr>
          <w:lang w:val="fr-FR"/>
        </w:rPr>
      </w:pPr>
      <w:r w:rsidRPr="001D19C3">
        <w:rPr>
          <w:lang w:val="fr-FR"/>
        </w:rPr>
        <w:separator/>
      </w:r>
    </w:p>
  </w:footnote>
  <w:footnote w:type="continuationSeparator" w:id="0">
    <w:p w:rsidR="00427620" w:rsidRPr="001D19C3" w:rsidRDefault="00427620" w:rsidP="002D2C99">
      <w:pPr>
        <w:rPr>
          <w:lang w:val="fr-FR"/>
        </w:rPr>
      </w:pPr>
      <w:r w:rsidRPr="001D19C3">
        <w:rPr>
          <w:lang w:val="fr-FR"/>
        </w:rPr>
        <w:continuationSeparator/>
      </w:r>
    </w:p>
  </w:footnote>
  <w:footnote w:id="1">
    <w:p w:rsidR="00427620" w:rsidRPr="00B41D0A" w:rsidRDefault="00427620" w:rsidP="000A45C0">
      <w:pPr>
        <w:pStyle w:val="FootnoteText"/>
        <w:rPr>
          <w:lang w:val="fr-FR"/>
        </w:rPr>
      </w:pPr>
      <w:r w:rsidRPr="00655A3E">
        <w:footnoteRef/>
      </w:r>
      <w:r w:rsidRPr="00655A3E">
        <w:rPr>
          <w:lang w:val="fr-FR"/>
        </w:rPr>
        <w:t>.  </w:t>
      </w:r>
      <w:r w:rsidRPr="007D76AA">
        <w:rPr>
          <w:lang w:val="fr-FR"/>
        </w:rPr>
        <w:t xml:space="preserve">Ce statut ne semble pas prévu en droit de </w:t>
      </w:r>
      <w:r>
        <w:rPr>
          <w:lang w:val="fr-FR"/>
        </w:rPr>
        <w:t xml:space="preserve">la </w:t>
      </w:r>
      <w:r w:rsidRPr="007D76AA">
        <w:rPr>
          <w:lang w:val="fr-FR"/>
        </w:rPr>
        <w:t>procédure pénale turc. L</w:t>
      </w:r>
      <w:r>
        <w:rPr>
          <w:lang w:val="fr-FR"/>
        </w:rPr>
        <w:t xml:space="preserve">a personne qui se voit conférer la qualité de </w:t>
      </w:r>
      <w:r w:rsidRPr="004D3AC9">
        <w:rPr>
          <w:i/>
          <w:lang w:val="tr-TR"/>
        </w:rPr>
        <w:t>dava dışı</w:t>
      </w:r>
      <w:r>
        <w:rPr>
          <w:i/>
          <w:lang w:val="tr-TR"/>
        </w:rPr>
        <w:t xml:space="preserve"> </w:t>
      </w:r>
      <w:r w:rsidRPr="007D76AA">
        <w:rPr>
          <w:lang w:val="fr-FR"/>
        </w:rPr>
        <w:t xml:space="preserve">est </w:t>
      </w:r>
      <w:r w:rsidRPr="007D76AA">
        <w:rPr>
          <w:i/>
          <w:lang w:val="fr-FR"/>
        </w:rPr>
        <w:t>de facto</w:t>
      </w:r>
      <w:r w:rsidRPr="007D76AA">
        <w:rPr>
          <w:lang w:val="fr-FR"/>
        </w:rPr>
        <w:t xml:space="preserve"> </w:t>
      </w:r>
      <w:r w:rsidRPr="00E82B68">
        <w:rPr>
          <w:lang w:val="fr-FR"/>
        </w:rPr>
        <w:t xml:space="preserve">concernée par les conséquences du procès, mais, n’étant pas partie, elle ne peut introduire aucun </w:t>
      </w:r>
      <w:r>
        <w:rPr>
          <w:lang w:val="fr-FR"/>
        </w:rPr>
        <w:t xml:space="preserve">type de </w:t>
      </w:r>
      <w:r w:rsidRPr="00E82B68">
        <w:rPr>
          <w:lang w:val="fr-FR"/>
        </w:rPr>
        <w:t>recours.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7620" w:rsidRPr="00A45145" w:rsidRDefault="00427620" w:rsidP="003F5627">
    <w:pPr>
      <w:jc w:val="center"/>
    </w:pPr>
    <w:r>
      <w:rPr>
        <w:noProof/>
        <w:lang w:val="en-US" w:eastAsia="ja-JP"/>
      </w:rPr>
      <w:drawing>
        <wp:inline distT="0" distB="0" distL="0" distR="0" wp14:anchorId="7FE1818A" wp14:editId="093397DA">
          <wp:extent cx="2962275" cy="1219200"/>
          <wp:effectExtent l="0" t="0" r="9525" b="0"/>
          <wp:docPr id="4" name="Picture 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427620" w:rsidRPr="001D19C3" w:rsidRDefault="00427620" w:rsidP="00F5432B">
    <w:pPr>
      <w:jc w:val="center"/>
      <w:rPr>
        <w:lang w:val="fr-F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7620" w:rsidRPr="00F5432B" w:rsidRDefault="00427620" w:rsidP="00F5432B">
    <w:pPr>
      <w:pStyle w:val="ECHRHeader"/>
      <w:rPr>
        <w:lang w:val="fr-FR"/>
      </w:rPr>
    </w:pPr>
    <w:r>
      <w:rPr>
        <w:rStyle w:val="PageNumber"/>
      </w:rPr>
      <w:fldChar w:fldCharType="begin"/>
    </w:r>
    <w:r w:rsidRPr="00607C1C">
      <w:rPr>
        <w:rStyle w:val="PageNumber"/>
        <w:lang w:val="fr-FR"/>
      </w:rPr>
      <w:instrText xml:space="preserve"> PAGE </w:instrText>
    </w:r>
    <w:r>
      <w:rPr>
        <w:rStyle w:val="PageNumber"/>
      </w:rPr>
      <w:fldChar w:fldCharType="separate"/>
    </w:r>
    <w:r w:rsidR="0043317B">
      <w:rPr>
        <w:rStyle w:val="PageNumber"/>
        <w:noProof/>
        <w:lang w:val="fr-FR"/>
      </w:rPr>
      <w:t>44</w:t>
    </w:r>
    <w:r>
      <w:rPr>
        <w:rStyle w:val="PageNumber"/>
      </w:rPr>
      <w:fldChar w:fldCharType="end"/>
    </w:r>
    <w:r w:rsidRPr="00607C1C">
      <w:rPr>
        <w:lang w:val="fr-FR"/>
      </w:rPr>
      <w:tab/>
      <w:t xml:space="preserve">ARRÊT UZAN ET AUTRES c. TURQUIE </w:t>
    </w:r>
    <w:r w:rsidRPr="006070A7">
      <w:rPr>
        <w:lang w:val="fr-FR"/>
      </w:rPr>
      <w:t>(FOND)</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7620" w:rsidRPr="00607C1C" w:rsidRDefault="00427620" w:rsidP="00420F04">
    <w:pPr>
      <w:pStyle w:val="ECHRHeader"/>
      <w:rPr>
        <w:lang w:val="fr-FR"/>
      </w:rPr>
    </w:pPr>
    <w:r>
      <w:tab/>
    </w:r>
    <w:r w:rsidRPr="00607C1C">
      <w:rPr>
        <w:lang w:val="fr-FR"/>
      </w:rPr>
      <w:t>ARRÊT UZAN ET AUTRES c. TURQUIE (FOND)</w:t>
    </w:r>
    <w:r w:rsidRPr="00607C1C">
      <w:rPr>
        <w:lang w:val="fr-FR"/>
      </w:rPr>
      <w:tab/>
    </w:r>
    <w:r>
      <w:rPr>
        <w:rStyle w:val="PageNumber"/>
      </w:rPr>
      <w:fldChar w:fldCharType="begin"/>
    </w:r>
    <w:r w:rsidRPr="00607C1C">
      <w:rPr>
        <w:rStyle w:val="PageNumber"/>
        <w:lang w:val="fr-FR"/>
      </w:rPr>
      <w:instrText xml:space="preserve"> PAGE </w:instrText>
    </w:r>
    <w:r>
      <w:rPr>
        <w:rStyle w:val="PageNumber"/>
      </w:rPr>
      <w:fldChar w:fldCharType="separate"/>
    </w:r>
    <w:r w:rsidR="0043317B">
      <w:rPr>
        <w:rStyle w:val="PageNumber"/>
        <w:noProof/>
        <w:lang w:val="fr-FR"/>
      </w:rPr>
      <w:t>43</w:t>
    </w:r>
    <w:r>
      <w:rPr>
        <w:rStyle w:val="PageNumber"/>
      </w:rP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7620" w:rsidRPr="00C22B48" w:rsidRDefault="00427620" w:rsidP="00E7737A">
    <w:pPr>
      <w:pStyle w:val="ECHRHeader"/>
      <w:rPr>
        <w:lang w:val="fr-FR"/>
      </w:rPr>
    </w:pPr>
    <w:r>
      <w:rPr>
        <w:rStyle w:val="PageNumber"/>
      </w:rPr>
      <w:fldChar w:fldCharType="begin"/>
    </w:r>
    <w:r w:rsidRPr="00C22B48">
      <w:rPr>
        <w:rStyle w:val="PageNumber"/>
        <w:lang w:val="fr-FR"/>
      </w:rPr>
      <w:instrText xml:space="preserve"> PAGE </w:instrText>
    </w:r>
    <w:r>
      <w:rPr>
        <w:rStyle w:val="PageNumber"/>
      </w:rPr>
      <w:fldChar w:fldCharType="separate"/>
    </w:r>
    <w:r w:rsidR="0043317B">
      <w:rPr>
        <w:rStyle w:val="PageNumber"/>
        <w:noProof/>
        <w:lang w:val="fr-FR"/>
      </w:rPr>
      <w:t>46</w:t>
    </w:r>
    <w:r>
      <w:rPr>
        <w:rStyle w:val="PageNumber"/>
      </w:rPr>
      <w:fldChar w:fldCharType="end"/>
    </w:r>
    <w:r w:rsidRPr="00C22B48">
      <w:rPr>
        <w:lang w:val="fr-FR"/>
      </w:rPr>
      <w:tab/>
      <w:t xml:space="preserve">ARRÊT UZAN ET AUTRES c. TURQUIE </w:t>
    </w:r>
    <w:r>
      <w:rPr>
        <w:lang w:val="fr-FR"/>
      </w:rPr>
      <w:t>– OPINION</w:t>
    </w:r>
    <w:r w:rsidRPr="00C22B48">
      <w:rPr>
        <w:lang w:val="fr-FR"/>
      </w:rPr>
      <w:t xml:space="preserve"> SÉPARÉE</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7620" w:rsidRPr="00C22B48" w:rsidRDefault="00427620" w:rsidP="00E7737A">
    <w:pPr>
      <w:pStyle w:val="ECHRHeader"/>
      <w:rPr>
        <w:lang w:val="fr-FR"/>
      </w:rPr>
    </w:pPr>
    <w:r w:rsidRPr="00664F16">
      <w:tab/>
    </w:r>
    <w:r w:rsidRPr="00C22B48">
      <w:rPr>
        <w:lang w:val="fr-FR"/>
      </w:rPr>
      <w:t>ARRÊT UZAN ET AUTRES c. TURQUIE – OPINION SÉPARÉE</w:t>
    </w:r>
    <w:r w:rsidRPr="00C22B48">
      <w:rPr>
        <w:lang w:val="fr-FR"/>
      </w:rPr>
      <w:tab/>
    </w:r>
    <w:r>
      <w:rPr>
        <w:rStyle w:val="PageNumber"/>
      </w:rPr>
      <w:fldChar w:fldCharType="begin"/>
    </w:r>
    <w:r w:rsidRPr="00C22B48">
      <w:rPr>
        <w:rStyle w:val="PageNumber"/>
        <w:lang w:val="fr-FR"/>
      </w:rPr>
      <w:instrText xml:space="preserve"> PAGE </w:instrText>
    </w:r>
    <w:r>
      <w:rPr>
        <w:rStyle w:val="PageNumber"/>
      </w:rPr>
      <w:fldChar w:fldCharType="separate"/>
    </w:r>
    <w:r w:rsidR="0043317B">
      <w:rPr>
        <w:rStyle w:val="PageNumber"/>
        <w:noProof/>
        <w:lang w:val="fr-FR"/>
      </w:rPr>
      <w:t>45</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3A08B0C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CF25AF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B02EDC2"/>
    <w:lvl w:ilvl="0">
      <w:start w:val="1"/>
      <w:numFmt w:val="decimal"/>
      <w:pStyle w:val="ListNumber3"/>
      <w:lvlText w:val="%1."/>
      <w:lvlJc w:val="left"/>
      <w:pPr>
        <w:tabs>
          <w:tab w:val="num" w:pos="926"/>
        </w:tabs>
        <w:ind w:left="926" w:hanging="360"/>
      </w:pPr>
    </w:lvl>
  </w:abstractNum>
  <w:abstractNum w:abstractNumId="3">
    <w:nsid w:val="FFFFFF7F"/>
    <w:multiLevelType w:val="singleLevel"/>
    <w:tmpl w:val="C1E60D70"/>
    <w:lvl w:ilvl="0">
      <w:start w:val="1"/>
      <w:numFmt w:val="decimal"/>
      <w:pStyle w:val="ListNumber2"/>
      <w:lvlText w:val="%1."/>
      <w:lvlJc w:val="left"/>
      <w:pPr>
        <w:tabs>
          <w:tab w:val="num" w:pos="643"/>
        </w:tabs>
        <w:ind w:left="643" w:hanging="360"/>
      </w:pPr>
    </w:lvl>
  </w:abstractNum>
  <w:abstractNum w:abstractNumId="4">
    <w:nsid w:val="FFFFFF80"/>
    <w:multiLevelType w:val="singleLevel"/>
    <w:tmpl w:val="D2AA4F5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9E2214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DDCF24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804BE7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2A84908"/>
    <w:lvl w:ilvl="0">
      <w:start w:val="1"/>
      <w:numFmt w:val="decimal"/>
      <w:pStyle w:val="ListNumber"/>
      <w:lvlText w:val="%1."/>
      <w:lvlJc w:val="left"/>
      <w:pPr>
        <w:tabs>
          <w:tab w:val="num" w:pos="360"/>
        </w:tabs>
        <w:ind w:left="360" w:hanging="360"/>
      </w:pPr>
    </w:lvl>
  </w:abstractNum>
  <w:abstractNum w:abstractNumId="9">
    <w:nsid w:val="FFFFFF89"/>
    <w:multiLevelType w:val="singleLevel"/>
    <w:tmpl w:val="88CC5F4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7363396"/>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F4B36E4"/>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50201130"/>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4">
    <w:nsid w:val="5B4233A6"/>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70152ADB"/>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2"/>
  </w:num>
  <w:num w:numId="2">
    <w:abstractNumId w:val="13"/>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num>
  <w:num w:numId="5">
    <w:abstractNumId w:val="11"/>
  </w:num>
  <w:num w:numId="6">
    <w:abstractNumId w:val="13"/>
  </w:num>
  <w:num w:numId="7">
    <w:abstractNumId w:val="11"/>
  </w:num>
  <w:num w:numId="8">
    <w:abstractNumId w:val="7"/>
  </w:num>
  <w:num w:numId="9">
    <w:abstractNumId w:val="15"/>
  </w:num>
  <w:num w:numId="10">
    <w:abstractNumId w:val="14"/>
  </w:num>
  <w:num w:numId="11">
    <w:abstractNumId w:val="10"/>
  </w:num>
  <w:num w:numId="12">
    <w:abstractNumId w:val="9"/>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6"/>
  </w:num>
  <w:num w:numId="22">
    <w:abstractNumId w:val="16"/>
  </w:num>
  <w:num w:numId="23">
    <w:abstractNumId w:val="16"/>
  </w:num>
  <w:num w:numId="24">
    <w:abstractNumId w:val="16"/>
  </w:num>
  <w:num w:numId="25">
    <w:abstractNumId w:val="16"/>
  </w:num>
  <w:num w:numId="26">
    <w:abstractNumId w:val="16"/>
  </w:num>
  <w:num w:numId="27">
    <w:abstractNumId w:val="16"/>
  </w:num>
  <w:num w:numId="28">
    <w:abstractNumId w:val="1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6070A7"/>
    <w:rsid w:val="00001F2E"/>
    <w:rsid w:val="000041F8"/>
    <w:rsid w:val="000042A8"/>
    <w:rsid w:val="00004308"/>
    <w:rsid w:val="00005BF0"/>
    <w:rsid w:val="00007154"/>
    <w:rsid w:val="000103AE"/>
    <w:rsid w:val="00011D69"/>
    <w:rsid w:val="00012AD3"/>
    <w:rsid w:val="00015C2D"/>
    <w:rsid w:val="00015F00"/>
    <w:rsid w:val="00022C1D"/>
    <w:rsid w:val="000321F2"/>
    <w:rsid w:val="00032A63"/>
    <w:rsid w:val="00034987"/>
    <w:rsid w:val="0003558A"/>
    <w:rsid w:val="00045ACC"/>
    <w:rsid w:val="00055BA9"/>
    <w:rsid w:val="000602DF"/>
    <w:rsid w:val="00061B05"/>
    <w:rsid w:val="000632D5"/>
    <w:rsid w:val="000644EE"/>
    <w:rsid w:val="000913C5"/>
    <w:rsid w:val="000925AD"/>
    <w:rsid w:val="000A24EB"/>
    <w:rsid w:val="000A45C0"/>
    <w:rsid w:val="000B6923"/>
    <w:rsid w:val="000C5F3C"/>
    <w:rsid w:val="000C6DCC"/>
    <w:rsid w:val="000D2B96"/>
    <w:rsid w:val="000D47AA"/>
    <w:rsid w:val="000D721F"/>
    <w:rsid w:val="000E069B"/>
    <w:rsid w:val="000E0E82"/>
    <w:rsid w:val="000E1DC5"/>
    <w:rsid w:val="000E223F"/>
    <w:rsid w:val="000E7D45"/>
    <w:rsid w:val="000F7851"/>
    <w:rsid w:val="00104E23"/>
    <w:rsid w:val="00111B0C"/>
    <w:rsid w:val="00120D6C"/>
    <w:rsid w:val="001257EC"/>
    <w:rsid w:val="00127B42"/>
    <w:rsid w:val="00133D33"/>
    <w:rsid w:val="00134D64"/>
    <w:rsid w:val="00135A30"/>
    <w:rsid w:val="0013612C"/>
    <w:rsid w:val="00137FF6"/>
    <w:rsid w:val="00141650"/>
    <w:rsid w:val="00162A12"/>
    <w:rsid w:val="00166530"/>
    <w:rsid w:val="001832BD"/>
    <w:rsid w:val="001943B5"/>
    <w:rsid w:val="00195134"/>
    <w:rsid w:val="001A145B"/>
    <w:rsid w:val="001A674C"/>
    <w:rsid w:val="001B02A1"/>
    <w:rsid w:val="001B3B24"/>
    <w:rsid w:val="001C0F98"/>
    <w:rsid w:val="001C2A42"/>
    <w:rsid w:val="001D19C3"/>
    <w:rsid w:val="001D63ED"/>
    <w:rsid w:val="001D7348"/>
    <w:rsid w:val="001E035B"/>
    <w:rsid w:val="001E0961"/>
    <w:rsid w:val="001E3EAE"/>
    <w:rsid w:val="001E6F32"/>
    <w:rsid w:val="001F2145"/>
    <w:rsid w:val="001F6262"/>
    <w:rsid w:val="001F67B0"/>
    <w:rsid w:val="001F7B3D"/>
    <w:rsid w:val="00205F9F"/>
    <w:rsid w:val="00210338"/>
    <w:rsid w:val="002115FC"/>
    <w:rsid w:val="002130E3"/>
    <w:rsid w:val="0021423C"/>
    <w:rsid w:val="002258CD"/>
    <w:rsid w:val="00230D00"/>
    <w:rsid w:val="00231DF7"/>
    <w:rsid w:val="00231FD1"/>
    <w:rsid w:val="002339E0"/>
    <w:rsid w:val="00233CF8"/>
    <w:rsid w:val="0023575D"/>
    <w:rsid w:val="00237148"/>
    <w:rsid w:val="0024222D"/>
    <w:rsid w:val="00244B0E"/>
    <w:rsid w:val="00244F6C"/>
    <w:rsid w:val="002532C5"/>
    <w:rsid w:val="00260C03"/>
    <w:rsid w:val="0026540E"/>
    <w:rsid w:val="00275123"/>
    <w:rsid w:val="00282240"/>
    <w:rsid w:val="00284C6A"/>
    <w:rsid w:val="002948AD"/>
    <w:rsid w:val="002A01CC"/>
    <w:rsid w:val="002A61B1"/>
    <w:rsid w:val="002A663C"/>
    <w:rsid w:val="002A7BF0"/>
    <w:rsid w:val="002B444B"/>
    <w:rsid w:val="002B5887"/>
    <w:rsid w:val="002C0E27"/>
    <w:rsid w:val="002C3040"/>
    <w:rsid w:val="002D022D"/>
    <w:rsid w:val="002D24BB"/>
    <w:rsid w:val="002D2C99"/>
    <w:rsid w:val="002F2AF7"/>
    <w:rsid w:val="002F7E1C"/>
    <w:rsid w:val="00301A75"/>
    <w:rsid w:val="00302F70"/>
    <w:rsid w:val="0030336F"/>
    <w:rsid w:val="0030375E"/>
    <w:rsid w:val="00312A30"/>
    <w:rsid w:val="00320F72"/>
    <w:rsid w:val="0032463E"/>
    <w:rsid w:val="00326224"/>
    <w:rsid w:val="00336456"/>
    <w:rsid w:val="00337EE4"/>
    <w:rsid w:val="00340FFD"/>
    <w:rsid w:val="00341AB5"/>
    <w:rsid w:val="003506B1"/>
    <w:rsid w:val="00356AC7"/>
    <w:rsid w:val="003609FA"/>
    <w:rsid w:val="003710C8"/>
    <w:rsid w:val="003750BE"/>
    <w:rsid w:val="00380523"/>
    <w:rsid w:val="00387B9D"/>
    <w:rsid w:val="0039364F"/>
    <w:rsid w:val="00396686"/>
    <w:rsid w:val="0039778E"/>
    <w:rsid w:val="003B4941"/>
    <w:rsid w:val="003C4A77"/>
    <w:rsid w:val="003C5714"/>
    <w:rsid w:val="003C6B9F"/>
    <w:rsid w:val="003C6E2A"/>
    <w:rsid w:val="003D0299"/>
    <w:rsid w:val="003E6D80"/>
    <w:rsid w:val="003F05FA"/>
    <w:rsid w:val="003F244A"/>
    <w:rsid w:val="003F30B8"/>
    <w:rsid w:val="003F4C45"/>
    <w:rsid w:val="003F5627"/>
    <w:rsid w:val="003F5F7B"/>
    <w:rsid w:val="003F7D64"/>
    <w:rsid w:val="00406A89"/>
    <w:rsid w:val="00407F48"/>
    <w:rsid w:val="00414300"/>
    <w:rsid w:val="00420F04"/>
    <w:rsid w:val="00425C67"/>
    <w:rsid w:val="00427620"/>
    <w:rsid w:val="00427E7A"/>
    <w:rsid w:val="0043317B"/>
    <w:rsid w:val="00436C49"/>
    <w:rsid w:val="00445366"/>
    <w:rsid w:val="00447F5B"/>
    <w:rsid w:val="00461DB0"/>
    <w:rsid w:val="00463926"/>
    <w:rsid w:val="00464C9A"/>
    <w:rsid w:val="00474B8F"/>
    <w:rsid w:val="00474F3D"/>
    <w:rsid w:val="00477E3A"/>
    <w:rsid w:val="00483E5F"/>
    <w:rsid w:val="00485FF9"/>
    <w:rsid w:val="004907F0"/>
    <w:rsid w:val="0049140B"/>
    <w:rsid w:val="004923A5"/>
    <w:rsid w:val="00496BFB"/>
    <w:rsid w:val="004A15C7"/>
    <w:rsid w:val="004B013B"/>
    <w:rsid w:val="004B112B"/>
    <w:rsid w:val="004C0039"/>
    <w:rsid w:val="004C01E4"/>
    <w:rsid w:val="004C086C"/>
    <w:rsid w:val="004C1F56"/>
    <w:rsid w:val="004C27BC"/>
    <w:rsid w:val="004D15F3"/>
    <w:rsid w:val="004D5311"/>
    <w:rsid w:val="004D5DCC"/>
    <w:rsid w:val="004F10AF"/>
    <w:rsid w:val="004F11A4"/>
    <w:rsid w:val="004F2389"/>
    <w:rsid w:val="004F304D"/>
    <w:rsid w:val="004F61BE"/>
    <w:rsid w:val="004F66B1"/>
    <w:rsid w:val="00511C07"/>
    <w:rsid w:val="005173A6"/>
    <w:rsid w:val="00520BAA"/>
    <w:rsid w:val="005236D5"/>
    <w:rsid w:val="00525208"/>
    <w:rsid w:val="005257A5"/>
    <w:rsid w:val="005264C0"/>
    <w:rsid w:val="00526720"/>
    <w:rsid w:val="00526A8A"/>
    <w:rsid w:val="00531DF2"/>
    <w:rsid w:val="005442EE"/>
    <w:rsid w:val="00547353"/>
    <w:rsid w:val="005474E7"/>
    <w:rsid w:val="005512A3"/>
    <w:rsid w:val="005578CE"/>
    <w:rsid w:val="00562781"/>
    <w:rsid w:val="0057271C"/>
    <w:rsid w:val="00572845"/>
    <w:rsid w:val="00582D60"/>
    <w:rsid w:val="00592772"/>
    <w:rsid w:val="0059574A"/>
    <w:rsid w:val="005A1B9B"/>
    <w:rsid w:val="005A6751"/>
    <w:rsid w:val="005B092E"/>
    <w:rsid w:val="005B152C"/>
    <w:rsid w:val="005B1EE0"/>
    <w:rsid w:val="005B2B24"/>
    <w:rsid w:val="005B4425"/>
    <w:rsid w:val="005B4B94"/>
    <w:rsid w:val="005C3EE8"/>
    <w:rsid w:val="005D34F9"/>
    <w:rsid w:val="005D4190"/>
    <w:rsid w:val="005D67A3"/>
    <w:rsid w:val="005E2988"/>
    <w:rsid w:val="005E3085"/>
    <w:rsid w:val="005F51E1"/>
    <w:rsid w:val="005F6EF3"/>
    <w:rsid w:val="006070A7"/>
    <w:rsid w:val="00607C1C"/>
    <w:rsid w:val="00611C80"/>
    <w:rsid w:val="00620692"/>
    <w:rsid w:val="006242CA"/>
    <w:rsid w:val="00627507"/>
    <w:rsid w:val="00633717"/>
    <w:rsid w:val="006344E1"/>
    <w:rsid w:val="00642EBD"/>
    <w:rsid w:val="006545C4"/>
    <w:rsid w:val="00661971"/>
    <w:rsid w:val="00661CE8"/>
    <w:rsid w:val="006623D9"/>
    <w:rsid w:val="0066550C"/>
    <w:rsid w:val="006716F2"/>
    <w:rsid w:val="00682BF2"/>
    <w:rsid w:val="006859CE"/>
    <w:rsid w:val="00691270"/>
    <w:rsid w:val="00694BA8"/>
    <w:rsid w:val="006A037C"/>
    <w:rsid w:val="006A36F4"/>
    <w:rsid w:val="006A406F"/>
    <w:rsid w:val="006A5D3A"/>
    <w:rsid w:val="006A626A"/>
    <w:rsid w:val="006C23D4"/>
    <w:rsid w:val="006C7BB0"/>
    <w:rsid w:val="006D3237"/>
    <w:rsid w:val="006E2E37"/>
    <w:rsid w:val="006E3CF1"/>
    <w:rsid w:val="006E7E80"/>
    <w:rsid w:val="006F48CA"/>
    <w:rsid w:val="006F64DD"/>
    <w:rsid w:val="006F7ED3"/>
    <w:rsid w:val="00715127"/>
    <w:rsid w:val="00715E8E"/>
    <w:rsid w:val="00723580"/>
    <w:rsid w:val="00723755"/>
    <w:rsid w:val="0073136C"/>
    <w:rsid w:val="00731F0F"/>
    <w:rsid w:val="00733250"/>
    <w:rsid w:val="00741404"/>
    <w:rsid w:val="007449E5"/>
    <w:rsid w:val="00747FF0"/>
    <w:rsid w:val="00764D4E"/>
    <w:rsid w:val="00765A1F"/>
    <w:rsid w:val="00773A68"/>
    <w:rsid w:val="00775B6D"/>
    <w:rsid w:val="00776D68"/>
    <w:rsid w:val="00782568"/>
    <w:rsid w:val="007850EE"/>
    <w:rsid w:val="00785B95"/>
    <w:rsid w:val="00790E96"/>
    <w:rsid w:val="00793366"/>
    <w:rsid w:val="007A716F"/>
    <w:rsid w:val="007B270A"/>
    <w:rsid w:val="007C0695"/>
    <w:rsid w:val="007C419A"/>
    <w:rsid w:val="007C4CC8"/>
    <w:rsid w:val="007C5426"/>
    <w:rsid w:val="007C5798"/>
    <w:rsid w:val="007D377E"/>
    <w:rsid w:val="007D4832"/>
    <w:rsid w:val="007E21B2"/>
    <w:rsid w:val="007E2C4E"/>
    <w:rsid w:val="007F1905"/>
    <w:rsid w:val="00801300"/>
    <w:rsid w:val="00802C64"/>
    <w:rsid w:val="00805E52"/>
    <w:rsid w:val="008061D0"/>
    <w:rsid w:val="00810B38"/>
    <w:rsid w:val="008204C7"/>
    <w:rsid w:val="00820992"/>
    <w:rsid w:val="00823602"/>
    <w:rsid w:val="008255F5"/>
    <w:rsid w:val="0083014E"/>
    <w:rsid w:val="0083214A"/>
    <w:rsid w:val="00834220"/>
    <w:rsid w:val="00845723"/>
    <w:rsid w:val="00851EF9"/>
    <w:rsid w:val="008577FD"/>
    <w:rsid w:val="00860B03"/>
    <w:rsid w:val="0086497A"/>
    <w:rsid w:val="008713A1"/>
    <w:rsid w:val="008754AB"/>
    <w:rsid w:val="008802A9"/>
    <w:rsid w:val="0088060C"/>
    <w:rsid w:val="00893576"/>
    <w:rsid w:val="00893E73"/>
    <w:rsid w:val="00897339"/>
    <w:rsid w:val="008B02DC"/>
    <w:rsid w:val="008B57CE"/>
    <w:rsid w:val="008C26DE"/>
    <w:rsid w:val="008D2225"/>
    <w:rsid w:val="008D4752"/>
    <w:rsid w:val="008E271C"/>
    <w:rsid w:val="008E418E"/>
    <w:rsid w:val="008E5BC6"/>
    <w:rsid w:val="008E6A25"/>
    <w:rsid w:val="008F5193"/>
    <w:rsid w:val="008F55F5"/>
    <w:rsid w:val="009013A7"/>
    <w:rsid w:val="009017FB"/>
    <w:rsid w:val="009017FC"/>
    <w:rsid w:val="0090506B"/>
    <w:rsid w:val="009050C9"/>
    <w:rsid w:val="009066FC"/>
    <w:rsid w:val="009140A3"/>
    <w:rsid w:val="009144A2"/>
    <w:rsid w:val="0091510C"/>
    <w:rsid w:val="009259AC"/>
    <w:rsid w:val="00926F38"/>
    <w:rsid w:val="00934301"/>
    <w:rsid w:val="00936CD1"/>
    <w:rsid w:val="00941747"/>
    <w:rsid w:val="00941EFB"/>
    <w:rsid w:val="00947AFB"/>
    <w:rsid w:val="00951D7D"/>
    <w:rsid w:val="009630C7"/>
    <w:rsid w:val="00972B55"/>
    <w:rsid w:val="009743B7"/>
    <w:rsid w:val="0098228B"/>
    <w:rsid w:val="009828DA"/>
    <w:rsid w:val="00985BAB"/>
    <w:rsid w:val="009A461C"/>
    <w:rsid w:val="009B1B5F"/>
    <w:rsid w:val="009B6673"/>
    <w:rsid w:val="009C191B"/>
    <w:rsid w:val="009C2BD6"/>
    <w:rsid w:val="009E1F32"/>
    <w:rsid w:val="009E776C"/>
    <w:rsid w:val="009F65DC"/>
    <w:rsid w:val="00A1726E"/>
    <w:rsid w:val="00A204CF"/>
    <w:rsid w:val="00A23D49"/>
    <w:rsid w:val="00A242AC"/>
    <w:rsid w:val="00A27004"/>
    <w:rsid w:val="00A30C29"/>
    <w:rsid w:val="00A34DD6"/>
    <w:rsid w:val="00A36819"/>
    <w:rsid w:val="00A36989"/>
    <w:rsid w:val="00A43628"/>
    <w:rsid w:val="00A54192"/>
    <w:rsid w:val="00A6035E"/>
    <w:rsid w:val="00A6144C"/>
    <w:rsid w:val="00A66617"/>
    <w:rsid w:val="00A671F8"/>
    <w:rsid w:val="00A673A4"/>
    <w:rsid w:val="00A724AE"/>
    <w:rsid w:val="00A73329"/>
    <w:rsid w:val="00A82359"/>
    <w:rsid w:val="00A865D2"/>
    <w:rsid w:val="00A94C20"/>
    <w:rsid w:val="00AA227F"/>
    <w:rsid w:val="00AA3BC7"/>
    <w:rsid w:val="00AA754A"/>
    <w:rsid w:val="00AB0996"/>
    <w:rsid w:val="00AB099E"/>
    <w:rsid w:val="00AB33FF"/>
    <w:rsid w:val="00AB4328"/>
    <w:rsid w:val="00AC3ABA"/>
    <w:rsid w:val="00AC6EC5"/>
    <w:rsid w:val="00AD4891"/>
    <w:rsid w:val="00AE0A2E"/>
    <w:rsid w:val="00AE354C"/>
    <w:rsid w:val="00AF2711"/>
    <w:rsid w:val="00AF4B07"/>
    <w:rsid w:val="00AF6186"/>
    <w:rsid w:val="00AF7A3A"/>
    <w:rsid w:val="00B160DB"/>
    <w:rsid w:val="00B20836"/>
    <w:rsid w:val="00B235BB"/>
    <w:rsid w:val="00B27A44"/>
    <w:rsid w:val="00B30BBF"/>
    <w:rsid w:val="00B33C03"/>
    <w:rsid w:val="00B44E56"/>
    <w:rsid w:val="00B46543"/>
    <w:rsid w:val="00B47D33"/>
    <w:rsid w:val="00B52BE0"/>
    <w:rsid w:val="00B54133"/>
    <w:rsid w:val="00B701ED"/>
    <w:rsid w:val="00B8086C"/>
    <w:rsid w:val="00B861B4"/>
    <w:rsid w:val="00B86DFE"/>
    <w:rsid w:val="00B90990"/>
    <w:rsid w:val="00B922FF"/>
    <w:rsid w:val="00B9281E"/>
    <w:rsid w:val="00B93925"/>
    <w:rsid w:val="00B95187"/>
    <w:rsid w:val="00BA20E7"/>
    <w:rsid w:val="00BA2D55"/>
    <w:rsid w:val="00BA71B1"/>
    <w:rsid w:val="00BB0637"/>
    <w:rsid w:val="00BB345F"/>
    <w:rsid w:val="00BB68EA"/>
    <w:rsid w:val="00BC1C27"/>
    <w:rsid w:val="00BC6BBF"/>
    <w:rsid w:val="00BD1572"/>
    <w:rsid w:val="00BE14E3"/>
    <w:rsid w:val="00BE3774"/>
    <w:rsid w:val="00BE41E5"/>
    <w:rsid w:val="00BF4109"/>
    <w:rsid w:val="00BF4CC3"/>
    <w:rsid w:val="00C054C7"/>
    <w:rsid w:val="00C057B5"/>
    <w:rsid w:val="00C22687"/>
    <w:rsid w:val="00C25A3E"/>
    <w:rsid w:val="00C32E4D"/>
    <w:rsid w:val="00C333A0"/>
    <w:rsid w:val="00C36408"/>
    <w:rsid w:val="00C36A81"/>
    <w:rsid w:val="00C41226"/>
    <w:rsid w:val="00C41974"/>
    <w:rsid w:val="00C41981"/>
    <w:rsid w:val="00C535F5"/>
    <w:rsid w:val="00C53F4A"/>
    <w:rsid w:val="00C54125"/>
    <w:rsid w:val="00C55B54"/>
    <w:rsid w:val="00C6098E"/>
    <w:rsid w:val="00C6152C"/>
    <w:rsid w:val="00C74810"/>
    <w:rsid w:val="00C90D68"/>
    <w:rsid w:val="00C939FE"/>
    <w:rsid w:val="00CA4BDA"/>
    <w:rsid w:val="00CB1F66"/>
    <w:rsid w:val="00CB25E5"/>
    <w:rsid w:val="00CB2951"/>
    <w:rsid w:val="00CB2B6D"/>
    <w:rsid w:val="00CD282B"/>
    <w:rsid w:val="00CD4C35"/>
    <w:rsid w:val="00CD7369"/>
    <w:rsid w:val="00CE0B0E"/>
    <w:rsid w:val="00CE3831"/>
    <w:rsid w:val="00CF023B"/>
    <w:rsid w:val="00D00ABB"/>
    <w:rsid w:val="00D02EEC"/>
    <w:rsid w:val="00D03551"/>
    <w:rsid w:val="00D06A63"/>
    <w:rsid w:val="00D07E0E"/>
    <w:rsid w:val="00D11478"/>
    <w:rsid w:val="00D15ED0"/>
    <w:rsid w:val="00D20A92"/>
    <w:rsid w:val="00D21B3E"/>
    <w:rsid w:val="00D21FED"/>
    <w:rsid w:val="00D24251"/>
    <w:rsid w:val="00D343E2"/>
    <w:rsid w:val="00D361A2"/>
    <w:rsid w:val="00D44C2E"/>
    <w:rsid w:val="00D45414"/>
    <w:rsid w:val="00D47891"/>
    <w:rsid w:val="00D566BD"/>
    <w:rsid w:val="00D57A4D"/>
    <w:rsid w:val="00D60AA7"/>
    <w:rsid w:val="00D6435F"/>
    <w:rsid w:val="00D75E28"/>
    <w:rsid w:val="00D772C2"/>
    <w:rsid w:val="00D8008E"/>
    <w:rsid w:val="00D82C45"/>
    <w:rsid w:val="00D908A8"/>
    <w:rsid w:val="00D977B6"/>
    <w:rsid w:val="00DA4A31"/>
    <w:rsid w:val="00DA7B04"/>
    <w:rsid w:val="00DB36C2"/>
    <w:rsid w:val="00DC169B"/>
    <w:rsid w:val="00DC2AB9"/>
    <w:rsid w:val="00DC63F0"/>
    <w:rsid w:val="00DD6EE5"/>
    <w:rsid w:val="00DE386C"/>
    <w:rsid w:val="00DE4D35"/>
    <w:rsid w:val="00DF098B"/>
    <w:rsid w:val="00DF11C4"/>
    <w:rsid w:val="00DF210C"/>
    <w:rsid w:val="00DF4B6A"/>
    <w:rsid w:val="00E02C09"/>
    <w:rsid w:val="00E04D59"/>
    <w:rsid w:val="00E07DA1"/>
    <w:rsid w:val="00E123CB"/>
    <w:rsid w:val="00E20E13"/>
    <w:rsid w:val="00E21DBC"/>
    <w:rsid w:val="00E275D7"/>
    <w:rsid w:val="00E27DBE"/>
    <w:rsid w:val="00E32AB1"/>
    <w:rsid w:val="00E36C71"/>
    <w:rsid w:val="00E37CB1"/>
    <w:rsid w:val="00E40404"/>
    <w:rsid w:val="00E459C6"/>
    <w:rsid w:val="00E47589"/>
    <w:rsid w:val="00E64915"/>
    <w:rsid w:val="00E661D4"/>
    <w:rsid w:val="00E70091"/>
    <w:rsid w:val="00E720F5"/>
    <w:rsid w:val="00E76D47"/>
    <w:rsid w:val="00E7737A"/>
    <w:rsid w:val="00E849F7"/>
    <w:rsid w:val="00E90302"/>
    <w:rsid w:val="00E97396"/>
    <w:rsid w:val="00EA185E"/>
    <w:rsid w:val="00EA4BD7"/>
    <w:rsid w:val="00EA592A"/>
    <w:rsid w:val="00EB14E4"/>
    <w:rsid w:val="00EB32A5"/>
    <w:rsid w:val="00EB34ED"/>
    <w:rsid w:val="00EB6FF7"/>
    <w:rsid w:val="00EB7BE0"/>
    <w:rsid w:val="00EC315E"/>
    <w:rsid w:val="00EC69C0"/>
    <w:rsid w:val="00ED077C"/>
    <w:rsid w:val="00ED1190"/>
    <w:rsid w:val="00ED6544"/>
    <w:rsid w:val="00EE0277"/>
    <w:rsid w:val="00EE1DBF"/>
    <w:rsid w:val="00EE3E00"/>
    <w:rsid w:val="00EE5DD2"/>
    <w:rsid w:val="00F00A79"/>
    <w:rsid w:val="00F00E86"/>
    <w:rsid w:val="00F07C1E"/>
    <w:rsid w:val="00F10148"/>
    <w:rsid w:val="00F105DB"/>
    <w:rsid w:val="00F132BC"/>
    <w:rsid w:val="00F13D80"/>
    <w:rsid w:val="00F16AAA"/>
    <w:rsid w:val="00F21161"/>
    <w:rsid w:val="00F218EF"/>
    <w:rsid w:val="00F21BC7"/>
    <w:rsid w:val="00F266A2"/>
    <w:rsid w:val="00F32269"/>
    <w:rsid w:val="00F5432B"/>
    <w:rsid w:val="00F56A6F"/>
    <w:rsid w:val="00F5709C"/>
    <w:rsid w:val="00F64EF1"/>
    <w:rsid w:val="00F707C8"/>
    <w:rsid w:val="00F8765F"/>
    <w:rsid w:val="00F90767"/>
    <w:rsid w:val="00FA685B"/>
    <w:rsid w:val="00FB0C01"/>
    <w:rsid w:val="00FC18F2"/>
    <w:rsid w:val="00FC39E5"/>
    <w:rsid w:val="00FC3A78"/>
    <w:rsid w:val="00FD1005"/>
    <w:rsid w:val="00FD6C75"/>
    <w:rsid w:val="00FE71B3"/>
    <w:rsid w:val="00FF42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427620"/>
    <w:pPr>
      <w:jc w:val="both"/>
    </w:pPr>
    <w:rPr>
      <w:rFonts w:eastAsiaTheme="minorEastAsia"/>
      <w:sz w:val="24"/>
      <w:lang w:val="en-GB"/>
    </w:rPr>
  </w:style>
  <w:style w:type="paragraph" w:styleId="Heading1">
    <w:name w:val="heading 1"/>
    <w:basedOn w:val="Normal"/>
    <w:next w:val="Normal"/>
    <w:link w:val="Heading1Char"/>
    <w:uiPriority w:val="99"/>
    <w:semiHidden/>
    <w:rsid w:val="00427620"/>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427620"/>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427620"/>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427620"/>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427620"/>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427620"/>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427620"/>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427620"/>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427620"/>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427620"/>
    <w:rPr>
      <w:rFonts w:ascii="Tahoma" w:hAnsi="Tahoma" w:cs="Tahoma"/>
      <w:sz w:val="16"/>
      <w:szCs w:val="16"/>
    </w:rPr>
  </w:style>
  <w:style w:type="character" w:customStyle="1" w:styleId="BalloonTextChar">
    <w:name w:val="Balloon Text Char"/>
    <w:basedOn w:val="DefaultParagraphFont"/>
    <w:link w:val="BalloonText"/>
    <w:uiPriority w:val="99"/>
    <w:semiHidden/>
    <w:rsid w:val="00427620"/>
    <w:rPr>
      <w:rFonts w:ascii="Tahoma" w:eastAsiaTheme="minorEastAsia" w:hAnsi="Tahoma" w:cs="Tahoma"/>
      <w:sz w:val="16"/>
      <w:szCs w:val="16"/>
      <w:lang w:val="en-GB"/>
    </w:rPr>
  </w:style>
  <w:style w:type="character" w:styleId="BookTitle">
    <w:name w:val="Book Title"/>
    <w:uiPriority w:val="99"/>
    <w:semiHidden/>
    <w:qFormat/>
    <w:rsid w:val="00427620"/>
    <w:rPr>
      <w:i/>
      <w:iCs/>
      <w:smallCaps/>
      <w:spacing w:val="5"/>
    </w:rPr>
  </w:style>
  <w:style w:type="paragraph" w:customStyle="1" w:styleId="ECHRHeader">
    <w:name w:val="ECHR_Header"/>
    <w:aliases w:val="Ju_Header"/>
    <w:basedOn w:val="Header"/>
    <w:uiPriority w:val="4"/>
    <w:qFormat/>
    <w:rsid w:val="00427620"/>
    <w:pPr>
      <w:tabs>
        <w:tab w:val="clear" w:pos="4536"/>
        <w:tab w:val="clear" w:pos="9072"/>
        <w:tab w:val="center" w:pos="3686"/>
        <w:tab w:val="right" w:pos="7371"/>
      </w:tabs>
      <w:jc w:val="left"/>
    </w:pPr>
    <w:rPr>
      <w:sz w:val="18"/>
    </w:rPr>
  </w:style>
  <w:style w:type="paragraph" w:customStyle="1" w:styleId="DecHTitle">
    <w:name w:val="Dec_H_Title"/>
    <w:basedOn w:val="ECHRTitleCentre1"/>
    <w:uiPriority w:val="7"/>
    <w:semiHidden/>
    <w:qFormat/>
    <w:rsid w:val="00427620"/>
  </w:style>
  <w:style w:type="character" w:styleId="Strong">
    <w:name w:val="Strong"/>
    <w:uiPriority w:val="99"/>
    <w:semiHidden/>
    <w:qFormat/>
    <w:rsid w:val="00427620"/>
    <w:rPr>
      <w:b/>
      <w:bCs/>
    </w:rPr>
  </w:style>
  <w:style w:type="paragraph" w:styleId="NoSpacing">
    <w:name w:val="No Spacing"/>
    <w:basedOn w:val="Normal"/>
    <w:link w:val="NoSpacingChar"/>
    <w:semiHidden/>
    <w:qFormat/>
    <w:rsid w:val="00427620"/>
    <w:rPr>
      <w:sz w:val="22"/>
      <w:lang w:val="en-US"/>
    </w:rPr>
  </w:style>
  <w:style w:type="character" w:customStyle="1" w:styleId="NoSpacingChar">
    <w:name w:val="No Spacing Char"/>
    <w:basedOn w:val="DefaultParagraphFont"/>
    <w:link w:val="NoSpacing"/>
    <w:semiHidden/>
    <w:rsid w:val="00427620"/>
    <w:rPr>
      <w:rFonts w:eastAsiaTheme="minorEastAsia"/>
    </w:rPr>
  </w:style>
  <w:style w:type="paragraph" w:customStyle="1" w:styleId="ECHRParaQuote">
    <w:name w:val="ECHR_Para_Quote"/>
    <w:aliases w:val="Ju_Quot"/>
    <w:basedOn w:val="Normal"/>
    <w:link w:val="JuQuotChar"/>
    <w:uiPriority w:val="14"/>
    <w:qFormat/>
    <w:rsid w:val="00427620"/>
    <w:pPr>
      <w:spacing w:before="120" w:after="120"/>
      <w:ind w:left="425" w:firstLine="142"/>
    </w:pPr>
    <w:rPr>
      <w:sz w:val="20"/>
    </w:rPr>
  </w:style>
  <w:style w:type="paragraph" w:customStyle="1" w:styleId="OpiPara">
    <w:name w:val="Opi_Para"/>
    <w:basedOn w:val="ECHRPara"/>
    <w:uiPriority w:val="46"/>
    <w:qFormat/>
    <w:rsid w:val="00427620"/>
  </w:style>
  <w:style w:type="paragraph" w:customStyle="1" w:styleId="DecList">
    <w:name w:val="Dec_List"/>
    <w:basedOn w:val="Normal"/>
    <w:uiPriority w:val="9"/>
    <w:semiHidden/>
    <w:qFormat/>
    <w:rsid w:val="00427620"/>
    <w:pPr>
      <w:spacing w:before="240"/>
      <w:ind w:left="284"/>
    </w:pPr>
  </w:style>
  <w:style w:type="paragraph" w:customStyle="1" w:styleId="DummyStyle">
    <w:name w:val="Dummy_Style"/>
    <w:basedOn w:val="Normal"/>
    <w:semiHidden/>
    <w:qFormat/>
    <w:rsid w:val="00427620"/>
    <w:rPr>
      <w:color w:val="00B050"/>
    </w:rPr>
  </w:style>
  <w:style w:type="paragraph" w:customStyle="1" w:styleId="JuAppQuestion">
    <w:name w:val="Ju_App_Question"/>
    <w:basedOn w:val="Normal"/>
    <w:uiPriority w:val="5"/>
    <w:semiHidden/>
    <w:qFormat/>
    <w:rsid w:val="00427620"/>
    <w:pPr>
      <w:numPr>
        <w:numId w:val="28"/>
      </w:numPr>
      <w:jc w:val="left"/>
    </w:pPr>
    <w:rPr>
      <w:b/>
    </w:rPr>
  </w:style>
  <w:style w:type="paragraph" w:customStyle="1" w:styleId="ECHRTitleCentre3">
    <w:name w:val="ECHR_Title_Centre_3"/>
    <w:aliases w:val="Ju_H_Article"/>
    <w:basedOn w:val="Normal"/>
    <w:next w:val="ECHRParaQuote"/>
    <w:uiPriority w:val="27"/>
    <w:qFormat/>
    <w:rsid w:val="00427620"/>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427620"/>
    <w:pPr>
      <w:keepNext/>
      <w:keepLines/>
      <w:spacing w:after="240"/>
      <w:jc w:val="center"/>
      <w:outlineLvl w:val="0"/>
    </w:pPr>
    <w:rPr>
      <w:rFonts w:asciiTheme="majorHAnsi" w:hAnsiTheme="majorHAnsi"/>
      <w:sz w:val="28"/>
    </w:rPr>
  </w:style>
  <w:style w:type="paragraph" w:customStyle="1" w:styleId="JuCourt">
    <w:name w:val="Ju_Court"/>
    <w:basedOn w:val="Normal"/>
    <w:next w:val="Normal"/>
    <w:uiPriority w:val="16"/>
    <w:qFormat/>
    <w:rsid w:val="00427620"/>
    <w:pPr>
      <w:tabs>
        <w:tab w:val="left" w:pos="907"/>
        <w:tab w:val="left" w:pos="1701"/>
        <w:tab w:val="right" w:pos="7371"/>
      </w:tabs>
      <w:spacing w:before="240"/>
      <w:ind w:left="397" w:hanging="397"/>
      <w:jc w:val="left"/>
    </w:pPr>
    <w:rPr>
      <w:lang w:bidi="en-US"/>
    </w:rPr>
  </w:style>
  <w:style w:type="paragraph" w:customStyle="1" w:styleId="ECHRTitle1">
    <w:name w:val="ECHR_Title_1"/>
    <w:aliases w:val="Ju_H_Head"/>
    <w:basedOn w:val="Normal"/>
    <w:next w:val="ECHRPara"/>
    <w:uiPriority w:val="18"/>
    <w:qFormat/>
    <w:rsid w:val="00427620"/>
    <w:pPr>
      <w:keepNext/>
      <w:keepLines/>
      <w:spacing w:before="720" w:after="240"/>
      <w:outlineLvl w:val="0"/>
    </w:pPr>
    <w:rPr>
      <w:rFonts w:asciiTheme="majorHAnsi" w:hAnsiTheme="majorHAnsi"/>
      <w:sz w:val="28"/>
    </w:rPr>
  </w:style>
  <w:style w:type="paragraph" w:customStyle="1" w:styleId="JuListi">
    <w:name w:val="Ju_List_i"/>
    <w:basedOn w:val="Normal"/>
    <w:next w:val="JuLista"/>
    <w:uiPriority w:val="28"/>
    <w:qFormat/>
    <w:rsid w:val="00427620"/>
    <w:pPr>
      <w:ind w:left="794"/>
    </w:pPr>
  </w:style>
  <w:style w:type="character" w:customStyle="1" w:styleId="JUNAMES">
    <w:name w:val="JU_NAMES"/>
    <w:uiPriority w:val="17"/>
    <w:qFormat/>
    <w:rsid w:val="00427620"/>
    <w:rPr>
      <w:caps w:val="0"/>
      <w:smallCaps/>
    </w:rPr>
  </w:style>
  <w:style w:type="paragraph" w:styleId="Title">
    <w:name w:val="Title"/>
    <w:basedOn w:val="Normal"/>
    <w:next w:val="Normal"/>
    <w:link w:val="TitleChar"/>
    <w:uiPriority w:val="99"/>
    <w:semiHidden/>
    <w:qFormat/>
    <w:rsid w:val="00427620"/>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427620"/>
    <w:rPr>
      <w:rFonts w:asciiTheme="majorHAnsi" w:eastAsiaTheme="majorEastAsia" w:hAnsiTheme="majorHAnsi" w:cstheme="majorBidi"/>
      <w:spacing w:val="5"/>
      <w:sz w:val="52"/>
      <w:szCs w:val="52"/>
      <w:lang w:bidi="en-US"/>
    </w:rPr>
  </w:style>
  <w:style w:type="paragraph" w:customStyle="1" w:styleId="JuInitialled">
    <w:name w:val="Ju_Initialled"/>
    <w:basedOn w:val="Normal"/>
    <w:uiPriority w:val="31"/>
    <w:qFormat/>
    <w:rsid w:val="00427620"/>
    <w:pPr>
      <w:tabs>
        <w:tab w:val="center" w:pos="6407"/>
      </w:tabs>
      <w:spacing w:before="720"/>
      <w:jc w:val="right"/>
    </w:pPr>
  </w:style>
  <w:style w:type="paragraph" w:customStyle="1" w:styleId="JuSigned">
    <w:name w:val="Ju_Signed"/>
    <w:basedOn w:val="Normal"/>
    <w:next w:val="JuParaLast"/>
    <w:uiPriority w:val="32"/>
    <w:qFormat/>
    <w:rsid w:val="00427620"/>
    <w:pPr>
      <w:tabs>
        <w:tab w:val="center" w:pos="851"/>
        <w:tab w:val="center" w:pos="6407"/>
      </w:tabs>
      <w:spacing w:before="720"/>
      <w:jc w:val="left"/>
    </w:pPr>
  </w:style>
  <w:style w:type="character" w:customStyle="1" w:styleId="JuITMark">
    <w:name w:val="Ju_ITMark"/>
    <w:basedOn w:val="DefaultParagraphFont"/>
    <w:uiPriority w:val="38"/>
    <w:qFormat/>
    <w:rsid w:val="00427620"/>
    <w:rPr>
      <w:vanish w:val="0"/>
      <w:color w:val="auto"/>
      <w:sz w:val="14"/>
      <w:bdr w:val="none" w:sz="0" w:space="0" w:color="auto"/>
      <w:shd w:val="clear" w:color="auto" w:fill="BEE5FF" w:themeFill="background1" w:themeFillTint="33"/>
    </w:rPr>
  </w:style>
  <w:style w:type="paragraph" w:customStyle="1" w:styleId="JuParaSub">
    <w:name w:val="Ju_Para_Sub"/>
    <w:basedOn w:val="ECHRPara"/>
    <w:uiPriority w:val="13"/>
    <w:qFormat/>
    <w:rsid w:val="00427620"/>
    <w:pPr>
      <w:ind w:left="284"/>
    </w:pPr>
  </w:style>
  <w:style w:type="paragraph" w:customStyle="1" w:styleId="JuQuotSub">
    <w:name w:val="Ju_Quot_Sub"/>
    <w:basedOn w:val="ECHRParaQuote"/>
    <w:uiPriority w:val="15"/>
    <w:qFormat/>
    <w:rsid w:val="00427620"/>
    <w:pPr>
      <w:ind w:left="567"/>
    </w:pPr>
  </w:style>
  <w:style w:type="paragraph" w:customStyle="1" w:styleId="ECHRHeading1">
    <w:name w:val="ECHR_Heading_1"/>
    <w:aliases w:val="Ju_H_I_Roman"/>
    <w:basedOn w:val="Heading1"/>
    <w:next w:val="ECHRPara"/>
    <w:uiPriority w:val="19"/>
    <w:qFormat/>
    <w:rsid w:val="00427620"/>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427620"/>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427620"/>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427620"/>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427620"/>
    <w:rPr>
      <w:sz w:val="24"/>
      <w:lang w:val="en-GB"/>
    </w:rPr>
  </w:style>
  <w:style w:type="character" w:customStyle="1" w:styleId="Heading1Char">
    <w:name w:val="Heading 1 Char"/>
    <w:basedOn w:val="DefaultParagraphFont"/>
    <w:link w:val="Heading1"/>
    <w:uiPriority w:val="99"/>
    <w:semiHidden/>
    <w:rsid w:val="00427620"/>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ECHRPara"/>
    <w:uiPriority w:val="22"/>
    <w:qFormat/>
    <w:rsid w:val="00427620"/>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427620"/>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427620"/>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ECHRPara"/>
    <w:uiPriority w:val="24"/>
    <w:qFormat/>
    <w:rsid w:val="00427620"/>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427620"/>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427620"/>
    <w:rPr>
      <w:rFonts w:asciiTheme="majorHAnsi" w:eastAsiaTheme="majorEastAsia" w:hAnsiTheme="majorHAnsi" w:cstheme="majorBidi"/>
      <w:b/>
      <w:bCs/>
      <w:color w:val="5F5F5F"/>
      <w:sz w:val="24"/>
      <w:lang w:val="en-GB"/>
    </w:rPr>
  </w:style>
  <w:style w:type="paragraph" w:customStyle="1" w:styleId="JuTitle">
    <w:name w:val="Ju_Title"/>
    <w:basedOn w:val="Normal"/>
    <w:next w:val="ECHRPara"/>
    <w:uiPriority w:val="3"/>
    <w:semiHidden/>
    <w:qFormat/>
    <w:rsid w:val="00427620"/>
    <w:pPr>
      <w:spacing w:before="720" w:after="240"/>
      <w:jc w:val="center"/>
      <w:outlineLvl w:val="0"/>
    </w:pPr>
    <w:rPr>
      <w:rFonts w:asciiTheme="majorHAnsi" w:hAnsiTheme="majorHAnsi"/>
      <w:b/>
      <w:caps/>
    </w:rPr>
  </w:style>
  <w:style w:type="paragraph" w:customStyle="1" w:styleId="OpiH1">
    <w:name w:val="Opi_H_1"/>
    <w:basedOn w:val="ECHRHeading2"/>
    <w:uiPriority w:val="42"/>
    <w:qFormat/>
    <w:rsid w:val="00427620"/>
    <w:pPr>
      <w:ind w:left="635" w:hanging="357"/>
      <w:outlineLvl w:val="2"/>
    </w:pPr>
  </w:style>
  <w:style w:type="character" w:customStyle="1" w:styleId="Heading4Char">
    <w:name w:val="Heading 4 Char"/>
    <w:basedOn w:val="DefaultParagraphFont"/>
    <w:link w:val="Heading4"/>
    <w:uiPriority w:val="99"/>
    <w:semiHidden/>
    <w:rsid w:val="00427620"/>
    <w:rPr>
      <w:rFonts w:asciiTheme="majorHAnsi" w:eastAsiaTheme="majorEastAsia" w:hAnsiTheme="majorHAnsi" w:cstheme="majorBidi"/>
      <w:b/>
      <w:bCs/>
      <w:i/>
      <w:iCs/>
      <w:color w:val="777777"/>
      <w:sz w:val="24"/>
      <w:lang w:val="en-GB"/>
    </w:rPr>
  </w:style>
  <w:style w:type="paragraph" w:customStyle="1" w:styleId="OpiHa">
    <w:name w:val="Opi_H_a"/>
    <w:basedOn w:val="ECHRHeading3"/>
    <w:uiPriority w:val="43"/>
    <w:qFormat/>
    <w:rsid w:val="00427620"/>
    <w:pPr>
      <w:ind w:left="833" w:hanging="357"/>
      <w:outlineLvl w:val="3"/>
    </w:pPr>
    <w:rPr>
      <w:b/>
      <w:i w:val="0"/>
      <w:sz w:val="20"/>
    </w:rPr>
  </w:style>
  <w:style w:type="character" w:customStyle="1" w:styleId="Heading5Char">
    <w:name w:val="Heading 5 Char"/>
    <w:basedOn w:val="DefaultParagraphFont"/>
    <w:link w:val="Heading5"/>
    <w:uiPriority w:val="99"/>
    <w:semiHidden/>
    <w:rsid w:val="00427620"/>
    <w:rPr>
      <w:rFonts w:asciiTheme="majorHAnsi" w:eastAsiaTheme="majorEastAsia" w:hAnsiTheme="majorHAnsi" w:cstheme="majorBidi"/>
      <w:b/>
      <w:bCs/>
      <w:color w:val="808080"/>
    </w:rPr>
  </w:style>
  <w:style w:type="paragraph" w:customStyle="1" w:styleId="JuParaLast">
    <w:name w:val="Ju_Para_Last"/>
    <w:basedOn w:val="Normal"/>
    <w:next w:val="ECHRPara"/>
    <w:uiPriority w:val="30"/>
    <w:qFormat/>
    <w:rsid w:val="00427620"/>
    <w:pPr>
      <w:keepNext/>
      <w:keepLines/>
      <w:spacing w:before="240"/>
      <w:ind w:firstLine="284"/>
    </w:pPr>
  </w:style>
  <w:style w:type="paragraph" w:customStyle="1" w:styleId="OpiHA0">
    <w:name w:val="Opi_H_A"/>
    <w:basedOn w:val="ECHRHeading1"/>
    <w:next w:val="OpiPara"/>
    <w:uiPriority w:val="41"/>
    <w:qFormat/>
    <w:rsid w:val="00427620"/>
    <w:pPr>
      <w:tabs>
        <w:tab w:val="clear" w:pos="357"/>
      </w:tabs>
      <w:outlineLvl w:val="1"/>
    </w:pPr>
    <w:rPr>
      <w:b/>
    </w:rPr>
  </w:style>
  <w:style w:type="character" w:styleId="SubtleEmphasis">
    <w:name w:val="Subtle Emphasis"/>
    <w:uiPriority w:val="99"/>
    <w:semiHidden/>
    <w:qFormat/>
    <w:rsid w:val="00427620"/>
    <w:rPr>
      <w:i/>
      <w:iCs/>
    </w:rPr>
  </w:style>
  <w:style w:type="paragraph" w:customStyle="1" w:styleId="JuList">
    <w:name w:val="Ju_List"/>
    <w:basedOn w:val="Normal"/>
    <w:uiPriority w:val="28"/>
    <w:qFormat/>
    <w:rsid w:val="00427620"/>
    <w:pPr>
      <w:ind w:left="340" w:hanging="340"/>
    </w:p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JuLista">
    <w:name w:val="Ju_List_a"/>
    <w:basedOn w:val="JuList"/>
    <w:uiPriority w:val="28"/>
    <w:qFormat/>
    <w:rsid w:val="00427620"/>
    <w:pPr>
      <w:ind w:left="346" w:firstLine="0"/>
    </w:pPr>
  </w:style>
  <w:style w:type="paragraph" w:customStyle="1" w:styleId="OpiHi">
    <w:name w:val="Opi_H_i"/>
    <w:basedOn w:val="ECHRHeading4"/>
    <w:uiPriority w:val="44"/>
    <w:qFormat/>
    <w:rsid w:val="00427620"/>
    <w:pPr>
      <w:ind w:left="1037" w:hanging="357"/>
      <w:outlineLvl w:val="4"/>
    </w:pPr>
    <w:rPr>
      <w:b w:val="0"/>
      <w:i/>
    </w:rPr>
  </w:style>
  <w:style w:type="paragraph" w:styleId="Subtitle">
    <w:name w:val="Subtitle"/>
    <w:basedOn w:val="Normal"/>
    <w:next w:val="Normal"/>
    <w:link w:val="SubtitleChar"/>
    <w:uiPriority w:val="99"/>
    <w:semiHidden/>
    <w:qFormat/>
    <w:rsid w:val="00427620"/>
    <w:pPr>
      <w:spacing w:after="600"/>
    </w:pPr>
    <w:rPr>
      <w:rFonts w:asciiTheme="majorHAnsi" w:eastAsiaTheme="majorEastAsia" w:hAnsiTheme="majorHAnsi" w:cstheme="majorBidi"/>
      <w:i/>
      <w:iCs/>
      <w:spacing w:val="13"/>
      <w:szCs w:val="24"/>
      <w:lang w:val="en-US" w:bidi="en-US"/>
    </w:rPr>
  </w:style>
  <w:style w:type="character" w:styleId="Emphasis">
    <w:name w:val="Emphasis"/>
    <w:uiPriority w:val="99"/>
    <w:semiHidden/>
    <w:qFormat/>
    <w:rsid w:val="00427620"/>
    <w:rPr>
      <w:b/>
      <w:bCs/>
      <w:i/>
      <w:iCs/>
      <w:spacing w:val="10"/>
      <w:bdr w:val="none" w:sz="0" w:space="0" w:color="auto"/>
      <w:shd w:val="clear" w:color="auto" w:fill="auto"/>
    </w:rPr>
  </w:style>
  <w:style w:type="paragraph" w:styleId="Footer">
    <w:name w:val="footer"/>
    <w:basedOn w:val="Normal"/>
    <w:link w:val="FooterChar"/>
    <w:uiPriority w:val="57"/>
    <w:semiHidden/>
    <w:rsid w:val="00427620"/>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427620"/>
    <w:rPr>
      <w:sz w:val="24"/>
      <w:lang w:val="en-GB"/>
    </w:rPr>
  </w:style>
  <w:style w:type="character" w:styleId="FootnoteReference">
    <w:name w:val="footnote reference"/>
    <w:basedOn w:val="DefaultParagraphFont"/>
    <w:uiPriority w:val="99"/>
    <w:semiHidden/>
    <w:rsid w:val="00427620"/>
    <w:rPr>
      <w:vertAlign w:val="superscript"/>
    </w:rPr>
  </w:style>
  <w:style w:type="paragraph" w:styleId="FootnoteText">
    <w:name w:val="footnote text"/>
    <w:basedOn w:val="Normal"/>
    <w:link w:val="FootnoteTextChar"/>
    <w:uiPriority w:val="99"/>
    <w:semiHidden/>
    <w:rsid w:val="00427620"/>
    <w:rPr>
      <w:sz w:val="20"/>
      <w:szCs w:val="20"/>
    </w:rPr>
  </w:style>
  <w:style w:type="character" w:customStyle="1" w:styleId="FootnoteTextChar">
    <w:name w:val="Footnote Text Char"/>
    <w:basedOn w:val="DefaultParagraphFont"/>
    <w:link w:val="FootnoteText"/>
    <w:uiPriority w:val="99"/>
    <w:semiHidden/>
    <w:rsid w:val="00427620"/>
    <w:rPr>
      <w:rFonts w:eastAsiaTheme="minorEastAsia"/>
      <w:sz w:val="20"/>
      <w:szCs w:val="20"/>
      <w:lang w:val="en-GB"/>
    </w:rPr>
  </w:style>
  <w:style w:type="character" w:customStyle="1" w:styleId="Heading6Char">
    <w:name w:val="Heading 6 Char"/>
    <w:basedOn w:val="DefaultParagraphFont"/>
    <w:link w:val="Heading6"/>
    <w:uiPriority w:val="99"/>
    <w:semiHidden/>
    <w:rsid w:val="00427620"/>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427620"/>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427620"/>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427620"/>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427620"/>
    <w:rPr>
      <w:color w:val="0072BC" w:themeColor="hyperlink"/>
      <w:u w:val="single"/>
    </w:rPr>
  </w:style>
  <w:style w:type="character" w:styleId="IntenseEmphasis">
    <w:name w:val="Intense Emphasis"/>
    <w:uiPriority w:val="99"/>
    <w:semiHidden/>
    <w:qFormat/>
    <w:rsid w:val="00427620"/>
    <w:rPr>
      <w:b/>
      <w:bCs/>
    </w:rPr>
  </w:style>
  <w:style w:type="paragraph" w:styleId="IntenseQuote">
    <w:name w:val="Intense Quote"/>
    <w:basedOn w:val="Normal"/>
    <w:next w:val="Normal"/>
    <w:link w:val="IntenseQuoteChar"/>
    <w:uiPriority w:val="99"/>
    <w:semiHidden/>
    <w:qFormat/>
    <w:rsid w:val="00427620"/>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427620"/>
    <w:rPr>
      <w:rFonts w:eastAsiaTheme="minorEastAsia"/>
      <w:b/>
      <w:bCs/>
      <w:i/>
      <w:iCs/>
      <w:lang w:bidi="en-US"/>
    </w:rPr>
  </w:style>
  <w:style w:type="character" w:styleId="IntenseReference">
    <w:name w:val="Intense Reference"/>
    <w:uiPriority w:val="99"/>
    <w:semiHidden/>
    <w:qFormat/>
    <w:rsid w:val="00427620"/>
    <w:rPr>
      <w:smallCaps/>
      <w:spacing w:val="5"/>
      <w:u w:val="single"/>
    </w:rPr>
  </w:style>
  <w:style w:type="paragraph" w:styleId="ListParagraph">
    <w:name w:val="List Paragraph"/>
    <w:basedOn w:val="Normal"/>
    <w:uiPriority w:val="99"/>
    <w:semiHidden/>
    <w:qFormat/>
    <w:rsid w:val="00427620"/>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427620"/>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427620"/>
    <w:rPr>
      <w:rFonts w:eastAsiaTheme="minorEastAsia"/>
      <w:i/>
      <w:iCs/>
      <w:lang w:bidi="en-US"/>
    </w:rPr>
  </w:style>
  <w:style w:type="character" w:styleId="SubtleReference">
    <w:name w:val="Subtle Reference"/>
    <w:uiPriority w:val="99"/>
    <w:semiHidden/>
    <w:qFormat/>
    <w:rsid w:val="00427620"/>
    <w:rPr>
      <w:smallCaps/>
    </w:rPr>
  </w:style>
  <w:style w:type="table" w:styleId="TableGrid">
    <w:name w:val="Table Grid"/>
    <w:basedOn w:val="TableNormal"/>
    <w:uiPriority w:val="59"/>
    <w:semiHidden/>
    <w:rsid w:val="00427620"/>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427620"/>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427620"/>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427620"/>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427620"/>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427620"/>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427620"/>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427620"/>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character" w:customStyle="1" w:styleId="SubtitleChar">
    <w:name w:val="Subtitle Char"/>
    <w:basedOn w:val="DefaultParagraphFont"/>
    <w:link w:val="Subtitle"/>
    <w:uiPriority w:val="99"/>
    <w:semiHidden/>
    <w:rsid w:val="00427620"/>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2D2C99"/>
    <w:pPr>
      <w:numPr>
        <w:numId w:val="9"/>
      </w:numPr>
    </w:pPr>
  </w:style>
  <w:style w:type="numbering" w:styleId="1ai">
    <w:name w:val="Outline List 1"/>
    <w:basedOn w:val="NoList"/>
    <w:uiPriority w:val="99"/>
    <w:semiHidden/>
    <w:unhideWhenUsed/>
    <w:rsid w:val="002D2C99"/>
    <w:pPr>
      <w:numPr>
        <w:numId w:val="10"/>
      </w:numPr>
    </w:pPr>
  </w:style>
  <w:style w:type="paragraph" w:customStyle="1" w:styleId="ECHRPara">
    <w:name w:val="ECHR_Para"/>
    <w:aliases w:val="Ju_Para"/>
    <w:basedOn w:val="Normal"/>
    <w:link w:val="ECHRParaChar"/>
    <w:uiPriority w:val="12"/>
    <w:qFormat/>
    <w:rsid w:val="00427620"/>
    <w:pPr>
      <w:ind w:firstLine="284"/>
    </w:pPr>
  </w:style>
  <w:style w:type="numbering" w:styleId="ArticleSection">
    <w:name w:val="Outline List 3"/>
    <w:basedOn w:val="NoList"/>
    <w:uiPriority w:val="99"/>
    <w:semiHidden/>
    <w:unhideWhenUsed/>
    <w:rsid w:val="002D2C99"/>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ibliography">
    <w:name w:val="Bibliography"/>
    <w:basedOn w:val="Normal"/>
    <w:next w:val="Normal"/>
    <w:uiPriority w:val="99"/>
    <w:semiHidden/>
    <w:rsid w:val="002D2C99"/>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427620"/>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lockText">
    <w:name w:val="Block Text"/>
    <w:basedOn w:val="Normal"/>
    <w:uiPriority w:val="99"/>
    <w:semiHidden/>
    <w:rsid w:val="002D2C99"/>
    <w:pPr>
      <w:pBdr>
        <w:top w:val="single" w:sz="2" w:space="10" w:color="0072BC" w:themeColor="accent1" w:shadow="1"/>
        <w:left w:val="single" w:sz="2" w:space="10" w:color="0072BC" w:themeColor="accent1" w:shadow="1"/>
        <w:bottom w:val="single" w:sz="2" w:space="10" w:color="0072BC" w:themeColor="accent1" w:shadow="1"/>
        <w:right w:val="single" w:sz="2" w:space="10" w:color="0072BC" w:themeColor="accent1" w:shadow="1"/>
      </w:pBdr>
      <w:ind w:left="1152" w:right="1152"/>
    </w:pPr>
    <w:rPr>
      <w:i/>
      <w:iCs/>
      <w:color w:val="0072BC" w:themeColor="accent1"/>
    </w:rPr>
  </w:style>
  <w:style w:type="paragraph" w:styleId="BodyText">
    <w:name w:val="Body Text"/>
    <w:basedOn w:val="Normal"/>
    <w:link w:val="BodyTextChar"/>
    <w:uiPriority w:val="99"/>
    <w:semiHidden/>
    <w:rsid w:val="002D2C99"/>
    <w:pPr>
      <w:spacing w:after="120"/>
    </w:p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Char">
    <w:name w:val="Body Text Char"/>
    <w:basedOn w:val="DefaultParagraphFont"/>
    <w:link w:val="BodyText"/>
    <w:uiPriority w:val="99"/>
    <w:semiHidden/>
    <w:rsid w:val="002D2C99"/>
    <w:rPr>
      <w:rFonts w:eastAsiaTheme="minorEastAsia"/>
      <w:sz w:val="24"/>
    </w:rPr>
  </w:style>
  <w:style w:type="paragraph" w:styleId="BodyText2">
    <w:name w:val="Body Text 2"/>
    <w:basedOn w:val="Normal"/>
    <w:link w:val="BodyText2Char"/>
    <w:uiPriority w:val="99"/>
    <w:semiHidden/>
    <w:rsid w:val="002D2C99"/>
    <w:pPr>
      <w:spacing w:after="120" w:line="480" w:lineRule="auto"/>
    </w:p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427620"/>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427620"/>
    <w:pPr>
      <w:ind w:firstLine="284"/>
    </w:pPr>
    <w:rPr>
      <w:b/>
    </w:rPr>
  </w:style>
  <w:style w:type="character" w:styleId="PageNumber">
    <w:name w:val="page number"/>
    <w:semiHidden/>
    <w:rsid w:val="002D2C99"/>
    <w:rPr>
      <w:rFonts w:ascii="Times New Roman" w:hAnsi="Times New Roman" w:cs="Times New Roman"/>
      <w:sz w:val="18"/>
    </w:rPr>
  </w:style>
  <w:style w:type="paragraph" w:styleId="ListBullet2">
    <w:name w:val="List Bullet 2"/>
    <w:basedOn w:val="Normal"/>
    <w:uiPriority w:val="99"/>
    <w:semiHidden/>
    <w:rsid w:val="002D2C99"/>
    <w:pPr>
      <w:numPr>
        <w:numId w:val="8"/>
      </w:numPr>
      <w:contextualSpacing/>
    </w:pPr>
  </w:style>
  <w:style w:type="character" w:customStyle="1" w:styleId="BodyText2Char">
    <w:name w:val="Body Text 2 Char"/>
    <w:basedOn w:val="DefaultParagraphFont"/>
    <w:link w:val="BodyText2"/>
    <w:uiPriority w:val="99"/>
    <w:semiHidden/>
    <w:rsid w:val="002D2C99"/>
    <w:rPr>
      <w:rFonts w:eastAsiaTheme="minorEastAsia"/>
      <w:sz w:val="24"/>
    </w:rPr>
  </w:style>
  <w:style w:type="paragraph" w:styleId="BodyText3">
    <w:name w:val="Body Text 3"/>
    <w:basedOn w:val="Normal"/>
    <w:link w:val="BodyText3Char"/>
    <w:uiPriority w:val="99"/>
    <w:semiHidden/>
    <w:rsid w:val="002D2C99"/>
    <w:pPr>
      <w:spacing w:after="120"/>
    </w:pPr>
    <w:rPr>
      <w:sz w:val="16"/>
      <w:szCs w:val="16"/>
    </w:rPr>
  </w:style>
  <w:style w:type="character" w:customStyle="1" w:styleId="BodyText3Char">
    <w:name w:val="Body Text 3 Char"/>
    <w:basedOn w:val="DefaultParagraphFont"/>
    <w:link w:val="BodyText3"/>
    <w:uiPriority w:val="99"/>
    <w:semiHidden/>
    <w:rsid w:val="002D2C99"/>
    <w:rPr>
      <w:rFonts w:eastAsiaTheme="minorEastAsia"/>
      <w:sz w:val="16"/>
      <w:szCs w:val="16"/>
    </w:rPr>
  </w:style>
  <w:style w:type="paragraph" w:styleId="BodyTextFirstIndent">
    <w:name w:val="Body Text First Indent"/>
    <w:basedOn w:val="BodyText"/>
    <w:link w:val="BodyTextFirstIndentChar"/>
    <w:uiPriority w:val="99"/>
    <w:semiHidden/>
    <w:rsid w:val="002D2C99"/>
    <w:pPr>
      <w:spacing w:after="0"/>
      <w:ind w:firstLine="360"/>
    </w:pPr>
  </w:style>
  <w:style w:type="character" w:customStyle="1" w:styleId="BodyTextFirstIndentChar">
    <w:name w:val="Body Text First Indent Char"/>
    <w:basedOn w:val="BodyTextChar"/>
    <w:link w:val="BodyTextFirstIndent"/>
    <w:uiPriority w:val="99"/>
    <w:semiHidden/>
    <w:rsid w:val="002D2C99"/>
    <w:rPr>
      <w:rFonts w:eastAsiaTheme="minorEastAsia"/>
      <w:sz w:val="24"/>
    </w:rPr>
  </w:style>
  <w:style w:type="paragraph" w:styleId="BodyTextIndent">
    <w:name w:val="Body Text Indent"/>
    <w:basedOn w:val="Normal"/>
    <w:link w:val="BodyTextIndentChar"/>
    <w:uiPriority w:val="99"/>
    <w:semiHidden/>
    <w:rsid w:val="002D2C99"/>
    <w:pPr>
      <w:spacing w:after="120"/>
      <w:ind w:left="283"/>
    </w:pPr>
  </w:style>
  <w:style w:type="character" w:customStyle="1" w:styleId="BodyTextIndentChar">
    <w:name w:val="Body Text Indent Char"/>
    <w:basedOn w:val="DefaultParagraphFont"/>
    <w:link w:val="BodyTextIndent"/>
    <w:uiPriority w:val="99"/>
    <w:semiHidden/>
    <w:rsid w:val="002D2C99"/>
    <w:rPr>
      <w:rFonts w:eastAsiaTheme="minorEastAsia"/>
      <w:sz w:val="24"/>
    </w:rPr>
  </w:style>
  <w:style w:type="paragraph" w:styleId="BodyTextFirstIndent2">
    <w:name w:val="Body Text First Indent 2"/>
    <w:basedOn w:val="BodyTextIndent"/>
    <w:link w:val="BodyTextFirstIndent2Char"/>
    <w:uiPriority w:val="99"/>
    <w:semiHidden/>
    <w:rsid w:val="002D2C99"/>
    <w:pPr>
      <w:spacing w:after="0"/>
      <w:ind w:left="360" w:firstLine="360"/>
    </w:pPr>
  </w:style>
  <w:style w:type="character" w:customStyle="1" w:styleId="BodyTextFirstIndent2Char">
    <w:name w:val="Body Text First Indent 2 Char"/>
    <w:basedOn w:val="BodyTextIndentChar"/>
    <w:link w:val="BodyTextFirstIndent2"/>
    <w:uiPriority w:val="99"/>
    <w:semiHidden/>
    <w:rsid w:val="002D2C99"/>
    <w:rPr>
      <w:rFonts w:eastAsiaTheme="minorEastAsia"/>
      <w:sz w:val="24"/>
    </w:rPr>
  </w:style>
  <w:style w:type="paragraph" w:styleId="BodyTextIndent2">
    <w:name w:val="Body Text Indent 2"/>
    <w:basedOn w:val="Normal"/>
    <w:link w:val="BodyTextIndent2Char"/>
    <w:uiPriority w:val="99"/>
    <w:semiHidden/>
    <w:rsid w:val="002D2C99"/>
    <w:pPr>
      <w:spacing w:after="120" w:line="480" w:lineRule="auto"/>
      <w:ind w:left="283"/>
    </w:pPr>
  </w:style>
  <w:style w:type="character" w:customStyle="1" w:styleId="BodyTextIndent2Char">
    <w:name w:val="Body Text Indent 2 Char"/>
    <w:basedOn w:val="DefaultParagraphFont"/>
    <w:link w:val="BodyTextIndent2"/>
    <w:uiPriority w:val="99"/>
    <w:semiHidden/>
    <w:rsid w:val="002D2C99"/>
    <w:rPr>
      <w:rFonts w:eastAsiaTheme="minorEastAsia"/>
      <w:sz w:val="24"/>
    </w:rPr>
  </w:style>
  <w:style w:type="paragraph" w:styleId="BodyTextIndent3">
    <w:name w:val="Body Text Indent 3"/>
    <w:basedOn w:val="Normal"/>
    <w:link w:val="BodyTextIndent3Char"/>
    <w:uiPriority w:val="99"/>
    <w:semiHidden/>
    <w:rsid w:val="002D2C99"/>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2D2C99"/>
    <w:rPr>
      <w:rFonts w:eastAsiaTheme="minorEastAsia"/>
      <w:sz w:val="16"/>
      <w:szCs w:val="16"/>
    </w:rPr>
  </w:style>
  <w:style w:type="paragraph" w:styleId="Caption">
    <w:name w:val="caption"/>
    <w:basedOn w:val="Normal"/>
    <w:next w:val="Normal"/>
    <w:uiPriority w:val="99"/>
    <w:semiHidden/>
    <w:qFormat/>
    <w:rsid w:val="002D2C99"/>
    <w:pPr>
      <w:spacing w:after="200"/>
    </w:pPr>
    <w:rPr>
      <w:b/>
      <w:bCs/>
      <w:color w:val="0072BC" w:themeColor="accent1"/>
      <w:sz w:val="18"/>
      <w:szCs w:val="18"/>
    </w:rPr>
  </w:style>
  <w:style w:type="paragraph" w:styleId="Closing">
    <w:name w:val="Closing"/>
    <w:basedOn w:val="Normal"/>
    <w:link w:val="ClosingChar"/>
    <w:uiPriority w:val="99"/>
    <w:semiHidden/>
    <w:rsid w:val="002D2C99"/>
    <w:pPr>
      <w:ind w:left="4252"/>
    </w:pPr>
  </w:style>
  <w:style w:type="character" w:customStyle="1" w:styleId="ClosingChar">
    <w:name w:val="Closing Char"/>
    <w:basedOn w:val="DefaultParagraphFont"/>
    <w:link w:val="Closing"/>
    <w:uiPriority w:val="99"/>
    <w:semiHidden/>
    <w:rsid w:val="002D2C99"/>
    <w:rPr>
      <w:rFonts w:eastAsiaTheme="minorEastAsia"/>
      <w:sz w:val="24"/>
    </w:rPr>
  </w:style>
  <w:style w:type="table" w:styleId="ColorfulGrid">
    <w:name w:val="Colorful Grid"/>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2D2C99"/>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2D2C99"/>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2D2C99"/>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2D2C99"/>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2D2C99"/>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2D2C99"/>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2D2C99"/>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2D2C99"/>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2D2C99"/>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2D2C99"/>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2D2C99"/>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2D2C99"/>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2D2C99"/>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2D2C99"/>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semiHidden/>
    <w:rsid w:val="002D2C99"/>
    <w:rPr>
      <w:sz w:val="16"/>
      <w:szCs w:val="16"/>
    </w:rPr>
  </w:style>
  <w:style w:type="paragraph" w:styleId="CommentText">
    <w:name w:val="annotation text"/>
    <w:basedOn w:val="Normal"/>
    <w:link w:val="CommentTextChar"/>
    <w:semiHidden/>
    <w:rsid w:val="002D2C99"/>
    <w:rPr>
      <w:sz w:val="20"/>
      <w:szCs w:val="20"/>
    </w:rPr>
  </w:style>
  <w:style w:type="character" w:customStyle="1" w:styleId="CommentTextChar">
    <w:name w:val="Comment Text Char"/>
    <w:basedOn w:val="DefaultParagraphFont"/>
    <w:link w:val="CommentText"/>
    <w:semiHidden/>
    <w:rsid w:val="002D2C99"/>
    <w:rPr>
      <w:rFonts w:eastAsiaTheme="minorEastAsia"/>
      <w:sz w:val="20"/>
      <w:szCs w:val="20"/>
    </w:rPr>
  </w:style>
  <w:style w:type="paragraph" w:styleId="CommentSubject">
    <w:name w:val="annotation subject"/>
    <w:basedOn w:val="CommentText"/>
    <w:next w:val="CommentText"/>
    <w:link w:val="CommentSubjectChar"/>
    <w:uiPriority w:val="99"/>
    <w:semiHidden/>
    <w:rsid w:val="002D2C99"/>
    <w:rPr>
      <w:b/>
      <w:bCs/>
    </w:rPr>
  </w:style>
  <w:style w:type="character" w:customStyle="1" w:styleId="CommentSubjectChar">
    <w:name w:val="Comment Subject Char"/>
    <w:basedOn w:val="CommentTextChar"/>
    <w:link w:val="CommentSubject"/>
    <w:uiPriority w:val="99"/>
    <w:semiHidden/>
    <w:rsid w:val="002D2C99"/>
    <w:rPr>
      <w:rFonts w:eastAsiaTheme="minorEastAsia"/>
      <w:b/>
      <w:bCs/>
      <w:sz w:val="20"/>
      <w:szCs w:val="20"/>
    </w:rPr>
  </w:style>
  <w:style w:type="table" w:styleId="DarkList">
    <w:name w:val="Dark List"/>
    <w:basedOn w:val="TableNormal"/>
    <w:uiPriority w:val="99"/>
    <w:semiHidden/>
    <w:rsid w:val="002D2C99"/>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2D2C99"/>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2D2C99"/>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2D2C99"/>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2D2C99"/>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2D2C99"/>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2D2C99"/>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2D2C99"/>
  </w:style>
  <w:style w:type="character" w:customStyle="1" w:styleId="DateChar">
    <w:name w:val="Date Char"/>
    <w:basedOn w:val="DefaultParagraphFont"/>
    <w:link w:val="Date"/>
    <w:uiPriority w:val="99"/>
    <w:semiHidden/>
    <w:rsid w:val="002D2C99"/>
    <w:rPr>
      <w:rFonts w:eastAsiaTheme="minorEastAsia"/>
      <w:sz w:val="24"/>
    </w:rPr>
  </w:style>
  <w:style w:type="paragraph" w:styleId="DocumentMap">
    <w:name w:val="Document Map"/>
    <w:basedOn w:val="Normal"/>
    <w:link w:val="DocumentMapChar"/>
    <w:uiPriority w:val="99"/>
    <w:semiHidden/>
    <w:rsid w:val="002D2C99"/>
    <w:rPr>
      <w:rFonts w:ascii="Tahoma" w:hAnsi="Tahoma" w:cs="Tahoma"/>
      <w:sz w:val="16"/>
      <w:szCs w:val="16"/>
    </w:rPr>
  </w:style>
  <w:style w:type="character" w:customStyle="1" w:styleId="DocumentMapChar">
    <w:name w:val="Document Map Char"/>
    <w:basedOn w:val="DefaultParagraphFont"/>
    <w:link w:val="DocumentMap"/>
    <w:uiPriority w:val="99"/>
    <w:semiHidden/>
    <w:rsid w:val="002D2C99"/>
    <w:rPr>
      <w:rFonts w:ascii="Tahoma" w:eastAsiaTheme="minorEastAsia" w:hAnsi="Tahoma" w:cs="Tahoma"/>
      <w:sz w:val="16"/>
      <w:szCs w:val="16"/>
    </w:rPr>
  </w:style>
  <w:style w:type="paragraph" w:styleId="E-mailSignature">
    <w:name w:val="E-mail Signature"/>
    <w:basedOn w:val="Normal"/>
    <w:link w:val="E-mailSignatureChar"/>
    <w:uiPriority w:val="99"/>
    <w:semiHidden/>
    <w:rsid w:val="002D2C99"/>
  </w:style>
  <w:style w:type="character" w:customStyle="1" w:styleId="E-mailSignatureChar">
    <w:name w:val="E-mail Signature Char"/>
    <w:basedOn w:val="DefaultParagraphFont"/>
    <w:link w:val="E-mailSignature"/>
    <w:uiPriority w:val="99"/>
    <w:semiHidden/>
    <w:rsid w:val="002D2C99"/>
    <w:rPr>
      <w:rFonts w:eastAsiaTheme="minorEastAsia"/>
      <w:sz w:val="24"/>
    </w:rPr>
  </w:style>
  <w:style w:type="character" w:styleId="EndnoteReference">
    <w:name w:val="endnote reference"/>
    <w:basedOn w:val="DefaultParagraphFont"/>
    <w:uiPriority w:val="99"/>
    <w:semiHidden/>
    <w:rsid w:val="00427620"/>
    <w:rPr>
      <w:vertAlign w:val="superscript"/>
    </w:rPr>
  </w:style>
  <w:style w:type="paragraph" w:styleId="EndnoteText">
    <w:name w:val="endnote text"/>
    <w:basedOn w:val="Normal"/>
    <w:link w:val="EndnoteTextChar"/>
    <w:uiPriority w:val="99"/>
    <w:semiHidden/>
    <w:rsid w:val="00427620"/>
    <w:rPr>
      <w:sz w:val="20"/>
      <w:szCs w:val="20"/>
    </w:rPr>
  </w:style>
  <w:style w:type="character" w:customStyle="1" w:styleId="EndnoteTextChar">
    <w:name w:val="Endnote Text Char"/>
    <w:basedOn w:val="DefaultParagraphFont"/>
    <w:link w:val="EndnoteText"/>
    <w:uiPriority w:val="99"/>
    <w:semiHidden/>
    <w:rsid w:val="00427620"/>
    <w:rPr>
      <w:rFonts w:eastAsiaTheme="minorEastAsia"/>
      <w:sz w:val="20"/>
      <w:szCs w:val="20"/>
      <w:lang w:val="en-GB"/>
    </w:rPr>
  </w:style>
  <w:style w:type="paragraph" w:styleId="EnvelopeAddress">
    <w:name w:val="envelope address"/>
    <w:basedOn w:val="Normal"/>
    <w:uiPriority w:val="99"/>
    <w:semiHidden/>
    <w:rsid w:val="002D2C99"/>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2D2C99"/>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2D2C99"/>
    <w:rPr>
      <w:color w:val="7030A0" w:themeColor="followedHyperlink"/>
      <w:u w:val="single"/>
    </w:rPr>
  </w:style>
  <w:style w:type="character" w:styleId="HTMLAcronym">
    <w:name w:val="HTML Acronym"/>
    <w:basedOn w:val="DefaultParagraphFont"/>
    <w:uiPriority w:val="99"/>
    <w:semiHidden/>
    <w:rsid w:val="002D2C99"/>
  </w:style>
  <w:style w:type="paragraph" w:styleId="HTMLAddress">
    <w:name w:val="HTML Address"/>
    <w:basedOn w:val="Normal"/>
    <w:link w:val="HTMLAddressChar"/>
    <w:uiPriority w:val="99"/>
    <w:semiHidden/>
    <w:rsid w:val="002D2C99"/>
    <w:rPr>
      <w:i/>
      <w:iCs/>
    </w:rPr>
  </w:style>
  <w:style w:type="character" w:customStyle="1" w:styleId="HTMLAddressChar">
    <w:name w:val="HTML Address Char"/>
    <w:basedOn w:val="DefaultParagraphFont"/>
    <w:link w:val="HTMLAddress"/>
    <w:uiPriority w:val="99"/>
    <w:semiHidden/>
    <w:rsid w:val="002D2C99"/>
    <w:rPr>
      <w:rFonts w:eastAsiaTheme="minorEastAsia"/>
      <w:i/>
      <w:iCs/>
      <w:sz w:val="24"/>
    </w:rPr>
  </w:style>
  <w:style w:type="character" w:styleId="HTMLCite">
    <w:name w:val="HTML Cite"/>
    <w:basedOn w:val="DefaultParagraphFont"/>
    <w:uiPriority w:val="99"/>
    <w:semiHidden/>
    <w:rsid w:val="002D2C99"/>
    <w:rPr>
      <w:i/>
      <w:iCs/>
    </w:rPr>
  </w:style>
  <w:style w:type="character" w:styleId="HTMLCode">
    <w:name w:val="HTML Code"/>
    <w:basedOn w:val="DefaultParagraphFont"/>
    <w:uiPriority w:val="99"/>
    <w:semiHidden/>
    <w:rsid w:val="002D2C99"/>
    <w:rPr>
      <w:rFonts w:ascii="Consolas" w:hAnsi="Consolas" w:cs="Consolas"/>
      <w:sz w:val="20"/>
      <w:szCs w:val="20"/>
    </w:rPr>
  </w:style>
  <w:style w:type="character" w:styleId="HTMLDefinition">
    <w:name w:val="HTML Definition"/>
    <w:basedOn w:val="DefaultParagraphFont"/>
    <w:uiPriority w:val="99"/>
    <w:semiHidden/>
    <w:rsid w:val="002D2C99"/>
    <w:rPr>
      <w:i/>
      <w:iCs/>
    </w:rPr>
  </w:style>
  <w:style w:type="character" w:styleId="HTMLKeyboard">
    <w:name w:val="HTML Keyboard"/>
    <w:basedOn w:val="DefaultParagraphFont"/>
    <w:uiPriority w:val="99"/>
    <w:semiHidden/>
    <w:rsid w:val="002D2C99"/>
    <w:rPr>
      <w:rFonts w:ascii="Consolas" w:hAnsi="Consolas" w:cs="Consolas"/>
      <w:sz w:val="20"/>
      <w:szCs w:val="20"/>
    </w:rPr>
  </w:style>
  <w:style w:type="paragraph" w:styleId="HTMLPreformatted">
    <w:name w:val="HTML Preformatted"/>
    <w:basedOn w:val="Normal"/>
    <w:link w:val="HTMLPreformattedChar"/>
    <w:uiPriority w:val="99"/>
    <w:semiHidden/>
    <w:rsid w:val="002D2C99"/>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2D2C99"/>
    <w:rPr>
      <w:rFonts w:ascii="Consolas" w:eastAsiaTheme="minorEastAsia" w:hAnsi="Consolas" w:cs="Consolas"/>
      <w:sz w:val="20"/>
      <w:szCs w:val="20"/>
    </w:rPr>
  </w:style>
  <w:style w:type="character" w:styleId="HTMLSample">
    <w:name w:val="HTML Sample"/>
    <w:basedOn w:val="DefaultParagraphFont"/>
    <w:uiPriority w:val="99"/>
    <w:semiHidden/>
    <w:rsid w:val="002D2C99"/>
    <w:rPr>
      <w:rFonts w:ascii="Consolas" w:hAnsi="Consolas" w:cs="Consolas"/>
      <w:sz w:val="24"/>
      <w:szCs w:val="24"/>
    </w:rPr>
  </w:style>
  <w:style w:type="character" w:styleId="HTMLTypewriter">
    <w:name w:val="HTML Typewriter"/>
    <w:basedOn w:val="DefaultParagraphFont"/>
    <w:uiPriority w:val="99"/>
    <w:semiHidden/>
    <w:rsid w:val="002D2C99"/>
    <w:rPr>
      <w:rFonts w:ascii="Consolas" w:hAnsi="Consolas" w:cs="Consolas"/>
      <w:sz w:val="20"/>
      <w:szCs w:val="20"/>
    </w:rPr>
  </w:style>
  <w:style w:type="character" w:styleId="HTMLVariable">
    <w:name w:val="HTML Variable"/>
    <w:basedOn w:val="DefaultParagraphFont"/>
    <w:uiPriority w:val="99"/>
    <w:semiHidden/>
    <w:rsid w:val="002D2C99"/>
    <w:rPr>
      <w:i/>
      <w:iCs/>
    </w:rPr>
  </w:style>
  <w:style w:type="paragraph" w:styleId="Index1">
    <w:name w:val="index 1"/>
    <w:basedOn w:val="Normal"/>
    <w:next w:val="Normal"/>
    <w:autoRedefine/>
    <w:uiPriority w:val="99"/>
    <w:semiHidden/>
    <w:rsid w:val="002D2C99"/>
    <w:pPr>
      <w:ind w:left="240" w:hanging="240"/>
    </w:pPr>
  </w:style>
  <w:style w:type="paragraph" w:styleId="Index2">
    <w:name w:val="index 2"/>
    <w:basedOn w:val="Normal"/>
    <w:next w:val="Normal"/>
    <w:autoRedefine/>
    <w:uiPriority w:val="99"/>
    <w:semiHidden/>
    <w:rsid w:val="002D2C99"/>
    <w:pPr>
      <w:ind w:left="480" w:hanging="240"/>
    </w:pPr>
  </w:style>
  <w:style w:type="paragraph" w:styleId="Index3">
    <w:name w:val="index 3"/>
    <w:basedOn w:val="Normal"/>
    <w:next w:val="Normal"/>
    <w:autoRedefine/>
    <w:uiPriority w:val="99"/>
    <w:semiHidden/>
    <w:rsid w:val="002D2C99"/>
    <w:pPr>
      <w:ind w:left="720" w:hanging="240"/>
    </w:pPr>
  </w:style>
  <w:style w:type="paragraph" w:styleId="Index4">
    <w:name w:val="index 4"/>
    <w:basedOn w:val="Normal"/>
    <w:next w:val="Normal"/>
    <w:autoRedefine/>
    <w:uiPriority w:val="99"/>
    <w:semiHidden/>
    <w:rsid w:val="002D2C99"/>
    <w:pPr>
      <w:ind w:left="960" w:hanging="240"/>
    </w:pPr>
  </w:style>
  <w:style w:type="paragraph" w:styleId="Index5">
    <w:name w:val="index 5"/>
    <w:basedOn w:val="Normal"/>
    <w:next w:val="Normal"/>
    <w:autoRedefine/>
    <w:uiPriority w:val="99"/>
    <w:semiHidden/>
    <w:rsid w:val="002D2C99"/>
    <w:pPr>
      <w:ind w:left="1200" w:hanging="240"/>
    </w:pPr>
  </w:style>
  <w:style w:type="paragraph" w:styleId="Index6">
    <w:name w:val="index 6"/>
    <w:basedOn w:val="Normal"/>
    <w:next w:val="Normal"/>
    <w:autoRedefine/>
    <w:uiPriority w:val="99"/>
    <w:semiHidden/>
    <w:rsid w:val="002D2C99"/>
    <w:pPr>
      <w:ind w:left="1440" w:hanging="240"/>
    </w:pPr>
  </w:style>
  <w:style w:type="paragraph" w:styleId="Index7">
    <w:name w:val="index 7"/>
    <w:basedOn w:val="Normal"/>
    <w:next w:val="Normal"/>
    <w:autoRedefine/>
    <w:uiPriority w:val="99"/>
    <w:semiHidden/>
    <w:rsid w:val="002D2C99"/>
    <w:pPr>
      <w:ind w:left="1680" w:hanging="240"/>
    </w:pPr>
  </w:style>
  <w:style w:type="paragraph" w:styleId="Index8">
    <w:name w:val="index 8"/>
    <w:basedOn w:val="Normal"/>
    <w:next w:val="Normal"/>
    <w:autoRedefine/>
    <w:uiPriority w:val="99"/>
    <w:semiHidden/>
    <w:rsid w:val="002D2C99"/>
    <w:pPr>
      <w:ind w:left="1920" w:hanging="240"/>
    </w:pPr>
  </w:style>
  <w:style w:type="paragraph" w:styleId="Index9">
    <w:name w:val="index 9"/>
    <w:basedOn w:val="Normal"/>
    <w:next w:val="Normal"/>
    <w:autoRedefine/>
    <w:uiPriority w:val="99"/>
    <w:semiHidden/>
    <w:rsid w:val="002D2C99"/>
    <w:pPr>
      <w:ind w:left="2160" w:hanging="240"/>
    </w:pPr>
  </w:style>
  <w:style w:type="paragraph" w:styleId="IndexHeading">
    <w:name w:val="index heading"/>
    <w:basedOn w:val="Normal"/>
    <w:next w:val="Index1"/>
    <w:uiPriority w:val="99"/>
    <w:semiHidden/>
    <w:rsid w:val="002D2C99"/>
    <w:rPr>
      <w:rFonts w:asciiTheme="majorHAnsi" w:eastAsiaTheme="majorEastAsia" w:hAnsiTheme="majorHAnsi" w:cstheme="majorBidi"/>
      <w:b/>
      <w:bCs/>
    </w:rPr>
  </w:style>
  <w:style w:type="table" w:styleId="LightGrid">
    <w:name w:val="Light Grid"/>
    <w:basedOn w:val="TableNormal"/>
    <w:uiPriority w:val="99"/>
    <w:semiHidden/>
    <w:rsid w:val="002D2C99"/>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2D2C99"/>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2D2C99"/>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2D2C99"/>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2D2C99"/>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2D2C99"/>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2D2C99"/>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2D2C99"/>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2D2C99"/>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2D2C99"/>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2D2C99"/>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2D2C99"/>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2D2C99"/>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2D2C99"/>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2D2C9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2D2C99"/>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2D2C99"/>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2D2C99"/>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2D2C99"/>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2D2C99"/>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2D2C99"/>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2D2C99"/>
  </w:style>
  <w:style w:type="paragraph" w:styleId="List">
    <w:name w:val="List"/>
    <w:basedOn w:val="Normal"/>
    <w:uiPriority w:val="99"/>
    <w:semiHidden/>
    <w:rsid w:val="002D2C99"/>
    <w:pPr>
      <w:ind w:left="283" w:hanging="283"/>
      <w:contextualSpacing/>
    </w:pPr>
  </w:style>
  <w:style w:type="paragraph" w:styleId="List2">
    <w:name w:val="List 2"/>
    <w:basedOn w:val="Normal"/>
    <w:uiPriority w:val="99"/>
    <w:semiHidden/>
    <w:rsid w:val="002D2C99"/>
    <w:pPr>
      <w:ind w:left="566" w:hanging="283"/>
      <w:contextualSpacing/>
    </w:pPr>
  </w:style>
  <w:style w:type="paragraph" w:styleId="List3">
    <w:name w:val="List 3"/>
    <w:basedOn w:val="Normal"/>
    <w:uiPriority w:val="99"/>
    <w:semiHidden/>
    <w:rsid w:val="002D2C99"/>
    <w:pPr>
      <w:ind w:left="849" w:hanging="283"/>
      <w:contextualSpacing/>
    </w:pPr>
  </w:style>
  <w:style w:type="paragraph" w:styleId="List4">
    <w:name w:val="List 4"/>
    <w:basedOn w:val="Normal"/>
    <w:uiPriority w:val="99"/>
    <w:semiHidden/>
    <w:rsid w:val="002D2C99"/>
    <w:pPr>
      <w:ind w:left="1132" w:hanging="283"/>
      <w:contextualSpacing/>
    </w:pPr>
  </w:style>
  <w:style w:type="paragraph" w:styleId="List5">
    <w:name w:val="List 5"/>
    <w:basedOn w:val="Normal"/>
    <w:uiPriority w:val="99"/>
    <w:semiHidden/>
    <w:rsid w:val="002D2C99"/>
    <w:pPr>
      <w:ind w:left="1415" w:hanging="283"/>
      <w:contextualSpacing/>
    </w:pPr>
  </w:style>
  <w:style w:type="paragraph" w:styleId="ListBullet">
    <w:name w:val="List Bullet"/>
    <w:basedOn w:val="Normal"/>
    <w:uiPriority w:val="99"/>
    <w:semiHidden/>
    <w:rsid w:val="002D2C99"/>
    <w:pPr>
      <w:numPr>
        <w:numId w:val="12"/>
      </w:numPr>
      <w:contextualSpacing/>
    </w:pPr>
  </w:style>
  <w:style w:type="paragraph" w:styleId="ListBullet3">
    <w:name w:val="List Bullet 3"/>
    <w:basedOn w:val="Normal"/>
    <w:uiPriority w:val="99"/>
    <w:semiHidden/>
    <w:rsid w:val="002D2C99"/>
    <w:pPr>
      <w:numPr>
        <w:numId w:val="13"/>
      </w:numPr>
      <w:contextualSpacing/>
    </w:pPr>
  </w:style>
  <w:style w:type="paragraph" w:styleId="ListBullet4">
    <w:name w:val="List Bullet 4"/>
    <w:basedOn w:val="Normal"/>
    <w:uiPriority w:val="99"/>
    <w:semiHidden/>
    <w:rsid w:val="002D2C99"/>
    <w:pPr>
      <w:numPr>
        <w:numId w:val="14"/>
      </w:numPr>
      <w:contextualSpacing/>
    </w:pPr>
  </w:style>
  <w:style w:type="paragraph" w:styleId="ListBullet5">
    <w:name w:val="List Bullet 5"/>
    <w:basedOn w:val="Normal"/>
    <w:uiPriority w:val="99"/>
    <w:semiHidden/>
    <w:rsid w:val="002D2C99"/>
    <w:pPr>
      <w:numPr>
        <w:numId w:val="15"/>
      </w:numPr>
      <w:contextualSpacing/>
    </w:pPr>
  </w:style>
  <w:style w:type="paragraph" w:styleId="ListContinue">
    <w:name w:val="List Continue"/>
    <w:basedOn w:val="Normal"/>
    <w:uiPriority w:val="99"/>
    <w:semiHidden/>
    <w:rsid w:val="002D2C99"/>
    <w:pPr>
      <w:spacing w:after="120"/>
      <w:ind w:left="283"/>
      <w:contextualSpacing/>
    </w:pPr>
  </w:style>
  <w:style w:type="paragraph" w:styleId="ListContinue2">
    <w:name w:val="List Continue 2"/>
    <w:basedOn w:val="Normal"/>
    <w:uiPriority w:val="99"/>
    <w:semiHidden/>
    <w:rsid w:val="002D2C99"/>
    <w:pPr>
      <w:spacing w:after="120"/>
      <w:ind w:left="566"/>
      <w:contextualSpacing/>
    </w:pPr>
  </w:style>
  <w:style w:type="paragraph" w:styleId="ListContinue3">
    <w:name w:val="List Continue 3"/>
    <w:basedOn w:val="Normal"/>
    <w:uiPriority w:val="99"/>
    <w:semiHidden/>
    <w:rsid w:val="002D2C99"/>
    <w:pPr>
      <w:spacing w:after="120"/>
      <w:ind w:left="849"/>
      <w:contextualSpacing/>
    </w:pPr>
  </w:style>
  <w:style w:type="paragraph" w:styleId="ListContinue4">
    <w:name w:val="List Continue 4"/>
    <w:basedOn w:val="Normal"/>
    <w:uiPriority w:val="99"/>
    <w:semiHidden/>
    <w:rsid w:val="002D2C99"/>
    <w:pPr>
      <w:spacing w:after="120"/>
      <w:ind w:left="1132"/>
      <w:contextualSpacing/>
    </w:pPr>
  </w:style>
  <w:style w:type="paragraph" w:styleId="ListContinue5">
    <w:name w:val="List Continue 5"/>
    <w:basedOn w:val="Normal"/>
    <w:uiPriority w:val="99"/>
    <w:semiHidden/>
    <w:rsid w:val="002D2C99"/>
    <w:pPr>
      <w:spacing w:after="120"/>
      <w:ind w:left="1415"/>
      <w:contextualSpacing/>
    </w:pPr>
  </w:style>
  <w:style w:type="paragraph" w:styleId="ListNumber">
    <w:name w:val="List Number"/>
    <w:basedOn w:val="Normal"/>
    <w:uiPriority w:val="99"/>
    <w:semiHidden/>
    <w:rsid w:val="002D2C99"/>
    <w:pPr>
      <w:numPr>
        <w:numId w:val="16"/>
      </w:numPr>
      <w:contextualSpacing/>
    </w:pPr>
  </w:style>
  <w:style w:type="paragraph" w:styleId="ListNumber2">
    <w:name w:val="List Number 2"/>
    <w:basedOn w:val="Normal"/>
    <w:uiPriority w:val="99"/>
    <w:semiHidden/>
    <w:rsid w:val="002D2C99"/>
    <w:pPr>
      <w:numPr>
        <w:numId w:val="17"/>
      </w:numPr>
      <w:contextualSpacing/>
    </w:pPr>
  </w:style>
  <w:style w:type="paragraph" w:styleId="ListNumber3">
    <w:name w:val="List Number 3"/>
    <w:basedOn w:val="Normal"/>
    <w:uiPriority w:val="99"/>
    <w:semiHidden/>
    <w:rsid w:val="002D2C99"/>
    <w:pPr>
      <w:numPr>
        <w:numId w:val="18"/>
      </w:numPr>
      <w:contextualSpacing/>
    </w:pPr>
  </w:style>
  <w:style w:type="paragraph" w:styleId="ListNumber4">
    <w:name w:val="List Number 4"/>
    <w:basedOn w:val="Normal"/>
    <w:uiPriority w:val="99"/>
    <w:semiHidden/>
    <w:rsid w:val="002D2C99"/>
    <w:pPr>
      <w:numPr>
        <w:numId w:val="19"/>
      </w:numPr>
      <w:contextualSpacing/>
    </w:pPr>
  </w:style>
  <w:style w:type="paragraph" w:styleId="ListNumber5">
    <w:name w:val="List Number 5"/>
    <w:basedOn w:val="Normal"/>
    <w:uiPriority w:val="99"/>
    <w:semiHidden/>
    <w:rsid w:val="002D2C99"/>
    <w:pPr>
      <w:numPr>
        <w:numId w:val="20"/>
      </w:numPr>
      <w:contextualSpacing/>
    </w:pPr>
  </w:style>
  <w:style w:type="paragraph" w:styleId="MacroText">
    <w:name w:val="macro"/>
    <w:link w:val="MacroTextChar"/>
    <w:uiPriority w:val="99"/>
    <w:semiHidden/>
    <w:rsid w:val="002D2C99"/>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2D2C99"/>
    <w:rPr>
      <w:rFonts w:ascii="Consolas" w:eastAsiaTheme="minorEastAsia" w:hAnsi="Consolas" w:cs="Consolas"/>
      <w:sz w:val="20"/>
      <w:szCs w:val="20"/>
    </w:rPr>
  </w:style>
  <w:style w:type="table" w:styleId="MediumGrid1">
    <w:name w:val="Medium Grid 1"/>
    <w:basedOn w:val="TableNormal"/>
    <w:uiPriority w:val="99"/>
    <w:semiHidden/>
    <w:rsid w:val="002D2C99"/>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2D2C99"/>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2D2C99"/>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2D2C99"/>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2D2C99"/>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2D2C99"/>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2D2C99"/>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2D2C99"/>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2D2C99"/>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2D2C99"/>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2D2C99"/>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2D2C99"/>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2D2C99"/>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2D2C99"/>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2D2C99"/>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2D2C99"/>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2D2C99"/>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2D2C99"/>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2D2C99"/>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2D2C99"/>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2D2C99"/>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2D2C9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2D2C99"/>
    <w:rPr>
      <w:rFonts w:asciiTheme="majorHAnsi" w:eastAsiaTheme="majorEastAsia" w:hAnsiTheme="majorHAnsi" w:cstheme="majorBidi"/>
      <w:sz w:val="24"/>
      <w:szCs w:val="24"/>
      <w:shd w:val="pct20" w:color="auto" w:fill="auto"/>
    </w:rPr>
  </w:style>
  <w:style w:type="paragraph" w:styleId="NormalWeb">
    <w:name w:val="Normal (Web)"/>
    <w:basedOn w:val="Normal"/>
    <w:semiHidden/>
    <w:rsid w:val="002D2C99"/>
    <w:rPr>
      <w:rFonts w:ascii="Times New Roman" w:hAnsi="Times New Roman" w:cs="Times New Roman"/>
      <w:szCs w:val="24"/>
    </w:rPr>
  </w:style>
  <w:style w:type="paragraph" w:styleId="NormalIndent">
    <w:name w:val="Normal Indent"/>
    <w:basedOn w:val="Normal"/>
    <w:uiPriority w:val="99"/>
    <w:semiHidden/>
    <w:rsid w:val="002D2C99"/>
    <w:pPr>
      <w:ind w:left="720"/>
    </w:pPr>
  </w:style>
  <w:style w:type="paragraph" w:styleId="NoteHeading">
    <w:name w:val="Note Heading"/>
    <w:basedOn w:val="Normal"/>
    <w:next w:val="Normal"/>
    <w:link w:val="NoteHeadingChar"/>
    <w:uiPriority w:val="99"/>
    <w:semiHidden/>
    <w:rsid w:val="002D2C99"/>
  </w:style>
  <w:style w:type="character" w:customStyle="1" w:styleId="NoteHeadingChar">
    <w:name w:val="Note Heading Char"/>
    <w:basedOn w:val="DefaultParagraphFont"/>
    <w:link w:val="NoteHeading"/>
    <w:uiPriority w:val="99"/>
    <w:semiHidden/>
    <w:rsid w:val="002D2C99"/>
    <w:rPr>
      <w:rFonts w:eastAsiaTheme="minorEastAsia"/>
      <w:sz w:val="24"/>
    </w:rPr>
  </w:style>
  <w:style w:type="character" w:styleId="PlaceholderText">
    <w:name w:val="Placeholder Text"/>
    <w:basedOn w:val="DefaultParagraphFont"/>
    <w:uiPriority w:val="99"/>
    <w:semiHidden/>
    <w:rsid w:val="00427620"/>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2D2C99"/>
    <w:rPr>
      <w:rFonts w:ascii="Consolas" w:hAnsi="Consolas" w:cs="Consolas"/>
      <w:sz w:val="21"/>
      <w:szCs w:val="21"/>
    </w:rPr>
  </w:style>
  <w:style w:type="character" w:customStyle="1" w:styleId="PlainTextChar">
    <w:name w:val="Plain Text Char"/>
    <w:basedOn w:val="DefaultParagraphFont"/>
    <w:link w:val="PlainText"/>
    <w:uiPriority w:val="99"/>
    <w:semiHidden/>
    <w:rsid w:val="002D2C99"/>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2D2C99"/>
  </w:style>
  <w:style w:type="character" w:customStyle="1" w:styleId="SalutationChar">
    <w:name w:val="Salutation Char"/>
    <w:basedOn w:val="DefaultParagraphFont"/>
    <w:link w:val="Salutation"/>
    <w:uiPriority w:val="99"/>
    <w:semiHidden/>
    <w:rsid w:val="002D2C99"/>
    <w:rPr>
      <w:rFonts w:eastAsiaTheme="minorEastAsia"/>
      <w:sz w:val="24"/>
    </w:rPr>
  </w:style>
  <w:style w:type="paragraph" w:styleId="Signature">
    <w:name w:val="Signature"/>
    <w:basedOn w:val="Normal"/>
    <w:link w:val="SignatureChar"/>
    <w:uiPriority w:val="99"/>
    <w:semiHidden/>
    <w:rsid w:val="002D2C99"/>
    <w:pPr>
      <w:ind w:left="4252"/>
    </w:pPr>
  </w:style>
  <w:style w:type="character" w:customStyle="1" w:styleId="SignatureChar">
    <w:name w:val="Signature Char"/>
    <w:basedOn w:val="DefaultParagraphFont"/>
    <w:link w:val="Signature"/>
    <w:uiPriority w:val="99"/>
    <w:semiHidden/>
    <w:rsid w:val="002D2C99"/>
    <w:rPr>
      <w:rFonts w:eastAsiaTheme="minorEastAsia"/>
      <w:sz w:val="24"/>
    </w:rPr>
  </w:style>
  <w:style w:type="table" w:styleId="Table3Deffects1">
    <w:name w:val="Table 3D effects 1"/>
    <w:basedOn w:val="TableNormal"/>
    <w:uiPriority w:val="99"/>
    <w:semiHidden/>
    <w:unhideWhenUsed/>
    <w:rsid w:val="002D2C99"/>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D2C99"/>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D2C99"/>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D2C99"/>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D2C99"/>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D2C99"/>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D2C99"/>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D2C99"/>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D2C99"/>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D2C99"/>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D2C99"/>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D2C99"/>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D2C99"/>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D2C99"/>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D2C99"/>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D2C99"/>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D2C99"/>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D2C99"/>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D2C99"/>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D2C99"/>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D2C99"/>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D2C99"/>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D2C99"/>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D2C99"/>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D2C99"/>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D2C99"/>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D2C99"/>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D2C99"/>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D2C99"/>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D2C99"/>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D2C99"/>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D2C99"/>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D2C99"/>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2D2C99"/>
    <w:pPr>
      <w:ind w:left="240" w:hanging="240"/>
    </w:pPr>
  </w:style>
  <w:style w:type="paragraph" w:styleId="TableofFigures">
    <w:name w:val="table of figures"/>
    <w:basedOn w:val="Normal"/>
    <w:next w:val="Normal"/>
    <w:uiPriority w:val="99"/>
    <w:semiHidden/>
    <w:rsid w:val="002D2C99"/>
  </w:style>
  <w:style w:type="table" w:styleId="TableProfessional">
    <w:name w:val="Table Professional"/>
    <w:basedOn w:val="TableNormal"/>
    <w:uiPriority w:val="99"/>
    <w:semiHidden/>
    <w:unhideWhenUsed/>
    <w:rsid w:val="002D2C99"/>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D2C99"/>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D2C99"/>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D2C99"/>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D2C99"/>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D2C99"/>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D2C9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D2C99"/>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D2C99"/>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D2C99"/>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427620"/>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427620"/>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2D2C99"/>
    <w:pPr>
      <w:spacing w:after="100"/>
      <w:ind w:left="1680"/>
    </w:pPr>
  </w:style>
  <w:style w:type="paragraph" w:styleId="TOC9">
    <w:name w:val="toc 9"/>
    <w:basedOn w:val="Normal"/>
    <w:next w:val="Normal"/>
    <w:autoRedefine/>
    <w:uiPriority w:val="99"/>
    <w:semiHidden/>
    <w:rsid w:val="002D2C99"/>
    <w:pPr>
      <w:spacing w:after="100"/>
      <w:ind w:left="1920"/>
    </w:pPr>
  </w:style>
  <w:style w:type="paragraph" w:customStyle="1" w:styleId="OpiParaSub">
    <w:name w:val="Opi_Para_Sub"/>
    <w:basedOn w:val="JuParaSub"/>
    <w:uiPriority w:val="47"/>
    <w:qFormat/>
    <w:rsid w:val="00427620"/>
  </w:style>
  <w:style w:type="paragraph" w:customStyle="1" w:styleId="OpiQuot">
    <w:name w:val="Opi_Quot"/>
    <w:basedOn w:val="ECHRParaQuote"/>
    <w:uiPriority w:val="48"/>
    <w:qFormat/>
    <w:rsid w:val="00427620"/>
  </w:style>
  <w:style w:type="paragraph" w:customStyle="1" w:styleId="ECHRFooter">
    <w:name w:val="ECHR_Footer"/>
    <w:aliases w:val="Footer_ECHR"/>
    <w:basedOn w:val="Footer"/>
    <w:uiPriority w:val="57"/>
    <w:semiHidden/>
    <w:rsid w:val="00427620"/>
    <w:pPr>
      <w:jc w:val="left"/>
    </w:pPr>
    <w:rPr>
      <w:sz w:val="8"/>
    </w:rPr>
  </w:style>
  <w:style w:type="paragraph" w:customStyle="1" w:styleId="ECHRFooterLine">
    <w:name w:val="ECHR_Footer_Line"/>
    <w:aliases w:val="Footer_Line"/>
    <w:basedOn w:val="Normal"/>
    <w:next w:val="ECHRFooter"/>
    <w:uiPriority w:val="57"/>
    <w:semiHidden/>
    <w:rsid w:val="00427620"/>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qFormat/>
    <w:rsid w:val="00427620"/>
    <w:pPr>
      <w:spacing w:after="240"/>
      <w:jc w:val="center"/>
      <w:outlineLvl w:val="0"/>
    </w:pPr>
    <w:rPr>
      <w:rFonts w:asciiTheme="majorHAnsi" w:hAnsiTheme="majorHAnsi"/>
    </w:rPr>
  </w:style>
  <w:style w:type="paragraph" w:customStyle="1" w:styleId="OpiQuotSub">
    <w:name w:val="Opi_Quot_Sub"/>
    <w:basedOn w:val="JuQuotSub"/>
    <w:uiPriority w:val="49"/>
    <w:qFormat/>
    <w:rsid w:val="00427620"/>
  </w:style>
  <w:style w:type="paragraph" w:customStyle="1" w:styleId="JuHeaderLandscape">
    <w:name w:val="Ju_Header_Landscape"/>
    <w:basedOn w:val="ECHRHeader"/>
    <w:uiPriority w:val="4"/>
    <w:qFormat/>
    <w:rsid w:val="00427620"/>
    <w:pPr>
      <w:tabs>
        <w:tab w:val="clear" w:pos="3686"/>
        <w:tab w:val="clear" w:pos="7371"/>
        <w:tab w:val="center" w:pos="6146"/>
        <w:tab w:val="right" w:pos="12293"/>
      </w:tabs>
    </w:pPr>
  </w:style>
  <w:style w:type="paragraph" w:customStyle="1" w:styleId="OpiTranslation">
    <w:name w:val="Opi_Translation"/>
    <w:basedOn w:val="Normal"/>
    <w:next w:val="OpiPara"/>
    <w:uiPriority w:val="40"/>
    <w:qFormat/>
    <w:rsid w:val="00427620"/>
    <w:pPr>
      <w:jc w:val="center"/>
      <w:outlineLvl w:val="0"/>
    </w:pPr>
    <w:rPr>
      <w:i/>
    </w:rPr>
  </w:style>
  <w:style w:type="paragraph" w:customStyle="1" w:styleId="ECHRSpacer">
    <w:name w:val="ECHR_Spacer"/>
    <w:basedOn w:val="Normal"/>
    <w:uiPriority w:val="45"/>
    <w:rsid w:val="000A45C0"/>
    <w:pPr>
      <w:jc w:val="left"/>
    </w:pPr>
    <w:rPr>
      <w:rFonts w:eastAsiaTheme="minorHAnsi"/>
      <w:sz w:val="4"/>
    </w:rPr>
  </w:style>
  <w:style w:type="character" w:customStyle="1" w:styleId="ECHRParaChar">
    <w:name w:val="ECHR_Para Char"/>
    <w:aliases w:val="Ju_Para Char"/>
    <w:link w:val="ECHRPara"/>
    <w:uiPriority w:val="12"/>
    <w:rsid w:val="000A45C0"/>
    <w:rPr>
      <w:rFonts w:eastAsiaTheme="minorEastAsia"/>
      <w:sz w:val="24"/>
      <w:lang w:val="en-GB"/>
    </w:rPr>
  </w:style>
  <w:style w:type="character" w:customStyle="1" w:styleId="JuQuotChar">
    <w:name w:val="Ju_Quot Char"/>
    <w:basedOn w:val="DefaultParagraphFont"/>
    <w:link w:val="ECHRParaQuote"/>
    <w:uiPriority w:val="14"/>
    <w:locked/>
    <w:rsid w:val="000A45C0"/>
    <w:rPr>
      <w:rFonts w:eastAsiaTheme="minorEastAsia"/>
      <w:sz w:val="20"/>
      <w:lang w:val="en-GB"/>
    </w:rPr>
  </w:style>
  <w:style w:type="paragraph" w:customStyle="1" w:styleId="ECHRParaSpaced">
    <w:name w:val="ECHR_Para_Spaced"/>
    <w:aliases w:val="Para_Spaced"/>
    <w:basedOn w:val="ECHRPara"/>
    <w:uiPriority w:val="4"/>
    <w:rsid w:val="000A45C0"/>
    <w:pPr>
      <w:spacing w:before="120" w:after="120"/>
      <w:ind w:firstLine="0"/>
    </w:pPr>
    <w:rPr>
      <w:rFonts w:eastAsiaTheme="minorHAnsi"/>
      <w:sz w:val="22"/>
    </w:rPr>
  </w:style>
  <w:style w:type="paragraph" w:customStyle="1" w:styleId="jupara">
    <w:name w:val="jupara"/>
    <w:basedOn w:val="Normal"/>
    <w:rsid w:val="0043317B"/>
    <w:pPr>
      <w:ind w:firstLine="284"/>
    </w:pPr>
    <w:rPr>
      <w:rFonts w:ascii="Times New Roman" w:eastAsia="Times New Roman" w:hAnsi="Times New Roman" w:cs="Times New Roman"/>
      <w:szCs w:val="24"/>
      <w:lang w:eastAsia="en-GB"/>
    </w:rPr>
  </w:style>
  <w:style w:type="paragraph" w:customStyle="1" w:styleId="jucase0">
    <w:name w:val="jucase"/>
    <w:basedOn w:val="Normal"/>
    <w:rsid w:val="0043317B"/>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73E5C48-3F82-463F-9150-DB18B3889D36}"/>
</file>

<file path=customXml/itemProps2.xml><?xml version="1.0" encoding="utf-8"?>
<ds:datastoreItem xmlns:ds="http://schemas.openxmlformats.org/officeDocument/2006/customXml" ds:itemID="{C2469F1C-AC15-4704-8DE5-043F6CEBDF84}"/>
</file>

<file path=customXml/itemProps3.xml><?xml version="1.0" encoding="utf-8"?>
<ds:datastoreItem xmlns:ds="http://schemas.openxmlformats.org/officeDocument/2006/customXml" ds:itemID="{1F907E44-6C0D-460C-80E9-BC8AC989705A}"/>
</file>

<file path=customXml/itemProps4.xml><?xml version="1.0" encoding="utf-8"?>
<ds:datastoreItem xmlns:ds="http://schemas.openxmlformats.org/officeDocument/2006/customXml" ds:itemID="{85468B80-5376-4F6B-8532-C8F16A4B8721}"/>
</file>

<file path=docProps/app.xml><?xml version="1.0" encoding="utf-8"?>
<Properties xmlns="http://schemas.openxmlformats.org/officeDocument/2006/extended-properties" xmlns:vt="http://schemas.openxmlformats.org/officeDocument/2006/docPropsVTypes">
  <Template>Normal.dotm</Template>
  <TotalTime>0</TotalTime>
  <Pages>1</Pages>
  <Words>19643</Words>
  <Characters>111966</Characters>
  <Application>Microsoft Office Word</Application>
  <DocSecurity>0</DocSecurity>
  <Lines>933</Lines>
  <Paragraphs>262</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131347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DJF</dc:subject>
  <dc:creator/>
  <cp:lastModifiedBy/>
  <cp:revision>1</cp:revision>
  <dcterms:created xsi:type="dcterms:W3CDTF">2020-03-03T12:29:00Z</dcterms:created>
  <dcterms:modified xsi:type="dcterms:W3CDTF">2020-03-03T12:29:00Z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1036</vt:i4>
  </property>
  <property fmtid="{D5CDD505-2E9C-101B-9397-08002B2CF9AE}" pid="3" name="RegisteredNo">
    <vt:lpwstr>19620/05</vt:lpwstr>
  </property>
  <property fmtid="{D5CDD505-2E9C-101B-9397-08002B2CF9AE}" pid="4" name="CASEID">
    <vt:lpwstr>349848</vt:lpwstr>
  </property>
  <property fmtid="{D5CDD505-2E9C-101B-9397-08002B2CF9AE}" pid="5" name="ContentTypeId">
    <vt:lpwstr>0x010100558EB02BDB9E204AB350EDD385B68E10</vt:lpwstr>
  </property>
</Properties>
</file>