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4206F" w:rsidR="00D420F3" w:rsidP="0014206F" w:rsidRDefault="00D420F3">
      <w:pPr>
        <w:pStyle w:val="ECHRDecisionBody"/>
      </w:pPr>
      <w:bookmarkStart w:name="_GoBack" w:id="0"/>
      <w:bookmarkEnd w:id="0"/>
    </w:p>
    <w:p w:rsidRPr="0014206F" w:rsidR="005123F9" w:rsidP="0014206F" w:rsidRDefault="005123F9">
      <w:pPr>
        <w:pStyle w:val="ECHRDecisionBody"/>
      </w:pPr>
    </w:p>
    <w:p w:rsidRPr="0014206F" w:rsidR="005123F9" w:rsidP="0014206F" w:rsidRDefault="005123F9">
      <w:pPr>
        <w:pStyle w:val="ECHRDecisionBody"/>
      </w:pPr>
    </w:p>
    <w:p w:rsidRPr="0014206F" w:rsidR="00D420F3" w:rsidP="0014206F" w:rsidRDefault="007E39A6">
      <w:pPr>
        <w:jc w:val="center"/>
      </w:pPr>
      <w:r w:rsidRPr="0014206F">
        <w:t>FOURTH SECTION</w:t>
      </w:r>
    </w:p>
    <w:p w:rsidRPr="0014206F" w:rsidR="00D420F3" w:rsidP="0014206F" w:rsidRDefault="00D420F3">
      <w:pPr>
        <w:jc w:val="center"/>
      </w:pPr>
    </w:p>
    <w:p w:rsidRPr="0014206F" w:rsidR="005123F9" w:rsidP="0014206F" w:rsidRDefault="005123F9">
      <w:pPr>
        <w:jc w:val="center"/>
      </w:pPr>
    </w:p>
    <w:p w:rsidRPr="0014206F" w:rsidR="005123F9" w:rsidP="0014206F" w:rsidRDefault="005123F9">
      <w:pPr>
        <w:jc w:val="center"/>
      </w:pPr>
    </w:p>
    <w:p w:rsidRPr="0014206F" w:rsidR="005123F9" w:rsidP="0014206F" w:rsidRDefault="005123F9">
      <w:pPr>
        <w:jc w:val="center"/>
      </w:pPr>
    </w:p>
    <w:p w:rsidRPr="0014206F" w:rsidR="00500062" w:rsidP="0014206F" w:rsidRDefault="00500062">
      <w:pPr>
        <w:jc w:val="center"/>
      </w:pPr>
    </w:p>
    <w:p w:rsidRPr="0014206F" w:rsidR="00500062" w:rsidP="0014206F" w:rsidRDefault="00500062">
      <w:pPr>
        <w:jc w:val="center"/>
      </w:pPr>
    </w:p>
    <w:p w:rsidRPr="0014206F" w:rsidR="005123F9" w:rsidP="0014206F" w:rsidRDefault="005123F9">
      <w:pPr>
        <w:jc w:val="center"/>
      </w:pPr>
    </w:p>
    <w:p w:rsidRPr="0014206F" w:rsidR="005123F9" w:rsidP="0014206F" w:rsidRDefault="005123F9">
      <w:pPr>
        <w:jc w:val="center"/>
      </w:pPr>
    </w:p>
    <w:p w:rsidRPr="0014206F" w:rsidR="00D420F3" w:rsidP="0014206F" w:rsidRDefault="0077175D">
      <w:pPr>
        <w:jc w:val="center"/>
        <w:rPr>
          <w:b/>
        </w:rPr>
      </w:pPr>
      <w:bookmarkStart w:name="To" w:id="1"/>
      <w:r w:rsidRPr="0014206F">
        <w:rPr>
          <w:b/>
        </w:rPr>
        <w:t xml:space="preserve">CASE OF </w:t>
      </w:r>
      <w:bookmarkEnd w:id="1"/>
      <w:r w:rsidRPr="0014206F" w:rsidR="007E39A6">
        <w:rPr>
          <w:b/>
        </w:rPr>
        <w:t>HESZ AND OTHERS v. HUNGARY</w:t>
      </w:r>
    </w:p>
    <w:p w:rsidRPr="0014206F" w:rsidR="00D420F3" w:rsidP="0014206F" w:rsidRDefault="00D420F3">
      <w:pPr>
        <w:jc w:val="center"/>
      </w:pPr>
    </w:p>
    <w:p w:rsidRPr="0014206F" w:rsidR="00D420F3" w:rsidP="0014206F" w:rsidRDefault="0077175D">
      <w:pPr>
        <w:jc w:val="center"/>
        <w:rPr>
          <w:i/>
        </w:rPr>
      </w:pPr>
      <w:r w:rsidRPr="0014206F">
        <w:rPr>
          <w:i/>
        </w:rPr>
        <w:t>(</w:t>
      </w:r>
      <w:r w:rsidRPr="0014206F" w:rsidR="007E39A6">
        <w:rPr>
          <w:i/>
        </w:rPr>
        <w:t>Application no. 17884/12</w:t>
      </w:r>
      <w:r w:rsidRPr="0014206F">
        <w:rPr>
          <w:i/>
        </w:rPr>
        <w:t>)</w:t>
      </w:r>
    </w:p>
    <w:p w:rsidRPr="0014206F" w:rsidR="00D420F3" w:rsidP="0014206F" w:rsidRDefault="00D420F3">
      <w:pPr>
        <w:jc w:val="center"/>
      </w:pPr>
    </w:p>
    <w:p w:rsidRPr="0014206F" w:rsidR="00D420F3" w:rsidP="0014206F" w:rsidRDefault="00D420F3">
      <w:pPr>
        <w:jc w:val="center"/>
      </w:pPr>
    </w:p>
    <w:p w:rsidRPr="0014206F" w:rsidR="00500062" w:rsidP="0014206F" w:rsidRDefault="00500062">
      <w:pPr>
        <w:jc w:val="center"/>
      </w:pPr>
    </w:p>
    <w:p w:rsidRPr="0014206F" w:rsidR="00500062" w:rsidP="0014206F" w:rsidRDefault="00500062">
      <w:pPr>
        <w:jc w:val="center"/>
      </w:pPr>
    </w:p>
    <w:p w:rsidRPr="0014206F" w:rsidR="00500062" w:rsidP="0014206F" w:rsidRDefault="00500062">
      <w:pPr>
        <w:jc w:val="center"/>
      </w:pPr>
    </w:p>
    <w:p w:rsidRPr="0014206F" w:rsidR="00500062" w:rsidP="0014206F" w:rsidRDefault="00500062">
      <w:pPr>
        <w:jc w:val="center"/>
      </w:pPr>
    </w:p>
    <w:p w:rsidRPr="0014206F" w:rsidR="00500062" w:rsidP="0014206F" w:rsidRDefault="00500062">
      <w:pPr>
        <w:jc w:val="center"/>
      </w:pPr>
    </w:p>
    <w:p w:rsidRPr="0014206F" w:rsidR="00500062" w:rsidP="0014206F" w:rsidRDefault="00500062">
      <w:pPr>
        <w:jc w:val="center"/>
      </w:pPr>
    </w:p>
    <w:p w:rsidRPr="0014206F" w:rsidR="00D420F3" w:rsidP="0014206F" w:rsidRDefault="00D420F3">
      <w:pPr>
        <w:jc w:val="center"/>
      </w:pPr>
    </w:p>
    <w:p w:rsidRPr="0014206F" w:rsidR="00D420F3" w:rsidP="0014206F" w:rsidRDefault="005123F9">
      <w:pPr>
        <w:jc w:val="center"/>
        <w:rPr>
          <w:szCs w:val="24"/>
        </w:rPr>
      </w:pPr>
      <w:r w:rsidRPr="0014206F">
        <w:rPr>
          <w:szCs w:val="24"/>
        </w:rPr>
        <w:t>JUDGMENT</w:t>
      </w:r>
    </w:p>
    <w:p w:rsidRPr="0014206F" w:rsidR="005123F9" w:rsidP="0014206F" w:rsidRDefault="005123F9">
      <w:pPr>
        <w:jc w:val="center"/>
        <w:rPr>
          <w:szCs w:val="24"/>
        </w:rPr>
      </w:pPr>
    </w:p>
    <w:p w:rsidRPr="0014206F" w:rsidR="005123F9" w:rsidP="0014206F" w:rsidRDefault="005123F9">
      <w:pPr>
        <w:jc w:val="center"/>
        <w:rPr>
          <w:szCs w:val="24"/>
        </w:rPr>
      </w:pPr>
    </w:p>
    <w:p w:rsidRPr="0014206F" w:rsidR="005123F9" w:rsidP="0014206F" w:rsidRDefault="005123F9">
      <w:pPr>
        <w:jc w:val="center"/>
        <w:rPr>
          <w:szCs w:val="24"/>
        </w:rPr>
      </w:pPr>
      <w:r w:rsidRPr="0014206F">
        <w:rPr>
          <w:szCs w:val="24"/>
        </w:rPr>
        <w:t>STRASBOURG</w:t>
      </w:r>
    </w:p>
    <w:p w:rsidRPr="0014206F" w:rsidR="005123F9" w:rsidP="0014206F" w:rsidRDefault="005123F9">
      <w:pPr>
        <w:jc w:val="center"/>
        <w:rPr>
          <w:szCs w:val="24"/>
        </w:rPr>
      </w:pPr>
    </w:p>
    <w:p w:rsidRPr="0014206F" w:rsidR="005123F9" w:rsidP="0014206F" w:rsidRDefault="005123F9">
      <w:pPr>
        <w:jc w:val="center"/>
        <w:rPr>
          <w:szCs w:val="24"/>
        </w:rPr>
      </w:pPr>
      <w:r w:rsidRPr="0014206F">
        <w:rPr>
          <w:szCs w:val="24"/>
        </w:rPr>
        <w:t>19 February 2019</w:t>
      </w:r>
    </w:p>
    <w:p w:rsidRPr="0014206F" w:rsidR="001E1F42" w:rsidP="0014206F" w:rsidRDefault="001E1F42">
      <w:pPr>
        <w:jc w:val="center"/>
        <w:rPr>
          <w:szCs w:val="24"/>
        </w:rPr>
      </w:pPr>
    </w:p>
    <w:p w:rsidRPr="0014206F" w:rsidR="001E1F42" w:rsidP="0014206F" w:rsidRDefault="001E1F42">
      <w:pPr>
        <w:jc w:val="center"/>
        <w:rPr>
          <w:szCs w:val="24"/>
        </w:rPr>
      </w:pPr>
    </w:p>
    <w:p w:rsidRPr="0014206F" w:rsidR="001E1F42" w:rsidP="0014206F" w:rsidRDefault="001E1F42">
      <w:pPr>
        <w:jc w:val="center"/>
        <w:rPr>
          <w:szCs w:val="24"/>
        </w:rPr>
      </w:pPr>
    </w:p>
    <w:p w:rsidRPr="0014206F" w:rsidR="001E1F42" w:rsidP="0014206F" w:rsidRDefault="001E1F42">
      <w:pPr>
        <w:jc w:val="center"/>
        <w:rPr>
          <w:szCs w:val="24"/>
        </w:rPr>
      </w:pPr>
    </w:p>
    <w:p w:rsidRPr="0014206F" w:rsidR="005123F9" w:rsidP="0014206F" w:rsidRDefault="005123F9">
      <w:pPr>
        <w:jc w:val="center"/>
        <w:rPr>
          <w:szCs w:val="24"/>
        </w:rPr>
      </w:pPr>
    </w:p>
    <w:p w:rsidRPr="0014206F" w:rsidR="005123F9" w:rsidP="0014206F" w:rsidRDefault="005123F9">
      <w:pPr>
        <w:jc w:val="center"/>
        <w:rPr>
          <w:szCs w:val="24"/>
        </w:rPr>
      </w:pPr>
    </w:p>
    <w:p w:rsidRPr="0014206F" w:rsidR="00D76293" w:rsidP="0014206F" w:rsidRDefault="005123F9">
      <w:pPr>
        <w:jc w:val="center"/>
        <w:rPr>
          <w:szCs w:val="24"/>
        </w:rPr>
      </w:pPr>
      <w:r w:rsidRPr="0014206F">
        <w:rPr>
          <w:i/>
          <w:sz w:val="22"/>
          <w:szCs w:val="24"/>
        </w:rPr>
        <w:t>This judgment is final but it may be subject to editorial revision.</w:t>
      </w:r>
    </w:p>
    <w:p w:rsidRPr="0014206F" w:rsidR="005123F9" w:rsidP="0014206F" w:rsidRDefault="005123F9">
      <w:pPr>
        <w:pStyle w:val="JuCase"/>
      </w:pPr>
    </w:p>
    <w:p w:rsidRPr="0014206F" w:rsidR="00500062" w:rsidP="0014206F" w:rsidRDefault="00500062">
      <w:pPr>
        <w:pStyle w:val="ECHRPara"/>
        <w:sectPr w:rsidRPr="0014206F" w:rsidR="00500062" w:rsidSect="005123F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14206F" w:rsidR="00D420F3" w:rsidP="0014206F" w:rsidRDefault="0077175D">
      <w:pPr>
        <w:pStyle w:val="JuCase"/>
        <w:rPr>
          <w:bCs/>
        </w:rPr>
      </w:pPr>
      <w:r w:rsidRPr="0014206F">
        <w:t xml:space="preserve">In the case of </w:t>
      </w:r>
      <w:proofErr w:type="spellStart"/>
      <w:r w:rsidRPr="0014206F" w:rsidR="007E39A6">
        <w:t>Hesz</w:t>
      </w:r>
      <w:proofErr w:type="spellEnd"/>
      <w:r w:rsidRPr="0014206F" w:rsidR="007E39A6">
        <w:t xml:space="preserve"> and Others v. Hungary</w:t>
      </w:r>
      <w:r w:rsidRPr="0014206F">
        <w:t>,</w:t>
      </w:r>
    </w:p>
    <w:p w:rsidRPr="0014206F" w:rsidR="00D420F3" w:rsidP="0014206F" w:rsidRDefault="0077175D">
      <w:pPr>
        <w:pStyle w:val="ECHRPara"/>
      </w:pPr>
      <w:r w:rsidRPr="0014206F">
        <w:t>The European Court of Human Rights (</w:t>
      </w:r>
      <w:r w:rsidRPr="0014206F" w:rsidR="007E39A6">
        <w:t>Fourth Section</w:t>
      </w:r>
      <w:r w:rsidRPr="0014206F" w:rsidR="003C119C">
        <w:t>), sitting as a </w:t>
      </w:r>
      <w:r w:rsidRPr="0014206F" w:rsidR="007E39A6">
        <w:t>Committee</w:t>
      </w:r>
      <w:r w:rsidRPr="0014206F">
        <w:t xml:space="preserve"> composed of:</w:t>
      </w:r>
    </w:p>
    <w:p w:rsidRPr="0014206F" w:rsidR="00D420F3" w:rsidP="0014206F" w:rsidRDefault="005123F9">
      <w:pPr>
        <w:pStyle w:val="ECHRDecisionBody"/>
      </w:pPr>
      <w:r w:rsidRPr="0014206F">
        <w:tab/>
        <w:t xml:space="preserve">Georges </w:t>
      </w:r>
      <w:proofErr w:type="spellStart"/>
      <w:r w:rsidRPr="0014206F">
        <w:t>Ravarani</w:t>
      </w:r>
      <w:proofErr w:type="spellEnd"/>
      <w:r w:rsidRPr="0014206F">
        <w:t>,</w:t>
      </w:r>
      <w:r w:rsidRPr="0014206F">
        <w:rPr>
          <w:i/>
        </w:rPr>
        <w:t xml:space="preserve"> President,</w:t>
      </w:r>
      <w:r w:rsidRPr="0014206F">
        <w:rPr>
          <w:i/>
        </w:rPr>
        <w:br/>
      </w:r>
      <w:r w:rsidRPr="0014206F">
        <w:tab/>
        <w:t xml:space="preserve">Marko </w:t>
      </w:r>
      <w:proofErr w:type="spellStart"/>
      <w:r w:rsidRPr="0014206F">
        <w:t>Bošnjak</w:t>
      </w:r>
      <w:proofErr w:type="spellEnd"/>
      <w:r w:rsidRPr="0014206F">
        <w:t>,</w:t>
      </w:r>
      <w:r w:rsidRPr="0014206F">
        <w:rPr>
          <w:i/>
        </w:rPr>
        <w:br/>
      </w:r>
      <w:r w:rsidRPr="0014206F">
        <w:tab/>
      </w:r>
      <w:proofErr w:type="spellStart"/>
      <w:r w:rsidRPr="0014206F">
        <w:t>Péter</w:t>
      </w:r>
      <w:proofErr w:type="spellEnd"/>
      <w:r w:rsidRPr="0014206F">
        <w:t xml:space="preserve"> </w:t>
      </w:r>
      <w:proofErr w:type="spellStart"/>
      <w:r w:rsidRPr="0014206F">
        <w:t>Paczolay</w:t>
      </w:r>
      <w:proofErr w:type="spellEnd"/>
      <w:r w:rsidRPr="0014206F">
        <w:t>,</w:t>
      </w:r>
      <w:r w:rsidRPr="0014206F">
        <w:rPr>
          <w:i/>
        </w:rPr>
        <w:t xml:space="preserve"> judges,</w:t>
      </w:r>
      <w:r w:rsidRPr="0014206F" w:rsidR="0077175D">
        <w:rPr>
          <w:szCs w:val="24"/>
        </w:rPr>
        <w:br/>
      </w:r>
      <w:r w:rsidRPr="0014206F" w:rsidR="0077175D">
        <w:t xml:space="preserve">and </w:t>
      </w:r>
      <w:r w:rsidRPr="0014206F" w:rsidR="007E39A6">
        <w:t>Andrea Tamietti</w:t>
      </w:r>
      <w:r w:rsidRPr="0014206F" w:rsidR="0077175D">
        <w:t xml:space="preserve">, </w:t>
      </w:r>
      <w:r w:rsidRPr="0014206F" w:rsidR="007E39A6">
        <w:rPr>
          <w:i/>
        </w:rPr>
        <w:t xml:space="preserve">Deputy Section </w:t>
      </w:r>
      <w:r w:rsidRPr="0014206F" w:rsidR="007E39A6">
        <w:rPr>
          <w:i/>
          <w:iCs/>
        </w:rPr>
        <w:t>Registrar</w:t>
      </w:r>
      <w:r w:rsidRPr="0014206F" w:rsidR="0077175D">
        <w:rPr>
          <w:i/>
        </w:rPr>
        <w:t>,</w:t>
      </w:r>
    </w:p>
    <w:p w:rsidRPr="0014206F" w:rsidR="00D420F3" w:rsidP="0014206F" w:rsidRDefault="0077175D">
      <w:pPr>
        <w:pStyle w:val="ECHRPara"/>
      </w:pPr>
      <w:r w:rsidRPr="0014206F">
        <w:t xml:space="preserve">Having deliberated in private on </w:t>
      </w:r>
      <w:r w:rsidRPr="0014206F" w:rsidR="005123F9">
        <w:t>29 January 2019</w:t>
      </w:r>
      <w:r w:rsidRPr="0014206F">
        <w:t>,</w:t>
      </w:r>
    </w:p>
    <w:p w:rsidRPr="0014206F" w:rsidR="00D420F3" w:rsidP="0014206F" w:rsidRDefault="0077175D">
      <w:pPr>
        <w:pStyle w:val="ECHRPara"/>
      </w:pPr>
      <w:r w:rsidRPr="0014206F">
        <w:t>Delivers the following judgment, which was adopted on that date:</w:t>
      </w:r>
    </w:p>
    <w:p w:rsidRPr="0014206F" w:rsidR="00D420F3" w:rsidP="0014206F" w:rsidRDefault="0077175D">
      <w:pPr>
        <w:pStyle w:val="ECHRTitle1"/>
      </w:pPr>
      <w:r w:rsidRPr="0014206F">
        <w:t>PROCEDURE</w:t>
      </w:r>
    </w:p>
    <w:p w:rsidRPr="0014206F" w:rsidR="009B53DC"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1</w:t>
      </w:r>
      <w:r w:rsidRPr="0014206F">
        <w:fldChar w:fldCharType="end"/>
      </w:r>
      <w:r w:rsidRPr="0014206F" w:rsidR="0077175D">
        <w:t xml:space="preserve">.  The case originated in </w:t>
      </w:r>
      <w:r w:rsidRPr="0014206F">
        <w:t>an application (no. 17884/12)</w:t>
      </w:r>
      <w:r w:rsidRPr="0014206F" w:rsidR="0077175D">
        <w:t xml:space="preserve"> against </w:t>
      </w:r>
      <w:r w:rsidRPr="0014206F">
        <w:t>Hungary</w:t>
      </w:r>
      <w:r w:rsidRPr="0014206F" w:rsidR="0077175D">
        <w:t xml:space="preserve"> lodged with the </w:t>
      </w:r>
      <w:r w:rsidRPr="0014206F">
        <w:t>Court under Article 34</w:t>
      </w:r>
      <w:r w:rsidRPr="0014206F" w:rsidR="0077175D">
        <w:t xml:space="preserve"> of the Convention for the Protection of Human Rights and Fundamental Freedoms (“the Convention”) by </w:t>
      </w:r>
      <w:r w:rsidRPr="0014206F">
        <w:t xml:space="preserve">three Hungarian nationals, Ms </w:t>
      </w:r>
      <w:proofErr w:type="spellStart"/>
      <w:r w:rsidRPr="0014206F">
        <w:t>Viktória</w:t>
      </w:r>
      <w:proofErr w:type="spellEnd"/>
      <w:r w:rsidRPr="0014206F">
        <w:t xml:space="preserve"> </w:t>
      </w:r>
      <w:proofErr w:type="spellStart"/>
      <w:r w:rsidRPr="0014206F">
        <w:t>Hesz</w:t>
      </w:r>
      <w:proofErr w:type="spellEnd"/>
      <w:r w:rsidRPr="0014206F">
        <w:t xml:space="preserve"> (hereafter “the first applicant”), Mr</w:t>
      </w:r>
      <w:r w:rsidRPr="0014206F" w:rsidR="005B303E">
        <w:t> </w:t>
      </w:r>
      <w:proofErr w:type="spellStart"/>
      <w:r w:rsidRPr="0014206F">
        <w:t>Gábor</w:t>
      </w:r>
      <w:proofErr w:type="spellEnd"/>
      <w:r w:rsidRPr="0014206F">
        <w:t xml:space="preserve"> </w:t>
      </w:r>
      <w:proofErr w:type="spellStart"/>
      <w:r w:rsidRPr="0014206F">
        <w:t>Pázmányi</w:t>
      </w:r>
      <w:proofErr w:type="spellEnd"/>
      <w:r w:rsidRPr="0014206F">
        <w:t xml:space="preserve"> (hereafter “the second applicant”) and Mr </w:t>
      </w:r>
      <w:proofErr w:type="spellStart"/>
      <w:r w:rsidRPr="0014206F">
        <w:t>Miklós</w:t>
      </w:r>
      <w:proofErr w:type="spellEnd"/>
      <w:r w:rsidRPr="0014206F">
        <w:t xml:space="preserve"> </w:t>
      </w:r>
      <w:proofErr w:type="spellStart"/>
      <w:r w:rsidRPr="0014206F">
        <w:t>Kecskés</w:t>
      </w:r>
      <w:proofErr w:type="spellEnd"/>
      <w:r w:rsidRPr="0014206F">
        <w:t xml:space="preserve"> (hereafter “the third applicant”), on 20 March 2012</w:t>
      </w:r>
      <w:r w:rsidRPr="0014206F" w:rsidR="0077175D">
        <w:t>.</w:t>
      </w:r>
    </w:p>
    <w:p w:rsidRPr="0014206F" w:rsidR="007E39A6"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2</w:t>
      </w:r>
      <w:r w:rsidRPr="0014206F">
        <w:fldChar w:fldCharType="end"/>
      </w:r>
      <w:r w:rsidRPr="0014206F" w:rsidR="0077175D">
        <w:t>.  </w:t>
      </w:r>
      <w:r w:rsidRPr="0014206F">
        <w:t xml:space="preserve">The applicants were represented by Mr Cs. </w:t>
      </w:r>
      <w:proofErr w:type="spellStart"/>
      <w:r w:rsidRPr="0014206F">
        <w:t>Visontai</w:t>
      </w:r>
      <w:proofErr w:type="spellEnd"/>
      <w:r w:rsidRPr="0014206F" w:rsidR="006B41F5">
        <w:t>,</w:t>
      </w:r>
      <w:r w:rsidRPr="0014206F">
        <w:t xml:space="preserve"> a lawyer practising in Budapest. </w:t>
      </w:r>
      <w:r w:rsidRPr="0014206F" w:rsidR="0077175D">
        <w:t xml:space="preserve">The </w:t>
      </w:r>
      <w:r w:rsidRPr="0014206F">
        <w:t>Hungarian</w:t>
      </w:r>
      <w:r w:rsidRPr="0014206F" w:rsidR="0077175D">
        <w:t xml:space="preserve"> Government (“the Government”) were represented by </w:t>
      </w:r>
      <w:r w:rsidRPr="0014206F">
        <w:t xml:space="preserve">Mr Z. Tallódi, Agent, </w:t>
      </w:r>
      <w:proofErr w:type="gramStart"/>
      <w:r w:rsidRPr="0014206F">
        <w:t>Ministry</w:t>
      </w:r>
      <w:proofErr w:type="gramEnd"/>
      <w:r w:rsidRPr="0014206F">
        <w:t xml:space="preserve"> of Justice</w:t>
      </w:r>
      <w:r w:rsidRPr="0014206F" w:rsidR="0077175D">
        <w:t>.</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w:t>
      </w:r>
      <w:r w:rsidRPr="0014206F">
        <w:fldChar w:fldCharType="end"/>
      </w:r>
      <w:r w:rsidRPr="0014206F" w:rsidR="0077175D">
        <w:t>.  </w:t>
      </w:r>
      <w:r w:rsidRPr="0014206F">
        <w:t xml:space="preserve">On </w:t>
      </w:r>
      <w:r w:rsidRPr="0014206F">
        <w:rPr>
          <w:szCs w:val="24"/>
        </w:rPr>
        <w:t>25 June 2015</w:t>
      </w:r>
      <w:r w:rsidRPr="0014206F" w:rsidR="0077175D">
        <w:t xml:space="preserve"> </w:t>
      </w:r>
      <w:r w:rsidRPr="0014206F" w:rsidR="009A7479">
        <w:t xml:space="preserve">notice of </w:t>
      </w:r>
      <w:r w:rsidRPr="0014206F" w:rsidR="0077175D">
        <w:t xml:space="preserve">the </w:t>
      </w:r>
      <w:r w:rsidRPr="0014206F">
        <w:rPr>
          <w:szCs w:val="24"/>
        </w:rPr>
        <w:t>application was given to the Government</w:t>
      </w:r>
      <w:r w:rsidRPr="0014206F" w:rsidR="0077175D">
        <w:t>.</w:t>
      </w:r>
      <w:r w:rsidRPr="0014206F">
        <w:t xml:space="preserve"> On 1 December 2017 the Government </w:t>
      </w:r>
      <w:r w:rsidRPr="0014206F" w:rsidR="00243CD0">
        <w:t xml:space="preserve">were </w:t>
      </w:r>
      <w:r w:rsidRPr="0014206F">
        <w:t xml:space="preserve">invited </w:t>
      </w:r>
      <w:r w:rsidRPr="0014206F" w:rsidR="00325F74">
        <w:t>to submit further observations.</w:t>
      </w:r>
    </w:p>
    <w:p w:rsidRPr="0014206F" w:rsidR="00D420F3" w:rsidP="0014206F" w:rsidRDefault="0077175D">
      <w:pPr>
        <w:pStyle w:val="ECHRTitle1"/>
      </w:pPr>
      <w:r w:rsidRPr="0014206F">
        <w:t>THE FACTS</w:t>
      </w:r>
    </w:p>
    <w:p w:rsidRPr="0014206F" w:rsidR="00D420F3" w:rsidP="0014206F" w:rsidRDefault="00D76293">
      <w:pPr>
        <w:pStyle w:val="ECHRPara"/>
      </w:pPr>
      <w:r w:rsidRPr="0014206F">
        <w:fldChar w:fldCharType="begin"/>
      </w:r>
      <w:r w:rsidRPr="0014206F">
        <w:instrText xml:space="preserve"> SEQ level0 \*arabic </w:instrText>
      </w:r>
      <w:r w:rsidRPr="0014206F">
        <w:fldChar w:fldCharType="separate"/>
      </w:r>
      <w:r w:rsidRPr="0014206F" w:rsidR="0014206F">
        <w:rPr>
          <w:noProof/>
        </w:rPr>
        <w:t>4</w:t>
      </w:r>
      <w:r w:rsidRPr="0014206F">
        <w:fldChar w:fldCharType="end"/>
      </w:r>
      <w:r w:rsidRPr="0014206F">
        <w:t>.  </w:t>
      </w:r>
      <w:r w:rsidRPr="0014206F" w:rsidR="00325F74">
        <w:t>The first, second and third applicants were born</w:t>
      </w:r>
      <w:r w:rsidRPr="0014206F" w:rsidR="00FA00A8">
        <w:t xml:space="preserve"> </w:t>
      </w:r>
      <w:r w:rsidRPr="0014206F" w:rsidR="00325F74">
        <w:t>in 1971, 1947 and 1954</w:t>
      </w:r>
      <w:r w:rsidRPr="0014206F" w:rsidR="00FA00A8">
        <w:t xml:space="preserve"> respectively,</w:t>
      </w:r>
      <w:r w:rsidRPr="0014206F" w:rsidR="00325F74">
        <w:t xml:space="preserve"> and live in Budapest.</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5</w:t>
      </w:r>
      <w:r w:rsidRPr="0014206F">
        <w:fldChar w:fldCharType="end"/>
      </w:r>
      <w:r w:rsidRPr="0014206F" w:rsidR="0077175D">
        <w:t>.  </w:t>
      </w:r>
      <w:r w:rsidRPr="0014206F" w:rsidR="00325F74">
        <w:t xml:space="preserve">The second and third applicants, as well as the legal predecessors of the first and third applicant (Ms </w:t>
      </w:r>
      <w:proofErr w:type="spellStart"/>
      <w:r w:rsidRPr="0014206F" w:rsidR="00325F74">
        <w:t>Róbertné</w:t>
      </w:r>
      <w:proofErr w:type="spellEnd"/>
      <w:r w:rsidRPr="0014206F" w:rsidR="00325F74">
        <w:t xml:space="preserve"> </w:t>
      </w:r>
      <w:proofErr w:type="spellStart"/>
      <w:r w:rsidRPr="0014206F" w:rsidR="00325F74">
        <w:t>Hidas</w:t>
      </w:r>
      <w:proofErr w:type="spellEnd"/>
      <w:r w:rsidRPr="0014206F" w:rsidR="00325F74">
        <w:t xml:space="preserve"> and Ms </w:t>
      </w:r>
      <w:proofErr w:type="spellStart"/>
      <w:r w:rsidRPr="0014206F" w:rsidR="00325F74">
        <w:t>Miklósné</w:t>
      </w:r>
      <w:proofErr w:type="spellEnd"/>
      <w:r w:rsidRPr="0014206F" w:rsidR="00325F74">
        <w:t xml:space="preserve"> </w:t>
      </w:r>
      <w:proofErr w:type="spellStart"/>
      <w:r w:rsidRPr="0014206F" w:rsidR="00325F74">
        <w:t>Kecskés</w:t>
      </w:r>
      <w:proofErr w:type="spellEnd"/>
      <w:r w:rsidRPr="0014206F" w:rsidR="00325F74">
        <w:t>) and other persons were co-owners of a plot</w:t>
      </w:r>
      <w:r w:rsidRPr="0014206F" w:rsidR="00C43190">
        <w:t xml:space="preserve"> of land</w:t>
      </w:r>
      <w:r w:rsidRPr="0014206F" w:rsidR="00325F74">
        <w:t xml:space="preserve"> of 4</w:t>
      </w:r>
      <w:r w:rsidRPr="0014206F" w:rsidR="00C43190">
        <w:t>,</w:t>
      </w:r>
      <w:r w:rsidRPr="0014206F" w:rsidR="00325F74">
        <w:t>847 sq. m</w:t>
      </w:r>
      <w:r w:rsidRPr="0014206F" w:rsidR="003C119C">
        <w:t xml:space="preserve"> (land </w:t>
      </w:r>
      <w:r w:rsidRPr="0014206F" w:rsidR="004944CB">
        <w:t>registry title no. 223591)</w:t>
      </w:r>
      <w:r w:rsidRPr="0014206F" w:rsidR="00325F74">
        <w:t xml:space="preserve"> in District</w:t>
      </w:r>
      <w:r w:rsidRPr="0014206F" w:rsidR="006F20F0">
        <w:t xml:space="preserve"> XXII</w:t>
      </w:r>
      <w:r w:rsidRPr="0014206F" w:rsidR="00325F74">
        <w:t xml:space="preserve"> of Budapest. </w:t>
      </w:r>
      <w:proofErr w:type="gramStart"/>
      <w:r w:rsidRPr="0014206F" w:rsidR="00325F74">
        <w:t>Th</w:t>
      </w:r>
      <w:r w:rsidRPr="0014206F" w:rsidR="003C119C">
        <w:t>ey also co</w:t>
      </w:r>
      <w:r w:rsidRPr="0014206F" w:rsidR="003C119C">
        <w:noBreakHyphen/>
      </w:r>
      <w:r w:rsidRPr="0014206F" w:rsidR="00325F74">
        <w:t>owned a neighbouring plot</w:t>
      </w:r>
      <w:r w:rsidRPr="0014206F" w:rsidR="00C43190">
        <w:t xml:space="preserve"> of land</w:t>
      </w:r>
      <w:r w:rsidRPr="0014206F" w:rsidR="00500062">
        <w:t xml:space="preserve"> of 423 sq. m (land </w:t>
      </w:r>
      <w:r w:rsidRPr="0014206F" w:rsidR="00325F74">
        <w:t>registry</w:t>
      </w:r>
      <w:r w:rsidRPr="0014206F" w:rsidR="00500062">
        <w:t xml:space="preserve"> </w:t>
      </w:r>
      <w:r w:rsidRPr="0014206F" w:rsidR="008F5AF5">
        <w:t>title</w:t>
      </w:r>
      <w:r w:rsidRPr="0014206F" w:rsidR="003C119C">
        <w:t> no. </w:t>
      </w:r>
      <w:r w:rsidRPr="0014206F" w:rsidR="00325F74">
        <w:t>223592).</w:t>
      </w:r>
      <w:proofErr w:type="gramEnd"/>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6</w:t>
      </w:r>
      <w:r w:rsidRPr="0014206F">
        <w:fldChar w:fldCharType="end"/>
      </w:r>
      <w:r w:rsidRPr="0014206F">
        <w:t>.  On 19 January 1998 the Budapest District</w:t>
      </w:r>
      <w:r w:rsidRPr="0014206F" w:rsidR="00D102AA">
        <w:t xml:space="preserve"> XXII</w:t>
      </w:r>
      <w:r w:rsidRPr="0014206F">
        <w:t xml:space="preserve"> Mayor</w:t>
      </w:r>
      <w:r w:rsidRPr="0014206F" w:rsidR="0014206F">
        <w:t>’</w:t>
      </w:r>
      <w:r w:rsidRPr="0014206F">
        <w:t xml:space="preserve">s Office (hereafter “the local </w:t>
      </w:r>
      <w:r w:rsidRPr="0014206F" w:rsidR="002D2015">
        <w:t>authority</w:t>
      </w:r>
      <w:r w:rsidRPr="0014206F">
        <w:t>”) ordered the partition of plot</w:t>
      </w:r>
      <w:r w:rsidRPr="0014206F" w:rsidR="00933558">
        <w:t xml:space="preserve"> </w:t>
      </w:r>
      <w:r w:rsidRPr="0014206F">
        <w:t xml:space="preserve">no. 223591 into </w:t>
      </w:r>
      <w:r w:rsidRPr="0014206F" w:rsidR="00F97192">
        <w:t>two plots measuring</w:t>
      </w:r>
      <w:r w:rsidRPr="0014206F">
        <w:t xml:space="preserve"> 1</w:t>
      </w:r>
      <w:r w:rsidRPr="0014206F" w:rsidR="00933558">
        <w:t>,</w:t>
      </w:r>
      <w:r w:rsidRPr="0014206F">
        <w:t>519 sq. m and 3</w:t>
      </w:r>
      <w:r w:rsidRPr="0014206F" w:rsidR="00933558">
        <w:t>,</w:t>
      </w:r>
      <w:r w:rsidRPr="0014206F">
        <w:t>328 sq. m. In the same decision, it requisitioned (</w:t>
      </w:r>
      <w:proofErr w:type="spellStart"/>
      <w:r w:rsidRPr="0014206F">
        <w:rPr>
          <w:i/>
        </w:rPr>
        <w:t>lejegyzés</w:t>
      </w:r>
      <w:proofErr w:type="spellEnd"/>
      <w:r w:rsidRPr="0014206F">
        <w:t>) the plot of 1</w:t>
      </w:r>
      <w:r w:rsidRPr="0014206F" w:rsidR="00933558">
        <w:t>,</w:t>
      </w:r>
      <w:r w:rsidRPr="0014206F">
        <w:t>519 sq. m for the purpose of constructi</w:t>
      </w:r>
      <w:r w:rsidRPr="0014206F" w:rsidR="007F2A38">
        <w:t>ng</w:t>
      </w:r>
      <w:r w:rsidRPr="0014206F">
        <w:t xml:space="preserve"> a local public road and awarded compensation of 5,511,000</w:t>
      </w:r>
      <w:r w:rsidRPr="0014206F" w:rsidR="005B303E">
        <w:t> </w:t>
      </w:r>
      <w:r w:rsidRPr="0014206F">
        <w:t>Hungarian forints (HUF</w:t>
      </w:r>
      <w:r w:rsidRPr="0014206F" w:rsidR="00933558">
        <w:t xml:space="preserve"> –</w:t>
      </w:r>
      <w:r w:rsidRPr="0014206F">
        <w:t xml:space="preserve"> approximately 25,000 European Currency Unit</w:t>
      </w:r>
      <w:r w:rsidRPr="0014206F" w:rsidR="00C21F9D">
        <w:t>s</w:t>
      </w:r>
      <w:r w:rsidRPr="0014206F">
        <w:t xml:space="preserve"> (ECU)</w:t>
      </w:r>
      <w:r w:rsidRPr="0014206F" w:rsidR="00C21F9D">
        <w:t xml:space="preserve"> (the predecessor to the euro)</w:t>
      </w:r>
      <w:r w:rsidRPr="0014206F">
        <w:t xml:space="preserve"> at the material time), to be distributed among the owners in proportion to their ownership shares.</w:t>
      </w:r>
    </w:p>
    <w:bookmarkStart w:name="para7" w:id="2"/>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7</w:t>
      </w:r>
      <w:r w:rsidRPr="0014206F">
        <w:fldChar w:fldCharType="end"/>
      </w:r>
      <w:bookmarkEnd w:id="2"/>
      <w:r w:rsidRPr="0014206F">
        <w:t xml:space="preserve">.  At the same time, the local </w:t>
      </w:r>
      <w:r w:rsidRPr="0014206F" w:rsidR="00521C89">
        <w:t xml:space="preserve">authority </w:t>
      </w:r>
      <w:r w:rsidRPr="0014206F">
        <w:t>also partitioned plot no.</w:t>
      </w:r>
      <w:r w:rsidRPr="0014206F" w:rsidR="005B303E">
        <w:t> </w:t>
      </w:r>
      <w:r w:rsidRPr="0014206F">
        <w:t>223592 and requisitioned a part</w:t>
      </w:r>
      <w:r w:rsidRPr="0014206F" w:rsidR="002224F0">
        <w:t xml:space="preserve"> of that land with an area</w:t>
      </w:r>
      <w:r w:rsidRPr="0014206F">
        <w:t xml:space="preserve"> of 123 sq. m </w:t>
      </w:r>
      <w:r w:rsidRPr="0014206F" w:rsidR="002224F0">
        <w:t xml:space="preserve">in exchange </w:t>
      </w:r>
      <w:r w:rsidRPr="0014206F">
        <w:t>for compensation of HUF 376,200 (approximately ECU 1,700).</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8</w:t>
      </w:r>
      <w:r w:rsidRPr="0014206F">
        <w:fldChar w:fldCharType="end"/>
      </w:r>
      <w:r w:rsidRPr="0014206F">
        <w:t>.  The decisions were served on the first applicant</w:t>
      </w:r>
      <w:r w:rsidRPr="0014206F" w:rsidR="0014206F">
        <w:t>’</w:t>
      </w:r>
      <w:r w:rsidRPr="0014206F">
        <w:t>s legal predecessor, the second applicant, the third applicant and the third applicant</w:t>
      </w:r>
      <w:r w:rsidRPr="0014206F" w:rsidR="0014206F">
        <w:t>’</w:t>
      </w:r>
      <w:r w:rsidRPr="0014206F">
        <w:t>s legal predecessor, among other persons. They appealed against it.</w:t>
      </w:r>
    </w:p>
    <w:p w:rsidRPr="0014206F" w:rsidR="00555886"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9</w:t>
      </w:r>
      <w:r w:rsidRPr="0014206F">
        <w:fldChar w:fldCharType="end"/>
      </w:r>
      <w:r w:rsidRPr="0014206F">
        <w:t>.  On 6 March 1998 the Budapest Public Administration Office (</w:t>
      </w:r>
      <w:r w:rsidRPr="0014206F">
        <w:rPr>
          <w:i/>
        </w:rPr>
        <w:t xml:space="preserve">Budapest </w:t>
      </w:r>
      <w:proofErr w:type="spellStart"/>
      <w:r w:rsidRPr="0014206F">
        <w:rPr>
          <w:i/>
        </w:rPr>
        <w:t>Főváros</w:t>
      </w:r>
      <w:proofErr w:type="spellEnd"/>
      <w:r w:rsidRPr="0014206F">
        <w:rPr>
          <w:i/>
        </w:rPr>
        <w:t xml:space="preserve"> </w:t>
      </w:r>
      <w:proofErr w:type="spellStart"/>
      <w:r w:rsidRPr="0014206F">
        <w:rPr>
          <w:i/>
        </w:rPr>
        <w:t>Közigazgatási</w:t>
      </w:r>
      <w:proofErr w:type="spellEnd"/>
      <w:r w:rsidRPr="0014206F">
        <w:rPr>
          <w:i/>
        </w:rPr>
        <w:t xml:space="preserve"> </w:t>
      </w:r>
      <w:proofErr w:type="spellStart"/>
      <w:r w:rsidRPr="0014206F">
        <w:rPr>
          <w:i/>
        </w:rPr>
        <w:t>Hivatala</w:t>
      </w:r>
      <w:proofErr w:type="spellEnd"/>
      <w:r w:rsidRPr="0014206F">
        <w:t>) upheld the first</w:t>
      </w:r>
      <w:r w:rsidRPr="0014206F" w:rsidR="007F2A38">
        <w:t>-</w:t>
      </w:r>
      <w:r w:rsidRPr="0014206F">
        <w:t>instance decisions, which thus became final.</w:t>
      </w:r>
    </w:p>
    <w:bookmarkStart w:name="para10" w:id="3"/>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10</w:t>
      </w:r>
      <w:r w:rsidRPr="0014206F">
        <w:fldChar w:fldCharType="end"/>
      </w:r>
      <w:bookmarkEnd w:id="3"/>
      <w:r w:rsidRPr="0014206F">
        <w:t xml:space="preserve">.  On 25 March 1998 the local </w:t>
      </w:r>
      <w:r w:rsidRPr="0014206F" w:rsidR="00521C89">
        <w:t xml:space="preserve">authority </w:t>
      </w:r>
      <w:r w:rsidRPr="0014206F">
        <w:t>entered into possession</w:t>
      </w:r>
      <w:r w:rsidRPr="0014206F" w:rsidR="0099164D">
        <w:t xml:space="preserve"> of the requisitioned plots of land</w:t>
      </w:r>
      <w:r w:rsidRPr="0014206F">
        <w:t xml:space="preserve"> and paid the compensation to the applicants, who only</w:t>
      </w:r>
      <w:r w:rsidRPr="0014206F" w:rsidR="00DC7FD7">
        <w:t xml:space="preserve"> provisionally</w:t>
      </w:r>
      <w:r w:rsidRPr="0014206F">
        <w:t xml:space="preserve"> accepted the sum</w:t>
      </w:r>
      <w:r w:rsidRPr="0014206F" w:rsidR="00987D0E">
        <w:t>,</w:t>
      </w:r>
      <w:r w:rsidRPr="0014206F">
        <w:t xml:space="preserve"> while reserving their right to bring court</w:t>
      </w:r>
      <w:r w:rsidRPr="0014206F" w:rsidR="000B4348">
        <w:t xml:space="preserve"> proceedings</w:t>
      </w:r>
      <w:r w:rsidRPr="0014206F">
        <w:t xml:space="preserve"> against the </w:t>
      </w:r>
      <w:r w:rsidRPr="0014206F" w:rsidR="00987D0E">
        <w:t>requisition orders</w:t>
      </w:r>
      <w:r w:rsidRPr="0014206F">
        <w:t>.</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11</w:t>
      </w:r>
      <w:r w:rsidRPr="0014206F">
        <w:fldChar w:fldCharType="end"/>
      </w:r>
      <w:r w:rsidRPr="0014206F">
        <w:t xml:space="preserve">.  On 13 April 1998 some of the </w:t>
      </w:r>
      <w:r w:rsidRPr="0014206F" w:rsidR="003B58B5">
        <w:t xml:space="preserve">above-mentioned </w:t>
      </w:r>
      <w:r w:rsidRPr="0014206F">
        <w:t>owners challenged the administrative decisions in court. The legal predecessor of the first applicant and the second applicant himself were parties to the proceedings, but not the third applicant or his legal predecessor.</w:t>
      </w:r>
    </w:p>
    <w:bookmarkStart w:name="para12" w:id="4"/>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12</w:t>
      </w:r>
      <w:r w:rsidRPr="0014206F">
        <w:fldChar w:fldCharType="end"/>
      </w:r>
      <w:bookmarkEnd w:id="4"/>
      <w:r w:rsidRPr="0014206F">
        <w:t>.  On 16 March 2005, following two remittals ordered by the Budapest Court of Appeal, the Budapest High Court delivered a first</w:t>
      </w:r>
      <w:r w:rsidRPr="0014206F" w:rsidR="008E37B5">
        <w:t>-</w:t>
      </w:r>
      <w:r w:rsidRPr="0014206F">
        <w:t xml:space="preserve">instance judgment and dismissed the </w:t>
      </w:r>
      <w:r w:rsidRPr="0014206F" w:rsidR="00750778">
        <w:t>claim</w:t>
      </w:r>
      <w:r w:rsidRPr="0014206F">
        <w:t>.</w:t>
      </w:r>
    </w:p>
    <w:bookmarkStart w:name="unlawful_1" w:id="5"/>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13</w:t>
      </w:r>
      <w:r w:rsidRPr="0014206F">
        <w:fldChar w:fldCharType="end"/>
      </w:r>
      <w:bookmarkEnd w:id="5"/>
      <w:r w:rsidRPr="0014206F">
        <w:t>.  On 30 November 2005 the Budapest Court of Appeal overturned the first</w:t>
      </w:r>
      <w:r w:rsidRPr="0014206F" w:rsidR="00E452A5">
        <w:t>-</w:t>
      </w:r>
      <w:r w:rsidRPr="0014206F">
        <w:t xml:space="preserve">instance judgment and ordered new administrative proceedings. It held that the local </w:t>
      </w:r>
      <w:r w:rsidRPr="0014206F" w:rsidR="00521C89">
        <w:t>authority</w:t>
      </w:r>
      <w:r w:rsidRPr="0014206F" w:rsidR="0014206F">
        <w:t>’</w:t>
      </w:r>
      <w:r w:rsidRPr="0014206F" w:rsidR="00521C89">
        <w:t xml:space="preserve">s </w:t>
      </w:r>
      <w:r w:rsidRPr="0014206F">
        <w:t xml:space="preserve">decision </w:t>
      </w:r>
      <w:r w:rsidRPr="0014206F" w:rsidR="00073C50">
        <w:t xml:space="preserve">had been </w:t>
      </w:r>
      <w:r w:rsidRPr="0014206F">
        <w:t xml:space="preserve">tainted by a procedural irregularity, in that the local </w:t>
      </w:r>
      <w:r w:rsidRPr="0014206F" w:rsidR="00521C89">
        <w:t>authority</w:t>
      </w:r>
      <w:r w:rsidRPr="0014206F" w:rsidR="0014206F">
        <w:t>’</w:t>
      </w:r>
      <w:r w:rsidRPr="0014206F" w:rsidR="00521C89">
        <w:t xml:space="preserve">s </w:t>
      </w:r>
      <w:r w:rsidRPr="0014206F">
        <w:t>notary (who</w:t>
      </w:r>
      <w:r w:rsidRPr="0014206F" w:rsidR="00F83C79">
        <w:t xml:space="preserve"> had</w:t>
      </w:r>
      <w:r w:rsidRPr="0014206F">
        <w:t xml:space="preserve"> adopted the decision of 19 January 1998) should have abstained from taking a decision in a case in which the local </w:t>
      </w:r>
      <w:r w:rsidRPr="0014206F" w:rsidR="00521C89">
        <w:t xml:space="preserve">authority </w:t>
      </w:r>
      <w:r w:rsidRPr="0014206F">
        <w:t xml:space="preserve">employing him </w:t>
      </w:r>
      <w:r w:rsidRPr="0014206F" w:rsidR="00073C50">
        <w:t xml:space="preserve">had been </w:t>
      </w:r>
      <w:r w:rsidRPr="0014206F">
        <w:t>one of the interested parties.</w:t>
      </w:r>
    </w:p>
    <w:p w:rsidRPr="0014206F" w:rsidR="00555886"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14</w:t>
      </w:r>
      <w:r w:rsidRPr="0014206F">
        <w:fldChar w:fldCharType="end"/>
      </w:r>
      <w:r w:rsidRPr="0014206F">
        <w:t>.  Accordingly, the Budapest District</w:t>
      </w:r>
      <w:r w:rsidRPr="0014206F" w:rsidR="00D74A75">
        <w:t xml:space="preserve"> XI</w:t>
      </w:r>
      <w:r w:rsidRPr="0014206F">
        <w:t xml:space="preserve"> Mayor</w:t>
      </w:r>
      <w:r w:rsidRPr="0014206F" w:rsidR="0014206F">
        <w:t>’</w:t>
      </w:r>
      <w:r w:rsidRPr="0014206F">
        <w:t>s Office was appointed to conduct new first</w:t>
      </w:r>
      <w:r w:rsidRPr="0014206F" w:rsidR="00226C66">
        <w:t>-</w:t>
      </w:r>
      <w:r w:rsidRPr="0014206F">
        <w:t>instance administrative proceedings. On 7 February 2008 it adopted a decision identical to that of 19 January 1998</w:t>
      </w:r>
      <w:r w:rsidRPr="0014206F" w:rsidR="003C119C">
        <w:t xml:space="preserve"> (see </w:t>
      </w:r>
      <w:r w:rsidRPr="0014206F" w:rsidR="004F3542">
        <w:t xml:space="preserve">paragraph </w:t>
      </w:r>
      <w:r w:rsidRPr="0014206F" w:rsidR="004F3542">
        <w:fldChar w:fldCharType="begin"/>
      </w:r>
      <w:r w:rsidRPr="0014206F" w:rsidR="004F3542">
        <w:instrText xml:space="preserve"> REF para7 \h </w:instrText>
      </w:r>
      <w:r w:rsidRPr="0014206F" w:rsidR="004F3542">
        <w:fldChar w:fldCharType="separate"/>
      </w:r>
      <w:r w:rsidRPr="0014206F" w:rsidR="0014206F">
        <w:rPr>
          <w:noProof/>
        </w:rPr>
        <w:t>7</w:t>
      </w:r>
      <w:r w:rsidRPr="0014206F" w:rsidR="004F3542">
        <w:fldChar w:fldCharType="end"/>
      </w:r>
      <w:r w:rsidRPr="0014206F" w:rsidR="004F3542">
        <w:t xml:space="preserve"> above)</w:t>
      </w:r>
      <w:r w:rsidRPr="0014206F">
        <w:t>.</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15</w:t>
      </w:r>
      <w:r w:rsidRPr="0014206F">
        <w:fldChar w:fldCharType="end"/>
      </w:r>
      <w:r w:rsidRPr="0014206F">
        <w:t xml:space="preserve">.  On 2 July 2008 the decision was upheld on appeal by the Public Administration Office of Budapest, with </w:t>
      </w:r>
      <w:r w:rsidRPr="0014206F" w:rsidR="00B62949">
        <w:t xml:space="preserve">an </w:t>
      </w:r>
      <w:r w:rsidRPr="0014206F">
        <w:t xml:space="preserve">amendment that the compensation </w:t>
      </w:r>
      <w:r w:rsidRPr="0014206F" w:rsidR="00B62949">
        <w:t>figures should be</w:t>
      </w:r>
      <w:r w:rsidRPr="0014206F">
        <w:t xml:space="preserve"> increased </w:t>
      </w:r>
      <w:r w:rsidRPr="0014206F" w:rsidR="0089176E">
        <w:t xml:space="preserve">by </w:t>
      </w:r>
      <w:r w:rsidRPr="0014206F">
        <w:t>accrued interest.</w:t>
      </w:r>
    </w:p>
    <w:bookmarkStart w:name="para16" w:id="6"/>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16</w:t>
      </w:r>
      <w:r w:rsidRPr="0014206F">
        <w:fldChar w:fldCharType="end"/>
      </w:r>
      <w:bookmarkEnd w:id="6"/>
      <w:r w:rsidRPr="0014206F">
        <w:t xml:space="preserve">.  On 27 August 2008 the first applicant challenged the new administrative decision in court. </w:t>
      </w:r>
      <w:proofErr w:type="gramStart"/>
      <w:r w:rsidRPr="0014206F">
        <w:t xml:space="preserve">The second and third applicants </w:t>
      </w:r>
      <w:r w:rsidRPr="0014206F" w:rsidR="004F317A">
        <w:t>intervened (</w:t>
      </w:r>
      <w:proofErr w:type="spellStart"/>
      <w:r w:rsidRPr="0014206F" w:rsidR="004F317A">
        <w:rPr>
          <w:i/>
        </w:rPr>
        <w:t>beavatkozó</w:t>
      </w:r>
      <w:proofErr w:type="spellEnd"/>
      <w:r w:rsidRPr="0014206F" w:rsidR="004F317A">
        <w:t>) in</w:t>
      </w:r>
      <w:r w:rsidRPr="0014206F">
        <w:t xml:space="preserve"> the proceedings </w:t>
      </w:r>
      <w:r w:rsidRPr="0014206F" w:rsidR="004F317A">
        <w:t xml:space="preserve">in </w:t>
      </w:r>
      <w:r w:rsidRPr="0014206F" w:rsidR="00066DE8">
        <w:t>support</w:t>
      </w:r>
      <w:r w:rsidRPr="0014206F" w:rsidR="004F317A">
        <w:t xml:space="preserve"> of</w:t>
      </w:r>
      <w:r w:rsidRPr="0014206F" w:rsidR="00066DE8">
        <w:t xml:space="preserve"> </w:t>
      </w:r>
      <w:r w:rsidRPr="0014206F">
        <w:t>the first applicant.</w:t>
      </w:r>
      <w:proofErr w:type="gramEnd"/>
    </w:p>
    <w:bookmarkStart w:name="unlawful_2" w:id="7"/>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17</w:t>
      </w:r>
      <w:r w:rsidRPr="0014206F">
        <w:fldChar w:fldCharType="end"/>
      </w:r>
      <w:bookmarkEnd w:id="7"/>
      <w:r w:rsidRPr="0014206F">
        <w:t>.  On 11 March 2010 the Budapest High Court found for the applicants, quashed the administrative decision because it had been adopted on the basis of a legal provision previously annulled by the Constitutional Court, and ordered new proceedings.</w:t>
      </w:r>
    </w:p>
    <w:bookmarkStart w:name="lawful" w:id="8"/>
    <w:p w:rsidRPr="0014206F" w:rsidR="00555886"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18</w:t>
      </w:r>
      <w:r w:rsidRPr="0014206F">
        <w:fldChar w:fldCharType="end"/>
      </w:r>
      <w:bookmarkEnd w:id="8"/>
      <w:r w:rsidRPr="0014206F">
        <w:t>.  On 10 January 2015 the Budapest Government Office (</w:t>
      </w:r>
      <w:r w:rsidRPr="0014206F" w:rsidR="003C119C">
        <w:rPr>
          <w:i/>
        </w:rPr>
        <w:t>Budapest </w:t>
      </w:r>
      <w:proofErr w:type="spellStart"/>
      <w:r w:rsidRPr="0014206F">
        <w:rPr>
          <w:i/>
        </w:rPr>
        <w:t>Főváros</w:t>
      </w:r>
      <w:proofErr w:type="spellEnd"/>
      <w:r w:rsidRPr="0014206F">
        <w:rPr>
          <w:i/>
        </w:rPr>
        <w:t xml:space="preserve"> </w:t>
      </w:r>
      <w:proofErr w:type="spellStart"/>
      <w:r w:rsidRPr="0014206F">
        <w:rPr>
          <w:i/>
        </w:rPr>
        <w:t>Kormányhivatala</w:t>
      </w:r>
      <w:proofErr w:type="spellEnd"/>
      <w:r w:rsidRPr="0014206F">
        <w:t>) adopted a new administrative decision, with the same content as before, but on different legal grounds.</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19</w:t>
      </w:r>
      <w:r w:rsidRPr="0014206F">
        <w:fldChar w:fldCharType="end"/>
      </w:r>
      <w:r w:rsidRPr="0014206F">
        <w:t xml:space="preserve">.  On 9 February 2015 the applicants brought </w:t>
      </w:r>
      <w:r w:rsidRPr="0014206F" w:rsidR="003A3C54">
        <w:t>court proceedings</w:t>
      </w:r>
      <w:r w:rsidRPr="0014206F">
        <w:t xml:space="preserve"> against th</w:t>
      </w:r>
      <w:r w:rsidRPr="0014206F" w:rsidR="004F3542">
        <w:t>at</w:t>
      </w:r>
      <w:r w:rsidRPr="0014206F">
        <w:t xml:space="preserve"> decision.</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20</w:t>
      </w:r>
      <w:r w:rsidRPr="0014206F">
        <w:fldChar w:fldCharType="end"/>
      </w:r>
      <w:r w:rsidRPr="0014206F">
        <w:t>.  On 19 April 2016 the Budapest Administrative and Labour Court delivered its judgment. It dismissed the applicants</w:t>
      </w:r>
      <w:r w:rsidRPr="0014206F" w:rsidR="0014206F">
        <w:t>’</w:t>
      </w:r>
      <w:r w:rsidRPr="0014206F">
        <w:t xml:space="preserve"> action as far as the requisition</w:t>
      </w:r>
      <w:r w:rsidRPr="0014206F" w:rsidR="0014206F">
        <w:t>’</w:t>
      </w:r>
      <w:r w:rsidRPr="0014206F">
        <w:t xml:space="preserve">s lawfulness was concerned but quashed the administrative decision as regards the compensation amount. </w:t>
      </w:r>
      <w:r w:rsidRPr="0014206F" w:rsidR="00AA0D0B">
        <w:t xml:space="preserve">It held that the compensation amount should be set at such sum as reflected by an assessment of the value of the properties as at 2015 and that the assessment should be carried out in accordance with the provisions of Government Decree no. 58/2015 (III.24). </w:t>
      </w:r>
      <w:r w:rsidRPr="0014206F">
        <w:t xml:space="preserve">The </w:t>
      </w:r>
      <w:r w:rsidRPr="0014206F" w:rsidR="00EA2CA8">
        <w:t>g</w:t>
      </w:r>
      <w:r w:rsidRPr="0014206F">
        <w:t xml:space="preserve">overnment </w:t>
      </w:r>
      <w:r w:rsidRPr="0014206F" w:rsidR="00EA2CA8">
        <w:t>d</w:t>
      </w:r>
      <w:r w:rsidRPr="0014206F">
        <w:t>ecree in question contain</w:t>
      </w:r>
      <w:r w:rsidRPr="0014206F" w:rsidR="0090365E">
        <w:t>ed</w:t>
      </w:r>
      <w:r w:rsidRPr="0014206F">
        <w:t xml:space="preserve"> a table for the purposes of calculating social security pension</w:t>
      </w:r>
      <w:r w:rsidRPr="0014206F" w:rsidR="00AA0CF6">
        <w:t>s</w:t>
      </w:r>
      <w:r w:rsidRPr="0014206F">
        <w:t>. In that table</w:t>
      </w:r>
      <w:r w:rsidRPr="0014206F" w:rsidR="003C57FF">
        <w:t>,</w:t>
      </w:r>
      <w:r w:rsidRPr="0014206F">
        <w:t xml:space="preserve"> different multiplication factors </w:t>
      </w:r>
      <w:r w:rsidRPr="0014206F" w:rsidR="0090365E">
        <w:t xml:space="preserve">were </w:t>
      </w:r>
      <w:r w:rsidRPr="0014206F">
        <w:t xml:space="preserve">associated </w:t>
      </w:r>
      <w:r w:rsidRPr="0014206F" w:rsidR="008C4353">
        <w:t xml:space="preserve">with </w:t>
      </w:r>
      <w:r w:rsidRPr="0014206F">
        <w:t>different years (from 1950 on</w:t>
      </w:r>
      <w:r w:rsidRPr="0014206F" w:rsidR="00124EF2">
        <w:t>wards</w:t>
      </w:r>
      <w:r w:rsidRPr="0014206F">
        <w:t xml:space="preserve">), making </w:t>
      </w:r>
      <w:r w:rsidRPr="0014206F" w:rsidR="00124EF2">
        <w:t xml:space="preserve">it </w:t>
      </w:r>
      <w:r w:rsidRPr="0014206F">
        <w:t xml:space="preserve">thus possible </w:t>
      </w:r>
      <w:r w:rsidRPr="0014206F" w:rsidR="00124EF2">
        <w:t>to calculate</w:t>
      </w:r>
      <w:r w:rsidRPr="0014206F">
        <w:t xml:space="preserve"> the current value of salaries and incomes r</w:t>
      </w:r>
      <w:r w:rsidRPr="0014206F" w:rsidR="007B4A48">
        <w:t>e</w:t>
      </w:r>
      <w:r w:rsidRPr="0014206F">
        <w:t xml:space="preserve">ceived during </w:t>
      </w:r>
      <w:r w:rsidRPr="0014206F" w:rsidR="003D348D">
        <w:t>previous</w:t>
      </w:r>
      <w:r w:rsidRPr="0014206F">
        <w:t xml:space="preserve"> employment.</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21</w:t>
      </w:r>
      <w:r w:rsidRPr="0014206F">
        <w:fldChar w:fldCharType="end"/>
      </w:r>
      <w:r w:rsidRPr="0014206F">
        <w:t xml:space="preserve">.  On 14 June 2017 the </w:t>
      </w:r>
      <w:proofErr w:type="spellStart"/>
      <w:r w:rsidRPr="0014206F">
        <w:rPr>
          <w:i/>
        </w:rPr>
        <w:t>Kúria</w:t>
      </w:r>
      <w:proofErr w:type="spellEnd"/>
      <w:r w:rsidRPr="0014206F">
        <w:t xml:space="preserve"> quashed the final judgment and remitted the case to the Budapest Administrative and Labour Court for the recalculation of the compensation amount. It held that the method of </w:t>
      </w:r>
      <w:r w:rsidRPr="0014206F" w:rsidR="000F7F7C">
        <w:t>assessing the valu</w:t>
      </w:r>
      <w:r w:rsidRPr="0014206F" w:rsidR="00765720">
        <w:t xml:space="preserve">ations </w:t>
      </w:r>
      <w:r w:rsidRPr="0014206F">
        <w:t>applied in the first</w:t>
      </w:r>
      <w:r w:rsidRPr="0014206F" w:rsidR="00B0117B">
        <w:t>-</w:t>
      </w:r>
      <w:r w:rsidRPr="0014206F">
        <w:t>instance judgment could not be used in the context of the case; instead, the amount to be paid should be calculated by an expert on the basis of the properties</w:t>
      </w:r>
      <w:r w:rsidRPr="0014206F" w:rsidR="0014206F">
        <w:t>’</w:t>
      </w:r>
      <w:r w:rsidRPr="0014206F">
        <w:t xml:space="preserve"> market value</w:t>
      </w:r>
      <w:r w:rsidRPr="0014206F" w:rsidR="00EC567C">
        <w:t>s</w:t>
      </w:r>
      <w:r w:rsidRPr="0014206F">
        <w:t xml:space="preserve"> on 10</w:t>
      </w:r>
      <w:r w:rsidRPr="0014206F" w:rsidR="005B303E">
        <w:t> </w:t>
      </w:r>
      <w:r w:rsidRPr="0014206F">
        <w:t>January 2015, from which the compensation already received in 1998</w:t>
      </w:r>
      <w:r w:rsidRPr="0014206F" w:rsidR="004F3542">
        <w:t xml:space="preserve"> (see paragraph </w:t>
      </w:r>
      <w:r w:rsidRPr="0014206F" w:rsidR="004F3542">
        <w:fldChar w:fldCharType="begin"/>
      </w:r>
      <w:r w:rsidRPr="0014206F" w:rsidR="004F3542">
        <w:instrText xml:space="preserve"> REF para10 \h </w:instrText>
      </w:r>
      <w:r w:rsidRPr="0014206F" w:rsidR="004F3542">
        <w:fldChar w:fldCharType="separate"/>
      </w:r>
      <w:r w:rsidRPr="0014206F" w:rsidR="0014206F">
        <w:rPr>
          <w:noProof/>
        </w:rPr>
        <w:t>10</w:t>
      </w:r>
      <w:r w:rsidRPr="0014206F" w:rsidR="004F3542">
        <w:fldChar w:fldCharType="end"/>
      </w:r>
      <w:r w:rsidRPr="0014206F" w:rsidR="004F3542">
        <w:t xml:space="preserve"> above)</w:t>
      </w:r>
      <w:r w:rsidRPr="0014206F">
        <w:t xml:space="preserve"> should be deducted.</w:t>
      </w:r>
    </w:p>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22</w:t>
      </w:r>
      <w:r w:rsidRPr="0014206F">
        <w:fldChar w:fldCharType="end"/>
      </w:r>
      <w:r w:rsidRPr="0014206F">
        <w:t>.  Throughout the court proceedings,</w:t>
      </w:r>
      <w:r w:rsidRPr="0014206F" w:rsidR="002C654E">
        <w:t xml:space="preserve"> the Land Registry</w:t>
      </w:r>
      <w:r w:rsidRPr="0014206F" w:rsidR="00CC23BA">
        <w:t xml:space="preserve"> </w:t>
      </w:r>
      <w:r w:rsidRPr="0014206F" w:rsidR="002C654E">
        <w:t xml:space="preserve">has retained a record of </w:t>
      </w:r>
      <w:r w:rsidRPr="0014206F" w:rsidR="00CC23BA">
        <w:t>the dispute</w:t>
      </w:r>
      <w:r w:rsidRPr="0014206F" w:rsidR="00A61C60">
        <w:t xml:space="preserve"> (</w:t>
      </w:r>
      <w:proofErr w:type="spellStart"/>
      <w:r w:rsidRPr="0014206F" w:rsidR="00A61C60">
        <w:rPr>
          <w:i/>
        </w:rPr>
        <w:t>perfeljegyzés</w:t>
      </w:r>
      <w:proofErr w:type="spellEnd"/>
      <w:r w:rsidRPr="0014206F" w:rsidR="00A61C60">
        <w:t>)</w:t>
      </w:r>
      <w:r w:rsidRPr="0014206F">
        <w:t>.</w:t>
      </w:r>
    </w:p>
    <w:bookmarkStart w:name="para23" w:id="9"/>
    <w:p w:rsidRPr="0014206F" w:rsidR="003A2BA3" w:rsidP="0014206F" w:rsidRDefault="003A2BA3">
      <w:pPr>
        <w:pStyle w:val="ECHRPara"/>
      </w:pPr>
      <w:r w:rsidRPr="0014206F">
        <w:fldChar w:fldCharType="begin"/>
      </w:r>
      <w:r w:rsidRPr="0014206F">
        <w:instrText xml:space="preserve"> SEQ level0 \*arabic </w:instrText>
      </w:r>
      <w:r w:rsidRPr="0014206F">
        <w:fldChar w:fldCharType="separate"/>
      </w:r>
      <w:r w:rsidRPr="0014206F" w:rsidR="0014206F">
        <w:rPr>
          <w:noProof/>
        </w:rPr>
        <w:t>23</w:t>
      </w:r>
      <w:r w:rsidRPr="0014206F">
        <w:fldChar w:fldCharType="end"/>
      </w:r>
      <w:bookmarkEnd w:id="9"/>
      <w:r w:rsidRPr="0014206F">
        <w:t xml:space="preserve">.  The public road contemplated by the local </w:t>
      </w:r>
      <w:r w:rsidRPr="0014206F" w:rsidR="00521C89">
        <w:t>authority</w:t>
      </w:r>
      <w:r w:rsidRPr="0014206F" w:rsidR="0014206F">
        <w:t>’</w:t>
      </w:r>
      <w:r w:rsidRPr="0014206F" w:rsidR="00521C89">
        <w:t xml:space="preserve">s </w:t>
      </w:r>
      <w:r w:rsidRPr="0014206F" w:rsidR="00AD6798">
        <w:t>requisition order of</w:t>
      </w:r>
      <w:r w:rsidRPr="0014206F" w:rsidR="00995C1C">
        <w:t xml:space="preserve"> 1998</w:t>
      </w:r>
      <w:r w:rsidRPr="0014206F">
        <w:t xml:space="preserve"> </w:t>
      </w:r>
      <w:r w:rsidRPr="0014206F" w:rsidR="004F3542">
        <w:t xml:space="preserve">(see paragraph </w:t>
      </w:r>
      <w:r w:rsidRPr="0014206F" w:rsidR="004F3542">
        <w:fldChar w:fldCharType="begin"/>
      </w:r>
      <w:r w:rsidRPr="0014206F" w:rsidR="004F3542">
        <w:instrText xml:space="preserve"> REF para7 \h </w:instrText>
      </w:r>
      <w:r w:rsidRPr="0014206F" w:rsidR="004F3542">
        <w:fldChar w:fldCharType="separate"/>
      </w:r>
      <w:r w:rsidRPr="0014206F" w:rsidR="0014206F">
        <w:rPr>
          <w:noProof/>
        </w:rPr>
        <w:t>7</w:t>
      </w:r>
      <w:r w:rsidRPr="0014206F" w:rsidR="004F3542">
        <w:fldChar w:fldCharType="end"/>
      </w:r>
      <w:r w:rsidRPr="0014206F" w:rsidR="004F3542">
        <w:t xml:space="preserve"> above) </w:t>
      </w:r>
      <w:r w:rsidRPr="0014206F">
        <w:t xml:space="preserve">has </w:t>
      </w:r>
      <w:r w:rsidRPr="0014206F" w:rsidR="004F05CF">
        <w:t>yet to be</w:t>
      </w:r>
      <w:r w:rsidRPr="0014206F">
        <w:t xml:space="preserve"> constructed.</w:t>
      </w:r>
      <w:r w:rsidRPr="0014206F" w:rsidR="004F3542">
        <w:t xml:space="preserve"> At the date of the latest information available to the Court </w:t>
      </w:r>
      <w:r w:rsidRPr="0014206F" w:rsidR="00B65D03">
        <w:t>(</w:t>
      </w:r>
      <w:r w:rsidRPr="0014206F" w:rsidR="00245D7D">
        <w:t>2 October 2018</w:t>
      </w:r>
      <w:r w:rsidRPr="0014206F" w:rsidR="00B65D03">
        <w:t>)</w:t>
      </w:r>
      <w:r w:rsidRPr="0014206F" w:rsidR="004F3542">
        <w:t>, the proceedings concerning the amount of compensation due to the applicants were still pending</w:t>
      </w:r>
      <w:r w:rsidRPr="0014206F" w:rsidR="00F2776E">
        <w:t xml:space="preserve"> before the domestic courts</w:t>
      </w:r>
      <w:r w:rsidRPr="0014206F" w:rsidR="004F3542">
        <w:t>.</w:t>
      </w:r>
    </w:p>
    <w:p w:rsidRPr="0014206F" w:rsidR="00D420F3" w:rsidP="0014206F" w:rsidRDefault="0077175D">
      <w:pPr>
        <w:pStyle w:val="ECHRTitle1"/>
      </w:pPr>
      <w:r w:rsidRPr="0014206F">
        <w:t>THE LAW</w:t>
      </w:r>
    </w:p>
    <w:p w:rsidRPr="0014206F" w:rsidR="00D420F3" w:rsidP="0014206F" w:rsidRDefault="0077175D">
      <w:pPr>
        <w:pStyle w:val="ECHRHeading1"/>
      </w:pPr>
      <w:r w:rsidRPr="0014206F">
        <w:t xml:space="preserve">I.  ALLEGED VIOLATION OF ARTICLE </w:t>
      </w:r>
      <w:r w:rsidRPr="0014206F" w:rsidR="00C64697">
        <w:t>6</w:t>
      </w:r>
      <w:r w:rsidRPr="0014206F">
        <w:t xml:space="preserve"> OF THE CONVENTION</w:t>
      </w:r>
    </w:p>
    <w:bookmarkStart w:name="A6_complaint" w:id="10"/>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24</w:t>
      </w:r>
      <w:r w:rsidRPr="0014206F">
        <w:fldChar w:fldCharType="end"/>
      </w:r>
      <w:bookmarkEnd w:id="10"/>
      <w:r w:rsidRPr="0014206F" w:rsidR="0077175D">
        <w:t>.  </w:t>
      </w:r>
      <w:r w:rsidRPr="0014206F" w:rsidR="00732144">
        <w:t xml:space="preserve">The applicants complained that the length of the civil proceedings in question </w:t>
      </w:r>
      <w:r w:rsidRPr="0014206F" w:rsidR="00BC12E3">
        <w:t>was</w:t>
      </w:r>
      <w:r w:rsidRPr="0014206F" w:rsidR="00732144">
        <w:t xml:space="preserve"> incompatible with the “reasonable time” requirement laid down in Article 6 § 1 of the Convention, which reads as follows:</w:t>
      </w:r>
    </w:p>
    <w:p w:rsidRPr="0014206F" w:rsidR="00732144" w:rsidP="0014206F" w:rsidRDefault="00732144">
      <w:pPr>
        <w:pStyle w:val="ECHRParaQuote"/>
      </w:pPr>
      <w:r w:rsidRPr="0014206F">
        <w:t>“In the determination of his civil rights and obligations ... everyone is entitled to a ... hearing within a reasonable time by [a] ... tribunal ...”</w:t>
      </w:r>
    </w:p>
    <w:p w:rsidRPr="0014206F" w:rsidR="0096106B" w:rsidP="0014206F" w:rsidRDefault="0096106B">
      <w:pPr>
        <w:pStyle w:val="ECHRPara"/>
      </w:pPr>
      <w:r w:rsidRPr="0014206F">
        <w:fldChar w:fldCharType="begin"/>
      </w:r>
      <w:r w:rsidRPr="0014206F">
        <w:instrText xml:space="preserve"> SEQ level0 \*arabic </w:instrText>
      </w:r>
      <w:r w:rsidRPr="0014206F">
        <w:fldChar w:fldCharType="separate"/>
      </w:r>
      <w:r w:rsidRPr="0014206F" w:rsidR="0014206F">
        <w:rPr>
          <w:noProof/>
        </w:rPr>
        <w:t>25</w:t>
      </w:r>
      <w:r w:rsidRPr="0014206F">
        <w:fldChar w:fldCharType="end"/>
      </w:r>
      <w:r w:rsidRPr="0014206F">
        <w:t xml:space="preserve">.  The Court notes that the period to be taken into consideration began on 13 April 1998 in respect of the first and second applicants </w:t>
      </w:r>
      <w:r w:rsidRPr="0014206F" w:rsidR="003C119C">
        <w:t>(see </w:t>
      </w:r>
      <w:r w:rsidRPr="0014206F" w:rsidR="004F3542">
        <w:t>paragraph </w:t>
      </w:r>
      <w:r w:rsidRPr="0014206F" w:rsidR="004F3542">
        <w:fldChar w:fldCharType="begin"/>
      </w:r>
      <w:r w:rsidRPr="0014206F" w:rsidR="004F3542">
        <w:instrText xml:space="preserve"> REF para12 \h </w:instrText>
      </w:r>
      <w:r w:rsidRPr="0014206F" w:rsidR="004F3542">
        <w:fldChar w:fldCharType="separate"/>
      </w:r>
      <w:r w:rsidRPr="0014206F" w:rsidR="0014206F">
        <w:rPr>
          <w:noProof/>
        </w:rPr>
        <w:t>12</w:t>
      </w:r>
      <w:r w:rsidRPr="0014206F" w:rsidR="004F3542">
        <w:fldChar w:fldCharType="end"/>
      </w:r>
      <w:r w:rsidRPr="0014206F" w:rsidR="004F3542">
        <w:t xml:space="preserve"> above) </w:t>
      </w:r>
      <w:r w:rsidRPr="0014206F">
        <w:t xml:space="preserve">and on </w:t>
      </w:r>
      <w:r w:rsidRPr="0014206F" w:rsidR="009C6704">
        <w:t>27 </w:t>
      </w:r>
      <w:r w:rsidRPr="0014206F">
        <w:t>August 2008 in respect of the third applicant</w:t>
      </w:r>
      <w:r w:rsidRPr="0014206F" w:rsidR="00F2776E">
        <w:t xml:space="preserve"> (see paragraph </w:t>
      </w:r>
      <w:r w:rsidRPr="0014206F" w:rsidR="00F2776E">
        <w:fldChar w:fldCharType="begin"/>
      </w:r>
      <w:r w:rsidRPr="0014206F" w:rsidR="00F2776E">
        <w:instrText xml:space="preserve"> REF para16 \h </w:instrText>
      </w:r>
      <w:r w:rsidRPr="0014206F" w:rsidR="00F2776E">
        <w:fldChar w:fldCharType="separate"/>
      </w:r>
      <w:r w:rsidRPr="0014206F" w:rsidR="0014206F">
        <w:rPr>
          <w:noProof/>
        </w:rPr>
        <w:t>16</w:t>
      </w:r>
      <w:r w:rsidRPr="0014206F" w:rsidR="00F2776E">
        <w:fldChar w:fldCharType="end"/>
      </w:r>
      <w:r w:rsidRPr="0014206F" w:rsidR="00F2776E">
        <w:t xml:space="preserve"> above). As at the date of the latest information available to the Court (</w:t>
      </w:r>
      <w:r w:rsidRPr="0014206F" w:rsidR="00245D7D">
        <w:t>2 October 2018</w:t>
      </w:r>
      <w:r w:rsidRPr="0014206F" w:rsidR="00F2776E">
        <w:t xml:space="preserve">), the proceedings were still pending before the domestic courts (see paragraph </w:t>
      </w:r>
      <w:r w:rsidRPr="0014206F" w:rsidR="00F2776E">
        <w:fldChar w:fldCharType="begin"/>
      </w:r>
      <w:r w:rsidRPr="0014206F" w:rsidR="00F2776E">
        <w:instrText xml:space="preserve"> REF para23 \h </w:instrText>
      </w:r>
      <w:r w:rsidRPr="0014206F" w:rsidR="00F2776E">
        <w:fldChar w:fldCharType="separate"/>
      </w:r>
      <w:r w:rsidRPr="0014206F" w:rsidR="0014206F">
        <w:rPr>
          <w:noProof/>
        </w:rPr>
        <w:t>23</w:t>
      </w:r>
      <w:r w:rsidRPr="0014206F" w:rsidR="00F2776E">
        <w:fldChar w:fldCharType="end"/>
      </w:r>
      <w:r w:rsidRPr="0014206F" w:rsidR="00F2776E">
        <w:t xml:space="preserve"> above), they have</w:t>
      </w:r>
      <w:r w:rsidRPr="0014206F">
        <w:t xml:space="preserve"> </w:t>
      </w:r>
      <w:r w:rsidRPr="0014206F" w:rsidR="00D951F3">
        <w:t xml:space="preserve">so far </w:t>
      </w:r>
      <w:r w:rsidRPr="0014206F">
        <w:t xml:space="preserve">lasted </w:t>
      </w:r>
      <w:r w:rsidRPr="0014206F" w:rsidR="00D951F3">
        <w:t xml:space="preserve">for </w:t>
      </w:r>
      <w:r w:rsidRPr="0014206F">
        <w:t xml:space="preserve">more than twenty years for three levels of jurisdiction in respect of the first and second applicants, and </w:t>
      </w:r>
      <w:r w:rsidRPr="0014206F" w:rsidR="00B65D03">
        <w:t xml:space="preserve">more than </w:t>
      </w:r>
      <w:r w:rsidRPr="0014206F">
        <w:t>ten years in respect of the third applicant.</w:t>
      </w:r>
    </w:p>
    <w:p w:rsidRPr="0014206F" w:rsidR="00D420F3" w:rsidP="0014206F" w:rsidRDefault="005872C5">
      <w:pPr>
        <w:pStyle w:val="ECHRPara"/>
      </w:pPr>
      <w:r w:rsidRPr="0014206F">
        <w:fldChar w:fldCharType="begin"/>
      </w:r>
      <w:r w:rsidRPr="0014206F">
        <w:instrText xml:space="preserve"> SEQ level0 \*arabic </w:instrText>
      </w:r>
      <w:r w:rsidRPr="0014206F">
        <w:fldChar w:fldCharType="separate"/>
      </w:r>
      <w:r w:rsidRPr="0014206F" w:rsidR="0014206F">
        <w:rPr>
          <w:noProof/>
        </w:rPr>
        <w:t>26</w:t>
      </w:r>
      <w:r w:rsidRPr="0014206F">
        <w:fldChar w:fldCharType="end"/>
      </w:r>
      <w:r w:rsidRPr="0014206F">
        <w:t>.  </w:t>
      </w:r>
      <w:r w:rsidRPr="0014206F" w:rsidR="00732144">
        <w:t xml:space="preserve">The Court reiterates that the </w:t>
      </w:r>
      <w:r w:rsidRPr="0014206F" w:rsidR="00AE6FC3">
        <w:t>“</w:t>
      </w:r>
      <w:r w:rsidRPr="0014206F" w:rsidR="00732144">
        <w:t>reasonableness</w:t>
      </w:r>
      <w:r w:rsidRPr="0014206F" w:rsidR="00AE6FC3">
        <w:t>”</w:t>
      </w:r>
      <w:r w:rsidRPr="0014206F" w:rsidR="00732144">
        <w:t xml:space="preserve"> of the length of proceedings must be assessed in the light of the circumstances of the case and with reference to the following criteria: the complexity of the case, the conduct of the applicant and</w:t>
      </w:r>
      <w:r w:rsidRPr="0014206F" w:rsidR="00AE6FC3">
        <w:t xml:space="preserve"> of</w:t>
      </w:r>
      <w:r w:rsidRPr="0014206F" w:rsidR="00732144">
        <w:t xml:space="preserve"> the relevant authorities and what was at stake for the applicant in the dispute (see </w:t>
      </w:r>
      <w:r w:rsidRPr="0014206F" w:rsidR="00732144">
        <w:rPr>
          <w:i/>
        </w:rPr>
        <w:t>Frydlender v. France</w:t>
      </w:r>
      <w:r w:rsidRPr="0014206F" w:rsidR="00732144">
        <w:t xml:space="preserve"> [GC], no. 30979/96, § 43, ECHR 2000-VII).</w:t>
      </w:r>
    </w:p>
    <w:p w:rsidRPr="0014206F" w:rsidR="009B53DC"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27</w:t>
      </w:r>
      <w:r w:rsidRPr="0014206F">
        <w:fldChar w:fldCharType="end"/>
      </w:r>
      <w:r w:rsidRPr="0014206F" w:rsidR="0077175D">
        <w:t>.  </w:t>
      </w:r>
      <w:r w:rsidRPr="0014206F" w:rsidR="00732144">
        <w:t xml:space="preserve">In the leading case of </w:t>
      </w:r>
      <w:proofErr w:type="spellStart"/>
      <w:r w:rsidRPr="0014206F" w:rsidR="00732144">
        <w:rPr>
          <w:i/>
        </w:rPr>
        <w:t>Gazsó</w:t>
      </w:r>
      <w:proofErr w:type="spellEnd"/>
      <w:r w:rsidRPr="0014206F" w:rsidR="00732144">
        <w:rPr>
          <w:i/>
        </w:rPr>
        <w:t xml:space="preserve"> v. Hungary</w:t>
      </w:r>
      <w:r w:rsidRPr="0014206F" w:rsidR="00732144">
        <w:t xml:space="preserve"> </w:t>
      </w:r>
      <w:r w:rsidRPr="0014206F" w:rsidR="00AE6FC3">
        <w:t>(</w:t>
      </w:r>
      <w:r w:rsidRPr="0014206F" w:rsidR="00732144">
        <w:t>no. 48322/12, 16 July 2015</w:t>
      </w:r>
      <w:r w:rsidRPr="0014206F" w:rsidR="00AE6FC3">
        <w:t>)</w:t>
      </w:r>
      <w:r w:rsidRPr="0014206F" w:rsidR="00F2776E">
        <w:t>, concerning proceedings which lasted almost six years and two months for three levels of jurisdiction,</w:t>
      </w:r>
      <w:r w:rsidRPr="0014206F" w:rsidR="00732144">
        <w:t xml:space="preserve"> the Court found a violation in respect of issues similar to those in the present case.</w:t>
      </w:r>
    </w:p>
    <w:p w:rsidRPr="0014206F" w:rsidR="00C220C9" w:rsidP="0014206F" w:rsidRDefault="00C220C9">
      <w:pPr>
        <w:pStyle w:val="ECHRPara"/>
      </w:pPr>
      <w:r w:rsidRPr="0014206F">
        <w:fldChar w:fldCharType="begin"/>
      </w:r>
      <w:r w:rsidRPr="0014206F">
        <w:instrText xml:space="preserve"> SEQ level0 \*arabic </w:instrText>
      </w:r>
      <w:r w:rsidRPr="0014206F">
        <w:fldChar w:fldCharType="separate"/>
      </w:r>
      <w:r w:rsidRPr="0014206F" w:rsidR="0014206F">
        <w:rPr>
          <w:noProof/>
        </w:rPr>
        <w:t>28</w:t>
      </w:r>
      <w:r w:rsidRPr="0014206F">
        <w:fldChar w:fldCharType="end"/>
      </w:r>
      <w:r w:rsidRPr="0014206F">
        <w:t>.  Having examined all the material submitted to it, the Court has not found any fact or argument capable of persuading it to reach a different conclusion on the admissibility and merits of th</w:t>
      </w:r>
      <w:r w:rsidRPr="0014206F" w:rsidR="00F2776E">
        <w:t>is</w:t>
      </w:r>
      <w:r w:rsidRPr="0014206F">
        <w:t xml:space="preserve"> complaint. Having regard to its case-law on the subject, the Court considers that in the instant case the length of the proceedings was excessive and failed to meet the “reasonable time” requirement.</w:t>
      </w:r>
    </w:p>
    <w:p w:rsidRPr="0014206F" w:rsidR="00C220C9" w:rsidP="0014206F" w:rsidRDefault="00C220C9">
      <w:pPr>
        <w:pStyle w:val="ECHRPara"/>
      </w:pPr>
      <w:r w:rsidRPr="0014206F">
        <w:fldChar w:fldCharType="begin"/>
      </w:r>
      <w:r w:rsidRPr="0014206F">
        <w:instrText xml:space="preserve"> SEQ level0 \*arabic </w:instrText>
      </w:r>
      <w:r w:rsidRPr="0014206F">
        <w:fldChar w:fldCharType="separate"/>
      </w:r>
      <w:r w:rsidRPr="0014206F" w:rsidR="0014206F">
        <w:rPr>
          <w:noProof/>
        </w:rPr>
        <w:t>29</w:t>
      </w:r>
      <w:r w:rsidRPr="0014206F">
        <w:fldChar w:fldCharType="end"/>
      </w:r>
      <w:r w:rsidRPr="0014206F">
        <w:t>.  </w:t>
      </w:r>
      <w:r w:rsidRPr="0014206F" w:rsidR="00F2776E">
        <w:t>The applicants</w:t>
      </w:r>
      <w:r w:rsidRPr="0014206F" w:rsidR="0014206F">
        <w:t>’</w:t>
      </w:r>
      <w:r w:rsidRPr="0014206F" w:rsidR="00F2776E">
        <w:t xml:space="preserve"> </w:t>
      </w:r>
      <w:r w:rsidRPr="0014206F">
        <w:t xml:space="preserve">complaint </w:t>
      </w:r>
      <w:r w:rsidRPr="0014206F" w:rsidR="00F2776E">
        <w:t xml:space="preserve">is </w:t>
      </w:r>
      <w:r w:rsidRPr="0014206F">
        <w:t>therefore admissible and disclose</w:t>
      </w:r>
      <w:r w:rsidRPr="0014206F" w:rsidR="00F2776E">
        <w:t>s</w:t>
      </w:r>
      <w:r w:rsidRPr="0014206F">
        <w:t xml:space="preserve"> a breach of Article 6 § 1 of the Convention.</w:t>
      </w:r>
    </w:p>
    <w:p w:rsidRPr="0014206F" w:rsidR="00D420F3" w:rsidP="0014206F" w:rsidRDefault="0096106B">
      <w:pPr>
        <w:pStyle w:val="ECHRHeading1"/>
      </w:pPr>
      <w:r w:rsidRPr="0014206F">
        <w:t>II</w:t>
      </w:r>
      <w:r w:rsidRPr="0014206F" w:rsidR="0077175D">
        <w:t>.</w:t>
      </w:r>
      <w:proofErr w:type="gramStart"/>
      <w:r w:rsidRPr="0014206F" w:rsidR="0077175D">
        <w:t>  ALLEGED</w:t>
      </w:r>
      <w:proofErr w:type="gramEnd"/>
      <w:r w:rsidRPr="0014206F" w:rsidR="0077175D">
        <w:t xml:space="preserve"> VIOLATION OF ARTICLE </w:t>
      </w:r>
      <w:r w:rsidRPr="0014206F">
        <w:t>1</w:t>
      </w:r>
      <w:r w:rsidRPr="0014206F" w:rsidR="0077175D">
        <w:t xml:space="preserve"> OF </w:t>
      </w:r>
      <w:r w:rsidRPr="0014206F">
        <w:t>PROTOCOL N</w:t>
      </w:r>
      <w:r w:rsidRPr="0014206F" w:rsidR="00500062">
        <w:t>o</w:t>
      </w:r>
      <w:r w:rsidRPr="0014206F">
        <w:t xml:space="preserve">. 1 TO </w:t>
      </w:r>
      <w:r w:rsidRPr="0014206F" w:rsidR="0077175D">
        <w:t>THE CONVENTION</w:t>
      </w:r>
    </w:p>
    <w:bookmarkStart w:name="A1P1_complaint" w:id="11"/>
    <w:p w:rsidRPr="0014206F" w:rsidR="00555886"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30</w:t>
      </w:r>
      <w:r w:rsidRPr="0014206F">
        <w:fldChar w:fldCharType="end"/>
      </w:r>
      <w:bookmarkEnd w:id="11"/>
      <w:r w:rsidRPr="0014206F" w:rsidR="0077175D">
        <w:t>.  </w:t>
      </w:r>
      <w:r w:rsidRPr="0014206F" w:rsidR="0078385D">
        <w:t>T</w:t>
      </w:r>
      <w:r w:rsidRPr="0014206F" w:rsidR="0096106B">
        <w:t>he applicants further complained that the requisition of their property had been unnecessary and unlawful, and that they had not received adequate compensation for the interference with their possession.</w:t>
      </w:r>
    </w:p>
    <w:p w:rsidRPr="0014206F" w:rsidR="0096106B" w:rsidP="0014206F" w:rsidRDefault="0078385D">
      <w:pPr>
        <w:pStyle w:val="ECHRPara"/>
      </w:pPr>
      <w:r w:rsidRPr="0014206F">
        <w:t xml:space="preserve">They invoked </w:t>
      </w:r>
      <w:r w:rsidRPr="0014206F" w:rsidR="0096106B">
        <w:t>Article 1 of Protocol No. 1 to the Convention</w:t>
      </w:r>
      <w:r w:rsidRPr="0014206F">
        <w:t>, which</w:t>
      </w:r>
      <w:r w:rsidRPr="0014206F" w:rsidR="0096106B">
        <w:t xml:space="preserve"> reads as follows:</w:t>
      </w:r>
    </w:p>
    <w:p w:rsidRPr="0014206F" w:rsidR="0096106B" w:rsidP="0014206F" w:rsidRDefault="0096106B">
      <w:pPr>
        <w:pStyle w:val="ECHRParaQuote"/>
      </w:pPr>
      <w:r w:rsidRPr="0014206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4206F" w:rsidR="0096106B" w:rsidP="0014206F" w:rsidRDefault="0096106B">
      <w:pPr>
        <w:pStyle w:val="ECHRParaQuote"/>
      </w:pPr>
      <w:r w:rsidRPr="0014206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31</w:t>
      </w:r>
      <w:r w:rsidRPr="0014206F">
        <w:fldChar w:fldCharType="end"/>
      </w:r>
      <w:r w:rsidRPr="0014206F" w:rsidR="00D20564">
        <w:t>.  </w:t>
      </w:r>
      <w:r w:rsidRPr="0014206F" w:rsidR="009C6704">
        <w:t>The Court notes that this complaint is not manifestly ill-founded within the meaning of Article 35 § 3 (a) of the Convention. It further notes that it is not inadmissible on any other grounds. It must therefore be declared admissible.</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32</w:t>
      </w:r>
      <w:r w:rsidRPr="0014206F">
        <w:fldChar w:fldCharType="end"/>
      </w:r>
      <w:r w:rsidRPr="0014206F" w:rsidR="00D20564">
        <w:t>.  </w:t>
      </w:r>
      <w:r w:rsidRPr="0014206F" w:rsidR="003F293B">
        <w:t>The Court often considers it unnecessary t</w:t>
      </w:r>
      <w:r w:rsidRPr="0014206F" w:rsidR="00D20564">
        <w:t xml:space="preserve">o determine </w:t>
      </w:r>
      <w:r w:rsidRPr="0014206F" w:rsidR="005F5F47">
        <w:t xml:space="preserve">a </w:t>
      </w:r>
      <w:r w:rsidRPr="0014206F" w:rsidR="00D20564">
        <w:t xml:space="preserve">complaint </w:t>
      </w:r>
      <w:r w:rsidRPr="0014206F" w:rsidR="003F293B">
        <w:t>based on Article 1 of Protocol No. 1 separately</w:t>
      </w:r>
      <w:r w:rsidRPr="0014206F" w:rsidR="00A4187A">
        <w:t>,</w:t>
      </w:r>
      <w:r w:rsidRPr="0014206F" w:rsidR="003F293B">
        <w:t xml:space="preserve"> once a violation of Article</w:t>
      </w:r>
      <w:r w:rsidRPr="0014206F" w:rsidR="005B303E">
        <w:t> </w:t>
      </w:r>
      <w:r w:rsidRPr="0014206F" w:rsidR="003F293B">
        <w:t>6 §</w:t>
      </w:r>
      <w:r w:rsidRPr="0014206F" w:rsidR="005B303E">
        <w:t> </w:t>
      </w:r>
      <w:r w:rsidRPr="0014206F" w:rsidR="003F293B">
        <w:t xml:space="preserve">1 has been found on account of the protraction of the underlying civil proceedings (see </w:t>
      </w:r>
      <w:proofErr w:type="spellStart"/>
      <w:r w:rsidRPr="0014206F" w:rsidR="003F293B">
        <w:rPr>
          <w:i/>
        </w:rPr>
        <w:t>Hunguest</w:t>
      </w:r>
      <w:proofErr w:type="spellEnd"/>
      <w:r w:rsidRPr="0014206F" w:rsidR="003F293B">
        <w:rPr>
          <w:i/>
        </w:rPr>
        <w:t xml:space="preserve"> </w:t>
      </w:r>
      <w:proofErr w:type="spellStart"/>
      <w:r w:rsidRPr="0014206F" w:rsidR="003F293B">
        <w:rPr>
          <w:i/>
        </w:rPr>
        <w:t>Zrt</w:t>
      </w:r>
      <w:proofErr w:type="spellEnd"/>
      <w:r w:rsidRPr="0014206F" w:rsidR="003F293B">
        <w:rPr>
          <w:i/>
        </w:rPr>
        <w:t xml:space="preserve"> v. Hungary</w:t>
      </w:r>
      <w:r w:rsidRPr="0014206F" w:rsidR="003F293B">
        <w:t xml:space="preserve">, no. 66209/10, § 23, 30 August 2016). However, it is of the view that, in the present case, </w:t>
      </w:r>
      <w:r w:rsidRPr="0014206F" w:rsidR="00A4187A">
        <w:t>examining</w:t>
      </w:r>
      <w:r w:rsidRPr="0014206F" w:rsidR="003F293B">
        <w:t xml:space="preserve"> the applicants</w:t>
      </w:r>
      <w:r w:rsidRPr="0014206F" w:rsidR="0014206F">
        <w:t>’</w:t>
      </w:r>
      <w:r w:rsidRPr="0014206F" w:rsidR="003F293B">
        <w:t xml:space="preserve"> complaint under Article 1 of Protocol No. 1</w:t>
      </w:r>
      <w:r w:rsidRPr="0014206F" w:rsidR="00A4187A">
        <w:t xml:space="preserve"> is warranted,</w:t>
      </w:r>
      <w:r w:rsidRPr="0014206F" w:rsidR="003F293B">
        <w:t xml:space="preserve"> as the interference with the</w:t>
      </w:r>
      <w:r w:rsidRPr="0014206F" w:rsidR="00692902">
        <w:t>ir</w:t>
      </w:r>
      <w:r w:rsidRPr="0014206F" w:rsidR="003F293B">
        <w:t xml:space="preserve"> property rights appears to go beyond a mere consequence of the protraction of the case</w:t>
      </w:r>
      <w:r w:rsidRPr="0014206F" w:rsidR="0078385D">
        <w:t xml:space="preserve"> (see, </w:t>
      </w:r>
      <w:r w:rsidRPr="0014206F" w:rsidR="0078385D">
        <w:rPr>
          <w:i/>
        </w:rPr>
        <w:t>mutatis mutandis</w:t>
      </w:r>
      <w:r w:rsidRPr="0014206F" w:rsidR="0078385D">
        <w:t xml:space="preserve">, </w:t>
      </w:r>
      <w:proofErr w:type="spellStart"/>
      <w:r w:rsidRPr="0014206F" w:rsidR="003C119C">
        <w:rPr>
          <w:i/>
        </w:rPr>
        <w:t>Hunguest</w:t>
      </w:r>
      <w:proofErr w:type="spellEnd"/>
      <w:r w:rsidRPr="0014206F" w:rsidR="003C119C">
        <w:rPr>
          <w:i/>
        </w:rPr>
        <w:t> </w:t>
      </w:r>
      <w:proofErr w:type="spellStart"/>
      <w:r w:rsidRPr="0014206F" w:rsidR="0078385D">
        <w:rPr>
          <w:i/>
        </w:rPr>
        <w:t>Zrt</w:t>
      </w:r>
      <w:proofErr w:type="spellEnd"/>
      <w:r w:rsidRPr="0014206F" w:rsidR="0078385D">
        <w:t>, cited above, § 24)</w:t>
      </w:r>
      <w:r w:rsidRPr="0014206F" w:rsidR="003F293B">
        <w:t>.</w:t>
      </w:r>
    </w:p>
    <w:p w:rsidRPr="0014206F" w:rsidR="0096106B" w:rsidP="0014206F" w:rsidRDefault="003F293B">
      <w:pPr>
        <w:pStyle w:val="ECHRPara"/>
      </w:pPr>
      <w:r w:rsidRPr="0014206F">
        <w:fldChar w:fldCharType="begin"/>
      </w:r>
      <w:r w:rsidRPr="0014206F">
        <w:instrText xml:space="preserve"> SEQ level0 \*arabic </w:instrText>
      </w:r>
      <w:r w:rsidRPr="0014206F">
        <w:fldChar w:fldCharType="separate"/>
      </w:r>
      <w:r w:rsidRPr="0014206F" w:rsidR="0014206F">
        <w:rPr>
          <w:noProof/>
        </w:rPr>
        <w:t>33</w:t>
      </w:r>
      <w:r w:rsidRPr="0014206F">
        <w:fldChar w:fldCharType="end"/>
      </w:r>
      <w:r w:rsidRPr="0014206F">
        <w:t xml:space="preserve">.  Indeed, the Court notes that the </w:t>
      </w:r>
      <w:r w:rsidRPr="0014206F" w:rsidR="003C26FD">
        <w:t xml:space="preserve">decisions at issue </w:t>
      </w:r>
      <w:r w:rsidRPr="0014206F" w:rsidR="00CD2005">
        <w:t xml:space="preserve">were </w:t>
      </w:r>
      <w:r w:rsidRPr="0014206F">
        <w:t>unlawful</w:t>
      </w:r>
      <w:r w:rsidRPr="0014206F" w:rsidR="00500070">
        <w:t xml:space="preserve">, as established </w:t>
      </w:r>
      <w:r w:rsidRPr="0014206F">
        <w:t>by the domestic courts</w:t>
      </w:r>
      <w:r w:rsidRPr="0014206F" w:rsidR="00500070">
        <w:t>,</w:t>
      </w:r>
      <w:r w:rsidRPr="0014206F">
        <w:t xml:space="preserve"> </w:t>
      </w:r>
      <w:r w:rsidRPr="0014206F" w:rsidR="00CD2005">
        <w:t xml:space="preserve">throughout the period </w:t>
      </w:r>
      <w:r w:rsidRPr="0014206F" w:rsidR="00A4187A">
        <w:t xml:space="preserve">from </w:t>
      </w:r>
      <w:r w:rsidRPr="0014206F" w:rsidR="00500070">
        <w:t xml:space="preserve">19 January 1998 </w:t>
      </w:r>
      <w:r w:rsidRPr="0014206F" w:rsidR="00CD2005">
        <w:t xml:space="preserve">to </w:t>
      </w:r>
      <w:r w:rsidRPr="0014206F" w:rsidR="00500070">
        <w:t xml:space="preserve">10 January 2015 </w:t>
      </w:r>
      <w:r w:rsidRPr="0014206F">
        <w:t>(see</w:t>
      </w:r>
      <w:r w:rsidRPr="0014206F" w:rsidR="00500070">
        <w:t xml:space="preserve"> </w:t>
      </w:r>
      <w:r w:rsidRPr="0014206F">
        <w:t xml:space="preserve">paragraphs </w:t>
      </w:r>
      <w:r w:rsidRPr="0014206F" w:rsidR="00500070">
        <w:fldChar w:fldCharType="begin"/>
      </w:r>
      <w:r w:rsidRPr="0014206F" w:rsidR="00500070">
        <w:instrText xml:space="preserve"> REF unlawful_1 \h </w:instrText>
      </w:r>
      <w:r w:rsidRPr="0014206F" w:rsidR="00500070">
        <w:fldChar w:fldCharType="separate"/>
      </w:r>
      <w:r w:rsidRPr="0014206F" w:rsidR="0014206F">
        <w:rPr>
          <w:noProof/>
        </w:rPr>
        <w:t>13</w:t>
      </w:r>
      <w:r w:rsidRPr="0014206F" w:rsidR="00500070">
        <w:fldChar w:fldCharType="end"/>
      </w:r>
      <w:r w:rsidRPr="0014206F" w:rsidR="00500070">
        <w:t xml:space="preserve">, </w:t>
      </w:r>
      <w:r w:rsidRPr="0014206F" w:rsidR="00500070">
        <w:fldChar w:fldCharType="begin"/>
      </w:r>
      <w:r w:rsidRPr="0014206F" w:rsidR="00500070">
        <w:instrText xml:space="preserve"> REF unlawful_2 \h </w:instrText>
      </w:r>
      <w:r w:rsidRPr="0014206F" w:rsidR="00500070">
        <w:fldChar w:fldCharType="separate"/>
      </w:r>
      <w:r w:rsidRPr="0014206F" w:rsidR="0014206F">
        <w:rPr>
          <w:noProof/>
        </w:rPr>
        <w:t>17</w:t>
      </w:r>
      <w:r w:rsidRPr="0014206F" w:rsidR="00500070">
        <w:fldChar w:fldCharType="end"/>
      </w:r>
      <w:r w:rsidRPr="0014206F" w:rsidR="00500070">
        <w:t xml:space="preserve"> and </w:t>
      </w:r>
      <w:r w:rsidRPr="0014206F" w:rsidR="00500070">
        <w:fldChar w:fldCharType="begin"/>
      </w:r>
      <w:r w:rsidRPr="0014206F" w:rsidR="00500070">
        <w:instrText xml:space="preserve"> REF lawful \h </w:instrText>
      </w:r>
      <w:r w:rsidRPr="0014206F" w:rsidR="00500070">
        <w:fldChar w:fldCharType="separate"/>
      </w:r>
      <w:r w:rsidRPr="0014206F" w:rsidR="0014206F">
        <w:rPr>
          <w:noProof/>
        </w:rPr>
        <w:t>18</w:t>
      </w:r>
      <w:r w:rsidRPr="0014206F" w:rsidR="00500070">
        <w:fldChar w:fldCharType="end"/>
      </w:r>
      <w:r w:rsidRPr="0014206F">
        <w:t xml:space="preserve"> above)</w:t>
      </w:r>
      <w:r w:rsidRPr="0014206F" w:rsidR="00500070">
        <w:t>.</w:t>
      </w:r>
      <w:r w:rsidRPr="0014206F" w:rsidR="009A2308">
        <w:t xml:space="preserve"> Furthermore, the applicants have been left in a state of uncertainty as to the fate of their plot</w:t>
      </w:r>
      <w:r w:rsidRPr="0014206F" w:rsidR="006D289D">
        <w:t>s</w:t>
      </w:r>
      <w:r w:rsidRPr="0014206F" w:rsidR="009A2308">
        <w:t xml:space="preserve"> of land over a long period of time (</w:t>
      </w:r>
      <w:r w:rsidRPr="0014206F" w:rsidR="004E2CA5">
        <w:t xml:space="preserve">see </w:t>
      </w:r>
      <w:proofErr w:type="spellStart"/>
      <w:r w:rsidRPr="0014206F" w:rsidR="004E2CA5">
        <w:rPr>
          <w:i/>
        </w:rPr>
        <w:t>Barcza</w:t>
      </w:r>
      <w:proofErr w:type="spellEnd"/>
      <w:r w:rsidRPr="0014206F" w:rsidR="004E2CA5">
        <w:rPr>
          <w:i/>
        </w:rPr>
        <w:t xml:space="preserve"> and Others v.</w:t>
      </w:r>
      <w:r w:rsidRPr="0014206F" w:rsidR="005B303E">
        <w:rPr>
          <w:i/>
        </w:rPr>
        <w:t> </w:t>
      </w:r>
      <w:r w:rsidRPr="0014206F" w:rsidR="004E2CA5">
        <w:rPr>
          <w:i/>
        </w:rPr>
        <w:t>Hungary</w:t>
      </w:r>
      <w:r w:rsidRPr="0014206F" w:rsidR="004E2CA5">
        <w:t>, no. 50811/10, § 47, 11 October 2016).</w:t>
      </w:r>
    </w:p>
    <w:p w:rsidRPr="0014206F" w:rsidR="00D420F3" w:rsidP="0014206F" w:rsidRDefault="00500070">
      <w:pPr>
        <w:pStyle w:val="ECHRPara"/>
        <w:rPr>
          <w:snapToGrid w:val="0"/>
        </w:rPr>
      </w:pPr>
      <w:r w:rsidRPr="0014206F">
        <w:fldChar w:fldCharType="begin"/>
      </w:r>
      <w:r w:rsidRPr="0014206F">
        <w:instrText xml:space="preserve"> SEQ level0 \*arabic </w:instrText>
      </w:r>
      <w:r w:rsidRPr="0014206F">
        <w:fldChar w:fldCharType="separate"/>
      </w:r>
      <w:r w:rsidRPr="0014206F" w:rsidR="0014206F">
        <w:rPr>
          <w:noProof/>
        </w:rPr>
        <w:t>34</w:t>
      </w:r>
      <w:r w:rsidRPr="0014206F">
        <w:fldChar w:fldCharType="end"/>
      </w:r>
      <w:r w:rsidRPr="0014206F">
        <w:t>.  </w:t>
      </w:r>
      <w:r w:rsidRPr="0014206F" w:rsidR="0078385D">
        <w:t xml:space="preserve">In the light of the above, the </w:t>
      </w:r>
      <w:r w:rsidRPr="0014206F" w:rsidR="003C26FD">
        <w:t>Court finds that the interference with the applicants</w:t>
      </w:r>
      <w:r w:rsidRPr="0014206F" w:rsidR="0014206F">
        <w:t>’</w:t>
      </w:r>
      <w:r w:rsidRPr="0014206F" w:rsidR="003C26FD">
        <w:t xml:space="preserve"> right to the peaceful enjoyment of their property was contrary to the requirement of lawfulness, and that </w:t>
      </w:r>
      <w:r w:rsidRPr="0014206F" w:rsidR="00CD2005">
        <w:t xml:space="preserve">therefore </w:t>
      </w:r>
      <w:r w:rsidRPr="0014206F" w:rsidR="003C26FD">
        <w:t xml:space="preserve">there </w:t>
      </w:r>
      <w:r w:rsidRPr="0014206F" w:rsidR="0001237E">
        <w:t xml:space="preserve">has been </w:t>
      </w:r>
      <w:r w:rsidRPr="0014206F" w:rsidR="003C26FD">
        <w:t>a violation of Article 1 of Protocol No. 1</w:t>
      </w:r>
      <w:r w:rsidRPr="0014206F" w:rsidR="004E2CA5">
        <w:t xml:space="preserve">. This finding </w:t>
      </w:r>
      <w:r w:rsidRPr="0014206F" w:rsidR="00391295">
        <w:t xml:space="preserve">makes it unnecessary for </w:t>
      </w:r>
      <w:r w:rsidRPr="0014206F" w:rsidR="004E2CA5">
        <w:t>the Court</w:t>
      </w:r>
      <w:r w:rsidRPr="0014206F" w:rsidR="00391295">
        <w:t xml:space="preserve"> to</w:t>
      </w:r>
      <w:r w:rsidRPr="0014206F" w:rsidR="004E2CA5">
        <w:t xml:space="preserve"> establish whether or not a fair balance</w:t>
      </w:r>
      <w:r w:rsidRPr="0014206F" w:rsidR="005F3DB1">
        <w:t xml:space="preserve"> has been struck</w:t>
      </w:r>
      <w:r w:rsidRPr="0014206F" w:rsidR="004E2CA5">
        <w:t xml:space="preserve"> between the demands of the general interest of the community and the requirements of the protection of the applicants</w:t>
      </w:r>
      <w:r w:rsidRPr="0014206F" w:rsidR="0014206F">
        <w:t>’</w:t>
      </w:r>
      <w:r w:rsidRPr="0014206F" w:rsidR="004E2CA5">
        <w:t xml:space="preserve"> fundamental rights </w:t>
      </w:r>
      <w:r w:rsidRPr="0014206F" w:rsidR="003C119C">
        <w:t>(see, </w:t>
      </w:r>
      <w:r w:rsidRPr="0014206F" w:rsidR="003C26FD">
        <w:rPr>
          <w:i/>
        </w:rPr>
        <w:t>mutatis mutandis</w:t>
      </w:r>
      <w:r w:rsidRPr="0014206F" w:rsidR="003C26FD">
        <w:t xml:space="preserve">, </w:t>
      </w:r>
      <w:proofErr w:type="spellStart"/>
      <w:r w:rsidRPr="0014206F" w:rsidR="00EA65C7">
        <w:rPr>
          <w:i/>
        </w:rPr>
        <w:t>Iatridis</w:t>
      </w:r>
      <w:proofErr w:type="spellEnd"/>
      <w:r w:rsidRPr="0014206F" w:rsidR="00EA65C7">
        <w:rPr>
          <w:i/>
        </w:rPr>
        <w:t xml:space="preserve"> v. Greece</w:t>
      </w:r>
      <w:r w:rsidRPr="0014206F" w:rsidR="00EA65C7">
        <w:t xml:space="preserve"> [GC], no. 31107/96, § 62, ECHR 1999</w:t>
      </w:r>
      <w:r w:rsidRPr="0014206F" w:rsidR="00EA65C7">
        <w:noBreakHyphen/>
        <w:t>II</w:t>
      </w:r>
      <w:r w:rsidRPr="0014206F" w:rsidR="009B64C9">
        <w:rPr>
          <w:snapToGrid w:val="0"/>
        </w:rPr>
        <w:t>).</w:t>
      </w:r>
    </w:p>
    <w:p w:rsidRPr="0014206F" w:rsidR="00D420F3" w:rsidP="0014206F" w:rsidRDefault="00EF57CF">
      <w:pPr>
        <w:pStyle w:val="ECHRHeading1"/>
      </w:pPr>
      <w:r w:rsidRPr="0014206F">
        <w:t>III</w:t>
      </w:r>
      <w:r w:rsidRPr="0014206F" w:rsidR="0077175D">
        <w:t>.</w:t>
      </w:r>
      <w:proofErr w:type="gramStart"/>
      <w:r w:rsidRPr="0014206F" w:rsidR="0077175D">
        <w:t>  APPLICATION</w:t>
      </w:r>
      <w:proofErr w:type="gramEnd"/>
      <w:r w:rsidRPr="0014206F" w:rsidR="0077175D">
        <w:t xml:space="preserve"> OF ARTICLE 41 OF THE CONVENTION</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35</w:t>
      </w:r>
      <w:r w:rsidRPr="0014206F">
        <w:fldChar w:fldCharType="end"/>
      </w:r>
      <w:r w:rsidRPr="0014206F" w:rsidR="0077175D">
        <w:t>.  Article 41 of the Convention provides:</w:t>
      </w:r>
    </w:p>
    <w:p w:rsidRPr="0014206F" w:rsidR="00D420F3" w:rsidP="0014206F" w:rsidRDefault="0077175D">
      <w:pPr>
        <w:pStyle w:val="ECHRParaQuote"/>
        <w:keepNext/>
        <w:keepLines/>
      </w:pPr>
      <w:r w:rsidRPr="0014206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4206F" w:rsidR="00D420F3" w:rsidP="0014206F" w:rsidRDefault="007E39A6">
      <w:pPr>
        <w:pStyle w:val="ECHRPara"/>
      </w:pPr>
      <w:r w:rsidRPr="0014206F">
        <w:fldChar w:fldCharType="begin"/>
      </w:r>
      <w:r w:rsidRPr="0014206F">
        <w:instrText xml:space="preserve"> SEQ level0 \*arabic </w:instrText>
      </w:r>
      <w:r w:rsidRPr="0014206F">
        <w:fldChar w:fldCharType="separate"/>
      </w:r>
      <w:r w:rsidRPr="0014206F" w:rsidR="0014206F">
        <w:rPr>
          <w:noProof/>
        </w:rPr>
        <w:t>36</w:t>
      </w:r>
      <w:r w:rsidRPr="0014206F">
        <w:fldChar w:fldCharType="end"/>
      </w:r>
      <w:r w:rsidRPr="0014206F" w:rsidR="0077175D">
        <w:t>.  </w:t>
      </w:r>
      <w:r w:rsidRPr="0014206F" w:rsidR="00B178FA">
        <w:t xml:space="preserve">Although a request for just satisfaction was made when the applicants lodged their application, they </w:t>
      </w:r>
      <w:r w:rsidRPr="0014206F" w:rsidR="0077175D">
        <w:t xml:space="preserve">did not submit a </w:t>
      </w:r>
      <w:r w:rsidRPr="0014206F" w:rsidR="00B178FA">
        <w:t xml:space="preserve">specific </w:t>
      </w:r>
      <w:r w:rsidRPr="0014206F" w:rsidR="0077175D">
        <w:t>claim for just satisfaction</w:t>
      </w:r>
      <w:r w:rsidRPr="0014206F" w:rsidR="00B178FA">
        <w:t xml:space="preserve"> </w:t>
      </w:r>
      <w:r w:rsidRPr="0014206F" w:rsidR="00D20564">
        <w:t>in respect of their complaint concerning the length of proceedings</w:t>
      </w:r>
      <w:r w:rsidRPr="0014206F" w:rsidR="00C52766">
        <w:t xml:space="preserve"> when requested</w:t>
      </w:r>
      <w:r w:rsidRPr="0014206F" w:rsidR="00F23F4D">
        <w:t xml:space="preserve"> to do so</w:t>
      </w:r>
      <w:r w:rsidRPr="0014206F" w:rsidR="00C52766">
        <w:t xml:space="preserve"> by the Court</w:t>
      </w:r>
      <w:r w:rsidRPr="0014206F" w:rsidR="00D20564">
        <w:t xml:space="preserve">. </w:t>
      </w:r>
      <w:r w:rsidRPr="0014206F" w:rsidR="00C52766">
        <w:t xml:space="preserve">However, they requested </w:t>
      </w:r>
      <w:r w:rsidRPr="0014206F" w:rsidR="00B622C0">
        <w:t xml:space="preserve">that </w:t>
      </w:r>
      <w:r w:rsidRPr="0014206F" w:rsidR="00C52766">
        <w:t xml:space="preserve">the Court make an assessment on the basis of equity as regards </w:t>
      </w:r>
      <w:r w:rsidRPr="0014206F" w:rsidR="008E0911">
        <w:t>the damage</w:t>
      </w:r>
      <w:r w:rsidRPr="0014206F" w:rsidR="00B622C0">
        <w:t xml:space="preserve"> suffered as a</w:t>
      </w:r>
      <w:r w:rsidRPr="0014206F" w:rsidR="008E0911">
        <w:t xml:space="preserve"> result </w:t>
      </w:r>
      <w:r w:rsidRPr="0014206F" w:rsidR="00B622C0">
        <w:t>of</w:t>
      </w:r>
      <w:r w:rsidRPr="0014206F" w:rsidR="008E0911">
        <w:t xml:space="preserve"> the </w:t>
      </w:r>
      <w:r w:rsidRPr="0014206F" w:rsidR="00A6002F">
        <w:t xml:space="preserve">interference with their rights guaranteed by </w:t>
      </w:r>
      <w:r w:rsidRPr="0014206F" w:rsidR="00D20564">
        <w:t>Article 1 of Protocol No. 1</w:t>
      </w:r>
      <w:r w:rsidRPr="0014206F" w:rsidR="008E0911">
        <w:t>.</w:t>
      </w:r>
    </w:p>
    <w:p w:rsidRPr="0014206F" w:rsidR="00A6002F" w:rsidP="0014206F" w:rsidRDefault="00A6002F">
      <w:pPr>
        <w:pStyle w:val="ECHRPara"/>
      </w:pPr>
      <w:r w:rsidRPr="0014206F">
        <w:fldChar w:fldCharType="begin"/>
      </w:r>
      <w:r w:rsidRPr="0014206F">
        <w:instrText xml:space="preserve"> SEQ level0 \*arabic </w:instrText>
      </w:r>
      <w:r w:rsidRPr="0014206F">
        <w:fldChar w:fldCharType="separate"/>
      </w:r>
      <w:r w:rsidRPr="0014206F" w:rsidR="0014206F">
        <w:rPr>
          <w:noProof/>
        </w:rPr>
        <w:t>37</w:t>
      </w:r>
      <w:r w:rsidRPr="0014206F">
        <w:fldChar w:fldCharType="end"/>
      </w:r>
      <w:r w:rsidRPr="0014206F">
        <w:t>.  The applicants also claimed 14,000</w:t>
      </w:r>
      <w:r w:rsidRPr="0014206F" w:rsidR="00333CE7">
        <w:t xml:space="preserve"> euros (EUR)</w:t>
      </w:r>
      <w:r w:rsidRPr="0014206F">
        <w:t xml:space="preserve"> for costs and expenses incurred before the domestic authorities and the Court.</w:t>
      </w:r>
    </w:p>
    <w:p w:rsidRPr="0014206F" w:rsidR="008E0911" w:rsidP="0014206F" w:rsidRDefault="008E0911">
      <w:pPr>
        <w:pStyle w:val="ECHRPara"/>
      </w:pPr>
      <w:r w:rsidRPr="0014206F">
        <w:fldChar w:fldCharType="begin"/>
      </w:r>
      <w:r w:rsidRPr="0014206F">
        <w:instrText xml:space="preserve"> SEQ level0 \*arabic </w:instrText>
      </w:r>
      <w:r w:rsidRPr="0014206F">
        <w:fldChar w:fldCharType="separate"/>
      </w:r>
      <w:r w:rsidRPr="0014206F" w:rsidR="0014206F">
        <w:rPr>
          <w:noProof/>
        </w:rPr>
        <w:t>38</w:t>
      </w:r>
      <w:r w:rsidRPr="0014206F">
        <w:fldChar w:fldCharType="end"/>
      </w:r>
      <w:r w:rsidRPr="0014206F">
        <w:t>.  The Government</w:t>
      </w:r>
      <w:r w:rsidRPr="0014206F" w:rsidR="00500E85">
        <w:t xml:space="preserve"> contested the applicants</w:t>
      </w:r>
      <w:r w:rsidRPr="0014206F" w:rsidR="0014206F">
        <w:t>’</w:t>
      </w:r>
      <w:r w:rsidRPr="0014206F" w:rsidR="00500E85">
        <w:t xml:space="preserve"> claim.</w:t>
      </w:r>
    </w:p>
    <w:p w:rsidRPr="0014206F" w:rsidR="00A6002F" w:rsidP="0014206F" w:rsidRDefault="008E0911">
      <w:pPr>
        <w:pStyle w:val="ECHRPara"/>
      </w:pPr>
      <w:r w:rsidRPr="0014206F">
        <w:fldChar w:fldCharType="begin"/>
      </w:r>
      <w:r w:rsidRPr="0014206F">
        <w:instrText xml:space="preserve"> SEQ level0 \*arabic </w:instrText>
      </w:r>
      <w:r w:rsidRPr="0014206F">
        <w:fldChar w:fldCharType="separate"/>
      </w:r>
      <w:r w:rsidRPr="0014206F" w:rsidR="0014206F">
        <w:rPr>
          <w:noProof/>
        </w:rPr>
        <w:t>39</w:t>
      </w:r>
      <w:r w:rsidRPr="0014206F">
        <w:fldChar w:fldCharType="end"/>
      </w:r>
      <w:r w:rsidRPr="0014206F">
        <w:t xml:space="preserve">.  In </w:t>
      </w:r>
      <w:r w:rsidRPr="0014206F" w:rsidR="00C52766">
        <w:t xml:space="preserve">the </w:t>
      </w:r>
      <w:r w:rsidRPr="0014206F">
        <w:t xml:space="preserve">circumstances, the Court considers it appropriate to award </w:t>
      </w:r>
      <w:r w:rsidRPr="0014206F" w:rsidR="005872C5">
        <w:t>each applicant EUR 6,5</w:t>
      </w:r>
      <w:r w:rsidRPr="0014206F" w:rsidR="00C52766">
        <w:t xml:space="preserve">00 </w:t>
      </w:r>
      <w:r w:rsidRPr="0014206F" w:rsidR="00A6002F">
        <w:t>in respect of non-pecuniary damage incurred in connection with the violation of Article 1 of Protocol No. 1, as well as EUR 1,000</w:t>
      </w:r>
      <w:r w:rsidRPr="0014206F" w:rsidR="00CD2005">
        <w:t>, jointly,</w:t>
      </w:r>
      <w:r w:rsidRPr="0014206F" w:rsidR="00A6002F">
        <w:t xml:space="preserve"> for costs and expenses.</w:t>
      </w:r>
    </w:p>
    <w:p w:rsidRPr="0014206F" w:rsidR="008E0911" w:rsidP="0014206F" w:rsidRDefault="00A6002F">
      <w:pPr>
        <w:pStyle w:val="ECHRPara"/>
      </w:pPr>
      <w:r w:rsidRPr="0014206F">
        <w:fldChar w:fldCharType="begin"/>
      </w:r>
      <w:r w:rsidRPr="0014206F">
        <w:instrText xml:space="preserve"> SEQ level0 \*arabic </w:instrText>
      </w:r>
      <w:r w:rsidRPr="0014206F">
        <w:fldChar w:fldCharType="separate"/>
      </w:r>
      <w:r w:rsidRPr="0014206F" w:rsidR="0014206F">
        <w:rPr>
          <w:noProof/>
        </w:rPr>
        <w:t>40</w:t>
      </w:r>
      <w:r w:rsidRPr="0014206F">
        <w:fldChar w:fldCharType="end"/>
      </w:r>
      <w:r w:rsidRPr="0014206F">
        <w:t>.  The Court considers it appropriate that the default interest rate should be based on the marginal lending rate of the European Central Bank, to which should be added three percentage points.</w:t>
      </w:r>
    </w:p>
    <w:p w:rsidRPr="0014206F" w:rsidR="00D420F3" w:rsidP="0014206F" w:rsidRDefault="0077175D">
      <w:pPr>
        <w:pStyle w:val="ECHRTitle1"/>
      </w:pPr>
      <w:r w:rsidRPr="0014206F">
        <w:t>FOR THESE REASONS, THE COURT</w:t>
      </w:r>
      <w:r w:rsidRPr="0014206F" w:rsidR="007E39A6">
        <w:t>, UNANIMOUSLY,</w:t>
      </w:r>
    </w:p>
    <w:p w:rsidRPr="0014206F" w:rsidR="00D420F3" w:rsidP="0014206F" w:rsidRDefault="0077175D">
      <w:pPr>
        <w:pStyle w:val="JuList"/>
      </w:pPr>
      <w:r w:rsidRPr="0014206F">
        <w:t>1.  </w:t>
      </w:r>
      <w:proofErr w:type="gramStart"/>
      <w:r w:rsidRPr="0014206F">
        <w:rPr>
          <w:i/>
        </w:rPr>
        <w:t>Declares</w:t>
      </w:r>
      <w:proofErr w:type="gramEnd"/>
      <w:r w:rsidRPr="0014206F">
        <w:rPr>
          <w:color w:val="000000"/>
        </w:rPr>
        <w:t xml:space="preserve"> </w:t>
      </w:r>
      <w:r w:rsidRPr="0014206F">
        <w:t xml:space="preserve">the </w:t>
      </w:r>
      <w:r w:rsidRPr="0014206F" w:rsidR="007E39A6">
        <w:t>application</w:t>
      </w:r>
      <w:r w:rsidRPr="0014206F">
        <w:t xml:space="preserve"> admissible;</w:t>
      </w:r>
    </w:p>
    <w:p w:rsidRPr="0014206F" w:rsidR="00B178FA" w:rsidP="0014206F" w:rsidRDefault="00B178FA">
      <w:pPr>
        <w:pStyle w:val="JuList"/>
      </w:pPr>
    </w:p>
    <w:p w:rsidRPr="0014206F" w:rsidR="00D420F3" w:rsidP="0014206F" w:rsidRDefault="00B178FA">
      <w:pPr>
        <w:pStyle w:val="JuList"/>
      </w:pPr>
      <w:r w:rsidRPr="0014206F">
        <w:t>2</w:t>
      </w:r>
      <w:r w:rsidRPr="0014206F" w:rsidR="0077175D">
        <w:t>.  </w:t>
      </w:r>
      <w:r w:rsidRPr="0014206F" w:rsidR="0077175D">
        <w:rPr>
          <w:i/>
        </w:rPr>
        <w:t>Holds</w:t>
      </w:r>
      <w:r w:rsidRPr="0014206F" w:rsidR="0077175D">
        <w:rPr>
          <w:color w:val="000000"/>
        </w:rPr>
        <w:t xml:space="preserve"> </w:t>
      </w:r>
      <w:r w:rsidRPr="0014206F" w:rsidR="0077175D">
        <w:t xml:space="preserve">that there has been a violation of Article </w:t>
      </w:r>
      <w:r w:rsidRPr="0014206F">
        <w:t>6 § 1</w:t>
      </w:r>
      <w:r w:rsidRPr="0014206F" w:rsidR="0077175D">
        <w:t xml:space="preserve"> of the Convention;</w:t>
      </w:r>
    </w:p>
    <w:p w:rsidRPr="0014206F" w:rsidR="00D420F3" w:rsidP="0014206F" w:rsidRDefault="00D420F3">
      <w:pPr>
        <w:pStyle w:val="JuList"/>
      </w:pPr>
    </w:p>
    <w:p w:rsidRPr="0014206F" w:rsidR="00D420F3" w:rsidP="0014206F" w:rsidRDefault="00B178FA">
      <w:pPr>
        <w:pStyle w:val="JuList"/>
      </w:pPr>
      <w:r w:rsidRPr="0014206F">
        <w:t>3</w:t>
      </w:r>
      <w:r w:rsidRPr="0014206F" w:rsidR="0077175D">
        <w:t>.  </w:t>
      </w:r>
      <w:proofErr w:type="gramStart"/>
      <w:r w:rsidRPr="0014206F" w:rsidR="0077175D">
        <w:rPr>
          <w:i/>
        </w:rPr>
        <w:t>Holds</w:t>
      </w:r>
      <w:proofErr w:type="gramEnd"/>
      <w:r w:rsidRPr="0014206F" w:rsidR="0077175D">
        <w:t xml:space="preserve"> that there has been a violation of Article </w:t>
      </w:r>
      <w:r w:rsidRPr="0014206F">
        <w:t>1 of P</w:t>
      </w:r>
      <w:r w:rsidRPr="0014206F" w:rsidR="00F7741D">
        <w:t>rotocol No. 1 to the Convention;</w:t>
      </w:r>
    </w:p>
    <w:p w:rsidRPr="0014206F" w:rsidR="00F7741D" w:rsidP="0014206F" w:rsidRDefault="00F7741D">
      <w:pPr>
        <w:pStyle w:val="JuList"/>
      </w:pPr>
    </w:p>
    <w:p w:rsidRPr="0014206F" w:rsidR="00F7741D" w:rsidP="0014206F" w:rsidRDefault="00F7741D">
      <w:pPr>
        <w:pStyle w:val="JuList"/>
      </w:pPr>
      <w:r w:rsidRPr="0014206F">
        <w:t>4.  </w:t>
      </w:r>
      <w:r w:rsidRPr="0014206F">
        <w:rPr>
          <w:i/>
        </w:rPr>
        <w:t>Holds</w:t>
      </w:r>
    </w:p>
    <w:p w:rsidRPr="0014206F" w:rsidR="00F7741D" w:rsidP="0014206F" w:rsidRDefault="00F7741D">
      <w:pPr>
        <w:pStyle w:val="JuLista"/>
      </w:pPr>
      <w:r w:rsidRPr="0014206F">
        <w:t>(a)  that the respondent State is to pay, within three months, the following amounts, to be converted into the currency of the respondent State at the rate applicable at the date of settlement:</w:t>
      </w:r>
    </w:p>
    <w:p w:rsidRPr="0014206F" w:rsidR="00F7741D" w:rsidP="0014206F" w:rsidRDefault="00F7741D">
      <w:pPr>
        <w:pStyle w:val="JuListi"/>
      </w:pPr>
      <w:r w:rsidRPr="0014206F">
        <w:t>(</w:t>
      </w:r>
      <w:proofErr w:type="spellStart"/>
      <w:r w:rsidRPr="0014206F">
        <w:t>i</w:t>
      </w:r>
      <w:proofErr w:type="spellEnd"/>
      <w:r w:rsidRPr="0014206F">
        <w:t xml:space="preserve">)  EUR </w:t>
      </w:r>
      <w:r w:rsidRPr="0014206F" w:rsidR="00245D7D">
        <w:t>6,500</w:t>
      </w:r>
      <w:r w:rsidRPr="0014206F">
        <w:t xml:space="preserve"> (</w:t>
      </w:r>
      <w:r w:rsidRPr="0014206F" w:rsidR="00245D7D">
        <w:t xml:space="preserve">six </w:t>
      </w:r>
      <w:r w:rsidRPr="0014206F">
        <w:t xml:space="preserve">thousand </w:t>
      </w:r>
      <w:r w:rsidRPr="0014206F" w:rsidR="00245D7D">
        <w:t xml:space="preserve">five hundred </w:t>
      </w:r>
      <w:r w:rsidRPr="0014206F">
        <w:t>euros) to each applicant, plus any tax that may be chargeable, in respect of non-pecuniary damage;</w:t>
      </w:r>
    </w:p>
    <w:p w:rsidRPr="0014206F" w:rsidR="00F7741D" w:rsidP="0014206F" w:rsidRDefault="00F7741D">
      <w:pPr>
        <w:pStyle w:val="JuListi"/>
      </w:pPr>
      <w:r w:rsidRPr="0014206F">
        <w:t xml:space="preserve">(ii)  EUR 1,000 (one thousand euros) </w:t>
      </w:r>
      <w:r w:rsidRPr="0014206F" w:rsidR="00E8281D">
        <w:t xml:space="preserve">to the applicants </w:t>
      </w:r>
      <w:r w:rsidRPr="0014206F">
        <w:t>jointly, plus any tax that may be chargeable to the applicants, in respect of costs and expenses;</w:t>
      </w:r>
    </w:p>
    <w:p w:rsidRPr="0014206F" w:rsidR="00F7741D" w:rsidP="0014206F" w:rsidRDefault="00F7741D">
      <w:pPr>
        <w:pStyle w:val="JuLista"/>
      </w:pPr>
      <w:r w:rsidRPr="0014206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4206F" w:rsidR="00F7741D" w:rsidP="0014206F" w:rsidRDefault="00F7741D">
      <w:pPr>
        <w:pStyle w:val="JuList"/>
        <w:keepNext/>
        <w:keepLines/>
      </w:pPr>
    </w:p>
    <w:p w:rsidRPr="0014206F" w:rsidR="00F7741D" w:rsidP="0014206F" w:rsidRDefault="00F7741D">
      <w:pPr>
        <w:pStyle w:val="JuList"/>
        <w:keepNext/>
        <w:keepLines/>
      </w:pPr>
      <w:r w:rsidRPr="0014206F">
        <w:t> 5.  </w:t>
      </w:r>
      <w:r w:rsidRPr="0014206F">
        <w:rPr>
          <w:i/>
        </w:rPr>
        <w:t>Dismisses</w:t>
      </w:r>
      <w:r w:rsidRPr="0014206F">
        <w:t xml:space="preserve"> the remainder of the applicants</w:t>
      </w:r>
      <w:r w:rsidRPr="0014206F" w:rsidR="0014206F">
        <w:t>’</w:t>
      </w:r>
      <w:r w:rsidRPr="0014206F">
        <w:t xml:space="preserve"> claims for just satisfaction.</w:t>
      </w:r>
    </w:p>
    <w:p w:rsidRPr="0014206F" w:rsidR="00D420F3" w:rsidP="0014206F" w:rsidRDefault="0077175D">
      <w:pPr>
        <w:pStyle w:val="JuParaLast"/>
      </w:pPr>
      <w:r w:rsidRPr="0014206F">
        <w:t xml:space="preserve">Done in English, and notified in writing on </w:t>
      </w:r>
      <w:r w:rsidRPr="0014206F" w:rsidR="005123F9">
        <w:t>19 February 2019</w:t>
      </w:r>
      <w:r w:rsidRPr="0014206F">
        <w:t>, pursuant to Rule 77 §§ 2 and 3 of the Rules of Court.</w:t>
      </w:r>
    </w:p>
    <w:p w:rsidRPr="0014206F" w:rsidR="00D420F3" w:rsidP="0014206F" w:rsidRDefault="0077175D">
      <w:pPr>
        <w:pStyle w:val="JuSigned"/>
        <w:rPr>
          <w:lang w:val="it-IT"/>
        </w:rPr>
      </w:pPr>
      <w:r w:rsidRPr="0014206F">
        <w:tab/>
      </w:r>
      <w:r w:rsidRPr="0014206F" w:rsidR="007E39A6">
        <w:rPr>
          <w:lang w:val="it-IT"/>
        </w:rPr>
        <w:t>Andrea Tamietti</w:t>
      </w:r>
      <w:r w:rsidRPr="0014206F">
        <w:rPr>
          <w:lang w:val="it-IT"/>
        </w:rPr>
        <w:tab/>
      </w:r>
      <w:r w:rsidRPr="0014206F" w:rsidR="005123F9">
        <w:rPr>
          <w:lang w:val="it-IT"/>
        </w:rPr>
        <w:t xml:space="preserve">Georges </w:t>
      </w:r>
      <w:proofErr w:type="spellStart"/>
      <w:r w:rsidRPr="0014206F" w:rsidR="005123F9">
        <w:rPr>
          <w:lang w:val="it-IT"/>
        </w:rPr>
        <w:t>Ravarani</w:t>
      </w:r>
      <w:proofErr w:type="spellEnd"/>
      <w:r w:rsidRPr="0014206F">
        <w:rPr>
          <w:szCs w:val="24"/>
          <w:lang w:val="it-IT"/>
        </w:rPr>
        <w:br/>
      </w:r>
      <w:r w:rsidRPr="0014206F">
        <w:rPr>
          <w:lang w:val="it-IT"/>
        </w:rPr>
        <w:tab/>
      </w:r>
      <w:proofErr w:type="spellStart"/>
      <w:r w:rsidRPr="0014206F" w:rsidR="007E39A6">
        <w:rPr>
          <w:lang w:val="it-IT"/>
        </w:rPr>
        <w:t>Deputy</w:t>
      </w:r>
      <w:proofErr w:type="spellEnd"/>
      <w:r w:rsidRPr="0014206F" w:rsidR="007E39A6">
        <w:rPr>
          <w:lang w:val="it-IT"/>
        </w:rPr>
        <w:t xml:space="preserve"> </w:t>
      </w:r>
      <w:r w:rsidRPr="0014206F" w:rsidR="007E39A6">
        <w:rPr>
          <w:iCs/>
          <w:lang w:val="it-IT"/>
        </w:rPr>
        <w:t>Registrar</w:t>
      </w:r>
      <w:r w:rsidRPr="0014206F">
        <w:rPr>
          <w:lang w:val="it-IT"/>
        </w:rPr>
        <w:tab/>
      </w:r>
      <w:proofErr w:type="spellStart"/>
      <w:r w:rsidRPr="0014206F">
        <w:rPr>
          <w:lang w:val="it-IT"/>
        </w:rPr>
        <w:t>President</w:t>
      </w:r>
      <w:proofErr w:type="spellEnd"/>
    </w:p>
    <w:p w:rsidRPr="0014206F" w:rsidR="00D420F3" w:rsidP="0014206F" w:rsidRDefault="00D420F3">
      <w:pPr>
        <w:rPr>
          <w:lang w:val="it-IT"/>
        </w:rPr>
      </w:pPr>
    </w:p>
    <w:sectPr w:rsidRPr="0014206F" w:rsidR="00D420F3" w:rsidSect="005123F9">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374" w:rsidRPr="009C0C45" w:rsidRDefault="00144374">
      <w:r w:rsidRPr="009C0C45">
        <w:separator/>
      </w:r>
    </w:p>
  </w:endnote>
  <w:endnote w:type="continuationSeparator" w:id="0">
    <w:p w:rsidR="00144374" w:rsidRPr="009C0C45" w:rsidRDefault="00144374">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Default="005123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Default="005123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Pr="00150BFA" w:rsidRDefault="005123F9" w:rsidP="0020718E">
    <w:pPr>
      <w:jc w:val="center"/>
    </w:pPr>
    <w:r>
      <w:rPr>
        <w:noProof/>
        <w:lang w:val="en-US" w:eastAsia="ja-JP"/>
      </w:rPr>
      <w:drawing>
        <wp:inline distT="0" distB="0" distL="0" distR="0" wp14:anchorId="388FF774" wp14:editId="0614FE54">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23F9" w:rsidRDefault="005123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374" w:rsidRPr="009C0C45" w:rsidRDefault="00144374" w:rsidP="00D420F3">
      <w:r w:rsidRPr="009C0C45">
        <w:separator/>
      </w:r>
    </w:p>
  </w:footnote>
  <w:footnote w:type="continuationSeparator" w:id="0">
    <w:p w:rsidR="00144374" w:rsidRPr="009C0C45" w:rsidRDefault="00144374"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Default="005123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374" w:rsidRPr="005123F9" w:rsidRDefault="00144374" w:rsidP="005123F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Pr="00A45145" w:rsidRDefault="005123F9" w:rsidP="00A45145">
    <w:pPr>
      <w:jc w:val="center"/>
    </w:pPr>
    <w:r>
      <w:rPr>
        <w:noProof/>
        <w:lang w:val="en-US" w:eastAsia="ja-JP"/>
      </w:rPr>
      <w:drawing>
        <wp:inline distT="0" distB="0" distL="0" distR="0" wp14:anchorId="6A409DCD" wp14:editId="4BF2B17D">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44374" w:rsidRDefault="001443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Pr="009C0C45" w:rsidRDefault="005123F9"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4206F">
      <w:rPr>
        <w:rStyle w:val="PageNumber"/>
        <w:noProof/>
        <w:szCs w:val="18"/>
      </w:rPr>
      <w:t>6</w:t>
    </w:r>
    <w:r>
      <w:rPr>
        <w:rStyle w:val="PageNumber"/>
        <w:szCs w:val="18"/>
      </w:rPr>
      <w:fldChar w:fldCharType="end"/>
    </w:r>
    <w:r w:rsidRPr="009C0C45">
      <w:tab/>
    </w:r>
    <w:r>
      <w:t>HESZ AND OTHERS v. HUNGARY</w:t>
    </w:r>
    <w:r w:rsidRPr="009C0C45">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3F9" w:rsidRPr="009C0C45" w:rsidRDefault="005123F9" w:rsidP="00D420F3">
    <w:pPr>
      <w:pStyle w:val="ECHRHeader"/>
    </w:pPr>
    <w:r w:rsidRPr="009C0C45">
      <w:tab/>
    </w:r>
    <w:r>
      <w:t>HESZ AND OTHERS v. HUNGARY</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14206F">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E39A6"/>
    <w:rsid w:val="0001237E"/>
    <w:rsid w:val="00052C28"/>
    <w:rsid w:val="00066DE8"/>
    <w:rsid w:val="00073C50"/>
    <w:rsid w:val="00081F5B"/>
    <w:rsid w:val="000823DE"/>
    <w:rsid w:val="000B4348"/>
    <w:rsid w:val="000C3C11"/>
    <w:rsid w:val="000C5816"/>
    <w:rsid w:val="000F7F7C"/>
    <w:rsid w:val="00111D26"/>
    <w:rsid w:val="00124EF2"/>
    <w:rsid w:val="0014206F"/>
    <w:rsid w:val="00144374"/>
    <w:rsid w:val="00174FAF"/>
    <w:rsid w:val="0019083C"/>
    <w:rsid w:val="001A77C1"/>
    <w:rsid w:val="001B45B0"/>
    <w:rsid w:val="001E1F42"/>
    <w:rsid w:val="002224F0"/>
    <w:rsid w:val="00226C66"/>
    <w:rsid w:val="002322C4"/>
    <w:rsid w:val="00240F53"/>
    <w:rsid w:val="00243CD0"/>
    <w:rsid w:val="00245D7D"/>
    <w:rsid w:val="002842EC"/>
    <w:rsid w:val="002B52E1"/>
    <w:rsid w:val="002C654E"/>
    <w:rsid w:val="002D2015"/>
    <w:rsid w:val="002D7829"/>
    <w:rsid w:val="002E7C01"/>
    <w:rsid w:val="00325F74"/>
    <w:rsid w:val="00326477"/>
    <w:rsid w:val="00333CE7"/>
    <w:rsid w:val="003521CE"/>
    <w:rsid w:val="00353A47"/>
    <w:rsid w:val="00361828"/>
    <w:rsid w:val="00385793"/>
    <w:rsid w:val="00391295"/>
    <w:rsid w:val="003A2BA3"/>
    <w:rsid w:val="003A3C54"/>
    <w:rsid w:val="003B58B5"/>
    <w:rsid w:val="003C119C"/>
    <w:rsid w:val="003C26FD"/>
    <w:rsid w:val="003C57FF"/>
    <w:rsid w:val="003D348D"/>
    <w:rsid w:val="003F293B"/>
    <w:rsid w:val="00403E58"/>
    <w:rsid w:val="004321B5"/>
    <w:rsid w:val="004944CB"/>
    <w:rsid w:val="004B1CE9"/>
    <w:rsid w:val="004C2701"/>
    <w:rsid w:val="004C5FDD"/>
    <w:rsid w:val="004E2CA5"/>
    <w:rsid w:val="004F05CF"/>
    <w:rsid w:val="004F317A"/>
    <w:rsid w:val="004F3542"/>
    <w:rsid w:val="00500062"/>
    <w:rsid w:val="00500070"/>
    <w:rsid w:val="00500E85"/>
    <w:rsid w:val="005123F9"/>
    <w:rsid w:val="00521C89"/>
    <w:rsid w:val="005418CF"/>
    <w:rsid w:val="00555886"/>
    <w:rsid w:val="00571DED"/>
    <w:rsid w:val="005872C5"/>
    <w:rsid w:val="005B27D8"/>
    <w:rsid w:val="005B303E"/>
    <w:rsid w:val="005D396F"/>
    <w:rsid w:val="005F3DB1"/>
    <w:rsid w:val="005F59D5"/>
    <w:rsid w:val="005F5F47"/>
    <w:rsid w:val="00630F58"/>
    <w:rsid w:val="00692902"/>
    <w:rsid w:val="006B41F5"/>
    <w:rsid w:val="006B4350"/>
    <w:rsid w:val="006D289D"/>
    <w:rsid w:val="006F20F0"/>
    <w:rsid w:val="00704D3E"/>
    <w:rsid w:val="00732144"/>
    <w:rsid w:val="00750778"/>
    <w:rsid w:val="00760F5B"/>
    <w:rsid w:val="00765720"/>
    <w:rsid w:val="0077175D"/>
    <w:rsid w:val="0078385D"/>
    <w:rsid w:val="007B4A48"/>
    <w:rsid w:val="007E39A6"/>
    <w:rsid w:val="007F2A38"/>
    <w:rsid w:val="007F592F"/>
    <w:rsid w:val="00817E57"/>
    <w:rsid w:val="0089176E"/>
    <w:rsid w:val="008C4353"/>
    <w:rsid w:val="008E0911"/>
    <w:rsid w:val="008E37B5"/>
    <w:rsid w:val="008F5AF5"/>
    <w:rsid w:val="0090365E"/>
    <w:rsid w:val="0091289B"/>
    <w:rsid w:val="00933558"/>
    <w:rsid w:val="0096106B"/>
    <w:rsid w:val="009667F6"/>
    <w:rsid w:val="00975A3B"/>
    <w:rsid w:val="00982883"/>
    <w:rsid w:val="00987D0E"/>
    <w:rsid w:val="0099164D"/>
    <w:rsid w:val="00995C1C"/>
    <w:rsid w:val="009A2308"/>
    <w:rsid w:val="009A7479"/>
    <w:rsid w:val="009B020F"/>
    <w:rsid w:val="009B53DC"/>
    <w:rsid w:val="009B64C9"/>
    <w:rsid w:val="009B6CDE"/>
    <w:rsid w:val="009C0C45"/>
    <w:rsid w:val="009C6704"/>
    <w:rsid w:val="00A062F4"/>
    <w:rsid w:val="00A21A7F"/>
    <w:rsid w:val="00A32D1B"/>
    <w:rsid w:val="00A4187A"/>
    <w:rsid w:val="00A6002F"/>
    <w:rsid w:val="00A61C60"/>
    <w:rsid w:val="00A661F9"/>
    <w:rsid w:val="00AA0CF6"/>
    <w:rsid w:val="00AA0D0B"/>
    <w:rsid w:val="00AB1AB8"/>
    <w:rsid w:val="00AD6798"/>
    <w:rsid w:val="00AE4320"/>
    <w:rsid w:val="00AE6FC3"/>
    <w:rsid w:val="00AF2033"/>
    <w:rsid w:val="00AF2E94"/>
    <w:rsid w:val="00B0117B"/>
    <w:rsid w:val="00B13FEA"/>
    <w:rsid w:val="00B178FA"/>
    <w:rsid w:val="00B622C0"/>
    <w:rsid w:val="00B62949"/>
    <w:rsid w:val="00B62DA8"/>
    <w:rsid w:val="00B65D03"/>
    <w:rsid w:val="00B90103"/>
    <w:rsid w:val="00B93AAB"/>
    <w:rsid w:val="00B94913"/>
    <w:rsid w:val="00BC12E3"/>
    <w:rsid w:val="00BC4DA2"/>
    <w:rsid w:val="00BE0C7C"/>
    <w:rsid w:val="00BE185F"/>
    <w:rsid w:val="00BF3E09"/>
    <w:rsid w:val="00C02E0B"/>
    <w:rsid w:val="00C16B04"/>
    <w:rsid w:val="00C21F9D"/>
    <w:rsid w:val="00C220C9"/>
    <w:rsid w:val="00C43190"/>
    <w:rsid w:val="00C52766"/>
    <w:rsid w:val="00C64697"/>
    <w:rsid w:val="00CB1E6C"/>
    <w:rsid w:val="00CB20C3"/>
    <w:rsid w:val="00CC23BA"/>
    <w:rsid w:val="00CC3DE3"/>
    <w:rsid w:val="00CD2005"/>
    <w:rsid w:val="00D102AA"/>
    <w:rsid w:val="00D20564"/>
    <w:rsid w:val="00D420F3"/>
    <w:rsid w:val="00D73F22"/>
    <w:rsid w:val="00D74A75"/>
    <w:rsid w:val="00D76293"/>
    <w:rsid w:val="00D951F3"/>
    <w:rsid w:val="00DA18B5"/>
    <w:rsid w:val="00DC3502"/>
    <w:rsid w:val="00DC7FD7"/>
    <w:rsid w:val="00E216B5"/>
    <w:rsid w:val="00E452A5"/>
    <w:rsid w:val="00E56F69"/>
    <w:rsid w:val="00E7782B"/>
    <w:rsid w:val="00E8281D"/>
    <w:rsid w:val="00E87134"/>
    <w:rsid w:val="00E87AA0"/>
    <w:rsid w:val="00EA2CA8"/>
    <w:rsid w:val="00EA65C7"/>
    <w:rsid w:val="00EC567C"/>
    <w:rsid w:val="00EC64DB"/>
    <w:rsid w:val="00ED09FF"/>
    <w:rsid w:val="00EF57CF"/>
    <w:rsid w:val="00F11D8F"/>
    <w:rsid w:val="00F23F4D"/>
    <w:rsid w:val="00F2776E"/>
    <w:rsid w:val="00F60699"/>
    <w:rsid w:val="00F62D54"/>
    <w:rsid w:val="00F6671D"/>
    <w:rsid w:val="00F7741D"/>
    <w:rsid w:val="00F83C79"/>
    <w:rsid w:val="00F86386"/>
    <w:rsid w:val="00F864FA"/>
    <w:rsid w:val="00F97192"/>
    <w:rsid w:val="00FA00A8"/>
    <w:rsid w:val="00FA4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E1F42"/>
    <w:pPr>
      <w:jc w:val="both"/>
    </w:pPr>
    <w:rPr>
      <w:rFonts w:eastAsiaTheme="minorEastAsia"/>
      <w:sz w:val="24"/>
      <w:lang w:val="en-GB"/>
    </w:rPr>
  </w:style>
  <w:style w:type="paragraph" w:styleId="Heading1">
    <w:name w:val="heading 1"/>
    <w:basedOn w:val="Normal"/>
    <w:next w:val="Normal"/>
    <w:link w:val="Heading1Char"/>
    <w:uiPriority w:val="99"/>
    <w:semiHidden/>
    <w:rsid w:val="001E1F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E1F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E1F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E1F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E1F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E1F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E1F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E1F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E1F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E1F42"/>
    <w:rPr>
      <w:rFonts w:ascii="Tahoma" w:hAnsi="Tahoma" w:cs="Tahoma"/>
      <w:sz w:val="16"/>
      <w:szCs w:val="16"/>
    </w:rPr>
  </w:style>
  <w:style w:type="character" w:customStyle="1" w:styleId="BalloonTextChar">
    <w:name w:val="Balloon Text Char"/>
    <w:basedOn w:val="DefaultParagraphFont"/>
    <w:link w:val="BalloonText"/>
    <w:uiPriority w:val="99"/>
    <w:semiHidden/>
    <w:rsid w:val="001E1F42"/>
    <w:rPr>
      <w:rFonts w:ascii="Tahoma" w:eastAsiaTheme="minorEastAsia" w:hAnsi="Tahoma" w:cs="Tahoma"/>
      <w:sz w:val="16"/>
      <w:szCs w:val="16"/>
      <w:lang w:val="en-GB"/>
    </w:rPr>
  </w:style>
  <w:style w:type="character" w:styleId="BookTitle">
    <w:name w:val="Book Title"/>
    <w:uiPriority w:val="99"/>
    <w:semiHidden/>
    <w:qFormat/>
    <w:rsid w:val="001E1F42"/>
    <w:rPr>
      <w:i/>
      <w:iCs/>
      <w:smallCaps/>
      <w:spacing w:val="5"/>
    </w:rPr>
  </w:style>
  <w:style w:type="paragraph" w:customStyle="1" w:styleId="ECHRHeader">
    <w:name w:val="ECHR_Header"/>
    <w:aliases w:val="Ju_Header"/>
    <w:basedOn w:val="Header"/>
    <w:uiPriority w:val="4"/>
    <w:qFormat/>
    <w:rsid w:val="001E1F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E1F42"/>
    <w:pPr>
      <w:jc w:val="left"/>
    </w:pPr>
    <w:rPr>
      <w:sz w:val="8"/>
    </w:rPr>
  </w:style>
  <w:style w:type="character" w:styleId="Strong">
    <w:name w:val="Strong"/>
    <w:uiPriority w:val="99"/>
    <w:semiHidden/>
    <w:qFormat/>
    <w:rsid w:val="001E1F42"/>
    <w:rPr>
      <w:b/>
      <w:bCs/>
    </w:rPr>
  </w:style>
  <w:style w:type="paragraph" w:styleId="NoSpacing">
    <w:name w:val="No Spacing"/>
    <w:basedOn w:val="Normal"/>
    <w:link w:val="NoSpacingChar"/>
    <w:semiHidden/>
    <w:qFormat/>
    <w:rsid w:val="001E1F42"/>
    <w:rPr>
      <w:sz w:val="22"/>
      <w:lang w:val="en-US"/>
    </w:rPr>
  </w:style>
  <w:style w:type="character" w:customStyle="1" w:styleId="NoSpacingChar">
    <w:name w:val="No Spacing Char"/>
    <w:basedOn w:val="DefaultParagraphFont"/>
    <w:link w:val="NoSpacing"/>
    <w:semiHidden/>
    <w:rsid w:val="001E1F42"/>
    <w:rPr>
      <w:rFonts w:eastAsiaTheme="minorEastAsia"/>
    </w:rPr>
  </w:style>
  <w:style w:type="paragraph" w:customStyle="1" w:styleId="ECHRFooterLine">
    <w:name w:val="ECHR_Footer_Line"/>
    <w:aliases w:val="Footer_Line"/>
    <w:basedOn w:val="Normal"/>
    <w:next w:val="ECHRFooter"/>
    <w:uiPriority w:val="57"/>
    <w:semiHidden/>
    <w:rsid w:val="001E1F4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E1F42"/>
  </w:style>
  <w:style w:type="paragraph" w:customStyle="1" w:styleId="DecList">
    <w:name w:val="Dec_List"/>
    <w:basedOn w:val="Normal"/>
    <w:uiPriority w:val="9"/>
    <w:semiHidden/>
    <w:qFormat/>
    <w:rsid w:val="001E1F42"/>
    <w:pPr>
      <w:spacing w:before="240"/>
      <w:ind w:left="284"/>
    </w:pPr>
  </w:style>
  <w:style w:type="paragraph" w:customStyle="1" w:styleId="DummyStyle">
    <w:name w:val="Dummy_Style"/>
    <w:basedOn w:val="Normal"/>
    <w:semiHidden/>
    <w:qFormat/>
    <w:rsid w:val="001E1F42"/>
    <w:rPr>
      <w:color w:val="00B050"/>
    </w:rPr>
  </w:style>
  <w:style w:type="paragraph" w:customStyle="1" w:styleId="ECHRTitleCentre3">
    <w:name w:val="ECHR_Title_Centre_3"/>
    <w:aliases w:val="Ju_H_Article"/>
    <w:basedOn w:val="Normal"/>
    <w:next w:val="ECHRParaQuote"/>
    <w:uiPriority w:val="27"/>
    <w:qFormat/>
    <w:rsid w:val="001E1F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E1F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E1F42"/>
    <w:pPr>
      <w:numPr>
        <w:numId w:val="22"/>
      </w:numPr>
      <w:jc w:val="left"/>
    </w:pPr>
    <w:rPr>
      <w:b/>
    </w:rPr>
  </w:style>
  <w:style w:type="paragraph" w:customStyle="1" w:styleId="JuCourt">
    <w:name w:val="Ju_Court"/>
    <w:basedOn w:val="Normal"/>
    <w:next w:val="Normal"/>
    <w:uiPriority w:val="16"/>
    <w:qFormat/>
    <w:rsid w:val="001E1F4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1E1F4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1E1F42"/>
    <w:pPr>
      <w:spacing w:after="240"/>
      <w:jc w:val="center"/>
      <w:outlineLvl w:val="0"/>
    </w:pPr>
    <w:rPr>
      <w:rFonts w:asciiTheme="majorHAnsi" w:hAnsiTheme="majorHAnsi"/>
    </w:rPr>
  </w:style>
  <w:style w:type="character" w:customStyle="1" w:styleId="JUNAMES">
    <w:name w:val="JU_NAMES"/>
    <w:uiPriority w:val="17"/>
    <w:qFormat/>
    <w:rsid w:val="001E1F42"/>
    <w:rPr>
      <w:caps w:val="0"/>
      <w:smallCaps/>
    </w:rPr>
  </w:style>
  <w:style w:type="paragraph" w:styleId="Title">
    <w:name w:val="Title"/>
    <w:basedOn w:val="Normal"/>
    <w:next w:val="Normal"/>
    <w:link w:val="TitleChar"/>
    <w:uiPriority w:val="99"/>
    <w:semiHidden/>
    <w:qFormat/>
    <w:rsid w:val="001E1F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E1F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E1F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E1F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E1F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E1F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E1F42"/>
    <w:pPr>
      <w:keepNext/>
      <w:keepLines/>
      <w:spacing w:before="240" w:after="120"/>
      <w:ind w:left="1236"/>
    </w:pPr>
    <w:rPr>
      <w:sz w:val="20"/>
      <w:lang w:val="en-GB"/>
    </w:rPr>
  </w:style>
  <w:style w:type="paragraph" w:customStyle="1" w:styleId="JuParaSub">
    <w:name w:val="Ju_Para_Sub"/>
    <w:basedOn w:val="ECHRPara"/>
    <w:uiPriority w:val="13"/>
    <w:qFormat/>
    <w:rsid w:val="001E1F42"/>
    <w:pPr>
      <w:ind w:left="284"/>
    </w:pPr>
  </w:style>
  <w:style w:type="paragraph" w:customStyle="1" w:styleId="JuQuotSub">
    <w:name w:val="Ju_Quot_Sub"/>
    <w:basedOn w:val="ECHRParaQuote"/>
    <w:uiPriority w:val="15"/>
    <w:qFormat/>
    <w:rsid w:val="001E1F42"/>
    <w:pPr>
      <w:ind w:left="567"/>
    </w:pPr>
  </w:style>
  <w:style w:type="paragraph" w:customStyle="1" w:styleId="JuTitle">
    <w:name w:val="Ju_Title"/>
    <w:basedOn w:val="Normal"/>
    <w:next w:val="ECHRPara"/>
    <w:uiPriority w:val="3"/>
    <w:semiHidden/>
    <w:qFormat/>
    <w:rsid w:val="001E1F42"/>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1E1F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E1F42"/>
    <w:rPr>
      <w:sz w:val="24"/>
      <w:lang w:val="en-GB"/>
    </w:rPr>
  </w:style>
  <w:style w:type="character" w:customStyle="1" w:styleId="Heading1Char">
    <w:name w:val="Heading 1 Char"/>
    <w:basedOn w:val="DefaultParagraphFont"/>
    <w:link w:val="Heading1"/>
    <w:uiPriority w:val="99"/>
    <w:semiHidden/>
    <w:rsid w:val="001E1F4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E1F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E1F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E1F42"/>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1E1F42"/>
    <w:pPr>
      <w:ind w:left="635" w:hanging="357"/>
      <w:outlineLvl w:val="2"/>
    </w:pPr>
  </w:style>
  <w:style w:type="paragraph" w:customStyle="1" w:styleId="JuCase">
    <w:name w:val="Ju_Case"/>
    <w:basedOn w:val="Normal"/>
    <w:next w:val="ECHRPara"/>
    <w:uiPriority w:val="10"/>
    <w:rsid w:val="001E1F42"/>
    <w:pPr>
      <w:ind w:firstLine="284"/>
    </w:pPr>
    <w:rPr>
      <w:b/>
    </w:rPr>
  </w:style>
  <w:style w:type="character" w:customStyle="1" w:styleId="Heading3Char">
    <w:name w:val="Heading 3 Char"/>
    <w:basedOn w:val="DefaultParagraphFont"/>
    <w:link w:val="Heading3"/>
    <w:uiPriority w:val="99"/>
    <w:semiHidden/>
    <w:rsid w:val="001E1F4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E1F4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E1F42"/>
    <w:rPr>
      <w:rFonts w:asciiTheme="majorHAnsi" w:eastAsiaTheme="majorEastAsia" w:hAnsiTheme="majorHAnsi" w:cstheme="majorBidi"/>
      <w:b/>
      <w:bCs/>
      <w:color w:val="808080"/>
    </w:rPr>
  </w:style>
  <w:style w:type="character" w:styleId="SubtleEmphasis">
    <w:name w:val="Subtle Emphasis"/>
    <w:uiPriority w:val="99"/>
    <w:semiHidden/>
    <w:qFormat/>
    <w:rsid w:val="001E1F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E1F42"/>
    <w:pPr>
      <w:keepNext/>
      <w:keepLines/>
      <w:spacing w:before="720" w:after="240"/>
      <w:outlineLvl w:val="0"/>
    </w:pPr>
    <w:rPr>
      <w:rFonts w:asciiTheme="majorHAnsi" w:hAnsiTheme="majorHAnsi"/>
      <w:sz w:val="28"/>
    </w:rPr>
  </w:style>
  <w:style w:type="character" w:styleId="Emphasis">
    <w:name w:val="Emphasis"/>
    <w:uiPriority w:val="99"/>
    <w:semiHidden/>
    <w:qFormat/>
    <w:rsid w:val="001E1F42"/>
    <w:rPr>
      <w:b/>
      <w:bCs/>
      <w:i/>
      <w:iCs/>
      <w:spacing w:val="10"/>
      <w:bdr w:val="none" w:sz="0" w:space="0" w:color="auto"/>
      <w:shd w:val="clear" w:color="auto" w:fill="auto"/>
    </w:rPr>
  </w:style>
  <w:style w:type="paragraph" w:styleId="Footer">
    <w:name w:val="footer"/>
    <w:basedOn w:val="Normal"/>
    <w:link w:val="FooterChar"/>
    <w:uiPriority w:val="57"/>
    <w:semiHidden/>
    <w:rsid w:val="001E1F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E1F42"/>
    <w:rPr>
      <w:sz w:val="24"/>
      <w:lang w:val="en-GB"/>
    </w:rPr>
  </w:style>
  <w:style w:type="character" w:styleId="FootnoteReference">
    <w:name w:val="footnote reference"/>
    <w:basedOn w:val="DefaultParagraphFont"/>
    <w:uiPriority w:val="99"/>
    <w:semiHidden/>
    <w:rsid w:val="001E1F42"/>
    <w:rPr>
      <w:vertAlign w:val="superscript"/>
    </w:rPr>
  </w:style>
  <w:style w:type="paragraph" w:styleId="FootnoteText">
    <w:name w:val="footnote text"/>
    <w:basedOn w:val="Normal"/>
    <w:link w:val="FootnoteTextChar"/>
    <w:uiPriority w:val="99"/>
    <w:semiHidden/>
    <w:rsid w:val="001E1F42"/>
    <w:rPr>
      <w:sz w:val="20"/>
      <w:szCs w:val="20"/>
    </w:rPr>
  </w:style>
  <w:style w:type="character" w:customStyle="1" w:styleId="FootnoteTextChar">
    <w:name w:val="Footnote Text Char"/>
    <w:basedOn w:val="DefaultParagraphFont"/>
    <w:link w:val="FootnoteText"/>
    <w:uiPriority w:val="99"/>
    <w:semiHidden/>
    <w:rsid w:val="001E1F42"/>
    <w:rPr>
      <w:rFonts w:eastAsiaTheme="minorEastAsia"/>
      <w:sz w:val="20"/>
      <w:szCs w:val="20"/>
      <w:lang w:val="en-GB"/>
    </w:rPr>
  </w:style>
  <w:style w:type="character" w:customStyle="1" w:styleId="Heading6Char">
    <w:name w:val="Heading 6 Char"/>
    <w:basedOn w:val="DefaultParagraphFont"/>
    <w:link w:val="Heading6"/>
    <w:uiPriority w:val="99"/>
    <w:semiHidden/>
    <w:rsid w:val="001E1F4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E1F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E1F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E1F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E1F42"/>
    <w:rPr>
      <w:color w:val="0072BC" w:themeColor="hyperlink"/>
      <w:u w:val="single"/>
    </w:rPr>
  </w:style>
  <w:style w:type="character" w:styleId="IntenseEmphasis">
    <w:name w:val="Intense Emphasis"/>
    <w:uiPriority w:val="99"/>
    <w:semiHidden/>
    <w:qFormat/>
    <w:rsid w:val="001E1F42"/>
    <w:rPr>
      <w:b/>
      <w:bCs/>
    </w:rPr>
  </w:style>
  <w:style w:type="paragraph" w:styleId="IntenseQuote">
    <w:name w:val="Intense Quote"/>
    <w:basedOn w:val="Normal"/>
    <w:next w:val="Normal"/>
    <w:link w:val="IntenseQuoteChar"/>
    <w:uiPriority w:val="99"/>
    <w:semiHidden/>
    <w:qFormat/>
    <w:rsid w:val="001E1F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E1F42"/>
    <w:rPr>
      <w:rFonts w:eastAsiaTheme="minorEastAsia"/>
      <w:b/>
      <w:bCs/>
      <w:i/>
      <w:iCs/>
      <w:lang w:bidi="en-US"/>
    </w:rPr>
  </w:style>
  <w:style w:type="character" w:styleId="IntenseReference">
    <w:name w:val="Intense Reference"/>
    <w:uiPriority w:val="99"/>
    <w:semiHidden/>
    <w:qFormat/>
    <w:rsid w:val="001E1F42"/>
    <w:rPr>
      <w:smallCaps/>
      <w:spacing w:val="5"/>
      <w:u w:val="single"/>
    </w:rPr>
  </w:style>
  <w:style w:type="paragraph" w:styleId="ListParagraph">
    <w:name w:val="List Paragraph"/>
    <w:basedOn w:val="Normal"/>
    <w:uiPriority w:val="99"/>
    <w:semiHidden/>
    <w:qFormat/>
    <w:rsid w:val="001E1F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E1F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E1F42"/>
    <w:rPr>
      <w:rFonts w:eastAsiaTheme="minorEastAsia"/>
      <w:i/>
      <w:iCs/>
      <w:lang w:bidi="en-US"/>
    </w:rPr>
  </w:style>
  <w:style w:type="character" w:styleId="SubtleReference">
    <w:name w:val="Subtle Reference"/>
    <w:uiPriority w:val="99"/>
    <w:semiHidden/>
    <w:qFormat/>
    <w:rsid w:val="001E1F42"/>
    <w:rPr>
      <w:smallCaps/>
    </w:rPr>
  </w:style>
  <w:style w:type="table" w:styleId="TableGrid">
    <w:name w:val="Table Grid"/>
    <w:basedOn w:val="TableNormal"/>
    <w:uiPriority w:val="59"/>
    <w:semiHidden/>
    <w:rsid w:val="001E1F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E1F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E1F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E1F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E1F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E1F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E1F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E1F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E1F42"/>
    <w:pPr>
      <w:spacing w:before="120" w:after="120"/>
      <w:ind w:left="425" w:firstLine="142"/>
    </w:pPr>
    <w:rPr>
      <w:sz w:val="20"/>
    </w:rPr>
  </w:style>
  <w:style w:type="paragraph" w:customStyle="1" w:styleId="ECHRPara">
    <w:name w:val="ECHR_Para"/>
    <w:aliases w:val="Ju_Para"/>
    <w:basedOn w:val="Normal"/>
    <w:link w:val="ECHRParaChar"/>
    <w:uiPriority w:val="12"/>
    <w:qFormat/>
    <w:rsid w:val="001E1F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E1F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E1F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E1F42"/>
    <w:pPr>
      <w:ind w:left="340" w:hanging="340"/>
    </w:pPr>
  </w:style>
  <w:style w:type="paragraph" w:customStyle="1" w:styleId="JuSigned">
    <w:name w:val="Ju_Signed"/>
    <w:basedOn w:val="Normal"/>
    <w:next w:val="JuParaLast"/>
    <w:uiPriority w:val="32"/>
    <w:qFormat/>
    <w:rsid w:val="001E1F42"/>
    <w:pPr>
      <w:tabs>
        <w:tab w:val="center" w:pos="851"/>
        <w:tab w:val="center" w:pos="6407"/>
      </w:tabs>
      <w:spacing w:before="720"/>
      <w:jc w:val="left"/>
    </w:pPr>
  </w:style>
  <w:style w:type="paragraph" w:customStyle="1" w:styleId="JuParaLast">
    <w:name w:val="Ju_Para_Last"/>
    <w:basedOn w:val="Normal"/>
    <w:next w:val="ECHRPara"/>
    <w:uiPriority w:val="30"/>
    <w:qFormat/>
    <w:rsid w:val="001E1F42"/>
    <w:pPr>
      <w:keepNext/>
      <w:keepLines/>
      <w:spacing w:before="240"/>
      <w:ind w:firstLine="284"/>
    </w:pPr>
  </w:style>
  <w:style w:type="paragraph" w:customStyle="1" w:styleId="OpiHa">
    <w:name w:val="Opi_H_a"/>
    <w:basedOn w:val="ECHRHeading3"/>
    <w:uiPriority w:val="43"/>
    <w:qFormat/>
    <w:rsid w:val="001E1F42"/>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E1F42"/>
    <w:pPr>
      <w:ind w:left="346" w:firstLine="0"/>
    </w:pPr>
  </w:style>
  <w:style w:type="paragraph" w:customStyle="1" w:styleId="JuListi">
    <w:name w:val="Ju_List_i"/>
    <w:basedOn w:val="Normal"/>
    <w:next w:val="JuLista"/>
    <w:uiPriority w:val="28"/>
    <w:qFormat/>
    <w:rsid w:val="001E1F42"/>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E1F42"/>
    <w:rPr>
      <w:vertAlign w:val="superscript"/>
    </w:rPr>
  </w:style>
  <w:style w:type="paragraph" w:styleId="EndnoteText">
    <w:name w:val="endnote text"/>
    <w:basedOn w:val="Normal"/>
    <w:link w:val="EndnoteTextChar"/>
    <w:uiPriority w:val="99"/>
    <w:semiHidden/>
    <w:rsid w:val="001E1F42"/>
    <w:rPr>
      <w:sz w:val="20"/>
      <w:szCs w:val="20"/>
    </w:rPr>
  </w:style>
  <w:style w:type="character" w:customStyle="1" w:styleId="EndnoteTextChar">
    <w:name w:val="Endnote Text Char"/>
    <w:basedOn w:val="DefaultParagraphFont"/>
    <w:link w:val="EndnoteText"/>
    <w:uiPriority w:val="99"/>
    <w:semiHidden/>
    <w:rsid w:val="001E1F4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1E1F4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E1F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E1F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E1F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1E1F42"/>
    <w:pPr>
      <w:ind w:left="1037" w:hanging="357"/>
      <w:outlineLvl w:val="4"/>
    </w:pPr>
    <w:rPr>
      <w:b w:val="0"/>
      <w:i/>
    </w:rPr>
  </w:style>
  <w:style w:type="paragraph" w:customStyle="1" w:styleId="OpiPara">
    <w:name w:val="Opi_Para"/>
    <w:basedOn w:val="ECHRPara"/>
    <w:uiPriority w:val="46"/>
    <w:qFormat/>
    <w:rsid w:val="001E1F42"/>
  </w:style>
  <w:style w:type="character" w:styleId="PlaceholderText">
    <w:name w:val="Placeholder Text"/>
    <w:basedOn w:val="DefaultParagraphFont"/>
    <w:uiPriority w:val="99"/>
    <w:semiHidden/>
    <w:rsid w:val="001E1F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E1F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E1F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1E1F42"/>
  </w:style>
  <w:style w:type="paragraph" w:customStyle="1" w:styleId="OpiQuot">
    <w:name w:val="Opi_Quot"/>
    <w:basedOn w:val="ECHRParaQuote"/>
    <w:uiPriority w:val="48"/>
    <w:qFormat/>
    <w:rsid w:val="001E1F42"/>
  </w:style>
  <w:style w:type="paragraph" w:customStyle="1" w:styleId="OpiQuotSub">
    <w:name w:val="Opi_Quot_Sub"/>
    <w:basedOn w:val="JuQuotSub"/>
    <w:uiPriority w:val="49"/>
    <w:qFormat/>
    <w:rsid w:val="001E1F42"/>
  </w:style>
  <w:style w:type="paragraph" w:customStyle="1" w:styleId="OpiTranslation">
    <w:name w:val="Opi_Translation"/>
    <w:basedOn w:val="Normal"/>
    <w:next w:val="OpiPara"/>
    <w:uiPriority w:val="40"/>
    <w:qFormat/>
    <w:rsid w:val="001E1F42"/>
    <w:pPr>
      <w:jc w:val="center"/>
      <w:outlineLvl w:val="0"/>
    </w:pPr>
    <w:rPr>
      <w:i/>
    </w:rPr>
  </w:style>
  <w:style w:type="paragraph" w:styleId="NoteHeading">
    <w:name w:val="Note Heading"/>
    <w:basedOn w:val="Normal"/>
    <w:next w:val="Normal"/>
    <w:link w:val="NoteHeadingChar"/>
    <w:uiPriority w:val="99"/>
    <w:semiHidden/>
    <w:rsid w:val="005B303E"/>
  </w:style>
  <w:style w:type="character" w:customStyle="1" w:styleId="NoteHeadingChar">
    <w:name w:val="Note Heading Char"/>
    <w:basedOn w:val="DefaultParagraphFont"/>
    <w:link w:val="NoteHeading"/>
    <w:uiPriority w:val="99"/>
    <w:semiHidden/>
    <w:rsid w:val="005B303E"/>
    <w:rPr>
      <w:rFonts w:eastAsiaTheme="minorEastAsia"/>
      <w:sz w:val="24"/>
      <w:lang w:val="en-GB"/>
    </w:rPr>
  </w:style>
  <w:style w:type="paragraph" w:customStyle="1" w:styleId="JuHeaderLandscape">
    <w:name w:val="Ju_Header_Landscape"/>
    <w:basedOn w:val="ECHRHeader"/>
    <w:uiPriority w:val="4"/>
    <w:qFormat/>
    <w:rsid w:val="001E1F4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96106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57458">
      <w:bodyDiv w:val="1"/>
      <w:marLeft w:val="0"/>
      <w:marRight w:val="0"/>
      <w:marTop w:val="0"/>
      <w:marBottom w:val="0"/>
      <w:divBdr>
        <w:top w:val="none" w:sz="0" w:space="0" w:color="auto"/>
        <w:left w:val="none" w:sz="0" w:space="0" w:color="auto"/>
        <w:bottom w:val="none" w:sz="0" w:space="0" w:color="auto"/>
        <w:right w:val="none" w:sz="0" w:space="0" w:color="auto"/>
      </w:divBdr>
      <w:divsChild>
        <w:div w:id="1499035750">
          <w:marLeft w:val="0"/>
          <w:marRight w:val="0"/>
          <w:marTop w:val="0"/>
          <w:marBottom w:val="0"/>
          <w:divBdr>
            <w:top w:val="none" w:sz="0" w:space="0" w:color="auto"/>
            <w:left w:val="none" w:sz="0" w:space="0" w:color="auto"/>
            <w:bottom w:val="none" w:sz="0" w:space="0" w:color="auto"/>
            <w:right w:val="none" w:sz="0" w:space="0" w:color="auto"/>
          </w:divBdr>
          <w:divsChild>
            <w:div w:id="1034959298">
              <w:marLeft w:val="0"/>
              <w:marRight w:val="0"/>
              <w:marTop w:val="0"/>
              <w:marBottom w:val="0"/>
              <w:divBdr>
                <w:top w:val="none" w:sz="0" w:space="0" w:color="auto"/>
                <w:left w:val="none" w:sz="0" w:space="0" w:color="auto"/>
                <w:bottom w:val="none" w:sz="0" w:space="0" w:color="auto"/>
                <w:right w:val="none" w:sz="0" w:space="0" w:color="auto"/>
              </w:divBdr>
              <w:divsChild>
                <w:div w:id="258636313">
                  <w:marLeft w:val="0"/>
                  <w:marRight w:val="0"/>
                  <w:marTop w:val="0"/>
                  <w:marBottom w:val="0"/>
                  <w:divBdr>
                    <w:top w:val="none" w:sz="0" w:space="0" w:color="auto"/>
                    <w:left w:val="none" w:sz="0" w:space="0" w:color="auto"/>
                    <w:bottom w:val="none" w:sz="0" w:space="0" w:color="auto"/>
                    <w:right w:val="none" w:sz="0" w:space="0" w:color="auto"/>
                  </w:divBdr>
                  <w:divsChild>
                    <w:div w:id="940839013">
                      <w:marLeft w:val="0"/>
                      <w:marRight w:val="0"/>
                      <w:marTop w:val="0"/>
                      <w:marBottom w:val="0"/>
                      <w:divBdr>
                        <w:top w:val="none" w:sz="0" w:space="0" w:color="auto"/>
                        <w:left w:val="none" w:sz="0" w:space="0" w:color="auto"/>
                        <w:bottom w:val="none" w:sz="0" w:space="0" w:color="auto"/>
                        <w:right w:val="none" w:sz="0" w:space="0" w:color="auto"/>
                      </w:divBdr>
                      <w:divsChild>
                        <w:div w:id="1314525086">
                          <w:marLeft w:val="0"/>
                          <w:marRight w:val="0"/>
                          <w:marTop w:val="0"/>
                          <w:marBottom w:val="0"/>
                          <w:divBdr>
                            <w:top w:val="none" w:sz="0" w:space="0" w:color="auto"/>
                            <w:left w:val="none" w:sz="0" w:space="0" w:color="auto"/>
                            <w:bottom w:val="none" w:sz="0" w:space="0" w:color="auto"/>
                            <w:right w:val="none" w:sz="0" w:space="0" w:color="auto"/>
                          </w:divBdr>
                          <w:divsChild>
                            <w:div w:id="205719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554736">
      <w:bodyDiv w:val="1"/>
      <w:marLeft w:val="0"/>
      <w:marRight w:val="0"/>
      <w:marTop w:val="0"/>
      <w:marBottom w:val="0"/>
      <w:divBdr>
        <w:top w:val="none" w:sz="0" w:space="0" w:color="auto"/>
        <w:left w:val="none" w:sz="0" w:space="0" w:color="auto"/>
        <w:bottom w:val="none" w:sz="0" w:space="0" w:color="auto"/>
        <w:right w:val="none" w:sz="0" w:space="0" w:color="auto"/>
      </w:divBdr>
      <w:divsChild>
        <w:div w:id="1520192230">
          <w:marLeft w:val="0"/>
          <w:marRight w:val="0"/>
          <w:marTop w:val="0"/>
          <w:marBottom w:val="0"/>
          <w:divBdr>
            <w:top w:val="none" w:sz="0" w:space="0" w:color="auto"/>
            <w:left w:val="none" w:sz="0" w:space="0" w:color="auto"/>
            <w:bottom w:val="none" w:sz="0" w:space="0" w:color="auto"/>
            <w:right w:val="none" w:sz="0" w:space="0" w:color="auto"/>
          </w:divBdr>
          <w:divsChild>
            <w:div w:id="1763792911">
              <w:marLeft w:val="0"/>
              <w:marRight w:val="0"/>
              <w:marTop w:val="0"/>
              <w:marBottom w:val="0"/>
              <w:divBdr>
                <w:top w:val="none" w:sz="0" w:space="0" w:color="auto"/>
                <w:left w:val="none" w:sz="0" w:space="0" w:color="auto"/>
                <w:bottom w:val="none" w:sz="0" w:space="0" w:color="auto"/>
                <w:right w:val="none" w:sz="0" w:space="0" w:color="auto"/>
              </w:divBdr>
              <w:divsChild>
                <w:div w:id="169876184">
                  <w:marLeft w:val="0"/>
                  <w:marRight w:val="0"/>
                  <w:marTop w:val="0"/>
                  <w:marBottom w:val="0"/>
                  <w:divBdr>
                    <w:top w:val="none" w:sz="0" w:space="0" w:color="auto"/>
                    <w:left w:val="none" w:sz="0" w:space="0" w:color="auto"/>
                    <w:bottom w:val="none" w:sz="0" w:space="0" w:color="auto"/>
                    <w:right w:val="none" w:sz="0" w:space="0" w:color="auto"/>
                  </w:divBdr>
                  <w:divsChild>
                    <w:div w:id="257296001">
                      <w:marLeft w:val="0"/>
                      <w:marRight w:val="0"/>
                      <w:marTop w:val="0"/>
                      <w:marBottom w:val="0"/>
                      <w:divBdr>
                        <w:top w:val="none" w:sz="0" w:space="0" w:color="auto"/>
                        <w:left w:val="none" w:sz="0" w:space="0" w:color="auto"/>
                        <w:bottom w:val="none" w:sz="0" w:space="0" w:color="auto"/>
                        <w:right w:val="none" w:sz="0" w:space="0" w:color="auto"/>
                      </w:divBdr>
                      <w:divsChild>
                        <w:div w:id="1148279541">
                          <w:marLeft w:val="0"/>
                          <w:marRight w:val="0"/>
                          <w:marTop w:val="0"/>
                          <w:marBottom w:val="0"/>
                          <w:divBdr>
                            <w:top w:val="none" w:sz="0" w:space="0" w:color="auto"/>
                            <w:left w:val="none" w:sz="0" w:space="0" w:color="auto"/>
                            <w:bottom w:val="none" w:sz="0" w:space="0" w:color="auto"/>
                            <w:right w:val="none" w:sz="0" w:space="0" w:color="auto"/>
                          </w:divBdr>
                          <w:divsChild>
                            <w:div w:id="39219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5FDFD0-DEE2-4E28-BCAD-C1E11401A12F}"/>
</file>

<file path=customXml/itemProps2.xml><?xml version="1.0" encoding="utf-8"?>
<ds:datastoreItem xmlns:ds="http://schemas.openxmlformats.org/officeDocument/2006/customXml" ds:itemID="{3400A838-9CDF-4AD3-BFF6-81F9B0AEF4B9}"/>
</file>

<file path=customXml/itemProps3.xml><?xml version="1.0" encoding="utf-8"?>
<ds:datastoreItem xmlns:ds="http://schemas.openxmlformats.org/officeDocument/2006/customXml" ds:itemID="{92B27067-00EE-4ADC-ACE6-49174292F8CB}"/>
</file>

<file path=customXml/itemProps4.xml><?xml version="1.0" encoding="utf-8"?>
<ds:datastoreItem xmlns:ds="http://schemas.openxmlformats.org/officeDocument/2006/customXml" ds:itemID="{512BF261-AB08-4772-91F6-CD47B130567A}"/>
</file>

<file path=docProps/app.xml><?xml version="1.0" encoding="utf-8"?>
<Properties xmlns="http://schemas.openxmlformats.org/officeDocument/2006/extended-properties" xmlns:vt="http://schemas.openxmlformats.org/officeDocument/2006/docPropsVTypes">
  <Template>Normal.dotm</Template>
  <TotalTime>0</TotalTime>
  <Pages>1</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2019-08-31T11:03:00Z</dcterms:created>
  <dcterms:modified xsi:type="dcterms:W3CDTF">2019-08-31T11:03:00Z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17884/12</vt:lpwstr>
  </property>
  <property fmtid="{D5CDD505-2E9C-101B-9397-08002B2CF9AE}" pid="4" name="CASEID">
    <vt:lpwstr>786534</vt:lpwstr>
  </property>
  <property fmtid="{D5CDD505-2E9C-101B-9397-08002B2CF9AE}" pid="5" name="ContentTypeId">
    <vt:lpwstr>0x010100558EB02BDB9E204AB350EDD385B68E10</vt:lpwstr>
  </property>
</Properties>
</file>