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0117E" w:rsidR="00BC354B" w:rsidP="0020117E" w:rsidRDefault="00BC354B">
      <w:pPr>
        <w:pStyle w:val="ECHRDecisionBody"/>
      </w:pPr>
      <w:bookmarkStart w:name="_GoBack" w:id="0"/>
      <w:bookmarkEnd w:id="0"/>
    </w:p>
    <w:p w:rsidRPr="0020117E" w:rsidR="00BC354B" w:rsidP="0020117E" w:rsidRDefault="00BC354B">
      <w:pPr>
        <w:pStyle w:val="ECHRDecisionBody"/>
      </w:pPr>
    </w:p>
    <w:p w:rsidRPr="0020117E" w:rsidR="00D420F3" w:rsidP="0020117E" w:rsidRDefault="00A66EBC">
      <w:pPr>
        <w:jc w:val="center"/>
      </w:pPr>
      <w:r w:rsidRPr="0020117E">
        <w:t>FOURTH SECTION</w:t>
      </w:r>
    </w:p>
    <w:p w:rsidRPr="0020117E" w:rsidR="00D420F3" w:rsidP="0020117E" w:rsidRDefault="00D420F3">
      <w:pPr>
        <w:jc w:val="center"/>
      </w:pPr>
    </w:p>
    <w:p w:rsidRPr="0020117E" w:rsidR="00BC354B" w:rsidP="0020117E" w:rsidRDefault="00BC354B">
      <w:pPr>
        <w:jc w:val="center"/>
      </w:pPr>
    </w:p>
    <w:p w:rsidRPr="0020117E" w:rsidR="00BC354B" w:rsidP="0020117E" w:rsidRDefault="00BC354B">
      <w:pPr>
        <w:jc w:val="center"/>
      </w:pPr>
    </w:p>
    <w:p w:rsidRPr="0020117E" w:rsidR="00BC354B" w:rsidP="0020117E" w:rsidRDefault="00BC354B">
      <w:pPr>
        <w:jc w:val="center"/>
      </w:pPr>
    </w:p>
    <w:p w:rsidRPr="0020117E" w:rsidR="008B2BFD" w:rsidP="0020117E" w:rsidRDefault="008B2BFD">
      <w:pPr>
        <w:jc w:val="center"/>
      </w:pPr>
    </w:p>
    <w:p w:rsidRPr="0020117E" w:rsidR="008B2BFD" w:rsidP="0020117E" w:rsidRDefault="008B2BFD">
      <w:pPr>
        <w:jc w:val="center"/>
      </w:pPr>
    </w:p>
    <w:p w:rsidRPr="0020117E" w:rsidR="008B2BFD" w:rsidP="0020117E" w:rsidRDefault="008B2BFD">
      <w:pPr>
        <w:jc w:val="center"/>
      </w:pPr>
    </w:p>
    <w:p w:rsidRPr="0020117E" w:rsidR="00BC354B" w:rsidP="0020117E" w:rsidRDefault="00BC354B">
      <w:pPr>
        <w:jc w:val="center"/>
      </w:pPr>
    </w:p>
    <w:p w:rsidRPr="0020117E" w:rsidR="00D420F3" w:rsidP="0020117E" w:rsidRDefault="0077175D">
      <w:pPr>
        <w:jc w:val="center"/>
        <w:rPr>
          <w:b/>
        </w:rPr>
      </w:pPr>
      <w:bookmarkStart w:name="To" w:id="1"/>
      <w:r w:rsidRPr="0020117E">
        <w:rPr>
          <w:b/>
        </w:rPr>
        <w:t xml:space="preserve">CASE OF </w:t>
      </w:r>
      <w:bookmarkEnd w:id="1"/>
      <w:r w:rsidRPr="0020117E" w:rsidR="00A66EBC">
        <w:rPr>
          <w:b/>
        </w:rPr>
        <w:t>ALEKSIĆ v. SLOVENIA</w:t>
      </w:r>
    </w:p>
    <w:p w:rsidRPr="0020117E" w:rsidR="00D420F3" w:rsidP="0020117E" w:rsidRDefault="00D420F3">
      <w:pPr>
        <w:jc w:val="center"/>
      </w:pPr>
    </w:p>
    <w:p w:rsidRPr="0020117E" w:rsidR="00D420F3" w:rsidP="0020117E" w:rsidRDefault="0077175D">
      <w:pPr>
        <w:jc w:val="center"/>
        <w:rPr>
          <w:i/>
        </w:rPr>
      </w:pPr>
      <w:r w:rsidRPr="0020117E">
        <w:rPr>
          <w:i/>
        </w:rPr>
        <w:t>(</w:t>
      </w:r>
      <w:r w:rsidRPr="0020117E" w:rsidR="00A66EBC">
        <w:rPr>
          <w:i/>
        </w:rPr>
        <w:t>Application no. 57123/10</w:t>
      </w:r>
      <w:r w:rsidRPr="0020117E">
        <w:rPr>
          <w:i/>
        </w:rPr>
        <w:t>)</w:t>
      </w:r>
    </w:p>
    <w:p w:rsidRPr="0020117E" w:rsidR="00D420F3" w:rsidP="0020117E" w:rsidRDefault="00D420F3">
      <w:pPr>
        <w:jc w:val="center"/>
      </w:pPr>
    </w:p>
    <w:p w:rsidRPr="0020117E" w:rsidR="00D420F3" w:rsidP="0020117E" w:rsidRDefault="00D420F3">
      <w:pPr>
        <w:jc w:val="center"/>
      </w:pPr>
    </w:p>
    <w:p w:rsidRPr="0020117E" w:rsidR="00D420F3" w:rsidP="0020117E" w:rsidRDefault="00D420F3">
      <w:pPr>
        <w:jc w:val="center"/>
      </w:pPr>
    </w:p>
    <w:p w:rsidRPr="0020117E" w:rsidR="00D420F3" w:rsidP="0020117E" w:rsidRDefault="00D420F3">
      <w:pPr>
        <w:jc w:val="center"/>
      </w:pPr>
    </w:p>
    <w:p w:rsidRPr="0020117E" w:rsidR="00D420F3" w:rsidP="0020117E" w:rsidRDefault="00D420F3">
      <w:pPr>
        <w:jc w:val="center"/>
      </w:pPr>
    </w:p>
    <w:p w:rsidRPr="0020117E" w:rsidR="008B2BFD" w:rsidP="0020117E" w:rsidRDefault="008B2BFD">
      <w:pPr>
        <w:jc w:val="center"/>
      </w:pPr>
    </w:p>
    <w:p w:rsidRPr="0020117E" w:rsidR="00D420F3" w:rsidP="0020117E" w:rsidRDefault="00D420F3">
      <w:pPr>
        <w:jc w:val="center"/>
      </w:pPr>
    </w:p>
    <w:p w:rsidRPr="0020117E" w:rsidR="00783714" w:rsidP="0020117E" w:rsidRDefault="00783714">
      <w:pPr>
        <w:jc w:val="center"/>
      </w:pPr>
    </w:p>
    <w:p w:rsidRPr="0020117E" w:rsidR="00783714" w:rsidP="0020117E" w:rsidRDefault="00783714">
      <w:pPr>
        <w:jc w:val="center"/>
      </w:pPr>
    </w:p>
    <w:p w:rsidRPr="0020117E" w:rsidR="00783714" w:rsidP="0020117E" w:rsidRDefault="00783714">
      <w:pPr>
        <w:jc w:val="center"/>
      </w:pPr>
    </w:p>
    <w:p w:rsidRPr="0020117E" w:rsidR="00D420F3" w:rsidP="0020117E" w:rsidRDefault="00BC354B">
      <w:pPr>
        <w:jc w:val="center"/>
        <w:rPr>
          <w:szCs w:val="24"/>
        </w:rPr>
      </w:pPr>
      <w:r w:rsidRPr="0020117E">
        <w:rPr>
          <w:szCs w:val="24"/>
        </w:rPr>
        <w:t>JUDGMENT</w:t>
      </w:r>
    </w:p>
    <w:p w:rsidRPr="0020117E" w:rsidR="00D420F3" w:rsidP="0020117E" w:rsidRDefault="00D420F3">
      <w:pPr>
        <w:rPr>
          <w:szCs w:val="24"/>
        </w:rPr>
      </w:pPr>
    </w:p>
    <w:p w:rsidRPr="0020117E" w:rsidR="00BC354B" w:rsidP="0020117E" w:rsidRDefault="00BC354B">
      <w:pPr>
        <w:pStyle w:val="JuCase"/>
        <w:ind w:firstLine="0"/>
        <w:jc w:val="center"/>
        <w:rPr>
          <w:b w:val="0"/>
        </w:rPr>
      </w:pPr>
    </w:p>
    <w:p w:rsidRPr="0020117E" w:rsidR="00BC354B" w:rsidP="0020117E" w:rsidRDefault="00BC354B">
      <w:pPr>
        <w:pStyle w:val="JuCase"/>
        <w:ind w:firstLine="0"/>
        <w:jc w:val="center"/>
        <w:rPr>
          <w:b w:val="0"/>
        </w:rPr>
      </w:pPr>
      <w:r w:rsidRPr="0020117E">
        <w:rPr>
          <w:b w:val="0"/>
        </w:rPr>
        <w:t>STRASBOURG</w:t>
      </w:r>
    </w:p>
    <w:p w:rsidRPr="0020117E" w:rsidR="00BC354B" w:rsidP="0020117E" w:rsidRDefault="00BC354B">
      <w:pPr>
        <w:pStyle w:val="JuCase"/>
        <w:ind w:firstLine="0"/>
        <w:jc w:val="center"/>
        <w:rPr>
          <w:b w:val="0"/>
        </w:rPr>
      </w:pPr>
    </w:p>
    <w:p w:rsidRPr="0020117E" w:rsidR="00BC354B" w:rsidP="0020117E" w:rsidRDefault="00783714">
      <w:pPr>
        <w:pStyle w:val="JuCase"/>
        <w:ind w:firstLine="0"/>
        <w:jc w:val="center"/>
        <w:rPr>
          <w:b w:val="0"/>
        </w:rPr>
      </w:pPr>
      <w:r w:rsidRPr="0020117E">
        <w:rPr>
          <w:b w:val="0"/>
          <w:bCs/>
        </w:rPr>
        <w:t>19 February 2019</w:t>
      </w:r>
    </w:p>
    <w:p w:rsidRPr="0020117E" w:rsidR="007B6431" w:rsidP="0020117E" w:rsidRDefault="007B6431">
      <w:pPr>
        <w:pStyle w:val="ECHRPara"/>
      </w:pPr>
    </w:p>
    <w:p w:rsidRPr="0020117E" w:rsidR="007B6431" w:rsidP="0020117E" w:rsidRDefault="007B6431">
      <w:pPr>
        <w:pStyle w:val="ECHRPara"/>
      </w:pPr>
    </w:p>
    <w:p w:rsidRPr="0020117E" w:rsidR="008B2BFD" w:rsidP="0020117E" w:rsidRDefault="008B2BFD">
      <w:pPr>
        <w:pStyle w:val="ECHRPara"/>
      </w:pPr>
    </w:p>
    <w:p w:rsidRPr="0020117E" w:rsidR="008B2BFD" w:rsidP="0020117E" w:rsidRDefault="008B2BFD">
      <w:pPr>
        <w:pStyle w:val="ECHRPara"/>
      </w:pPr>
    </w:p>
    <w:p w:rsidRPr="0020117E" w:rsidR="007B6431" w:rsidP="0020117E" w:rsidRDefault="007B6431">
      <w:pPr>
        <w:pStyle w:val="ECHRPara"/>
      </w:pPr>
    </w:p>
    <w:p w:rsidRPr="0020117E" w:rsidR="00BC354B" w:rsidP="0020117E" w:rsidRDefault="00BC354B">
      <w:pPr>
        <w:pStyle w:val="JuCase"/>
        <w:ind w:firstLine="0"/>
        <w:jc w:val="left"/>
        <w:rPr>
          <w:b w:val="0"/>
          <w:i/>
          <w:sz w:val="22"/>
        </w:rPr>
      </w:pPr>
      <w:r w:rsidRPr="0020117E">
        <w:rPr>
          <w:b w:val="0"/>
          <w:i/>
          <w:sz w:val="22"/>
        </w:rPr>
        <w:t>This judgment is final but it may be subject to editorial revision.</w:t>
      </w:r>
    </w:p>
    <w:p w:rsidRPr="0020117E" w:rsidR="008B2BFD" w:rsidP="0020117E" w:rsidRDefault="008B2BFD">
      <w:pPr>
        <w:pStyle w:val="ECHRPara"/>
      </w:pPr>
    </w:p>
    <w:p w:rsidRPr="0020117E" w:rsidR="008B2BFD" w:rsidP="0020117E" w:rsidRDefault="008B2BFD">
      <w:pPr>
        <w:pStyle w:val="ECHRPara"/>
        <w:sectPr w:rsidRPr="0020117E" w:rsidR="008B2BFD" w:rsidSect="00BC354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0117E" w:rsidR="00D420F3" w:rsidP="0020117E" w:rsidRDefault="0077175D">
      <w:pPr>
        <w:pStyle w:val="JuCase"/>
        <w:rPr>
          <w:bCs/>
        </w:rPr>
      </w:pPr>
      <w:r w:rsidRPr="0020117E">
        <w:t xml:space="preserve">In the case of </w:t>
      </w:r>
      <w:r w:rsidRPr="0020117E" w:rsidR="00A66EBC">
        <w:t>Aleksić v. Slovenia</w:t>
      </w:r>
      <w:r w:rsidRPr="0020117E">
        <w:t>,</w:t>
      </w:r>
    </w:p>
    <w:p w:rsidRPr="0020117E" w:rsidR="00D420F3" w:rsidP="0020117E" w:rsidRDefault="0077175D">
      <w:pPr>
        <w:pStyle w:val="ECHRPara"/>
      </w:pPr>
      <w:r w:rsidRPr="0020117E">
        <w:t>The European Court of Human Rights (</w:t>
      </w:r>
      <w:r w:rsidRPr="0020117E" w:rsidR="00A66EBC">
        <w:t>Fourth Section</w:t>
      </w:r>
      <w:r w:rsidRPr="0020117E">
        <w:t xml:space="preserve">), sitting as a </w:t>
      </w:r>
      <w:r w:rsidRPr="0020117E" w:rsidR="00A66EBC">
        <w:t>Committee</w:t>
      </w:r>
      <w:r w:rsidRPr="0020117E">
        <w:t xml:space="preserve"> composed of:</w:t>
      </w:r>
    </w:p>
    <w:p w:rsidRPr="0020117E" w:rsidR="00D420F3" w:rsidP="0020117E" w:rsidRDefault="00BC354B">
      <w:pPr>
        <w:pStyle w:val="ECHRDecisionBody"/>
      </w:pPr>
      <w:r w:rsidRPr="0020117E">
        <w:tab/>
        <w:t>Georges Ravarani,</w:t>
      </w:r>
      <w:r w:rsidRPr="0020117E">
        <w:rPr>
          <w:i/>
        </w:rPr>
        <w:t xml:space="preserve"> President,</w:t>
      </w:r>
      <w:r w:rsidRPr="0020117E">
        <w:rPr>
          <w:i/>
        </w:rPr>
        <w:br/>
      </w:r>
      <w:r w:rsidRPr="0020117E">
        <w:tab/>
        <w:t>Marko Bošnjak,</w:t>
      </w:r>
      <w:r w:rsidRPr="0020117E">
        <w:rPr>
          <w:i/>
        </w:rPr>
        <w:br/>
      </w:r>
      <w:r w:rsidRPr="0020117E">
        <w:tab/>
        <w:t>Péter Paczolay,</w:t>
      </w:r>
      <w:r w:rsidRPr="0020117E">
        <w:rPr>
          <w:i/>
        </w:rPr>
        <w:t xml:space="preserve"> judges,</w:t>
      </w:r>
      <w:r w:rsidRPr="0020117E" w:rsidR="0077175D">
        <w:rPr>
          <w:szCs w:val="24"/>
        </w:rPr>
        <w:br/>
      </w:r>
      <w:r w:rsidRPr="0020117E" w:rsidR="0077175D">
        <w:t xml:space="preserve">and </w:t>
      </w:r>
      <w:r w:rsidRPr="0020117E" w:rsidR="00A66EBC">
        <w:t>Andrea Tamietti</w:t>
      </w:r>
      <w:r w:rsidRPr="0020117E" w:rsidR="0077175D">
        <w:t xml:space="preserve">, </w:t>
      </w:r>
      <w:r w:rsidRPr="0020117E" w:rsidR="00A66EBC">
        <w:rPr>
          <w:i/>
        </w:rPr>
        <w:t xml:space="preserve">Deputy Section </w:t>
      </w:r>
      <w:r w:rsidRPr="0020117E" w:rsidR="00A66EBC">
        <w:rPr>
          <w:i/>
          <w:iCs/>
        </w:rPr>
        <w:t>Registrar</w:t>
      </w:r>
      <w:r w:rsidRPr="0020117E" w:rsidR="0077175D">
        <w:rPr>
          <w:i/>
        </w:rPr>
        <w:t>,</w:t>
      </w:r>
    </w:p>
    <w:p w:rsidRPr="0020117E" w:rsidR="00D420F3" w:rsidP="0020117E" w:rsidRDefault="0077175D">
      <w:pPr>
        <w:pStyle w:val="ECHRPara"/>
      </w:pPr>
      <w:r w:rsidRPr="0020117E">
        <w:t xml:space="preserve">Having deliberated in private on </w:t>
      </w:r>
      <w:r w:rsidRPr="0020117E" w:rsidR="00BC354B">
        <w:t>29 January 2019</w:t>
      </w:r>
      <w:r w:rsidRPr="0020117E">
        <w:t>,</w:t>
      </w:r>
    </w:p>
    <w:p w:rsidRPr="0020117E" w:rsidR="00D420F3" w:rsidP="0020117E" w:rsidRDefault="0077175D">
      <w:pPr>
        <w:pStyle w:val="ECHRPara"/>
      </w:pPr>
      <w:r w:rsidRPr="0020117E">
        <w:t>Delivers the following judgment, which was adopted on that date:</w:t>
      </w:r>
    </w:p>
    <w:p w:rsidRPr="0020117E" w:rsidR="00D420F3" w:rsidP="0020117E" w:rsidRDefault="0077175D">
      <w:pPr>
        <w:pStyle w:val="ECHRTitle1"/>
      </w:pPr>
      <w:r w:rsidRPr="0020117E">
        <w:t>PROCEDURE</w:t>
      </w:r>
    </w:p>
    <w:p w:rsidRPr="0020117E" w:rsidR="00A66EB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w:t>
      </w:r>
      <w:r w:rsidRPr="0020117E">
        <w:fldChar w:fldCharType="end"/>
      </w:r>
      <w:r w:rsidRPr="0020117E">
        <w:t>.  </w:t>
      </w:r>
      <w:r w:rsidRPr="0020117E" w:rsidR="00F04DD9">
        <w:t>The case originated in an application (no. 57123/10) against the Republic of Slovenia lodged with the Court under Article 34 of the Convention for the Protection of Human Rights and Fundamental Freedoms (“the Convention”) by a Slovenian national, Mr Milosav Aleksić (“the applicant”), on 1 October 2010.</w:t>
      </w:r>
    </w:p>
    <w:p w:rsidRPr="0020117E" w:rsidR="00F04DD9" w:rsidP="0020117E" w:rsidRDefault="00A66EBC">
      <w:pPr>
        <w:pStyle w:val="ECHRPara"/>
      </w:pPr>
      <w:r w:rsidRPr="0020117E">
        <w:fldChar w:fldCharType="begin"/>
      </w:r>
      <w:r w:rsidRPr="0020117E">
        <w:instrText xml:space="preserve"> SEQ level0 \*arabic </w:instrText>
      </w:r>
      <w:r w:rsidRPr="0020117E">
        <w:fldChar w:fldCharType="separate"/>
      </w:r>
      <w:r w:rsidRPr="0020117E" w:rsidR="0020117E">
        <w:rPr>
          <w:noProof/>
        </w:rPr>
        <w:t>2</w:t>
      </w:r>
      <w:r w:rsidRPr="0020117E">
        <w:fldChar w:fldCharType="end"/>
      </w:r>
      <w:r w:rsidRPr="0020117E" w:rsidR="0077175D">
        <w:t>.  </w:t>
      </w:r>
      <w:r w:rsidRPr="0020117E" w:rsidR="00F04DD9">
        <w:t>The applicant was represented by Mr M. Krivic, who was granted leave to represent the applicant under Rule 36 § 4 (a) of the Rules of Court. The Slovenian Government (“the Government”) were represented by their Agent, Ms</w:t>
      </w:r>
      <w:r w:rsidRPr="0020117E" w:rsidR="005A0A60">
        <w:t> </w:t>
      </w:r>
      <w:r w:rsidRPr="0020117E" w:rsidR="00F04DD9">
        <w:t>J. Morela, State Attorney.</w:t>
      </w:r>
    </w:p>
    <w:p w:rsidRPr="0020117E" w:rsidR="00A66EBC" w:rsidP="0020117E" w:rsidRDefault="00A66EBC">
      <w:pPr>
        <w:pStyle w:val="ECHRPara"/>
      </w:pPr>
      <w:r w:rsidRPr="0020117E">
        <w:fldChar w:fldCharType="begin"/>
      </w:r>
      <w:r w:rsidRPr="0020117E">
        <w:instrText xml:space="preserve"> SEQ level0 \*arabic </w:instrText>
      </w:r>
      <w:r w:rsidRPr="0020117E">
        <w:fldChar w:fldCharType="separate"/>
      </w:r>
      <w:r w:rsidRPr="0020117E" w:rsidR="0020117E">
        <w:rPr>
          <w:noProof/>
        </w:rPr>
        <w:t>3</w:t>
      </w:r>
      <w:r w:rsidRPr="0020117E">
        <w:fldChar w:fldCharType="end"/>
      </w:r>
      <w:r w:rsidRPr="0020117E" w:rsidR="0077175D">
        <w:t>.  </w:t>
      </w:r>
      <w:r w:rsidRPr="0020117E" w:rsidR="00F04DD9">
        <w:t xml:space="preserve">On </w:t>
      </w:r>
      <w:r w:rsidRPr="0020117E" w:rsidR="00F04DD9">
        <w:rPr>
          <w:szCs w:val="24"/>
        </w:rPr>
        <w:t>9 June 2016</w:t>
      </w:r>
      <w:r w:rsidRPr="0020117E" w:rsidR="00F04DD9">
        <w:t xml:space="preserve"> </w:t>
      </w:r>
      <w:r w:rsidRPr="0020117E" w:rsidR="00275D6D">
        <w:t xml:space="preserve">notice of </w:t>
      </w:r>
      <w:r w:rsidRPr="0020117E" w:rsidR="00F04DD9">
        <w:t>the complaint under Article 14 of the Convention taken in conjunction</w:t>
      </w:r>
      <w:r w:rsidRPr="0020117E" w:rsidR="00783714">
        <w:t xml:space="preserve"> with Article 1 of Protocol No. </w:t>
      </w:r>
      <w:r w:rsidRPr="0020117E" w:rsidR="00F04DD9">
        <w:t>1</w:t>
      </w:r>
      <w:r w:rsidRPr="0020117E" w:rsidR="00242517">
        <w:t>,</w:t>
      </w:r>
      <w:r w:rsidRPr="0020117E" w:rsidR="00F04DD9">
        <w:t xml:space="preserve"> concerning </w:t>
      </w:r>
      <w:r w:rsidRPr="0020117E" w:rsidR="00242517">
        <w:t xml:space="preserve">a </w:t>
      </w:r>
      <w:r w:rsidRPr="0020117E" w:rsidR="00F04DD9">
        <w:t>refusal to grant the applicant</w:t>
      </w:r>
      <w:r w:rsidRPr="0020117E" w:rsidR="00783714">
        <w:t xml:space="preserve"> an old-age pension between May </w:t>
      </w:r>
      <w:r w:rsidRPr="0020117E" w:rsidR="00F04DD9">
        <w:t>1992 and February 2003 because he had not had Slovenian citizenship</w:t>
      </w:r>
      <w:r w:rsidRPr="0020117E" w:rsidR="00EF0F0A">
        <w:t xml:space="preserve"> at that time</w:t>
      </w:r>
      <w:r w:rsidRPr="0020117E" w:rsidR="00242517">
        <w:t>,</w:t>
      </w:r>
      <w:r w:rsidRPr="0020117E" w:rsidR="00F04DD9">
        <w:t xml:space="preserve"> was </w:t>
      </w:r>
      <w:r w:rsidRPr="0020117E" w:rsidR="00275D6D">
        <w:t xml:space="preserve">given </w:t>
      </w:r>
      <w:r w:rsidRPr="0020117E" w:rsidR="00F04DD9">
        <w:t>to the Government and the remainder of the application was declared inadmissible</w:t>
      </w:r>
      <w:r w:rsidRPr="0020117E" w:rsidR="00F04DD9">
        <w:rPr>
          <w:szCs w:val="24"/>
        </w:rPr>
        <w:t xml:space="preserve"> </w:t>
      </w:r>
      <w:r w:rsidRPr="0020117E" w:rsidR="00F04DD9">
        <w:t>pursuant to Rule 54 § 3.</w:t>
      </w:r>
    </w:p>
    <w:p w:rsidRPr="0020117E" w:rsidR="00D420F3"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4</w:t>
      </w:r>
      <w:r w:rsidRPr="0020117E">
        <w:fldChar w:fldCharType="end"/>
      </w:r>
      <w:r w:rsidRPr="0020117E">
        <w:t>.  </w:t>
      </w:r>
      <w:r w:rsidRPr="0020117E" w:rsidR="00A66EBC">
        <w:t>The Government objected to the examination of the application by a Committee. After having considered the Government</w:t>
      </w:r>
      <w:r w:rsidRPr="0020117E" w:rsidR="0020117E">
        <w:t>’</w:t>
      </w:r>
      <w:r w:rsidRPr="0020117E" w:rsidR="00A66EBC">
        <w:t>s objection, the Court rejects it.</w:t>
      </w:r>
    </w:p>
    <w:p w:rsidRPr="0020117E" w:rsidR="00D420F3" w:rsidP="0020117E" w:rsidRDefault="0077175D">
      <w:pPr>
        <w:pStyle w:val="ECHRTitle1"/>
      </w:pPr>
      <w:r w:rsidRPr="0020117E">
        <w:t>THE FACTS</w:t>
      </w:r>
    </w:p>
    <w:p w:rsidRPr="0020117E" w:rsidR="00D420F3" w:rsidP="0020117E" w:rsidRDefault="0077175D">
      <w:pPr>
        <w:pStyle w:val="ECHRHeading1"/>
      </w:pPr>
      <w:r w:rsidRPr="0020117E">
        <w:t>I.  THE CIRCUMSTANCES OF THE CASE</w:t>
      </w:r>
    </w:p>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5</w:t>
      </w:r>
      <w:r w:rsidRPr="0020117E">
        <w:fldChar w:fldCharType="end"/>
      </w:r>
      <w:r w:rsidRPr="0020117E">
        <w:t>.  The applicant was born in 1944 and lives in Ljubljana.</w:t>
      </w:r>
    </w:p>
    <w:bookmarkStart w:name="background" w:id="2"/>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6</w:t>
      </w:r>
      <w:r w:rsidRPr="0020117E">
        <w:fldChar w:fldCharType="end"/>
      </w:r>
      <w:bookmarkEnd w:id="2"/>
      <w:r w:rsidRPr="0020117E">
        <w:t xml:space="preserve">.  For the relevant background to the case, see </w:t>
      </w:r>
      <w:r w:rsidRPr="0020117E">
        <w:rPr>
          <w:i/>
          <w:iCs/>
        </w:rPr>
        <w:t>Ribać v. Slovenia</w:t>
      </w:r>
      <w:r w:rsidRPr="0020117E">
        <w:t xml:space="preserve"> (no.</w:t>
      </w:r>
      <w:r w:rsidRPr="0020117E" w:rsidR="001B362A">
        <w:t> </w:t>
      </w:r>
      <w:r w:rsidRPr="0020117E">
        <w:t>57101/10, §§ 6-11, 5 December 2017).</w:t>
      </w:r>
    </w:p>
    <w:bookmarkStart w:name="residentstatus1977" w:id="3"/>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7</w:t>
      </w:r>
      <w:r w:rsidRPr="0020117E">
        <w:fldChar w:fldCharType="end"/>
      </w:r>
      <w:bookmarkEnd w:id="3"/>
      <w:r w:rsidRPr="0020117E">
        <w:t xml:space="preserve">.  The applicant was a citizen of the Republic of Serbia in the </w:t>
      </w:r>
      <w:r w:rsidRPr="0020117E" w:rsidR="0044605F">
        <w:t xml:space="preserve">Socialist Federal Republic of Yugoslavia (“the </w:t>
      </w:r>
      <w:r w:rsidRPr="0020117E">
        <w:t>SFRY</w:t>
      </w:r>
      <w:r w:rsidRPr="0020117E" w:rsidR="005C183A">
        <w:t>”</w:t>
      </w:r>
      <w:r w:rsidRPr="0020117E" w:rsidR="0044605F">
        <w:t>)</w:t>
      </w:r>
      <w:r w:rsidRPr="0020117E">
        <w:t xml:space="preserve">. Following </w:t>
      </w:r>
      <w:r w:rsidRPr="0020117E" w:rsidR="00D969DB">
        <w:t xml:space="preserve">the </w:t>
      </w:r>
      <w:r w:rsidRPr="0020117E">
        <w:t>dissolution</w:t>
      </w:r>
      <w:r w:rsidRPr="0020117E" w:rsidR="00D969DB">
        <w:t xml:space="preserve"> of the SFRY</w:t>
      </w:r>
      <w:r w:rsidRPr="0020117E">
        <w:t>, he retained citizenship of the then Federal Republic of Yugoslavia. He has had permanent resident status in Slovenia since 1977, where he also married and had two children.</w:t>
      </w:r>
      <w:r w:rsidRPr="0020117E" w:rsidR="00F10CD4">
        <w:t xml:space="preserve"> He was a member of the </w:t>
      </w:r>
      <w:r w:rsidRPr="0020117E" w:rsidR="003822F1">
        <w:t>Yugoslav People</w:t>
      </w:r>
      <w:r w:rsidRPr="0020117E" w:rsidR="0020117E">
        <w:t>’</w:t>
      </w:r>
      <w:r w:rsidRPr="0020117E" w:rsidR="003822F1">
        <w:t>s Army (hereinafter “the YPA”)</w:t>
      </w:r>
      <w:r w:rsidRPr="0020117E" w:rsidR="00F10CD4">
        <w:t>.</w:t>
      </w:r>
    </w:p>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8</w:t>
      </w:r>
      <w:r w:rsidRPr="0020117E">
        <w:fldChar w:fldCharType="end"/>
      </w:r>
      <w:r w:rsidRPr="0020117E">
        <w:t>.  On 23 September 1991 he applied</w:t>
      </w:r>
      <w:r w:rsidRPr="0020117E" w:rsidR="00DB4733">
        <w:t xml:space="preserve"> to the Vrhnika Mil</w:t>
      </w:r>
      <w:r w:rsidRPr="0020117E" w:rsidR="00D56862">
        <w:t>i</w:t>
      </w:r>
      <w:r w:rsidRPr="0020117E" w:rsidR="00DB4733">
        <w:t>tary Post Office</w:t>
      </w:r>
      <w:r w:rsidRPr="0020117E">
        <w:t xml:space="preserve"> for early retirement as of 30 April 1992, and was then “available” (</w:t>
      </w:r>
      <w:r w:rsidRPr="0020117E">
        <w:rPr>
          <w:i/>
        </w:rPr>
        <w:t>na razpolago</w:t>
      </w:r>
      <w:r w:rsidRPr="0020117E">
        <w:t>) and on leave until his retirement. On 29 November 1991 the Office granted his request.</w:t>
      </w:r>
    </w:p>
    <w:p w:rsidRPr="0020117E" w:rsidR="007A69DC" w:rsidP="0020117E" w:rsidRDefault="00E15A22">
      <w:pPr>
        <w:pStyle w:val="ECHRPara"/>
      </w:pPr>
      <w:r w:rsidRPr="0020117E">
        <w:fldChar w:fldCharType="begin"/>
      </w:r>
      <w:r w:rsidRPr="0020117E">
        <w:instrText xml:space="preserve"> SEQ level0 \*arabic </w:instrText>
      </w:r>
      <w:r w:rsidRPr="0020117E">
        <w:fldChar w:fldCharType="separate"/>
      </w:r>
      <w:r w:rsidRPr="0020117E" w:rsidR="0020117E">
        <w:rPr>
          <w:noProof/>
        </w:rPr>
        <w:t>9</w:t>
      </w:r>
      <w:r w:rsidRPr="0020117E">
        <w:fldChar w:fldCharType="end"/>
      </w:r>
      <w:r w:rsidRPr="0020117E">
        <w:t>.  </w:t>
      </w:r>
      <w:r w:rsidRPr="0020117E" w:rsidR="007A69DC">
        <w:t>On 25 October 1991 he left Slovenia with the YPA and went to Kraljevo. The applicant maintained</w:t>
      </w:r>
      <w:r w:rsidRPr="0020117E" w:rsidR="005B2F31">
        <w:t xml:space="preserve"> that</w:t>
      </w:r>
      <w:r w:rsidRPr="0020117E" w:rsidR="007A69DC">
        <w:t xml:space="preserve"> he had left with the YPA so he could fulfil the retirement conditions. On 21 December 1991 he returned to Slovenia</w:t>
      </w:r>
      <w:r w:rsidRPr="0020117E" w:rsidR="00025A72">
        <w:t>, but left again in</w:t>
      </w:r>
      <w:r w:rsidRPr="0020117E" w:rsidR="007A69DC">
        <w:t xml:space="preserve"> January 1992</w:t>
      </w:r>
      <w:r w:rsidRPr="0020117E" w:rsidR="00025A72">
        <w:t xml:space="preserve">, </w:t>
      </w:r>
      <w:r w:rsidRPr="0020117E" w:rsidR="0076251B">
        <w:t xml:space="preserve">which he </w:t>
      </w:r>
      <w:r w:rsidRPr="0020117E" w:rsidR="00025A72">
        <w:t>maintain</w:t>
      </w:r>
      <w:r w:rsidRPr="0020117E" w:rsidR="0076251B">
        <w:t>ed was for the purpose of</w:t>
      </w:r>
      <w:r w:rsidRPr="0020117E" w:rsidR="00025A72">
        <w:t xml:space="preserve"> </w:t>
      </w:r>
      <w:r w:rsidRPr="0020117E" w:rsidR="007109F1">
        <w:t>arrang</w:t>
      </w:r>
      <w:r w:rsidRPr="0020117E" w:rsidR="0076251B">
        <w:t>ing</w:t>
      </w:r>
      <w:r w:rsidRPr="0020117E" w:rsidR="00025A72">
        <w:t xml:space="preserve"> documents for his retirement.</w:t>
      </w:r>
      <w:r w:rsidRPr="0020117E" w:rsidR="007A69DC">
        <w:t xml:space="preserve"> </w:t>
      </w:r>
      <w:r w:rsidRPr="0020117E" w:rsidR="007109F1">
        <w:t>On 27 April 1992 t</w:t>
      </w:r>
      <w:r w:rsidRPr="0020117E" w:rsidR="00025A72">
        <w:t>he applicant</w:t>
      </w:r>
      <w:r w:rsidRPr="0020117E" w:rsidR="007A69DC">
        <w:t xml:space="preserve"> returned </w:t>
      </w:r>
      <w:r w:rsidRPr="0020117E" w:rsidR="00025A72">
        <w:t>to Slovenia, holding that</w:t>
      </w:r>
      <w:r w:rsidRPr="0020117E" w:rsidR="00426091">
        <w:t xml:space="preserve"> </w:t>
      </w:r>
      <w:r w:rsidRPr="0020117E" w:rsidR="007A69DC">
        <w:t>it had not been possible for him to return earlier</w:t>
      </w:r>
      <w:r w:rsidRPr="0020117E" w:rsidR="00426091">
        <w:t xml:space="preserve"> because of the war</w:t>
      </w:r>
      <w:r w:rsidRPr="0020117E" w:rsidR="007A69DC">
        <w:t>.</w:t>
      </w:r>
    </w:p>
    <w:bookmarkStart w:name="YPAentitled" w:id="4"/>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10</w:t>
      </w:r>
      <w:r w:rsidRPr="0020117E">
        <w:fldChar w:fldCharType="end"/>
      </w:r>
      <w:bookmarkEnd w:id="4"/>
      <w:r w:rsidRPr="0020117E">
        <w:t xml:space="preserve">.  On 16 July 1992 the military pension fund for the armed forces of the SFRY (hereinafter “the YPA Fund”) found </w:t>
      </w:r>
      <w:r w:rsidRPr="0020117E" w:rsidR="0044605F">
        <w:t>the applicant</w:t>
      </w:r>
      <w:r w:rsidRPr="0020117E">
        <w:t xml:space="preserve"> to be entitled to an early retirement pension under SFRY military rules as from 1 May 1992. The applicant ma</w:t>
      </w:r>
      <w:r w:rsidRPr="0020117E" w:rsidR="00215BA9">
        <w:t xml:space="preserve">intained that </w:t>
      </w:r>
      <w:r w:rsidRPr="0020117E">
        <w:t>he had never received any pension from the YPA Fund.</w:t>
      </w:r>
    </w:p>
    <w:p w:rsidRPr="0020117E" w:rsidR="007A69DC" w:rsidP="0020117E" w:rsidRDefault="00163598">
      <w:pPr>
        <w:pStyle w:val="ECHRPara"/>
      </w:pPr>
      <w:r w:rsidRPr="0020117E">
        <w:fldChar w:fldCharType="begin"/>
      </w:r>
      <w:r w:rsidRPr="0020117E">
        <w:instrText xml:space="preserve"> SEQ level0 \*arabic </w:instrText>
      </w:r>
      <w:r w:rsidRPr="0020117E">
        <w:fldChar w:fldCharType="separate"/>
      </w:r>
      <w:r w:rsidRPr="0020117E" w:rsidR="0020117E">
        <w:rPr>
          <w:noProof/>
        </w:rPr>
        <w:t>11</w:t>
      </w:r>
      <w:r w:rsidRPr="0020117E">
        <w:fldChar w:fldCharType="end"/>
      </w:r>
      <w:r w:rsidRPr="0020117E">
        <w:t>.  </w:t>
      </w:r>
      <w:r w:rsidRPr="0020117E" w:rsidR="007A69DC">
        <w:t>On 27 December 1991 the applicant applied for Slovenian citizenship under section 40 of the Citizenship Act (see paragraph</w:t>
      </w:r>
      <w:r w:rsidRPr="0020117E" w:rsidR="00783714">
        <w:t> </w:t>
      </w:r>
      <w:r w:rsidRPr="0020117E" w:rsidR="00216764">
        <w:fldChar w:fldCharType="begin"/>
      </w:r>
      <w:r w:rsidRPr="0020117E" w:rsidR="00216764">
        <w:instrText xml:space="preserve"> REF domesticlaw \h </w:instrText>
      </w:r>
      <w:r w:rsidRPr="0020117E" w:rsidR="00216764">
        <w:fldChar w:fldCharType="separate"/>
      </w:r>
      <w:r w:rsidRPr="0020117E" w:rsidR="0020117E">
        <w:rPr>
          <w:noProof/>
        </w:rPr>
        <w:t>22</w:t>
      </w:r>
      <w:r w:rsidRPr="0020117E" w:rsidR="00216764">
        <w:fldChar w:fldCharType="end"/>
      </w:r>
      <w:r w:rsidRPr="0020117E" w:rsidR="007A69DC">
        <w:t xml:space="preserve"> below). By a decision of 7 July 1992 the Ministry of</w:t>
      </w:r>
      <w:r w:rsidRPr="0020117E" w:rsidR="00FF5D91">
        <w:t xml:space="preserve"> the</w:t>
      </w:r>
      <w:r w:rsidRPr="0020117E" w:rsidR="007A69DC">
        <w:t xml:space="preserve"> Interior </w:t>
      </w:r>
      <w:r w:rsidRPr="0020117E" w:rsidR="00C73EFB">
        <w:t xml:space="preserve">refused </w:t>
      </w:r>
      <w:r w:rsidRPr="0020117E" w:rsidR="007A69DC">
        <w:t>his application, holding that the applicant had not lived in Slovenia between 25</w:t>
      </w:r>
      <w:r w:rsidRPr="0020117E" w:rsidR="001B362A">
        <w:t> </w:t>
      </w:r>
      <w:r w:rsidRPr="0020117E" w:rsidR="007A69DC">
        <w:t xml:space="preserve">October 1991 and 27 April 1992. </w:t>
      </w:r>
      <w:r w:rsidRPr="0020117E" w:rsidR="00215BA9">
        <w:t>T</w:t>
      </w:r>
      <w:r w:rsidRPr="0020117E" w:rsidR="00F02025">
        <w:t xml:space="preserve">he Supreme Court dismissed his </w:t>
      </w:r>
      <w:r w:rsidRPr="0020117E" w:rsidR="00BB18A1">
        <w:t xml:space="preserve">subsequent </w:t>
      </w:r>
      <w:r w:rsidRPr="0020117E" w:rsidR="00215BA9">
        <w:t>appeal</w:t>
      </w:r>
      <w:r w:rsidRPr="0020117E" w:rsidR="00F02025">
        <w:t>.</w:t>
      </w:r>
    </w:p>
    <w:bookmarkStart w:name="noadvance" w:id="5"/>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12</w:t>
      </w:r>
      <w:r w:rsidRPr="0020117E">
        <w:fldChar w:fldCharType="end"/>
      </w:r>
      <w:bookmarkEnd w:id="5"/>
      <w:r w:rsidRPr="0020117E">
        <w:t>.  On 29 July 1992 the applicant applied for an advance payment o</w:t>
      </w:r>
      <w:r w:rsidRPr="0020117E" w:rsidR="00A91710">
        <w:t>f</w:t>
      </w:r>
      <w:r w:rsidRPr="0020117E">
        <w:t xml:space="preserve"> his military pension under the Advance Payment of Military Pensions Ordinance (hereinafter “the Ordinance”</w:t>
      </w:r>
      <w:r w:rsidRPr="0020117E" w:rsidR="00704CFA">
        <w:t>;</w:t>
      </w:r>
      <w:r w:rsidRPr="0020117E">
        <w:t xml:space="preserve"> see paragraph </w:t>
      </w:r>
      <w:r w:rsidRPr="0020117E" w:rsidR="00906470">
        <w:fldChar w:fldCharType="begin"/>
      </w:r>
      <w:r w:rsidRPr="0020117E" w:rsidR="00906470">
        <w:instrText xml:space="preserve"> REF domesticlaw \h </w:instrText>
      </w:r>
      <w:r w:rsidRPr="0020117E" w:rsidR="00906470">
        <w:fldChar w:fldCharType="separate"/>
      </w:r>
      <w:r w:rsidRPr="0020117E" w:rsidR="0020117E">
        <w:rPr>
          <w:noProof/>
        </w:rPr>
        <w:t>22</w:t>
      </w:r>
      <w:r w:rsidRPr="0020117E" w:rsidR="00906470">
        <w:fldChar w:fldCharType="end"/>
      </w:r>
      <w:r w:rsidRPr="0020117E">
        <w:t xml:space="preserve"> below). By a decision of 18 February 1993 </w:t>
      </w:r>
      <w:r w:rsidRPr="0020117E" w:rsidR="001F2E3A">
        <w:t xml:space="preserve">the </w:t>
      </w:r>
      <w:r w:rsidRPr="0020117E">
        <w:t>Pension and Disability Insurance Institute of Slovenia (hereinafter “the Institute”) refused the applicant</w:t>
      </w:r>
      <w:r w:rsidRPr="0020117E" w:rsidR="0020117E">
        <w:t>’</w:t>
      </w:r>
      <w:r w:rsidRPr="0020117E">
        <w:t xml:space="preserve">s application, </w:t>
      </w:r>
      <w:r w:rsidRPr="0020117E" w:rsidR="005B2F31">
        <w:t>finding that he had not fulfilled the conditions for pension entitlement under SFRY military rules, namely the age requirement, by 18 October 1991 (section 2(1)(2) of the Ordinance)</w:t>
      </w:r>
      <w:r w:rsidRPr="0020117E" w:rsidR="00D219EC">
        <w:t xml:space="preserve">. </w:t>
      </w:r>
      <w:r w:rsidRPr="0020117E">
        <w:t xml:space="preserve">The Institute also noted that </w:t>
      </w:r>
      <w:r w:rsidRPr="0020117E" w:rsidR="00906470">
        <w:t>the Ministry of Defence</w:t>
      </w:r>
      <w:r w:rsidRPr="0020117E" w:rsidR="001C0CED">
        <w:t xml:space="preserve"> had</w:t>
      </w:r>
      <w:r w:rsidRPr="0020117E">
        <w:t xml:space="preserve"> </w:t>
      </w:r>
      <w:r w:rsidRPr="0020117E" w:rsidR="00906470">
        <w:t>opined that</w:t>
      </w:r>
      <w:r w:rsidRPr="0020117E">
        <w:t xml:space="preserve"> there </w:t>
      </w:r>
      <w:r w:rsidRPr="0020117E" w:rsidR="00906470">
        <w:t>had been</w:t>
      </w:r>
      <w:r w:rsidRPr="0020117E">
        <w:t xml:space="preserve"> no </w:t>
      </w:r>
      <w:r w:rsidRPr="0020117E" w:rsidR="00906470">
        <w:t xml:space="preserve">indication of </w:t>
      </w:r>
      <w:r w:rsidRPr="0020117E" w:rsidR="00CE0295">
        <w:t>the applicant</w:t>
      </w:r>
      <w:r w:rsidRPr="0020117E" w:rsidR="001C0CED">
        <w:t xml:space="preserve"> having</w:t>
      </w:r>
      <w:r w:rsidRPr="0020117E" w:rsidR="00906470">
        <w:t xml:space="preserve"> participat</w:t>
      </w:r>
      <w:r w:rsidRPr="0020117E" w:rsidR="001C0CED">
        <w:t>ed</w:t>
      </w:r>
      <w:r w:rsidRPr="0020117E" w:rsidR="00906470">
        <w:t xml:space="preserve"> in aggression against Slovenia</w:t>
      </w:r>
      <w:r w:rsidRPr="0020117E">
        <w:t xml:space="preserve"> (</w:t>
      </w:r>
      <w:r w:rsidRPr="0020117E" w:rsidR="00906470">
        <w:t>section 2(2) of the Ordinance</w:t>
      </w:r>
      <w:r w:rsidRPr="0020117E" w:rsidR="00BD7DD5">
        <w:t>;</w:t>
      </w:r>
      <w:r w:rsidRPr="0020117E" w:rsidR="00906470">
        <w:t xml:space="preserve"> </w:t>
      </w:r>
      <w:r w:rsidRPr="0020117E">
        <w:t>see paragraph</w:t>
      </w:r>
      <w:r w:rsidRPr="0020117E" w:rsidR="005A0A60">
        <w:t> </w:t>
      </w:r>
      <w:r w:rsidRPr="0020117E" w:rsidR="00906470">
        <w:fldChar w:fldCharType="begin"/>
      </w:r>
      <w:r w:rsidRPr="0020117E" w:rsidR="00906470">
        <w:instrText xml:space="preserve"> REF domesticlaw \h </w:instrText>
      </w:r>
      <w:r w:rsidRPr="0020117E" w:rsidR="00906470">
        <w:fldChar w:fldCharType="separate"/>
      </w:r>
      <w:r w:rsidRPr="0020117E" w:rsidR="0020117E">
        <w:rPr>
          <w:noProof/>
        </w:rPr>
        <w:t>22</w:t>
      </w:r>
      <w:r w:rsidRPr="0020117E" w:rsidR="00906470">
        <w:fldChar w:fldCharType="end"/>
      </w:r>
      <w:r w:rsidRPr="0020117E">
        <w:t xml:space="preserve"> below). His </w:t>
      </w:r>
      <w:r w:rsidRPr="0020117E" w:rsidR="00835C14">
        <w:t xml:space="preserve">subsequent </w:t>
      </w:r>
      <w:r w:rsidRPr="0020117E">
        <w:t>appeal was dismissed</w:t>
      </w:r>
      <w:r w:rsidRPr="0020117E" w:rsidR="00D45A39">
        <w:t xml:space="preserve"> and the applicant initiated court proceedings.</w:t>
      </w:r>
    </w:p>
    <w:bookmarkStart w:name="Advancecourtproceedings" w:id="6"/>
    <w:p w:rsidRPr="0020117E" w:rsidR="00D90DE0" w:rsidP="0020117E" w:rsidRDefault="00426091">
      <w:pPr>
        <w:pStyle w:val="ECHRPara"/>
      </w:pPr>
      <w:r w:rsidRPr="0020117E">
        <w:fldChar w:fldCharType="begin"/>
      </w:r>
      <w:r w:rsidRPr="0020117E">
        <w:instrText xml:space="preserve"> SEQ level0 \*arabic </w:instrText>
      </w:r>
      <w:r w:rsidRPr="0020117E">
        <w:fldChar w:fldCharType="separate"/>
      </w:r>
      <w:r w:rsidRPr="0020117E" w:rsidR="0020117E">
        <w:rPr>
          <w:noProof/>
        </w:rPr>
        <w:t>13</w:t>
      </w:r>
      <w:r w:rsidRPr="0020117E">
        <w:fldChar w:fldCharType="end"/>
      </w:r>
      <w:bookmarkEnd w:id="6"/>
      <w:r w:rsidRPr="0020117E" w:rsidR="00D45A39">
        <w:t>. </w:t>
      </w:r>
      <w:r w:rsidRPr="0020117E" w:rsidR="00D90DE0">
        <w:t> </w:t>
      </w:r>
      <w:r w:rsidRPr="0020117E">
        <w:t xml:space="preserve">On 4 February 1994 the Court of Associated Labour of the Republic of Slovenia dismissed his </w:t>
      </w:r>
      <w:r w:rsidRPr="0020117E" w:rsidR="004C3E5E">
        <w:t>claim</w:t>
      </w:r>
      <w:r w:rsidRPr="0020117E">
        <w:t xml:space="preserve">, </w:t>
      </w:r>
      <w:r w:rsidRPr="0020117E" w:rsidR="009A3A9B">
        <w:t>holding</w:t>
      </w:r>
      <w:r w:rsidRPr="0020117E">
        <w:t xml:space="preserve"> that the applicant had not fulfilled the conditions under section 2(1)(2) of the Ordinance</w:t>
      </w:r>
      <w:r w:rsidRPr="0020117E" w:rsidR="009A3A9B">
        <w:t xml:space="preserve"> (see paragraph </w:t>
      </w:r>
      <w:r w:rsidRPr="0020117E" w:rsidR="009A3A9B">
        <w:fldChar w:fldCharType="begin"/>
      </w:r>
      <w:r w:rsidRPr="0020117E" w:rsidR="009A3A9B">
        <w:instrText xml:space="preserve"> REF domesticlaw \h </w:instrText>
      </w:r>
      <w:r w:rsidRPr="0020117E" w:rsidR="009A3A9B">
        <w:fldChar w:fldCharType="separate"/>
      </w:r>
      <w:r w:rsidRPr="0020117E" w:rsidR="0020117E">
        <w:rPr>
          <w:noProof/>
        </w:rPr>
        <w:t>22</w:t>
      </w:r>
      <w:r w:rsidRPr="0020117E" w:rsidR="009A3A9B">
        <w:fldChar w:fldCharType="end"/>
      </w:r>
      <w:r w:rsidRPr="0020117E" w:rsidR="009A3A9B">
        <w:t xml:space="preserve"> below)</w:t>
      </w:r>
      <w:r w:rsidRPr="0020117E">
        <w:t xml:space="preserve"> because he had </w:t>
      </w:r>
      <w:r w:rsidRPr="0020117E" w:rsidR="00B314C4">
        <w:t xml:space="preserve">not </w:t>
      </w:r>
      <w:r w:rsidRPr="0020117E">
        <w:t xml:space="preserve">reached the required </w:t>
      </w:r>
      <w:r w:rsidRPr="0020117E" w:rsidR="002A0C8A">
        <w:t xml:space="preserve">retirement </w:t>
      </w:r>
      <w:r w:rsidRPr="0020117E">
        <w:t>age by 18</w:t>
      </w:r>
      <w:r w:rsidRPr="0020117E" w:rsidR="001B362A">
        <w:t> </w:t>
      </w:r>
      <w:r w:rsidRPr="0020117E">
        <w:t xml:space="preserve">October 1991. The court </w:t>
      </w:r>
      <w:r w:rsidRPr="0020117E" w:rsidR="00D45A39">
        <w:t xml:space="preserve">emphasised that there </w:t>
      </w:r>
      <w:r w:rsidRPr="0020117E" w:rsidR="009C504B">
        <w:t xml:space="preserve">had been </w:t>
      </w:r>
      <w:r w:rsidRPr="0020117E" w:rsidR="009A3A9B">
        <w:t>nothing to suggest that the applicant had participated</w:t>
      </w:r>
      <w:r w:rsidRPr="0020117E" w:rsidR="00D45A39">
        <w:t xml:space="preserve"> in aggression against Slovenia as a member of the YPA (section 2(2) of the Ordinance).</w:t>
      </w:r>
      <w:r w:rsidRPr="0020117E" w:rsidR="009F0A26">
        <w:t xml:space="preserve"> </w:t>
      </w:r>
      <w:r w:rsidRPr="0020117E" w:rsidR="00A95EDD">
        <w:t xml:space="preserve">An appeal, an </w:t>
      </w:r>
      <w:r w:rsidRPr="0020117E" w:rsidR="009F0A26">
        <w:t xml:space="preserve">appeal on points of law </w:t>
      </w:r>
      <w:r w:rsidRPr="0020117E" w:rsidR="00914D4D">
        <w:t>and</w:t>
      </w:r>
      <w:r w:rsidRPr="0020117E" w:rsidR="00A95EDD">
        <w:t xml:space="preserve"> a</w:t>
      </w:r>
      <w:r w:rsidRPr="0020117E" w:rsidR="00914D4D">
        <w:t xml:space="preserve"> constitutional complaint</w:t>
      </w:r>
      <w:r w:rsidRPr="0020117E" w:rsidR="00A95EDD">
        <w:t xml:space="preserve"> </w:t>
      </w:r>
      <w:r w:rsidRPr="0020117E" w:rsidR="00D06438">
        <w:t xml:space="preserve">all lodged </w:t>
      </w:r>
      <w:r w:rsidRPr="0020117E" w:rsidR="00A95EDD">
        <w:t>by the applicant</w:t>
      </w:r>
      <w:r w:rsidRPr="0020117E" w:rsidR="00914D4D">
        <w:t xml:space="preserve"> were dismissed.</w:t>
      </w:r>
    </w:p>
    <w:bookmarkStart w:name="Institute1999" w:id="7"/>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14</w:t>
      </w:r>
      <w:r w:rsidRPr="0020117E">
        <w:fldChar w:fldCharType="end"/>
      </w:r>
      <w:bookmarkEnd w:id="7"/>
      <w:r w:rsidRPr="0020117E">
        <w:t>.  On 4 November 1998 the applicant applied for an ol</w:t>
      </w:r>
      <w:r w:rsidRPr="0020117E" w:rsidR="007A027F">
        <w:t xml:space="preserve">d-age pension under </w:t>
      </w:r>
      <w:r w:rsidRPr="0020117E">
        <w:t>the Act on the Rights Stemming from the Pension and Disability Insurance of Former Military Personnel (hereinafter “the 1998 Act”</w:t>
      </w:r>
      <w:r w:rsidRPr="0020117E" w:rsidR="005B2F31">
        <w:t xml:space="preserve">, see paragraph </w:t>
      </w:r>
      <w:r w:rsidRPr="0020117E" w:rsidR="005B2F31">
        <w:fldChar w:fldCharType="begin"/>
      </w:r>
      <w:r w:rsidRPr="0020117E" w:rsidR="005B2F31">
        <w:instrText xml:space="preserve"> REF domesticlaw \h </w:instrText>
      </w:r>
      <w:r w:rsidRPr="0020117E" w:rsidR="005B2F31">
        <w:fldChar w:fldCharType="separate"/>
      </w:r>
      <w:r w:rsidRPr="0020117E" w:rsidR="0020117E">
        <w:rPr>
          <w:noProof/>
        </w:rPr>
        <w:t>22</w:t>
      </w:r>
      <w:r w:rsidRPr="0020117E" w:rsidR="005B2F31">
        <w:fldChar w:fldCharType="end"/>
      </w:r>
      <w:r w:rsidRPr="0020117E" w:rsidR="005B2F31">
        <w:t xml:space="preserve"> below</w:t>
      </w:r>
      <w:r w:rsidRPr="0020117E">
        <w:t>). On 25 February 1999 the Institute refused his application, holding that he</w:t>
      </w:r>
      <w:r w:rsidRPr="0020117E" w:rsidR="00914D4D">
        <w:t xml:space="preserve"> had not continuous</w:t>
      </w:r>
      <w:r w:rsidRPr="0020117E" w:rsidR="006143D3">
        <w:t>ly h</w:t>
      </w:r>
      <w:r w:rsidRPr="0020117E" w:rsidR="00ED1D05">
        <w:t>a</w:t>
      </w:r>
      <w:r w:rsidRPr="0020117E" w:rsidR="006143D3">
        <w:t>d</w:t>
      </w:r>
      <w:r w:rsidRPr="0020117E" w:rsidR="00914D4D">
        <w:t xml:space="preserve"> permanent residen</w:t>
      </w:r>
      <w:r w:rsidRPr="0020117E" w:rsidR="0044605F">
        <w:t>t</w:t>
      </w:r>
      <w:r w:rsidRPr="0020117E" w:rsidR="007A027F">
        <w:t xml:space="preserve"> </w:t>
      </w:r>
      <w:r w:rsidRPr="0020117E" w:rsidR="00914D4D">
        <w:t>status in Slovenia between 25 June 1991 and October 1998</w:t>
      </w:r>
      <w:r w:rsidRPr="0020117E" w:rsidR="009D501F">
        <w:t xml:space="preserve"> (</w:t>
      </w:r>
      <w:r w:rsidRPr="0020117E">
        <w:t>section 2(1)</w:t>
      </w:r>
      <w:r w:rsidRPr="0020117E" w:rsidR="00914D4D">
        <w:t>(2)</w:t>
      </w:r>
      <w:r w:rsidRPr="0020117E">
        <w:t xml:space="preserve"> of the 1998 Act</w:t>
      </w:r>
      <w:r w:rsidRPr="0020117E" w:rsidR="009D501F">
        <w:t>)</w:t>
      </w:r>
      <w:r w:rsidRPr="0020117E">
        <w:t>. The applicant appealed.</w:t>
      </w:r>
    </w:p>
    <w:bookmarkStart w:name="Instituteappeal1999" w:id="8"/>
    <w:p w:rsidRPr="0020117E" w:rsidR="007A69DC" w:rsidP="0020117E" w:rsidRDefault="0073602C">
      <w:pPr>
        <w:pStyle w:val="ECHRPara"/>
      </w:pPr>
      <w:r w:rsidRPr="0020117E">
        <w:fldChar w:fldCharType="begin"/>
      </w:r>
      <w:r w:rsidRPr="0020117E">
        <w:instrText xml:space="preserve"> SEQ level0 \*arabic </w:instrText>
      </w:r>
      <w:r w:rsidRPr="0020117E">
        <w:fldChar w:fldCharType="separate"/>
      </w:r>
      <w:r w:rsidRPr="0020117E" w:rsidR="0020117E">
        <w:rPr>
          <w:noProof/>
        </w:rPr>
        <w:t>15</w:t>
      </w:r>
      <w:r w:rsidRPr="0020117E">
        <w:fldChar w:fldCharType="end"/>
      </w:r>
      <w:bookmarkEnd w:id="8"/>
      <w:r w:rsidRPr="0020117E">
        <w:t>.  </w:t>
      </w:r>
      <w:r w:rsidRPr="0020117E" w:rsidR="007A69DC">
        <w:t xml:space="preserve">On 12 August 1999 the Institute dismissed the appeal, holding that the applicant </w:t>
      </w:r>
      <w:r w:rsidRPr="0020117E" w:rsidR="00B4636C">
        <w:t>had</w:t>
      </w:r>
      <w:r w:rsidRPr="0020117E" w:rsidR="007A69DC">
        <w:t xml:space="preserve"> not fulfil</w:t>
      </w:r>
      <w:r w:rsidRPr="0020117E" w:rsidR="00B4636C">
        <w:t>led</w:t>
      </w:r>
      <w:r w:rsidRPr="0020117E" w:rsidR="007A69DC">
        <w:t xml:space="preserve"> the statutory requirements under the 1998 Act because he had not</w:t>
      </w:r>
      <w:r w:rsidRPr="0020117E" w:rsidR="00C4116B">
        <w:t xml:space="preserve"> continuously</w:t>
      </w:r>
      <w:r w:rsidRPr="0020117E" w:rsidR="007A69DC">
        <w:t xml:space="preserve"> ha</w:t>
      </w:r>
      <w:r w:rsidRPr="0020117E">
        <w:t>d</w:t>
      </w:r>
      <w:r w:rsidRPr="0020117E" w:rsidR="007A69DC">
        <w:t xml:space="preserve"> permanent residen</w:t>
      </w:r>
      <w:r w:rsidRPr="0020117E" w:rsidR="0044605F">
        <w:t>t</w:t>
      </w:r>
      <w:r w:rsidRPr="0020117E" w:rsidR="007A69DC">
        <w:t xml:space="preserve"> status in Slovenia </w:t>
      </w:r>
      <w:r w:rsidRPr="0020117E" w:rsidR="00E06BFF">
        <w:t xml:space="preserve">for </w:t>
      </w:r>
      <w:r w:rsidRPr="0020117E" w:rsidR="004639C7">
        <w:t xml:space="preserve">the </w:t>
      </w:r>
      <w:r w:rsidRPr="0020117E" w:rsidR="00F321A3">
        <w:t xml:space="preserve">relevant </w:t>
      </w:r>
      <w:r w:rsidRPr="0020117E" w:rsidR="004639C7">
        <w:t xml:space="preserve">period </w:t>
      </w:r>
      <w:r w:rsidRPr="0020117E" w:rsidR="007A69DC">
        <w:t>and had failed to claim his pension rights by 25</w:t>
      </w:r>
      <w:r w:rsidRPr="0020117E" w:rsidR="00783714">
        <w:t> </w:t>
      </w:r>
      <w:r w:rsidRPr="0020117E" w:rsidR="007A69DC">
        <w:t>June 1991</w:t>
      </w:r>
      <w:r w:rsidRPr="0020117E" w:rsidR="009D501F">
        <w:t xml:space="preserve"> (section 2(1)(2) of the 1998 Act)</w:t>
      </w:r>
      <w:r w:rsidRPr="0020117E" w:rsidR="007A69DC">
        <w:t>.</w:t>
      </w:r>
    </w:p>
    <w:bookmarkStart w:name="domesticcourt2003" w:id="9"/>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16</w:t>
      </w:r>
      <w:r w:rsidRPr="0020117E">
        <w:fldChar w:fldCharType="end"/>
      </w:r>
      <w:bookmarkEnd w:id="9"/>
      <w:r w:rsidRPr="0020117E">
        <w:t xml:space="preserve">.  On 10 January 2003 </w:t>
      </w:r>
      <w:r w:rsidRPr="0020117E" w:rsidR="009D501F">
        <w:t xml:space="preserve">the Ljubljana Labour and Social Court </w:t>
      </w:r>
      <w:r w:rsidRPr="0020117E">
        <w:t xml:space="preserve">dismissed </w:t>
      </w:r>
      <w:r w:rsidRPr="0020117E" w:rsidR="009D501F">
        <w:t xml:space="preserve">an </w:t>
      </w:r>
      <w:r w:rsidRPr="0020117E">
        <w:t>application for judicial review</w:t>
      </w:r>
      <w:r w:rsidRPr="0020117E" w:rsidR="009D501F">
        <w:t xml:space="preserve"> lodged by the applicant</w:t>
      </w:r>
      <w:r w:rsidRPr="0020117E">
        <w:t>. It pointed out that the applicant had fulfilled the permanent residen</w:t>
      </w:r>
      <w:r w:rsidRPr="0020117E" w:rsidR="0044605F">
        <w:t>t</w:t>
      </w:r>
      <w:r w:rsidRPr="0020117E">
        <w:t xml:space="preserve"> status requirement, but had </w:t>
      </w:r>
      <w:r w:rsidRPr="0020117E" w:rsidR="00386D25">
        <w:t xml:space="preserve">nevertheless </w:t>
      </w:r>
      <w:r w:rsidRPr="0020117E">
        <w:t>not claimed his pension rights by 25 June 1991.</w:t>
      </w:r>
    </w:p>
    <w:bookmarkStart w:name="acquiredcitizenship" w:id="10"/>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17</w:t>
      </w:r>
      <w:r w:rsidRPr="0020117E">
        <w:fldChar w:fldCharType="end"/>
      </w:r>
      <w:bookmarkEnd w:id="10"/>
      <w:r w:rsidRPr="0020117E">
        <w:t>.  </w:t>
      </w:r>
      <w:r w:rsidRPr="0020117E" w:rsidR="007F3728">
        <w:t xml:space="preserve">Meanwhile, in October 1999 the applicant reapplied for Slovenian citizenship. On 15 May 2002 </w:t>
      </w:r>
      <w:r w:rsidRPr="0020117E" w:rsidR="00E21C54">
        <w:t xml:space="preserve">the Ministry of Interior issued an assurance to the applicant that he would </w:t>
      </w:r>
      <w:r w:rsidRPr="0020117E" w:rsidR="00315518">
        <w:t xml:space="preserve">be granted </w:t>
      </w:r>
      <w:r w:rsidRPr="0020117E" w:rsidR="00E21C54">
        <w:t>citizenship</w:t>
      </w:r>
      <w:r w:rsidRPr="0020117E" w:rsidR="002D1144">
        <w:t xml:space="preserve"> if he</w:t>
      </w:r>
      <w:r w:rsidRPr="0020117E" w:rsidR="003A7F55">
        <w:t xml:space="preserve"> could</w:t>
      </w:r>
      <w:r w:rsidRPr="0020117E" w:rsidR="002D1144">
        <w:t xml:space="preserve"> prove that </w:t>
      </w:r>
      <w:r w:rsidRPr="0020117E" w:rsidR="00720F50">
        <w:t xml:space="preserve">he </w:t>
      </w:r>
      <w:r w:rsidRPr="0020117E" w:rsidR="00253BFE">
        <w:t xml:space="preserve">had been </w:t>
      </w:r>
      <w:r w:rsidRPr="0020117E" w:rsidR="00720F50">
        <w:t>released from his current citizenship</w:t>
      </w:r>
      <w:r w:rsidRPr="0020117E" w:rsidR="002D1144">
        <w:t>.</w:t>
      </w:r>
      <w:r w:rsidRPr="0020117E" w:rsidR="00720F50">
        <w:t xml:space="preserve"> On 2 December 2002 the applicant asked the Ministry to grant him citizenship on the basis of the amended Citizenship Act without prior release from his current citizenship. </w:t>
      </w:r>
      <w:r w:rsidRPr="0020117E">
        <w:rPr>
          <w:bCs/>
          <w:iCs/>
        </w:rPr>
        <w:t xml:space="preserve">On </w:t>
      </w:r>
      <w:r w:rsidRPr="0020117E">
        <w:t xml:space="preserve">4 February 2003 </w:t>
      </w:r>
      <w:r w:rsidRPr="0020117E">
        <w:rPr>
          <w:bCs/>
          <w:iCs/>
        </w:rPr>
        <w:t xml:space="preserve">the </w:t>
      </w:r>
      <w:r w:rsidRPr="0020117E">
        <w:t xml:space="preserve">applicant acquired citizenship by naturalisation under section 19 of the amended Citizenship Act (see paragraph </w:t>
      </w:r>
      <w:r w:rsidRPr="0020117E" w:rsidR="008F7CD1">
        <w:fldChar w:fldCharType="begin"/>
      </w:r>
      <w:r w:rsidRPr="0020117E" w:rsidR="008F7CD1">
        <w:instrText xml:space="preserve"> REF domesticlaw \h </w:instrText>
      </w:r>
      <w:r w:rsidRPr="0020117E" w:rsidR="008F7CD1">
        <w:fldChar w:fldCharType="separate"/>
      </w:r>
      <w:r w:rsidRPr="0020117E" w:rsidR="0020117E">
        <w:rPr>
          <w:noProof/>
        </w:rPr>
        <w:t>22</w:t>
      </w:r>
      <w:r w:rsidRPr="0020117E" w:rsidR="008F7CD1">
        <w:fldChar w:fldCharType="end"/>
      </w:r>
      <w:r w:rsidRPr="0020117E">
        <w:t xml:space="preserve"> below).</w:t>
      </w:r>
    </w:p>
    <w:bookmarkStart w:name="grantedpension" w:id="11"/>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18</w:t>
      </w:r>
      <w:r w:rsidRPr="0020117E">
        <w:fldChar w:fldCharType="end"/>
      </w:r>
      <w:bookmarkEnd w:id="11"/>
      <w:r w:rsidRPr="0020117E">
        <w:t>.  On 19 May 2003, after lodging a new request with the Institute, the applicant was granted an old-age pension as from 4 February 2003</w:t>
      </w:r>
      <w:r w:rsidRPr="0020117E" w:rsidR="00370D9D">
        <w:t xml:space="preserve"> under the Pension and Disability Insurance Act (hereinafter “the general rules”)</w:t>
      </w:r>
      <w:r w:rsidRPr="0020117E">
        <w:t>.</w:t>
      </w:r>
    </w:p>
    <w:bookmarkStart w:name="Instituteappeal" w:id="12"/>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19</w:t>
      </w:r>
      <w:r w:rsidRPr="0020117E">
        <w:fldChar w:fldCharType="end"/>
      </w:r>
      <w:bookmarkEnd w:id="12"/>
      <w:r w:rsidRPr="0020117E">
        <w:t xml:space="preserve">.  The applicant appealed, </w:t>
      </w:r>
      <w:r w:rsidRPr="0020117E" w:rsidR="0008476C">
        <w:t xml:space="preserve">arguing </w:t>
      </w:r>
      <w:r w:rsidRPr="0020117E">
        <w:t xml:space="preserve">that he should have been granted the pension as from 1 May 1992. On 3 November 2003 the Institute dismissed his appeal, holding that the applicant </w:t>
      </w:r>
      <w:r w:rsidRPr="0020117E" w:rsidR="003A5F5D">
        <w:t xml:space="preserve">had been </w:t>
      </w:r>
      <w:r w:rsidRPr="0020117E">
        <w:t xml:space="preserve">entitled to an old-age pension under the </w:t>
      </w:r>
      <w:r w:rsidRPr="0020117E" w:rsidR="00370D9D">
        <w:t>general rules</w:t>
      </w:r>
      <w:r w:rsidRPr="0020117E">
        <w:t xml:space="preserve"> and section 2(4) of the 1</w:t>
      </w:r>
      <w:r w:rsidRPr="0020117E" w:rsidR="00163598">
        <w:t xml:space="preserve">998 Act as from 4 February 2003 – </w:t>
      </w:r>
      <w:r w:rsidRPr="0020117E" w:rsidR="00805544">
        <w:t>when</w:t>
      </w:r>
      <w:r w:rsidRPr="0020117E">
        <w:t xml:space="preserve"> he had acquired Slovenian citizenship.</w:t>
      </w:r>
      <w:r w:rsidRPr="0020117E" w:rsidR="00163598">
        <w:t xml:space="preserve"> </w:t>
      </w:r>
      <w:r w:rsidRPr="0020117E" w:rsidR="00FA5282">
        <w:t xml:space="preserve">An </w:t>
      </w:r>
      <w:r w:rsidRPr="0020117E" w:rsidR="00163598">
        <w:t>application</w:t>
      </w:r>
      <w:r w:rsidRPr="0020117E" w:rsidR="00FA5282">
        <w:t xml:space="preserve"> that he lodged</w:t>
      </w:r>
      <w:r w:rsidRPr="0020117E" w:rsidR="00163598">
        <w:t xml:space="preserve"> for judicial review and</w:t>
      </w:r>
      <w:r w:rsidRPr="0020117E" w:rsidR="00FA5282">
        <w:t xml:space="preserve"> a</w:t>
      </w:r>
      <w:r w:rsidRPr="0020117E" w:rsidR="00163598">
        <w:t xml:space="preserve"> subsequent appeal were </w:t>
      </w:r>
      <w:r w:rsidRPr="0020117E" w:rsidR="00141DA8">
        <w:t xml:space="preserve">also </w:t>
      </w:r>
      <w:r w:rsidRPr="0020117E" w:rsidR="00163598">
        <w:t>dismissed by the Ljubljana Labour and Social Court and the Higher Labour and Social Court respectively, reiterating the Institute</w:t>
      </w:r>
      <w:r w:rsidRPr="0020117E" w:rsidR="0020117E">
        <w:t>’</w:t>
      </w:r>
      <w:r w:rsidRPr="0020117E" w:rsidR="00163598">
        <w:t>s arguments</w:t>
      </w:r>
      <w:r w:rsidRPr="0020117E" w:rsidR="00567932">
        <w:t>.</w:t>
      </w:r>
    </w:p>
    <w:bookmarkStart w:name="appealonpointsoflaw" w:id="13"/>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20</w:t>
      </w:r>
      <w:r w:rsidRPr="0020117E">
        <w:fldChar w:fldCharType="end"/>
      </w:r>
      <w:bookmarkEnd w:id="13"/>
      <w:r w:rsidRPr="0020117E">
        <w:t>.  On 23 March 2009 the Supreme Court</w:t>
      </w:r>
      <w:r w:rsidRPr="0020117E" w:rsidR="00E15A22">
        <w:t xml:space="preserve"> dismissed an appeal on points of law lodged by the applicant</w:t>
      </w:r>
      <w:r w:rsidRPr="0020117E">
        <w:t xml:space="preserve">. </w:t>
      </w:r>
      <w:r w:rsidRPr="0020117E" w:rsidR="00D82B85">
        <w:t>The court</w:t>
      </w:r>
      <w:r w:rsidRPr="0020117E">
        <w:t xml:space="preserve"> reiterated that</w:t>
      </w:r>
      <w:r w:rsidRPr="0020117E" w:rsidR="00D82B85">
        <w:t xml:space="preserve"> under</w:t>
      </w:r>
      <w:r w:rsidRPr="0020117E" w:rsidR="00D01D8E">
        <w:t xml:space="preserve"> new</w:t>
      </w:r>
      <w:r w:rsidRPr="0020117E" w:rsidR="00D82B85">
        <w:t xml:space="preserve"> section 15 of the 1998 Act</w:t>
      </w:r>
      <w:r w:rsidRPr="0020117E" w:rsidR="00D01D8E">
        <w:t xml:space="preserve"> (see paragraph </w:t>
      </w:r>
      <w:r w:rsidRPr="0020117E" w:rsidR="00D01D8E">
        <w:fldChar w:fldCharType="begin"/>
      </w:r>
      <w:r w:rsidRPr="0020117E" w:rsidR="00D01D8E">
        <w:instrText xml:space="preserve"> REF section15 \h </w:instrText>
      </w:r>
      <w:r w:rsidRPr="0020117E" w:rsidR="00D01D8E">
        <w:fldChar w:fldCharType="separate"/>
      </w:r>
      <w:r w:rsidRPr="0020117E" w:rsidR="0020117E">
        <w:rPr>
          <w:noProof/>
        </w:rPr>
        <w:t>23</w:t>
      </w:r>
      <w:r w:rsidRPr="0020117E" w:rsidR="00D01D8E">
        <w:fldChar w:fldCharType="end"/>
      </w:r>
      <w:r w:rsidRPr="0020117E" w:rsidR="00D01D8E">
        <w:t xml:space="preserve"> below)</w:t>
      </w:r>
      <w:r w:rsidRPr="0020117E" w:rsidR="00812CE5">
        <w:t>,</w:t>
      </w:r>
      <w:r w:rsidRPr="0020117E" w:rsidR="00D82B85">
        <w:t xml:space="preserve"> the applicant would be entitled to </w:t>
      </w:r>
      <w:r w:rsidRPr="0020117E" w:rsidR="0072758C">
        <w:t xml:space="preserve">a </w:t>
      </w:r>
      <w:r w:rsidRPr="0020117E" w:rsidR="00D82B85">
        <w:t>pension retroactively only if he</w:t>
      </w:r>
      <w:r w:rsidRPr="0020117E">
        <w:t xml:space="preserve"> had acquired </w:t>
      </w:r>
      <w:r w:rsidRPr="0020117E" w:rsidR="00D82B85">
        <w:t xml:space="preserve">citizenship </w:t>
      </w:r>
      <w:r w:rsidRPr="0020117E">
        <w:t>under section 40 of the Citizens</w:t>
      </w:r>
      <w:r w:rsidRPr="0020117E" w:rsidR="009E64EC">
        <w:t>hip Act.</w:t>
      </w:r>
    </w:p>
    <w:p w:rsidRPr="0020117E" w:rsidR="007A69DC" w:rsidP="0020117E" w:rsidRDefault="007A69DC">
      <w:pPr>
        <w:pStyle w:val="ECHRPara"/>
      </w:pPr>
      <w:r w:rsidRPr="0020117E">
        <w:fldChar w:fldCharType="begin"/>
      </w:r>
      <w:r w:rsidRPr="0020117E">
        <w:instrText xml:space="preserve"> SEQ level0 \*arabic </w:instrText>
      </w:r>
      <w:r w:rsidRPr="0020117E">
        <w:fldChar w:fldCharType="separate"/>
      </w:r>
      <w:r w:rsidRPr="0020117E" w:rsidR="0020117E">
        <w:rPr>
          <w:noProof/>
        </w:rPr>
        <w:t>21</w:t>
      </w:r>
      <w:r w:rsidRPr="0020117E">
        <w:fldChar w:fldCharType="end"/>
      </w:r>
      <w:r w:rsidRPr="0020117E">
        <w:t xml:space="preserve">.  On 30 March 2010 the Constitutional Court </w:t>
      </w:r>
      <w:r w:rsidRPr="0020117E" w:rsidR="00E15A22">
        <w:t>refused</w:t>
      </w:r>
      <w:r w:rsidRPr="0020117E">
        <w:t xml:space="preserve"> to accept </w:t>
      </w:r>
      <w:r w:rsidRPr="0020117E" w:rsidR="00190BBF">
        <w:t xml:space="preserve">for consideration </w:t>
      </w:r>
      <w:r w:rsidRPr="0020117E">
        <w:t xml:space="preserve">a constitutional complaint </w:t>
      </w:r>
      <w:r w:rsidRPr="0020117E" w:rsidR="00E15A22">
        <w:t xml:space="preserve">lodged </w:t>
      </w:r>
      <w:r w:rsidRPr="0020117E">
        <w:t>by the applicant, finding that it did not concern an important constitutional issue or entail a violation of human rights which had serious consequences for him.</w:t>
      </w:r>
    </w:p>
    <w:p w:rsidRPr="0020117E" w:rsidR="00D420F3" w:rsidP="0020117E" w:rsidRDefault="0077175D">
      <w:pPr>
        <w:pStyle w:val="ECHRHeading1"/>
      </w:pPr>
      <w:r w:rsidRPr="0020117E">
        <w:t>II.  RELEVANT DOMESTIC</w:t>
      </w:r>
      <w:r w:rsidRPr="0020117E" w:rsidR="001F2E3A">
        <w:t xml:space="preserve"> AND INTERNATIONAL LAW</w:t>
      </w:r>
    </w:p>
    <w:bookmarkStart w:name="domesticlaw" w:id="14"/>
    <w:p w:rsidRPr="0020117E" w:rsidR="00D420F3" w:rsidP="0020117E" w:rsidRDefault="00A10D3D">
      <w:pPr>
        <w:pStyle w:val="ECHRPara"/>
        <w:rPr>
          <w:iCs/>
        </w:rPr>
      </w:pPr>
      <w:r w:rsidRPr="0020117E">
        <w:fldChar w:fldCharType="begin"/>
      </w:r>
      <w:r w:rsidRPr="0020117E">
        <w:instrText xml:space="preserve"> SEQ level0 \*arabic </w:instrText>
      </w:r>
      <w:r w:rsidRPr="0020117E">
        <w:fldChar w:fldCharType="separate"/>
      </w:r>
      <w:r w:rsidRPr="0020117E" w:rsidR="0020117E">
        <w:rPr>
          <w:noProof/>
        </w:rPr>
        <w:t>22</w:t>
      </w:r>
      <w:r w:rsidRPr="0020117E">
        <w:fldChar w:fldCharType="end"/>
      </w:r>
      <w:bookmarkEnd w:id="14"/>
      <w:r w:rsidRPr="0020117E">
        <w:t>.  </w:t>
      </w:r>
      <w:r w:rsidRPr="0020117E" w:rsidR="00621D57">
        <w:t>A detailed account of the</w:t>
      </w:r>
      <w:r w:rsidRPr="0020117E" w:rsidR="007B7D91">
        <w:t xml:space="preserve"> domestic law provisions </w:t>
      </w:r>
      <w:r w:rsidRPr="0020117E" w:rsidR="00621D57">
        <w:t>is contained in</w:t>
      </w:r>
      <w:r w:rsidRPr="0020117E" w:rsidR="007B7D91">
        <w:t xml:space="preserve"> </w:t>
      </w:r>
      <w:r w:rsidRPr="0020117E" w:rsidR="00BC20E0">
        <w:rPr>
          <w:i/>
          <w:iCs/>
        </w:rPr>
        <w:t>Ribać</w:t>
      </w:r>
      <w:r w:rsidRPr="0020117E" w:rsidR="00BC20E0">
        <w:rPr>
          <w:iCs/>
        </w:rPr>
        <w:t xml:space="preserve"> (cited above, §</w:t>
      </w:r>
      <w:r w:rsidRPr="0020117E" w:rsidR="007B7D91">
        <w:rPr>
          <w:iCs/>
        </w:rPr>
        <w:t>§</w:t>
      </w:r>
      <w:r w:rsidRPr="0020117E" w:rsidR="00BC20E0">
        <w:rPr>
          <w:iCs/>
        </w:rPr>
        <w:t xml:space="preserve"> 25</w:t>
      </w:r>
      <w:r w:rsidRPr="0020117E" w:rsidR="007B7D91">
        <w:rPr>
          <w:iCs/>
        </w:rPr>
        <w:t>-29</w:t>
      </w:r>
      <w:r w:rsidRPr="0020117E" w:rsidR="00BC20E0">
        <w:rPr>
          <w:iCs/>
        </w:rPr>
        <w:t>).</w:t>
      </w:r>
    </w:p>
    <w:bookmarkStart w:name="section15" w:id="15"/>
    <w:p w:rsidRPr="0020117E" w:rsidR="00C656F6" w:rsidP="0020117E" w:rsidRDefault="00C656F6">
      <w:pPr>
        <w:pStyle w:val="ECHRPara"/>
      </w:pPr>
      <w:r w:rsidRPr="0020117E">
        <w:fldChar w:fldCharType="begin"/>
      </w:r>
      <w:r w:rsidRPr="0020117E">
        <w:instrText xml:space="preserve"> SEQ level0 \*arabic </w:instrText>
      </w:r>
      <w:r w:rsidRPr="0020117E">
        <w:fldChar w:fldCharType="separate"/>
      </w:r>
      <w:r w:rsidRPr="0020117E" w:rsidR="0020117E">
        <w:rPr>
          <w:noProof/>
        </w:rPr>
        <w:t>23</w:t>
      </w:r>
      <w:r w:rsidRPr="0020117E">
        <w:fldChar w:fldCharType="end"/>
      </w:r>
      <w:bookmarkEnd w:id="15"/>
      <w:r w:rsidRPr="0020117E">
        <w:t>.  In November 2006</w:t>
      </w:r>
      <w:r w:rsidRPr="0020117E" w:rsidR="00A57FFA">
        <w:t>,</w:t>
      </w:r>
      <w:r w:rsidRPr="0020117E">
        <w:t xml:space="preserve"> </w:t>
      </w:r>
      <w:r w:rsidRPr="0020117E" w:rsidR="00242492">
        <w:t>the 1998 Act</w:t>
      </w:r>
      <w:r w:rsidRPr="0020117E">
        <w:t xml:space="preserve"> was amended</w:t>
      </w:r>
      <w:r w:rsidRPr="0020117E" w:rsidR="00A57FFA">
        <w:t xml:space="preserve"> (Official Gazette no.</w:t>
      </w:r>
      <w:r w:rsidRPr="0020117E" w:rsidR="00D01D8E">
        <w:t> </w:t>
      </w:r>
      <w:r w:rsidRPr="0020117E" w:rsidR="00A57FFA">
        <w:t>118/2006)</w:t>
      </w:r>
      <w:r w:rsidRPr="0020117E" w:rsidR="00D97BE9">
        <w:t>.</w:t>
      </w:r>
      <w:r w:rsidRPr="0020117E">
        <w:t xml:space="preserve"> </w:t>
      </w:r>
      <w:r w:rsidRPr="0020117E" w:rsidR="00242492">
        <w:t xml:space="preserve">The relevant part of </w:t>
      </w:r>
      <w:r w:rsidRPr="0020117E" w:rsidR="00A6563F">
        <w:t xml:space="preserve">the </w:t>
      </w:r>
      <w:r w:rsidRPr="0020117E" w:rsidR="00242492">
        <w:t>amended section 15 reads</w:t>
      </w:r>
      <w:r w:rsidRPr="0020117E">
        <w:t xml:space="preserve"> as follows:</w:t>
      </w:r>
    </w:p>
    <w:p w:rsidRPr="0020117E" w:rsidR="00C656F6" w:rsidP="0020117E" w:rsidRDefault="00C656F6">
      <w:pPr>
        <w:pStyle w:val="ECHRTitleCentre3"/>
        <w:spacing w:after="0"/>
      </w:pPr>
      <w:r w:rsidRPr="0020117E">
        <w:t>Section 15</w:t>
      </w:r>
    </w:p>
    <w:p w:rsidRPr="0020117E" w:rsidR="00C656F6" w:rsidP="0020117E" w:rsidRDefault="00A10D3D">
      <w:pPr>
        <w:pStyle w:val="ECHRTitleCentre3"/>
        <w:spacing w:before="0"/>
      </w:pPr>
      <w:r w:rsidRPr="0020117E">
        <w:t>C</w:t>
      </w:r>
      <w:r w:rsidRPr="0020117E" w:rsidR="00C656F6">
        <w:t>ommencement of payment</w:t>
      </w:r>
      <w:r w:rsidRPr="0020117E">
        <w:t xml:space="preserve"> of the benefits under this Act</w:t>
      </w:r>
    </w:p>
    <w:p w:rsidRPr="0020117E" w:rsidR="00A10D3D" w:rsidP="0020117E" w:rsidRDefault="00C656F6">
      <w:pPr>
        <w:pStyle w:val="ECHRParaQuote"/>
      </w:pPr>
      <w:r w:rsidRPr="0020117E">
        <w:t>“</w:t>
      </w:r>
      <w:r w:rsidRPr="0020117E" w:rsidR="00A10D3D">
        <w:t>An old-age pension,</w:t>
      </w:r>
      <w:r w:rsidRPr="0020117E" w:rsidR="004D2D06">
        <w:t xml:space="preserve"> [or]</w:t>
      </w:r>
      <w:r w:rsidRPr="0020117E" w:rsidR="00A10D3D">
        <w:t xml:space="preserve"> </w:t>
      </w:r>
      <w:r w:rsidRPr="0020117E" w:rsidR="004D2D06">
        <w:t xml:space="preserve">an </w:t>
      </w:r>
      <w:r w:rsidRPr="0020117E" w:rsidR="00A10D3D">
        <w:t>early</w:t>
      </w:r>
      <w:r w:rsidRPr="0020117E" w:rsidR="00A36366">
        <w:t xml:space="preserve"> retirement</w:t>
      </w:r>
      <w:r w:rsidRPr="0020117E" w:rsidR="00A10D3D">
        <w:t xml:space="preserve"> pension ... under this Act shall be paid from the first day of the month following the submission of the request and </w:t>
      </w:r>
      <w:r w:rsidRPr="0020117E" w:rsidR="00A57FFA">
        <w:t xml:space="preserve">retroactively </w:t>
      </w:r>
      <w:r w:rsidRPr="0020117E" w:rsidR="00A10D3D">
        <w:t xml:space="preserve">for a maximum period of six months, </w:t>
      </w:r>
      <w:r w:rsidRPr="0020117E" w:rsidR="00D15D57">
        <w:t xml:space="preserve">provided that </w:t>
      </w:r>
      <w:r w:rsidRPr="0020117E" w:rsidR="005025BB">
        <w:t xml:space="preserve">no </w:t>
      </w:r>
      <w:r w:rsidRPr="0020117E" w:rsidR="00D15D57">
        <w:t xml:space="preserve">such retroactive payment shall be made for a period </w:t>
      </w:r>
      <w:r w:rsidRPr="0020117E" w:rsidR="007976B5">
        <w:t>pre-dating</w:t>
      </w:r>
      <w:r w:rsidRPr="0020117E" w:rsidR="00D15D57">
        <w:t xml:space="preserve"> </w:t>
      </w:r>
      <w:r w:rsidRPr="0020117E" w:rsidR="00A10D3D">
        <w:t>the date of entry into force of this Act.</w:t>
      </w:r>
    </w:p>
    <w:p w:rsidRPr="0020117E" w:rsidR="00C656F6" w:rsidP="0020117E" w:rsidRDefault="00C656F6">
      <w:pPr>
        <w:pStyle w:val="ECHRParaQuote"/>
      </w:pPr>
      <w:r w:rsidRPr="0020117E">
        <w:t>Irrespective of the preceding paragraph, beneficiaries who</w:t>
      </w:r>
      <w:r w:rsidRPr="0020117E" w:rsidR="00442204">
        <w:t xml:space="preserve"> have</w:t>
      </w:r>
      <w:r w:rsidRPr="0020117E">
        <w:t xml:space="preserve"> acquired citizenship under section 40 of the Citizenship of the Republic of Slovenia Act (Official Gazette nos. 1/91-I, 30/91-I, 38/92, 13/94 </w:t>
      </w:r>
      <w:r w:rsidRPr="0020117E" w:rsidR="003E5D06">
        <w:t>and</w:t>
      </w:r>
      <w:r w:rsidRPr="0020117E">
        <w:t xml:space="preserve"> 96/02) shall, </w:t>
      </w:r>
      <w:r w:rsidRPr="0020117E" w:rsidR="007B2D47">
        <w:t>on</w:t>
      </w:r>
      <w:r w:rsidRPr="0020117E">
        <w:t xml:space="preserve"> </w:t>
      </w:r>
      <w:r w:rsidRPr="0020117E" w:rsidR="00121BCE">
        <w:t>application</w:t>
      </w:r>
      <w:r w:rsidRPr="0020117E">
        <w:t xml:space="preserve">, </w:t>
      </w:r>
      <w:r w:rsidRPr="0020117E" w:rsidR="007B2D47">
        <w:t xml:space="preserve">be </w:t>
      </w:r>
      <w:r w:rsidRPr="0020117E">
        <w:t xml:space="preserve">granted and paid </w:t>
      </w:r>
      <w:r w:rsidRPr="0020117E" w:rsidR="00A10D3D">
        <w:t xml:space="preserve">an </w:t>
      </w:r>
      <w:r w:rsidRPr="0020117E">
        <w:t>old-age</w:t>
      </w:r>
      <w:r w:rsidRPr="0020117E" w:rsidR="00A10D3D">
        <w:t xml:space="preserve"> pension</w:t>
      </w:r>
      <w:r w:rsidRPr="0020117E">
        <w:t xml:space="preserve">, </w:t>
      </w:r>
      <w:r w:rsidRPr="0020117E" w:rsidR="00E35552">
        <w:t xml:space="preserve">[or] </w:t>
      </w:r>
      <w:r w:rsidRPr="0020117E" w:rsidR="00030B73">
        <w:t xml:space="preserve">an </w:t>
      </w:r>
      <w:r w:rsidRPr="0020117E">
        <w:t>early</w:t>
      </w:r>
      <w:r w:rsidRPr="0020117E" w:rsidR="00221AEE">
        <w:t xml:space="preserve"> retirement</w:t>
      </w:r>
      <w:r w:rsidRPr="0020117E">
        <w:t xml:space="preserve"> pension ... for which they fulfil the </w:t>
      </w:r>
      <w:r w:rsidRPr="0020117E" w:rsidR="00A10D3D">
        <w:t>requirements</w:t>
      </w:r>
      <w:r w:rsidRPr="0020117E">
        <w:t xml:space="preserve"> </w:t>
      </w:r>
      <w:r w:rsidRPr="0020117E" w:rsidR="00A10D3D">
        <w:t>under</w:t>
      </w:r>
      <w:r w:rsidRPr="0020117E">
        <w:t xml:space="preserve"> section 2(4) of this Act </w:t>
      </w:r>
      <w:r w:rsidRPr="0020117E" w:rsidR="00A10D3D">
        <w:rPr>
          <w:bCs/>
        </w:rPr>
        <w:t>from the da</w:t>
      </w:r>
      <w:r w:rsidRPr="0020117E" w:rsidR="0078667C">
        <w:rPr>
          <w:bCs/>
        </w:rPr>
        <w:t>te on which</w:t>
      </w:r>
      <w:r w:rsidRPr="0020117E" w:rsidR="00A10D3D">
        <w:rPr>
          <w:bCs/>
        </w:rPr>
        <w:t xml:space="preserve"> they</w:t>
      </w:r>
      <w:r w:rsidRPr="0020117E" w:rsidR="0078667C">
        <w:rPr>
          <w:bCs/>
        </w:rPr>
        <w:t xml:space="preserve"> first</w:t>
      </w:r>
      <w:r w:rsidRPr="0020117E" w:rsidR="00A10D3D">
        <w:rPr>
          <w:bCs/>
        </w:rPr>
        <w:t xml:space="preserve"> fulfilled </w:t>
      </w:r>
      <w:r w:rsidRPr="0020117E">
        <w:t>th</w:t>
      </w:r>
      <w:r w:rsidRPr="0020117E" w:rsidR="0078667C">
        <w:t>os</w:t>
      </w:r>
      <w:r w:rsidRPr="0020117E">
        <w:t xml:space="preserve">e </w:t>
      </w:r>
      <w:r w:rsidRPr="0020117E" w:rsidR="00A10D3D">
        <w:t>requirements</w:t>
      </w:r>
      <w:r w:rsidRPr="0020117E" w:rsidR="00242492">
        <w:t xml:space="preserve"> </w:t>
      </w:r>
      <w:r w:rsidRPr="0020117E" w:rsidR="00D90DE0">
        <w:t>...</w:t>
      </w:r>
      <w:r w:rsidRPr="0020117E">
        <w:t xml:space="preserve"> tho</w:t>
      </w:r>
      <w:r w:rsidRPr="0020117E" w:rsidR="00242492">
        <w:t xml:space="preserve">ugh not </w:t>
      </w:r>
      <w:r w:rsidRPr="0020117E" w:rsidR="00DC1332">
        <w:t xml:space="preserve">pre-dating </w:t>
      </w:r>
      <w:r w:rsidRPr="0020117E" w:rsidR="00242492">
        <w:t xml:space="preserve">18 October 1991 </w:t>
      </w:r>
      <w:r w:rsidRPr="0020117E">
        <w:t>...”</w:t>
      </w:r>
    </w:p>
    <w:bookmarkStart w:name="successionagreement" w:id="16"/>
    <w:p w:rsidRPr="0020117E" w:rsidR="00BC20E0" w:rsidP="0020117E" w:rsidRDefault="00BC20E0">
      <w:pPr>
        <w:pStyle w:val="ECHRPara"/>
      </w:pPr>
      <w:r w:rsidRPr="0020117E">
        <w:rPr>
          <w:iCs/>
        </w:rPr>
        <w:fldChar w:fldCharType="begin"/>
      </w:r>
      <w:r w:rsidRPr="0020117E">
        <w:rPr>
          <w:iCs/>
        </w:rPr>
        <w:instrText xml:space="preserve"> SEQ level0 \*arabic </w:instrText>
      </w:r>
      <w:r w:rsidRPr="0020117E">
        <w:rPr>
          <w:iCs/>
        </w:rPr>
        <w:fldChar w:fldCharType="separate"/>
      </w:r>
      <w:r w:rsidRPr="0020117E" w:rsidR="0020117E">
        <w:rPr>
          <w:iCs/>
          <w:noProof/>
        </w:rPr>
        <w:t>24</w:t>
      </w:r>
      <w:r w:rsidRPr="0020117E">
        <w:rPr>
          <w:iCs/>
        </w:rPr>
        <w:fldChar w:fldCharType="end"/>
      </w:r>
      <w:bookmarkEnd w:id="16"/>
      <w:r w:rsidRPr="0020117E">
        <w:rPr>
          <w:iCs/>
        </w:rPr>
        <w:t>.  </w:t>
      </w:r>
      <w:r w:rsidRPr="0020117E" w:rsidR="007B7D91">
        <w:rPr>
          <w:iCs/>
        </w:rPr>
        <w:t>A description of the relevant</w:t>
      </w:r>
      <w:r w:rsidRPr="0020117E">
        <w:rPr>
          <w:iCs/>
        </w:rPr>
        <w:t xml:space="preserve"> provisions </w:t>
      </w:r>
      <w:r w:rsidRPr="0020117E" w:rsidR="007B7D91">
        <w:rPr>
          <w:iCs/>
        </w:rPr>
        <w:t>of</w:t>
      </w:r>
      <w:r w:rsidRPr="0020117E">
        <w:rPr>
          <w:iCs/>
        </w:rPr>
        <w:t xml:space="preserve"> </w:t>
      </w:r>
      <w:r w:rsidRPr="0020117E" w:rsidR="007B7D91">
        <w:rPr>
          <w:iCs/>
        </w:rPr>
        <w:t xml:space="preserve">the Agreement on Succession Issues can be found in </w:t>
      </w:r>
      <w:r w:rsidRPr="0020117E" w:rsidR="007B7D91">
        <w:rPr>
          <w:i/>
          <w:iCs/>
        </w:rPr>
        <w:t>Ribać</w:t>
      </w:r>
      <w:r w:rsidRPr="0020117E" w:rsidR="007B7D91">
        <w:rPr>
          <w:iCs/>
        </w:rPr>
        <w:t xml:space="preserve"> (cited above, § 30).</w:t>
      </w:r>
    </w:p>
    <w:p w:rsidRPr="0020117E" w:rsidR="00D420F3" w:rsidP="0020117E" w:rsidRDefault="0077175D">
      <w:pPr>
        <w:pStyle w:val="ECHRTitle1"/>
      </w:pPr>
      <w:r w:rsidRPr="0020117E">
        <w:t>THE LAW</w:t>
      </w:r>
    </w:p>
    <w:p w:rsidRPr="0020117E" w:rsidR="00D420F3" w:rsidP="0020117E" w:rsidRDefault="0077175D">
      <w:pPr>
        <w:pStyle w:val="ECHRHeading1"/>
      </w:pPr>
      <w:r w:rsidRPr="0020117E">
        <w:t xml:space="preserve">I.  ALLEGED VIOLATION OF ARTICLE </w:t>
      </w:r>
      <w:r w:rsidRPr="0020117E" w:rsidR="00150C1B">
        <w:t>14</w:t>
      </w:r>
      <w:r w:rsidRPr="0020117E">
        <w:t xml:space="preserve"> OF THE CONVENTION</w:t>
      </w:r>
      <w:r w:rsidRPr="0020117E" w:rsidR="00150C1B">
        <w:t xml:space="preserve"> TAKEN IN CONJUNCTI</w:t>
      </w:r>
      <w:r w:rsidRPr="0020117E" w:rsidR="00AB04AB">
        <w:t>ON WITH ARTICLE 1 OF PROTOCOL N</w:t>
      </w:r>
      <w:r w:rsidRPr="0020117E" w:rsidR="004D5E5E">
        <w:t>o</w:t>
      </w:r>
      <w:r w:rsidRPr="0020117E" w:rsidR="00150C1B">
        <w:t>.</w:t>
      </w:r>
      <w:r w:rsidRPr="0020117E" w:rsidR="00D01D8E">
        <w:t> </w:t>
      </w:r>
      <w:r w:rsidRPr="0020117E" w:rsidR="00150C1B">
        <w:t>1</w:t>
      </w:r>
    </w:p>
    <w:p w:rsidRPr="0020117E" w:rsidR="00D01D8E" w:rsidP="0020117E" w:rsidRDefault="00CE5C78">
      <w:pPr>
        <w:pStyle w:val="ECHRPara"/>
      </w:pPr>
      <w:r w:rsidRPr="0020117E">
        <w:fldChar w:fldCharType="begin"/>
      </w:r>
      <w:r w:rsidRPr="0020117E">
        <w:instrText xml:space="preserve"> SEQ level0 \*arabic </w:instrText>
      </w:r>
      <w:r w:rsidRPr="0020117E">
        <w:fldChar w:fldCharType="separate"/>
      </w:r>
      <w:r w:rsidRPr="0020117E" w:rsidR="0020117E">
        <w:rPr>
          <w:noProof/>
        </w:rPr>
        <w:t>25</w:t>
      </w:r>
      <w:r w:rsidRPr="0020117E">
        <w:fldChar w:fldCharType="end"/>
      </w:r>
      <w:r w:rsidRPr="0020117E">
        <w:t>.  </w:t>
      </w:r>
      <w:r w:rsidRPr="0020117E" w:rsidR="0077175D">
        <w:t xml:space="preserve">The applicant complained that </w:t>
      </w:r>
      <w:r w:rsidRPr="0020117E">
        <w:t>he had been denied an old-age pension between May 1992 and February 2003</w:t>
      </w:r>
      <w:r w:rsidRPr="0020117E" w:rsidR="0077175D">
        <w:t xml:space="preserve"> </w:t>
      </w:r>
      <w:r w:rsidRPr="0020117E">
        <w:t>on the grounds that he had not had Slovenian citizenship, one of the requirements under the 1998 Act. He relied on Article 14 of the Convention taken in conjunction with Article</w:t>
      </w:r>
      <w:r w:rsidRPr="0020117E" w:rsidR="00D01D8E">
        <w:t> </w:t>
      </w:r>
      <w:r w:rsidRPr="0020117E">
        <w:t>1 of Protocol No. 1</w:t>
      </w:r>
      <w:r w:rsidRPr="0020117E" w:rsidR="00D01D8E">
        <w:t>.</w:t>
      </w:r>
    </w:p>
    <w:p w:rsidRPr="0020117E" w:rsidR="00D420F3" w:rsidP="0020117E" w:rsidRDefault="00D01D8E">
      <w:pPr>
        <w:pStyle w:val="ECHRPara"/>
      </w:pPr>
      <w:r w:rsidRPr="0020117E">
        <w:t>These provisions</w:t>
      </w:r>
      <w:r w:rsidRPr="0020117E" w:rsidR="00CE5C78">
        <w:t xml:space="preserve"> read as follows</w:t>
      </w:r>
      <w:r w:rsidRPr="0020117E" w:rsidR="0077175D">
        <w:t>:</w:t>
      </w:r>
    </w:p>
    <w:p w:rsidRPr="0020117E" w:rsidR="00CE5C78" w:rsidP="0020117E" w:rsidRDefault="00CE5C78">
      <w:pPr>
        <w:pStyle w:val="ECHRTitleCentre3"/>
      </w:pPr>
      <w:r w:rsidRPr="0020117E">
        <w:t>Article 14</w:t>
      </w:r>
    </w:p>
    <w:p w:rsidRPr="0020117E" w:rsidR="00CE5C78" w:rsidP="0020117E" w:rsidRDefault="00CE5C78">
      <w:pPr>
        <w:pStyle w:val="ECHRParaQuote"/>
      </w:pPr>
      <w:r w:rsidRPr="0020117E">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20117E" w:rsidR="00CE5C78" w:rsidP="0020117E" w:rsidRDefault="00CE5C78">
      <w:pPr>
        <w:pStyle w:val="ECHRTitleCentre3"/>
      </w:pPr>
      <w:r w:rsidRPr="0020117E">
        <w:t>Article 1 of Protocol No. 1</w:t>
      </w:r>
    </w:p>
    <w:p w:rsidRPr="0020117E" w:rsidR="00CE5C78" w:rsidP="0020117E" w:rsidRDefault="00CE5C78">
      <w:pPr>
        <w:pStyle w:val="ECHRParaQuote"/>
      </w:pPr>
      <w:r w:rsidRPr="0020117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0117E" w:rsidR="00CE5C78" w:rsidP="0020117E" w:rsidRDefault="00CE5C78">
      <w:pPr>
        <w:pStyle w:val="ECHRParaQuote"/>
      </w:pPr>
      <w:r w:rsidRPr="0020117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0117E" w:rsidR="00D420F3" w:rsidP="0020117E" w:rsidRDefault="0077175D">
      <w:pPr>
        <w:pStyle w:val="ECHRHeading2"/>
      </w:pPr>
      <w:r w:rsidRPr="0020117E">
        <w:t>A.  Admissibility</w:t>
      </w:r>
    </w:p>
    <w:p w:rsidRPr="0020117E" w:rsidR="00CE5C78" w:rsidP="0020117E" w:rsidRDefault="00CE5C78">
      <w:pPr>
        <w:pStyle w:val="ECHRHeading3"/>
      </w:pPr>
      <w:r w:rsidRPr="0020117E">
        <w:t>1.</w:t>
      </w:r>
      <w:r w:rsidRPr="0020117E" w:rsidR="00D90DE0">
        <w:t>  </w:t>
      </w:r>
      <w:r w:rsidRPr="0020117E" w:rsidR="00627668">
        <w:t xml:space="preserve">Compatibility </w:t>
      </w:r>
      <w:r w:rsidRPr="0020117E" w:rsidR="00627668">
        <w:rPr>
          <w:i w:val="0"/>
        </w:rPr>
        <w:t>ratione personae</w:t>
      </w:r>
      <w:r w:rsidRPr="0020117E" w:rsidR="00BC75B1">
        <w:t xml:space="preserve"> and </w:t>
      </w:r>
      <w:r w:rsidRPr="0020117E" w:rsidR="00BC75B1">
        <w:rPr>
          <w:i w:val="0"/>
        </w:rPr>
        <w:t>ratione materiae</w:t>
      </w:r>
    </w:p>
    <w:p w:rsidRPr="0020117E" w:rsidR="00CE5C78" w:rsidP="0020117E" w:rsidRDefault="00A66EBC">
      <w:pPr>
        <w:pStyle w:val="ECHRPara"/>
      </w:pPr>
      <w:r w:rsidRPr="0020117E">
        <w:fldChar w:fldCharType="begin"/>
      </w:r>
      <w:r w:rsidRPr="0020117E">
        <w:instrText xml:space="preserve"> SEQ level0 \*arabic </w:instrText>
      </w:r>
      <w:r w:rsidRPr="0020117E">
        <w:fldChar w:fldCharType="separate"/>
      </w:r>
      <w:r w:rsidRPr="0020117E" w:rsidR="0020117E">
        <w:rPr>
          <w:noProof/>
        </w:rPr>
        <w:t>26</w:t>
      </w:r>
      <w:r w:rsidRPr="0020117E">
        <w:fldChar w:fldCharType="end"/>
      </w:r>
      <w:r w:rsidRPr="0020117E" w:rsidR="0077175D">
        <w:t>.  </w:t>
      </w:r>
      <w:r w:rsidRPr="0020117E" w:rsidR="00CE5C78">
        <w:t>The Government argued that the applicant could not claim to have victim status since he had had Serbian citizenship</w:t>
      </w:r>
      <w:r w:rsidRPr="0020117E" w:rsidR="0035068C">
        <w:t xml:space="preserve"> at the relevant time</w:t>
      </w:r>
      <w:r w:rsidRPr="0020117E" w:rsidR="00CE5C78">
        <w:t xml:space="preserve"> and could thus have requested payment of his military pension from the YPA Fund and consequently from his own State</w:t>
      </w:r>
      <w:r w:rsidRPr="0020117E" w:rsidR="00973683">
        <w:t xml:space="preserve"> but had failed to do so</w:t>
      </w:r>
      <w:r w:rsidRPr="0020117E" w:rsidR="00CE5C78">
        <w:t>.</w:t>
      </w:r>
      <w:r w:rsidRPr="0020117E" w:rsidR="00B66F9C">
        <w:t xml:space="preserve"> They further argued that the applicant did not have any “possessions” within the meaning of Article 1 of Protocol No. 1 as the rights granted by Slovenia to</w:t>
      </w:r>
      <w:r w:rsidRPr="0020117E" w:rsidR="0035068C">
        <w:t xml:space="preserve"> the</w:t>
      </w:r>
      <w:r w:rsidRPr="0020117E" w:rsidR="00B66F9C">
        <w:t xml:space="preserve"> YPA military personnel in question had been provided “voluntarily” and in this regard the applicant had</w:t>
      </w:r>
      <w:r w:rsidRPr="0020117E" w:rsidR="00A11DDC">
        <w:t xml:space="preserve"> had</w:t>
      </w:r>
      <w:r w:rsidRPr="0020117E" w:rsidR="00B66F9C">
        <w:t xml:space="preserve"> no legitimate claim.</w:t>
      </w:r>
    </w:p>
    <w:p w:rsidRPr="0020117E" w:rsidR="00CE5C78" w:rsidP="0020117E" w:rsidRDefault="00CE5C78">
      <w:pPr>
        <w:pStyle w:val="ECHRPara"/>
      </w:pPr>
      <w:r w:rsidRPr="0020117E">
        <w:fldChar w:fldCharType="begin"/>
      </w:r>
      <w:r w:rsidRPr="0020117E">
        <w:instrText xml:space="preserve"> SEQ level0 \*arabic </w:instrText>
      </w:r>
      <w:r w:rsidRPr="0020117E">
        <w:fldChar w:fldCharType="separate"/>
      </w:r>
      <w:r w:rsidRPr="0020117E" w:rsidR="0020117E">
        <w:rPr>
          <w:noProof/>
        </w:rPr>
        <w:t>27</w:t>
      </w:r>
      <w:r w:rsidRPr="0020117E">
        <w:fldChar w:fldCharType="end"/>
      </w:r>
      <w:r w:rsidRPr="0020117E">
        <w:t xml:space="preserve">.  The applicant </w:t>
      </w:r>
      <w:r w:rsidRPr="0020117E" w:rsidR="00B66F9C">
        <w:t>disputed these arguments</w:t>
      </w:r>
      <w:r w:rsidRPr="0020117E">
        <w:t>.</w:t>
      </w:r>
    </w:p>
    <w:p w:rsidRPr="0020117E" w:rsidR="00B66F9C" w:rsidP="0020117E" w:rsidRDefault="00805D3F">
      <w:pPr>
        <w:pStyle w:val="ECHRPara"/>
      </w:pPr>
      <w:r w:rsidRPr="0020117E">
        <w:fldChar w:fldCharType="begin"/>
      </w:r>
      <w:r w:rsidRPr="0020117E">
        <w:instrText xml:space="preserve"> SEQ level0 \*arabic </w:instrText>
      </w:r>
      <w:r w:rsidRPr="0020117E">
        <w:fldChar w:fldCharType="separate"/>
      </w:r>
      <w:r w:rsidRPr="0020117E" w:rsidR="0020117E">
        <w:rPr>
          <w:noProof/>
        </w:rPr>
        <w:t>28</w:t>
      </w:r>
      <w:r w:rsidRPr="0020117E">
        <w:fldChar w:fldCharType="end"/>
      </w:r>
      <w:r w:rsidRPr="0020117E">
        <w:t>.  </w:t>
      </w:r>
      <w:r w:rsidRPr="0020117E" w:rsidR="00973683">
        <w:t>The Court</w:t>
      </w:r>
      <w:r w:rsidRPr="0020117E">
        <w:t xml:space="preserve"> </w:t>
      </w:r>
      <w:r w:rsidRPr="0020117E" w:rsidR="00B66F9C">
        <w:t xml:space="preserve">notes that similar objections have already been considered in </w:t>
      </w:r>
      <w:r w:rsidRPr="0020117E" w:rsidR="00B66F9C">
        <w:rPr>
          <w:i/>
          <w:iCs/>
        </w:rPr>
        <w:t>Ribać v. Slovenia</w:t>
      </w:r>
      <w:r w:rsidRPr="0020117E" w:rsidR="00B66F9C">
        <w:t xml:space="preserve"> (no. 57101/10, § 34</w:t>
      </w:r>
      <w:r w:rsidRPr="0020117E" w:rsidR="0042241C">
        <w:t xml:space="preserve"> and 38-45</w:t>
      </w:r>
      <w:r w:rsidRPr="0020117E" w:rsidR="00B66F9C">
        <w:t xml:space="preserve">, 5 December 2017). Referring to the reasons set out </w:t>
      </w:r>
      <w:r w:rsidRPr="0020117E" w:rsidR="002A4B36">
        <w:t xml:space="preserve">therein, the Court </w:t>
      </w:r>
      <w:r w:rsidRPr="0020117E" w:rsidR="008D2725">
        <w:t xml:space="preserve">dismisses </w:t>
      </w:r>
      <w:r w:rsidRPr="0020117E" w:rsidR="002A4B36">
        <w:t>the Government</w:t>
      </w:r>
      <w:r w:rsidRPr="0020117E" w:rsidR="0020117E">
        <w:t>’</w:t>
      </w:r>
      <w:r w:rsidRPr="0020117E" w:rsidR="002A4B36">
        <w:t xml:space="preserve">s objections and finds the application compatible with the provisions of the Convention, both </w:t>
      </w:r>
      <w:r w:rsidRPr="0020117E" w:rsidR="002A4B36">
        <w:rPr>
          <w:i/>
        </w:rPr>
        <w:t>ratione personae</w:t>
      </w:r>
      <w:r w:rsidRPr="0020117E" w:rsidR="002A4B36">
        <w:t xml:space="preserve"> and </w:t>
      </w:r>
      <w:r w:rsidRPr="0020117E" w:rsidR="002A4B36">
        <w:rPr>
          <w:i/>
        </w:rPr>
        <w:t>ratione materiae</w:t>
      </w:r>
      <w:r w:rsidRPr="0020117E" w:rsidR="002A4B36">
        <w:t>.</w:t>
      </w:r>
    </w:p>
    <w:p w:rsidRPr="0020117E" w:rsidR="00101952" w:rsidP="0020117E" w:rsidRDefault="00627668">
      <w:pPr>
        <w:pStyle w:val="ECHRHeading3"/>
      </w:pPr>
      <w:r w:rsidRPr="0020117E">
        <w:t>2.</w:t>
      </w:r>
      <w:r w:rsidRPr="0020117E" w:rsidR="00D90DE0">
        <w:t>  </w:t>
      </w:r>
      <w:r w:rsidRPr="0020117E" w:rsidR="00457C96">
        <w:t>Other grounds for inadmissibility</w:t>
      </w:r>
    </w:p>
    <w:p w:rsidRPr="0020117E" w:rsidR="00CE5C78" w:rsidP="0020117E" w:rsidRDefault="00805D3F">
      <w:pPr>
        <w:pStyle w:val="ECHRPara"/>
      </w:pPr>
      <w:r w:rsidRPr="0020117E">
        <w:fldChar w:fldCharType="begin"/>
      </w:r>
      <w:r w:rsidRPr="0020117E">
        <w:instrText xml:space="preserve"> SEQ level0 \*arabic </w:instrText>
      </w:r>
      <w:r w:rsidRPr="0020117E">
        <w:fldChar w:fldCharType="separate"/>
      </w:r>
      <w:r w:rsidRPr="0020117E" w:rsidR="0020117E">
        <w:rPr>
          <w:noProof/>
        </w:rPr>
        <w:t>29</w:t>
      </w:r>
      <w:r w:rsidRPr="0020117E">
        <w:fldChar w:fldCharType="end"/>
      </w:r>
      <w:r w:rsidRPr="0020117E">
        <w:t>.  The Court notes that application is not manifestly ill-founded within the meaning of Article 35 § 3 (a) of the Convention and is not inadmissible on any other grounds. It must therefore be declared admissible.</w:t>
      </w:r>
    </w:p>
    <w:p w:rsidRPr="0020117E" w:rsidR="002A4B36" w:rsidP="0020117E" w:rsidRDefault="0077175D">
      <w:pPr>
        <w:pStyle w:val="ECHRHeading2"/>
      </w:pPr>
      <w:r w:rsidRPr="0020117E">
        <w:t>B.  Merits</w:t>
      </w:r>
    </w:p>
    <w:p w:rsidRPr="0020117E" w:rsidR="00B32511" w:rsidP="0020117E" w:rsidRDefault="002A4B36">
      <w:pPr>
        <w:pStyle w:val="ECHRHeading3"/>
      </w:pPr>
      <w:r w:rsidRPr="0020117E">
        <w:t>1</w:t>
      </w:r>
      <w:r w:rsidRPr="0020117E" w:rsidR="00D90DE0">
        <w:t>.  </w:t>
      </w:r>
      <w:r w:rsidRPr="0020117E" w:rsidR="00B32511">
        <w:t>The parties</w:t>
      </w:r>
      <w:r w:rsidRPr="0020117E" w:rsidR="0020117E">
        <w:t>’</w:t>
      </w:r>
      <w:r w:rsidRPr="0020117E" w:rsidR="00B32511">
        <w:t xml:space="preserve"> arguments</w:t>
      </w:r>
    </w:p>
    <w:p w:rsidRPr="0020117E" w:rsidR="005C2540" w:rsidP="0020117E" w:rsidRDefault="005C2540">
      <w:pPr>
        <w:pStyle w:val="ECHRPara"/>
      </w:pPr>
      <w:r w:rsidRPr="0020117E">
        <w:fldChar w:fldCharType="begin"/>
      </w:r>
      <w:r w:rsidRPr="0020117E">
        <w:instrText xml:space="preserve"> SEQ level0 \*arabic </w:instrText>
      </w:r>
      <w:r w:rsidRPr="0020117E">
        <w:fldChar w:fldCharType="separate"/>
      </w:r>
      <w:r w:rsidRPr="0020117E" w:rsidR="0020117E">
        <w:rPr>
          <w:noProof/>
        </w:rPr>
        <w:t>30</w:t>
      </w:r>
      <w:r w:rsidRPr="0020117E">
        <w:fldChar w:fldCharType="end"/>
      </w:r>
      <w:r w:rsidRPr="0020117E">
        <w:t>.  </w:t>
      </w:r>
      <w:r w:rsidRPr="0020117E" w:rsidR="00B32511">
        <w:t xml:space="preserve">The applicant argued that the respondent State </w:t>
      </w:r>
      <w:r w:rsidRPr="0020117E" w:rsidR="003679B9">
        <w:t xml:space="preserve">had </w:t>
      </w:r>
      <w:r w:rsidRPr="0020117E" w:rsidR="00B32511">
        <w:t xml:space="preserve">discriminated against him by refusing to grant him an old-age pension </w:t>
      </w:r>
      <w:r w:rsidRPr="0020117E" w:rsidR="004D029B">
        <w:t xml:space="preserve">between 1 May 1992 and 4 February 2003 </w:t>
      </w:r>
      <w:r w:rsidRPr="0020117E" w:rsidR="00B32511">
        <w:t>on the grounds of nationality criteri</w:t>
      </w:r>
      <w:r w:rsidRPr="0020117E" w:rsidR="000B7388">
        <w:t>a</w:t>
      </w:r>
      <w:r w:rsidRPr="0020117E" w:rsidR="00B32511">
        <w:t xml:space="preserve"> enshrined in the 1998 Act.</w:t>
      </w:r>
    </w:p>
    <w:bookmarkStart w:name="GOVnotsamesituation" w:id="17"/>
    <w:p w:rsidRPr="0020117E" w:rsidR="00B32511" w:rsidP="0020117E" w:rsidRDefault="00B32511">
      <w:pPr>
        <w:pStyle w:val="ECHRPara"/>
      </w:pPr>
      <w:r w:rsidRPr="0020117E">
        <w:fldChar w:fldCharType="begin"/>
      </w:r>
      <w:r w:rsidRPr="0020117E">
        <w:instrText xml:space="preserve"> SEQ level0 \*arabic </w:instrText>
      </w:r>
      <w:r w:rsidRPr="0020117E">
        <w:fldChar w:fldCharType="separate"/>
      </w:r>
      <w:r w:rsidRPr="0020117E" w:rsidR="0020117E">
        <w:rPr>
          <w:noProof/>
        </w:rPr>
        <w:t>31</w:t>
      </w:r>
      <w:r w:rsidRPr="0020117E">
        <w:fldChar w:fldCharType="end"/>
      </w:r>
      <w:bookmarkEnd w:id="17"/>
      <w:r w:rsidRPr="0020117E">
        <w:t xml:space="preserve">.  The Government </w:t>
      </w:r>
      <w:r w:rsidRPr="0020117E" w:rsidR="0024578A">
        <w:t xml:space="preserve">argued </w:t>
      </w:r>
      <w:r w:rsidRPr="0020117E">
        <w:t>that Slovenian citizens had not been in the same situation as foreigners with p</w:t>
      </w:r>
      <w:r w:rsidRPr="0020117E" w:rsidR="007E7252">
        <w:t xml:space="preserve">ermanent residence in Slovenia who </w:t>
      </w:r>
      <w:r w:rsidRPr="0020117E">
        <w:t>could have expected their own State to assume responsibi</w:t>
      </w:r>
      <w:r w:rsidRPr="0020117E" w:rsidR="007E7252">
        <w:t>lity for their social security.</w:t>
      </w:r>
    </w:p>
    <w:bookmarkStart w:name="GOVMoA" w:id="18"/>
    <w:p w:rsidRPr="0020117E" w:rsidR="00D90DE0" w:rsidP="0020117E" w:rsidRDefault="00B32511">
      <w:pPr>
        <w:pStyle w:val="ECHRPara"/>
      </w:pPr>
      <w:r w:rsidRPr="0020117E">
        <w:fldChar w:fldCharType="begin"/>
      </w:r>
      <w:r w:rsidRPr="0020117E">
        <w:instrText xml:space="preserve"> SEQ level0 \*arabic </w:instrText>
      </w:r>
      <w:r w:rsidRPr="0020117E">
        <w:fldChar w:fldCharType="separate"/>
      </w:r>
      <w:r w:rsidRPr="0020117E" w:rsidR="0020117E">
        <w:rPr>
          <w:noProof/>
        </w:rPr>
        <w:t>32</w:t>
      </w:r>
      <w:r w:rsidRPr="0020117E">
        <w:fldChar w:fldCharType="end"/>
      </w:r>
      <w:bookmarkEnd w:id="18"/>
      <w:r w:rsidRPr="0020117E">
        <w:t>.  In the alternative, the Government argued that</w:t>
      </w:r>
      <w:r w:rsidRPr="0020117E" w:rsidR="00173A4F">
        <w:t>,</w:t>
      </w:r>
      <w:r w:rsidRPr="0020117E">
        <w:t xml:space="preserve"> even assuming</w:t>
      </w:r>
      <w:r w:rsidRPr="0020117E" w:rsidR="00C548F9">
        <w:t xml:space="preserve"> that there had been</w:t>
      </w:r>
      <w:r w:rsidRPr="0020117E">
        <w:t xml:space="preserve"> a difference in treatment, it</w:t>
      </w:r>
      <w:r w:rsidRPr="0020117E" w:rsidR="00D86637">
        <w:t xml:space="preserve"> had</w:t>
      </w:r>
      <w:r w:rsidRPr="0020117E">
        <w:t xml:space="preserve"> served the legitimate aim of safeguarding the State</w:t>
      </w:r>
      <w:r w:rsidRPr="0020117E" w:rsidR="00823A4D">
        <w:t xml:space="preserve"> by</w:t>
      </w:r>
      <w:r w:rsidRPr="0020117E">
        <w:t xml:space="preserve"> ensuring social security </w:t>
      </w:r>
      <w:r w:rsidRPr="0020117E" w:rsidR="003B249B">
        <w:t>for</w:t>
      </w:r>
      <w:r w:rsidRPr="0020117E">
        <w:t xml:space="preserve"> its citizens and protecti</w:t>
      </w:r>
      <w:r w:rsidRPr="0020117E" w:rsidR="00D64882">
        <w:t xml:space="preserve">ng </w:t>
      </w:r>
      <w:r w:rsidRPr="0020117E">
        <w:t>the economic system.</w:t>
      </w:r>
    </w:p>
    <w:bookmarkStart w:name="GOVaggression" w:id="19"/>
    <w:p w:rsidRPr="0020117E" w:rsidR="005C2540" w:rsidP="0020117E" w:rsidRDefault="00B32511">
      <w:pPr>
        <w:pStyle w:val="ECHRPara"/>
      </w:pPr>
      <w:r w:rsidRPr="0020117E">
        <w:fldChar w:fldCharType="begin"/>
      </w:r>
      <w:r w:rsidRPr="0020117E">
        <w:instrText xml:space="preserve"> SEQ level0 \*arabic </w:instrText>
      </w:r>
      <w:r w:rsidRPr="0020117E">
        <w:fldChar w:fldCharType="separate"/>
      </w:r>
      <w:r w:rsidRPr="0020117E" w:rsidR="0020117E">
        <w:rPr>
          <w:noProof/>
        </w:rPr>
        <w:t>33</w:t>
      </w:r>
      <w:r w:rsidRPr="0020117E">
        <w:fldChar w:fldCharType="end"/>
      </w:r>
      <w:bookmarkEnd w:id="19"/>
      <w:r w:rsidRPr="0020117E">
        <w:t>.  The Government further contended that</w:t>
      </w:r>
      <w:r w:rsidRPr="0020117E" w:rsidR="00311640">
        <w:t xml:space="preserve"> the applicant had remained in active military service in the YPA, </w:t>
      </w:r>
      <w:r w:rsidRPr="0020117E" w:rsidR="00E66626">
        <w:t>which</w:t>
      </w:r>
      <w:r w:rsidRPr="0020117E" w:rsidR="00311640">
        <w:t xml:space="preserve"> was considered an aggressor army, </w:t>
      </w:r>
      <w:r w:rsidRPr="0020117E" w:rsidR="00E66626">
        <w:t>after Slovenia declared its independence and</w:t>
      </w:r>
      <w:r w:rsidRPr="0020117E" w:rsidR="00D02A4F">
        <w:t xml:space="preserve"> that he</w:t>
      </w:r>
      <w:r w:rsidRPr="0020117E" w:rsidR="00E66626">
        <w:t xml:space="preserve"> had</w:t>
      </w:r>
      <w:r w:rsidRPr="0020117E">
        <w:t xml:space="preserve"> </w:t>
      </w:r>
      <w:r w:rsidRPr="0020117E" w:rsidR="0092086B">
        <w:t>left Slovenia with the </w:t>
      </w:r>
      <w:r w:rsidRPr="0020117E" w:rsidR="00E66626">
        <w:t xml:space="preserve">YPA, </w:t>
      </w:r>
      <w:r w:rsidRPr="0020117E" w:rsidR="007E21A5">
        <w:t>whereas he could have joined the Territorial Defence of Slovenia and secured his social</w:t>
      </w:r>
      <w:r w:rsidRPr="0020117E" w:rsidR="00221313">
        <w:t xml:space="preserve"> </w:t>
      </w:r>
      <w:r w:rsidRPr="0020117E" w:rsidR="00D02A4F">
        <w:t>welfare entitlements</w:t>
      </w:r>
      <w:r w:rsidRPr="0020117E" w:rsidR="001878F2">
        <w:t xml:space="preserve"> </w:t>
      </w:r>
      <w:r w:rsidRPr="0020117E" w:rsidR="004476DD">
        <w:t>in that way</w:t>
      </w:r>
      <w:r w:rsidRPr="0020117E" w:rsidR="007E21A5">
        <w:t>.</w:t>
      </w:r>
      <w:r w:rsidRPr="0020117E" w:rsidR="00D64882">
        <w:t xml:space="preserve"> In addition, had the applicant applied for termination of</w:t>
      </w:r>
      <w:r w:rsidRPr="0020117E" w:rsidR="00476B82">
        <w:t xml:space="preserve"> his</w:t>
      </w:r>
      <w:r w:rsidRPr="0020117E" w:rsidR="00D64882">
        <w:t xml:space="preserve"> Serbian citizenship, he could have been granted Slovenian citizenship on the basis of his application for citizenship in 1999 (see paragraph </w:t>
      </w:r>
      <w:r w:rsidRPr="0020117E" w:rsidR="00D64882">
        <w:fldChar w:fldCharType="begin"/>
      </w:r>
      <w:r w:rsidRPr="0020117E" w:rsidR="00D64882">
        <w:instrText xml:space="preserve"> REF acquiredcitizenship \h </w:instrText>
      </w:r>
      <w:r w:rsidRPr="0020117E" w:rsidR="00D64882">
        <w:fldChar w:fldCharType="separate"/>
      </w:r>
      <w:r w:rsidRPr="0020117E" w:rsidR="0020117E">
        <w:rPr>
          <w:noProof/>
        </w:rPr>
        <w:t>17</w:t>
      </w:r>
      <w:r w:rsidRPr="0020117E" w:rsidR="00D64882">
        <w:fldChar w:fldCharType="end"/>
      </w:r>
      <w:r w:rsidRPr="0020117E" w:rsidR="00D64882">
        <w:t xml:space="preserve"> above).</w:t>
      </w:r>
    </w:p>
    <w:bookmarkStart w:name="GOVsuccession" w:id="20"/>
    <w:p w:rsidRPr="0020117E" w:rsidR="00FC171D" w:rsidP="0020117E" w:rsidRDefault="00FC171D">
      <w:pPr>
        <w:pStyle w:val="ECHRPara"/>
      </w:pPr>
      <w:r w:rsidRPr="0020117E">
        <w:fldChar w:fldCharType="begin"/>
      </w:r>
      <w:r w:rsidRPr="0020117E">
        <w:instrText xml:space="preserve"> SEQ level0 \*arabic </w:instrText>
      </w:r>
      <w:r w:rsidRPr="0020117E">
        <w:fldChar w:fldCharType="separate"/>
      </w:r>
      <w:r w:rsidRPr="0020117E" w:rsidR="0020117E">
        <w:rPr>
          <w:noProof/>
        </w:rPr>
        <w:t>34</w:t>
      </w:r>
      <w:r w:rsidRPr="0020117E">
        <w:fldChar w:fldCharType="end"/>
      </w:r>
      <w:bookmarkEnd w:id="20"/>
      <w:r w:rsidRPr="0020117E">
        <w:t>.  </w:t>
      </w:r>
      <w:r w:rsidRPr="0020117E" w:rsidR="00D64882">
        <w:t>Lastly, t</w:t>
      </w:r>
      <w:r w:rsidRPr="0020117E">
        <w:t>he Government</w:t>
      </w:r>
      <w:r w:rsidRPr="0020117E" w:rsidR="001B5874">
        <w:t xml:space="preserve"> </w:t>
      </w:r>
      <w:r w:rsidRPr="0020117E" w:rsidR="002B05FD">
        <w:t xml:space="preserve">also </w:t>
      </w:r>
      <w:r w:rsidRPr="0020117E">
        <w:t xml:space="preserve">submitted that </w:t>
      </w:r>
      <w:r w:rsidRPr="0020117E" w:rsidR="0040183C">
        <w:t>the applicant</w:t>
      </w:r>
      <w:r w:rsidRPr="0020117E" w:rsidR="0020117E">
        <w:t>’</w:t>
      </w:r>
      <w:r w:rsidRPr="0020117E" w:rsidR="0040183C">
        <w:t>s old-age pension was a succession issue</w:t>
      </w:r>
      <w:r w:rsidRPr="0020117E" w:rsidR="00113832">
        <w:t xml:space="preserve"> following the dissolution of the SFRY</w:t>
      </w:r>
      <w:r w:rsidRPr="0020117E" w:rsidR="00233BB9">
        <w:t>.</w:t>
      </w:r>
    </w:p>
    <w:p w:rsidRPr="0020117E" w:rsidR="005C2540" w:rsidP="0020117E" w:rsidRDefault="002A4B36">
      <w:pPr>
        <w:pStyle w:val="ECHRHeading3"/>
      </w:pPr>
      <w:r w:rsidRPr="0020117E">
        <w:t>2.</w:t>
      </w:r>
      <w:r w:rsidRPr="0020117E" w:rsidR="00D90DE0">
        <w:t>  </w:t>
      </w:r>
      <w:r w:rsidRPr="0020117E" w:rsidR="00B32511">
        <w:t>The Court</w:t>
      </w:r>
      <w:r w:rsidRPr="0020117E" w:rsidR="0020117E">
        <w:t>’</w:t>
      </w:r>
      <w:r w:rsidRPr="0020117E" w:rsidR="00B32511">
        <w:t>s assessment</w:t>
      </w:r>
    </w:p>
    <w:p w:rsidRPr="0020117E" w:rsidR="004004A2" w:rsidP="0020117E" w:rsidRDefault="00D64882">
      <w:pPr>
        <w:pStyle w:val="ECHRPara"/>
        <w:rPr>
          <w:iCs/>
        </w:rPr>
      </w:pPr>
      <w:r w:rsidRPr="0020117E">
        <w:fldChar w:fldCharType="begin"/>
      </w:r>
      <w:r w:rsidRPr="0020117E">
        <w:instrText xml:space="preserve"> SEQ level0 \*arabic </w:instrText>
      </w:r>
      <w:r w:rsidRPr="0020117E">
        <w:fldChar w:fldCharType="separate"/>
      </w:r>
      <w:r w:rsidRPr="0020117E" w:rsidR="0020117E">
        <w:rPr>
          <w:noProof/>
        </w:rPr>
        <w:t>35</w:t>
      </w:r>
      <w:r w:rsidRPr="0020117E">
        <w:fldChar w:fldCharType="end"/>
      </w:r>
      <w:r w:rsidRPr="0020117E">
        <w:t>.  </w:t>
      </w:r>
      <w:r w:rsidRPr="0020117E" w:rsidR="004004A2">
        <w:t xml:space="preserve">The relevant principles have been summarised in </w:t>
      </w:r>
      <w:r w:rsidRPr="0020117E" w:rsidR="004004A2">
        <w:rPr>
          <w:i/>
          <w:iCs/>
        </w:rPr>
        <w:t>Ribać</w:t>
      </w:r>
      <w:r w:rsidRPr="0020117E" w:rsidR="004004A2">
        <w:rPr>
          <w:iCs/>
        </w:rPr>
        <w:t xml:space="preserve"> (cited above, §§</w:t>
      </w:r>
      <w:r w:rsidRPr="0020117E" w:rsidR="00196624">
        <w:rPr>
          <w:iCs/>
        </w:rPr>
        <w:t> </w:t>
      </w:r>
      <w:r w:rsidRPr="0020117E" w:rsidR="004004A2">
        <w:rPr>
          <w:iCs/>
        </w:rPr>
        <w:t>51-54).</w:t>
      </w:r>
    </w:p>
    <w:bookmarkStart w:name="CourtAPPpaidtoYPAfund" w:id="21"/>
    <w:p w:rsidRPr="0020117E" w:rsidR="00782AAA" w:rsidP="0020117E" w:rsidRDefault="00467C49">
      <w:pPr>
        <w:pStyle w:val="ECHRPara"/>
        <w:rPr>
          <w:iCs/>
        </w:rPr>
      </w:pPr>
      <w:r w:rsidRPr="0020117E">
        <w:rPr>
          <w:iCs/>
        </w:rPr>
        <w:fldChar w:fldCharType="begin"/>
      </w:r>
      <w:r w:rsidRPr="0020117E">
        <w:rPr>
          <w:iCs/>
        </w:rPr>
        <w:instrText xml:space="preserve"> SEQ level0 \*arabic </w:instrText>
      </w:r>
      <w:r w:rsidRPr="0020117E">
        <w:rPr>
          <w:iCs/>
        </w:rPr>
        <w:fldChar w:fldCharType="separate"/>
      </w:r>
      <w:r w:rsidRPr="0020117E" w:rsidR="0020117E">
        <w:rPr>
          <w:iCs/>
          <w:noProof/>
        </w:rPr>
        <w:t>36</w:t>
      </w:r>
      <w:r w:rsidRPr="0020117E">
        <w:rPr>
          <w:iCs/>
        </w:rPr>
        <w:fldChar w:fldCharType="end"/>
      </w:r>
      <w:bookmarkEnd w:id="21"/>
      <w:r w:rsidRPr="0020117E">
        <w:rPr>
          <w:iCs/>
        </w:rPr>
        <w:t>.  </w:t>
      </w:r>
      <w:r w:rsidRPr="0020117E" w:rsidR="00ED1536">
        <w:rPr>
          <w:iCs/>
        </w:rPr>
        <w:t>The Court notes that in</w:t>
      </w:r>
      <w:r w:rsidRPr="0020117E" w:rsidR="00DC1FB8">
        <w:rPr>
          <w:iCs/>
        </w:rPr>
        <w:t xml:space="preserve"> the case of </w:t>
      </w:r>
      <w:r w:rsidRPr="0020117E" w:rsidR="00DC1FB8">
        <w:rPr>
          <w:i/>
          <w:iCs/>
        </w:rPr>
        <w:t xml:space="preserve">Ribać </w:t>
      </w:r>
      <w:r w:rsidRPr="0020117E" w:rsidR="00DC1FB8">
        <w:rPr>
          <w:iCs/>
        </w:rPr>
        <w:t>(cited above, §§ 56-60)</w:t>
      </w:r>
      <w:r w:rsidRPr="0020117E" w:rsidR="00ED1536">
        <w:rPr>
          <w:iCs/>
        </w:rPr>
        <w:t xml:space="preserve"> it has</w:t>
      </w:r>
      <w:r w:rsidRPr="0020117E" w:rsidR="00DC1FB8">
        <w:rPr>
          <w:iCs/>
        </w:rPr>
        <w:t xml:space="preserve"> rejected arguments </w:t>
      </w:r>
      <w:r w:rsidRPr="0020117E" w:rsidR="00ED1536">
        <w:rPr>
          <w:iCs/>
        </w:rPr>
        <w:t xml:space="preserve">similar to those </w:t>
      </w:r>
      <w:r w:rsidRPr="0020117E" w:rsidR="00036BE2">
        <w:rPr>
          <w:iCs/>
        </w:rPr>
        <w:t>put forward by</w:t>
      </w:r>
      <w:r w:rsidRPr="0020117E" w:rsidR="00DC1FB8">
        <w:rPr>
          <w:iCs/>
        </w:rPr>
        <w:t xml:space="preserve"> the Government</w:t>
      </w:r>
      <w:r w:rsidRPr="0020117E" w:rsidR="00ED1536">
        <w:rPr>
          <w:iCs/>
        </w:rPr>
        <w:t xml:space="preserve"> in the present case</w:t>
      </w:r>
      <w:r w:rsidRPr="0020117E" w:rsidR="00DC1FB8">
        <w:rPr>
          <w:iCs/>
        </w:rPr>
        <w:t xml:space="preserve"> (see paragraph </w:t>
      </w:r>
      <w:r w:rsidRPr="0020117E" w:rsidR="00DC1FB8">
        <w:rPr>
          <w:iCs/>
        </w:rPr>
        <w:fldChar w:fldCharType="begin"/>
      </w:r>
      <w:r w:rsidRPr="0020117E" w:rsidR="00DC1FB8">
        <w:rPr>
          <w:iCs/>
        </w:rPr>
        <w:instrText xml:space="preserve"> REF GOVnotsamesituation \h </w:instrText>
      </w:r>
      <w:r w:rsidRPr="0020117E" w:rsidR="00DC1FB8">
        <w:rPr>
          <w:iCs/>
        </w:rPr>
      </w:r>
      <w:r w:rsidRPr="0020117E" w:rsidR="00DC1FB8">
        <w:rPr>
          <w:iCs/>
        </w:rPr>
        <w:fldChar w:fldCharType="separate"/>
      </w:r>
      <w:r w:rsidRPr="0020117E" w:rsidR="0020117E">
        <w:rPr>
          <w:noProof/>
        </w:rPr>
        <w:t>31</w:t>
      </w:r>
      <w:r w:rsidRPr="0020117E" w:rsidR="00DC1FB8">
        <w:rPr>
          <w:iCs/>
        </w:rPr>
        <w:fldChar w:fldCharType="end"/>
      </w:r>
      <w:r w:rsidRPr="0020117E" w:rsidR="00DC1FB8">
        <w:rPr>
          <w:iCs/>
        </w:rPr>
        <w:t xml:space="preserve"> above) and concluded that the applicant</w:t>
      </w:r>
      <w:r w:rsidRPr="0020117E" w:rsidR="0020117E">
        <w:rPr>
          <w:iCs/>
        </w:rPr>
        <w:t>’</w:t>
      </w:r>
      <w:r w:rsidRPr="0020117E" w:rsidR="00DC1FB8">
        <w:rPr>
          <w:iCs/>
        </w:rPr>
        <w:t>s situation with regard to retirement benefits was similar to that of retired YPA military personnel with Slovenian citizenship.</w:t>
      </w:r>
    </w:p>
    <w:p w:rsidRPr="0020117E" w:rsidR="00461295" w:rsidP="0020117E" w:rsidRDefault="00EC2726">
      <w:pPr>
        <w:pStyle w:val="ECHRPara"/>
      </w:pPr>
      <w:r w:rsidRPr="0020117E">
        <w:fldChar w:fldCharType="begin"/>
      </w:r>
      <w:r w:rsidRPr="0020117E">
        <w:instrText xml:space="preserve"> SEQ level0 \*arabic </w:instrText>
      </w:r>
      <w:r w:rsidRPr="0020117E">
        <w:fldChar w:fldCharType="separate"/>
      </w:r>
      <w:r w:rsidRPr="0020117E" w:rsidR="0020117E">
        <w:rPr>
          <w:noProof/>
        </w:rPr>
        <w:t>37</w:t>
      </w:r>
      <w:r w:rsidRPr="0020117E">
        <w:fldChar w:fldCharType="end"/>
      </w:r>
      <w:r w:rsidRPr="0020117E">
        <w:t>.  </w:t>
      </w:r>
      <w:r w:rsidRPr="0020117E" w:rsidR="00CE5FE2">
        <w:t>With respect to the retroactive application of the 1998 Act (section</w:t>
      </w:r>
      <w:r w:rsidRPr="0020117E" w:rsidR="00ED1536">
        <w:t> </w:t>
      </w:r>
      <w:r w:rsidRPr="0020117E" w:rsidR="00CE5FE2">
        <w:t>15(2)</w:t>
      </w:r>
      <w:r w:rsidRPr="0020117E" w:rsidR="0085657B">
        <w:t>;</w:t>
      </w:r>
      <w:r w:rsidRPr="0020117E" w:rsidR="00CE5FE2">
        <w:t xml:space="preserve"> see paragraph </w:t>
      </w:r>
      <w:r w:rsidRPr="0020117E" w:rsidR="00CE5FE2">
        <w:fldChar w:fldCharType="begin"/>
      </w:r>
      <w:r w:rsidRPr="0020117E" w:rsidR="00CE5FE2">
        <w:instrText xml:space="preserve"> REF section15 \h </w:instrText>
      </w:r>
      <w:r w:rsidRPr="0020117E" w:rsidR="00CE5FE2">
        <w:fldChar w:fldCharType="separate"/>
      </w:r>
      <w:r w:rsidRPr="0020117E" w:rsidR="0020117E">
        <w:rPr>
          <w:noProof/>
        </w:rPr>
        <w:t>23</w:t>
      </w:r>
      <w:r w:rsidRPr="0020117E" w:rsidR="00CE5FE2">
        <w:fldChar w:fldCharType="end"/>
      </w:r>
      <w:r w:rsidRPr="0020117E" w:rsidR="00CE5FE2">
        <w:t xml:space="preserve"> above) and the differences between the retired YPA military personnel who acquired citizenship on the basis of section 40 of the Citizenship Act and those, like the applicant, who acquired it by naturalisation, t</w:t>
      </w:r>
      <w:r w:rsidRPr="0020117E" w:rsidR="001B5874">
        <w:t>he Court</w:t>
      </w:r>
      <w:r w:rsidRPr="0020117E" w:rsidR="006C73EC">
        <w:t xml:space="preserve"> observes that the Government advanced no arguments </w:t>
      </w:r>
      <w:r w:rsidRPr="0020117E" w:rsidR="00CE5FE2">
        <w:t>regarding the differences between the two groups of beneficiaries</w:t>
      </w:r>
      <w:r w:rsidRPr="0020117E" w:rsidR="006C73EC">
        <w:t xml:space="preserve">. </w:t>
      </w:r>
      <w:r w:rsidRPr="0020117E" w:rsidR="00165B6D">
        <w:t>Having r</w:t>
      </w:r>
      <w:r w:rsidRPr="0020117E" w:rsidR="00CE5FE2">
        <w:t>egard</w:t>
      </w:r>
      <w:r w:rsidRPr="0020117E" w:rsidR="00165B6D">
        <w:t xml:space="preserve"> to </w:t>
      </w:r>
      <w:r w:rsidRPr="0020117E" w:rsidR="00DC1FB8">
        <w:t>the preceding paragraph</w:t>
      </w:r>
      <w:r w:rsidRPr="0020117E" w:rsidR="00CE5FE2">
        <w:t xml:space="preserve">, the Court cannot but conclude that during the period at issue </w:t>
      </w:r>
      <w:r w:rsidRPr="0020117E">
        <w:t>the applicant</w:t>
      </w:r>
      <w:r w:rsidRPr="0020117E" w:rsidR="0020117E">
        <w:t>’</w:t>
      </w:r>
      <w:r w:rsidRPr="0020117E">
        <w:t xml:space="preserve">s situation with regard to retirement benefits was similar to that of retired YPA military personnel with Slovenian citizenship acquired under section 40 of the Citizenship Act. </w:t>
      </w:r>
      <w:r w:rsidRPr="0020117E" w:rsidR="00461295">
        <w:t xml:space="preserve">The Court must accordingly determine whether the difference in treatment, which was </w:t>
      </w:r>
      <w:r w:rsidRPr="0020117E" w:rsidR="00F101CA">
        <w:t xml:space="preserve">initially </w:t>
      </w:r>
      <w:r w:rsidRPr="0020117E" w:rsidR="00461295">
        <w:t>based on the applicant</w:t>
      </w:r>
      <w:r w:rsidRPr="0020117E" w:rsidR="0020117E">
        <w:t>’</w:t>
      </w:r>
      <w:r w:rsidRPr="0020117E" w:rsidR="00461295">
        <w:t>s nationality, and</w:t>
      </w:r>
      <w:r w:rsidRPr="0020117E" w:rsidR="00F101CA">
        <w:t xml:space="preserve"> subsequently</w:t>
      </w:r>
      <w:r w:rsidRPr="0020117E" w:rsidR="00461295">
        <w:t xml:space="preserve"> on the </w:t>
      </w:r>
      <w:r w:rsidRPr="0020117E" w:rsidR="004E716E">
        <w:t>grounds</w:t>
      </w:r>
      <w:r w:rsidRPr="0020117E" w:rsidR="00461295">
        <w:t xml:space="preserve"> </w:t>
      </w:r>
      <w:r w:rsidRPr="0020117E" w:rsidR="00D64882">
        <w:t xml:space="preserve">on which </w:t>
      </w:r>
      <w:r w:rsidRPr="0020117E" w:rsidR="00461295">
        <w:t>the applicant acquired Slovenian citizenship, was justified, taking into account that the burden of proof for such justification lies with the Government</w:t>
      </w:r>
      <w:r w:rsidRPr="0020117E" w:rsidR="00596A60">
        <w:t xml:space="preserve"> (see </w:t>
      </w:r>
      <w:r w:rsidRPr="0020117E" w:rsidR="00783714">
        <w:rPr>
          <w:i/>
        </w:rPr>
        <w:t>D.H. and </w:t>
      </w:r>
      <w:r w:rsidRPr="0020117E" w:rsidR="00596A60">
        <w:rPr>
          <w:i/>
        </w:rPr>
        <w:t>Others v. the Czech Republic</w:t>
      </w:r>
      <w:r w:rsidRPr="0020117E" w:rsidR="00596A60">
        <w:t xml:space="preserve"> </w:t>
      </w:r>
      <w:r w:rsidRPr="0020117E" w:rsidR="0092086B">
        <w:t>[GC], no. </w:t>
      </w:r>
      <w:r w:rsidRPr="0020117E" w:rsidR="00783714">
        <w:t>57325/00, § 177, ECHR </w:t>
      </w:r>
      <w:r w:rsidRPr="0020117E" w:rsidR="00596A60">
        <w:t>2007</w:t>
      </w:r>
      <w:r w:rsidRPr="0020117E" w:rsidR="00596A60">
        <w:noBreakHyphen/>
        <w:t>IV)</w:t>
      </w:r>
      <w:r w:rsidRPr="0020117E" w:rsidR="00461295">
        <w:t>.</w:t>
      </w:r>
    </w:p>
    <w:p w:rsidRPr="0020117E" w:rsidR="00B90031" w:rsidP="0020117E" w:rsidRDefault="0052509C">
      <w:pPr>
        <w:pStyle w:val="ECHRPara"/>
      </w:pPr>
      <w:r w:rsidRPr="0020117E">
        <w:fldChar w:fldCharType="begin"/>
      </w:r>
      <w:r w:rsidRPr="0020117E">
        <w:instrText xml:space="preserve"> SEQ level0 \*arabic </w:instrText>
      </w:r>
      <w:r w:rsidRPr="0020117E">
        <w:fldChar w:fldCharType="separate"/>
      </w:r>
      <w:r w:rsidRPr="0020117E" w:rsidR="0020117E">
        <w:rPr>
          <w:noProof/>
        </w:rPr>
        <w:t>38</w:t>
      </w:r>
      <w:r w:rsidRPr="0020117E">
        <w:fldChar w:fldCharType="end"/>
      </w:r>
      <w:r w:rsidRPr="0020117E">
        <w:t>.  </w:t>
      </w:r>
      <w:r w:rsidRPr="0020117E" w:rsidR="00B90031">
        <w:t>The Court accepts that the difference in treatment complained of pursued at least one legitimate aim, namely the protection and organisation of the country</w:t>
      </w:r>
      <w:r w:rsidRPr="0020117E" w:rsidR="0020117E">
        <w:t>’</w:t>
      </w:r>
      <w:r w:rsidRPr="0020117E" w:rsidR="00B90031">
        <w:t>s economic and social system</w:t>
      </w:r>
      <w:r w:rsidRPr="0020117E" w:rsidR="00A27B6E">
        <w:t xml:space="preserve"> (see</w:t>
      </w:r>
      <w:r w:rsidRPr="0020117E" w:rsidR="00ED1536">
        <w:t xml:space="preserve"> </w:t>
      </w:r>
      <w:r w:rsidRPr="0020117E" w:rsidR="00ED1536">
        <w:rPr>
          <w:i/>
          <w:iCs/>
        </w:rPr>
        <w:t>Ribać</w:t>
      </w:r>
      <w:r w:rsidRPr="0020117E" w:rsidR="00ED1536">
        <w:rPr>
          <w:iCs/>
        </w:rPr>
        <w:t>,</w:t>
      </w:r>
      <w:r w:rsidRPr="0020117E" w:rsidR="00ED1536">
        <w:rPr>
          <w:i/>
          <w:iCs/>
        </w:rPr>
        <w:t xml:space="preserve"> </w:t>
      </w:r>
      <w:r w:rsidRPr="0020117E" w:rsidR="00ED1536">
        <w:rPr>
          <w:iCs/>
        </w:rPr>
        <w:t>cited above, §</w:t>
      </w:r>
      <w:r w:rsidRPr="0020117E" w:rsidR="00783714">
        <w:rPr>
          <w:iCs/>
        </w:rPr>
        <w:t> </w:t>
      </w:r>
      <w:r w:rsidRPr="0020117E" w:rsidR="00ED1536">
        <w:rPr>
          <w:iCs/>
        </w:rPr>
        <w:t>61</w:t>
      </w:r>
      <w:r w:rsidRPr="0020117E" w:rsidR="00A27B6E">
        <w:t>,</w:t>
      </w:r>
      <w:r w:rsidRPr="0020117E" w:rsidR="00ED1536">
        <w:t xml:space="preserve"> and,</w:t>
      </w:r>
      <w:r w:rsidRPr="0020117E" w:rsidR="00A27B6E">
        <w:t xml:space="preserve"> </w:t>
      </w:r>
      <w:r w:rsidRPr="0020117E" w:rsidR="00A27B6E">
        <w:rPr>
          <w:i/>
        </w:rPr>
        <w:t>mutatis mutandis</w:t>
      </w:r>
      <w:r w:rsidRPr="0020117E" w:rsidR="00A27B6E">
        <w:t xml:space="preserve">, </w:t>
      </w:r>
      <w:r w:rsidRPr="0020117E" w:rsidR="00A27B6E">
        <w:rPr>
          <w:i/>
        </w:rPr>
        <w:t>Andrejeva v. Latvia</w:t>
      </w:r>
      <w:r w:rsidRPr="0020117E" w:rsidR="00A27B6E">
        <w:t xml:space="preserve"> [GC], no</w:t>
      </w:r>
      <w:r w:rsidRPr="0020117E" w:rsidR="00783714">
        <w:t>. 55707/00, § 86, ECHR </w:t>
      </w:r>
      <w:r w:rsidRPr="0020117E" w:rsidR="00A27B6E">
        <w:t>2009).</w:t>
      </w:r>
    </w:p>
    <w:bookmarkStart w:name="section2aggression" w:id="22"/>
    <w:p w:rsidRPr="0020117E" w:rsidR="0052509C" w:rsidP="0020117E" w:rsidRDefault="00FC171D">
      <w:pPr>
        <w:pStyle w:val="ECHRPara"/>
        <w:rPr>
          <w:iCs/>
        </w:rPr>
      </w:pPr>
      <w:r w:rsidRPr="0020117E">
        <w:fldChar w:fldCharType="begin"/>
      </w:r>
      <w:r w:rsidRPr="0020117E">
        <w:instrText xml:space="preserve"> SEQ level0 \*arabic </w:instrText>
      </w:r>
      <w:r w:rsidRPr="0020117E">
        <w:fldChar w:fldCharType="separate"/>
      </w:r>
      <w:r w:rsidRPr="0020117E" w:rsidR="0020117E">
        <w:rPr>
          <w:noProof/>
        </w:rPr>
        <w:t>39</w:t>
      </w:r>
      <w:r w:rsidRPr="0020117E">
        <w:fldChar w:fldCharType="end"/>
      </w:r>
      <w:bookmarkEnd w:id="22"/>
      <w:r w:rsidRPr="0020117E">
        <w:t>.  </w:t>
      </w:r>
      <w:r w:rsidRPr="0020117E" w:rsidR="00C46A68">
        <w:t>As regards the Government</w:t>
      </w:r>
      <w:r w:rsidRPr="0020117E" w:rsidR="0020117E">
        <w:t>’</w:t>
      </w:r>
      <w:r w:rsidRPr="0020117E" w:rsidR="00C46A68">
        <w:t>s argument</w:t>
      </w:r>
      <w:r w:rsidRPr="0020117E" w:rsidR="00DC1FB8">
        <w:t xml:space="preserve"> that </w:t>
      </w:r>
      <w:r w:rsidRPr="0020117E" w:rsidR="00F86427">
        <w:t>the applicant had remained in active military service in the YPA, which was considered an aggressor army</w:t>
      </w:r>
      <w:r w:rsidRPr="0020117E" w:rsidDel="00F86427" w:rsidR="00F86427">
        <w:t xml:space="preserve"> </w:t>
      </w:r>
      <w:r w:rsidRPr="0020117E" w:rsidR="00DC1FB8">
        <w:t xml:space="preserve">(see paragraph </w:t>
      </w:r>
      <w:r w:rsidRPr="0020117E" w:rsidR="00DC1FB8">
        <w:fldChar w:fldCharType="begin"/>
      </w:r>
      <w:r w:rsidRPr="0020117E" w:rsidR="00DC1FB8">
        <w:instrText xml:space="preserve"> REF GOVaggression \h </w:instrText>
      </w:r>
      <w:r w:rsidRPr="0020117E" w:rsidR="00DC1FB8">
        <w:fldChar w:fldCharType="separate"/>
      </w:r>
      <w:r w:rsidRPr="0020117E" w:rsidR="0020117E">
        <w:rPr>
          <w:noProof/>
        </w:rPr>
        <w:t>33</w:t>
      </w:r>
      <w:r w:rsidRPr="0020117E" w:rsidR="00DC1FB8">
        <w:fldChar w:fldCharType="end"/>
      </w:r>
      <w:r w:rsidRPr="0020117E" w:rsidR="0052509C">
        <w:t xml:space="preserve"> above)</w:t>
      </w:r>
      <w:r w:rsidRPr="0020117E" w:rsidR="00C46A68">
        <w:t xml:space="preserve">, the Court </w:t>
      </w:r>
      <w:r w:rsidRPr="0020117E" w:rsidR="00C46A68">
        <w:rPr>
          <w:iCs/>
        </w:rPr>
        <w:t>observes that the requirement of non-participation in aggression against Slovenia</w:t>
      </w:r>
      <w:r w:rsidRPr="0020117E" w:rsidR="0042782F">
        <w:rPr>
          <w:iCs/>
        </w:rPr>
        <w:t xml:space="preserve"> </w:t>
      </w:r>
      <w:r w:rsidRPr="0020117E" w:rsidR="00783714">
        <w:rPr>
          <w:iCs/>
        </w:rPr>
        <w:t>(section </w:t>
      </w:r>
      <w:r w:rsidRPr="0020117E" w:rsidR="00BF53CD">
        <w:rPr>
          <w:iCs/>
        </w:rPr>
        <w:t xml:space="preserve">2(3) of the 1998 Act; </w:t>
      </w:r>
      <w:r w:rsidRPr="0020117E" w:rsidR="0042782F">
        <w:rPr>
          <w:iCs/>
        </w:rPr>
        <w:t xml:space="preserve">see paragraph </w:t>
      </w:r>
      <w:r w:rsidRPr="0020117E" w:rsidR="0042782F">
        <w:rPr>
          <w:iCs/>
        </w:rPr>
        <w:fldChar w:fldCharType="begin"/>
      </w:r>
      <w:r w:rsidRPr="0020117E" w:rsidR="0042782F">
        <w:rPr>
          <w:iCs/>
        </w:rPr>
        <w:instrText xml:space="preserve"> REF domesticlaw \h </w:instrText>
      </w:r>
      <w:r w:rsidRPr="0020117E" w:rsidR="0042782F">
        <w:rPr>
          <w:iCs/>
        </w:rPr>
      </w:r>
      <w:r w:rsidRPr="0020117E" w:rsidR="0042782F">
        <w:rPr>
          <w:iCs/>
        </w:rPr>
        <w:fldChar w:fldCharType="separate"/>
      </w:r>
      <w:r w:rsidRPr="0020117E" w:rsidR="0020117E">
        <w:rPr>
          <w:noProof/>
        </w:rPr>
        <w:t>22</w:t>
      </w:r>
      <w:r w:rsidRPr="0020117E" w:rsidR="0042782F">
        <w:rPr>
          <w:iCs/>
        </w:rPr>
        <w:fldChar w:fldCharType="end"/>
      </w:r>
      <w:r w:rsidRPr="0020117E" w:rsidR="0042782F">
        <w:rPr>
          <w:iCs/>
        </w:rPr>
        <w:t xml:space="preserve"> above)</w:t>
      </w:r>
      <w:r w:rsidRPr="0020117E" w:rsidR="00F86427">
        <w:rPr>
          <w:iCs/>
        </w:rPr>
        <w:t xml:space="preserve"> applied</w:t>
      </w:r>
      <w:r w:rsidRPr="0020117E" w:rsidR="00EC2726">
        <w:rPr>
          <w:iCs/>
        </w:rPr>
        <w:t xml:space="preserve"> </w:t>
      </w:r>
      <w:r w:rsidRPr="0020117E" w:rsidR="00F86427">
        <w:rPr>
          <w:iCs/>
        </w:rPr>
        <w:t xml:space="preserve">to </w:t>
      </w:r>
      <w:r w:rsidRPr="0020117E" w:rsidR="00EC2726">
        <w:rPr>
          <w:iCs/>
        </w:rPr>
        <w:t xml:space="preserve">all potential beneficiaries </w:t>
      </w:r>
      <w:r w:rsidRPr="0020117E" w:rsidR="00F86427">
        <w:rPr>
          <w:iCs/>
        </w:rPr>
        <w:t>of pension rights</w:t>
      </w:r>
      <w:r w:rsidRPr="0020117E" w:rsidR="0042782F">
        <w:rPr>
          <w:iCs/>
        </w:rPr>
        <w:t xml:space="preserve"> under section 2(1)</w:t>
      </w:r>
      <w:r w:rsidRPr="0020117E" w:rsidR="00EC2726">
        <w:rPr>
          <w:iCs/>
        </w:rPr>
        <w:t xml:space="preserve">, including those of Slovenian nationality </w:t>
      </w:r>
      <w:r w:rsidRPr="0020117E" w:rsidR="00F86427">
        <w:rPr>
          <w:iCs/>
        </w:rPr>
        <w:t xml:space="preserve">(see </w:t>
      </w:r>
      <w:r w:rsidRPr="0020117E" w:rsidR="00F86427">
        <w:rPr>
          <w:i/>
          <w:iCs/>
        </w:rPr>
        <w:t>Ribać</w:t>
      </w:r>
      <w:r w:rsidRPr="0020117E" w:rsidR="00F86427">
        <w:rPr>
          <w:iCs/>
        </w:rPr>
        <w:t>, cited above, § 63)</w:t>
      </w:r>
      <w:r w:rsidRPr="0020117E" w:rsidR="00EC2726">
        <w:rPr>
          <w:iCs/>
        </w:rPr>
        <w:t xml:space="preserve">. </w:t>
      </w:r>
      <w:r w:rsidRPr="0020117E" w:rsidR="00F86427">
        <w:rPr>
          <w:iCs/>
        </w:rPr>
        <w:t>In any event</w:t>
      </w:r>
      <w:r w:rsidRPr="0020117E" w:rsidR="001B5874">
        <w:rPr>
          <w:iCs/>
        </w:rPr>
        <w:t xml:space="preserve">, the </w:t>
      </w:r>
      <w:r w:rsidRPr="0020117E" w:rsidR="00F86427">
        <w:rPr>
          <w:iCs/>
        </w:rPr>
        <w:t>domestic authorities indicated that there was</w:t>
      </w:r>
      <w:r w:rsidRPr="0020117E" w:rsidR="001B5874">
        <w:rPr>
          <w:iCs/>
        </w:rPr>
        <w:t xml:space="preserve"> nothing in the case file</w:t>
      </w:r>
      <w:r w:rsidRPr="0020117E" w:rsidR="003822F1">
        <w:rPr>
          <w:iCs/>
        </w:rPr>
        <w:t xml:space="preserve"> before them</w:t>
      </w:r>
      <w:r w:rsidRPr="0020117E" w:rsidR="001B5874">
        <w:rPr>
          <w:iCs/>
        </w:rPr>
        <w:t xml:space="preserve"> to suggest that the applicant took part in </w:t>
      </w:r>
      <w:r w:rsidRPr="0020117E" w:rsidR="00123874">
        <w:rPr>
          <w:iCs/>
        </w:rPr>
        <w:t xml:space="preserve">any </w:t>
      </w:r>
      <w:r w:rsidRPr="0020117E" w:rsidR="0052509C">
        <w:rPr>
          <w:iCs/>
        </w:rPr>
        <w:t xml:space="preserve">aggression against Slovenia </w:t>
      </w:r>
      <w:r w:rsidRPr="0020117E" w:rsidR="00DD0525">
        <w:rPr>
          <w:iCs/>
        </w:rPr>
        <w:t>(see paragraphs</w:t>
      </w:r>
      <w:r w:rsidRPr="0020117E" w:rsidR="00F86427">
        <w:rPr>
          <w:iCs/>
        </w:rPr>
        <w:t> </w:t>
      </w:r>
      <w:r w:rsidRPr="0020117E" w:rsidR="00DD0525">
        <w:rPr>
          <w:iCs/>
        </w:rPr>
        <w:fldChar w:fldCharType="begin"/>
      </w:r>
      <w:r w:rsidRPr="0020117E" w:rsidR="00DD0525">
        <w:rPr>
          <w:iCs/>
        </w:rPr>
        <w:instrText xml:space="preserve"> REF noadvance \h </w:instrText>
      </w:r>
      <w:r w:rsidRPr="0020117E" w:rsidR="00DD0525">
        <w:rPr>
          <w:iCs/>
        </w:rPr>
      </w:r>
      <w:r w:rsidRPr="0020117E" w:rsidR="00DD0525">
        <w:rPr>
          <w:iCs/>
        </w:rPr>
        <w:fldChar w:fldCharType="separate"/>
      </w:r>
      <w:r w:rsidRPr="0020117E" w:rsidR="0020117E">
        <w:rPr>
          <w:noProof/>
        </w:rPr>
        <w:t>12</w:t>
      </w:r>
      <w:r w:rsidRPr="0020117E" w:rsidR="00DD0525">
        <w:rPr>
          <w:iCs/>
        </w:rPr>
        <w:fldChar w:fldCharType="end"/>
      </w:r>
      <w:r w:rsidRPr="0020117E" w:rsidR="0052509C">
        <w:rPr>
          <w:iCs/>
        </w:rPr>
        <w:t>-</w:t>
      </w:r>
      <w:r w:rsidRPr="0020117E" w:rsidR="0052509C">
        <w:rPr>
          <w:iCs/>
        </w:rPr>
        <w:fldChar w:fldCharType="begin"/>
      </w:r>
      <w:r w:rsidRPr="0020117E" w:rsidR="0052509C">
        <w:rPr>
          <w:iCs/>
        </w:rPr>
        <w:instrText xml:space="preserve"> REF domesticcourt2003 \h </w:instrText>
      </w:r>
      <w:r w:rsidRPr="0020117E" w:rsidR="0052509C">
        <w:rPr>
          <w:iCs/>
        </w:rPr>
      </w:r>
      <w:r w:rsidRPr="0020117E" w:rsidR="0052509C">
        <w:rPr>
          <w:iCs/>
        </w:rPr>
        <w:fldChar w:fldCharType="separate"/>
      </w:r>
      <w:r w:rsidRPr="0020117E" w:rsidR="0020117E">
        <w:rPr>
          <w:noProof/>
        </w:rPr>
        <w:t>16</w:t>
      </w:r>
      <w:r w:rsidRPr="0020117E" w:rsidR="0052509C">
        <w:rPr>
          <w:iCs/>
        </w:rPr>
        <w:fldChar w:fldCharType="end"/>
      </w:r>
      <w:r w:rsidRPr="0020117E" w:rsidR="0052509C">
        <w:rPr>
          <w:iCs/>
        </w:rPr>
        <w:t xml:space="preserve"> </w:t>
      </w:r>
      <w:r w:rsidRPr="0020117E" w:rsidR="00DD0525">
        <w:rPr>
          <w:iCs/>
        </w:rPr>
        <w:t xml:space="preserve">above). </w:t>
      </w:r>
      <w:r w:rsidRPr="0020117E" w:rsidR="0052509C">
        <w:rPr>
          <w:iCs/>
        </w:rPr>
        <w:t xml:space="preserve">The Court therefore rejects this argument </w:t>
      </w:r>
      <w:r w:rsidRPr="0020117E" w:rsidR="00EE6F79">
        <w:rPr>
          <w:iCs/>
        </w:rPr>
        <w:t xml:space="preserve">by </w:t>
      </w:r>
      <w:r w:rsidRPr="0020117E" w:rsidR="0052509C">
        <w:rPr>
          <w:iCs/>
        </w:rPr>
        <w:t>the Government.</w:t>
      </w:r>
    </w:p>
    <w:p w:rsidRPr="0020117E" w:rsidR="00D90DE0" w:rsidP="0020117E" w:rsidRDefault="0052509C">
      <w:pPr>
        <w:pStyle w:val="ECHRPara"/>
        <w:rPr>
          <w:iCs/>
        </w:rPr>
      </w:pPr>
      <w:r w:rsidRPr="0020117E">
        <w:rPr>
          <w:iCs/>
        </w:rPr>
        <w:fldChar w:fldCharType="begin"/>
      </w:r>
      <w:r w:rsidRPr="0020117E">
        <w:rPr>
          <w:iCs/>
        </w:rPr>
        <w:instrText xml:space="preserve"> SEQ level0 \*arabic </w:instrText>
      </w:r>
      <w:r w:rsidRPr="0020117E">
        <w:rPr>
          <w:iCs/>
        </w:rPr>
        <w:fldChar w:fldCharType="separate"/>
      </w:r>
      <w:r w:rsidRPr="0020117E" w:rsidR="0020117E">
        <w:rPr>
          <w:iCs/>
          <w:noProof/>
        </w:rPr>
        <w:t>40</w:t>
      </w:r>
      <w:r w:rsidRPr="0020117E">
        <w:rPr>
          <w:iCs/>
        </w:rPr>
        <w:fldChar w:fldCharType="end"/>
      </w:r>
      <w:r w:rsidRPr="0020117E">
        <w:rPr>
          <w:iCs/>
        </w:rPr>
        <w:t>.  </w:t>
      </w:r>
      <w:r w:rsidRPr="0020117E" w:rsidR="008C5B9B">
        <w:rPr>
          <w:iCs/>
        </w:rPr>
        <w:t>As to the Government</w:t>
      </w:r>
      <w:r w:rsidRPr="0020117E" w:rsidR="0020117E">
        <w:rPr>
          <w:iCs/>
        </w:rPr>
        <w:t>’</w:t>
      </w:r>
      <w:r w:rsidRPr="0020117E" w:rsidR="008C5B9B">
        <w:rPr>
          <w:iCs/>
        </w:rPr>
        <w:t xml:space="preserve">s argument that the applicant should have joined the Territorial Defence </w:t>
      </w:r>
      <w:r w:rsidRPr="0020117E" w:rsidR="004E716E">
        <w:rPr>
          <w:iCs/>
        </w:rPr>
        <w:t>to secure</w:t>
      </w:r>
      <w:r w:rsidRPr="0020117E" w:rsidR="008C5B9B">
        <w:rPr>
          <w:iCs/>
        </w:rPr>
        <w:t xml:space="preserve"> his social </w:t>
      </w:r>
      <w:r w:rsidRPr="0020117E" w:rsidR="00BD13EE">
        <w:rPr>
          <w:iCs/>
        </w:rPr>
        <w:t>welfare entitlements</w:t>
      </w:r>
      <w:r w:rsidRPr="0020117E" w:rsidR="00F86427">
        <w:rPr>
          <w:iCs/>
        </w:rPr>
        <w:t xml:space="preserve"> </w:t>
      </w:r>
      <w:r w:rsidRPr="0020117E" w:rsidR="00F86427">
        <w:t xml:space="preserve">(see paragraph </w:t>
      </w:r>
      <w:r w:rsidRPr="0020117E" w:rsidR="00F86427">
        <w:fldChar w:fldCharType="begin"/>
      </w:r>
      <w:r w:rsidRPr="0020117E" w:rsidR="00F86427">
        <w:instrText xml:space="preserve"> REF GOVaggression \h </w:instrText>
      </w:r>
      <w:r w:rsidRPr="0020117E" w:rsidR="00F86427">
        <w:fldChar w:fldCharType="separate"/>
      </w:r>
      <w:r w:rsidRPr="0020117E" w:rsidR="0020117E">
        <w:rPr>
          <w:noProof/>
        </w:rPr>
        <w:t>33</w:t>
      </w:r>
      <w:r w:rsidRPr="0020117E" w:rsidR="00F86427">
        <w:fldChar w:fldCharType="end"/>
      </w:r>
      <w:r w:rsidRPr="0020117E" w:rsidR="00F86427">
        <w:t xml:space="preserve"> above)</w:t>
      </w:r>
      <w:r w:rsidRPr="0020117E" w:rsidR="008C5B9B">
        <w:rPr>
          <w:iCs/>
        </w:rPr>
        <w:t>, the Court notes that in order to be considered a beneficiary under section 2(1)(3) of the 199</w:t>
      </w:r>
      <w:r w:rsidRPr="0020117E" w:rsidR="001B5874">
        <w:rPr>
          <w:iCs/>
        </w:rPr>
        <w:t>8</w:t>
      </w:r>
      <w:r w:rsidRPr="0020117E" w:rsidR="008C5B9B">
        <w:rPr>
          <w:iCs/>
        </w:rPr>
        <w:t xml:space="preserve"> Act</w:t>
      </w:r>
      <w:r w:rsidRPr="0020117E" w:rsidR="001B5874">
        <w:rPr>
          <w:iCs/>
        </w:rPr>
        <w:t xml:space="preserve"> (see paragraph </w:t>
      </w:r>
      <w:r w:rsidRPr="0020117E" w:rsidR="001B5874">
        <w:rPr>
          <w:iCs/>
        </w:rPr>
        <w:fldChar w:fldCharType="begin"/>
      </w:r>
      <w:r w:rsidRPr="0020117E" w:rsidR="001B5874">
        <w:rPr>
          <w:iCs/>
        </w:rPr>
        <w:instrText xml:space="preserve"> REF domesticlaw \h </w:instrText>
      </w:r>
      <w:r w:rsidRPr="0020117E" w:rsidR="001B5874">
        <w:rPr>
          <w:iCs/>
        </w:rPr>
      </w:r>
      <w:r w:rsidRPr="0020117E" w:rsidR="001B5874">
        <w:rPr>
          <w:iCs/>
        </w:rPr>
        <w:fldChar w:fldCharType="separate"/>
      </w:r>
      <w:r w:rsidRPr="0020117E" w:rsidR="0020117E">
        <w:rPr>
          <w:noProof/>
        </w:rPr>
        <w:t>22</w:t>
      </w:r>
      <w:r w:rsidRPr="0020117E" w:rsidR="001B5874">
        <w:rPr>
          <w:iCs/>
        </w:rPr>
        <w:fldChar w:fldCharType="end"/>
      </w:r>
      <w:r w:rsidRPr="0020117E" w:rsidR="001B5874">
        <w:rPr>
          <w:iCs/>
        </w:rPr>
        <w:t xml:space="preserve"> above) the applicant would still have</w:t>
      </w:r>
      <w:r w:rsidRPr="0020117E" w:rsidR="00080C77">
        <w:rPr>
          <w:iCs/>
        </w:rPr>
        <w:t xml:space="preserve"> had</w:t>
      </w:r>
      <w:r w:rsidRPr="0020117E" w:rsidR="001B5874">
        <w:rPr>
          <w:iCs/>
        </w:rPr>
        <w:t xml:space="preserve"> to fulfil the conditions for entitlement to a pension under the military rules by 1 February 1992. Since the applicant</w:t>
      </w:r>
      <w:r w:rsidRPr="0020117E" w:rsidR="004656A7">
        <w:rPr>
          <w:iCs/>
        </w:rPr>
        <w:t xml:space="preserve"> only</w:t>
      </w:r>
      <w:r w:rsidRPr="0020117E" w:rsidR="001B5874">
        <w:rPr>
          <w:iCs/>
        </w:rPr>
        <w:t xml:space="preserve"> fulfilled the conditions under the military rules in April 1992</w:t>
      </w:r>
      <w:r w:rsidRPr="0020117E" w:rsidR="00BD13EE">
        <w:rPr>
          <w:iCs/>
        </w:rPr>
        <w:t xml:space="preserve"> – a fact</w:t>
      </w:r>
      <w:r w:rsidRPr="0020117E" w:rsidR="001B5874">
        <w:rPr>
          <w:iCs/>
        </w:rPr>
        <w:t xml:space="preserve"> </w:t>
      </w:r>
      <w:r w:rsidRPr="0020117E" w:rsidR="00FE2117">
        <w:rPr>
          <w:iCs/>
        </w:rPr>
        <w:t>which is not disputed by the Government</w:t>
      </w:r>
      <w:r w:rsidRPr="0020117E" w:rsidR="00BD13EE">
        <w:rPr>
          <w:iCs/>
        </w:rPr>
        <w:t xml:space="preserve"> –</w:t>
      </w:r>
      <w:r w:rsidRPr="0020117E" w:rsidR="00FE2117">
        <w:rPr>
          <w:iCs/>
        </w:rPr>
        <w:t xml:space="preserve"> </w:t>
      </w:r>
      <w:r w:rsidRPr="0020117E" w:rsidR="001B5874">
        <w:rPr>
          <w:iCs/>
        </w:rPr>
        <w:t>h</w:t>
      </w:r>
      <w:r w:rsidRPr="0020117E" w:rsidR="00D71661">
        <w:rPr>
          <w:iCs/>
        </w:rPr>
        <w:t>is only option would be to</w:t>
      </w:r>
      <w:r w:rsidRPr="0020117E" w:rsidR="001B5874">
        <w:rPr>
          <w:iCs/>
        </w:rPr>
        <w:t xml:space="preserve"> be considered a beneficiary under section 2(4) of the 1998 Act</w:t>
      </w:r>
      <w:r w:rsidRPr="0020117E" w:rsidR="000D7479">
        <w:rPr>
          <w:iCs/>
        </w:rPr>
        <w:t>,</w:t>
      </w:r>
      <w:r w:rsidRPr="0020117E" w:rsidR="008345D8">
        <w:rPr>
          <w:iCs/>
        </w:rPr>
        <w:t xml:space="preserve"> </w:t>
      </w:r>
      <w:r w:rsidRPr="0020117E" w:rsidR="000D7479">
        <w:rPr>
          <w:iCs/>
        </w:rPr>
        <w:t xml:space="preserve">which </w:t>
      </w:r>
      <w:r w:rsidRPr="0020117E" w:rsidR="008345D8">
        <w:rPr>
          <w:iCs/>
        </w:rPr>
        <w:t>included a citizenship requirement</w:t>
      </w:r>
      <w:r w:rsidRPr="0020117E" w:rsidR="001B5874">
        <w:rPr>
          <w:iCs/>
        </w:rPr>
        <w:t>.</w:t>
      </w:r>
      <w:r w:rsidRPr="0020117E" w:rsidR="00FE2117">
        <w:rPr>
          <w:iCs/>
        </w:rPr>
        <w:t xml:space="preserve"> </w:t>
      </w:r>
      <w:r w:rsidRPr="0020117E" w:rsidR="001B5874">
        <w:rPr>
          <w:iCs/>
        </w:rPr>
        <w:t xml:space="preserve">This provision does not </w:t>
      </w:r>
      <w:r w:rsidRPr="0020117E" w:rsidR="00A75219">
        <w:rPr>
          <w:iCs/>
        </w:rPr>
        <w:t>differentiate</w:t>
      </w:r>
      <w:r w:rsidRPr="0020117E" w:rsidR="0048007E">
        <w:rPr>
          <w:iCs/>
        </w:rPr>
        <w:t>,</w:t>
      </w:r>
      <w:r w:rsidRPr="0020117E" w:rsidR="001B5874">
        <w:rPr>
          <w:iCs/>
        </w:rPr>
        <w:t xml:space="preserve"> </w:t>
      </w:r>
      <w:r w:rsidRPr="0020117E" w:rsidR="00A75219">
        <w:rPr>
          <w:iCs/>
        </w:rPr>
        <w:t>with respect to eligibility for pension</w:t>
      </w:r>
      <w:r w:rsidRPr="0020117E" w:rsidR="00A815C1">
        <w:rPr>
          <w:iCs/>
        </w:rPr>
        <w:t>s</w:t>
      </w:r>
      <w:r w:rsidRPr="0020117E" w:rsidR="0048007E">
        <w:rPr>
          <w:iCs/>
        </w:rPr>
        <w:t>,</w:t>
      </w:r>
      <w:r w:rsidRPr="0020117E" w:rsidR="00A75219">
        <w:rPr>
          <w:iCs/>
        </w:rPr>
        <w:t xml:space="preserve"> </w:t>
      </w:r>
      <w:r w:rsidRPr="0020117E" w:rsidR="001B5874">
        <w:rPr>
          <w:iCs/>
        </w:rPr>
        <w:t>between the active military personnel of the former YPA who joined the Territorial Defence and the ones, like the applicant, who did not.</w:t>
      </w:r>
    </w:p>
    <w:p w:rsidRPr="0020117E" w:rsidR="00764A23" w:rsidP="0020117E" w:rsidRDefault="0052509C">
      <w:pPr>
        <w:pStyle w:val="ECHRPara"/>
      </w:pPr>
      <w:r w:rsidRPr="0020117E">
        <w:fldChar w:fldCharType="begin"/>
      </w:r>
      <w:r w:rsidRPr="0020117E">
        <w:instrText xml:space="preserve"> SEQ level0 \*arabic </w:instrText>
      </w:r>
      <w:r w:rsidRPr="0020117E">
        <w:fldChar w:fldCharType="separate"/>
      </w:r>
      <w:r w:rsidRPr="0020117E" w:rsidR="0020117E">
        <w:rPr>
          <w:noProof/>
        </w:rPr>
        <w:t>41</w:t>
      </w:r>
      <w:r w:rsidRPr="0020117E">
        <w:fldChar w:fldCharType="end"/>
      </w:r>
      <w:r w:rsidRPr="0020117E">
        <w:t xml:space="preserve">.  As regards the </w:t>
      </w:r>
      <w:r w:rsidRPr="0020117E" w:rsidR="00764A23">
        <w:t>Government</w:t>
      </w:r>
      <w:r w:rsidRPr="0020117E" w:rsidR="0020117E">
        <w:t>’</w:t>
      </w:r>
      <w:r w:rsidRPr="0020117E" w:rsidR="00764A23">
        <w:t>s argument</w:t>
      </w:r>
      <w:r w:rsidRPr="0020117E">
        <w:t xml:space="preserve"> that the applicant</w:t>
      </w:r>
      <w:r w:rsidRPr="0020117E" w:rsidR="0020117E">
        <w:t>’</w:t>
      </w:r>
      <w:r w:rsidRPr="0020117E">
        <w:t xml:space="preserve">s rights </w:t>
      </w:r>
      <w:r w:rsidRPr="0020117E" w:rsidR="000F2BCE">
        <w:t xml:space="preserve">had been </w:t>
      </w:r>
      <w:r w:rsidRPr="0020117E" w:rsidR="00A261CD">
        <w:t xml:space="preserve">the </w:t>
      </w:r>
      <w:r w:rsidRPr="0020117E">
        <w:t>subject of succession negotiations</w:t>
      </w:r>
      <w:r w:rsidRPr="0020117E" w:rsidR="001B5874">
        <w:t xml:space="preserve"> (see paragraph </w:t>
      </w:r>
      <w:r w:rsidRPr="0020117E" w:rsidR="006C73EC">
        <w:fldChar w:fldCharType="begin"/>
      </w:r>
      <w:r w:rsidRPr="0020117E" w:rsidR="006C73EC">
        <w:instrText xml:space="preserve"> REF GOVsuccession \h </w:instrText>
      </w:r>
      <w:r w:rsidRPr="0020117E" w:rsidR="006C73EC">
        <w:fldChar w:fldCharType="separate"/>
      </w:r>
      <w:r w:rsidRPr="0020117E" w:rsidR="0020117E">
        <w:rPr>
          <w:noProof/>
        </w:rPr>
        <w:t>34</w:t>
      </w:r>
      <w:r w:rsidRPr="0020117E" w:rsidR="006C73EC">
        <w:fldChar w:fldCharType="end"/>
      </w:r>
      <w:r w:rsidRPr="0020117E" w:rsidR="001B5874">
        <w:t xml:space="preserve"> above)</w:t>
      </w:r>
      <w:r w:rsidRPr="0020117E" w:rsidR="00764A23">
        <w:t xml:space="preserve">, the Court </w:t>
      </w:r>
      <w:r w:rsidRPr="0020117E" w:rsidR="00F86427">
        <w:t xml:space="preserve">reiterates that Slovenia cannot be absolved of its responsibility under Article 14 of the Convention on the grounds that the matter at that time was not regulated by a succession agreement (see </w:t>
      </w:r>
      <w:r w:rsidRPr="0020117E" w:rsidR="00764A23">
        <w:rPr>
          <w:i/>
        </w:rPr>
        <w:t>Ribać</w:t>
      </w:r>
      <w:r w:rsidRPr="0020117E" w:rsidR="00F86427">
        <w:t>,</w:t>
      </w:r>
      <w:r w:rsidRPr="0020117E" w:rsidR="00764A23">
        <w:t xml:space="preserve"> cited above, §</w:t>
      </w:r>
      <w:r w:rsidRPr="0020117E" w:rsidR="00F86427">
        <w:t> </w:t>
      </w:r>
      <w:r w:rsidRPr="0020117E" w:rsidR="00764A23">
        <w:t>65).</w:t>
      </w:r>
    </w:p>
    <w:p w:rsidRPr="0020117E" w:rsidR="00FE2117" w:rsidP="0020117E" w:rsidRDefault="00E7333B">
      <w:pPr>
        <w:pStyle w:val="ECHRPara"/>
      </w:pPr>
      <w:r w:rsidRPr="0020117E">
        <w:fldChar w:fldCharType="begin"/>
      </w:r>
      <w:r w:rsidRPr="0020117E">
        <w:instrText xml:space="preserve"> SEQ level0 \*arabic </w:instrText>
      </w:r>
      <w:r w:rsidRPr="0020117E">
        <w:fldChar w:fldCharType="separate"/>
      </w:r>
      <w:r w:rsidRPr="0020117E" w:rsidR="0020117E">
        <w:rPr>
          <w:noProof/>
        </w:rPr>
        <w:t>42</w:t>
      </w:r>
      <w:r w:rsidRPr="0020117E">
        <w:fldChar w:fldCharType="end"/>
      </w:r>
      <w:r w:rsidRPr="0020117E">
        <w:t>.  </w:t>
      </w:r>
      <w:r w:rsidRPr="0020117E" w:rsidR="001B5874">
        <w:t xml:space="preserve">With respect to the differences in the retroactive application of </w:t>
      </w:r>
      <w:r w:rsidRPr="0020117E" w:rsidR="0092086B">
        <w:t>section </w:t>
      </w:r>
      <w:r w:rsidRPr="0020117E" w:rsidR="00F86427">
        <w:t xml:space="preserve">15 of </w:t>
      </w:r>
      <w:r w:rsidRPr="0020117E" w:rsidR="001B5874">
        <w:t xml:space="preserve">the amended 1998 Act </w:t>
      </w:r>
      <w:r w:rsidRPr="0020117E" w:rsidR="00F86427">
        <w:t>(</w:t>
      </w:r>
      <w:r w:rsidRPr="0020117E" w:rsidR="001B5874">
        <w:t xml:space="preserve">see paragraph </w:t>
      </w:r>
      <w:r w:rsidRPr="0020117E" w:rsidR="001B5874">
        <w:fldChar w:fldCharType="begin"/>
      </w:r>
      <w:r w:rsidRPr="0020117E" w:rsidR="001B5874">
        <w:instrText xml:space="preserve"> REF section15 \h  \* MERGEFORMAT </w:instrText>
      </w:r>
      <w:r w:rsidRPr="0020117E" w:rsidR="001B5874">
        <w:fldChar w:fldCharType="separate"/>
      </w:r>
      <w:r w:rsidRPr="0020117E" w:rsidR="0020117E">
        <w:t>23</w:t>
      </w:r>
      <w:r w:rsidRPr="0020117E" w:rsidR="001B5874">
        <w:fldChar w:fldCharType="end"/>
      </w:r>
      <w:r w:rsidRPr="0020117E" w:rsidR="001B5874">
        <w:t xml:space="preserve"> above), the Court notes that apart from relying on domestic legal obligations</w:t>
      </w:r>
      <w:r w:rsidRPr="0020117E" w:rsidR="009030F9">
        <w:t xml:space="preserve"> relating to State succession</w:t>
      </w:r>
      <w:r w:rsidRPr="0020117E" w:rsidR="006C73EC">
        <w:t xml:space="preserve"> (see paragraph </w:t>
      </w:r>
      <w:r w:rsidRPr="0020117E" w:rsidR="006C73EC">
        <w:fldChar w:fldCharType="begin"/>
      </w:r>
      <w:r w:rsidRPr="0020117E" w:rsidR="006C73EC">
        <w:instrText xml:space="preserve"> REF GOVsuccession \h </w:instrText>
      </w:r>
      <w:r w:rsidRPr="0020117E" w:rsidR="006C73EC">
        <w:fldChar w:fldCharType="separate"/>
      </w:r>
      <w:r w:rsidRPr="0020117E" w:rsidR="0020117E">
        <w:rPr>
          <w:noProof/>
        </w:rPr>
        <w:t>34</w:t>
      </w:r>
      <w:r w:rsidRPr="0020117E" w:rsidR="006C73EC">
        <w:fldChar w:fldCharType="end"/>
      </w:r>
      <w:r w:rsidRPr="0020117E" w:rsidR="006C73EC">
        <w:t xml:space="preserve"> above)</w:t>
      </w:r>
      <w:r w:rsidRPr="0020117E" w:rsidR="001B5874">
        <w:t>,</w:t>
      </w:r>
      <w:r w:rsidRPr="0020117E" w:rsidR="005206B3">
        <w:t xml:space="preserve"> the Government</w:t>
      </w:r>
      <w:r w:rsidRPr="0020117E" w:rsidR="001B5874">
        <w:t xml:space="preserve"> advanced no reasons for differential treatment</w:t>
      </w:r>
      <w:r w:rsidRPr="0020117E" w:rsidR="00B7182A">
        <w:t xml:space="preserve"> </w:t>
      </w:r>
      <w:r w:rsidRPr="0020117E" w:rsidR="005206B3">
        <w:t>to be</w:t>
      </w:r>
      <w:r w:rsidRPr="0020117E" w:rsidR="00B7182A">
        <w:t xml:space="preserve"> given</w:t>
      </w:r>
      <w:r w:rsidRPr="0020117E" w:rsidR="001B5874">
        <w:t xml:space="preserve"> on the grounds of citizenship acquired under section 40 of</w:t>
      </w:r>
      <w:r w:rsidRPr="0020117E" w:rsidR="00FE2117">
        <w:t xml:space="preserve"> the Citizenship Act</w:t>
      </w:r>
      <w:r w:rsidRPr="0020117E" w:rsidR="00F86427">
        <w:t xml:space="preserve"> and, like in the applicant</w:t>
      </w:r>
      <w:r w:rsidRPr="0020117E" w:rsidR="0020117E">
        <w:t>’</w:t>
      </w:r>
      <w:r w:rsidRPr="0020117E" w:rsidR="00F86427">
        <w:t>s case, by way of naturalisation</w:t>
      </w:r>
      <w:r w:rsidRPr="0020117E" w:rsidR="00FE2117">
        <w:t>.</w:t>
      </w:r>
    </w:p>
    <w:p w:rsidRPr="0020117E" w:rsidR="001B5874" w:rsidP="0020117E" w:rsidRDefault="00AC1E4C">
      <w:pPr>
        <w:pStyle w:val="ECHRPara"/>
      </w:pPr>
      <w:r w:rsidRPr="0020117E">
        <w:fldChar w:fldCharType="begin"/>
      </w:r>
      <w:r w:rsidRPr="0020117E">
        <w:instrText xml:space="preserve"> SEQ level0 \*arabic </w:instrText>
      </w:r>
      <w:r w:rsidRPr="0020117E">
        <w:fldChar w:fldCharType="separate"/>
      </w:r>
      <w:r w:rsidRPr="0020117E" w:rsidR="0020117E">
        <w:rPr>
          <w:noProof/>
        </w:rPr>
        <w:t>43</w:t>
      </w:r>
      <w:r w:rsidRPr="0020117E">
        <w:fldChar w:fldCharType="end"/>
      </w:r>
      <w:r w:rsidRPr="0020117E">
        <w:t>.  </w:t>
      </w:r>
      <w:r w:rsidRPr="0020117E" w:rsidR="00FE2117">
        <w:t>Lastly, t</w:t>
      </w:r>
      <w:r w:rsidRPr="0020117E" w:rsidR="001B5874">
        <w:t>he Court cannot accept the Government</w:t>
      </w:r>
      <w:r w:rsidRPr="0020117E" w:rsidR="0020117E">
        <w:t>’</w:t>
      </w:r>
      <w:r w:rsidRPr="0020117E" w:rsidR="001B5874">
        <w:t>s argument that the applicant could have obtained citizenship and the pension rights earlier had he given up</w:t>
      </w:r>
      <w:r w:rsidRPr="0020117E" w:rsidR="00432C69">
        <w:t xml:space="preserve"> his</w:t>
      </w:r>
      <w:r w:rsidRPr="0020117E" w:rsidR="001B5874">
        <w:t xml:space="preserve"> Serbian citizenship</w:t>
      </w:r>
      <w:r w:rsidRPr="0020117E" w:rsidR="004A6F6E">
        <w:t xml:space="preserve"> following his 1999 application for citizenship</w:t>
      </w:r>
      <w:r w:rsidRPr="0020117E" w:rsidR="001B5874">
        <w:t xml:space="preserve"> (see paragraph </w:t>
      </w:r>
      <w:r w:rsidRPr="0020117E" w:rsidR="00D64882">
        <w:fldChar w:fldCharType="begin"/>
      </w:r>
      <w:r w:rsidRPr="0020117E" w:rsidR="00D64882">
        <w:instrText xml:space="preserve"> REF GOVaggression \h </w:instrText>
      </w:r>
      <w:r w:rsidRPr="0020117E" w:rsidR="00D64882">
        <w:fldChar w:fldCharType="separate"/>
      </w:r>
      <w:r w:rsidRPr="0020117E" w:rsidR="0020117E">
        <w:rPr>
          <w:noProof/>
        </w:rPr>
        <w:t>33</w:t>
      </w:r>
      <w:r w:rsidRPr="0020117E" w:rsidR="00D64882">
        <w:fldChar w:fldCharType="end"/>
      </w:r>
      <w:r w:rsidRPr="0020117E" w:rsidR="001B5874">
        <w:t xml:space="preserve"> above). The prohibition of discrimination enshrined in Article 14 of the Convention is meaningful only if, in each particular case, the applicant</w:t>
      </w:r>
      <w:r w:rsidRPr="0020117E" w:rsidR="0020117E">
        <w:t>’</w:t>
      </w:r>
      <w:r w:rsidRPr="0020117E" w:rsidR="001B5874">
        <w:t>s personal situation in relation to the criteria listed in that provision is taken into account exactly as it stands. To proceed otherwise</w:t>
      </w:r>
      <w:r w:rsidRPr="0020117E" w:rsidR="008742C4">
        <w:t>,</w:t>
      </w:r>
      <w:r w:rsidRPr="0020117E" w:rsidR="001B5874">
        <w:t xml:space="preserve"> </w:t>
      </w:r>
      <w:r w:rsidRPr="0020117E" w:rsidR="008742C4">
        <w:t>by</w:t>
      </w:r>
      <w:r w:rsidRPr="0020117E" w:rsidR="001B5874">
        <w:t xml:space="preserve"> dismissing the victim</w:t>
      </w:r>
      <w:r w:rsidRPr="0020117E" w:rsidR="0020117E">
        <w:t>’</w:t>
      </w:r>
      <w:r w:rsidRPr="0020117E" w:rsidR="001B5874">
        <w:t>s claims on the ground that he or she could have avoided the discrimination by altering one of the factors in question – for example, by acquiring a nationality – would render Article</w:t>
      </w:r>
      <w:r w:rsidRPr="0020117E" w:rsidR="00196624">
        <w:t> </w:t>
      </w:r>
      <w:r w:rsidRPr="0020117E" w:rsidR="001B5874">
        <w:t xml:space="preserve">14 devoid of substance (see </w:t>
      </w:r>
      <w:r w:rsidRPr="0020117E" w:rsidR="001B5874">
        <w:rPr>
          <w:i/>
        </w:rPr>
        <w:t>Andrejeva</w:t>
      </w:r>
      <w:r w:rsidRPr="0020117E" w:rsidR="001B5874">
        <w:t>, cited above</w:t>
      </w:r>
      <w:r w:rsidRPr="0020117E" w:rsidR="004A6F6E">
        <w:t>,</w:t>
      </w:r>
      <w:r w:rsidRPr="0020117E" w:rsidR="001B5874">
        <w:t xml:space="preserve"> </w:t>
      </w:r>
      <w:r w:rsidRPr="0020117E" w:rsidR="004A6F6E">
        <w:t>§</w:t>
      </w:r>
      <w:r w:rsidRPr="0020117E">
        <w:t xml:space="preserve"> </w:t>
      </w:r>
      <w:r w:rsidRPr="0020117E" w:rsidR="004A6F6E">
        <w:t>91</w:t>
      </w:r>
      <w:r w:rsidRPr="0020117E" w:rsidR="001B5874">
        <w:t>).</w:t>
      </w:r>
    </w:p>
    <w:p w:rsidRPr="0020117E" w:rsidR="001B5874" w:rsidP="0020117E" w:rsidRDefault="001B5874">
      <w:pPr>
        <w:pStyle w:val="ECHRPara"/>
      </w:pPr>
      <w:r w:rsidRPr="0020117E">
        <w:fldChar w:fldCharType="begin"/>
      </w:r>
      <w:r w:rsidRPr="0020117E">
        <w:instrText xml:space="preserve"> SEQ level0 \*arabic </w:instrText>
      </w:r>
      <w:r w:rsidRPr="0020117E">
        <w:fldChar w:fldCharType="separate"/>
      </w:r>
      <w:r w:rsidRPr="0020117E" w:rsidR="0020117E">
        <w:rPr>
          <w:noProof/>
        </w:rPr>
        <w:t>44</w:t>
      </w:r>
      <w:r w:rsidRPr="0020117E">
        <w:fldChar w:fldCharType="end"/>
      </w:r>
      <w:r w:rsidRPr="0020117E">
        <w:t xml:space="preserve">.  In the light of the </w:t>
      </w:r>
      <w:r w:rsidRPr="0020117E" w:rsidR="00F86427">
        <w:t>above</w:t>
      </w:r>
      <w:r w:rsidRPr="0020117E">
        <w:t xml:space="preserve">, the Court </w:t>
      </w:r>
      <w:r w:rsidRPr="0020117E" w:rsidR="00F86427">
        <w:t xml:space="preserve">does not see any reasons to depart, in the present case, from its findings in the case of </w:t>
      </w:r>
      <w:r w:rsidRPr="0020117E" w:rsidR="00F86427">
        <w:rPr>
          <w:i/>
        </w:rPr>
        <w:t>Ribać</w:t>
      </w:r>
      <w:r w:rsidRPr="0020117E" w:rsidR="0092086B">
        <w:t xml:space="preserve"> (cited above, §§ 61</w:t>
      </w:r>
      <w:r w:rsidRPr="0020117E" w:rsidR="0092086B">
        <w:noBreakHyphen/>
      </w:r>
      <w:r w:rsidRPr="0020117E" w:rsidR="00F86427">
        <w:t xml:space="preserve">67) and </w:t>
      </w:r>
      <w:r w:rsidRPr="0020117E" w:rsidR="00DB31E5">
        <w:t xml:space="preserve">concludes that the difference in treatment complained of had </w:t>
      </w:r>
      <w:r w:rsidRPr="0020117E" w:rsidR="00F86427">
        <w:t>no objective and reasonable justification</w:t>
      </w:r>
      <w:r w:rsidRPr="0020117E" w:rsidR="00DB31E5">
        <w:t>. There has therefore</w:t>
      </w:r>
      <w:r w:rsidRPr="0020117E">
        <w:t xml:space="preserve"> been a violation of Article 14 of the Convention taken in conjunction with Article</w:t>
      </w:r>
      <w:r w:rsidRPr="0020117E" w:rsidR="00783714">
        <w:t> </w:t>
      </w:r>
      <w:r w:rsidRPr="0020117E">
        <w:t>1 of Protocol No. 1</w:t>
      </w:r>
      <w:r w:rsidRPr="0020117E" w:rsidR="007D7682">
        <w:t>.</w:t>
      </w:r>
    </w:p>
    <w:p w:rsidRPr="0020117E" w:rsidR="00D420F3" w:rsidP="0020117E" w:rsidRDefault="001F2E3A">
      <w:pPr>
        <w:pStyle w:val="ECHRHeading1"/>
      </w:pPr>
      <w:r w:rsidRPr="0020117E">
        <w:t>II</w:t>
      </w:r>
      <w:r w:rsidRPr="0020117E" w:rsidR="0077175D">
        <w:t>.  APPLICATION OF ARTICLE 41 OF THE CONVENTION</w:t>
      </w:r>
    </w:p>
    <w:p w:rsidRPr="0020117E" w:rsidR="00D420F3" w:rsidP="0020117E" w:rsidRDefault="00A66EBC">
      <w:pPr>
        <w:pStyle w:val="ECHRPara"/>
      </w:pPr>
      <w:r w:rsidRPr="0020117E">
        <w:fldChar w:fldCharType="begin"/>
      </w:r>
      <w:r w:rsidRPr="0020117E">
        <w:instrText xml:space="preserve"> SEQ level0 \*arabic </w:instrText>
      </w:r>
      <w:r w:rsidRPr="0020117E">
        <w:fldChar w:fldCharType="separate"/>
      </w:r>
      <w:r w:rsidRPr="0020117E" w:rsidR="0020117E">
        <w:rPr>
          <w:noProof/>
        </w:rPr>
        <w:t>45</w:t>
      </w:r>
      <w:r w:rsidRPr="0020117E">
        <w:fldChar w:fldCharType="end"/>
      </w:r>
      <w:r w:rsidRPr="0020117E" w:rsidR="0077175D">
        <w:t>.  Article 41 of the Convention provides:</w:t>
      </w:r>
    </w:p>
    <w:p w:rsidRPr="0020117E" w:rsidR="00764A23" w:rsidP="0020117E" w:rsidRDefault="0077175D">
      <w:pPr>
        <w:pStyle w:val="ECHRParaQuote"/>
        <w:keepNext/>
        <w:keepLines/>
      </w:pPr>
      <w:r w:rsidRPr="002011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0117E" w:rsidR="00D420F3" w:rsidP="0020117E" w:rsidRDefault="0077175D">
      <w:pPr>
        <w:pStyle w:val="ECHRHeading2"/>
      </w:pPr>
      <w:r w:rsidRPr="0020117E">
        <w:t>A.  Damage</w:t>
      </w:r>
    </w:p>
    <w:p w:rsidRPr="0020117E" w:rsidR="00AC1E4C" w:rsidP="0020117E" w:rsidRDefault="00627C1E">
      <w:pPr>
        <w:pStyle w:val="ECHRPara"/>
      </w:pPr>
      <w:r w:rsidRPr="0020117E">
        <w:fldChar w:fldCharType="begin"/>
      </w:r>
      <w:r w:rsidRPr="0020117E">
        <w:instrText xml:space="preserve"> SEQ level0 \*arabic </w:instrText>
      </w:r>
      <w:r w:rsidRPr="0020117E">
        <w:fldChar w:fldCharType="separate"/>
      </w:r>
      <w:r w:rsidRPr="0020117E" w:rsidR="0020117E">
        <w:rPr>
          <w:noProof/>
        </w:rPr>
        <w:t>46</w:t>
      </w:r>
      <w:r w:rsidRPr="0020117E">
        <w:fldChar w:fldCharType="end"/>
      </w:r>
      <w:r w:rsidRPr="0020117E">
        <w:t>.  </w:t>
      </w:r>
      <w:r w:rsidRPr="0020117E" w:rsidR="0077175D">
        <w:t xml:space="preserve">The applicant claimed </w:t>
      </w:r>
      <w:r w:rsidRPr="0020117E" w:rsidR="00764A23">
        <w:t xml:space="preserve">84,594 euros (EUR) </w:t>
      </w:r>
      <w:r w:rsidRPr="0020117E" w:rsidR="0077175D">
        <w:t xml:space="preserve">in respect of </w:t>
      </w:r>
      <w:r w:rsidRPr="0020117E" w:rsidR="00764A23">
        <w:t>pecuniary damage, corresponding to the outstanding pension instalments between 1</w:t>
      </w:r>
      <w:r w:rsidRPr="0020117E" w:rsidR="001B362A">
        <w:t> </w:t>
      </w:r>
      <w:r w:rsidRPr="0020117E" w:rsidR="00764A23">
        <w:t>May 1992 and 4 February 2003. Referring to domestic statutory default interest rates, he further claimed interest until t</w:t>
      </w:r>
      <w:r w:rsidRPr="0020117E" w:rsidR="00783714">
        <w:t>he date of payment, which on 22 </w:t>
      </w:r>
      <w:r w:rsidRPr="0020117E" w:rsidR="00764A23">
        <w:t>November 2016 amounted to</w:t>
      </w:r>
      <w:r w:rsidRPr="0020117E" w:rsidR="00C52468">
        <w:t xml:space="preserve"> EUR 133,160. The applicant also claimed EUR 50,000 in respect of non-p</w:t>
      </w:r>
      <w:r w:rsidRPr="0020117E" w:rsidR="00AC1E4C">
        <w:t>ecuniary damage.</w:t>
      </w:r>
    </w:p>
    <w:p w:rsidRPr="0020117E" w:rsidR="00C52468" w:rsidP="0020117E" w:rsidRDefault="00627C1E">
      <w:pPr>
        <w:pStyle w:val="ECHRPara"/>
      </w:pPr>
      <w:r w:rsidRPr="0020117E">
        <w:fldChar w:fldCharType="begin"/>
      </w:r>
      <w:r w:rsidRPr="0020117E">
        <w:instrText xml:space="preserve"> SEQ level0 \*arabic </w:instrText>
      </w:r>
      <w:r w:rsidRPr="0020117E">
        <w:fldChar w:fldCharType="separate"/>
      </w:r>
      <w:r w:rsidRPr="0020117E" w:rsidR="0020117E">
        <w:rPr>
          <w:noProof/>
        </w:rPr>
        <w:t>47</w:t>
      </w:r>
      <w:r w:rsidRPr="0020117E">
        <w:fldChar w:fldCharType="end"/>
      </w:r>
      <w:r w:rsidRPr="0020117E">
        <w:t>.  </w:t>
      </w:r>
      <w:r w:rsidRPr="0020117E" w:rsidR="00C52468">
        <w:t xml:space="preserve">The Government disputed the claim for pecuniary damage as excessive. </w:t>
      </w:r>
      <w:r w:rsidRPr="0020117E" w:rsidR="0085073F">
        <w:t>T</w:t>
      </w:r>
      <w:r w:rsidRPr="0020117E" w:rsidR="00C52468">
        <w:t xml:space="preserve">hey maintained that the applicant would have met the age requirement for early </w:t>
      </w:r>
      <w:r w:rsidRPr="0020117E" w:rsidR="00DA5289">
        <w:t xml:space="preserve">retirement </w:t>
      </w:r>
      <w:r w:rsidRPr="0020117E" w:rsidR="00C52468">
        <w:t xml:space="preserve">pension entitlement under </w:t>
      </w:r>
      <w:r w:rsidRPr="0020117E" w:rsidR="00CE06F0">
        <w:t xml:space="preserve">section 2(4) of the 1998 Act on 27 October 1994. </w:t>
      </w:r>
      <w:r w:rsidRPr="0020117E" w:rsidR="00C52468">
        <w:t>They further argued that the exchange rate applied by the applicant had been wrong and that the statutory default interest was excessive. The Government also disputed the claim for non</w:t>
      </w:r>
      <w:r w:rsidRPr="0020117E" w:rsidR="00196624">
        <w:noBreakHyphen/>
      </w:r>
      <w:r w:rsidRPr="0020117E" w:rsidR="00C52468">
        <w:t>pecuniary damage as unjustified and unsubstantiated.</w:t>
      </w:r>
    </w:p>
    <w:p w:rsidRPr="0020117E" w:rsidR="0020561F" w:rsidP="0020117E" w:rsidRDefault="00C52468">
      <w:pPr>
        <w:pStyle w:val="ECHRPara"/>
      </w:pPr>
      <w:r w:rsidRPr="0020117E">
        <w:fldChar w:fldCharType="begin"/>
      </w:r>
      <w:r w:rsidRPr="0020117E">
        <w:instrText xml:space="preserve"> SEQ level0 \*arabic </w:instrText>
      </w:r>
      <w:r w:rsidRPr="0020117E">
        <w:fldChar w:fldCharType="separate"/>
      </w:r>
      <w:r w:rsidRPr="0020117E" w:rsidR="0020117E">
        <w:rPr>
          <w:noProof/>
        </w:rPr>
        <w:t>48</w:t>
      </w:r>
      <w:r w:rsidRPr="0020117E">
        <w:fldChar w:fldCharType="end"/>
      </w:r>
      <w:r w:rsidRPr="0020117E">
        <w:t>.  </w:t>
      </w:r>
      <w:r w:rsidRPr="0020117E" w:rsidR="00D01D8E">
        <w:t xml:space="preserve">The Court reiterates that the principle underlying the provision of just satisfaction is that the applicant should, as far as possible, be put in the position he or she would have enjoyed had the violation of the Convention not occurred. Furthermore, the indispensable condition for making an award in respect of pecuniary damage is the existence of a causal link between the damage alleged and the violation found (see, for instance, </w:t>
      </w:r>
      <w:r w:rsidRPr="0020117E" w:rsidR="00D01D8E">
        <w:rPr>
          <w:i/>
        </w:rPr>
        <w:t>Andrejeva</w:t>
      </w:r>
      <w:r w:rsidRPr="0020117E" w:rsidR="00D01D8E">
        <w:t xml:space="preserve">, cited above, § 111). In the light of the foregoing, the Court awards the applicant EUR 44,853 as compensation for the unpaid pension instalments to which he would have been entitled between October 1994 and February 2003 had the violation of Article 14 not occurred. To this some interest should be added, reflecting the inflation rates since the relevant period (see </w:t>
      </w:r>
      <w:r w:rsidRPr="0020117E" w:rsidR="00D01D8E">
        <w:rPr>
          <w:i/>
        </w:rPr>
        <w:t>Ribać</w:t>
      </w:r>
      <w:r w:rsidRPr="0020117E" w:rsidR="00D01D8E">
        <w:t>, cited above, §</w:t>
      </w:r>
      <w:r w:rsidRPr="0020117E" w:rsidR="0092086B">
        <w:t> </w:t>
      </w:r>
      <w:r w:rsidRPr="0020117E" w:rsidR="00D01D8E">
        <w:t xml:space="preserve">72). It therefore awards him EUR </w:t>
      </w:r>
      <w:r w:rsidRPr="0020117E" w:rsidR="00ED1536">
        <w:t>7</w:t>
      </w:r>
      <w:r w:rsidRPr="0020117E" w:rsidR="00D01D8E">
        <w:t>0,000 in respect of the pecuniary damage sustained.</w:t>
      </w:r>
    </w:p>
    <w:p w:rsidRPr="0020117E" w:rsidR="00C52468" w:rsidP="0020117E" w:rsidRDefault="00CD6386">
      <w:pPr>
        <w:pStyle w:val="ECHRPara"/>
      </w:pPr>
      <w:r w:rsidRPr="0020117E">
        <w:fldChar w:fldCharType="begin"/>
      </w:r>
      <w:r w:rsidRPr="0020117E">
        <w:instrText xml:space="preserve"> SEQ level0 \*arabic </w:instrText>
      </w:r>
      <w:r w:rsidRPr="0020117E">
        <w:fldChar w:fldCharType="separate"/>
      </w:r>
      <w:r w:rsidRPr="0020117E" w:rsidR="0020117E">
        <w:rPr>
          <w:noProof/>
        </w:rPr>
        <w:t>49</w:t>
      </w:r>
      <w:r w:rsidRPr="0020117E">
        <w:fldChar w:fldCharType="end"/>
      </w:r>
      <w:r w:rsidRPr="0020117E" w:rsidR="00C52468">
        <w:t>.  Making its assessment on an equitable basis, the Court</w:t>
      </w:r>
      <w:r w:rsidRPr="0020117E" w:rsidR="00C86799">
        <w:t xml:space="preserve"> also</w:t>
      </w:r>
      <w:r w:rsidRPr="0020117E" w:rsidR="00C52468">
        <w:t xml:space="preserve"> awards the applicant EUR 5,000 </w:t>
      </w:r>
      <w:r w:rsidRPr="0020117E" w:rsidR="001D4D01">
        <w:t xml:space="preserve">in respect of </w:t>
      </w:r>
      <w:r w:rsidRPr="0020117E" w:rsidR="00C52468">
        <w:t>non-pecuniary damage, plus any tax that may be chargeable on that amount</w:t>
      </w:r>
      <w:r w:rsidRPr="0020117E" w:rsidR="00D01D8E">
        <w:t xml:space="preserve"> (see </w:t>
      </w:r>
      <w:r w:rsidRPr="0020117E" w:rsidR="00D01D8E">
        <w:rPr>
          <w:i/>
        </w:rPr>
        <w:t>Ribać</w:t>
      </w:r>
      <w:r w:rsidRPr="0020117E" w:rsidR="00D01D8E">
        <w:t>, cited above, § 73)</w:t>
      </w:r>
      <w:r w:rsidRPr="0020117E" w:rsidR="00C52468">
        <w:t>.</w:t>
      </w:r>
    </w:p>
    <w:p w:rsidRPr="0020117E" w:rsidR="00D420F3" w:rsidP="0020117E" w:rsidRDefault="0077175D">
      <w:pPr>
        <w:pStyle w:val="ECHRHeading2"/>
      </w:pPr>
      <w:r w:rsidRPr="0020117E">
        <w:t>B.  Costs and expenses</w:t>
      </w:r>
    </w:p>
    <w:p w:rsidRPr="0020117E" w:rsidR="00D90DE0" w:rsidP="0020117E" w:rsidRDefault="00C0090D">
      <w:pPr>
        <w:pStyle w:val="ECHRPara"/>
      </w:pPr>
      <w:r w:rsidRPr="0020117E">
        <w:fldChar w:fldCharType="begin"/>
      </w:r>
      <w:r w:rsidRPr="0020117E">
        <w:instrText xml:space="preserve"> SEQ level0 \*arabic </w:instrText>
      </w:r>
      <w:r w:rsidRPr="0020117E">
        <w:fldChar w:fldCharType="separate"/>
      </w:r>
      <w:r w:rsidRPr="0020117E" w:rsidR="0020117E">
        <w:rPr>
          <w:noProof/>
        </w:rPr>
        <w:t>50</w:t>
      </w:r>
      <w:r w:rsidRPr="0020117E">
        <w:fldChar w:fldCharType="end"/>
      </w:r>
      <w:r w:rsidRPr="0020117E">
        <w:t>.  </w:t>
      </w:r>
      <w:r w:rsidRPr="0020117E" w:rsidR="00C52468">
        <w:t xml:space="preserve">The applicant also claimed EUR 3,420 for the costs and expenses incurred before the domestic courts and before </w:t>
      </w:r>
      <w:r w:rsidRPr="0020117E" w:rsidR="00C86799">
        <w:t xml:space="preserve">the </w:t>
      </w:r>
      <w:r w:rsidRPr="0020117E" w:rsidR="00C52468">
        <w:t>Court.</w:t>
      </w:r>
    </w:p>
    <w:p w:rsidRPr="0020117E" w:rsidR="00D90DE0" w:rsidP="0020117E" w:rsidRDefault="00BF01BB">
      <w:pPr>
        <w:pStyle w:val="ECHRPara"/>
      </w:pPr>
      <w:r w:rsidRPr="0020117E">
        <w:fldChar w:fldCharType="begin"/>
      </w:r>
      <w:r w:rsidRPr="0020117E">
        <w:instrText xml:space="preserve"> SEQ level0 \*arabic </w:instrText>
      </w:r>
      <w:r w:rsidRPr="0020117E">
        <w:fldChar w:fldCharType="separate"/>
      </w:r>
      <w:r w:rsidRPr="0020117E" w:rsidR="0020117E">
        <w:rPr>
          <w:noProof/>
        </w:rPr>
        <w:t>51</w:t>
      </w:r>
      <w:r w:rsidRPr="0020117E">
        <w:fldChar w:fldCharType="end"/>
      </w:r>
      <w:r w:rsidRPr="0020117E">
        <w:t xml:space="preserve">.  The Government </w:t>
      </w:r>
      <w:r w:rsidRPr="0020117E" w:rsidR="00012945">
        <w:t xml:space="preserve">contended that </w:t>
      </w:r>
      <w:r w:rsidRPr="0020117E">
        <w:t>the amount</w:t>
      </w:r>
      <w:r w:rsidRPr="0020117E" w:rsidR="00012945">
        <w:t xml:space="preserve"> was</w:t>
      </w:r>
      <w:r w:rsidRPr="0020117E">
        <w:t xml:space="preserve"> unfounded</w:t>
      </w:r>
      <w:r w:rsidRPr="0020117E" w:rsidR="00C0090D">
        <w:t xml:space="preserve"> and excessive</w:t>
      </w:r>
      <w:r w:rsidRPr="0020117E">
        <w:t>.</w:t>
      </w:r>
    </w:p>
    <w:p w:rsidRPr="0020117E" w:rsidR="00BF01BB" w:rsidP="0020117E" w:rsidRDefault="00FA52EF">
      <w:pPr>
        <w:pStyle w:val="ECHRPara"/>
      </w:pPr>
      <w:r w:rsidRPr="0020117E">
        <w:fldChar w:fldCharType="begin"/>
      </w:r>
      <w:r w:rsidRPr="0020117E">
        <w:instrText xml:space="preserve"> SEQ level0 \*arabic </w:instrText>
      </w:r>
      <w:r w:rsidRPr="0020117E">
        <w:fldChar w:fldCharType="separate"/>
      </w:r>
      <w:r w:rsidRPr="0020117E" w:rsidR="0020117E">
        <w:rPr>
          <w:noProof/>
        </w:rPr>
        <w:t>52</w:t>
      </w:r>
      <w:r w:rsidRPr="0020117E">
        <w:fldChar w:fldCharType="end"/>
      </w:r>
      <w:r w:rsidRPr="0020117E">
        <w:t>.  </w:t>
      </w:r>
      <w:r w:rsidRPr="0020117E" w:rsidR="00C628C5">
        <w:t>In accordance with</w:t>
      </w:r>
      <w:r w:rsidRPr="0020117E">
        <w:t xml:space="preserve"> the Court</w:t>
      </w:r>
      <w:r w:rsidRPr="0020117E" w:rsidR="0020117E">
        <w:t>’</w:t>
      </w:r>
      <w:r w:rsidRPr="0020117E">
        <w:t>s case-law, an applicant is entitled to the reimbursement of costs and expenses only in so far as it has been shown that these have been actually and necessarily incurred and are reasonable as to quantum. Moreover, the Court reiterates that it does not consider itself bound by domestic scales and practices, although it may derive some assistance from them (see</w:t>
      </w:r>
      <w:r w:rsidRPr="0020117E" w:rsidR="00C628C5">
        <w:t>, among many examples,</w:t>
      </w:r>
      <w:r w:rsidRPr="0020117E">
        <w:rPr>
          <w:i/>
          <w:iCs/>
        </w:rPr>
        <w:t xml:space="preserve"> Gaspari v. Slovenia</w:t>
      </w:r>
      <w:r w:rsidRPr="0020117E">
        <w:t>, no.</w:t>
      </w:r>
      <w:r w:rsidRPr="0020117E" w:rsidR="001B362A">
        <w:t> </w:t>
      </w:r>
      <w:r w:rsidRPr="0020117E">
        <w:t>21055/03, §</w:t>
      </w:r>
      <w:r w:rsidRPr="0020117E" w:rsidR="0092086B">
        <w:t> 83, 21 </w:t>
      </w:r>
      <w:r w:rsidRPr="0020117E">
        <w:t>July 2009).</w:t>
      </w:r>
      <w:r w:rsidRPr="0020117E" w:rsidR="00C628C5">
        <w:t xml:space="preserve"> </w:t>
      </w:r>
      <w:r w:rsidRPr="0020117E" w:rsidR="00163598">
        <w:t>R</w:t>
      </w:r>
      <w:r w:rsidRPr="0020117E" w:rsidR="00BF01BB">
        <w:t>egard being had to the documents in its possession and the above criteria, the Court considers it reasonable to award the applicant the entire amount claimed.</w:t>
      </w:r>
    </w:p>
    <w:p w:rsidRPr="0020117E" w:rsidR="00D420F3" w:rsidP="0020117E" w:rsidRDefault="0077175D">
      <w:pPr>
        <w:pStyle w:val="ECHRHeading2"/>
      </w:pPr>
      <w:r w:rsidRPr="0020117E">
        <w:t>C.  Default interest</w:t>
      </w:r>
    </w:p>
    <w:p w:rsidRPr="0020117E" w:rsidR="00D420F3" w:rsidP="0020117E" w:rsidRDefault="00A66EBC">
      <w:pPr>
        <w:pStyle w:val="ECHRPara"/>
      </w:pPr>
      <w:r w:rsidRPr="0020117E">
        <w:fldChar w:fldCharType="begin"/>
      </w:r>
      <w:r w:rsidRPr="0020117E">
        <w:instrText xml:space="preserve"> SEQ level0 \*arabic </w:instrText>
      </w:r>
      <w:r w:rsidRPr="0020117E">
        <w:fldChar w:fldCharType="separate"/>
      </w:r>
      <w:r w:rsidRPr="0020117E" w:rsidR="0020117E">
        <w:rPr>
          <w:noProof/>
        </w:rPr>
        <w:t>53</w:t>
      </w:r>
      <w:r w:rsidRPr="0020117E">
        <w:fldChar w:fldCharType="end"/>
      </w:r>
      <w:r w:rsidRPr="0020117E" w:rsidR="0077175D">
        <w:t>.  The Court considers it appropriate that the default interest rate should be based on the marginal lending rate of the European Central Bank, to which should be added three percentage points.</w:t>
      </w:r>
    </w:p>
    <w:p w:rsidRPr="0020117E" w:rsidR="00D420F3" w:rsidP="0020117E" w:rsidRDefault="0077175D">
      <w:pPr>
        <w:pStyle w:val="ECHRTitle1"/>
      </w:pPr>
      <w:r w:rsidRPr="0020117E">
        <w:t>FOR THESE REASONS, THE COURT</w:t>
      </w:r>
      <w:r w:rsidRPr="0020117E" w:rsidR="00A66EBC">
        <w:t>, UNANIMOUSLY,</w:t>
      </w:r>
    </w:p>
    <w:p w:rsidRPr="0020117E" w:rsidR="00D420F3" w:rsidP="0020117E" w:rsidRDefault="0077175D">
      <w:pPr>
        <w:pStyle w:val="JuList"/>
      </w:pPr>
      <w:r w:rsidRPr="0020117E">
        <w:t>1.  </w:t>
      </w:r>
      <w:r w:rsidRPr="0020117E">
        <w:rPr>
          <w:i/>
        </w:rPr>
        <w:t>Declares</w:t>
      </w:r>
      <w:r w:rsidRPr="0020117E">
        <w:rPr>
          <w:color w:val="000000"/>
        </w:rPr>
        <w:t xml:space="preserve"> </w:t>
      </w:r>
      <w:r w:rsidRPr="0020117E">
        <w:t xml:space="preserve">the </w:t>
      </w:r>
      <w:r w:rsidRPr="0020117E" w:rsidR="00A66EBC">
        <w:t>a</w:t>
      </w:r>
      <w:r w:rsidRPr="0020117E" w:rsidR="002A4B36">
        <w:t>pplic</w:t>
      </w:r>
      <w:r w:rsidRPr="0020117E" w:rsidR="00457C96">
        <w:t>ation</w:t>
      </w:r>
      <w:r w:rsidRPr="0020117E" w:rsidR="00BB57A6">
        <w:t xml:space="preserve"> </w:t>
      </w:r>
      <w:r w:rsidRPr="0020117E">
        <w:t>admissible;</w:t>
      </w:r>
    </w:p>
    <w:p w:rsidRPr="0020117E" w:rsidR="00053442" w:rsidP="0020117E" w:rsidRDefault="00053442">
      <w:pPr>
        <w:pStyle w:val="JuList"/>
      </w:pPr>
    </w:p>
    <w:p w:rsidRPr="0020117E" w:rsidR="00053442" w:rsidP="0020117E" w:rsidRDefault="00053442">
      <w:pPr>
        <w:pStyle w:val="JuList"/>
      </w:pPr>
      <w:r w:rsidRPr="0020117E">
        <w:t>2.  </w:t>
      </w:r>
      <w:r w:rsidRPr="0020117E">
        <w:rPr>
          <w:i/>
        </w:rPr>
        <w:t>Holds</w:t>
      </w:r>
      <w:r w:rsidRPr="0020117E">
        <w:rPr>
          <w:color w:val="000000"/>
        </w:rPr>
        <w:t xml:space="preserve"> </w:t>
      </w:r>
      <w:r w:rsidRPr="0020117E">
        <w:t>that there has been a violation of Article 14 of the Convention taken in conjunction with Article 1 of Protocol No. 1;</w:t>
      </w:r>
    </w:p>
    <w:p w:rsidRPr="0020117E" w:rsidR="00D420F3" w:rsidP="0020117E" w:rsidRDefault="00D420F3">
      <w:pPr>
        <w:pStyle w:val="JuList"/>
        <w:ind w:left="0" w:firstLine="0"/>
      </w:pPr>
    </w:p>
    <w:p w:rsidRPr="0020117E" w:rsidR="00A66EBC" w:rsidP="0020117E" w:rsidRDefault="00AF57D1">
      <w:pPr>
        <w:pStyle w:val="JuList"/>
        <w:keepNext/>
        <w:keepLines/>
      </w:pPr>
      <w:r w:rsidRPr="0020117E">
        <w:t>3</w:t>
      </w:r>
      <w:r w:rsidRPr="0020117E" w:rsidR="0077175D">
        <w:t>.  </w:t>
      </w:r>
      <w:r w:rsidRPr="0020117E" w:rsidR="0077175D">
        <w:rPr>
          <w:i/>
        </w:rPr>
        <w:t>Holds</w:t>
      </w:r>
    </w:p>
    <w:p w:rsidRPr="0020117E" w:rsidR="00D420F3" w:rsidP="0020117E" w:rsidRDefault="0077175D">
      <w:pPr>
        <w:pStyle w:val="JuLista"/>
        <w:keepNext/>
        <w:keepLines/>
      </w:pPr>
      <w:r w:rsidRPr="0020117E">
        <w:t>(a)  that the respondent State is to pay the applicant, within three months</w:t>
      </w:r>
      <w:r w:rsidRPr="0020117E" w:rsidR="00563D9E">
        <w:t>,</w:t>
      </w:r>
      <w:r w:rsidRPr="0020117E" w:rsidR="00A66EBC">
        <w:t xml:space="preserve"> </w:t>
      </w:r>
      <w:r w:rsidRPr="0020117E">
        <w:t>the following amounts:</w:t>
      </w:r>
    </w:p>
    <w:p w:rsidRPr="0020117E" w:rsidR="00D420F3" w:rsidP="0020117E" w:rsidRDefault="0077175D">
      <w:pPr>
        <w:pStyle w:val="JuListi"/>
        <w:keepNext/>
        <w:keepLines/>
      </w:pPr>
      <w:r w:rsidRPr="0020117E">
        <w:t xml:space="preserve">(i)  EUR </w:t>
      </w:r>
      <w:r w:rsidRPr="0020117E" w:rsidR="00ED1536">
        <w:t>7</w:t>
      </w:r>
      <w:r w:rsidRPr="0020117E" w:rsidR="00034A87">
        <w:t>0,000</w:t>
      </w:r>
      <w:r w:rsidRPr="0020117E">
        <w:t xml:space="preserve"> (</w:t>
      </w:r>
      <w:r w:rsidRPr="0020117E" w:rsidR="00ED1536">
        <w:t xml:space="preserve">seventy </w:t>
      </w:r>
      <w:r w:rsidRPr="0020117E" w:rsidR="00034A87">
        <w:t>thousand</w:t>
      </w:r>
      <w:r w:rsidRPr="0020117E" w:rsidR="00E41C5A">
        <w:t xml:space="preserve"> euros)</w:t>
      </w:r>
      <w:r w:rsidRPr="0020117E">
        <w:t>, plus any tax that may be chargeable,</w:t>
      </w:r>
      <w:r w:rsidRPr="0020117E" w:rsidR="00C02EFA">
        <w:t xml:space="preserve"> </w:t>
      </w:r>
      <w:r w:rsidRPr="0020117E">
        <w:t>in respect of pecuniary damage;</w:t>
      </w:r>
    </w:p>
    <w:p w:rsidRPr="0020117E" w:rsidR="00D420F3" w:rsidP="0020117E" w:rsidRDefault="0077175D">
      <w:pPr>
        <w:pStyle w:val="JuListi"/>
        <w:keepNext/>
        <w:keepLines/>
      </w:pPr>
      <w:r w:rsidRPr="0020117E">
        <w:t xml:space="preserve">(ii)  EUR </w:t>
      </w:r>
      <w:r w:rsidRPr="0020117E" w:rsidR="00C02EFA">
        <w:t>5,000</w:t>
      </w:r>
      <w:r w:rsidRPr="0020117E">
        <w:t xml:space="preserve"> (</w:t>
      </w:r>
      <w:r w:rsidRPr="0020117E" w:rsidR="00C02EFA">
        <w:t>five thousand</w:t>
      </w:r>
      <w:r w:rsidRPr="0020117E">
        <w:t xml:space="preserve"> euros), plus any tax that may be chargeable, in respect of non-pecuniary damage;</w:t>
      </w:r>
    </w:p>
    <w:p w:rsidRPr="0020117E" w:rsidR="00D420F3" w:rsidP="0020117E" w:rsidRDefault="0077175D">
      <w:pPr>
        <w:pStyle w:val="JuListi"/>
        <w:keepNext/>
        <w:keepLines/>
      </w:pPr>
      <w:r w:rsidRPr="0020117E">
        <w:t xml:space="preserve">(iii)  EUR </w:t>
      </w:r>
      <w:r w:rsidRPr="0020117E" w:rsidR="00C02EFA">
        <w:t>3,420</w:t>
      </w:r>
      <w:r w:rsidRPr="0020117E">
        <w:t xml:space="preserve"> (</w:t>
      </w:r>
      <w:r w:rsidRPr="0020117E" w:rsidR="00C02EFA">
        <w:t>three thousand four hundred and twenty</w:t>
      </w:r>
      <w:r w:rsidRPr="0020117E">
        <w:t xml:space="preserve"> euros), plus any tax that may be chargeable to the applicant, in respect of costs and expenses;</w:t>
      </w:r>
    </w:p>
    <w:p w:rsidRPr="0020117E" w:rsidR="00D420F3" w:rsidP="0020117E" w:rsidRDefault="0077175D">
      <w:pPr>
        <w:pStyle w:val="JuLista"/>
        <w:keepNext/>
        <w:keepLines/>
      </w:pPr>
      <w:r w:rsidRPr="0020117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0117E" w:rsidR="00D420F3" w:rsidP="0020117E" w:rsidRDefault="00D420F3">
      <w:pPr>
        <w:pStyle w:val="JuList"/>
      </w:pPr>
    </w:p>
    <w:p w:rsidRPr="0020117E" w:rsidR="00D420F3" w:rsidP="0020117E" w:rsidRDefault="00C02EFA">
      <w:pPr>
        <w:pStyle w:val="JuList"/>
      </w:pPr>
      <w:r w:rsidRPr="0020117E">
        <w:t>4</w:t>
      </w:r>
      <w:r w:rsidRPr="0020117E" w:rsidR="0077175D">
        <w:t>.  </w:t>
      </w:r>
      <w:r w:rsidRPr="0020117E" w:rsidR="0077175D">
        <w:rPr>
          <w:i/>
        </w:rPr>
        <w:t>Dismisses</w:t>
      </w:r>
      <w:r w:rsidRPr="0020117E" w:rsidR="0077175D">
        <w:rPr>
          <w:color w:val="000000"/>
        </w:rPr>
        <w:t xml:space="preserve"> </w:t>
      </w:r>
      <w:r w:rsidRPr="0020117E" w:rsidR="0077175D">
        <w:t>the remainder of the applicant</w:t>
      </w:r>
      <w:r w:rsidRPr="0020117E" w:rsidR="0020117E">
        <w:t>’</w:t>
      </w:r>
      <w:r w:rsidRPr="0020117E" w:rsidR="00A66EBC">
        <w:t>s</w:t>
      </w:r>
      <w:r w:rsidRPr="0020117E" w:rsidR="0077175D">
        <w:t xml:space="preserve"> claim for just satisfaction.</w:t>
      </w:r>
    </w:p>
    <w:p w:rsidRPr="0020117E" w:rsidR="00D420F3" w:rsidP="0020117E" w:rsidRDefault="0077175D">
      <w:pPr>
        <w:pStyle w:val="JuParaLast"/>
      </w:pPr>
      <w:r w:rsidRPr="0020117E">
        <w:t xml:space="preserve">Done in English, and notified in writing on </w:t>
      </w:r>
      <w:r w:rsidRPr="0020117E" w:rsidR="00783714">
        <w:t>19 February 2019</w:t>
      </w:r>
      <w:r w:rsidRPr="0020117E">
        <w:t>, pursuant to Rule 77 §§ 2 and 3 of the Rules of Court.</w:t>
      </w:r>
    </w:p>
    <w:p w:rsidRPr="0020117E" w:rsidR="00D420F3" w:rsidP="0020117E" w:rsidRDefault="0077175D">
      <w:pPr>
        <w:pStyle w:val="JuSigned"/>
        <w:rPr>
          <w:lang w:val="it-IT"/>
        </w:rPr>
      </w:pPr>
      <w:r w:rsidRPr="0020117E">
        <w:tab/>
      </w:r>
      <w:r w:rsidRPr="0020117E" w:rsidR="00A66EBC">
        <w:rPr>
          <w:lang w:val="it-IT"/>
        </w:rPr>
        <w:t>Andrea Tamietti</w:t>
      </w:r>
      <w:r w:rsidRPr="0020117E">
        <w:rPr>
          <w:lang w:val="it-IT"/>
        </w:rPr>
        <w:tab/>
      </w:r>
      <w:r w:rsidRPr="0020117E" w:rsidR="00BC354B">
        <w:rPr>
          <w:lang w:val="it-IT"/>
        </w:rPr>
        <w:t>Georges Ravarani</w:t>
      </w:r>
      <w:r w:rsidRPr="0020117E" w:rsidR="00BF24F0">
        <w:rPr>
          <w:lang w:val="it-IT"/>
        </w:rPr>
        <w:br/>
      </w:r>
      <w:r w:rsidRPr="0020117E">
        <w:rPr>
          <w:lang w:val="it-IT"/>
        </w:rPr>
        <w:tab/>
      </w:r>
      <w:r w:rsidRPr="0020117E" w:rsidR="00A66EBC">
        <w:rPr>
          <w:lang w:val="it-IT"/>
        </w:rPr>
        <w:t xml:space="preserve">Deputy </w:t>
      </w:r>
      <w:r w:rsidRPr="0020117E" w:rsidR="00A66EBC">
        <w:rPr>
          <w:iCs/>
          <w:lang w:val="it-IT"/>
        </w:rPr>
        <w:t>Registrar</w:t>
      </w:r>
      <w:r w:rsidRPr="0020117E">
        <w:rPr>
          <w:lang w:val="it-IT"/>
        </w:rPr>
        <w:tab/>
        <w:t>President</w:t>
      </w:r>
    </w:p>
    <w:p w:rsidRPr="0020117E" w:rsidR="008B2BFD" w:rsidP="0020117E" w:rsidRDefault="008B2BFD">
      <w:pPr>
        <w:pStyle w:val="JuParaLast"/>
        <w:rPr>
          <w:lang w:val="it-IT"/>
        </w:rPr>
      </w:pPr>
    </w:p>
    <w:sectPr w:rsidRPr="0020117E" w:rsidR="008B2BFD" w:rsidSect="00BC354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05B" w:rsidRPr="00D75F10" w:rsidRDefault="002D205B">
      <w:r w:rsidRPr="00D75F10">
        <w:separator/>
      </w:r>
    </w:p>
  </w:endnote>
  <w:endnote w:type="continuationSeparator" w:id="0">
    <w:p w:rsidR="002D205B" w:rsidRPr="00D75F10" w:rsidRDefault="002D205B">
      <w:r w:rsidRPr="00D75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54B" w:rsidRPr="00150BFA" w:rsidRDefault="00BC354B" w:rsidP="0020718E">
    <w:pPr>
      <w:jc w:val="center"/>
    </w:pPr>
    <w:r>
      <w:rPr>
        <w:noProof/>
        <w:lang w:val="en-US" w:eastAsia="ja-JP"/>
      </w:rPr>
      <w:drawing>
        <wp:inline distT="0" distB="0" distL="0" distR="0" wp14:anchorId="53C8CB55" wp14:editId="592D5CA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C354B" w:rsidRDefault="00BC3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05B" w:rsidRPr="00D75F10" w:rsidRDefault="002D205B" w:rsidP="00D420F3">
      <w:r w:rsidRPr="00D75F10">
        <w:separator/>
      </w:r>
    </w:p>
  </w:footnote>
  <w:footnote w:type="continuationSeparator" w:id="0">
    <w:p w:rsidR="002D205B" w:rsidRPr="00D75F10" w:rsidRDefault="002D205B" w:rsidP="00D420F3">
      <w:r w:rsidRPr="00D75F1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205B" w:rsidRPr="00BC354B" w:rsidRDefault="002D205B" w:rsidP="00BC354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54B" w:rsidRPr="00A45145" w:rsidRDefault="00BC354B" w:rsidP="00A45145">
    <w:pPr>
      <w:jc w:val="center"/>
    </w:pPr>
    <w:r>
      <w:rPr>
        <w:noProof/>
        <w:lang w:val="en-US" w:eastAsia="ja-JP"/>
      </w:rPr>
      <w:drawing>
        <wp:inline distT="0" distB="0" distL="0" distR="0" wp14:anchorId="7A2E7AE8" wp14:editId="642E002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05B" w:rsidRPr="00D75F10" w:rsidRDefault="002D20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54B" w:rsidRPr="00D75F10" w:rsidRDefault="00BC354B" w:rsidP="00D420F3">
    <w:pPr>
      <w:pStyle w:val="ECHRHeader"/>
    </w:pPr>
    <w:r w:rsidRPr="00D75F10">
      <w:rPr>
        <w:rStyle w:val="PageNumber"/>
        <w:szCs w:val="18"/>
      </w:rPr>
      <w:fldChar w:fldCharType="begin"/>
    </w:r>
    <w:r w:rsidRPr="00D75F10">
      <w:rPr>
        <w:rStyle w:val="PageNumber"/>
        <w:szCs w:val="18"/>
      </w:rPr>
      <w:instrText xml:space="preserve"> PAGE </w:instrText>
    </w:r>
    <w:r w:rsidRPr="00D75F10">
      <w:rPr>
        <w:rStyle w:val="PageNumber"/>
        <w:szCs w:val="18"/>
      </w:rPr>
      <w:fldChar w:fldCharType="separate"/>
    </w:r>
    <w:r w:rsidR="0020117E">
      <w:rPr>
        <w:rStyle w:val="PageNumber"/>
        <w:noProof/>
        <w:szCs w:val="18"/>
      </w:rPr>
      <w:t>10</w:t>
    </w:r>
    <w:r w:rsidRPr="00D75F10">
      <w:rPr>
        <w:rStyle w:val="PageNumber"/>
        <w:szCs w:val="18"/>
      </w:rPr>
      <w:fldChar w:fldCharType="end"/>
    </w:r>
    <w:r w:rsidRPr="00D75F10">
      <w:tab/>
      <w:t xml:space="preserve">ALEKSIĆ v. SLOVENIA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54B" w:rsidRPr="00D75F10" w:rsidRDefault="00BC354B" w:rsidP="00D420F3">
    <w:pPr>
      <w:pStyle w:val="ECHRHeader"/>
    </w:pPr>
    <w:r w:rsidRPr="00D75F10">
      <w:tab/>
      <w:t xml:space="preserve">ALEKSIĆ v. SLOVENIA </w:t>
    </w:r>
    <w:r>
      <w:t>JUDGMENT</w:t>
    </w:r>
    <w:r w:rsidRPr="00D75F10">
      <w:tab/>
    </w:r>
    <w:r w:rsidRPr="00D75F10">
      <w:rPr>
        <w:rStyle w:val="PageNumber"/>
        <w:szCs w:val="18"/>
      </w:rPr>
      <w:fldChar w:fldCharType="begin"/>
    </w:r>
    <w:r w:rsidRPr="00D75F10">
      <w:rPr>
        <w:rStyle w:val="PageNumber"/>
        <w:szCs w:val="18"/>
      </w:rPr>
      <w:instrText xml:space="preserve"> PAGE </w:instrText>
    </w:r>
    <w:r w:rsidRPr="00D75F10">
      <w:rPr>
        <w:rStyle w:val="PageNumber"/>
        <w:szCs w:val="18"/>
      </w:rPr>
      <w:fldChar w:fldCharType="separate"/>
    </w:r>
    <w:r w:rsidR="0020117E">
      <w:rPr>
        <w:rStyle w:val="PageNumber"/>
        <w:noProof/>
        <w:szCs w:val="18"/>
      </w:rPr>
      <w:t>9</w:t>
    </w:r>
    <w:r w:rsidRPr="00D75F10">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66EBC"/>
    <w:rsid w:val="0001104E"/>
    <w:rsid w:val="00012945"/>
    <w:rsid w:val="00012CC1"/>
    <w:rsid w:val="000176CA"/>
    <w:rsid w:val="00025A72"/>
    <w:rsid w:val="00030B73"/>
    <w:rsid w:val="00034A87"/>
    <w:rsid w:val="00036BE2"/>
    <w:rsid w:val="00053442"/>
    <w:rsid w:val="00073A26"/>
    <w:rsid w:val="00080C77"/>
    <w:rsid w:val="00081E6A"/>
    <w:rsid w:val="0008476C"/>
    <w:rsid w:val="00085BCF"/>
    <w:rsid w:val="0009601D"/>
    <w:rsid w:val="00096E57"/>
    <w:rsid w:val="000B2D4E"/>
    <w:rsid w:val="000B7388"/>
    <w:rsid w:val="000D7479"/>
    <w:rsid w:val="000F2BCE"/>
    <w:rsid w:val="00101952"/>
    <w:rsid w:val="00101F9E"/>
    <w:rsid w:val="00111106"/>
    <w:rsid w:val="00113832"/>
    <w:rsid w:val="00121BCE"/>
    <w:rsid w:val="00123874"/>
    <w:rsid w:val="0013513F"/>
    <w:rsid w:val="00136B3B"/>
    <w:rsid w:val="00141DA8"/>
    <w:rsid w:val="001424FA"/>
    <w:rsid w:val="00150C1B"/>
    <w:rsid w:val="001526DB"/>
    <w:rsid w:val="00163598"/>
    <w:rsid w:val="00165B6D"/>
    <w:rsid w:val="00173A4F"/>
    <w:rsid w:val="001878F2"/>
    <w:rsid w:val="00190BBF"/>
    <w:rsid w:val="00193BB4"/>
    <w:rsid w:val="00196624"/>
    <w:rsid w:val="001B2A63"/>
    <w:rsid w:val="001B362A"/>
    <w:rsid w:val="001B5874"/>
    <w:rsid w:val="001C0CED"/>
    <w:rsid w:val="001C1D19"/>
    <w:rsid w:val="001C6AE9"/>
    <w:rsid w:val="001D4D01"/>
    <w:rsid w:val="001D69E7"/>
    <w:rsid w:val="001E6BAD"/>
    <w:rsid w:val="001F2E3A"/>
    <w:rsid w:val="001F6990"/>
    <w:rsid w:val="001F7ACF"/>
    <w:rsid w:val="0020117E"/>
    <w:rsid w:val="0020561F"/>
    <w:rsid w:val="00205E79"/>
    <w:rsid w:val="00215A28"/>
    <w:rsid w:val="00215BA9"/>
    <w:rsid w:val="00216764"/>
    <w:rsid w:val="00220D38"/>
    <w:rsid w:val="00221313"/>
    <w:rsid w:val="00221AEE"/>
    <w:rsid w:val="00233BB9"/>
    <w:rsid w:val="0023719B"/>
    <w:rsid w:val="00242492"/>
    <w:rsid w:val="00242517"/>
    <w:rsid w:val="0024578A"/>
    <w:rsid w:val="00253BFE"/>
    <w:rsid w:val="00256598"/>
    <w:rsid w:val="0026120A"/>
    <w:rsid w:val="00271157"/>
    <w:rsid w:val="00275D6D"/>
    <w:rsid w:val="002842EC"/>
    <w:rsid w:val="002A0C8A"/>
    <w:rsid w:val="002A4B36"/>
    <w:rsid w:val="002B05FD"/>
    <w:rsid w:val="002D1144"/>
    <w:rsid w:val="002D205B"/>
    <w:rsid w:val="002D611D"/>
    <w:rsid w:val="002E12B2"/>
    <w:rsid w:val="002F2AAC"/>
    <w:rsid w:val="002F5E51"/>
    <w:rsid w:val="002F5EDD"/>
    <w:rsid w:val="002F7C7B"/>
    <w:rsid w:val="00302D08"/>
    <w:rsid w:val="00304F25"/>
    <w:rsid w:val="00307ED0"/>
    <w:rsid w:val="00311640"/>
    <w:rsid w:val="00315518"/>
    <w:rsid w:val="00331135"/>
    <w:rsid w:val="003412EF"/>
    <w:rsid w:val="0035068C"/>
    <w:rsid w:val="003679B9"/>
    <w:rsid w:val="00370D9D"/>
    <w:rsid w:val="00380312"/>
    <w:rsid w:val="003822F1"/>
    <w:rsid w:val="00386D25"/>
    <w:rsid w:val="003A5F5D"/>
    <w:rsid w:val="003A7F55"/>
    <w:rsid w:val="003B249B"/>
    <w:rsid w:val="003C32D6"/>
    <w:rsid w:val="003E5D06"/>
    <w:rsid w:val="003F4F8C"/>
    <w:rsid w:val="004004A2"/>
    <w:rsid w:val="0040183C"/>
    <w:rsid w:val="00405938"/>
    <w:rsid w:val="0042241C"/>
    <w:rsid w:val="00426091"/>
    <w:rsid w:val="0042782F"/>
    <w:rsid w:val="004317EC"/>
    <w:rsid w:val="00432C69"/>
    <w:rsid w:val="00442204"/>
    <w:rsid w:val="0044605F"/>
    <w:rsid w:val="004476DD"/>
    <w:rsid w:val="00450248"/>
    <w:rsid w:val="0045110E"/>
    <w:rsid w:val="00457706"/>
    <w:rsid w:val="00457C96"/>
    <w:rsid w:val="00461295"/>
    <w:rsid w:val="004639C7"/>
    <w:rsid w:val="004656A7"/>
    <w:rsid w:val="00467C49"/>
    <w:rsid w:val="00476B82"/>
    <w:rsid w:val="0048007E"/>
    <w:rsid w:val="004A2ECE"/>
    <w:rsid w:val="004A6F6E"/>
    <w:rsid w:val="004C3E5E"/>
    <w:rsid w:val="004D029B"/>
    <w:rsid w:val="004D2215"/>
    <w:rsid w:val="004D2D06"/>
    <w:rsid w:val="004D5E5E"/>
    <w:rsid w:val="004D6BE1"/>
    <w:rsid w:val="004E4ECB"/>
    <w:rsid w:val="004E716E"/>
    <w:rsid w:val="005025BB"/>
    <w:rsid w:val="00505CE4"/>
    <w:rsid w:val="00510D10"/>
    <w:rsid w:val="005206B3"/>
    <w:rsid w:val="00522F65"/>
    <w:rsid w:val="0052509C"/>
    <w:rsid w:val="00541A2C"/>
    <w:rsid w:val="005628BC"/>
    <w:rsid w:val="00563D9E"/>
    <w:rsid w:val="00567932"/>
    <w:rsid w:val="0058480F"/>
    <w:rsid w:val="00584AE1"/>
    <w:rsid w:val="005859E5"/>
    <w:rsid w:val="00585B6F"/>
    <w:rsid w:val="005922E3"/>
    <w:rsid w:val="00596A60"/>
    <w:rsid w:val="005A0A60"/>
    <w:rsid w:val="005B2F31"/>
    <w:rsid w:val="005C1593"/>
    <w:rsid w:val="005C183A"/>
    <w:rsid w:val="005C2540"/>
    <w:rsid w:val="005D1F19"/>
    <w:rsid w:val="005D4F92"/>
    <w:rsid w:val="005F6670"/>
    <w:rsid w:val="006143D3"/>
    <w:rsid w:val="00617662"/>
    <w:rsid w:val="00621D57"/>
    <w:rsid w:val="00623771"/>
    <w:rsid w:val="00627668"/>
    <w:rsid w:val="00627C1E"/>
    <w:rsid w:val="00627F7A"/>
    <w:rsid w:val="00630F58"/>
    <w:rsid w:val="00636AC0"/>
    <w:rsid w:val="00652D6F"/>
    <w:rsid w:val="0066277C"/>
    <w:rsid w:val="00663810"/>
    <w:rsid w:val="00680049"/>
    <w:rsid w:val="00682AC1"/>
    <w:rsid w:val="00693FAC"/>
    <w:rsid w:val="006A7E93"/>
    <w:rsid w:val="006C73EC"/>
    <w:rsid w:val="006D36B1"/>
    <w:rsid w:val="007023E8"/>
    <w:rsid w:val="00704CFA"/>
    <w:rsid w:val="00704D3E"/>
    <w:rsid w:val="007109F1"/>
    <w:rsid w:val="00720F50"/>
    <w:rsid w:val="00720F76"/>
    <w:rsid w:val="0072758C"/>
    <w:rsid w:val="0073602C"/>
    <w:rsid w:val="00744F64"/>
    <w:rsid w:val="00747020"/>
    <w:rsid w:val="00753D01"/>
    <w:rsid w:val="00756C2B"/>
    <w:rsid w:val="00761575"/>
    <w:rsid w:val="0076251B"/>
    <w:rsid w:val="00764A23"/>
    <w:rsid w:val="00765121"/>
    <w:rsid w:val="0077041A"/>
    <w:rsid w:val="0077175D"/>
    <w:rsid w:val="0077231E"/>
    <w:rsid w:val="00782AAA"/>
    <w:rsid w:val="00783714"/>
    <w:rsid w:val="00784098"/>
    <w:rsid w:val="0078667C"/>
    <w:rsid w:val="00792D66"/>
    <w:rsid w:val="007976B5"/>
    <w:rsid w:val="007A027F"/>
    <w:rsid w:val="007A69DC"/>
    <w:rsid w:val="007B2D47"/>
    <w:rsid w:val="007B3F73"/>
    <w:rsid w:val="007B63C5"/>
    <w:rsid w:val="007B6431"/>
    <w:rsid w:val="007B7D91"/>
    <w:rsid w:val="007D7682"/>
    <w:rsid w:val="007E21A5"/>
    <w:rsid w:val="007E7252"/>
    <w:rsid w:val="007F3728"/>
    <w:rsid w:val="00805544"/>
    <w:rsid w:val="00805D3F"/>
    <w:rsid w:val="00812CE5"/>
    <w:rsid w:val="00823A4D"/>
    <w:rsid w:val="008345D8"/>
    <w:rsid w:val="00835C14"/>
    <w:rsid w:val="0085073F"/>
    <w:rsid w:val="0085378A"/>
    <w:rsid w:val="00855A7C"/>
    <w:rsid w:val="0085657B"/>
    <w:rsid w:val="00861784"/>
    <w:rsid w:val="00867F69"/>
    <w:rsid w:val="008742C4"/>
    <w:rsid w:val="008857E5"/>
    <w:rsid w:val="00885AD5"/>
    <w:rsid w:val="008B2BFD"/>
    <w:rsid w:val="008C5B9B"/>
    <w:rsid w:val="008D0ACB"/>
    <w:rsid w:val="008D0CAC"/>
    <w:rsid w:val="008D2725"/>
    <w:rsid w:val="008D7021"/>
    <w:rsid w:val="008F7CD1"/>
    <w:rsid w:val="009011B4"/>
    <w:rsid w:val="009030F9"/>
    <w:rsid w:val="00906470"/>
    <w:rsid w:val="009128A4"/>
    <w:rsid w:val="00914D4D"/>
    <w:rsid w:val="0091636B"/>
    <w:rsid w:val="00916F85"/>
    <w:rsid w:val="0092086B"/>
    <w:rsid w:val="009447D4"/>
    <w:rsid w:val="009611C5"/>
    <w:rsid w:val="009618A2"/>
    <w:rsid w:val="00973683"/>
    <w:rsid w:val="009859C5"/>
    <w:rsid w:val="00991E01"/>
    <w:rsid w:val="009A3A9B"/>
    <w:rsid w:val="009C504B"/>
    <w:rsid w:val="009D501F"/>
    <w:rsid w:val="009E64EC"/>
    <w:rsid w:val="009F0A26"/>
    <w:rsid w:val="009F5059"/>
    <w:rsid w:val="00A062F4"/>
    <w:rsid w:val="00A100B6"/>
    <w:rsid w:val="00A10D3D"/>
    <w:rsid w:val="00A11DDC"/>
    <w:rsid w:val="00A175F7"/>
    <w:rsid w:val="00A261CD"/>
    <w:rsid w:val="00A27B6E"/>
    <w:rsid w:val="00A30DDD"/>
    <w:rsid w:val="00A36366"/>
    <w:rsid w:val="00A37584"/>
    <w:rsid w:val="00A57FFA"/>
    <w:rsid w:val="00A6523D"/>
    <w:rsid w:val="00A6563F"/>
    <w:rsid w:val="00A66302"/>
    <w:rsid w:val="00A66EBC"/>
    <w:rsid w:val="00A671E8"/>
    <w:rsid w:val="00A75219"/>
    <w:rsid w:val="00A815C1"/>
    <w:rsid w:val="00A81AEA"/>
    <w:rsid w:val="00A91515"/>
    <w:rsid w:val="00A91710"/>
    <w:rsid w:val="00A95EDD"/>
    <w:rsid w:val="00AA05F5"/>
    <w:rsid w:val="00AA5D82"/>
    <w:rsid w:val="00AB04AB"/>
    <w:rsid w:val="00AB4B49"/>
    <w:rsid w:val="00AC1E4C"/>
    <w:rsid w:val="00AD03AD"/>
    <w:rsid w:val="00AD16D3"/>
    <w:rsid w:val="00AE46F8"/>
    <w:rsid w:val="00AF57D1"/>
    <w:rsid w:val="00B02FF3"/>
    <w:rsid w:val="00B038B7"/>
    <w:rsid w:val="00B07107"/>
    <w:rsid w:val="00B140D4"/>
    <w:rsid w:val="00B314C4"/>
    <w:rsid w:val="00B32511"/>
    <w:rsid w:val="00B36C45"/>
    <w:rsid w:val="00B4636C"/>
    <w:rsid w:val="00B66F9C"/>
    <w:rsid w:val="00B7182A"/>
    <w:rsid w:val="00B727DA"/>
    <w:rsid w:val="00B74FC4"/>
    <w:rsid w:val="00B85744"/>
    <w:rsid w:val="00B90031"/>
    <w:rsid w:val="00B90667"/>
    <w:rsid w:val="00B91E8D"/>
    <w:rsid w:val="00BA1B60"/>
    <w:rsid w:val="00BB18A1"/>
    <w:rsid w:val="00BB57A6"/>
    <w:rsid w:val="00BC20E0"/>
    <w:rsid w:val="00BC354B"/>
    <w:rsid w:val="00BC42FC"/>
    <w:rsid w:val="00BC75B1"/>
    <w:rsid w:val="00BD13EE"/>
    <w:rsid w:val="00BD5CC6"/>
    <w:rsid w:val="00BD6581"/>
    <w:rsid w:val="00BD7DD5"/>
    <w:rsid w:val="00BE1186"/>
    <w:rsid w:val="00BE185F"/>
    <w:rsid w:val="00BF01BB"/>
    <w:rsid w:val="00BF24F0"/>
    <w:rsid w:val="00BF53CD"/>
    <w:rsid w:val="00C0090D"/>
    <w:rsid w:val="00C02EFA"/>
    <w:rsid w:val="00C07A32"/>
    <w:rsid w:val="00C10D06"/>
    <w:rsid w:val="00C146A0"/>
    <w:rsid w:val="00C16B04"/>
    <w:rsid w:val="00C23A41"/>
    <w:rsid w:val="00C243F9"/>
    <w:rsid w:val="00C4116B"/>
    <w:rsid w:val="00C44DE0"/>
    <w:rsid w:val="00C46A68"/>
    <w:rsid w:val="00C52468"/>
    <w:rsid w:val="00C543BA"/>
    <w:rsid w:val="00C548F9"/>
    <w:rsid w:val="00C60DEE"/>
    <w:rsid w:val="00C628C5"/>
    <w:rsid w:val="00C656F6"/>
    <w:rsid w:val="00C706E6"/>
    <w:rsid w:val="00C73EFB"/>
    <w:rsid w:val="00C86799"/>
    <w:rsid w:val="00C94AD0"/>
    <w:rsid w:val="00CA0133"/>
    <w:rsid w:val="00CA27E6"/>
    <w:rsid w:val="00CB20C3"/>
    <w:rsid w:val="00CC3DE3"/>
    <w:rsid w:val="00CC4859"/>
    <w:rsid w:val="00CD6386"/>
    <w:rsid w:val="00CE0295"/>
    <w:rsid w:val="00CE06F0"/>
    <w:rsid w:val="00CE1327"/>
    <w:rsid w:val="00CE5C78"/>
    <w:rsid w:val="00CE5FE2"/>
    <w:rsid w:val="00CF3231"/>
    <w:rsid w:val="00CF576D"/>
    <w:rsid w:val="00CF6A50"/>
    <w:rsid w:val="00D01D8E"/>
    <w:rsid w:val="00D02A4F"/>
    <w:rsid w:val="00D06438"/>
    <w:rsid w:val="00D10FE6"/>
    <w:rsid w:val="00D15D57"/>
    <w:rsid w:val="00D219EC"/>
    <w:rsid w:val="00D33DBC"/>
    <w:rsid w:val="00D420F3"/>
    <w:rsid w:val="00D4481A"/>
    <w:rsid w:val="00D45A39"/>
    <w:rsid w:val="00D5094D"/>
    <w:rsid w:val="00D55F74"/>
    <w:rsid w:val="00D56862"/>
    <w:rsid w:val="00D56DBD"/>
    <w:rsid w:val="00D64882"/>
    <w:rsid w:val="00D70366"/>
    <w:rsid w:val="00D71661"/>
    <w:rsid w:val="00D73102"/>
    <w:rsid w:val="00D75F10"/>
    <w:rsid w:val="00D806D0"/>
    <w:rsid w:val="00D816C7"/>
    <w:rsid w:val="00D82B85"/>
    <w:rsid w:val="00D86637"/>
    <w:rsid w:val="00D90DE0"/>
    <w:rsid w:val="00D9124E"/>
    <w:rsid w:val="00D969DB"/>
    <w:rsid w:val="00D97A39"/>
    <w:rsid w:val="00D97BE9"/>
    <w:rsid w:val="00DA5289"/>
    <w:rsid w:val="00DB31E5"/>
    <w:rsid w:val="00DB4733"/>
    <w:rsid w:val="00DC1332"/>
    <w:rsid w:val="00DC1FB8"/>
    <w:rsid w:val="00DC517E"/>
    <w:rsid w:val="00DD0525"/>
    <w:rsid w:val="00DE564D"/>
    <w:rsid w:val="00E0074C"/>
    <w:rsid w:val="00E02CE1"/>
    <w:rsid w:val="00E03638"/>
    <w:rsid w:val="00E06BFF"/>
    <w:rsid w:val="00E1591C"/>
    <w:rsid w:val="00E15A22"/>
    <w:rsid w:val="00E17782"/>
    <w:rsid w:val="00E21C54"/>
    <w:rsid w:val="00E2312F"/>
    <w:rsid w:val="00E31DD8"/>
    <w:rsid w:val="00E35552"/>
    <w:rsid w:val="00E41C5A"/>
    <w:rsid w:val="00E45A73"/>
    <w:rsid w:val="00E539D1"/>
    <w:rsid w:val="00E66626"/>
    <w:rsid w:val="00E7333B"/>
    <w:rsid w:val="00E73D2C"/>
    <w:rsid w:val="00E802C9"/>
    <w:rsid w:val="00E87134"/>
    <w:rsid w:val="00EA324B"/>
    <w:rsid w:val="00EB4E0B"/>
    <w:rsid w:val="00EC2726"/>
    <w:rsid w:val="00EC59A9"/>
    <w:rsid w:val="00ED1536"/>
    <w:rsid w:val="00ED1D05"/>
    <w:rsid w:val="00EE6F79"/>
    <w:rsid w:val="00EF0F0A"/>
    <w:rsid w:val="00EF17D0"/>
    <w:rsid w:val="00EF6813"/>
    <w:rsid w:val="00F02025"/>
    <w:rsid w:val="00F04DD9"/>
    <w:rsid w:val="00F101CA"/>
    <w:rsid w:val="00F10CD4"/>
    <w:rsid w:val="00F11D8F"/>
    <w:rsid w:val="00F22BDF"/>
    <w:rsid w:val="00F321A3"/>
    <w:rsid w:val="00F33781"/>
    <w:rsid w:val="00F53F91"/>
    <w:rsid w:val="00F62D54"/>
    <w:rsid w:val="00F65A97"/>
    <w:rsid w:val="00F7444B"/>
    <w:rsid w:val="00F74E5F"/>
    <w:rsid w:val="00F86427"/>
    <w:rsid w:val="00F9342E"/>
    <w:rsid w:val="00F972DB"/>
    <w:rsid w:val="00FA48E0"/>
    <w:rsid w:val="00FA4F8F"/>
    <w:rsid w:val="00FA4F97"/>
    <w:rsid w:val="00FA5282"/>
    <w:rsid w:val="00FA52EF"/>
    <w:rsid w:val="00FA6340"/>
    <w:rsid w:val="00FB07F3"/>
    <w:rsid w:val="00FC06B2"/>
    <w:rsid w:val="00FC171D"/>
    <w:rsid w:val="00FD0BE5"/>
    <w:rsid w:val="00FD5F78"/>
    <w:rsid w:val="00FE2117"/>
    <w:rsid w:val="00FE3E77"/>
    <w:rsid w:val="00FF5D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83714"/>
    <w:pPr>
      <w:jc w:val="both"/>
    </w:pPr>
    <w:rPr>
      <w:rFonts w:eastAsiaTheme="minorEastAsia"/>
      <w:sz w:val="24"/>
      <w:lang w:val="en-GB"/>
    </w:rPr>
  </w:style>
  <w:style w:type="paragraph" w:styleId="Heading1">
    <w:name w:val="heading 1"/>
    <w:basedOn w:val="Normal"/>
    <w:next w:val="Normal"/>
    <w:link w:val="Heading1Char"/>
    <w:uiPriority w:val="99"/>
    <w:semiHidden/>
    <w:rsid w:val="007837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837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8371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8371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8371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8371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8371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8371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8371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3714"/>
    <w:rPr>
      <w:rFonts w:ascii="Tahoma" w:hAnsi="Tahoma" w:cs="Tahoma"/>
      <w:sz w:val="16"/>
      <w:szCs w:val="16"/>
    </w:rPr>
  </w:style>
  <w:style w:type="character" w:customStyle="1" w:styleId="BalloonTextChar">
    <w:name w:val="Balloon Text Char"/>
    <w:basedOn w:val="DefaultParagraphFont"/>
    <w:link w:val="BalloonText"/>
    <w:uiPriority w:val="99"/>
    <w:semiHidden/>
    <w:rsid w:val="00783714"/>
    <w:rPr>
      <w:rFonts w:ascii="Tahoma" w:eastAsiaTheme="minorEastAsia" w:hAnsi="Tahoma" w:cs="Tahoma"/>
      <w:sz w:val="16"/>
      <w:szCs w:val="16"/>
      <w:lang w:val="en-GB"/>
    </w:rPr>
  </w:style>
  <w:style w:type="character" w:styleId="BookTitle">
    <w:name w:val="Book Title"/>
    <w:uiPriority w:val="99"/>
    <w:semiHidden/>
    <w:qFormat/>
    <w:rsid w:val="00783714"/>
    <w:rPr>
      <w:i/>
      <w:iCs/>
      <w:smallCaps/>
      <w:spacing w:val="5"/>
    </w:rPr>
  </w:style>
  <w:style w:type="paragraph" w:customStyle="1" w:styleId="ECHRHeader">
    <w:name w:val="ECHR_Header"/>
    <w:aliases w:val="Ju_Header"/>
    <w:basedOn w:val="Header"/>
    <w:uiPriority w:val="4"/>
    <w:qFormat/>
    <w:rsid w:val="0078371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83714"/>
    <w:pPr>
      <w:jc w:val="left"/>
    </w:pPr>
    <w:rPr>
      <w:sz w:val="8"/>
    </w:rPr>
  </w:style>
  <w:style w:type="character" w:styleId="Strong">
    <w:name w:val="Strong"/>
    <w:uiPriority w:val="99"/>
    <w:semiHidden/>
    <w:qFormat/>
    <w:rsid w:val="00783714"/>
    <w:rPr>
      <w:b/>
      <w:bCs/>
    </w:rPr>
  </w:style>
  <w:style w:type="paragraph" w:styleId="NoSpacing">
    <w:name w:val="No Spacing"/>
    <w:basedOn w:val="Normal"/>
    <w:link w:val="NoSpacingChar"/>
    <w:semiHidden/>
    <w:qFormat/>
    <w:rsid w:val="00783714"/>
    <w:rPr>
      <w:sz w:val="22"/>
      <w:lang w:val="en-US"/>
    </w:rPr>
  </w:style>
  <w:style w:type="character" w:customStyle="1" w:styleId="NoSpacingChar">
    <w:name w:val="No Spacing Char"/>
    <w:basedOn w:val="DefaultParagraphFont"/>
    <w:link w:val="NoSpacing"/>
    <w:semiHidden/>
    <w:rsid w:val="00783714"/>
    <w:rPr>
      <w:rFonts w:eastAsiaTheme="minorEastAsia"/>
    </w:rPr>
  </w:style>
  <w:style w:type="paragraph" w:customStyle="1" w:styleId="ECHRFooterLine">
    <w:name w:val="ECHR_Footer_Line"/>
    <w:aliases w:val="Footer_Line"/>
    <w:basedOn w:val="Normal"/>
    <w:next w:val="ECHRFooter"/>
    <w:uiPriority w:val="57"/>
    <w:semiHidden/>
    <w:rsid w:val="0078371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83714"/>
  </w:style>
  <w:style w:type="paragraph" w:customStyle="1" w:styleId="DecList">
    <w:name w:val="Dec_List"/>
    <w:basedOn w:val="Normal"/>
    <w:uiPriority w:val="9"/>
    <w:semiHidden/>
    <w:qFormat/>
    <w:rsid w:val="00783714"/>
    <w:pPr>
      <w:spacing w:before="240"/>
      <w:ind w:left="284"/>
    </w:pPr>
  </w:style>
  <w:style w:type="paragraph" w:customStyle="1" w:styleId="DummyStyle">
    <w:name w:val="Dummy_Style"/>
    <w:basedOn w:val="Normal"/>
    <w:semiHidden/>
    <w:qFormat/>
    <w:rsid w:val="00783714"/>
    <w:rPr>
      <w:color w:val="00B050"/>
    </w:rPr>
  </w:style>
  <w:style w:type="paragraph" w:customStyle="1" w:styleId="ECHRTitleCentre3">
    <w:name w:val="ECHR_Title_Centre_3"/>
    <w:aliases w:val="Ju_H_Article"/>
    <w:basedOn w:val="Normal"/>
    <w:next w:val="ECHRParaQuote"/>
    <w:uiPriority w:val="27"/>
    <w:qFormat/>
    <w:rsid w:val="0078371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8371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783714"/>
    <w:pPr>
      <w:numPr>
        <w:numId w:val="26"/>
      </w:numPr>
      <w:jc w:val="left"/>
    </w:pPr>
    <w:rPr>
      <w:b/>
    </w:rPr>
  </w:style>
  <w:style w:type="paragraph" w:customStyle="1" w:styleId="JuCourt">
    <w:name w:val="Ju_Court"/>
    <w:basedOn w:val="Normal"/>
    <w:next w:val="Normal"/>
    <w:uiPriority w:val="16"/>
    <w:qFormat/>
    <w:rsid w:val="0078371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8371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783714"/>
    <w:pPr>
      <w:spacing w:after="240"/>
      <w:jc w:val="center"/>
      <w:outlineLvl w:val="0"/>
    </w:pPr>
    <w:rPr>
      <w:rFonts w:asciiTheme="majorHAnsi" w:hAnsiTheme="majorHAnsi"/>
    </w:rPr>
  </w:style>
  <w:style w:type="character" w:customStyle="1" w:styleId="JUNAMES">
    <w:name w:val="JU_NAMES"/>
    <w:uiPriority w:val="17"/>
    <w:qFormat/>
    <w:rsid w:val="00783714"/>
    <w:rPr>
      <w:caps w:val="0"/>
      <w:smallCaps/>
    </w:rPr>
  </w:style>
  <w:style w:type="paragraph" w:styleId="Title">
    <w:name w:val="Title"/>
    <w:basedOn w:val="Normal"/>
    <w:next w:val="Normal"/>
    <w:link w:val="TitleChar"/>
    <w:uiPriority w:val="99"/>
    <w:semiHidden/>
    <w:qFormat/>
    <w:rsid w:val="0078371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8371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8371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8371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8371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8371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83714"/>
    <w:pPr>
      <w:keepNext/>
      <w:keepLines/>
      <w:spacing w:before="240" w:after="120"/>
      <w:ind w:left="1236"/>
    </w:pPr>
    <w:rPr>
      <w:sz w:val="20"/>
      <w:lang w:val="en-GB"/>
    </w:rPr>
  </w:style>
  <w:style w:type="paragraph" w:customStyle="1" w:styleId="JuParaSub">
    <w:name w:val="Ju_Para_Sub"/>
    <w:basedOn w:val="ECHRPara"/>
    <w:uiPriority w:val="13"/>
    <w:qFormat/>
    <w:rsid w:val="00783714"/>
    <w:pPr>
      <w:ind w:left="284"/>
    </w:pPr>
  </w:style>
  <w:style w:type="paragraph" w:customStyle="1" w:styleId="JuQuotSub">
    <w:name w:val="Ju_Quot_Sub"/>
    <w:basedOn w:val="ECHRParaQuote"/>
    <w:uiPriority w:val="15"/>
    <w:qFormat/>
    <w:rsid w:val="00783714"/>
    <w:pPr>
      <w:ind w:left="567"/>
    </w:pPr>
  </w:style>
  <w:style w:type="paragraph" w:customStyle="1" w:styleId="JuTitle">
    <w:name w:val="Ju_Title"/>
    <w:basedOn w:val="Normal"/>
    <w:next w:val="ECHRPara"/>
    <w:uiPriority w:val="3"/>
    <w:semiHidden/>
    <w:qFormat/>
    <w:rsid w:val="00783714"/>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78371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83714"/>
    <w:rPr>
      <w:sz w:val="24"/>
      <w:lang w:val="en-GB"/>
    </w:rPr>
  </w:style>
  <w:style w:type="character" w:customStyle="1" w:styleId="Heading1Char">
    <w:name w:val="Heading 1 Char"/>
    <w:basedOn w:val="DefaultParagraphFont"/>
    <w:link w:val="Heading1"/>
    <w:uiPriority w:val="99"/>
    <w:semiHidden/>
    <w:rsid w:val="0078371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8371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8371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83714"/>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783714"/>
    <w:pPr>
      <w:ind w:left="635" w:hanging="357"/>
      <w:outlineLvl w:val="2"/>
    </w:pPr>
  </w:style>
  <w:style w:type="paragraph" w:customStyle="1" w:styleId="JuCase">
    <w:name w:val="Ju_Case"/>
    <w:basedOn w:val="Normal"/>
    <w:next w:val="ECHRPara"/>
    <w:uiPriority w:val="10"/>
    <w:rsid w:val="00783714"/>
    <w:pPr>
      <w:ind w:firstLine="284"/>
    </w:pPr>
    <w:rPr>
      <w:b/>
    </w:rPr>
  </w:style>
  <w:style w:type="character" w:customStyle="1" w:styleId="Heading3Char">
    <w:name w:val="Heading 3 Char"/>
    <w:basedOn w:val="DefaultParagraphFont"/>
    <w:link w:val="Heading3"/>
    <w:uiPriority w:val="99"/>
    <w:semiHidden/>
    <w:rsid w:val="0078371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78371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83714"/>
    <w:rPr>
      <w:rFonts w:asciiTheme="majorHAnsi" w:eastAsiaTheme="majorEastAsia" w:hAnsiTheme="majorHAnsi" w:cstheme="majorBidi"/>
      <w:b/>
      <w:bCs/>
      <w:color w:val="808080"/>
    </w:rPr>
  </w:style>
  <w:style w:type="character" w:styleId="SubtleEmphasis">
    <w:name w:val="Subtle Emphasis"/>
    <w:uiPriority w:val="99"/>
    <w:semiHidden/>
    <w:qFormat/>
    <w:rsid w:val="0078371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83714"/>
    <w:pPr>
      <w:keepNext/>
      <w:keepLines/>
      <w:spacing w:before="720" w:after="240"/>
      <w:outlineLvl w:val="0"/>
    </w:pPr>
    <w:rPr>
      <w:rFonts w:asciiTheme="majorHAnsi" w:hAnsiTheme="majorHAnsi"/>
      <w:sz w:val="28"/>
    </w:rPr>
  </w:style>
  <w:style w:type="character" w:styleId="Emphasis">
    <w:name w:val="Emphasis"/>
    <w:uiPriority w:val="99"/>
    <w:semiHidden/>
    <w:qFormat/>
    <w:rsid w:val="00783714"/>
    <w:rPr>
      <w:b/>
      <w:bCs/>
      <w:i/>
      <w:iCs/>
      <w:spacing w:val="10"/>
      <w:bdr w:val="none" w:sz="0" w:space="0" w:color="auto"/>
      <w:shd w:val="clear" w:color="auto" w:fill="auto"/>
    </w:rPr>
  </w:style>
  <w:style w:type="paragraph" w:styleId="Footer">
    <w:name w:val="footer"/>
    <w:basedOn w:val="Normal"/>
    <w:link w:val="FooterChar"/>
    <w:uiPriority w:val="57"/>
    <w:semiHidden/>
    <w:rsid w:val="0078371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83714"/>
    <w:rPr>
      <w:sz w:val="24"/>
      <w:lang w:val="en-GB"/>
    </w:rPr>
  </w:style>
  <w:style w:type="character" w:styleId="FootnoteReference">
    <w:name w:val="footnote reference"/>
    <w:basedOn w:val="DefaultParagraphFont"/>
    <w:uiPriority w:val="99"/>
    <w:semiHidden/>
    <w:rsid w:val="00783714"/>
    <w:rPr>
      <w:vertAlign w:val="superscript"/>
    </w:rPr>
  </w:style>
  <w:style w:type="paragraph" w:styleId="FootnoteText">
    <w:name w:val="footnote text"/>
    <w:basedOn w:val="Normal"/>
    <w:link w:val="FootnoteTextChar"/>
    <w:uiPriority w:val="99"/>
    <w:semiHidden/>
    <w:rsid w:val="00783714"/>
    <w:rPr>
      <w:sz w:val="20"/>
      <w:szCs w:val="20"/>
    </w:rPr>
  </w:style>
  <w:style w:type="character" w:customStyle="1" w:styleId="FootnoteTextChar">
    <w:name w:val="Footnote Text Char"/>
    <w:basedOn w:val="DefaultParagraphFont"/>
    <w:link w:val="FootnoteText"/>
    <w:uiPriority w:val="99"/>
    <w:semiHidden/>
    <w:rsid w:val="00783714"/>
    <w:rPr>
      <w:rFonts w:eastAsiaTheme="minorEastAsia"/>
      <w:sz w:val="20"/>
      <w:szCs w:val="20"/>
      <w:lang w:val="en-GB"/>
    </w:rPr>
  </w:style>
  <w:style w:type="character" w:customStyle="1" w:styleId="Heading6Char">
    <w:name w:val="Heading 6 Char"/>
    <w:basedOn w:val="DefaultParagraphFont"/>
    <w:link w:val="Heading6"/>
    <w:uiPriority w:val="99"/>
    <w:semiHidden/>
    <w:rsid w:val="0078371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8371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837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8371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83714"/>
    <w:rPr>
      <w:color w:val="0072BC" w:themeColor="hyperlink"/>
      <w:u w:val="single"/>
    </w:rPr>
  </w:style>
  <w:style w:type="character" w:styleId="IntenseEmphasis">
    <w:name w:val="Intense Emphasis"/>
    <w:uiPriority w:val="99"/>
    <w:semiHidden/>
    <w:qFormat/>
    <w:rsid w:val="00783714"/>
    <w:rPr>
      <w:b/>
      <w:bCs/>
    </w:rPr>
  </w:style>
  <w:style w:type="paragraph" w:styleId="IntenseQuote">
    <w:name w:val="Intense Quote"/>
    <w:basedOn w:val="Normal"/>
    <w:next w:val="Normal"/>
    <w:link w:val="IntenseQuoteChar"/>
    <w:uiPriority w:val="99"/>
    <w:semiHidden/>
    <w:qFormat/>
    <w:rsid w:val="0078371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83714"/>
    <w:rPr>
      <w:rFonts w:eastAsiaTheme="minorEastAsia"/>
      <w:b/>
      <w:bCs/>
      <w:i/>
      <w:iCs/>
      <w:lang w:bidi="en-US"/>
    </w:rPr>
  </w:style>
  <w:style w:type="character" w:styleId="IntenseReference">
    <w:name w:val="Intense Reference"/>
    <w:uiPriority w:val="99"/>
    <w:semiHidden/>
    <w:qFormat/>
    <w:rsid w:val="00783714"/>
    <w:rPr>
      <w:smallCaps/>
      <w:spacing w:val="5"/>
      <w:u w:val="single"/>
    </w:rPr>
  </w:style>
  <w:style w:type="paragraph" w:styleId="ListParagraph">
    <w:name w:val="List Paragraph"/>
    <w:basedOn w:val="Normal"/>
    <w:uiPriority w:val="99"/>
    <w:semiHidden/>
    <w:qFormat/>
    <w:rsid w:val="0078371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8371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83714"/>
    <w:rPr>
      <w:rFonts w:eastAsiaTheme="minorEastAsia"/>
      <w:i/>
      <w:iCs/>
      <w:lang w:bidi="en-US"/>
    </w:rPr>
  </w:style>
  <w:style w:type="character" w:styleId="SubtleReference">
    <w:name w:val="Subtle Reference"/>
    <w:uiPriority w:val="99"/>
    <w:semiHidden/>
    <w:qFormat/>
    <w:rsid w:val="00783714"/>
    <w:rPr>
      <w:smallCaps/>
    </w:rPr>
  </w:style>
  <w:style w:type="table" w:styleId="TableGrid">
    <w:name w:val="Table Grid"/>
    <w:basedOn w:val="TableNormal"/>
    <w:uiPriority w:val="59"/>
    <w:semiHidden/>
    <w:rsid w:val="00783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8371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8371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8371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8371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8371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8371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8371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83714"/>
    <w:pPr>
      <w:spacing w:before="120" w:after="120"/>
      <w:ind w:left="425" w:firstLine="142"/>
    </w:pPr>
    <w:rPr>
      <w:sz w:val="20"/>
    </w:rPr>
  </w:style>
  <w:style w:type="paragraph" w:customStyle="1" w:styleId="ECHRPara">
    <w:name w:val="ECHR_Para"/>
    <w:aliases w:val="Ju_Para"/>
    <w:basedOn w:val="Normal"/>
    <w:link w:val="ECHRParaChar"/>
    <w:uiPriority w:val="12"/>
    <w:qFormat/>
    <w:rsid w:val="0078371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8371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8371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83714"/>
    <w:pPr>
      <w:ind w:left="340" w:hanging="340"/>
    </w:pPr>
  </w:style>
  <w:style w:type="paragraph" w:customStyle="1" w:styleId="JuSigned">
    <w:name w:val="Ju_Signed"/>
    <w:basedOn w:val="Normal"/>
    <w:next w:val="JuParaLast"/>
    <w:uiPriority w:val="32"/>
    <w:qFormat/>
    <w:rsid w:val="00783714"/>
    <w:pPr>
      <w:tabs>
        <w:tab w:val="center" w:pos="851"/>
        <w:tab w:val="center" w:pos="6407"/>
      </w:tabs>
      <w:spacing w:before="720"/>
      <w:jc w:val="left"/>
    </w:pPr>
  </w:style>
  <w:style w:type="paragraph" w:customStyle="1" w:styleId="JuParaLast">
    <w:name w:val="Ju_Para_Last"/>
    <w:basedOn w:val="Normal"/>
    <w:next w:val="ECHRPara"/>
    <w:uiPriority w:val="30"/>
    <w:qFormat/>
    <w:rsid w:val="00783714"/>
    <w:pPr>
      <w:keepNext/>
      <w:keepLines/>
      <w:spacing w:before="240"/>
      <w:ind w:firstLine="284"/>
    </w:pPr>
  </w:style>
  <w:style w:type="paragraph" w:customStyle="1" w:styleId="OpiHa">
    <w:name w:val="Opi_H_a"/>
    <w:basedOn w:val="ECHRHeading3"/>
    <w:uiPriority w:val="43"/>
    <w:qFormat/>
    <w:rsid w:val="00783714"/>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83714"/>
    <w:pPr>
      <w:ind w:left="346" w:firstLine="0"/>
    </w:pPr>
  </w:style>
  <w:style w:type="paragraph" w:customStyle="1" w:styleId="JuListi">
    <w:name w:val="Ju_List_i"/>
    <w:basedOn w:val="Normal"/>
    <w:next w:val="JuLista"/>
    <w:uiPriority w:val="28"/>
    <w:qFormat/>
    <w:rsid w:val="00783714"/>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783714"/>
    <w:rPr>
      <w:vertAlign w:val="superscript"/>
    </w:rPr>
  </w:style>
  <w:style w:type="paragraph" w:styleId="EndnoteText">
    <w:name w:val="endnote text"/>
    <w:basedOn w:val="Normal"/>
    <w:link w:val="EndnoteTextChar"/>
    <w:uiPriority w:val="99"/>
    <w:semiHidden/>
    <w:rsid w:val="00783714"/>
    <w:rPr>
      <w:sz w:val="20"/>
      <w:szCs w:val="20"/>
    </w:rPr>
  </w:style>
  <w:style w:type="character" w:customStyle="1" w:styleId="EndnoteTextChar">
    <w:name w:val="Endnote Text Char"/>
    <w:basedOn w:val="DefaultParagraphFont"/>
    <w:link w:val="EndnoteText"/>
    <w:uiPriority w:val="99"/>
    <w:semiHidden/>
    <w:rsid w:val="0078371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783714"/>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78371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8371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8371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783714"/>
    <w:pPr>
      <w:ind w:left="1037" w:hanging="357"/>
      <w:outlineLvl w:val="4"/>
    </w:pPr>
    <w:rPr>
      <w:b w:val="0"/>
      <w:i/>
    </w:rPr>
  </w:style>
  <w:style w:type="paragraph" w:customStyle="1" w:styleId="OpiPara">
    <w:name w:val="Opi_Para"/>
    <w:basedOn w:val="ECHRPara"/>
    <w:uiPriority w:val="46"/>
    <w:qFormat/>
    <w:rsid w:val="00783714"/>
  </w:style>
  <w:style w:type="character" w:styleId="PlaceholderText">
    <w:name w:val="Placeholder Text"/>
    <w:basedOn w:val="DefaultParagraphFont"/>
    <w:uiPriority w:val="99"/>
    <w:semiHidden/>
    <w:rsid w:val="0078371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8371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8371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783714"/>
  </w:style>
  <w:style w:type="paragraph" w:customStyle="1" w:styleId="OpiQuot">
    <w:name w:val="Opi_Quot"/>
    <w:basedOn w:val="ECHRParaQuote"/>
    <w:uiPriority w:val="48"/>
    <w:qFormat/>
    <w:rsid w:val="00783714"/>
  </w:style>
  <w:style w:type="paragraph" w:customStyle="1" w:styleId="OpiQuotSub">
    <w:name w:val="Opi_Quot_Sub"/>
    <w:basedOn w:val="JuQuotSub"/>
    <w:uiPriority w:val="49"/>
    <w:qFormat/>
    <w:rsid w:val="00783714"/>
  </w:style>
  <w:style w:type="paragraph" w:customStyle="1" w:styleId="OpiTranslation">
    <w:name w:val="Opi_Translation"/>
    <w:basedOn w:val="Normal"/>
    <w:next w:val="OpiPara"/>
    <w:uiPriority w:val="40"/>
    <w:qFormat/>
    <w:rsid w:val="00783714"/>
    <w:pPr>
      <w:jc w:val="center"/>
      <w:outlineLvl w:val="0"/>
    </w:pPr>
    <w:rPr>
      <w:i/>
    </w:rPr>
  </w:style>
  <w:style w:type="paragraph" w:customStyle="1" w:styleId="JuHeaderLandscape">
    <w:name w:val="Ju_Header_Landscape"/>
    <w:basedOn w:val="ECHRHeader"/>
    <w:uiPriority w:val="4"/>
    <w:qFormat/>
    <w:rsid w:val="00783714"/>
    <w:pPr>
      <w:tabs>
        <w:tab w:val="clear" w:pos="3686"/>
        <w:tab w:val="clear" w:pos="7371"/>
        <w:tab w:val="center" w:pos="6146"/>
        <w:tab w:val="right" w:pos="12293"/>
      </w:tabs>
    </w:pPr>
  </w:style>
  <w:style w:type="paragraph" w:styleId="NoteHeading">
    <w:name w:val="Note Heading"/>
    <w:basedOn w:val="Normal"/>
    <w:next w:val="Normal"/>
    <w:link w:val="NoteHeadingChar"/>
    <w:uiPriority w:val="99"/>
    <w:semiHidden/>
    <w:rsid w:val="00025A72"/>
  </w:style>
  <w:style w:type="character" w:customStyle="1" w:styleId="NoteHeadingChar">
    <w:name w:val="Note Heading Char"/>
    <w:basedOn w:val="DefaultParagraphFont"/>
    <w:link w:val="NoteHeading"/>
    <w:uiPriority w:val="99"/>
    <w:semiHidden/>
    <w:rsid w:val="00025A72"/>
    <w:rPr>
      <w:rFonts w:eastAsiaTheme="minorEastAsia"/>
      <w:sz w:val="24"/>
    </w:rPr>
  </w:style>
  <w:style w:type="character" w:customStyle="1" w:styleId="ECHRParaChar">
    <w:name w:val="ECHR_Para Char"/>
    <w:aliases w:val="Ju_Para Char"/>
    <w:link w:val="ECHRPara"/>
    <w:uiPriority w:val="12"/>
    <w:rsid w:val="00F04DD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415326766">
      <w:bodyDiv w:val="1"/>
      <w:marLeft w:val="0"/>
      <w:marRight w:val="0"/>
      <w:marTop w:val="0"/>
      <w:marBottom w:val="0"/>
      <w:divBdr>
        <w:top w:val="none" w:sz="0" w:space="0" w:color="auto"/>
        <w:left w:val="none" w:sz="0" w:space="0" w:color="auto"/>
        <w:bottom w:val="none" w:sz="0" w:space="0" w:color="auto"/>
        <w:right w:val="none" w:sz="0" w:space="0" w:color="auto"/>
      </w:divBdr>
    </w:div>
    <w:div w:id="617372930">
      <w:bodyDiv w:val="1"/>
      <w:marLeft w:val="0"/>
      <w:marRight w:val="0"/>
      <w:marTop w:val="0"/>
      <w:marBottom w:val="0"/>
      <w:divBdr>
        <w:top w:val="none" w:sz="0" w:space="0" w:color="auto"/>
        <w:left w:val="none" w:sz="0" w:space="0" w:color="auto"/>
        <w:bottom w:val="none" w:sz="0" w:space="0" w:color="auto"/>
        <w:right w:val="none" w:sz="0" w:space="0" w:color="auto"/>
      </w:divBdr>
    </w:div>
    <w:div w:id="800080051">
      <w:bodyDiv w:val="1"/>
      <w:marLeft w:val="0"/>
      <w:marRight w:val="0"/>
      <w:marTop w:val="0"/>
      <w:marBottom w:val="0"/>
      <w:divBdr>
        <w:top w:val="none" w:sz="0" w:space="0" w:color="auto"/>
        <w:left w:val="none" w:sz="0" w:space="0" w:color="auto"/>
        <w:bottom w:val="none" w:sz="0" w:space="0" w:color="auto"/>
        <w:right w:val="none" w:sz="0" w:space="0" w:color="auto"/>
      </w:divBdr>
      <w:divsChild>
        <w:div w:id="712071592">
          <w:marLeft w:val="0"/>
          <w:marRight w:val="0"/>
          <w:marTop w:val="0"/>
          <w:marBottom w:val="0"/>
          <w:divBdr>
            <w:top w:val="none" w:sz="0" w:space="0" w:color="auto"/>
            <w:left w:val="none" w:sz="0" w:space="0" w:color="auto"/>
            <w:bottom w:val="none" w:sz="0" w:space="0" w:color="auto"/>
            <w:right w:val="none" w:sz="0" w:space="0" w:color="auto"/>
          </w:divBdr>
          <w:divsChild>
            <w:div w:id="252058884">
              <w:marLeft w:val="0"/>
              <w:marRight w:val="0"/>
              <w:marTop w:val="0"/>
              <w:marBottom w:val="0"/>
              <w:divBdr>
                <w:top w:val="none" w:sz="0" w:space="0" w:color="auto"/>
                <w:left w:val="none" w:sz="0" w:space="0" w:color="auto"/>
                <w:bottom w:val="none" w:sz="0" w:space="0" w:color="auto"/>
                <w:right w:val="none" w:sz="0" w:space="0" w:color="auto"/>
              </w:divBdr>
              <w:divsChild>
                <w:div w:id="1579708901">
                  <w:marLeft w:val="0"/>
                  <w:marRight w:val="0"/>
                  <w:marTop w:val="0"/>
                  <w:marBottom w:val="0"/>
                  <w:divBdr>
                    <w:top w:val="none" w:sz="0" w:space="0" w:color="auto"/>
                    <w:left w:val="none" w:sz="0" w:space="0" w:color="auto"/>
                    <w:bottom w:val="none" w:sz="0" w:space="0" w:color="auto"/>
                    <w:right w:val="none" w:sz="0" w:space="0" w:color="auto"/>
                  </w:divBdr>
                  <w:divsChild>
                    <w:div w:id="413011191">
                      <w:marLeft w:val="0"/>
                      <w:marRight w:val="0"/>
                      <w:marTop w:val="0"/>
                      <w:marBottom w:val="0"/>
                      <w:divBdr>
                        <w:top w:val="none" w:sz="0" w:space="0" w:color="auto"/>
                        <w:left w:val="none" w:sz="0" w:space="0" w:color="auto"/>
                        <w:bottom w:val="none" w:sz="0" w:space="0" w:color="auto"/>
                        <w:right w:val="none" w:sz="0" w:space="0" w:color="auto"/>
                      </w:divBdr>
                      <w:divsChild>
                        <w:div w:id="1623613007">
                          <w:marLeft w:val="0"/>
                          <w:marRight w:val="0"/>
                          <w:marTop w:val="0"/>
                          <w:marBottom w:val="0"/>
                          <w:divBdr>
                            <w:top w:val="none" w:sz="0" w:space="0" w:color="auto"/>
                            <w:left w:val="none" w:sz="0" w:space="0" w:color="auto"/>
                            <w:bottom w:val="none" w:sz="0" w:space="0" w:color="auto"/>
                            <w:right w:val="none" w:sz="0" w:space="0" w:color="auto"/>
                          </w:divBdr>
                          <w:divsChild>
                            <w:div w:id="101365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901524">
      <w:bodyDiv w:val="1"/>
      <w:marLeft w:val="0"/>
      <w:marRight w:val="0"/>
      <w:marTop w:val="0"/>
      <w:marBottom w:val="0"/>
      <w:divBdr>
        <w:top w:val="none" w:sz="0" w:space="0" w:color="auto"/>
        <w:left w:val="none" w:sz="0" w:space="0" w:color="auto"/>
        <w:bottom w:val="none" w:sz="0" w:space="0" w:color="auto"/>
        <w:right w:val="none" w:sz="0" w:space="0" w:color="auto"/>
      </w:divBdr>
      <w:divsChild>
        <w:div w:id="1461802749">
          <w:marLeft w:val="0"/>
          <w:marRight w:val="0"/>
          <w:marTop w:val="0"/>
          <w:marBottom w:val="0"/>
          <w:divBdr>
            <w:top w:val="none" w:sz="0" w:space="0" w:color="auto"/>
            <w:left w:val="none" w:sz="0" w:space="0" w:color="auto"/>
            <w:bottom w:val="none" w:sz="0" w:space="0" w:color="auto"/>
            <w:right w:val="none" w:sz="0" w:space="0" w:color="auto"/>
          </w:divBdr>
          <w:divsChild>
            <w:div w:id="1064337152">
              <w:marLeft w:val="0"/>
              <w:marRight w:val="0"/>
              <w:marTop w:val="0"/>
              <w:marBottom w:val="0"/>
              <w:divBdr>
                <w:top w:val="none" w:sz="0" w:space="0" w:color="auto"/>
                <w:left w:val="none" w:sz="0" w:space="0" w:color="auto"/>
                <w:bottom w:val="none" w:sz="0" w:space="0" w:color="auto"/>
                <w:right w:val="none" w:sz="0" w:space="0" w:color="auto"/>
              </w:divBdr>
              <w:divsChild>
                <w:div w:id="1106268938">
                  <w:marLeft w:val="0"/>
                  <w:marRight w:val="0"/>
                  <w:marTop w:val="0"/>
                  <w:marBottom w:val="0"/>
                  <w:divBdr>
                    <w:top w:val="none" w:sz="0" w:space="0" w:color="auto"/>
                    <w:left w:val="none" w:sz="0" w:space="0" w:color="auto"/>
                    <w:bottom w:val="none" w:sz="0" w:space="0" w:color="auto"/>
                    <w:right w:val="none" w:sz="0" w:space="0" w:color="auto"/>
                  </w:divBdr>
                  <w:divsChild>
                    <w:div w:id="518083992">
                      <w:marLeft w:val="0"/>
                      <w:marRight w:val="0"/>
                      <w:marTop w:val="0"/>
                      <w:marBottom w:val="0"/>
                      <w:divBdr>
                        <w:top w:val="none" w:sz="0" w:space="0" w:color="auto"/>
                        <w:left w:val="none" w:sz="0" w:space="0" w:color="auto"/>
                        <w:bottom w:val="none" w:sz="0" w:space="0" w:color="auto"/>
                        <w:right w:val="none" w:sz="0" w:space="0" w:color="auto"/>
                      </w:divBdr>
                      <w:divsChild>
                        <w:div w:id="557478744">
                          <w:marLeft w:val="0"/>
                          <w:marRight w:val="0"/>
                          <w:marTop w:val="0"/>
                          <w:marBottom w:val="0"/>
                          <w:divBdr>
                            <w:top w:val="none" w:sz="0" w:space="0" w:color="auto"/>
                            <w:left w:val="none" w:sz="0" w:space="0" w:color="auto"/>
                            <w:bottom w:val="none" w:sz="0" w:space="0" w:color="auto"/>
                            <w:right w:val="none" w:sz="0" w:space="0" w:color="auto"/>
                          </w:divBdr>
                          <w:divsChild>
                            <w:div w:id="169830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522161">
      <w:bodyDiv w:val="1"/>
      <w:marLeft w:val="0"/>
      <w:marRight w:val="0"/>
      <w:marTop w:val="0"/>
      <w:marBottom w:val="0"/>
      <w:divBdr>
        <w:top w:val="none" w:sz="0" w:space="0" w:color="auto"/>
        <w:left w:val="none" w:sz="0" w:space="0" w:color="auto"/>
        <w:bottom w:val="none" w:sz="0" w:space="0" w:color="auto"/>
        <w:right w:val="none" w:sz="0" w:space="0" w:color="auto"/>
      </w:divBdr>
      <w:divsChild>
        <w:div w:id="889612644">
          <w:marLeft w:val="0"/>
          <w:marRight w:val="0"/>
          <w:marTop w:val="0"/>
          <w:marBottom w:val="0"/>
          <w:divBdr>
            <w:top w:val="none" w:sz="0" w:space="0" w:color="auto"/>
            <w:left w:val="none" w:sz="0" w:space="0" w:color="auto"/>
            <w:bottom w:val="none" w:sz="0" w:space="0" w:color="auto"/>
            <w:right w:val="none" w:sz="0" w:space="0" w:color="auto"/>
          </w:divBdr>
          <w:divsChild>
            <w:div w:id="1431507180">
              <w:marLeft w:val="0"/>
              <w:marRight w:val="0"/>
              <w:marTop w:val="0"/>
              <w:marBottom w:val="0"/>
              <w:divBdr>
                <w:top w:val="none" w:sz="0" w:space="0" w:color="auto"/>
                <w:left w:val="none" w:sz="0" w:space="0" w:color="auto"/>
                <w:bottom w:val="none" w:sz="0" w:space="0" w:color="auto"/>
                <w:right w:val="none" w:sz="0" w:space="0" w:color="auto"/>
              </w:divBdr>
              <w:divsChild>
                <w:div w:id="201066272">
                  <w:marLeft w:val="0"/>
                  <w:marRight w:val="0"/>
                  <w:marTop w:val="0"/>
                  <w:marBottom w:val="0"/>
                  <w:divBdr>
                    <w:top w:val="none" w:sz="0" w:space="0" w:color="auto"/>
                    <w:left w:val="none" w:sz="0" w:space="0" w:color="auto"/>
                    <w:bottom w:val="none" w:sz="0" w:space="0" w:color="auto"/>
                    <w:right w:val="none" w:sz="0" w:space="0" w:color="auto"/>
                  </w:divBdr>
                  <w:divsChild>
                    <w:div w:id="907232621">
                      <w:marLeft w:val="0"/>
                      <w:marRight w:val="0"/>
                      <w:marTop w:val="0"/>
                      <w:marBottom w:val="0"/>
                      <w:divBdr>
                        <w:top w:val="none" w:sz="0" w:space="0" w:color="auto"/>
                        <w:left w:val="none" w:sz="0" w:space="0" w:color="auto"/>
                        <w:bottom w:val="none" w:sz="0" w:space="0" w:color="auto"/>
                        <w:right w:val="none" w:sz="0" w:space="0" w:color="auto"/>
                      </w:divBdr>
                      <w:divsChild>
                        <w:div w:id="1890917319">
                          <w:marLeft w:val="0"/>
                          <w:marRight w:val="0"/>
                          <w:marTop w:val="0"/>
                          <w:marBottom w:val="0"/>
                          <w:divBdr>
                            <w:top w:val="none" w:sz="0" w:space="0" w:color="auto"/>
                            <w:left w:val="none" w:sz="0" w:space="0" w:color="auto"/>
                            <w:bottom w:val="none" w:sz="0" w:space="0" w:color="auto"/>
                            <w:right w:val="none" w:sz="0" w:space="0" w:color="auto"/>
                          </w:divBdr>
                          <w:divsChild>
                            <w:div w:id="5853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618401">
      <w:bodyDiv w:val="1"/>
      <w:marLeft w:val="0"/>
      <w:marRight w:val="0"/>
      <w:marTop w:val="0"/>
      <w:marBottom w:val="0"/>
      <w:divBdr>
        <w:top w:val="none" w:sz="0" w:space="0" w:color="auto"/>
        <w:left w:val="none" w:sz="0" w:space="0" w:color="auto"/>
        <w:bottom w:val="none" w:sz="0" w:space="0" w:color="auto"/>
        <w:right w:val="none" w:sz="0" w:space="0" w:color="auto"/>
      </w:divBdr>
      <w:divsChild>
        <w:div w:id="130638851">
          <w:marLeft w:val="0"/>
          <w:marRight w:val="0"/>
          <w:marTop w:val="0"/>
          <w:marBottom w:val="0"/>
          <w:divBdr>
            <w:top w:val="none" w:sz="0" w:space="0" w:color="auto"/>
            <w:left w:val="none" w:sz="0" w:space="0" w:color="auto"/>
            <w:bottom w:val="none" w:sz="0" w:space="0" w:color="auto"/>
            <w:right w:val="none" w:sz="0" w:space="0" w:color="auto"/>
          </w:divBdr>
          <w:divsChild>
            <w:div w:id="411586048">
              <w:marLeft w:val="0"/>
              <w:marRight w:val="0"/>
              <w:marTop w:val="0"/>
              <w:marBottom w:val="0"/>
              <w:divBdr>
                <w:top w:val="none" w:sz="0" w:space="0" w:color="auto"/>
                <w:left w:val="none" w:sz="0" w:space="0" w:color="auto"/>
                <w:bottom w:val="none" w:sz="0" w:space="0" w:color="auto"/>
                <w:right w:val="none" w:sz="0" w:space="0" w:color="auto"/>
              </w:divBdr>
              <w:divsChild>
                <w:div w:id="1638797470">
                  <w:marLeft w:val="0"/>
                  <w:marRight w:val="0"/>
                  <w:marTop w:val="0"/>
                  <w:marBottom w:val="0"/>
                  <w:divBdr>
                    <w:top w:val="none" w:sz="0" w:space="0" w:color="auto"/>
                    <w:left w:val="none" w:sz="0" w:space="0" w:color="auto"/>
                    <w:bottom w:val="none" w:sz="0" w:space="0" w:color="auto"/>
                    <w:right w:val="none" w:sz="0" w:space="0" w:color="auto"/>
                  </w:divBdr>
                  <w:divsChild>
                    <w:div w:id="104662289">
                      <w:marLeft w:val="0"/>
                      <w:marRight w:val="0"/>
                      <w:marTop w:val="0"/>
                      <w:marBottom w:val="0"/>
                      <w:divBdr>
                        <w:top w:val="none" w:sz="0" w:space="0" w:color="auto"/>
                        <w:left w:val="none" w:sz="0" w:space="0" w:color="auto"/>
                        <w:bottom w:val="none" w:sz="0" w:space="0" w:color="auto"/>
                        <w:right w:val="none" w:sz="0" w:space="0" w:color="auto"/>
                      </w:divBdr>
                      <w:divsChild>
                        <w:div w:id="72047342">
                          <w:marLeft w:val="0"/>
                          <w:marRight w:val="0"/>
                          <w:marTop w:val="0"/>
                          <w:marBottom w:val="0"/>
                          <w:divBdr>
                            <w:top w:val="none" w:sz="0" w:space="0" w:color="auto"/>
                            <w:left w:val="none" w:sz="0" w:space="0" w:color="auto"/>
                            <w:bottom w:val="none" w:sz="0" w:space="0" w:color="auto"/>
                            <w:right w:val="none" w:sz="0" w:space="0" w:color="auto"/>
                          </w:divBdr>
                          <w:divsChild>
                            <w:div w:id="18858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332258">
      <w:bodyDiv w:val="1"/>
      <w:marLeft w:val="0"/>
      <w:marRight w:val="0"/>
      <w:marTop w:val="0"/>
      <w:marBottom w:val="0"/>
      <w:divBdr>
        <w:top w:val="none" w:sz="0" w:space="0" w:color="auto"/>
        <w:left w:val="none" w:sz="0" w:space="0" w:color="auto"/>
        <w:bottom w:val="none" w:sz="0" w:space="0" w:color="auto"/>
        <w:right w:val="none" w:sz="0" w:space="0" w:color="auto"/>
      </w:divBdr>
      <w:divsChild>
        <w:div w:id="165827722">
          <w:marLeft w:val="0"/>
          <w:marRight w:val="0"/>
          <w:marTop w:val="0"/>
          <w:marBottom w:val="0"/>
          <w:divBdr>
            <w:top w:val="none" w:sz="0" w:space="0" w:color="auto"/>
            <w:left w:val="none" w:sz="0" w:space="0" w:color="auto"/>
            <w:bottom w:val="none" w:sz="0" w:space="0" w:color="auto"/>
            <w:right w:val="none" w:sz="0" w:space="0" w:color="auto"/>
          </w:divBdr>
          <w:divsChild>
            <w:div w:id="73167523">
              <w:marLeft w:val="0"/>
              <w:marRight w:val="0"/>
              <w:marTop w:val="0"/>
              <w:marBottom w:val="0"/>
              <w:divBdr>
                <w:top w:val="none" w:sz="0" w:space="0" w:color="auto"/>
                <w:left w:val="none" w:sz="0" w:space="0" w:color="auto"/>
                <w:bottom w:val="none" w:sz="0" w:space="0" w:color="auto"/>
                <w:right w:val="none" w:sz="0" w:space="0" w:color="auto"/>
              </w:divBdr>
              <w:divsChild>
                <w:div w:id="753548726">
                  <w:marLeft w:val="0"/>
                  <w:marRight w:val="0"/>
                  <w:marTop w:val="0"/>
                  <w:marBottom w:val="0"/>
                  <w:divBdr>
                    <w:top w:val="none" w:sz="0" w:space="0" w:color="auto"/>
                    <w:left w:val="none" w:sz="0" w:space="0" w:color="auto"/>
                    <w:bottom w:val="none" w:sz="0" w:space="0" w:color="auto"/>
                    <w:right w:val="none" w:sz="0" w:space="0" w:color="auto"/>
                  </w:divBdr>
                  <w:divsChild>
                    <w:div w:id="1673222248">
                      <w:marLeft w:val="0"/>
                      <w:marRight w:val="0"/>
                      <w:marTop w:val="0"/>
                      <w:marBottom w:val="0"/>
                      <w:divBdr>
                        <w:top w:val="none" w:sz="0" w:space="0" w:color="auto"/>
                        <w:left w:val="none" w:sz="0" w:space="0" w:color="auto"/>
                        <w:bottom w:val="none" w:sz="0" w:space="0" w:color="auto"/>
                        <w:right w:val="none" w:sz="0" w:space="0" w:color="auto"/>
                      </w:divBdr>
                      <w:divsChild>
                        <w:div w:id="461197897">
                          <w:marLeft w:val="0"/>
                          <w:marRight w:val="0"/>
                          <w:marTop w:val="0"/>
                          <w:marBottom w:val="0"/>
                          <w:divBdr>
                            <w:top w:val="none" w:sz="0" w:space="0" w:color="auto"/>
                            <w:left w:val="none" w:sz="0" w:space="0" w:color="auto"/>
                            <w:bottom w:val="none" w:sz="0" w:space="0" w:color="auto"/>
                            <w:right w:val="none" w:sz="0" w:space="0" w:color="auto"/>
                          </w:divBdr>
                          <w:divsChild>
                            <w:div w:id="18919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868371">
      <w:bodyDiv w:val="1"/>
      <w:marLeft w:val="0"/>
      <w:marRight w:val="0"/>
      <w:marTop w:val="0"/>
      <w:marBottom w:val="0"/>
      <w:divBdr>
        <w:top w:val="none" w:sz="0" w:space="0" w:color="auto"/>
        <w:left w:val="none" w:sz="0" w:space="0" w:color="auto"/>
        <w:bottom w:val="none" w:sz="0" w:space="0" w:color="auto"/>
        <w:right w:val="none" w:sz="0" w:space="0" w:color="auto"/>
      </w:divBdr>
      <w:divsChild>
        <w:div w:id="1352225350">
          <w:marLeft w:val="0"/>
          <w:marRight w:val="0"/>
          <w:marTop w:val="0"/>
          <w:marBottom w:val="0"/>
          <w:divBdr>
            <w:top w:val="none" w:sz="0" w:space="0" w:color="auto"/>
            <w:left w:val="none" w:sz="0" w:space="0" w:color="auto"/>
            <w:bottom w:val="none" w:sz="0" w:space="0" w:color="auto"/>
            <w:right w:val="none" w:sz="0" w:space="0" w:color="auto"/>
          </w:divBdr>
          <w:divsChild>
            <w:div w:id="459765487">
              <w:marLeft w:val="0"/>
              <w:marRight w:val="0"/>
              <w:marTop w:val="0"/>
              <w:marBottom w:val="0"/>
              <w:divBdr>
                <w:top w:val="none" w:sz="0" w:space="0" w:color="auto"/>
                <w:left w:val="none" w:sz="0" w:space="0" w:color="auto"/>
                <w:bottom w:val="none" w:sz="0" w:space="0" w:color="auto"/>
                <w:right w:val="none" w:sz="0" w:space="0" w:color="auto"/>
              </w:divBdr>
              <w:divsChild>
                <w:div w:id="1064765948">
                  <w:marLeft w:val="0"/>
                  <w:marRight w:val="0"/>
                  <w:marTop w:val="0"/>
                  <w:marBottom w:val="0"/>
                  <w:divBdr>
                    <w:top w:val="none" w:sz="0" w:space="0" w:color="auto"/>
                    <w:left w:val="none" w:sz="0" w:space="0" w:color="auto"/>
                    <w:bottom w:val="none" w:sz="0" w:space="0" w:color="auto"/>
                    <w:right w:val="none" w:sz="0" w:space="0" w:color="auto"/>
                  </w:divBdr>
                  <w:divsChild>
                    <w:div w:id="1646735812">
                      <w:marLeft w:val="0"/>
                      <w:marRight w:val="0"/>
                      <w:marTop w:val="0"/>
                      <w:marBottom w:val="0"/>
                      <w:divBdr>
                        <w:top w:val="none" w:sz="0" w:space="0" w:color="auto"/>
                        <w:left w:val="none" w:sz="0" w:space="0" w:color="auto"/>
                        <w:bottom w:val="none" w:sz="0" w:space="0" w:color="auto"/>
                        <w:right w:val="none" w:sz="0" w:space="0" w:color="auto"/>
                      </w:divBdr>
                      <w:divsChild>
                        <w:div w:id="1322195892">
                          <w:marLeft w:val="0"/>
                          <w:marRight w:val="0"/>
                          <w:marTop w:val="0"/>
                          <w:marBottom w:val="0"/>
                          <w:divBdr>
                            <w:top w:val="none" w:sz="0" w:space="0" w:color="auto"/>
                            <w:left w:val="none" w:sz="0" w:space="0" w:color="auto"/>
                            <w:bottom w:val="none" w:sz="0" w:space="0" w:color="auto"/>
                            <w:right w:val="none" w:sz="0" w:space="0" w:color="auto"/>
                          </w:divBdr>
                          <w:divsChild>
                            <w:div w:id="1331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10828">
      <w:bodyDiv w:val="1"/>
      <w:marLeft w:val="0"/>
      <w:marRight w:val="0"/>
      <w:marTop w:val="0"/>
      <w:marBottom w:val="0"/>
      <w:divBdr>
        <w:top w:val="none" w:sz="0" w:space="0" w:color="auto"/>
        <w:left w:val="none" w:sz="0" w:space="0" w:color="auto"/>
        <w:bottom w:val="none" w:sz="0" w:space="0" w:color="auto"/>
        <w:right w:val="none" w:sz="0" w:space="0" w:color="auto"/>
      </w:divBdr>
      <w:divsChild>
        <w:div w:id="644285830">
          <w:marLeft w:val="0"/>
          <w:marRight w:val="0"/>
          <w:marTop w:val="0"/>
          <w:marBottom w:val="0"/>
          <w:divBdr>
            <w:top w:val="none" w:sz="0" w:space="0" w:color="auto"/>
            <w:left w:val="none" w:sz="0" w:space="0" w:color="auto"/>
            <w:bottom w:val="none" w:sz="0" w:space="0" w:color="auto"/>
            <w:right w:val="none" w:sz="0" w:space="0" w:color="auto"/>
          </w:divBdr>
          <w:divsChild>
            <w:div w:id="1713459333">
              <w:marLeft w:val="0"/>
              <w:marRight w:val="0"/>
              <w:marTop w:val="0"/>
              <w:marBottom w:val="0"/>
              <w:divBdr>
                <w:top w:val="none" w:sz="0" w:space="0" w:color="auto"/>
                <w:left w:val="none" w:sz="0" w:space="0" w:color="auto"/>
                <w:bottom w:val="none" w:sz="0" w:space="0" w:color="auto"/>
                <w:right w:val="none" w:sz="0" w:space="0" w:color="auto"/>
              </w:divBdr>
              <w:divsChild>
                <w:div w:id="806245718">
                  <w:marLeft w:val="0"/>
                  <w:marRight w:val="0"/>
                  <w:marTop w:val="0"/>
                  <w:marBottom w:val="0"/>
                  <w:divBdr>
                    <w:top w:val="none" w:sz="0" w:space="0" w:color="auto"/>
                    <w:left w:val="none" w:sz="0" w:space="0" w:color="auto"/>
                    <w:bottom w:val="none" w:sz="0" w:space="0" w:color="auto"/>
                    <w:right w:val="none" w:sz="0" w:space="0" w:color="auto"/>
                  </w:divBdr>
                  <w:divsChild>
                    <w:div w:id="450705186">
                      <w:marLeft w:val="0"/>
                      <w:marRight w:val="0"/>
                      <w:marTop w:val="0"/>
                      <w:marBottom w:val="0"/>
                      <w:divBdr>
                        <w:top w:val="none" w:sz="0" w:space="0" w:color="auto"/>
                        <w:left w:val="none" w:sz="0" w:space="0" w:color="auto"/>
                        <w:bottom w:val="none" w:sz="0" w:space="0" w:color="auto"/>
                        <w:right w:val="none" w:sz="0" w:space="0" w:color="auto"/>
                      </w:divBdr>
                      <w:divsChild>
                        <w:div w:id="397745478">
                          <w:marLeft w:val="0"/>
                          <w:marRight w:val="0"/>
                          <w:marTop w:val="0"/>
                          <w:marBottom w:val="0"/>
                          <w:divBdr>
                            <w:top w:val="none" w:sz="0" w:space="0" w:color="auto"/>
                            <w:left w:val="none" w:sz="0" w:space="0" w:color="auto"/>
                            <w:bottom w:val="none" w:sz="0" w:space="0" w:color="auto"/>
                            <w:right w:val="none" w:sz="0" w:space="0" w:color="auto"/>
                          </w:divBdr>
                          <w:divsChild>
                            <w:div w:id="26296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967873-A7A5-4C10-B52B-C2847E816895}"/>
</file>

<file path=customXml/itemProps2.xml><?xml version="1.0" encoding="utf-8"?>
<ds:datastoreItem xmlns:ds="http://schemas.openxmlformats.org/officeDocument/2006/customXml" ds:itemID="{B418827A-B7D0-4D01-AEE5-E921948B8DD3}"/>
</file>

<file path=customXml/itemProps3.xml><?xml version="1.0" encoding="utf-8"?>
<ds:datastoreItem xmlns:ds="http://schemas.openxmlformats.org/officeDocument/2006/customXml" ds:itemID="{1C881759-D296-4AA8-B3E0-845CD6B7B2C0}"/>
</file>

<file path=customXml/itemProps4.xml><?xml version="1.0" encoding="utf-8"?>
<ds:datastoreItem xmlns:ds="http://schemas.openxmlformats.org/officeDocument/2006/customXml" ds:itemID="{0C9D90E4-7958-45B8-A3CA-CCE159239733}"/>
</file>

<file path=docProps/app.xml><?xml version="1.0" encoding="utf-8"?>
<Properties xmlns="http://schemas.openxmlformats.org/officeDocument/2006/extended-properties" xmlns:vt="http://schemas.openxmlformats.org/officeDocument/2006/docPropsVTypes">
  <Template>Normal.dotm</Template>
  <TotalTime>0</TotalTime>
  <Pages>1</Pages>
  <Words>3845</Words>
  <Characters>21922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2019-08-31T11:03:00Z</dcterms:created>
  <dcterms:modified xsi:type="dcterms:W3CDTF">2019-08-31T11:03:00Z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57123/10</vt:lpwstr>
  </property>
  <property fmtid="{D5CDD505-2E9C-101B-9397-08002B2CF9AE}" pid="4" name="CASEID">
    <vt:lpwstr>671147</vt:lpwstr>
  </property>
  <property fmtid="{D5CDD505-2E9C-101B-9397-08002B2CF9AE}" pid="5" name="ContentTypeId">
    <vt:lpwstr>0x010100558EB02BDB9E204AB350EDD385B68E10</vt:lpwstr>
  </property>
</Properties>
</file>