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68F3" w:rsidR="00787E12" w:rsidP="00CA68F3" w:rsidRDefault="00787E12">
      <w:pPr>
        <w:jc w:val="center"/>
      </w:pPr>
      <w:bookmarkStart w:name="_GoBack" w:id="0"/>
      <w:bookmarkEnd w:id="0"/>
    </w:p>
    <w:p w:rsidRPr="00CA68F3" w:rsidR="00787E12" w:rsidP="00CA68F3" w:rsidRDefault="00787E12">
      <w:pPr>
        <w:jc w:val="center"/>
      </w:pPr>
    </w:p>
    <w:p w:rsidRPr="00CA68F3" w:rsidR="0088753C" w:rsidP="00CA68F3" w:rsidRDefault="0088753C">
      <w:pPr>
        <w:jc w:val="center"/>
      </w:pPr>
    </w:p>
    <w:p w:rsidRPr="00CA68F3" w:rsidR="00787E12" w:rsidP="00CA68F3" w:rsidRDefault="0092233D">
      <w:pPr>
        <w:spacing w:after="240"/>
        <w:jc w:val="center"/>
      </w:pPr>
      <w:r w:rsidRPr="00CA68F3">
        <w:t>FOURTH SECTION</w:t>
      </w:r>
    </w:p>
    <w:p w:rsidRPr="00CA68F3" w:rsidR="00787E12" w:rsidP="00CA68F3" w:rsidRDefault="00787E12">
      <w:pPr>
        <w:jc w:val="center"/>
      </w:pPr>
    </w:p>
    <w:p w:rsidRPr="00CA68F3" w:rsidR="00787E12" w:rsidP="00CA68F3" w:rsidRDefault="00787E12">
      <w:pPr>
        <w:jc w:val="center"/>
      </w:pPr>
    </w:p>
    <w:p w:rsidRPr="00CA68F3" w:rsidR="00787E12" w:rsidP="00CA68F3" w:rsidRDefault="00787E12">
      <w:pPr>
        <w:jc w:val="center"/>
      </w:pPr>
    </w:p>
    <w:p w:rsidRPr="00CA68F3" w:rsidR="0088753C" w:rsidP="00CA68F3" w:rsidRDefault="0088753C">
      <w:pPr>
        <w:jc w:val="center"/>
      </w:pPr>
    </w:p>
    <w:p w:rsidRPr="00CA68F3" w:rsidR="00787E12" w:rsidP="00CA68F3" w:rsidRDefault="00787E12">
      <w:pPr>
        <w:spacing w:before="720" w:after="240"/>
        <w:jc w:val="center"/>
        <w:rPr>
          <w:b/>
        </w:rPr>
      </w:pPr>
      <w:r w:rsidRPr="00CA68F3">
        <w:rPr>
          <w:b/>
        </w:rPr>
        <w:t xml:space="preserve">CASE OF </w:t>
      </w:r>
      <w:r w:rsidRPr="00CA68F3" w:rsidR="0092233D">
        <w:rPr>
          <w:b/>
        </w:rPr>
        <w:t xml:space="preserve">BEŞLEAGĂ </w:t>
      </w:r>
      <w:r w:rsidRPr="00CA68F3" w:rsidR="00955756">
        <w:rPr>
          <w:b/>
        </w:rPr>
        <w:t xml:space="preserve">AND VANKAY </w:t>
      </w:r>
      <w:r w:rsidRPr="00CA68F3" w:rsidR="0092233D">
        <w:rPr>
          <w:b/>
        </w:rPr>
        <w:t>v. ROMANIA</w:t>
      </w:r>
    </w:p>
    <w:p w:rsidRPr="00CA68F3" w:rsidR="00787E12" w:rsidP="00CA68F3" w:rsidRDefault="00787E12">
      <w:pPr>
        <w:jc w:val="center"/>
      </w:pPr>
      <w:r w:rsidRPr="00CA68F3">
        <w:rPr>
          <w:i/>
          <w:iCs/>
        </w:rPr>
        <w:t>(</w:t>
      </w:r>
      <w:r w:rsidRPr="00CA68F3" w:rsidR="0092233D">
        <w:rPr>
          <w:i/>
          <w:iCs/>
        </w:rPr>
        <w:t xml:space="preserve">Applications nos. 35723/03 and </w:t>
      </w:r>
      <w:r w:rsidRPr="00CA68F3" w:rsidR="00C02BFD">
        <w:rPr>
          <w:i/>
          <w:iCs/>
        </w:rPr>
        <w:t>45096/09</w:t>
      </w:r>
      <w:r w:rsidRPr="00CA68F3">
        <w:t>)</w:t>
      </w:r>
    </w:p>
    <w:p w:rsidRPr="00CA68F3" w:rsidR="00787E12" w:rsidP="00CA68F3" w:rsidRDefault="00787E12">
      <w:pPr>
        <w:jc w:val="center"/>
        <w:rPr>
          <w:i/>
        </w:rPr>
      </w:pPr>
    </w:p>
    <w:p w:rsidRPr="00CA68F3" w:rsidR="00787E12" w:rsidP="00CA68F3" w:rsidRDefault="00787E12">
      <w:pPr>
        <w:jc w:val="center"/>
        <w:rPr>
          <w:i/>
        </w:rPr>
      </w:pPr>
    </w:p>
    <w:p w:rsidRPr="00CA68F3" w:rsidR="00787E12" w:rsidP="00CA68F3" w:rsidRDefault="00787E12">
      <w:pPr>
        <w:jc w:val="center"/>
        <w:rPr>
          <w:i/>
        </w:rPr>
      </w:pPr>
    </w:p>
    <w:p w:rsidRPr="00CA68F3" w:rsidR="00787E12" w:rsidP="00CA68F3" w:rsidRDefault="00787E12">
      <w:pPr>
        <w:jc w:val="center"/>
        <w:rPr>
          <w:i/>
        </w:rPr>
      </w:pPr>
    </w:p>
    <w:p w:rsidRPr="00CA68F3" w:rsidR="0088753C" w:rsidP="00CA68F3" w:rsidRDefault="0088753C">
      <w:pPr>
        <w:jc w:val="center"/>
        <w:rPr>
          <w:i/>
        </w:rPr>
      </w:pPr>
    </w:p>
    <w:p w:rsidRPr="00CA68F3" w:rsidR="0088753C" w:rsidP="00CA68F3" w:rsidRDefault="0088753C">
      <w:pPr>
        <w:jc w:val="center"/>
        <w:rPr>
          <w:i/>
        </w:rPr>
      </w:pPr>
    </w:p>
    <w:p w:rsidRPr="00CA68F3" w:rsidR="00787E12" w:rsidP="00CA68F3" w:rsidRDefault="00787E12">
      <w:pPr>
        <w:jc w:val="center"/>
        <w:rPr>
          <w:i/>
        </w:rPr>
      </w:pPr>
    </w:p>
    <w:p w:rsidRPr="00CA68F3" w:rsidR="00787E12" w:rsidP="00CA68F3" w:rsidRDefault="00787E12">
      <w:pPr>
        <w:jc w:val="center"/>
        <w:rPr>
          <w:i/>
        </w:rPr>
      </w:pPr>
    </w:p>
    <w:p w:rsidRPr="00CA68F3" w:rsidR="00787E12" w:rsidP="00CA68F3" w:rsidRDefault="00787E12">
      <w:pPr>
        <w:jc w:val="center"/>
        <w:outlineLvl w:val="0"/>
      </w:pPr>
      <w:r w:rsidRPr="00CA68F3">
        <w:t>JUDGMENT</w:t>
      </w:r>
    </w:p>
    <w:p w:rsidRPr="00CA68F3" w:rsidR="00787E12" w:rsidP="00CA68F3" w:rsidRDefault="00787E12">
      <w:pPr>
        <w:jc w:val="center"/>
        <w:rPr>
          <w:i/>
        </w:rPr>
      </w:pPr>
    </w:p>
    <w:p w:rsidRPr="00CA68F3" w:rsidR="00787E12" w:rsidP="00CA68F3" w:rsidRDefault="00787E12">
      <w:pPr>
        <w:jc w:val="center"/>
        <w:rPr>
          <w:i/>
        </w:rPr>
      </w:pPr>
    </w:p>
    <w:p w:rsidRPr="00CA68F3" w:rsidR="00787E12" w:rsidP="00CA68F3" w:rsidRDefault="00787E12">
      <w:pPr>
        <w:jc w:val="center"/>
        <w:outlineLvl w:val="0"/>
      </w:pPr>
      <w:r w:rsidRPr="00CA68F3">
        <w:t>STRASBOURG</w:t>
      </w:r>
    </w:p>
    <w:p w:rsidRPr="00CA68F3" w:rsidR="00787E12" w:rsidP="00CA68F3" w:rsidRDefault="00787E12">
      <w:pPr>
        <w:jc w:val="center"/>
      </w:pPr>
    </w:p>
    <w:p w:rsidRPr="00CA68F3" w:rsidR="00787E12" w:rsidP="00CA68F3" w:rsidRDefault="0092233D">
      <w:pPr>
        <w:jc w:val="center"/>
      </w:pPr>
      <w:r w:rsidRPr="00CA68F3">
        <w:t>21 February 2019</w:t>
      </w:r>
    </w:p>
    <w:p w:rsidRPr="00CA68F3" w:rsidR="00787E12" w:rsidP="00CA68F3" w:rsidRDefault="00787E12">
      <w:pPr>
        <w:jc w:val="center"/>
      </w:pPr>
    </w:p>
    <w:p w:rsidRPr="00CA68F3" w:rsidR="00787E12" w:rsidP="00CA68F3" w:rsidRDefault="00787E12">
      <w:pPr>
        <w:jc w:val="center"/>
      </w:pPr>
    </w:p>
    <w:p w:rsidRPr="00CA68F3" w:rsidR="0088753C" w:rsidP="00CA68F3" w:rsidRDefault="0088753C">
      <w:pPr>
        <w:jc w:val="center"/>
      </w:pPr>
    </w:p>
    <w:p w:rsidRPr="00CA68F3" w:rsidR="0088753C" w:rsidP="00CA68F3" w:rsidRDefault="0088753C">
      <w:pPr>
        <w:jc w:val="center"/>
      </w:pPr>
    </w:p>
    <w:p w:rsidRPr="00CA68F3" w:rsidR="00787E12" w:rsidP="00CA68F3" w:rsidRDefault="00787E12">
      <w:pPr>
        <w:jc w:val="center"/>
      </w:pPr>
    </w:p>
    <w:p w:rsidRPr="00CA68F3" w:rsidR="00787E12" w:rsidP="00CA68F3" w:rsidRDefault="00787E12">
      <w:pPr>
        <w:jc w:val="center"/>
        <w:rPr>
          <w:sz w:val="2"/>
          <w:szCs w:val="2"/>
        </w:rPr>
      </w:pPr>
      <w:r w:rsidRPr="00CA68F3">
        <w:rPr>
          <w:i/>
        </w:rPr>
        <w:t>This judgment is final but it may be subject to editorial revision.</w:t>
      </w:r>
    </w:p>
    <w:p w:rsidRPr="00CA68F3" w:rsidR="00787E12" w:rsidP="00CA68F3" w:rsidRDefault="00787E12">
      <w:pPr>
        <w:pStyle w:val="JuCase"/>
      </w:pPr>
    </w:p>
    <w:p w:rsidRPr="00CA68F3" w:rsidR="0088753C" w:rsidP="00CA68F3" w:rsidRDefault="0088753C">
      <w:pPr>
        <w:pStyle w:val="ECHRPara"/>
      </w:pPr>
    </w:p>
    <w:p w:rsidRPr="00CA68F3" w:rsidR="0088753C" w:rsidP="00CA68F3" w:rsidRDefault="0088753C">
      <w:pPr>
        <w:pStyle w:val="ECHRPara"/>
        <w:sectPr w:rsidRPr="00CA68F3" w:rsidR="0088753C"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A68F3" w:rsidR="00787E12" w:rsidP="00CA68F3" w:rsidRDefault="00787E12">
      <w:pPr>
        <w:pStyle w:val="JuCase"/>
        <w:rPr>
          <w:bCs/>
        </w:rPr>
      </w:pPr>
      <w:r w:rsidRPr="00CA68F3">
        <w:t xml:space="preserve">In the case of </w:t>
      </w:r>
      <w:proofErr w:type="spellStart"/>
      <w:r w:rsidRPr="00CA68F3" w:rsidR="0092233D">
        <w:t>Beşleagă</w:t>
      </w:r>
      <w:proofErr w:type="spellEnd"/>
      <w:r w:rsidRPr="00CA68F3" w:rsidR="0092233D">
        <w:t xml:space="preserve"> </w:t>
      </w:r>
      <w:r w:rsidRPr="00CA68F3" w:rsidR="00955756">
        <w:t xml:space="preserve">and </w:t>
      </w:r>
      <w:proofErr w:type="spellStart"/>
      <w:r w:rsidRPr="00CA68F3" w:rsidR="00955756">
        <w:t>Vankay</w:t>
      </w:r>
      <w:proofErr w:type="spellEnd"/>
      <w:r w:rsidRPr="00CA68F3" w:rsidR="00955756">
        <w:t xml:space="preserve"> </w:t>
      </w:r>
      <w:r w:rsidRPr="00CA68F3" w:rsidR="0092233D">
        <w:t>v. Romania</w:t>
      </w:r>
      <w:r w:rsidRPr="00CA68F3">
        <w:t>,</w:t>
      </w:r>
    </w:p>
    <w:p w:rsidRPr="00CA68F3" w:rsidR="00787E12" w:rsidP="00CA68F3" w:rsidRDefault="00787E12">
      <w:pPr>
        <w:pStyle w:val="ECHRPara"/>
      </w:pPr>
      <w:r w:rsidRPr="00CA68F3">
        <w:t>The European Court of Human Rights (</w:t>
      </w:r>
      <w:r w:rsidRPr="00CA68F3" w:rsidR="0092233D">
        <w:t>Fourth Section</w:t>
      </w:r>
      <w:r w:rsidRPr="00CA68F3">
        <w:t>), sitting as a Committee composed of:</w:t>
      </w:r>
    </w:p>
    <w:p w:rsidRPr="00CA68F3" w:rsidR="00787E12" w:rsidP="00CA68F3" w:rsidRDefault="00C02BFD">
      <w:pPr>
        <w:pStyle w:val="ECHRDecisionBody"/>
      </w:pPr>
      <w:r w:rsidRPr="00CA68F3">
        <w:tab/>
        <w:t>Georges Ravarani,</w:t>
      </w:r>
      <w:r w:rsidRPr="00CA68F3">
        <w:rPr>
          <w:i/>
        </w:rPr>
        <w:t xml:space="preserve"> President,</w:t>
      </w:r>
      <w:r w:rsidRPr="00CA68F3">
        <w:rPr>
          <w:i/>
        </w:rPr>
        <w:br/>
      </w:r>
      <w:r w:rsidRPr="00CA68F3">
        <w:tab/>
        <w:t xml:space="preserve">Marko </w:t>
      </w:r>
      <w:proofErr w:type="spellStart"/>
      <w:r w:rsidRPr="00CA68F3">
        <w:t>Bošnjak</w:t>
      </w:r>
      <w:proofErr w:type="spellEnd"/>
      <w:r w:rsidRPr="00CA68F3">
        <w:t>,</w:t>
      </w:r>
      <w:r w:rsidRPr="00CA68F3">
        <w:rPr>
          <w:i/>
        </w:rPr>
        <w:br/>
      </w:r>
      <w:r w:rsidRPr="00CA68F3">
        <w:tab/>
      </w:r>
      <w:proofErr w:type="spellStart"/>
      <w:r w:rsidRPr="00CA68F3">
        <w:t>Péter</w:t>
      </w:r>
      <w:proofErr w:type="spellEnd"/>
      <w:r w:rsidRPr="00CA68F3">
        <w:t xml:space="preserve"> </w:t>
      </w:r>
      <w:proofErr w:type="spellStart"/>
      <w:r w:rsidRPr="00CA68F3">
        <w:t>Paczolay</w:t>
      </w:r>
      <w:proofErr w:type="spellEnd"/>
      <w:r w:rsidRPr="00CA68F3">
        <w:t>,</w:t>
      </w:r>
      <w:r w:rsidRPr="00CA68F3">
        <w:rPr>
          <w:i/>
        </w:rPr>
        <w:t xml:space="preserve"> judges,</w:t>
      </w:r>
      <w:r w:rsidRPr="00CA68F3" w:rsidR="00787E12">
        <w:br/>
        <w:t xml:space="preserve">and </w:t>
      </w:r>
      <w:r w:rsidRPr="00CA68F3" w:rsidR="0092233D">
        <w:t>Liv</w:t>
      </w:r>
      <w:r w:rsidRPr="00CA68F3" w:rsidR="00787E12">
        <w:t xml:space="preserve"> </w:t>
      </w:r>
      <w:r w:rsidRPr="00CA68F3" w:rsidR="0092233D">
        <w:t>Tigerstedt</w:t>
      </w:r>
      <w:r w:rsidRPr="00CA68F3">
        <w:t>,</w:t>
      </w:r>
      <w:r w:rsidRPr="00CA68F3" w:rsidR="00787E12">
        <w:t xml:space="preserve"> </w:t>
      </w:r>
      <w:r w:rsidRPr="00CA68F3" w:rsidR="002541DD">
        <w:rPr>
          <w:i/>
        </w:rPr>
        <w:t>Acting</w:t>
      </w:r>
      <w:r w:rsidRPr="00CA68F3" w:rsidR="002541DD">
        <w:t xml:space="preserve"> </w:t>
      </w:r>
      <w:r w:rsidRPr="00CA68F3" w:rsidR="00787E12">
        <w:rPr>
          <w:rFonts w:cstheme="minorHAnsi"/>
          <w:i/>
        </w:rPr>
        <w:t>Deputy Section Registrar</w:t>
      </w:r>
      <w:r w:rsidRPr="00CA68F3" w:rsidR="00787E12">
        <w:rPr>
          <w:i/>
        </w:rPr>
        <w:t>,</w:t>
      </w:r>
    </w:p>
    <w:p w:rsidRPr="00CA68F3" w:rsidR="00787E12" w:rsidP="00CA68F3" w:rsidRDefault="00787E12">
      <w:pPr>
        <w:pStyle w:val="ECHRPara"/>
      </w:pPr>
      <w:r w:rsidRPr="00CA68F3">
        <w:t xml:space="preserve">Having deliberated in private on </w:t>
      </w:r>
      <w:r w:rsidRPr="00CA68F3" w:rsidR="00C02BFD">
        <w:t>31 January 2019</w:t>
      </w:r>
      <w:r w:rsidRPr="00CA68F3">
        <w:t>,</w:t>
      </w:r>
    </w:p>
    <w:p w:rsidRPr="00CA68F3" w:rsidR="006372F5" w:rsidP="00CA68F3" w:rsidRDefault="00787E12">
      <w:pPr>
        <w:pStyle w:val="ECHRPara"/>
      </w:pPr>
      <w:r w:rsidRPr="00CA68F3">
        <w:t>Delivers the following judgment, which was adopted on that date:</w:t>
      </w:r>
    </w:p>
    <w:p w:rsidRPr="00CA68F3" w:rsidR="0092233D" w:rsidP="00CA68F3" w:rsidRDefault="0092233D">
      <w:pPr>
        <w:pStyle w:val="ECHRTitle1"/>
      </w:pPr>
      <w:bookmarkStart w:name="ITMARKStartJudgment" w:id="1"/>
      <w:bookmarkEnd w:id="1"/>
      <w:r w:rsidRPr="00CA68F3">
        <w:t>PROCEDURE</w:t>
      </w:r>
    </w:p>
    <w:p w:rsidRPr="00CA68F3" w:rsidR="0092233D" w:rsidP="00CA68F3" w:rsidRDefault="0092233D">
      <w:pPr>
        <w:pStyle w:val="ECHRPara"/>
      </w:pPr>
      <w:r w:rsidRPr="00CA68F3">
        <w:t>1. </w:t>
      </w:r>
      <w:r w:rsidRPr="00CA68F3" w:rsidR="00806361">
        <w:t> </w:t>
      </w:r>
      <w:r w:rsidRPr="00CA68F3">
        <w:t>The case originated in applications against Romania lodged with the Court under Article 34 of the Convention for the Protection of Human Rights and Fundamental Freedoms (“the Convention”) on the dates indicated in the appended table.</w:t>
      </w:r>
    </w:p>
    <w:p w:rsidRPr="00CA68F3" w:rsidR="0092233D" w:rsidP="00CA68F3" w:rsidRDefault="0092233D">
      <w:pPr>
        <w:pStyle w:val="ECHRPara"/>
      </w:pPr>
      <w:r w:rsidRPr="00CA68F3">
        <w:rPr>
          <w:rFonts w:eastAsia="PMingLiU"/>
        </w:rPr>
        <w:t>2.  The applicants</w:t>
      </w:r>
      <w:r w:rsidRPr="00CA68F3" w:rsidR="00CA68F3">
        <w:rPr>
          <w:rFonts w:eastAsia="PMingLiU"/>
        </w:rPr>
        <w:t>’</w:t>
      </w:r>
      <w:r w:rsidRPr="00CA68F3">
        <w:rPr>
          <w:rFonts w:eastAsia="PMingLiU"/>
        </w:rPr>
        <w:t xml:space="preserve"> complaints under Article</w:t>
      </w:r>
      <w:r w:rsidRPr="00CA68F3">
        <w:t xml:space="preserve"> 6 § 1</w:t>
      </w:r>
      <w:r w:rsidRPr="00CA68F3">
        <w:rPr>
          <w:rFonts w:eastAsia="PMingLiU"/>
        </w:rPr>
        <w:t xml:space="preserve"> of the Convention and Article 1 of the Protocol No. 1 concerning the non-enforcement of domestic judgments were communicated to the </w:t>
      </w:r>
      <w:r w:rsidRPr="00CA68F3">
        <w:t xml:space="preserve">Romanian </w:t>
      </w:r>
      <w:r w:rsidRPr="00CA68F3">
        <w:rPr>
          <w:rFonts w:eastAsia="PMingLiU"/>
        </w:rPr>
        <w:t xml:space="preserve">Government </w:t>
      </w:r>
      <w:r w:rsidRPr="00CA68F3">
        <w:t>(“the Government”)</w:t>
      </w:r>
      <w:r w:rsidRPr="00CA68F3">
        <w:rPr>
          <w:rFonts w:eastAsia="PMingLiU"/>
        </w:rPr>
        <w:t xml:space="preserve">. In application no. </w:t>
      </w:r>
      <w:r w:rsidRPr="00CA68F3">
        <w:t xml:space="preserve">45096/09 the applicant </w:t>
      </w:r>
      <w:r w:rsidRPr="00CA68F3">
        <w:rPr>
          <w:rFonts w:eastAsia="PMingLiU"/>
        </w:rPr>
        <w:t>also raised other complaints under the provisions of the Convention.</w:t>
      </w:r>
    </w:p>
    <w:p w:rsidRPr="00CA68F3" w:rsidR="0092233D" w:rsidP="00CA68F3" w:rsidRDefault="0092233D">
      <w:pPr>
        <w:pStyle w:val="ECHRPara"/>
        <w:rPr>
          <w:rFonts w:eastAsia="PMingLiU"/>
        </w:rPr>
      </w:pPr>
      <w:r w:rsidRPr="00CA68F3">
        <w:rPr>
          <w:rFonts w:eastAsia="PMingLiU"/>
        </w:rPr>
        <w:t>3.  On 8 February 2018 a committee of three judges of the Court adopted a judgment in a group of four cases which included the current two applications (</w:t>
      </w:r>
      <w:proofErr w:type="spellStart"/>
      <w:r w:rsidRPr="00CA68F3">
        <w:rPr>
          <w:i/>
        </w:rPr>
        <w:t>Beșleagă</w:t>
      </w:r>
      <w:proofErr w:type="spellEnd"/>
      <w:r w:rsidRPr="00CA68F3">
        <w:rPr>
          <w:i/>
        </w:rPr>
        <w:t xml:space="preserve"> and Others v. Romania</w:t>
      </w:r>
      <w:r w:rsidRPr="00CA68F3">
        <w:t>, no. 35723/03 and 3 other applications)</w:t>
      </w:r>
      <w:r w:rsidRPr="00CA68F3">
        <w:rPr>
          <w:rFonts w:eastAsia="PMingLiU"/>
        </w:rPr>
        <w:t>.</w:t>
      </w:r>
    </w:p>
    <w:p w:rsidRPr="00CA68F3" w:rsidR="0092233D" w:rsidP="00CA68F3" w:rsidRDefault="0092233D">
      <w:pPr>
        <w:pStyle w:val="ECHRPara"/>
        <w:rPr>
          <w:rFonts w:eastAsia="PMingLiU"/>
        </w:rPr>
      </w:pPr>
      <w:r w:rsidRPr="00CA68F3">
        <w:rPr>
          <w:rFonts w:eastAsia="PMingLiU"/>
        </w:rPr>
        <w:t>4.  On 7 June 2018 the same committee decided to reopen the proceedings in the current two applications following a request by the Government submitted on 8 February 2018. The parties were informed accordingly.</w:t>
      </w:r>
    </w:p>
    <w:p w:rsidRPr="00CA68F3" w:rsidR="0092233D" w:rsidP="00CA68F3" w:rsidRDefault="0092233D">
      <w:pPr>
        <w:pStyle w:val="ECHRTitle1"/>
      </w:pPr>
      <w:r w:rsidRPr="00CA68F3">
        <w:t>THE FACTS</w:t>
      </w:r>
    </w:p>
    <w:p w:rsidRPr="00CA68F3" w:rsidR="0092233D" w:rsidP="00CA68F3" w:rsidRDefault="0092233D">
      <w:pPr>
        <w:pStyle w:val="ECHRPara"/>
      </w:pPr>
      <w:r w:rsidRPr="00CA68F3">
        <w:t>5.  The list of applicants and the relevant details of the applications are set out in the appended table.</w:t>
      </w:r>
    </w:p>
    <w:p w:rsidRPr="00CA68F3" w:rsidR="0092233D" w:rsidP="00CA68F3" w:rsidRDefault="0088753C">
      <w:pPr>
        <w:pStyle w:val="ECHRHeading2"/>
      </w:pPr>
      <w:r w:rsidRPr="00CA68F3">
        <w:t>A</w:t>
      </w:r>
      <w:r w:rsidRPr="00CA68F3" w:rsidR="00C02BFD">
        <w:t>.  </w:t>
      </w:r>
      <w:r w:rsidRPr="00CA68F3" w:rsidR="0092233D">
        <w:t>Application no. 35723/03</w:t>
      </w:r>
    </w:p>
    <w:p w:rsidRPr="00CA68F3" w:rsidR="0092233D" w:rsidP="00CA68F3" w:rsidRDefault="0092233D">
      <w:pPr>
        <w:pStyle w:val="ECHRPara"/>
        <w:rPr>
          <w:rFonts w:eastAsiaTheme="minorHAnsi"/>
        </w:rPr>
      </w:pPr>
      <w:r w:rsidRPr="00CA68F3">
        <w:rPr>
          <w:rFonts w:eastAsiaTheme="minorHAnsi"/>
        </w:rPr>
        <w:t xml:space="preserve">6.  On 25 September 2000 the </w:t>
      </w:r>
      <w:proofErr w:type="spellStart"/>
      <w:r w:rsidRPr="00CA68F3">
        <w:rPr>
          <w:rFonts w:eastAsiaTheme="minorHAnsi"/>
        </w:rPr>
        <w:t>Neamț</w:t>
      </w:r>
      <w:proofErr w:type="spellEnd"/>
      <w:r w:rsidRPr="00CA68F3">
        <w:rPr>
          <w:rFonts w:eastAsiaTheme="minorHAnsi"/>
        </w:rPr>
        <w:t xml:space="preserve"> County Court ordered a state</w:t>
      </w:r>
      <w:r w:rsidRPr="00CA68F3" w:rsidR="00955756">
        <w:rPr>
          <w:rFonts w:eastAsiaTheme="minorHAnsi"/>
        </w:rPr>
        <w:noBreakHyphen/>
      </w:r>
      <w:r w:rsidRPr="00CA68F3">
        <w:rPr>
          <w:rFonts w:eastAsiaTheme="minorHAnsi"/>
        </w:rPr>
        <w:t>owned company to pay the applicant due salary rights.</w:t>
      </w:r>
    </w:p>
    <w:p w:rsidRPr="00CA68F3" w:rsidR="0092233D" w:rsidP="00CA68F3" w:rsidRDefault="0092233D">
      <w:pPr>
        <w:pStyle w:val="ECHRPara"/>
        <w:rPr>
          <w:rFonts w:eastAsiaTheme="minorHAnsi"/>
        </w:rPr>
      </w:pPr>
      <w:r w:rsidRPr="00CA68F3">
        <w:rPr>
          <w:rFonts w:eastAsiaTheme="minorHAnsi"/>
        </w:rPr>
        <w:t>7.  On 9 October 2001 the Roman District Court ordered a private person to reimburse a loan to the applicant.</w:t>
      </w:r>
    </w:p>
    <w:p w:rsidRPr="00CA68F3" w:rsidR="0092233D" w:rsidP="00CA68F3" w:rsidRDefault="0088753C">
      <w:pPr>
        <w:pStyle w:val="ECHRHeading2"/>
      </w:pPr>
      <w:r w:rsidRPr="00CA68F3">
        <w:t>B</w:t>
      </w:r>
      <w:r w:rsidRPr="00CA68F3" w:rsidR="00C02BFD">
        <w:t>.  </w:t>
      </w:r>
      <w:r w:rsidRPr="00CA68F3" w:rsidR="0092233D">
        <w:t>Application no. 45096/09</w:t>
      </w:r>
    </w:p>
    <w:p w:rsidRPr="00CA68F3" w:rsidR="0092233D" w:rsidP="00CA68F3" w:rsidRDefault="0092233D">
      <w:pPr>
        <w:pStyle w:val="ECHRPara"/>
      </w:pPr>
      <w:r w:rsidRPr="00CA68F3">
        <w:rPr>
          <w:rFonts w:cs="Times New Roman"/>
        </w:rPr>
        <w:t xml:space="preserve">8.  On 14 November 2008 </w:t>
      </w:r>
      <w:r w:rsidRPr="00CA68F3">
        <w:t xml:space="preserve">the </w:t>
      </w:r>
      <w:proofErr w:type="spellStart"/>
      <w:r w:rsidRPr="00CA68F3">
        <w:t>Brașov</w:t>
      </w:r>
      <w:proofErr w:type="spellEnd"/>
      <w:r w:rsidRPr="00CA68F3">
        <w:t xml:space="preserve"> County Court ordered the municipality of </w:t>
      </w:r>
      <w:proofErr w:type="spellStart"/>
      <w:r w:rsidRPr="00CA68F3">
        <w:t>Brașov</w:t>
      </w:r>
      <w:proofErr w:type="spellEnd"/>
      <w:r w:rsidRPr="00CA68F3">
        <w:t xml:space="preserve"> to leave</w:t>
      </w:r>
      <w:r w:rsidRPr="00CA68F3">
        <w:rPr>
          <w:rFonts w:cs="Times New Roman"/>
        </w:rPr>
        <w:t xml:space="preserve"> </w:t>
      </w:r>
      <w:r w:rsidRPr="00CA68F3">
        <w:t>a plot of land in the applicant</w:t>
      </w:r>
      <w:r w:rsidRPr="00CA68F3" w:rsidR="00CA68F3">
        <w:t>’</w:t>
      </w:r>
      <w:r w:rsidRPr="00CA68F3">
        <w:t>s full property and possession.</w:t>
      </w:r>
    </w:p>
    <w:p w:rsidRPr="00CA68F3" w:rsidR="0092233D" w:rsidP="00CA68F3" w:rsidRDefault="0092233D">
      <w:pPr>
        <w:pStyle w:val="ECHRPara"/>
      </w:pPr>
      <w:r w:rsidRPr="00CA68F3">
        <w:t>9.  On 3 April 2009 the applicant signed a report, drafted on the occasion of the compulsory enforcement of the above judgment, which attested to the restoration of his possession over the land in dispute by placement of metal bars on the free area and by tracing a line with white paint over the area occupied by roads and bridge pillars belonging to the municipality.</w:t>
      </w:r>
    </w:p>
    <w:p w:rsidRPr="00CA68F3" w:rsidR="0092233D" w:rsidP="00CA68F3" w:rsidRDefault="0092233D">
      <w:pPr>
        <w:pStyle w:val="ECHRPara"/>
      </w:pPr>
      <w:bookmarkStart w:name="P11" w:id="2"/>
      <w:r w:rsidRPr="00CA68F3">
        <w:t>10</w:t>
      </w:r>
      <w:bookmarkEnd w:id="2"/>
      <w:r w:rsidRPr="00CA68F3">
        <w:t>.  On 18 July 2008 the applicant contracted a loan of 250,000 euros (EUR) from a bank, with the plot of land used as guarantee.</w:t>
      </w:r>
    </w:p>
    <w:p w:rsidRPr="00CA68F3" w:rsidR="0092233D" w:rsidP="00CA68F3" w:rsidRDefault="0092233D">
      <w:pPr>
        <w:pStyle w:val="ECHRPara"/>
      </w:pPr>
      <w:bookmarkStart w:name="P12" w:id="3"/>
      <w:r w:rsidRPr="00CA68F3">
        <w:t>11</w:t>
      </w:r>
      <w:bookmarkEnd w:id="3"/>
      <w:r w:rsidRPr="00CA68F3">
        <w:t>.  On 22 August 2011 the bank sold the land at a public auction for EUR 325,000, since the applicant had failed to repay the loan within the set deadline. In accordance with domestic law, the remaining amount after the recovery of the debt must be returned to the debtor.</w:t>
      </w:r>
    </w:p>
    <w:p w:rsidRPr="00CA68F3" w:rsidR="0092233D" w:rsidP="00CA68F3" w:rsidRDefault="0092233D">
      <w:pPr>
        <w:pStyle w:val="ECHRTitle1"/>
      </w:pPr>
      <w:r w:rsidRPr="00CA68F3">
        <w:t>THE LAW</w:t>
      </w:r>
    </w:p>
    <w:p w:rsidRPr="00CA68F3" w:rsidR="0092233D" w:rsidP="00CA68F3" w:rsidRDefault="0092233D">
      <w:pPr>
        <w:pStyle w:val="ECHRHeading1"/>
      </w:pPr>
      <w:r w:rsidRPr="00CA68F3">
        <w:t>I.  JOINDER OF THE APPLICATIONS</w:t>
      </w:r>
    </w:p>
    <w:p w:rsidRPr="00CA68F3" w:rsidR="0092233D" w:rsidP="00CA68F3" w:rsidRDefault="0092233D">
      <w:pPr>
        <w:pStyle w:val="ECHRPara"/>
      </w:pPr>
      <w:r w:rsidRPr="00CA68F3">
        <w:t>12.  Having regard to the similar subject matter of the applications, the Court finds it appropriate to examine them jointly in a single judgment.</w:t>
      </w:r>
    </w:p>
    <w:p w:rsidRPr="00CA68F3" w:rsidR="0092233D" w:rsidP="00CA68F3" w:rsidRDefault="0092233D">
      <w:pPr>
        <w:pStyle w:val="ECHRHeading1"/>
        <w:rPr>
          <w:rFonts w:eastAsia="PMingLiU"/>
        </w:rPr>
      </w:pPr>
      <w:r w:rsidRPr="00CA68F3">
        <w:t>II.</w:t>
      </w:r>
      <w:proofErr w:type="gramStart"/>
      <w:r w:rsidRPr="00CA68F3">
        <w:t>  ALLEGED</w:t>
      </w:r>
      <w:proofErr w:type="gramEnd"/>
      <w:r w:rsidRPr="00CA68F3">
        <w:t xml:space="preserve"> VIOLATION OF ARTICLE</w:t>
      </w:r>
      <w:r w:rsidRPr="00CA68F3">
        <w:rPr>
          <w:rFonts w:eastAsia="PMingLiU"/>
        </w:rPr>
        <w:t xml:space="preserve"> 6 § 1 </w:t>
      </w:r>
      <w:r w:rsidRPr="00CA68F3">
        <w:t>OF THE CONVENTION</w:t>
      </w:r>
      <w:r w:rsidRPr="00CA68F3">
        <w:rPr>
          <w:rFonts w:eastAsia="PMingLiU"/>
        </w:rPr>
        <w:t xml:space="preserve"> AND OF ARTICLE 1 OF PROTOCOL No. 1</w:t>
      </w:r>
    </w:p>
    <w:p w:rsidRPr="00CA68F3" w:rsidR="0092233D" w:rsidP="00CA68F3" w:rsidRDefault="0092233D">
      <w:pPr>
        <w:pStyle w:val="ECHRPara"/>
      </w:pPr>
      <w:r w:rsidRPr="00CA68F3">
        <w:t xml:space="preserve">13.  Both applicants complain of the non-enforcement of the judgments given in their favour. They relied, expressly or in substance, on Article </w:t>
      </w:r>
      <w:r w:rsidRPr="00CA68F3">
        <w:rPr>
          <w:rFonts w:eastAsia="PMingLiU"/>
        </w:rPr>
        <w:t>6 § 1</w:t>
      </w:r>
      <w:r w:rsidRPr="00CA68F3">
        <w:t xml:space="preserve"> of the Convention</w:t>
      </w:r>
      <w:r w:rsidRPr="00CA68F3">
        <w:rPr>
          <w:rFonts w:eastAsia="PMingLiU"/>
        </w:rPr>
        <w:t xml:space="preserve"> and on Article 1 of Protocol No. 1</w:t>
      </w:r>
      <w:r w:rsidRPr="00CA68F3">
        <w:t>, which read as follows:</w:t>
      </w:r>
    </w:p>
    <w:p w:rsidRPr="00CA68F3" w:rsidR="0092233D" w:rsidP="00CA68F3" w:rsidRDefault="0092233D">
      <w:pPr>
        <w:pStyle w:val="ECHRTitleCentre3"/>
      </w:pPr>
      <w:r w:rsidRPr="00CA68F3">
        <w:t xml:space="preserve">Article 6 </w:t>
      </w:r>
      <w:r w:rsidRPr="00CA68F3">
        <w:rPr>
          <w:rFonts w:cstheme="minorHAnsi"/>
        </w:rPr>
        <w:t>§</w:t>
      </w:r>
      <w:r w:rsidRPr="00CA68F3">
        <w:t xml:space="preserve"> 1</w:t>
      </w:r>
    </w:p>
    <w:p w:rsidRPr="00CA68F3" w:rsidR="0092233D" w:rsidP="00CA68F3" w:rsidRDefault="0092233D">
      <w:pPr>
        <w:pStyle w:val="ECHRParaQuote"/>
        <w:rPr>
          <w:rFonts w:eastAsia="PMingLiU"/>
        </w:rPr>
      </w:pPr>
      <w:r w:rsidRPr="00CA68F3">
        <w:t>“In the determination of his civil rights and obligations ... everyone is entitled to a fair ... hearing ... by [a] ... tribunal ...”</w:t>
      </w:r>
    </w:p>
    <w:p w:rsidRPr="00CA68F3" w:rsidR="0092233D" w:rsidP="00CA68F3" w:rsidRDefault="0092233D">
      <w:pPr>
        <w:pStyle w:val="ECHRTitleCentre3"/>
        <w:rPr>
          <w:rFonts w:eastAsia="PMingLiU"/>
        </w:rPr>
      </w:pPr>
      <w:r w:rsidRPr="00CA68F3">
        <w:t>Article 1 of Protocol No. 1</w:t>
      </w:r>
    </w:p>
    <w:p w:rsidRPr="00CA68F3" w:rsidR="0092233D" w:rsidP="00CA68F3" w:rsidRDefault="0092233D">
      <w:pPr>
        <w:pStyle w:val="ECHRParaQuote"/>
      </w:pPr>
      <w:r w:rsidRPr="00CA68F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A68F3" w:rsidR="0092233D" w:rsidP="00CA68F3" w:rsidRDefault="0092233D">
      <w:pPr>
        <w:pStyle w:val="ECHRParaQuote"/>
      </w:pPr>
      <w:r w:rsidRPr="00CA68F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A68F3" w:rsidR="0092233D" w:rsidP="00CA68F3" w:rsidRDefault="0088753C">
      <w:pPr>
        <w:pStyle w:val="ECHRHeading2"/>
      </w:pPr>
      <w:r w:rsidRPr="00CA68F3">
        <w:t>A</w:t>
      </w:r>
      <w:r w:rsidRPr="00CA68F3" w:rsidR="0092233D">
        <w:t>.</w:t>
      </w:r>
      <w:r w:rsidRPr="00CA68F3" w:rsidR="00C02BFD">
        <w:t>  </w:t>
      </w:r>
      <w:r w:rsidRPr="00CA68F3" w:rsidR="0092233D">
        <w:t>Application no. 35723/03</w:t>
      </w:r>
    </w:p>
    <w:p w:rsidRPr="00CA68F3" w:rsidR="0092233D" w:rsidP="00CA68F3" w:rsidRDefault="0092233D">
      <w:pPr>
        <w:pStyle w:val="ECHRPara"/>
      </w:pPr>
      <w:r w:rsidRPr="00CA68F3">
        <w:t xml:space="preserve">14.  The Court reiterates that the execution of a judgment given by any court must be regarded as an integral part of a “trial” for the purposes of Article 6. It also refers to its case-law concerning the non-enforcement or delayed enforcement of final domestic judgments (see </w:t>
      </w:r>
      <w:r w:rsidRPr="00CA68F3">
        <w:rPr>
          <w:i/>
        </w:rPr>
        <w:t>Hornsby v. Greece</w:t>
      </w:r>
      <w:r w:rsidRPr="00CA68F3">
        <w:t xml:space="preserve">, no. 18357/91, § 40, </w:t>
      </w:r>
      <w:r w:rsidRPr="00CA68F3">
        <w:rPr>
          <w:i/>
        </w:rPr>
        <w:t>Reports of Judgments and Decisions</w:t>
      </w:r>
      <w:r w:rsidRPr="00CA68F3">
        <w:t xml:space="preserve"> 1997</w:t>
      </w:r>
      <w:r w:rsidRPr="00CA68F3">
        <w:noBreakHyphen/>
        <w:t>II).</w:t>
      </w:r>
    </w:p>
    <w:p w:rsidRPr="00CA68F3" w:rsidR="0092233D" w:rsidP="00CA68F3" w:rsidRDefault="0092233D">
      <w:pPr>
        <w:pStyle w:val="ECHRPara"/>
      </w:pPr>
      <w:r w:rsidRPr="00CA68F3">
        <w:t xml:space="preserve">15.  In the leading case of </w:t>
      </w:r>
      <w:r w:rsidRPr="00CA68F3">
        <w:rPr>
          <w:i/>
        </w:rPr>
        <w:t xml:space="preserve">Foundation Hostel for Students of the Reformed Church and </w:t>
      </w:r>
      <w:proofErr w:type="spellStart"/>
      <w:r w:rsidRPr="00CA68F3">
        <w:rPr>
          <w:i/>
        </w:rPr>
        <w:t>Stanomirescu</w:t>
      </w:r>
      <w:proofErr w:type="spellEnd"/>
      <w:r w:rsidRPr="00CA68F3">
        <w:rPr>
          <w:i/>
        </w:rPr>
        <w:t xml:space="preserve"> v. Romania, </w:t>
      </w:r>
      <w:r w:rsidRPr="00CA68F3">
        <w:t>nos. 2699/03 and 43597/07, 7 January 2014, the Court already found a violation in respect of issues similar to those in the present case.</w:t>
      </w:r>
    </w:p>
    <w:p w:rsidRPr="00CA68F3" w:rsidR="0092233D" w:rsidP="00CA68F3" w:rsidRDefault="0092233D">
      <w:pPr>
        <w:pStyle w:val="ECHRPara"/>
      </w:pPr>
      <w:r w:rsidRPr="00CA68F3">
        <w:t xml:space="preserve">16.  The Court further notes that the judgment of </w:t>
      </w:r>
      <w:r w:rsidRPr="00CA68F3">
        <w:rPr>
          <w:rFonts w:eastAsiaTheme="minorHAnsi"/>
        </w:rPr>
        <w:t>25 September 2000 ordered a state-owned company to pay the applicant due salary rights</w:t>
      </w:r>
      <w:r w:rsidRPr="00CA68F3">
        <w:t>. The Court therefore considers that the judgment in question constitutes “possession” within the meaning of Article 1 of Protocol No. 1.</w:t>
      </w:r>
    </w:p>
    <w:p w:rsidRPr="00CA68F3" w:rsidR="0092233D" w:rsidP="00CA68F3" w:rsidRDefault="0092233D">
      <w:pPr>
        <w:pStyle w:val="ECHRPara"/>
      </w:pPr>
      <w:r w:rsidRPr="00CA68F3">
        <w:t>17.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judgment in the applicant</w:t>
      </w:r>
      <w:r w:rsidRPr="00CA68F3" w:rsidR="00CA68F3">
        <w:t>’</w:t>
      </w:r>
      <w:r w:rsidRPr="00CA68F3">
        <w:t>s favour.</w:t>
      </w:r>
    </w:p>
    <w:p w:rsidRPr="00CA68F3" w:rsidR="0092233D" w:rsidP="00CA68F3" w:rsidRDefault="0092233D">
      <w:pPr>
        <w:pStyle w:val="ECHRPara"/>
      </w:pPr>
      <w:r w:rsidRPr="00CA68F3">
        <w:t>18.  These complaints are therefore admissible and disclose a breach of Article </w:t>
      </w:r>
      <w:r w:rsidRPr="00CA68F3">
        <w:rPr>
          <w:rFonts w:eastAsia="PMingLiU"/>
        </w:rPr>
        <w:t>6 § 1</w:t>
      </w:r>
      <w:r w:rsidRPr="00CA68F3">
        <w:t xml:space="preserve"> of the Convention and</w:t>
      </w:r>
      <w:r w:rsidRPr="00CA68F3">
        <w:rPr>
          <w:rFonts w:eastAsia="PMingLiU"/>
        </w:rPr>
        <w:t xml:space="preserve"> Article 1 of Protocol No. 1</w:t>
      </w:r>
      <w:r w:rsidRPr="00CA68F3">
        <w:t>.</w:t>
      </w:r>
    </w:p>
    <w:p w:rsidRPr="00CA68F3" w:rsidR="0092233D" w:rsidP="00CA68F3" w:rsidRDefault="0092233D">
      <w:pPr>
        <w:pStyle w:val="ECHRPara"/>
      </w:pPr>
      <w:r w:rsidRPr="00CA68F3">
        <w:t>19.  The applicant also complained about</w:t>
      </w:r>
      <w:r w:rsidRPr="00CA68F3">
        <w:rPr>
          <w:rFonts w:eastAsia="PMingLiU"/>
        </w:rPr>
        <w:t xml:space="preserve"> the non-enforcement of the final judgment of </w:t>
      </w:r>
      <w:r w:rsidRPr="00CA68F3">
        <w:rPr>
          <w:rFonts w:eastAsiaTheme="minorHAnsi"/>
        </w:rPr>
        <w:t>9 October 2001 ordering a private person to reimburse a loan to him</w:t>
      </w:r>
      <w:r w:rsidRPr="00CA68F3">
        <w:rPr>
          <w:rFonts w:eastAsia="PMingLiU"/>
        </w:rPr>
        <w:t>.</w:t>
      </w:r>
    </w:p>
    <w:p w:rsidRPr="00CA68F3" w:rsidR="0092233D" w:rsidP="00CA68F3" w:rsidRDefault="0092233D">
      <w:pPr>
        <w:pStyle w:val="ECHRPara"/>
      </w:pPr>
      <w:r w:rsidRPr="00CA68F3">
        <w:t>20.  The Court notes that the applicant failed to make appropriate use of the available domestic legal avenues and to comply with all the procedural and substantial requirements of the domestic law, namely he failed to challenge the liquidator</w:t>
      </w:r>
      <w:r w:rsidRPr="00CA68F3" w:rsidR="00CA68F3">
        <w:t>’</w:t>
      </w:r>
      <w:r w:rsidRPr="00CA68F3">
        <w:t xml:space="preserve">s final report and he did not lodge a complaint against the bailiff for an alleged refusal to assist him with the enforcement (see </w:t>
      </w:r>
      <w:proofErr w:type="spellStart"/>
      <w:r w:rsidRPr="00CA68F3">
        <w:rPr>
          <w:i/>
        </w:rPr>
        <w:t>Ciprova</w:t>
      </w:r>
      <w:proofErr w:type="spellEnd"/>
      <w:r w:rsidRPr="00CA68F3">
        <w:rPr>
          <w:i/>
        </w:rPr>
        <w:t xml:space="preserve"> v. the Czech </w:t>
      </w:r>
      <w:r w:rsidRPr="00CA68F3">
        <w:t>Republic (</w:t>
      </w:r>
      <w:proofErr w:type="spellStart"/>
      <w:r w:rsidRPr="00CA68F3">
        <w:t>dec.</w:t>
      </w:r>
      <w:proofErr w:type="spellEnd"/>
      <w:r w:rsidRPr="00CA68F3">
        <w:t>), no. 33273/03, 22 March 2005).</w:t>
      </w:r>
    </w:p>
    <w:p w:rsidRPr="00CA68F3" w:rsidR="0092233D" w:rsidP="00CA68F3" w:rsidRDefault="0092233D">
      <w:pPr>
        <w:pStyle w:val="ECHRPara"/>
      </w:pPr>
      <w:r w:rsidRPr="00CA68F3">
        <w:t xml:space="preserve">21.  In view of the above, the Court finds that this part of the application is manifestly ill-founded and must be rejected in accordance with Article 35 </w:t>
      </w:r>
      <w:r w:rsidRPr="00CA68F3" w:rsidR="00C02BFD">
        <w:t>§§ </w:t>
      </w:r>
      <w:r w:rsidRPr="00CA68F3">
        <w:t>3 and 4 of the Convention.</w:t>
      </w:r>
    </w:p>
    <w:p w:rsidRPr="00CA68F3" w:rsidR="0092233D" w:rsidP="00CA68F3" w:rsidRDefault="0088753C">
      <w:pPr>
        <w:pStyle w:val="ECHRHeading2"/>
      </w:pPr>
      <w:r w:rsidRPr="00CA68F3">
        <w:t>B</w:t>
      </w:r>
      <w:r w:rsidRPr="00CA68F3" w:rsidR="00C02BFD">
        <w:t>.  </w:t>
      </w:r>
      <w:r w:rsidRPr="00CA68F3" w:rsidR="0092233D">
        <w:t>Application no. 45096/09</w:t>
      </w:r>
    </w:p>
    <w:p w:rsidRPr="00CA68F3" w:rsidR="0092233D" w:rsidP="00CA68F3" w:rsidRDefault="0092233D">
      <w:pPr>
        <w:pStyle w:val="ECHRPara"/>
        <w:rPr>
          <w:rFonts w:eastAsia="PMingLiU"/>
        </w:rPr>
      </w:pPr>
      <w:r w:rsidRPr="00CA68F3">
        <w:rPr>
          <w:rFonts w:eastAsia="PMingLiU"/>
        </w:rPr>
        <w:t>22.  Having examined all the material before it, the Court considers that the applicant</w:t>
      </w:r>
      <w:r w:rsidRPr="00CA68F3" w:rsidR="00CA68F3">
        <w:rPr>
          <w:rFonts w:eastAsia="PMingLiU"/>
        </w:rPr>
        <w:t>’</w:t>
      </w:r>
      <w:r w:rsidRPr="00CA68F3">
        <w:rPr>
          <w:rFonts w:eastAsia="PMingLiU"/>
        </w:rPr>
        <w:t>s complaint about the non-enforcement of the</w:t>
      </w:r>
      <w:r w:rsidRPr="00CA68F3" w:rsidR="00955756">
        <w:rPr>
          <w:rFonts w:eastAsia="PMingLiU"/>
        </w:rPr>
        <w:t xml:space="preserve"> judgment of 14 </w:t>
      </w:r>
      <w:r w:rsidRPr="00CA68F3">
        <w:rPr>
          <w:rFonts w:eastAsia="PMingLiU"/>
        </w:rPr>
        <w:t>November 2008 is inadmissible for the reasons stated below.</w:t>
      </w:r>
    </w:p>
    <w:p w:rsidRPr="00CA68F3" w:rsidR="0092233D" w:rsidP="00CA68F3" w:rsidRDefault="0092233D">
      <w:pPr>
        <w:pStyle w:val="ECHRPara"/>
        <w:rPr>
          <w:rFonts w:eastAsiaTheme="minorHAnsi"/>
        </w:rPr>
      </w:pPr>
      <w:r w:rsidRPr="00CA68F3">
        <w:rPr>
          <w:rFonts w:eastAsia="PMingLiU"/>
        </w:rPr>
        <w:t>23.  In particular, in view of the report which the applicant signed o</w:t>
      </w:r>
      <w:r w:rsidRPr="00CA68F3">
        <w:t>n 3</w:t>
      </w:r>
      <w:r w:rsidRPr="00CA68F3" w:rsidR="00C02BFD">
        <w:t> </w:t>
      </w:r>
      <w:r w:rsidRPr="00CA68F3">
        <w:t>April 2009 and the subsequent developments (see paragraphs 10 and 11 above) the Court considers that the applicant</w:t>
      </w:r>
      <w:r w:rsidRPr="00CA68F3" w:rsidR="00CA68F3">
        <w:t>’</w:t>
      </w:r>
      <w:r w:rsidRPr="00CA68F3">
        <w:t>s possession over the land in question had been in fact restored on the date of the above-mentioned report. T</w:t>
      </w:r>
      <w:r w:rsidRPr="00CA68F3">
        <w:rPr>
          <w:rFonts w:eastAsia="PMingLiU"/>
        </w:rPr>
        <w:t xml:space="preserve">he Court therefore notes that </w:t>
      </w:r>
      <w:r w:rsidRPr="00CA68F3">
        <w:t xml:space="preserve">the </w:t>
      </w:r>
      <w:r w:rsidRPr="00CA68F3">
        <w:rPr>
          <w:rFonts w:eastAsiaTheme="minorHAnsi"/>
        </w:rPr>
        <w:t>judgment in the applicant</w:t>
      </w:r>
      <w:r w:rsidRPr="00CA68F3" w:rsidR="00CA68F3">
        <w:rPr>
          <w:rFonts w:eastAsiaTheme="minorHAnsi"/>
        </w:rPr>
        <w:t>’</w:t>
      </w:r>
      <w:r w:rsidRPr="00CA68F3">
        <w:rPr>
          <w:rFonts w:eastAsiaTheme="minorHAnsi"/>
        </w:rPr>
        <w:t xml:space="preserve">s favour was enforced within 2 months. Taking </w:t>
      </w:r>
      <w:r w:rsidRPr="00CA68F3">
        <w:rPr>
          <w:rFonts w:eastAsiaTheme="minorHAnsi" w:cstheme="minorHAnsi"/>
        </w:rPr>
        <w:t xml:space="preserve">into account the conduct of the applicant as well as the conduct of the authorities, the Court concludes that the period in question is not excessive and thus does not raise an arguable claim under the Convention (see, for example, </w:t>
      </w:r>
      <w:proofErr w:type="spellStart"/>
      <w:r w:rsidRPr="00CA68F3">
        <w:rPr>
          <w:rFonts w:eastAsiaTheme="minorHAnsi" w:cstheme="minorHAnsi"/>
          <w:i/>
          <w:iCs/>
        </w:rPr>
        <w:t>Şerbănescu</w:t>
      </w:r>
      <w:proofErr w:type="spellEnd"/>
      <w:r w:rsidRPr="00CA68F3">
        <w:rPr>
          <w:rFonts w:eastAsiaTheme="minorHAnsi" w:cstheme="minorHAnsi"/>
          <w:i/>
          <w:iCs/>
        </w:rPr>
        <w:t xml:space="preserve"> v. Romania </w:t>
      </w:r>
      <w:r w:rsidRPr="00CA68F3">
        <w:rPr>
          <w:rFonts w:eastAsiaTheme="minorHAnsi" w:cstheme="minorHAnsi"/>
        </w:rPr>
        <w:t>(</w:t>
      </w:r>
      <w:proofErr w:type="spellStart"/>
      <w:r w:rsidRPr="00CA68F3">
        <w:rPr>
          <w:rFonts w:eastAsiaTheme="minorHAnsi" w:cstheme="minorHAnsi"/>
        </w:rPr>
        <w:t>dec.</w:t>
      </w:r>
      <w:proofErr w:type="spellEnd"/>
      <w:r w:rsidRPr="00CA68F3">
        <w:rPr>
          <w:rFonts w:eastAsiaTheme="minorHAnsi" w:cstheme="minorHAnsi"/>
        </w:rPr>
        <w:t>), no. 43638/10, §§ 9-10, 1 December 2016).</w:t>
      </w:r>
    </w:p>
    <w:p w:rsidRPr="00CA68F3" w:rsidR="0092233D" w:rsidP="00CA68F3" w:rsidRDefault="0092233D">
      <w:pPr>
        <w:pStyle w:val="ECHRPara"/>
      </w:pPr>
      <w:r w:rsidRPr="00CA68F3">
        <w:rPr>
          <w:rFonts w:eastAsia="PMingLiU"/>
        </w:rPr>
        <w:t>24.  The applicant</w:t>
      </w:r>
      <w:r w:rsidRPr="00CA68F3">
        <w:t xml:space="preserve"> also raised other complaints under various articles of the Convention.</w:t>
      </w:r>
    </w:p>
    <w:p w:rsidRPr="00CA68F3" w:rsidR="0092233D" w:rsidP="00CA68F3" w:rsidRDefault="0092233D">
      <w:pPr>
        <w:pStyle w:val="ECHRPara"/>
      </w:pPr>
      <w:r w:rsidRPr="00CA68F3">
        <w:t>25.  The Court has examined them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CA68F3" w:rsidR="0092233D" w:rsidP="00CA68F3" w:rsidRDefault="0092233D">
      <w:pPr>
        <w:pStyle w:val="ECHRPara"/>
      </w:pPr>
      <w:r w:rsidRPr="00CA68F3">
        <w:rPr>
          <w:rFonts w:eastAsia="PMingLiU"/>
        </w:rPr>
        <w:t>26.  In view of the above, the Court finds that this application is manifestly ill-founded and must be rejected in accordance with Article 35 §§ 3 and 4 of the Convention.</w:t>
      </w:r>
    </w:p>
    <w:p w:rsidRPr="00CA68F3" w:rsidR="0092233D" w:rsidP="00CA68F3" w:rsidRDefault="0092233D">
      <w:pPr>
        <w:pStyle w:val="ECHRHeading1"/>
      </w:pPr>
      <w:r w:rsidRPr="00CA68F3">
        <w:t>III.</w:t>
      </w:r>
      <w:proofErr w:type="gramStart"/>
      <w:r w:rsidRPr="00CA68F3">
        <w:t>  APPLICATION</w:t>
      </w:r>
      <w:proofErr w:type="gramEnd"/>
      <w:r w:rsidRPr="00CA68F3">
        <w:t xml:space="preserve"> OF ARTICLE 41 OF THE CONVENTION</w:t>
      </w:r>
    </w:p>
    <w:p w:rsidRPr="00CA68F3" w:rsidR="0092233D" w:rsidP="00CA68F3" w:rsidRDefault="0092233D">
      <w:pPr>
        <w:pStyle w:val="ECHRPara"/>
      </w:pPr>
      <w:r w:rsidRPr="00CA68F3">
        <w:t>27.  Article 41 of the Convention provides:</w:t>
      </w:r>
    </w:p>
    <w:p w:rsidRPr="00CA68F3" w:rsidR="0092233D" w:rsidP="00CA68F3" w:rsidRDefault="0092233D">
      <w:pPr>
        <w:pStyle w:val="ECHRParaQuote"/>
        <w:keepNext/>
        <w:keepLines/>
      </w:pPr>
      <w:r w:rsidRPr="00CA68F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68F3" w:rsidR="0092233D" w:rsidP="00CA68F3" w:rsidRDefault="0092233D">
      <w:pPr>
        <w:pStyle w:val="ECHRPara"/>
        <w:rPr>
          <w:rFonts w:cstheme="minorHAnsi"/>
        </w:rPr>
      </w:pPr>
      <w:r w:rsidRPr="00CA68F3">
        <w:t xml:space="preserve">28.  The Court notes that the domestic judgment </w:t>
      </w:r>
      <w:r w:rsidRPr="00CA68F3" w:rsidR="00C02BFD">
        <w:t>of 25 </w:t>
      </w:r>
      <w:r w:rsidRPr="00CA68F3">
        <w:t>September 2000 in application no. 35723/03 has remained unenforced to date. The State</w:t>
      </w:r>
      <w:r w:rsidRPr="00CA68F3" w:rsidR="00CA68F3">
        <w:t>’</w:t>
      </w:r>
      <w:r w:rsidRPr="00CA68F3">
        <w:t xml:space="preserve">s obligation to enforce this judgment is not in dispute. </w:t>
      </w:r>
      <w:r w:rsidRPr="00CA68F3">
        <w:rPr>
          <w:rFonts w:cstheme="minorHAnsi"/>
        </w:rPr>
        <w:t>Therefore, the Court considers that the respondent State has an outstanding obligation to secure, by appropriate means, enforcement of the above-mentioned judgment in the applicant</w:t>
      </w:r>
      <w:r w:rsidRPr="00CA68F3" w:rsidR="00CA68F3">
        <w:rPr>
          <w:rFonts w:cstheme="minorHAnsi"/>
        </w:rPr>
        <w:t>’</w:t>
      </w:r>
      <w:r w:rsidRPr="00CA68F3">
        <w:rPr>
          <w:rFonts w:cstheme="minorHAnsi"/>
        </w:rPr>
        <w:t xml:space="preserve">s favour (see </w:t>
      </w:r>
      <w:proofErr w:type="spellStart"/>
      <w:r w:rsidRPr="00CA68F3">
        <w:rPr>
          <w:rFonts w:cstheme="minorHAnsi"/>
          <w:i/>
        </w:rPr>
        <w:t>Pă</w:t>
      </w:r>
      <w:proofErr w:type="spellEnd"/>
      <w:r w:rsidRPr="00CA68F3">
        <w:rPr>
          <w:rFonts w:cstheme="minorHAnsi"/>
          <w:i/>
          <w:lang w:val="ro-RO"/>
        </w:rPr>
        <w:t>ș</w:t>
      </w:r>
      <w:proofErr w:type="spellStart"/>
      <w:r w:rsidRPr="00CA68F3">
        <w:rPr>
          <w:rFonts w:cstheme="minorHAnsi"/>
          <w:i/>
        </w:rPr>
        <w:t>coi</w:t>
      </w:r>
      <w:proofErr w:type="spellEnd"/>
      <w:r w:rsidRPr="00CA68F3">
        <w:rPr>
          <w:rFonts w:cstheme="minorHAnsi"/>
          <w:i/>
        </w:rPr>
        <w:t xml:space="preserve"> and Others v. Romania, </w:t>
      </w:r>
      <w:r w:rsidRPr="00CA68F3" w:rsidR="00C02BFD">
        <w:rPr>
          <w:rFonts w:cstheme="minorHAnsi"/>
        </w:rPr>
        <w:t>nos. 8675/06 and 7 </w:t>
      </w:r>
      <w:r w:rsidRPr="00CA68F3">
        <w:rPr>
          <w:rFonts w:cstheme="minorHAnsi"/>
        </w:rPr>
        <w:t>others, § 18, 7 January 2016).</w:t>
      </w:r>
    </w:p>
    <w:p w:rsidRPr="00CA68F3" w:rsidR="0092233D" w:rsidP="00CA68F3" w:rsidRDefault="0092233D">
      <w:pPr>
        <w:pStyle w:val="ECHRPara"/>
      </w:pPr>
      <w:r w:rsidRPr="00CA68F3">
        <w:rPr>
          <w:rFonts w:cstheme="minorHAnsi"/>
        </w:rPr>
        <w:t>29.  </w:t>
      </w:r>
      <w:r w:rsidRPr="00CA68F3">
        <w:rPr>
          <w:rFonts w:cstheme="minorHAnsi"/>
          <w:color w:val="000000"/>
        </w:rPr>
        <w:t>The Court further notes that in application 35723/03 the applicant failed to submit his just satisfaction claims in accordance with Rule 60 of the Rules of Court.  Accordingly, the Court does not award any sum as just satisfaction.</w:t>
      </w:r>
    </w:p>
    <w:p w:rsidRPr="00CA68F3" w:rsidR="0092233D" w:rsidP="00CA68F3" w:rsidRDefault="0092233D">
      <w:pPr>
        <w:pStyle w:val="ECHRPara"/>
      </w:pPr>
    </w:p>
    <w:p w:rsidRPr="00CA68F3" w:rsidR="0092233D" w:rsidP="00CA68F3" w:rsidRDefault="0092233D">
      <w:pPr>
        <w:pStyle w:val="ECHRTitle1"/>
      </w:pPr>
      <w:r w:rsidRPr="00CA68F3">
        <w:t>FOR THESE REASONS, THE COURT</w:t>
      </w:r>
      <w:r w:rsidRPr="00CA68F3">
        <w:rPr>
          <w:color w:val="000000"/>
        </w:rPr>
        <w:t>,</w:t>
      </w:r>
      <w:r w:rsidRPr="00CA68F3">
        <w:t xml:space="preserve"> UNANIMOUSLY,</w:t>
      </w:r>
    </w:p>
    <w:p w:rsidRPr="00CA68F3" w:rsidR="0092233D" w:rsidP="00CA68F3" w:rsidRDefault="0092233D">
      <w:pPr>
        <w:pStyle w:val="JuList"/>
      </w:pPr>
      <w:r w:rsidRPr="00CA68F3">
        <w:t>1.  </w:t>
      </w:r>
      <w:r w:rsidRPr="00CA68F3">
        <w:rPr>
          <w:i/>
        </w:rPr>
        <w:t xml:space="preserve">Declares </w:t>
      </w:r>
      <w:r w:rsidRPr="00CA68F3">
        <w:t xml:space="preserve">the complaint concerning the non-enforcement of the judgment of 25 September 2000 </w:t>
      </w:r>
      <w:r w:rsidRPr="00CA68F3">
        <w:rPr>
          <w:rFonts w:cstheme="minorHAnsi"/>
          <w:bCs/>
        </w:rPr>
        <w:t xml:space="preserve">of the </w:t>
      </w:r>
      <w:proofErr w:type="spellStart"/>
      <w:r w:rsidRPr="00CA68F3">
        <w:rPr>
          <w:rFonts w:cstheme="minorHAnsi"/>
          <w:bCs/>
        </w:rPr>
        <w:t>Neam</w:t>
      </w:r>
      <w:proofErr w:type="spellEnd"/>
      <w:r w:rsidRPr="00CA68F3">
        <w:rPr>
          <w:rFonts w:cstheme="minorHAnsi"/>
          <w:bCs/>
          <w:lang w:val="ro-RO"/>
        </w:rPr>
        <w:t xml:space="preserve">ț </w:t>
      </w:r>
      <w:proofErr w:type="spellStart"/>
      <w:r w:rsidRPr="00CA68F3">
        <w:rPr>
          <w:rFonts w:cstheme="minorHAnsi"/>
          <w:bCs/>
          <w:lang w:val="ro-RO"/>
        </w:rPr>
        <w:t>County</w:t>
      </w:r>
      <w:proofErr w:type="spellEnd"/>
      <w:r w:rsidRPr="00CA68F3">
        <w:rPr>
          <w:rFonts w:cstheme="minorHAnsi"/>
          <w:bCs/>
          <w:lang w:val="ro-RO"/>
        </w:rPr>
        <w:t xml:space="preserve"> </w:t>
      </w:r>
      <w:proofErr w:type="spellStart"/>
      <w:r w:rsidRPr="00CA68F3">
        <w:rPr>
          <w:rFonts w:cstheme="minorHAnsi"/>
          <w:bCs/>
          <w:lang w:val="ro-RO"/>
        </w:rPr>
        <w:t>Court</w:t>
      </w:r>
      <w:proofErr w:type="spellEnd"/>
      <w:r w:rsidRPr="00CA68F3">
        <w:rPr>
          <w:rFonts w:cstheme="minorHAnsi"/>
          <w:bCs/>
          <w:lang w:val="ro-RO"/>
        </w:rPr>
        <w:t xml:space="preserve"> </w:t>
      </w:r>
      <w:r w:rsidRPr="00CA68F3">
        <w:t>admissible, and the remainder of the application no. 35723</w:t>
      </w:r>
      <w:r w:rsidRPr="00CA68F3" w:rsidR="00C02BFD">
        <w:t>/03, as well as application no. </w:t>
      </w:r>
      <w:r w:rsidRPr="00CA68F3">
        <w:t>45096/09, inadmissible</w:t>
      </w:r>
      <w:r w:rsidRPr="00CA68F3" w:rsidR="00C02BFD">
        <w:t>;</w:t>
      </w:r>
    </w:p>
    <w:p w:rsidRPr="00CA68F3" w:rsidR="0092233D" w:rsidP="00CA68F3" w:rsidRDefault="0092233D">
      <w:pPr>
        <w:pStyle w:val="DecList"/>
        <w:spacing w:before="0"/>
        <w:ind w:left="0"/>
      </w:pPr>
    </w:p>
    <w:p w:rsidRPr="00CA68F3" w:rsidR="0092233D" w:rsidP="00CA68F3" w:rsidRDefault="0092233D">
      <w:pPr>
        <w:pStyle w:val="JuList"/>
        <w:rPr>
          <w:rFonts w:eastAsia="PMingLiU"/>
        </w:rPr>
      </w:pPr>
      <w:r w:rsidRPr="00CA68F3">
        <w:t>2.  </w:t>
      </w:r>
      <w:r w:rsidRPr="00CA68F3">
        <w:rPr>
          <w:i/>
        </w:rPr>
        <w:t xml:space="preserve">Holds </w:t>
      </w:r>
      <w:r w:rsidRPr="00CA68F3">
        <w:t>that there has been a violation of Article </w:t>
      </w:r>
      <w:r w:rsidRPr="00CA68F3">
        <w:rPr>
          <w:rFonts w:eastAsia="PMingLiU"/>
        </w:rPr>
        <w:t>6 § 1</w:t>
      </w:r>
      <w:r w:rsidRPr="00CA68F3">
        <w:t xml:space="preserve"> of the Convention and</w:t>
      </w:r>
      <w:r w:rsidRPr="00CA68F3">
        <w:rPr>
          <w:rFonts w:eastAsia="PMingLiU"/>
        </w:rPr>
        <w:t xml:space="preserve"> of Article 1 of Protocol No. 1</w:t>
      </w:r>
      <w:r w:rsidRPr="00CA68F3">
        <w:t xml:space="preserve"> concerning the non-enforcement of the domestic judgment of 25 Se</w:t>
      </w:r>
      <w:r w:rsidRPr="00CA68F3" w:rsidR="00C02BFD">
        <w:t>ptember 2000 in application no. </w:t>
      </w:r>
      <w:r w:rsidRPr="00CA68F3">
        <w:t>35723/03</w:t>
      </w:r>
      <w:r w:rsidRPr="00CA68F3">
        <w:rPr>
          <w:rFonts w:eastAsia="PMingLiU"/>
        </w:rPr>
        <w:t>;</w:t>
      </w:r>
    </w:p>
    <w:p w:rsidRPr="00CA68F3" w:rsidR="0092233D" w:rsidP="00CA68F3" w:rsidRDefault="0092233D">
      <w:pPr>
        <w:pStyle w:val="JuList"/>
      </w:pPr>
    </w:p>
    <w:p w:rsidRPr="00CA68F3" w:rsidR="00787E12" w:rsidP="00CA68F3" w:rsidRDefault="0092233D">
      <w:pPr>
        <w:pStyle w:val="JuList"/>
      </w:pPr>
      <w:r w:rsidRPr="00CA68F3">
        <w:t>3.  </w:t>
      </w:r>
      <w:r w:rsidRPr="00CA68F3">
        <w:rPr>
          <w:i/>
        </w:rPr>
        <w:t>Holds</w:t>
      </w:r>
      <w:r w:rsidRPr="00CA68F3">
        <w:t xml:space="preserve"> that the respondent State shall ensure, by appropriate means, within three months, the enforcement of the outstanding judgment of 25</w:t>
      </w:r>
      <w:r w:rsidRPr="00CA68F3" w:rsidR="00C02BFD">
        <w:t> </w:t>
      </w:r>
      <w:r w:rsidRPr="00CA68F3">
        <w:t xml:space="preserve">September 2000 of the </w:t>
      </w:r>
      <w:proofErr w:type="spellStart"/>
      <w:r w:rsidRPr="00CA68F3">
        <w:t>Neam</w:t>
      </w:r>
      <w:proofErr w:type="spellEnd"/>
      <w:r w:rsidRPr="00CA68F3">
        <w:rPr>
          <w:lang w:val="ro-RO"/>
        </w:rPr>
        <w:t xml:space="preserve">ț </w:t>
      </w:r>
      <w:proofErr w:type="spellStart"/>
      <w:r w:rsidRPr="00CA68F3">
        <w:rPr>
          <w:lang w:val="ro-RO"/>
        </w:rPr>
        <w:t>County</w:t>
      </w:r>
      <w:proofErr w:type="spellEnd"/>
      <w:r w:rsidRPr="00CA68F3">
        <w:rPr>
          <w:lang w:val="ro-RO"/>
        </w:rPr>
        <w:t xml:space="preserve"> </w:t>
      </w:r>
      <w:proofErr w:type="spellStart"/>
      <w:r w:rsidRPr="00CA68F3">
        <w:rPr>
          <w:lang w:val="ro-RO"/>
        </w:rPr>
        <w:t>Court</w:t>
      </w:r>
      <w:proofErr w:type="spellEnd"/>
      <w:r w:rsidRPr="00CA68F3">
        <w:rPr>
          <w:lang w:val="ro-RO"/>
        </w:rPr>
        <w:t xml:space="preserve"> </w:t>
      </w:r>
      <w:r w:rsidRPr="00CA68F3" w:rsidR="00C02BFD">
        <w:t>in application no. </w:t>
      </w:r>
      <w:r w:rsidRPr="00CA68F3">
        <w:t>35723/03.</w:t>
      </w:r>
    </w:p>
    <w:p w:rsidRPr="00CA68F3" w:rsidR="00C43D38" w:rsidP="00CA68F3" w:rsidRDefault="00C43D38">
      <w:pPr>
        <w:pStyle w:val="JuParaLast"/>
      </w:pPr>
      <w:r w:rsidRPr="00CA68F3">
        <w:t xml:space="preserve">Done in English, and notified in writing on </w:t>
      </w:r>
      <w:r w:rsidRPr="00CA68F3" w:rsidR="0092233D">
        <w:t>21 February 2019</w:t>
      </w:r>
      <w:r w:rsidRPr="00CA68F3">
        <w:t>, pursuant to Rule 77 §§ 2 and 3 of the Rules of Court.</w:t>
      </w:r>
    </w:p>
    <w:p w:rsidRPr="00CA68F3" w:rsidR="00CF644B" w:rsidP="00CA68F3" w:rsidRDefault="00E026EC">
      <w:pPr>
        <w:pStyle w:val="JuSigned"/>
        <w:tabs>
          <w:tab w:val="clear" w:pos="851"/>
          <w:tab w:val="center" w:pos="1134"/>
        </w:tabs>
        <w:rPr>
          <w:rFonts w:eastAsia="PMingLiU"/>
        </w:rPr>
      </w:pPr>
      <w:r w:rsidRPr="00CA68F3">
        <w:rPr>
          <w:rFonts w:eastAsia="PMingLiU"/>
        </w:rPr>
        <w:tab/>
      </w:r>
      <w:r w:rsidRPr="00CA68F3" w:rsidR="0092233D">
        <w:rPr>
          <w:rFonts w:eastAsia="PMingLiU"/>
        </w:rPr>
        <w:t>Liv</w:t>
      </w:r>
      <w:r w:rsidRPr="00CA68F3" w:rsidR="00787E12">
        <w:rPr>
          <w:rFonts w:eastAsia="PMingLiU"/>
        </w:rPr>
        <w:t xml:space="preserve"> </w:t>
      </w:r>
      <w:r w:rsidRPr="00CA68F3" w:rsidR="0092233D">
        <w:rPr>
          <w:rFonts w:eastAsia="PMingLiU"/>
        </w:rPr>
        <w:t>Tigerstedt</w:t>
      </w:r>
      <w:r w:rsidRPr="00CA68F3" w:rsidR="00787E12">
        <w:rPr>
          <w:rFonts w:eastAsia="PMingLiU"/>
        </w:rPr>
        <w:tab/>
      </w:r>
      <w:r w:rsidRPr="00CA68F3" w:rsidR="0092233D">
        <w:rPr>
          <w:rFonts w:eastAsia="PMingLiU"/>
        </w:rPr>
        <w:t>Georges Ravarani</w:t>
      </w:r>
    </w:p>
    <w:p w:rsidRPr="00CA68F3" w:rsidR="00787E12" w:rsidP="00CA68F3" w:rsidRDefault="002541DD">
      <w:pPr>
        <w:pStyle w:val="JuSigned"/>
        <w:tabs>
          <w:tab w:val="clear" w:pos="851"/>
          <w:tab w:val="center" w:pos="1134"/>
        </w:tabs>
        <w:contextualSpacing/>
        <w:rPr>
          <w:rFonts w:eastAsia="PMingLiU"/>
        </w:rPr>
      </w:pPr>
      <w:r w:rsidRPr="00CA68F3">
        <w:rPr>
          <w:rFonts w:eastAsia="PMingLiU"/>
        </w:rPr>
        <w:tab/>
        <w:t>Acting D</w:t>
      </w:r>
      <w:r w:rsidRPr="00CA68F3" w:rsidR="00787E12">
        <w:rPr>
          <w:rFonts w:eastAsia="PMingLiU"/>
        </w:rPr>
        <w:t>eputy Registrar</w:t>
      </w:r>
      <w:r w:rsidRPr="00CA68F3" w:rsidR="00787E12">
        <w:rPr>
          <w:rFonts w:eastAsia="PMingLiU"/>
        </w:rPr>
        <w:tab/>
        <w:t>President</w:t>
      </w:r>
    </w:p>
    <w:p w:rsidRPr="00CA68F3" w:rsidR="00787E12" w:rsidP="00CA68F3" w:rsidRDefault="00787E12">
      <w:pPr>
        <w:pStyle w:val="JuParaLast"/>
      </w:pPr>
    </w:p>
    <w:p w:rsidRPr="00CA68F3" w:rsidR="0088753C" w:rsidP="00CA68F3" w:rsidRDefault="0088753C">
      <w:pPr>
        <w:pStyle w:val="ECHRPara"/>
        <w:sectPr w:rsidRPr="00CA68F3" w:rsidR="0088753C"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A68F3" w:rsidR="00787E12" w:rsidP="00CA68F3" w:rsidRDefault="00787E12">
      <w:pPr>
        <w:pStyle w:val="DecHTitle"/>
      </w:pPr>
      <w:r w:rsidRPr="00CA68F3">
        <w:t>APPENDIX</w:t>
      </w:r>
    </w:p>
    <w:p w:rsidRPr="00CA68F3" w:rsidR="00787E12" w:rsidP="00CA68F3" w:rsidRDefault="0092233D">
      <w:pPr>
        <w:pStyle w:val="ECHRTitleCentre2"/>
        <w:contextualSpacing/>
        <w:rPr>
          <w:b/>
          <w:i/>
          <w:color w:val="3E3E3E" w:themeColor="background2" w:themeShade="40"/>
        </w:rPr>
      </w:pPr>
      <w:r w:rsidRPr="00CA68F3">
        <w:rPr>
          <w:color w:val="3E3E3E" w:themeColor="background2" w:themeShade="40"/>
        </w:rPr>
        <w:t>List of applications</w:t>
      </w:r>
      <w:r w:rsidRPr="00CA68F3" w:rsidR="00787E12">
        <w:rPr>
          <w:color w:val="3E3E3E" w:themeColor="background2" w:themeShade="40"/>
        </w:rPr>
        <w:t xml:space="preserve"> raising complaints under Article</w:t>
      </w:r>
      <w:r w:rsidRPr="00CA68F3">
        <w:rPr>
          <w:color w:val="3E3E3E" w:themeColor="background2" w:themeShade="40"/>
        </w:rPr>
        <w:t xml:space="preserve"> 6 § 1 of the Convention and Article 1 of the Protocol No. 1</w:t>
      </w:r>
    </w:p>
    <w:p w:rsidRPr="00CA68F3" w:rsidR="00787E12" w:rsidP="00CA68F3" w:rsidRDefault="00787E12">
      <w:pPr>
        <w:pStyle w:val="ECHRTitleCentre2"/>
        <w:contextualSpacing/>
        <w:rPr>
          <w:b/>
          <w:i/>
          <w:szCs w:val="24"/>
        </w:rPr>
      </w:pPr>
      <w:r w:rsidRPr="00CA68F3">
        <w:rPr>
          <w:color w:val="3E3E3E" w:themeColor="background2" w:themeShade="40"/>
        </w:rPr>
        <w:t>(</w:t>
      </w:r>
      <w:proofErr w:type="gramStart"/>
      <w:r w:rsidRPr="00CA68F3" w:rsidR="0092233D">
        <w:rPr>
          <w:color w:val="3E3E3E" w:themeColor="background2" w:themeShade="40"/>
        </w:rPr>
        <w:t>non-enforcement</w:t>
      </w:r>
      <w:proofErr w:type="gramEnd"/>
      <w:r w:rsidRPr="00CA68F3" w:rsidR="0092233D">
        <w:rPr>
          <w:color w:val="3E3E3E" w:themeColor="background2" w:themeShade="40"/>
        </w:rPr>
        <w:t xml:space="preserve"> or delayed enforcement of domestic decisions</w:t>
      </w:r>
      <w:r w:rsidRPr="00CA68F3">
        <w:rPr>
          <w:color w:val="3E3E3E" w:themeColor="background2" w:themeShade="40"/>
          <w:szCs w:val="24"/>
        </w:rPr>
        <w:t>)</w:t>
      </w:r>
    </w:p>
    <w:tbl>
      <w:tblPr>
        <w:tblStyle w:val="ECHRListTable"/>
        <w:tblW w:w="5000" w:type="pct"/>
        <w:jc w:val="center"/>
        <w:tblLook w:val="05E0" w:firstRow="1" w:lastRow="1" w:firstColumn="1" w:lastColumn="1" w:noHBand="0" w:noVBand="1"/>
      </w:tblPr>
      <w:tblGrid>
        <w:gridCol w:w="948"/>
        <w:gridCol w:w="1853"/>
        <w:gridCol w:w="2499"/>
        <w:gridCol w:w="1978"/>
        <w:gridCol w:w="2239"/>
        <w:gridCol w:w="2989"/>
      </w:tblGrid>
      <w:tr w:rsidRPr="00CA68F3" w:rsidR="00955756" w:rsidTr="00955756">
        <w:trPr>
          <w:cnfStyle w:val="100000000000" w:firstRow="1" w:lastRow="0" w:firstColumn="0" w:lastColumn="0" w:oddVBand="0" w:evenVBand="0" w:oddHBand="0" w:evenHBand="0" w:firstRowFirstColumn="0" w:firstRowLastColumn="0" w:lastRowFirstColumn="0" w:lastRowLastColumn="0"/>
          <w:jc w:val="center"/>
        </w:trPr>
        <w:tc>
          <w:tcPr>
            <w:tcW w:w="379" w:type="pct"/>
          </w:tcPr>
          <w:p w:rsidRPr="00CA68F3" w:rsidR="00955756" w:rsidP="00CA68F3" w:rsidRDefault="00955756">
            <w:pPr>
              <w:jc w:val="center"/>
              <w:rPr>
                <w:sz w:val="16"/>
              </w:rPr>
            </w:pPr>
            <w:bookmarkStart w:name="WECLListStart" w:id="4"/>
            <w:bookmarkEnd w:id="4"/>
            <w:r w:rsidRPr="00CA68F3">
              <w:rPr>
                <w:sz w:val="16"/>
              </w:rPr>
              <w:t>No.</w:t>
            </w:r>
          </w:p>
        </w:tc>
        <w:tc>
          <w:tcPr>
            <w:tcW w:w="741" w:type="pct"/>
          </w:tcPr>
          <w:p w:rsidRPr="00CA68F3" w:rsidR="00955756" w:rsidP="00CA68F3" w:rsidRDefault="00955756">
            <w:pPr>
              <w:jc w:val="center"/>
              <w:rPr>
                <w:sz w:val="16"/>
              </w:rPr>
            </w:pPr>
            <w:r w:rsidRPr="00CA68F3">
              <w:rPr>
                <w:sz w:val="16"/>
              </w:rPr>
              <w:t>Application no.</w:t>
            </w:r>
          </w:p>
          <w:p w:rsidRPr="00CA68F3" w:rsidR="00955756" w:rsidP="00CA68F3" w:rsidRDefault="00955756">
            <w:pPr>
              <w:jc w:val="center"/>
              <w:rPr>
                <w:sz w:val="16"/>
              </w:rPr>
            </w:pPr>
            <w:r w:rsidRPr="00CA68F3">
              <w:rPr>
                <w:sz w:val="16"/>
              </w:rPr>
              <w:t>Date of introduction</w:t>
            </w:r>
          </w:p>
        </w:tc>
        <w:tc>
          <w:tcPr>
            <w:tcW w:w="999" w:type="pct"/>
          </w:tcPr>
          <w:p w:rsidRPr="00CA68F3" w:rsidR="00955756" w:rsidP="00CA68F3" w:rsidRDefault="00955756">
            <w:pPr>
              <w:jc w:val="center"/>
              <w:rPr>
                <w:sz w:val="16"/>
              </w:rPr>
            </w:pPr>
            <w:r w:rsidRPr="00CA68F3">
              <w:rPr>
                <w:sz w:val="16"/>
              </w:rPr>
              <w:t>Applicant</w:t>
            </w:r>
            <w:r w:rsidRPr="00CA68F3" w:rsidR="00CA68F3">
              <w:rPr>
                <w:sz w:val="16"/>
              </w:rPr>
              <w:t>’</w:t>
            </w:r>
            <w:r w:rsidRPr="00CA68F3">
              <w:rPr>
                <w:sz w:val="16"/>
              </w:rPr>
              <w:t>s name</w:t>
            </w:r>
          </w:p>
          <w:p w:rsidRPr="00CA68F3" w:rsidR="00955756" w:rsidP="00CA68F3" w:rsidRDefault="00955756">
            <w:pPr>
              <w:jc w:val="center"/>
              <w:rPr>
                <w:sz w:val="16"/>
              </w:rPr>
            </w:pPr>
            <w:r w:rsidRPr="00CA68F3">
              <w:rPr>
                <w:sz w:val="16"/>
              </w:rPr>
              <w:t>Date of birth</w:t>
            </w:r>
          </w:p>
          <w:p w:rsidRPr="00CA68F3" w:rsidR="00955756" w:rsidP="00CA68F3" w:rsidRDefault="00955756">
            <w:pPr>
              <w:jc w:val="center"/>
              <w:rPr>
                <w:sz w:val="16"/>
              </w:rPr>
            </w:pPr>
          </w:p>
        </w:tc>
        <w:tc>
          <w:tcPr>
            <w:tcW w:w="791" w:type="pct"/>
          </w:tcPr>
          <w:p w:rsidRPr="00CA68F3" w:rsidR="00955756" w:rsidP="00CA68F3" w:rsidRDefault="00955756">
            <w:pPr>
              <w:jc w:val="center"/>
              <w:rPr>
                <w:sz w:val="16"/>
              </w:rPr>
            </w:pPr>
            <w:r w:rsidRPr="00CA68F3">
              <w:rPr>
                <w:sz w:val="16"/>
              </w:rPr>
              <w:t>Relevant domestic decision</w:t>
            </w:r>
          </w:p>
        </w:tc>
        <w:tc>
          <w:tcPr>
            <w:tcW w:w="895" w:type="pct"/>
          </w:tcPr>
          <w:p w:rsidRPr="00CA68F3" w:rsidR="00955756" w:rsidP="00CA68F3" w:rsidRDefault="00955756">
            <w:pPr>
              <w:jc w:val="center"/>
              <w:rPr>
                <w:sz w:val="16"/>
              </w:rPr>
            </w:pPr>
            <w:r w:rsidRPr="00CA68F3">
              <w:rPr>
                <w:sz w:val="16"/>
              </w:rPr>
              <w:t>Start date of non-enforcement period</w:t>
            </w:r>
          </w:p>
        </w:tc>
        <w:tc>
          <w:tcPr>
            <w:tcW w:w="1195" w:type="pct"/>
          </w:tcPr>
          <w:p w:rsidRPr="00CA68F3" w:rsidR="00955756" w:rsidP="00CA68F3" w:rsidRDefault="00955756">
            <w:pPr>
              <w:jc w:val="center"/>
              <w:rPr>
                <w:sz w:val="16"/>
              </w:rPr>
            </w:pPr>
            <w:r w:rsidRPr="00CA68F3">
              <w:rPr>
                <w:sz w:val="16"/>
              </w:rPr>
              <w:t>End date of non-enforcement period</w:t>
            </w:r>
          </w:p>
          <w:p w:rsidRPr="00CA68F3" w:rsidR="00955756" w:rsidP="00CA68F3" w:rsidRDefault="00955756">
            <w:pPr>
              <w:jc w:val="center"/>
              <w:rPr>
                <w:sz w:val="16"/>
              </w:rPr>
            </w:pPr>
            <w:r w:rsidRPr="00CA68F3">
              <w:rPr>
                <w:sz w:val="16"/>
              </w:rPr>
              <w:t>Length of enforcement proceedings</w:t>
            </w:r>
          </w:p>
        </w:tc>
      </w:tr>
      <w:tr w:rsidRPr="00CA68F3" w:rsidR="00955756" w:rsidTr="00955756">
        <w:trPr>
          <w:jc w:val="center"/>
        </w:trPr>
        <w:tc>
          <w:tcPr>
            <w:tcW w:w="379" w:type="pct"/>
          </w:tcPr>
          <w:p w:rsidRPr="00CA68F3" w:rsidR="00955756" w:rsidP="00CA68F3" w:rsidRDefault="00955756">
            <w:pPr>
              <w:pStyle w:val="ListParagraph"/>
              <w:numPr>
                <w:ilvl w:val="0"/>
                <w:numId w:val="22"/>
              </w:numPr>
              <w:tabs>
                <w:tab w:val="num" w:pos="283"/>
              </w:tabs>
              <w:ind w:left="0" w:firstLine="0"/>
              <w:jc w:val="center"/>
              <w:rPr>
                <w:sz w:val="16"/>
              </w:rPr>
            </w:pPr>
          </w:p>
        </w:tc>
        <w:tc>
          <w:tcPr>
            <w:tcW w:w="741" w:type="pct"/>
          </w:tcPr>
          <w:p w:rsidRPr="00CA68F3" w:rsidR="00955756" w:rsidP="00CA68F3" w:rsidRDefault="00955756">
            <w:pPr>
              <w:jc w:val="center"/>
              <w:rPr>
                <w:sz w:val="16"/>
              </w:rPr>
            </w:pPr>
            <w:r w:rsidRPr="00CA68F3">
              <w:rPr>
                <w:sz w:val="16"/>
              </w:rPr>
              <w:t>35723/03</w:t>
            </w:r>
          </w:p>
          <w:p w:rsidRPr="00CA68F3" w:rsidR="00955756" w:rsidP="00CA68F3" w:rsidRDefault="00955756">
            <w:pPr>
              <w:jc w:val="center"/>
              <w:rPr>
                <w:sz w:val="16"/>
              </w:rPr>
            </w:pPr>
            <w:r w:rsidRPr="00CA68F3">
              <w:rPr>
                <w:sz w:val="16"/>
              </w:rPr>
              <w:t>29/08/2003</w:t>
            </w:r>
          </w:p>
        </w:tc>
        <w:tc>
          <w:tcPr>
            <w:tcW w:w="999" w:type="pct"/>
          </w:tcPr>
          <w:p w:rsidRPr="00CA68F3" w:rsidR="00955756" w:rsidP="00CA68F3" w:rsidRDefault="00955756">
            <w:pPr>
              <w:jc w:val="center"/>
              <w:rPr>
                <w:b/>
                <w:sz w:val="16"/>
              </w:rPr>
            </w:pPr>
            <w:proofErr w:type="spellStart"/>
            <w:r w:rsidRPr="00CA68F3">
              <w:rPr>
                <w:b/>
                <w:sz w:val="16"/>
              </w:rPr>
              <w:t>Ioan</w:t>
            </w:r>
            <w:proofErr w:type="spellEnd"/>
            <w:r w:rsidRPr="00CA68F3">
              <w:rPr>
                <w:b/>
                <w:sz w:val="16"/>
              </w:rPr>
              <w:t xml:space="preserve"> </w:t>
            </w:r>
            <w:proofErr w:type="spellStart"/>
            <w:r w:rsidRPr="00CA68F3">
              <w:rPr>
                <w:b/>
                <w:sz w:val="16"/>
              </w:rPr>
              <w:t>Beşleagă</w:t>
            </w:r>
            <w:proofErr w:type="spellEnd"/>
          </w:p>
          <w:p w:rsidRPr="00CA68F3" w:rsidR="00955756" w:rsidP="00CA68F3" w:rsidRDefault="00955756">
            <w:pPr>
              <w:jc w:val="center"/>
              <w:rPr>
                <w:sz w:val="16"/>
              </w:rPr>
            </w:pPr>
            <w:r w:rsidRPr="00CA68F3">
              <w:rPr>
                <w:sz w:val="16"/>
              </w:rPr>
              <w:t>06/09/1944</w:t>
            </w:r>
          </w:p>
        </w:tc>
        <w:tc>
          <w:tcPr>
            <w:tcW w:w="791" w:type="pct"/>
          </w:tcPr>
          <w:p w:rsidRPr="00CA68F3" w:rsidR="00955756" w:rsidP="00CA68F3" w:rsidRDefault="00955756">
            <w:pPr>
              <w:jc w:val="center"/>
              <w:rPr>
                <w:sz w:val="16"/>
              </w:rPr>
            </w:pPr>
            <w:proofErr w:type="spellStart"/>
            <w:r w:rsidRPr="00CA68F3">
              <w:rPr>
                <w:sz w:val="16"/>
              </w:rPr>
              <w:t>Neamț</w:t>
            </w:r>
            <w:proofErr w:type="spellEnd"/>
            <w:r w:rsidRPr="00CA68F3">
              <w:rPr>
                <w:sz w:val="16"/>
              </w:rPr>
              <w:t xml:space="preserve"> County Court, 25/09/2000</w:t>
            </w:r>
          </w:p>
          <w:p w:rsidRPr="00CA68F3" w:rsidR="00955756" w:rsidP="00CA68F3" w:rsidRDefault="00955756">
            <w:pPr>
              <w:jc w:val="center"/>
              <w:rPr>
                <w:sz w:val="16"/>
              </w:rPr>
            </w:pPr>
          </w:p>
          <w:p w:rsidRPr="00CA68F3" w:rsidR="00955756" w:rsidP="00CA68F3" w:rsidRDefault="00955756">
            <w:pPr>
              <w:jc w:val="center"/>
              <w:rPr>
                <w:sz w:val="16"/>
              </w:rPr>
            </w:pPr>
          </w:p>
          <w:p w:rsidRPr="00CA68F3" w:rsidR="00955756" w:rsidP="00CA68F3" w:rsidRDefault="00955756">
            <w:pPr>
              <w:jc w:val="center"/>
              <w:rPr>
                <w:sz w:val="16"/>
              </w:rPr>
            </w:pPr>
            <w:r w:rsidRPr="00CA68F3">
              <w:rPr>
                <w:sz w:val="16"/>
              </w:rPr>
              <w:t>Roman District Court, 05/06/2001</w:t>
            </w:r>
          </w:p>
          <w:p w:rsidRPr="00CA68F3" w:rsidR="00955756" w:rsidP="00CA68F3" w:rsidRDefault="00955756">
            <w:pPr>
              <w:jc w:val="center"/>
              <w:rPr>
                <w:sz w:val="16"/>
              </w:rPr>
            </w:pPr>
          </w:p>
        </w:tc>
        <w:tc>
          <w:tcPr>
            <w:tcW w:w="895" w:type="pct"/>
          </w:tcPr>
          <w:p w:rsidRPr="00CA68F3" w:rsidR="00955756" w:rsidP="00CA68F3" w:rsidRDefault="00955756">
            <w:pPr>
              <w:jc w:val="center"/>
              <w:rPr>
                <w:sz w:val="16"/>
              </w:rPr>
            </w:pPr>
            <w:r w:rsidRPr="00CA68F3">
              <w:rPr>
                <w:sz w:val="16"/>
              </w:rPr>
              <w:t>25/09/2000</w:t>
            </w:r>
          </w:p>
          <w:p w:rsidRPr="00CA68F3" w:rsidR="00955756" w:rsidP="00CA68F3" w:rsidRDefault="00955756">
            <w:pPr>
              <w:jc w:val="center"/>
              <w:rPr>
                <w:sz w:val="16"/>
              </w:rPr>
            </w:pPr>
          </w:p>
          <w:p w:rsidRPr="00CA68F3" w:rsidR="00955756" w:rsidP="00CA68F3" w:rsidRDefault="00955756">
            <w:pPr>
              <w:jc w:val="center"/>
              <w:rPr>
                <w:sz w:val="16"/>
              </w:rPr>
            </w:pPr>
          </w:p>
          <w:p w:rsidRPr="00CA68F3" w:rsidR="00955756" w:rsidP="00CA68F3" w:rsidRDefault="00955756">
            <w:pPr>
              <w:jc w:val="center"/>
              <w:rPr>
                <w:sz w:val="16"/>
              </w:rPr>
            </w:pPr>
          </w:p>
          <w:p w:rsidRPr="00CA68F3" w:rsidR="00955756" w:rsidP="00CA68F3" w:rsidRDefault="00955756">
            <w:pPr>
              <w:jc w:val="center"/>
              <w:rPr>
                <w:sz w:val="16"/>
              </w:rPr>
            </w:pPr>
            <w:r w:rsidRPr="00CA68F3">
              <w:rPr>
                <w:sz w:val="16"/>
              </w:rPr>
              <w:t>09/10/2001</w:t>
            </w:r>
          </w:p>
          <w:p w:rsidRPr="00CA68F3" w:rsidR="00955756" w:rsidP="00CA68F3" w:rsidRDefault="00955756">
            <w:pPr>
              <w:jc w:val="center"/>
              <w:rPr>
                <w:sz w:val="16"/>
              </w:rPr>
            </w:pPr>
          </w:p>
        </w:tc>
        <w:tc>
          <w:tcPr>
            <w:tcW w:w="1195" w:type="pct"/>
          </w:tcPr>
          <w:p w:rsidRPr="00CA68F3" w:rsidR="00955756" w:rsidP="00CA68F3" w:rsidRDefault="00955756">
            <w:pPr>
              <w:jc w:val="center"/>
              <w:rPr>
                <w:sz w:val="16"/>
              </w:rPr>
            </w:pPr>
            <w:r w:rsidRPr="00CA68F3">
              <w:rPr>
                <w:sz w:val="16"/>
              </w:rPr>
              <w:t>pending</w:t>
            </w:r>
          </w:p>
          <w:p w:rsidRPr="00CA68F3" w:rsidR="00955756" w:rsidP="00CA68F3" w:rsidRDefault="00955756">
            <w:pPr>
              <w:jc w:val="center"/>
              <w:rPr>
                <w:sz w:val="16"/>
              </w:rPr>
            </w:pPr>
            <w:r w:rsidRPr="00CA68F3">
              <w:rPr>
                <w:sz w:val="16"/>
              </w:rPr>
              <w:t>More than 17 years and 2 months and 17 days</w:t>
            </w:r>
          </w:p>
          <w:p w:rsidRPr="00CA68F3" w:rsidR="00955756" w:rsidP="00CA68F3" w:rsidRDefault="00955756">
            <w:pPr>
              <w:jc w:val="center"/>
              <w:rPr>
                <w:sz w:val="16"/>
              </w:rPr>
            </w:pPr>
          </w:p>
          <w:p w:rsidRPr="00CA68F3" w:rsidR="00955756" w:rsidP="00CA68F3" w:rsidRDefault="00955756">
            <w:pPr>
              <w:jc w:val="center"/>
              <w:rPr>
                <w:sz w:val="16"/>
              </w:rPr>
            </w:pPr>
            <w:r w:rsidRPr="00CA68F3">
              <w:rPr>
                <w:sz w:val="16"/>
              </w:rPr>
              <w:t>pending</w:t>
            </w:r>
          </w:p>
          <w:p w:rsidRPr="00CA68F3" w:rsidR="00955756" w:rsidP="00CA68F3" w:rsidRDefault="00955756">
            <w:pPr>
              <w:jc w:val="center"/>
              <w:rPr>
                <w:sz w:val="16"/>
              </w:rPr>
            </w:pPr>
            <w:r w:rsidRPr="00CA68F3">
              <w:rPr>
                <w:sz w:val="16"/>
              </w:rPr>
              <w:t>More than 16 years and 2 months and 3 days</w:t>
            </w:r>
          </w:p>
          <w:p w:rsidRPr="00CA68F3" w:rsidR="00955756" w:rsidP="00CA68F3" w:rsidRDefault="00955756">
            <w:pPr>
              <w:jc w:val="center"/>
              <w:rPr>
                <w:sz w:val="16"/>
              </w:rPr>
            </w:pPr>
          </w:p>
        </w:tc>
      </w:tr>
      <w:tr w:rsidRPr="00CA68F3" w:rsidR="00955756" w:rsidTr="00955756">
        <w:trPr>
          <w:jc w:val="center"/>
        </w:trPr>
        <w:tc>
          <w:tcPr>
            <w:tcW w:w="379" w:type="pct"/>
          </w:tcPr>
          <w:p w:rsidRPr="00CA68F3" w:rsidR="00955756" w:rsidP="00CA68F3" w:rsidRDefault="00955756">
            <w:pPr>
              <w:pStyle w:val="ListParagraph"/>
              <w:numPr>
                <w:ilvl w:val="0"/>
                <w:numId w:val="22"/>
              </w:numPr>
              <w:tabs>
                <w:tab w:val="num" w:pos="283"/>
              </w:tabs>
              <w:ind w:left="0" w:firstLine="0"/>
              <w:jc w:val="center"/>
              <w:rPr>
                <w:sz w:val="16"/>
              </w:rPr>
            </w:pPr>
          </w:p>
        </w:tc>
        <w:tc>
          <w:tcPr>
            <w:tcW w:w="741" w:type="pct"/>
          </w:tcPr>
          <w:p w:rsidRPr="00CA68F3" w:rsidR="00955756" w:rsidP="00CA68F3" w:rsidRDefault="00955756">
            <w:pPr>
              <w:jc w:val="center"/>
              <w:rPr>
                <w:sz w:val="16"/>
              </w:rPr>
            </w:pPr>
            <w:r w:rsidRPr="00CA68F3">
              <w:rPr>
                <w:sz w:val="16"/>
              </w:rPr>
              <w:t>45096/09</w:t>
            </w:r>
          </w:p>
          <w:p w:rsidRPr="00CA68F3" w:rsidR="00955756" w:rsidP="00CA68F3" w:rsidRDefault="00955756">
            <w:pPr>
              <w:jc w:val="center"/>
              <w:rPr>
                <w:sz w:val="16"/>
              </w:rPr>
            </w:pPr>
            <w:r w:rsidRPr="00CA68F3">
              <w:rPr>
                <w:sz w:val="16"/>
              </w:rPr>
              <w:t>03/06/2009</w:t>
            </w:r>
          </w:p>
        </w:tc>
        <w:tc>
          <w:tcPr>
            <w:tcW w:w="999" w:type="pct"/>
          </w:tcPr>
          <w:p w:rsidRPr="00CA68F3" w:rsidR="00955756" w:rsidP="00CA68F3" w:rsidRDefault="00955756">
            <w:pPr>
              <w:jc w:val="center"/>
              <w:rPr>
                <w:b/>
                <w:sz w:val="16"/>
              </w:rPr>
            </w:pPr>
            <w:proofErr w:type="spellStart"/>
            <w:r w:rsidRPr="00CA68F3">
              <w:rPr>
                <w:b/>
                <w:sz w:val="16"/>
              </w:rPr>
              <w:t>Ladislau</w:t>
            </w:r>
            <w:proofErr w:type="spellEnd"/>
            <w:r w:rsidRPr="00CA68F3">
              <w:rPr>
                <w:b/>
                <w:sz w:val="16"/>
              </w:rPr>
              <w:t xml:space="preserve"> </w:t>
            </w:r>
            <w:proofErr w:type="spellStart"/>
            <w:r w:rsidRPr="00CA68F3">
              <w:rPr>
                <w:b/>
                <w:sz w:val="16"/>
              </w:rPr>
              <w:t>Vankay</w:t>
            </w:r>
            <w:proofErr w:type="spellEnd"/>
          </w:p>
          <w:p w:rsidRPr="00CA68F3" w:rsidR="00955756" w:rsidP="00CA68F3" w:rsidRDefault="00955756">
            <w:pPr>
              <w:jc w:val="center"/>
              <w:rPr>
                <w:sz w:val="16"/>
              </w:rPr>
            </w:pPr>
            <w:r w:rsidRPr="00CA68F3">
              <w:rPr>
                <w:sz w:val="16"/>
              </w:rPr>
              <w:t>19/06/1973</w:t>
            </w:r>
          </w:p>
          <w:p w:rsidRPr="00CA68F3" w:rsidR="00955756" w:rsidP="00CA68F3" w:rsidRDefault="00955756">
            <w:pPr>
              <w:jc w:val="center"/>
              <w:rPr>
                <w:sz w:val="16"/>
              </w:rPr>
            </w:pPr>
          </w:p>
          <w:p w:rsidRPr="00CA68F3" w:rsidR="00955756" w:rsidP="00CA68F3" w:rsidRDefault="00955756">
            <w:pPr>
              <w:jc w:val="center"/>
              <w:rPr>
                <w:sz w:val="16"/>
                <w:lang w:val="ro-RO"/>
              </w:rPr>
            </w:pPr>
            <w:r w:rsidRPr="00CA68F3">
              <w:rPr>
                <w:sz w:val="16"/>
              </w:rPr>
              <w:t xml:space="preserve">represented by Dan </w:t>
            </w:r>
            <w:proofErr w:type="spellStart"/>
            <w:r w:rsidRPr="00CA68F3">
              <w:rPr>
                <w:sz w:val="16"/>
              </w:rPr>
              <w:t>Iosif</w:t>
            </w:r>
            <w:proofErr w:type="spellEnd"/>
            <w:r w:rsidRPr="00CA68F3">
              <w:rPr>
                <w:sz w:val="16"/>
              </w:rPr>
              <w:t>, a lawyer practising in Bra</w:t>
            </w:r>
            <w:proofErr w:type="spellStart"/>
            <w:r w:rsidRPr="00CA68F3">
              <w:rPr>
                <w:sz w:val="16"/>
                <w:lang w:val="ro-RO"/>
              </w:rPr>
              <w:t>șov</w:t>
            </w:r>
            <w:proofErr w:type="spellEnd"/>
          </w:p>
          <w:p w:rsidRPr="00CA68F3" w:rsidR="00A328EB" w:rsidP="00CA68F3" w:rsidRDefault="00A328EB">
            <w:pPr>
              <w:jc w:val="center"/>
              <w:rPr>
                <w:sz w:val="16"/>
              </w:rPr>
            </w:pPr>
          </w:p>
        </w:tc>
        <w:tc>
          <w:tcPr>
            <w:tcW w:w="791" w:type="pct"/>
          </w:tcPr>
          <w:p w:rsidRPr="00CA68F3" w:rsidR="00955756" w:rsidP="00CA68F3" w:rsidRDefault="00955756">
            <w:pPr>
              <w:jc w:val="center"/>
              <w:rPr>
                <w:sz w:val="16"/>
              </w:rPr>
            </w:pPr>
            <w:proofErr w:type="spellStart"/>
            <w:r w:rsidRPr="00CA68F3">
              <w:rPr>
                <w:sz w:val="16"/>
              </w:rPr>
              <w:t>Brașov</w:t>
            </w:r>
            <w:proofErr w:type="spellEnd"/>
            <w:r w:rsidRPr="00CA68F3">
              <w:rPr>
                <w:sz w:val="16"/>
              </w:rPr>
              <w:t xml:space="preserve"> District Court, 14/11/2008</w:t>
            </w:r>
          </w:p>
          <w:p w:rsidRPr="00CA68F3" w:rsidR="00955756" w:rsidP="00CA68F3" w:rsidRDefault="00955756">
            <w:pPr>
              <w:jc w:val="center"/>
              <w:rPr>
                <w:sz w:val="16"/>
              </w:rPr>
            </w:pPr>
          </w:p>
        </w:tc>
        <w:tc>
          <w:tcPr>
            <w:tcW w:w="895" w:type="pct"/>
          </w:tcPr>
          <w:p w:rsidRPr="00CA68F3" w:rsidR="00955756" w:rsidP="00CA68F3" w:rsidRDefault="00955756">
            <w:pPr>
              <w:jc w:val="center"/>
              <w:rPr>
                <w:sz w:val="16"/>
              </w:rPr>
            </w:pPr>
            <w:r w:rsidRPr="00CA68F3">
              <w:rPr>
                <w:sz w:val="16"/>
              </w:rPr>
              <w:t>03/02/2009</w:t>
            </w:r>
          </w:p>
          <w:p w:rsidRPr="00CA68F3" w:rsidR="00955756" w:rsidP="00CA68F3" w:rsidRDefault="00955756">
            <w:pPr>
              <w:jc w:val="center"/>
              <w:rPr>
                <w:sz w:val="16"/>
              </w:rPr>
            </w:pPr>
          </w:p>
        </w:tc>
        <w:tc>
          <w:tcPr>
            <w:tcW w:w="1195" w:type="pct"/>
          </w:tcPr>
          <w:p w:rsidRPr="00CA68F3" w:rsidR="00955756" w:rsidP="00CA68F3" w:rsidRDefault="00955756">
            <w:pPr>
              <w:jc w:val="center"/>
              <w:rPr>
                <w:sz w:val="16"/>
              </w:rPr>
            </w:pPr>
            <w:r w:rsidRPr="00CA68F3">
              <w:rPr>
                <w:sz w:val="16"/>
              </w:rPr>
              <w:t>03/04/2009</w:t>
            </w:r>
          </w:p>
          <w:p w:rsidRPr="00CA68F3" w:rsidR="00955756" w:rsidP="00CA68F3" w:rsidRDefault="00955756">
            <w:pPr>
              <w:jc w:val="center"/>
              <w:rPr>
                <w:sz w:val="16"/>
              </w:rPr>
            </w:pPr>
            <w:r w:rsidRPr="00CA68F3">
              <w:rPr>
                <w:sz w:val="16"/>
              </w:rPr>
              <w:t>2 months</w:t>
            </w:r>
          </w:p>
          <w:p w:rsidRPr="00CA68F3" w:rsidR="00955756" w:rsidP="00CA68F3" w:rsidRDefault="00955756">
            <w:pPr>
              <w:jc w:val="center"/>
              <w:rPr>
                <w:sz w:val="16"/>
              </w:rPr>
            </w:pPr>
          </w:p>
        </w:tc>
      </w:tr>
    </w:tbl>
    <w:p w:rsidRPr="00CA68F3" w:rsidR="00791456" w:rsidP="00CA68F3" w:rsidRDefault="00791456">
      <w:pPr>
        <w:jc w:val="left"/>
      </w:pPr>
    </w:p>
    <w:sectPr w:rsidRPr="00CA68F3"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33D" w:rsidRPr="003843FD" w:rsidRDefault="0092233D" w:rsidP="00787E12">
      <w:r w:rsidRPr="003843FD">
        <w:separator/>
      </w:r>
    </w:p>
  </w:endnote>
  <w:endnote w:type="continuationSeparator" w:id="0">
    <w:p w:rsidR="0092233D" w:rsidRPr="003843FD" w:rsidRDefault="0092233D"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33D" w:rsidRPr="00150BFA" w:rsidRDefault="0092233D" w:rsidP="0020718E">
    <w:pPr>
      <w:jc w:val="center"/>
    </w:pPr>
    <w:r>
      <w:rPr>
        <w:noProof/>
        <w:lang w:val="en-US" w:eastAsia="ja-JP"/>
      </w:rPr>
      <w:drawing>
        <wp:inline distT="0" distB="0" distL="0" distR="0" wp14:anchorId="6A62791B" wp14:editId="5ECCFB8A">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33D" w:rsidRPr="003843FD" w:rsidRDefault="0092233D" w:rsidP="00787E12">
      <w:r w:rsidRPr="003843FD">
        <w:separator/>
      </w:r>
    </w:p>
  </w:footnote>
  <w:footnote w:type="continuationSeparator" w:id="0">
    <w:p w:rsidR="0092233D" w:rsidRPr="003843FD" w:rsidRDefault="0092233D" w:rsidP="00787E12">
      <w:r w:rsidRPr="003843F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33D" w:rsidRPr="00A45145" w:rsidRDefault="0092233D" w:rsidP="00A45145">
    <w:pPr>
      <w:jc w:val="center"/>
    </w:pPr>
    <w:r>
      <w:rPr>
        <w:noProof/>
        <w:lang w:val="en-US" w:eastAsia="ja-JP"/>
      </w:rPr>
      <w:drawing>
        <wp:inline distT="0" distB="0" distL="0" distR="0" wp14:anchorId="089510DC" wp14:editId="59B48ECE">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33D" w:rsidRPr="00A45145" w:rsidRDefault="0092233D" w:rsidP="00A45145">
    <w:pPr>
      <w:jc w:val="center"/>
    </w:pPr>
    <w:r>
      <w:rPr>
        <w:noProof/>
        <w:lang w:val="en-US" w:eastAsia="ja-JP"/>
      </w:rPr>
      <w:drawing>
        <wp:inline distT="0" distB="0" distL="0" distR="0" wp14:anchorId="7ED7483A" wp14:editId="23FADFA5">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92233D" w:rsidP="006372F5">
    <w:pPr>
      <w:pStyle w:val="ECHRHeader"/>
    </w:pPr>
    <w:r>
      <w:rPr>
        <w:rStyle w:val="PageNumber"/>
      </w:rPr>
      <w:fldChar w:fldCharType="begin"/>
    </w:r>
    <w:r>
      <w:rPr>
        <w:rStyle w:val="PageNumber"/>
      </w:rPr>
      <w:instrText xml:space="preserve"> PAGE </w:instrText>
    </w:r>
    <w:r>
      <w:rPr>
        <w:rStyle w:val="PageNumber"/>
      </w:rPr>
      <w:fldChar w:fldCharType="separate"/>
    </w:r>
    <w:r w:rsidR="00CA68F3">
      <w:rPr>
        <w:rStyle w:val="PageNumber"/>
        <w:noProof/>
      </w:rPr>
      <w:t>4</w:t>
    </w:r>
    <w:r>
      <w:rPr>
        <w:rStyle w:val="PageNumber"/>
      </w:rPr>
      <w:fldChar w:fldCharType="end"/>
    </w:r>
    <w:r w:rsidR="00787E12" w:rsidRPr="004D0EC7">
      <w:tab/>
    </w:r>
    <w:r>
      <w:t xml:space="preserve">BEŞLEAGĂ </w:t>
    </w:r>
    <w:r w:rsidR="00955756">
      <w:t xml:space="preserve">AND VANKAY </w:t>
    </w:r>
    <w:r>
      <w:t>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92233D">
      <w:t xml:space="preserve">BEŞLEAGĂ </w:t>
    </w:r>
    <w:r w:rsidR="00955756">
      <w:t xml:space="preserve">AND VANKAY </w:t>
    </w:r>
    <w:r w:rsidR="0092233D">
      <w:t>v. ROMANIA</w:t>
    </w:r>
    <w:r w:rsidRPr="00DE7D3F">
      <w:t xml:space="preserve"> JUDGMENT</w:t>
    </w:r>
    <w:r w:rsidRPr="00DE7D3F">
      <w:tab/>
    </w:r>
    <w:r w:rsidR="0092233D">
      <w:rPr>
        <w:rStyle w:val="PageNumber"/>
      </w:rPr>
      <w:fldChar w:fldCharType="begin"/>
    </w:r>
    <w:r w:rsidR="0092233D">
      <w:rPr>
        <w:rStyle w:val="PageNumber"/>
      </w:rPr>
      <w:instrText xml:space="preserve"> PAGE </w:instrText>
    </w:r>
    <w:r w:rsidR="0092233D">
      <w:rPr>
        <w:rStyle w:val="PageNumber"/>
      </w:rPr>
      <w:fldChar w:fldCharType="separate"/>
    </w:r>
    <w:r w:rsidR="00CA68F3">
      <w:rPr>
        <w:rStyle w:val="PageNumber"/>
        <w:noProof/>
      </w:rPr>
      <w:t>5</w:t>
    </w:r>
    <w:r w:rsidR="0092233D">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92233D"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CA68F3">
      <w:rPr>
        <w:rStyle w:val="PageNumber"/>
        <w:noProof/>
      </w:rPr>
      <w:t>6</w:t>
    </w:r>
    <w:r>
      <w:rPr>
        <w:rStyle w:val="PageNumber"/>
      </w:rPr>
      <w:fldChar w:fldCharType="end"/>
    </w:r>
    <w:r w:rsidR="00787E12" w:rsidRPr="004D0EC7">
      <w:tab/>
    </w:r>
    <w:r>
      <w:t xml:space="preserve">BEŞLEAGĂ </w:t>
    </w:r>
    <w:r w:rsidR="00955756">
      <w:t xml:space="preserve">AND VANKAY </w:t>
    </w:r>
    <w:r>
      <w:t>v. ROMANIA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92233D">
      <w:t>BEŞLEAGĂ v. ROMANIA</w:t>
    </w:r>
    <w:r w:rsidRPr="00DE7D3F">
      <w:t xml:space="preserve"> JUDGMENT</w:t>
    </w:r>
    <w:r w:rsidRPr="00DE7D3F">
      <w:tab/>
    </w:r>
    <w:r w:rsidR="0092233D">
      <w:rPr>
        <w:rStyle w:val="PageNumber"/>
      </w:rPr>
      <w:fldChar w:fldCharType="begin"/>
    </w:r>
    <w:r w:rsidR="0092233D">
      <w:rPr>
        <w:rStyle w:val="PageNumber"/>
      </w:rPr>
      <w:instrText xml:space="preserve"> PAGE </w:instrText>
    </w:r>
    <w:r w:rsidR="0092233D">
      <w:rPr>
        <w:rStyle w:val="PageNumber"/>
      </w:rPr>
      <w:fldChar w:fldCharType="separate"/>
    </w:r>
    <w:r w:rsidR="0092233D">
      <w:rPr>
        <w:rStyle w:val="PageNumber"/>
        <w:noProof/>
      </w:rPr>
      <w:t>6</w:t>
    </w:r>
    <w:r w:rsidR="0092233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C705954"/>
    <w:multiLevelType w:val="hybridMultilevel"/>
    <w:tmpl w:val="78720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233D"/>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06361"/>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8753C"/>
    <w:rsid w:val="00893576"/>
    <w:rsid w:val="00893E73"/>
    <w:rsid w:val="008B02DC"/>
    <w:rsid w:val="008B57CE"/>
    <w:rsid w:val="008C26DE"/>
    <w:rsid w:val="008D2225"/>
    <w:rsid w:val="008D4752"/>
    <w:rsid w:val="008E0215"/>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233D"/>
    <w:rsid w:val="009259AC"/>
    <w:rsid w:val="00926F38"/>
    <w:rsid w:val="00934301"/>
    <w:rsid w:val="00936CD1"/>
    <w:rsid w:val="00941747"/>
    <w:rsid w:val="00941EFB"/>
    <w:rsid w:val="00944EB0"/>
    <w:rsid w:val="00947AFB"/>
    <w:rsid w:val="00951D7D"/>
    <w:rsid w:val="00955756"/>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28EB"/>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3E8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09FE"/>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2BFD"/>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A68F3"/>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3E8A"/>
    <w:pPr>
      <w:jc w:val="both"/>
    </w:pPr>
    <w:rPr>
      <w:rFonts w:eastAsiaTheme="minorEastAsia"/>
      <w:sz w:val="24"/>
      <w:lang w:val="en-GB"/>
    </w:rPr>
  </w:style>
  <w:style w:type="paragraph" w:styleId="Heading1">
    <w:name w:val="heading 1"/>
    <w:basedOn w:val="Normal"/>
    <w:next w:val="Normal"/>
    <w:link w:val="Heading1Char"/>
    <w:uiPriority w:val="99"/>
    <w:semiHidden/>
    <w:rsid w:val="00B13E8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13E8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13E8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13E8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13E8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13E8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13E8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13E8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13E8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13E8A"/>
    <w:rPr>
      <w:rFonts w:ascii="Tahoma" w:hAnsi="Tahoma" w:cs="Tahoma"/>
      <w:sz w:val="16"/>
      <w:szCs w:val="16"/>
    </w:rPr>
  </w:style>
  <w:style w:type="character" w:customStyle="1" w:styleId="BalloonTextChar">
    <w:name w:val="Balloon Text Char"/>
    <w:basedOn w:val="DefaultParagraphFont"/>
    <w:link w:val="BalloonText"/>
    <w:uiPriority w:val="99"/>
    <w:semiHidden/>
    <w:rsid w:val="00B13E8A"/>
    <w:rPr>
      <w:rFonts w:ascii="Tahoma" w:eastAsiaTheme="minorEastAsia" w:hAnsi="Tahoma" w:cs="Tahoma"/>
      <w:sz w:val="16"/>
      <w:szCs w:val="16"/>
      <w:lang w:val="en-GB"/>
    </w:rPr>
  </w:style>
  <w:style w:type="character" w:styleId="BookTitle">
    <w:name w:val="Book Title"/>
    <w:uiPriority w:val="99"/>
    <w:semiHidden/>
    <w:qFormat/>
    <w:rsid w:val="00B13E8A"/>
    <w:rPr>
      <w:i/>
      <w:iCs/>
      <w:smallCaps/>
      <w:spacing w:val="5"/>
    </w:rPr>
  </w:style>
  <w:style w:type="paragraph" w:customStyle="1" w:styleId="ECHRHeader">
    <w:name w:val="ECHR_Header"/>
    <w:aliases w:val="Ju_Header"/>
    <w:basedOn w:val="Header"/>
    <w:uiPriority w:val="4"/>
    <w:qFormat/>
    <w:rsid w:val="00B13E8A"/>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B13E8A"/>
    <w:rPr>
      <w:color w:val="00B050"/>
    </w:rPr>
  </w:style>
  <w:style w:type="character" w:styleId="Strong">
    <w:name w:val="Strong"/>
    <w:uiPriority w:val="99"/>
    <w:semiHidden/>
    <w:qFormat/>
    <w:rsid w:val="00B13E8A"/>
    <w:rPr>
      <w:b/>
      <w:bCs/>
    </w:rPr>
  </w:style>
  <w:style w:type="paragraph" w:styleId="NoSpacing">
    <w:name w:val="No Spacing"/>
    <w:basedOn w:val="Normal"/>
    <w:link w:val="NoSpacingChar"/>
    <w:semiHidden/>
    <w:qFormat/>
    <w:rsid w:val="00B13E8A"/>
    <w:rPr>
      <w:sz w:val="22"/>
      <w:lang w:val="en-US"/>
    </w:rPr>
  </w:style>
  <w:style w:type="character" w:customStyle="1" w:styleId="NoSpacingChar">
    <w:name w:val="No Spacing Char"/>
    <w:basedOn w:val="DefaultParagraphFont"/>
    <w:link w:val="NoSpacing"/>
    <w:semiHidden/>
    <w:rsid w:val="00B13E8A"/>
    <w:rPr>
      <w:rFonts w:eastAsiaTheme="minorEastAsia"/>
    </w:rPr>
  </w:style>
  <w:style w:type="paragraph" w:customStyle="1" w:styleId="ECHRParaQuote">
    <w:name w:val="ECHR_Para_Quote"/>
    <w:aliases w:val="Ju_Quot"/>
    <w:basedOn w:val="Normal"/>
    <w:uiPriority w:val="14"/>
    <w:qFormat/>
    <w:rsid w:val="00B13E8A"/>
    <w:pPr>
      <w:spacing w:before="120" w:after="120"/>
      <w:ind w:left="425" w:firstLine="142"/>
    </w:pPr>
    <w:rPr>
      <w:sz w:val="20"/>
    </w:rPr>
  </w:style>
  <w:style w:type="paragraph" w:customStyle="1" w:styleId="JuAppQuestion">
    <w:name w:val="Ju_App_Question"/>
    <w:basedOn w:val="Normal"/>
    <w:uiPriority w:val="5"/>
    <w:semiHidden/>
    <w:qFormat/>
    <w:rsid w:val="00B13E8A"/>
    <w:pPr>
      <w:numPr>
        <w:numId w:val="26"/>
      </w:numPr>
      <w:jc w:val="left"/>
    </w:pPr>
    <w:rPr>
      <w:b/>
    </w:rPr>
  </w:style>
  <w:style w:type="paragraph" w:customStyle="1" w:styleId="JuCourt">
    <w:name w:val="Ju_Court"/>
    <w:basedOn w:val="Normal"/>
    <w:next w:val="Normal"/>
    <w:uiPriority w:val="16"/>
    <w:qFormat/>
    <w:rsid w:val="00B13E8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B13E8A"/>
    <w:pPr>
      <w:tabs>
        <w:tab w:val="center" w:pos="6407"/>
      </w:tabs>
      <w:spacing w:before="720"/>
      <w:jc w:val="right"/>
    </w:pPr>
  </w:style>
  <w:style w:type="paragraph" w:customStyle="1" w:styleId="JuLista">
    <w:name w:val="Ju_List_a"/>
    <w:basedOn w:val="JuList"/>
    <w:uiPriority w:val="28"/>
    <w:qFormat/>
    <w:rsid w:val="00B13E8A"/>
    <w:pPr>
      <w:ind w:left="346" w:firstLine="0"/>
    </w:pPr>
  </w:style>
  <w:style w:type="paragraph" w:customStyle="1" w:styleId="ECHRTitleCentre3">
    <w:name w:val="ECHR_Title_Centre_3"/>
    <w:aliases w:val="Ju_H_Article"/>
    <w:basedOn w:val="Normal"/>
    <w:next w:val="ECHRParaQuote"/>
    <w:uiPriority w:val="27"/>
    <w:qFormat/>
    <w:rsid w:val="00B13E8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13E8A"/>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B13E8A"/>
    <w:pPr>
      <w:ind w:left="794"/>
    </w:pPr>
  </w:style>
  <w:style w:type="paragraph" w:customStyle="1" w:styleId="ECHRTitle1">
    <w:name w:val="ECHR_Title_1"/>
    <w:aliases w:val="Ju_H_Head"/>
    <w:basedOn w:val="Normal"/>
    <w:next w:val="ECHRPara"/>
    <w:uiPriority w:val="18"/>
    <w:qFormat/>
    <w:rsid w:val="00B13E8A"/>
    <w:pPr>
      <w:keepNext/>
      <w:keepLines/>
      <w:spacing w:before="720" w:after="240"/>
      <w:outlineLvl w:val="0"/>
    </w:pPr>
    <w:rPr>
      <w:rFonts w:asciiTheme="majorHAnsi" w:hAnsiTheme="majorHAnsi"/>
      <w:sz w:val="28"/>
    </w:rPr>
  </w:style>
  <w:style w:type="character" w:customStyle="1" w:styleId="JUNAMES">
    <w:name w:val="JU_NAMES"/>
    <w:uiPriority w:val="17"/>
    <w:qFormat/>
    <w:rsid w:val="00B13E8A"/>
    <w:rPr>
      <w:caps w:val="0"/>
      <w:smallCaps/>
    </w:rPr>
  </w:style>
  <w:style w:type="paragraph" w:customStyle="1" w:styleId="JuParaSub">
    <w:name w:val="Ju_Para_Sub"/>
    <w:basedOn w:val="ECHRPara"/>
    <w:uiPriority w:val="13"/>
    <w:qFormat/>
    <w:rsid w:val="00B13E8A"/>
    <w:pPr>
      <w:ind w:left="284"/>
    </w:pPr>
  </w:style>
  <w:style w:type="paragraph" w:styleId="Title">
    <w:name w:val="Title"/>
    <w:basedOn w:val="Normal"/>
    <w:next w:val="Normal"/>
    <w:link w:val="TitleChar"/>
    <w:uiPriority w:val="99"/>
    <w:semiHidden/>
    <w:qFormat/>
    <w:rsid w:val="00B13E8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13E8A"/>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B13E8A"/>
    <w:pPr>
      <w:ind w:left="567"/>
    </w:pPr>
  </w:style>
  <w:style w:type="character" w:customStyle="1" w:styleId="JuITMark">
    <w:name w:val="Ju_ITMark"/>
    <w:basedOn w:val="DefaultParagraphFont"/>
    <w:uiPriority w:val="38"/>
    <w:qFormat/>
    <w:rsid w:val="00B13E8A"/>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B13E8A"/>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B13E8A"/>
    <w:pPr>
      <w:ind w:left="635" w:hanging="357"/>
      <w:outlineLvl w:val="2"/>
    </w:pPr>
  </w:style>
  <w:style w:type="paragraph" w:customStyle="1" w:styleId="ECHRHeading1">
    <w:name w:val="ECHR_Heading_1"/>
    <w:aliases w:val="Ju_H_I_Roman"/>
    <w:basedOn w:val="Heading1"/>
    <w:next w:val="ECHRPara"/>
    <w:uiPriority w:val="19"/>
    <w:qFormat/>
    <w:rsid w:val="00B13E8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13E8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13E8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13E8A"/>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B13E8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13E8A"/>
    <w:rPr>
      <w:sz w:val="24"/>
      <w:lang w:val="en-GB"/>
    </w:rPr>
  </w:style>
  <w:style w:type="character" w:customStyle="1" w:styleId="Heading1Char">
    <w:name w:val="Heading 1 Char"/>
    <w:basedOn w:val="DefaultParagraphFont"/>
    <w:link w:val="Heading1"/>
    <w:uiPriority w:val="99"/>
    <w:semiHidden/>
    <w:rsid w:val="00B13E8A"/>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B13E8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13E8A"/>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B13E8A"/>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B13E8A"/>
    <w:pPr>
      <w:keepNext/>
      <w:keepLines/>
      <w:spacing w:before="240" w:after="120"/>
      <w:ind w:left="1236"/>
    </w:pPr>
    <w:rPr>
      <w:sz w:val="20"/>
      <w:lang w:val="en-GB"/>
    </w:rPr>
  </w:style>
  <w:style w:type="paragraph" w:customStyle="1" w:styleId="JuList">
    <w:name w:val="Ju_List"/>
    <w:basedOn w:val="Normal"/>
    <w:uiPriority w:val="28"/>
    <w:qFormat/>
    <w:rsid w:val="00B13E8A"/>
    <w:pPr>
      <w:ind w:left="340" w:hanging="340"/>
    </w:pPr>
  </w:style>
  <w:style w:type="character" w:customStyle="1" w:styleId="Heading3Char">
    <w:name w:val="Heading 3 Char"/>
    <w:basedOn w:val="DefaultParagraphFont"/>
    <w:link w:val="Heading3"/>
    <w:uiPriority w:val="99"/>
    <w:semiHidden/>
    <w:rsid w:val="00B13E8A"/>
    <w:rPr>
      <w:rFonts w:asciiTheme="majorHAnsi" w:eastAsiaTheme="majorEastAsia" w:hAnsiTheme="majorHAnsi" w:cstheme="majorBidi"/>
      <w:b/>
      <w:bCs/>
      <w:color w:val="5F5F5F"/>
      <w:sz w:val="24"/>
      <w:lang w:val="en-GB"/>
    </w:rPr>
  </w:style>
  <w:style w:type="paragraph" w:customStyle="1" w:styleId="OpiHa">
    <w:name w:val="Opi_H_a"/>
    <w:basedOn w:val="ECHRHeading3"/>
    <w:uiPriority w:val="43"/>
    <w:qFormat/>
    <w:rsid w:val="00B13E8A"/>
    <w:pPr>
      <w:ind w:left="833" w:hanging="357"/>
      <w:outlineLvl w:val="3"/>
    </w:pPr>
    <w:rPr>
      <w:b/>
      <w:i w:val="0"/>
      <w:sz w:val="20"/>
    </w:rPr>
  </w:style>
  <w:style w:type="paragraph" w:customStyle="1" w:styleId="OpiHA0">
    <w:name w:val="Opi_H_A"/>
    <w:basedOn w:val="ECHRHeading1"/>
    <w:next w:val="OpiPara"/>
    <w:uiPriority w:val="41"/>
    <w:qFormat/>
    <w:rsid w:val="00B13E8A"/>
    <w:pPr>
      <w:tabs>
        <w:tab w:val="clear" w:pos="357"/>
      </w:tabs>
      <w:outlineLvl w:val="1"/>
    </w:pPr>
    <w:rPr>
      <w:b/>
    </w:rPr>
  </w:style>
  <w:style w:type="character" w:customStyle="1" w:styleId="Heading4Char">
    <w:name w:val="Heading 4 Char"/>
    <w:basedOn w:val="DefaultParagraphFont"/>
    <w:link w:val="Heading4"/>
    <w:uiPriority w:val="99"/>
    <w:semiHidden/>
    <w:rsid w:val="00B13E8A"/>
    <w:rPr>
      <w:rFonts w:asciiTheme="majorHAnsi" w:eastAsiaTheme="majorEastAsia" w:hAnsiTheme="majorHAnsi" w:cstheme="majorBidi"/>
      <w:b/>
      <w:bCs/>
      <w:i/>
      <w:iCs/>
      <w:color w:val="777777"/>
      <w:sz w:val="24"/>
      <w:lang w:val="en-GB"/>
    </w:rPr>
  </w:style>
  <w:style w:type="paragraph" w:customStyle="1" w:styleId="OpiHi">
    <w:name w:val="Opi_H_i"/>
    <w:basedOn w:val="ECHRHeading4"/>
    <w:uiPriority w:val="44"/>
    <w:qFormat/>
    <w:rsid w:val="00B13E8A"/>
    <w:pPr>
      <w:ind w:left="1037" w:hanging="357"/>
      <w:outlineLvl w:val="4"/>
    </w:pPr>
    <w:rPr>
      <w:b w:val="0"/>
      <w:i/>
    </w:rPr>
  </w:style>
  <w:style w:type="character" w:customStyle="1" w:styleId="Heading5Char">
    <w:name w:val="Heading 5 Char"/>
    <w:basedOn w:val="DefaultParagraphFont"/>
    <w:link w:val="Heading5"/>
    <w:uiPriority w:val="99"/>
    <w:semiHidden/>
    <w:rsid w:val="00B13E8A"/>
    <w:rPr>
      <w:rFonts w:asciiTheme="majorHAnsi" w:eastAsiaTheme="majorEastAsia" w:hAnsiTheme="majorHAnsi" w:cstheme="majorBidi"/>
      <w:b/>
      <w:bCs/>
      <w:color w:val="808080"/>
    </w:rPr>
  </w:style>
  <w:style w:type="paragraph" w:customStyle="1" w:styleId="OpiPara">
    <w:name w:val="Opi_Para"/>
    <w:basedOn w:val="ECHRPara"/>
    <w:uiPriority w:val="46"/>
    <w:qFormat/>
    <w:rsid w:val="00B13E8A"/>
  </w:style>
  <w:style w:type="paragraph" w:customStyle="1" w:styleId="OpiParaSub">
    <w:name w:val="Opi_Para_Sub"/>
    <w:basedOn w:val="JuParaSub"/>
    <w:uiPriority w:val="47"/>
    <w:qFormat/>
    <w:rsid w:val="00B13E8A"/>
  </w:style>
  <w:style w:type="character" w:styleId="SubtleEmphasis">
    <w:name w:val="Subtle Emphasis"/>
    <w:uiPriority w:val="99"/>
    <w:semiHidden/>
    <w:qFormat/>
    <w:rsid w:val="00B13E8A"/>
    <w:rPr>
      <w:i/>
      <w:iCs/>
    </w:rPr>
  </w:style>
  <w:style w:type="paragraph" w:customStyle="1" w:styleId="OpiQuot">
    <w:name w:val="Opi_Quot"/>
    <w:basedOn w:val="ECHRParaQuote"/>
    <w:uiPriority w:val="48"/>
    <w:qFormat/>
    <w:rsid w:val="00B13E8A"/>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B13E8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13E8A"/>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B13E8A"/>
    <w:pPr>
      <w:spacing w:after="240"/>
      <w:jc w:val="center"/>
      <w:outlineLvl w:val="0"/>
    </w:pPr>
    <w:rPr>
      <w:rFonts w:asciiTheme="majorHAnsi" w:hAnsiTheme="majorHAnsi"/>
    </w:rPr>
  </w:style>
  <w:style w:type="character" w:styleId="Emphasis">
    <w:name w:val="Emphasis"/>
    <w:uiPriority w:val="99"/>
    <w:semiHidden/>
    <w:qFormat/>
    <w:rsid w:val="00B13E8A"/>
    <w:rPr>
      <w:b/>
      <w:bCs/>
      <w:i/>
      <w:iCs/>
      <w:spacing w:val="10"/>
      <w:bdr w:val="none" w:sz="0" w:space="0" w:color="auto"/>
      <w:shd w:val="clear" w:color="auto" w:fill="auto"/>
    </w:rPr>
  </w:style>
  <w:style w:type="paragraph" w:styleId="Footer">
    <w:name w:val="footer"/>
    <w:basedOn w:val="Normal"/>
    <w:link w:val="FooterChar"/>
    <w:uiPriority w:val="57"/>
    <w:semiHidden/>
    <w:rsid w:val="00B13E8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13E8A"/>
    <w:rPr>
      <w:sz w:val="24"/>
      <w:lang w:val="en-GB"/>
    </w:rPr>
  </w:style>
  <w:style w:type="character" w:styleId="FootnoteReference">
    <w:name w:val="footnote reference"/>
    <w:basedOn w:val="DefaultParagraphFont"/>
    <w:uiPriority w:val="99"/>
    <w:semiHidden/>
    <w:rsid w:val="00B13E8A"/>
    <w:rPr>
      <w:vertAlign w:val="superscript"/>
    </w:rPr>
  </w:style>
  <w:style w:type="paragraph" w:styleId="FootnoteText">
    <w:name w:val="footnote text"/>
    <w:basedOn w:val="Normal"/>
    <w:link w:val="FootnoteTextChar"/>
    <w:uiPriority w:val="99"/>
    <w:semiHidden/>
    <w:rsid w:val="00B13E8A"/>
    <w:rPr>
      <w:sz w:val="20"/>
      <w:szCs w:val="20"/>
    </w:rPr>
  </w:style>
  <w:style w:type="character" w:customStyle="1" w:styleId="FootnoteTextChar">
    <w:name w:val="Footnote Text Char"/>
    <w:basedOn w:val="DefaultParagraphFont"/>
    <w:link w:val="FootnoteText"/>
    <w:uiPriority w:val="99"/>
    <w:semiHidden/>
    <w:rsid w:val="00B13E8A"/>
    <w:rPr>
      <w:rFonts w:eastAsiaTheme="minorEastAsia"/>
      <w:sz w:val="20"/>
      <w:szCs w:val="20"/>
      <w:lang w:val="en-GB"/>
    </w:rPr>
  </w:style>
  <w:style w:type="character" w:customStyle="1" w:styleId="Heading6Char">
    <w:name w:val="Heading 6 Char"/>
    <w:basedOn w:val="DefaultParagraphFont"/>
    <w:link w:val="Heading6"/>
    <w:uiPriority w:val="99"/>
    <w:semiHidden/>
    <w:rsid w:val="00B13E8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13E8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13E8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13E8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13E8A"/>
    <w:rPr>
      <w:color w:val="0072BC" w:themeColor="hyperlink"/>
      <w:u w:val="single"/>
    </w:rPr>
  </w:style>
  <w:style w:type="character" w:styleId="IntenseEmphasis">
    <w:name w:val="Intense Emphasis"/>
    <w:uiPriority w:val="99"/>
    <w:semiHidden/>
    <w:qFormat/>
    <w:rsid w:val="00B13E8A"/>
    <w:rPr>
      <w:b/>
      <w:bCs/>
    </w:rPr>
  </w:style>
  <w:style w:type="paragraph" w:styleId="IntenseQuote">
    <w:name w:val="Intense Quote"/>
    <w:basedOn w:val="Normal"/>
    <w:next w:val="Normal"/>
    <w:link w:val="IntenseQuoteChar"/>
    <w:uiPriority w:val="99"/>
    <w:semiHidden/>
    <w:qFormat/>
    <w:rsid w:val="00B13E8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13E8A"/>
    <w:rPr>
      <w:rFonts w:eastAsiaTheme="minorEastAsia"/>
      <w:b/>
      <w:bCs/>
      <w:i/>
      <w:iCs/>
      <w:lang w:bidi="en-US"/>
    </w:rPr>
  </w:style>
  <w:style w:type="character" w:styleId="IntenseReference">
    <w:name w:val="Intense Reference"/>
    <w:uiPriority w:val="99"/>
    <w:semiHidden/>
    <w:qFormat/>
    <w:rsid w:val="00B13E8A"/>
    <w:rPr>
      <w:smallCaps/>
      <w:spacing w:val="5"/>
      <w:u w:val="single"/>
    </w:rPr>
  </w:style>
  <w:style w:type="paragraph" w:styleId="ListParagraph">
    <w:name w:val="List Paragraph"/>
    <w:basedOn w:val="Normal"/>
    <w:uiPriority w:val="99"/>
    <w:semiHidden/>
    <w:qFormat/>
    <w:rsid w:val="00B13E8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13E8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13E8A"/>
    <w:rPr>
      <w:rFonts w:eastAsiaTheme="minorEastAsia"/>
      <w:i/>
      <w:iCs/>
      <w:lang w:bidi="en-US"/>
    </w:rPr>
  </w:style>
  <w:style w:type="character" w:styleId="SubtleReference">
    <w:name w:val="Subtle Reference"/>
    <w:uiPriority w:val="99"/>
    <w:semiHidden/>
    <w:qFormat/>
    <w:rsid w:val="00B13E8A"/>
    <w:rPr>
      <w:smallCaps/>
    </w:rPr>
  </w:style>
  <w:style w:type="table" w:styleId="TableGrid">
    <w:name w:val="Table Grid"/>
    <w:basedOn w:val="TableNormal"/>
    <w:uiPriority w:val="59"/>
    <w:semiHidden/>
    <w:rsid w:val="00B13E8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13E8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13E8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13E8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13E8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13E8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13E8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13E8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B13E8A"/>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3E8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13E8A"/>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B13E8A"/>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B13E8A"/>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B13E8A"/>
  </w:style>
  <w:style w:type="paragraph" w:customStyle="1" w:styleId="OpiQuotSub">
    <w:name w:val="Opi_Quot_Sub"/>
    <w:basedOn w:val="JuQuotSub"/>
    <w:uiPriority w:val="49"/>
    <w:qFormat/>
    <w:rsid w:val="00B13E8A"/>
  </w:style>
  <w:style w:type="paragraph" w:customStyle="1" w:styleId="JuParaLast">
    <w:name w:val="Ju_Para_Last"/>
    <w:basedOn w:val="Normal"/>
    <w:next w:val="ECHRPara"/>
    <w:uiPriority w:val="30"/>
    <w:qFormat/>
    <w:rsid w:val="00B13E8A"/>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B13E8A"/>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B13E8A"/>
    <w:rPr>
      <w:vertAlign w:val="superscript"/>
    </w:rPr>
  </w:style>
  <w:style w:type="paragraph" w:styleId="EndnoteText">
    <w:name w:val="endnote text"/>
    <w:basedOn w:val="Normal"/>
    <w:link w:val="EndnoteTextChar"/>
    <w:uiPriority w:val="99"/>
    <w:semiHidden/>
    <w:rsid w:val="00B13E8A"/>
    <w:rPr>
      <w:sz w:val="20"/>
      <w:szCs w:val="20"/>
    </w:rPr>
  </w:style>
  <w:style w:type="character" w:customStyle="1" w:styleId="EndnoteTextChar">
    <w:name w:val="Endnote Text Char"/>
    <w:basedOn w:val="DefaultParagraphFont"/>
    <w:link w:val="EndnoteText"/>
    <w:uiPriority w:val="99"/>
    <w:semiHidden/>
    <w:rsid w:val="00B13E8A"/>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13E8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13E8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B13E8A"/>
    <w:pPr>
      <w:tabs>
        <w:tab w:val="clear" w:pos="3686"/>
        <w:tab w:val="clear" w:pos="7371"/>
        <w:tab w:val="center" w:pos="6146"/>
        <w:tab w:val="right" w:pos="12293"/>
      </w:tabs>
    </w:pPr>
  </w:style>
  <w:style w:type="paragraph" w:customStyle="1" w:styleId="DecList">
    <w:name w:val="Dec_List"/>
    <w:basedOn w:val="Normal"/>
    <w:uiPriority w:val="9"/>
    <w:qFormat/>
    <w:rsid w:val="00B13E8A"/>
    <w:pPr>
      <w:spacing w:before="240"/>
      <w:ind w:left="284"/>
    </w:pPr>
  </w:style>
  <w:style w:type="paragraph" w:customStyle="1" w:styleId="ECHRFooter">
    <w:name w:val="ECHR_Footer"/>
    <w:aliases w:val="Footer_ECHR"/>
    <w:basedOn w:val="Footer"/>
    <w:uiPriority w:val="57"/>
    <w:semiHidden/>
    <w:rsid w:val="00B13E8A"/>
    <w:pPr>
      <w:jc w:val="left"/>
    </w:pPr>
    <w:rPr>
      <w:sz w:val="8"/>
    </w:rPr>
  </w:style>
  <w:style w:type="paragraph" w:customStyle="1" w:styleId="ECHRFooterLine">
    <w:name w:val="ECHR_Footer_Line"/>
    <w:aliases w:val="Footer_Line"/>
    <w:basedOn w:val="Normal"/>
    <w:next w:val="ECHRFooter"/>
    <w:uiPriority w:val="57"/>
    <w:semiHidden/>
    <w:rsid w:val="00B13E8A"/>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B13E8A"/>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E58CC6-7ECC-41DA-8073-78BC85B92D2E}"/>
</file>

<file path=customXml/itemProps2.xml><?xml version="1.0" encoding="utf-8"?>
<ds:datastoreItem xmlns:ds="http://schemas.openxmlformats.org/officeDocument/2006/customXml" ds:itemID="{CC1BB305-353E-4976-A5DF-0FA74260C737}"/>
</file>

<file path=customXml/itemProps3.xml><?xml version="1.0" encoding="utf-8"?>
<ds:datastoreItem xmlns:ds="http://schemas.openxmlformats.org/officeDocument/2006/customXml" ds:itemID="{A2F2FCFA-DAC2-4BFC-9544-8DC268D07C6D}"/>
</file>

<file path=customXml/itemProps4.xml><?xml version="1.0" encoding="utf-8"?>
<ds:datastoreItem xmlns:ds="http://schemas.openxmlformats.org/officeDocument/2006/customXml" ds:itemID="{14A1CFD2-71F9-4AC9-8170-D7A07BA95A91}"/>
</file>

<file path=docProps/app.xml><?xml version="1.0" encoding="utf-8"?>
<Properties xmlns="http://schemas.openxmlformats.org/officeDocument/2006/extended-properties" xmlns:vt="http://schemas.openxmlformats.org/officeDocument/2006/docPropsVTypes">
  <Template>Normal.dotm</Template>
  <TotalTime>0</TotalTime>
  <Pages>1</Pages>
  <Words>1619</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2019-08-31T10:45:00Z</dcterms:created>
  <dcterms:modified xsi:type="dcterms:W3CDTF">2019-08-31T10:45:00Z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35723/03</vt:lpwstr>
  </property>
  <property fmtid="{D5CDD505-2E9C-101B-9397-08002B2CF9AE}" pid="4" name="CASEID">
    <vt:lpwstr>280593</vt:lpwstr>
  </property>
  <property fmtid="{D5CDD505-2E9C-101B-9397-08002B2CF9AE}" pid="5" name="ContentTypeId">
    <vt:lpwstr>0x010100558EB02BDB9E204AB350EDD385B68E10</vt:lpwstr>
  </property>
</Properties>
</file>