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D57E6" w:rsidR="00D420F3" w:rsidP="00CD57E6" w:rsidRDefault="00D420F3">
      <w:pPr>
        <w:jc w:val="center"/>
      </w:pPr>
      <w:bookmarkStart w:name="_GoBack" w:id="0"/>
      <w:bookmarkEnd w:id="0"/>
    </w:p>
    <w:p w:rsidRPr="00CD57E6" w:rsidR="008453E6" w:rsidP="00CD57E6" w:rsidRDefault="008453E6">
      <w:pPr>
        <w:jc w:val="center"/>
      </w:pPr>
    </w:p>
    <w:p w:rsidRPr="00CD57E6" w:rsidR="008453E6" w:rsidP="00CD57E6" w:rsidRDefault="008453E6">
      <w:pPr>
        <w:jc w:val="center"/>
      </w:pPr>
    </w:p>
    <w:p w:rsidRPr="00CD57E6" w:rsidR="00D420F3" w:rsidP="00CD57E6" w:rsidRDefault="002B514C">
      <w:pPr>
        <w:jc w:val="center"/>
      </w:pPr>
      <w:r w:rsidRPr="00CD57E6">
        <w:t>FIRST SECTION</w:t>
      </w:r>
    </w:p>
    <w:p w:rsidRPr="00CD57E6" w:rsidR="00D420F3" w:rsidP="00CD57E6" w:rsidRDefault="00D420F3">
      <w:pPr>
        <w:jc w:val="center"/>
      </w:pPr>
    </w:p>
    <w:p w:rsidRPr="00CD57E6" w:rsidR="008453E6" w:rsidP="00CD57E6" w:rsidRDefault="008453E6">
      <w:pPr>
        <w:jc w:val="center"/>
      </w:pPr>
    </w:p>
    <w:p w:rsidRPr="00CD57E6" w:rsidR="008453E6" w:rsidP="00CD57E6" w:rsidRDefault="008453E6">
      <w:pPr>
        <w:jc w:val="center"/>
      </w:pPr>
    </w:p>
    <w:p w:rsidRPr="00CD57E6" w:rsidR="008453E6" w:rsidP="00CD57E6" w:rsidRDefault="008453E6">
      <w:pPr>
        <w:jc w:val="center"/>
      </w:pPr>
    </w:p>
    <w:p w:rsidRPr="00CD57E6" w:rsidR="008453E6" w:rsidP="00CD57E6" w:rsidRDefault="008453E6">
      <w:pPr>
        <w:jc w:val="center"/>
      </w:pPr>
    </w:p>
    <w:p w:rsidRPr="00CD57E6" w:rsidR="008453E6" w:rsidP="00CD57E6" w:rsidRDefault="008453E6">
      <w:pPr>
        <w:jc w:val="center"/>
      </w:pPr>
    </w:p>
    <w:p w:rsidRPr="00CD57E6" w:rsidR="00D420F3" w:rsidP="00CD57E6" w:rsidRDefault="0077175D">
      <w:pPr>
        <w:jc w:val="center"/>
        <w:rPr>
          <w:b/>
        </w:rPr>
      </w:pPr>
      <w:bookmarkStart w:name="To" w:id="1"/>
      <w:r w:rsidRPr="00CD57E6">
        <w:rPr>
          <w:b/>
        </w:rPr>
        <w:t xml:space="preserve">CASE OF </w:t>
      </w:r>
      <w:bookmarkEnd w:id="1"/>
      <w:r w:rsidRPr="00CD57E6" w:rsidR="002B514C">
        <w:rPr>
          <w:b/>
        </w:rPr>
        <w:t>VARDANYAN AND HAKHVERDYAN v. ARMENIA</w:t>
      </w:r>
    </w:p>
    <w:p w:rsidRPr="00CD57E6" w:rsidR="00D420F3" w:rsidP="00CD57E6" w:rsidRDefault="00D420F3">
      <w:pPr>
        <w:jc w:val="center"/>
      </w:pPr>
    </w:p>
    <w:p w:rsidRPr="00CD57E6" w:rsidR="00D420F3" w:rsidP="00CD57E6" w:rsidRDefault="0077175D">
      <w:pPr>
        <w:jc w:val="center"/>
        <w:rPr>
          <w:i/>
        </w:rPr>
      </w:pPr>
      <w:r w:rsidRPr="00CD57E6">
        <w:rPr>
          <w:i/>
        </w:rPr>
        <w:t>(</w:t>
      </w:r>
      <w:r w:rsidRPr="00CD57E6" w:rsidR="002B514C">
        <w:rPr>
          <w:i/>
        </w:rPr>
        <w:t>Application no. 4178/10</w:t>
      </w:r>
      <w:r w:rsidRPr="00CD57E6">
        <w:rPr>
          <w:i/>
        </w:rPr>
        <w:t>)</w:t>
      </w:r>
    </w:p>
    <w:p w:rsidRPr="00CD57E6" w:rsidR="00D420F3" w:rsidP="00CD57E6" w:rsidRDefault="00D420F3">
      <w:pPr>
        <w:jc w:val="center"/>
      </w:pPr>
    </w:p>
    <w:p w:rsidRPr="00CD57E6" w:rsidR="00D420F3" w:rsidP="00CD57E6" w:rsidRDefault="00D420F3">
      <w:pPr>
        <w:jc w:val="center"/>
      </w:pPr>
    </w:p>
    <w:p w:rsidRPr="00CD57E6" w:rsidR="00D420F3" w:rsidP="00CD57E6" w:rsidRDefault="00D420F3">
      <w:pPr>
        <w:jc w:val="center"/>
      </w:pPr>
    </w:p>
    <w:p w:rsidRPr="00CD57E6" w:rsidR="00D420F3" w:rsidP="00CD57E6" w:rsidRDefault="00D420F3">
      <w:pPr>
        <w:jc w:val="center"/>
      </w:pPr>
    </w:p>
    <w:p w:rsidRPr="00CD57E6" w:rsidR="00D420F3" w:rsidP="00CD57E6" w:rsidRDefault="00D420F3">
      <w:pPr>
        <w:jc w:val="center"/>
      </w:pPr>
    </w:p>
    <w:p w:rsidRPr="00CD57E6" w:rsidR="008453E6" w:rsidP="00CD57E6" w:rsidRDefault="008453E6">
      <w:pPr>
        <w:jc w:val="center"/>
      </w:pPr>
    </w:p>
    <w:p w:rsidRPr="00CD57E6" w:rsidR="008453E6" w:rsidP="00CD57E6" w:rsidRDefault="008453E6">
      <w:pPr>
        <w:jc w:val="center"/>
      </w:pPr>
    </w:p>
    <w:p w:rsidRPr="00CD57E6" w:rsidR="003302E3" w:rsidP="00CD57E6" w:rsidRDefault="003302E3">
      <w:pPr>
        <w:jc w:val="center"/>
      </w:pPr>
    </w:p>
    <w:p w:rsidRPr="00CD57E6" w:rsidR="003302E3" w:rsidP="00CD57E6" w:rsidRDefault="003302E3">
      <w:pPr>
        <w:jc w:val="center"/>
      </w:pPr>
    </w:p>
    <w:p w:rsidRPr="00CD57E6" w:rsidR="003302E3" w:rsidP="00CD57E6" w:rsidRDefault="003302E3">
      <w:pPr>
        <w:jc w:val="center"/>
      </w:pPr>
    </w:p>
    <w:p w:rsidRPr="00CD57E6" w:rsidR="003302E3" w:rsidP="00CD57E6" w:rsidRDefault="003302E3">
      <w:pPr>
        <w:jc w:val="center"/>
      </w:pPr>
    </w:p>
    <w:p w:rsidRPr="00CD57E6" w:rsidR="008453E6" w:rsidP="00CD57E6" w:rsidRDefault="008453E6">
      <w:pPr>
        <w:jc w:val="center"/>
      </w:pPr>
    </w:p>
    <w:p w:rsidRPr="00CD57E6" w:rsidR="008453E6" w:rsidP="00CD57E6" w:rsidRDefault="008453E6">
      <w:pPr>
        <w:jc w:val="center"/>
      </w:pPr>
    </w:p>
    <w:p w:rsidRPr="00CD57E6" w:rsidR="00D420F3" w:rsidP="00CD57E6" w:rsidRDefault="008453E6">
      <w:pPr>
        <w:jc w:val="center"/>
        <w:rPr>
          <w:szCs w:val="24"/>
        </w:rPr>
      </w:pPr>
      <w:r w:rsidRPr="00CD57E6">
        <w:rPr>
          <w:szCs w:val="24"/>
        </w:rPr>
        <w:t>JUDGMENT</w:t>
      </w:r>
    </w:p>
    <w:p w:rsidRPr="00CD57E6" w:rsidR="00CB20C3" w:rsidP="00CD57E6" w:rsidRDefault="00CB20C3">
      <w:pPr>
        <w:jc w:val="center"/>
      </w:pPr>
    </w:p>
    <w:p w:rsidRPr="00CD57E6" w:rsidR="00D420F3" w:rsidP="00CD57E6" w:rsidRDefault="00D420F3">
      <w:pPr>
        <w:jc w:val="center"/>
      </w:pPr>
    </w:p>
    <w:p w:rsidRPr="00CD57E6" w:rsidR="008453E6" w:rsidP="00CD57E6" w:rsidRDefault="008453E6">
      <w:pPr>
        <w:jc w:val="center"/>
      </w:pPr>
    </w:p>
    <w:p w:rsidRPr="00CD57E6" w:rsidR="008453E6" w:rsidP="00CD57E6" w:rsidRDefault="008453E6">
      <w:pPr>
        <w:jc w:val="center"/>
      </w:pPr>
    </w:p>
    <w:p w:rsidRPr="00CD57E6" w:rsidR="008453E6" w:rsidP="00CD57E6" w:rsidRDefault="008453E6">
      <w:pPr>
        <w:jc w:val="center"/>
      </w:pPr>
      <w:r w:rsidRPr="00CD57E6">
        <w:t>STRASBOURG</w:t>
      </w:r>
    </w:p>
    <w:p w:rsidRPr="00CD57E6" w:rsidR="008453E6" w:rsidP="00CD57E6" w:rsidRDefault="008453E6">
      <w:pPr>
        <w:jc w:val="center"/>
      </w:pPr>
    </w:p>
    <w:p w:rsidRPr="00CD57E6" w:rsidR="008453E6" w:rsidP="00CD57E6" w:rsidRDefault="008453E6">
      <w:pPr>
        <w:jc w:val="center"/>
      </w:pPr>
      <w:r w:rsidRPr="00CD57E6">
        <w:t>14 February 2019</w:t>
      </w:r>
    </w:p>
    <w:p w:rsidRPr="00CD57E6" w:rsidR="008453E6" w:rsidP="00CD57E6" w:rsidRDefault="008453E6">
      <w:pPr>
        <w:jc w:val="center"/>
      </w:pPr>
    </w:p>
    <w:p w:rsidRPr="00CD57E6" w:rsidR="008453E6" w:rsidP="00CD57E6" w:rsidRDefault="008453E6">
      <w:pPr>
        <w:jc w:val="center"/>
      </w:pPr>
    </w:p>
    <w:p w:rsidRPr="00CD57E6" w:rsidR="003302E3" w:rsidP="00CD57E6" w:rsidRDefault="003302E3">
      <w:pPr>
        <w:jc w:val="center"/>
      </w:pPr>
    </w:p>
    <w:p w:rsidRPr="00CD57E6" w:rsidR="008453E6" w:rsidP="00CD57E6" w:rsidRDefault="008453E6">
      <w:pPr>
        <w:jc w:val="center"/>
        <w:rPr>
          <w:i/>
          <w:sz w:val="22"/>
        </w:rPr>
      </w:pPr>
      <w:r w:rsidRPr="00CD57E6">
        <w:rPr>
          <w:i/>
          <w:sz w:val="22"/>
        </w:rPr>
        <w:t>This judgment is final but it may be subject to editorial revision.</w:t>
      </w:r>
    </w:p>
    <w:p w:rsidRPr="00CD57E6" w:rsidR="003302E3" w:rsidP="00CD57E6" w:rsidRDefault="003302E3">
      <w:pPr>
        <w:pStyle w:val="ECHRPara"/>
        <w:sectPr w:rsidRPr="00CD57E6" w:rsidR="003302E3" w:rsidSect="008453E6">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CD57E6" w:rsidR="00D420F3" w:rsidP="00CD57E6" w:rsidRDefault="0077175D">
      <w:pPr>
        <w:pStyle w:val="JuCase"/>
        <w:rPr>
          <w:bCs/>
        </w:rPr>
      </w:pPr>
      <w:r w:rsidRPr="00CD57E6">
        <w:t xml:space="preserve">In the case of </w:t>
      </w:r>
      <w:r w:rsidRPr="00CD57E6" w:rsidR="002B514C">
        <w:t>Vardanyan and Hakhverdyan v. Armenia</w:t>
      </w:r>
      <w:r w:rsidRPr="00CD57E6">
        <w:t>,</w:t>
      </w:r>
    </w:p>
    <w:p w:rsidRPr="00CD57E6" w:rsidR="00D420F3" w:rsidP="00CD57E6" w:rsidRDefault="0077175D">
      <w:pPr>
        <w:pStyle w:val="ECHRPara"/>
      </w:pPr>
      <w:r w:rsidRPr="00CD57E6">
        <w:t>The European Court of Human Rights (</w:t>
      </w:r>
      <w:r w:rsidRPr="00CD57E6" w:rsidR="002B514C">
        <w:t>First Section</w:t>
      </w:r>
      <w:r w:rsidRPr="00CD57E6">
        <w:t xml:space="preserve">), sitting as a </w:t>
      </w:r>
      <w:r w:rsidRPr="00CD57E6" w:rsidR="002B514C">
        <w:t>Committee</w:t>
      </w:r>
      <w:r w:rsidRPr="00CD57E6">
        <w:t xml:space="preserve"> composed of:</w:t>
      </w:r>
    </w:p>
    <w:p w:rsidRPr="00CD57E6" w:rsidR="00D420F3" w:rsidP="00CD57E6" w:rsidRDefault="008453E6">
      <w:pPr>
        <w:pStyle w:val="ECHRDecisionBody"/>
      </w:pPr>
      <w:r w:rsidRPr="00CD57E6">
        <w:tab/>
        <w:t>Ksenija Turković,</w:t>
      </w:r>
      <w:r w:rsidRPr="00CD57E6">
        <w:rPr>
          <w:i/>
        </w:rPr>
        <w:t xml:space="preserve"> President,</w:t>
      </w:r>
      <w:r w:rsidRPr="00CD57E6">
        <w:rPr>
          <w:i/>
        </w:rPr>
        <w:br/>
      </w:r>
      <w:r w:rsidRPr="00CD57E6">
        <w:tab/>
        <w:t>Armen Harutyunyan,</w:t>
      </w:r>
      <w:r w:rsidRPr="00CD57E6">
        <w:rPr>
          <w:i/>
        </w:rPr>
        <w:br/>
      </w:r>
      <w:r w:rsidRPr="00CD57E6">
        <w:tab/>
        <w:t>Pauliine Koskelo,</w:t>
      </w:r>
      <w:r w:rsidRPr="00CD57E6">
        <w:rPr>
          <w:i/>
        </w:rPr>
        <w:t xml:space="preserve"> judges,</w:t>
      </w:r>
      <w:r w:rsidRPr="00CD57E6" w:rsidR="0077175D">
        <w:rPr>
          <w:szCs w:val="24"/>
        </w:rPr>
        <w:br/>
      </w:r>
      <w:r w:rsidRPr="00CD57E6" w:rsidR="0077175D">
        <w:t xml:space="preserve">and </w:t>
      </w:r>
      <w:r w:rsidRPr="00CD57E6" w:rsidR="002B514C">
        <w:t>Renata Degener</w:t>
      </w:r>
      <w:r w:rsidRPr="00CD57E6" w:rsidR="0077175D">
        <w:t xml:space="preserve">, </w:t>
      </w:r>
      <w:r w:rsidRPr="00CD57E6" w:rsidR="002B514C">
        <w:rPr>
          <w:i/>
        </w:rPr>
        <w:t xml:space="preserve">Deputy Section </w:t>
      </w:r>
      <w:r w:rsidRPr="00CD57E6" w:rsidR="002B514C">
        <w:rPr>
          <w:i/>
          <w:iCs/>
        </w:rPr>
        <w:t>Registrar</w:t>
      </w:r>
      <w:r w:rsidRPr="00CD57E6" w:rsidR="0077175D">
        <w:rPr>
          <w:i/>
        </w:rPr>
        <w:t>,</w:t>
      </w:r>
    </w:p>
    <w:p w:rsidRPr="00CD57E6" w:rsidR="00D420F3" w:rsidP="00CD57E6" w:rsidRDefault="0077175D">
      <w:pPr>
        <w:pStyle w:val="ECHRPara"/>
      </w:pPr>
      <w:r w:rsidRPr="00CD57E6">
        <w:t xml:space="preserve">Having deliberated in private on </w:t>
      </w:r>
      <w:r w:rsidRPr="00CD57E6" w:rsidR="008453E6">
        <w:t>22 January 2019</w:t>
      </w:r>
      <w:r w:rsidRPr="00CD57E6">
        <w:t>,</w:t>
      </w:r>
    </w:p>
    <w:p w:rsidRPr="00CD57E6" w:rsidR="00D420F3" w:rsidP="00CD57E6" w:rsidRDefault="0077175D">
      <w:pPr>
        <w:pStyle w:val="ECHRPara"/>
      </w:pPr>
      <w:r w:rsidRPr="00CD57E6">
        <w:t>Delivers the following judgment, which was adopted on that date:</w:t>
      </w:r>
    </w:p>
    <w:p w:rsidRPr="00CD57E6" w:rsidR="00D420F3" w:rsidP="00CD57E6" w:rsidRDefault="0077175D">
      <w:pPr>
        <w:pStyle w:val="ECHRTitle1"/>
      </w:pPr>
      <w:r w:rsidRPr="00CD57E6">
        <w:t>PROCEDURE</w:t>
      </w:r>
    </w:p>
    <w:p w:rsidRPr="00CD57E6" w:rsidR="001150B9" w:rsidP="00CD57E6" w:rsidRDefault="00AD5883">
      <w:pPr>
        <w:pStyle w:val="ECHRPara"/>
      </w:pPr>
      <w:r w:rsidRPr="00CD57E6">
        <w:fldChar w:fldCharType="begin"/>
      </w:r>
      <w:r w:rsidRPr="00CD57E6">
        <w:instrText xml:space="preserve"> SEQ level0 \*arabic </w:instrText>
      </w:r>
      <w:r w:rsidRPr="00CD57E6">
        <w:fldChar w:fldCharType="separate"/>
      </w:r>
      <w:r w:rsidRPr="00CD57E6" w:rsidR="00CD57E6">
        <w:rPr>
          <w:noProof/>
        </w:rPr>
        <w:t>1</w:t>
      </w:r>
      <w:r w:rsidRPr="00CD57E6">
        <w:fldChar w:fldCharType="end"/>
      </w:r>
      <w:r w:rsidRPr="00CD57E6">
        <w:t>.  </w:t>
      </w:r>
      <w:r w:rsidRPr="00CD57E6" w:rsidR="0077175D">
        <w:t xml:space="preserve">The case originated in </w:t>
      </w:r>
      <w:r w:rsidRPr="00CD57E6" w:rsidR="002B514C">
        <w:t>an application (no. 4178/10)</w:t>
      </w:r>
      <w:r w:rsidRPr="00CD57E6" w:rsidR="0077175D">
        <w:t xml:space="preserve"> against </w:t>
      </w:r>
      <w:r w:rsidRPr="00CD57E6" w:rsidR="002B514C">
        <w:t>the Republic of Armenia</w:t>
      </w:r>
      <w:r w:rsidRPr="00CD57E6" w:rsidR="0077175D">
        <w:t xml:space="preserve"> lodged with the </w:t>
      </w:r>
      <w:r w:rsidRPr="00CD57E6" w:rsidR="002B514C">
        <w:t>Court under Article 34</w:t>
      </w:r>
      <w:r w:rsidRPr="00CD57E6" w:rsidR="0077175D">
        <w:t xml:space="preserve"> of the Convention for the Protection of Human Rights and Fundamental Freedoms (“the Convention”) by </w:t>
      </w:r>
      <w:r w:rsidRPr="00CD57E6" w:rsidR="00104D1A">
        <w:t>five</w:t>
      </w:r>
      <w:r w:rsidRPr="00CD57E6" w:rsidR="002B514C">
        <w:t xml:space="preserve"> Armenian nationals, Mr Vardan Vardanyan</w:t>
      </w:r>
      <w:r w:rsidRPr="00CD57E6" w:rsidR="005107BD">
        <w:t>, Ms </w:t>
      </w:r>
      <w:r w:rsidRPr="00CD57E6" w:rsidR="00104D1A">
        <w:rPr>
          <w:bCs/>
        </w:rPr>
        <w:t xml:space="preserve">Marine </w:t>
      </w:r>
      <w:r w:rsidRPr="00CD57E6" w:rsidR="005107BD">
        <w:rPr>
          <w:bCs/>
        </w:rPr>
        <w:t>Hakhverdyan, Mr V</w:t>
      </w:r>
      <w:r w:rsidRPr="00CD57E6" w:rsidR="00104D1A">
        <w:rPr>
          <w:bCs/>
        </w:rPr>
        <w:t xml:space="preserve">ahe </w:t>
      </w:r>
      <w:r w:rsidRPr="00CD57E6" w:rsidR="005107BD">
        <w:rPr>
          <w:bCs/>
        </w:rPr>
        <w:t xml:space="preserve">Vardanyan, Ms </w:t>
      </w:r>
      <w:r w:rsidRPr="00CD57E6" w:rsidR="00104D1A">
        <w:rPr>
          <w:bCs/>
        </w:rPr>
        <w:t>Armine V</w:t>
      </w:r>
      <w:r w:rsidRPr="00CD57E6" w:rsidR="005107BD">
        <w:rPr>
          <w:bCs/>
        </w:rPr>
        <w:t xml:space="preserve">ardanyan and Ms </w:t>
      </w:r>
      <w:r w:rsidRPr="00CD57E6" w:rsidR="00104D1A">
        <w:rPr>
          <w:bCs/>
        </w:rPr>
        <w:t>Ani V</w:t>
      </w:r>
      <w:r w:rsidRPr="00CD57E6" w:rsidR="005107BD">
        <w:rPr>
          <w:bCs/>
        </w:rPr>
        <w:t>ardanyan</w:t>
      </w:r>
      <w:r w:rsidRPr="00CD57E6" w:rsidR="002B514C">
        <w:t xml:space="preserve"> (“the applicants”), on 15 December 2009</w:t>
      </w:r>
      <w:r w:rsidRPr="00CD57E6" w:rsidR="0077175D">
        <w:t>.</w:t>
      </w:r>
    </w:p>
    <w:p w:rsidRPr="00CD57E6" w:rsidR="005107BD" w:rsidP="00CD57E6" w:rsidRDefault="002B514C">
      <w:pPr>
        <w:pStyle w:val="ECHRPara"/>
      </w:pPr>
      <w:r w:rsidRPr="00CD57E6">
        <w:fldChar w:fldCharType="begin"/>
      </w:r>
      <w:r w:rsidRPr="00CD57E6">
        <w:instrText xml:space="preserve"> SEQ level0 \*arabic </w:instrText>
      </w:r>
      <w:r w:rsidRPr="00CD57E6">
        <w:fldChar w:fldCharType="separate"/>
      </w:r>
      <w:r w:rsidRPr="00CD57E6" w:rsidR="00CD57E6">
        <w:rPr>
          <w:noProof/>
        </w:rPr>
        <w:t>2</w:t>
      </w:r>
      <w:r w:rsidRPr="00CD57E6">
        <w:fldChar w:fldCharType="end"/>
      </w:r>
      <w:r w:rsidRPr="00CD57E6" w:rsidR="0077175D">
        <w:t>.  </w:t>
      </w:r>
      <w:r w:rsidRPr="00CD57E6" w:rsidR="005107BD">
        <w:t xml:space="preserve">The applicants were represented by Mr K. Tumanyan, a lawyer practising in Vanadzor. The Armenian Government (“the Government”) were represented by their Agent, Mr G. Kostanyan, Representative of the Republic of </w:t>
      </w:r>
      <w:bookmarkStart w:name="_1000002" w:id="2"/>
      <w:bookmarkEnd w:id="2"/>
      <w:r w:rsidRPr="00CD57E6" w:rsidR="005107BD">
        <w:t>Armenia to the European Court of Human Rights.</w:t>
      </w:r>
    </w:p>
    <w:p w:rsidRPr="00CD57E6" w:rsidR="00D420F3" w:rsidP="00CD57E6" w:rsidRDefault="002B514C">
      <w:pPr>
        <w:pStyle w:val="ECHRPara"/>
      </w:pPr>
      <w:r w:rsidRPr="00CD57E6">
        <w:fldChar w:fldCharType="begin"/>
      </w:r>
      <w:r w:rsidRPr="00CD57E6">
        <w:instrText xml:space="preserve"> SEQ level0 \*arabic </w:instrText>
      </w:r>
      <w:r w:rsidRPr="00CD57E6">
        <w:fldChar w:fldCharType="separate"/>
      </w:r>
      <w:r w:rsidRPr="00CD57E6" w:rsidR="00CD57E6">
        <w:rPr>
          <w:noProof/>
        </w:rPr>
        <w:t>3</w:t>
      </w:r>
      <w:r w:rsidRPr="00CD57E6">
        <w:fldChar w:fldCharType="end"/>
      </w:r>
      <w:r w:rsidRPr="00CD57E6" w:rsidR="0077175D">
        <w:t>.  </w:t>
      </w:r>
      <w:r w:rsidRPr="00CD57E6">
        <w:t xml:space="preserve">On </w:t>
      </w:r>
      <w:r w:rsidRPr="00CD57E6">
        <w:rPr>
          <w:szCs w:val="24"/>
        </w:rPr>
        <w:t>18 March 2014</w:t>
      </w:r>
      <w:r w:rsidRPr="00CD57E6" w:rsidR="0077175D">
        <w:t xml:space="preserve"> </w:t>
      </w:r>
      <w:r w:rsidRPr="00CD57E6" w:rsidR="009A7479">
        <w:t xml:space="preserve">notice of </w:t>
      </w:r>
      <w:r w:rsidRPr="00CD57E6" w:rsidR="0077175D">
        <w:t xml:space="preserve">the </w:t>
      </w:r>
      <w:r w:rsidRPr="00CD57E6" w:rsidR="005107BD">
        <w:t>complaints concerning the deprivation of property and the right to a fair trial</w:t>
      </w:r>
      <w:r w:rsidRPr="00CD57E6">
        <w:t xml:space="preserve"> was given to the Government and the remainder of the application was declared inadmissible</w:t>
      </w:r>
      <w:r w:rsidRPr="00CD57E6">
        <w:rPr>
          <w:szCs w:val="24"/>
        </w:rPr>
        <w:t xml:space="preserve"> </w:t>
      </w:r>
      <w:r w:rsidRPr="00CD57E6">
        <w:t>pursuant to Rule 54 § 3 of the Rules of Court</w:t>
      </w:r>
      <w:r w:rsidRPr="00CD57E6" w:rsidR="0077175D">
        <w:t>.</w:t>
      </w:r>
    </w:p>
    <w:p w:rsidRPr="00CD57E6" w:rsidR="00D420F3" w:rsidP="00CD57E6" w:rsidRDefault="0077175D">
      <w:pPr>
        <w:pStyle w:val="ECHRTitle1"/>
      </w:pPr>
      <w:r w:rsidRPr="00CD57E6">
        <w:t>THE FACTS</w:t>
      </w:r>
    </w:p>
    <w:p w:rsidRPr="00CD57E6" w:rsidR="00D420F3" w:rsidP="00CD57E6" w:rsidRDefault="0077175D">
      <w:pPr>
        <w:pStyle w:val="ECHRHeading1"/>
      </w:pPr>
      <w:r w:rsidRPr="00CD57E6">
        <w:t>I.  THE CIRCUMSTANCES OF THE CASE</w:t>
      </w:r>
    </w:p>
    <w:p w:rsidRPr="00CD57E6" w:rsidR="005107BD" w:rsidP="00CD57E6" w:rsidRDefault="005107BD">
      <w:pPr>
        <w:pStyle w:val="ECHRPara"/>
      </w:pPr>
      <w:r w:rsidRPr="00CD57E6">
        <w:fldChar w:fldCharType="begin"/>
      </w:r>
      <w:r w:rsidRPr="00CD57E6">
        <w:instrText xml:space="preserve"> SEQ level0 \*arabic </w:instrText>
      </w:r>
      <w:r w:rsidRPr="00CD57E6">
        <w:fldChar w:fldCharType="separate"/>
      </w:r>
      <w:r w:rsidRPr="00CD57E6" w:rsidR="00CD57E6">
        <w:rPr>
          <w:noProof/>
        </w:rPr>
        <w:t>4</w:t>
      </w:r>
      <w:r w:rsidRPr="00CD57E6">
        <w:fldChar w:fldCharType="end"/>
      </w:r>
      <w:r w:rsidRPr="00CD57E6">
        <w:t>.  The applicants live in Shnogh village.</w:t>
      </w:r>
    </w:p>
    <w:p w:rsidRPr="00CD57E6" w:rsidR="005107BD" w:rsidP="00CD57E6" w:rsidRDefault="005107BD">
      <w:pPr>
        <w:pStyle w:val="ECHRHeading2"/>
      </w:pPr>
      <w:r w:rsidRPr="00CD57E6">
        <w:t>A.  Background to the case</w:t>
      </w:r>
    </w:p>
    <w:p w:rsidRPr="00CD57E6" w:rsidR="005107BD"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5</w:t>
      </w:r>
      <w:r w:rsidRPr="00CD57E6">
        <w:rPr>
          <w:noProof/>
        </w:rPr>
        <w:fldChar w:fldCharType="end"/>
      </w:r>
      <w:r w:rsidRPr="00CD57E6" w:rsidR="005107BD">
        <w:t>.  In the 1970s a copper-molybdenum deposit (</w:t>
      </w:r>
      <w:r w:rsidRPr="00CD57E6" w:rsidR="00CD57E6">
        <w:t>‘</w:t>
      </w:r>
      <w:r w:rsidRPr="00CD57E6" w:rsidR="005107BD">
        <w:t>Teghout</w:t>
      </w:r>
      <w:r w:rsidRPr="00CD57E6" w:rsidR="00CD57E6">
        <w:t>’</w:t>
      </w:r>
      <w:r w:rsidRPr="00CD57E6" w:rsidR="005107BD">
        <w:t>) was discovered about four and six km away from the villages of Teghout and Shnogh respectively, in the Lori Region.</w:t>
      </w:r>
    </w:p>
    <w:p w:rsidRPr="00CD57E6" w:rsidR="005107BD"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6</w:t>
      </w:r>
      <w:r w:rsidRPr="00CD57E6">
        <w:rPr>
          <w:noProof/>
        </w:rPr>
        <w:fldChar w:fldCharType="end"/>
      </w:r>
      <w:r w:rsidRPr="00CD57E6" w:rsidR="005107BD">
        <w:t>.  In 2001 a private company, Armenian Copper Programme CJSC, was granted a mining licence for the exploitation of the Teghout copper</w:t>
      </w:r>
      <w:r w:rsidRPr="00CD57E6" w:rsidR="005107BD">
        <w:noBreakHyphen/>
        <w:t>molybdenum deposit for a period of twenty-five years.</w:t>
      </w:r>
    </w:p>
    <w:p w:rsidRPr="00CD57E6" w:rsidR="005107BD"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7</w:t>
      </w:r>
      <w:r w:rsidRPr="00CD57E6">
        <w:rPr>
          <w:noProof/>
        </w:rPr>
        <w:fldChar w:fldCharType="end"/>
      </w:r>
      <w:r w:rsidRPr="00CD57E6" w:rsidR="005107BD">
        <w:t xml:space="preserve">.  On 1 November 2007 the Government adopted Decree no. 1279-N approving the </w:t>
      </w:r>
      <w:r w:rsidRPr="00CD57E6" w:rsidR="00C13531">
        <w:t xml:space="preserve">designation of </w:t>
      </w:r>
      <w:r w:rsidRPr="00CD57E6" w:rsidR="005107BD">
        <w:t xml:space="preserve">territories situated within the administrative boundaries of the rural communities of Shnogh and Teghout in the Lori Region </w:t>
      </w:r>
      <w:r w:rsidRPr="00CD57E6" w:rsidR="00C13531">
        <w:t xml:space="preserve">as expropriation zones, </w:t>
      </w:r>
      <w:r w:rsidRPr="00CD57E6" w:rsidR="005107BD">
        <w:t>to be taken for State needs</w:t>
      </w:r>
      <w:r w:rsidRPr="00CD57E6" w:rsidR="00C13531">
        <w:t>, thus</w:t>
      </w:r>
      <w:r w:rsidRPr="00CD57E6" w:rsidR="005107BD">
        <w:t xml:space="preserve"> changing the category of land use. According to the Decree, Armenian Copper Programme CJSC or Teghout CJSC, founded by the former for the purpose of the implementation of the Teghout copper-molybdenum deposit exploitation project, were to acquire the units of land listed in its annexes.</w:t>
      </w:r>
    </w:p>
    <w:p w:rsidRPr="00CD57E6" w:rsidR="005107BD"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8</w:t>
      </w:r>
      <w:r w:rsidRPr="00CD57E6">
        <w:rPr>
          <w:noProof/>
        </w:rPr>
        <w:fldChar w:fldCharType="end"/>
      </w:r>
      <w:r w:rsidRPr="00CD57E6" w:rsidR="005107BD">
        <w:t>.  The plots of land belonging to the applicants were listed among the units of land falling within these expropriation zones.</w:t>
      </w:r>
    </w:p>
    <w:p w:rsidRPr="00CD57E6" w:rsidR="005107BD" w:rsidP="00CD57E6" w:rsidRDefault="005107BD">
      <w:pPr>
        <w:pStyle w:val="ECHRHeading2"/>
      </w:pPr>
      <w:r w:rsidRPr="00CD57E6">
        <w:t>B.  Proceedings concerning the expropriation of the applicants</w:t>
      </w:r>
      <w:r w:rsidRPr="00CD57E6" w:rsidR="00CD57E6">
        <w:t>’</w:t>
      </w:r>
      <w:r w:rsidRPr="00CD57E6">
        <w:t xml:space="preserve"> property</w:t>
      </w:r>
    </w:p>
    <w:p w:rsidRPr="00CD57E6" w:rsidR="005107BD"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9</w:t>
      </w:r>
      <w:r w:rsidRPr="00CD57E6">
        <w:rPr>
          <w:noProof/>
        </w:rPr>
        <w:fldChar w:fldCharType="end"/>
      </w:r>
      <w:r w:rsidRPr="00CD57E6" w:rsidR="005107BD">
        <w:t>.  The applicants, a family of five, live in Shnogh village and earn their living from agriculture. They jointly owned two plots of arable land in the village. The first plot of land measured 0.334 ha and the second one consisted of two distinct parts measuring 0.932 ha and 0.723 ha. The land was used for growing crops for the family and feeding their livestock.</w:t>
      </w:r>
    </w:p>
    <w:p w:rsidRPr="00CD57E6" w:rsidR="005107BD"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10</w:t>
      </w:r>
      <w:r w:rsidRPr="00CD57E6">
        <w:rPr>
          <w:noProof/>
        </w:rPr>
        <w:fldChar w:fldCharType="end"/>
      </w:r>
      <w:r w:rsidRPr="00CD57E6" w:rsidR="001D4C42">
        <w:t>.  </w:t>
      </w:r>
      <w:r w:rsidRPr="00CD57E6" w:rsidR="005107BD">
        <w:t xml:space="preserve">On an unspecified date Teghout CJSC addressed a letter to the applicants containing an offer to buy their plots of land. Compensation of 163,000 </w:t>
      </w:r>
      <w:r w:rsidRPr="00CD57E6" w:rsidR="001D4C42">
        <w:t xml:space="preserve">Armenian </w:t>
      </w:r>
      <w:r w:rsidRPr="00CD57E6" w:rsidR="00C13531">
        <w:t>d</w:t>
      </w:r>
      <w:r w:rsidRPr="00CD57E6" w:rsidR="001D4C42">
        <w:t xml:space="preserve">rams (AMD, </w:t>
      </w:r>
      <w:r w:rsidRPr="00CD57E6" w:rsidR="005107BD">
        <w:t>approximately 355</w:t>
      </w:r>
      <w:r w:rsidRPr="00CD57E6" w:rsidR="001D4C42">
        <w:t xml:space="preserve"> euros (EUR)</w:t>
      </w:r>
      <w:r w:rsidRPr="00CD57E6" w:rsidR="005107BD">
        <w:t xml:space="preserve">) and AMD 950,000 </w:t>
      </w:r>
      <w:r w:rsidRPr="00CD57E6" w:rsidR="001D4C42">
        <w:t xml:space="preserve">(approximately EUR </w:t>
      </w:r>
      <w:r w:rsidRPr="00CD57E6" w:rsidR="005107BD">
        <w:t>2,065) was offered for the two plots of land respectively, plus an additional 15% as required by law.</w:t>
      </w:r>
    </w:p>
    <w:p w:rsidRPr="00CD57E6" w:rsidR="005107BD"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11</w:t>
      </w:r>
      <w:r w:rsidRPr="00CD57E6">
        <w:rPr>
          <w:noProof/>
        </w:rPr>
        <w:fldChar w:fldCharType="end"/>
      </w:r>
      <w:r w:rsidRPr="00CD57E6" w:rsidR="001D4C42">
        <w:t>.  </w:t>
      </w:r>
      <w:r w:rsidRPr="00CD57E6" w:rsidR="005107BD">
        <w:t xml:space="preserve">The applicants did not reply to the offer, not being satisfied with the amount of compensation. It appears that they tried to obtain an alternative valuation of their property by another company but did not succeed. They claim that no other valuation company was willing to make an independent </w:t>
      </w:r>
      <w:r w:rsidRPr="00CD57E6" w:rsidR="00C13531">
        <w:t>assessment</w:t>
      </w:r>
      <w:r w:rsidRPr="00CD57E6" w:rsidR="005107BD">
        <w:t xml:space="preserve"> of the market value of their land.</w:t>
      </w:r>
    </w:p>
    <w:p w:rsidRPr="00CD57E6" w:rsidR="005107BD"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12</w:t>
      </w:r>
      <w:r w:rsidRPr="00CD57E6">
        <w:rPr>
          <w:noProof/>
        </w:rPr>
        <w:fldChar w:fldCharType="end"/>
      </w:r>
      <w:r w:rsidRPr="00CD57E6" w:rsidR="001D4C42">
        <w:t>.  </w:t>
      </w:r>
      <w:r w:rsidRPr="00CD57E6" w:rsidR="005107BD">
        <w:t>On 14 May 2008 Teghout CJSC lodged a claim against the applicants</w:t>
      </w:r>
      <w:r w:rsidRPr="00CD57E6" w:rsidR="001D4C42">
        <w:t>,</w:t>
      </w:r>
      <w:r w:rsidRPr="00CD57E6" w:rsidR="005107BD">
        <w:t xml:space="preserve"> seeking to oblige them to sign </w:t>
      </w:r>
      <w:r w:rsidRPr="00CD57E6" w:rsidR="00926673">
        <w:t>an</w:t>
      </w:r>
      <w:r w:rsidRPr="00CD57E6" w:rsidR="005107BD">
        <w:t xml:space="preserve"> agreement on the taking of their property for State needs. The company based its claim, </w:t>
      </w:r>
      <w:r w:rsidRPr="00CD57E6" w:rsidR="005107BD">
        <w:rPr>
          <w:i/>
        </w:rPr>
        <w:t>inter alia</w:t>
      </w:r>
      <w:r w:rsidRPr="00CD57E6" w:rsidR="005107BD">
        <w:t>, on valuation report</w:t>
      </w:r>
      <w:r w:rsidRPr="00CD57E6" w:rsidR="003F5C69">
        <w:t>s</w:t>
      </w:r>
      <w:r w:rsidRPr="00CD57E6" w:rsidR="005107BD">
        <w:t xml:space="preserve"> prepared at its request by Oliver Group LLC, a licensed valuation company. According to the report</w:t>
      </w:r>
      <w:r w:rsidRPr="00CD57E6" w:rsidR="003F5C69">
        <w:t>s</w:t>
      </w:r>
      <w:r w:rsidRPr="00CD57E6" w:rsidR="005107BD">
        <w:t>, the market value of the applicants</w:t>
      </w:r>
      <w:r w:rsidRPr="00CD57E6" w:rsidR="00CD57E6">
        <w:t>’</w:t>
      </w:r>
      <w:r w:rsidRPr="00CD57E6" w:rsidR="005107BD">
        <w:t xml:space="preserve"> plots of land was estimated at AMD 163,000 (approximately EUR 355) and AMD 950</w:t>
      </w:r>
      <w:r w:rsidRPr="00CD57E6" w:rsidR="001D4C42">
        <w:t xml:space="preserve">,000 (approximately EUR </w:t>
      </w:r>
      <w:r w:rsidRPr="00CD57E6" w:rsidR="005107BD">
        <w:t>2,065</w:t>
      </w:r>
      <w:r w:rsidRPr="00CD57E6" w:rsidR="001D4C42">
        <w:t>) respectively.</w:t>
      </w:r>
    </w:p>
    <w:p w:rsidRPr="00CD57E6" w:rsidR="005107BD"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13</w:t>
      </w:r>
      <w:r w:rsidRPr="00CD57E6">
        <w:rPr>
          <w:noProof/>
        </w:rPr>
        <w:fldChar w:fldCharType="end"/>
      </w:r>
      <w:r w:rsidRPr="00CD57E6" w:rsidR="001D4C42">
        <w:t>.  </w:t>
      </w:r>
      <w:r w:rsidRPr="00CD57E6" w:rsidR="005107BD">
        <w:t>In the proceedings before the Lori Regional Court the applicants argued that the market value of their land had been underestimated. They further submitted that the valuation of their property had not been carried out correctly</w:t>
      </w:r>
      <w:r w:rsidRPr="00CD57E6" w:rsidR="00926673">
        <w:t>,</w:t>
      </w:r>
      <w:r w:rsidRPr="00CD57E6" w:rsidR="005107BD">
        <w:t xml:space="preserve"> since no account had been taken of the number of trees and their profitability and they were unable to submit an alternative valuation of the market value of their land</w:t>
      </w:r>
      <w:r w:rsidRPr="00CD57E6" w:rsidR="00926673">
        <w:t>,</w:t>
      </w:r>
      <w:r w:rsidRPr="00CD57E6" w:rsidR="005107BD">
        <w:t xml:space="preserve"> since other companies </w:t>
      </w:r>
      <w:r w:rsidRPr="00CD57E6" w:rsidR="00926673">
        <w:t xml:space="preserve">had </w:t>
      </w:r>
      <w:r w:rsidRPr="00CD57E6" w:rsidR="005107BD">
        <w:t>refused to carry out a</w:t>
      </w:r>
      <w:r w:rsidRPr="00CD57E6" w:rsidR="00926673">
        <w:t xml:space="preserve"> </w:t>
      </w:r>
      <w:r w:rsidRPr="00CD57E6" w:rsidR="005107BD">
        <w:t>valuation.</w:t>
      </w:r>
    </w:p>
    <w:p w:rsidRPr="00CD57E6" w:rsidR="005107BD"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14</w:t>
      </w:r>
      <w:r w:rsidRPr="00CD57E6">
        <w:rPr>
          <w:noProof/>
        </w:rPr>
        <w:fldChar w:fldCharType="end"/>
      </w:r>
      <w:r w:rsidRPr="00CD57E6" w:rsidR="001D4C42">
        <w:t>.  </w:t>
      </w:r>
      <w:r w:rsidRPr="00CD57E6" w:rsidR="005107BD">
        <w:t>In the course of the proceedings</w:t>
      </w:r>
      <w:r w:rsidRPr="00CD57E6" w:rsidR="001D4C42">
        <w:t>,</w:t>
      </w:r>
      <w:r w:rsidRPr="00CD57E6" w:rsidR="005107BD">
        <w:t xml:space="preserve"> Teghout CJSC submitted other valuation reports of the applicants</w:t>
      </w:r>
      <w:r w:rsidRPr="00CD57E6" w:rsidR="00CD57E6">
        <w:t>’</w:t>
      </w:r>
      <w:r w:rsidRPr="00CD57E6" w:rsidR="005107BD">
        <w:t xml:space="preserve"> property</w:t>
      </w:r>
      <w:r w:rsidRPr="00CD57E6" w:rsidR="00926673">
        <w:t>,</w:t>
      </w:r>
      <w:r w:rsidRPr="00CD57E6" w:rsidR="005107BD">
        <w:t xml:space="preserve"> stating that, after the institution of the proceedings, Oliver Group LLC had prepared corrected reports according to which the market value of the applicants</w:t>
      </w:r>
      <w:r w:rsidRPr="00CD57E6" w:rsidR="00CD57E6">
        <w:t>’</w:t>
      </w:r>
      <w:r w:rsidRPr="00CD57E6" w:rsidR="005107BD">
        <w:t xml:space="preserve"> two plots of land was estimated at AMD 173,000 (approximately EUR 376) and AMD 986,000 (approximately EUR 2,143). The final amount of compensation, including the additional 15% required by law, would thus be equal to AMD 198,950 (approximately EUR 433) for the first plot of land and AMD 1,133,900 (approximately EUR 2,465) for the second.</w:t>
      </w:r>
    </w:p>
    <w:p w:rsidRPr="00CD57E6" w:rsidR="005107BD"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15</w:t>
      </w:r>
      <w:r w:rsidRPr="00CD57E6">
        <w:rPr>
          <w:noProof/>
        </w:rPr>
        <w:fldChar w:fldCharType="end"/>
      </w:r>
      <w:r w:rsidRPr="00CD57E6" w:rsidR="001D4C42">
        <w:t>.  </w:t>
      </w:r>
      <w:r w:rsidRPr="00CD57E6" w:rsidR="005107BD">
        <w:t>On 7 November 2008 the Regional Court granted Teghout CJSC</w:t>
      </w:r>
      <w:r w:rsidRPr="00CD57E6" w:rsidR="00CD57E6">
        <w:t>’</w:t>
      </w:r>
      <w:r w:rsidRPr="00CD57E6" w:rsidR="005107BD">
        <w:t>s claim, awarding the applicants compensation of a total of AMD 198,950 for the first plot of land and AMD 1,133,900 for the second plot.</w:t>
      </w:r>
    </w:p>
    <w:p w:rsidRPr="00CD57E6" w:rsidR="005107BD"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16</w:t>
      </w:r>
      <w:r w:rsidRPr="00CD57E6">
        <w:rPr>
          <w:noProof/>
        </w:rPr>
        <w:fldChar w:fldCharType="end"/>
      </w:r>
      <w:r w:rsidRPr="00CD57E6" w:rsidR="001D4C42">
        <w:t>.  </w:t>
      </w:r>
      <w:r w:rsidRPr="00CD57E6" w:rsidR="005107BD">
        <w:t xml:space="preserve">The applicants lodged an appeal. Relying, </w:t>
      </w:r>
      <w:r w:rsidRPr="00CD57E6" w:rsidR="005107BD">
        <w:rPr>
          <w:i/>
        </w:rPr>
        <w:t>inter alia</w:t>
      </w:r>
      <w:r w:rsidRPr="00CD57E6" w:rsidR="005107BD">
        <w:t>, on Article 1 of Protocol No. 1 to the Convention, they complained that the Regional Court had deprived them of their property.</w:t>
      </w:r>
    </w:p>
    <w:p w:rsidRPr="00CD57E6" w:rsidR="005107BD"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17</w:t>
      </w:r>
      <w:r w:rsidRPr="00CD57E6">
        <w:rPr>
          <w:noProof/>
        </w:rPr>
        <w:fldChar w:fldCharType="end"/>
      </w:r>
      <w:r w:rsidRPr="00CD57E6" w:rsidR="001D4C42">
        <w:t>.  </w:t>
      </w:r>
      <w:r w:rsidRPr="00CD57E6" w:rsidR="005107BD">
        <w:t>On 25 March 2009 the Civil Court of Appeal upheld the Regional Court</w:t>
      </w:r>
      <w:r w:rsidRPr="00CD57E6" w:rsidR="00CD57E6">
        <w:t>’</w:t>
      </w:r>
      <w:r w:rsidRPr="00CD57E6" w:rsidR="005107BD">
        <w:t xml:space="preserve">s judgment, finding that the latter had properly determined the market value of the property </w:t>
      </w:r>
      <w:r w:rsidRPr="00CD57E6" w:rsidR="00926673">
        <w:t xml:space="preserve">on the basis of </w:t>
      </w:r>
      <w:r w:rsidRPr="00CD57E6" w:rsidR="005107BD">
        <w:t>the corrected valuation reports prepared by Oliver Group CJSC.</w:t>
      </w:r>
    </w:p>
    <w:p w:rsidRPr="00CD57E6" w:rsidR="005107BD"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18</w:t>
      </w:r>
      <w:r w:rsidRPr="00CD57E6">
        <w:rPr>
          <w:noProof/>
        </w:rPr>
        <w:fldChar w:fldCharType="end"/>
      </w:r>
      <w:r w:rsidRPr="00CD57E6" w:rsidR="001D4C42">
        <w:t>.  </w:t>
      </w:r>
      <w:r w:rsidRPr="00CD57E6" w:rsidR="005107BD">
        <w:t>The applicants lodged an appeal on points of law</w:t>
      </w:r>
      <w:r w:rsidRPr="00CD57E6" w:rsidR="00926673">
        <w:t>,</w:t>
      </w:r>
      <w:r w:rsidRPr="00CD57E6" w:rsidR="005107BD">
        <w:t xml:space="preserve"> raising similar arguments to those submitted in the previous appeal.</w:t>
      </w:r>
    </w:p>
    <w:p w:rsidRPr="00CD57E6" w:rsidR="005107BD"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19</w:t>
      </w:r>
      <w:r w:rsidRPr="00CD57E6">
        <w:rPr>
          <w:noProof/>
        </w:rPr>
        <w:fldChar w:fldCharType="end"/>
      </w:r>
      <w:r w:rsidRPr="00CD57E6" w:rsidR="001D4C42">
        <w:t>.  </w:t>
      </w:r>
      <w:r w:rsidRPr="00CD57E6" w:rsidR="005107BD">
        <w:t>On 17 June 2009 the Court of Cassation declared the applicants</w:t>
      </w:r>
      <w:r w:rsidRPr="00CD57E6" w:rsidR="00CD57E6">
        <w:t>’</w:t>
      </w:r>
      <w:r w:rsidRPr="00CD57E6" w:rsidR="005107BD">
        <w:t xml:space="preserve"> cassation appeal inadmissible for lack of merit.</w:t>
      </w:r>
    </w:p>
    <w:p w:rsidRPr="00CD57E6" w:rsidR="00D420F3" w:rsidP="00CD57E6" w:rsidRDefault="0077175D">
      <w:pPr>
        <w:pStyle w:val="ECHRHeading1"/>
      </w:pPr>
      <w:r w:rsidRPr="00CD57E6">
        <w:t>II.  RELEVANT DOMESTIC LAW</w:t>
      </w:r>
    </w:p>
    <w:p w:rsidRPr="00CD57E6" w:rsidR="001D4C42" w:rsidP="00CD57E6" w:rsidRDefault="001D4C42">
      <w:pPr>
        <w:pStyle w:val="ECHRHeading2"/>
      </w:pPr>
      <w:r w:rsidRPr="00CD57E6">
        <w:t>A.  The Constitution of 1995 (following the amendments introduced on 27 November 2005 with effect from 6 December 2005)</w:t>
      </w:r>
    </w:p>
    <w:p w:rsidRPr="00CD57E6" w:rsidR="001D4C42"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20</w:t>
      </w:r>
      <w:r w:rsidRPr="00CD57E6">
        <w:rPr>
          <w:noProof/>
        </w:rPr>
        <w:fldChar w:fldCharType="end"/>
      </w:r>
      <w:r w:rsidRPr="00CD57E6" w:rsidR="001D4C42">
        <w:t>.  According to Article 19, everyone has the right to a public hearing of his case by an independent and impartial court within a reasonable time, in conditions of equality and with respect for all fair trial requirements, in order to have his violated rights restored, as well as the validity of the charge against him determined.</w:t>
      </w:r>
    </w:p>
    <w:p w:rsidRPr="00CD57E6" w:rsidR="001D4C42"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21</w:t>
      </w:r>
      <w:r w:rsidRPr="00CD57E6">
        <w:rPr>
          <w:noProof/>
        </w:rPr>
        <w:fldChar w:fldCharType="end"/>
      </w:r>
      <w:r w:rsidRPr="00CD57E6" w:rsidR="001D4C42">
        <w:t>.  According to Article 31, everyone shall have the right to dispose of, use, manage and bequeath his property in the way he sees fit. No one can be deprived of his property, save by a court in cases prescribed by law. Property can be expropriated for the needs of society and the State only in exceptional cases of paramount public interest, in a procedure prescribed by law and with prior equivalent compensation.</w:t>
      </w:r>
    </w:p>
    <w:p w:rsidRPr="00CD57E6" w:rsidR="001D4C42" w:rsidP="00CD57E6" w:rsidRDefault="001D4C42">
      <w:pPr>
        <w:pStyle w:val="ECHRHeading2"/>
      </w:pPr>
      <w:r w:rsidRPr="00CD57E6">
        <w:t>B.  The Code of Civil Procedure (in force from 1999)</w:t>
      </w:r>
    </w:p>
    <w:p w:rsidRPr="00CD57E6" w:rsidR="001D4C42"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22</w:t>
      </w:r>
      <w:r w:rsidRPr="00CD57E6">
        <w:rPr>
          <w:noProof/>
        </w:rPr>
        <w:fldChar w:fldCharType="end"/>
      </w:r>
      <w:r w:rsidRPr="00CD57E6" w:rsidR="001D4C42">
        <w:t>.  According to Article 6, civil proceedings shall be adversarial and shall be conducted with respect for equality of arms.</w:t>
      </w:r>
    </w:p>
    <w:p w:rsidRPr="00CD57E6" w:rsidR="001D4C42"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23</w:t>
      </w:r>
      <w:r w:rsidRPr="00CD57E6">
        <w:rPr>
          <w:noProof/>
        </w:rPr>
        <w:fldChar w:fldCharType="end"/>
      </w:r>
      <w:r w:rsidRPr="00CD57E6" w:rsidR="001D4C42">
        <w:t>.  Article 53 § 2 of the Code provides that the court shall consider no piece of evidence as already established.</w:t>
      </w:r>
    </w:p>
    <w:p w:rsidRPr="00CD57E6" w:rsidR="001D4C42"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24</w:t>
      </w:r>
      <w:r w:rsidRPr="00CD57E6">
        <w:rPr>
          <w:noProof/>
        </w:rPr>
        <w:fldChar w:fldCharType="end"/>
      </w:r>
      <w:r w:rsidRPr="00CD57E6" w:rsidR="001D4C42">
        <w:t>.  According to Article 60 § 1, in order to clarify issues requiring specialised knowledge which arise during the examination of a case, the court can appoint a forensic examination upon application by a party (parties) or of its own motion.</w:t>
      </w:r>
    </w:p>
    <w:p w:rsidRPr="00CD57E6" w:rsidR="001D4C42"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25</w:t>
      </w:r>
      <w:r w:rsidRPr="00CD57E6">
        <w:rPr>
          <w:noProof/>
        </w:rPr>
        <w:fldChar w:fldCharType="end"/>
      </w:r>
      <w:r w:rsidRPr="00CD57E6" w:rsidR="001D4C42">
        <w:t xml:space="preserve">.  Article 60 § 6 of the Code provides that the court </w:t>
      </w:r>
      <w:r w:rsidRPr="00CD57E6" w:rsidR="000E2F0C">
        <w:t xml:space="preserve">must </w:t>
      </w:r>
      <w:r w:rsidRPr="00CD57E6" w:rsidR="001D4C42">
        <w:t>warn the expert about criminal liability for submission of an obviously false conclusion.</w:t>
      </w:r>
    </w:p>
    <w:p w:rsidRPr="00CD57E6" w:rsidR="001D4C42"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26</w:t>
      </w:r>
      <w:r w:rsidRPr="00CD57E6">
        <w:rPr>
          <w:noProof/>
        </w:rPr>
        <w:fldChar w:fldCharType="end"/>
      </w:r>
      <w:r w:rsidRPr="00CD57E6" w:rsidR="001D4C42">
        <w:t>.  According to Article 61, the participants in the proceedings are entitled to be present at the forensic examination, save in cases where their presence could hinder the regular work of the expert.</w:t>
      </w:r>
    </w:p>
    <w:p w:rsidRPr="00CD57E6" w:rsidR="001D4C42" w:rsidP="00CD57E6" w:rsidRDefault="001D4C42">
      <w:pPr>
        <w:pStyle w:val="ECHRHeading2"/>
      </w:pPr>
      <w:r w:rsidRPr="00CD57E6">
        <w:t xml:space="preserve">C.  The Law on Alienation of Property for the </w:t>
      </w:r>
      <w:r w:rsidRPr="00CD57E6" w:rsidR="000E2F0C">
        <w:t>N</w:t>
      </w:r>
      <w:r w:rsidRPr="00CD57E6">
        <w:t>eeds of Society and the State (in force from 30 December 2006)</w:t>
      </w:r>
    </w:p>
    <w:p w:rsidRPr="00CD57E6" w:rsidR="001D4C42"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27</w:t>
      </w:r>
      <w:r w:rsidRPr="00CD57E6">
        <w:rPr>
          <w:noProof/>
        </w:rPr>
        <w:fldChar w:fldCharType="end"/>
      </w:r>
      <w:r w:rsidRPr="00CD57E6" w:rsidR="001D4C42">
        <w:t>.  According to section 3 § 1, the constitutional basis for alienation of property for the needs of society and the State is the prevailing public interest.</w:t>
      </w:r>
    </w:p>
    <w:p w:rsidRPr="00CD57E6" w:rsidR="001D4C42"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28</w:t>
      </w:r>
      <w:r w:rsidRPr="00CD57E6">
        <w:rPr>
          <w:noProof/>
        </w:rPr>
        <w:fldChar w:fldCharType="end"/>
      </w:r>
      <w:r w:rsidRPr="00CD57E6" w:rsidR="001D4C42">
        <w:t>.  Section 3 § 2 provides that the constitutional requirements for alienation of property for the needs of society and the State are the following:</w:t>
      </w:r>
    </w:p>
    <w:p w:rsidRPr="00CD57E6" w:rsidR="001D4C42" w:rsidP="00CD57E6" w:rsidRDefault="003302E3">
      <w:pPr>
        <w:pStyle w:val="ECHRPara"/>
      </w:pPr>
      <w:r w:rsidRPr="00CD57E6">
        <w:t>(</w:t>
      </w:r>
      <w:r w:rsidRPr="00CD57E6" w:rsidR="001D4C42">
        <w:t>a)  alienation must be carried out in accordance with a procedure prescribed by the law,</w:t>
      </w:r>
    </w:p>
    <w:p w:rsidRPr="00CD57E6" w:rsidR="001D4C42" w:rsidP="00CD57E6" w:rsidRDefault="003302E3">
      <w:pPr>
        <w:pStyle w:val="ECHRPara"/>
      </w:pPr>
      <w:r w:rsidRPr="00CD57E6">
        <w:t>(</w:t>
      </w:r>
      <w:r w:rsidRPr="00CD57E6" w:rsidR="001D4C42">
        <w:t>b)  prior adequate compensation should be provided for property subject to alienation.</w:t>
      </w:r>
    </w:p>
    <w:p w:rsidRPr="00CD57E6" w:rsidR="001D4C42"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29</w:t>
      </w:r>
      <w:r w:rsidRPr="00CD57E6">
        <w:rPr>
          <w:noProof/>
        </w:rPr>
        <w:fldChar w:fldCharType="end"/>
      </w:r>
      <w:r w:rsidRPr="00CD57E6" w:rsidR="001D4C42">
        <w:t xml:space="preserve">.  According to section 4 § 1, the public interest must prevail over the interests of the owner of property subject to alienation, and alienation of that property must be essential to </w:t>
      </w:r>
      <w:r w:rsidRPr="00CD57E6" w:rsidR="000E2F0C">
        <w:t xml:space="preserve">the </w:t>
      </w:r>
      <w:r w:rsidRPr="00CD57E6" w:rsidR="001D4C42">
        <w:t>implementation</w:t>
      </w:r>
      <w:r w:rsidRPr="00CD57E6" w:rsidR="000E2F0C">
        <w:t xml:space="preserve"> of what is in the public interest</w:t>
      </w:r>
      <w:r w:rsidRPr="00CD57E6" w:rsidR="001D4C42">
        <w:t>.</w:t>
      </w:r>
    </w:p>
    <w:p w:rsidRPr="00CD57E6" w:rsidR="001D4C42"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30</w:t>
      </w:r>
      <w:r w:rsidRPr="00CD57E6">
        <w:rPr>
          <w:noProof/>
        </w:rPr>
        <w:fldChar w:fldCharType="end"/>
      </w:r>
      <w:r w:rsidRPr="00CD57E6" w:rsidR="001D4C42">
        <w:t xml:space="preserve">.  Section 4 § 2 provides that the prevailing public interest may pursue, </w:t>
      </w:r>
      <w:r w:rsidRPr="00CD57E6" w:rsidR="001D4C42">
        <w:rPr>
          <w:i/>
        </w:rPr>
        <w:t>inter alia</w:t>
      </w:r>
      <w:r w:rsidRPr="00CD57E6" w:rsidR="001D4C42">
        <w:t xml:space="preserve">, the implementation of mining projects having important State or community significance. The aim of securing additional income for the State or community budget is not </w:t>
      </w:r>
      <w:r w:rsidRPr="00CD57E6" w:rsidR="000E2F0C">
        <w:t>of</w:t>
      </w:r>
      <w:r w:rsidRPr="00CD57E6" w:rsidR="001D4C42">
        <w:t xml:space="preserve"> itself a prevailing public interest.</w:t>
      </w:r>
    </w:p>
    <w:p w:rsidRPr="00CD57E6" w:rsidR="001D4C42"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31</w:t>
      </w:r>
      <w:r w:rsidRPr="00CD57E6">
        <w:rPr>
          <w:noProof/>
        </w:rPr>
        <w:fldChar w:fldCharType="end"/>
      </w:r>
      <w:r w:rsidRPr="00CD57E6" w:rsidR="001D4C42">
        <w:t xml:space="preserve">.  According to section 11 § 1, adequate compensation should be paid to the owner of </w:t>
      </w:r>
      <w:r w:rsidRPr="00CD57E6" w:rsidR="000E2F0C">
        <w:t xml:space="preserve">a </w:t>
      </w:r>
      <w:r w:rsidRPr="00CD57E6" w:rsidR="001D4C42">
        <w:t>property subject to alienation. The market value of the property plus an additional 15% is considered to be an adequate amount of compensation.</w:t>
      </w:r>
    </w:p>
    <w:p w:rsidRPr="00CD57E6" w:rsidR="001D4C42"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32</w:t>
      </w:r>
      <w:r w:rsidRPr="00CD57E6">
        <w:rPr>
          <w:noProof/>
        </w:rPr>
        <w:fldChar w:fldCharType="end"/>
      </w:r>
      <w:r w:rsidRPr="00CD57E6" w:rsidR="001D4C42">
        <w:t xml:space="preserve">.  Section 11 § 3 provides that the determination of the market value of real estate and property rights in respect of real estate is carried out in accordance with the procedure set out by the Law on Real Estate </w:t>
      </w:r>
      <w:r w:rsidRPr="00CD57E6" w:rsidR="000E2F0C">
        <w:t>V</w:t>
      </w:r>
      <w:r w:rsidRPr="00CD57E6" w:rsidR="001D4C42">
        <w:t>aluation Activity.</w:t>
      </w:r>
    </w:p>
    <w:p w:rsidRPr="00CD57E6" w:rsidR="001D4C42" w:rsidP="00CD57E6" w:rsidRDefault="001D4C42">
      <w:pPr>
        <w:pStyle w:val="ECHRHeading2"/>
      </w:pPr>
      <w:r w:rsidRPr="00CD57E6">
        <w:t xml:space="preserve">D.  The Law on Real Estate </w:t>
      </w:r>
      <w:r w:rsidRPr="00CD57E6" w:rsidR="000E2F0C">
        <w:t>V</w:t>
      </w:r>
      <w:r w:rsidRPr="00CD57E6">
        <w:t>aluation Activity (as in force at the material time)</w:t>
      </w:r>
    </w:p>
    <w:p w:rsidRPr="00CD57E6" w:rsidR="001D4C42"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33</w:t>
      </w:r>
      <w:r w:rsidRPr="00CD57E6">
        <w:rPr>
          <w:noProof/>
        </w:rPr>
        <w:fldChar w:fldCharType="end"/>
      </w:r>
      <w:r w:rsidRPr="00CD57E6" w:rsidR="001D4C42">
        <w:t xml:space="preserve">.  According to section 8, valuation is obligatory in </w:t>
      </w:r>
      <w:r w:rsidRPr="00CD57E6" w:rsidR="000E2F0C">
        <w:t>the event</w:t>
      </w:r>
      <w:r w:rsidRPr="00CD57E6" w:rsidR="001D4C42">
        <w:t xml:space="preserve"> of alienation of immovable property for State or community needs.</w:t>
      </w:r>
    </w:p>
    <w:p w:rsidRPr="00CD57E6" w:rsidR="001D4C42"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34</w:t>
      </w:r>
      <w:r w:rsidRPr="00CD57E6">
        <w:rPr>
          <w:noProof/>
        </w:rPr>
        <w:fldChar w:fldCharType="end"/>
      </w:r>
      <w:r w:rsidRPr="00CD57E6" w:rsidR="001D4C42">
        <w:t>.  Section 15 § 1 (1) provides that persons engaged in real</w:t>
      </w:r>
      <w:r w:rsidRPr="00CD57E6" w:rsidR="000E2F0C">
        <w:t>-</w:t>
      </w:r>
      <w:r w:rsidRPr="00CD57E6" w:rsidR="001D4C42">
        <w:t>estate valuation have the right to use independent methods of real</w:t>
      </w:r>
      <w:r w:rsidRPr="00CD57E6" w:rsidR="000E2F0C">
        <w:t>-</w:t>
      </w:r>
      <w:r w:rsidRPr="00CD57E6" w:rsidR="001D4C42">
        <w:t>estate valuation in compliance with valuation standard</w:t>
      </w:r>
      <w:r w:rsidRPr="00CD57E6" w:rsidR="000E2F0C">
        <w:t>s</w:t>
      </w:r>
      <w:r w:rsidRPr="00CD57E6" w:rsidR="001D4C42">
        <w:t>.</w:t>
      </w:r>
    </w:p>
    <w:p w:rsidRPr="00CD57E6" w:rsidR="001D4C42" w:rsidP="00CD57E6" w:rsidRDefault="001D4C42">
      <w:pPr>
        <w:pStyle w:val="ECHRHeading2"/>
        <w:rPr>
          <w:rFonts w:ascii="Sylfaen" w:hAnsi="Sylfaen"/>
        </w:rPr>
      </w:pPr>
      <w:r w:rsidRPr="00CD57E6">
        <w:t xml:space="preserve">E.  Government Decree No. 1279-N of 1 November 2007 approving the </w:t>
      </w:r>
      <w:r w:rsidRPr="00CD57E6" w:rsidR="000E2F0C">
        <w:t xml:space="preserve">designation of </w:t>
      </w:r>
      <w:r w:rsidRPr="00CD57E6">
        <w:t xml:space="preserve">certain territories situated within the administrative boundaries of the rural communities of Shnogh and Teghout in the Lori Region </w:t>
      </w:r>
      <w:r w:rsidRPr="00CD57E6" w:rsidR="000E2F0C">
        <w:t xml:space="preserve">as expropriation zones, </w:t>
      </w:r>
      <w:r w:rsidRPr="00CD57E6">
        <w:t>to be taken for State needs</w:t>
      </w:r>
      <w:r w:rsidRPr="00CD57E6" w:rsidR="000E2F0C">
        <w:t xml:space="preserve">, thus </w:t>
      </w:r>
      <w:r w:rsidRPr="00CD57E6">
        <w:t>changing the category of land use (</w:t>
      </w:r>
      <w:r w:rsidRPr="00CD57E6">
        <w:rPr>
          <w:rFonts w:ascii="Sylfaen" w:hAnsi="Sylfaen"/>
        </w:rPr>
        <w:t>ՀՀ Կառավարության 2007 թ. նոյեմբերի 1-ի թիվ 1279-Ն որոշումը Հայաստանի Հանրապետության Լոռու մարզի Շնողի և Թեղուտի գյուղական համայնքների վարչական սահմաններում որոշ տարածքներում բացառիկ՝ գերակա հանրային շահ ճանաչելու և հողերի նպատակային նշանակությունը փոփոխելու մասին)</w:t>
      </w:r>
    </w:p>
    <w:p w:rsidRPr="00CD57E6" w:rsidR="00D420F3"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35</w:t>
      </w:r>
      <w:r w:rsidRPr="00CD57E6">
        <w:rPr>
          <w:noProof/>
        </w:rPr>
        <w:fldChar w:fldCharType="end"/>
      </w:r>
      <w:r w:rsidRPr="00CD57E6" w:rsidR="001D4C42">
        <w:t>.  For the purpose of the implementation of the Teghout copper</w:t>
      </w:r>
      <w:r w:rsidRPr="00CD57E6" w:rsidR="001D4C42">
        <w:noBreakHyphen/>
        <w:t xml:space="preserve">molybdenum deposit exploitation project, and </w:t>
      </w:r>
      <w:r w:rsidRPr="00CD57E6" w:rsidR="000E2F0C">
        <w:t xml:space="preserve">with a view to </w:t>
      </w:r>
      <w:r w:rsidRPr="00CD57E6" w:rsidR="001D4C42">
        <w:t xml:space="preserve">building and operating a mining plant, the Government decided to approve the </w:t>
      </w:r>
      <w:r w:rsidRPr="00CD57E6" w:rsidR="000E2F0C">
        <w:t xml:space="preserve">designation of </w:t>
      </w:r>
      <w:r w:rsidRPr="00CD57E6" w:rsidR="001D4C42">
        <w:t xml:space="preserve">agricultural land situated within the administrative boundaries of the rural communities of Shnogh and Teghout in the Lori Region </w:t>
      </w:r>
      <w:r w:rsidRPr="00CD57E6" w:rsidR="000E2F0C">
        <w:t xml:space="preserve">as expropriation zones, </w:t>
      </w:r>
      <w:r w:rsidRPr="00CD57E6" w:rsidR="001D4C42">
        <w:t>to be taken for State needs, with a total area of 81</w:t>
      </w:r>
      <w:r w:rsidRPr="00CD57E6" w:rsidR="000E2F0C">
        <w:t>,</w:t>
      </w:r>
      <w:r w:rsidRPr="00CD57E6" w:rsidR="001D4C42">
        <w:t>483 ha. According to the Decree, the public interest in the development of the economy and infrastructure and the interest in higher levels of production and export prevailed over the private interests of the proprietors.</w:t>
      </w:r>
    </w:p>
    <w:p w:rsidRPr="00CD57E6" w:rsidR="00D420F3" w:rsidP="00CD57E6" w:rsidRDefault="0077175D">
      <w:pPr>
        <w:pStyle w:val="ECHRTitle1"/>
      </w:pPr>
      <w:r w:rsidRPr="00CD57E6">
        <w:t>THE LAW</w:t>
      </w:r>
    </w:p>
    <w:p w:rsidRPr="00CD57E6" w:rsidR="001D4C42" w:rsidP="00CD57E6" w:rsidRDefault="001D4C42">
      <w:pPr>
        <w:pStyle w:val="ECHRHeading1"/>
      </w:pPr>
      <w:r w:rsidRPr="00CD57E6">
        <w:t>I.  ALLEGED VIOLATION OF ARTICLE 1 OF PROTOCOL NO. 1 TO THE CONVENTION</w:t>
      </w:r>
    </w:p>
    <w:p w:rsidRPr="00CD57E6" w:rsidR="001D4C42" w:rsidP="00CD57E6" w:rsidRDefault="00AD5883">
      <w:pPr>
        <w:pStyle w:val="ECHRPara"/>
      </w:pPr>
      <w:r w:rsidRPr="00CD57E6">
        <w:fldChar w:fldCharType="begin"/>
      </w:r>
      <w:r w:rsidRPr="00CD57E6">
        <w:instrText xml:space="preserve"> SEQ level0 \*arabic </w:instrText>
      </w:r>
      <w:r w:rsidRPr="00CD57E6">
        <w:fldChar w:fldCharType="separate"/>
      </w:r>
      <w:r w:rsidRPr="00CD57E6" w:rsidR="00CD57E6">
        <w:rPr>
          <w:noProof/>
        </w:rPr>
        <w:t>36</w:t>
      </w:r>
      <w:r w:rsidRPr="00CD57E6">
        <w:fldChar w:fldCharType="end"/>
      </w:r>
      <w:r w:rsidRPr="00CD57E6">
        <w:t>.  </w:t>
      </w:r>
      <w:r w:rsidRPr="00CD57E6" w:rsidR="001D4C42">
        <w:t>The applicants complained under Article 1 of Protocol No. 1 to the Convention that the deprivation of their property did not satisfy the requirement of lawfulness, did not pursue any public interest</w:t>
      </w:r>
      <w:r w:rsidRPr="00CD57E6" w:rsidR="000E2F0C">
        <w:t>,</w:t>
      </w:r>
      <w:r w:rsidRPr="00CD57E6" w:rsidR="001D4C42">
        <w:t xml:space="preserve"> and the amount of compensation awarded </w:t>
      </w:r>
      <w:r w:rsidRPr="00CD57E6" w:rsidR="000E2F0C">
        <w:t>was</w:t>
      </w:r>
      <w:r w:rsidRPr="00CD57E6" w:rsidR="001D4C42">
        <w:t xml:space="preserve"> inadequate. In particular, they complained that the law was not sufficiently foreseeable in that it did not specify the criteria for determining the market value of property to be taken for State needs.</w:t>
      </w:r>
    </w:p>
    <w:p w:rsidRPr="00CD57E6" w:rsidR="001D4C42" w:rsidP="00CD57E6" w:rsidRDefault="001D4C42">
      <w:pPr>
        <w:pStyle w:val="ECHRPara"/>
      </w:pPr>
      <w:r w:rsidRPr="00CD57E6">
        <w:fldChar w:fldCharType="begin"/>
      </w:r>
      <w:r w:rsidRPr="00CD57E6">
        <w:instrText xml:space="preserve"> SEQ level0 \*arabic </w:instrText>
      </w:r>
      <w:r w:rsidRPr="00CD57E6">
        <w:fldChar w:fldCharType="separate"/>
      </w:r>
      <w:r w:rsidRPr="00CD57E6" w:rsidR="00CD57E6">
        <w:rPr>
          <w:noProof/>
        </w:rPr>
        <w:t>37</w:t>
      </w:r>
      <w:r w:rsidRPr="00CD57E6">
        <w:fldChar w:fldCharType="end"/>
      </w:r>
      <w:r w:rsidRPr="00CD57E6">
        <w:t>.  Article 1 of Protocol No. 1 to the Convention reads as follows:</w:t>
      </w:r>
    </w:p>
    <w:p w:rsidRPr="00CD57E6" w:rsidR="001D4C42" w:rsidP="00CD57E6" w:rsidRDefault="001D4C42">
      <w:pPr>
        <w:pStyle w:val="ECHRParaQuote"/>
      </w:pPr>
      <w:r w:rsidRPr="00CD57E6">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CD57E6" w:rsidR="001D4C42" w:rsidP="00CD57E6" w:rsidRDefault="001D4C42">
      <w:pPr>
        <w:pStyle w:val="ECHRParaQuote"/>
      </w:pPr>
      <w:r w:rsidRPr="00CD57E6">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CD57E6" w:rsidR="001D4C42" w:rsidP="00CD57E6" w:rsidRDefault="001D4C42">
      <w:pPr>
        <w:pStyle w:val="ECHRHeading2"/>
      </w:pPr>
      <w:r w:rsidRPr="00CD57E6">
        <w:t>A.  Admissibility</w:t>
      </w:r>
    </w:p>
    <w:p w:rsidRPr="00CD57E6" w:rsidR="001D4C42" w:rsidP="00CD57E6" w:rsidRDefault="001D4C42">
      <w:pPr>
        <w:pStyle w:val="ECHRPara"/>
      </w:pPr>
      <w:r w:rsidRPr="00CD57E6">
        <w:fldChar w:fldCharType="begin"/>
      </w:r>
      <w:r w:rsidRPr="00CD57E6">
        <w:instrText xml:space="preserve"> SEQ level0 \*arabic </w:instrText>
      </w:r>
      <w:r w:rsidRPr="00CD57E6">
        <w:fldChar w:fldCharType="separate"/>
      </w:r>
      <w:r w:rsidRPr="00CD57E6" w:rsidR="00CD57E6">
        <w:rPr>
          <w:noProof/>
        </w:rPr>
        <w:t>38</w:t>
      </w:r>
      <w:r w:rsidRPr="00CD57E6">
        <w:fldChar w:fldCharType="end"/>
      </w:r>
      <w:r w:rsidRPr="00CD57E6">
        <w:t>.  The Court notes that this complaint is not manifestly ill-founded within the meaning of Article 35 § 3 (a) of the Convention. It further notes that it is not inadmissible on any other grounds. It must therefore be declared admissible.</w:t>
      </w:r>
    </w:p>
    <w:p w:rsidRPr="00CD57E6" w:rsidR="001D4C42" w:rsidP="00CD57E6" w:rsidRDefault="001D4C42">
      <w:pPr>
        <w:pStyle w:val="ECHRHeading2"/>
      </w:pPr>
      <w:r w:rsidRPr="00CD57E6">
        <w:t>B.  Merits</w:t>
      </w:r>
    </w:p>
    <w:p w:rsidRPr="00CD57E6" w:rsidR="001D4C42" w:rsidP="00CD57E6" w:rsidRDefault="001D4C42">
      <w:pPr>
        <w:pStyle w:val="ECHRHeading3"/>
      </w:pPr>
      <w:r w:rsidRPr="00CD57E6">
        <w:t>1.  The parties</w:t>
      </w:r>
      <w:r w:rsidRPr="00CD57E6" w:rsidR="00CD57E6">
        <w:t>’</w:t>
      </w:r>
      <w:r w:rsidRPr="00CD57E6">
        <w:t xml:space="preserve"> submissions</w:t>
      </w:r>
    </w:p>
    <w:p w:rsidRPr="00CD57E6" w:rsidR="001D4C42" w:rsidP="00CD57E6" w:rsidRDefault="001D4C42">
      <w:pPr>
        <w:pStyle w:val="ECHRHeading4"/>
      </w:pPr>
      <w:r w:rsidRPr="00CD57E6">
        <w:t>(a)  The applicants</w:t>
      </w:r>
    </w:p>
    <w:p w:rsidRPr="00CD57E6" w:rsidR="001D4C42" w:rsidP="00CD57E6" w:rsidRDefault="001D4C42">
      <w:pPr>
        <w:pStyle w:val="ECHRPara"/>
      </w:pPr>
      <w:r w:rsidRPr="00CD57E6">
        <w:fldChar w:fldCharType="begin"/>
      </w:r>
      <w:r w:rsidRPr="00CD57E6">
        <w:instrText xml:space="preserve"> SEQ level0 \*arabic </w:instrText>
      </w:r>
      <w:r w:rsidRPr="00CD57E6">
        <w:fldChar w:fldCharType="separate"/>
      </w:r>
      <w:r w:rsidRPr="00CD57E6" w:rsidR="00CD57E6">
        <w:rPr>
          <w:noProof/>
        </w:rPr>
        <w:t>39</w:t>
      </w:r>
      <w:r w:rsidRPr="00CD57E6">
        <w:fldChar w:fldCharType="end"/>
      </w:r>
      <w:r w:rsidRPr="00CD57E6">
        <w:t xml:space="preserve">.  The applicants maintained that their expropriated land </w:t>
      </w:r>
      <w:r w:rsidRPr="00CD57E6" w:rsidR="000E2F0C">
        <w:t>was</w:t>
      </w:r>
      <w:r w:rsidRPr="00CD57E6">
        <w:t xml:space="preserve"> their only source of income. They argued that the deprivation of their property </w:t>
      </w:r>
      <w:r w:rsidRPr="00CD57E6" w:rsidR="00113F22">
        <w:t>did</w:t>
      </w:r>
      <w:r w:rsidRPr="00CD57E6">
        <w:t xml:space="preserve"> not satisf</w:t>
      </w:r>
      <w:r w:rsidRPr="00CD57E6" w:rsidR="00113F22">
        <w:t>y</w:t>
      </w:r>
      <w:r w:rsidRPr="00CD57E6">
        <w:t xml:space="preserve"> the requirement of lawfulness, </w:t>
      </w:r>
      <w:r w:rsidRPr="00CD57E6" w:rsidR="00113F22">
        <w:t>did</w:t>
      </w:r>
      <w:r w:rsidRPr="00CD57E6">
        <w:t xml:space="preserve"> not pursue any public interest</w:t>
      </w:r>
      <w:r w:rsidRPr="00CD57E6" w:rsidR="00113F22">
        <w:t>,</w:t>
      </w:r>
      <w:r w:rsidRPr="00CD57E6">
        <w:t xml:space="preserve"> and the amount of compensation awarded </w:t>
      </w:r>
      <w:r w:rsidRPr="00CD57E6" w:rsidR="00113F22">
        <w:t>was</w:t>
      </w:r>
      <w:r w:rsidRPr="00CD57E6">
        <w:t xml:space="preserve"> inadequate. As regards the requirement of lawfulness, they argued that the law was not sufficiently foreseeable in that it did not specify the criteria for determining the market value of property to be taken for State needs. The applicants denied that the expropriation of their land had been carried out on “public interest” grounds. They argued that it was manifestly unreasonable in the present case to rely on </w:t>
      </w:r>
      <w:r w:rsidRPr="00CD57E6" w:rsidR="004F143A">
        <w:t xml:space="preserve">the </w:t>
      </w:r>
      <w:r w:rsidRPr="00CD57E6">
        <w:t>“public interest” when the measure had an exclusively commercial purpose, taking into account that the mining project was being implemented by a private company which did not have any State participation.</w:t>
      </w:r>
    </w:p>
    <w:p w:rsidRPr="00CD57E6" w:rsidR="001D4C42" w:rsidP="00CD57E6" w:rsidRDefault="001D4C42">
      <w:pPr>
        <w:pStyle w:val="ECHRPara"/>
      </w:pPr>
      <w:r w:rsidRPr="00CD57E6">
        <w:fldChar w:fldCharType="begin"/>
      </w:r>
      <w:r w:rsidRPr="00CD57E6">
        <w:instrText xml:space="preserve"> SEQ level0 \*arabic </w:instrText>
      </w:r>
      <w:r w:rsidRPr="00CD57E6">
        <w:fldChar w:fldCharType="separate"/>
      </w:r>
      <w:r w:rsidRPr="00CD57E6" w:rsidR="00CD57E6">
        <w:rPr>
          <w:noProof/>
        </w:rPr>
        <w:t>40</w:t>
      </w:r>
      <w:r w:rsidRPr="00CD57E6">
        <w:fldChar w:fldCharType="end"/>
      </w:r>
      <w:r w:rsidRPr="00CD57E6">
        <w:t xml:space="preserve">.  The applicants further argued that the </w:t>
      </w:r>
      <w:r w:rsidRPr="00CD57E6" w:rsidR="004F143A">
        <w:t>assessment</w:t>
      </w:r>
      <w:r w:rsidRPr="00CD57E6">
        <w:t xml:space="preserve"> of the market value of their land had been done by relying on </w:t>
      </w:r>
      <w:r w:rsidRPr="00CD57E6" w:rsidR="004F143A">
        <w:t>a</w:t>
      </w:r>
      <w:r w:rsidRPr="00CD57E6">
        <w:t xml:space="preserve"> comparative method which could not adequately reflect its true market value. Moreover, the sum that they had received in compensation was much lower than the cadastral value of the expropriated land at the time the expropriation procedure was initiated</w:t>
      </w:r>
      <w:r w:rsidRPr="00CD57E6" w:rsidR="004F143A">
        <w:t>,</w:t>
      </w:r>
      <w:r w:rsidRPr="00CD57E6">
        <w:t xml:space="preserve"> and was manifestly inadequate in relation to the actual value o</w:t>
      </w:r>
      <w:r w:rsidRPr="00CD57E6" w:rsidR="00540EAA">
        <w:t>f the land in question.</w:t>
      </w:r>
    </w:p>
    <w:p w:rsidRPr="00CD57E6" w:rsidR="001D4C42" w:rsidP="00CD57E6" w:rsidRDefault="001D4C42">
      <w:pPr>
        <w:pStyle w:val="ECHRHeading4"/>
      </w:pPr>
      <w:r w:rsidRPr="00CD57E6">
        <w:t>(b)  The Government</w:t>
      </w:r>
    </w:p>
    <w:p w:rsidRPr="00CD57E6" w:rsidR="001D4C42" w:rsidP="00CD57E6" w:rsidRDefault="001D4C42">
      <w:pPr>
        <w:pStyle w:val="ECHRPara"/>
      </w:pPr>
      <w:r w:rsidRPr="00CD57E6">
        <w:fldChar w:fldCharType="begin"/>
      </w:r>
      <w:r w:rsidRPr="00CD57E6">
        <w:instrText xml:space="preserve"> SEQ level0 \*arabic </w:instrText>
      </w:r>
      <w:r w:rsidRPr="00CD57E6">
        <w:fldChar w:fldCharType="separate"/>
      </w:r>
      <w:r w:rsidRPr="00CD57E6" w:rsidR="00CD57E6">
        <w:rPr>
          <w:noProof/>
        </w:rPr>
        <w:t>41</w:t>
      </w:r>
      <w:r w:rsidRPr="00CD57E6">
        <w:fldChar w:fldCharType="end"/>
      </w:r>
      <w:r w:rsidRPr="00CD57E6">
        <w:t xml:space="preserve">.  The Government maintained </w:t>
      </w:r>
      <w:r w:rsidRPr="00CD57E6" w:rsidR="004F143A">
        <w:t xml:space="preserve">that </w:t>
      </w:r>
      <w:r w:rsidRPr="00CD57E6">
        <w:t>the deprivation of the applicants</w:t>
      </w:r>
      <w:r w:rsidRPr="00CD57E6" w:rsidR="00CD57E6">
        <w:t>’</w:t>
      </w:r>
      <w:r w:rsidRPr="00CD57E6">
        <w:t xml:space="preserve"> property had been “provided by law” and by “the general principles of international law”. According to the domestic law, the determination of the market value of a</w:t>
      </w:r>
      <w:r w:rsidRPr="00CD57E6" w:rsidR="004F143A">
        <w:t>n item of</w:t>
      </w:r>
      <w:r w:rsidRPr="00CD57E6">
        <w:t xml:space="preserve"> real estate was to be carried out in accordance with the Law on Real Estate </w:t>
      </w:r>
      <w:r w:rsidRPr="00CD57E6" w:rsidR="004F143A">
        <w:t>V</w:t>
      </w:r>
      <w:r w:rsidRPr="00CD57E6">
        <w:t>aluation Activity</w:t>
      </w:r>
      <w:r w:rsidRPr="00CD57E6" w:rsidR="004F143A">
        <w:t>,</w:t>
      </w:r>
      <w:r w:rsidRPr="00CD57E6">
        <w:t xml:space="preserve"> which was sufficiently precise as regards the definition and calculation of the due compensation for expropriation. As this Law had entered into force in 2005, it had been foreseeable to the applicants. Moreover, the expropriation of the applicants</w:t>
      </w:r>
      <w:r w:rsidRPr="00CD57E6" w:rsidR="00CD57E6">
        <w:t>’</w:t>
      </w:r>
      <w:r w:rsidRPr="00CD57E6">
        <w:t xml:space="preserve"> land had been carried out in the public interest</w:t>
      </w:r>
      <w:r w:rsidRPr="00CD57E6" w:rsidR="004F143A">
        <w:t xml:space="preserve">, </w:t>
      </w:r>
      <w:r w:rsidRPr="00CD57E6">
        <w:t>had pursued the legitimate aim of development of the economy and infrastructure</w:t>
      </w:r>
      <w:r w:rsidRPr="00CD57E6" w:rsidR="004F143A">
        <w:t>,</w:t>
      </w:r>
      <w:r w:rsidRPr="00CD57E6">
        <w:t xml:space="preserve"> and had been in the interest of higher levels of production and export. These </w:t>
      </w:r>
      <w:r w:rsidRPr="00CD57E6" w:rsidR="004F143A">
        <w:t xml:space="preserve">aspects of the </w:t>
      </w:r>
      <w:r w:rsidRPr="00CD57E6">
        <w:t>public interest had prevailed over the applicants</w:t>
      </w:r>
      <w:r w:rsidRPr="00CD57E6" w:rsidR="00CD57E6">
        <w:t>’</w:t>
      </w:r>
      <w:r w:rsidRPr="00CD57E6">
        <w:t xml:space="preserve"> private interest. The fact that the expropriation of the applicants</w:t>
      </w:r>
      <w:r w:rsidRPr="00CD57E6" w:rsidR="00CD57E6">
        <w:t>’</w:t>
      </w:r>
      <w:r w:rsidRPr="00CD57E6">
        <w:t xml:space="preserve"> land had been carried out by a private company did not by any means </w:t>
      </w:r>
      <w:r w:rsidRPr="00CD57E6" w:rsidR="004F143A">
        <w:t>pre</w:t>
      </w:r>
      <w:r w:rsidRPr="00CD57E6">
        <w:t>clude the existence of public interest in the present case.</w:t>
      </w:r>
    </w:p>
    <w:p w:rsidRPr="00CD57E6" w:rsidR="00540EAA" w:rsidP="00CD57E6" w:rsidRDefault="00A81431">
      <w:pPr>
        <w:pStyle w:val="ECHRPara"/>
        <w:rPr>
          <w:iCs/>
        </w:rPr>
      </w:pPr>
      <w:r w:rsidRPr="00CD57E6">
        <w:fldChar w:fldCharType="begin"/>
      </w:r>
      <w:r w:rsidRPr="00CD57E6">
        <w:instrText xml:space="preserve"> SEQ level0 \*arabic </w:instrText>
      </w:r>
      <w:r w:rsidRPr="00CD57E6">
        <w:fldChar w:fldCharType="separate"/>
      </w:r>
      <w:r w:rsidRPr="00CD57E6" w:rsidR="00CD57E6">
        <w:rPr>
          <w:noProof/>
        </w:rPr>
        <w:t>42</w:t>
      </w:r>
      <w:r w:rsidRPr="00CD57E6">
        <w:rPr>
          <w:noProof/>
        </w:rPr>
        <w:fldChar w:fldCharType="end"/>
      </w:r>
      <w:r w:rsidRPr="00CD57E6" w:rsidR="001D4C42">
        <w:t>.  As to fair balance, the Government stressed that the expropriation of the applicants</w:t>
      </w:r>
      <w:r w:rsidRPr="00CD57E6" w:rsidR="00CD57E6">
        <w:t>’</w:t>
      </w:r>
      <w:r w:rsidRPr="00CD57E6" w:rsidR="001D4C42">
        <w:t xml:space="preserve"> land had struck a fair balance between the demands of the general interest of the public and the requirements of the protection of the applicants</w:t>
      </w:r>
      <w:r w:rsidRPr="00CD57E6" w:rsidR="00CD57E6">
        <w:t>’</w:t>
      </w:r>
      <w:r w:rsidRPr="00CD57E6" w:rsidR="001D4C42">
        <w:t xml:space="preserve"> property rights. The compensation paid to the applicants had been proportional to the aim pursued. The market value of the plot</w:t>
      </w:r>
      <w:r w:rsidRPr="00CD57E6" w:rsidR="00540EAA">
        <w:t>s</w:t>
      </w:r>
      <w:r w:rsidRPr="00CD57E6" w:rsidR="001D4C42">
        <w:t xml:space="preserve"> of land in question had been calculated by applying income and comparative methods. The comparative method took into account several factors influencing the market value of agricultural lands, such as property rights and restrictions; appearance of the plot of land; existence of any water supplies; measurements, location and yield of the plot of land; existence of any transport access; and slope degree and rock content of the plot of land. The income method took into consideration the necessary expenses and expected incomes </w:t>
      </w:r>
      <w:r w:rsidRPr="00CD57E6" w:rsidR="00BB44E1">
        <w:t xml:space="preserve">to be produced by </w:t>
      </w:r>
      <w:r w:rsidRPr="00CD57E6" w:rsidR="001D4C42">
        <w:t xml:space="preserve">the growing </w:t>
      </w:r>
      <w:r w:rsidRPr="00CD57E6" w:rsidR="00BB44E1">
        <w:t xml:space="preserve">of </w:t>
      </w:r>
      <w:r w:rsidRPr="00CD57E6" w:rsidR="001D4C42">
        <w:t>crops in the agricultural lands at issue. The average fertility rates were used for the calculation of the market value of the plot</w:t>
      </w:r>
      <w:r w:rsidRPr="00CD57E6" w:rsidR="00540EAA">
        <w:t>s</w:t>
      </w:r>
      <w:r w:rsidRPr="00CD57E6" w:rsidR="001D4C42">
        <w:t xml:space="preserve"> of land in question. </w:t>
      </w:r>
      <w:r w:rsidRPr="00CD57E6" w:rsidR="00C12966">
        <w:t>D</w:t>
      </w:r>
      <w:r w:rsidRPr="00CD57E6" w:rsidR="001D4C42">
        <w:t>ata from neighbo</w:t>
      </w:r>
      <w:r w:rsidRPr="00CD57E6" w:rsidR="00BB44E1">
        <w:t>u</w:t>
      </w:r>
      <w:r w:rsidRPr="00CD57E6" w:rsidR="001D4C42">
        <w:t>ring and compa</w:t>
      </w:r>
      <w:r w:rsidRPr="00CD57E6" w:rsidR="00BB44E1">
        <w:t>ra</w:t>
      </w:r>
      <w:r w:rsidRPr="00CD57E6" w:rsidR="001D4C42">
        <w:t xml:space="preserve">ble plots of land </w:t>
      </w:r>
      <w:r w:rsidRPr="00CD57E6" w:rsidR="001D4C42">
        <w:rPr>
          <w:iCs/>
        </w:rPr>
        <w:t xml:space="preserve">not subject </w:t>
      </w:r>
      <w:r w:rsidRPr="00CD57E6" w:rsidR="00BB44E1">
        <w:rPr>
          <w:iCs/>
        </w:rPr>
        <w:t>to</w:t>
      </w:r>
      <w:r w:rsidRPr="00CD57E6" w:rsidR="001D4C42">
        <w:rPr>
          <w:iCs/>
        </w:rPr>
        <w:t xml:space="preserve"> expropriation for State needs were used in the </w:t>
      </w:r>
      <w:r w:rsidRPr="00CD57E6" w:rsidR="00BB44E1">
        <w:rPr>
          <w:iCs/>
        </w:rPr>
        <w:t xml:space="preserve">assessment of </w:t>
      </w:r>
      <w:r w:rsidRPr="00CD57E6" w:rsidR="001D4C42">
        <w:rPr>
          <w:iCs/>
        </w:rPr>
        <w:t>market value.</w:t>
      </w:r>
    </w:p>
    <w:p w:rsidRPr="00CD57E6" w:rsidR="001D4C42" w:rsidP="00CD57E6" w:rsidRDefault="001D4C42">
      <w:pPr>
        <w:pStyle w:val="ECHRPara"/>
        <w:rPr>
          <w:bCs/>
          <w:iCs/>
        </w:rPr>
      </w:pPr>
      <w:r w:rsidRPr="00CD57E6">
        <w:rPr>
          <w:bCs/>
          <w:iCs/>
        </w:rPr>
        <w:fldChar w:fldCharType="begin"/>
      </w:r>
      <w:r w:rsidRPr="00CD57E6">
        <w:rPr>
          <w:bCs/>
          <w:iCs/>
        </w:rPr>
        <w:instrText xml:space="preserve"> SEQ level0 \*arabic </w:instrText>
      </w:r>
      <w:r w:rsidRPr="00CD57E6">
        <w:rPr>
          <w:bCs/>
          <w:iCs/>
        </w:rPr>
        <w:fldChar w:fldCharType="separate"/>
      </w:r>
      <w:r w:rsidRPr="00CD57E6" w:rsidR="00CD57E6">
        <w:rPr>
          <w:bCs/>
          <w:iCs/>
          <w:noProof/>
        </w:rPr>
        <w:t>43</w:t>
      </w:r>
      <w:r w:rsidRPr="00CD57E6">
        <w:rPr>
          <w:bCs/>
          <w:iCs/>
        </w:rPr>
        <w:fldChar w:fldCharType="end"/>
      </w:r>
      <w:r w:rsidRPr="00CD57E6">
        <w:rPr>
          <w:bCs/>
          <w:iCs/>
        </w:rPr>
        <w:t xml:space="preserve">.  The Government argued that the applicants had not in any way </w:t>
      </w:r>
      <w:r w:rsidRPr="00CD57E6" w:rsidR="00BB44E1">
        <w:rPr>
          <w:bCs/>
          <w:iCs/>
        </w:rPr>
        <w:t xml:space="preserve">had </w:t>
      </w:r>
      <w:r w:rsidRPr="00CD57E6">
        <w:rPr>
          <w:bCs/>
          <w:iCs/>
        </w:rPr>
        <w:t>an “individual and excessive burden”</w:t>
      </w:r>
      <w:r w:rsidRPr="00CD57E6" w:rsidR="00BB44E1">
        <w:rPr>
          <w:bCs/>
          <w:iCs/>
        </w:rPr>
        <w:t xml:space="preserve"> imposed on them</w:t>
      </w:r>
      <w:r w:rsidRPr="00CD57E6">
        <w:rPr>
          <w:bCs/>
          <w:iCs/>
        </w:rPr>
        <w:t xml:space="preserve">. The applicants had been given every chance, </w:t>
      </w:r>
      <w:r w:rsidRPr="00CD57E6">
        <w:rPr>
          <w:bCs/>
          <w:i/>
          <w:iCs/>
        </w:rPr>
        <w:t>inter alia</w:t>
      </w:r>
      <w:r w:rsidRPr="00CD57E6">
        <w:rPr>
          <w:bCs/>
          <w:iCs/>
        </w:rPr>
        <w:t xml:space="preserve">, to present other valuation reports, to </w:t>
      </w:r>
      <w:r w:rsidRPr="00CD57E6" w:rsidR="00BB44E1">
        <w:rPr>
          <w:bCs/>
          <w:iCs/>
        </w:rPr>
        <w:t xml:space="preserve">submit requests and applications, </w:t>
      </w:r>
      <w:r w:rsidRPr="00CD57E6">
        <w:rPr>
          <w:bCs/>
          <w:iCs/>
        </w:rPr>
        <w:t xml:space="preserve">and to lodge appeals. They had even been </w:t>
      </w:r>
      <w:r w:rsidRPr="00CD57E6" w:rsidR="00BB44E1">
        <w:rPr>
          <w:bCs/>
          <w:iCs/>
        </w:rPr>
        <w:t xml:space="preserve">exempted </w:t>
      </w:r>
      <w:r w:rsidRPr="00CD57E6">
        <w:rPr>
          <w:bCs/>
          <w:iCs/>
        </w:rPr>
        <w:t xml:space="preserve">from the payment of </w:t>
      </w:r>
      <w:r w:rsidRPr="00CD57E6" w:rsidR="00DA3C4F">
        <w:rPr>
          <w:bCs/>
          <w:iCs/>
        </w:rPr>
        <w:t xml:space="preserve">court fees </w:t>
      </w:r>
      <w:r w:rsidRPr="00CD57E6">
        <w:rPr>
          <w:bCs/>
          <w:iCs/>
        </w:rPr>
        <w:t>when applying to the Court of Appeal and the Court of Cassation. Their rights had been fully guaranteed</w:t>
      </w:r>
      <w:r w:rsidRPr="00CD57E6" w:rsidR="00BB44E1">
        <w:rPr>
          <w:bCs/>
          <w:iCs/>
        </w:rPr>
        <w:t>,</w:t>
      </w:r>
      <w:r w:rsidRPr="00CD57E6">
        <w:rPr>
          <w:bCs/>
          <w:iCs/>
        </w:rPr>
        <w:t xml:space="preserve"> and the domestic proceedings and the expropriation of their land had been in full compliance with the national legislation and the Convention. There </w:t>
      </w:r>
      <w:r w:rsidRPr="00CD57E6" w:rsidR="00BB44E1">
        <w:rPr>
          <w:bCs/>
          <w:iCs/>
        </w:rPr>
        <w:t xml:space="preserve">had </w:t>
      </w:r>
      <w:r w:rsidRPr="00CD57E6">
        <w:rPr>
          <w:bCs/>
          <w:iCs/>
        </w:rPr>
        <w:t xml:space="preserve">thus </w:t>
      </w:r>
      <w:r w:rsidRPr="00CD57E6" w:rsidR="00BB44E1">
        <w:rPr>
          <w:bCs/>
          <w:iCs/>
        </w:rPr>
        <w:t xml:space="preserve">been </w:t>
      </w:r>
      <w:r w:rsidRPr="00CD57E6">
        <w:rPr>
          <w:bCs/>
          <w:iCs/>
        </w:rPr>
        <w:t>no violation of Article 1 of Protocol No. 1 to the Convention.</w:t>
      </w:r>
    </w:p>
    <w:p w:rsidRPr="00CD57E6" w:rsidR="001D4C42" w:rsidP="00CD57E6" w:rsidRDefault="001D4C42">
      <w:pPr>
        <w:pStyle w:val="ECHRHeading3"/>
      </w:pPr>
      <w:r w:rsidRPr="00CD57E6">
        <w:t>2.  The Court</w:t>
      </w:r>
      <w:r w:rsidRPr="00CD57E6" w:rsidR="00CD57E6">
        <w:t>’</w:t>
      </w:r>
      <w:r w:rsidRPr="00CD57E6">
        <w:t>s assessment</w:t>
      </w:r>
    </w:p>
    <w:p w:rsidRPr="00CD57E6" w:rsidR="001D4C42"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44</w:t>
      </w:r>
      <w:r w:rsidRPr="00CD57E6">
        <w:rPr>
          <w:noProof/>
        </w:rPr>
        <w:fldChar w:fldCharType="end"/>
      </w:r>
      <w:r w:rsidRPr="00CD57E6" w:rsidR="001D4C42">
        <w:t>.  In the present case, it is not in dispute that there has been a “deprivation of possessions” within the meaning of the second sentence of Article 1 of Protocol No. 1. The Court must therefore ascertain whether the impugned deprivation was justified under that provision.</w:t>
      </w:r>
    </w:p>
    <w:p w:rsidRPr="00CD57E6" w:rsidR="001D4C42" w:rsidP="00CD57E6" w:rsidRDefault="001D4C42">
      <w:pPr>
        <w:pStyle w:val="ECHRPara"/>
      </w:pPr>
      <w:r w:rsidRPr="00CD57E6">
        <w:fldChar w:fldCharType="begin"/>
      </w:r>
      <w:r w:rsidRPr="00CD57E6">
        <w:instrText xml:space="preserve"> SEQ level0 \*arabic </w:instrText>
      </w:r>
      <w:r w:rsidRPr="00CD57E6">
        <w:fldChar w:fldCharType="separate"/>
      </w:r>
      <w:r w:rsidRPr="00CD57E6" w:rsidR="00CD57E6">
        <w:rPr>
          <w:noProof/>
        </w:rPr>
        <w:t>45</w:t>
      </w:r>
      <w:r w:rsidRPr="00CD57E6">
        <w:fldChar w:fldCharType="end"/>
      </w:r>
      <w:r w:rsidRPr="00CD57E6">
        <w:t>.  The Court reiterates that, to be compat</w:t>
      </w:r>
      <w:r w:rsidRPr="00CD57E6" w:rsidR="003302E3">
        <w:t>ible with Article 1 of Protocol </w:t>
      </w:r>
      <w:r w:rsidRPr="00CD57E6">
        <w:t>No. 1, an expropriation measure must fulfil three conditions: it must be carried out “subject to the conditions provided for by law”, which rules out any arbitrary action on the part of the national authorities, must be “in the public interest”, and must strike a fair balance between the owner</w:t>
      </w:r>
      <w:r w:rsidRPr="00CD57E6" w:rsidR="00CD57E6">
        <w:t>’</w:t>
      </w:r>
      <w:r w:rsidRPr="00CD57E6">
        <w:t xml:space="preserve">s rights and the interests of the community (see, among other authorities, </w:t>
      </w:r>
      <w:r w:rsidRPr="00CD57E6">
        <w:rPr>
          <w:i/>
          <w:iCs/>
        </w:rPr>
        <w:t>Vistiņš and Perepjolkins v. Latvia</w:t>
      </w:r>
      <w:r w:rsidRPr="00CD57E6">
        <w:t xml:space="preserve"> [GC], no. </w:t>
      </w:r>
      <w:hyperlink w:tgtFrame="_blank" w:history="1" w:anchor="{&quot;appno&quot;:[&quot;71243/01&quot;]}" r:id="rId11">
        <w:r w:rsidRPr="00CD57E6">
          <w:t>71243/01</w:t>
        </w:r>
      </w:hyperlink>
      <w:r w:rsidRPr="00CD57E6">
        <w:t>, § 94, 25 October 2012). The Court will thus proceed to examine whether those three conditions have been met in the present case.</w:t>
      </w:r>
    </w:p>
    <w:p w:rsidRPr="00CD57E6" w:rsidR="001D4C42" w:rsidP="00CD57E6" w:rsidRDefault="001D4C42">
      <w:pPr>
        <w:pStyle w:val="ECHRHeading4"/>
      </w:pPr>
      <w:r w:rsidRPr="00CD57E6">
        <w:t>(a)  “Subject to the conditions provided for by law”</w:t>
      </w:r>
    </w:p>
    <w:p w:rsidRPr="00CD57E6" w:rsidR="001D4C42"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46</w:t>
      </w:r>
      <w:r w:rsidRPr="00CD57E6">
        <w:rPr>
          <w:noProof/>
        </w:rPr>
        <w:fldChar w:fldCharType="end"/>
      </w:r>
      <w:r w:rsidRPr="00CD57E6" w:rsidR="001D4C42">
        <w:t>.  In the instant case it is not in dispute that the expropriation of the applicants</w:t>
      </w:r>
      <w:r w:rsidRPr="00CD57E6" w:rsidR="00CD57E6">
        <w:t>’</w:t>
      </w:r>
      <w:r w:rsidRPr="00CD57E6" w:rsidR="001D4C42">
        <w:t xml:space="preserve"> property was carried out on the basis of the Law on Alienation of Property for the </w:t>
      </w:r>
      <w:r w:rsidRPr="00CD57E6" w:rsidR="00BB44E1">
        <w:t>N</w:t>
      </w:r>
      <w:r w:rsidRPr="00CD57E6" w:rsidR="001D4C42">
        <w:t xml:space="preserve">eeds of Society and the State. Section 11 § 3 of that Law refers to the Law on Real Estate </w:t>
      </w:r>
      <w:r w:rsidRPr="00CD57E6" w:rsidR="00BB44E1">
        <w:t>V</w:t>
      </w:r>
      <w:r w:rsidRPr="00CD57E6" w:rsidR="001D4C42">
        <w:t>aluation Activity</w:t>
      </w:r>
      <w:r w:rsidRPr="00CD57E6" w:rsidR="00BB44E1">
        <w:t>,</w:t>
      </w:r>
      <w:r w:rsidRPr="00CD57E6" w:rsidR="001D4C42">
        <w:t xml:space="preserve"> which provides for the methods for real</w:t>
      </w:r>
      <w:r w:rsidRPr="00CD57E6" w:rsidR="00BB44E1">
        <w:t>-</w:t>
      </w:r>
      <w:r w:rsidRPr="00CD57E6" w:rsidR="001D4C42">
        <w:t>estate valuations (see paragraphs 3</w:t>
      </w:r>
      <w:r w:rsidRPr="00CD57E6" w:rsidR="00AD5883">
        <w:t>2</w:t>
      </w:r>
      <w:r w:rsidRPr="00CD57E6" w:rsidR="001D4C42">
        <w:t>-3</w:t>
      </w:r>
      <w:r w:rsidRPr="00CD57E6" w:rsidR="00AD5883">
        <w:t>4</w:t>
      </w:r>
      <w:r w:rsidRPr="00CD57E6" w:rsidR="001D4C42">
        <w:t xml:space="preserve"> above).</w:t>
      </w:r>
    </w:p>
    <w:p w:rsidRPr="00CD57E6" w:rsidR="001D4C42"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47</w:t>
      </w:r>
      <w:r w:rsidRPr="00CD57E6">
        <w:rPr>
          <w:noProof/>
        </w:rPr>
        <w:fldChar w:fldCharType="end"/>
      </w:r>
      <w:r w:rsidRPr="00CD57E6" w:rsidR="001D4C42">
        <w:t xml:space="preserve">.  The Court has already found in its earlier case-law that the above-mentioned legal provisions were clear enough to enable applicants to foresee in general terms the manner in which the market value of their property would be </w:t>
      </w:r>
      <w:r w:rsidRPr="00CD57E6" w:rsidR="00BB44E1">
        <w:t>assessed</w:t>
      </w:r>
      <w:r w:rsidRPr="00CD57E6" w:rsidR="001D4C42">
        <w:t xml:space="preserve"> (see </w:t>
      </w:r>
      <w:r w:rsidRPr="00CD57E6" w:rsidR="001D4C42">
        <w:rPr>
          <w:i/>
          <w:iCs/>
        </w:rPr>
        <w:t>Osmanyan and Amiraghyan v. Armenia</w:t>
      </w:r>
      <w:r w:rsidRPr="00CD57E6" w:rsidR="001D4C42">
        <w:rPr>
          <w:lang w:eastAsia="en-GB"/>
        </w:rPr>
        <w:t xml:space="preserve">, no. </w:t>
      </w:r>
      <w:r w:rsidRPr="00CD57E6" w:rsidR="001D4C42">
        <w:t>71306/11</w:t>
      </w:r>
      <w:r w:rsidRPr="00CD57E6" w:rsidR="001D4C42">
        <w:rPr>
          <w:lang w:eastAsia="en-GB"/>
        </w:rPr>
        <w:t xml:space="preserve">, </w:t>
      </w:r>
      <w:r w:rsidRPr="00CD57E6" w:rsidR="001D4C42">
        <w:t xml:space="preserve">§ 58, 11 October 2018). For the Court it was not unreasonable that a </w:t>
      </w:r>
      <w:r w:rsidRPr="00CD57E6" w:rsidR="00BB44E1">
        <w:t xml:space="preserve">modicum of </w:t>
      </w:r>
      <w:r w:rsidRPr="00CD57E6" w:rsidR="001D4C42">
        <w:t xml:space="preserve">choice of methods to be used during </w:t>
      </w:r>
      <w:r w:rsidRPr="00CD57E6" w:rsidR="00BB44E1">
        <w:t xml:space="preserve">a </w:t>
      </w:r>
      <w:r w:rsidRPr="00CD57E6" w:rsidR="001D4C42">
        <w:t>valuation is left to the valu</w:t>
      </w:r>
      <w:r w:rsidRPr="00CD57E6" w:rsidR="00BB44E1">
        <w:t>e</w:t>
      </w:r>
      <w:r w:rsidRPr="00CD57E6" w:rsidR="001D4C42">
        <w:t>r</w:t>
      </w:r>
      <w:r w:rsidRPr="00CD57E6" w:rsidR="00BB44E1">
        <w:t>,</w:t>
      </w:r>
      <w:r w:rsidRPr="00CD57E6" w:rsidR="001D4C42">
        <w:t xml:space="preserve"> who chooses an appropriate method in a particular situation depending on the specificities of the real estate in question (</w:t>
      </w:r>
      <w:r w:rsidRPr="00CD57E6" w:rsidR="00F939C0">
        <w:t xml:space="preserve">ibid., </w:t>
      </w:r>
      <w:r w:rsidRPr="00CD57E6" w:rsidR="001D4C42">
        <w:rPr>
          <w:iCs/>
        </w:rPr>
        <w:t>§ 57)</w:t>
      </w:r>
      <w:r w:rsidRPr="00CD57E6" w:rsidR="001D4C42">
        <w:t>. As the applicants could challenge the report</w:t>
      </w:r>
      <w:r w:rsidRPr="00CD57E6" w:rsidR="003F5C69">
        <w:t>s</w:t>
      </w:r>
      <w:r w:rsidRPr="00CD57E6" w:rsidR="001D4C42">
        <w:t xml:space="preserve"> prepared by the valu</w:t>
      </w:r>
      <w:r w:rsidRPr="00CD57E6" w:rsidR="00BB44E1">
        <w:t>e</w:t>
      </w:r>
      <w:r w:rsidRPr="00CD57E6" w:rsidR="001D4C42">
        <w:t>r hired by the acquirer of their property, the Court finds that the applicants were afforded sufficient guarantees against arbitrariness. Consequently, the impugned expropriation may be regarded as having been carried out “subject to the conditions provided for by law”.</w:t>
      </w:r>
    </w:p>
    <w:p w:rsidRPr="00CD57E6" w:rsidR="001D4C42" w:rsidP="00CD57E6" w:rsidRDefault="001D4C42">
      <w:pPr>
        <w:pStyle w:val="ECHRHeading4"/>
      </w:pPr>
      <w:r w:rsidRPr="00CD57E6">
        <w:t>(b)  “In the public interest”</w:t>
      </w:r>
    </w:p>
    <w:p w:rsidRPr="00CD57E6" w:rsidR="001D4C42"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48</w:t>
      </w:r>
      <w:r w:rsidRPr="00CD57E6">
        <w:rPr>
          <w:noProof/>
        </w:rPr>
        <w:fldChar w:fldCharType="end"/>
      </w:r>
      <w:r w:rsidRPr="00CD57E6" w:rsidR="001D4C42">
        <w:t xml:space="preserve">.  The Court reiterates that, because of their direct knowledge of their society and its needs, the national authorities are in principle better placed than </w:t>
      </w:r>
      <w:r w:rsidRPr="00CD57E6" w:rsidR="00BB44E1">
        <w:t>an</w:t>
      </w:r>
      <w:r w:rsidRPr="00CD57E6" w:rsidR="001D4C42">
        <w:t xml:space="preserve"> international judge to appreciate what is “in the public interest”. Under the system of protection established by the Convention, it is thus for the national authorities to make </w:t>
      </w:r>
      <w:r w:rsidRPr="00CD57E6" w:rsidR="00BB44E1">
        <w:t>an</w:t>
      </w:r>
      <w:r w:rsidRPr="00CD57E6" w:rsidR="001D4C42">
        <w:t xml:space="preserve"> initial assessment as to the existence of a </w:t>
      </w:r>
      <w:r w:rsidRPr="00CD57E6" w:rsidR="00BB44E1">
        <w:t>matter</w:t>
      </w:r>
      <w:r w:rsidRPr="00CD57E6" w:rsidR="001D4C42">
        <w:t xml:space="preserve"> of public concern warranting measures of deprivation of property. Here, as in other fields to which the safeguards of the Convention extend, the national authorities accordingly enjoy a certain margin of appreciation. Furthermore, the notion of </w:t>
      </w:r>
      <w:r w:rsidRPr="00CD57E6" w:rsidR="00BB44E1">
        <w:t xml:space="preserve">the </w:t>
      </w:r>
      <w:r w:rsidRPr="00CD57E6" w:rsidR="001D4C42">
        <w:t xml:space="preserve">“public interest” is necessarily </w:t>
      </w:r>
      <w:r w:rsidRPr="00CD57E6" w:rsidR="00BB44E1">
        <w:t>a broad one</w:t>
      </w:r>
      <w:r w:rsidRPr="00CD57E6" w:rsidR="001D4C42">
        <w:t xml:space="preserve">. In particular, </w:t>
      </w:r>
      <w:r w:rsidRPr="00CD57E6" w:rsidR="00BB44E1">
        <w:t>a</w:t>
      </w:r>
      <w:r w:rsidRPr="00CD57E6" w:rsidR="001D4C42">
        <w:t xml:space="preserve"> decision to enact laws expropriating property will commonly involve consideration of political, economic and social issues. The Court, finding it natural that the margin of appreciation available to the legislature in implementing social and economic policies should be a wide one, will respect the legislature</w:t>
      </w:r>
      <w:r w:rsidRPr="00CD57E6" w:rsidR="00CD57E6">
        <w:t>’</w:t>
      </w:r>
      <w:r w:rsidRPr="00CD57E6" w:rsidR="001D4C42">
        <w:t xml:space="preserve">s judgment as to what is “in the public interest” unless that judgment is manifestly without reasonable foundation (see </w:t>
      </w:r>
      <w:r w:rsidRPr="00CD57E6" w:rsidR="001D4C42">
        <w:rPr>
          <w:i/>
          <w:iCs/>
        </w:rPr>
        <w:t xml:space="preserve">Beyeler v. </w:t>
      </w:r>
      <w:r w:rsidRPr="00CD57E6" w:rsidR="001D4C42">
        <w:rPr>
          <w:i/>
        </w:rPr>
        <w:t>Italy</w:t>
      </w:r>
      <w:r w:rsidRPr="00CD57E6" w:rsidR="001D4C42">
        <w:t xml:space="preserve"> [GC], no. </w:t>
      </w:r>
      <w:hyperlink w:tgtFrame="_blank" w:history="1" w:anchor="{&quot;appno&quot;:[&quot;33202/96&quot;]}" r:id="rId12">
        <w:r w:rsidRPr="00CD57E6" w:rsidR="001D4C42">
          <w:t>33202/96</w:t>
        </w:r>
      </w:hyperlink>
      <w:r w:rsidRPr="00CD57E6" w:rsidR="001D4C42">
        <w:t>, § 112, ECHR 2000</w:t>
      </w:r>
      <w:r w:rsidRPr="00CD57E6" w:rsidR="001D4C42">
        <w:noBreakHyphen/>
        <w:t xml:space="preserve">I, and </w:t>
      </w:r>
      <w:r w:rsidRPr="00CD57E6" w:rsidR="003302E3">
        <w:rPr>
          <w:i/>
          <w:iCs/>
        </w:rPr>
        <w:t>Vistiņš and </w:t>
      </w:r>
      <w:r w:rsidRPr="00CD57E6" w:rsidR="001D4C42">
        <w:rPr>
          <w:i/>
          <w:iCs/>
        </w:rPr>
        <w:t>Perepjolkins</w:t>
      </w:r>
      <w:r w:rsidRPr="00CD57E6" w:rsidR="001D4C42">
        <w:t>, cited above, § 106).</w:t>
      </w:r>
    </w:p>
    <w:p w:rsidRPr="00CD57E6" w:rsidR="001D4C42"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49</w:t>
      </w:r>
      <w:r w:rsidRPr="00CD57E6">
        <w:rPr>
          <w:noProof/>
        </w:rPr>
        <w:fldChar w:fldCharType="end"/>
      </w:r>
      <w:r w:rsidRPr="00CD57E6" w:rsidR="001D4C42">
        <w:t>.  The Government argued that the State needed to expropriate the applicants</w:t>
      </w:r>
      <w:r w:rsidRPr="00CD57E6" w:rsidR="00CD57E6">
        <w:t>’</w:t>
      </w:r>
      <w:r w:rsidRPr="00CD57E6" w:rsidR="001D4C42">
        <w:t xml:space="preserve"> land for the development of the economy and infrastructure as a result of the implementation of the Teghout copper</w:t>
      </w:r>
      <w:r w:rsidRPr="00CD57E6" w:rsidR="001D4C42">
        <w:noBreakHyphen/>
        <w:t xml:space="preserve">molybdenum deposit exploitation project. The Court has no convincing evidence on which to conclude that these reasons were manifestly devoid of any reasonable basis (contrast </w:t>
      </w:r>
      <w:r w:rsidRPr="00CD57E6" w:rsidR="001D4C42">
        <w:rPr>
          <w:i/>
        </w:rPr>
        <w:t>Tkachevy v. Russia</w:t>
      </w:r>
      <w:r w:rsidRPr="00CD57E6" w:rsidR="001D4C42">
        <w:t xml:space="preserve">, no. </w:t>
      </w:r>
      <w:hyperlink w:tgtFrame="_blank" w:history="1" w:anchor="{&quot;appno&quot;:[&quot;35430/05&quot;]}" r:id="rId13">
        <w:r w:rsidRPr="00CD57E6" w:rsidR="001D4C42">
          <w:t>35430/05</w:t>
        </w:r>
      </w:hyperlink>
      <w:r w:rsidRPr="00CD57E6" w:rsidR="001D4C42">
        <w:t>, § 50, 14 February 2012).</w:t>
      </w:r>
    </w:p>
    <w:p w:rsidRPr="00CD57E6" w:rsidR="001D4C42" w:rsidP="00CD57E6" w:rsidRDefault="001D4C42">
      <w:pPr>
        <w:pStyle w:val="ECHRHeading4"/>
      </w:pPr>
      <w:r w:rsidRPr="00CD57E6">
        <w:t>(c)  Proportionality of the impugned measure</w:t>
      </w:r>
    </w:p>
    <w:p w:rsidRPr="00CD57E6" w:rsidR="001D4C42"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50</w:t>
      </w:r>
      <w:r w:rsidRPr="00CD57E6">
        <w:rPr>
          <w:noProof/>
        </w:rPr>
        <w:fldChar w:fldCharType="end"/>
      </w:r>
      <w:r w:rsidRPr="00CD57E6" w:rsidR="001D4C42">
        <w:t xml:space="preserve">.  Article 1 of Protocol No. 1 requires that any interference be reasonably proportionate to the aim sought to be realised (see </w:t>
      </w:r>
      <w:r w:rsidRPr="00CD57E6" w:rsidR="003302E3">
        <w:rPr>
          <w:i/>
        </w:rPr>
        <w:t>Jahn and </w:t>
      </w:r>
      <w:r w:rsidRPr="00CD57E6" w:rsidR="001D4C42">
        <w:rPr>
          <w:i/>
        </w:rPr>
        <w:t>Others v. Germany</w:t>
      </w:r>
      <w:r w:rsidRPr="00CD57E6" w:rsidR="001D4C42">
        <w:t xml:space="preserve"> [GC], nos. </w:t>
      </w:r>
      <w:hyperlink w:tgtFrame="_blank" w:history="1" w:anchor="{&quot;appno&quot;:[&quot;46720/99&quot;]}" r:id="rId14">
        <w:r w:rsidRPr="00CD57E6" w:rsidR="001D4C42">
          <w:t>46720/99</w:t>
        </w:r>
      </w:hyperlink>
      <w:r w:rsidRPr="00CD57E6" w:rsidR="001D4C42">
        <w:t xml:space="preserve"> and 2 others, §§ 81-94, </w:t>
      </w:r>
      <w:r w:rsidRPr="00CD57E6" w:rsidR="003302E3">
        <w:t>ECHR </w:t>
      </w:r>
      <w:r w:rsidRPr="00CD57E6" w:rsidR="001D4C42">
        <w:t>2005</w:t>
      </w:r>
      <w:r w:rsidRPr="00CD57E6" w:rsidR="001D4C42">
        <w:noBreakHyphen/>
        <w:t xml:space="preserve">VI). The requisite fair balance will not be struck where the person concerned bears an individual and excessive burden (see </w:t>
      </w:r>
      <w:r w:rsidRPr="00CD57E6" w:rsidR="001D4C42">
        <w:rPr>
          <w:i/>
        </w:rPr>
        <w:t>Stefanetti and Others v. Italy</w:t>
      </w:r>
      <w:r w:rsidRPr="00CD57E6" w:rsidR="001D4C42">
        <w:t xml:space="preserve">, nos. </w:t>
      </w:r>
      <w:hyperlink w:tgtFrame="_blank" w:history="1" w:anchor="{&quot;appno&quot;:[&quot;21838/10&quot;]}" r:id="rId15">
        <w:r w:rsidRPr="00CD57E6" w:rsidR="001D4C42">
          <w:t>21838/10</w:t>
        </w:r>
      </w:hyperlink>
      <w:r w:rsidRPr="00CD57E6" w:rsidR="001D4C42">
        <w:t xml:space="preserve"> and 7 others, § 66, 15 April 2014).</w:t>
      </w:r>
    </w:p>
    <w:p w:rsidRPr="00CD57E6" w:rsidR="001D4C42"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51</w:t>
      </w:r>
      <w:r w:rsidRPr="00CD57E6">
        <w:rPr>
          <w:noProof/>
        </w:rPr>
        <w:fldChar w:fldCharType="end"/>
      </w:r>
      <w:r w:rsidRPr="00CD57E6" w:rsidR="001D4C42">
        <w:t xml:space="preserve">.  Compensation terms under the relevant legislation are material to the assessment of whether the contested measure respects the requisite fair balance and, notably, whether it imposes a disproportionate burden on the applicants (see the recapitulation of the relevant principles in </w:t>
      </w:r>
      <w:r w:rsidRPr="00CD57E6" w:rsidR="003302E3">
        <w:rPr>
          <w:i/>
          <w:iCs/>
        </w:rPr>
        <w:t>Vistiņš and </w:t>
      </w:r>
      <w:r w:rsidRPr="00CD57E6" w:rsidR="001D4C42">
        <w:rPr>
          <w:i/>
          <w:iCs/>
        </w:rPr>
        <w:t>Perepjolkins</w:t>
      </w:r>
      <w:r w:rsidRPr="00CD57E6" w:rsidR="001D4C42">
        <w:t>, cited above, §§ 110-14).</w:t>
      </w:r>
    </w:p>
    <w:p w:rsidRPr="00CD57E6" w:rsidR="001D4C42"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52</w:t>
      </w:r>
      <w:r w:rsidRPr="00CD57E6">
        <w:rPr>
          <w:noProof/>
        </w:rPr>
        <w:fldChar w:fldCharType="end"/>
      </w:r>
      <w:r w:rsidRPr="00CD57E6" w:rsidR="00AD5883">
        <w:t>.  </w:t>
      </w:r>
      <w:r w:rsidRPr="00CD57E6" w:rsidR="001D4C42">
        <w:t xml:space="preserve">In the present case, it is not disputed that according to domestic law the applicants were entitled to full compensation </w:t>
      </w:r>
      <w:r w:rsidRPr="00CD57E6" w:rsidR="00E008F9">
        <w:t>consisting</w:t>
      </w:r>
      <w:r w:rsidRPr="00CD57E6" w:rsidR="001D4C42">
        <w:t xml:space="preserve"> of the estimated market value of their property and an additional </w:t>
      </w:r>
      <w:r w:rsidRPr="00CD57E6" w:rsidR="00E008F9">
        <w:t>15%</w:t>
      </w:r>
      <w:r w:rsidRPr="00CD57E6" w:rsidR="00DA3C4F">
        <w:t xml:space="preserve"> </w:t>
      </w:r>
      <w:r w:rsidRPr="00CD57E6" w:rsidR="001D4C42">
        <w:t>of that amount. However, the courts determined the amount of compensation payable to the applicants solely on the basis of the valuation report</w:t>
      </w:r>
      <w:r w:rsidRPr="00CD57E6" w:rsidR="003F5C69">
        <w:t>s</w:t>
      </w:r>
      <w:r w:rsidRPr="00CD57E6" w:rsidR="001D4C42">
        <w:t xml:space="preserve"> prepared by Oliver Group LLC, which amended its initial assessment by submitting corrected reports </w:t>
      </w:r>
      <w:r w:rsidRPr="00CD57E6" w:rsidR="00E008F9">
        <w:t>during</w:t>
      </w:r>
      <w:r w:rsidRPr="00CD57E6" w:rsidR="001D4C42">
        <w:t xml:space="preserve"> the proceedings. The applicants, although having </w:t>
      </w:r>
      <w:r w:rsidRPr="00CD57E6" w:rsidR="00E008F9">
        <w:t>the opportunity</w:t>
      </w:r>
      <w:r w:rsidRPr="00CD57E6" w:rsidR="001D4C42">
        <w:t xml:space="preserve"> under the law to submit an alternative valuation report, appear in practice to have been deprived of such a</w:t>
      </w:r>
      <w:r w:rsidRPr="00CD57E6" w:rsidR="00E008F9">
        <w:t>n opportunity,</w:t>
      </w:r>
      <w:r w:rsidRPr="00CD57E6" w:rsidR="001D4C42">
        <w:t xml:space="preserve"> since other licensed </w:t>
      </w:r>
      <w:r w:rsidRPr="00CD57E6" w:rsidR="00E008F9">
        <w:t xml:space="preserve">valuers had refused </w:t>
      </w:r>
      <w:r w:rsidRPr="00CD57E6" w:rsidR="001D4C42">
        <w:t>to perform another assessment. The courts did not exercise their discretion to order an expert examination to determine the real market value of the applicants</w:t>
      </w:r>
      <w:r w:rsidRPr="00CD57E6" w:rsidR="00CD57E6">
        <w:t>’</w:t>
      </w:r>
      <w:r w:rsidRPr="00CD57E6" w:rsidR="001D4C42">
        <w:t xml:space="preserve"> property</w:t>
      </w:r>
      <w:r w:rsidRPr="00CD57E6" w:rsidR="00E008F9">
        <w:t>,</w:t>
      </w:r>
      <w:r w:rsidRPr="00CD57E6" w:rsidR="001D4C42">
        <w:t xml:space="preserve"> which the latter claimed had been seriously underestimated.</w:t>
      </w:r>
    </w:p>
    <w:p w:rsidRPr="00CD57E6" w:rsidR="001D4C42"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53</w:t>
      </w:r>
      <w:r w:rsidRPr="00CD57E6">
        <w:rPr>
          <w:noProof/>
        </w:rPr>
        <w:fldChar w:fldCharType="end"/>
      </w:r>
      <w:r w:rsidRPr="00CD57E6" w:rsidR="001D4C42">
        <w:t xml:space="preserve">.  The Court observes that, having used </w:t>
      </w:r>
      <w:r w:rsidRPr="00CD57E6" w:rsidR="00E008F9">
        <w:t>a</w:t>
      </w:r>
      <w:r w:rsidRPr="00CD57E6" w:rsidR="001D4C42">
        <w:t xml:space="preserve"> comparative method of real</w:t>
      </w:r>
      <w:r w:rsidRPr="00CD57E6" w:rsidR="00E008F9">
        <w:t>-</w:t>
      </w:r>
      <w:r w:rsidRPr="00CD57E6" w:rsidR="001D4C42">
        <w:t>estate</w:t>
      </w:r>
      <w:r w:rsidRPr="00CD57E6" w:rsidR="00E008F9">
        <w:t xml:space="preserve"> valuation</w:t>
      </w:r>
      <w:r w:rsidRPr="00CD57E6" w:rsidR="001D4C42">
        <w:t>, the experts determined the market value of the applicants</w:t>
      </w:r>
      <w:r w:rsidRPr="00CD57E6" w:rsidR="00CD57E6">
        <w:t>’</w:t>
      </w:r>
      <w:r w:rsidRPr="00CD57E6" w:rsidR="001D4C42">
        <w:t xml:space="preserve"> plot</w:t>
      </w:r>
      <w:r w:rsidRPr="00CD57E6" w:rsidR="00DA12CC">
        <w:t>s</w:t>
      </w:r>
      <w:r w:rsidRPr="00CD57E6" w:rsidR="001D4C42">
        <w:t xml:space="preserve"> of land in comparison with the sale prices of other plots of land in the same expropriation zone. The Court is mindful of its above finding that the relevant domestic provisions were sufficiently foreseeable in that a professional expert should legitimately have freedom of choice </w:t>
      </w:r>
      <w:r w:rsidRPr="00CD57E6" w:rsidR="00E008F9">
        <w:t xml:space="preserve">in respect </w:t>
      </w:r>
      <w:r w:rsidRPr="00CD57E6" w:rsidR="001D4C42">
        <w:t>of the appropriate real</w:t>
      </w:r>
      <w:r w:rsidRPr="00CD57E6" w:rsidR="00E008F9">
        <w:t>-</w:t>
      </w:r>
      <w:r w:rsidRPr="00CD57E6" w:rsidR="001D4C42">
        <w:t>estate valuation method (see paragraph 4</w:t>
      </w:r>
      <w:r w:rsidRPr="00CD57E6" w:rsidR="00DA12CC">
        <w:t>7</w:t>
      </w:r>
      <w:r w:rsidRPr="00CD57E6" w:rsidR="001D4C42">
        <w:t xml:space="preserve"> above). However, in a situation where the market value of the applicants</w:t>
      </w:r>
      <w:r w:rsidRPr="00CD57E6" w:rsidR="00CD57E6">
        <w:t>’</w:t>
      </w:r>
      <w:r w:rsidRPr="00CD57E6" w:rsidR="001D4C42">
        <w:t xml:space="preserve"> land was determined on the basis of the sale prices of plots of land within the same area, it cannot be excluded that the applicants would not be able to acquire</w:t>
      </w:r>
      <w:r w:rsidRPr="00CD57E6" w:rsidR="00E008F9">
        <w:t>,</w:t>
      </w:r>
      <w:r w:rsidRPr="00CD57E6" w:rsidR="001D4C42">
        <w:t xml:space="preserve"> or would at least experience serious difficulty in finding</w:t>
      </w:r>
      <w:r w:rsidRPr="00CD57E6" w:rsidR="00E008F9">
        <w:t>,</w:t>
      </w:r>
      <w:r w:rsidRPr="00CD57E6" w:rsidR="001D4C42">
        <w:t xml:space="preserve"> equivalent land in another area not subject to expropriation with the amount of compensation received.</w:t>
      </w:r>
    </w:p>
    <w:p w:rsidRPr="00CD57E6" w:rsidR="001D4C42"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54</w:t>
      </w:r>
      <w:r w:rsidRPr="00CD57E6">
        <w:rPr>
          <w:noProof/>
        </w:rPr>
        <w:fldChar w:fldCharType="end"/>
      </w:r>
      <w:r w:rsidRPr="00CD57E6" w:rsidR="001D4C42">
        <w:t>.  Without prejudice to the relevant domestic provisions and the margin of appreciation of the State in these matters, the Court considers that there may be situations where compensation representing the market price of the real estate in question</w:t>
      </w:r>
      <w:r w:rsidRPr="00CD57E6" w:rsidR="00E008F9">
        <w:t>,</w:t>
      </w:r>
      <w:r w:rsidRPr="00CD57E6" w:rsidR="001D4C42">
        <w:t xml:space="preserve"> even with the addition of the statutory surplus, would not constitute adequate compensation for deprivation of property. In the Court</w:t>
      </w:r>
      <w:r w:rsidRPr="00CD57E6" w:rsidR="00CD57E6">
        <w:t>’</w:t>
      </w:r>
      <w:r w:rsidRPr="00CD57E6" w:rsidR="001D4C42">
        <w:t xml:space="preserve">s opinion, such a situation may arise in particular if the property the person was deprived of constituted his main, if not only source of income and the offered compensation did not reflect that loss (see </w:t>
      </w:r>
      <w:r w:rsidRPr="00CD57E6" w:rsidR="001D4C42">
        <w:rPr>
          <w:i/>
        </w:rPr>
        <w:t>Lallement v. France</w:t>
      </w:r>
      <w:r w:rsidRPr="00CD57E6" w:rsidR="001D4C42">
        <w:t xml:space="preserve">, no. </w:t>
      </w:r>
      <w:hyperlink w:tgtFrame="_blank" w:history="1" w:anchor="{&quot;appno&quot;:[&quot;46044/99&quot;]}" r:id="rId16">
        <w:r w:rsidRPr="00CD57E6" w:rsidR="001D4C42">
          <w:t>46044/99</w:t>
        </w:r>
      </w:hyperlink>
      <w:r w:rsidRPr="00CD57E6" w:rsidR="001D4C42">
        <w:t>, § 18, 11 April 2002</w:t>
      </w:r>
      <w:r w:rsidRPr="00CD57E6" w:rsidR="00F939C0">
        <w:t xml:space="preserve">; see also </w:t>
      </w:r>
      <w:r w:rsidRPr="00CD57E6" w:rsidR="003302E3">
        <w:rPr>
          <w:i/>
          <w:iCs/>
        </w:rPr>
        <w:t>Osmanyan and </w:t>
      </w:r>
      <w:r w:rsidRPr="00CD57E6" w:rsidR="00F939C0">
        <w:rPr>
          <w:i/>
          <w:iCs/>
        </w:rPr>
        <w:t>Amiraghyan</w:t>
      </w:r>
      <w:r w:rsidRPr="00CD57E6" w:rsidR="00F939C0">
        <w:rPr>
          <w:iCs/>
        </w:rPr>
        <w:t>, cited above, § 69</w:t>
      </w:r>
      <w:r w:rsidRPr="00CD57E6" w:rsidR="001D4C42">
        <w:t>).</w:t>
      </w:r>
    </w:p>
    <w:p w:rsidRPr="00CD57E6" w:rsidR="001D4C42"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55</w:t>
      </w:r>
      <w:r w:rsidRPr="00CD57E6">
        <w:rPr>
          <w:noProof/>
        </w:rPr>
        <w:fldChar w:fldCharType="end"/>
      </w:r>
      <w:r w:rsidRPr="00CD57E6" w:rsidR="001D4C42">
        <w:t>.  In the present case, the applicants submitted that as a family unit they had depended economically on the land in question</w:t>
      </w:r>
      <w:r w:rsidRPr="00CD57E6" w:rsidR="00E008F9">
        <w:t>,</w:t>
      </w:r>
      <w:r w:rsidRPr="00CD57E6" w:rsidR="001D4C42">
        <w:t xml:space="preserve"> which had been their only source of income (see paragraph </w:t>
      </w:r>
      <w:r w:rsidRPr="00CD57E6" w:rsidR="00DA12CC">
        <w:t>39</w:t>
      </w:r>
      <w:r w:rsidRPr="00CD57E6" w:rsidR="001D4C42">
        <w:t xml:space="preserve"> above). This argument has not been refuted by the respondent Government (see paragraphs 4</w:t>
      </w:r>
      <w:r w:rsidRPr="00CD57E6" w:rsidR="00DA12CC">
        <w:t>1</w:t>
      </w:r>
      <w:r w:rsidRPr="00CD57E6" w:rsidR="001D4C42">
        <w:t>-4</w:t>
      </w:r>
      <w:r w:rsidRPr="00CD57E6" w:rsidR="00DA12CC">
        <w:t>3</w:t>
      </w:r>
      <w:r w:rsidRPr="00CD57E6" w:rsidR="001D4C42">
        <w:t xml:space="preserve"> above). This particular aspect, namely that in consequence of the expropriation the applicants had lost their only source of income, was not taken into account by the domestic courts in their decisions on the amount of the compensation due. The courts decided, despite the circumstances, that the applicants should be provided with compensation which was determined in relation to the prices of real estate situated in the area subject to expropriation and the expected incomes. They did not address the issue </w:t>
      </w:r>
      <w:r w:rsidRPr="00CD57E6" w:rsidR="005C7F1D">
        <w:t xml:space="preserve">of </w:t>
      </w:r>
      <w:r w:rsidRPr="00CD57E6" w:rsidR="001D4C42">
        <w:t>whether the compensation granted would cover the applicants</w:t>
      </w:r>
      <w:r w:rsidRPr="00CD57E6" w:rsidR="00CD57E6">
        <w:t>’</w:t>
      </w:r>
      <w:r w:rsidRPr="00CD57E6" w:rsidR="001D4C42">
        <w:t xml:space="preserve"> actual loss involved in deprivation of means of subsistence or was at least sufficient for them to acquire equivalent land within the area in which they lived.</w:t>
      </w:r>
    </w:p>
    <w:p w:rsidRPr="00CD57E6" w:rsidR="001D4C42"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56</w:t>
      </w:r>
      <w:r w:rsidRPr="00CD57E6">
        <w:rPr>
          <w:noProof/>
        </w:rPr>
        <w:fldChar w:fldCharType="end"/>
      </w:r>
      <w:r w:rsidRPr="00CD57E6" w:rsidR="001D4C42">
        <w:t>.  In view of the foregoing, the Court finds that the applicants had to bear an excessive individual burden. Accordingly, the impugned expropriation was in violation of Article 1 of Protocol No. 1 to the Convention.</w:t>
      </w:r>
    </w:p>
    <w:p w:rsidRPr="00CD57E6" w:rsidR="001D4C42" w:rsidP="00CD57E6" w:rsidRDefault="001D4C42">
      <w:pPr>
        <w:pStyle w:val="ECHRHeading1"/>
      </w:pPr>
      <w:r w:rsidRPr="00CD57E6">
        <w:t>II.  ALLEGED VIOLATION OF ARTICLE 6 OF THE CONVENTION</w:t>
      </w:r>
    </w:p>
    <w:p w:rsidRPr="00CD57E6" w:rsidR="001D4C42" w:rsidP="00CD57E6" w:rsidRDefault="001D4C42">
      <w:pPr>
        <w:pStyle w:val="ECHRPara"/>
      </w:pPr>
      <w:r w:rsidRPr="00CD57E6">
        <w:fldChar w:fldCharType="begin"/>
      </w:r>
      <w:r w:rsidRPr="00CD57E6">
        <w:instrText xml:space="preserve"> SEQ level0 \*arabic </w:instrText>
      </w:r>
      <w:r w:rsidRPr="00CD57E6">
        <w:fldChar w:fldCharType="separate"/>
      </w:r>
      <w:r w:rsidRPr="00CD57E6" w:rsidR="00CD57E6">
        <w:rPr>
          <w:noProof/>
        </w:rPr>
        <w:t>57</w:t>
      </w:r>
      <w:r w:rsidRPr="00CD57E6">
        <w:fldChar w:fldCharType="end"/>
      </w:r>
      <w:r w:rsidRPr="00CD57E6">
        <w:t>.  The applicants complained under Article 6 § 1 of the Convention that their right to a fair trial had not been respected since the courts regarded the evaluation report</w:t>
      </w:r>
      <w:r w:rsidRPr="00CD57E6" w:rsidR="003F5C69">
        <w:t>s</w:t>
      </w:r>
      <w:r w:rsidRPr="00CD57E6">
        <w:t xml:space="preserve"> submitted by their opponent as established proof of the market value of their property</w:t>
      </w:r>
      <w:r w:rsidRPr="00CD57E6" w:rsidR="005C7F1D">
        <w:t>,</w:t>
      </w:r>
      <w:r w:rsidRPr="00CD57E6">
        <w:t xml:space="preserve"> and they had had no opportunity to challenge </w:t>
      </w:r>
      <w:r w:rsidRPr="00CD57E6" w:rsidR="009E2907">
        <w:t>them</w:t>
      </w:r>
      <w:r w:rsidRPr="00CD57E6">
        <w:t xml:space="preserve"> effectively. In particular, they argued that the courts had failed to exercise their statutory discretion to </w:t>
      </w:r>
      <w:r w:rsidRPr="00CD57E6" w:rsidR="005C7F1D">
        <w:t>order</w:t>
      </w:r>
      <w:r w:rsidRPr="00CD57E6">
        <w:t xml:space="preserve"> a forensic examination to determine the real market value of the property, given that the applicants had not participated in the valuation process and had been unable to submit their objections.</w:t>
      </w:r>
    </w:p>
    <w:p w:rsidRPr="00CD57E6" w:rsidR="001D4C42"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58</w:t>
      </w:r>
      <w:r w:rsidRPr="00CD57E6">
        <w:rPr>
          <w:noProof/>
        </w:rPr>
        <w:fldChar w:fldCharType="end"/>
      </w:r>
      <w:r w:rsidRPr="00CD57E6" w:rsidR="001D4C42">
        <w:t>.  </w:t>
      </w:r>
      <w:r w:rsidRPr="00CD57E6" w:rsidR="005C7F1D">
        <w:t xml:space="preserve">The relevant parts of </w:t>
      </w:r>
      <w:r w:rsidRPr="00CD57E6" w:rsidR="001D4C42">
        <w:t>Article 6 read as follows:</w:t>
      </w:r>
    </w:p>
    <w:p w:rsidRPr="00CD57E6" w:rsidR="001D4C42" w:rsidP="00CD57E6" w:rsidRDefault="001D4C42">
      <w:pPr>
        <w:pStyle w:val="ECHRParaQuote"/>
      </w:pPr>
      <w:r w:rsidRPr="00CD57E6">
        <w:t>“In the determination of his civil rights and obligations ... everyone is entitled to a fair ... hearing.”</w:t>
      </w:r>
    </w:p>
    <w:p w:rsidRPr="00CD57E6" w:rsidR="001D4C42" w:rsidP="00CD57E6" w:rsidRDefault="00A81431">
      <w:pPr>
        <w:pStyle w:val="ECHRPara"/>
      </w:pPr>
      <w:r w:rsidRPr="00CD57E6">
        <w:fldChar w:fldCharType="begin"/>
      </w:r>
      <w:r w:rsidRPr="00CD57E6">
        <w:instrText xml:space="preserve"> SEQ level0 \*arabic </w:instrText>
      </w:r>
      <w:r w:rsidRPr="00CD57E6">
        <w:fldChar w:fldCharType="separate"/>
      </w:r>
      <w:r w:rsidRPr="00CD57E6" w:rsidR="00CD57E6">
        <w:rPr>
          <w:noProof/>
        </w:rPr>
        <w:t>59</w:t>
      </w:r>
      <w:r w:rsidRPr="00CD57E6">
        <w:rPr>
          <w:noProof/>
        </w:rPr>
        <w:fldChar w:fldCharType="end"/>
      </w:r>
      <w:r w:rsidRPr="00CD57E6" w:rsidR="001D4C42">
        <w:t>.  Having regard to the facts of the case, the parties</w:t>
      </w:r>
      <w:r w:rsidRPr="00CD57E6" w:rsidR="00CD57E6">
        <w:t>’</w:t>
      </w:r>
      <w:r w:rsidRPr="00CD57E6" w:rsidR="001D4C42">
        <w:t xml:space="preserve"> observations and its decision finding a violation of Article 1 of Protocol No. 1 concerning the deprivation of the applicants</w:t>
      </w:r>
      <w:r w:rsidRPr="00CD57E6" w:rsidR="00CD57E6">
        <w:t>’</w:t>
      </w:r>
      <w:r w:rsidRPr="00CD57E6" w:rsidR="001D4C42">
        <w:t xml:space="preserve"> property, the Court considers that it has examined the main legal question raised in the present application. It concludes, therefore, that there is no need to give a separate ruling on the applicants</w:t>
      </w:r>
      <w:r w:rsidRPr="00CD57E6" w:rsidR="00CD57E6">
        <w:t>’</w:t>
      </w:r>
      <w:r w:rsidRPr="00CD57E6" w:rsidR="001D4C42">
        <w:t xml:space="preserve"> complaints under Article 6 (see, </w:t>
      </w:r>
      <w:r w:rsidRPr="00CD57E6" w:rsidR="001D4C42">
        <w:rPr>
          <w:i/>
        </w:rPr>
        <w:t>mutatis mutandis</w:t>
      </w:r>
      <w:r w:rsidRPr="00CD57E6" w:rsidR="001D4C42">
        <w:t xml:space="preserve">, </w:t>
      </w:r>
      <w:r w:rsidRPr="00CD57E6" w:rsidR="001D4C42">
        <w:rPr>
          <w:i/>
        </w:rPr>
        <w:t>Kamil Uzun v. Turkey</w:t>
      </w:r>
      <w:r w:rsidRPr="00CD57E6" w:rsidR="001D4C42">
        <w:t xml:space="preserve">, no. </w:t>
      </w:r>
      <w:hyperlink w:tgtFrame="_blank" w:history="1" w:anchor="{&quot;appno&quot;:[&quot;37410/97&quot;]}" r:id="rId17">
        <w:r w:rsidRPr="00CD57E6" w:rsidR="001D4C42">
          <w:t>37410/97</w:t>
        </w:r>
      </w:hyperlink>
      <w:r w:rsidRPr="00CD57E6" w:rsidR="001D4C42">
        <w:t>, § 64, 10 May 2007).</w:t>
      </w:r>
    </w:p>
    <w:p w:rsidRPr="00CD57E6" w:rsidR="00D420F3" w:rsidP="00CD57E6" w:rsidRDefault="001D4C42">
      <w:pPr>
        <w:pStyle w:val="ECHRHeading1"/>
      </w:pPr>
      <w:r w:rsidRPr="00CD57E6">
        <w:t>III</w:t>
      </w:r>
      <w:r w:rsidRPr="00CD57E6" w:rsidR="0077175D">
        <w:t>.  APPLICATION OF ARTICLE 41 OF THE CONVENTION</w:t>
      </w:r>
    </w:p>
    <w:p w:rsidRPr="00CD57E6" w:rsidR="00D420F3" w:rsidP="00CD57E6" w:rsidRDefault="00AB087A">
      <w:pPr>
        <w:pStyle w:val="ECHRPara"/>
      </w:pPr>
      <w:r w:rsidRPr="00CD57E6">
        <w:fldChar w:fldCharType="begin"/>
      </w:r>
      <w:r w:rsidRPr="00CD57E6">
        <w:instrText xml:space="preserve"> SEQ level0 \*arabic </w:instrText>
      </w:r>
      <w:r w:rsidRPr="00CD57E6">
        <w:fldChar w:fldCharType="separate"/>
      </w:r>
      <w:r w:rsidRPr="00CD57E6" w:rsidR="00CD57E6">
        <w:rPr>
          <w:noProof/>
        </w:rPr>
        <w:t>60</w:t>
      </w:r>
      <w:r w:rsidRPr="00CD57E6">
        <w:fldChar w:fldCharType="end"/>
      </w:r>
      <w:r w:rsidRPr="00CD57E6">
        <w:t>.  </w:t>
      </w:r>
      <w:r w:rsidRPr="00CD57E6" w:rsidR="0077175D">
        <w:t>Article 41 of the Convention provides:</w:t>
      </w:r>
    </w:p>
    <w:p w:rsidRPr="00CD57E6" w:rsidR="00D420F3" w:rsidP="00CD57E6" w:rsidRDefault="0077175D">
      <w:pPr>
        <w:pStyle w:val="ECHRParaQuote"/>
        <w:keepNext/>
        <w:keepLines/>
      </w:pPr>
      <w:r w:rsidRPr="00CD57E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D57E6" w:rsidR="00D420F3" w:rsidP="00CD57E6" w:rsidRDefault="0077175D">
      <w:pPr>
        <w:pStyle w:val="ECHRHeading2"/>
      </w:pPr>
      <w:r w:rsidRPr="00CD57E6">
        <w:t>A.  Damage</w:t>
      </w:r>
    </w:p>
    <w:p w:rsidRPr="00CD57E6" w:rsidR="00DA12CC" w:rsidP="00CD57E6" w:rsidRDefault="002B514C">
      <w:pPr>
        <w:pStyle w:val="ECHRPara"/>
      </w:pPr>
      <w:r w:rsidRPr="00CD57E6">
        <w:fldChar w:fldCharType="begin"/>
      </w:r>
      <w:r w:rsidRPr="00CD57E6">
        <w:instrText xml:space="preserve"> SEQ level0 \*arabic </w:instrText>
      </w:r>
      <w:r w:rsidRPr="00CD57E6">
        <w:fldChar w:fldCharType="separate"/>
      </w:r>
      <w:r w:rsidRPr="00CD57E6" w:rsidR="00CD57E6">
        <w:rPr>
          <w:noProof/>
        </w:rPr>
        <w:t>61</w:t>
      </w:r>
      <w:r w:rsidRPr="00CD57E6">
        <w:fldChar w:fldCharType="end"/>
      </w:r>
      <w:r w:rsidRPr="00CD57E6" w:rsidR="0077175D">
        <w:t>.  </w:t>
      </w:r>
      <w:r w:rsidRPr="00CD57E6" w:rsidR="00DA12CC">
        <w:t>The applicants claimed EUR 114,620 in respect of pecuniary damage. According to the applicants, the claimed amount reflected the sale and rental prices of land within the same community in the same period. They took AMD 3,000 per square metre of land as a basis for calculation. The applicants also claimed EUR 3,000 (for Article 6 violation) and EUR</w:t>
      </w:r>
      <w:r w:rsidRPr="00CD57E6" w:rsidR="008453E6">
        <w:t> </w:t>
      </w:r>
      <w:r w:rsidRPr="00CD57E6" w:rsidR="00DA12CC">
        <w:t>7,000 (for Article 1 of Protocol No. 1 violation) in respect of non-pecuniary damage.</w:t>
      </w:r>
    </w:p>
    <w:p w:rsidRPr="00CD57E6" w:rsidR="00DA12CC" w:rsidP="00CD57E6" w:rsidRDefault="00DA12CC">
      <w:pPr>
        <w:pStyle w:val="ECHRPara"/>
      </w:pPr>
      <w:r w:rsidRPr="00CD57E6">
        <w:fldChar w:fldCharType="begin"/>
      </w:r>
      <w:r w:rsidRPr="00CD57E6">
        <w:instrText xml:space="preserve"> SEQ level0 \*arabic </w:instrText>
      </w:r>
      <w:r w:rsidRPr="00CD57E6">
        <w:fldChar w:fldCharType="separate"/>
      </w:r>
      <w:r w:rsidRPr="00CD57E6" w:rsidR="00CD57E6">
        <w:rPr>
          <w:noProof/>
        </w:rPr>
        <w:t>62</w:t>
      </w:r>
      <w:r w:rsidRPr="00CD57E6">
        <w:fldChar w:fldCharType="end"/>
      </w:r>
      <w:r w:rsidRPr="00CD57E6">
        <w:t>.  The Government considered that the applicants had failed to submit any proof in support of their pecuniary damage claims</w:t>
      </w:r>
      <w:r w:rsidRPr="00CD57E6" w:rsidR="005C7F1D">
        <w:t>,</w:t>
      </w:r>
      <w:r w:rsidRPr="00CD57E6">
        <w:t xml:space="preserve"> which were exaggerated. These claims should therefore be rejected in their entirety. As to the non-pecuniary damage, the Government considered that the amounts claimed were excessive and not supported by any documentary evidence.</w:t>
      </w:r>
    </w:p>
    <w:p w:rsidRPr="00CD57E6" w:rsidR="00D420F3" w:rsidP="00CD57E6" w:rsidRDefault="00DA12CC">
      <w:pPr>
        <w:pStyle w:val="ECHRPara"/>
      </w:pPr>
      <w:r w:rsidRPr="00CD57E6">
        <w:fldChar w:fldCharType="begin"/>
      </w:r>
      <w:r w:rsidRPr="00CD57E6">
        <w:instrText xml:space="preserve"> SEQ level0 \*arabic </w:instrText>
      </w:r>
      <w:r w:rsidRPr="00CD57E6">
        <w:fldChar w:fldCharType="separate"/>
      </w:r>
      <w:r w:rsidRPr="00CD57E6" w:rsidR="00CD57E6">
        <w:rPr>
          <w:noProof/>
        </w:rPr>
        <w:t>63</w:t>
      </w:r>
      <w:r w:rsidRPr="00CD57E6">
        <w:fldChar w:fldCharType="end"/>
      </w:r>
      <w:r w:rsidRPr="00CD57E6">
        <w:t xml:space="preserve">.  Given the nature of the violation found, the Court finds that the applicants undoubtedly suffered some pecuniary and non-pecuniary damage (see, </w:t>
      </w:r>
      <w:r w:rsidRPr="00CD57E6">
        <w:rPr>
          <w:i/>
        </w:rPr>
        <w:t>mutatis mutandis</w:t>
      </w:r>
      <w:r w:rsidRPr="00CD57E6">
        <w:t xml:space="preserve">, </w:t>
      </w:r>
      <w:r w:rsidRPr="00CD57E6">
        <w:rPr>
          <w:i/>
          <w:iCs/>
        </w:rPr>
        <w:t>Moskal v. Poland</w:t>
      </w:r>
      <w:r w:rsidRPr="00CD57E6">
        <w:t xml:space="preserve">, no. </w:t>
      </w:r>
      <w:hyperlink w:tgtFrame="_blank" w:history="1" w:anchor="{&quot;appno&quot;:[&quot;10373/05&quot;]}" r:id="rId18">
        <w:r w:rsidRPr="00CD57E6">
          <w:t>10373/05</w:t>
        </w:r>
      </w:hyperlink>
      <w:r w:rsidRPr="00CD57E6">
        <w:t>, § 105, 15 September 2009</w:t>
      </w:r>
      <w:r w:rsidRPr="00CD57E6" w:rsidR="00F939C0">
        <w:t xml:space="preserve">; see also </w:t>
      </w:r>
      <w:r w:rsidRPr="00CD57E6" w:rsidR="00F939C0">
        <w:rPr>
          <w:i/>
          <w:iCs/>
        </w:rPr>
        <w:t>Osmanyan and Amiraghyan</w:t>
      </w:r>
      <w:r w:rsidRPr="00CD57E6" w:rsidR="00F939C0">
        <w:rPr>
          <w:iCs/>
        </w:rPr>
        <w:t>, cited above, § 75</w:t>
      </w:r>
      <w:r w:rsidRPr="00CD57E6">
        <w:t xml:space="preserve">). In the particular circumstances of the present case, making an assessment on an equitable basis as is required by Article 41 of the Convention, the Court awards the applicants jointly EUR </w:t>
      </w:r>
      <w:r w:rsidRPr="00CD57E6" w:rsidR="00232937">
        <w:t>14</w:t>
      </w:r>
      <w:r w:rsidRPr="00CD57E6">
        <w:t>,000 to cover all heads of damage.</w:t>
      </w:r>
    </w:p>
    <w:p w:rsidRPr="00CD57E6" w:rsidR="00D420F3" w:rsidP="00CD57E6" w:rsidRDefault="0077175D">
      <w:pPr>
        <w:pStyle w:val="ECHRHeading2"/>
      </w:pPr>
      <w:r w:rsidRPr="00CD57E6">
        <w:t>B.  Costs and expenses</w:t>
      </w:r>
    </w:p>
    <w:p w:rsidRPr="00CD57E6" w:rsidR="00DA12CC" w:rsidP="00CD57E6" w:rsidRDefault="002B514C">
      <w:pPr>
        <w:pStyle w:val="ECHRPara"/>
      </w:pPr>
      <w:r w:rsidRPr="00CD57E6">
        <w:fldChar w:fldCharType="begin"/>
      </w:r>
      <w:r w:rsidRPr="00CD57E6">
        <w:instrText xml:space="preserve"> SEQ level0 \*arabic </w:instrText>
      </w:r>
      <w:r w:rsidRPr="00CD57E6">
        <w:fldChar w:fldCharType="separate"/>
      </w:r>
      <w:r w:rsidRPr="00CD57E6" w:rsidR="00CD57E6">
        <w:rPr>
          <w:noProof/>
        </w:rPr>
        <w:t>64</w:t>
      </w:r>
      <w:r w:rsidRPr="00CD57E6">
        <w:fldChar w:fldCharType="end"/>
      </w:r>
      <w:r w:rsidRPr="00CD57E6" w:rsidR="0077175D">
        <w:t>.  </w:t>
      </w:r>
      <w:r w:rsidRPr="00CD57E6" w:rsidR="00DA12CC">
        <w:t>The applicants also claimed EUR 7,000 for the costs and expenses incurred before both the domestic courts and the Court.</w:t>
      </w:r>
    </w:p>
    <w:p w:rsidRPr="00CD57E6" w:rsidR="00DA12CC" w:rsidP="00CD57E6" w:rsidRDefault="00DA12CC">
      <w:pPr>
        <w:pStyle w:val="ECHRPara"/>
      </w:pPr>
      <w:r w:rsidRPr="00CD57E6">
        <w:fldChar w:fldCharType="begin"/>
      </w:r>
      <w:r w:rsidRPr="00CD57E6">
        <w:instrText xml:space="preserve"> SEQ level0 \*arabic </w:instrText>
      </w:r>
      <w:r w:rsidRPr="00CD57E6">
        <w:fldChar w:fldCharType="separate"/>
      </w:r>
      <w:r w:rsidRPr="00CD57E6" w:rsidR="00CD57E6">
        <w:rPr>
          <w:noProof/>
        </w:rPr>
        <w:t>65</w:t>
      </w:r>
      <w:r w:rsidRPr="00CD57E6">
        <w:fldChar w:fldCharType="end"/>
      </w:r>
      <w:r w:rsidRPr="00CD57E6">
        <w:t>.  The Government noted that the applicants had failed to submit any itemised documentation, as required by Rule 60 of the Rules of Court, and that therefore this claim should be rejected. In any event, the amount should be reduced.</w:t>
      </w:r>
    </w:p>
    <w:p w:rsidRPr="00CD57E6" w:rsidR="00D420F3" w:rsidP="00CD57E6" w:rsidRDefault="00DA12CC">
      <w:pPr>
        <w:pStyle w:val="ECHRPara"/>
      </w:pPr>
      <w:r w:rsidRPr="00CD57E6">
        <w:fldChar w:fldCharType="begin"/>
      </w:r>
      <w:r w:rsidRPr="00CD57E6">
        <w:instrText xml:space="preserve"> SEQ level0 \*arabic </w:instrText>
      </w:r>
      <w:r w:rsidRPr="00CD57E6">
        <w:fldChar w:fldCharType="separate"/>
      </w:r>
      <w:r w:rsidRPr="00CD57E6" w:rsidR="00CD57E6">
        <w:rPr>
          <w:noProof/>
        </w:rPr>
        <w:t>66</w:t>
      </w:r>
      <w:r w:rsidRPr="00CD57E6">
        <w:fldChar w:fldCharType="end"/>
      </w:r>
      <w:r w:rsidRPr="00CD57E6">
        <w:t>.  Regard being had to the documents in its possession and to its case-law, the Court rejects the claim for costs and expenses for lack of adequate supporting documentation.</w:t>
      </w:r>
    </w:p>
    <w:p w:rsidRPr="00CD57E6" w:rsidR="00D420F3" w:rsidP="00CD57E6" w:rsidRDefault="0077175D">
      <w:pPr>
        <w:pStyle w:val="ECHRHeading2"/>
      </w:pPr>
      <w:r w:rsidRPr="00CD57E6">
        <w:t>C.  Default interest</w:t>
      </w:r>
    </w:p>
    <w:p w:rsidRPr="00CD57E6" w:rsidR="00D420F3" w:rsidP="00CD57E6" w:rsidRDefault="002B514C">
      <w:pPr>
        <w:pStyle w:val="ECHRPara"/>
      </w:pPr>
      <w:r w:rsidRPr="00CD57E6">
        <w:fldChar w:fldCharType="begin"/>
      </w:r>
      <w:r w:rsidRPr="00CD57E6">
        <w:instrText xml:space="preserve"> SEQ level0 \*arabic </w:instrText>
      </w:r>
      <w:r w:rsidRPr="00CD57E6">
        <w:fldChar w:fldCharType="separate"/>
      </w:r>
      <w:r w:rsidRPr="00CD57E6" w:rsidR="00CD57E6">
        <w:rPr>
          <w:noProof/>
        </w:rPr>
        <w:t>67</w:t>
      </w:r>
      <w:r w:rsidRPr="00CD57E6">
        <w:fldChar w:fldCharType="end"/>
      </w:r>
      <w:r w:rsidRPr="00CD57E6" w:rsidR="0077175D">
        <w:t>.  The Court considers it appropriate that the default interest rate should be based on the marginal lending rate of the European Central Bank, to which should be added three percentage points.</w:t>
      </w:r>
    </w:p>
    <w:p w:rsidRPr="00CD57E6" w:rsidR="00D420F3" w:rsidP="00CD57E6" w:rsidRDefault="0077175D">
      <w:pPr>
        <w:pStyle w:val="ECHRTitle1"/>
      </w:pPr>
      <w:r w:rsidRPr="00CD57E6">
        <w:t>FOR THESE REASONS, THE COURT</w:t>
      </w:r>
      <w:r w:rsidRPr="00CD57E6" w:rsidR="002B514C">
        <w:t>, UNANIMOUSLY,</w:t>
      </w:r>
    </w:p>
    <w:p w:rsidRPr="00CD57E6" w:rsidR="003D7B52" w:rsidP="00CD57E6" w:rsidRDefault="003D7B52">
      <w:pPr>
        <w:pStyle w:val="JuList"/>
      </w:pPr>
      <w:r w:rsidRPr="00CD57E6">
        <w:t>1.  </w:t>
      </w:r>
      <w:r w:rsidRPr="00CD57E6">
        <w:rPr>
          <w:i/>
        </w:rPr>
        <w:t>Declares</w:t>
      </w:r>
      <w:r w:rsidRPr="00CD57E6">
        <w:t xml:space="preserve"> the complaint under Article 1 of Protocol No. 1 admissible;</w:t>
      </w:r>
    </w:p>
    <w:p w:rsidRPr="00CD57E6" w:rsidR="003D7B52" w:rsidP="00CD57E6" w:rsidRDefault="003D7B52">
      <w:pPr>
        <w:pStyle w:val="JuList"/>
        <w:ind w:left="0" w:firstLine="0"/>
      </w:pPr>
    </w:p>
    <w:p w:rsidRPr="00CD57E6" w:rsidR="003D7B52" w:rsidP="00CD57E6" w:rsidRDefault="003D7B52">
      <w:pPr>
        <w:pStyle w:val="JuList"/>
      </w:pPr>
      <w:r w:rsidRPr="00CD57E6">
        <w:t>2.  </w:t>
      </w:r>
      <w:r w:rsidRPr="00CD57E6">
        <w:rPr>
          <w:i/>
        </w:rPr>
        <w:t>Holds</w:t>
      </w:r>
      <w:r w:rsidRPr="00CD57E6">
        <w:rPr>
          <w:color w:val="000000"/>
        </w:rPr>
        <w:t xml:space="preserve"> </w:t>
      </w:r>
      <w:r w:rsidRPr="00CD57E6">
        <w:t>that there has been a violation of Article 1 of Protocol No. 1 to the Convention;</w:t>
      </w:r>
    </w:p>
    <w:p w:rsidRPr="00CD57E6" w:rsidR="003D7B52" w:rsidP="00CD57E6" w:rsidRDefault="003D7B52">
      <w:pPr>
        <w:pStyle w:val="JuList"/>
      </w:pPr>
    </w:p>
    <w:p w:rsidRPr="00CD57E6" w:rsidR="003D7B52" w:rsidP="00CD57E6" w:rsidRDefault="003D7B52">
      <w:pPr>
        <w:pStyle w:val="JuList"/>
      </w:pPr>
      <w:r w:rsidRPr="00CD57E6">
        <w:t>3.  </w:t>
      </w:r>
      <w:r w:rsidRPr="00CD57E6">
        <w:rPr>
          <w:i/>
        </w:rPr>
        <w:t>Holds</w:t>
      </w:r>
      <w:r w:rsidRPr="00CD57E6">
        <w:rPr>
          <w:color w:val="000000"/>
        </w:rPr>
        <w:t xml:space="preserve"> </w:t>
      </w:r>
      <w:r w:rsidRPr="00CD57E6">
        <w:t>that there is no need to rule separately on the communicated complaint under Article 6 of the Convention, and declares inadmissible the remainder of the application;</w:t>
      </w:r>
    </w:p>
    <w:p w:rsidRPr="00CD57E6" w:rsidR="003D7B52" w:rsidP="00CD57E6" w:rsidRDefault="003D7B52">
      <w:pPr>
        <w:pStyle w:val="JuList"/>
      </w:pPr>
    </w:p>
    <w:p w:rsidRPr="00CD57E6" w:rsidR="003D7B52" w:rsidP="00CD57E6" w:rsidRDefault="003D7B52">
      <w:pPr>
        <w:pStyle w:val="JuList"/>
      </w:pPr>
      <w:r w:rsidRPr="00CD57E6">
        <w:t>4.  </w:t>
      </w:r>
      <w:r w:rsidRPr="00CD57E6">
        <w:rPr>
          <w:i/>
        </w:rPr>
        <w:t>Holds</w:t>
      </w:r>
    </w:p>
    <w:p w:rsidRPr="00CD57E6" w:rsidR="003D7B52" w:rsidP="00CD57E6" w:rsidRDefault="003D7B52">
      <w:pPr>
        <w:pStyle w:val="JuLista"/>
      </w:pPr>
      <w:r w:rsidRPr="00CD57E6">
        <w:t xml:space="preserve">(a)  that the respondent State is to pay the applicants, within three months, EUR </w:t>
      </w:r>
      <w:r w:rsidRPr="00CD57E6" w:rsidR="00232937">
        <w:t>14</w:t>
      </w:r>
      <w:r w:rsidRPr="00CD57E6">
        <w:t>,000 (f</w:t>
      </w:r>
      <w:r w:rsidRPr="00CD57E6" w:rsidR="00232937">
        <w:t xml:space="preserve">ourteen </w:t>
      </w:r>
      <w:r w:rsidRPr="00CD57E6">
        <w:t xml:space="preserve">thousand euros), to be converted into </w:t>
      </w:r>
      <w:r w:rsidRPr="00CD57E6">
        <w:rPr>
          <w:color w:val="000000"/>
        </w:rPr>
        <w:t>the currency of the respondent State</w:t>
      </w:r>
      <w:r w:rsidRPr="00CD57E6">
        <w:t xml:space="preserve"> at the rate applicable at the date of settlement, plus any tax that may be chargeable, in respect of pecuniary and non-pecuniary damage;</w:t>
      </w:r>
    </w:p>
    <w:p w:rsidRPr="00CD57E6" w:rsidR="003D7B52" w:rsidP="00CD57E6" w:rsidRDefault="003D7B52">
      <w:pPr>
        <w:pStyle w:val="JuLista"/>
      </w:pPr>
      <w:r w:rsidRPr="00CD57E6">
        <w:t>(b)  that from the expiry of the above-mentioned three months until settlement</w:t>
      </w:r>
      <w:r w:rsidRPr="00CD57E6" w:rsidR="005C7F1D">
        <w:t>,</w:t>
      </w:r>
      <w:r w:rsidRPr="00CD57E6">
        <w:t xml:space="preserve"> simple interest shall be payable on the above amount at a rate equal to the marginal lending rate of the European Central Bank during the default period plus three percentage points;</w:t>
      </w:r>
    </w:p>
    <w:p w:rsidRPr="00CD57E6" w:rsidR="003D7B52" w:rsidP="00CD57E6" w:rsidRDefault="003D7B52">
      <w:pPr>
        <w:pStyle w:val="JuList"/>
      </w:pPr>
    </w:p>
    <w:p w:rsidRPr="00CD57E6" w:rsidR="00D420F3" w:rsidP="00CD57E6" w:rsidRDefault="003D7B52">
      <w:pPr>
        <w:pStyle w:val="JuList"/>
      </w:pPr>
      <w:r w:rsidRPr="00CD57E6">
        <w:t>5.  </w:t>
      </w:r>
      <w:r w:rsidRPr="00CD57E6">
        <w:rPr>
          <w:i/>
        </w:rPr>
        <w:t>Dismisses</w:t>
      </w:r>
      <w:r w:rsidRPr="00CD57E6">
        <w:rPr>
          <w:color w:val="000000"/>
        </w:rPr>
        <w:t xml:space="preserve"> </w:t>
      </w:r>
      <w:r w:rsidRPr="00CD57E6">
        <w:t>the remainder of the applicants</w:t>
      </w:r>
      <w:r w:rsidRPr="00CD57E6" w:rsidR="00CD57E6">
        <w:t>’</w:t>
      </w:r>
      <w:r w:rsidRPr="00CD57E6">
        <w:t xml:space="preserve"> claim for just satisfaction.</w:t>
      </w:r>
    </w:p>
    <w:p w:rsidRPr="00CD57E6" w:rsidR="00D420F3" w:rsidP="00CD57E6" w:rsidRDefault="0077175D">
      <w:pPr>
        <w:pStyle w:val="JuParaLast"/>
      </w:pPr>
      <w:r w:rsidRPr="00CD57E6">
        <w:t xml:space="preserve">Done in English, and notified in writing on </w:t>
      </w:r>
      <w:r w:rsidRPr="00CD57E6" w:rsidR="008453E6">
        <w:t>14 February 2019</w:t>
      </w:r>
      <w:r w:rsidRPr="00CD57E6" w:rsidR="00D273A7">
        <w:t xml:space="preserve">, pursuant to Rule </w:t>
      </w:r>
      <w:r w:rsidRPr="00CD57E6">
        <w:t>77 §§ 2 and 3 of the Rules of Court.</w:t>
      </w:r>
    </w:p>
    <w:p w:rsidRPr="00CD57E6" w:rsidR="00D420F3" w:rsidP="00CD57E6" w:rsidRDefault="0077175D">
      <w:pPr>
        <w:pStyle w:val="JuSigned"/>
      </w:pPr>
      <w:r w:rsidRPr="00CD57E6">
        <w:tab/>
      </w:r>
      <w:r w:rsidRPr="00CD57E6" w:rsidR="002B514C">
        <w:t>Renata Degener</w:t>
      </w:r>
      <w:r w:rsidRPr="00CD57E6">
        <w:tab/>
      </w:r>
      <w:r w:rsidRPr="00CD57E6" w:rsidR="008453E6">
        <w:t>Ksenija Turković</w:t>
      </w:r>
      <w:r w:rsidRPr="00CD57E6">
        <w:rPr>
          <w:szCs w:val="24"/>
        </w:rPr>
        <w:br/>
      </w:r>
      <w:r w:rsidRPr="00CD57E6">
        <w:tab/>
      </w:r>
      <w:r w:rsidRPr="00CD57E6" w:rsidR="002B514C">
        <w:t xml:space="preserve">Deputy </w:t>
      </w:r>
      <w:r w:rsidRPr="00CD57E6" w:rsidR="002B514C">
        <w:rPr>
          <w:iCs/>
        </w:rPr>
        <w:t>Registrar</w:t>
      </w:r>
      <w:r w:rsidRPr="00CD57E6">
        <w:tab/>
        <w:t>President</w:t>
      </w:r>
    </w:p>
    <w:sectPr w:rsidRPr="00CD57E6" w:rsidR="00D420F3" w:rsidSect="008453E6">
      <w:headerReference w:type="even" r:id="rId19"/>
      <w:headerReference w:type="default" r:id="rId20"/>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08F9" w:rsidRPr="009C0C45" w:rsidRDefault="00E008F9">
      <w:r w:rsidRPr="009C0C45">
        <w:separator/>
      </w:r>
    </w:p>
  </w:endnote>
  <w:endnote w:type="continuationSeparator" w:id="0">
    <w:p w:rsidR="00E008F9" w:rsidRPr="009C0C45" w:rsidRDefault="00E008F9">
      <w:r w:rsidRPr="009C0C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53E6" w:rsidRPr="00150BFA" w:rsidRDefault="008453E6" w:rsidP="0020718E">
    <w:pPr>
      <w:jc w:val="center"/>
    </w:pPr>
    <w:r>
      <w:rPr>
        <w:noProof/>
        <w:lang w:val="en-US" w:eastAsia="ja-JP"/>
      </w:rPr>
      <w:drawing>
        <wp:inline distT="0" distB="0" distL="0" distR="0" wp14:anchorId="7007172A" wp14:editId="5B10984C">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8453E6" w:rsidRDefault="008453E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08F9" w:rsidRPr="009C0C45" w:rsidRDefault="00E008F9" w:rsidP="00D420F3">
      <w:r w:rsidRPr="009C0C45">
        <w:separator/>
      </w:r>
    </w:p>
  </w:footnote>
  <w:footnote w:type="continuationSeparator" w:id="0">
    <w:p w:rsidR="00E008F9" w:rsidRPr="009C0C45" w:rsidRDefault="00E008F9" w:rsidP="00D420F3">
      <w:r w:rsidRPr="009C0C4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08F9" w:rsidRPr="008453E6" w:rsidRDefault="00E008F9" w:rsidP="008453E6">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53E6" w:rsidRPr="00A45145" w:rsidRDefault="008453E6" w:rsidP="00A45145">
    <w:pPr>
      <w:jc w:val="center"/>
    </w:pPr>
    <w:r>
      <w:rPr>
        <w:noProof/>
        <w:lang w:val="en-US" w:eastAsia="ja-JP"/>
      </w:rPr>
      <w:drawing>
        <wp:inline distT="0" distB="0" distL="0" distR="0" wp14:anchorId="14C5B7C0" wp14:editId="0026EAB7">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E008F9" w:rsidRDefault="00E008F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53E6" w:rsidRPr="009C0C45" w:rsidRDefault="008453E6"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CD57E6">
      <w:rPr>
        <w:rStyle w:val="PageNumber"/>
        <w:noProof/>
        <w:szCs w:val="18"/>
      </w:rPr>
      <w:t>12</w:t>
    </w:r>
    <w:r>
      <w:rPr>
        <w:rStyle w:val="PageNumber"/>
        <w:szCs w:val="18"/>
      </w:rPr>
      <w:fldChar w:fldCharType="end"/>
    </w:r>
    <w:r w:rsidRPr="009C0C45">
      <w:tab/>
    </w:r>
    <w:r>
      <w:t>VARDANYAN AND HAKHVERDYAN v. ARMENIA</w:t>
    </w:r>
    <w:r w:rsidRPr="009C0C45">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53E6" w:rsidRPr="009C0C45" w:rsidRDefault="008453E6" w:rsidP="00D420F3">
    <w:pPr>
      <w:pStyle w:val="ECHRHeader"/>
    </w:pPr>
    <w:r w:rsidRPr="009C0C45">
      <w:tab/>
    </w:r>
    <w:r>
      <w:t>VARDANYAN AND HAKHVERDYAN v. ARMENIA</w:t>
    </w:r>
    <w:r w:rsidRPr="009C0C45">
      <w:t xml:space="preserve"> </w:t>
    </w:r>
    <w:r>
      <w:t>JUDGMENT</w:t>
    </w:r>
    <w:r w:rsidRPr="009C0C45">
      <w:tab/>
    </w:r>
    <w:r>
      <w:rPr>
        <w:rStyle w:val="PageNumber"/>
        <w:szCs w:val="18"/>
      </w:rPr>
      <w:fldChar w:fldCharType="begin"/>
    </w:r>
    <w:r>
      <w:rPr>
        <w:rStyle w:val="PageNumber"/>
        <w:szCs w:val="18"/>
      </w:rPr>
      <w:instrText xml:space="preserve"> PAGE </w:instrText>
    </w:r>
    <w:r>
      <w:rPr>
        <w:rStyle w:val="PageNumber"/>
        <w:szCs w:val="18"/>
      </w:rPr>
      <w:fldChar w:fldCharType="separate"/>
    </w:r>
    <w:r w:rsidR="00CD57E6">
      <w:rPr>
        <w:rStyle w:val="PageNumber"/>
        <w:noProof/>
        <w:szCs w:val="18"/>
      </w:rPr>
      <w:t>13</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2B514C"/>
    <w:rsid w:val="000B0045"/>
    <w:rsid w:val="000E2F0C"/>
    <w:rsid w:val="00104D1A"/>
    <w:rsid w:val="00113F22"/>
    <w:rsid w:val="001150B9"/>
    <w:rsid w:val="001D4C42"/>
    <w:rsid w:val="00232937"/>
    <w:rsid w:val="002842EC"/>
    <w:rsid w:val="002B514C"/>
    <w:rsid w:val="002E7C01"/>
    <w:rsid w:val="003302E3"/>
    <w:rsid w:val="003D7B52"/>
    <w:rsid w:val="003F5C69"/>
    <w:rsid w:val="00403E58"/>
    <w:rsid w:val="004F143A"/>
    <w:rsid w:val="005107BD"/>
    <w:rsid w:val="00540EAA"/>
    <w:rsid w:val="00570B83"/>
    <w:rsid w:val="005C7F1D"/>
    <w:rsid w:val="00630F58"/>
    <w:rsid w:val="00704D3E"/>
    <w:rsid w:val="0077175D"/>
    <w:rsid w:val="008453E6"/>
    <w:rsid w:val="008C7AE1"/>
    <w:rsid w:val="008E2782"/>
    <w:rsid w:val="00914A98"/>
    <w:rsid w:val="00926673"/>
    <w:rsid w:val="0097380C"/>
    <w:rsid w:val="009A7479"/>
    <w:rsid w:val="009B020F"/>
    <w:rsid w:val="009C0C45"/>
    <w:rsid w:val="009E2907"/>
    <w:rsid w:val="00A062F4"/>
    <w:rsid w:val="00A81431"/>
    <w:rsid w:val="00AB087A"/>
    <w:rsid w:val="00AB7FD3"/>
    <w:rsid w:val="00AD3C44"/>
    <w:rsid w:val="00AD5883"/>
    <w:rsid w:val="00B37872"/>
    <w:rsid w:val="00BB44E1"/>
    <w:rsid w:val="00BE185F"/>
    <w:rsid w:val="00C12966"/>
    <w:rsid w:val="00C13531"/>
    <w:rsid w:val="00C16B04"/>
    <w:rsid w:val="00C631F9"/>
    <w:rsid w:val="00CA1DFD"/>
    <w:rsid w:val="00CB20C3"/>
    <w:rsid w:val="00CB7B14"/>
    <w:rsid w:val="00CC3DE3"/>
    <w:rsid w:val="00CD57E6"/>
    <w:rsid w:val="00D273A7"/>
    <w:rsid w:val="00D420F3"/>
    <w:rsid w:val="00DA12CC"/>
    <w:rsid w:val="00DA3C4F"/>
    <w:rsid w:val="00DA3DB8"/>
    <w:rsid w:val="00E008F9"/>
    <w:rsid w:val="00E87134"/>
    <w:rsid w:val="00EB7583"/>
    <w:rsid w:val="00F11D8F"/>
    <w:rsid w:val="00F62D54"/>
    <w:rsid w:val="00F939C0"/>
    <w:rsid w:val="00FA4F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7380C"/>
    <w:pPr>
      <w:jc w:val="both"/>
    </w:pPr>
    <w:rPr>
      <w:rFonts w:eastAsiaTheme="minorEastAsia"/>
      <w:sz w:val="24"/>
      <w:lang w:val="en-GB"/>
    </w:rPr>
  </w:style>
  <w:style w:type="paragraph" w:styleId="Heading1">
    <w:name w:val="heading 1"/>
    <w:basedOn w:val="Normal"/>
    <w:next w:val="Normal"/>
    <w:link w:val="Heading1Char"/>
    <w:uiPriority w:val="99"/>
    <w:semiHidden/>
    <w:rsid w:val="0097380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7380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7380C"/>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7380C"/>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97380C"/>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97380C"/>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97380C"/>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97380C"/>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97380C"/>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7380C"/>
    <w:rPr>
      <w:rFonts w:ascii="Tahoma" w:hAnsi="Tahoma" w:cs="Tahoma"/>
      <w:sz w:val="16"/>
      <w:szCs w:val="16"/>
    </w:rPr>
  </w:style>
  <w:style w:type="character" w:customStyle="1" w:styleId="BalloonTextChar">
    <w:name w:val="Balloon Text Char"/>
    <w:basedOn w:val="DefaultParagraphFont"/>
    <w:link w:val="BalloonText"/>
    <w:uiPriority w:val="99"/>
    <w:semiHidden/>
    <w:rsid w:val="0097380C"/>
    <w:rPr>
      <w:rFonts w:ascii="Tahoma" w:eastAsiaTheme="minorEastAsia" w:hAnsi="Tahoma" w:cs="Tahoma"/>
      <w:sz w:val="16"/>
      <w:szCs w:val="16"/>
      <w:lang w:val="en-GB"/>
    </w:rPr>
  </w:style>
  <w:style w:type="character" w:styleId="BookTitle">
    <w:name w:val="Book Title"/>
    <w:uiPriority w:val="99"/>
    <w:semiHidden/>
    <w:qFormat/>
    <w:rsid w:val="0097380C"/>
    <w:rPr>
      <w:i/>
      <w:iCs/>
      <w:smallCaps/>
      <w:spacing w:val="5"/>
    </w:rPr>
  </w:style>
  <w:style w:type="paragraph" w:customStyle="1" w:styleId="ECHRHeader">
    <w:name w:val="ECHR_Header"/>
    <w:aliases w:val="Ju_Header"/>
    <w:basedOn w:val="Header"/>
    <w:uiPriority w:val="4"/>
    <w:qFormat/>
    <w:rsid w:val="0097380C"/>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97380C"/>
    <w:pPr>
      <w:jc w:val="left"/>
    </w:pPr>
    <w:rPr>
      <w:sz w:val="8"/>
    </w:rPr>
  </w:style>
  <w:style w:type="character" w:styleId="Strong">
    <w:name w:val="Strong"/>
    <w:uiPriority w:val="99"/>
    <w:semiHidden/>
    <w:qFormat/>
    <w:rsid w:val="0097380C"/>
    <w:rPr>
      <w:b/>
      <w:bCs/>
    </w:rPr>
  </w:style>
  <w:style w:type="paragraph" w:styleId="NoSpacing">
    <w:name w:val="No Spacing"/>
    <w:basedOn w:val="Normal"/>
    <w:link w:val="NoSpacingChar"/>
    <w:semiHidden/>
    <w:qFormat/>
    <w:rsid w:val="0097380C"/>
    <w:rPr>
      <w:sz w:val="22"/>
      <w:lang w:val="en-US"/>
    </w:rPr>
  </w:style>
  <w:style w:type="character" w:customStyle="1" w:styleId="NoSpacingChar">
    <w:name w:val="No Spacing Char"/>
    <w:basedOn w:val="DefaultParagraphFont"/>
    <w:link w:val="NoSpacing"/>
    <w:semiHidden/>
    <w:rsid w:val="0097380C"/>
    <w:rPr>
      <w:rFonts w:eastAsiaTheme="minorEastAsia"/>
    </w:rPr>
  </w:style>
  <w:style w:type="paragraph" w:customStyle="1" w:styleId="ECHRFooterLine">
    <w:name w:val="ECHR_Footer_Line"/>
    <w:aliases w:val="Footer_Line"/>
    <w:basedOn w:val="Normal"/>
    <w:next w:val="ECHRFooter"/>
    <w:uiPriority w:val="57"/>
    <w:semiHidden/>
    <w:rsid w:val="0097380C"/>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97380C"/>
  </w:style>
  <w:style w:type="paragraph" w:customStyle="1" w:styleId="DecList">
    <w:name w:val="Dec_List"/>
    <w:basedOn w:val="Normal"/>
    <w:uiPriority w:val="9"/>
    <w:semiHidden/>
    <w:qFormat/>
    <w:rsid w:val="0097380C"/>
    <w:pPr>
      <w:spacing w:before="240"/>
      <w:ind w:left="284"/>
    </w:pPr>
  </w:style>
  <w:style w:type="paragraph" w:customStyle="1" w:styleId="DummyStyle">
    <w:name w:val="Dummy_Style"/>
    <w:basedOn w:val="Normal"/>
    <w:semiHidden/>
    <w:qFormat/>
    <w:rsid w:val="0097380C"/>
    <w:rPr>
      <w:color w:val="00B050"/>
    </w:rPr>
  </w:style>
  <w:style w:type="paragraph" w:customStyle="1" w:styleId="ECHRTitleCentre3">
    <w:name w:val="ECHR_Title_Centre_3"/>
    <w:aliases w:val="Ju_H_Article"/>
    <w:basedOn w:val="Normal"/>
    <w:next w:val="ECHRParaQuote"/>
    <w:uiPriority w:val="27"/>
    <w:qFormat/>
    <w:rsid w:val="0097380C"/>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97380C"/>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97380C"/>
    <w:pPr>
      <w:numPr>
        <w:numId w:val="18"/>
      </w:numPr>
      <w:jc w:val="left"/>
    </w:pPr>
    <w:rPr>
      <w:b/>
    </w:rPr>
  </w:style>
  <w:style w:type="paragraph" w:customStyle="1" w:styleId="JuCourt">
    <w:name w:val="Ju_Court"/>
    <w:basedOn w:val="Normal"/>
    <w:next w:val="Normal"/>
    <w:uiPriority w:val="16"/>
    <w:qFormat/>
    <w:rsid w:val="0097380C"/>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97380C"/>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97380C"/>
    <w:pPr>
      <w:spacing w:after="240"/>
      <w:jc w:val="center"/>
      <w:outlineLvl w:val="0"/>
    </w:pPr>
    <w:rPr>
      <w:rFonts w:asciiTheme="majorHAnsi" w:hAnsiTheme="majorHAnsi"/>
    </w:rPr>
  </w:style>
  <w:style w:type="paragraph" w:customStyle="1" w:styleId="JuListi">
    <w:name w:val="Ju_List_i"/>
    <w:basedOn w:val="Normal"/>
    <w:next w:val="JuLista"/>
    <w:uiPriority w:val="28"/>
    <w:qFormat/>
    <w:rsid w:val="0097380C"/>
    <w:pPr>
      <w:ind w:left="794"/>
    </w:pPr>
  </w:style>
  <w:style w:type="paragraph" w:styleId="Title">
    <w:name w:val="Title"/>
    <w:basedOn w:val="Normal"/>
    <w:next w:val="Normal"/>
    <w:link w:val="TitleChar"/>
    <w:uiPriority w:val="99"/>
    <w:semiHidden/>
    <w:qFormat/>
    <w:rsid w:val="0097380C"/>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97380C"/>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97380C"/>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97380C"/>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97380C"/>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97380C"/>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97380C"/>
    <w:pPr>
      <w:keepNext/>
      <w:keepLines/>
      <w:spacing w:before="240" w:after="120"/>
      <w:ind w:left="1236"/>
    </w:pPr>
    <w:rPr>
      <w:sz w:val="20"/>
      <w:lang w:val="en-GB"/>
    </w:rPr>
  </w:style>
  <w:style w:type="character" w:customStyle="1" w:styleId="JUNAMES">
    <w:name w:val="JU_NAMES"/>
    <w:uiPriority w:val="17"/>
    <w:qFormat/>
    <w:rsid w:val="0097380C"/>
    <w:rPr>
      <w:caps w:val="0"/>
      <w:smallCaps/>
    </w:rPr>
  </w:style>
  <w:style w:type="paragraph" w:customStyle="1" w:styleId="JuParaSub">
    <w:name w:val="Ju_Para_Sub"/>
    <w:basedOn w:val="ECHRPara"/>
    <w:uiPriority w:val="13"/>
    <w:qFormat/>
    <w:rsid w:val="0097380C"/>
    <w:pPr>
      <w:ind w:left="284"/>
    </w:pPr>
  </w:style>
  <w:style w:type="paragraph" w:customStyle="1" w:styleId="JuQuotSub">
    <w:name w:val="Ju_Quot_Sub"/>
    <w:basedOn w:val="ECHRParaQuote"/>
    <w:uiPriority w:val="15"/>
    <w:qFormat/>
    <w:rsid w:val="0097380C"/>
    <w:pPr>
      <w:ind w:left="567"/>
    </w:pPr>
  </w:style>
  <w:style w:type="paragraph" w:styleId="Header">
    <w:name w:val="header"/>
    <w:basedOn w:val="Normal"/>
    <w:link w:val="HeaderChar"/>
    <w:uiPriority w:val="57"/>
    <w:semiHidden/>
    <w:rsid w:val="0097380C"/>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97380C"/>
    <w:rPr>
      <w:sz w:val="24"/>
      <w:lang w:val="en-GB"/>
    </w:rPr>
  </w:style>
  <w:style w:type="character" w:customStyle="1" w:styleId="Heading1Char">
    <w:name w:val="Heading 1 Char"/>
    <w:basedOn w:val="DefaultParagraphFont"/>
    <w:link w:val="Heading1"/>
    <w:uiPriority w:val="99"/>
    <w:semiHidden/>
    <w:rsid w:val="0097380C"/>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97380C"/>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97380C"/>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97380C"/>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97380C"/>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97380C"/>
    <w:pPr>
      <w:ind w:firstLine="284"/>
    </w:pPr>
    <w:rPr>
      <w:b/>
    </w:rPr>
  </w:style>
  <w:style w:type="character" w:customStyle="1" w:styleId="Heading3Char">
    <w:name w:val="Heading 3 Char"/>
    <w:basedOn w:val="DefaultParagraphFont"/>
    <w:link w:val="Heading3"/>
    <w:uiPriority w:val="99"/>
    <w:semiHidden/>
    <w:rsid w:val="0097380C"/>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97380C"/>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97380C"/>
    <w:rPr>
      <w:rFonts w:asciiTheme="majorHAnsi" w:eastAsiaTheme="majorEastAsia" w:hAnsiTheme="majorHAnsi" w:cstheme="majorBidi"/>
      <w:b/>
      <w:bCs/>
      <w:color w:val="808080"/>
    </w:rPr>
  </w:style>
  <w:style w:type="character" w:styleId="SubtleEmphasis">
    <w:name w:val="Subtle Emphasis"/>
    <w:uiPriority w:val="99"/>
    <w:semiHidden/>
    <w:qFormat/>
    <w:rsid w:val="0097380C"/>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97380C"/>
    <w:pPr>
      <w:keepNext/>
      <w:keepLines/>
      <w:spacing w:before="720" w:after="240"/>
      <w:outlineLvl w:val="0"/>
    </w:pPr>
    <w:rPr>
      <w:rFonts w:asciiTheme="majorHAnsi" w:hAnsiTheme="majorHAnsi"/>
      <w:sz w:val="28"/>
    </w:rPr>
  </w:style>
  <w:style w:type="character" w:styleId="Emphasis">
    <w:name w:val="Emphasis"/>
    <w:uiPriority w:val="99"/>
    <w:semiHidden/>
    <w:qFormat/>
    <w:rsid w:val="0097380C"/>
    <w:rPr>
      <w:b/>
      <w:bCs/>
      <w:i/>
      <w:iCs/>
      <w:spacing w:val="10"/>
      <w:bdr w:val="none" w:sz="0" w:space="0" w:color="auto"/>
      <w:shd w:val="clear" w:color="auto" w:fill="auto"/>
    </w:rPr>
  </w:style>
  <w:style w:type="paragraph" w:styleId="Footer">
    <w:name w:val="footer"/>
    <w:basedOn w:val="Normal"/>
    <w:link w:val="FooterChar"/>
    <w:uiPriority w:val="57"/>
    <w:semiHidden/>
    <w:rsid w:val="0097380C"/>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97380C"/>
    <w:rPr>
      <w:sz w:val="24"/>
      <w:lang w:val="en-GB"/>
    </w:rPr>
  </w:style>
  <w:style w:type="character" w:styleId="FootnoteReference">
    <w:name w:val="footnote reference"/>
    <w:basedOn w:val="DefaultParagraphFont"/>
    <w:uiPriority w:val="99"/>
    <w:semiHidden/>
    <w:rsid w:val="0097380C"/>
    <w:rPr>
      <w:vertAlign w:val="superscript"/>
    </w:rPr>
  </w:style>
  <w:style w:type="paragraph" w:styleId="FootnoteText">
    <w:name w:val="footnote text"/>
    <w:basedOn w:val="Normal"/>
    <w:link w:val="FootnoteTextChar"/>
    <w:uiPriority w:val="99"/>
    <w:semiHidden/>
    <w:rsid w:val="0097380C"/>
    <w:rPr>
      <w:sz w:val="20"/>
      <w:szCs w:val="20"/>
    </w:rPr>
  </w:style>
  <w:style w:type="character" w:customStyle="1" w:styleId="FootnoteTextChar">
    <w:name w:val="Footnote Text Char"/>
    <w:basedOn w:val="DefaultParagraphFont"/>
    <w:link w:val="FootnoteText"/>
    <w:uiPriority w:val="99"/>
    <w:semiHidden/>
    <w:rsid w:val="0097380C"/>
    <w:rPr>
      <w:rFonts w:eastAsiaTheme="minorEastAsia"/>
      <w:sz w:val="20"/>
      <w:szCs w:val="20"/>
      <w:lang w:val="en-GB"/>
    </w:rPr>
  </w:style>
  <w:style w:type="character" w:customStyle="1" w:styleId="Heading6Char">
    <w:name w:val="Heading 6 Char"/>
    <w:basedOn w:val="DefaultParagraphFont"/>
    <w:link w:val="Heading6"/>
    <w:uiPriority w:val="99"/>
    <w:semiHidden/>
    <w:rsid w:val="0097380C"/>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97380C"/>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97380C"/>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97380C"/>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7380C"/>
    <w:rPr>
      <w:color w:val="0072BC" w:themeColor="hyperlink"/>
      <w:u w:val="single"/>
    </w:rPr>
  </w:style>
  <w:style w:type="character" w:styleId="IntenseEmphasis">
    <w:name w:val="Intense Emphasis"/>
    <w:uiPriority w:val="99"/>
    <w:semiHidden/>
    <w:qFormat/>
    <w:rsid w:val="0097380C"/>
    <w:rPr>
      <w:b/>
      <w:bCs/>
    </w:rPr>
  </w:style>
  <w:style w:type="paragraph" w:styleId="IntenseQuote">
    <w:name w:val="Intense Quote"/>
    <w:basedOn w:val="Normal"/>
    <w:next w:val="Normal"/>
    <w:link w:val="IntenseQuoteChar"/>
    <w:uiPriority w:val="99"/>
    <w:semiHidden/>
    <w:qFormat/>
    <w:rsid w:val="0097380C"/>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97380C"/>
    <w:rPr>
      <w:rFonts w:eastAsiaTheme="minorEastAsia"/>
      <w:b/>
      <w:bCs/>
      <w:i/>
      <w:iCs/>
      <w:lang w:bidi="en-US"/>
    </w:rPr>
  </w:style>
  <w:style w:type="character" w:styleId="IntenseReference">
    <w:name w:val="Intense Reference"/>
    <w:uiPriority w:val="99"/>
    <w:semiHidden/>
    <w:qFormat/>
    <w:rsid w:val="0097380C"/>
    <w:rPr>
      <w:smallCaps/>
      <w:spacing w:val="5"/>
      <w:u w:val="single"/>
    </w:rPr>
  </w:style>
  <w:style w:type="paragraph" w:styleId="ListParagraph">
    <w:name w:val="List Paragraph"/>
    <w:basedOn w:val="Normal"/>
    <w:uiPriority w:val="99"/>
    <w:semiHidden/>
    <w:qFormat/>
    <w:rsid w:val="0097380C"/>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97380C"/>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97380C"/>
    <w:rPr>
      <w:rFonts w:eastAsiaTheme="minorEastAsia"/>
      <w:i/>
      <w:iCs/>
      <w:lang w:bidi="en-US"/>
    </w:rPr>
  </w:style>
  <w:style w:type="character" w:styleId="SubtleReference">
    <w:name w:val="Subtle Reference"/>
    <w:uiPriority w:val="99"/>
    <w:semiHidden/>
    <w:qFormat/>
    <w:rsid w:val="0097380C"/>
    <w:rPr>
      <w:smallCaps/>
    </w:rPr>
  </w:style>
  <w:style w:type="table" w:styleId="TableGrid">
    <w:name w:val="Table Grid"/>
    <w:basedOn w:val="TableNormal"/>
    <w:uiPriority w:val="59"/>
    <w:semiHidden/>
    <w:rsid w:val="0097380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97380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97380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97380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97380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97380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97380C"/>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97380C"/>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97380C"/>
    <w:pPr>
      <w:spacing w:before="120" w:after="120"/>
      <w:ind w:left="425" w:firstLine="142"/>
    </w:pPr>
    <w:rPr>
      <w:sz w:val="20"/>
    </w:rPr>
  </w:style>
  <w:style w:type="paragraph" w:customStyle="1" w:styleId="ECHRPara">
    <w:name w:val="ECHR_Para"/>
    <w:aliases w:val="Ju_Para"/>
    <w:basedOn w:val="Normal"/>
    <w:link w:val="ECHRParaChar"/>
    <w:uiPriority w:val="12"/>
    <w:qFormat/>
    <w:rsid w:val="0097380C"/>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7380C"/>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97380C"/>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97380C"/>
    <w:pPr>
      <w:ind w:left="340" w:hanging="340"/>
    </w:pPr>
  </w:style>
  <w:style w:type="paragraph" w:customStyle="1" w:styleId="JuSigned">
    <w:name w:val="Ju_Signed"/>
    <w:basedOn w:val="Normal"/>
    <w:next w:val="JuParaLast"/>
    <w:uiPriority w:val="32"/>
    <w:qFormat/>
    <w:rsid w:val="0097380C"/>
    <w:pPr>
      <w:tabs>
        <w:tab w:val="center" w:pos="851"/>
        <w:tab w:val="center" w:pos="6407"/>
      </w:tabs>
      <w:spacing w:before="720"/>
      <w:jc w:val="left"/>
    </w:pPr>
  </w:style>
  <w:style w:type="paragraph" w:customStyle="1" w:styleId="JuParaLast">
    <w:name w:val="Ju_Para_Last"/>
    <w:basedOn w:val="Normal"/>
    <w:next w:val="ECHRPara"/>
    <w:uiPriority w:val="30"/>
    <w:qFormat/>
    <w:rsid w:val="0097380C"/>
    <w:pPr>
      <w:keepNext/>
      <w:keepLines/>
      <w:spacing w:before="240"/>
      <w:ind w:firstLine="284"/>
    </w:pPr>
  </w:style>
  <w:style w:type="paragraph" w:customStyle="1" w:styleId="OpiH1">
    <w:name w:val="Opi_H_1"/>
    <w:basedOn w:val="ECHRHeading2"/>
    <w:uiPriority w:val="42"/>
    <w:qFormat/>
    <w:rsid w:val="0097380C"/>
    <w:pPr>
      <w:ind w:left="635" w:hanging="357"/>
      <w:outlineLvl w:val="2"/>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97380C"/>
    <w:pPr>
      <w:ind w:left="346" w:firstLine="0"/>
    </w:pPr>
  </w:style>
  <w:style w:type="paragraph" w:customStyle="1" w:styleId="OpiHa">
    <w:name w:val="Opi_H_a"/>
    <w:basedOn w:val="ECHRHeading3"/>
    <w:uiPriority w:val="43"/>
    <w:qFormat/>
    <w:rsid w:val="0097380C"/>
    <w:pPr>
      <w:ind w:left="833" w:hanging="357"/>
      <w:outlineLvl w:val="3"/>
    </w:pPr>
    <w:rPr>
      <w:b/>
      <w:i w:val="0"/>
      <w:sz w:val="20"/>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97380C"/>
    <w:rPr>
      <w:vertAlign w:val="superscript"/>
    </w:rPr>
  </w:style>
  <w:style w:type="paragraph" w:styleId="EndnoteText">
    <w:name w:val="endnote text"/>
    <w:basedOn w:val="Normal"/>
    <w:link w:val="EndnoteTextChar"/>
    <w:uiPriority w:val="99"/>
    <w:semiHidden/>
    <w:rsid w:val="0097380C"/>
    <w:rPr>
      <w:sz w:val="20"/>
      <w:szCs w:val="20"/>
    </w:rPr>
  </w:style>
  <w:style w:type="character" w:customStyle="1" w:styleId="EndnoteTextChar">
    <w:name w:val="Endnote Text Char"/>
    <w:basedOn w:val="DefaultParagraphFont"/>
    <w:link w:val="EndnoteText"/>
    <w:uiPriority w:val="99"/>
    <w:semiHidden/>
    <w:rsid w:val="0097380C"/>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97380C"/>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97380C"/>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97380C"/>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97380C"/>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97380C"/>
    <w:pPr>
      <w:ind w:left="1037" w:hanging="357"/>
      <w:outlineLvl w:val="4"/>
    </w:pPr>
    <w:rPr>
      <w:b w:val="0"/>
      <w:i/>
    </w:rPr>
  </w:style>
  <w:style w:type="paragraph" w:customStyle="1" w:styleId="OpiPara">
    <w:name w:val="Opi_Para"/>
    <w:basedOn w:val="ECHRPara"/>
    <w:uiPriority w:val="46"/>
    <w:qFormat/>
    <w:rsid w:val="0097380C"/>
  </w:style>
  <w:style w:type="character" w:styleId="PlaceholderText">
    <w:name w:val="Placeholder Text"/>
    <w:basedOn w:val="DefaultParagraphFont"/>
    <w:uiPriority w:val="99"/>
    <w:semiHidden/>
    <w:rsid w:val="0097380C"/>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97380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97380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97380C"/>
  </w:style>
  <w:style w:type="paragraph" w:customStyle="1" w:styleId="OpiQuot">
    <w:name w:val="Opi_Quot"/>
    <w:basedOn w:val="ECHRParaQuote"/>
    <w:uiPriority w:val="48"/>
    <w:qFormat/>
    <w:rsid w:val="0097380C"/>
  </w:style>
  <w:style w:type="paragraph" w:customStyle="1" w:styleId="OpiQuotSub">
    <w:name w:val="Opi_Quot_Sub"/>
    <w:basedOn w:val="JuQuotSub"/>
    <w:uiPriority w:val="49"/>
    <w:qFormat/>
    <w:rsid w:val="0097380C"/>
  </w:style>
  <w:style w:type="paragraph" w:customStyle="1" w:styleId="OpiTranslation">
    <w:name w:val="Opi_Translation"/>
    <w:basedOn w:val="Normal"/>
    <w:next w:val="OpiPara"/>
    <w:uiPriority w:val="40"/>
    <w:qFormat/>
    <w:rsid w:val="0097380C"/>
    <w:pPr>
      <w:jc w:val="center"/>
      <w:outlineLvl w:val="0"/>
    </w:pPr>
    <w:rPr>
      <w:i/>
    </w:rPr>
  </w:style>
  <w:style w:type="paragraph" w:styleId="NoteHeading">
    <w:name w:val="Note Heading"/>
    <w:basedOn w:val="Normal"/>
    <w:next w:val="Normal"/>
    <w:link w:val="NoteHeadingChar"/>
    <w:uiPriority w:val="99"/>
    <w:semiHidden/>
    <w:rsid w:val="0097380C"/>
  </w:style>
  <w:style w:type="character" w:customStyle="1" w:styleId="NoteHeadingChar">
    <w:name w:val="Note Heading Char"/>
    <w:basedOn w:val="DefaultParagraphFont"/>
    <w:link w:val="NoteHeading"/>
    <w:uiPriority w:val="99"/>
    <w:semiHidden/>
    <w:rsid w:val="0097380C"/>
    <w:rPr>
      <w:rFonts w:eastAsiaTheme="minorEastAsia"/>
      <w:sz w:val="24"/>
      <w:lang w:val="en-GB"/>
    </w:rPr>
  </w:style>
  <w:style w:type="paragraph" w:customStyle="1" w:styleId="JuHeaderLandscape">
    <w:name w:val="Ju_Header_Landscape"/>
    <w:basedOn w:val="ECHRHeader"/>
    <w:uiPriority w:val="4"/>
    <w:qFormat/>
    <w:rsid w:val="0097380C"/>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5107BD"/>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6324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doc.echr.coe.int/eng" TargetMode="External"/><Relationship Id="rId18" Type="http://schemas.openxmlformats.org/officeDocument/2006/relationships/hyperlink" Target="https://hudoc.echr.coe.int/en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hyperlink" Target="https://hudoc.echr.coe.int/eng" TargetMode="Externa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hudoc.echr.coe.int/eng"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hudoc.echr.coe.int/eng" TargetMode="External"/><Relationship Id="rId23" Type="http://schemas.openxmlformats.org/officeDocument/2006/relationships/customXml" Target="../customXml/item2.xml"/><Relationship Id="rId10" Type="http://schemas.openxmlformats.org/officeDocument/2006/relationships/footer" Target="foot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hudoc.echr.coe.int/eng"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3017A86-A06B-4BA2-8A9A-3105932D0D13}"/>
</file>

<file path=customXml/itemProps2.xml><?xml version="1.0" encoding="utf-8"?>
<ds:datastoreItem xmlns:ds="http://schemas.openxmlformats.org/officeDocument/2006/customXml" ds:itemID="{91E8C2EC-EA20-4ECB-8064-EFB5B7E111F1}"/>
</file>

<file path=customXml/itemProps3.xml><?xml version="1.0" encoding="utf-8"?>
<ds:datastoreItem xmlns:ds="http://schemas.openxmlformats.org/officeDocument/2006/customXml" ds:itemID="{76F30F0A-DBAD-4531-9AC5-38DD63D9323E}"/>
</file>

<file path=customXml/itemProps4.xml><?xml version="1.0" encoding="utf-8"?>
<ds:datastoreItem xmlns:ds="http://schemas.openxmlformats.org/officeDocument/2006/customXml" ds:itemID="{B75EADE3-5AFC-4AFE-BF04-5EEA96BEF15C}"/>
</file>

<file path=docProps/app.xml><?xml version="1.0" encoding="utf-8"?>
<Properties xmlns="http://schemas.openxmlformats.org/officeDocument/2006/extended-properties" xmlns:vt="http://schemas.openxmlformats.org/officeDocument/2006/docPropsVTypes">
  <Template>Normal.dotm</Template>
  <TotalTime>0</TotalTime>
  <Pages>1</Pages>
  <Words>4917</Words>
  <Characters>28031</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32883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2020-10-26T06:18:00Z</dcterms:created>
  <dcterms:modified xsi:type="dcterms:W3CDTF">2020-10-26T06:18:00Z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4178/10</vt:lpwstr>
  </property>
  <property fmtid="{D5CDD505-2E9C-101B-9397-08002B2CF9AE}" pid="4" name="CASEID">
    <vt:lpwstr>618255</vt:lpwstr>
  </property>
  <property fmtid="{D5CDD505-2E9C-101B-9397-08002B2CF9AE}" pid="5" name="ContentTypeId">
    <vt:lpwstr>0x010100558EB02BDB9E204AB350EDD385B68E10</vt:lpwstr>
  </property>
</Properties>
</file>