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56FB4" w:rsidR="00D420F3" w:rsidP="00156FB4" w:rsidRDefault="00D420F3">
      <w:pPr>
        <w:jc w:val="center"/>
      </w:pPr>
      <w:bookmarkStart w:name="_GoBack" w:id="0"/>
      <w:bookmarkEnd w:id="0"/>
    </w:p>
    <w:p w:rsidRPr="00156FB4" w:rsidR="00760E17" w:rsidP="00156FB4" w:rsidRDefault="00760E17">
      <w:pPr>
        <w:jc w:val="center"/>
      </w:pPr>
    </w:p>
    <w:p w:rsidRPr="00156FB4" w:rsidR="00760E17" w:rsidP="00156FB4" w:rsidRDefault="00760E17">
      <w:pPr>
        <w:jc w:val="center"/>
      </w:pPr>
    </w:p>
    <w:p w:rsidRPr="00156FB4" w:rsidR="00D420F3" w:rsidP="00156FB4" w:rsidRDefault="00230F4E">
      <w:pPr>
        <w:jc w:val="center"/>
      </w:pPr>
      <w:r w:rsidRPr="00156FB4">
        <w:t>FIRST SECTION</w:t>
      </w:r>
    </w:p>
    <w:p w:rsidRPr="00156FB4" w:rsidR="00D420F3" w:rsidP="00156FB4" w:rsidRDefault="00D420F3">
      <w:pPr>
        <w:jc w:val="center"/>
      </w:pPr>
    </w:p>
    <w:p w:rsidRPr="00156FB4" w:rsidR="00760E17" w:rsidP="00156FB4" w:rsidRDefault="00760E17">
      <w:pPr>
        <w:jc w:val="center"/>
      </w:pPr>
    </w:p>
    <w:p w:rsidRPr="00156FB4" w:rsidR="00760E17" w:rsidP="00156FB4" w:rsidRDefault="00760E17">
      <w:pPr>
        <w:jc w:val="center"/>
      </w:pPr>
    </w:p>
    <w:p w:rsidRPr="00156FB4" w:rsidR="00760E17" w:rsidP="00156FB4" w:rsidRDefault="00760E17">
      <w:pPr>
        <w:jc w:val="center"/>
      </w:pPr>
    </w:p>
    <w:p w:rsidRPr="00156FB4" w:rsidR="00760E17" w:rsidP="00156FB4" w:rsidRDefault="00760E17">
      <w:pPr>
        <w:jc w:val="center"/>
      </w:pPr>
    </w:p>
    <w:p w:rsidRPr="00156FB4" w:rsidR="00760E17" w:rsidP="00156FB4" w:rsidRDefault="00760E17">
      <w:pPr>
        <w:jc w:val="center"/>
      </w:pPr>
    </w:p>
    <w:p w:rsidRPr="00156FB4" w:rsidR="00D420F3" w:rsidP="00156FB4" w:rsidRDefault="0077175D">
      <w:pPr>
        <w:jc w:val="center"/>
        <w:rPr>
          <w:b/>
        </w:rPr>
      </w:pPr>
      <w:bookmarkStart w:name="To" w:id="1"/>
      <w:r w:rsidRPr="00156FB4">
        <w:rPr>
          <w:b/>
        </w:rPr>
        <w:t xml:space="preserve">CASE OF </w:t>
      </w:r>
      <w:bookmarkEnd w:id="1"/>
      <w:r w:rsidRPr="00156FB4" w:rsidR="00230F4E">
        <w:rPr>
          <w:b/>
        </w:rPr>
        <w:t>PARSADANYAN v. ARMENIA</w:t>
      </w:r>
    </w:p>
    <w:p w:rsidRPr="00156FB4" w:rsidR="00D420F3" w:rsidP="00156FB4" w:rsidRDefault="00D420F3">
      <w:pPr>
        <w:jc w:val="center"/>
      </w:pPr>
    </w:p>
    <w:p w:rsidRPr="00156FB4" w:rsidR="00D420F3" w:rsidP="00156FB4" w:rsidRDefault="0077175D">
      <w:pPr>
        <w:jc w:val="center"/>
        <w:rPr>
          <w:i/>
        </w:rPr>
      </w:pPr>
      <w:r w:rsidRPr="00156FB4">
        <w:rPr>
          <w:i/>
        </w:rPr>
        <w:t>(</w:t>
      </w:r>
      <w:r w:rsidRPr="00156FB4" w:rsidR="00230F4E">
        <w:rPr>
          <w:i/>
        </w:rPr>
        <w:t>Application no. 5444/10</w:t>
      </w:r>
      <w:r w:rsidRPr="00156FB4">
        <w:rPr>
          <w:i/>
        </w:rPr>
        <w:t>)</w:t>
      </w:r>
    </w:p>
    <w:p w:rsidRPr="00156FB4" w:rsidR="00D420F3" w:rsidP="00156FB4" w:rsidRDefault="00D420F3">
      <w:pPr>
        <w:jc w:val="center"/>
      </w:pPr>
    </w:p>
    <w:p w:rsidRPr="00156FB4" w:rsidR="00D420F3" w:rsidP="00156FB4" w:rsidRDefault="00D420F3">
      <w:pPr>
        <w:jc w:val="center"/>
      </w:pPr>
    </w:p>
    <w:p w:rsidRPr="00156FB4" w:rsidR="00760E17" w:rsidP="00156FB4" w:rsidRDefault="00760E17">
      <w:pPr>
        <w:jc w:val="center"/>
      </w:pPr>
    </w:p>
    <w:p w:rsidRPr="00156FB4" w:rsidR="00760E17" w:rsidP="00156FB4" w:rsidRDefault="00760E17">
      <w:pPr>
        <w:jc w:val="center"/>
      </w:pPr>
    </w:p>
    <w:p w:rsidRPr="00156FB4" w:rsidR="00760E17" w:rsidP="00156FB4" w:rsidRDefault="00760E17">
      <w:pPr>
        <w:jc w:val="center"/>
      </w:pPr>
    </w:p>
    <w:p w:rsidRPr="00156FB4" w:rsidR="00D420F3" w:rsidP="00156FB4" w:rsidRDefault="00D420F3">
      <w:pPr>
        <w:jc w:val="center"/>
      </w:pPr>
    </w:p>
    <w:p w:rsidRPr="00156FB4" w:rsidR="00D420F3" w:rsidP="00156FB4" w:rsidRDefault="00D420F3">
      <w:pPr>
        <w:jc w:val="center"/>
      </w:pPr>
    </w:p>
    <w:p w:rsidRPr="00156FB4" w:rsidR="00F16AAC" w:rsidP="00156FB4" w:rsidRDefault="00F16AAC">
      <w:pPr>
        <w:jc w:val="center"/>
      </w:pPr>
    </w:p>
    <w:p w:rsidRPr="00156FB4" w:rsidR="00F16AAC" w:rsidP="00156FB4" w:rsidRDefault="00F16AAC">
      <w:pPr>
        <w:jc w:val="center"/>
      </w:pPr>
    </w:p>
    <w:p w:rsidRPr="00156FB4" w:rsidR="00F16AAC" w:rsidP="00156FB4" w:rsidRDefault="00F16AAC">
      <w:pPr>
        <w:jc w:val="center"/>
      </w:pPr>
    </w:p>
    <w:p w:rsidRPr="00156FB4" w:rsidR="00F16AAC" w:rsidP="00156FB4" w:rsidRDefault="00F16AAC">
      <w:pPr>
        <w:jc w:val="center"/>
      </w:pPr>
    </w:p>
    <w:p w:rsidRPr="00156FB4" w:rsidR="00D420F3" w:rsidP="00156FB4" w:rsidRDefault="00D420F3">
      <w:pPr>
        <w:jc w:val="center"/>
      </w:pPr>
    </w:p>
    <w:p w:rsidRPr="00156FB4" w:rsidR="00D420F3" w:rsidP="00156FB4" w:rsidRDefault="00D420F3">
      <w:pPr>
        <w:jc w:val="center"/>
      </w:pPr>
    </w:p>
    <w:p w:rsidRPr="00156FB4" w:rsidR="00D420F3" w:rsidP="00156FB4" w:rsidRDefault="00760E17">
      <w:pPr>
        <w:jc w:val="center"/>
        <w:rPr>
          <w:szCs w:val="24"/>
        </w:rPr>
      </w:pPr>
      <w:r w:rsidRPr="00156FB4">
        <w:rPr>
          <w:szCs w:val="24"/>
        </w:rPr>
        <w:t>JUDGMENT</w:t>
      </w:r>
    </w:p>
    <w:p w:rsidRPr="00156FB4" w:rsidR="00CB20C3" w:rsidP="00156FB4" w:rsidRDefault="00CB20C3">
      <w:pPr>
        <w:jc w:val="center"/>
      </w:pPr>
    </w:p>
    <w:p w:rsidRPr="00156FB4" w:rsidR="00D420F3" w:rsidP="00156FB4" w:rsidRDefault="00D420F3">
      <w:pPr>
        <w:jc w:val="center"/>
      </w:pPr>
    </w:p>
    <w:p w:rsidRPr="00156FB4" w:rsidR="00760E17" w:rsidP="00156FB4" w:rsidRDefault="00760E17">
      <w:pPr>
        <w:jc w:val="center"/>
      </w:pPr>
    </w:p>
    <w:p w:rsidRPr="00156FB4" w:rsidR="00760E17" w:rsidP="00156FB4" w:rsidRDefault="00760E17">
      <w:pPr>
        <w:jc w:val="center"/>
      </w:pPr>
    </w:p>
    <w:p w:rsidRPr="00156FB4" w:rsidR="00760E17" w:rsidP="00156FB4" w:rsidRDefault="00760E17">
      <w:pPr>
        <w:jc w:val="center"/>
      </w:pPr>
      <w:r w:rsidRPr="00156FB4">
        <w:t>STRASBOURG</w:t>
      </w:r>
    </w:p>
    <w:p w:rsidRPr="00156FB4" w:rsidR="00760E17" w:rsidP="00156FB4" w:rsidRDefault="00760E17">
      <w:pPr>
        <w:jc w:val="center"/>
      </w:pPr>
    </w:p>
    <w:p w:rsidRPr="00156FB4" w:rsidR="00760E17" w:rsidP="00156FB4" w:rsidRDefault="00760E17">
      <w:pPr>
        <w:jc w:val="center"/>
      </w:pPr>
      <w:r w:rsidRPr="00156FB4">
        <w:t>14 February 2019</w:t>
      </w:r>
    </w:p>
    <w:p w:rsidRPr="00156FB4" w:rsidR="00760E17" w:rsidP="00156FB4" w:rsidRDefault="00760E17">
      <w:pPr>
        <w:jc w:val="center"/>
      </w:pPr>
    </w:p>
    <w:p w:rsidRPr="00156FB4" w:rsidR="00F16AAC" w:rsidP="00156FB4" w:rsidRDefault="00F16AAC">
      <w:pPr>
        <w:jc w:val="center"/>
      </w:pPr>
    </w:p>
    <w:p w:rsidRPr="00156FB4" w:rsidR="00760E17" w:rsidP="00156FB4" w:rsidRDefault="00760E17">
      <w:pPr>
        <w:jc w:val="center"/>
      </w:pPr>
    </w:p>
    <w:p w:rsidRPr="00156FB4" w:rsidR="00760E17" w:rsidP="00156FB4" w:rsidRDefault="00760E17">
      <w:pPr>
        <w:jc w:val="left"/>
        <w:rPr>
          <w:i/>
          <w:sz w:val="22"/>
        </w:rPr>
      </w:pPr>
      <w:r w:rsidRPr="00156FB4">
        <w:rPr>
          <w:i/>
          <w:sz w:val="22"/>
        </w:rPr>
        <w:t>This judgment is final but it may be subject to editorial revision.</w:t>
      </w:r>
    </w:p>
    <w:p w:rsidRPr="00156FB4" w:rsidR="00F16AAC" w:rsidP="00156FB4" w:rsidRDefault="00F16AAC">
      <w:pPr>
        <w:pStyle w:val="ECHRPara"/>
        <w:sectPr w:rsidRPr="00156FB4" w:rsidR="00F16AAC" w:rsidSect="00760E1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56FB4" w:rsidR="00D420F3" w:rsidP="00156FB4" w:rsidRDefault="0077175D">
      <w:pPr>
        <w:pStyle w:val="JuCase"/>
        <w:rPr>
          <w:bCs/>
        </w:rPr>
      </w:pPr>
      <w:r w:rsidRPr="00156FB4">
        <w:t xml:space="preserve">In the case of </w:t>
      </w:r>
      <w:r w:rsidRPr="00156FB4" w:rsidR="00230F4E">
        <w:t>Parsadanyan v. Armenia</w:t>
      </w:r>
      <w:r w:rsidRPr="00156FB4">
        <w:t>,</w:t>
      </w:r>
    </w:p>
    <w:p w:rsidRPr="00156FB4" w:rsidR="00D420F3" w:rsidP="00156FB4" w:rsidRDefault="0077175D">
      <w:pPr>
        <w:pStyle w:val="ECHRPara"/>
      </w:pPr>
      <w:r w:rsidRPr="00156FB4">
        <w:t>The European Court of Human Rights (</w:t>
      </w:r>
      <w:r w:rsidRPr="00156FB4" w:rsidR="00230F4E">
        <w:t>First Section</w:t>
      </w:r>
      <w:r w:rsidRPr="00156FB4">
        <w:t xml:space="preserve">), sitting as a </w:t>
      </w:r>
      <w:r w:rsidRPr="00156FB4" w:rsidR="00230F4E">
        <w:t>Committee</w:t>
      </w:r>
      <w:r w:rsidRPr="00156FB4">
        <w:t xml:space="preserve"> composed of:</w:t>
      </w:r>
    </w:p>
    <w:p w:rsidRPr="00156FB4" w:rsidR="00D420F3" w:rsidP="00156FB4" w:rsidRDefault="00760E17">
      <w:pPr>
        <w:pStyle w:val="ECHRDecisionBody"/>
      </w:pPr>
      <w:r w:rsidRPr="00156FB4">
        <w:tab/>
        <w:t>Ksenija Turković,</w:t>
      </w:r>
      <w:r w:rsidRPr="00156FB4">
        <w:rPr>
          <w:i/>
        </w:rPr>
        <w:t xml:space="preserve"> President,</w:t>
      </w:r>
      <w:r w:rsidRPr="00156FB4">
        <w:rPr>
          <w:i/>
        </w:rPr>
        <w:br/>
      </w:r>
      <w:r w:rsidRPr="00156FB4">
        <w:tab/>
        <w:t>Krzysztof Wojtyczek,</w:t>
      </w:r>
      <w:r w:rsidRPr="00156FB4">
        <w:rPr>
          <w:i/>
        </w:rPr>
        <w:br/>
      </w:r>
      <w:r w:rsidRPr="00156FB4">
        <w:tab/>
        <w:t>Armen Harutyunyan,</w:t>
      </w:r>
      <w:r w:rsidRPr="00156FB4">
        <w:rPr>
          <w:i/>
        </w:rPr>
        <w:t xml:space="preserve"> judges,</w:t>
      </w:r>
      <w:r w:rsidRPr="00156FB4" w:rsidR="0077175D">
        <w:rPr>
          <w:szCs w:val="24"/>
        </w:rPr>
        <w:br/>
      </w:r>
      <w:r w:rsidRPr="00156FB4" w:rsidR="0077175D">
        <w:t xml:space="preserve">and </w:t>
      </w:r>
      <w:r w:rsidRPr="00156FB4" w:rsidR="00230F4E">
        <w:t>Renata Degener</w:t>
      </w:r>
      <w:r w:rsidRPr="00156FB4" w:rsidR="0077175D">
        <w:t xml:space="preserve">, </w:t>
      </w:r>
      <w:r w:rsidRPr="00156FB4" w:rsidR="00230F4E">
        <w:rPr>
          <w:i/>
        </w:rPr>
        <w:t xml:space="preserve">Deputy Section </w:t>
      </w:r>
      <w:r w:rsidRPr="00156FB4" w:rsidR="00230F4E">
        <w:rPr>
          <w:i/>
          <w:iCs/>
        </w:rPr>
        <w:t>Registrar</w:t>
      </w:r>
      <w:r w:rsidRPr="00156FB4" w:rsidR="0077175D">
        <w:rPr>
          <w:i/>
        </w:rPr>
        <w:t>,</w:t>
      </w:r>
    </w:p>
    <w:p w:rsidRPr="00156FB4" w:rsidR="00D420F3" w:rsidP="00156FB4" w:rsidRDefault="0077175D">
      <w:pPr>
        <w:pStyle w:val="ECHRPara"/>
      </w:pPr>
      <w:r w:rsidRPr="00156FB4">
        <w:t xml:space="preserve">Having deliberated in private on </w:t>
      </w:r>
      <w:r w:rsidRPr="00156FB4" w:rsidR="00760E17">
        <w:t>22 January 2019</w:t>
      </w:r>
      <w:r w:rsidRPr="00156FB4">
        <w:t>,</w:t>
      </w:r>
    </w:p>
    <w:p w:rsidRPr="00156FB4" w:rsidR="00D420F3" w:rsidP="00156FB4" w:rsidRDefault="0077175D">
      <w:pPr>
        <w:pStyle w:val="ECHRPara"/>
      </w:pPr>
      <w:r w:rsidRPr="00156FB4">
        <w:t>Delivers the following judgment, which was adopted on that date:</w:t>
      </w:r>
    </w:p>
    <w:p w:rsidRPr="00156FB4" w:rsidR="00D420F3" w:rsidP="00156FB4" w:rsidRDefault="0077175D">
      <w:pPr>
        <w:pStyle w:val="ECHRTitle1"/>
      </w:pPr>
      <w:r w:rsidRPr="00156FB4">
        <w:t>PROCEDURE</w:t>
      </w:r>
    </w:p>
    <w:p w:rsidRPr="00156FB4" w:rsidR="004A658B" w:rsidP="00156FB4" w:rsidRDefault="00A23D84">
      <w:pPr>
        <w:pStyle w:val="ECHRPara"/>
      </w:pPr>
      <w:r w:rsidRPr="00156FB4">
        <w:fldChar w:fldCharType="begin"/>
      </w:r>
      <w:r w:rsidRPr="00156FB4">
        <w:instrText xml:space="preserve"> SEQ level0 \*arabic </w:instrText>
      </w:r>
      <w:r w:rsidRPr="00156FB4">
        <w:fldChar w:fldCharType="separate"/>
      </w:r>
      <w:r w:rsidRPr="00156FB4" w:rsidR="00156FB4">
        <w:rPr>
          <w:noProof/>
        </w:rPr>
        <w:t>1</w:t>
      </w:r>
      <w:r w:rsidRPr="00156FB4">
        <w:fldChar w:fldCharType="end"/>
      </w:r>
      <w:r w:rsidRPr="00156FB4">
        <w:t>.  </w:t>
      </w:r>
      <w:r w:rsidRPr="00156FB4" w:rsidR="0077175D">
        <w:t xml:space="preserve">The case originated in </w:t>
      </w:r>
      <w:r w:rsidRPr="00156FB4" w:rsidR="00230F4E">
        <w:t>an application (no. 5444/10)</w:t>
      </w:r>
      <w:r w:rsidRPr="00156FB4" w:rsidR="0077175D">
        <w:t xml:space="preserve"> against </w:t>
      </w:r>
      <w:r w:rsidRPr="00156FB4" w:rsidR="00230F4E">
        <w:t>the Republic of Armenia</w:t>
      </w:r>
      <w:r w:rsidRPr="00156FB4" w:rsidR="0077175D">
        <w:t xml:space="preserve"> lodged with the </w:t>
      </w:r>
      <w:r w:rsidRPr="00156FB4" w:rsidR="00230F4E">
        <w:t>Court under Article 34</w:t>
      </w:r>
      <w:r w:rsidRPr="00156FB4" w:rsidR="0077175D">
        <w:t xml:space="preserve"> of the Convention for the Protection of Human Rights and Fundamental Freedoms (“the Convention”) by </w:t>
      </w:r>
      <w:r w:rsidRPr="00156FB4" w:rsidR="00A22DA0">
        <w:t>three</w:t>
      </w:r>
      <w:r w:rsidRPr="00156FB4" w:rsidR="00230F4E">
        <w:t xml:space="preserve"> Armenian nationals, Mr Volodya Parsadanyan</w:t>
      </w:r>
      <w:r w:rsidRPr="00156FB4" w:rsidR="00A22DA0">
        <w:t xml:space="preserve">, Ms Seda Parsadanyan and Ms Lusine Parsadanyan </w:t>
      </w:r>
      <w:r w:rsidRPr="00156FB4" w:rsidR="00230F4E">
        <w:t xml:space="preserve">(“the applicants”), on </w:t>
      </w:r>
      <w:r w:rsidRPr="00156FB4" w:rsidR="00F75576">
        <w:t>19 </w:t>
      </w:r>
      <w:r w:rsidRPr="00156FB4" w:rsidR="00230F4E">
        <w:t>January 2010</w:t>
      </w:r>
      <w:r w:rsidRPr="00156FB4" w:rsidR="0077175D">
        <w:t>.</w:t>
      </w:r>
    </w:p>
    <w:p w:rsidRPr="00156FB4" w:rsidR="00A22DA0"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2</w:t>
      </w:r>
      <w:r w:rsidRPr="00156FB4">
        <w:fldChar w:fldCharType="end"/>
      </w:r>
      <w:r w:rsidRPr="00156FB4" w:rsidR="0077175D">
        <w:t>.  </w:t>
      </w:r>
      <w:r w:rsidRPr="00156FB4" w:rsidR="00A22DA0">
        <w:t xml:space="preserve">The applicants were represented by Mr K. Tumanyan, a lawyer practising in Vanadzor. The Armenian Government (“the Government”) were represented by their Agent, Mr G. Kostanyan, Representative of the Republic of </w:t>
      </w:r>
      <w:bookmarkStart w:name="_1000002" w:id="2"/>
      <w:bookmarkEnd w:id="2"/>
      <w:r w:rsidRPr="00156FB4" w:rsidR="00A22DA0">
        <w:t>Armenia to the European Court of Human Rights.</w:t>
      </w:r>
    </w:p>
    <w:p w:rsidRPr="00156FB4" w:rsidR="00D420F3"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3</w:t>
      </w:r>
      <w:r w:rsidRPr="00156FB4">
        <w:fldChar w:fldCharType="end"/>
      </w:r>
      <w:r w:rsidRPr="00156FB4" w:rsidR="0077175D">
        <w:t>.  </w:t>
      </w:r>
      <w:r w:rsidRPr="00156FB4">
        <w:t xml:space="preserve">On </w:t>
      </w:r>
      <w:r w:rsidRPr="00156FB4">
        <w:rPr>
          <w:szCs w:val="24"/>
        </w:rPr>
        <w:t>18 March 2014</w:t>
      </w:r>
      <w:r w:rsidRPr="00156FB4" w:rsidR="0077175D">
        <w:t xml:space="preserve"> </w:t>
      </w:r>
      <w:r w:rsidRPr="00156FB4" w:rsidR="00E21F6C">
        <w:t>notice of the complaints concerning deprivation of property, the right to a fair trial and the lack of access to a court was given to the Government and the remainder of the application was declared inadmissible</w:t>
      </w:r>
      <w:r w:rsidRPr="00156FB4" w:rsidR="00E21F6C">
        <w:rPr>
          <w:szCs w:val="24"/>
        </w:rPr>
        <w:t xml:space="preserve"> </w:t>
      </w:r>
      <w:r w:rsidRPr="00156FB4" w:rsidR="00E21F6C">
        <w:t>pursuant to Rule 54 § 3 of the Rules of Court.</w:t>
      </w:r>
    </w:p>
    <w:p w:rsidRPr="00156FB4" w:rsidR="00D420F3" w:rsidP="00156FB4" w:rsidRDefault="0077175D">
      <w:pPr>
        <w:pStyle w:val="ECHRTitle1"/>
      </w:pPr>
      <w:r w:rsidRPr="00156FB4">
        <w:t>THE FACTS</w:t>
      </w:r>
    </w:p>
    <w:p w:rsidRPr="00156FB4" w:rsidR="00D420F3" w:rsidP="00156FB4" w:rsidRDefault="0077175D">
      <w:pPr>
        <w:pStyle w:val="ECHRHeading1"/>
      </w:pPr>
      <w:r w:rsidRPr="00156FB4">
        <w:t>I.  THE CIRCUMSTANCES OF THE CASE</w:t>
      </w:r>
    </w:p>
    <w:p w:rsidRPr="00156FB4" w:rsidR="00D420F3"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4</w:t>
      </w:r>
      <w:r w:rsidRPr="00156FB4">
        <w:fldChar w:fldCharType="end"/>
      </w:r>
      <w:r w:rsidRPr="00156FB4" w:rsidR="0077175D">
        <w:t xml:space="preserve">.  The </w:t>
      </w:r>
      <w:r w:rsidRPr="00156FB4">
        <w:t>applicant</w:t>
      </w:r>
      <w:r w:rsidRPr="00156FB4" w:rsidR="00C21EE7">
        <w:t>s</w:t>
      </w:r>
      <w:r w:rsidRPr="00156FB4">
        <w:t xml:space="preserve"> w</w:t>
      </w:r>
      <w:r w:rsidRPr="00156FB4" w:rsidR="00C21EE7">
        <w:t>ere</w:t>
      </w:r>
      <w:r w:rsidRPr="00156FB4">
        <w:t xml:space="preserve"> born in </w:t>
      </w:r>
      <w:r w:rsidRPr="00156FB4" w:rsidR="00C21EE7">
        <w:t xml:space="preserve">1933, 1940 and 1975 respectively </w:t>
      </w:r>
      <w:r w:rsidRPr="00156FB4">
        <w:t>and live</w:t>
      </w:r>
      <w:r w:rsidRPr="00156FB4" w:rsidR="0077175D">
        <w:t xml:space="preserve"> in </w:t>
      </w:r>
      <w:r w:rsidRPr="00156FB4">
        <w:t>Tegh</w:t>
      </w:r>
      <w:r w:rsidRPr="00156FB4" w:rsidR="00063919">
        <w:t>o</w:t>
      </w:r>
      <w:r w:rsidRPr="00156FB4">
        <w:t>ut village</w:t>
      </w:r>
      <w:r w:rsidRPr="00156FB4" w:rsidR="0077175D">
        <w:t>.</w:t>
      </w:r>
    </w:p>
    <w:p w:rsidRPr="00156FB4" w:rsidR="00C21EE7" w:rsidP="00156FB4" w:rsidRDefault="00C21EE7">
      <w:pPr>
        <w:pStyle w:val="ECHRHeading2"/>
      </w:pPr>
      <w:r w:rsidRPr="00156FB4">
        <w:t>A.  Background to the case</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5</w:t>
      </w:r>
      <w:r w:rsidRPr="00156FB4">
        <w:rPr>
          <w:noProof/>
        </w:rPr>
        <w:fldChar w:fldCharType="end"/>
      </w:r>
      <w:r w:rsidRPr="00156FB4" w:rsidR="00C21EE7">
        <w:t>.  In the 1970s a copper-molybdenum deposit (</w:t>
      </w:r>
      <w:r w:rsidRPr="00156FB4" w:rsidR="00156FB4">
        <w:t>‘</w:t>
      </w:r>
      <w:r w:rsidRPr="00156FB4" w:rsidR="00C21EE7">
        <w:t>Teghout</w:t>
      </w:r>
      <w:r w:rsidRPr="00156FB4" w:rsidR="00156FB4">
        <w:t>’</w:t>
      </w:r>
      <w:r w:rsidRPr="00156FB4" w:rsidR="00C21EE7">
        <w:t>) was discovered about four and six km from the villages of Teghout and Shnogh respectively, in the Lori Region.</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w:t>
      </w:r>
      <w:r w:rsidRPr="00156FB4">
        <w:rPr>
          <w:noProof/>
        </w:rPr>
        <w:fldChar w:fldCharType="end"/>
      </w:r>
      <w:r w:rsidRPr="00156FB4" w:rsidR="00C21EE7">
        <w:t>.  In 2001 a private company, Armenian Copper Programme CJSC, was granted a mining licence for the exploitation of the Teghout copper</w:t>
      </w:r>
      <w:r w:rsidRPr="00156FB4" w:rsidR="00C21EE7">
        <w:noBreakHyphen/>
        <w:t>molybdenum deposit for a period of twenty-five years.</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w:t>
      </w:r>
      <w:r w:rsidRPr="00156FB4">
        <w:rPr>
          <w:noProof/>
        </w:rPr>
        <w:fldChar w:fldCharType="end"/>
      </w:r>
      <w:r w:rsidRPr="00156FB4" w:rsidR="00C21EE7">
        <w:t xml:space="preserve">.  On 1 November 2007 the Government adopted Decree no. 1279-N approving the </w:t>
      </w:r>
      <w:r w:rsidRPr="00156FB4" w:rsidR="00063919">
        <w:t xml:space="preserve">designation of </w:t>
      </w:r>
      <w:r w:rsidRPr="00156FB4" w:rsidR="00C21EE7">
        <w:t xml:space="preserve">territories situated within the administrative boundaries of the rural communities of Shnogh and Teghout in the Lori Region </w:t>
      </w:r>
      <w:r w:rsidRPr="00156FB4" w:rsidR="00063919">
        <w:t xml:space="preserve">as expropriation zones, </w:t>
      </w:r>
      <w:r w:rsidRPr="00156FB4" w:rsidR="00C21EE7">
        <w:t>to be taken for State needs</w:t>
      </w:r>
      <w:r w:rsidRPr="00156FB4" w:rsidR="00063919">
        <w:t xml:space="preserve">, thus </w:t>
      </w:r>
      <w:r w:rsidRPr="00156FB4" w:rsidR="00C21EE7">
        <w:t>changing the category of land use. According to the Decree, Armenian Copper Programme CJSC or Teghout CJSC, founded by the former for the implementation of the Teghout copper-molybdenum deposit exploitation project, were to acquire the units of land listed in its annexes. The plot of land belonging to the applicants was listed among the units of land falling within these expropriation zones.</w:t>
      </w:r>
    </w:p>
    <w:p w:rsidRPr="00156FB4" w:rsidR="00C21EE7" w:rsidP="00156FB4" w:rsidRDefault="00C21EE7">
      <w:pPr>
        <w:pStyle w:val="ECHRHeading2"/>
      </w:pPr>
      <w:r w:rsidRPr="00156FB4">
        <w:t>B.  Proceedings concerning the expropriation of the applicants</w:t>
      </w:r>
      <w:r w:rsidRPr="00156FB4" w:rsidR="00156FB4">
        <w:t>’</w:t>
      </w:r>
      <w:r w:rsidRPr="00156FB4">
        <w:t xml:space="preserve"> property</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8</w:t>
      </w:r>
      <w:r w:rsidRPr="00156FB4">
        <w:rPr>
          <w:noProof/>
        </w:rPr>
        <w:fldChar w:fldCharType="end"/>
      </w:r>
      <w:r w:rsidRPr="00156FB4" w:rsidR="00C21EE7">
        <w:t>.  The applicants, a family of three, live in Teghout village and earn their living from agriculture. They jointly owned a plot of arable land in the village measuring 0.430 ha. The land was used for growing crops for the family, gardening and feeding their livestock.</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9</w:t>
      </w:r>
      <w:r w:rsidRPr="00156FB4">
        <w:rPr>
          <w:noProof/>
        </w:rPr>
        <w:fldChar w:fldCharType="end"/>
      </w:r>
      <w:r w:rsidRPr="00156FB4" w:rsidR="00C21EE7">
        <w:t xml:space="preserve">.  On an unspecified date Teghout CJSC addressed a letter to the applicants containing an offer to buy their plot of land for 231,000 Armenian </w:t>
      </w:r>
      <w:r w:rsidRPr="00156FB4" w:rsidR="00063919">
        <w:t>d</w:t>
      </w:r>
      <w:r w:rsidRPr="00156FB4" w:rsidR="00C21EE7">
        <w:t>rams (AMD, approximately 500 euros (EUR)) plus an additional 15% as required by law, making the final offer AMD 265,650 (approximately EUR 578).</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10</w:t>
      </w:r>
      <w:r w:rsidRPr="00156FB4">
        <w:rPr>
          <w:noProof/>
        </w:rPr>
        <w:fldChar w:fldCharType="end"/>
      </w:r>
      <w:r w:rsidRPr="00156FB4" w:rsidR="00C21EE7">
        <w:t>.  The applicants did not reply to the offer, not being satisfied with the amount of compensation. It appears that they were unable to obtain a valuation of their property by another company. They claim that no other valu</w:t>
      </w:r>
      <w:r w:rsidRPr="00156FB4" w:rsidR="00063919">
        <w:t>er</w:t>
      </w:r>
      <w:r w:rsidRPr="00156FB4" w:rsidR="00C21EE7">
        <w:t xml:space="preserve"> was willing to make an independent evaluation of the market value of their land.</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11</w:t>
      </w:r>
      <w:r w:rsidRPr="00156FB4">
        <w:rPr>
          <w:noProof/>
        </w:rPr>
        <w:fldChar w:fldCharType="end"/>
      </w:r>
      <w:r w:rsidRPr="00156FB4" w:rsidR="00C21EE7">
        <w:t xml:space="preserve">.  On 12 May 2008 Teghout CJSC lodged a claim against the applicants, seeking to oblige them to sign </w:t>
      </w:r>
      <w:r w:rsidRPr="00156FB4" w:rsidR="00063919">
        <w:t>an</w:t>
      </w:r>
      <w:r w:rsidRPr="00156FB4" w:rsidR="00C21EE7">
        <w:t xml:space="preserve"> agreement on the taking of their property for State needs. The company based its claim, </w:t>
      </w:r>
      <w:r w:rsidRPr="00156FB4" w:rsidR="00C21EE7">
        <w:rPr>
          <w:i/>
        </w:rPr>
        <w:t>inter alia</w:t>
      </w:r>
      <w:r w:rsidRPr="00156FB4" w:rsidR="00C21EE7">
        <w:t xml:space="preserve">, on </w:t>
      </w:r>
      <w:r w:rsidRPr="00156FB4" w:rsidR="00063919">
        <w:t xml:space="preserve">a </w:t>
      </w:r>
      <w:r w:rsidRPr="00156FB4" w:rsidR="00C21EE7">
        <w:t>valuation report prepared at its request by Oliver Group LLC, a licensed valuation company. According to the report the market value of the applicants</w:t>
      </w:r>
      <w:r w:rsidRPr="00156FB4" w:rsidR="00156FB4">
        <w:t>’</w:t>
      </w:r>
      <w:r w:rsidRPr="00156FB4" w:rsidR="00C21EE7">
        <w:t xml:space="preserve"> plot of land was estimated at AMD 231,000 (approximately EUR 500).</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12</w:t>
      </w:r>
      <w:r w:rsidRPr="00156FB4">
        <w:rPr>
          <w:noProof/>
        </w:rPr>
        <w:fldChar w:fldCharType="end"/>
      </w:r>
      <w:r w:rsidRPr="00156FB4" w:rsidR="00C21EE7">
        <w:t>.  In proceedings before the Lori Regional Court the applicants argued that the market value of their land had been underestimated</w:t>
      </w:r>
      <w:r w:rsidRPr="00156FB4" w:rsidR="00063919">
        <w:t>,</w:t>
      </w:r>
      <w:r w:rsidRPr="00156FB4" w:rsidR="00C21EE7">
        <w:t xml:space="preserve"> since the lowest market prices had been considered during the valuation</w:t>
      </w:r>
      <w:r w:rsidRPr="00156FB4" w:rsidR="00063919">
        <w:t>,</w:t>
      </w:r>
      <w:r w:rsidRPr="00156FB4" w:rsidR="00C21EE7">
        <w:t xml:space="preserve"> while several plots of land had been acquired for much higher prices. They also argued that no account had been taken of the presence of fruit trees and that the valuation report erroneously stated that their plot of land did not have a water supply whereas it </w:t>
      </w:r>
      <w:r w:rsidRPr="00156FB4" w:rsidR="00063919">
        <w:t xml:space="preserve">did have such a supply, which had </w:t>
      </w:r>
      <w:r w:rsidRPr="00156FB4" w:rsidR="00C21EE7">
        <w:t>actually been cut off because of the plaintiff</w:t>
      </w:r>
      <w:r w:rsidRPr="00156FB4" w:rsidR="00156FB4">
        <w:t>’</w:t>
      </w:r>
      <w:r w:rsidRPr="00156FB4" w:rsidR="00C21EE7">
        <w:t>s activities on the property.</w:t>
      </w:r>
    </w:p>
    <w:p w:rsidRPr="00156FB4" w:rsidR="00CD0B0F"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13</w:t>
      </w:r>
      <w:r w:rsidRPr="00156FB4">
        <w:rPr>
          <w:noProof/>
        </w:rPr>
        <w:fldChar w:fldCharType="end"/>
      </w:r>
      <w:r w:rsidRPr="00156FB4" w:rsidR="00C21EE7">
        <w:t>.  </w:t>
      </w:r>
      <w:r w:rsidRPr="00156FB4" w:rsidR="00CD0B0F">
        <w:t xml:space="preserve">On 3 July 2008 the first hearing at the Lori Regional Court was held. According to the Government, the applicants were duly notified </w:t>
      </w:r>
      <w:r w:rsidRPr="00156FB4" w:rsidR="00063919">
        <w:t xml:space="preserve">of the </w:t>
      </w:r>
      <w:r w:rsidRPr="00156FB4" w:rsidR="00CD0B0F">
        <w:t>date of the proceedings</w:t>
      </w:r>
      <w:r w:rsidRPr="00156FB4" w:rsidR="00063919">
        <w:t>,</w:t>
      </w:r>
      <w:r w:rsidRPr="00156FB4" w:rsidR="00CD0B0F">
        <w:t xml:space="preserve"> but they did not appear.</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14</w:t>
      </w:r>
      <w:r w:rsidRPr="00156FB4">
        <w:rPr>
          <w:noProof/>
        </w:rPr>
        <w:fldChar w:fldCharType="end"/>
      </w:r>
      <w:r w:rsidRPr="00156FB4" w:rsidR="00CD0B0F">
        <w:t>.  </w:t>
      </w:r>
      <w:r w:rsidRPr="00156FB4" w:rsidR="00C21EE7">
        <w:t xml:space="preserve">In the course of the proceedings Teghout CJSC submitted another valuation report </w:t>
      </w:r>
      <w:r w:rsidRPr="00156FB4" w:rsidR="00063919">
        <w:t>on</w:t>
      </w:r>
      <w:r w:rsidRPr="00156FB4" w:rsidR="00C21EE7">
        <w:t xml:space="preserve"> the applicants</w:t>
      </w:r>
      <w:r w:rsidRPr="00156FB4" w:rsidR="00156FB4">
        <w:t>’</w:t>
      </w:r>
      <w:r w:rsidRPr="00156FB4" w:rsidR="00C21EE7">
        <w:t xml:space="preserve"> property</w:t>
      </w:r>
      <w:r w:rsidRPr="00156FB4" w:rsidR="00063919">
        <w:t>,</w:t>
      </w:r>
      <w:r w:rsidRPr="00156FB4" w:rsidR="00C21EE7">
        <w:t xml:space="preserve"> stating that Oliver Group LLC had prepared a corrected report according to which the market value of the land was AMD 262,000 (approximately EUR 570). The final amount of compensation with the additional 15% would thus be equal to AMD 301,300 (approximately EUR 655).</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15</w:t>
      </w:r>
      <w:r w:rsidRPr="00156FB4">
        <w:rPr>
          <w:noProof/>
        </w:rPr>
        <w:fldChar w:fldCharType="end"/>
      </w:r>
      <w:r w:rsidRPr="00156FB4" w:rsidR="00C21EE7">
        <w:t>.  On 6 October 2008 the Regional Court granted Teghout CJSC</w:t>
      </w:r>
      <w:r w:rsidRPr="00156FB4" w:rsidR="00156FB4">
        <w:t>’</w:t>
      </w:r>
      <w:r w:rsidRPr="00156FB4" w:rsidR="00C21EE7">
        <w:t>s claim, awarding the applicants a total of AMD 301,300 (approximately EUR 655) in compensation.</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16</w:t>
      </w:r>
      <w:r w:rsidRPr="00156FB4">
        <w:rPr>
          <w:noProof/>
        </w:rPr>
        <w:fldChar w:fldCharType="end"/>
      </w:r>
      <w:r w:rsidRPr="00156FB4" w:rsidR="00C21EE7">
        <w:t>.  The applicants lodged an appeal</w:t>
      </w:r>
      <w:r w:rsidRPr="00156FB4" w:rsidR="00063919">
        <w:t>,</w:t>
      </w:r>
      <w:r w:rsidRPr="00156FB4" w:rsidR="00C21EE7">
        <w:t xml:space="preserve"> complaining that they had not been duly notified about the dates and times of the rescheduled hearings.</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17</w:t>
      </w:r>
      <w:r w:rsidRPr="00156FB4">
        <w:rPr>
          <w:noProof/>
        </w:rPr>
        <w:fldChar w:fldCharType="end"/>
      </w:r>
      <w:r w:rsidRPr="00156FB4" w:rsidR="00C21EE7">
        <w:t>.  On 29 January 2009 the Civil Court of Appeal quashed the Regional Court</w:t>
      </w:r>
      <w:r w:rsidRPr="00156FB4" w:rsidR="00156FB4">
        <w:t>’</w:t>
      </w:r>
      <w:r w:rsidRPr="00156FB4" w:rsidR="00C21EE7">
        <w:t>s judgment and remitted the case for a fresh examination.</w:t>
      </w:r>
    </w:p>
    <w:p w:rsidRPr="00156FB4" w:rsidR="00CD0B0F"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18</w:t>
      </w:r>
      <w:r w:rsidRPr="00156FB4">
        <w:rPr>
          <w:noProof/>
        </w:rPr>
        <w:fldChar w:fldCharType="end"/>
      </w:r>
      <w:r w:rsidRPr="00156FB4" w:rsidR="00CD0B0F">
        <w:t xml:space="preserve">.  On 27 February 2009 the case was set for trial in Lori Regional Court. The court hearing was scheduled </w:t>
      </w:r>
      <w:r w:rsidRPr="00156FB4" w:rsidR="009153F5">
        <w:t>for</w:t>
      </w:r>
      <w:r w:rsidRPr="00156FB4" w:rsidR="00CD0B0F">
        <w:t xml:space="preserve"> 2 April 2009. </w:t>
      </w:r>
      <w:r w:rsidRPr="00156FB4" w:rsidR="009153F5">
        <w:t xml:space="preserve">The Government argued that </w:t>
      </w:r>
      <w:r w:rsidRPr="00156FB4" w:rsidR="00CD0B0F">
        <w:t xml:space="preserve">the applicants </w:t>
      </w:r>
      <w:r w:rsidRPr="00156FB4" w:rsidR="00085376">
        <w:t>had been</w:t>
      </w:r>
      <w:r w:rsidRPr="00156FB4" w:rsidR="00CD0B0F">
        <w:t xml:space="preserve"> duly notified </w:t>
      </w:r>
      <w:r w:rsidRPr="00156FB4" w:rsidR="009153F5">
        <w:t xml:space="preserve">of the hearing </w:t>
      </w:r>
      <w:r w:rsidRPr="00156FB4" w:rsidR="00CD0B0F">
        <w:t xml:space="preserve">and </w:t>
      </w:r>
      <w:r w:rsidRPr="00156FB4" w:rsidR="009153F5">
        <w:t xml:space="preserve">that </w:t>
      </w:r>
      <w:r w:rsidRPr="00156FB4" w:rsidR="00CD0B0F">
        <w:t xml:space="preserve">the notification letter, as always, </w:t>
      </w:r>
      <w:r w:rsidRPr="00156FB4" w:rsidR="00085376">
        <w:t xml:space="preserve">had been </w:t>
      </w:r>
      <w:r w:rsidRPr="00156FB4" w:rsidR="00CD0B0F">
        <w:t>sen</w:t>
      </w:r>
      <w:r w:rsidRPr="00156FB4" w:rsidR="00085376">
        <w:t>t</w:t>
      </w:r>
      <w:r w:rsidRPr="00156FB4" w:rsidR="00CD0B0F">
        <w:t xml:space="preserve"> to their addresses.</w:t>
      </w:r>
    </w:p>
    <w:p w:rsidRPr="00156FB4" w:rsidR="00CD0B0F"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19</w:t>
      </w:r>
      <w:r w:rsidRPr="00156FB4">
        <w:rPr>
          <w:noProof/>
        </w:rPr>
        <w:fldChar w:fldCharType="end"/>
      </w:r>
      <w:r w:rsidRPr="00156FB4" w:rsidR="009153F5">
        <w:t>.  </w:t>
      </w:r>
      <w:r w:rsidRPr="00156FB4" w:rsidR="00CD0B0F">
        <w:t>On 2 April 2009 the applicants</w:t>
      </w:r>
      <w:r w:rsidRPr="00156FB4" w:rsidR="00156FB4">
        <w:t>’</w:t>
      </w:r>
      <w:r w:rsidRPr="00156FB4" w:rsidR="00CD0B0F">
        <w:t xml:space="preserve"> representative </w:t>
      </w:r>
      <w:r w:rsidRPr="00156FB4" w:rsidR="009153F5">
        <w:t xml:space="preserve">requested </w:t>
      </w:r>
      <w:r w:rsidRPr="00156FB4" w:rsidR="00CD0B0F">
        <w:t>adjourn</w:t>
      </w:r>
      <w:r w:rsidRPr="00156FB4" w:rsidR="009153F5">
        <w:t xml:space="preserve">ment of </w:t>
      </w:r>
      <w:r w:rsidRPr="00156FB4" w:rsidR="00CD0B0F">
        <w:t xml:space="preserve">the examination of the case. The court examination was adjourned and rescheduled </w:t>
      </w:r>
      <w:r w:rsidRPr="00156FB4" w:rsidR="009153F5">
        <w:t>for 22 April 2009.</w:t>
      </w:r>
    </w:p>
    <w:p w:rsidRPr="00156FB4" w:rsidR="00CD0B0F"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20</w:t>
      </w:r>
      <w:r w:rsidRPr="00156FB4">
        <w:rPr>
          <w:noProof/>
        </w:rPr>
        <w:fldChar w:fldCharType="end"/>
      </w:r>
      <w:r w:rsidRPr="00156FB4" w:rsidR="009153F5">
        <w:t>.  </w:t>
      </w:r>
      <w:r w:rsidRPr="00156FB4" w:rsidR="00CD0B0F">
        <w:t>On 21 April 2009 the applicants</w:t>
      </w:r>
      <w:r w:rsidRPr="00156FB4" w:rsidR="00156FB4">
        <w:t>’</w:t>
      </w:r>
      <w:r w:rsidRPr="00156FB4" w:rsidR="00CD0B0F">
        <w:t xml:space="preserve"> representative </w:t>
      </w:r>
      <w:r w:rsidRPr="00156FB4" w:rsidR="009153F5">
        <w:t xml:space="preserve">lodged </w:t>
      </w:r>
      <w:r w:rsidRPr="00156FB4" w:rsidR="00CD0B0F">
        <w:t xml:space="preserve">an application </w:t>
      </w:r>
      <w:r w:rsidRPr="00156FB4" w:rsidR="009153F5">
        <w:t xml:space="preserve">with </w:t>
      </w:r>
      <w:r w:rsidRPr="00156FB4" w:rsidR="00CD0B0F">
        <w:t>the Lori Regional Court</w:t>
      </w:r>
      <w:r w:rsidRPr="00156FB4" w:rsidR="009153F5">
        <w:t>,</w:t>
      </w:r>
      <w:r w:rsidRPr="00156FB4" w:rsidR="00CD0B0F">
        <w:t xml:space="preserve"> asking </w:t>
      </w:r>
      <w:r w:rsidRPr="00156FB4" w:rsidR="00085376">
        <w:t xml:space="preserve">for </w:t>
      </w:r>
      <w:r w:rsidRPr="00156FB4" w:rsidR="00CD0B0F">
        <w:t>the examination of the case</w:t>
      </w:r>
      <w:r w:rsidRPr="00156FB4" w:rsidR="00085376">
        <w:t xml:space="preserve"> to be adjourned</w:t>
      </w:r>
      <w:r w:rsidRPr="00156FB4" w:rsidR="00CD0B0F">
        <w:t xml:space="preserve">. Accordingly, on 22 April 2009 the court examination was adjourned and rescheduled </w:t>
      </w:r>
      <w:r w:rsidRPr="00156FB4" w:rsidR="009153F5">
        <w:t>for 29 April 2009.</w:t>
      </w:r>
    </w:p>
    <w:p w:rsidRPr="00156FB4" w:rsidR="009153F5"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21</w:t>
      </w:r>
      <w:r w:rsidRPr="00156FB4">
        <w:rPr>
          <w:noProof/>
        </w:rPr>
        <w:fldChar w:fldCharType="end"/>
      </w:r>
      <w:r w:rsidRPr="00156FB4" w:rsidR="00C21EE7">
        <w:t>.  On 27 April 2009 the applicants</w:t>
      </w:r>
      <w:r w:rsidRPr="00156FB4" w:rsidR="00156FB4">
        <w:t>’</w:t>
      </w:r>
      <w:r w:rsidRPr="00156FB4" w:rsidR="00C21EE7">
        <w:t xml:space="preserve"> counsel requested the Regional Court to </w:t>
      </w:r>
      <w:r w:rsidRPr="00156FB4" w:rsidR="00085376">
        <w:t>order</w:t>
      </w:r>
      <w:r w:rsidRPr="00156FB4" w:rsidR="00C21EE7">
        <w:t xml:space="preserve"> a forensic expert examination to determine the market value of the applicants</w:t>
      </w:r>
      <w:r w:rsidRPr="00156FB4" w:rsidR="00156FB4">
        <w:t>’</w:t>
      </w:r>
      <w:r w:rsidRPr="00156FB4" w:rsidR="00C21EE7">
        <w:t xml:space="preserve"> plot of land</w:t>
      </w:r>
      <w:r w:rsidRPr="00156FB4" w:rsidR="009153F5">
        <w:t xml:space="preserve">, and to order that this examination was to be performed by experts of the State non-profit organisation “Expertise Center of the Republic of Armenia” </w:t>
      </w:r>
      <w:r w:rsidRPr="00156FB4" w:rsidR="009153F5">
        <w:rPr>
          <w:iCs/>
        </w:rPr>
        <w:t>(</w:t>
      </w:r>
      <w:r w:rsidRPr="00156FB4" w:rsidR="009153F5">
        <w:rPr>
          <w:i/>
          <w:iCs/>
        </w:rPr>
        <w:t>“</w:t>
      </w:r>
      <w:r w:rsidRPr="00156FB4" w:rsidR="009153F5">
        <w:rPr>
          <w:rFonts w:ascii="Sylfaen" w:hAnsi="Sylfaen" w:cs="Sylfaen"/>
        </w:rPr>
        <w:t>Հայաստանի</w:t>
      </w:r>
      <w:r w:rsidRPr="00156FB4" w:rsidR="009153F5">
        <w:t xml:space="preserve"> </w:t>
      </w:r>
      <w:r w:rsidRPr="00156FB4" w:rsidR="009153F5">
        <w:rPr>
          <w:rFonts w:ascii="Sylfaen" w:hAnsi="Sylfaen" w:cs="Sylfaen"/>
        </w:rPr>
        <w:t>Հանրապետության</w:t>
      </w:r>
      <w:r w:rsidRPr="00156FB4" w:rsidR="009153F5">
        <w:t xml:space="preserve"> </w:t>
      </w:r>
      <w:r w:rsidRPr="00156FB4" w:rsidR="009153F5">
        <w:rPr>
          <w:rFonts w:ascii="Sylfaen" w:hAnsi="Sylfaen" w:cs="Sylfaen"/>
        </w:rPr>
        <w:t>փորձագիտական</w:t>
      </w:r>
      <w:r w:rsidRPr="00156FB4" w:rsidR="009153F5">
        <w:t xml:space="preserve"> </w:t>
      </w:r>
      <w:r w:rsidRPr="00156FB4" w:rsidR="009153F5">
        <w:rPr>
          <w:rFonts w:ascii="Sylfaen" w:hAnsi="Sylfaen" w:cs="Sylfaen"/>
        </w:rPr>
        <w:t>կենտրոն</w:t>
      </w:r>
      <w:r w:rsidRPr="00156FB4" w:rsidR="009153F5">
        <w:rPr>
          <w:i/>
          <w:iCs/>
        </w:rPr>
        <w:t xml:space="preserve">” </w:t>
      </w:r>
      <w:r w:rsidRPr="00156FB4" w:rsidR="009153F5">
        <w:rPr>
          <w:rFonts w:ascii="Sylfaen" w:hAnsi="Sylfaen" w:cs="Sylfaen"/>
        </w:rPr>
        <w:t>պետական</w:t>
      </w:r>
      <w:r w:rsidRPr="00156FB4" w:rsidR="009153F5">
        <w:t xml:space="preserve"> </w:t>
      </w:r>
      <w:r w:rsidRPr="00156FB4" w:rsidR="009153F5">
        <w:rPr>
          <w:rFonts w:ascii="Sylfaen" w:hAnsi="Sylfaen" w:cs="Sylfaen"/>
        </w:rPr>
        <w:t>ոչ</w:t>
      </w:r>
      <w:r w:rsidRPr="00156FB4" w:rsidR="009153F5">
        <w:t xml:space="preserve"> </w:t>
      </w:r>
      <w:r w:rsidRPr="00156FB4" w:rsidR="009153F5">
        <w:rPr>
          <w:rFonts w:ascii="Sylfaen" w:hAnsi="Sylfaen" w:cs="Sylfaen"/>
        </w:rPr>
        <w:t>առևտրային</w:t>
      </w:r>
      <w:r w:rsidRPr="00156FB4" w:rsidR="009153F5">
        <w:t xml:space="preserve"> </w:t>
      </w:r>
      <w:r w:rsidRPr="00156FB4" w:rsidR="009153F5">
        <w:rPr>
          <w:rFonts w:ascii="Sylfaen" w:hAnsi="Sylfaen" w:cs="Sylfaen"/>
        </w:rPr>
        <w:t>կազմակերպություն</w:t>
      </w:r>
      <w:r w:rsidRPr="00156FB4" w:rsidR="009153F5">
        <w:t>).</w:t>
      </w:r>
    </w:p>
    <w:p w:rsidRPr="00156FB4" w:rsidR="009153F5"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22</w:t>
      </w:r>
      <w:r w:rsidRPr="00156FB4">
        <w:rPr>
          <w:noProof/>
        </w:rPr>
        <w:fldChar w:fldCharType="end"/>
      </w:r>
      <w:r w:rsidRPr="00156FB4" w:rsidR="009153F5">
        <w:t xml:space="preserve">.  On 29 April 2009 the Lori Regional Court held a court hearing. During the hearing it became clear that there was no information concerning </w:t>
      </w:r>
      <w:r w:rsidRPr="00156FB4" w:rsidR="00E25E8C">
        <w:t xml:space="preserve">whether </w:t>
      </w:r>
      <w:r w:rsidRPr="00156FB4" w:rsidR="009153F5">
        <w:t>the applicants</w:t>
      </w:r>
      <w:r w:rsidRPr="00156FB4" w:rsidR="00E25E8C">
        <w:t xml:space="preserve"> had been notified</w:t>
      </w:r>
      <w:r w:rsidRPr="00156FB4" w:rsidR="009153F5">
        <w:t>. In these circumstances, the Lori Regional Court decided to adjourn the examination, taking into consideration the fact that the applicants were not duly notified about the court hearing. The next hearing was scheduled for 20 May 2009, a notification to that effect was sent both to the applicants</w:t>
      </w:r>
      <w:r w:rsidRPr="00156FB4" w:rsidR="00156FB4">
        <w:t>’</w:t>
      </w:r>
      <w:r w:rsidRPr="00156FB4" w:rsidR="009153F5">
        <w:t xml:space="preserve"> representative and the applicants.</w:t>
      </w:r>
    </w:p>
    <w:p w:rsidRPr="00156FB4" w:rsidR="009153F5"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23</w:t>
      </w:r>
      <w:r w:rsidRPr="00156FB4">
        <w:rPr>
          <w:noProof/>
        </w:rPr>
        <w:fldChar w:fldCharType="end"/>
      </w:r>
      <w:r w:rsidRPr="00156FB4" w:rsidR="009153F5">
        <w:t>.  On 20 May 2009 both the applicants</w:t>
      </w:r>
      <w:r w:rsidRPr="00156FB4" w:rsidR="00156FB4">
        <w:t>’</w:t>
      </w:r>
      <w:r w:rsidRPr="00156FB4" w:rsidR="009153F5">
        <w:t xml:space="preserve"> representative and the applicants were present </w:t>
      </w:r>
      <w:r w:rsidRPr="00156FB4" w:rsidR="00E25E8C">
        <w:t>at</w:t>
      </w:r>
      <w:r w:rsidRPr="00156FB4" w:rsidR="009153F5">
        <w:t xml:space="preserve"> the hearing. The applicants</w:t>
      </w:r>
      <w:r w:rsidRPr="00156FB4" w:rsidR="00156FB4">
        <w:t>’</w:t>
      </w:r>
      <w:r w:rsidRPr="00156FB4" w:rsidR="009153F5">
        <w:t xml:space="preserve"> representative requested that the court ordered that a forensic expert examination be made to determine the market value of the applicants</w:t>
      </w:r>
      <w:r w:rsidRPr="00156FB4" w:rsidR="00156FB4">
        <w:t>’</w:t>
      </w:r>
      <w:r w:rsidRPr="00156FB4" w:rsidR="009153F5">
        <w:t xml:space="preserve"> plot of land. Furthermore, the Lori Regional Court </w:t>
      </w:r>
      <w:r w:rsidRPr="00156FB4" w:rsidR="00E8502F">
        <w:t xml:space="preserve">refused </w:t>
      </w:r>
      <w:r w:rsidRPr="00156FB4" w:rsidR="009153F5">
        <w:t>the applicants</w:t>
      </w:r>
      <w:r w:rsidRPr="00156FB4" w:rsidR="00156FB4">
        <w:t>’</w:t>
      </w:r>
      <w:r w:rsidRPr="00156FB4" w:rsidR="009153F5">
        <w:t xml:space="preserve"> representative</w:t>
      </w:r>
      <w:r w:rsidRPr="00156FB4" w:rsidR="00156FB4">
        <w:t>’</w:t>
      </w:r>
      <w:r w:rsidRPr="00156FB4" w:rsidR="00E8502F">
        <w:t>s</w:t>
      </w:r>
      <w:r w:rsidRPr="00156FB4" w:rsidR="009153F5">
        <w:t xml:space="preserve"> </w:t>
      </w:r>
      <w:r w:rsidRPr="00156FB4" w:rsidR="00E8502F">
        <w:t>request</w:t>
      </w:r>
      <w:r w:rsidRPr="00156FB4" w:rsidR="00E25E8C">
        <w:t>,</w:t>
      </w:r>
      <w:r w:rsidRPr="00156FB4" w:rsidR="00E8502F">
        <w:t xml:space="preserve"> which was </w:t>
      </w:r>
      <w:r w:rsidRPr="00156FB4" w:rsidR="009153F5">
        <w:t xml:space="preserve">based on the domestic legislation, according to which each party </w:t>
      </w:r>
      <w:r w:rsidRPr="00156FB4" w:rsidR="00E25E8C">
        <w:t>to</w:t>
      </w:r>
      <w:r w:rsidRPr="00156FB4" w:rsidR="009153F5">
        <w:t xml:space="preserve"> the proceedings must itself present evidence on the facts</w:t>
      </w:r>
      <w:r w:rsidRPr="00156FB4" w:rsidR="00E8502F">
        <w:t>.</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24</w:t>
      </w:r>
      <w:r w:rsidRPr="00156FB4">
        <w:rPr>
          <w:noProof/>
        </w:rPr>
        <w:fldChar w:fldCharType="end"/>
      </w:r>
      <w:r w:rsidRPr="00156FB4" w:rsidR="00C21EE7">
        <w:t xml:space="preserve">.  On 2 June 2009 the </w:t>
      </w:r>
      <w:r w:rsidRPr="00156FB4" w:rsidR="00E8502F">
        <w:t xml:space="preserve">Lori </w:t>
      </w:r>
      <w:r w:rsidRPr="00156FB4" w:rsidR="00C21EE7">
        <w:t>Regional Court granted Teghout CJSC</w:t>
      </w:r>
      <w:r w:rsidRPr="00156FB4" w:rsidR="00156FB4">
        <w:t>’</w:t>
      </w:r>
      <w:r w:rsidRPr="00156FB4" w:rsidR="00C21EE7">
        <w:t xml:space="preserve">s claim finding, </w:t>
      </w:r>
      <w:r w:rsidRPr="00156FB4" w:rsidR="00C21EE7">
        <w:rPr>
          <w:i/>
        </w:rPr>
        <w:t>inter alia</w:t>
      </w:r>
      <w:r w:rsidRPr="00156FB4" w:rsidR="00C21EE7">
        <w:t>, that the valuation reports prepared by Oliver Group LLC were lawful and acceptable evidence to determine the market value of the applicants</w:t>
      </w:r>
      <w:r w:rsidRPr="00156FB4" w:rsidR="00156FB4">
        <w:t>’</w:t>
      </w:r>
      <w:r w:rsidRPr="00156FB4" w:rsidR="00C21EE7">
        <w:t xml:space="preserve"> property to be taken for State needs. The Regional Court dismissed counsel</w:t>
      </w:r>
      <w:r w:rsidRPr="00156FB4" w:rsidR="00156FB4">
        <w:t>’</w:t>
      </w:r>
      <w:r w:rsidRPr="00156FB4" w:rsidR="00C21EE7">
        <w:t>s request and awarded the applicants AMD 301,300 (approximately EUR 655) in equal shares as compensation.</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25</w:t>
      </w:r>
      <w:r w:rsidRPr="00156FB4">
        <w:rPr>
          <w:noProof/>
        </w:rPr>
        <w:fldChar w:fldCharType="end"/>
      </w:r>
      <w:r w:rsidRPr="00156FB4" w:rsidR="00FD653D">
        <w:t>.  </w:t>
      </w:r>
      <w:r w:rsidRPr="00156FB4" w:rsidR="00E8502F">
        <w:t>On 22 June 2009 t</w:t>
      </w:r>
      <w:r w:rsidRPr="00156FB4" w:rsidR="00FD653D">
        <w:t>he applicant</w:t>
      </w:r>
      <w:r w:rsidRPr="00156FB4" w:rsidR="00C21EE7">
        <w:t>s</w:t>
      </w:r>
      <w:r w:rsidRPr="00156FB4" w:rsidR="00156FB4">
        <w:t>’</w:t>
      </w:r>
      <w:r w:rsidRPr="00156FB4" w:rsidR="00C21EE7">
        <w:t xml:space="preserve"> counsel lodged an appeal</w:t>
      </w:r>
      <w:r w:rsidRPr="00156FB4" w:rsidR="00E25E8C">
        <w:t>,</w:t>
      </w:r>
      <w:r w:rsidRPr="00156FB4" w:rsidR="00C21EE7">
        <w:t xml:space="preserve"> claiming, </w:t>
      </w:r>
      <w:r w:rsidRPr="00156FB4" w:rsidR="00C21EE7">
        <w:rPr>
          <w:i/>
        </w:rPr>
        <w:t>inter alia</w:t>
      </w:r>
      <w:r w:rsidRPr="00156FB4" w:rsidR="00C21EE7">
        <w:t>, that the amount of compensation was not adequate. He argued that the Regional Court had accepted the reports submitted by the applicants</w:t>
      </w:r>
      <w:r w:rsidRPr="00156FB4" w:rsidR="00156FB4">
        <w:t>’</w:t>
      </w:r>
      <w:r w:rsidRPr="00156FB4" w:rsidR="00C21EE7">
        <w:t xml:space="preserve"> opponent as established proof of the market value of their property</w:t>
      </w:r>
      <w:r w:rsidRPr="00156FB4" w:rsidR="00E25E8C">
        <w:t>,</w:t>
      </w:r>
      <w:r w:rsidRPr="00156FB4" w:rsidR="00C21EE7">
        <w:t xml:space="preserve"> and that it had refused to </w:t>
      </w:r>
      <w:r w:rsidRPr="00156FB4" w:rsidR="00E25E8C">
        <w:t>order</w:t>
      </w:r>
      <w:r w:rsidRPr="00156FB4" w:rsidR="00C21EE7">
        <w:t xml:space="preserve"> a forensic examination without any grounds. He further argued that the Regional Court should have exercised its statutory discretion to order an expert examination</w:t>
      </w:r>
      <w:r w:rsidRPr="00156FB4" w:rsidR="00E25E8C">
        <w:t>,</w:t>
      </w:r>
      <w:r w:rsidRPr="00156FB4" w:rsidR="00C21EE7">
        <w:t xml:space="preserve"> since </w:t>
      </w:r>
      <w:r w:rsidRPr="00156FB4" w:rsidR="00E25E8C">
        <w:t xml:space="preserve">the </w:t>
      </w:r>
      <w:r w:rsidRPr="00156FB4" w:rsidR="00C21EE7">
        <w:t xml:space="preserve">necessity </w:t>
      </w:r>
      <w:r w:rsidRPr="00156FB4" w:rsidR="00E25E8C">
        <w:t xml:space="preserve">for it </w:t>
      </w:r>
      <w:r w:rsidRPr="00156FB4" w:rsidR="00C21EE7">
        <w:t xml:space="preserve">had arisen in the course of the proceedings and the applicants had no </w:t>
      </w:r>
      <w:r w:rsidRPr="00156FB4" w:rsidR="00E25E8C">
        <w:t xml:space="preserve">opportunity </w:t>
      </w:r>
      <w:r w:rsidRPr="00156FB4" w:rsidR="00C21EE7">
        <w:t>to provide an alternative valuation themselves.</w:t>
      </w:r>
    </w:p>
    <w:p w:rsidRPr="00156FB4" w:rsidR="00E8502F"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26</w:t>
      </w:r>
      <w:r w:rsidRPr="00156FB4">
        <w:rPr>
          <w:noProof/>
        </w:rPr>
        <w:fldChar w:fldCharType="end"/>
      </w:r>
      <w:r w:rsidRPr="00156FB4" w:rsidR="00E8502F">
        <w:t>.  According to the case file, on 10 July 2009 the notifications of the hearing of the Court of Appeal scheduled for 24 July 2009 were sent to the applicants</w:t>
      </w:r>
      <w:r w:rsidRPr="00156FB4" w:rsidR="00E25E8C">
        <w:t>,</w:t>
      </w:r>
      <w:r w:rsidRPr="00156FB4" w:rsidR="00E8502F">
        <w:t xml:space="preserve"> but they did not appear at that hearing</w:t>
      </w:r>
      <w:r w:rsidRPr="00156FB4" w:rsidR="00E8502F">
        <w:rPr>
          <w:bCs/>
        </w:rPr>
        <w:t>.</w:t>
      </w:r>
    </w:p>
    <w:p w:rsidRPr="00156FB4" w:rsidR="00E8502F"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27</w:t>
      </w:r>
      <w:r w:rsidRPr="00156FB4">
        <w:rPr>
          <w:noProof/>
        </w:rPr>
        <w:fldChar w:fldCharType="end"/>
      </w:r>
      <w:r w:rsidRPr="00156FB4" w:rsidR="00E8502F">
        <w:t>.  On 24 July 2009 the Civil Court of Appeal hearing was held</w:t>
      </w:r>
      <w:r w:rsidRPr="00156FB4" w:rsidR="00E25E8C">
        <w:t xml:space="preserve">; </w:t>
      </w:r>
      <w:r w:rsidRPr="00156FB4" w:rsidR="00E8502F">
        <w:t xml:space="preserve">the applicants and their representative were </w:t>
      </w:r>
      <w:r w:rsidRPr="00156FB4" w:rsidR="00E25E8C">
        <w:t>not present</w:t>
      </w:r>
      <w:r w:rsidRPr="00156FB4" w:rsidR="00E8502F">
        <w:t>.</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28</w:t>
      </w:r>
      <w:r w:rsidRPr="00156FB4">
        <w:rPr>
          <w:noProof/>
        </w:rPr>
        <w:fldChar w:fldCharType="end"/>
      </w:r>
      <w:r w:rsidRPr="00156FB4" w:rsidR="00C21EE7">
        <w:t>.  On 7 August 2009 the Civil Court of Appeal upheld the Regional Court</w:t>
      </w:r>
      <w:r w:rsidRPr="00156FB4" w:rsidR="00156FB4">
        <w:t>’</w:t>
      </w:r>
      <w:r w:rsidRPr="00156FB4" w:rsidR="00C21EE7">
        <w:t>s judgment, finding that the latter</w:t>
      </w:r>
      <w:r w:rsidRPr="00156FB4" w:rsidR="00156FB4">
        <w:t>’</w:t>
      </w:r>
      <w:r w:rsidRPr="00156FB4" w:rsidR="00C21EE7">
        <w:t xml:space="preserve">s decision not to </w:t>
      </w:r>
      <w:r w:rsidRPr="00156FB4" w:rsidR="00E25E8C">
        <w:t xml:space="preserve">order </w:t>
      </w:r>
      <w:r w:rsidRPr="00156FB4" w:rsidR="00C21EE7">
        <w:t>a forensic examination was well</w:t>
      </w:r>
      <w:r w:rsidRPr="00156FB4" w:rsidR="00E25E8C">
        <w:t xml:space="preserve"> </w:t>
      </w:r>
      <w:r w:rsidRPr="00156FB4" w:rsidR="00C21EE7">
        <w:t>grounded</w:t>
      </w:r>
      <w:r w:rsidRPr="00156FB4" w:rsidR="00E25E8C">
        <w:t>,</w:t>
      </w:r>
      <w:r w:rsidRPr="00156FB4" w:rsidR="00C21EE7">
        <w:t xml:space="preserve"> since there was no necessity</w:t>
      </w:r>
      <w:r w:rsidRPr="00156FB4" w:rsidR="00E25E8C">
        <w:t xml:space="preserve"> for it</w:t>
      </w:r>
      <w:r w:rsidRPr="00156FB4" w:rsidR="00C21EE7">
        <w:t>. The Court of Appeal further found that the amount of compensation had been correctly determined</w:t>
      </w:r>
      <w:r w:rsidRPr="00156FB4" w:rsidR="00E25E8C">
        <w:t xml:space="preserve">, on the basis of </w:t>
      </w:r>
      <w:r w:rsidRPr="00156FB4" w:rsidR="00C21EE7">
        <w:t xml:space="preserve">the corrected valuation report prepared by Oliver Group </w:t>
      </w:r>
      <w:r w:rsidRPr="00156FB4" w:rsidR="00E25E8C">
        <w:t>LL</w:t>
      </w:r>
      <w:r w:rsidRPr="00156FB4" w:rsidR="00C21EE7">
        <w:t>C</w:t>
      </w:r>
      <w:r w:rsidRPr="00156FB4" w:rsidR="00E25E8C">
        <w:t>,</w:t>
      </w:r>
      <w:r w:rsidRPr="00156FB4" w:rsidR="00C21EE7">
        <w:t xml:space="preserve"> given that </w:t>
      </w:r>
      <w:r w:rsidRPr="00156FB4" w:rsidR="00E25E8C">
        <w:t xml:space="preserve">that report </w:t>
      </w:r>
      <w:r w:rsidRPr="00156FB4" w:rsidR="00C21EE7">
        <w:t xml:space="preserve">was the only lawful and acceptable piece of evidence produced </w:t>
      </w:r>
      <w:r w:rsidRPr="00156FB4" w:rsidR="00E25E8C">
        <w:t xml:space="preserve">during </w:t>
      </w:r>
      <w:r w:rsidRPr="00156FB4" w:rsidR="00C21EE7">
        <w:t>the proceedings.</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29</w:t>
      </w:r>
      <w:r w:rsidRPr="00156FB4">
        <w:rPr>
          <w:noProof/>
        </w:rPr>
        <w:fldChar w:fldCharType="end"/>
      </w:r>
      <w:r w:rsidRPr="00156FB4" w:rsidR="00C21EE7">
        <w:t xml:space="preserve">.  According to the applicants, the decision of the Court of Appeal was not served on </w:t>
      </w:r>
      <w:r w:rsidRPr="00156FB4" w:rsidR="00FD653D">
        <w:t xml:space="preserve">their </w:t>
      </w:r>
      <w:r w:rsidRPr="00156FB4" w:rsidR="00C21EE7">
        <w:t>counsel.</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30</w:t>
      </w:r>
      <w:r w:rsidRPr="00156FB4">
        <w:rPr>
          <w:noProof/>
        </w:rPr>
        <w:fldChar w:fldCharType="end"/>
      </w:r>
      <w:r w:rsidRPr="00156FB4" w:rsidR="00FD653D">
        <w:t>.  </w:t>
      </w:r>
      <w:r w:rsidRPr="00156FB4" w:rsidR="00C21EE7">
        <w:t xml:space="preserve">On 1 October 2009 </w:t>
      </w:r>
      <w:r w:rsidRPr="00156FB4" w:rsidR="00FD653D">
        <w:t>the applicants</w:t>
      </w:r>
      <w:r w:rsidRPr="00156FB4" w:rsidR="00156FB4">
        <w:t>’</w:t>
      </w:r>
      <w:r w:rsidRPr="00156FB4" w:rsidR="00FD653D">
        <w:t xml:space="preserve"> </w:t>
      </w:r>
      <w:r w:rsidRPr="00156FB4" w:rsidR="00C21EE7">
        <w:t xml:space="preserve">counsel </w:t>
      </w:r>
      <w:r w:rsidRPr="00156FB4" w:rsidR="00E8502F">
        <w:t xml:space="preserve">requested </w:t>
      </w:r>
      <w:r w:rsidRPr="00156FB4" w:rsidR="00E25E8C">
        <w:t xml:space="preserve">permission </w:t>
      </w:r>
      <w:r w:rsidRPr="00156FB4" w:rsidR="00E8502F">
        <w:t xml:space="preserve">from </w:t>
      </w:r>
      <w:r w:rsidRPr="00156FB4" w:rsidR="00C21EE7">
        <w:t xml:space="preserve">the Regional Court to consult the case file. After </w:t>
      </w:r>
      <w:r w:rsidRPr="00156FB4" w:rsidR="00FD653D">
        <w:t xml:space="preserve">the </w:t>
      </w:r>
      <w:r w:rsidRPr="00156FB4" w:rsidR="00C21EE7">
        <w:t>counsel</w:t>
      </w:r>
      <w:r w:rsidRPr="00156FB4" w:rsidR="00156FB4">
        <w:t>’</w:t>
      </w:r>
      <w:r w:rsidRPr="00156FB4" w:rsidR="00C21EE7">
        <w:t>s request was granted, he made a copy of the Court of Appeal</w:t>
      </w:r>
      <w:r w:rsidRPr="00156FB4" w:rsidR="00156FB4">
        <w:t>’</w:t>
      </w:r>
      <w:r w:rsidRPr="00156FB4" w:rsidR="00C21EE7">
        <w:t>s decision in order to lodge a cassation appeal.</w:t>
      </w:r>
    </w:p>
    <w:p w:rsidRPr="00156FB4" w:rsidR="00C21EE7"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31</w:t>
      </w:r>
      <w:r w:rsidRPr="00156FB4">
        <w:rPr>
          <w:noProof/>
        </w:rPr>
        <w:fldChar w:fldCharType="end"/>
      </w:r>
      <w:r w:rsidRPr="00156FB4" w:rsidR="00FD653D">
        <w:t>.  </w:t>
      </w:r>
      <w:r w:rsidRPr="00156FB4" w:rsidR="00C21EE7">
        <w:t xml:space="preserve">On 9 October 2009 </w:t>
      </w:r>
      <w:r w:rsidRPr="00156FB4" w:rsidR="00FD653D">
        <w:t xml:space="preserve">the </w:t>
      </w:r>
      <w:r w:rsidRPr="00156FB4" w:rsidR="00C21EE7">
        <w:t>counsel lodged an appeal on points of law</w:t>
      </w:r>
      <w:r w:rsidRPr="00156FB4" w:rsidR="00FD653D">
        <w:t>,</w:t>
      </w:r>
      <w:r w:rsidRPr="00156FB4" w:rsidR="00C21EE7">
        <w:t xml:space="preserve"> raising similar complaints to those raised before the Court of Appeal. </w:t>
      </w:r>
      <w:r w:rsidRPr="00156FB4" w:rsidR="00FD653D">
        <w:t>The c</w:t>
      </w:r>
      <w:r w:rsidRPr="00156FB4" w:rsidR="00C21EE7">
        <w:t>ounsel also submitted that the Court of Appeal had not duly notified him of the proceedings and had examined the appeal in his absence. Additionally, he requested to have the missed time-limits for lodging an appeal on points of law restored, explaining that the reason for late submission was the failure of the Court of Appeal to serve on him a copy of the decision of 7</w:t>
      </w:r>
      <w:r w:rsidRPr="00156FB4" w:rsidR="00FD653D">
        <w:t> </w:t>
      </w:r>
      <w:r w:rsidRPr="00156FB4" w:rsidR="00C21EE7">
        <w:t>August 2009</w:t>
      </w:r>
      <w:r w:rsidRPr="00156FB4" w:rsidR="001D4FBA">
        <w:t xml:space="preserve">, despite the fact that </w:t>
      </w:r>
      <w:r w:rsidRPr="00156FB4" w:rsidR="00C21EE7">
        <w:t>he was the applicants</w:t>
      </w:r>
      <w:r w:rsidRPr="00156FB4" w:rsidR="00156FB4">
        <w:t>’</w:t>
      </w:r>
      <w:r w:rsidRPr="00156FB4" w:rsidR="00C21EE7">
        <w:t xml:space="preserve"> authorised representative in the proceedings.</w:t>
      </w:r>
    </w:p>
    <w:p w:rsidRPr="00156FB4" w:rsidR="00D420F3"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32</w:t>
      </w:r>
      <w:r w:rsidRPr="00156FB4">
        <w:rPr>
          <w:noProof/>
        </w:rPr>
        <w:fldChar w:fldCharType="end"/>
      </w:r>
      <w:r w:rsidRPr="00156FB4" w:rsidR="00FD653D">
        <w:t>.  </w:t>
      </w:r>
      <w:r w:rsidRPr="00156FB4" w:rsidR="00C21EE7">
        <w:t>On 28 October 2009 the Court of Cassation declared the cassation appeal inadmissible as lodged out of time. In doing so, it found that the reasons for late submission advanced by counsel were not justified in view of the fact that the applicants had been served with a copy of the decision in due time.</w:t>
      </w:r>
    </w:p>
    <w:p w:rsidRPr="00156FB4" w:rsidR="00D420F3" w:rsidP="00156FB4" w:rsidRDefault="0077175D">
      <w:pPr>
        <w:pStyle w:val="ECHRHeading1"/>
      </w:pPr>
      <w:r w:rsidRPr="00156FB4">
        <w:t>II.  RELEVANT DOMESTIC LAW</w:t>
      </w:r>
    </w:p>
    <w:p w:rsidRPr="00156FB4" w:rsidR="00FD653D" w:rsidP="00156FB4" w:rsidRDefault="00FD653D">
      <w:pPr>
        <w:pStyle w:val="ECHRHeading2"/>
      </w:pPr>
      <w:r w:rsidRPr="00156FB4">
        <w:t>A.  The Constitution of 1995 (following the amendments introduced on 27 November 2005 with effect from 6 December 2005)</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33</w:t>
      </w:r>
      <w:r w:rsidRPr="00156FB4">
        <w:rPr>
          <w:noProof/>
        </w:rPr>
        <w:fldChar w:fldCharType="end"/>
      </w:r>
      <w:r w:rsidRPr="00156FB4" w:rsidR="00FD653D">
        <w:t>.  According to Article 18, everyone shall – for the protection of his or her rights and freedoms – have the right to effective judicial remedies.</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34</w:t>
      </w:r>
      <w:r w:rsidRPr="00156FB4">
        <w:rPr>
          <w:noProof/>
        </w:rPr>
        <w:fldChar w:fldCharType="end"/>
      </w:r>
      <w:r w:rsidRPr="00156FB4" w:rsidR="00FD653D">
        <w:t>.  According to Article 19, everyone has the right to a public hearing of his case by an independent and impartial court within a reasonable time, in conditions of equality and with respect for all fair trial requirements, in order to have his violated rights restored, as well as the validity of the charge against him determined.</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35</w:t>
      </w:r>
      <w:r w:rsidRPr="00156FB4">
        <w:rPr>
          <w:noProof/>
        </w:rPr>
        <w:fldChar w:fldCharType="end"/>
      </w:r>
      <w:r w:rsidRPr="00156FB4" w:rsidR="00FD653D">
        <w:t>.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w:t>
      </w:r>
      <w:r w:rsidRPr="00156FB4" w:rsidR="00A6185D">
        <w:t>,</w:t>
      </w:r>
      <w:r w:rsidRPr="00156FB4" w:rsidR="00FD653D">
        <w:t xml:space="preserve"> and with prior equivalent compensation.</w:t>
      </w:r>
    </w:p>
    <w:p w:rsidRPr="00156FB4" w:rsidR="00FD653D" w:rsidP="00156FB4" w:rsidRDefault="00FD653D">
      <w:pPr>
        <w:pStyle w:val="ECHRHeading2"/>
      </w:pPr>
      <w:r w:rsidRPr="00156FB4">
        <w:t>B.  The Code of Civil Procedure (in force from 1999)</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36</w:t>
      </w:r>
      <w:r w:rsidRPr="00156FB4">
        <w:rPr>
          <w:noProof/>
        </w:rPr>
        <w:fldChar w:fldCharType="end"/>
      </w:r>
      <w:r w:rsidRPr="00156FB4" w:rsidR="00FD653D">
        <w:t>.  According to Article 6, civil proceedings shall be adversarial and shall be conducted with respect for equality of arms.</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37</w:t>
      </w:r>
      <w:r w:rsidRPr="00156FB4">
        <w:rPr>
          <w:noProof/>
        </w:rPr>
        <w:fldChar w:fldCharType="end"/>
      </w:r>
      <w:r w:rsidRPr="00156FB4" w:rsidR="00FD653D">
        <w:t>.  Article 53 § 2 of the Code provides that the court shall consider no piece of evidence as already established.</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38</w:t>
      </w:r>
      <w:r w:rsidRPr="00156FB4">
        <w:rPr>
          <w:noProof/>
        </w:rPr>
        <w:fldChar w:fldCharType="end"/>
      </w:r>
      <w:r w:rsidRPr="00156FB4" w:rsidR="00FD653D">
        <w:t xml:space="preserve">.  According to Article 60 § 1, in order to clarify issues requiring specialised knowledge which arise during the examination of a case, the court can </w:t>
      </w:r>
      <w:r w:rsidRPr="00156FB4" w:rsidR="00A6185D">
        <w:t>order</w:t>
      </w:r>
      <w:r w:rsidRPr="00156FB4" w:rsidR="00FD653D">
        <w:t xml:space="preserve"> a forensic examination upon application by a party (parties) or of its own motion.</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39</w:t>
      </w:r>
      <w:r w:rsidRPr="00156FB4">
        <w:rPr>
          <w:noProof/>
        </w:rPr>
        <w:fldChar w:fldCharType="end"/>
      </w:r>
      <w:r w:rsidRPr="00156FB4" w:rsidR="00FD653D">
        <w:t>.  Article 60 § 6 of the Code provides that the court warns the expert about criminal liability for submission of an obviously false conclusion.</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40</w:t>
      </w:r>
      <w:r w:rsidRPr="00156FB4">
        <w:rPr>
          <w:noProof/>
        </w:rPr>
        <w:fldChar w:fldCharType="end"/>
      </w:r>
      <w:r w:rsidRPr="00156FB4" w:rsidR="00FD653D">
        <w:t>.  According to Article 61, the participants in the proceedings are entitled to be present at the forensic examination, save in cases where their presence could hinder the regular work of the expert.</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41</w:t>
      </w:r>
      <w:r w:rsidRPr="00156FB4">
        <w:rPr>
          <w:noProof/>
        </w:rPr>
        <w:fldChar w:fldCharType="end"/>
      </w:r>
      <w:r w:rsidRPr="00156FB4" w:rsidR="00FD653D">
        <w:t>.  According to Article 221</w:t>
      </w:r>
      <w:r w:rsidRPr="00156FB4" w:rsidR="00FD653D">
        <w:rPr>
          <w:vertAlign w:val="superscript"/>
        </w:rPr>
        <w:t>1</w:t>
      </w:r>
      <w:r w:rsidRPr="00156FB4" w:rsidR="00FD653D">
        <w:t>, judicial acts of the Court of Appeal which determine the merits of a case enter into force one month after the moment of pronouncement.</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42</w:t>
      </w:r>
      <w:r w:rsidRPr="00156FB4">
        <w:rPr>
          <w:noProof/>
        </w:rPr>
        <w:fldChar w:fldCharType="end"/>
      </w:r>
      <w:r w:rsidRPr="00156FB4" w:rsidR="00FD653D">
        <w:t>.  According to Article 229, an appeal on points of law against a judicial act which determines the merits of the case can be lodged prior to the date of entry into force of that act.</w:t>
      </w:r>
    </w:p>
    <w:p w:rsidRPr="00156FB4" w:rsidR="00FD653D" w:rsidP="00156FB4" w:rsidRDefault="00FD653D">
      <w:pPr>
        <w:pStyle w:val="ECHRHeading2"/>
      </w:pPr>
      <w:r w:rsidRPr="00156FB4">
        <w:t xml:space="preserve">C.  The Law on Alienation of Property for the </w:t>
      </w:r>
      <w:r w:rsidRPr="00156FB4" w:rsidR="00A6185D">
        <w:t>N</w:t>
      </w:r>
      <w:r w:rsidRPr="00156FB4">
        <w:t>eeds of Society and the State (in force from 30 December 2006)</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43</w:t>
      </w:r>
      <w:r w:rsidRPr="00156FB4">
        <w:rPr>
          <w:noProof/>
        </w:rPr>
        <w:fldChar w:fldCharType="end"/>
      </w:r>
      <w:r w:rsidRPr="00156FB4" w:rsidR="00FD653D">
        <w:t>.  According to section 3 § 1, the constitutional basis for alienation of property for the needs of society and the State is the prevailing public interest.</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44</w:t>
      </w:r>
      <w:r w:rsidRPr="00156FB4">
        <w:rPr>
          <w:noProof/>
        </w:rPr>
        <w:fldChar w:fldCharType="end"/>
      </w:r>
      <w:r w:rsidRPr="00156FB4" w:rsidR="00FD653D">
        <w:t>.  Section 3 § 2 provides that the constitutional requirements for alienation of property for the needs of society and the State are the following:</w:t>
      </w:r>
    </w:p>
    <w:p w:rsidRPr="00156FB4" w:rsidR="00FD653D" w:rsidP="00156FB4" w:rsidRDefault="00F16AAC">
      <w:pPr>
        <w:pStyle w:val="ECHRPara"/>
      </w:pPr>
      <w:r w:rsidRPr="00156FB4">
        <w:t>(</w:t>
      </w:r>
      <w:r w:rsidRPr="00156FB4" w:rsidR="00FD653D">
        <w:t>a)  alienation must be carried out in accordance with a procedure prescribed by law,</w:t>
      </w:r>
    </w:p>
    <w:p w:rsidRPr="00156FB4" w:rsidR="00FD653D" w:rsidP="00156FB4" w:rsidRDefault="00F16AAC">
      <w:pPr>
        <w:pStyle w:val="ECHRPara"/>
      </w:pPr>
      <w:r w:rsidRPr="00156FB4">
        <w:t>(</w:t>
      </w:r>
      <w:r w:rsidRPr="00156FB4" w:rsidR="00FD653D">
        <w:t>b)  prior adequate compensation should be provided for property subject to alienation.</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45</w:t>
      </w:r>
      <w:r w:rsidRPr="00156FB4">
        <w:rPr>
          <w:noProof/>
        </w:rPr>
        <w:fldChar w:fldCharType="end"/>
      </w:r>
      <w:r w:rsidRPr="00156FB4" w:rsidR="00FD653D">
        <w:t>.  According to section 4 § 1, the public interest must prevail over the interests of the owner of property subject to alienation, and alienation of that property must be essential to implementation.</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46</w:t>
      </w:r>
      <w:r w:rsidRPr="00156FB4">
        <w:rPr>
          <w:noProof/>
        </w:rPr>
        <w:fldChar w:fldCharType="end"/>
      </w:r>
      <w:r w:rsidRPr="00156FB4" w:rsidR="00FD653D">
        <w:t xml:space="preserve">.  Section 4 § 2 provides that the prevailing public interest may pursue, </w:t>
      </w:r>
      <w:r w:rsidRPr="00156FB4" w:rsidR="00FD653D">
        <w:rPr>
          <w:i/>
        </w:rPr>
        <w:t>inter alia</w:t>
      </w:r>
      <w:r w:rsidRPr="00156FB4" w:rsidR="00FD653D">
        <w:t xml:space="preserve">, the implementation of mining projects having important State or community significance. The aim of securing additional income for the State or community budget is not </w:t>
      </w:r>
      <w:r w:rsidRPr="00156FB4" w:rsidR="00A6185D">
        <w:t>of</w:t>
      </w:r>
      <w:r w:rsidRPr="00156FB4" w:rsidR="00FD653D">
        <w:t xml:space="preserve"> itself a prevailing public interest.</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47</w:t>
      </w:r>
      <w:r w:rsidRPr="00156FB4">
        <w:rPr>
          <w:noProof/>
        </w:rPr>
        <w:fldChar w:fldCharType="end"/>
      </w:r>
      <w:r w:rsidRPr="00156FB4" w:rsidR="00FD653D">
        <w:t>.  According to section 11 § 1, adequate compensation should be paid to the owner of property subject to alienation. The market value of the property plus an additional 15% is considered to be an adequate amount of compensation.</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48</w:t>
      </w:r>
      <w:r w:rsidRPr="00156FB4">
        <w:rPr>
          <w:noProof/>
        </w:rPr>
        <w:fldChar w:fldCharType="end"/>
      </w:r>
      <w:r w:rsidRPr="00156FB4" w:rsidR="00FD653D">
        <w:t xml:space="preserve">.  Section 11 § 3 provides that the determination of the market value of real estate and property rights in respect of real estate is carried out in accordance with the procedure set out by the Law on Real Estate </w:t>
      </w:r>
      <w:r w:rsidRPr="00156FB4" w:rsidR="00A6185D">
        <w:t>V</w:t>
      </w:r>
      <w:r w:rsidRPr="00156FB4" w:rsidR="00FD653D">
        <w:t>aluation Activity.</w:t>
      </w:r>
    </w:p>
    <w:p w:rsidRPr="00156FB4" w:rsidR="00FD653D" w:rsidP="00156FB4" w:rsidRDefault="00FD653D">
      <w:pPr>
        <w:pStyle w:val="ECHRHeading2"/>
      </w:pPr>
      <w:r w:rsidRPr="00156FB4">
        <w:t xml:space="preserve">D.  The Law on Real Estate </w:t>
      </w:r>
      <w:r w:rsidRPr="00156FB4" w:rsidR="00A6185D">
        <w:t>V</w:t>
      </w:r>
      <w:r w:rsidRPr="00156FB4">
        <w:t>aluation Activity (as in force at the material time)</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49</w:t>
      </w:r>
      <w:r w:rsidRPr="00156FB4">
        <w:rPr>
          <w:noProof/>
        </w:rPr>
        <w:fldChar w:fldCharType="end"/>
      </w:r>
      <w:r w:rsidRPr="00156FB4" w:rsidR="00FD653D">
        <w:t xml:space="preserve">.  According to section 8, valuation is obligatory in </w:t>
      </w:r>
      <w:r w:rsidRPr="00156FB4" w:rsidR="00A6185D">
        <w:t>the event</w:t>
      </w:r>
      <w:r w:rsidRPr="00156FB4" w:rsidR="00FD653D">
        <w:t xml:space="preserve"> of alienation of immovable property for State or community needs.</w:t>
      </w:r>
    </w:p>
    <w:p w:rsidRPr="00156FB4" w:rsidR="00FD653D"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50</w:t>
      </w:r>
      <w:r w:rsidRPr="00156FB4">
        <w:rPr>
          <w:noProof/>
        </w:rPr>
        <w:fldChar w:fldCharType="end"/>
      </w:r>
      <w:r w:rsidRPr="00156FB4" w:rsidR="00FD653D">
        <w:t>.  Section 15 § 1 (1) provides that persons engaged in real</w:t>
      </w:r>
      <w:r w:rsidRPr="00156FB4" w:rsidR="00A6185D">
        <w:t>-</w:t>
      </w:r>
      <w:r w:rsidRPr="00156FB4" w:rsidR="00FD653D">
        <w:t>estate valuation have the right to use independent methods of real</w:t>
      </w:r>
      <w:r w:rsidRPr="00156FB4" w:rsidR="00A6185D">
        <w:t>-</w:t>
      </w:r>
      <w:r w:rsidRPr="00156FB4" w:rsidR="00FD653D">
        <w:t>estate valuation in compliance with valuation standard</w:t>
      </w:r>
      <w:r w:rsidRPr="00156FB4" w:rsidR="00A6185D">
        <w:t>s</w:t>
      </w:r>
      <w:r w:rsidRPr="00156FB4" w:rsidR="00FD653D">
        <w:t>.</w:t>
      </w:r>
    </w:p>
    <w:p w:rsidRPr="00156FB4" w:rsidR="00FD653D" w:rsidP="00156FB4" w:rsidRDefault="00FD653D">
      <w:pPr>
        <w:pStyle w:val="ECHRHeading2"/>
        <w:rPr>
          <w:rFonts w:ascii="Sylfaen" w:hAnsi="Sylfaen"/>
        </w:rPr>
      </w:pPr>
      <w:r w:rsidRPr="00156FB4">
        <w:t xml:space="preserve">E.  Government Decree No. 1279-N of 1 November 2007 approving </w:t>
      </w:r>
      <w:r w:rsidRPr="00156FB4" w:rsidR="00A6185D">
        <w:t xml:space="preserve">the designation of </w:t>
      </w:r>
      <w:r w:rsidRPr="00156FB4">
        <w:t xml:space="preserve">certain territories situated within the administrative boundaries of the rural communities of Shnogh and Teghout in the Lori Region </w:t>
      </w:r>
      <w:r w:rsidRPr="00156FB4" w:rsidR="00A6185D">
        <w:t xml:space="preserve">as expropiation zones, </w:t>
      </w:r>
      <w:r w:rsidRPr="00156FB4">
        <w:t>to be taken for State needs</w:t>
      </w:r>
      <w:r w:rsidRPr="00156FB4" w:rsidR="00A6185D">
        <w:t xml:space="preserve">, thus </w:t>
      </w:r>
      <w:r w:rsidRPr="00156FB4">
        <w:t>changing the category of land use (</w:t>
      </w:r>
      <w:r w:rsidRPr="00156FB4">
        <w:rPr>
          <w:rFonts w:ascii="Sylfaen" w:hAnsi="Sylfaen"/>
        </w:rPr>
        <w:t>ՀՀ Կառավարության 2007 թ. նոյեմբերի 1-ի թիվ 1279-Ն որոշումը Հայաստանի Հանրապետության Լոռու մարզի Շնողի և Թեղուտի գյուղական համայնքների վարչական սահմաններում որոշ տարածքներում բացառիկ՝ գերակա հանրային շահ ճանաչելու և հողերի նպատակային նշանակությունը փոփոխելու մասին)</w:t>
      </w:r>
    </w:p>
    <w:p w:rsidRPr="00156FB4" w:rsidR="00D420F3"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51</w:t>
      </w:r>
      <w:r w:rsidRPr="00156FB4">
        <w:rPr>
          <w:noProof/>
        </w:rPr>
        <w:fldChar w:fldCharType="end"/>
      </w:r>
      <w:r w:rsidRPr="00156FB4" w:rsidR="00FD653D">
        <w:t>.  For the purpose of the implementation of the Teghout copper</w:t>
      </w:r>
      <w:r w:rsidRPr="00156FB4" w:rsidR="00FD653D">
        <w:noBreakHyphen/>
        <w:t xml:space="preserve">molybdenum deposit exploitation project, and </w:t>
      </w:r>
      <w:r w:rsidRPr="00156FB4" w:rsidR="00A6185D">
        <w:t xml:space="preserve">with a view to </w:t>
      </w:r>
      <w:r w:rsidRPr="00156FB4" w:rsidR="00FD653D">
        <w:t xml:space="preserve">building and operating a mining plant, the Government decided to approve the </w:t>
      </w:r>
      <w:r w:rsidRPr="00156FB4" w:rsidR="00A6185D">
        <w:t xml:space="preserve">designation of </w:t>
      </w:r>
      <w:r w:rsidRPr="00156FB4" w:rsidR="00FD653D">
        <w:t xml:space="preserve">agricultural land situated within the administrative boundaries of the rural communities of Shnogh and Teghout in the Lori Region </w:t>
      </w:r>
      <w:r w:rsidRPr="00156FB4" w:rsidR="00A6185D">
        <w:t xml:space="preserve">as expropriation zones, </w:t>
      </w:r>
      <w:r w:rsidRPr="00156FB4" w:rsidR="00FD653D">
        <w:t>to be taken for State needs, with a total area of 81</w:t>
      </w:r>
      <w:r w:rsidRPr="00156FB4" w:rsidR="00A6185D">
        <w:t>,</w:t>
      </w:r>
      <w:r w:rsidRPr="00156FB4" w:rsidR="00FD653D">
        <w:t>483 ha. According to the Decree, the public interest in the development of the economy and infrastructure and the interest in higher levels of production and export prevailed over the private interests of the proprietors.</w:t>
      </w:r>
    </w:p>
    <w:p w:rsidRPr="00156FB4" w:rsidR="00D420F3" w:rsidP="00156FB4" w:rsidRDefault="0077175D">
      <w:pPr>
        <w:pStyle w:val="ECHRTitle1"/>
      </w:pPr>
      <w:r w:rsidRPr="00156FB4">
        <w:t>THE LAW</w:t>
      </w:r>
    </w:p>
    <w:p w:rsidRPr="00156FB4" w:rsidR="00D420F3" w:rsidP="00156FB4" w:rsidRDefault="0077175D">
      <w:pPr>
        <w:pStyle w:val="ECHRHeading1"/>
      </w:pPr>
      <w:r w:rsidRPr="00156FB4">
        <w:t xml:space="preserve">I.  ALLEGED VIOLATION OF ARTICLE </w:t>
      </w:r>
      <w:r w:rsidRPr="00156FB4" w:rsidR="00FD653D">
        <w:t xml:space="preserve">1 </w:t>
      </w:r>
      <w:r w:rsidRPr="00156FB4">
        <w:t xml:space="preserve">OF </w:t>
      </w:r>
      <w:r w:rsidRPr="00156FB4" w:rsidR="00FD653D">
        <w:t xml:space="preserve">PROTOCOL NO. 1 TO </w:t>
      </w:r>
      <w:r w:rsidRPr="00156FB4">
        <w:t>THE CONVENTION</w:t>
      </w:r>
    </w:p>
    <w:p w:rsidRPr="00156FB4" w:rsidR="00FD653D"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52</w:t>
      </w:r>
      <w:r w:rsidRPr="00156FB4">
        <w:fldChar w:fldCharType="end"/>
      </w:r>
      <w:r w:rsidRPr="00156FB4" w:rsidR="0077175D">
        <w:t>.  </w:t>
      </w:r>
      <w:r w:rsidRPr="00156FB4" w:rsidR="00FD653D">
        <w:t xml:space="preserve">The applicants complained under Article 1 of Protocol No. 1 to the Convention that the deprivation of their property </w:t>
      </w:r>
      <w:r w:rsidRPr="00156FB4" w:rsidR="00DB2346">
        <w:t>did</w:t>
      </w:r>
      <w:r w:rsidRPr="00156FB4" w:rsidR="00FD653D">
        <w:t xml:space="preserve"> not satisf</w:t>
      </w:r>
      <w:r w:rsidRPr="00156FB4" w:rsidR="00DB2346">
        <w:t>y</w:t>
      </w:r>
      <w:r w:rsidRPr="00156FB4" w:rsidR="00FD653D">
        <w:t xml:space="preserve"> the requirement of lawfulness, </w:t>
      </w:r>
      <w:r w:rsidRPr="00156FB4" w:rsidR="00DB2346">
        <w:t>did</w:t>
      </w:r>
      <w:r w:rsidRPr="00156FB4" w:rsidR="00FD653D">
        <w:t xml:space="preserve"> not pursue any public interest and that the amount of compensation awarded </w:t>
      </w:r>
      <w:r w:rsidRPr="00156FB4" w:rsidR="00DB2346">
        <w:t>was</w:t>
      </w:r>
      <w:r w:rsidRPr="00156FB4" w:rsidR="00FD653D">
        <w:t xml:space="preserve"> inadequate. In particular, they complained that the law was not sufficiently foreseeable</w:t>
      </w:r>
      <w:r w:rsidRPr="00156FB4" w:rsidR="00DB2346">
        <w:t>,</w:t>
      </w:r>
      <w:r w:rsidRPr="00156FB4" w:rsidR="00FD653D">
        <w:t xml:space="preserve"> in that it did not specify the criteria for determining the market value of property to be taken for State needs.</w:t>
      </w:r>
    </w:p>
    <w:p w:rsidRPr="00156FB4" w:rsidR="00FD653D" w:rsidP="00156FB4" w:rsidRDefault="00FD653D">
      <w:pPr>
        <w:pStyle w:val="ECHRPara"/>
      </w:pPr>
      <w:r w:rsidRPr="00156FB4">
        <w:fldChar w:fldCharType="begin"/>
      </w:r>
      <w:r w:rsidRPr="00156FB4">
        <w:instrText xml:space="preserve"> SEQ level0 \*arabic </w:instrText>
      </w:r>
      <w:r w:rsidRPr="00156FB4">
        <w:fldChar w:fldCharType="separate"/>
      </w:r>
      <w:r w:rsidRPr="00156FB4" w:rsidR="00156FB4">
        <w:rPr>
          <w:noProof/>
        </w:rPr>
        <w:t>53</w:t>
      </w:r>
      <w:r w:rsidRPr="00156FB4">
        <w:fldChar w:fldCharType="end"/>
      </w:r>
      <w:r w:rsidRPr="00156FB4">
        <w:t>.  Article 1 of Protocol No. 1 to the Convention reads as follows:</w:t>
      </w:r>
    </w:p>
    <w:p w:rsidRPr="00156FB4" w:rsidR="00FD653D" w:rsidP="00156FB4" w:rsidRDefault="00FD653D">
      <w:pPr>
        <w:pStyle w:val="ECHRParaQuote"/>
      </w:pPr>
      <w:r w:rsidRPr="00156FB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56FB4" w:rsidR="00FD653D" w:rsidP="00156FB4" w:rsidRDefault="00FD653D">
      <w:pPr>
        <w:pStyle w:val="ECHRParaQuote"/>
      </w:pPr>
      <w:r w:rsidRPr="00156FB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56FB4" w:rsidR="00D420F3" w:rsidP="00156FB4" w:rsidRDefault="0077175D">
      <w:pPr>
        <w:pStyle w:val="ECHRHeading2"/>
      </w:pPr>
      <w:r w:rsidRPr="00156FB4">
        <w:t>A.  Admissibility</w:t>
      </w:r>
    </w:p>
    <w:p w:rsidRPr="00156FB4" w:rsidR="00D420F3"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54</w:t>
      </w:r>
      <w:r w:rsidRPr="00156FB4">
        <w:fldChar w:fldCharType="end"/>
      </w:r>
      <w:r w:rsidRPr="00156FB4" w:rsidR="0077175D">
        <w:t>.  The Court notes that this complaint is not manifestly ill-founded within the meaning of Article 35 § 3 (a) of the Convention. It further notes that it is not inadmissible on any other grounds. It must therefore be declared admissible.</w:t>
      </w:r>
    </w:p>
    <w:p w:rsidRPr="00156FB4" w:rsidR="00D420F3" w:rsidP="00156FB4" w:rsidRDefault="0077175D">
      <w:pPr>
        <w:pStyle w:val="ECHRHeading2"/>
      </w:pPr>
      <w:r w:rsidRPr="00156FB4">
        <w:t>B.  Merits</w:t>
      </w:r>
    </w:p>
    <w:p w:rsidRPr="00156FB4" w:rsidR="00871A14" w:rsidP="00156FB4" w:rsidRDefault="00871A14">
      <w:pPr>
        <w:pStyle w:val="ECHRHeading3"/>
      </w:pPr>
      <w:r w:rsidRPr="00156FB4">
        <w:t>1.  The parties</w:t>
      </w:r>
      <w:r w:rsidRPr="00156FB4" w:rsidR="00156FB4">
        <w:t>’</w:t>
      </w:r>
      <w:r w:rsidRPr="00156FB4">
        <w:t xml:space="preserve"> submissions</w:t>
      </w:r>
    </w:p>
    <w:p w:rsidRPr="00156FB4" w:rsidR="00871A14" w:rsidP="00156FB4" w:rsidRDefault="00871A14">
      <w:pPr>
        <w:pStyle w:val="ECHRHeading4"/>
      </w:pPr>
      <w:r w:rsidRPr="00156FB4">
        <w:t>(a)  The applicants</w:t>
      </w:r>
    </w:p>
    <w:p w:rsidRPr="00156FB4" w:rsidR="0062048B" w:rsidP="00156FB4" w:rsidRDefault="00871A14">
      <w:pPr>
        <w:pStyle w:val="ECHRPara"/>
      </w:pPr>
      <w:r w:rsidRPr="00156FB4">
        <w:fldChar w:fldCharType="begin"/>
      </w:r>
      <w:r w:rsidRPr="00156FB4">
        <w:instrText xml:space="preserve"> SEQ level0 \*arabic </w:instrText>
      </w:r>
      <w:r w:rsidRPr="00156FB4">
        <w:fldChar w:fldCharType="separate"/>
      </w:r>
      <w:r w:rsidRPr="00156FB4" w:rsidR="00156FB4">
        <w:rPr>
          <w:noProof/>
        </w:rPr>
        <w:t>55</w:t>
      </w:r>
      <w:r w:rsidRPr="00156FB4">
        <w:fldChar w:fldCharType="end"/>
      </w:r>
      <w:r w:rsidRPr="00156FB4">
        <w:t xml:space="preserve">.  The applicants maintained that the land </w:t>
      </w:r>
      <w:r w:rsidRPr="00156FB4" w:rsidR="00DB2346">
        <w:t xml:space="preserve">expropriated from them </w:t>
      </w:r>
      <w:r w:rsidRPr="00156FB4">
        <w:t>had been their only source of income. They argued that the deprivation of their property had not satisfied the requirement of lawfulness, had not pursued any public interest</w:t>
      </w:r>
      <w:r w:rsidRPr="00156FB4" w:rsidR="00DB2346">
        <w:t>,</w:t>
      </w:r>
      <w:r w:rsidRPr="00156FB4">
        <w:t xml:space="preserve"> and the amount of compensation awarded had been inadequate. As regards the requirement of lawfulness, they argued that the law was not sufficiently foreseeable</w:t>
      </w:r>
      <w:r w:rsidRPr="00156FB4" w:rsidR="000A6E83">
        <w:t>,</w:t>
      </w:r>
      <w:r w:rsidRPr="00156FB4">
        <w:t xml:space="preserve"> in that it did not specify the criteria for determining the market value of property to be taken for State needs. The applicants denied that the expropriation of their land had been carried out on “public interest” grounds</w:t>
      </w:r>
      <w:r w:rsidRPr="00156FB4" w:rsidR="0062048B">
        <w:t>.</w:t>
      </w:r>
    </w:p>
    <w:p w:rsidRPr="00156FB4" w:rsidR="00871A14" w:rsidP="00156FB4" w:rsidRDefault="00871A14">
      <w:pPr>
        <w:pStyle w:val="ECHRPara"/>
      </w:pPr>
      <w:r w:rsidRPr="00156FB4">
        <w:fldChar w:fldCharType="begin"/>
      </w:r>
      <w:r w:rsidRPr="00156FB4">
        <w:instrText xml:space="preserve"> SEQ level0 \*arabic </w:instrText>
      </w:r>
      <w:r w:rsidRPr="00156FB4">
        <w:fldChar w:fldCharType="separate"/>
      </w:r>
      <w:r w:rsidRPr="00156FB4" w:rsidR="00156FB4">
        <w:rPr>
          <w:noProof/>
        </w:rPr>
        <w:t>56</w:t>
      </w:r>
      <w:r w:rsidRPr="00156FB4">
        <w:fldChar w:fldCharType="end"/>
      </w:r>
      <w:r w:rsidRPr="00156FB4">
        <w:t xml:space="preserve">.  The applicants further argued that the </w:t>
      </w:r>
      <w:r w:rsidRPr="00156FB4" w:rsidR="000A6E83">
        <w:t>assessment</w:t>
      </w:r>
      <w:r w:rsidRPr="00156FB4">
        <w:t xml:space="preserve"> of the market value of their land had been done by relying on </w:t>
      </w:r>
      <w:r w:rsidRPr="00156FB4" w:rsidR="000A6E83">
        <w:t>a</w:t>
      </w:r>
      <w:r w:rsidRPr="00156FB4">
        <w:t xml:space="preserve"> comparative method</w:t>
      </w:r>
      <w:r w:rsidRPr="00156FB4" w:rsidR="000A6E83">
        <w:t>,</w:t>
      </w:r>
      <w:r w:rsidRPr="00156FB4">
        <w:t xml:space="preserve"> which could not adequately reflect its true market value. Moreover, the sum that they had received in compensation was much lower than the cadastral value of the expropriated land at the time the expropriation procedure was initiated</w:t>
      </w:r>
      <w:r w:rsidRPr="00156FB4" w:rsidR="000A6E83">
        <w:t>,</w:t>
      </w:r>
      <w:r w:rsidRPr="00156FB4">
        <w:t xml:space="preserve"> and was manifestly inadequate in relation to the actual</w:t>
      </w:r>
      <w:r w:rsidRPr="00156FB4" w:rsidR="0062048B">
        <w:t xml:space="preserve"> value of the land in question.</w:t>
      </w:r>
      <w:r w:rsidRPr="00156FB4" w:rsidR="001A7B40">
        <w:t xml:space="preserve"> They referred to Government Decree No. 746 of 29 December 2003</w:t>
      </w:r>
      <w:r w:rsidRPr="00156FB4" w:rsidR="000A6E83">
        <w:t>,</w:t>
      </w:r>
      <w:r w:rsidRPr="00156FB4" w:rsidR="001A7B40">
        <w:t xml:space="preserve"> according to which the cadastral value of land in the same zone as theirs amounted to AMD 222 per square metre.</w:t>
      </w:r>
    </w:p>
    <w:p w:rsidRPr="00156FB4" w:rsidR="00871A14" w:rsidP="00156FB4" w:rsidRDefault="00871A14">
      <w:pPr>
        <w:pStyle w:val="ECHRHeading4"/>
      </w:pPr>
      <w:r w:rsidRPr="00156FB4">
        <w:t>(b)  The Government</w:t>
      </w:r>
    </w:p>
    <w:p w:rsidRPr="00156FB4" w:rsidR="00871A14" w:rsidP="00156FB4" w:rsidRDefault="00871A14">
      <w:pPr>
        <w:pStyle w:val="ECHRPara"/>
      </w:pPr>
      <w:r w:rsidRPr="00156FB4">
        <w:fldChar w:fldCharType="begin"/>
      </w:r>
      <w:r w:rsidRPr="00156FB4">
        <w:instrText xml:space="preserve"> SEQ level0 \*arabic </w:instrText>
      </w:r>
      <w:r w:rsidRPr="00156FB4">
        <w:fldChar w:fldCharType="separate"/>
      </w:r>
      <w:r w:rsidRPr="00156FB4" w:rsidR="00156FB4">
        <w:rPr>
          <w:noProof/>
        </w:rPr>
        <w:t>57</w:t>
      </w:r>
      <w:r w:rsidRPr="00156FB4">
        <w:fldChar w:fldCharType="end"/>
      </w:r>
      <w:r w:rsidRPr="00156FB4">
        <w:t xml:space="preserve">.  The Government maintained </w:t>
      </w:r>
      <w:r w:rsidRPr="00156FB4" w:rsidR="000A6E83">
        <w:t xml:space="preserve">that </w:t>
      </w:r>
      <w:r w:rsidRPr="00156FB4">
        <w:t>the deprivation of the applicants</w:t>
      </w:r>
      <w:r w:rsidRPr="00156FB4" w:rsidR="00156FB4">
        <w:t>’</w:t>
      </w:r>
      <w:r w:rsidRPr="00156FB4">
        <w:t xml:space="preserve"> property had been “provided by law” and by “the general principles of international law”. According to the domestic law, the determination of the market value of a</w:t>
      </w:r>
      <w:r w:rsidRPr="00156FB4" w:rsidR="000A6E83">
        <w:t xml:space="preserve">n item of </w:t>
      </w:r>
      <w:r w:rsidRPr="00156FB4">
        <w:t xml:space="preserve">real estate was to be carried out in accordance with the Law on Real Estate </w:t>
      </w:r>
      <w:r w:rsidRPr="00156FB4" w:rsidR="000A6E83">
        <w:t>V</w:t>
      </w:r>
      <w:r w:rsidRPr="00156FB4">
        <w:t>aluation Activity</w:t>
      </w:r>
      <w:r w:rsidRPr="00156FB4" w:rsidR="000A6E83">
        <w:t>,</w:t>
      </w:r>
      <w:r w:rsidRPr="00156FB4">
        <w:t xml:space="preserve"> which was sufficiently precise as regards the definition and calculation of the due compensation for expropriation. As this Law had entered into force in 2005, it had been foreseeable to the applicants</w:t>
      </w:r>
      <w:r w:rsidRPr="00156FB4" w:rsidR="000A6E83">
        <w:t xml:space="preserve"> at the time</w:t>
      </w:r>
      <w:r w:rsidRPr="00156FB4">
        <w:t>. Moreover, the expropriation of the applicants</w:t>
      </w:r>
      <w:r w:rsidRPr="00156FB4" w:rsidR="00156FB4">
        <w:t>’</w:t>
      </w:r>
      <w:r w:rsidRPr="00156FB4">
        <w:t xml:space="preserve"> land had been carried out in the public interest</w:t>
      </w:r>
      <w:r w:rsidRPr="00156FB4" w:rsidR="000A6E83">
        <w:t xml:space="preserve">; </w:t>
      </w:r>
      <w:r w:rsidRPr="00156FB4">
        <w:t>it had pursued the legitimate aim of development of the economy and infrastructure</w:t>
      </w:r>
      <w:r w:rsidRPr="00156FB4" w:rsidR="000A6E83">
        <w:t>,</w:t>
      </w:r>
      <w:r w:rsidRPr="00156FB4">
        <w:t xml:space="preserve"> and had been in the interest of higher levels of production and export. These </w:t>
      </w:r>
      <w:r w:rsidRPr="00156FB4" w:rsidR="000A6E83">
        <w:t xml:space="preserve">aspects of the </w:t>
      </w:r>
      <w:r w:rsidRPr="00156FB4">
        <w:t>public interest had prevailed over the applicants</w:t>
      </w:r>
      <w:r w:rsidRPr="00156FB4" w:rsidR="00156FB4">
        <w:t>’</w:t>
      </w:r>
      <w:r w:rsidRPr="00156FB4">
        <w:t xml:space="preserve"> </w:t>
      </w:r>
      <w:r w:rsidRPr="00156FB4" w:rsidR="00C255B4">
        <w:t>private interest.</w:t>
      </w:r>
    </w:p>
    <w:p w:rsidRPr="00156FB4" w:rsidR="001A7B40" w:rsidP="00156FB4" w:rsidRDefault="004F4FB9">
      <w:pPr>
        <w:pStyle w:val="ECHRPara"/>
        <w:rPr>
          <w:iCs/>
        </w:rPr>
      </w:pPr>
      <w:r w:rsidRPr="00156FB4">
        <w:fldChar w:fldCharType="begin"/>
      </w:r>
      <w:r w:rsidRPr="00156FB4">
        <w:instrText xml:space="preserve"> SEQ level0 \*arabic </w:instrText>
      </w:r>
      <w:r w:rsidRPr="00156FB4">
        <w:fldChar w:fldCharType="separate"/>
      </w:r>
      <w:r w:rsidRPr="00156FB4" w:rsidR="00156FB4">
        <w:rPr>
          <w:noProof/>
        </w:rPr>
        <w:t>58</w:t>
      </w:r>
      <w:r w:rsidRPr="00156FB4">
        <w:rPr>
          <w:noProof/>
        </w:rPr>
        <w:fldChar w:fldCharType="end"/>
      </w:r>
      <w:r w:rsidRPr="00156FB4" w:rsidR="00871A14">
        <w:t>.  As to fair balance, the Government stressed that the expropriation of the applicants</w:t>
      </w:r>
      <w:r w:rsidRPr="00156FB4" w:rsidR="00156FB4">
        <w:t>’</w:t>
      </w:r>
      <w:r w:rsidRPr="00156FB4" w:rsidR="00871A14">
        <w:t xml:space="preserve"> land had struck a fair balance between the demands of the general interest of the public and the requirements of protection of the applicants</w:t>
      </w:r>
      <w:r w:rsidRPr="00156FB4" w:rsidR="00156FB4">
        <w:t>’</w:t>
      </w:r>
      <w:r w:rsidRPr="00156FB4" w:rsidR="00871A14">
        <w:t xml:space="preserve"> property rights. The compensation paid to the applicants had been proportional to the aim pursued. The market value of the plot of land in question had been calculated by applying income and comparative methods. The comparative method took into account several factors influencing the market value of agricultural lands, such as property rights and restrictions; appearance of the plot of land; existence of any water supplies; measurements, location and yield of the plot of land; existence of any transport access; and slope degree and rock content of the plot of land. The income method took into consideration the necessary expenses and the expected incomes </w:t>
      </w:r>
      <w:r w:rsidRPr="00156FB4" w:rsidR="000A6E83">
        <w:t xml:space="preserve">produced by the </w:t>
      </w:r>
      <w:r w:rsidRPr="00156FB4" w:rsidR="00871A14">
        <w:t xml:space="preserve">growing </w:t>
      </w:r>
      <w:r w:rsidRPr="00156FB4" w:rsidR="000A6E83">
        <w:t xml:space="preserve">of </w:t>
      </w:r>
      <w:r w:rsidRPr="00156FB4" w:rsidR="00871A14">
        <w:t xml:space="preserve">crops </w:t>
      </w:r>
      <w:r w:rsidRPr="00156FB4" w:rsidR="000A6E83">
        <w:t>o</w:t>
      </w:r>
      <w:r w:rsidRPr="00156FB4" w:rsidR="00871A14">
        <w:t xml:space="preserve">n the agricultural land at issue. The average fertility rates were used for the calculation of the market value of the plot of land in question. </w:t>
      </w:r>
      <w:r w:rsidRPr="00156FB4" w:rsidR="001F7DA5">
        <w:t>D</w:t>
      </w:r>
      <w:r w:rsidRPr="00156FB4" w:rsidR="00871A14">
        <w:t>ata from neighbo</w:t>
      </w:r>
      <w:r w:rsidRPr="00156FB4" w:rsidR="000A6E83">
        <w:t>u</w:t>
      </w:r>
      <w:r w:rsidRPr="00156FB4" w:rsidR="00871A14">
        <w:t>ring and compa</w:t>
      </w:r>
      <w:r w:rsidRPr="00156FB4" w:rsidR="000A6E83">
        <w:t>ra</w:t>
      </w:r>
      <w:r w:rsidRPr="00156FB4" w:rsidR="00871A14">
        <w:t xml:space="preserve">ble plots of land </w:t>
      </w:r>
      <w:r w:rsidRPr="00156FB4" w:rsidR="00871A14">
        <w:rPr>
          <w:iCs/>
        </w:rPr>
        <w:t xml:space="preserve">not subject </w:t>
      </w:r>
      <w:r w:rsidRPr="00156FB4" w:rsidR="000A6E83">
        <w:rPr>
          <w:iCs/>
        </w:rPr>
        <w:t>to</w:t>
      </w:r>
      <w:r w:rsidRPr="00156FB4" w:rsidR="00871A14">
        <w:rPr>
          <w:iCs/>
        </w:rPr>
        <w:t xml:space="preserve"> expropriation for State needs were used in the market value assessment.</w:t>
      </w:r>
      <w:r w:rsidRPr="00156FB4" w:rsidR="001A7B40">
        <w:rPr>
          <w:iCs/>
        </w:rPr>
        <w:t xml:space="preserve"> </w:t>
      </w:r>
      <w:r w:rsidRPr="00156FB4" w:rsidR="00B431CF">
        <w:rPr>
          <w:iCs/>
        </w:rPr>
        <w:t>Moreover, Government Degree No. </w:t>
      </w:r>
      <w:r w:rsidRPr="00156FB4" w:rsidR="001A7B40">
        <w:rPr>
          <w:iCs/>
        </w:rPr>
        <w:t>1746</w:t>
      </w:r>
      <w:r w:rsidRPr="00156FB4" w:rsidR="001A7B40">
        <w:rPr>
          <w:iCs/>
        </w:rPr>
        <w:noBreakHyphen/>
        <w:t xml:space="preserve">N of 24 December 2003, </w:t>
      </w:r>
      <w:r w:rsidRPr="00156FB4" w:rsidR="00697179">
        <w:rPr>
          <w:iCs/>
        </w:rPr>
        <w:t xml:space="preserve">to </w:t>
      </w:r>
      <w:r w:rsidRPr="00156FB4" w:rsidR="001A7B40">
        <w:rPr>
          <w:iCs/>
        </w:rPr>
        <w:t>which the applicants were apparently referring, was not applicable to the determination of cadastral value of agricultural lands.</w:t>
      </w:r>
    </w:p>
    <w:p w:rsidRPr="00156FB4" w:rsidR="00871A14" w:rsidP="00156FB4" w:rsidRDefault="00871A14">
      <w:pPr>
        <w:pStyle w:val="ECHRPara"/>
        <w:rPr>
          <w:bCs/>
          <w:iCs/>
        </w:rPr>
      </w:pPr>
      <w:r w:rsidRPr="00156FB4">
        <w:rPr>
          <w:bCs/>
          <w:iCs/>
        </w:rPr>
        <w:fldChar w:fldCharType="begin"/>
      </w:r>
      <w:r w:rsidRPr="00156FB4">
        <w:rPr>
          <w:bCs/>
          <w:iCs/>
        </w:rPr>
        <w:instrText xml:space="preserve"> SEQ level0 \*arabic </w:instrText>
      </w:r>
      <w:r w:rsidRPr="00156FB4">
        <w:rPr>
          <w:bCs/>
          <w:iCs/>
        </w:rPr>
        <w:fldChar w:fldCharType="separate"/>
      </w:r>
      <w:r w:rsidRPr="00156FB4" w:rsidR="00156FB4">
        <w:rPr>
          <w:bCs/>
          <w:iCs/>
          <w:noProof/>
        </w:rPr>
        <w:t>59</w:t>
      </w:r>
      <w:r w:rsidRPr="00156FB4">
        <w:rPr>
          <w:bCs/>
          <w:iCs/>
        </w:rPr>
        <w:fldChar w:fldCharType="end"/>
      </w:r>
      <w:r w:rsidRPr="00156FB4">
        <w:rPr>
          <w:bCs/>
          <w:iCs/>
        </w:rPr>
        <w:t xml:space="preserve">.  The Government argued that the applicants had not in any way </w:t>
      </w:r>
      <w:r w:rsidRPr="00156FB4" w:rsidR="00697179">
        <w:rPr>
          <w:bCs/>
          <w:iCs/>
        </w:rPr>
        <w:t xml:space="preserve">had </w:t>
      </w:r>
      <w:r w:rsidRPr="00156FB4">
        <w:rPr>
          <w:bCs/>
          <w:iCs/>
        </w:rPr>
        <w:t>an “individual and excessive burden”</w:t>
      </w:r>
      <w:r w:rsidRPr="00156FB4" w:rsidR="00697179">
        <w:rPr>
          <w:bCs/>
          <w:iCs/>
        </w:rPr>
        <w:t xml:space="preserve"> imposed on them</w:t>
      </w:r>
      <w:r w:rsidRPr="00156FB4">
        <w:rPr>
          <w:bCs/>
          <w:iCs/>
        </w:rPr>
        <w:t xml:space="preserve">. The applicants had been given every chance, </w:t>
      </w:r>
      <w:r w:rsidRPr="00156FB4">
        <w:rPr>
          <w:bCs/>
          <w:i/>
          <w:iCs/>
        </w:rPr>
        <w:t>inter alia</w:t>
      </w:r>
      <w:r w:rsidRPr="00156FB4">
        <w:rPr>
          <w:bCs/>
          <w:iCs/>
        </w:rPr>
        <w:t>, to present other evaluation reports, to file motions</w:t>
      </w:r>
      <w:r w:rsidRPr="00156FB4" w:rsidR="00E77923">
        <w:rPr>
          <w:bCs/>
          <w:iCs/>
        </w:rPr>
        <w:t xml:space="preserve">, </w:t>
      </w:r>
      <w:r w:rsidRPr="00156FB4">
        <w:rPr>
          <w:bCs/>
          <w:iCs/>
        </w:rPr>
        <w:t>to lodge appeals</w:t>
      </w:r>
      <w:r w:rsidRPr="00156FB4" w:rsidR="00E77923">
        <w:rPr>
          <w:bCs/>
          <w:iCs/>
        </w:rPr>
        <w:t xml:space="preserve"> and to have effective access to a court</w:t>
      </w:r>
      <w:r w:rsidRPr="00156FB4">
        <w:rPr>
          <w:bCs/>
          <w:iCs/>
        </w:rPr>
        <w:t xml:space="preserve">. They had even been discharged from the payment of </w:t>
      </w:r>
      <w:r w:rsidRPr="00156FB4" w:rsidR="000E545F">
        <w:rPr>
          <w:bCs/>
          <w:iCs/>
        </w:rPr>
        <w:t xml:space="preserve">court fees </w:t>
      </w:r>
      <w:r w:rsidRPr="00156FB4">
        <w:rPr>
          <w:bCs/>
          <w:iCs/>
        </w:rPr>
        <w:t>when applying to the Court of Appeal and the Court of Cassation. Their rights had been fully guaranteed</w:t>
      </w:r>
      <w:r w:rsidRPr="00156FB4" w:rsidR="00697179">
        <w:rPr>
          <w:bCs/>
          <w:iCs/>
        </w:rPr>
        <w:t>,</w:t>
      </w:r>
      <w:r w:rsidRPr="00156FB4">
        <w:rPr>
          <w:bCs/>
          <w:iCs/>
        </w:rPr>
        <w:t xml:space="preserve"> and the domestic proceedings and the expropriation of their land had been in full compliance with the national legislation and the Convention. There was thus no violation of Article 1 of Protocol No. 1 to the Convention.</w:t>
      </w:r>
    </w:p>
    <w:p w:rsidRPr="00156FB4" w:rsidR="00871A14" w:rsidP="00156FB4" w:rsidRDefault="00871A14">
      <w:pPr>
        <w:pStyle w:val="ECHRHeading3"/>
      </w:pPr>
      <w:r w:rsidRPr="00156FB4">
        <w:t>2.  The Court</w:t>
      </w:r>
      <w:r w:rsidRPr="00156FB4" w:rsidR="00156FB4">
        <w:t>’</w:t>
      </w:r>
      <w:r w:rsidRPr="00156FB4">
        <w:t>s assessment</w:t>
      </w:r>
    </w:p>
    <w:p w:rsidRPr="00156FB4" w:rsidR="00C255B4" w:rsidP="00156FB4" w:rsidRDefault="00C255B4">
      <w:pPr>
        <w:pStyle w:val="ECHRPara"/>
      </w:pPr>
      <w:r w:rsidRPr="00156FB4">
        <w:fldChar w:fldCharType="begin"/>
      </w:r>
      <w:r w:rsidRPr="00156FB4">
        <w:instrText xml:space="preserve"> SEQ level0 \*arabic </w:instrText>
      </w:r>
      <w:r w:rsidRPr="00156FB4">
        <w:fldChar w:fldCharType="separate"/>
      </w:r>
      <w:r w:rsidRPr="00156FB4" w:rsidR="00156FB4">
        <w:rPr>
          <w:noProof/>
        </w:rPr>
        <w:t>60</w:t>
      </w:r>
      <w:r w:rsidRPr="00156FB4">
        <w:fldChar w:fldCharType="end"/>
      </w:r>
      <w:r w:rsidRPr="00156FB4">
        <w:t>.  In the present case, it is not in dispute that there has been a “deprivation of possessions” within the meaning of the second sentence of Article 1 of Protocol No. 1. The Court must therefore ascertain whether the impugned deprivation was justified under that provision.</w:t>
      </w:r>
    </w:p>
    <w:p w:rsidRPr="00156FB4" w:rsidR="00C255B4" w:rsidP="00156FB4" w:rsidRDefault="00C255B4">
      <w:pPr>
        <w:pStyle w:val="ECHRPara"/>
      </w:pPr>
      <w:r w:rsidRPr="00156FB4">
        <w:fldChar w:fldCharType="begin"/>
      </w:r>
      <w:r w:rsidRPr="00156FB4">
        <w:instrText xml:space="preserve"> SEQ level0 \*arabic </w:instrText>
      </w:r>
      <w:r w:rsidRPr="00156FB4">
        <w:fldChar w:fldCharType="separate"/>
      </w:r>
      <w:r w:rsidRPr="00156FB4" w:rsidR="00156FB4">
        <w:rPr>
          <w:noProof/>
        </w:rPr>
        <w:t>61</w:t>
      </w:r>
      <w:r w:rsidRPr="00156FB4">
        <w:fldChar w:fldCharType="end"/>
      </w:r>
      <w:r w:rsidRPr="00156FB4">
        <w:t>.  The Court reiterates that, to be compatible with Article 1 of Protocol No. 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156FB4" w:rsidR="00156FB4">
        <w:t>’</w:t>
      </w:r>
      <w:r w:rsidRPr="00156FB4">
        <w:t xml:space="preserve">s rights and the interests of the community (see, among other authorities, </w:t>
      </w:r>
      <w:r w:rsidRPr="00156FB4">
        <w:rPr>
          <w:i/>
          <w:iCs/>
        </w:rPr>
        <w:t>Vistiņš and Perepjolkins v. Latvia</w:t>
      </w:r>
      <w:r w:rsidRPr="00156FB4">
        <w:t xml:space="preserve"> [GC], no. </w:t>
      </w:r>
      <w:hyperlink w:tgtFrame="_blank" w:history="1" w:anchor="{&quot;appno&quot;:[&quot;71243/01&quot;]}" r:id="rId11">
        <w:r w:rsidRPr="00156FB4">
          <w:t>71243/01</w:t>
        </w:r>
      </w:hyperlink>
      <w:r w:rsidRPr="00156FB4">
        <w:t>, § 94, 25 October 2012). The Court will thus proceed to examine whether those three conditions have been met in the present case.</w:t>
      </w:r>
    </w:p>
    <w:p w:rsidRPr="00156FB4" w:rsidR="00C255B4" w:rsidP="00156FB4" w:rsidRDefault="00C255B4">
      <w:pPr>
        <w:pStyle w:val="ECHRHeading4"/>
      </w:pPr>
      <w:r w:rsidRPr="00156FB4">
        <w:t>(a)  “Subject to the conditions provided for by law”</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62</w:t>
      </w:r>
      <w:r w:rsidRPr="00156FB4">
        <w:rPr>
          <w:noProof/>
        </w:rPr>
        <w:fldChar w:fldCharType="end"/>
      </w:r>
      <w:r w:rsidRPr="00156FB4" w:rsidR="00C255B4">
        <w:t>.  In the instant case it is not in dispute that the expropriation of the applicants</w:t>
      </w:r>
      <w:r w:rsidRPr="00156FB4" w:rsidR="00156FB4">
        <w:t>’</w:t>
      </w:r>
      <w:r w:rsidRPr="00156FB4" w:rsidR="00C255B4">
        <w:t xml:space="preserve"> property was carried out on the basis of the Law on Alienation of Property for the </w:t>
      </w:r>
      <w:r w:rsidRPr="00156FB4" w:rsidR="00697179">
        <w:t>N</w:t>
      </w:r>
      <w:r w:rsidRPr="00156FB4" w:rsidR="00C255B4">
        <w:t xml:space="preserve">eeds of Society and the State. Section 11 § 3 of that Law refers to the Law on Real Estate </w:t>
      </w:r>
      <w:r w:rsidRPr="00156FB4" w:rsidR="00697179">
        <w:t>V</w:t>
      </w:r>
      <w:r w:rsidRPr="00156FB4" w:rsidR="00C255B4">
        <w:t>aluation Activity</w:t>
      </w:r>
      <w:r w:rsidRPr="00156FB4" w:rsidR="00697179">
        <w:t>,</w:t>
      </w:r>
      <w:r w:rsidRPr="00156FB4" w:rsidR="00C255B4">
        <w:t xml:space="preserve"> which provides for methods for real</w:t>
      </w:r>
      <w:r w:rsidRPr="00156FB4" w:rsidR="00697179">
        <w:t>-</w:t>
      </w:r>
      <w:r w:rsidRPr="00156FB4" w:rsidR="00C255B4">
        <w:t xml:space="preserve">estate valuations (see paragraphs </w:t>
      </w:r>
      <w:r w:rsidRPr="00156FB4" w:rsidR="00AB4CEE">
        <w:t>48</w:t>
      </w:r>
      <w:r w:rsidRPr="00156FB4" w:rsidR="00C255B4">
        <w:t>-</w:t>
      </w:r>
      <w:r w:rsidRPr="00156FB4" w:rsidR="00AB4CEE">
        <w:t>50</w:t>
      </w:r>
      <w:r w:rsidRPr="00156FB4" w:rsidR="00C255B4">
        <w:t xml:space="preserve"> above).</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63</w:t>
      </w:r>
      <w:r w:rsidRPr="00156FB4">
        <w:rPr>
          <w:noProof/>
        </w:rPr>
        <w:fldChar w:fldCharType="end"/>
      </w:r>
      <w:r w:rsidRPr="00156FB4" w:rsidR="00C255B4">
        <w:t xml:space="preserve">.  The Court has already found in its earlier case-law that the above-mentioned legal provisions were clear enough to enable applicants to foresee in general terms the manner in which the market value of their property would be evaluated (see </w:t>
      </w:r>
      <w:r w:rsidRPr="00156FB4" w:rsidR="00C255B4">
        <w:rPr>
          <w:i/>
          <w:iCs/>
        </w:rPr>
        <w:t>Osmanyan and Amiraghyan v. Armenia</w:t>
      </w:r>
      <w:r w:rsidRPr="00156FB4" w:rsidR="00C255B4">
        <w:t xml:space="preserve">, no. 71306/11, § 58, 11 October 2018). For the Court it was not unreasonable that a </w:t>
      </w:r>
      <w:r w:rsidRPr="00156FB4" w:rsidR="00697179">
        <w:t xml:space="preserve">modicum of </w:t>
      </w:r>
      <w:r w:rsidRPr="00156FB4" w:rsidR="00C255B4">
        <w:t>choice of methods to be used during valuation is left to the valu</w:t>
      </w:r>
      <w:r w:rsidRPr="00156FB4" w:rsidR="00697179">
        <w:t>e</w:t>
      </w:r>
      <w:r w:rsidRPr="00156FB4" w:rsidR="00C255B4">
        <w:t>r</w:t>
      </w:r>
      <w:r w:rsidRPr="00156FB4" w:rsidR="00697179">
        <w:t>,</w:t>
      </w:r>
      <w:r w:rsidRPr="00156FB4" w:rsidR="00C255B4">
        <w:t xml:space="preserve"> who chooses an appropriate method in a particular situation depending on the specificities of the real estate in question (</w:t>
      </w:r>
      <w:r w:rsidRPr="00156FB4" w:rsidR="007F0280">
        <w:t xml:space="preserve">ibid., </w:t>
      </w:r>
      <w:r w:rsidRPr="00156FB4" w:rsidR="00C255B4">
        <w:rPr>
          <w:iCs/>
        </w:rPr>
        <w:t>§ 57)</w:t>
      </w:r>
      <w:r w:rsidRPr="00156FB4" w:rsidR="00C255B4">
        <w:t>. As the applicants could challenge the report prepared by the valu</w:t>
      </w:r>
      <w:r w:rsidRPr="00156FB4" w:rsidR="00697179">
        <w:t>e</w:t>
      </w:r>
      <w:r w:rsidRPr="00156FB4" w:rsidR="00C255B4">
        <w:t>r hired by the acquirer of their property, the Court finds that the applicants were afforded sufficient guarantees against arbitrariness. Consequently, the impugned expropriation may be regarded as having been carried out “subject to the conditions provided for by law”.</w:t>
      </w:r>
    </w:p>
    <w:p w:rsidRPr="00156FB4" w:rsidR="00C255B4" w:rsidP="00156FB4" w:rsidRDefault="00C255B4">
      <w:pPr>
        <w:pStyle w:val="ECHRHeading4"/>
      </w:pPr>
      <w:r w:rsidRPr="00156FB4">
        <w:t>(b)  “In the public interest”</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64</w:t>
      </w:r>
      <w:r w:rsidRPr="00156FB4">
        <w:rPr>
          <w:noProof/>
        </w:rPr>
        <w:fldChar w:fldCharType="end"/>
      </w:r>
      <w:r w:rsidRPr="00156FB4" w:rsidR="00C255B4">
        <w:t xml:space="preserve">.  The Court reiterates that, because of their direct knowledge of their society and its needs, the national authorities are in principle better placed than </w:t>
      </w:r>
      <w:r w:rsidRPr="00156FB4" w:rsidR="00697179">
        <w:t>an</w:t>
      </w:r>
      <w:r w:rsidRPr="00156FB4" w:rsidR="00C255B4">
        <w:t xml:space="preserve"> international judge to appreciate what is “in the public interest”. Under the system of protection established by the Convention, it is thus for the national authorities to make the initial assessment as to the existence of a </w:t>
      </w:r>
      <w:r w:rsidRPr="00156FB4" w:rsidR="00697179">
        <w:t>matter</w:t>
      </w:r>
      <w:r w:rsidRPr="00156FB4" w:rsidR="00C255B4">
        <w:t xml:space="preserve"> of public concern warranting measures of deprivation of property. Here, as in other fields to which the safeguards of the Convention extend, the national authorities accordingly enjoy a certain margin of appreciation. Furthermore, the notion of </w:t>
      </w:r>
      <w:r w:rsidRPr="00156FB4" w:rsidR="00697179">
        <w:t xml:space="preserve">the </w:t>
      </w:r>
      <w:r w:rsidRPr="00156FB4" w:rsidR="00C255B4">
        <w:t xml:space="preserve">“public interest” is necessarily </w:t>
      </w:r>
      <w:r w:rsidRPr="00156FB4" w:rsidR="00697179">
        <w:t>a broad one</w:t>
      </w:r>
      <w:r w:rsidRPr="00156FB4" w:rsidR="00C255B4">
        <w:t xml:space="preserve">. In particular, </w:t>
      </w:r>
      <w:r w:rsidRPr="00156FB4" w:rsidR="00697179">
        <w:t>a</w:t>
      </w:r>
      <w:r w:rsidRPr="00156FB4" w:rsidR="00C255B4">
        <w:t xml:space="preserv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156FB4" w:rsidR="00156FB4">
        <w:t>’</w:t>
      </w:r>
      <w:r w:rsidRPr="00156FB4" w:rsidR="00C255B4">
        <w:t xml:space="preserve">s judgment as to what is “in the public interest” unless that judgment is manifestly without reasonable foundation (see </w:t>
      </w:r>
      <w:r w:rsidRPr="00156FB4" w:rsidR="00C255B4">
        <w:rPr>
          <w:i/>
          <w:iCs/>
        </w:rPr>
        <w:t xml:space="preserve">Beyeler v. </w:t>
      </w:r>
      <w:r w:rsidRPr="00156FB4" w:rsidR="00C255B4">
        <w:rPr>
          <w:i/>
        </w:rPr>
        <w:t>Italy</w:t>
      </w:r>
      <w:r w:rsidRPr="00156FB4" w:rsidR="00C255B4">
        <w:t xml:space="preserve"> [GC], no. </w:t>
      </w:r>
      <w:hyperlink w:tgtFrame="_blank" w:history="1" w:anchor="{&quot;appno&quot;:[&quot;33202/96&quot;]}" r:id="rId12">
        <w:r w:rsidRPr="00156FB4" w:rsidR="00C255B4">
          <w:t>33202/96</w:t>
        </w:r>
      </w:hyperlink>
      <w:r w:rsidRPr="00156FB4" w:rsidR="00C255B4">
        <w:t>, § 112, ECHR 2000</w:t>
      </w:r>
      <w:r w:rsidRPr="00156FB4" w:rsidR="00C255B4">
        <w:noBreakHyphen/>
        <w:t xml:space="preserve">I, and </w:t>
      </w:r>
      <w:r w:rsidRPr="00156FB4" w:rsidR="00156FB4">
        <w:rPr>
          <w:i/>
          <w:iCs/>
        </w:rPr>
        <w:t>Vistiņš and </w:t>
      </w:r>
      <w:r w:rsidRPr="00156FB4" w:rsidR="00C255B4">
        <w:rPr>
          <w:i/>
          <w:iCs/>
        </w:rPr>
        <w:t>Perepjolkins</w:t>
      </w:r>
      <w:r w:rsidRPr="00156FB4" w:rsidR="00C255B4">
        <w:t>, cited above, § 106).</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65</w:t>
      </w:r>
      <w:r w:rsidRPr="00156FB4">
        <w:rPr>
          <w:noProof/>
        </w:rPr>
        <w:fldChar w:fldCharType="end"/>
      </w:r>
      <w:r w:rsidRPr="00156FB4" w:rsidR="00C255B4">
        <w:t>.  The Government argued that the State needed to expropriate the applicants</w:t>
      </w:r>
      <w:r w:rsidRPr="00156FB4" w:rsidR="00156FB4">
        <w:t>’</w:t>
      </w:r>
      <w:r w:rsidRPr="00156FB4" w:rsidR="00C255B4">
        <w:t xml:space="preserve"> land for the development of the economy and infrastructure as a result of the implementation of the Teghout copper</w:t>
      </w:r>
      <w:r w:rsidRPr="00156FB4" w:rsidR="00C255B4">
        <w:noBreakHyphen/>
        <w:t xml:space="preserve">molybdenum deposit exploitation project. The Court has no convincing evidence on which to conclude that these reasons were manifestly devoid of any reasonable basis (contrast </w:t>
      </w:r>
      <w:r w:rsidRPr="00156FB4" w:rsidR="00C255B4">
        <w:rPr>
          <w:i/>
        </w:rPr>
        <w:t>Tkachevy v. Russia</w:t>
      </w:r>
      <w:r w:rsidRPr="00156FB4" w:rsidR="00C255B4">
        <w:t xml:space="preserve">, no. </w:t>
      </w:r>
      <w:hyperlink w:tgtFrame="_blank" w:history="1" w:anchor="{&quot;appno&quot;:[&quot;35430/05&quot;]}" r:id="rId13">
        <w:r w:rsidRPr="00156FB4" w:rsidR="00C255B4">
          <w:t>35430/05</w:t>
        </w:r>
      </w:hyperlink>
      <w:r w:rsidRPr="00156FB4" w:rsidR="00C255B4">
        <w:t>, § 50, 14 February 2012).</w:t>
      </w:r>
    </w:p>
    <w:p w:rsidRPr="00156FB4" w:rsidR="00C255B4" w:rsidP="00156FB4" w:rsidRDefault="00C255B4">
      <w:pPr>
        <w:pStyle w:val="ECHRHeading4"/>
      </w:pPr>
      <w:r w:rsidRPr="00156FB4">
        <w:t>(c)  Proportionality of the impugned measure</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66</w:t>
      </w:r>
      <w:r w:rsidRPr="00156FB4">
        <w:rPr>
          <w:noProof/>
        </w:rPr>
        <w:fldChar w:fldCharType="end"/>
      </w:r>
      <w:r w:rsidRPr="00156FB4" w:rsidR="00C255B4">
        <w:t xml:space="preserve">.  Article 1 of Protocol No. 1 requires that any interference be reasonably proportionate to the aim sought to be realised (see </w:t>
      </w:r>
      <w:r w:rsidRPr="00156FB4" w:rsidR="00156FB4">
        <w:rPr>
          <w:i/>
        </w:rPr>
        <w:t>Jahn and </w:t>
      </w:r>
      <w:r w:rsidRPr="00156FB4" w:rsidR="00C255B4">
        <w:rPr>
          <w:i/>
        </w:rPr>
        <w:t>Others v. Germany</w:t>
      </w:r>
      <w:r w:rsidRPr="00156FB4" w:rsidR="00C255B4">
        <w:t xml:space="preserve"> [GC], nos. </w:t>
      </w:r>
      <w:hyperlink w:tgtFrame="_blank" w:history="1" w:anchor="{&quot;appno&quot;:[&quot;46720/99&quot;]}" r:id="rId14">
        <w:r w:rsidRPr="00156FB4" w:rsidR="00C255B4">
          <w:t>46720/99</w:t>
        </w:r>
      </w:hyperlink>
      <w:r w:rsidRPr="00156FB4" w:rsidR="00156FB4">
        <w:t xml:space="preserve"> and 2 others, §§ 81-94, ECHR </w:t>
      </w:r>
      <w:r w:rsidRPr="00156FB4" w:rsidR="00C255B4">
        <w:t>2005</w:t>
      </w:r>
      <w:r w:rsidRPr="00156FB4" w:rsidR="00C255B4">
        <w:noBreakHyphen/>
        <w:t xml:space="preserve">VI). The requisite fair balance will not be struck where the person concerned bears an individual and excessive burden (see </w:t>
      </w:r>
      <w:r w:rsidRPr="00156FB4" w:rsidR="00C255B4">
        <w:rPr>
          <w:i/>
        </w:rPr>
        <w:t>Stefanetti and Others v. Italy</w:t>
      </w:r>
      <w:r w:rsidRPr="00156FB4" w:rsidR="00C255B4">
        <w:t xml:space="preserve">, nos. </w:t>
      </w:r>
      <w:hyperlink w:tgtFrame="_blank" w:history="1" w:anchor="{&quot;appno&quot;:[&quot;21838/10&quot;]}" r:id="rId15">
        <w:r w:rsidRPr="00156FB4" w:rsidR="00C255B4">
          <w:t>21838/10</w:t>
        </w:r>
      </w:hyperlink>
      <w:r w:rsidRPr="00156FB4" w:rsidR="00C255B4">
        <w:t xml:space="preserve"> and 7 others, § 66, 15 April 2014).</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67</w:t>
      </w:r>
      <w:r w:rsidRPr="00156FB4">
        <w:rPr>
          <w:noProof/>
        </w:rPr>
        <w:fldChar w:fldCharType="end"/>
      </w:r>
      <w:r w:rsidRPr="00156FB4" w:rsidR="00C255B4">
        <w:t xml:space="preserve">.  Compensation terms under the relevant legislation are material to the assessment of whether the contested measure respects the requisite fair balance and, notably, whether it imposes a disproportionate burden on the applicants (see the recapitulation of the relevant principles in </w:t>
      </w:r>
      <w:r w:rsidRPr="00156FB4" w:rsidR="00156FB4">
        <w:rPr>
          <w:i/>
          <w:iCs/>
        </w:rPr>
        <w:t>Vistiņš and </w:t>
      </w:r>
      <w:r w:rsidRPr="00156FB4" w:rsidR="00C255B4">
        <w:rPr>
          <w:i/>
          <w:iCs/>
        </w:rPr>
        <w:t>Perepjolkins</w:t>
      </w:r>
      <w:r w:rsidRPr="00156FB4" w:rsidR="00C255B4">
        <w:t>, cited above, §§ 110-14).</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68</w:t>
      </w:r>
      <w:r w:rsidRPr="00156FB4">
        <w:rPr>
          <w:noProof/>
        </w:rPr>
        <w:fldChar w:fldCharType="end"/>
      </w:r>
      <w:r w:rsidRPr="00156FB4" w:rsidR="00C255B4">
        <w:t>.  The applicants argued, relying on Government Decree No. 746 of 29 December 2003, that the compensation received was significantly lower than the cadastral value of their land</w:t>
      </w:r>
      <w:r w:rsidRPr="00156FB4" w:rsidR="00697179">
        <w:t>,</w:t>
      </w:r>
      <w:r w:rsidRPr="00156FB4" w:rsidR="00C255B4">
        <w:t xml:space="preserve"> which they claimed to be AMD 222 per square metre (see paragraph </w:t>
      </w:r>
      <w:r w:rsidRPr="00156FB4" w:rsidR="00AB4CEE">
        <w:t>56</w:t>
      </w:r>
      <w:r w:rsidRPr="00156FB4" w:rsidR="00C255B4">
        <w:t xml:space="preserve"> above). However, Government Decree No. 1746</w:t>
      </w:r>
      <w:r w:rsidRPr="00156FB4" w:rsidR="00C255B4">
        <w:noBreakHyphen/>
        <w:t xml:space="preserve">N of 24 December 2003, which sets out the coefficients used for </w:t>
      </w:r>
      <w:r w:rsidRPr="00156FB4" w:rsidR="00697179">
        <w:t xml:space="preserve">the </w:t>
      </w:r>
      <w:r w:rsidRPr="00156FB4" w:rsidR="00C255B4">
        <w:t xml:space="preserve">calculation of </w:t>
      </w:r>
      <w:r w:rsidRPr="00156FB4" w:rsidR="00697179">
        <w:t xml:space="preserve">the </w:t>
      </w:r>
      <w:r w:rsidRPr="00156FB4" w:rsidR="00C255B4">
        <w:t>cadastral value of land</w:t>
      </w:r>
      <w:r w:rsidRPr="00156FB4" w:rsidR="00697179">
        <w:t>,</w:t>
      </w:r>
      <w:r w:rsidRPr="00156FB4" w:rsidR="00C255B4">
        <w:t xml:space="preserve"> and indeed lists </w:t>
      </w:r>
      <w:r w:rsidRPr="00156FB4" w:rsidR="00AB4CEE">
        <w:t xml:space="preserve">Shnogh </w:t>
      </w:r>
      <w:r w:rsidRPr="00156FB4" w:rsidR="00C255B4">
        <w:t xml:space="preserve">village within the zone the coefficient of which corresponds to the amount per square metre claimed by the applicants, explicitly states that this decree is not applicable to the determination of </w:t>
      </w:r>
      <w:r w:rsidRPr="00156FB4" w:rsidR="00697179">
        <w:t xml:space="preserve">the </w:t>
      </w:r>
      <w:r w:rsidRPr="00156FB4" w:rsidR="00C255B4">
        <w:t xml:space="preserve">cadastral value of agricultural land (see paragraph </w:t>
      </w:r>
      <w:r w:rsidRPr="00156FB4" w:rsidR="00AB4CEE">
        <w:t>58</w:t>
      </w:r>
      <w:r w:rsidRPr="00156FB4" w:rsidR="00C255B4">
        <w:t xml:space="preserve"> above).</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69</w:t>
      </w:r>
      <w:r w:rsidRPr="00156FB4">
        <w:rPr>
          <w:noProof/>
        </w:rPr>
        <w:fldChar w:fldCharType="end"/>
      </w:r>
      <w:r w:rsidRPr="00156FB4" w:rsidR="00C255B4">
        <w:t>.  In the present case, it is not disputed that</w:t>
      </w:r>
      <w:r w:rsidRPr="00156FB4" w:rsidR="00AB4CEE">
        <w:t>,</w:t>
      </w:r>
      <w:r w:rsidRPr="00156FB4" w:rsidR="00C255B4">
        <w:t xml:space="preserve"> according to domestic law</w:t>
      </w:r>
      <w:r w:rsidRPr="00156FB4" w:rsidR="00AB4CEE">
        <w:t>,</w:t>
      </w:r>
      <w:r w:rsidRPr="00156FB4" w:rsidR="00C255B4">
        <w:t xml:space="preserve"> the applicants were entitled to full compensation </w:t>
      </w:r>
      <w:r w:rsidRPr="00156FB4" w:rsidR="00697179">
        <w:t>consisting</w:t>
      </w:r>
      <w:r w:rsidRPr="00156FB4" w:rsidR="00C255B4">
        <w:t xml:space="preserve"> of the estimated market value of their property and an additional </w:t>
      </w:r>
      <w:r w:rsidRPr="00156FB4" w:rsidR="00697179">
        <w:t xml:space="preserve">15% </w:t>
      </w:r>
      <w:r w:rsidRPr="00156FB4" w:rsidR="00C255B4">
        <w:t xml:space="preserve">of that amount. However, the courts determined the amount of compensation payable to the applicants solely on the basis of the valuation report prepared by Oliver Group LLC, which amended its initial assessment by submitting </w:t>
      </w:r>
      <w:r w:rsidRPr="00156FB4" w:rsidR="00AB4CEE">
        <w:t xml:space="preserve">a </w:t>
      </w:r>
      <w:r w:rsidRPr="00156FB4" w:rsidR="00C255B4">
        <w:t xml:space="preserve">corrected report in the course of the proceedings. The applicants, </w:t>
      </w:r>
      <w:r w:rsidRPr="00156FB4" w:rsidR="00697179">
        <w:t xml:space="preserve">despite </w:t>
      </w:r>
      <w:r w:rsidRPr="00156FB4" w:rsidR="00C255B4">
        <w:t xml:space="preserve">having </w:t>
      </w:r>
      <w:r w:rsidRPr="00156FB4" w:rsidR="00697179">
        <w:t>the opportunity</w:t>
      </w:r>
      <w:r w:rsidRPr="00156FB4" w:rsidR="00C255B4">
        <w:t xml:space="preserve"> under the law to submit an alternative valuation report, appear in practice to have been deprived of such a</w:t>
      </w:r>
      <w:r w:rsidRPr="00156FB4" w:rsidR="00697179">
        <w:t xml:space="preserve">n opportunity, </w:t>
      </w:r>
      <w:r w:rsidRPr="00156FB4" w:rsidR="00C255B4">
        <w:t xml:space="preserve">since other licensed valuation companies </w:t>
      </w:r>
      <w:r w:rsidRPr="00156FB4" w:rsidR="006F1D32">
        <w:t xml:space="preserve">had </w:t>
      </w:r>
      <w:r w:rsidRPr="00156FB4" w:rsidR="00C255B4">
        <w:t>refused to perform another assessment. The courts did not exercise their discretion to order an expert examination to determine the real market value of the applicants</w:t>
      </w:r>
      <w:r w:rsidRPr="00156FB4" w:rsidR="00156FB4">
        <w:t>’</w:t>
      </w:r>
      <w:r w:rsidRPr="00156FB4" w:rsidR="00C255B4">
        <w:t xml:space="preserve"> property</w:t>
      </w:r>
      <w:r w:rsidRPr="00156FB4" w:rsidR="006F1D32">
        <w:t>,</w:t>
      </w:r>
      <w:r w:rsidRPr="00156FB4" w:rsidR="00C255B4">
        <w:t xml:space="preserve"> which the latter claimed had been seriously underestimated.</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70</w:t>
      </w:r>
      <w:r w:rsidRPr="00156FB4">
        <w:rPr>
          <w:noProof/>
        </w:rPr>
        <w:fldChar w:fldCharType="end"/>
      </w:r>
      <w:r w:rsidRPr="00156FB4" w:rsidR="00C255B4">
        <w:t xml:space="preserve">.  The Court observes that, having used </w:t>
      </w:r>
      <w:r w:rsidRPr="00156FB4" w:rsidR="006F1D32">
        <w:t>a</w:t>
      </w:r>
      <w:r w:rsidRPr="00156FB4" w:rsidR="00C255B4">
        <w:t xml:space="preserve"> comparative method of valuation of real estate, the experts determined the market value of the applicants</w:t>
      </w:r>
      <w:r w:rsidRPr="00156FB4" w:rsidR="00156FB4">
        <w:t>’</w:t>
      </w:r>
      <w:r w:rsidRPr="00156FB4" w:rsidR="00C255B4">
        <w:t xml:space="preserve"> plot of land in comparison with the sale prices of other plots of land in the same expropriation zone. The Court is mindful of its above finding that the relevant domestic provisions were sufficiently foreseeable in that a professional expert should legitimately have the freedom of choice of </w:t>
      </w:r>
      <w:r w:rsidRPr="00156FB4" w:rsidR="006F1D32">
        <w:t xml:space="preserve">an </w:t>
      </w:r>
      <w:r w:rsidRPr="00156FB4" w:rsidR="00C255B4">
        <w:t>appropriate real</w:t>
      </w:r>
      <w:r w:rsidRPr="00156FB4" w:rsidR="006F1D32">
        <w:t>-</w:t>
      </w:r>
      <w:r w:rsidRPr="00156FB4" w:rsidR="00C255B4">
        <w:t xml:space="preserve">estate valuation method (see paragraph </w:t>
      </w:r>
      <w:r w:rsidRPr="00156FB4" w:rsidR="007F6CDA">
        <w:t>63</w:t>
      </w:r>
      <w:r w:rsidRPr="00156FB4" w:rsidR="00C255B4">
        <w:t xml:space="preserve"> above). However, in a situation where the market value of the applicants</w:t>
      </w:r>
      <w:r w:rsidRPr="00156FB4" w:rsidR="00156FB4">
        <w:t>’</w:t>
      </w:r>
      <w:r w:rsidRPr="00156FB4" w:rsidR="00C255B4">
        <w:t xml:space="preserve"> land was determined on the basis of the sale prices of plots of land within the same area, it cannot be excluded that the applicants would not be able to acquire</w:t>
      </w:r>
      <w:r w:rsidRPr="00156FB4" w:rsidR="006F1D32">
        <w:t>,</w:t>
      </w:r>
      <w:r w:rsidRPr="00156FB4" w:rsidR="00C255B4">
        <w:t xml:space="preserve"> or would at least experience serious difficulty in finding</w:t>
      </w:r>
      <w:r w:rsidRPr="00156FB4" w:rsidR="006F1D32">
        <w:t>,</w:t>
      </w:r>
      <w:r w:rsidRPr="00156FB4" w:rsidR="00C255B4">
        <w:t xml:space="preserve"> equivalent land in another area not subject to expropriation with the amount of compensation received.</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71</w:t>
      </w:r>
      <w:r w:rsidRPr="00156FB4">
        <w:rPr>
          <w:noProof/>
        </w:rPr>
        <w:fldChar w:fldCharType="end"/>
      </w:r>
      <w:r w:rsidRPr="00156FB4" w:rsidR="00C255B4">
        <w:t>.  Without prejudice to the relevant domestic provisions and the margin of appreciation of the State in these matters, the Court considers that there may be situations where compensation representing the market price of the real estate in question</w:t>
      </w:r>
      <w:r w:rsidRPr="00156FB4" w:rsidR="006F1D32">
        <w:t>,</w:t>
      </w:r>
      <w:r w:rsidRPr="00156FB4" w:rsidR="00C255B4">
        <w:t xml:space="preserve"> even with the addition of the statutory surplus, would not constitute adequate compensation for deprivation of property. In the Court</w:t>
      </w:r>
      <w:r w:rsidRPr="00156FB4" w:rsidR="00156FB4">
        <w:t>’</w:t>
      </w:r>
      <w:r w:rsidRPr="00156FB4" w:rsidR="00C255B4">
        <w:t>s opinion, such a situation may arise in particular if the property the person was deprived of constituted his main, if not only</w:t>
      </w:r>
      <w:r w:rsidRPr="00156FB4" w:rsidR="006F1D32">
        <w:t>,</w:t>
      </w:r>
      <w:r w:rsidRPr="00156FB4" w:rsidR="00C255B4">
        <w:t xml:space="preserve"> source of income</w:t>
      </w:r>
      <w:r w:rsidRPr="00156FB4" w:rsidR="006F1D32">
        <w:t>,</w:t>
      </w:r>
      <w:r w:rsidRPr="00156FB4" w:rsidR="00C255B4">
        <w:t xml:space="preserve"> and the offered compensation did not reflect that loss (see </w:t>
      </w:r>
      <w:r w:rsidRPr="00156FB4" w:rsidR="00C255B4">
        <w:rPr>
          <w:i/>
        </w:rPr>
        <w:t>Lallement v. France</w:t>
      </w:r>
      <w:r w:rsidRPr="00156FB4" w:rsidR="00C255B4">
        <w:t xml:space="preserve">, no. </w:t>
      </w:r>
      <w:hyperlink w:tgtFrame="_blank" w:history="1" w:anchor="{&quot;appno&quot;:[&quot;46044/99&quot;]}" r:id="rId16">
        <w:r w:rsidRPr="00156FB4" w:rsidR="00C255B4">
          <w:t>46044/99</w:t>
        </w:r>
      </w:hyperlink>
      <w:r w:rsidRPr="00156FB4" w:rsidR="00C255B4">
        <w:t>, § 18, 11 April 2002</w:t>
      </w:r>
      <w:r w:rsidRPr="00156FB4" w:rsidR="007F0280">
        <w:t xml:space="preserve">; see also </w:t>
      </w:r>
      <w:r w:rsidRPr="00156FB4" w:rsidR="007F0280">
        <w:rPr>
          <w:i/>
          <w:iCs/>
        </w:rPr>
        <w:t>Osmanyan and Amiraghyan</w:t>
      </w:r>
      <w:r w:rsidRPr="00156FB4" w:rsidR="007F0280">
        <w:rPr>
          <w:iCs/>
        </w:rPr>
        <w:t>, cited above, § 69</w:t>
      </w:r>
      <w:r w:rsidRPr="00156FB4" w:rsidR="00C255B4">
        <w:t>).</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72</w:t>
      </w:r>
      <w:r w:rsidRPr="00156FB4">
        <w:rPr>
          <w:noProof/>
        </w:rPr>
        <w:fldChar w:fldCharType="end"/>
      </w:r>
      <w:r w:rsidRPr="00156FB4" w:rsidR="00C255B4">
        <w:t>.  In the present case, the applicants submitted that as a family unit they had depended economically on the land in question</w:t>
      </w:r>
      <w:r w:rsidRPr="00156FB4" w:rsidR="006F1D32">
        <w:t>,</w:t>
      </w:r>
      <w:r w:rsidRPr="00156FB4" w:rsidR="00C255B4">
        <w:t xml:space="preserve"> which had been their only source of income (see paragraph </w:t>
      </w:r>
      <w:r w:rsidRPr="00156FB4" w:rsidR="007F6CDA">
        <w:t>55</w:t>
      </w:r>
      <w:r w:rsidRPr="00156FB4" w:rsidR="00C255B4">
        <w:t xml:space="preserve"> above). This argument has not been refuted by the respondent Government (see paragraphs </w:t>
      </w:r>
      <w:r w:rsidRPr="00156FB4" w:rsidR="007F6CDA">
        <w:t>57-59</w:t>
      </w:r>
      <w:r w:rsidRPr="00156FB4" w:rsidR="00C255B4">
        <w:t xml:space="preserve"> above). This particular aspect, namely that in consequence of the expropriation the applicants had lost their only source of income, was not taken into account by the domestic courts in their decisions on the amount of the compensation due. The courts decided, despite the circumstances, that the applicants should be provided with compensation which was determined in relation to the prices of real estate situated in the area subject to expropriation and the expected incomes. They did not address the issue whether the compensation granted would cover the applicants</w:t>
      </w:r>
      <w:r w:rsidRPr="00156FB4" w:rsidR="00156FB4">
        <w:t>’</w:t>
      </w:r>
      <w:r w:rsidRPr="00156FB4" w:rsidR="00C255B4">
        <w:t xml:space="preserve"> actual loss involved in deprivation of </w:t>
      </w:r>
      <w:r w:rsidRPr="00156FB4" w:rsidR="006F1D32">
        <w:t xml:space="preserve">their </w:t>
      </w:r>
      <w:r w:rsidRPr="00156FB4" w:rsidR="00C255B4">
        <w:t>means of subsistence</w:t>
      </w:r>
      <w:r w:rsidRPr="00156FB4" w:rsidR="006F1D32">
        <w:t>,</w:t>
      </w:r>
      <w:r w:rsidRPr="00156FB4" w:rsidR="00C255B4">
        <w:t xml:space="preserve"> or was at least sufficient for them to acquire equivalent land within the area in which they lived.</w:t>
      </w:r>
    </w:p>
    <w:p w:rsidRPr="00156FB4" w:rsidR="00C255B4"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73</w:t>
      </w:r>
      <w:r w:rsidRPr="00156FB4">
        <w:rPr>
          <w:noProof/>
        </w:rPr>
        <w:fldChar w:fldCharType="end"/>
      </w:r>
      <w:r w:rsidRPr="00156FB4" w:rsidR="00C255B4">
        <w:t>.  In view of the foregoing, the Court finds that the applicants had to bear an excessive individual burden. Accordingly, the impugned expropriation was in violation of Article 1 of Protocol No. 1 to the Convention.</w:t>
      </w:r>
    </w:p>
    <w:p w:rsidRPr="00156FB4" w:rsidR="00D420F3" w:rsidP="00156FB4" w:rsidRDefault="000E07A5">
      <w:pPr>
        <w:pStyle w:val="ECHRHeading1"/>
      </w:pPr>
      <w:r w:rsidRPr="00156FB4">
        <w:t>II</w:t>
      </w:r>
      <w:r w:rsidRPr="00156FB4" w:rsidR="0077175D">
        <w:t xml:space="preserve">.  ALLEGED VIOLATION OF ARTICLE </w:t>
      </w:r>
      <w:r w:rsidRPr="00156FB4">
        <w:t xml:space="preserve">6 § 1 </w:t>
      </w:r>
      <w:r w:rsidRPr="00156FB4" w:rsidR="0077175D">
        <w:t>OF THE CONVENTION</w:t>
      </w:r>
    </w:p>
    <w:p w:rsidRPr="00156FB4" w:rsidR="000E07A5"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74</w:t>
      </w:r>
      <w:r w:rsidRPr="00156FB4">
        <w:fldChar w:fldCharType="end"/>
      </w:r>
      <w:r w:rsidRPr="00156FB4" w:rsidR="0077175D">
        <w:t>.  </w:t>
      </w:r>
      <w:r w:rsidRPr="00156FB4" w:rsidR="000E07A5">
        <w:t>The applicants complained under Article 6 § 1 of the Convention that the right to a fair trial had not been respected in their case</w:t>
      </w:r>
      <w:r w:rsidRPr="00156FB4" w:rsidR="006F1D32">
        <w:t>,</w:t>
      </w:r>
      <w:r w:rsidRPr="00156FB4" w:rsidR="000E07A5">
        <w:t xml:space="preserve"> since the courts had regarded the valuation report submitted by their opponent as established proof of the market value of their property</w:t>
      </w:r>
      <w:r w:rsidRPr="00156FB4" w:rsidR="006F1D32">
        <w:t>,</w:t>
      </w:r>
      <w:r w:rsidRPr="00156FB4" w:rsidR="000E07A5">
        <w:t xml:space="preserve"> and they had had no opportunity to challenge it effectively. In particular, they argued that the courts had failed to exercise their statutory discretion to </w:t>
      </w:r>
      <w:r w:rsidRPr="00156FB4" w:rsidR="006F1D32">
        <w:t>order</w:t>
      </w:r>
      <w:r w:rsidRPr="00156FB4" w:rsidR="000E07A5">
        <w:t xml:space="preserve"> a forensic examination to determine the real market value of the property</w:t>
      </w:r>
      <w:r w:rsidRPr="00156FB4" w:rsidR="006F1D32">
        <w:t>,</w:t>
      </w:r>
      <w:r w:rsidRPr="00156FB4" w:rsidR="000E07A5">
        <w:t xml:space="preserve"> given that the applicants had not participated in the valuation process and had been unable to submit their objections. Moreover, the applicants complained under the same provision</w:t>
      </w:r>
      <w:r w:rsidRPr="00156FB4" w:rsidR="006C5AE4">
        <w:t xml:space="preserve"> </w:t>
      </w:r>
      <w:r w:rsidRPr="00156FB4" w:rsidR="000E07A5">
        <w:t>that the Court of Cassation had refused to restore the time-limit for lodging an appeal on points of law without taking into account that the Civil Court of Appeal had failed to serve its judgment of 7</w:t>
      </w:r>
      <w:r w:rsidRPr="00156FB4" w:rsidR="006C5AE4">
        <w:t> </w:t>
      </w:r>
      <w:r w:rsidRPr="00156FB4" w:rsidR="000E07A5">
        <w:t>August 2009 on the</w:t>
      </w:r>
      <w:r w:rsidRPr="00156FB4" w:rsidR="006F1D32">
        <w:t>ir</w:t>
      </w:r>
      <w:r w:rsidRPr="00156FB4" w:rsidR="000E07A5">
        <w:t xml:space="preserve"> counsel, who had th</w:t>
      </w:r>
      <w:r w:rsidRPr="00156FB4" w:rsidR="006F1D32">
        <w:t>us</w:t>
      </w:r>
      <w:r w:rsidRPr="00156FB4" w:rsidR="000E07A5">
        <w:t xml:space="preserve"> been deprived of the </w:t>
      </w:r>
      <w:r w:rsidRPr="00156FB4" w:rsidR="006F1D32">
        <w:t>opportunity</w:t>
      </w:r>
      <w:r w:rsidRPr="00156FB4" w:rsidR="000E07A5">
        <w:t xml:space="preserve"> to lodge </w:t>
      </w:r>
      <w:r w:rsidRPr="00156FB4" w:rsidR="006F1D32">
        <w:t>a</w:t>
      </w:r>
      <w:r w:rsidRPr="00156FB4" w:rsidR="000E07A5">
        <w:t xml:space="preserve"> cassation appeal on time.</w:t>
      </w:r>
    </w:p>
    <w:p w:rsidRPr="00156FB4" w:rsidR="000E07A5"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75</w:t>
      </w:r>
      <w:r w:rsidRPr="00156FB4">
        <w:rPr>
          <w:noProof/>
        </w:rPr>
        <w:fldChar w:fldCharType="end"/>
      </w:r>
      <w:r w:rsidRPr="00156FB4" w:rsidR="000E07A5">
        <w:t>.  </w:t>
      </w:r>
      <w:r w:rsidRPr="00156FB4" w:rsidR="006F1D32">
        <w:t xml:space="preserve">The relevant parts of </w:t>
      </w:r>
      <w:r w:rsidRPr="00156FB4" w:rsidR="000E07A5">
        <w:t>Article 6 § 1 read as follows:</w:t>
      </w:r>
    </w:p>
    <w:p w:rsidRPr="00156FB4" w:rsidR="000E07A5" w:rsidP="00156FB4" w:rsidRDefault="006C5AE4">
      <w:pPr>
        <w:pStyle w:val="ECHRParaQuote"/>
      </w:pPr>
      <w:r w:rsidRPr="00156FB4">
        <w:t xml:space="preserve"> </w:t>
      </w:r>
      <w:r w:rsidRPr="00156FB4" w:rsidR="000E07A5">
        <w:t>“In the determination of his civil rights and obligations ... everyone is entitled to a fair ... hearing.”</w:t>
      </w:r>
    </w:p>
    <w:p w:rsidRPr="00156FB4" w:rsidR="000E07A5" w:rsidP="00156FB4" w:rsidRDefault="004F4FB9">
      <w:pPr>
        <w:pStyle w:val="ECHRPara"/>
      </w:pPr>
      <w:r w:rsidRPr="00156FB4">
        <w:fldChar w:fldCharType="begin"/>
      </w:r>
      <w:r w:rsidRPr="00156FB4">
        <w:instrText xml:space="preserve"> SEQ level0 \*arabic </w:instrText>
      </w:r>
      <w:r w:rsidRPr="00156FB4">
        <w:fldChar w:fldCharType="separate"/>
      </w:r>
      <w:r w:rsidRPr="00156FB4" w:rsidR="00156FB4">
        <w:rPr>
          <w:noProof/>
        </w:rPr>
        <w:t>76</w:t>
      </w:r>
      <w:r w:rsidRPr="00156FB4">
        <w:rPr>
          <w:noProof/>
        </w:rPr>
        <w:fldChar w:fldCharType="end"/>
      </w:r>
      <w:r w:rsidRPr="00156FB4" w:rsidR="000E07A5">
        <w:t>.  Having regard to the facts of the case, the parties</w:t>
      </w:r>
      <w:r w:rsidRPr="00156FB4" w:rsidR="00156FB4">
        <w:t>’</w:t>
      </w:r>
      <w:r w:rsidRPr="00156FB4" w:rsidR="000E07A5">
        <w:t xml:space="preserve"> observations and its decision finding a violation of Article 1 of Protocol No. 1 concerning the deprivation of the applicants</w:t>
      </w:r>
      <w:r w:rsidRPr="00156FB4" w:rsidR="00156FB4">
        <w:t>’</w:t>
      </w:r>
      <w:r w:rsidRPr="00156FB4" w:rsidR="000E07A5">
        <w:t xml:space="preserve"> property, the Court considers that it has examined the main legal question raised in the present application. It concludes, therefore, that there is no need to give a separate ruling on the applicants</w:t>
      </w:r>
      <w:r w:rsidRPr="00156FB4" w:rsidR="00156FB4">
        <w:t>’</w:t>
      </w:r>
      <w:r w:rsidRPr="00156FB4" w:rsidR="000E07A5">
        <w:t xml:space="preserve"> complaints under Article 6 (see, </w:t>
      </w:r>
      <w:r w:rsidRPr="00156FB4" w:rsidR="000E07A5">
        <w:rPr>
          <w:i/>
        </w:rPr>
        <w:t>mutatis mutandis</w:t>
      </w:r>
      <w:r w:rsidRPr="00156FB4" w:rsidR="000E07A5">
        <w:t xml:space="preserve">, </w:t>
      </w:r>
      <w:r w:rsidRPr="00156FB4" w:rsidR="000E07A5">
        <w:rPr>
          <w:i/>
        </w:rPr>
        <w:t>Kamil Uzun v. Turkey</w:t>
      </w:r>
      <w:r w:rsidRPr="00156FB4" w:rsidR="000E07A5">
        <w:t xml:space="preserve">, no. </w:t>
      </w:r>
      <w:hyperlink w:tgtFrame="_blank" w:history="1" w:anchor="{&quot;appno&quot;:[&quot;37410/97&quot;]}" r:id="rId17">
        <w:r w:rsidRPr="00156FB4" w:rsidR="000E07A5">
          <w:t>37410/97</w:t>
        </w:r>
      </w:hyperlink>
      <w:r w:rsidRPr="00156FB4" w:rsidR="000E07A5">
        <w:t>, § 64, 10 May 2007).</w:t>
      </w:r>
    </w:p>
    <w:p w:rsidRPr="00156FB4" w:rsidR="00D420F3" w:rsidP="00156FB4" w:rsidRDefault="000E07A5">
      <w:pPr>
        <w:pStyle w:val="ECHRHeading1"/>
      </w:pPr>
      <w:r w:rsidRPr="00156FB4">
        <w:t>III</w:t>
      </w:r>
      <w:r w:rsidRPr="00156FB4" w:rsidR="0077175D">
        <w:t>.  APPLICATION OF ARTICLE 41 OF THE CONVENTION</w:t>
      </w:r>
    </w:p>
    <w:p w:rsidRPr="00156FB4" w:rsidR="00D420F3"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77</w:t>
      </w:r>
      <w:r w:rsidRPr="00156FB4">
        <w:fldChar w:fldCharType="end"/>
      </w:r>
      <w:r w:rsidRPr="00156FB4" w:rsidR="0077175D">
        <w:t>.  Article 41 of the Convention provides:</w:t>
      </w:r>
    </w:p>
    <w:p w:rsidRPr="00156FB4" w:rsidR="00D420F3" w:rsidP="00156FB4" w:rsidRDefault="0077175D">
      <w:pPr>
        <w:pStyle w:val="ECHRParaQuote"/>
        <w:keepNext/>
        <w:keepLines/>
      </w:pPr>
      <w:r w:rsidRPr="00156FB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56FB4" w:rsidR="00D420F3" w:rsidP="00156FB4" w:rsidRDefault="0077175D">
      <w:pPr>
        <w:pStyle w:val="ECHRHeading2"/>
      </w:pPr>
      <w:r w:rsidRPr="00156FB4">
        <w:t>A.  Damage</w:t>
      </w:r>
    </w:p>
    <w:p w:rsidRPr="00156FB4" w:rsidR="0062048B"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78</w:t>
      </w:r>
      <w:r w:rsidRPr="00156FB4">
        <w:fldChar w:fldCharType="end"/>
      </w:r>
      <w:r w:rsidRPr="00156FB4" w:rsidR="0077175D">
        <w:t>.  The applicant</w:t>
      </w:r>
      <w:r w:rsidRPr="00156FB4">
        <w:t>s</w:t>
      </w:r>
      <w:r w:rsidRPr="00156FB4" w:rsidR="0077175D">
        <w:t xml:space="preserve"> claimed </w:t>
      </w:r>
      <w:r w:rsidRPr="00156FB4" w:rsidR="0062048B">
        <w:t>EUR 26,635</w:t>
      </w:r>
      <w:r w:rsidRPr="00156FB4" w:rsidR="0077175D">
        <w:t xml:space="preserve"> in respect of </w:t>
      </w:r>
      <w:r w:rsidRPr="00156FB4" w:rsidR="0062048B">
        <w:t>pecuniary damage. According to the applicants, the claimed amount reflected the sale and rental prices of land within the same community in the same period. They took AMD 3,000 per square metre of land as a basis for calculation. The applicants also claimed EUR 3,000 (for Article 6 violation) and EUR 7,000 (for Article 1 of Protocol No. 1 violation) in respect of non-pecuniary damage.</w:t>
      </w:r>
    </w:p>
    <w:p w:rsidRPr="00156FB4" w:rsidR="0062048B" w:rsidP="00156FB4" w:rsidRDefault="0062048B">
      <w:pPr>
        <w:pStyle w:val="ECHRPara"/>
      </w:pPr>
      <w:r w:rsidRPr="00156FB4">
        <w:fldChar w:fldCharType="begin"/>
      </w:r>
      <w:r w:rsidRPr="00156FB4">
        <w:instrText xml:space="preserve"> SEQ level0 \*arabic </w:instrText>
      </w:r>
      <w:r w:rsidRPr="00156FB4">
        <w:fldChar w:fldCharType="separate"/>
      </w:r>
      <w:r w:rsidRPr="00156FB4" w:rsidR="00156FB4">
        <w:rPr>
          <w:noProof/>
        </w:rPr>
        <w:t>79</w:t>
      </w:r>
      <w:r w:rsidRPr="00156FB4">
        <w:fldChar w:fldCharType="end"/>
      </w:r>
      <w:r w:rsidRPr="00156FB4">
        <w:t>.  The Government considered that the applicants had failed to submit any proof in support of their pecuniary damage claims which were exaggerated. These claims should therefore be rejected in their entirety. As to the non-pecuniary damage, the Government considered that the amounts claimed were excessive and not supported by any documentary evidence.</w:t>
      </w:r>
    </w:p>
    <w:p w:rsidRPr="00156FB4" w:rsidR="0062048B" w:rsidP="00156FB4" w:rsidRDefault="0062048B">
      <w:pPr>
        <w:pStyle w:val="ECHRPara"/>
      </w:pPr>
      <w:r w:rsidRPr="00156FB4">
        <w:fldChar w:fldCharType="begin"/>
      </w:r>
      <w:r w:rsidRPr="00156FB4">
        <w:instrText xml:space="preserve"> SEQ level0 \*arabic </w:instrText>
      </w:r>
      <w:r w:rsidRPr="00156FB4">
        <w:fldChar w:fldCharType="separate"/>
      </w:r>
      <w:r w:rsidRPr="00156FB4" w:rsidR="00156FB4">
        <w:rPr>
          <w:noProof/>
        </w:rPr>
        <w:t>80</w:t>
      </w:r>
      <w:r w:rsidRPr="00156FB4">
        <w:fldChar w:fldCharType="end"/>
      </w:r>
      <w:r w:rsidRPr="00156FB4">
        <w:t xml:space="preserve">.  Given the nature of the violation found, the Court finds that the applicants undoubtedly suffered some pecuniary and non-pecuniary damage (see, </w:t>
      </w:r>
      <w:r w:rsidRPr="00156FB4">
        <w:rPr>
          <w:i/>
        </w:rPr>
        <w:t>mutatis mutandis</w:t>
      </w:r>
      <w:r w:rsidRPr="00156FB4">
        <w:t xml:space="preserve">, </w:t>
      </w:r>
      <w:r w:rsidRPr="00156FB4">
        <w:rPr>
          <w:i/>
          <w:iCs/>
        </w:rPr>
        <w:t>Moskal v. Poland</w:t>
      </w:r>
      <w:r w:rsidRPr="00156FB4">
        <w:t xml:space="preserve">, no. </w:t>
      </w:r>
      <w:hyperlink w:tgtFrame="_blank" w:history="1" w:anchor="{&quot;appno&quot;:[&quot;10373/05&quot;]}" r:id="rId18">
        <w:r w:rsidRPr="00156FB4">
          <w:t>10373/05</w:t>
        </w:r>
      </w:hyperlink>
      <w:r w:rsidRPr="00156FB4">
        <w:t>, § 105, 15 September 2009</w:t>
      </w:r>
      <w:r w:rsidRPr="00156FB4" w:rsidR="007F0280">
        <w:t xml:space="preserve">; see also </w:t>
      </w:r>
      <w:r w:rsidRPr="00156FB4" w:rsidR="007F0280">
        <w:rPr>
          <w:i/>
          <w:iCs/>
        </w:rPr>
        <w:t>Osmanyan and Amiraghyan</w:t>
      </w:r>
      <w:r w:rsidRPr="00156FB4" w:rsidR="007F0280">
        <w:rPr>
          <w:iCs/>
        </w:rPr>
        <w:t>, cited above, § 75</w:t>
      </w:r>
      <w:r w:rsidRPr="00156FB4">
        <w:t>). In the particular circumstances of the present case, making an assessment on an equitable basis as is required by Article 41 of the Convention, the Court awa</w:t>
      </w:r>
      <w:r w:rsidRPr="00156FB4" w:rsidR="00A23D84">
        <w:t xml:space="preserve">rds the applicants jointly EUR </w:t>
      </w:r>
      <w:r w:rsidRPr="00156FB4" w:rsidR="002F09A1">
        <w:t>8</w:t>
      </w:r>
      <w:r w:rsidRPr="00156FB4">
        <w:t>,</w:t>
      </w:r>
      <w:r w:rsidRPr="00156FB4" w:rsidR="00F754EF">
        <w:t>6</w:t>
      </w:r>
      <w:r w:rsidRPr="00156FB4">
        <w:t>00 to cover all heads of damage.</w:t>
      </w:r>
    </w:p>
    <w:p w:rsidRPr="00156FB4" w:rsidR="00D420F3" w:rsidP="00156FB4" w:rsidRDefault="0077175D">
      <w:pPr>
        <w:pStyle w:val="ECHRHeading2"/>
      </w:pPr>
      <w:r w:rsidRPr="00156FB4">
        <w:t>B.  Costs and expenses</w:t>
      </w:r>
    </w:p>
    <w:p w:rsidRPr="00156FB4" w:rsidR="0062048B" w:rsidP="00156FB4" w:rsidRDefault="0062048B">
      <w:pPr>
        <w:pStyle w:val="ECHRPara"/>
      </w:pPr>
      <w:r w:rsidRPr="00156FB4">
        <w:fldChar w:fldCharType="begin"/>
      </w:r>
      <w:r w:rsidRPr="00156FB4">
        <w:instrText xml:space="preserve"> SEQ level0 \*arabic </w:instrText>
      </w:r>
      <w:r w:rsidRPr="00156FB4">
        <w:fldChar w:fldCharType="separate"/>
      </w:r>
      <w:r w:rsidRPr="00156FB4" w:rsidR="00156FB4">
        <w:rPr>
          <w:noProof/>
        </w:rPr>
        <w:t>81</w:t>
      </w:r>
      <w:r w:rsidRPr="00156FB4">
        <w:fldChar w:fldCharType="end"/>
      </w:r>
      <w:r w:rsidRPr="00156FB4">
        <w:t>.  The applicants also claimed EUR 7,000 for the costs and expenses incurred before both the domestic courts and the Court.</w:t>
      </w:r>
    </w:p>
    <w:p w:rsidRPr="00156FB4" w:rsidR="0062048B" w:rsidP="00156FB4" w:rsidRDefault="0062048B">
      <w:pPr>
        <w:pStyle w:val="ECHRPara"/>
      </w:pPr>
      <w:r w:rsidRPr="00156FB4">
        <w:fldChar w:fldCharType="begin"/>
      </w:r>
      <w:r w:rsidRPr="00156FB4">
        <w:instrText xml:space="preserve"> SEQ level0 \*arabic </w:instrText>
      </w:r>
      <w:r w:rsidRPr="00156FB4">
        <w:fldChar w:fldCharType="separate"/>
      </w:r>
      <w:r w:rsidRPr="00156FB4" w:rsidR="00156FB4">
        <w:rPr>
          <w:noProof/>
        </w:rPr>
        <w:t>82</w:t>
      </w:r>
      <w:r w:rsidRPr="00156FB4">
        <w:fldChar w:fldCharType="end"/>
      </w:r>
      <w:r w:rsidRPr="00156FB4">
        <w:t>.  The Government noted that the applicants had failed to submit any itemised documentation, as required by Rule 60 of the Rules of Court, and that therefore this claim should be rejected. In any event, the amount should be reduced.</w:t>
      </w:r>
    </w:p>
    <w:p w:rsidRPr="00156FB4" w:rsidR="0062048B" w:rsidP="00156FB4" w:rsidRDefault="0062048B">
      <w:pPr>
        <w:pStyle w:val="ECHRPara"/>
      </w:pPr>
      <w:r w:rsidRPr="00156FB4">
        <w:fldChar w:fldCharType="begin"/>
      </w:r>
      <w:r w:rsidRPr="00156FB4">
        <w:instrText xml:space="preserve"> SEQ level0 \*arabic </w:instrText>
      </w:r>
      <w:r w:rsidRPr="00156FB4">
        <w:fldChar w:fldCharType="separate"/>
      </w:r>
      <w:r w:rsidRPr="00156FB4" w:rsidR="00156FB4">
        <w:rPr>
          <w:noProof/>
        </w:rPr>
        <w:t>83</w:t>
      </w:r>
      <w:r w:rsidRPr="00156FB4">
        <w:fldChar w:fldCharType="end"/>
      </w:r>
      <w:r w:rsidRPr="00156FB4">
        <w:t>.  Regard being had to the documents in its possession and to its case-law, the Court rejects the claim for costs and expenses for lack of adequate supporting documentation.</w:t>
      </w:r>
    </w:p>
    <w:p w:rsidRPr="00156FB4" w:rsidR="00D420F3" w:rsidP="00156FB4" w:rsidRDefault="0077175D">
      <w:pPr>
        <w:pStyle w:val="ECHRHeading2"/>
      </w:pPr>
      <w:r w:rsidRPr="00156FB4">
        <w:t>C.  Default interest</w:t>
      </w:r>
    </w:p>
    <w:p w:rsidRPr="00156FB4" w:rsidR="00D420F3" w:rsidP="00156FB4" w:rsidRDefault="00230F4E">
      <w:pPr>
        <w:pStyle w:val="ECHRPara"/>
      </w:pPr>
      <w:r w:rsidRPr="00156FB4">
        <w:fldChar w:fldCharType="begin"/>
      </w:r>
      <w:r w:rsidRPr="00156FB4">
        <w:instrText xml:space="preserve"> SEQ level0 \*arabic </w:instrText>
      </w:r>
      <w:r w:rsidRPr="00156FB4">
        <w:fldChar w:fldCharType="separate"/>
      </w:r>
      <w:r w:rsidRPr="00156FB4" w:rsidR="00156FB4">
        <w:rPr>
          <w:noProof/>
        </w:rPr>
        <w:t>84</w:t>
      </w:r>
      <w:r w:rsidRPr="00156FB4">
        <w:fldChar w:fldCharType="end"/>
      </w:r>
      <w:r w:rsidRPr="00156FB4" w:rsidR="0077175D">
        <w:t>.  The Court considers it appropriate that the default interest rate should be based on the marginal lending rate of the European Central Bank, to which should be added three percentage points.</w:t>
      </w:r>
    </w:p>
    <w:p w:rsidRPr="00156FB4" w:rsidR="00D420F3" w:rsidP="00156FB4" w:rsidRDefault="0077175D">
      <w:pPr>
        <w:pStyle w:val="ECHRTitle1"/>
      </w:pPr>
      <w:r w:rsidRPr="00156FB4">
        <w:t>FOR THESE REASONS, THE COURT</w:t>
      </w:r>
      <w:r w:rsidRPr="00156FB4" w:rsidR="00230F4E">
        <w:t>, UNANIMOUSLY,</w:t>
      </w:r>
    </w:p>
    <w:p w:rsidRPr="00156FB4" w:rsidR="00A23D84" w:rsidP="00156FB4" w:rsidRDefault="00A23D84">
      <w:pPr>
        <w:pStyle w:val="JuList"/>
      </w:pPr>
      <w:r w:rsidRPr="00156FB4">
        <w:t>1.  </w:t>
      </w:r>
      <w:r w:rsidRPr="00156FB4">
        <w:rPr>
          <w:i/>
        </w:rPr>
        <w:t>Declares</w:t>
      </w:r>
      <w:r w:rsidRPr="00156FB4">
        <w:t xml:space="preserve"> the complaint under Article 1 of Protocol No. 1 admissible;</w:t>
      </w:r>
    </w:p>
    <w:p w:rsidRPr="00156FB4" w:rsidR="00A23D84" w:rsidP="00156FB4" w:rsidRDefault="00A23D84">
      <w:pPr>
        <w:pStyle w:val="JuList"/>
        <w:ind w:left="0" w:firstLine="0"/>
      </w:pPr>
    </w:p>
    <w:p w:rsidRPr="00156FB4" w:rsidR="00A23D84" w:rsidP="00156FB4" w:rsidRDefault="00A23D84">
      <w:pPr>
        <w:pStyle w:val="JuList"/>
      </w:pPr>
      <w:r w:rsidRPr="00156FB4">
        <w:t>2.  </w:t>
      </w:r>
      <w:r w:rsidRPr="00156FB4">
        <w:rPr>
          <w:i/>
        </w:rPr>
        <w:t>Holds</w:t>
      </w:r>
      <w:r w:rsidRPr="00156FB4">
        <w:rPr>
          <w:color w:val="000000"/>
        </w:rPr>
        <w:t xml:space="preserve"> </w:t>
      </w:r>
      <w:r w:rsidRPr="00156FB4">
        <w:t>that there has been a violation of Article 1 of Protocol No. 1 to the Convention;</w:t>
      </w:r>
    </w:p>
    <w:p w:rsidRPr="00156FB4" w:rsidR="00A23D84" w:rsidP="00156FB4" w:rsidRDefault="00A23D84">
      <w:pPr>
        <w:pStyle w:val="JuList"/>
      </w:pPr>
    </w:p>
    <w:p w:rsidRPr="00156FB4" w:rsidR="00A23D84" w:rsidP="00156FB4" w:rsidRDefault="00A23D84">
      <w:pPr>
        <w:pStyle w:val="JuList"/>
      </w:pPr>
      <w:r w:rsidRPr="00156FB4">
        <w:t>3.  </w:t>
      </w:r>
      <w:r w:rsidRPr="00156FB4">
        <w:rPr>
          <w:i/>
        </w:rPr>
        <w:t>Holds</w:t>
      </w:r>
      <w:r w:rsidRPr="00156FB4">
        <w:rPr>
          <w:color w:val="000000"/>
        </w:rPr>
        <w:t xml:space="preserve"> </w:t>
      </w:r>
      <w:r w:rsidRPr="00156FB4">
        <w:t>that there is no need to rule separately on the complaint under Article 6 of the Convention, and declares inadmissible the remainder of the application;</w:t>
      </w:r>
    </w:p>
    <w:p w:rsidRPr="00156FB4" w:rsidR="00A23D84" w:rsidP="00156FB4" w:rsidRDefault="00A23D84">
      <w:pPr>
        <w:pStyle w:val="JuList"/>
      </w:pPr>
    </w:p>
    <w:p w:rsidRPr="00156FB4" w:rsidR="00A23D84" w:rsidP="00156FB4" w:rsidRDefault="00A23D84">
      <w:pPr>
        <w:pStyle w:val="JuList"/>
      </w:pPr>
      <w:r w:rsidRPr="00156FB4">
        <w:t>4.  </w:t>
      </w:r>
      <w:r w:rsidRPr="00156FB4">
        <w:rPr>
          <w:i/>
        </w:rPr>
        <w:t>Holds</w:t>
      </w:r>
    </w:p>
    <w:p w:rsidRPr="00156FB4" w:rsidR="00A23D84" w:rsidP="00156FB4" w:rsidRDefault="00A23D84">
      <w:pPr>
        <w:pStyle w:val="JuLista"/>
      </w:pPr>
      <w:r w:rsidRPr="00156FB4">
        <w:t xml:space="preserve">(a)  that the respondent State is to pay the applicants, within three months, EUR </w:t>
      </w:r>
      <w:r w:rsidRPr="00156FB4" w:rsidR="002F09A1">
        <w:t>8</w:t>
      </w:r>
      <w:r w:rsidRPr="00156FB4">
        <w:t>,</w:t>
      </w:r>
      <w:r w:rsidRPr="00156FB4" w:rsidR="00F754EF">
        <w:t>6</w:t>
      </w:r>
      <w:r w:rsidRPr="00156FB4">
        <w:t>00 (</w:t>
      </w:r>
      <w:r w:rsidRPr="00156FB4" w:rsidR="002F09A1">
        <w:t>eight</w:t>
      </w:r>
      <w:r w:rsidRPr="00156FB4">
        <w:t xml:space="preserve"> thousand </w:t>
      </w:r>
      <w:r w:rsidRPr="00156FB4" w:rsidR="00F754EF">
        <w:t xml:space="preserve">six hundred </w:t>
      </w:r>
      <w:r w:rsidRPr="00156FB4">
        <w:t xml:space="preserve">euros), to be converted into </w:t>
      </w:r>
      <w:r w:rsidRPr="00156FB4">
        <w:rPr>
          <w:color w:val="000000"/>
        </w:rPr>
        <w:t>the currency of the respondent State</w:t>
      </w:r>
      <w:r w:rsidRPr="00156FB4">
        <w:t xml:space="preserve"> at the rate applicable at the date of settlement, plus any tax that may be chargeable, in respect of pecuniary and non-pecuniary damage;</w:t>
      </w:r>
    </w:p>
    <w:p w:rsidRPr="00156FB4" w:rsidR="00A23D84" w:rsidP="00156FB4" w:rsidRDefault="00A23D84">
      <w:pPr>
        <w:pStyle w:val="JuLista"/>
      </w:pPr>
      <w:r w:rsidRPr="00156FB4">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156FB4" w:rsidR="00A23D84" w:rsidP="00156FB4" w:rsidRDefault="00A23D84">
      <w:pPr>
        <w:pStyle w:val="JuList"/>
      </w:pPr>
    </w:p>
    <w:p w:rsidRPr="00156FB4" w:rsidR="00D420F3" w:rsidP="00156FB4" w:rsidRDefault="00A23D84">
      <w:pPr>
        <w:pStyle w:val="JuList"/>
      </w:pPr>
      <w:r w:rsidRPr="00156FB4">
        <w:t>5.  </w:t>
      </w:r>
      <w:r w:rsidRPr="00156FB4">
        <w:rPr>
          <w:i/>
        </w:rPr>
        <w:t>Dismisses</w:t>
      </w:r>
      <w:r w:rsidRPr="00156FB4">
        <w:rPr>
          <w:color w:val="000000"/>
        </w:rPr>
        <w:t xml:space="preserve"> </w:t>
      </w:r>
      <w:r w:rsidRPr="00156FB4">
        <w:t>the remainder of the applicants</w:t>
      </w:r>
      <w:r w:rsidRPr="00156FB4" w:rsidR="00156FB4">
        <w:t>’</w:t>
      </w:r>
      <w:r w:rsidRPr="00156FB4">
        <w:t xml:space="preserve"> claim for just satisfaction.</w:t>
      </w:r>
    </w:p>
    <w:p w:rsidRPr="00156FB4" w:rsidR="00D420F3" w:rsidP="00156FB4" w:rsidRDefault="0077175D">
      <w:pPr>
        <w:pStyle w:val="JuParaLast"/>
      </w:pPr>
      <w:r w:rsidRPr="00156FB4">
        <w:t xml:space="preserve">Done in English, and notified in writing on </w:t>
      </w:r>
      <w:r w:rsidRPr="00156FB4" w:rsidR="009C3CE1">
        <w:t>14 February 2019</w:t>
      </w:r>
      <w:r w:rsidRPr="00156FB4">
        <w:t>, pursuant to Rule 77 §§ 2 and 3 of the Rules of Court.</w:t>
      </w:r>
    </w:p>
    <w:p w:rsidRPr="00156FB4" w:rsidR="00D420F3" w:rsidP="00156FB4" w:rsidRDefault="0077175D">
      <w:pPr>
        <w:pStyle w:val="JuSigned"/>
        <w:rPr>
          <w:lang w:val="sv-FI"/>
        </w:rPr>
      </w:pPr>
      <w:r w:rsidRPr="00156FB4">
        <w:tab/>
      </w:r>
      <w:r w:rsidRPr="00156FB4" w:rsidR="00230F4E">
        <w:rPr>
          <w:lang w:val="sv-FI"/>
        </w:rPr>
        <w:t>Renata Degener</w:t>
      </w:r>
      <w:r w:rsidRPr="00156FB4">
        <w:rPr>
          <w:lang w:val="sv-FI"/>
        </w:rPr>
        <w:tab/>
      </w:r>
      <w:r w:rsidRPr="00156FB4" w:rsidR="003A0C16">
        <w:rPr>
          <w:lang w:val="sv-FI"/>
        </w:rPr>
        <w:t>Ksenija Turković</w:t>
      </w:r>
      <w:r w:rsidRPr="00156FB4">
        <w:rPr>
          <w:szCs w:val="24"/>
          <w:lang w:val="sv-FI"/>
        </w:rPr>
        <w:br/>
      </w:r>
      <w:r w:rsidRPr="00156FB4">
        <w:rPr>
          <w:lang w:val="sv-FI"/>
        </w:rPr>
        <w:tab/>
      </w:r>
      <w:r w:rsidRPr="00156FB4" w:rsidR="00230F4E">
        <w:rPr>
          <w:lang w:val="sv-FI"/>
        </w:rPr>
        <w:t xml:space="preserve">Deputy </w:t>
      </w:r>
      <w:r w:rsidRPr="00156FB4" w:rsidR="00230F4E">
        <w:rPr>
          <w:iCs/>
          <w:lang w:val="sv-FI"/>
        </w:rPr>
        <w:t>Registrar</w:t>
      </w:r>
      <w:r w:rsidRPr="00156FB4">
        <w:rPr>
          <w:lang w:val="sv-FI"/>
        </w:rPr>
        <w:tab/>
        <w:t>President</w:t>
      </w:r>
    </w:p>
    <w:sectPr w:rsidRPr="00156FB4" w:rsidR="00D420F3" w:rsidSect="00760E17">
      <w:headerReference w:type="even" r:id="rId19"/>
      <w:head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E11" w:rsidRPr="009C0C45" w:rsidRDefault="00587E11">
      <w:r w:rsidRPr="009C0C45">
        <w:separator/>
      </w:r>
    </w:p>
  </w:endnote>
  <w:endnote w:type="continuationSeparator" w:id="0">
    <w:p w:rsidR="00587E11" w:rsidRPr="009C0C45" w:rsidRDefault="00587E11">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17" w:rsidRPr="00150BFA" w:rsidRDefault="00760E17" w:rsidP="0020718E">
    <w:pPr>
      <w:jc w:val="center"/>
    </w:pPr>
    <w:r>
      <w:rPr>
        <w:noProof/>
        <w:lang w:val="en-US" w:eastAsia="ja-JP"/>
      </w:rPr>
      <w:drawing>
        <wp:inline distT="0" distB="0" distL="0" distR="0" wp14:anchorId="649EA95D" wp14:editId="35D4373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60E17" w:rsidRDefault="00760E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E11" w:rsidRPr="009C0C45" w:rsidRDefault="00587E11" w:rsidP="00D420F3">
      <w:r w:rsidRPr="009C0C45">
        <w:separator/>
      </w:r>
    </w:p>
  </w:footnote>
  <w:footnote w:type="continuationSeparator" w:id="0">
    <w:p w:rsidR="00587E11" w:rsidRPr="009C0C45" w:rsidRDefault="00587E11"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E11" w:rsidRPr="00760E17" w:rsidRDefault="00587E11" w:rsidP="00760E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17" w:rsidRPr="00A45145" w:rsidRDefault="00760E17" w:rsidP="00A45145">
    <w:pPr>
      <w:jc w:val="center"/>
    </w:pPr>
    <w:r>
      <w:rPr>
        <w:noProof/>
        <w:lang w:val="en-US" w:eastAsia="ja-JP"/>
      </w:rPr>
      <w:drawing>
        <wp:inline distT="0" distB="0" distL="0" distR="0" wp14:anchorId="187BE5C9" wp14:editId="642B1A5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87E11" w:rsidRDefault="00587E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17" w:rsidRPr="009C0C45" w:rsidRDefault="00760E17"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56FB4">
      <w:rPr>
        <w:rStyle w:val="PageNumber"/>
        <w:noProof/>
        <w:szCs w:val="18"/>
      </w:rPr>
      <w:t>14</w:t>
    </w:r>
    <w:r>
      <w:rPr>
        <w:rStyle w:val="PageNumber"/>
        <w:szCs w:val="18"/>
      </w:rPr>
      <w:fldChar w:fldCharType="end"/>
    </w:r>
    <w:r w:rsidRPr="009C0C45">
      <w:tab/>
    </w:r>
    <w:r>
      <w:t>PARSADANYAN v. ARMENIA</w:t>
    </w:r>
    <w:r w:rsidRPr="009C0C45">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17" w:rsidRPr="009C0C45" w:rsidRDefault="00760E17" w:rsidP="00D420F3">
    <w:pPr>
      <w:pStyle w:val="ECHRHeader"/>
    </w:pPr>
    <w:r w:rsidRPr="009C0C45">
      <w:tab/>
    </w:r>
    <w:r>
      <w:t>PARSADANYAN v. ARMENIA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156FB4">
      <w:rPr>
        <w:rStyle w:val="PageNumber"/>
        <w:noProof/>
        <w:szCs w:val="18"/>
      </w:rPr>
      <w:t>15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30F4E"/>
    <w:rsid w:val="00063919"/>
    <w:rsid w:val="00085376"/>
    <w:rsid w:val="000A6E83"/>
    <w:rsid w:val="000C0B47"/>
    <w:rsid w:val="000E07A5"/>
    <w:rsid w:val="000E545F"/>
    <w:rsid w:val="00156FB4"/>
    <w:rsid w:val="001A7B40"/>
    <w:rsid w:val="001D4FBA"/>
    <w:rsid w:val="001F7DA5"/>
    <w:rsid w:val="00230F4E"/>
    <w:rsid w:val="00245A26"/>
    <w:rsid w:val="002842EC"/>
    <w:rsid w:val="002E7C01"/>
    <w:rsid w:val="002F09A1"/>
    <w:rsid w:val="003A0C16"/>
    <w:rsid w:val="00403E58"/>
    <w:rsid w:val="004A658B"/>
    <w:rsid w:val="004E5EE0"/>
    <w:rsid w:val="004F4FB9"/>
    <w:rsid w:val="004F7BE0"/>
    <w:rsid w:val="00506603"/>
    <w:rsid w:val="00512570"/>
    <w:rsid w:val="00544B86"/>
    <w:rsid w:val="00587E11"/>
    <w:rsid w:val="0062048B"/>
    <w:rsid w:val="00630F58"/>
    <w:rsid w:val="00697179"/>
    <w:rsid w:val="006C5AE4"/>
    <w:rsid w:val="006D226B"/>
    <w:rsid w:val="006F00C5"/>
    <w:rsid w:val="006F1D32"/>
    <w:rsid w:val="00704D3E"/>
    <w:rsid w:val="007539EA"/>
    <w:rsid w:val="00760E17"/>
    <w:rsid w:val="0077175D"/>
    <w:rsid w:val="0077301F"/>
    <w:rsid w:val="007F0280"/>
    <w:rsid w:val="007F6CDA"/>
    <w:rsid w:val="00871A14"/>
    <w:rsid w:val="009153F5"/>
    <w:rsid w:val="009A7479"/>
    <w:rsid w:val="009B020F"/>
    <w:rsid w:val="009C0C45"/>
    <w:rsid w:val="009C3CE1"/>
    <w:rsid w:val="009D792D"/>
    <w:rsid w:val="00A062F4"/>
    <w:rsid w:val="00A16FD3"/>
    <w:rsid w:val="00A22DA0"/>
    <w:rsid w:val="00A23D84"/>
    <w:rsid w:val="00A6185D"/>
    <w:rsid w:val="00AB4CEE"/>
    <w:rsid w:val="00AC252B"/>
    <w:rsid w:val="00B431CF"/>
    <w:rsid w:val="00BE185F"/>
    <w:rsid w:val="00C16B04"/>
    <w:rsid w:val="00C21EE7"/>
    <w:rsid w:val="00C255B4"/>
    <w:rsid w:val="00CB20C3"/>
    <w:rsid w:val="00CC3DE3"/>
    <w:rsid w:val="00CD0B0F"/>
    <w:rsid w:val="00CF22CC"/>
    <w:rsid w:val="00D420F3"/>
    <w:rsid w:val="00DB2346"/>
    <w:rsid w:val="00E21F6C"/>
    <w:rsid w:val="00E25E8C"/>
    <w:rsid w:val="00E27E26"/>
    <w:rsid w:val="00E77923"/>
    <w:rsid w:val="00E8502F"/>
    <w:rsid w:val="00E87134"/>
    <w:rsid w:val="00F11D8F"/>
    <w:rsid w:val="00F16AAC"/>
    <w:rsid w:val="00F62D54"/>
    <w:rsid w:val="00F754EF"/>
    <w:rsid w:val="00F75576"/>
    <w:rsid w:val="00FA4F8F"/>
    <w:rsid w:val="00FD65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F7BE0"/>
    <w:pPr>
      <w:jc w:val="both"/>
    </w:pPr>
    <w:rPr>
      <w:rFonts w:eastAsiaTheme="minorEastAsia"/>
      <w:sz w:val="24"/>
      <w:lang w:val="en-GB"/>
    </w:rPr>
  </w:style>
  <w:style w:type="paragraph" w:styleId="Heading1">
    <w:name w:val="heading 1"/>
    <w:basedOn w:val="Normal"/>
    <w:next w:val="Normal"/>
    <w:link w:val="Heading1Char"/>
    <w:uiPriority w:val="99"/>
    <w:semiHidden/>
    <w:rsid w:val="004F7BE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F7BE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F7BE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F7BE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F7BE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F7BE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F7BE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F7BE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F7BE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F7BE0"/>
    <w:rPr>
      <w:rFonts w:ascii="Tahoma" w:hAnsi="Tahoma" w:cs="Tahoma"/>
      <w:sz w:val="16"/>
      <w:szCs w:val="16"/>
    </w:rPr>
  </w:style>
  <w:style w:type="character" w:customStyle="1" w:styleId="BalloonTextChar">
    <w:name w:val="Balloon Text Char"/>
    <w:basedOn w:val="DefaultParagraphFont"/>
    <w:link w:val="BalloonText"/>
    <w:uiPriority w:val="99"/>
    <w:semiHidden/>
    <w:rsid w:val="004F7BE0"/>
    <w:rPr>
      <w:rFonts w:ascii="Tahoma" w:eastAsiaTheme="minorEastAsia" w:hAnsi="Tahoma" w:cs="Tahoma"/>
      <w:sz w:val="16"/>
      <w:szCs w:val="16"/>
      <w:lang w:val="en-GB"/>
    </w:rPr>
  </w:style>
  <w:style w:type="character" w:styleId="BookTitle">
    <w:name w:val="Book Title"/>
    <w:uiPriority w:val="99"/>
    <w:semiHidden/>
    <w:qFormat/>
    <w:rsid w:val="004F7BE0"/>
    <w:rPr>
      <w:i/>
      <w:iCs/>
      <w:smallCaps/>
      <w:spacing w:val="5"/>
    </w:rPr>
  </w:style>
  <w:style w:type="paragraph" w:customStyle="1" w:styleId="ECHRHeader">
    <w:name w:val="ECHR_Header"/>
    <w:aliases w:val="Ju_Header"/>
    <w:basedOn w:val="Header"/>
    <w:uiPriority w:val="4"/>
    <w:qFormat/>
    <w:rsid w:val="004F7BE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F7BE0"/>
    <w:pPr>
      <w:jc w:val="left"/>
    </w:pPr>
    <w:rPr>
      <w:sz w:val="8"/>
    </w:rPr>
  </w:style>
  <w:style w:type="character" w:styleId="Strong">
    <w:name w:val="Strong"/>
    <w:uiPriority w:val="99"/>
    <w:semiHidden/>
    <w:qFormat/>
    <w:rsid w:val="004F7BE0"/>
    <w:rPr>
      <w:b/>
      <w:bCs/>
    </w:rPr>
  </w:style>
  <w:style w:type="paragraph" w:styleId="NoSpacing">
    <w:name w:val="No Spacing"/>
    <w:basedOn w:val="Normal"/>
    <w:link w:val="NoSpacingChar"/>
    <w:semiHidden/>
    <w:qFormat/>
    <w:rsid w:val="004F7BE0"/>
    <w:rPr>
      <w:sz w:val="22"/>
      <w:lang w:val="en-US"/>
    </w:rPr>
  </w:style>
  <w:style w:type="character" w:customStyle="1" w:styleId="NoSpacingChar">
    <w:name w:val="No Spacing Char"/>
    <w:basedOn w:val="DefaultParagraphFont"/>
    <w:link w:val="NoSpacing"/>
    <w:semiHidden/>
    <w:rsid w:val="004F7BE0"/>
    <w:rPr>
      <w:rFonts w:eastAsiaTheme="minorEastAsia"/>
    </w:rPr>
  </w:style>
  <w:style w:type="paragraph" w:customStyle="1" w:styleId="ECHRFooterLine">
    <w:name w:val="ECHR_Footer_Line"/>
    <w:aliases w:val="Footer_Line"/>
    <w:basedOn w:val="Normal"/>
    <w:next w:val="ECHRFooter"/>
    <w:uiPriority w:val="57"/>
    <w:semiHidden/>
    <w:rsid w:val="004F7BE0"/>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4F7BE0"/>
  </w:style>
  <w:style w:type="paragraph" w:customStyle="1" w:styleId="DecList">
    <w:name w:val="Dec_List"/>
    <w:basedOn w:val="Normal"/>
    <w:uiPriority w:val="9"/>
    <w:semiHidden/>
    <w:qFormat/>
    <w:rsid w:val="004F7BE0"/>
    <w:pPr>
      <w:spacing w:before="240"/>
      <w:ind w:left="284"/>
    </w:pPr>
  </w:style>
  <w:style w:type="paragraph" w:customStyle="1" w:styleId="DummyStyle">
    <w:name w:val="Dummy_Style"/>
    <w:basedOn w:val="Normal"/>
    <w:semiHidden/>
    <w:qFormat/>
    <w:rsid w:val="004F7BE0"/>
    <w:rPr>
      <w:color w:val="00B050"/>
    </w:rPr>
  </w:style>
  <w:style w:type="paragraph" w:customStyle="1" w:styleId="ECHRTitleCentre3">
    <w:name w:val="ECHR_Title_Centre_3"/>
    <w:aliases w:val="Ju_H_Article"/>
    <w:basedOn w:val="Normal"/>
    <w:next w:val="ECHRParaQuote"/>
    <w:uiPriority w:val="27"/>
    <w:qFormat/>
    <w:rsid w:val="004F7BE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F7BE0"/>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4F7BE0"/>
    <w:pPr>
      <w:numPr>
        <w:numId w:val="18"/>
      </w:numPr>
      <w:jc w:val="left"/>
    </w:pPr>
    <w:rPr>
      <w:b/>
    </w:rPr>
  </w:style>
  <w:style w:type="paragraph" w:customStyle="1" w:styleId="JuCourt">
    <w:name w:val="Ju_Court"/>
    <w:basedOn w:val="Normal"/>
    <w:next w:val="Normal"/>
    <w:uiPriority w:val="16"/>
    <w:qFormat/>
    <w:rsid w:val="004F7BE0"/>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4F7BE0"/>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4F7BE0"/>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4F7BE0"/>
    <w:pPr>
      <w:ind w:left="794"/>
    </w:pPr>
  </w:style>
  <w:style w:type="paragraph" w:styleId="Title">
    <w:name w:val="Title"/>
    <w:basedOn w:val="Normal"/>
    <w:next w:val="Normal"/>
    <w:link w:val="TitleChar"/>
    <w:uiPriority w:val="99"/>
    <w:semiHidden/>
    <w:qFormat/>
    <w:rsid w:val="004F7BE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F7BE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F7BE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F7BE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F7BE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F7BE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F7BE0"/>
    <w:pPr>
      <w:keepNext/>
      <w:keepLines/>
      <w:spacing w:before="240" w:after="120"/>
      <w:ind w:left="1236"/>
    </w:pPr>
    <w:rPr>
      <w:sz w:val="20"/>
      <w:lang w:val="en-GB"/>
    </w:rPr>
  </w:style>
  <w:style w:type="character" w:customStyle="1" w:styleId="JUNAMES">
    <w:name w:val="JU_NAMES"/>
    <w:uiPriority w:val="17"/>
    <w:qFormat/>
    <w:rsid w:val="004F7BE0"/>
    <w:rPr>
      <w:caps w:val="0"/>
      <w:smallCaps/>
    </w:rPr>
  </w:style>
  <w:style w:type="paragraph" w:customStyle="1" w:styleId="JuParaSub">
    <w:name w:val="Ju_Para_Sub"/>
    <w:basedOn w:val="ECHRPara"/>
    <w:uiPriority w:val="13"/>
    <w:qFormat/>
    <w:rsid w:val="004F7BE0"/>
    <w:pPr>
      <w:ind w:left="284"/>
    </w:pPr>
  </w:style>
  <w:style w:type="paragraph" w:customStyle="1" w:styleId="JuQuotSub">
    <w:name w:val="Ju_Quot_Sub"/>
    <w:basedOn w:val="ECHRParaQuote"/>
    <w:uiPriority w:val="15"/>
    <w:qFormat/>
    <w:rsid w:val="004F7BE0"/>
    <w:pPr>
      <w:ind w:left="567"/>
    </w:pPr>
  </w:style>
  <w:style w:type="paragraph" w:styleId="Header">
    <w:name w:val="header"/>
    <w:basedOn w:val="Normal"/>
    <w:link w:val="HeaderChar"/>
    <w:uiPriority w:val="57"/>
    <w:semiHidden/>
    <w:rsid w:val="004F7BE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F7BE0"/>
    <w:rPr>
      <w:sz w:val="24"/>
      <w:lang w:val="en-GB"/>
    </w:rPr>
  </w:style>
  <w:style w:type="character" w:customStyle="1" w:styleId="Heading1Char">
    <w:name w:val="Heading 1 Char"/>
    <w:basedOn w:val="DefaultParagraphFont"/>
    <w:link w:val="Heading1"/>
    <w:uiPriority w:val="99"/>
    <w:semiHidden/>
    <w:rsid w:val="004F7BE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F7BE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F7BE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F7BE0"/>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4F7BE0"/>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4F7BE0"/>
    <w:pPr>
      <w:ind w:firstLine="284"/>
    </w:pPr>
    <w:rPr>
      <w:b/>
    </w:rPr>
  </w:style>
  <w:style w:type="character" w:customStyle="1" w:styleId="Heading3Char">
    <w:name w:val="Heading 3 Char"/>
    <w:basedOn w:val="DefaultParagraphFont"/>
    <w:link w:val="Heading3"/>
    <w:uiPriority w:val="99"/>
    <w:semiHidden/>
    <w:rsid w:val="004F7BE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F7BE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F7BE0"/>
    <w:rPr>
      <w:rFonts w:asciiTheme="majorHAnsi" w:eastAsiaTheme="majorEastAsia" w:hAnsiTheme="majorHAnsi" w:cstheme="majorBidi"/>
      <w:b/>
      <w:bCs/>
      <w:color w:val="808080"/>
    </w:rPr>
  </w:style>
  <w:style w:type="character" w:styleId="SubtleEmphasis">
    <w:name w:val="Subtle Emphasis"/>
    <w:uiPriority w:val="99"/>
    <w:semiHidden/>
    <w:qFormat/>
    <w:rsid w:val="004F7BE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F7BE0"/>
    <w:pPr>
      <w:keepNext/>
      <w:keepLines/>
      <w:spacing w:before="720" w:after="240"/>
      <w:outlineLvl w:val="0"/>
    </w:pPr>
    <w:rPr>
      <w:rFonts w:asciiTheme="majorHAnsi" w:hAnsiTheme="majorHAnsi"/>
      <w:sz w:val="28"/>
    </w:rPr>
  </w:style>
  <w:style w:type="character" w:styleId="Emphasis">
    <w:name w:val="Emphasis"/>
    <w:uiPriority w:val="99"/>
    <w:semiHidden/>
    <w:qFormat/>
    <w:rsid w:val="004F7BE0"/>
    <w:rPr>
      <w:b/>
      <w:bCs/>
      <w:i/>
      <w:iCs/>
      <w:spacing w:val="10"/>
      <w:bdr w:val="none" w:sz="0" w:space="0" w:color="auto"/>
      <w:shd w:val="clear" w:color="auto" w:fill="auto"/>
    </w:rPr>
  </w:style>
  <w:style w:type="paragraph" w:styleId="Footer">
    <w:name w:val="footer"/>
    <w:basedOn w:val="Normal"/>
    <w:link w:val="FooterChar"/>
    <w:uiPriority w:val="57"/>
    <w:semiHidden/>
    <w:rsid w:val="004F7BE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F7BE0"/>
    <w:rPr>
      <w:sz w:val="24"/>
      <w:lang w:val="en-GB"/>
    </w:rPr>
  </w:style>
  <w:style w:type="character" w:styleId="FootnoteReference">
    <w:name w:val="footnote reference"/>
    <w:basedOn w:val="DefaultParagraphFont"/>
    <w:uiPriority w:val="99"/>
    <w:semiHidden/>
    <w:rsid w:val="004F7BE0"/>
    <w:rPr>
      <w:vertAlign w:val="superscript"/>
    </w:rPr>
  </w:style>
  <w:style w:type="paragraph" w:styleId="FootnoteText">
    <w:name w:val="footnote text"/>
    <w:basedOn w:val="Normal"/>
    <w:link w:val="FootnoteTextChar"/>
    <w:uiPriority w:val="99"/>
    <w:semiHidden/>
    <w:rsid w:val="004F7BE0"/>
    <w:rPr>
      <w:sz w:val="20"/>
      <w:szCs w:val="20"/>
    </w:rPr>
  </w:style>
  <w:style w:type="character" w:customStyle="1" w:styleId="FootnoteTextChar">
    <w:name w:val="Footnote Text Char"/>
    <w:basedOn w:val="DefaultParagraphFont"/>
    <w:link w:val="FootnoteText"/>
    <w:uiPriority w:val="99"/>
    <w:semiHidden/>
    <w:rsid w:val="004F7BE0"/>
    <w:rPr>
      <w:rFonts w:eastAsiaTheme="minorEastAsia"/>
      <w:sz w:val="20"/>
      <w:szCs w:val="20"/>
      <w:lang w:val="en-GB"/>
    </w:rPr>
  </w:style>
  <w:style w:type="character" w:customStyle="1" w:styleId="Heading6Char">
    <w:name w:val="Heading 6 Char"/>
    <w:basedOn w:val="DefaultParagraphFont"/>
    <w:link w:val="Heading6"/>
    <w:uiPriority w:val="99"/>
    <w:semiHidden/>
    <w:rsid w:val="004F7BE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F7BE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F7BE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F7BE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F7BE0"/>
    <w:rPr>
      <w:color w:val="0072BC" w:themeColor="hyperlink"/>
      <w:u w:val="single"/>
    </w:rPr>
  </w:style>
  <w:style w:type="character" w:styleId="IntenseEmphasis">
    <w:name w:val="Intense Emphasis"/>
    <w:uiPriority w:val="99"/>
    <w:semiHidden/>
    <w:qFormat/>
    <w:rsid w:val="004F7BE0"/>
    <w:rPr>
      <w:b/>
      <w:bCs/>
    </w:rPr>
  </w:style>
  <w:style w:type="paragraph" w:styleId="IntenseQuote">
    <w:name w:val="Intense Quote"/>
    <w:basedOn w:val="Normal"/>
    <w:next w:val="Normal"/>
    <w:link w:val="IntenseQuoteChar"/>
    <w:uiPriority w:val="99"/>
    <w:semiHidden/>
    <w:qFormat/>
    <w:rsid w:val="004F7BE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F7BE0"/>
    <w:rPr>
      <w:rFonts w:eastAsiaTheme="minorEastAsia"/>
      <w:b/>
      <w:bCs/>
      <w:i/>
      <w:iCs/>
      <w:lang w:bidi="en-US"/>
    </w:rPr>
  </w:style>
  <w:style w:type="character" w:styleId="IntenseReference">
    <w:name w:val="Intense Reference"/>
    <w:uiPriority w:val="99"/>
    <w:semiHidden/>
    <w:qFormat/>
    <w:rsid w:val="004F7BE0"/>
    <w:rPr>
      <w:smallCaps/>
      <w:spacing w:val="5"/>
      <w:u w:val="single"/>
    </w:rPr>
  </w:style>
  <w:style w:type="paragraph" w:styleId="ListParagraph">
    <w:name w:val="List Paragraph"/>
    <w:basedOn w:val="Normal"/>
    <w:uiPriority w:val="99"/>
    <w:semiHidden/>
    <w:qFormat/>
    <w:rsid w:val="004F7BE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F7BE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F7BE0"/>
    <w:rPr>
      <w:rFonts w:eastAsiaTheme="minorEastAsia"/>
      <w:i/>
      <w:iCs/>
      <w:lang w:bidi="en-US"/>
    </w:rPr>
  </w:style>
  <w:style w:type="character" w:styleId="SubtleReference">
    <w:name w:val="Subtle Reference"/>
    <w:uiPriority w:val="99"/>
    <w:semiHidden/>
    <w:qFormat/>
    <w:rsid w:val="004F7BE0"/>
    <w:rPr>
      <w:smallCaps/>
    </w:rPr>
  </w:style>
  <w:style w:type="table" w:styleId="TableGrid">
    <w:name w:val="Table Grid"/>
    <w:basedOn w:val="TableNormal"/>
    <w:uiPriority w:val="59"/>
    <w:semiHidden/>
    <w:rsid w:val="004F7BE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F7BE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F7BE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F7BE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F7BE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F7BE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F7BE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F7BE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F7BE0"/>
    <w:pPr>
      <w:spacing w:before="120" w:after="120"/>
      <w:ind w:left="425" w:firstLine="142"/>
    </w:pPr>
    <w:rPr>
      <w:sz w:val="20"/>
    </w:rPr>
  </w:style>
  <w:style w:type="paragraph" w:customStyle="1" w:styleId="ECHRPara">
    <w:name w:val="ECHR_Para"/>
    <w:aliases w:val="Ju_Para"/>
    <w:basedOn w:val="Normal"/>
    <w:link w:val="ECHRParaChar"/>
    <w:uiPriority w:val="12"/>
    <w:qFormat/>
    <w:rsid w:val="004F7BE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F7BE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F7BE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F7BE0"/>
    <w:pPr>
      <w:ind w:left="340" w:hanging="340"/>
    </w:pPr>
  </w:style>
  <w:style w:type="paragraph" w:customStyle="1" w:styleId="JuSigned">
    <w:name w:val="Ju_Signed"/>
    <w:basedOn w:val="Normal"/>
    <w:next w:val="JuParaLast"/>
    <w:uiPriority w:val="32"/>
    <w:qFormat/>
    <w:rsid w:val="004F7BE0"/>
    <w:pPr>
      <w:tabs>
        <w:tab w:val="center" w:pos="851"/>
        <w:tab w:val="center" w:pos="6407"/>
      </w:tabs>
      <w:spacing w:before="720"/>
      <w:jc w:val="left"/>
    </w:pPr>
  </w:style>
  <w:style w:type="paragraph" w:customStyle="1" w:styleId="JuParaLast">
    <w:name w:val="Ju_Para_Last"/>
    <w:basedOn w:val="Normal"/>
    <w:next w:val="ECHRPara"/>
    <w:uiPriority w:val="30"/>
    <w:qFormat/>
    <w:rsid w:val="004F7BE0"/>
    <w:pPr>
      <w:keepNext/>
      <w:keepLines/>
      <w:spacing w:before="240"/>
      <w:ind w:firstLine="284"/>
    </w:pPr>
  </w:style>
  <w:style w:type="paragraph" w:customStyle="1" w:styleId="OpiH1">
    <w:name w:val="Opi_H_1"/>
    <w:basedOn w:val="ECHRHeading2"/>
    <w:uiPriority w:val="42"/>
    <w:qFormat/>
    <w:rsid w:val="004F7BE0"/>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F7BE0"/>
    <w:pPr>
      <w:ind w:left="346" w:firstLine="0"/>
    </w:pPr>
  </w:style>
  <w:style w:type="paragraph" w:customStyle="1" w:styleId="OpiHa">
    <w:name w:val="Opi_H_a"/>
    <w:basedOn w:val="ECHRHeading3"/>
    <w:uiPriority w:val="43"/>
    <w:qFormat/>
    <w:rsid w:val="004F7BE0"/>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F7BE0"/>
    <w:rPr>
      <w:vertAlign w:val="superscript"/>
    </w:rPr>
  </w:style>
  <w:style w:type="paragraph" w:styleId="EndnoteText">
    <w:name w:val="endnote text"/>
    <w:basedOn w:val="Normal"/>
    <w:link w:val="EndnoteTextChar"/>
    <w:uiPriority w:val="99"/>
    <w:semiHidden/>
    <w:rsid w:val="004F7BE0"/>
    <w:rPr>
      <w:sz w:val="20"/>
      <w:szCs w:val="20"/>
    </w:rPr>
  </w:style>
  <w:style w:type="character" w:customStyle="1" w:styleId="EndnoteTextChar">
    <w:name w:val="Endnote Text Char"/>
    <w:basedOn w:val="DefaultParagraphFont"/>
    <w:link w:val="EndnoteText"/>
    <w:uiPriority w:val="99"/>
    <w:semiHidden/>
    <w:rsid w:val="004F7BE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4F7BE0"/>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F7BE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F7BE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F7BE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4F7BE0"/>
    <w:pPr>
      <w:ind w:left="1037" w:hanging="357"/>
      <w:outlineLvl w:val="4"/>
    </w:pPr>
    <w:rPr>
      <w:b w:val="0"/>
      <w:i/>
    </w:rPr>
  </w:style>
  <w:style w:type="paragraph" w:customStyle="1" w:styleId="OpiPara">
    <w:name w:val="Opi_Para"/>
    <w:basedOn w:val="ECHRPara"/>
    <w:uiPriority w:val="46"/>
    <w:qFormat/>
    <w:rsid w:val="004F7BE0"/>
  </w:style>
  <w:style w:type="character" w:styleId="PlaceholderText">
    <w:name w:val="Placeholder Text"/>
    <w:basedOn w:val="DefaultParagraphFont"/>
    <w:uiPriority w:val="99"/>
    <w:semiHidden/>
    <w:rsid w:val="004F7BE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F7BE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F7BE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4F7BE0"/>
  </w:style>
  <w:style w:type="paragraph" w:customStyle="1" w:styleId="OpiQuot">
    <w:name w:val="Opi_Quot"/>
    <w:basedOn w:val="ECHRParaQuote"/>
    <w:uiPriority w:val="48"/>
    <w:qFormat/>
    <w:rsid w:val="004F7BE0"/>
  </w:style>
  <w:style w:type="paragraph" w:customStyle="1" w:styleId="OpiQuotSub">
    <w:name w:val="Opi_Quot_Sub"/>
    <w:basedOn w:val="JuQuotSub"/>
    <w:uiPriority w:val="49"/>
    <w:qFormat/>
    <w:rsid w:val="004F7BE0"/>
  </w:style>
  <w:style w:type="paragraph" w:customStyle="1" w:styleId="OpiTranslation">
    <w:name w:val="Opi_Translation"/>
    <w:basedOn w:val="Normal"/>
    <w:next w:val="OpiPara"/>
    <w:uiPriority w:val="40"/>
    <w:qFormat/>
    <w:rsid w:val="004F7BE0"/>
    <w:pPr>
      <w:jc w:val="center"/>
      <w:outlineLvl w:val="0"/>
    </w:pPr>
    <w:rPr>
      <w:i/>
    </w:rPr>
  </w:style>
  <w:style w:type="paragraph" w:styleId="NoteHeading">
    <w:name w:val="Note Heading"/>
    <w:basedOn w:val="Normal"/>
    <w:next w:val="Normal"/>
    <w:link w:val="NoteHeadingChar"/>
    <w:uiPriority w:val="99"/>
    <w:semiHidden/>
    <w:rsid w:val="004F7BE0"/>
  </w:style>
  <w:style w:type="character" w:customStyle="1" w:styleId="NoteHeadingChar">
    <w:name w:val="Note Heading Char"/>
    <w:basedOn w:val="DefaultParagraphFont"/>
    <w:link w:val="NoteHeading"/>
    <w:uiPriority w:val="99"/>
    <w:semiHidden/>
    <w:rsid w:val="004F7BE0"/>
    <w:rPr>
      <w:rFonts w:eastAsiaTheme="minorEastAsia"/>
      <w:sz w:val="24"/>
      <w:lang w:val="en-GB"/>
    </w:rPr>
  </w:style>
  <w:style w:type="paragraph" w:customStyle="1" w:styleId="JuHeaderLandscape">
    <w:name w:val="Ju_Header_Landscape"/>
    <w:basedOn w:val="ECHRHeader"/>
    <w:uiPriority w:val="4"/>
    <w:qFormat/>
    <w:rsid w:val="004F7BE0"/>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A22DA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5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5A99B1-495B-4968-B620-E8167A374FDC}"/>
</file>

<file path=customXml/itemProps2.xml><?xml version="1.0" encoding="utf-8"?>
<ds:datastoreItem xmlns:ds="http://schemas.openxmlformats.org/officeDocument/2006/customXml" ds:itemID="{83F64393-3B3E-42A9-BD77-C1576C61BF5C}"/>
</file>

<file path=customXml/itemProps3.xml><?xml version="1.0" encoding="utf-8"?>
<ds:datastoreItem xmlns:ds="http://schemas.openxmlformats.org/officeDocument/2006/customXml" ds:itemID="{D6B51A85-5538-48C9-AE5C-99863C97A4A5}"/>
</file>

<file path=customXml/itemProps4.xml><?xml version="1.0" encoding="utf-8"?>
<ds:datastoreItem xmlns:ds="http://schemas.openxmlformats.org/officeDocument/2006/customXml" ds:itemID="{7FFE0270-7299-4245-A4B3-074056E1795C}"/>
</file>

<file path=docProps/app.xml><?xml version="1.0" encoding="utf-8"?>
<Properties xmlns="http://schemas.openxmlformats.org/officeDocument/2006/extended-properties" xmlns:vt="http://schemas.openxmlformats.org/officeDocument/2006/docPropsVTypes">
  <Template>Normal.dotm</Template>
  <TotalTime>0</TotalTime>
  <Pages>1</Pages>
  <Words>5905</Words>
  <Characters>33660</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2020-10-22T14:38:00Z</dcterms:created>
  <dcterms:modified xsi:type="dcterms:W3CDTF">2020-10-22T14:38:00Z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5444/10</vt:lpwstr>
  </property>
  <property fmtid="{D5CDD505-2E9C-101B-9397-08002B2CF9AE}" pid="4" name="CASEID">
    <vt:lpwstr>619521</vt:lpwstr>
  </property>
  <property fmtid="{D5CDD505-2E9C-101B-9397-08002B2CF9AE}" pid="5" name="ContentTypeId">
    <vt:lpwstr>0x010100558EB02BDB9E204AB350EDD385B68E10</vt:lpwstr>
  </property>
</Properties>
</file>