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43256" w:rsidR="00D420F3" w:rsidP="00943256" w:rsidRDefault="00D420F3">
      <w:pPr>
        <w:jc w:val="center"/>
        <w:rPr>
          <w:lang w:val="en-GB"/>
        </w:rPr>
      </w:pPr>
      <w:bookmarkStart w:name="_GoBack" w:id="0"/>
      <w:bookmarkEnd w:id="0"/>
    </w:p>
    <w:p w:rsidRPr="00943256" w:rsidR="006532F5" w:rsidP="00943256" w:rsidRDefault="006532F5">
      <w:pPr>
        <w:jc w:val="center"/>
        <w:rPr>
          <w:lang w:val="en-GB"/>
        </w:rPr>
      </w:pPr>
    </w:p>
    <w:p w:rsidRPr="00943256" w:rsidR="006532F5" w:rsidP="00943256" w:rsidRDefault="006532F5">
      <w:pPr>
        <w:jc w:val="center"/>
        <w:rPr>
          <w:lang w:val="en-GB"/>
        </w:rPr>
      </w:pPr>
    </w:p>
    <w:p w:rsidRPr="00943256" w:rsidR="00D420F3" w:rsidP="00943256" w:rsidRDefault="00BE7D00">
      <w:pPr>
        <w:jc w:val="center"/>
        <w:rPr>
          <w:lang w:val="en-GB"/>
        </w:rPr>
      </w:pPr>
      <w:r w:rsidRPr="00943256">
        <w:rPr>
          <w:lang w:val="en-GB"/>
        </w:rPr>
        <w:t>FIRST SECTION</w:t>
      </w:r>
    </w:p>
    <w:p w:rsidRPr="00943256" w:rsidR="00D420F3" w:rsidP="00943256" w:rsidRDefault="00D420F3">
      <w:pPr>
        <w:jc w:val="center"/>
        <w:rPr>
          <w:lang w:val="en-GB"/>
        </w:rPr>
      </w:pPr>
    </w:p>
    <w:p w:rsidRPr="00943256" w:rsidR="006532F5" w:rsidP="00943256" w:rsidRDefault="006532F5">
      <w:pPr>
        <w:jc w:val="center"/>
        <w:rPr>
          <w:lang w:val="en-GB"/>
        </w:rPr>
      </w:pPr>
    </w:p>
    <w:p w:rsidRPr="00943256" w:rsidR="006532F5" w:rsidP="00943256" w:rsidRDefault="006532F5">
      <w:pPr>
        <w:jc w:val="center"/>
        <w:rPr>
          <w:lang w:val="en-GB"/>
        </w:rPr>
      </w:pPr>
    </w:p>
    <w:p w:rsidRPr="00943256" w:rsidR="006532F5" w:rsidP="00943256" w:rsidRDefault="006532F5">
      <w:pPr>
        <w:jc w:val="center"/>
        <w:rPr>
          <w:lang w:val="en-GB"/>
        </w:rPr>
      </w:pPr>
    </w:p>
    <w:p w:rsidRPr="00943256" w:rsidR="006532F5" w:rsidP="00943256" w:rsidRDefault="006532F5">
      <w:pPr>
        <w:jc w:val="center"/>
        <w:rPr>
          <w:lang w:val="en-GB"/>
        </w:rPr>
      </w:pPr>
    </w:p>
    <w:p w:rsidRPr="00943256" w:rsidR="006532F5" w:rsidP="00943256" w:rsidRDefault="006532F5">
      <w:pPr>
        <w:jc w:val="center"/>
        <w:rPr>
          <w:lang w:val="en-GB"/>
        </w:rPr>
      </w:pPr>
    </w:p>
    <w:p w:rsidRPr="00943256" w:rsidR="00D420F3" w:rsidP="00943256" w:rsidRDefault="0077175D">
      <w:pPr>
        <w:jc w:val="center"/>
        <w:rPr>
          <w:b/>
          <w:lang w:val="en-GB"/>
        </w:rPr>
      </w:pPr>
      <w:bookmarkStart w:name="To" w:id="1"/>
      <w:r w:rsidRPr="00943256">
        <w:rPr>
          <w:b/>
          <w:lang w:val="en-GB"/>
        </w:rPr>
        <w:t xml:space="preserve">CASE OF </w:t>
      </w:r>
      <w:bookmarkEnd w:id="1"/>
      <w:r w:rsidRPr="00943256" w:rsidR="00BE7D00">
        <w:rPr>
          <w:b/>
          <w:lang w:val="en-GB"/>
        </w:rPr>
        <w:t>RAMAZYAN v. ARMENIA</w:t>
      </w:r>
    </w:p>
    <w:p w:rsidRPr="00943256" w:rsidR="00D420F3" w:rsidP="00943256" w:rsidRDefault="00D420F3">
      <w:pPr>
        <w:jc w:val="center"/>
        <w:rPr>
          <w:lang w:val="en-GB"/>
        </w:rPr>
      </w:pPr>
    </w:p>
    <w:p w:rsidRPr="00943256" w:rsidR="00D420F3" w:rsidP="00943256" w:rsidRDefault="0077175D">
      <w:pPr>
        <w:jc w:val="center"/>
        <w:rPr>
          <w:i/>
          <w:lang w:val="en-GB"/>
        </w:rPr>
      </w:pPr>
      <w:r w:rsidRPr="00943256">
        <w:rPr>
          <w:i/>
          <w:lang w:val="en-GB"/>
        </w:rPr>
        <w:t>(</w:t>
      </w:r>
      <w:r w:rsidRPr="00943256" w:rsidR="00BE7D00">
        <w:rPr>
          <w:i/>
          <w:lang w:val="en-GB"/>
        </w:rPr>
        <w:t>Application no. 54769/10</w:t>
      </w:r>
      <w:r w:rsidRPr="00943256">
        <w:rPr>
          <w:i/>
          <w:lang w:val="en-GB"/>
        </w:rPr>
        <w:t>)</w:t>
      </w:r>
    </w:p>
    <w:p w:rsidRPr="00943256" w:rsidR="00D420F3" w:rsidP="00943256" w:rsidRDefault="00D420F3">
      <w:pPr>
        <w:jc w:val="center"/>
        <w:rPr>
          <w:lang w:val="en-GB"/>
        </w:rPr>
      </w:pPr>
    </w:p>
    <w:p w:rsidRPr="00943256" w:rsidR="00D420F3" w:rsidP="00943256" w:rsidRDefault="00D420F3">
      <w:pPr>
        <w:jc w:val="center"/>
        <w:rPr>
          <w:lang w:val="en-GB"/>
        </w:rPr>
      </w:pPr>
    </w:p>
    <w:p w:rsidRPr="00943256" w:rsidR="00D420F3" w:rsidP="00943256" w:rsidRDefault="00D420F3">
      <w:pPr>
        <w:jc w:val="center"/>
        <w:rPr>
          <w:lang w:val="en-GB"/>
        </w:rPr>
      </w:pPr>
    </w:p>
    <w:p w:rsidRPr="00943256" w:rsidR="00D420F3" w:rsidP="00943256" w:rsidRDefault="00D420F3">
      <w:pPr>
        <w:jc w:val="center"/>
        <w:rPr>
          <w:lang w:val="en-GB"/>
        </w:rPr>
      </w:pPr>
    </w:p>
    <w:p w:rsidRPr="00943256" w:rsidR="00D420F3" w:rsidP="00943256" w:rsidRDefault="00D420F3">
      <w:pPr>
        <w:jc w:val="center"/>
        <w:rPr>
          <w:lang w:val="en-GB"/>
        </w:rPr>
      </w:pPr>
    </w:p>
    <w:p w:rsidRPr="00943256" w:rsidR="00D420F3" w:rsidP="00943256" w:rsidRDefault="00D420F3">
      <w:pPr>
        <w:jc w:val="center"/>
        <w:rPr>
          <w:lang w:val="en-GB"/>
        </w:rPr>
      </w:pPr>
    </w:p>
    <w:p w:rsidRPr="00943256" w:rsidR="00943256" w:rsidP="00943256" w:rsidRDefault="00943256">
      <w:pPr>
        <w:jc w:val="center"/>
        <w:rPr>
          <w:lang w:val="en-GB"/>
        </w:rPr>
      </w:pPr>
    </w:p>
    <w:p w:rsidRPr="00943256" w:rsidR="00943256" w:rsidP="00943256" w:rsidRDefault="00943256">
      <w:pPr>
        <w:jc w:val="center"/>
        <w:rPr>
          <w:lang w:val="en-GB"/>
        </w:rPr>
      </w:pPr>
    </w:p>
    <w:p w:rsidRPr="00943256" w:rsidR="00943256" w:rsidP="00943256" w:rsidRDefault="00943256">
      <w:pPr>
        <w:jc w:val="center"/>
        <w:rPr>
          <w:lang w:val="en-GB"/>
        </w:rPr>
      </w:pPr>
    </w:p>
    <w:p w:rsidRPr="00943256" w:rsidR="00943256" w:rsidP="00943256" w:rsidRDefault="00943256">
      <w:pPr>
        <w:jc w:val="center"/>
        <w:rPr>
          <w:lang w:val="en-GB"/>
        </w:rPr>
      </w:pPr>
    </w:p>
    <w:p w:rsidRPr="00943256" w:rsidR="006532F5" w:rsidP="00943256" w:rsidRDefault="006532F5">
      <w:pPr>
        <w:jc w:val="center"/>
        <w:rPr>
          <w:lang w:val="en-GB"/>
        </w:rPr>
      </w:pPr>
    </w:p>
    <w:p w:rsidRPr="00943256" w:rsidR="006532F5" w:rsidP="00943256" w:rsidRDefault="006532F5">
      <w:pPr>
        <w:jc w:val="center"/>
        <w:rPr>
          <w:lang w:val="en-GB"/>
        </w:rPr>
      </w:pPr>
    </w:p>
    <w:p w:rsidRPr="00943256" w:rsidR="006532F5" w:rsidP="00943256" w:rsidRDefault="006532F5">
      <w:pPr>
        <w:jc w:val="center"/>
        <w:rPr>
          <w:lang w:val="en-GB"/>
        </w:rPr>
      </w:pPr>
    </w:p>
    <w:p w:rsidRPr="00943256" w:rsidR="00D420F3" w:rsidP="00943256" w:rsidRDefault="006532F5">
      <w:pPr>
        <w:jc w:val="center"/>
        <w:rPr>
          <w:szCs w:val="24"/>
          <w:lang w:val="en-GB"/>
        </w:rPr>
      </w:pPr>
      <w:r w:rsidRPr="00943256">
        <w:rPr>
          <w:szCs w:val="24"/>
          <w:lang w:val="en-GB"/>
        </w:rPr>
        <w:t>JUDGMENT</w:t>
      </w:r>
    </w:p>
    <w:p w:rsidRPr="00943256" w:rsidR="00CB20C3" w:rsidP="00943256" w:rsidRDefault="00CB20C3">
      <w:pPr>
        <w:jc w:val="center"/>
        <w:rPr>
          <w:lang w:val="en-GB"/>
        </w:rPr>
      </w:pPr>
    </w:p>
    <w:p w:rsidRPr="00943256" w:rsidR="00D420F3" w:rsidP="00943256" w:rsidRDefault="00D420F3">
      <w:pPr>
        <w:jc w:val="center"/>
        <w:rPr>
          <w:lang w:val="en-GB"/>
        </w:rPr>
      </w:pPr>
    </w:p>
    <w:p w:rsidRPr="00943256" w:rsidR="006532F5" w:rsidP="00943256" w:rsidRDefault="006532F5">
      <w:pPr>
        <w:jc w:val="center"/>
        <w:rPr>
          <w:lang w:val="en-GB"/>
        </w:rPr>
      </w:pPr>
    </w:p>
    <w:p w:rsidRPr="00943256" w:rsidR="006532F5" w:rsidP="00943256" w:rsidRDefault="006532F5">
      <w:pPr>
        <w:jc w:val="center"/>
        <w:rPr>
          <w:lang w:val="en-GB"/>
        </w:rPr>
      </w:pPr>
    </w:p>
    <w:p w:rsidRPr="00943256" w:rsidR="006532F5" w:rsidP="00943256" w:rsidRDefault="006532F5">
      <w:pPr>
        <w:jc w:val="center"/>
        <w:rPr>
          <w:lang w:val="en-GB"/>
        </w:rPr>
      </w:pPr>
      <w:r w:rsidRPr="00943256">
        <w:rPr>
          <w:lang w:val="en-GB"/>
        </w:rPr>
        <w:t>STRASBOURG</w:t>
      </w:r>
    </w:p>
    <w:p w:rsidRPr="00943256" w:rsidR="006532F5" w:rsidP="00943256" w:rsidRDefault="006532F5">
      <w:pPr>
        <w:jc w:val="center"/>
        <w:rPr>
          <w:lang w:val="en-GB"/>
        </w:rPr>
      </w:pPr>
    </w:p>
    <w:p w:rsidRPr="00943256" w:rsidR="006532F5" w:rsidP="00943256" w:rsidRDefault="006532F5">
      <w:pPr>
        <w:jc w:val="center"/>
        <w:rPr>
          <w:lang w:val="en-GB"/>
        </w:rPr>
      </w:pPr>
      <w:r w:rsidRPr="00943256">
        <w:rPr>
          <w:lang w:val="en-GB"/>
        </w:rPr>
        <w:t>14 February 2019</w:t>
      </w:r>
    </w:p>
    <w:p w:rsidRPr="00943256" w:rsidR="006532F5" w:rsidP="00943256" w:rsidRDefault="006532F5">
      <w:pPr>
        <w:jc w:val="center"/>
        <w:rPr>
          <w:lang w:val="en-GB"/>
        </w:rPr>
      </w:pPr>
    </w:p>
    <w:p w:rsidRPr="00943256" w:rsidR="006532F5" w:rsidP="00943256" w:rsidRDefault="006532F5">
      <w:pPr>
        <w:jc w:val="center"/>
        <w:rPr>
          <w:lang w:val="en-GB"/>
        </w:rPr>
      </w:pPr>
    </w:p>
    <w:p w:rsidRPr="00943256" w:rsidR="00943256" w:rsidP="00943256" w:rsidRDefault="00943256">
      <w:pPr>
        <w:jc w:val="center"/>
        <w:rPr>
          <w:lang w:val="en-GB"/>
        </w:rPr>
      </w:pPr>
    </w:p>
    <w:p w:rsidRPr="00943256" w:rsidR="006532F5" w:rsidP="00943256" w:rsidRDefault="006532F5">
      <w:pPr>
        <w:jc w:val="left"/>
        <w:rPr>
          <w:i/>
          <w:sz w:val="22"/>
          <w:lang w:val="en-GB"/>
        </w:rPr>
      </w:pPr>
      <w:r w:rsidRPr="00943256">
        <w:rPr>
          <w:i/>
          <w:sz w:val="22"/>
          <w:lang w:val="en-GB"/>
        </w:rPr>
        <w:t>This judgment is final but it may be subject to editorial revision.</w:t>
      </w:r>
    </w:p>
    <w:p w:rsidRPr="00943256" w:rsidR="00943256" w:rsidP="00943256" w:rsidRDefault="00943256">
      <w:pPr>
        <w:pStyle w:val="ECHRPara"/>
        <w:rPr>
          <w:lang w:val="en-GB"/>
        </w:rPr>
        <w:sectPr w:rsidRPr="00943256" w:rsidR="00943256" w:rsidSect="006532F5">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943256" w:rsidR="00D420F3" w:rsidP="00943256" w:rsidRDefault="0077175D">
      <w:pPr>
        <w:pStyle w:val="JuCase"/>
        <w:rPr>
          <w:bCs/>
          <w:lang w:val="en-GB"/>
        </w:rPr>
      </w:pPr>
      <w:r w:rsidRPr="00943256">
        <w:rPr>
          <w:lang w:val="en-GB"/>
        </w:rPr>
        <w:t xml:space="preserve">In the case of </w:t>
      </w:r>
      <w:r w:rsidRPr="00943256" w:rsidR="00BE7D00">
        <w:rPr>
          <w:lang w:val="en-GB"/>
        </w:rPr>
        <w:t>Ramazyan v. Armenia</w:t>
      </w:r>
      <w:r w:rsidRPr="00943256">
        <w:rPr>
          <w:lang w:val="en-GB"/>
        </w:rPr>
        <w:t>,</w:t>
      </w:r>
    </w:p>
    <w:p w:rsidRPr="00943256" w:rsidR="00D420F3" w:rsidP="00943256" w:rsidRDefault="0077175D">
      <w:pPr>
        <w:pStyle w:val="ECHRPara"/>
        <w:rPr>
          <w:lang w:val="en-GB"/>
        </w:rPr>
      </w:pPr>
      <w:r w:rsidRPr="00943256">
        <w:rPr>
          <w:lang w:val="en-GB"/>
        </w:rPr>
        <w:t>The European Court of Human Rights (</w:t>
      </w:r>
      <w:r w:rsidRPr="00943256" w:rsidR="00BE7D00">
        <w:rPr>
          <w:lang w:val="en-GB"/>
        </w:rPr>
        <w:t>First Section</w:t>
      </w:r>
      <w:r w:rsidRPr="00943256">
        <w:rPr>
          <w:lang w:val="en-GB"/>
        </w:rPr>
        <w:t xml:space="preserve">), sitting as a </w:t>
      </w:r>
      <w:r w:rsidRPr="00943256" w:rsidR="00BE7D00">
        <w:rPr>
          <w:lang w:val="en-GB"/>
        </w:rPr>
        <w:t>Committee</w:t>
      </w:r>
      <w:r w:rsidRPr="00943256">
        <w:rPr>
          <w:lang w:val="en-GB"/>
        </w:rPr>
        <w:t xml:space="preserve"> composed of:</w:t>
      </w:r>
    </w:p>
    <w:p w:rsidRPr="00943256" w:rsidR="00D420F3" w:rsidP="00943256" w:rsidRDefault="006532F5">
      <w:pPr>
        <w:pStyle w:val="ECHRDecisionBody"/>
        <w:rPr>
          <w:lang w:val="en-GB"/>
        </w:rPr>
      </w:pPr>
      <w:r w:rsidRPr="00943256">
        <w:tab/>
        <w:t>Ksenija Turković,</w:t>
      </w:r>
      <w:r w:rsidRPr="00943256">
        <w:rPr>
          <w:i/>
        </w:rPr>
        <w:t xml:space="preserve"> President,</w:t>
      </w:r>
      <w:r w:rsidRPr="00943256">
        <w:rPr>
          <w:i/>
        </w:rPr>
        <w:br/>
      </w:r>
      <w:r w:rsidRPr="00943256">
        <w:tab/>
        <w:t>Armen Harutyunyan,</w:t>
      </w:r>
      <w:r w:rsidRPr="00943256">
        <w:rPr>
          <w:i/>
        </w:rPr>
        <w:br/>
      </w:r>
      <w:r w:rsidRPr="00943256">
        <w:tab/>
        <w:t>Pauliine Koskelo,</w:t>
      </w:r>
      <w:r w:rsidRPr="00943256">
        <w:rPr>
          <w:i/>
        </w:rPr>
        <w:t xml:space="preserve"> judges,</w:t>
      </w:r>
      <w:r w:rsidRPr="00943256" w:rsidR="0077175D">
        <w:rPr>
          <w:szCs w:val="24"/>
          <w:lang w:val="en-GB"/>
        </w:rPr>
        <w:br/>
      </w:r>
      <w:r w:rsidRPr="00943256" w:rsidR="0077175D">
        <w:rPr>
          <w:lang w:val="en-GB"/>
        </w:rPr>
        <w:t xml:space="preserve">and </w:t>
      </w:r>
      <w:r w:rsidRPr="00943256" w:rsidR="00BE7D00">
        <w:rPr>
          <w:lang w:val="en-GB"/>
        </w:rPr>
        <w:t>Renata Degener</w:t>
      </w:r>
      <w:r w:rsidRPr="00943256" w:rsidR="0077175D">
        <w:rPr>
          <w:lang w:val="en-GB"/>
        </w:rPr>
        <w:t xml:space="preserve">, </w:t>
      </w:r>
      <w:r w:rsidRPr="00943256" w:rsidR="00BE7D00">
        <w:rPr>
          <w:i/>
          <w:lang w:val="en-GB"/>
        </w:rPr>
        <w:t xml:space="preserve">Deputy Section </w:t>
      </w:r>
      <w:r w:rsidRPr="00943256" w:rsidR="00BE7D00">
        <w:rPr>
          <w:i/>
          <w:iCs/>
          <w:lang w:val="en-GB"/>
        </w:rPr>
        <w:t>Registrar</w:t>
      </w:r>
      <w:r w:rsidRPr="00943256" w:rsidR="0077175D">
        <w:rPr>
          <w:i/>
          <w:lang w:val="en-GB"/>
        </w:rPr>
        <w:t>,</w:t>
      </w:r>
    </w:p>
    <w:p w:rsidRPr="00943256" w:rsidR="00D420F3" w:rsidP="00943256" w:rsidRDefault="0077175D">
      <w:pPr>
        <w:pStyle w:val="ECHRPara"/>
        <w:rPr>
          <w:lang w:val="en-GB"/>
        </w:rPr>
      </w:pPr>
      <w:r w:rsidRPr="00943256">
        <w:rPr>
          <w:lang w:val="en-GB"/>
        </w:rPr>
        <w:t xml:space="preserve">Having deliberated in private on </w:t>
      </w:r>
      <w:r w:rsidRPr="00943256" w:rsidR="006532F5">
        <w:rPr>
          <w:lang w:val="en-GB"/>
        </w:rPr>
        <w:t>22 January 2019</w:t>
      </w:r>
      <w:r w:rsidRPr="00943256">
        <w:rPr>
          <w:lang w:val="en-GB"/>
        </w:rPr>
        <w:t>,</w:t>
      </w:r>
    </w:p>
    <w:p w:rsidRPr="00943256" w:rsidR="00D420F3" w:rsidP="00943256" w:rsidRDefault="0077175D">
      <w:pPr>
        <w:pStyle w:val="ECHRPara"/>
        <w:rPr>
          <w:lang w:val="en-GB"/>
        </w:rPr>
      </w:pPr>
      <w:r w:rsidRPr="00943256">
        <w:rPr>
          <w:lang w:val="en-GB"/>
        </w:rPr>
        <w:t>Delivers the following judgment, which was adopted on that date:</w:t>
      </w:r>
    </w:p>
    <w:p w:rsidRPr="00943256" w:rsidR="00D420F3" w:rsidP="00943256" w:rsidRDefault="0077175D">
      <w:pPr>
        <w:pStyle w:val="ECHRTitle1"/>
        <w:rPr>
          <w:lang w:val="en-GB"/>
        </w:rPr>
      </w:pPr>
      <w:r w:rsidRPr="00943256">
        <w:rPr>
          <w:lang w:val="en-GB"/>
        </w:rPr>
        <w:t>PROCEDURE</w:t>
      </w:r>
    </w:p>
    <w:p w:rsidRPr="00943256" w:rsidR="003721AB" w:rsidP="00943256" w:rsidRDefault="00B50646">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1</w:t>
      </w:r>
      <w:r w:rsidRPr="00943256">
        <w:rPr>
          <w:lang w:val="en-GB"/>
        </w:rPr>
        <w:fldChar w:fldCharType="end"/>
      </w:r>
      <w:r w:rsidRPr="00943256">
        <w:rPr>
          <w:lang w:val="en-GB"/>
        </w:rPr>
        <w:t>.  </w:t>
      </w:r>
      <w:r w:rsidRPr="00943256" w:rsidR="0077175D">
        <w:rPr>
          <w:lang w:val="en-GB"/>
        </w:rPr>
        <w:t xml:space="preserve">The case originated in </w:t>
      </w:r>
      <w:r w:rsidRPr="00943256" w:rsidR="00BE7D00">
        <w:rPr>
          <w:lang w:val="en-GB"/>
        </w:rPr>
        <w:t>an application (no. 54769/10)</w:t>
      </w:r>
      <w:r w:rsidRPr="00943256" w:rsidR="0077175D">
        <w:rPr>
          <w:lang w:val="en-GB"/>
        </w:rPr>
        <w:t xml:space="preserve"> against </w:t>
      </w:r>
      <w:r w:rsidRPr="00943256" w:rsidR="00BE7D00">
        <w:rPr>
          <w:lang w:val="en-GB"/>
        </w:rPr>
        <w:t>the Republic of Armenia</w:t>
      </w:r>
      <w:r w:rsidRPr="00943256" w:rsidR="0077175D">
        <w:rPr>
          <w:lang w:val="en-GB"/>
        </w:rPr>
        <w:t xml:space="preserve"> lodged with the </w:t>
      </w:r>
      <w:r w:rsidRPr="00943256" w:rsidR="00BE7D00">
        <w:rPr>
          <w:lang w:val="en-GB"/>
        </w:rPr>
        <w:t>Court under Article 34</w:t>
      </w:r>
      <w:r w:rsidRPr="00943256" w:rsidR="0077175D">
        <w:rPr>
          <w:lang w:val="en-GB"/>
        </w:rPr>
        <w:t xml:space="preserve"> of the Convention for the Protection of Human Rights and Fundamental Freedoms (“the Convention”) by </w:t>
      </w:r>
      <w:r w:rsidRPr="00943256" w:rsidR="003B511B">
        <w:rPr>
          <w:lang w:val="en-GB"/>
        </w:rPr>
        <w:t>two</w:t>
      </w:r>
      <w:r w:rsidRPr="00943256" w:rsidR="00BE7D00">
        <w:rPr>
          <w:lang w:val="en-GB"/>
        </w:rPr>
        <w:t xml:space="preserve"> Armenian nationals, Mr Zhora Ramazyan and Mr</w:t>
      </w:r>
      <w:r w:rsidRPr="00943256" w:rsidR="003B511B">
        <w:rPr>
          <w:lang w:val="en-GB"/>
        </w:rPr>
        <w:t xml:space="preserve"> </w:t>
      </w:r>
      <w:r w:rsidRPr="00943256" w:rsidR="003B511B">
        <w:rPr>
          <w:bCs/>
        </w:rPr>
        <w:t>Arkadi Ramazyan</w:t>
      </w:r>
      <w:r w:rsidRPr="00943256" w:rsidR="003B511B">
        <w:rPr>
          <w:lang w:val="en-GB"/>
        </w:rPr>
        <w:t xml:space="preserve"> </w:t>
      </w:r>
      <w:r w:rsidRPr="00943256" w:rsidR="00BE7D00">
        <w:rPr>
          <w:lang w:val="en-GB"/>
        </w:rPr>
        <w:t>(“the applicants”), on 14 September 2010</w:t>
      </w:r>
      <w:r w:rsidRPr="00943256" w:rsidR="0077175D">
        <w:rPr>
          <w:lang w:val="en-GB"/>
        </w:rPr>
        <w:t>.</w:t>
      </w:r>
    </w:p>
    <w:p w:rsidRPr="00943256" w:rsidR="003B511B" w:rsidP="00943256" w:rsidRDefault="003B511B">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2</w:t>
      </w:r>
      <w:r w:rsidRPr="00943256">
        <w:rPr>
          <w:lang w:val="en-GB"/>
        </w:rPr>
        <w:fldChar w:fldCharType="end"/>
      </w:r>
      <w:r w:rsidRPr="00943256">
        <w:rPr>
          <w:lang w:val="en-GB"/>
        </w:rPr>
        <w:t xml:space="preserve">.  The applicants were represented by Mr K. Tumanyan, a lawyer practising in Vanadzor. The Armenian Government (“the Government”) were represented by their Agent, </w:t>
      </w:r>
      <w:r w:rsidRPr="00943256">
        <w:t xml:space="preserve">Mr G. Kostanyan, Representative of the Republic of </w:t>
      </w:r>
      <w:bookmarkStart w:name="_1000002" w:id="2"/>
      <w:bookmarkEnd w:id="2"/>
      <w:r w:rsidRPr="00943256">
        <w:t>Armenia to the European Court of Human Rights.</w:t>
      </w:r>
    </w:p>
    <w:p w:rsidRPr="00943256" w:rsidR="003B511B" w:rsidP="00943256" w:rsidRDefault="003B511B">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3</w:t>
      </w:r>
      <w:r w:rsidRPr="00943256">
        <w:rPr>
          <w:lang w:val="en-GB"/>
        </w:rPr>
        <w:fldChar w:fldCharType="end"/>
      </w:r>
      <w:r w:rsidRPr="00943256">
        <w:rPr>
          <w:lang w:val="en-GB"/>
        </w:rPr>
        <w:t xml:space="preserve">.  On </w:t>
      </w:r>
      <w:r w:rsidRPr="00943256">
        <w:rPr>
          <w:szCs w:val="24"/>
          <w:lang w:val="en-GB"/>
        </w:rPr>
        <w:t>18 March 2014</w:t>
      </w:r>
      <w:r w:rsidRPr="00943256">
        <w:rPr>
          <w:lang w:val="en-GB"/>
        </w:rPr>
        <w:t xml:space="preserve"> notice of the complaints concerning the deprivation of property and the right to a fair trial was given to the Government and the remainder of the application was declared inadmissible</w:t>
      </w:r>
      <w:r w:rsidRPr="00943256">
        <w:rPr>
          <w:szCs w:val="24"/>
          <w:lang w:val="en-GB"/>
        </w:rPr>
        <w:t xml:space="preserve"> </w:t>
      </w:r>
      <w:r w:rsidRPr="00943256">
        <w:rPr>
          <w:lang w:val="en-GB"/>
        </w:rPr>
        <w:t>pursuant to Rule 54 § 3 of the Rules of Court.</w:t>
      </w:r>
    </w:p>
    <w:p w:rsidRPr="00943256" w:rsidR="00D420F3" w:rsidP="00943256" w:rsidRDefault="0077175D">
      <w:pPr>
        <w:pStyle w:val="ECHRTitle1"/>
        <w:rPr>
          <w:lang w:val="en-GB"/>
        </w:rPr>
      </w:pPr>
      <w:r w:rsidRPr="00943256">
        <w:rPr>
          <w:lang w:val="en-GB"/>
        </w:rPr>
        <w:t>THE FACTS</w:t>
      </w:r>
    </w:p>
    <w:p w:rsidRPr="00943256" w:rsidR="00D420F3" w:rsidP="00943256" w:rsidRDefault="0077175D">
      <w:pPr>
        <w:pStyle w:val="ECHRHeading1"/>
        <w:rPr>
          <w:lang w:val="en-GB"/>
        </w:rPr>
      </w:pPr>
      <w:r w:rsidRPr="00943256">
        <w:rPr>
          <w:lang w:val="en-GB"/>
        </w:rPr>
        <w:t>I.  THE CIRCUMSTANCES OF THE CASE</w:t>
      </w:r>
    </w:p>
    <w:p w:rsidRPr="00943256" w:rsidR="00D420F3" w:rsidP="00943256" w:rsidRDefault="00BE7D00">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4</w:t>
      </w:r>
      <w:r w:rsidRPr="00943256">
        <w:rPr>
          <w:lang w:val="en-GB"/>
        </w:rPr>
        <w:fldChar w:fldCharType="end"/>
      </w:r>
      <w:r w:rsidRPr="00943256" w:rsidR="0077175D">
        <w:rPr>
          <w:lang w:val="en-GB"/>
        </w:rPr>
        <w:t xml:space="preserve">.  The </w:t>
      </w:r>
      <w:r w:rsidRPr="00943256">
        <w:rPr>
          <w:lang w:val="en-GB"/>
        </w:rPr>
        <w:t>applicant</w:t>
      </w:r>
      <w:r w:rsidRPr="00943256" w:rsidR="003B511B">
        <w:rPr>
          <w:lang w:val="en-GB"/>
        </w:rPr>
        <w:t>s</w:t>
      </w:r>
      <w:r w:rsidRPr="00943256">
        <w:rPr>
          <w:lang w:val="en-GB"/>
        </w:rPr>
        <w:t xml:space="preserve"> </w:t>
      </w:r>
      <w:r w:rsidRPr="00943256" w:rsidR="00556192">
        <w:rPr>
          <w:lang w:val="en-GB"/>
        </w:rPr>
        <w:t xml:space="preserve">were born in 1939 and 1976 respectively and </w:t>
      </w:r>
      <w:r w:rsidRPr="00943256">
        <w:rPr>
          <w:lang w:val="en-GB"/>
        </w:rPr>
        <w:t>live</w:t>
      </w:r>
      <w:r w:rsidRPr="00943256" w:rsidR="0077175D">
        <w:rPr>
          <w:lang w:val="en-GB"/>
        </w:rPr>
        <w:t xml:space="preserve"> in </w:t>
      </w:r>
      <w:r w:rsidRPr="00943256">
        <w:rPr>
          <w:lang w:val="en-GB"/>
        </w:rPr>
        <w:t>Shnogh village</w:t>
      </w:r>
      <w:r w:rsidRPr="00943256" w:rsidR="0077175D">
        <w:rPr>
          <w:lang w:val="en-GB"/>
        </w:rPr>
        <w:t>.</w:t>
      </w:r>
    </w:p>
    <w:p w:rsidRPr="00943256" w:rsidR="003B511B" w:rsidP="00943256" w:rsidRDefault="003B511B">
      <w:pPr>
        <w:pStyle w:val="ECHRHeading2"/>
      </w:pPr>
      <w:r w:rsidRPr="00943256">
        <w:t>A.  Background to the case</w:t>
      </w:r>
    </w:p>
    <w:p w:rsidRPr="00943256" w:rsidR="003B511B" w:rsidP="00943256" w:rsidRDefault="004F2397">
      <w:pPr>
        <w:pStyle w:val="ECHRPara"/>
        <w:rPr>
          <w:lang w:val="en-GB"/>
        </w:rPr>
      </w:pPr>
      <w:r>
        <w:fldChar w:fldCharType="begin"/>
      </w:r>
      <w:r>
        <w:instrText xml:space="preserve"> SEQ level0 \*arabic </w:instrText>
      </w:r>
      <w:r>
        <w:fldChar w:fldCharType="separate"/>
      </w:r>
      <w:r w:rsidRPr="00943256" w:rsidR="00943256">
        <w:rPr>
          <w:noProof/>
        </w:rPr>
        <w:t>5</w:t>
      </w:r>
      <w:r>
        <w:rPr>
          <w:noProof/>
        </w:rPr>
        <w:fldChar w:fldCharType="end"/>
      </w:r>
      <w:r w:rsidRPr="00943256" w:rsidR="003B511B">
        <w:t>.  In the 1970s a copper-molybdenum deposit (</w:t>
      </w:r>
      <w:r w:rsidRPr="00943256" w:rsidR="00943256">
        <w:t>‘</w:t>
      </w:r>
      <w:r w:rsidRPr="00943256" w:rsidR="003B511B">
        <w:t>Teghout</w:t>
      </w:r>
      <w:r w:rsidRPr="00943256" w:rsidR="00943256">
        <w:t>’</w:t>
      </w:r>
      <w:r w:rsidRPr="00943256" w:rsidR="003B511B">
        <w:t>) was discovered about four and six km away from the villages of Teghout and Shnogh respectively, in the Lori Region.</w:t>
      </w:r>
    </w:p>
    <w:p w:rsidRPr="00943256" w:rsidR="003B511B" w:rsidP="00943256" w:rsidRDefault="004F2397">
      <w:pPr>
        <w:pStyle w:val="ECHRPara"/>
      </w:pPr>
      <w:r>
        <w:fldChar w:fldCharType="begin"/>
      </w:r>
      <w:r>
        <w:instrText xml:space="preserve"> SEQ level0 \*arabic </w:instrText>
      </w:r>
      <w:r>
        <w:fldChar w:fldCharType="separate"/>
      </w:r>
      <w:r w:rsidRPr="00943256" w:rsidR="00943256">
        <w:rPr>
          <w:noProof/>
        </w:rPr>
        <w:t>6</w:t>
      </w:r>
      <w:r>
        <w:rPr>
          <w:noProof/>
        </w:rPr>
        <w:fldChar w:fldCharType="end"/>
      </w:r>
      <w:r w:rsidRPr="00943256" w:rsidR="003B511B">
        <w:t>.  In 2001 a private company, Armenian Copper Programme CJSC, was granted a mining licence for the exploitation of the Teghout copper</w:t>
      </w:r>
      <w:r w:rsidRPr="00943256" w:rsidR="003B511B">
        <w:noBreakHyphen/>
        <w:t>molybdenum deposit for a period of twenty-five years.</w:t>
      </w:r>
    </w:p>
    <w:p w:rsidRPr="00943256" w:rsidR="003B511B" w:rsidP="00943256" w:rsidRDefault="004F2397">
      <w:pPr>
        <w:pStyle w:val="ECHRPara"/>
      </w:pPr>
      <w:r>
        <w:fldChar w:fldCharType="begin"/>
      </w:r>
      <w:r>
        <w:instrText xml:space="preserve"> SEQ </w:instrText>
      </w:r>
      <w:r>
        <w:instrText xml:space="preserve">level0 \*arabic </w:instrText>
      </w:r>
      <w:r>
        <w:fldChar w:fldCharType="separate"/>
      </w:r>
      <w:r w:rsidRPr="00943256" w:rsidR="00943256">
        <w:rPr>
          <w:noProof/>
        </w:rPr>
        <w:t>7</w:t>
      </w:r>
      <w:r>
        <w:rPr>
          <w:noProof/>
        </w:rPr>
        <w:fldChar w:fldCharType="end"/>
      </w:r>
      <w:r w:rsidRPr="00943256" w:rsidR="003B511B">
        <w:t xml:space="preserve">.  On 1 November 2007 the Government adopted Decree no. 1279-N approving the </w:t>
      </w:r>
      <w:r w:rsidRPr="00943256" w:rsidR="007D4E0D">
        <w:t xml:space="preserve">designation </w:t>
      </w:r>
      <w:r w:rsidRPr="00943256" w:rsidR="003B511B">
        <w:t xml:space="preserve">of territories situated within the administrative boundaries of the rural communities of Shnogh and Teghout in the Lori Region </w:t>
      </w:r>
      <w:r w:rsidRPr="00943256" w:rsidR="007D4E0D">
        <w:t xml:space="preserve">as expropriation zones, </w:t>
      </w:r>
      <w:r w:rsidRPr="00943256" w:rsidR="003B511B">
        <w:t>to be taken for State needs</w:t>
      </w:r>
      <w:r w:rsidRPr="00943256" w:rsidR="007D4E0D">
        <w:t>, thus</w:t>
      </w:r>
      <w:r w:rsidRPr="00943256" w:rsidR="003B511B">
        <w:t xml:space="preserve"> changing the land use</w:t>
      </w:r>
      <w:r w:rsidRPr="00943256" w:rsidR="007D4E0D">
        <w:t xml:space="preserve"> category</w:t>
      </w:r>
      <w:r w:rsidRPr="00943256" w:rsidR="003B511B">
        <w:t>. According to the Decree, Armenian Copper Programme CJSC or Teghout CJSC, founded by the former for the purpose of the implementation of the Teghout copper-molybdenum deposit exploitation project, were to acquire the units of land listed in its annexes.</w:t>
      </w:r>
    </w:p>
    <w:p w:rsidRPr="00943256" w:rsidR="003B511B" w:rsidP="00943256" w:rsidRDefault="004F2397">
      <w:pPr>
        <w:pStyle w:val="ECHRPara"/>
      </w:pPr>
      <w:r>
        <w:fldChar w:fldCharType="begin"/>
      </w:r>
      <w:r>
        <w:instrText xml:space="preserve"> SEQ level0 \*arabic </w:instrText>
      </w:r>
      <w:r>
        <w:fldChar w:fldCharType="separate"/>
      </w:r>
      <w:r w:rsidRPr="00943256" w:rsidR="00943256">
        <w:rPr>
          <w:noProof/>
        </w:rPr>
        <w:t>8</w:t>
      </w:r>
      <w:r>
        <w:rPr>
          <w:noProof/>
        </w:rPr>
        <w:fldChar w:fldCharType="end"/>
      </w:r>
      <w:r w:rsidRPr="00943256" w:rsidR="003B511B">
        <w:t>.  The plots of land belonging to the applicants were listed among the units of land falling within these expropriation zones.</w:t>
      </w:r>
    </w:p>
    <w:p w:rsidRPr="00943256" w:rsidR="00D420F3" w:rsidP="00943256" w:rsidRDefault="003B511B">
      <w:pPr>
        <w:pStyle w:val="ECHRHeading2"/>
      </w:pPr>
      <w:r w:rsidRPr="00943256">
        <w:t>B.  Proceedings concerning the expropriation of the applicants</w:t>
      </w:r>
      <w:r w:rsidRPr="00943256" w:rsidR="00943256">
        <w:t>’</w:t>
      </w:r>
      <w:r w:rsidRPr="00943256">
        <w:t xml:space="preserve"> property</w:t>
      </w:r>
    </w:p>
    <w:p w:rsidRPr="00943256" w:rsidR="003B511B" w:rsidP="00943256" w:rsidRDefault="004F2397">
      <w:pPr>
        <w:pStyle w:val="ECHRPara"/>
      </w:pPr>
      <w:r>
        <w:fldChar w:fldCharType="begin"/>
      </w:r>
      <w:r>
        <w:instrText xml:space="preserve"> SEQ level0 \*arabic </w:instrText>
      </w:r>
      <w:r>
        <w:fldChar w:fldCharType="separate"/>
      </w:r>
      <w:r w:rsidRPr="00943256" w:rsidR="00943256">
        <w:rPr>
          <w:noProof/>
        </w:rPr>
        <w:t>9</w:t>
      </w:r>
      <w:r>
        <w:rPr>
          <w:noProof/>
        </w:rPr>
        <w:fldChar w:fldCharType="end"/>
      </w:r>
      <w:r w:rsidRPr="00943256" w:rsidR="003B511B">
        <w:t>.  The applicants, father and son, live in Shnogh village and earn their living from agriculture. They jointly owned six plots of arable land in the village measuring 0.053 ha, 0.448 ha, 0.075 ha, 0.254 ha, 0.212 ha and 0.799 ha. The land was used for growing crops for the family, gardening and feeding their livestock.</w:t>
      </w:r>
    </w:p>
    <w:p w:rsidRPr="00943256" w:rsidR="003B511B" w:rsidP="00943256" w:rsidRDefault="004F2397">
      <w:pPr>
        <w:pStyle w:val="ECHRPara"/>
      </w:pPr>
      <w:r>
        <w:fldChar w:fldCharType="begin"/>
      </w:r>
      <w:r>
        <w:instrText xml:space="preserve"> SEQ level0 \*arabic </w:instrText>
      </w:r>
      <w:r>
        <w:fldChar w:fldCharType="separate"/>
      </w:r>
      <w:r w:rsidRPr="00943256" w:rsidR="00943256">
        <w:rPr>
          <w:noProof/>
        </w:rPr>
        <w:t>10</w:t>
      </w:r>
      <w:r>
        <w:rPr>
          <w:noProof/>
        </w:rPr>
        <w:fldChar w:fldCharType="end"/>
      </w:r>
      <w:r w:rsidRPr="00943256" w:rsidR="003B511B">
        <w:t xml:space="preserve">.  On an unspecified date Teghout CJSC addressed a letter to the applicants containing an offer to buy their six plots of land for 19,000 </w:t>
      </w:r>
      <w:r w:rsidRPr="00943256" w:rsidR="00576FC5">
        <w:t xml:space="preserve">Armenian </w:t>
      </w:r>
      <w:r w:rsidRPr="00943256" w:rsidR="007D4E0D">
        <w:t>d</w:t>
      </w:r>
      <w:r w:rsidRPr="00943256" w:rsidR="00576FC5">
        <w:t xml:space="preserve">rams (AMD, </w:t>
      </w:r>
      <w:r w:rsidRPr="00943256" w:rsidR="003B511B">
        <w:t>approximately 41</w:t>
      </w:r>
      <w:r w:rsidRPr="00943256" w:rsidR="00576FC5">
        <w:t xml:space="preserve"> euros (EUR)</w:t>
      </w:r>
      <w:r w:rsidRPr="00943256" w:rsidR="003B511B">
        <w:t>), AMD 213,000 (approximately EUR 463), AMD</w:t>
      </w:r>
      <w:r w:rsidRPr="00943256" w:rsidR="00576FC5">
        <w:t xml:space="preserve"> </w:t>
      </w:r>
      <w:r w:rsidRPr="00943256" w:rsidR="003B511B">
        <w:t>26,000 (approximately EUR 57), AMD</w:t>
      </w:r>
      <w:r w:rsidRPr="00943256" w:rsidR="00576FC5">
        <w:t> </w:t>
      </w:r>
      <w:r w:rsidRPr="00943256" w:rsidR="003B511B">
        <w:t>87,000 (approximately EUR</w:t>
      </w:r>
      <w:r w:rsidRPr="00943256" w:rsidR="00576FC5">
        <w:t xml:space="preserve"> </w:t>
      </w:r>
      <w:r w:rsidRPr="00943256" w:rsidR="003B511B">
        <w:t>190), AMD 73,000 (approximately EUR</w:t>
      </w:r>
      <w:r w:rsidRPr="00943256" w:rsidR="00576FC5">
        <w:t> </w:t>
      </w:r>
      <w:r w:rsidRPr="00943256" w:rsidR="003B511B">
        <w:t>160)</w:t>
      </w:r>
      <w:r w:rsidRPr="00943256" w:rsidR="007D4E0D">
        <w:t>,</w:t>
      </w:r>
      <w:r w:rsidRPr="00943256" w:rsidR="003B511B">
        <w:t xml:space="preserve"> and AMD 339,000 (approximately EUR 737) respectively plus an additional 15% on each amount offered as required by law, making the final offer AMD 870,550 (approximately EUR 1,893) in total.</w:t>
      </w:r>
    </w:p>
    <w:p w:rsidRPr="00943256" w:rsidR="003B511B" w:rsidP="00943256" w:rsidRDefault="004F2397">
      <w:pPr>
        <w:pStyle w:val="ECHRPara"/>
      </w:pPr>
      <w:r>
        <w:fldChar w:fldCharType="begin"/>
      </w:r>
      <w:r>
        <w:instrText xml:space="preserve"> SEQ level0 \*arabic </w:instrText>
      </w:r>
      <w:r>
        <w:fldChar w:fldCharType="separate"/>
      </w:r>
      <w:r w:rsidRPr="00943256" w:rsidR="00943256">
        <w:rPr>
          <w:noProof/>
        </w:rPr>
        <w:t>11</w:t>
      </w:r>
      <w:r>
        <w:rPr>
          <w:noProof/>
        </w:rPr>
        <w:fldChar w:fldCharType="end"/>
      </w:r>
      <w:r w:rsidRPr="00943256" w:rsidR="00576FC5">
        <w:t>.  </w:t>
      </w:r>
      <w:r w:rsidRPr="00943256" w:rsidR="003B511B">
        <w:t>The applicants did not reply to the offer, not being satisfied with the amount of compensation. It appears that they were unable to obtain a</w:t>
      </w:r>
      <w:r w:rsidRPr="00943256" w:rsidR="007D4E0D">
        <w:t xml:space="preserve"> </w:t>
      </w:r>
      <w:r w:rsidRPr="00943256" w:rsidR="003B511B">
        <w:t xml:space="preserve">valuation of their property by another company. They claim that no other valuation company was willing to make an independent </w:t>
      </w:r>
      <w:r w:rsidRPr="00943256" w:rsidR="007D4E0D">
        <w:t>assessment</w:t>
      </w:r>
      <w:r w:rsidRPr="00943256" w:rsidR="003B511B">
        <w:t xml:space="preserve"> of the market value of their land.</w:t>
      </w:r>
    </w:p>
    <w:p w:rsidRPr="00943256" w:rsidR="003B511B" w:rsidP="00943256" w:rsidRDefault="004F2397">
      <w:pPr>
        <w:pStyle w:val="ECHRPara"/>
      </w:pPr>
      <w:r>
        <w:fldChar w:fldCharType="begin"/>
      </w:r>
      <w:r>
        <w:instrText xml:space="preserve"> SEQ l</w:instrText>
      </w:r>
      <w:r>
        <w:instrText xml:space="preserve">evel0 \*arabic </w:instrText>
      </w:r>
      <w:r>
        <w:fldChar w:fldCharType="separate"/>
      </w:r>
      <w:r w:rsidRPr="00943256" w:rsidR="00943256">
        <w:rPr>
          <w:noProof/>
        </w:rPr>
        <w:t>12</w:t>
      </w:r>
      <w:r>
        <w:rPr>
          <w:noProof/>
        </w:rPr>
        <w:fldChar w:fldCharType="end"/>
      </w:r>
      <w:r w:rsidRPr="00943256" w:rsidR="00576FC5">
        <w:t>.  </w:t>
      </w:r>
      <w:r w:rsidRPr="00943256" w:rsidR="003B511B">
        <w:t xml:space="preserve">On </w:t>
      </w:r>
      <w:r w:rsidRPr="00943256" w:rsidR="00376F2D">
        <w:t>12 May 2008</w:t>
      </w:r>
      <w:r w:rsidRPr="00943256" w:rsidR="003B511B">
        <w:t xml:space="preserve"> Teghout CJSC lodged a claim against the applicants and their late mother, H., seeking to oblige them to sign the agreement on the taking of their property for State needs. The company based its claim, </w:t>
      </w:r>
      <w:r w:rsidRPr="00943256" w:rsidR="003B511B">
        <w:rPr>
          <w:i/>
        </w:rPr>
        <w:t>inter alia</w:t>
      </w:r>
      <w:r w:rsidRPr="00943256" w:rsidR="003B511B">
        <w:t>, on valuation reports prepared at its request by Oliver Group LLC, a licensed valuation company. According to the reports</w:t>
      </w:r>
      <w:r w:rsidRPr="00943256" w:rsidR="00576FC5">
        <w:t>,</w:t>
      </w:r>
      <w:r w:rsidRPr="00943256" w:rsidR="003B511B">
        <w:t xml:space="preserve"> the market value of the applicants</w:t>
      </w:r>
      <w:r w:rsidRPr="00943256" w:rsidR="00943256">
        <w:t>’</w:t>
      </w:r>
      <w:r w:rsidRPr="00943256" w:rsidR="003B511B">
        <w:t xml:space="preserve"> six plots of land was estimated at AMD</w:t>
      </w:r>
      <w:r w:rsidRPr="00943256" w:rsidR="00D0082A">
        <w:t> </w:t>
      </w:r>
      <w:r w:rsidRPr="00943256" w:rsidR="003B511B">
        <w:t>757,000 (app</w:t>
      </w:r>
      <w:r w:rsidRPr="00943256" w:rsidR="00576FC5">
        <w:t>roximately EUR 1,645) in total.</w:t>
      </w:r>
    </w:p>
    <w:p w:rsidRPr="00943256" w:rsidR="003B511B" w:rsidP="00943256" w:rsidRDefault="004F2397">
      <w:pPr>
        <w:pStyle w:val="ECHRPara"/>
      </w:pPr>
      <w:r>
        <w:fldChar w:fldCharType="begin"/>
      </w:r>
      <w:r>
        <w:instrText xml:space="preserve"> SEQ level0 \*arabic</w:instrText>
      </w:r>
      <w:r>
        <w:instrText xml:space="preserve"> </w:instrText>
      </w:r>
      <w:r>
        <w:fldChar w:fldCharType="separate"/>
      </w:r>
      <w:r w:rsidRPr="00943256" w:rsidR="00943256">
        <w:rPr>
          <w:noProof/>
        </w:rPr>
        <w:t>13</w:t>
      </w:r>
      <w:r>
        <w:rPr>
          <w:noProof/>
        </w:rPr>
        <w:fldChar w:fldCharType="end"/>
      </w:r>
      <w:r w:rsidRPr="00943256" w:rsidR="00576FC5">
        <w:t>.  </w:t>
      </w:r>
      <w:r w:rsidRPr="00943256" w:rsidR="003B511B">
        <w:t>In the proceedings before the Lori Regional Court</w:t>
      </w:r>
      <w:r w:rsidRPr="00943256" w:rsidR="00576FC5">
        <w:t>,</w:t>
      </w:r>
      <w:r w:rsidRPr="00943256" w:rsidR="003B511B">
        <w:t xml:space="preserve"> the second applicant argued that the market value of their land had been underestimated.</w:t>
      </w:r>
    </w:p>
    <w:p w:rsidRPr="00943256" w:rsidR="003B511B" w:rsidP="00943256" w:rsidRDefault="004F2397">
      <w:pPr>
        <w:pStyle w:val="ECHRPara"/>
      </w:pPr>
      <w:r>
        <w:fldChar w:fldCharType="begin"/>
      </w:r>
      <w:r>
        <w:instrText xml:space="preserve"> SEQ level0 \*arabic </w:instrText>
      </w:r>
      <w:r>
        <w:fldChar w:fldCharType="separate"/>
      </w:r>
      <w:r w:rsidRPr="00943256" w:rsidR="00943256">
        <w:rPr>
          <w:noProof/>
        </w:rPr>
        <w:t>14</w:t>
      </w:r>
      <w:r>
        <w:rPr>
          <w:noProof/>
        </w:rPr>
        <w:fldChar w:fldCharType="end"/>
      </w:r>
      <w:r w:rsidRPr="00943256" w:rsidR="00576FC5">
        <w:t>.  </w:t>
      </w:r>
      <w:r w:rsidRPr="00943256" w:rsidR="003B511B">
        <w:t>In the course of the proceedings</w:t>
      </w:r>
      <w:r w:rsidRPr="00943256" w:rsidR="00576FC5">
        <w:t>,</w:t>
      </w:r>
      <w:r w:rsidRPr="00943256" w:rsidR="003B511B">
        <w:t xml:space="preserve"> Teghout CJSC submitted other valuation reports </w:t>
      </w:r>
      <w:r w:rsidRPr="00943256" w:rsidR="007D4E0D">
        <w:t xml:space="preserve">in respect </w:t>
      </w:r>
      <w:r w:rsidRPr="00943256" w:rsidR="003B511B">
        <w:t>of the applicants</w:t>
      </w:r>
      <w:r w:rsidRPr="00943256" w:rsidR="00943256">
        <w:t>’</w:t>
      </w:r>
      <w:r w:rsidRPr="00943256" w:rsidR="003B511B">
        <w:t xml:space="preserve"> property</w:t>
      </w:r>
      <w:r w:rsidRPr="00943256" w:rsidR="007D4E0D">
        <w:t>,</w:t>
      </w:r>
      <w:r w:rsidRPr="00943256" w:rsidR="003B511B">
        <w:t xml:space="preserve"> stating that Oliver Group LLC had prepared corrected reports according to which the market value of the entire property was A</w:t>
      </w:r>
      <w:r w:rsidRPr="00943256" w:rsidR="006532F5">
        <w:t>MD 1,038,000 (approximately EUR </w:t>
      </w:r>
      <w:r w:rsidRPr="00943256" w:rsidR="003B511B">
        <w:t>2,257). The final amount of compensation, including the additional 15% required by law, would thus be equal to AMD 1,193,700 (approximately EUR 2,595).</w:t>
      </w:r>
    </w:p>
    <w:p w:rsidRPr="00943256" w:rsidR="003B511B" w:rsidP="00943256" w:rsidRDefault="004F2397">
      <w:pPr>
        <w:pStyle w:val="ECHRPara"/>
      </w:pPr>
      <w:r>
        <w:fldChar w:fldCharType="begin"/>
      </w:r>
      <w:r>
        <w:instrText xml:space="preserve"> SEQ level0 \*arabic </w:instrText>
      </w:r>
      <w:r>
        <w:fldChar w:fldCharType="separate"/>
      </w:r>
      <w:r w:rsidRPr="00943256" w:rsidR="00943256">
        <w:rPr>
          <w:noProof/>
        </w:rPr>
        <w:t>15</w:t>
      </w:r>
      <w:r>
        <w:rPr>
          <w:noProof/>
        </w:rPr>
        <w:fldChar w:fldCharType="end"/>
      </w:r>
      <w:r w:rsidRPr="00943256" w:rsidR="00576FC5">
        <w:t>.  </w:t>
      </w:r>
      <w:r w:rsidRPr="00943256" w:rsidR="003B511B">
        <w:t>On 28 November 2008 the Regional Court granted Teghout CJSC</w:t>
      </w:r>
      <w:r w:rsidRPr="00943256" w:rsidR="00943256">
        <w:t>’</w:t>
      </w:r>
      <w:r w:rsidRPr="00943256" w:rsidR="003B511B">
        <w:t>s claim, awarding H. and the applicants a total of AMD 1,193,700 (approximately EUR 2,595) in compensation.</w:t>
      </w:r>
    </w:p>
    <w:p w:rsidRPr="00943256" w:rsidR="003B511B" w:rsidP="00943256" w:rsidRDefault="004F2397">
      <w:pPr>
        <w:pStyle w:val="ECHRPara"/>
      </w:pPr>
      <w:r>
        <w:fldChar w:fldCharType="begin"/>
      </w:r>
      <w:r>
        <w:instrText xml:space="preserve"> SEQ level0 \*arabic </w:instrText>
      </w:r>
      <w:r>
        <w:fldChar w:fldCharType="separate"/>
      </w:r>
      <w:r w:rsidRPr="00943256" w:rsidR="00943256">
        <w:rPr>
          <w:noProof/>
        </w:rPr>
        <w:t>16</w:t>
      </w:r>
      <w:r>
        <w:rPr>
          <w:noProof/>
        </w:rPr>
        <w:fldChar w:fldCharType="end"/>
      </w:r>
      <w:r w:rsidRPr="00943256" w:rsidR="00576FC5">
        <w:t>.  </w:t>
      </w:r>
      <w:r w:rsidRPr="00943256" w:rsidR="003B511B">
        <w:t>The applicants lodged an appeal</w:t>
      </w:r>
      <w:r w:rsidRPr="00943256" w:rsidR="007D4E0D">
        <w:t>,</w:t>
      </w:r>
      <w:r w:rsidRPr="00943256" w:rsidR="003B511B">
        <w:t xml:space="preserve"> complaining, </w:t>
      </w:r>
      <w:r w:rsidRPr="00943256" w:rsidR="003B511B">
        <w:rPr>
          <w:i/>
        </w:rPr>
        <w:t>inter alia</w:t>
      </w:r>
      <w:r w:rsidRPr="00943256" w:rsidR="003B511B">
        <w:t xml:space="preserve">, that the first applicant had not been duly notified about the proceedings. They further argued that the Regional Court, </w:t>
      </w:r>
      <w:r w:rsidRPr="00943256" w:rsidR="007D4E0D">
        <w:t>although</w:t>
      </w:r>
      <w:r w:rsidRPr="00943256" w:rsidR="003B511B">
        <w:t xml:space="preserve"> aware that H. had died in 2007, had delivered a judgment that concerned her rights.</w:t>
      </w:r>
    </w:p>
    <w:p w:rsidRPr="00943256" w:rsidR="003B511B" w:rsidP="00943256" w:rsidRDefault="004F2397">
      <w:pPr>
        <w:pStyle w:val="ECHRPara"/>
      </w:pPr>
      <w:r>
        <w:fldChar w:fldCharType="begin"/>
      </w:r>
      <w:r>
        <w:instrText xml:space="preserve"> SEQ level0 \*arabic </w:instrText>
      </w:r>
      <w:r>
        <w:fldChar w:fldCharType="separate"/>
      </w:r>
      <w:r w:rsidRPr="00943256" w:rsidR="00943256">
        <w:rPr>
          <w:noProof/>
        </w:rPr>
        <w:t>17</w:t>
      </w:r>
      <w:r>
        <w:rPr>
          <w:noProof/>
        </w:rPr>
        <w:fldChar w:fldCharType="end"/>
      </w:r>
      <w:r w:rsidRPr="00943256" w:rsidR="00576FC5">
        <w:t>.  </w:t>
      </w:r>
      <w:r w:rsidRPr="00943256" w:rsidR="003B511B">
        <w:t>On 3 April 2009 the Civil Court of Appeal quashed the Regional Court</w:t>
      </w:r>
      <w:r w:rsidRPr="00943256" w:rsidR="00943256">
        <w:t>’</w:t>
      </w:r>
      <w:r w:rsidRPr="00943256" w:rsidR="003B511B">
        <w:t>s judgment and remitted the case for a fresh examination.</w:t>
      </w:r>
    </w:p>
    <w:p w:rsidRPr="00943256" w:rsidR="003B511B" w:rsidP="00943256" w:rsidRDefault="004F2397">
      <w:pPr>
        <w:pStyle w:val="ECHRPara"/>
      </w:pPr>
      <w:r>
        <w:fldChar w:fldCharType="begin"/>
      </w:r>
      <w:r>
        <w:instrText xml:space="preserve"> SEQ level0 \</w:instrText>
      </w:r>
      <w:r>
        <w:instrText xml:space="preserve">*arabic </w:instrText>
      </w:r>
      <w:r>
        <w:fldChar w:fldCharType="separate"/>
      </w:r>
      <w:r w:rsidRPr="00943256" w:rsidR="00943256">
        <w:rPr>
          <w:noProof/>
        </w:rPr>
        <w:t>18</w:t>
      </w:r>
      <w:r>
        <w:rPr>
          <w:noProof/>
        </w:rPr>
        <w:fldChar w:fldCharType="end"/>
      </w:r>
      <w:r w:rsidRPr="00943256" w:rsidR="00576FC5">
        <w:t>.  </w:t>
      </w:r>
      <w:r w:rsidRPr="00943256" w:rsidR="003B511B">
        <w:t>On 7 October 2009 the Regional Court granted Teghout CJSC</w:t>
      </w:r>
      <w:r w:rsidRPr="00943256" w:rsidR="00943256">
        <w:t>’</w:t>
      </w:r>
      <w:r w:rsidRPr="00943256" w:rsidR="003B511B">
        <w:t xml:space="preserve">s claim finding, </w:t>
      </w:r>
      <w:r w:rsidRPr="00943256" w:rsidR="003B511B">
        <w:rPr>
          <w:i/>
        </w:rPr>
        <w:t>inter alia</w:t>
      </w:r>
      <w:r w:rsidRPr="00943256" w:rsidR="003B511B">
        <w:t>, that the valuation reports prepared by Oliver Group LLC should be considered lawful and acceptable evidence to determine the market value of the applicants</w:t>
      </w:r>
      <w:r w:rsidRPr="00943256" w:rsidR="00943256">
        <w:t>’</w:t>
      </w:r>
      <w:r w:rsidRPr="00943256" w:rsidR="003B511B">
        <w:t xml:space="preserve"> property to be taken for State needs. The Regional Court stated that the first applicant, as H.</w:t>
      </w:r>
      <w:r w:rsidRPr="00943256" w:rsidR="00943256">
        <w:t>’</w:t>
      </w:r>
      <w:r w:rsidRPr="00943256" w:rsidR="003B511B">
        <w:t>s successor, should be awarded her share in the compensation</w:t>
      </w:r>
      <w:r w:rsidRPr="00943256" w:rsidR="007D4E0D">
        <w:t>,</w:t>
      </w:r>
      <w:r w:rsidRPr="00943256" w:rsidR="003B511B">
        <w:t xml:space="preserve"> and awarded the applicants a total of AMD 1,193,700 (approximately EUR 2,595) in equal shares as compensation.</w:t>
      </w:r>
    </w:p>
    <w:p w:rsidRPr="00943256" w:rsidR="003B511B" w:rsidP="00943256" w:rsidRDefault="004F2397">
      <w:pPr>
        <w:pStyle w:val="ECHRPara"/>
      </w:pPr>
      <w:r>
        <w:fldChar w:fldCharType="begin"/>
      </w:r>
      <w:r>
        <w:instrText xml:space="preserve"> SEQ level0 \*arabic </w:instrText>
      </w:r>
      <w:r>
        <w:fldChar w:fldCharType="separate"/>
      </w:r>
      <w:r w:rsidRPr="00943256" w:rsidR="00943256">
        <w:rPr>
          <w:noProof/>
        </w:rPr>
        <w:t>19</w:t>
      </w:r>
      <w:r>
        <w:rPr>
          <w:noProof/>
        </w:rPr>
        <w:fldChar w:fldCharType="end"/>
      </w:r>
      <w:r w:rsidRPr="00943256" w:rsidR="00576FC5">
        <w:t>.  </w:t>
      </w:r>
      <w:r w:rsidRPr="00943256" w:rsidR="003B511B">
        <w:t>The applicants lodged an appeal</w:t>
      </w:r>
      <w:r w:rsidRPr="00943256" w:rsidR="007D4E0D">
        <w:t>,</w:t>
      </w:r>
      <w:r w:rsidRPr="00943256" w:rsidR="003B511B">
        <w:t xml:space="preserve"> claiming, </w:t>
      </w:r>
      <w:r w:rsidRPr="00943256" w:rsidR="003B511B">
        <w:rPr>
          <w:i/>
        </w:rPr>
        <w:t>inter alia</w:t>
      </w:r>
      <w:r w:rsidRPr="00943256" w:rsidR="003B511B">
        <w:t>, that the market value of their land had been seriously underestimated and that the amount of compensation offered to them was not adequate. They argued that the Regional Court had accepted the reports submitted by their opponent as established proof of the market value of their property. They argued in particular that, in order to provide them with a reasonable opportunity to present their case, the Regional Court should have exercised its statutory discretion to order an expert examination</w:t>
      </w:r>
      <w:r w:rsidRPr="00943256" w:rsidR="00A920CF">
        <w:t>,</w:t>
      </w:r>
      <w:r w:rsidRPr="00943256" w:rsidR="003B511B">
        <w:t xml:space="preserve"> since such a necessity had arisen in the course of the proceedings and they </w:t>
      </w:r>
      <w:r w:rsidRPr="00943256" w:rsidR="00A920CF">
        <w:t xml:space="preserve">had </w:t>
      </w:r>
      <w:r w:rsidRPr="00943256" w:rsidR="003B511B">
        <w:t xml:space="preserve">had no </w:t>
      </w:r>
      <w:r w:rsidRPr="00943256" w:rsidR="00A920CF">
        <w:t>opportunity</w:t>
      </w:r>
      <w:r w:rsidRPr="00943256" w:rsidR="003B511B">
        <w:t xml:space="preserve"> to provide an alt</w:t>
      </w:r>
      <w:r w:rsidRPr="00943256" w:rsidR="00576FC5">
        <w:t>ernative valuation themselves.</w:t>
      </w:r>
    </w:p>
    <w:p w:rsidRPr="00943256" w:rsidR="003B511B" w:rsidP="00943256" w:rsidRDefault="004F2397">
      <w:pPr>
        <w:pStyle w:val="ECHRPara"/>
      </w:pPr>
      <w:r>
        <w:fldChar w:fldCharType="begin"/>
      </w:r>
      <w:r>
        <w:instrText xml:space="preserve"> SEQ level0 \*arabic </w:instrText>
      </w:r>
      <w:r>
        <w:fldChar w:fldCharType="separate"/>
      </w:r>
      <w:r w:rsidRPr="00943256" w:rsidR="00943256">
        <w:rPr>
          <w:noProof/>
        </w:rPr>
        <w:t>20</w:t>
      </w:r>
      <w:r>
        <w:rPr>
          <w:noProof/>
        </w:rPr>
        <w:fldChar w:fldCharType="end"/>
      </w:r>
      <w:r w:rsidRPr="00943256" w:rsidR="00576FC5">
        <w:t>.  </w:t>
      </w:r>
      <w:r w:rsidRPr="00943256" w:rsidR="003B511B">
        <w:t>On 3 February 2010 the Civil Court of Appeal upheld the Regional Court</w:t>
      </w:r>
      <w:r w:rsidRPr="00943256" w:rsidR="00943256">
        <w:t>’</w:t>
      </w:r>
      <w:r w:rsidRPr="00943256" w:rsidR="003B511B">
        <w:t>s judgment</w:t>
      </w:r>
      <w:r w:rsidRPr="00943256" w:rsidR="00576FC5">
        <w:t>,</w:t>
      </w:r>
      <w:r w:rsidRPr="00943256" w:rsidR="003B511B">
        <w:t xml:space="preserve"> stating that the applicants had failed to raise their complaints concerning the alleged inadmissibility of evidence at </w:t>
      </w:r>
      <w:r w:rsidRPr="00943256" w:rsidR="00A920CF">
        <w:t xml:space="preserve">the </w:t>
      </w:r>
      <w:r w:rsidRPr="00943256" w:rsidR="003B511B">
        <w:t xml:space="preserve">first </w:t>
      </w:r>
      <w:r w:rsidRPr="00943256" w:rsidR="00A920CF">
        <w:t>level of jurisdiction</w:t>
      </w:r>
      <w:r w:rsidRPr="00943256" w:rsidR="003B511B">
        <w:t xml:space="preserve">. The Court of Appeal did not address the issue of whether the Regional Court should have exercised its statutory discretion to </w:t>
      </w:r>
      <w:r w:rsidRPr="00943256" w:rsidR="00A920CF">
        <w:t>order</w:t>
      </w:r>
      <w:r w:rsidRPr="00943256" w:rsidR="003B511B">
        <w:t xml:space="preserve"> an expert examination to determine the real market value of the applicants</w:t>
      </w:r>
      <w:r w:rsidRPr="00943256" w:rsidR="00943256">
        <w:t>’</w:t>
      </w:r>
      <w:r w:rsidRPr="00943256" w:rsidR="003B511B">
        <w:t xml:space="preserve"> property</w:t>
      </w:r>
      <w:r w:rsidRPr="00943256" w:rsidR="00A920CF">
        <w:t xml:space="preserve">, given that </w:t>
      </w:r>
      <w:r w:rsidRPr="00943256" w:rsidR="003B511B">
        <w:t>there was a dispute on this issue.</w:t>
      </w:r>
    </w:p>
    <w:p w:rsidRPr="00943256" w:rsidR="003B511B" w:rsidP="00943256" w:rsidRDefault="004F2397">
      <w:pPr>
        <w:pStyle w:val="ECHRPara"/>
      </w:pPr>
      <w:r>
        <w:fldChar w:fldCharType="begin"/>
      </w:r>
      <w:r>
        <w:instrText xml:space="preserve"> SEQ level0 \*arabic </w:instrText>
      </w:r>
      <w:r>
        <w:fldChar w:fldCharType="separate"/>
      </w:r>
      <w:r w:rsidRPr="00943256" w:rsidR="00943256">
        <w:rPr>
          <w:noProof/>
        </w:rPr>
        <w:t>21</w:t>
      </w:r>
      <w:r>
        <w:rPr>
          <w:noProof/>
        </w:rPr>
        <w:fldChar w:fldCharType="end"/>
      </w:r>
      <w:r w:rsidRPr="00943256" w:rsidR="00576FC5">
        <w:t>.  </w:t>
      </w:r>
      <w:r w:rsidRPr="00943256" w:rsidR="003B511B">
        <w:t>The applicants lodged an appeal on points of law. They raised similar complaints to those raised before the Court of Appeal.</w:t>
      </w:r>
    </w:p>
    <w:p w:rsidRPr="00943256" w:rsidR="003B511B" w:rsidP="00943256" w:rsidRDefault="004F2397">
      <w:pPr>
        <w:pStyle w:val="ECHRPara"/>
      </w:pPr>
      <w:r>
        <w:fldChar w:fldCharType="begin"/>
      </w:r>
      <w:r>
        <w:instrText xml:space="preserve"> SEQ level0 \*arabic </w:instrText>
      </w:r>
      <w:r>
        <w:fldChar w:fldCharType="separate"/>
      </w:r>
      <w:r w:rsidRPr="00943256" w:rsidR="00943256">
        <w:rPr>
          <w:noProof/>
        </w:rPr>
        <w:t>22</w:t>
      </w:r>
      <w:r>
        <w:rPr>
          <w:noProof/>
        </w:rPr>
        <w:fldChar w:fldCharType="end"/>
      </w:r>
      <w:r w:rsidRPr="00943256" w:rsidR="00576FC5">
        <w:t>.  </w:t>
      </w:r>
      <w:r w:rsidRPr="00943256" w:rsidR="003B511B">
        <w:t>On 24 March 2010 the Court of Cassation declared the applicants</w:t>
      </w:r>
      <w:r w:rsidRPr="00943256" w:rsidR="00943256">
        <w:t>’</w:t>
      </w:r>
      <w:r w:rsidRPr="00943256" w:rsidR="003B511B">
        <w:t xml:space="preserve"> cassation appeal inadmissible for lack of merit.</w:t>
      </w:r>
    </w:p>
    <w:p w:rsidRPr="00943256" w:rsidR="00D420F3" w:rsidP="00943256" w:rsidRDefault="0077175D">
      <w:pPr>
        <w:pStyle w:val="ECHRHeading1"/>
        <w:rPr>
          <w:lang w:val="en-GB"/>
        </w:rPr>
      </w:pPr>
      <w:r w:rsidRPr="00943256">
        <w:rPr>
          <w:lang w:val="en-GB"/>
        </w:rPr>
        <w:t>II.  RELEVANT DOMESTIC LAW</w:t>
      </w:r>
    </w:p>
    <w:p w:rsidRPr="00943256" w:rsidR="00576FC5" w:rsidP="00943256" w:rsidRDefault="00576FC5">
      <w:pPr>
        <w:pStyle w:val="ECHRHeading2"/>
      </w:pPr>
      <w:r w:rsidRPr="00943256">
        <w:t>A.  The Constitution of 1995 (following the amendments introduced on 27 November 2005 with effect from 6 December 2005)</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23</w:t>
      </w:r>
      <w:r>
        <w:rPr>
          <w:noProof/>
        </w:rPr>
        <w:fldChar w:fldCharType="end"/>
      </w:r>
      <w:r w:rsidRPr="00943256" w:rsidR="00576FC5">
        <w:t>.  According to Article 19, everyone has the right to a public hearing of his case by an independent and impartial court within a reasonable time, in conditions of equality and with respect for all fair trial requirements, in order to have his violated rights restored, as well as the validity of the charge against him determined.</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24</w:t>
      </w:r>
      <w:r>
        <w:rPr>
          <w:noProof/>
        </w:rPr>
        <w:fldChar w:fldCharType="end"/>
      </w:r>
      <w:r w:rsidRPr="00943256" w:rsidR="00576FC5">
        <w:t xml:space="preserve">.  According to Article 31, everyone shall have the right to dispose of, use, manage and bequeath his property in the way he sees fit. No one can be deprived of his property, save by a court in cases prescribed by law. Property can be expropriated for the needs of society and the State only in exceptional cases </w:t>
      </w:r>
      <w:r w:rsidRPr="00943256" w:rsidR="00097071">
        <w:t xml:space="preserve">where there is </w:t>
      </w:r>
      <w:r w:rsidRPr="00943256" w:rsidR="00576FC5">
        <w:t>paramount public interest, in a procedure prescribed by law and with prior equivalent compensation.</w:t>
      </w:r>
    </w:p>
    <w:p w:rsidRPr="00943256" w:rsidR="00576FC5" w:rsidP="00943256" w:rsidRDefault="00576FC5">
      <w:pPr>
        <w:pStyle w:val="ECHRHeading2"/>
      </w:pPr>
      <w:r w:rsidRPr="00943256">
        <w:t>B.  The Code of Civil Procedure (in force from 1999)</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25</w:t>
      </w:r>
      <w:r>
        <w:rPr>
          <w:noProof/>
        </w:rPr>
        <w:fldChar w:fldCharType="end"/>
      </w:r>
      <w:r w:rsidRPr="00943256" w:rsidR="00576FC5">
        <w:t>.  According to Article 6, civil proceedings shall be adversarial and shall be conducted with respect for equality of arms.</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26</w:t>
      </w:r>
      <w:r>
        <w:rPr>
          <w:noProof/>
        </w:rPr>
        <w:fldChar w:fldCharType="end"/>
      </w:r>
      <w:r w:rsidRPr="00943256" w:rsidR="00576FC5">
        <w:t>.  Article 53 § 2 of the Code provides that the court shall consider no piece of evidence as already established.</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27</w:t>
      </w:r>
      <w:r>
        <w:rPr>
          <w:noProof/>
        </w:rPr>
        <w:fldChar w:fldCharType="end"/>
      </w:r>
      <w:r w:rsidRPr="00943256" w:rsidR="00576FC5">
        <w:t xml:space="preserve">.  According to Article 60 § 1, in order to clarify issues requiring specialised knowledge which arise during the examination of a case, the court can </w:t>
      </w:r>
      <w:r w:rsidRPr="00943256" w:rsidR="00A920CF">
        <w:t>order</w:t>
      </w:r>
      <w:r w:rsidRPr="00943256" w:rsidR="00576FC5">
        <w:t xml:space="preserve"> a forensic examination upon application by a party (parties) or of its own motion.</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28</w:t>
      </w:r>
      <w:r>
        <w:rPr>
          <w:noProof/>
        </w:rPr>
        <w:fldChar w:fldCharType="end"/>
      </w:r>
      <w:r w:rsidRPr="00943256" w:rsidR="00576FC5">
        <w:t xml:space="preserve">.  Article 60 § 6 of the Code provides that the court </w:t>
      </w:r>
      <w:r w:rsidRPr="00943256" w:rsidR="00097071">
        <w:t xml:space="preserve">must </w:t>
      </w:r>
      <w:r w:rsidRPr="00943256" w:rsidR="00576FC5">
        <w:t>warn the expert about criminal liability for submission of an obviously false conclusion.</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29</w:t>
      </w:r>
      <w:r>
        <w:rPr>
          <w:noProof/>
        </w:rPr>
        <w:fldChar w:fldCharType="end"/>
      </w:r>
      <w:r w:rsidRPr="00943256" w:rsidR="00576FC5">
        <w:t>.  According to Article 61, the participants in the proceedings are entitled to be present at the forensic examination, save in cases where their presence could hinder the regular work of the expert.</w:t>
      </w:r>
    </w:p>
    <w:p w:rsidRPr="00943256" w:rsidR="00576FC5" w:rsidP="00943256" w:rsidRDefault="00576FC5">
      <w:pPr>
        <w:pStyle w:val="ECHRHeading2"/>
      </w:pPr>
      <w:r w:rsidRPr="00943256">
        <w:t xml:space="preserve">C.  The Law on Alienation of Property for the </w:t>
      </w:r>
      <w:r w:rsidRPr="00943256" w:rsidR="00A920CF">
        <w:t>N</w:t>
      </w:r>
      <w:r w:rsidRPr="00943256">
        <w:t>eeds of Society and the State (in force from 30 December 2006)</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30</w:t>
      </w:r>
      <w:r>
        <w:rPr>
          <w:noProof/>
        </w:rPr>
        <w:fldChar w:fldCharType="end"/>
      </w:r>
      <w:r w:rsidRPr="00943256" w:rsidR="00576FC5">
        <w:t>.  According to section 3 § 1, the constitutional basis for alienation of property for the needs of society and the State is the prevailing public interest.</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31</w:t>
      </w:r>
      <w:r>
        <w:rPr>
          <w:noProof/>
        </w:rPr>
        <w:fldChar w:fldCharType="end"/>
      </w:r>
      <w:r w:rsidRPr="00943256" w:rsidR="00576FC5">
        <w:t>.  Section 3 § 2 provides that the constitutional requirements for alienation of property for the needs of society and the State are the following:</w:t>
      </w:r>
    </w:p>
    <w:p w:rsidRPr="00943256" w:rsidR="00576FC5" w:rsidP="00943256" w:rsidRDefault="00943256">
      <w:pPr>
        <w:pStyle w:val="ECHRPara"/>
      </w:pPr>
      <w:r w:rsidRPr="00943256">
        <w:t>(</w:t>
      </w:r>
      <w:r w:rsidRPr="00943256" w:rsidR="00576FC5">
        <w:t>a)  alienation must be carried out in accordance with a procedure prescribed by the law,</w:t>
      </w:r>
    </w:p>
    <w:p w:rsidRPr="00943256" w:rsidR="00576FC5" w:rsidP="00943256" w:rsidRDefault="00943256">
      <w:pPr>
        <w:pStyle w:val="ECHRPara"/>
      </w:pPr>
      <w:r w:rsidRPr="00943256">
        <w:t>(</w:t>
      </w:r>
      <w:r w:rsidRPr="00943256" w:rsidR="00576FC5">
        <w:t>b)  prior adequate compensation should be provided for property subject to alienation.</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32</w:t>
      </w:r>
      <w:r>
        <w:rPr>
          <w:noProof/>
        </w:rPr>
        <w:fldChar w:fldCharType="end"/>
      </w:r>
      <w:r w:rsidRPr="00943256" w:rsidR="00576FC5">
        <w:t>.  According to section 4 § 1, the public interest must prevail over the interests of the owner of property subject to alienation, and alienation of that property must be essential to implementation.</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33</w:t>
      </w:r>
      <w:r>
        <w:rPr>
          <w:noProof/>
        </w:rPr>
        <w:fldChar w:fldCharType="end"/>
      </w:r>
      <w:r w:rsidRPr="00943256" w:rsidR="00576FC5">
        <w:t xml:space="preserve">.  Section 4 § 2 provides that the prevailing public interest may pursue, </w:t>
      </w:r>
      <w:r w:rsidRPr="00943256" w:rsidR="00576FC5">
        <w:rPr>
          <w:i/>
        </w:rPr>
        <w:t>inter alia</w:t>
      </w:r>
      <w:r w:rsidRPr="00943256" w:rsidR="00576FC5">
        <w:t xml:space="preserve">, the implementation of mining projects having important State or community significance. The aim of securing additional income for the State or community budget is not </w:t>
      </w:r>
      <w:r w:rsidRPr="00943256" w:rsidR="003716F0">
        <w:t>of</w:t>
      </w:r>
      <w:r w:rsidRPr="00943256" w:rsidR="00576FC5">
        <w:t xml:space="preserve"> itself a prevailing public interest.</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34</w:t>
      </w:r>
      <w:r>
        <w:rPr>
          <w:noProof/>
        </w:rPr>
        <w:fldChar w:fldCharType="end"/>
      </w:r>
      <w:r w:rsidRPr="00943256" w:rsidR="00576FC5">
        <w:t>.  According to section 11 § 1, adequate compensation should be paid to the owner of property subject to alienation. The market value of the property plus an additional 15% is considered to be an adequate amount of compensation.</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35</w:t>
      </w:r>
      <w:r>
        <w:rPr>
          <w:noProof/>
        </w:rPr>
        <w:fldChar w:fldCharType="end"/>
      </w:r>
      <w:r w:rsidRPr="00943256" w:rsidR="00576FC5">
        <w:t xml:space="preserve">.  Section 11 § 3 provides that the determination of the market value of real estate and property rights in respect of real estate is carried out in accordance with the procedure set out by the Law on Real Estate </w:t>
      </w:r>
      <w:r w:rsidRPr="00943256" w:rsidR="003716F0">
        <w:t>V</w:t>
      </w:r>
      <w:r w:rsidRPr="00943256" w:rsidR="00576FC5">
        <w:t>aluation Activity.</w:t>
      </w:r>
    </w:p>
    <w:p w:rsidRPr="00943256" w:rsidR="00576FC5" w:rsidP="00943256" w:rsidRDefault="00576FC5">
      <w:pPr>
        <w:pStyle w:val="ECHRHeading2"/>
      </w:pPr>
      <w:r w:rsidRPr="00943256">
        <w:t xml:space="preserve">D.  The Law on Real Estate </w:t>
      </w:r>
      <w:r w:rsidRPr="00943256" w:rsidR="003716F0">
        <w:t>V</w:t>
      </w:r>
      <w:r w:rsidRPr="00943256">
        <w:t>aluation Activity (as in force at the material time)</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36</w:t>
      </w:r>
      <w:r>
        <w:rPr>
          <w:noProof/>
        </w:rPr>
        <w:fldChar w:fldCharType="end"/>
      </w:r>
      <w:r w:rsidRPr="00943256" w:rsidR="00576FC5">
        <w:t xml:space="preserve">.  According to section 8, valuation is obligatory in </w:t>
      </w:r>
      <w:r w:rsidRPr="00943256" w:rsidR="003716F0">
        <w:t>the event</w:t>
      </w:r>
      <w:r w:rsidRPr="00943256" w:rsidR="00576FC5">
        <w:t xml:space="preserve"> of alienation of immovable property for State or community needs.</w:t>
      </w:r>
    </w:p>
    <w:p w:rsidRPr="00943256" w:rsidR="00576FC5" w:rsidP="00943256" w:rsidRDefault="004F2397">
      <w:pPr>
        <w:pStyle w:val="ECHRPara"/>
      </w:pPr>
      <w:r>
        <w:fldChar w:fldCharType="begin"/>
      </w:r>
      <w:r>
        <w:instrText xml:space="preserve"> SEQ level0 \*arabic </w:instrText>
      </w:r>
      <w:r>
        <w:fldChar w:fldCharType="separate"/>
      </w:r>
      <w:r w:rsidRPr="00943256" w:rsidR="00943256">
        <w:rPr>
          <w:noProof/>
        </w:rPr>
        <w:t>37</w:t>
      </w:r>
      <w:r>
        <w:rPr>
          <w:noProof/>
        </w:rPr>
        <w:fldChar w:fldCharType="end"/>
      </w:r>
      <w:r w:rsidRPr="00943256" w:rsidR="00576FC5">
        <w:t>.  Section 15 § 1 (1) provides that persons engaged in real</w:t>
      </w:r>
      <w:r w:rsidRPr="00943256" w:rsidR="003716F0">
        <w:t>-</w:t>
      </w:r>
      <w:r w:rsidRPr="00943256" w:rsidR="00576FC5">
        <w:t>estate valuation have the right to use independent methods of real</w:t>
      </w:r>
      <w:r w:rsidRPr="00943256" w:rsidR="003716F0">
        <w:t>-</w:t>
      </w:r>
      <w:r w:rsidRPr="00943256" w:rsidR="00576FC5">
        <w:t>estate valuation in compliance with the valuation standard</w:t>
      </w:r>
      <w:r w:rsidRPr="00943256" w:rsidR="003716F0">
        <w:t>s</w:t>
      </w:r>
      <w:r w:rsidRPr="00943256" w:rsidR="00576FC5">
        <w:t>.</w:t>
      </w:r>
    </w:p>
    <w:p w:rsidRPr="00943256" w:rsidR="00576FC5" w:rsidP="00943256" w:rsidRDefault="00576FC5">
      <w:pPr>
        <w:pStyle w:val="ECHRHeading2"/>
        <w:rPr>
          <w:rFonts w:ascii="Sylfaen" w:hAnsi="Sylfaen"/>
        </w:rPr>
      </w:pPr>
      <w:r w:rsidRPr="00943256">
        <w:t xml:space="preserve">E.  Government Decree No. 1279-N of 1 November 2007 approving the </w:t>
      </w:r>
      <w:r w:rsidRPr="00943256" w:rsidR="003716F0">
        <w:t xml:space="preserve">designation </w:t>
      </w:r>
      <w:r w:rsidRPr="00943256">
        <w:t xml:space="preserve">of certain territories situated within the administrative boundaries of the rural communities of Shnogh and Teghout in the Lori Region </w:t>
      </w:r>
      <w:r w:rsidRPr="00943256" w:rsidR="003716F0">
        <w:t xml:space="preserve">as expropriation zones, </w:t>
      </w:r>
      <w:r w:rsidRPr="00943256">
        <w:t>to be taken for State needs</w:t>
      </w:r>
      <w:r w:rsidRPr="00943256" w:rsidR="003716F0">
        <w:t xml:space="preserve">, thus </w:t>
      </w:r>
      <w:r w:rsidRPr="00943256">
        <w:t>changing the category of land use (</w:t>
      </w:r>
      <w:r w:rsidRPr="00943256">
        <w:rPr>
          <w:rFonts w:ascii="Sylfaen" w:hAnsi="Sylfaen"/>
        </w:rPr>
        <w:t>ՀՀ Կառավարության 2007 թ. նոյեմբերի 1-ի թիվ 1279-Ն որոշումը Հայաստանի Հանրապետության Լոռու մարզի Շնողի և Թեղուտի գյուղական համայնքների վարչական սահմաններում որոշ տարածքներում բացառիկ՝ գերակա հանրային շահ ճանաչելու և հողերի նպատակային նշանակությունը փոփոխելու մասին)</w:t>
      </w:r>
    </w:p>
    <w:p w:rsidRPr="00943256" w:rsidR="00D420F3" w:rsidP="00943256" w:rsidRDefault="004F2397">
      <w:pPr>
        <w:pStyle w:val="ECHRPara"/>
      </w:pPr>
      <w:r>
        <w:fldChar w:fldCharType="begin"/>
      </w:r>
      <w:r>
        <w:instrText xml:space="preserve"> SEQ level0 \*arabic </w:instrText>
      </w:r>
      <w:r>
        <w:fldChar w:fldCharType="separate"/>
      </w:r>
      <w:r w:rsidRPr="00943256" w:rsidR="00943256">
        <w:rPr>
          <w:noProof/>
        </w:rPr>
        <w:t>38</w:t>
      </w:r>
      <w:r>
        <w:rPr>
          <w:noProof/>
        </w:rPr>
        <w:fldChar w:fldCharType="end"/>
      </w:r>
      <w:r w:rsidRPr="00943256" w:rsidR="00576FC5">
        <w:t>.  For the purpose of the implementation of the Teghout copper</w:t>
      </w:r>
      <w:r w:rsidRPr="00943256" w:rsidR="00576FC5">
        <w:noBreakHyphen/>
        <w:t xml:space="preserve">molybdenum deposit exploitation project, and </w:t>
      </w:r>
      <w:r w:rsidRPr="00943256" w:rsidR="0089602B">
        <w:t xml:space="preserve">with a view to </w:t>
      </w:r>
      <w:r w:rsidRPr="00943256" w:rsidR="00576FC5">
        <w:t xml:space="preserve">building and operating a mining plant, the Government decided to approve expropriation zones </w:t>
      </w:r>
      <w:r w:rsidRPr="00943256" w:rsidR="0089602B">
        <w:t xml:space="preserve">in respect </w:t>
      </w:r>
      <w:r w:rsidRPr="00943256" w:rsidR="00576FC5">
        <w:t>of agricultural land situated within the administrative boundaries of the rural communities of Shnogh and Teghout in the Lori Region to be taken for State needs, with a total area of 81</w:t>
      </w:r>
      <w:r w:rsidRPr="00943256" w:rsidR="0089602B">
        <w:t>,</w:t>
      </w:r>
      <w:r w:rsidRPr="00943256" w:rsidR="00576FC5">
        <w:t>483 ha. According to the Decree, the public interest in the development of the economy and infrastructure and the interest in higher levels of production and export prevailed over the private interests of the proprietors.</w:t>
      </w:r>
    </w:p>
    <w:p w:rsidRPr="00943256" w:rsidR="00D420F3" w:rsidP="00943256" w:rsidRDefault="0077175D">
      <w:pPr>
        <w:pStyle w:val="ECHRTitle1"/>
        <w:rPr>
          <w:lang w:val="en-GB"/>
        </w:rPr>
      </w:pPr>
      <w:r w:rsidRPr="00943256">
        <w:rPr>
          <w:lang w:val="en-GB"/>
        </w:rPr>
        <w:t>THE LAW</w:t>
      </w:r>
    </w:p>
    <w:p w:rsidRPr="00943256" w:rsidR="00576FC5" w:rsidP="00943256" w:rsidRDefault="00576FC5">
      <w:pPr>
        <w:pStyle w:val="ECHRHeading1"/>
        <w:rPr>
          <w:lang w:val="en-GB"/>
        </w:rPr>
      </w:pPr>
      <w:r w:rsidRPr="00943256">
        <w:rPr>
          <w:lang w:val="en-GB"/>
        </w:rPr>
        <w:t>I.  ALLEGED VIOLATION OF ARTICLE 1 OF PROTOCOL NO. 1 TO THE CONVENTION</w:t>
      </w:r>
    </w:p>
    <w:p w:rsidRPr="00943256" w:rsidR="00576FC5" w:rsidP="00943256" w:rsidRDefault="00576FC5">
      <w:pPr>
        <w:pStyle w:val="ECHRPara"/>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39</w:t>
      </w:r>
      <w:r w:rsidRPr="00943256">
        <w:rPr>
          <w:lang w:val="en-GB"/>
        </w:rPr>
        <w:fldChar w:fldCharType="end"/>
      </w:r>
      <w:r w:rsidRPr="00943256">
        <w:rPr>
          <w:lang w:val="en-GB"/>
        </w:rPr>
        <w:t xml:space="preserve">.  The applicants complained </w:t>
      </w:r>
      <w:r w:rsidRPr="00943256">
        <w:t>under Article 1 of Protocol No. 1 to the Convention that the deprivation of their property did not satisfy the requirement of lawfulness, did not pursue any public interest</w:t>
      </w:r>
      <w:r w:rsidRPr="00943256" w:rsidR="0089602B">
        <w:t>,</w:t>
      </w:r>
      <w:r w:rsidRPr="00943256">
        <w:t xml:space="preserve"> and the amount of compensation awarded </w:t>
      </w:r>
      <w:r w:rsidRPr="00943256" w:rsidR="0089602B">
        <w:t>was</w:t>
      </w:r>
      <w:r w:rsidRPr="00943256">
        <w:t xml:space="preserve"> inadequate. In particular, they complained that the law was not sufficiently foreseeable</w:t>
      </w:r>
      <w:r w:rsidRPr="00943256" w:rsidR="0089602B">
        <w:t>,</w:t>
      </w:r>
      <w:r w:rsidRPr="00943256">
        <w:t xml:space="preserve"> in that it did not specify the criteria for determining the market value of property to be taken for State needs.</w:t>
      </w:r>
    </w:p>
    <w:p w:rsidRPr="00943256" w:rsidR="00576FC5" w:rsidP="00943256" w:rsidRDefault="00576FC5">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40</w:t>
      </w:r>
      <w:r w:rsidRPr="00943256">
        <w:rPr>
          <w:lang w:val="en-GB"/>
        </w:rPr>
        <w:fldChar w:fldCharType="end"/>
      </w:r>
      <w:r w:rsidRPr="00943256">
        <w:rPr>
          <w:lang w:val="en-GB"/>
        </w:rPr>
        <w:t>.  Article 1 of Protocol No. 1 to the Convention reads as follows:</w:t>
      </w:r>
    </w:p>
    <w:p w:rsidRPr="00943256" w:rsidR="00576FC5" w:rsidP="00943256" w:rsidRDefault="00576FC5">
      <w:pPr>
        <w:pStyle w:val="ECHRParaQuote"/>
      </w:pPr>
      <w:r w:rsidRPr="00943256">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43256" w:rsidR="00576FC5" w:rsidP="00943256" w:rsidRDefault="00576FC5">
      <w:pPr>
        <w:pStyle w:val="ECHRParaQuote"/>
      </w:pPr>
      <w:r w:rsidRPr="00943256">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43256" w:rsidR="00576FC5" w:rsidP="00943256" w:rsidRDefault="00576FC5">
      <w:pPr>
        <w:pStyle w:val="ECHRHeading2"/>
        <w:rPr>
          <w:lang w:val="en-GB"/>
        </w:rPr>
      </w:pPr>
      <w:r w:rsidRPr="00943256">
        <w:rPr>
          <w:lang w:val="en-GB"/>
        </w:rPr>
        <w:t>A.  Admissibility</w:t>
      </w:r>
    </w:p>
    <w:p w:rsidRPr="00943256" w:rsidR="00576FC5" w:rsidP="00943256" w:rsidRDefault="00576FC5">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41</w:t>
      </w:r>
      <w:r w:rsidRPr="00943256">
        <w:rPr>
          <w:lang w:val="en-GB"/>
        </w:rPr>
        <w:fldChar w:fldCharType="end"/>
      </w:r>
      <w:r w:rsidRPr="00943256">
        <w:rPr>
          <w:lang w:val="en-GB"/>
        </w:rPr>
        <w:t>.  The Court notes that this complaint is not manifestly ill-founded within the meaning of Article 35 § 3 (a) of the Convention. It further notes that it is not inadmissible on any other grounds. It must therefore be declared admissible.</w:t>
      </w:r>
    </w:p>
    <w:p w:rsidRPr="00943256" w:rsidR="00576FC5" w:rsidP="00943256" w:rsidRDefault="00576FC5">
      <w:pPr>
        <w:pStyle w:val="ECHRHeading2"/>
        <w:rPr>
          <w:lang w:val="en-GB"/>
        </w:rPr>
      </w:pPr>
      <w:r w:rsidRPr="00943256">
        <w:rPr>
          <w:lang w:val="en-GB"/>
        </w:rPr>
        <w:t>B.  Merits</w:t>
      </w:r>
    </w:p>
    <w:p w:rsidRPr="00943256" w:rsidR="00576FC5" w:rsidP="00943256" w:rsidRDefault="00576FC5">
      <w:pPr>
        <w:pStyle w:val="ECHRHeading3"/>
        <w:rPr>
          <w:lang w:val="en-GB"/>
        </w:rPr>
      </w:pPr>
      <w:r w:rsidRPr="00943256">
        <w:rPr>
          <w:lang w:val="en-GB"/>
        </w:rPr>
        <w:t>1.  The parties</w:t>
      </w:r>
      <w:r w:rsidRPr="00943256" w:rsidR="00943256">
        <w:rPr>
          <w:lang w:val="en-GB"/>
        </w:rPr>
        <w:t>’</w:t>
      </w:r>
      <w:r w:rsidRPr="00943256">
        <w:rPr>
          <w:lang w:val="en-GB"/>
        </w:rPr>
        <w:t xml:space="preserve"> submissions</w:t>
      </w:r>
    </w:p>
    <w:p w:rsidRPr="00943256" w:rsidR="00576FC5" w:rsidP="00943256" w:rsidRDefault="00576FC5">
      <w:pPr>
        <w:pStyle w:val="ECHRHeading4"/>
        <w:rPr>
          <w:lang w:val="en-GB"/>
        </w:rPr>
      </w:pPr>
      <w:r w:rsidRPr="00943256">
        <w:rPr>
          <w:lang w:val="en-GB"/>
        </w:rPr>
        <w:t>(a)  The applicants</w:t>
      </w:r>
    </w:p>
    <w:p w:rsidRPr="00943256" w:rsidR="00576FC5" w:rsidP="00943256" w:rsidRDefault="00576FC5">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42</w:t>
      </w:r>
      <w:r w:rsidRPr="00943256">
        <w:rPr>
          <w:lang w:val="en-GB"/>
        </w:rPr>
        <w:fldChar w:fldCharType="end"/>
      </w:r>
      <w:r w:rsidRPr="00943256">
        <w:rPr>
          <w:lang w:val="en-GB"/>
        </w:rPr>
        <w:t>.  The applicants maintained that their expropriated land had been their only source of income. They argued that the deprivation of their property had not satisfied the requirement of lawfulness, had not pursued any public interest</w:t>
      </w:r>
      <w:r w:rsidRPr="00943256" w:rsidR="0089602B">
        <w:rPr>
          <w:lang w:val="en-GB"/>
        </w:rPr>
        <w:t>,</w:t>
      </w:r>
      <w:r w:rsidRPr="00943256">
        <w:rPr>
          <w:lang w:val="en-GB"/>
        </w:rPr>
        <w:t xml:space="preserve"> and that the amount of compensation awarded had been inadequate. As regards the requirement of lawfulness, they argued that the law was not sufficiently foreseeable in that it did not specify the criteria for determining the market value of property to be taken for State needs. The applicants denied that the expropriation of their land had been carried out on “public interest” grounds. They argued that it was manifestly unreasonable in the present case to rely on a “public interest” when the measure had an exclusively commercial purpose, taking into account that the mining project was being implemented by a private company which did not have any State participation.</w:t>
      </w:r>
    </w:p>
    <w:p w:rsidRPr="00943256" w:rsidR="00576FC5" w:rsidP="00943256" w:rsidRDefault="00576FC5">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43</w:t>
      </w:r>
      <w:r w:rsidRPr="00943256">
        <w:rPr>
          <w:lang w:val="en-GB"/>
        </w:rPr>
        <w:fldChar w:fldCharType="end"/>
      </w:r>
      <w:r w:rsidRPr="00943256">
        <w:rPr>
          <w:lang w:val="en-GB"/>
        </w:rPr>
        <w:t xml:space="preserve">.  The applicants further argued that the </w:t>
      </w:r>
      <w:r w:rsidRPr="00943256" w:rsidR="0089602B">
        <w:rPr>
          <w:lang w:val="en-GB"/>
        </w:rPr>
        <w:t>assessment</w:t>
      </w:r>
      <w:r w:rsidRPr="00943256">
        <w:rPr>
          <w:lang w:val="en-GB"/>
        </w:rPr>
        <w:t xml:space="preserve"> of the market value of their land had been done by relying on </w:t>
      </w:r>
      <w:r w:rsidRPr="00943256" w:rsidR="0089602B">
        <w:rPr>
          <w:lang w:val="en-GB"/>
        </w:rPr>
        <w:t>a</w:t>
      </w:r>
      <w:r w:rsidRPr="00943256">
        <w:rPr>
          <w:lang w:val="en-GB"/>
        </w:rPr>
        <w:t xml:space="preserve"> comparative method which could not adequately reflect its true market value. Moreover, the sum that they had received in compensation was much lower than the cadastral value of the expropriated land at the time the expropriation procedure was initiated and was manifestly inadequate in relation to the actual value o</w:t>
      </w:r>
      <w:r w:rsidRPr="00943256" w:rsidR="00C013DD">
        <w:rPr>
          <w:lang w:val="en-GB"/>
        </w:rPr>
        <w:t>f the land in question.</w:t>
      </w:r>
    </w:p>
    <w:p w:rsidRPr="00943256" w:rsidR="00576FC5" w:rsidP="00943256" w:rsidRDefault="00576FC5">
      <w:pPr>
        <w:pStyle w:val="ECHRHeading4"/>
        <w:rPr>
          <w:lang w:val="en-GB"/>
        </w:rPr>
      </w:pPr>
      <w:r w:rsidRPr="00943256">
        <w:rPr>
          <w:lang w:val="en-GB"/>
        </w:rPr>
        <w:t>(b)  The Government</w:t>
      </w:r>
    </w:p>
    <w:p w:rsidRPr="00943256" w:rsidR="00576FC5" w:rsidP="00943256" w:rsidRDefault="00576FC5">
      <w:pPr>
        <w:pStyle w:val="ECHRPara"/>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44</w:t>
      </w:r>
      <w:r w:rsidRPr="00943256">
        <w:rPr>
          <w:lang w:val="en-GB"/>
        </w:rPr>
        <w:fldChar w:fldCharType="end"/>
      </w:r>
      <w:r w:rsidRPr="00943256">
        <w:rPr>
          <w:lang w:val="en-GB"/>
        </w:rPr>
        <w:t xml:space="preserve">.  The Government maintained </w:t>
      </w:r>
      <w:r w:rsidRPr="00943256" w:rsidR="0089602B">
        <w:rPr>
          <w:lang w:val="en-GB"/>
        </w:rPr>
        <w:t xml:space="preserve">that </w:t>
      </w:r>
      <w:r w:rsidRPr="00943256">
        <w:rPr>
          <w:lang w:val="en-GB"/>
        </w:rPr>
        <w:t>t</w:t>
      </w:r>
      <w:r w:rsidRPr="00943256">
        <w:t>he deprivation of the applicants</w:t>
      </w:r>
      <w:r w:rsidRPr="00943256" w:rsidR="00943256">
        <w:t>’</w:t>
      </w:r>
      <w:r w:rsidRPr="00943256">
        <w:t xml:space="preserve"> property had been “provided by law” and by “the general principles of international law”. According to the domestic law, the determination of the market value of a</w:t>
      </w:r>
      <w:r w:rsidRPr="00943256" w:rsidR="0089602B">
        <w:t>n item of</w:t>
      </w:r>
      <w:r w:rsidRPr="00943256">
        <w:t xml:space="preserve"> real estate was to be carried out in accordance with the Law on Real Estate </w:t>
      </w:r>
      <w:r w:rsidRPr="00943256" w:rsidR="0089602B">
        <w:t>V</w:t>
      </w:r>
      <w:r w:rsidRPr="00943256">
        <w:t>aluation Activity which was sufficiently precise as regards the definition and calculation of the due compensation for expropriation. As this Law had entered into force in 2005, it had been foreseeable to the applicants. Moreover, the expropriation of the applicants</w:t>
      </w:r>
      <w:r w:rsidRPr="00943256" w:rsidR="00943256">
        <w:t>’</w:t>
      </w:r>
      <w:r w:rsidRPr="00943256">
        <w:t xml:space="preserve"> land had been carried out in the public interest and it had pursued the legitimate aim of development of the economy and infrastructure and had been in the interest of higher levels of production and export. These </w:t>
      </w:r>
      <w:r w:rsidRPr="00943256" w:rsidR="0089602B">
        <w:t xml:space="preserve">aspects of the </w:t>
      </w:r>
      <w:r w:rsidRPr="00943256">
        <w:t>public interest had prevailed over the applicants</w:t>
      </w:r>
      <w:r w:rsidRPr="00943256" w:rsidR="00943256">
        <w:t>’</w:t>
      </w:r>
      <w:r w:rsidRPr="00943256">
        <w:t xml:space="preserve"> private interest. The fact that the expropriation of the applicants</w:t>
      </w:r>
      <w:r w:rsidRPr="00943256" w:rsidR="00943256">
        <w:t>’</w:t>
      </w:r>
      <w:r w:rsidRPr="00943256">
        <w:t xml:space="preserve"> land had been carried out by a private company did not by any means </w:t>
      </w:r>
      <w:r w:rsidRPr="00943256" w:rsidR="0089602B">
        <w:t>pre</w:t>
      </w:r>
      <w:r w:rsidRPr="00943256">
        <w:t>clude the existence of public interest in the present case.</w:t>
      </w:r>
    </w:p>
    <w:p w:rsidRPr="00943256" w:rsidR="00B50646" w:rsidP="00943256" w:rsidRDefault="004F2397">
      <w:pPr>
        <w:pStyle w:val="ECHRPara"/>
        <w:rPr>
          <w:iCs/>
        </w:rPr>
      </w:pPr>
      <w:r>
        <w:fldChar w:fldCharType="begin"/>
      </w:r>
      <w:r>
        <w:instrText xml:space="preserve"> SEQ level0 \*arabic </w:instrText>
      </w:r>
      <w:r>
        <w:fldChar w:fldCharType="separate"/>
      </w:r>
      <w:r w:rsidRPr="00943256" w:rsidR="00943256">
        <w:rPr>
          <w:noProof/>
        </w:rPr>
        <w:t>45</w:t>
      </w:r>
      <w:r>
        <w:rPr>
          <w:noProof/>
        </w:rPr>
        <w:fldChar w:fldCharType="end"/>
      </w:r>
      <w:r w:rsidRPr="00943256" w:rsidR="00576FC5">
        <w:t>.  As to fair balance, the Government stressed that the expropriation of the applicants</w:t>
      </w:r>
      <w:r w:rsidRPr="00943256" w:rsidR="00943256">
        <w:t>’</w:t>
      </w:r>
      <w:r w:rsidRPr="00943256" w:rsidR="00576FC5">
        <w:t xml:space="preserve"> land had struck a fair balance between the demands of the general interest of the public and the requirements of protection of the applicants</w:t>
      </w:r>
      <w:r w:rsidRPr="00943256" w:rsidR="00943256">
        <w:t>’</w:t>
      </w:r>
      <w:r w:rsidRPr="00943256" w:rsidR="00576FC5">
        <w:t xml:space="preserve"> property rights. The compensation paid to the applicants had been proportional to the aim pursued. The market value of the plot</w:t>
      </w:r>
      <w:r w:rsidRPr="00943256" w:rsidR="00E03399">
        <w:t>s</w:t>
      </w:r>
      <w:r w:rsidRPr="00943256" w:rsidR="00576FC5">
        <w:t xml:space="preserve"> of land in question had been calculated by applying income and comparative methods. The comparative method took into account several factors influencing the market value of agricultural land, such as property rights and restrictions; appearance of the plot of land; existence of any water supplies; measurements, location and yield of the plot of land; existence of any transport access; and slope degree and rock content of the plot of land. The income method took into consideration the necessary expenses and the expected incomes of the growing crops in the agricultural lands at issue. The average fertility rates were used for the calculation of the market value of the plot</w:t>
      </w:r>
      <w:r w:rsidRPr="00943256" w:rsidR="00E03399">
        <w:t>s</w:t>
      </w:r>
      <w:r w:rsidRPr="00943256" w:rsidR="00576FC5">
        <w:t xml:space="preserve"> of land in question. Data from neighbo</w:t>
      </w:r>
      <w:r w:rsidRPr="00943256" w:rsidR="0089602B">
        <w:t>u</w:t>
      </w:r>
      <w:r w:rsidRPr="00943256" w:rsidR="00576FC5">
        <w:t>ring and compa</w:t>
      </w:r>
      <w:r w:rsidRPr="00943256" w:rsidR="0089602B">
        <w:t>ra</w:t>
      </w:r>
      <w:r w:rsidRPr="00943256" w:rsidR="00576FC5">
        <w:t xml:space="preserve">ble plots of land </w:t>
      </w:r>
      <w:r w:rsidRPr="00943256" w:rsidR="00576FC5">
        <w:rPr>
          <w:iCs/>
        </w:rPr>
        <w:t xml:space="preserve">not subject </w:t>
      </w:r>
      <w:r w:rsidRPr="00943256" w:rsidR="0089602B">
        <w:rPr>
          <w:iCs/>
        </w:rPr>
        <w:t>to</w:t>
      </w:r>
      <w:r w:rsidRPr="00943256" w:rsidR="00576FC5">
        <w:rPr>
          <w:iCs/>
        </w:rPr>
        <w:t xml:space="preserve"> expropriation for State needs were used in the market value assessment.</w:t>
      </w:r>
    </w:p>
    <w:p w:rsidRPr="00943256" w:rsidR="00576FC5" w:rsidP="00943256" w:rsidRDefault="00576FC5">
      <w:pPr>
        <w:pStyle w:val="ECHRPara"/>
        <w:rPr>
          <w:bCs/>
          <w:iCs/>
        </w:rPr>
      </w:pPr>
      <w:r w:rsidRPr="00943256">
        <w:rPr>
          <w:bCs/>
          <w:iCs/>
        </w:rPr>
        <w:fldChar w:fldCharType="begin"/>
      </w:r>
      <w:r w:rsidRPr="00943256">
        <w:rPr>
          <w:bCs/>
          <w:iCs/>
        </w:rPr>
        <w:instrText xml:space="preserve"> SEQ level0 \*arabic </w:instrText>
      </w:r>
      <w:r w:rsidRPr="00943256">
        <w:rPr>
          <w:bCs/>
          <w:iCs/>
        </w:rPr>
        <w:fldChar w:fldCharType="separate"/>
      </w:r>
      <w:r w:rsidRPr="00943256" w:rsidR="00943256">
        <w:rPr>
          <w:bCs/>
          <w:iCs/>
          <w:noProof/>
        </w:rPr>
        <w:t>46</w:t>
      </w:r>
      <w:r w:rsidRPr="00943256">
        <w:rPr>
          <w:bCs/>
          <w:iCs/>
        </w:rPr>
        <w:fldChar w:fldCharType="end"/>
      </w:r>
      <w:r w:rsidRPr="00943256">
        <w:rPr>
          <w:bCs/>
          <w:iCs/>
        </w:rPr>
        <w:t xml:space="preserve">.  The Government argued that the applicants had not in any way </w:t>
      </w:r>
      <w:r w:rsidRPr="00943256" w:rsidR="0089602B">
        <w:rPr>
          <w:bCs/>
          <w:iCs/>
        </w:rPr>
        <w:t xml:space="preserve">had </w:t>
      </w:r>
      <w:r w:rsidRPr="00943256">
        <w:rPr>
          <w:bCs/>
          <w:iCs/>
        </w:rPr>
        <w:t>an “individual and excessive burden”</w:t>
      </w:r>
      <w:r w:rsidRPr="00943256" w:rsidR="0089602B">
        <w:rPr>
          <w:bCs/>
          <w:iCs/>
        </w:rPr>
        <w:t xml:space="preserve"> imposed on them</w:t>
      </w:r>
      <w:r w:rsidRPr="00943256">
        <w:rPr>
          <w:bCs/>
          <w:iCs/>
        </w:rPr>
        <w:t xml:space="preserve">. The applicants had been given every chance, </w:t>
      </w:r>
      <w:r w:rsidRPr="00943256">
        <w:rPr>
          <w:bCs/>
          <w:i/>
          <w:iCs/>
        </w:rPr>
        <w:t>inter alia</w:t>
      </w:r>
      <w:r w:rsidRPr="00943256">
        <w:rPr>
          <w:bCs/>
          <w:iCs/>
        </w:rPr>
        <w:t xml:space="preserve">, to present other valuation reports, to </w:t>
      </w:r>
      <w:r w:rsidRPr="00943256" w:rsidR="0089602B">
        <w:rPr>
          <w:bCs/>
          <w:iCs/>
        </w:rPr>
        <w:t xml:space="preserve">submit applications and requests, </w:t>
      </w:r>
      <w:r w:rsidRPr="00943256">
        <w:rPr>
          <w:bCs/>
          <w:iCs/>
        </w:rPr>
        <w:t xml:space="preserve">and to lodge appeals. They had even been </w:t>
      </w:r>
      <w:r w:rsidRPr="00943256" w:rsidR="0089602B">
        <w:rPr>
          <w:bCs/>
          <w:iCs/>
        </w:rPr>
        <w:t>exempted</w:t>
      </w:r>
      <w:r w:rsidRPr="00943256">
        <w:rPr>
          <w:bCs/>
          <w:iCs/>
        </w:rPr>
        <w:t xml:space="preserve"> from the payment of </w:t>
      </w:r>
      <w:r w:rsidRPr="00943256" w:rsidR="00D0082A">
        <w:rPr>
          <w:bCs/>
          <w:iCs/>
        </w:rPr>
        <w:t xml:space="preserve">court fees </w:t>
      </w:r>
      <w:r w:rsidRPr="00943256">
        <w:rPr>
          <w:bCs/>
          <w:iCs/>
        </w:rPr>
        <w:t>when applying to the Court of Appeal and the Court of Cassation. Their rights had been fully guaranteed and the domestic proceedings and the expropriation of their land had been in full compliance with the national legislation and the Convention. There was thus no violation of Article 1 of Protocol No. 1 to the Convention.</w:t>
      </w:r>
    </w:p>
    <w:p w:rsidRPr="00943256" w:rsidR="00576FC5" w:rsidP="00943256" w:rsidRDefault="00576FC5">
      <w:pPr>
        <w:pStyle w:val="ECHRHeading3"/>
        <w:rPr>
          <w:lang w:val="en-GB"/>
        </w:rPr>
      </w:pPr>
      <w:r w:rsidRPr="00943256">
        <w:rPr>
          <w:lang w:val="en-GB"/>
        </w:rPr>
        <w:t>2.  The Court</w:t>
      </w:r>
      <w:r w:rsidRPr="00943256" w:rsidR="00943256">
        <w:rPr>
          <w:lang w:val="en-GB"/>
        </w:rPr>
        <w:t>’</w:t>
      </w:r>
      <w:r w:rsidRPr="00943256">
        <w:rPr>
          <w:lang w:val="en-GB"/>
        </w:rPr>
        <w:t>s assessment</w:t>
      </w:r>
    </w:p>
    <w:p w:rsidRPr="00943256" w:rsidR="00B50646" w:rsidP="00943256" w:rsidRDefault="004F2397">
      <w:pPr>
        <w:pStyle w:val="ECHRPara"/>
        <w:rPr>
          <w:lang w:val="en-GB"/>
        </w:rPr>
      </w:pPr>
      <w:r>
        <w:fldChar w:fldCharType="begin"/>
      </w:r>
      <w:r>
        <w:instrText xml:space="preserve"> SEQ level0 \*arabic </w:instrText>
      </w:r>
      <w:r>
        <w:fldChar w:fldCharType="separate"/>
      </w:r>
      <w:r w:rsidRPr="00943256" w:rsidR="00943256">
        <w:rPr>
          <w:noProof/>
        </w:rPr>
        <w:t>47</w:t>
      </w:r>
      <w:r>
        <w:rPr>
          <w:noProof/>
        </w:rPr>
        <w:fldChar w:fldCharType="end"/>
      </w:r>
      <w:r w:rsidRPr="00943256" w:rsidR="00B50646">
        <w:rPr>
          <w:lang w:val="en-GB"/>
        </w:rPr>
        <w:t>.  In the present case, it is not in dispute that there has been a “deprivation of possessions” within the meaning of the second sentence of Article 1 of Protocol No. 1. The Court must therefore ascertain whether the impugned deprivation was justified under that provision.</w:t>
      </w:r>
    </w:p>
    <w:p w:rsidRPr="00943256" w:rsidR="00B50646" w:rsidP="00943256" w:rsidRDefault="00B50646">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48</w:t>
      </w:r>
      <w:r w:rsidRPr="00943256">
        <w:rPr>
          <w:lang w:val="en-GB"/>
        </w:rPr>
        <w:fldChar w:fldCharType="end"/>
      </w:r>
      <w:r w:rsidRPr="00943256">
        <w:rPr>
          <w:lang w:val="en-GB"/>
        </w:rPr>
        <w:t>.  The Court reiterates that, to be compat</w:t>
      </w:r>
      <w:r w:rsidRPr="00943256" w:rsidR="00943256">
        <w:rPr>
          <w:lang w:val="en-GB"/>
        </w:rPr>
        <w:t>ible with Article 1 of Protocol </w:t>
      </w:r>
      <w:r w:rsidRPr="00943256">
        <w:rPr>
          <w:lang w:val="en-GB"/>
        </w:rPr>
        <w:t>No. 1, an expropriation measure must fulfil three conditions: it must be carried out “subject to the conditions provided for by law”, which rules out any arbitrary action on the part of the national authorities, must be “in the public interest”, and must strike a fair balance between the owner</w:t>
      </w:r>
      <w:r w:rsidRPr="00943256" w:rsidR="00943256">
        <w:rPr>
          <w:lang w:val="en-GB"/>
        </w:rPr>
        <w:t>’</w:t>
      </w:r>
      <w:r w:rsidRPr="00943256">
        <w:rPr>
          <w:lang w:val="en-GB"/>
        </w:rPr>
        <w:t xml:space="preserve">s rights and the interests of the community (see, among other authorities, </w:t>
      </w:r>
      <w:r w:rsidRPr="00943256">
        <w:rPr>
          <w:i/>
          <w:iCs/>
          <w:lang w:val="en-GB"/>
        </w:rPr>
        <w:t>Vistiņš and Perepjolkins v. Latvia</w:t>
      </w:r>
      <w:r w:rsidRPr="00943256">
        <w:rPr>
          <w:lang w:val="en-GB"/>
        </w:rPr>
        <w:t xml:space="preserve"> [GC], no. </w:t>
      </w:r>
      <w:hyperlink w:tgtFrame="_blank" w:history="1" w:anchor="{&quot;appno&quot;:[&quot;71243/01&quot;]}" r:id="rId11">
        <w:r w:rsidRPr="00943256">
          <w:rPr>
            <w:lang w:val="en-GB"/>
          </w:rPr>
          <w:t>71243/01</w:t>
        </w:r>
      </w:hyperlink>
      <w:r w:rsidRPr="00943256">
        <w:rPr>
          <w:lang w:val="en-GB"/>
        </w:rPr>
        <w:t>, § 94, 25 October 2012). The Court will thus proceed to examine whether those three conditions have been met in the present case.</w:t>
      </w:r>
    </w:p>
    <w:p w:rsidRPr="00943256" w:rsidR="00B50646" w:rsidP="00943256" w:rsidRDefault="00B50646">
      <w:pPr>
        <w:pStyle w:val="ECHRHeading4"/>
      </w:pPr>
      <w:r w:rsidRPr="00943256">
        <w:t>(a)  “Subject to the conditions provided for by law”</w:t>
      </w:r>
    </w:p>
    <w:p w:rsidRPr="00943256" w:rsidR="00B50646" w:rsidP="00943256" w:rsidRDefault="004F2397">
      <w:pPr>
        <w:pStyle w:val="ECHRPara"/>
      </w:pPr>
      <w:r>
        <w:fldChar w:fldCharType="begin"/>
      </w:r>
      <w:r>
        <w:instrText xml:space="preserve"> SEQ level0 \*arabic </w:instrText>
      </w:r>
      <w:r>
        <w:fldChar w:fldCharType="separate"/>
      </w:r>
      <w:r w:rsidRPr="00943256" w:rsidR="00943256">
        <w:rPr>
          <w:noProof/>
        </w:rPr>
        <w:t>49</w:t>
      </w:r>
      <w:r>
        <w:rPr>
          <w:noProof/>
        </w:rPr>
        <w:fldChar w:fldCharType="end"/>
      </w:r>
      <w:r w:rsidRPr="00943256" w:rsidR="00B50646">
        <w:t>.  In the instant case it is not in dispute that the expropriation of the applicants</w:t>
      </w:r>
      <w:r w:rsidRPr="00943256" w:rsidR="00943256">
        <w:t>’</w:t>
      </w:r>
      <w:r w:rsidRPr="00943256" w:rsidR="00B50646">
        <w:t xml:space="preserve"> property was carried out on the basis of the Law on Alienation of Property for the </w:t>
      </w:r>
      <w:r w:rsidRPr="00943256" w:rsidR="0089602B">
        <w:t>N</w:t>
      </w:r>
      <w:r w:rsidRPr="00943256" w:rsidR="00B50646">
        <w:t xml:space="preserve">eeds of Society and the State. Section 11 § 3 of that Law refers to the Law on Real Estate </w:t>
      </w:r>
      <w:r w:rsidRPr="00943256" w:rsidR="0089602B">
        <w:t>V</w:t>
      </w:r>
      <w:r w:rsidRPr="00943256" w:rsidR="00B50646">
        <w:t>aluation Activity</w:t>
      </w:r>
      <w:r w:rsidRPr="00943256" w:rsidR="0089602B">
        <w:t>,</w:t>
      </w:r>
      <w:r w:rsidRPr="00943256" w:rsidR="00B50646">
        <w:t xml:space="preserve"> which provides for methods for real</w:t>
      </w:r>
      <w:r w:rsidRPr="00943256" w:rsidR="0089602B">
        <w:t>-</w:t>
      </w:r>
      <w:r w:rsidRPr="00943256" w:rsidR="00B50646">
        <w:t>estate valuations (see paragraphs 35-37 above).</w:t>
      </w:r>
    </w:p>
    <w:p w:rsidRPr="00943256" w:rsidR="00B50646" w:rsidP="00943256" w:rsidRDefault="004F2397">
      <w:pPr>
        <w:pStyle w:val="ECHRPara"/>
      </w:pPr>
      <w:r>
        <w:fldChar w:fldCharType="begin"/>
      </w:r>
      <w:r>
        <w:instrText xml:space="preserve"> SEQ level0 \*arabic </w:instrText>
      </w:r>
      <w:r>
        <w:fldChar w:fldCharType="separate"/>
      </w:r>
      <w:r w:rsidRPr="00943256" w:rsidR="00943256">
        <w:rPr>
          <w:noProof/>
        </w:rPr>
        <w:t>50</w:t>
      </w:r>
      <w:r>
        <w:rPr>
          <w:noProof/>
        </w:rPr>
        <w:fldChar w:fldCharType="end"/>
      </w:r>
      <w:r w:rsidRPr="00943256" w:rsidR="00B50646">
        <w:t xml:space="preserve">.  The Court has already found in its earlier case-law that the above-mentioned legal provisions were clear enough to enable applicants to foresee in general terms the manner in which the market value of their property would be </w:t>
      </w:r>
      <w:r w:rsidRPr="00943256" w:rsidR="0089602B">
        <w:t>assessed</w:t>
      </w:r>
      <w:r w:rsidRPr="00943256" w:rsidR="00B50646">
        <w:t xml:space="preserve"> (see </w:t>
      </w:r>
      <w:r w:rsidRPr="00943256" w:rsidR="00B50646">
        <w:rPr>
          <w:i/>
          <w:iCs/>
        </w:rPr>
        <w:t>Osmanyan and Amiraghyan v. Armenia</w:t>
      </w:r>
      <w:r w:rsidRPr="00943256" w:rsidR="00B50646">
        <w:rPr>
          <w:lang w:val="en-GB" w:eastAsia="en-GB"/>
        </w:rPr>
        <w:t xml:space="preserve">, </w:t>
      </w:r>
      <w:r w:rsidRPr="00943256" w:rsidR="00B50646">
        <w:rPr>
          <w:lang w:eastAsia="en-GB"/>
        </w:rPr>
        <w:t xml:space="preserve">no. </w:t>
      </w:r>
      <w:r w:rsidRPr="00943256" w:rsidR="00B50646">
        <w:t>71306/11</w:t>
      </w:r>
      <w:r w:rsidRPr="00943256" w:rsidR="00B50646">
        <w:rPr>
          <w:lang w:val="en-GB" w:eastAsia="en-GB"/>
        </w:rPr>
        <w:t xml:space="preserve">, </w:t>
      </w:r>
      <w:r w:rsidRPr="00943256" w:rsidR="00B50646">
        <w:t xml:space="preserve">§ 58, 11 October 2018). For the Court it was not unreasonable that a certain choice of methods to be used during </w:t>
      </w:r>
      <w:r w:rsidRPr="00943256" w:rsidR="0089602B">
        <w:t xml:space="preserve">a </w:t>
      </w:r>
      <w:r w:rsidRPr="00943256" w:rsidR="00B50646">
        <w:t>valuation is left to the valu</w:t>
      </w:r>
      <w:r w:rsidRPr="00943256" w:rsidR="0089602B">
        <w:t>e</w:t>
      </w:r>
      <w:r w:rsidRPr="00943256" w:rsidR="00B50646">
        <w:t>r</w:t>
      </w:r>
      <w:r w:rsidRPr="00943256" w:rsidR="0089602B">
        <w:t>,</w:t>
      </w:r>
      <w:r w:rsidRPr="00943256" w:rsidR="00B50646">
        <w:t xml:space="preserve"> who chooses an appropriate method in a particular situation depending on the specificities of the real estate in question (</w:t>
      </w:r>
      <w:r w:rsidRPr="00943256" w:rsidR="0001750F">
        <w:t xml:space="preserve">ibid., </w:t>
      </w:r>
      <w:r w:rsidRPr="00943256" w:rsidR="00B50646">
        <w:rPr>
          <w:iCs/>
        </w:rPr>
        <w:t>§ 57)</w:t>
      </w:r>
      <w:r w:rsidRPr="00943256" w:rsidR="00B50646">
        <w:t>. As the applicants could challenge the reports prepared by the valu</w:t>
      </w:r>
      <w:r w:rsidRPr="00943256" w:rsidR="0089602B">
        <w:t>e</w:t>
      </w:r>
      <w:r w:rsidRPr="00943256" w:rsidR="00B50646">
        <w:t>r hired by the acquirer of their property, the Court finds that the applicants were afforded sufficient guarantees against arbitrariness. Consequently, the impugned expropriation may be regarded as having been carried out “subject to the conditions provided for by law”.</w:t>
      </w:r>
    </w:p>
    <w:p w:rsidRPr="00943256" w:rsidR="00B50646" w:rsidP="00943256" w:rsidRDefault="00B50646">
      <w:pPr>
        <w:pStyle w:val="ECHRHeading4"/>
      </w:pPr>
      <w:r w:rsidRPr="00943256">
        <w:t>(b)  “In the public interest”</w:t>
      </w:r>
    </w:p>
    <w:p w:rsidRPr="00943256" w:rsidR="00B50646" w:rsidP="00943256" w:rsidRDefault="004F2397">
      <w:pPr>
        <w:pStyle w:val="ECHRPara"/>
      </w:pPr>
      <w:r>
        <w:fldChar w:fldCharType="begin"/>
      </w:r>
      <w:r>
        <w:instrText xml:space="preserve"> SEQ level0 \*arabic </w:instrText>
      </w:r>
      <w:r>
        <w:fldChar w:fldCharType="separate"/>
      </w:r>
      <w:r w:rsidRPr="00943256" w:rsidR="00943256">
        <w:rPr>
          <w:noProof/>
        </w:rPr>
        <w:t>51</w:t>
      </w:r>
      <w:r>
        <w:rPr>
          <w:noProof/>
        </w:rPr>
        <w:fldChar w:fldCharType="end"/>
      </w:r>
      <w:r w:rsidRPr="00943256" w:rsidR="00B50646">
        <w:t xml:space="preserve">.  The Court reiterates that, because of their direct knowledge of their society and its needs, the national authorities are in principle better placed than </w:t>
      </w:r>
      <w:r w:rsidRPr="00943256" w:rsidR="0089602B">
        <w:t>an</w:t>
      </w:r>
      <w:r w:rsidRPr="00943256" w:rsidR="00B50646">
        <w:t xml:space="preserve"> international judge to appreciate what is “in the public interest”. Under the system of protection established by the Convention, it is thus for the national authorities to make </w:t>
      </w:r>
      <w:r w:rsidRPr="00943256" w:rsidR="0089602B">
        <w:t>an</w:t>
      </w:r>
      <w:r w:rsidRPr="00943256" w:rsidR="00B50646">
        <w:t xml:space="preserve"> initial assessment as to the existence of a </w:t>
      </w:r>
      <w:r w:rsidRPr="00943256" w:rsidR="0089602B">
        <w:t>matter</w:t>
      </w:r>
      <w:r w:rsidRPr="00943256" w:rsidR="00B50646">
        <w:t xml:space="preserve"> of public concern warranting measures of deprivation of property. Here, as in other fields to which the safeguards of the Convention extend, the national authorities accordingly enjoy a certain margin of appreciation. Furthermore, the notion of </w:t>
      </w:r>
      <w:r w:rsidRPr="00943256" w:rsidR="0089602B">
        <w:t xml:space="preserve">the </w:t>
      </w:r>
      <w:r w:rsidRPr="00943256" w:rsidR="00B50646">
        <w:t xml:space="preserve">“public interest” is necessarily </w:t>
      </w:r>
      <w:r w:rsidRPr="00943256" w:rsidR="0089602B">
        <w:t>a broad one</w:t>
      </w:r>
      <w:r w:rsidRPr="00943256" w:rsidR="00B50646">
        <w:t>. In particular, the decision to enact laws expropriating property will commonly involve consideration of political, economic and social issues. The Court, finding it natural that the margin of appreciation available to the legislature in implementing social and economic policies should be a wide one, will respect the legislature</w:t>
      </w:r>
      <w:r w:rsidRPr="00943256" w:rsidR="00943256">
        <w:t>’</w:t>
      </w:r>
      <w:r w:rsidRPr="00943256" w:rsidR="00B50646">
        <w:t xml:space="preserve">s judgment as to what is “in the public interest” unless that judgment is manifestly without reasonable foundation (see </w:t>
      </w:r>
      <w:r w:rsidRPr="00943256" w:rsidR="00B50646">
        <w:rPr>
          <w:i/>
          <w:iCs/>
        </w:rPr>
        <w:t xml:space="preserve">Beyeler v. </w:t>
      </w:r>
      <w:r w:rsidRPr="00943256" w:rsidR="00B50646">
        <w:rPr>
          <w:i/>
        </w:rPr>
        <w:t>Italy</w:t>
      </w:r>
      <w:r w:rsidRPr="00943256" w:rsidR="00B50646">
        <w:t xml:space="preserve"> [GC], no. </w:t>
      </w:r>
      <w:hyperlink w:tgtFrame="_blank" w:history="1" w:anchor="{&quot;appno&quot;:[&quot;33202/96&quot;]}" r:id="rId12">
        <w:r w:rsidRPr="00943256" w:rsidR="00B50646">
          <w:t>33202/96</w:t>
        </w:r>
      </w:hyperlink>
      <w:r w:rsidRPr="00943256" w:rsidR="00B50646">
        <w:t>, § 112, ECHR 2000</w:t>
      </w:r>
      <w:r w:rsidRPr="00943256" w:rsidR="00B50646">
        <w:noBreakHyphen/>
        <w:t xml:space="preserve">I, and </w:t>
      </w:r>
      <w:r w:rsidRPr="00943256" w:rsidR="00B50646">
        <w:rPr>
          <w:i/>
          <w:iCs/>
        </w:rPr>
        <w:t>Vistiņš and Perepjolkins</w:t>
      </w:r>
      <w:r w:rsidRPr="00943256" w:rsidR="00B50646">
        <w:t>, cited above, § 106).</w:t>
      </w:r>
    </w:p>
    <w:p w:rsidRPr="00943256" w:rsidR="00B50646" w:rsidP="00943256" w:rsidRDefault="004F2397">
      <w:pPr>
        <w:pStyle w:val="ECHRPara"/>
      </w:pPr>
      <w:r>
        <w:fldChar w:fldCharType="begin"/>
      </w:r>
      <w:r>
        <w:instrText xml:space="preserve"> SEQ level0 \*arabic </w:instrText>
      </w:r>
      <w:r>
        <w:fldChar w:fldCharType="separate"/>
      </w:r>
      <w:r w:rsidRPr="00943256" w:rsidR="00943256">
        <w:rPr>
          <w:noProof/>
        </w:rPr>
        <w:t>52</w:t>
      </w:r>
      <w:r>
        <w:rPr>
          <w:noProof/>
        </w:rPr>
        <w:fldChar w:fldCharType="end"/>
      </w:r>
      <w:r w:rsidRPr="00943256" w:rsidR="00B50646">
        <w:t>.  The Government argued that the State needed to expropriate the applicants</w:t>
      </w:r>
      <w:r w:rsidRPr="00943256" w:rsidR="00943256">
        <w:t>’</w:t>
      </w:r>
      <w:r w:rsidRPr="00943256" w:rsidR="00B50646">
        <w:t xml:space="preserve"> land for the development of the economy and infrastructure as a result of the implementation of the Teghout copper</w:t>
      </w:r>
      <w:r w:rsidRPr="00943256" w:rsidR="00B50646">
        <w:noBreakHyphen/>
        <w:t xml:space="preserve">molybdenum deposit exploitation project. The Court has no convincing evidence on which to conclude that these reasons were manifestly devoid of any reasonable basis (contrast </w:t>
      </w:r>
      <w:r w:rsidRPr="00943256" w:rsidR="00B50646">
        <w:rPr>
          <w:i/>
        </w:rPr>
        <w:t>Tkachevy v. Russia</w:t>
      </w:r>
      <w:r w:rsidRPr="00943256" w:rsidR="00B50646">
        <w:t xml:space="preserve">, no. </w:t>
      </w:r>
      <w:hyperlink w:tgtFrame="_blank" w:history="1" w:anchor="{&quot;appno&quot;:[&quot;35430/05&quot;]}" r:id="rId13">
        <w:r w:rsidRPr="00943256" w:rsidR="00B50646">
          <w:t>35430/05</w:t>
        </w:r>
      </w:hyperlink>
      <w:r w:rsidRPr="00943256" w:rsidR="00B50646">
        <w:t>, § 50, 14 February 2012).</w:t>
      </w:r>
    </w:p>
    <w:p w:rsidRPr="00943256" w:rsidR="00B50646" w:rsidP="00943256" w:rsidRDefault="00B50646">
      <w:pPr>
        <w:pStyle w:val="ECHRHeading4"/>
      </w:pPr>
      <w:r w:rsidRPr="00943256">
        <w:t>(c)  Proportionality of the impugned measure</w:t>
      </w:r>
    </w:p>
    <w:p w:rsidRPr="00943256" w:rsidR="00B50646" w:rsidP="00943256" w:rsidRDefault="004F2397">
      <w:pPr>
        <w:pStyle w:val="ECHRPara"/>
      </w:pPr>
      <w:r>
        <w:fldChar w:fldCharType="begin"/>
      </w:r>
      <w:r>
        <w:instrText xml:space="preserve"> SEQ level0 \*arabic </w:instrText>
      </w:r>
      <w:r>
        <w:fldChar w:fldCharType="separate"/>
      </w:r>
      <w:r w:rsidRPr="00943256" w:rsidR="00943256">
        <w:rPr>
          <w:noProof/>
        </w:rPr>
        <w:t>53</w:t>
      </w:r>
      <w:r>
        <w:rPr>
          <w:noProof/>
        </w:rPr>
        <w:fldChar w:fldCharType="end"/>
      </w:r>
      <w:r w:rsidRPr="00943256" w:rsidR="00B50646">
        <w:t xml:space="preserve">.  Article 1 of Protocol No. 1 requires that any interference be reasonably proportionate to the aim sought to be realised (see </w:t>
      </w:r>
      <w:r w:rsidRPr="00943256" w:rsidR="00943256">
        <w:rPr>
          <w:i/>
        </w:rPr>
        <w:t>Jahn and </w:t>
      </w:r>
      <w:r w:rsidRPr="00943256" w:rsidR="00B50646">
        <w:rPr>
          <w:i/>
        </w:rPr>
        <w:t>Others v. Germany</w:t>
      </w:r>
      <w:r w:rsidRPr="00943256" w:rsidR="00B50646">
        <w:t xml:space="preserve"> [GC], nos. </w:t>
      </w:r>
      <w:hyperlink w:tgtFrame="_blank" w:history="1" w:anchor="{&quot;appno&quot;:[&quot;46720/99&quot;]}" r:id="rId14">
        <w:r w:rsidRPr="00943256" w:rsidR="00B50646">
          <w:t>46720/99</w:t>
        </w:r>
      </w:hyperlink>
      <w:r w:rsidRPr="00943256" w:rsidR="00943256">
        <w:t xml:space="preserve"> and 2 others, §§ 81-94, ECHR </w:t>
      </w:r>
      <w:r w:rsidRPr="00943256" w:rsidR="00B50646">
        <w:t>2005</w:t>
      </w:r>
      <w:r w:rsidRPr="00943256" w:rsidR="00B50646">
        <w:noBreakHyphen/>
        <w:t xml:space="preserve">VI). The requisite fair balance will not be struck where the person concerned bears an individual and excessive burden (see </w:t>
      </w:r>
      <w:r w:rsidRPr="00943256" w:rsidR="00B50646">
        <w:rPr>
          <w:i/>
        </w:rPr>
        <w:t>Stefanetti and Others v. Italy</w:t>
      </w:r>
      <w:r w:rsidRPr="00943256" w:rsidR="00B50646">
        <w:t xml:space="preserve">, nos. </w:t>
      </w:r>
      <w:hyperlink w:tgtFrame="_blank" w:history="1" w:anchor="{&quot;appno&quot;:[&quot;21838/10&quot;]}" r:id="rId15">
        <w:r w:rsidRPr="00943256" w:rsidR="00B50646">
          <w:t>21838/10</w:t>
        </w:r>
      </w:hyperlink>
      <w:r w:rsidRPr="00943256" w:rsidR="00B50646">
        <w:t xml:space="preserve"> and 7 others, § 66, 15 April 2014).</w:t>
      </w:r>
    </w:p>
    <w:p w:rsidRPr="00943256" w:rsidR="00B50646" w:rsidP="00943256" w:rsidRDefault="004F2397">
      <w:pPr>
        <w:pStyle w:val="ECHRPara"/>
      </w:pPr>
      <w:r>
        <w:fldChar w:fldCharType="begin"/>
      </w:r>
      <w:r>
        <w:instrText xml:space="preserve"> SEQ level0 \*arabic </w:instrText>
      </w:r>
      <w:r>
        <w:fldChar w:fldCharType="separate"/>
      </w:r>
      <w:r w:rsidRPr="00943256" w:rsidR="00943256">
        <w:rPr>
          <w:noProof/>
        </w:rPr>
        <w:t>54</w:t>
      </w:r>
      <w:r>
        <w:rPr>
          <w:noProof/>
        </w:rPr>
        <w:fldChar w:fldCharType="end"/>
      </w:r>
      <w:r w:rsidRPr="00943256" w:rsidR="00B50646">
        <w:t xml:space="preserve">.  Compensation terms under the relevant legislation are material to </w:t>
      </w:r>
      <w:r w:rsidRPr="00943256" w:rsidR="00B22F3C">
        <w:t xml:space="preserve">any </w:t>
      </w:r>
      <w:r w:rsidRPr="00943256" w:rsidR="00B50646">
        <w:t xml:space="preserve">assessment of whether the contested measure respects the requisite fair balance and, notably, whether it imposes a disproportionate burden on the applicants (see the recapitulation of the relevant principles in </w:t>
      </w:r>
      <w:r w:rsidRPr="00943256" w:rsidR="00B50646">
        <w:rPr>
          <w:i/>
          <w:iCs/>
        </w:rPr>
        <w:t xml:space="preserve">Vistiņš </w:t>
      </w:r>
      <w:r w:rsidRPr="00943256" w:rsidR="00943256">
        <w:rPr>
          <w:i/>
          <w:iCs/>
        </w:rPr>
        <w:t>and </w:t>
      </w:r>
      <w:r w:rsidRPr="00943256" w:rsidR="00B50646">
        <w:rPr>
          <w:i/>
          <w:iCs/>
        </w:rPr>
        <w:t>Perepjolkins</w:t>
      </w:r>
      <w:r w:rsidRPr="00943256" w:rsidR="00B50646">
        <w:t>, cited above, §§ 110-14).</w:t>
      </w:r>
    </w:p>
    <w:p w:rsidRPr="00943256" w:rsidR="00B50646" w:rsidP="00943256" w:rsidRDefault="004F2397">
      <w:pPr>
        <w:pStyle w:val="ECHRPara"/>
      </w:pPr>
      <w:r>
        <w:fldChar w:fldCharType="begin"/>
      </w:r>
      <w:r>
        <w:instrText xml:space="preserve"> SEQ level0 \*arabic </w:instrText>
      </w:r>
      <w:r>
        <w:fldChar w:fldCharType="separate"/>
      </w:r>
      <w:r w:rsidRPr="00943256" w:rsidR="00943256">
        <w:rPr>
          <w:noProof/>
        </w:rPr>
        <w:t>55</w:t>
      </w:r>
      <w:r>
        <w:rPr>
          <w:noProof/>
        </w:rPr>
        <w:fldChar w:fldCharType="end"/>
      </w:r>
      <w:r w:rsidRPr="00943256" w:rsidR="00556192">
        <w:t>.  </w:t>
      </w:r>
      <w:r w:rsidRPr="00943256" w:rsidR="00B50646">
        <w:t xml:space="preserve">In the present case, it is not disputed that according to domestic law the applicants were entitled to full compensation </w:t>
      </w:r>
      <w:r w:rsidRPr="00943256" w:rsidR="00B22F3C">
        <w:t>consisting</w:t>
      </w:r>
      <w:r w:rsidRPr="00943256" w:rsidR="00B50646">
        <w:t xml:space="preserve"> of the estimated market value of their property and an additional </w:t>
      </w:r>
      <w:r w:rsidRPr="00943256" w:rsidR="00B22F3C">
        <w:t>15%</w:t>
      </w:r>
      <w:r w:rsidRPr="00943256" w:rsidR="00D0082A">
        <w:t xml:space="preserve"> </w:t>
      </w:r>
      <w:r w:rsidRPr="00943256" w:rsidR="00B50646">
        <w:t>of that amount. However, the courts determined the amount of compensation payable to the applicants solely on the basis of the valuation report</w:t>
      </w:r>
      <w:r w:rsidRPr="00943256" w:rsidR="007C6817">
        <w:t>s</w:t>
      </w:r>
      <w:r w:rsidRPr="00943256" w:rsidR="00B50646">
        <w:t xml:space="preserve"> prepared by Oliver Group LLC, which amended its initial assessment by submitting corrected report</w:t>
      </w:r>
      <w:r w:rsidRPr="00943256" w:rsidR="007C6817">
        <w:t>s</w:t>
      </w:r>
      <w:r w:rsidRPr="00943256" w:rsidR="00B50646">
        <w:t xml:space="preserve"> in the course of the proceedings. The applicants, although having </w:t>
      </w:r>
      <w:r w:rsidRPr="00943256" w:rsidR="00B22F3C">
        <w:t xml:space="preserve">the opportunity </w:t>
      </w:r>
      <w:r w:rsidRPr="00943256" w:rsidR="00B50646">
        <w:t>under the law to submit alternative valuation report</w:t>
      </w:r>
      <w:r w:rsidRPr="00943256" w:rsidR="007C6817">
        <w:t>s</w:t>
      </w:r>
      <w:r w:rsidRPr="00943256" w:rsidR="00B50646">
        <w:t>, appear in practice to have been deprived of such a</w:t>
      </w:r>
      <w:r w:rsidRPr="00943256" w:rsidR="00B22F3C">
        <w:t>n opportunity</w:t>
      </w:r>
      <w:r w:rsidRPr="00943256" w:rsidR="00B50646">
        <w:t xml:space="preserve"> </w:t>
      </w:r>
      <w:r w:rsidRPr="00943256" w:rsidR="00B22F3C">
        <w:t xml:space="preserve">given that </w:t>
      </w:r>
      <w:r w:rsidRPr="00943256" w:rsidR="00B50646">
        <w:t xml:space="preserve">other licensed valuation companies </w:t>
      </w:r>
      <w:r w:rsidRPr="00943256" w:rsidR="00B22F3C">
        <w:t xml:space="preserve">had </w:t>
      </w:r>
      <w:r w:rsidRPr="00943256" w:rsidR="00B50646">
        <w:t>refused to perform another assessment. The courts did not exercise their discretion to order an expert examination to determine the real market value of the applicants</w:t>
      </w:r>
      <w:r w:rsidRPr="00943256" w:rsidR="00943256">
        <w:t>’</w:t>
      </w:r>
      <w:r w:rsidRPr="00943256" w:rsidR="00B50646">
        <w:t xml:space="preserve"> property</w:t>
      </w:r>
      <w:r w:rsidRPr="00943256" w:rsidR="00B22F3C">
        <w:t>,</w:t>
      </w:r>
      <w:r w:rsidRPr="00943256" w:rsidR="00B50646">
        <w:t xml:space="preserve"> which the latter claimed had been seriously underestimated.</w:t>
      </w:r>
    </w:p>
    <w:p w:rsidRPr="00943256" w:rsidR="00B50646" w:rsidP="00943256" w:rsidRDefault="004F2397">
      <w:pPr>
        <w:pStyle w:val="ECHRPara"/>
      </w:pPr>
      <w:r>
        <w:fldChar w:fldCharType="begin"/>
      </w:r>
      <w:r>
        <w:instrText xml:space="preserve"> SEQ level0</w:instrText>
      </w:r>
      <w:r>
        <w:instrText xml:space="preserve"> \*arabic </w:instrText>
      </w:r>
      <w:r>
        <w:fldChar w:fldCharType="separate"/>
      </w:r>
      <w:r w:rsidRPr="00943256" w:rsidR="00943256">
        <w:rPr>
          <w:noProof/>
        </w:rPr>
        <w:t>56</w:t>
      </w:r>
      <w:r>
        <w:rPr>
          <w:noProof/>
        </w:rPr>
        <w:fldChar w:fldCharType="end"/>
      </w:r>
      <w:r w:rsidRPr="00943256" w:rsidR="00B50646">
        <w:t>.  The Court observes that, having used the comparative method of valuation of real estate, the experts determined the market value of the applicants</w:t>
      </w:r>
      <w:r w:rsidRPr="00943256" w:rsidR="00943256">
        <w:t>’</w:t>
      </w:r>
      <w:r w:rsidRPr="00943256" w:rsidR="00B50646">
        <w:t xml:space="preserve"> plot</w:t>
      </w:r>
      <w:r w:rsidRPr="00943256" w:rsidR="00E03399">
        <w:t>s</w:t>
      </w:r>
      <w:r w:rsidRPr="00943256" w:rsidR="00B50646">
        <w:t xml:space="preserve"> of land in comparison with the sale prices of other plots of land in the same expropriation zone. The Court is mindful of its above finding that the relevant domestic provisions were sufficiently foreseeable in that a professional expert should legitimately have the freedom of choice of </w:t>
      </w:r>
      <w:r w:rsidRPr="00943256" w:rsidR="00B22F3C">
        <w:t>an</w:t>
      </w:r>
      <w:r w:rsidRPr="00943256" w:rsidR="00B50646">
        <w:t xml:space="preserve"> appropriate real</w:t>
      </w:r>
      <w:r w:rsidRPr="00943256" w:rsidR="00B22F3C">
        <w:t>-</w:t>
      </w:r>
      <w:r w:rsidRPr="00943256" w:rsidR="00B50646">
        <w:t xml:space="preserve">estate valuation method (see paragraph </w:t>
      </w:r>
      <w:r w:rsidRPr="00943256" w:rsidR="00556192">
        <w:t>50</w:t>
      </w:r>
      <w:r w:rsidRPr="00943256" w:rsidR="00B50646">
        <w:t xml:space="preserve"> above). However, in a situation where the market value of the applicants</w:t>
      </w:r>
      <w:r w:rsidRPr="00943256" w:rsidR="00943256">
        <w:t>’</w:t>
      </w:r>
      <w:r w:rsidRPr="00943256" w:rsidR="00B50646">
        <w:t xml:space="preserve"> land was determined on the basis of the sale prices of plots of land within the same area, it cannot be excluded that the applicants would not be able to acquire</w:t>
      </w:r>
      <w:r w:rsidRPr="00943256" w:rsidR="00B22F3C">
        <w:t>,</w:t>
      </w:r>
      <w:r w:rsidRPr="00943256" w:rsidR="00B50646">
        <w:t xml:space="preserve"> or would at least experience serious difficulty in finding</w:t>
      </w:r>
      <w:r w:rsidRPr="00943256" w:rsidR="00B22F3C">
        <w:t>,</w:t>
      </w:r>
      <w:r w:rsidRPr="00943256" w:rsidR="00B50646">
        <w:t xml:space="preserve"> equivalent land in another area not subject to expropriation with the amount of compensation received.</w:t>
      </w:r>
    </w:p>
    <w:p w:rsidRPr="00943256" w:rsidR="00B50646" w:rsidP="00943256" w:rsidRDefault="004F2397">
      <w:pPr>
        <w:pStyle w:val="ECHRPara"/>
      </w:pPr>
      <w:r>
        <w:fldChar w:fldCharType="begin"/>
      </w:r>
      <w:r>
        <w:instrText xml:space="preserve"> SEQ level0 \*arabic </w:instrText>
      </w:r>
      <w:r>
        <w:fldChar w:fldCharType="separate"/>
      </w:r>
      <w:r w:rsidRPr="00943256" w:rsidR="00943256">
        <w:rPr>
          <w:noProof/>
        </w:rPr>
        <w:t>57</w:t>
      </w:r>
      <w:r>
        <w:rPr>
          <w:noProof/>
        </w:rPr>
        <w:fldChar w:fldCharType="end"/>
      </w:r>
      <w:r w:rsidRPr="00943256" w:rsidR="00B50646">
        <w:t>.  Without prejudice to the relevant domestic provisions and the margin of appreciation of the State in these matters, the Court considers that there may be situations where compensation representing the market price of the real estate in question</w:t>
      </w:r>
      <w:r w:rsidRPr="00943256" w:rsidR="00B22F3C">
        <w:t>,</w:t>
      </w:r>
      <w:r w:rsidRPr="00943256" w:rsidR="00B50646">
        <w:t xml:space="preserve"> even with the addition of the statutory surplus, would not constitute adequate compensation for deprivation of property. In the Court</w:t>
      </w:r>
      <w:r w:rsidRPr="00943256" w:rsidR="00943256">
        <w:t>’</w:t>
      </w:r>
      <w:r w:rsidRPr="00943256" w:rsidR="00B50646">
        <w:t>s opinion, such a situation may arise in particular if the property the person was deprived of constituted his main, if not only</w:t>
      </w:r>
      <w:r w:rsidRPr="00943256" w:rsidR="00B22F3C">
        <w:t>,</w:t>
      </w:r>
      <w:r w:rsidRPr="00943256" w:rsidR="00B50646">
        <w:t xml:space="preserve"> source of income</w:t>
      </w:r>
      <w:r w:rsidRPr="00943256" w:rsidR="00B22F3C">
        <w:t>,</w:t>
      </w:r>
      <w:r w:rsidRPr="00943256" w:rsidR="00B50646">
        <w:t xml:space="preserve"> and the offered compensation did not reflect that loss (see </w:t>
      </w:r>
      <w:r w:rsidRPr="00943256" w:rsidR="00B50646">
        <w:rPr>
          <w:i/>
        </w:rPr>
        <w:t>Lallement v. France</w:t>
      </w:r>
      <w:r w:rsidRPr="00943256" w:rsidR="00B50646">
        <w:t xml:space="preserve">, no. </w:t>
      </w:r>
      <w:hyperlink w:tgtFrame="_blank" w:history="1" w:anchor="{&quot;appno&quot;:[&quot;46044/99&quot;]}" r:id="rId16">
        <w:r w:rsidRPr="00943256" w:rsidR="00B50646">
          <w:t>46044/99</w:t>
        </w:r>
      </w:hyperlink>
      <w:r w:rsidRPr="00943256" w:rsidR="00B50646">
        <w:t>, § 18, 11 April 2002</w:t>
      </w:r>
      <w:r w:rsidRPr="00943256" w:rsidR="0001750F">
        <w:t xml:space="preserve">; see also </w:t>
      </w:r>
      <w:r w:rsidRPr="00943256" w:rsidR="0001750F">
        <w:rPr>
          <w:i/>
          <w:iCs/>
        </w:rPr>
        <w:t>Osmanyan and Amiraghyan</w:t>
      </w:r>
      <w:r w:rsidRPr="00943256" w:rsidR="0001750F">
        <w:rPr>
          <w:iCs/>
        </w:rPr>
        <w:t>, cited above, § 69</w:t>
      </w:r>
      <w:r w:rsidRPr="00943256" w:rsidR="00B50646">
        <w:t>).</w:t>
      </w:r>
    </w:p>
    <w:p w:rsidRPr="00943256" w:rsidR="00B50646" w:rsidP="00943256" w:rsidRDefault="004F2397">
      <w:pPr>
        <w:pStyle w:val="ECHRPara"/>
      </w:pPr>
      <w:r>
        <w:fldChar w:fldCharType="begin"/>
      </w:r>
      <w:r>
        <w:instrText xml:space="preserve"> SEQ level0 \*arabic </w:instrText>
      </w:r>
      <w:r>
        <w:fldChar w:fldCharType="separate"/>
      </w:r>
      <w:r w:rsidRPr="00943256" w:rsidR="00943256">
        <w:rPr>
          <w:noProof/>
        </w:rPr>
        <w:t>58</w:t>
      </w:r>
      <w:r>
        <w:rPr>
          <w:noProof/>
        </w:rPr>
        <w:fldChar w:fldCharType="end"/>
      </w:r>
      <w:r w:rsidRPr="00943256" w:rsidR="00B50646">
        <w:t>.  In the present case, the applicants submitted that as a family unit they had depended economically on the land in question</w:t>
      </w:r>
      <w:r w:rsidRPr="00943256" w:rsidR="00B22F3C">
        <w:t>,</w:t>
      </w:r>
      <w:r w:rsidRPr="00943256" w:rsidR="00B50646">
        <w:t xml:space="preserve"> which had been their only source of income (see paragraph 4</w:t>
      </w:r>
      <w:r w:rsidRPr="00943256" w:rsidR="00556192">
        <w:t>2</w:t>
      </w:r>
      <w:r w:rsidRPr="00943256" w:rsidR="00B50646">
        <w:t xml:space="preserve"> above). This argument has not been refuted by the respondent Government (see paragraphs 4</w:t>
      </w:r>
      <w:r w:rsidRPr="00943256" w:rsidR="00556192">
        <w:t>4</w:t>
      </w:r>
      <w:r w:rsidRPr="00943256" w:rsidR="00B50646">
        <w:t>-4</w:t>
      </w:r>
      <w:r w:rsidRPr="00943256" w:rsidR="00556192">
        <w:t>6</w:t>
      </w:r>
      <w:r w:rsidRPr="00943256" w:rsidR="00B50646">
        <w:t xml:space="preserve"> above). This particular aspect, namely that in consequence of the expropriation the applicants had lost their only source of income, was not taken into account by the domestic courts in their decisions on the amount of compensation due. The courts decided, despite the circumstances, that the applicants should be provided with compensation which was determined in relation to the prices of real estate situated in the area subject to expropriation and the expected incomes. They did not address the issue </w:t>
      </w:r>
      <w:r w:rsidRPr="00943256" w:rsidR="00B22F3C">
        <w:t xml:space="preserve">of </w:t>
      </w:r>
      <w:r w:rsidRPr="00943256" w:rsidR="00B50646">
        <w:t>whether the compensation granted would cover the applicants</w:t>
      </w:r>
      <w:r w:rsidRPr="00943256" w:rsidR="00943256">
        <w:t>’</w:t>
      </w:r>
      <w:r w:rsidRPr="00943256" w:rsidR="00B50646">
        <w:t xml:space="preserve"> actual loss involved in deprivation of means of subsistence</w:t>
      </w:r>
      <w:r w:rsidRPr="00943256" w:rsidR="00B22F3C">
        <w:t>,</w:t>
      </w:r>
      <w:r w:rsidRPr="00943256" w:rsidR="00B50646">
        <w:t xml:space="preserve"> or was at least sufficient for them to acquire equivalent land within the area in which they lived.</w:t>
      </w:r>
    </w:p>
    <w:p w:rsidRPr="00943256" w:rsidR="00B50646" w:rsidP="00943256" w:rsidRDefault="004F2397">
      <w:pPr>
        <w:pStyle w:val="ECHRPara"/>
      </w:pPr>
      <w:r>
        <w:fldChar w:fldCharType="begin"/>
      </w:r>
      <w:r>
        <w:instrText xml:space="preserve"> SEQ level0 \*arabic </w:instrText>
      </w:r>
      <w:r>
        <w:fldChar w:fldCharType="separate"/>
      </w:r>
      <w:r w:rsidRPr="00943256" w:rsidR="00943256">
        <w:rPr>
          <w:noProof/>
        </w:rPr>
        <w:t>59</w:t>
      </w:r>
      <w:r>
        <w:rPr>
          <w:noProof/>
        </w:rPr>
        <w:fldChar w:fldCharType="end"/>
      </w:r>
      <w:r w:rsidRPr="00943256" w:rsidR="00B50646">
        <w:t>.  In view of the foregoing, the Court finds that the applicants had to bear an excessive individual burden. Accordingly, the impugned expropriation was in violation of Article 1 of Protocol No. 1 to the Convention.</w:t>
      </w:r>
    </w:p>
    <w:p w:rsidRPr="00943256" w:rsidR="00376F2D" w:rsidP="00943256" w:rsidRDefault="00376F2D">
      <w:pPr>
        <w:pStyle w:val="ECHRHeading1"/>
        <w:rPr>
          <w:lang w:val="en-GB"/>
        </w:rPr>
      </w:pPr>
      <w:r w:rsidRPr="00943256">
        <w:rPr>
          <w:lang w:val="en-GB"/>
        </w:rPr>
        <w:t>II.  ALLEGED VIOLATION OF ARTICLE 6 OF THE CONVENTION</w:t>
      </w:r>
    </w:p>
    <w:p w:rsidRPr="00943256" w:rsidR="00376F2D" w:rsidP="00943256" w:rsidRDefault="00376F2D">
      <w:pPr>
        <w:pStyle w:val="ECHRPara"/>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60</w:t>
      </w:r>
      <w:r w:rsidRPr="00943256">
        <w:rPr>
          <w:lang w:val="en-GB"/>
        </w:rPr>
        <w:fldChar w:fldCharType="end"/>
      </w:r>
      <w:r w:rsidRPr="00943256">
        <w:rPr>
          <w:lang w:val="en-GB"/>
        </w:rPr>
        <w:t>.  </w:t>
      </w:r>
      <w:r w:rsidRPr="00943256">
        <w:t>The applicants complained under Article 6 § 1 of the Convention that their right to a fair trial had not been respected since the courts regarded the valuation report</w:t>
      </w:r>
      <w:r w:rsidRPr="00943256" w:rsidR="007C6817">
        <w:t>s</w:t>
      </w:r>
      <w:r w:rsidRPr="00943256">
        <w:t xml:space="preserve"> submitted by their opponent as established proof of the market value of their property</w:t>
      </w:r>
      <w:r w:rsidRPr="00943256" w:rsidR="00B22F3C">
        <w:t>,</w:t>
      </w:r>
      <w:r w:rsidRPr="00943256">
        <w:t xml:space="preserve"> and they had had no opportunity to challenge </w:t>
      </w:r>
      <w:r w:rsidRPr="00943256" w:rsidR="00E03399">
        <w:t>them</w:t>
      </w:r>
      <w:r w:rsidRPr="00943256">
        <w:t xml:space="preserve"> effectively. In particular, they argued that the courts had failed to exercise their statutory discretion to appoint a forensic examination to determine the real market value of the property, given that the applicants had not participated in the valuation process and had been unable to submit their objections.</w:t>
      </w:r>
    </w:p>
    <w:p w:rsidRPr="00943256" w:rsidR="00376F2D" w:rsidP="00943256" w:rsidRDefault="004F2397">
      <w:pPr>
        <w:pStyle w:val="ECHRPara"/>
      </w:pPr>
      <w:r>
        <w:fldChar w:fldCharType="begin"/>
      </w:r>
      <w:r>
        <w:instrText xml:space="preserve"> SEQ level0 \*arabic </w:instrText>
      </w:r>
      <w:r>
        <w:fldChar w:fldCharType="separate"/>
      </w:r>
      <w:r w:rsidRPr="00943256" w:rsidR="00943256">
        <w:rPr>
          <w:noProof/>
        </w:rPr>
        <w:t>61</w:t>
      </w:r>
      <w:r>
        <w:rPr>
          <w:noProof/>
        </w:rPr>
        <w:fldChar w:fldCharType="end"/>
      </w:r>
      <w:r w:rsidRPr="00943256" w:rsidR="00376F2D">
        <w:t>.  </w:t>
      </w:r>
      <w:r w:rsidRPr="00943256" w:rsidR="00B22F3C">
        <w:t xml:space="preserve">The relevant parts of </w:t>
      </w:r>
      <w:r w:rsidRPr="00943256" w:rsidR="00376F2D">
        <w:t>Article 6 read as follows:</w:t>
      </w:r>
    </w:p>
    <w:p w:rsidRPr="00943256" w:rsidR="00376F2D" w:rsidP="00943256" w:rsidRDefault="00376F2D">
      <w:pPr>
        <w:pStyle w:val="ECHRParaQuote"/>
      </w:pPr>
      <w:r w:rsidRPr="00943256">
        <w:t>“In the determination of his civil rights and obligations ... everyone is entitled to a fair ... hearing.”</w:t>
      </w:r>
    </w:p>
    <w:p w:rsidRPr="00943256" w:rsidR="00D420F3" w:rsidP="00943256" w:rsidRDefault="004F2397">
      <w:pPr>
        <w:pStyle w:val="ECHRPara"/>
      </w:pPr>
      <w:r>
        <w:fldChar w:fldCharType="begin"/>
      </w:r>
      <w:r>
        <w:instrText xml:space="preserve"> SEQ level0 \*arabic </w:instrText>
      </w:r>
      <w:r>
        <w:fldChar w:fldCharType="separate"/>
      </w:r>
      <w:r w:rsidRPr="00943256" w:rsidR="00943256">
        <w:rPr>
          <w:noProof/>
        </w:rPr>
        <w:t>62</w:t>
      </w:r>
      <w:r>
        <w:rPr>
          <w:noProof/>
        </w:rPr>
        <w:fldChar w:fldCharType="end"/>
      </w:r>
      <w:r w:rsidRPr="00943256" w:rsidR="00376F2D">
        <w:t>.  Having regard to the facts of the case, the parties</w:t>
      </w:r>
      <w:r w:rsidRPr="00943256" w:rsidR="00943256">
        <w:t>’</w:t>
      </w:r>
      <w:r w:rsidRPr="00943256" w:rsidR="00376F2D">
        <w:t xml:space="preserve"> observations and its decision finding a violation of Article 1 of Protocol No. 1 concerning the deprivation of the applicants</w:t>
      </w:r>
      <w:r w:rsidRPr="00943256" w:rsidR="00943256">
        <w:t>’</w:t>
      </w:r>
      <w:r w:rsidRPr="00943256" w:rsidR="00376F2D">
        <w:t xml:space="preserve"> property, the Court considers that it has examined the main legal question raised in the present application. It concludes, therefore, that there is no need to give a separate ruling on the applicants</w:t>
      </w:r>
      <w:r w:rsidRPr="00943256" w:rsidR="00943256">
        <w:t>’</w:t>
      </w:r>
      <w:r w:rsidRPr="00943256" w:rsidR="00376F2D">
        <w:t xml:space="preserve"> complaints under Article 6 (see, </w:t>
      </w:r>
      <w:r w:rsidRPr="00943256" w:rsidR="00376F2D">
        <w:rPr>
          <w:i/>
        </w:rPr>
        <w:t>mutatis mutandis</w:t>
      </w:r>
      <w:r w:rsidRPr="00943256" w:rsidR="00376F2D">
        <w:t xml:space="preserve">, </w:t>
      </w:r>
      <w:r w:rsidRPr="00943256" w:rsidR="00376F2D">
        <w:rPr>
          <w:i/>
        </w:rPr>
        <w:t>Kamil Uzun v. Turkey</w:t>
      </w:r>
      <w:r w:rsidRPr="00943256" w:rsidR="00376F2D">
        <w:t xml:space="preserve">, no. </w:t>
      </w:r>
      <w:hyperlink w:tgtFrame="_blank" w:history="1" w:anchor="{&quot;appno&quot;:[&quot;37410/97&quot;]}" r:id="rId17">
        <w:r w:rsidRPr="00943256" w:rsidR="00376F2D">
          <w:t>37410/97</w:t>
        </w:r>
      </w:hyperlink>
      <w:r w:rsidRPr="00943256" w:rsidR="00376F2D">
        <w:t>, § 64, 10 May 2007).</w:t>
      </w:r>
    </w:p>
    <w:p w:rsidRPr="00943256" w:rsidR="00D420F3" w:rsidP="00943256" w:rsidRDefault="00376F2D">
      <w:pPr>
        <w:pStyle w:val="ECHRHeading1"/>
        <w:rPr>
          <w:lang w:val="en-GB"/>
        </w:rPr>
      </w:pPr>
      <w:r w:rsidRPr="00943256">
        <w:rPr>
          <w:lang w:val="en-GB"/>
        </w:rPr>
        <w:t>III</w:t>
      </w:r>
      <w:r w:rsidRPr="00943256" w:rsidR="0077175D">
        <w:rPr>
          <w:lang w:val="en-GB"/>
        </w:rPr>
        <w:t>.  APPLICATION OF ARTICLE 41 OF THE CONVENTION</w:t>
      </w:r>
    </w:p>
    <w:p w:rsidRPr="00943256" w:rsidR="00D420F3" w:rsidP="00943256" w:rsidRDefault="00BE7D00">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63</w:t>
      </w:r>
      <w:r w:rsidRPr="00943256">
        <w:rPr>
          <w:lang w:val="en-GB"/>
        </w:rPr>
        <w:fldChar w:fldCharType="end"/>
      </w:r>
      <w:r w:rsidRPr="00943256" w:rsidR="0077175D">
        <w:rPr>
          <w:lang w:val="en-GB"/>
        </w:rPr>
        <w:t>.  Article 41 of the Convention provides:</w:t>
      </w:r>
    </w:p>
    <w:p w:rsidRPr="00943256" w:rsidR="00D420F3" w:rsidP="00943256" w:rsidRDefault="0077175D">
      <w:pPr>
        <w:pStyle w:val="ECHRParaQuote"/>
        <w:keepNext/>
        <w:keepLines/>
        <w:rPr>
          <w:lang w:val="en-GB"/>
        </w:rPr>
      </w:pPr>
      <w:r w:rsidRPr="00943256">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43256" w:rsidR="00D420F3" w:rsidP="00943256" w:rsidRDefault="0077175D">
      <w:pPr>
        <w:pStyle w:val="ECHRHeading2"/>
        <w:rPr>
          <w:lang w:val="en-GB"/>
        </w:rPr>
      </w:pPr>
      <w:r w:rsidRPr="00943256">
        <w:rPr>
          <w:lang w:val="en-GB"/>
        </w:rPr>
        <w:t>A.  Damage</w:t>
      </w:r>
    </w:p>
    <w:p w:rsidRPr="00943256" w:rsidR="00C013DD" w:rsidP="00943256" w:rsidRDefault="004F2397">
      <w:pPr>
        <w:pStyle w:val="ECHRPara"/>
      </w:pPr>
      <w:r>
        <w:fldChar w:fldCharType="begin"/>
      </w:r>
      <w:r>
        <w:instrText xml:space="preserve"> SEQ level0 \*arabic </w:instrText>
      </w:r>
      <w:r>
        <w:fldChar w:fldCharType="separate"/>
      </w:r>
      <w:r w:rsidRPr="00943256" w:rsidR="00943256">
        <w:rPr>
          <w:noProof/>
        </w:rPr>
        <w:t>64</w:t>
      </w:r>
      <w:r>
        <w:rPr>
          <w:noProof/>
        </w:rPr>
        <w:fldChar w:fldCharType="end"/>
      </w:r>
      <w:r w:rsidRPr="00943256" w:rsidR="00C013DD">
        <w:t xml:space="preserve">.  The applicants claimed EUR 106,182 in respect of pecuniary damage. According to the applicants, the </w:t>
      </w:r>
      <w:r w:rsidRPr="00943256" w:rsidR="00B22F3C">
        <w:t xml:space="preserve">amount </w:t>
      </w:r>
      <w:r w:rsidRPr="00943256" w:rsidR="00C013DD">
        <w:t>claimed reflected the sale and rental prices of land within the same community in the same period. They took AMD 3,000 per square metre of land as a basis for calculation. The applicants also claimed EUR 3,000 (for Article 6 violation) and EUR</w:t>
      </w:r>
      <w:r w:rsidRPr="00943256" w:rsidR="00B50646">
        <w:t> </w:t>
      </w:r>
      <w:r w:rsidRPr="00943256" w:rsidR="00C013DD">
        <w:t>7,000 (for Article 1 of Protocol No.</w:t>
      </w:r>
      <w:r w:rsidRPr="00943256" w:rsidR="00943256">
        <w:t xml:space="preserve"> 1 violation) in respect of non</w:t>
      </w:r>
      <w:r w:rsidRPr="00943256" w:rsidR="00943256">
        <w:noBreakHyphen/>
      </w:r>
      <w:r w:rsidRPr="00943256" w:rsidR="00C013DD">
        <w:t>pecuniary damage.</w:t>
      </w:r>
    </w:p>
    <w:p w:rsidRPr="00943256" w:rsidR="00C013DD" w:rsidP="00943256" w:rsidRDefault="00C013DD">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65</w:t>
      </w:r>
      <w:r w:rsidRPr="00943256">
        <w:rPr>
          <w:lang w:val="en-GB"/>
        </w:rPr>
        <w:fldChar w:fldCharType="end"/>
      </w:r>
      <w:r w:rsidRPr="00943256">
        <w:rPr>
          <w:lang w:val="en-GB"/>
        </w:rPr>
        <w:t>.  The Government considered that the applicants had failed to submit any proof in support of their pecuniary damage claims</w:t>
      </w:r>
      <w:r w:rsidRPr="00943256" w:rsidR="00B22F3C">
        <w:rPr>
          <w:lang w:val="en-GB"/>
        </w:rPr>
        <w:t>,</w:t>
      </w:r>
      <w:r w:rsidRPr="00943256">
        <w:rPr>
          <w:lang w:val="en-GB"/>
        </w:rPr>
        <w:t xml:space="preserve"> which were exaggerated. These claims should therefore be rejected in their entirety. As to the non-pecuniary damage, the Government considered that the amounts claimed were excessive and not supported by any documentary evidence.</w:t>
      </w:r>
    </w:p>
    <w:p w:rsidRPr="00943256" w:rsidR="00C013DD" w:rsidP="00943256" w:rsidRDefault="00C013DD">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66</w:t>
      </w:r>
      <w:r w:rsidRPr="00943256">
        <w:rPr>
          <w:lang w:val="en-GB"/>
        </w:rPr>
        <w:fldChar w:fldCharType="end"/>
      </w:r>
      <w:r w:rsidRPr="00943256">
        <w:rPr>
          <w:lang w:val="en-GB"/>
        </w:rPr>
        <w:t>.  </w:t>
      </w:r>
      <w:r w:rsidRPr="00943256">
        <w:t xml:space="preserve">Given the nature of the violation found, the Court finds that the applicants undoubtedly suffered some pecuniary and non-pecuniary damage (see, </w:t>
      </w:r>
      <w:r w:rsidRPr="00943256">
        <w:rPr>
          <w:i/>
        </w:rPr>
        <w:t>mutatis mutandis</w:t>
      </w:r>
      <w:r w:rsidRPr="00943256">
        <w:t xml:space="preserve">, </w:t>
      </w:r>
      <w:r w:rsidRPr="00943256">
        <w:rPr>
          <w:i/>
          <w:iCs/>
        </w:rPr>
        <w:t>Moskal v. Poland</w:t>
      </w:r>
      <w:r w:rsidRPr="00943256">
        <w:t xml:space="preserve">, no. </w:t>
      </w:r>
      <w:hyperlink w:tgtFrame="_blank" w:history="1" w:anchor="{&quot;appno&quot;:[&quot;10373/05&quot;]}" r:id="rId18">
        <w:r w:rsidRPr="00943256">
          <w:t>10373/05</w:t>
        </w:r>
      </w:hyperlink>
      <w:r w:rsidRPr="00943256">
        <w:t>, § 105, 15 September 2009</w:t>
      </w:r>
      <w:r w:rsidRPr="00943256" w:rsidR="0001750F">
        <w:t xml:space="preserve">; see also </w:t>
      </w:r>
      <w:r w:rsidRPr="00943256" w:rsidR="0001750F">
        <w:rPr>
          <w:i/>
          <w:iCs/>
        </w:rPr>
        <w:t>Osmanyan and Amiraghyan</w:t>
      </w:r>
      <w:r w:rsidRPr="00943256" w:rsidR="0001750F">
        <w:rPr>
          <w:iCs/>
        </w:rPr>
        <w:t>, cited above, § 75</w:t>
      </w:r>
      <w:r w:rsidRPr="00943256">
        <w:t xml:space="preserve">). In the particular circumstances of the present case, making an assessment on an equitable basis as is required by Article 41 of the Convention, the Court awards the applicants jointly EUR </w:t>
      </w:r>
      <w:r w:rsidRPr="00943256" w:rsidR="00575754">
        <w:t>10</w:t>
      </w:r>
      <w:r w:rsidRPr="00943256">
        <w:t>,</w:t>
      </w:r>
      <w:r w:rsidRPr="00943256" w:rsidR="00575754">
        <w:t>4</w:t>
      </w:r>
      <w:r w:rsidRPr="00943256">
        <w:t>00 to cover all heads of damage.</w:t>
      </w:r>
    </w:p>
    <w:p w:rsidRPr="00943256" w:rsidR="00D420F3" w:rsidP="00943256" w:rsidRDefault="0077175D">
      <w:pPr>
        <w:pStyle w:val="ECHRHeading2"/>
        <w:rPr>
          <w:lang w:val="en-GB"/>
        </w:rPr>
      </w:pPr>
      <w:r w:rsidRPr="00943256">
        <w:rPr>
          <w:lang w:val="en-GB"/>
        </w:rPr>
        <w:t>B.  Costs and expenses</w:t>
      </w:r>
    </w:p>
    <w:p w:rsidRPr="00943256" w:rsidR="00B50646" w:rsidP="00943256" w:rsidRDefault="00B50646">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67</w:t>
      </w:r>
      <w:r w:rsidRPr="00943256">
        <w:rPr>
          <w:lang w:val="en-GB"/>
        </w:rPr>
        <w:fldChar w:fldCharType="end"/>
      </w:r>
      <w:r w:rsidRPr="00943256">
        <w:rPr>
          <w:lang w:val="en-GB"/>
        </w:rPr>
        <w:t>.  The applicants also claimed EUR 5,400 for the costs and expenses incurred before both the domestic courts and the Court.</w:t>
      </w:r>
    </w:p>
    <w:p w:rsidRPr="00943256" w:rsidR="00B50646" w:rsidP="00943256" w:rsidRDefault="00B50646">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68</w:t>
      </w:r>
      <w:r w:rsidRPr="00943256">
        <w:rPr>
          <w:lang w:val="en-GB"/>
        </w:rPr>
        <w:fldChar w:fldCharType="end"/>
      </w:r>
      <w:r w:rsidRPr="00943256">
        <w:rPr>
          <w:lang w:val="en-GB"/>
        </w:rPr>
        <w:t>.  The Government noted that the applicants had failed to submit any itemised documentation, as required by Rule 60 of the Rules of Court, and that therefore this claim should be rejected. In any event, the amount should be reduced.</w:t>
      </w:r>
    </w:p>
    <w:p w:rsidRPr="00943256" w:rsidR="00D420F3" w:rsidP="00943256" w:rsidRDefault="00B50646">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69</w:t>
      </w:r>
      <w:r w:rsidRPr="00943256">
        <w:rPr>
          <w:lang w:val="en-GB"/>
        </w:rPr>
        <w:fldChar w:fldCharType="end"/>
      </w:r>
      <w:r w:rsidRPr="00943256">
        <w:rPr>
          <w:lang w:val="en-GB"/>
        </w:rPr>
        <w:t>.  Regard being had to the documents in its possession and to its case-law, the Court rejects the claim for costs and expenses for lack of adequate supporting documentation.</w:t>
      </w:r>
    </w:p>
    <w:p w:rsidRPr="00943256" w:rsidR="00D420F3" w:rsidP="00943256" w:rsidRDefault="0077175D">
      <w:pPr>
        <w:pStyle w:val="ECHRHeading2"/>
        <w:rPr>
          <w:lang w:val="en-GB"/>
        </w:rPr>
      </w:pPr>
      <w:r w:rsidRPr="00943256">
        <w:rPr>
          <w:lang w:val="en-GB"/>
        </w:rPr>
        <w:t>C.  Default interest</w:t>
      </w:r>
    </w:p>
    <w:p w:rsidRPr="00943256" w:rsidR="00D420F3" w:rsidP="00943256" w:rsidRDefault="00BE7D00">
      <w:pPr>
        <w:pStyle w:val="ECHRPara"/>
        <w:rPr>
          <w:lang w:val="en-GB"/>
        </w:rPr>
      </w:pPr>
      <w:r w:rsidRPr="00943256">
        <w:rPr>
          <w:lang w:val="en-GB"/>
        </w:rPr>
        <w:fldChar w:fldCharType="begin"/>
      </w:r>
      <w:r w:rsidRPr="00943256">
        <w:rPr>
          <w:lang w:val="en-GB"/>
        </w:rPr>
        <w:instrText xml:space="preserve"> SEQ level0 \*arabic </w:instrText>
      </w:r>
      <w:r w:rsidRPr="00943256">
        <w:rPr>
          <w:lang w:val="en-GB"/>
        </w:rPr>
        <w:fldChar w:fldCharType="separate"/>
      </w:r>
      <w:r w:rsidRPr="00943256" w:rsidR="00943256">
        <w:rPr>
          <w:noProof/>
          <w:lang w:val="en-GB"/>
        </w:rPr>
        <w:t>70</w:t>
      </w:r>
      <w:r w:rsidRPr="00943256">
        <w:rPr>
          <w:lang w:val="en-GB"/>
        </w:rPr>
        <w:fldChar w:fldCharType="end"/>
      </w:r>
      <w:r w:rsidRPr="00943256" w:rsidR="0077175D">
        <w:rPr>
          <w:lang w:val="en-GB"/>
        </w:rPr>
        <w:t>.  The Court considers it appropriate that the default interest rate should be based on the marginal lending rate of the European Central Bank, to which should be added three percentage points.</w:t>
      </w:r>
    </w:p>
    <w:p w:rsidRPr="00943256" w:rsidR="00D420F3" w:rsidP="00943256" w:rsidRDefault="0077175D">
      <w:pPr>
        <w:pStyle w:val="ECHRTitle1"/>
        <w:rPr>
          <w:lang w:val="en-GB"/>
        </w:rPr>
      </w:pPr>
      <w:r w:rsidRPr="00943256">
        <w:rPr>
          <w:lang w:val="en-GB"/>
        </w:rPr>
        <w:t>FOR THESE REASONS, THE COURT</w:t>
      </w:r>
      <w:r w:rsidRPr="00943256" w:rsidR="00BE7D00">
        <w:rPr>
          <w:lang w:val="en-GB"/>
        </w:rPr>
        <w:t>, UNANIMOUSLY,</w:t>
      </w:r>
    </w:p>
    <w:p w:rsidRPr="00943256" w:rsidR="00B50646" w:rsidP="00943256" w:rsidRDefault="00B50646">
      <w:pPr>
        <w:pStyle w:val="JuList"/>
        <w:rPr>
          <w:lang w:val="en-GB"/>
        </w:rPr>
      </w:pPr>
      <w:r w:rsidRPr="00943256">
        <w:rPr>
          <w:lang w:val="en-GB"/>
        </w:rPr>
        <w:t>1.  </w:t>
      </w:r>
      <w:r w:rsidRPr="00943256">
        <w:rPr>
          <w:i/>
          <w:lang w:val="en-GB"/>
        </w:rPr>
        <w:t>Declares</w:t>
      </w:r>
      <w:r w:rsidRPr="00943256">
        <w:rPr>
          <w:lang w:val="en-GB"/>
        </w:rPr>
        <w:t xml:space="preserve"> the complaint under Article 1 of Protocol No. 1 admissible;</w:t>
      </w:r>
    </w:p>
    <w:p w:rsidRPr="00943256" w:rsidR="00B50646" w:rsidP="00943256" w:rsidRDefault="00B50646">
      <w:pPr>
        <w:pStyle w:val="JuList"/>
        <w:ind w:left="0" w:firstLine="0"/>
        <w:rPr>
          <w:lang w:val="en-GB"/>
        </w:rPr>
      </w:pPr>
    </w:p>
    <w:p w:rsidRPr="00943256" w:rsidR="00B50646" w:rsidP="00943256" w:rsidRDefault="00B50646">
      <w:pPr>
        <w:pStyle w:val="JuList"/>
        <w:rPr>
          <w:lang w:val="en-GB"/>
        </w:rPr>
      </w:pPr>
      <w:r w:rsidRPr="00943256">
        <w:rPr>
          <w:lang w:val="en-GB"/>
        </w:rPr>
        <w:t>2.  </w:t>
      </w:r>
      <w:r w:rsidRPr="00943256">
        <w:rPr>
          <w:i/>
          <w:lang w:val="en-GB"/>
        </w:rPr>
        <w:t>Holds</w:t>
      </w:r>
      <w:r w:rsidRPr="00943256">
        <w:rPr>
          <w:color w:val="000000"/>
          <w:lang w:val="en-GB"/>
        </w:rPr>
        <w:t xml:space="preserve"> </w:t>
      </w:r>
      <w:r w:rsidRPr="00943256">
        <w:rPr>
          <w:lang w:val="en-GB"/>
        </w:rPr>
        <w:t>that there has been a violation of Article 1 of Protocol No. 1 to the Convention;</w:t>
      </w:r>
    </w:p>
    <w:p w:rsidRPr="00943256" w:rsidR="00B50646" w:rsidP="00943256" w:rsidRDefault="00B50646">
      <w:pPr>
        <w:pStyle w:val="JuList"/>
        <w:rPr>
          <w:lang w:val="en-GB"/>
        </w:rPr>
      </w:pPr>
    </w:p>
    <w:p w:rsidRPr="00943256" w:rsidR="00B50646" w:rsidP="00943256" w:rsidRDefault="00B50646">
      <w:pPr>
        <w:pStyle w:val="JuList"/>
        <w:rPr>
          <w:lang w:val="en-GB"/>
        </w:rPr>
      </w:pPr>
      <w:r w:rsidRPr="00943256">
        <w:rPr>
          <w:lang w:val="en-GB"/>
        </w:rPr>
        <w:t>3.  </w:t>
      </w:r>
      <w:r w:rsidRPr="00943256">
        <w:rPr>
          <w:i/>
          <w:lang w:val="en-GB"/>
        </w:rPr>
        <w:t>Holds</w:t>
      </w:r>
      <w:r w:rsidRPr="00943256">
        <w:rPr>
          <w:color w:val="000000"/>
          <w:lang w:val="en-GB"/>
        </w:rPr>
        <w:t xml:space="preserve"> </w:t>
      </w:r>
      <w:r w:rsidRPr="00943256">
        <w:rPr>
          <w:lang w:val="en-GB"/>
        </w:rPr>
        <w:t>that there is no need to rule separately on the complaint under Article 6 of the Convention</w:t>
      </w:r>
      <w:r w:rsidRPr="00943256">
        <w:t>, and declares inadmissible the remainder of the application;</w:t>
      </w:r>
    </w:p>
    <w:p w:rsidRPr="00943256" w:rsidR="00B50646" w:rsidP="00943256" w:rsidRDefault="00B50646">
      <w:pPr>
        <w:pStyle w:val="JuList"/>
        <w:rPr>
          <w:lang w:val="en-GB"/>
        </w:rPr>
      </w:pPr>
    </w:p>
    <w:p w:rsidRPr="00943256" w:rsidR="00B50646" w:rsidP="00943256" w:rsidRDefault="00B50646">
      <w:pPr>
        <w:pStyle w:val="JuList"/>
        <w:rPr>
          <w:lang w:val="en-GB"/>
        </w:rPr>
      </w:pPr>
      <w:r w:rsidRPr="00943256">
        <w:rPr>
          <w:lang w:val="en-GB"/>
        </w:rPr>
        <w:t>4.  </w:t>
      </w:r>
      <w:r w:rsidRPr="00943256">
        <w:rPr>
          <w:i/>
          <w:lang w:val="en-GB"/>
        </w:rPr>
        <w:t>Holds</w:t>
      </w:r>
    </w:p>
    <w:p w:rsidRPr="00943256" w:rsidR="00B50646" w:rsidP="00943256" w:rsidRDefault="00B50646">
      <w:pPr>
        <w:pStyle w:val="JuLista"/>
        <w:rPr>
          <w:lang w:val="en-GB"/>
        </w:rPr>
      </w:pPr>
      <w:r w:rsidRPr="00943256">
        <w:rPr>
          <w:lang w:val="en-GB"/>
        </w:rPr>
        <w:t xml:space="preserve">(a)  that the respondent State is to pay the applicants, within three months, EUR </w:t>
      </w:r>
      <w:r w:rsidRPr="00943256" w:rsidR="00575754">
        <w:rPr>
          <w:lang w:val="en-GB"/>
        </w:rPr>
        <w:t>10</w:t>
      </w:r>
      <w:r w:rsidRPr="00943256">
        <w:rPr>
          <w:lang w:val="en-GB"/>
        </w:rPr>
        <w:t>,</w:t>
      </w:r>
      <w:r w:rsidRPr="00943256" w:rsidR="00575754">
        <w:rPr>
          <w:lang w:val="en-GB"/>
        </w:rPr>
        <w:t>4</w:t>
      </w:r>
      <w:r w:rsidRPr="00943256">
        <w:rPr>
          <w:lang w:val="en-GB"/>
        </w:rPr>
        <w:t>00 (</w:t>
      </w:r>
      <w:r w:rsidRPr="00943256" w:rsidR="00575754">
        <w:rPr>
          <w:lang w:val="en-GB"/>
        </w:rPr>
        <w:t xml:space="preserve">ten </w:t>
      </w:r>
      <w:r w:rsidRPr="00943256">
        <w:rPr>
          <w:lang w:val="en-GB"/>
        </w:rPr>
        <w:t xml:space="preserve">thousand </w:t>
      </w:r>
      <w:r w:rsidRPr="00943256" w:rsidR="00575754">
        <w:rPr>
          <w:lang w:val="en-GB"/>
        </w:rPr>
        <w:t xml:space="preserve">four hundred </w:t>
      </w:r>
      <w:r w:rsidRPr="00943256">
        <w:rPr>
          <w:lang w:val="en-GB"/>
        </w:rPr>
        <w:t xml:space="preserve">euros), to be converted into </w:t>
      </w:r>
      <w:r w:rsidRPr="00943256">
        <w:rPr>
          <w:color w:val="000000"/>
          <w:lang w:val="en-GB"/>
        </w:rPr>
        <w:t>the currency of the respondent State</w:t>
      </w:r>
      <w:r w:rsidRPr="00943256">
        <w:rPr>
          <w:lang w:val="en-GB"/>
        </w:rPr>
        <w:t xml:space="preserve"> at the rate applicable at the date of settlement, plus any tax that may be chargeable, in respect of pecuniary and non-pecuniary damage;</w:t>
      </w:r>
    </w:p>
    <w:p w:rsidRPr="00943256" w:rsidR="00B50646" w:rsidP="00943256" w:rsidRDefault="00B50646">
      <w:pPr>
        <w:pStyle w:val="JuLista"/>
        <w:rPr>
          <w:lang w:val="en-GB"/>
        </w:rPr>
      </w:pPr>
      <w:r w:rsidRPr="00943256">
        <w:rPr>
          <w:lang w:val="en-GB"/>
        </w:rPr>
        <w:t>(b)  that from the expiry of the above-mentioned three months until settlement simple interest shall be payable on the above amount at a rate equal to the marginal lending rate of the European Central Bank during the default period</w:t>
      </w:r>
      <w:r w:rsidRPr="00943256" w:rsidR="00435CD3">
        <w:rPr>
          <w:lang w:val="en-GB"/>
        </w:rPr>
        <w:t>,</w:t>
      </w:r>
      <w:r w:rsidRPr="00943256">
        <w:rPr>
          <w:lang w:val="en-GB"/>
        </w:rPr>
        <w:t xml:space="preserve"> plus three percentage points;</w:t>
      </w:r>
    </w:p>
    <w:p w:rsidRPr="00943256" w:rsidR="00B50646" w:rsidP="00943256" w:rsidRDefault="00B50646">
      <w:pPr>
        <w:pStyle w:val="JuList"/>
        <w:rPr>
          <w:lang w:val="en-GB"/>
        </w:rPr>
      </w:pPr>
    </w:p>
    <w:p w:rsidRPr="00943256" w:rsidR="00D420F3" w:rsidP="00943256" w:rsidRDefault="00B50646">
      <w:pPr>
        <w:pStyle w:val="JuList"/>
        <w:rPr>
          <w:lang w:val="en-GB"/>
        </w:rPr>
      </w:pPr>
      <w:r w:rsidRPr="00943256">
        <w:rPr>
          <w:lang w:val="en-GB"/>
        </w:rPr>
        <w:t>5.  </w:t>
      </w:r>
      <w:r w:rsidRPr="00943256">
        <w:rPr>
          <w:i/>
          <w:lang w:val="en-GB"/>
        </w:rPr>
        <w:t>Dismisses</w:t>
      </w:r>
      <w:r w:rsidRPr="00943256">
        <w:rPr>
          <w:color w:val="000000"/>
          <w:lang w:val="en-GB"/>
        </w:rPr>
        <w:t xml:space="preserve"> </w:t>
      </w:r>
      <w:r w:rsidRPr="00943256">
        <w:rPr>
          <w:lang w:val="en-GB"/>
        </w:rPr>
        <w:t>the remainder of the applicants</w:t>
      </w:r>
      <w:r w:rsidRPr="00943256" w:rsidR="00943256">
        <w:rPr>
          <w:lang w:val="en-GB"/>
        </w:rPr>
        <w:t>’</w:t>
      </w:r>
      <w:r w:rsidRPr="00943256">
        <w:rPr>
          <w:lang w:val="en-GB"/>
        </w:rPr>
        <w:t xml:space="preserve"> claim for just satisfaction.</w:t>
      </w:r>
    </w:p>
    <w:p w:rsidRPr="00943256" w:rsidR="00D420F3" w:rsidP="00943256" w:rsidRDefault="0077175D">
      <w:pPr>
        <w:pStyle w:val="JuParaLast"/>
        <w:rPr>
          <w:lang w:val="en-GB"/>
        </w:rPr>
      </w:pPr>
      <w:r w:rsidRPr="00943256">
        <w:rPr>
          <w:lang w:val="en-GB"/>
        </w:rPr>
        <w:t xml:space="preserve">Done in English, and notified in writing on </w:t>
      </w:r>
      <w:r w:rsidRPr="00943256" w:rsidR="006532F5">
        <w:rPr>
          <w:lang w:val="en-GB"/>
        </w:rPr>
        <w:t>14 February 2019</w:t>
      </w:r>
      <w:r w:rsidRPr="00943256">
        <w:rPr>
          <w:lang w:val="en-GB"/>
        </w:rPr>
        <w:t>, pursuant to Rule 77 §§ 2 and 3 of the Rules of Court.</w:t>
      </w:r>
    </w:p>
    <w:p w:rsidRPr="00943256" w:rsidR="00D420F3" w:rsidP="00943256" w:rsidRDefault="0077175D">
      <w:pPr>
        <w:pStyle w:val="JuSigned"/>
        <w:rPr>
          <w:lang w:val="sv-FI"/>
        </w:rPr>
      </w:pPr>
      <w:r w:rsidRPr="00943256">
        <w:rPr>
          <w:lang w:val="en-GB"/>
        </w:rPr>
        <w:tab/>
      </w:r>
      <w:r w:rsidRPr="00943256" w:rsidR="00BE7D00">
        <w:rPr>
          <w:lang w:val="sv-FI"/>
        </w:rPr>
        <w:t>Renata Degener</w:t>
      </w:r>
      <w:r w:rsidRPr="00943256">
        <w:rPr>
          <w:lang w:val="sv-FI"/>
        </w:rPr>
        <w:tab/>
      </w:r>
      <w:r w:rsidRPr="00943256" w:rsidR="006532F5">
        <w:rPr>
          <w:lang w:val="sv-FI"/>
        </w:rPr>
        <w:t>Ksenija Turković</w:t>
      </w:r>
      <w:r w:rsidRPr="00943256">
        <w:rPr>
          <w:szCs w:val="24"/>
          <w:lang w:val="sv-FI"/>
        </w:rPr>
        <w:br/>
      </w:r>
      <w:r w:rsidRPr="00943256">
        <w:rPr>
          <w:lang w:val="sv-FI"/>
        </w:rPr>
        <w:tab/>
      </w:r>
      <w:r w:rsidRPr="00943256" w:rsidR="00BE7D00">
        <w:rPr>
          <w:lang w:val="sv-FI"/>
        </w:rPr>
        <w:t xml:space="preserve">Deputy </w:t>
      </w:r>
      <w:r w:rsidRPr="00943256" w:rsidR="00BE7D00">
        <w:rPr>
          <w:iCs/>
          <w:lang w:val="sv-FI"/>
        </w:rPr>
        <w:t>Registrar</w:t>
      </w:r>
      <w:r w:rsidRPr="00943256">
        <w:rPr>
          <w:lang w:val="sv-FI"/>
        </w:rPr>
        <w:tab/>
        <w:t>President</w:t>
      </w:r>
    </w:p>
    <w:sectPr w:rsidRPr="00943256" w:rsidR="00D420F3" w:rsidSect="006532F5">
      <w:headerReference w:type="even" r:id="rId19"/>
      <w:headerReference w:type="default" r:id="rId20"/>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11B" w:rsidRPr="009C0C45" w:rsidRDefault="003B511B">
      <w:pPr>
        <w:rPr>
          <w:lang w:val="en-GB"/>
        </w:rPr>
      </w:pPr>
      <w:r w:rsidRPr="009C0C45">
        <w:rPr>
          <w:lang w:val="en-GB"/>
        </w:rPr>
        <w:separator/>
      </w:r>
    </w:p>
  </w:endnote>
  <w:endnote w:type="continuationSeparator" w:id="0">
    <w:p w:rsidR="003B511B" w:rsidRPr="009C0C45" w:rsidRDefault="003B511B">
      <w:pPr>
        <w:rPr>
          <w:lang w:val="en-GB"/>
        </w:rPr>
      </w:pPr>
      <w:r w:rsidRPr="009C0C45">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2F5" w:rsidRPr="00150BFA" w:rsidRDefault="006532F5" w:rsidP="0020718E">
    <w:pPr>
      <w:jc w:val="center"/>
    </w:pPr>
    <w:r>
      <w:rPr>
        <w:noProof/>
        <w:lang w:eastAsia="ja-JP"/>
      </w:rPr>
      <w:drawing>
        <wp:inline distT="0" distB="0" distL="0" distR="0" wp14:anchorId="4D54B98F" wp14:editId="465F826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532F5" w:rsidRDefault="006532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11B" w:rsidRPr="009C0C45" w:rsidRDefault="003B511B" w:rsidP="00D420F3">
      <w:pPr>
        <w:rPr>
          <w:lang w:val="en-GB"/>
        </w:rPr>
      </w:pPr>
      <w:r w:rsidRPr="009C0C45">
        <w:rPr>
          <w:lang w:val="en-GB"/>
        </w:rPr>
        <w:separator/>
      </w:r>
    </w:p>
  </w:footnote>
  <w:footnote w:type="continuationSeparator" w:id="0">
    <w:p w:rsidR="003B511B" w:rsidRPr="009C0C45" w:rsidRDefault="003B511B" w:rsidP="00D420F3">
      <w:pPr>
        <w:rPr>
          <w:lang w:val="en-GB"/>
        </w:rPr>
      </w:pPr>
      <w:r w:rsidRPr="009C0C45">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11B" w:rsidRPr="006532F5" w:rsidRDefault="003B511B" w:rsidP="006532F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2F5" w:rsidRPr="00A45145" w:rsidRDefault="006532F5" w:rsidP="00A45145">
    <w:pPr>
      <w:jc w:val="center"/>
    </w:pPr>
    <w:r>
      <w:rPr>
        <w:noProof/>
        <w:lang w:eastAsia="ja-JP"/>
      </w:rPr>
      <w:drawing>
        <wp:inline distT="0" distB="0" distL="0" distR="0" wp14:anchorId="20FD8AF2" wp14:editId="39C81ED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B511B" w:rsidRDefault="003B51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2F5" w:rsidRPr="009C0C45" w:rsidRDefault="006532F5" w:rsidP="00D420F3">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943256">
      <w:rPr>
        <w:rStyle w:val="PageNumber"/>
        <w:noProof/>
        <w:szCs w:val="18"/>
        <w:lang w:val="en-GB"/>
      </w:rPr>
      <w:t>14</w:t>
    </w:r>
    <w:r>
      <w:rPr>
        <w:rStyle w:val="PageNumber"/>
        <w:szCs w:val="18"/>
        <w:lang w:val="en-GB"/>
      </w:rPr>
      <w:fldChar w:fldCharType="end"/>
    </w:r>
    <w:r w:rsidRPr="009C0C45">
      <w:rPr>
        <w:lang w:val="en-GB"/>
      </w:rPr>
      <w:tab/>
    </w:r>
    <w:r>
      <w:rPr>
        <w:lang w:val="en-GB"/>
      </w:rPr>
      <w:t>RAMAZYAN v. ARMENIA</w:t>
    </w:r>
    <w:r w:rsidRPr="009C0C45">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2F5" w:rsidRPr="009C0C45" w:rsidRDefault="006532F5" w:rsidP="00D420F3">
    <w:pPr>
      <w:pStyle w:val="ECHRHeader"/>
      <w:rPr>
        <w:lang w:val="en-GB"/>
      </w:rPr>
    </w:pPr>
    <w:r w:rsidRPr="009C0C45">
      <w:rPr>
        <w:lang w:val="en-GB"/>
      </w:rPr>
      <w:tab/>
    </w:r>
    <w:r>
      <w:rPr>
        <w:lang w:val="en-GB"/>
      </w:rPr>
      <w:t>RAMAZYAN v. ARMENIA</w:t>
    </w:r>
    <w:r w:rsidRPr="009C0C45">
      <w:rPr>
        <w:lang w:val="en-GB"/>
      </w:rPr>
      <w:t xml:space="preserve"> </w:t>
    </w:r>
    <w:r>
      <w:rPr>
        <w:lang w:val="en-GB"/>
      </w:rPr>
      <w:t>JUDGMENT</w:t>
    </w:r>
    <w:r w:rsidRPr="009C0C45">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943256">
      <w:rPr>
        <w:rStyle w:val="PageNumber"/>
        <w:noProof/>
        <w:szCs w:val="18"/>
        <w:lang w:val="en-GB"/>
      </w:rPr>
      <w:t>13</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BE7D00"/>
    <w:rsid w:val="0001750F"/>
    <w:rsid w:val="00070E61"/>
    <w:rsid w:val="00097071"/>
    <w:rsid w:val="000F260D"/>
    <w:rsid w:val="000F34CC"/>
    <w:rsid w:val="001F38F5"/>
    <w:rsid w:val="002842EC"/>
    <w:rsid w:val="002E7C01"/>
    <w:rsid w:val="003716F0"/>
    <w:rsid w:val="003721AB"/>
    <w:rsid w:val="00376F2D"/>
    <w:rsid w:val="003B511B"/>
    <w:rsid w:val="00403E58"/>
    <w:rsid w:val="00435CD3"/>
    <w:rsid w:val="0049155A"/>
    <w:rsid w:val="00532C53"/>
    <w:rsid w:val="00556192"/>
    <w:rsid w:val="0055773A"/>
    <w:rsid w:val="00575754"/>
    <w:rsid w:val="00576FC5"/>
    <w:rsid w:val="00630F58"/>
    <w:rsid w:val="006532F5"/>
    <w:rsid w:val="006E0C34"/>
    <w:rsid w:val="00704D3E"/>
    <w:rsid w:val="0077175D"/>
    <w:rsid w:val="007C6817"/>
    <w:rsid w:val="007D4E0D"/>
    <w:rsid w:val="008079BF"/>
    <w:rsid w:val="0089602B"/>
    <w:rsid w:val="00943256"/>
    <w:rsid w:val="009A7479"/>
    <w:rsid w:val="009B020F"/>
    <w:rsid w:val="009C0C45"/>
    <w:rsid w:val="00A062F4"/>
    <w:rsid w:val="00A12090"/>
    <w:rsid w:val="00A920CF"/>
    <w:rsid w:val="00B22F3C"/>
    <w:rsid w:val="00B50646"/>
    <w:rsid w:val="00BC0AFD"/>
    <w:rsid w:val="00BE185F"/>
    <w:rsid w:val="00BE41F6"/>
    <w:rsid w:val="00BE7D00"/>
    <w:rsid w:val="00C013DD"/>
    <w:rsid w:val="00C16B04"/>
    <w:rsid w:val="00CB20C3"/>
    <w:rsid w:val="00CC3DE3"/>
    <w:rsid w:val="00D0082A"/>
    <w:rsid w:val="00D420F3"/>
    <w:rsid w:val="00DB5C47"/>
    <w:rsid w:val="00E03399"/>
    <w:rsid w:val="00E87134"/>
    <w:rsid w:val="00F11D8F"/>
    <w:rsid w:val="00F62D54"/>
    <w:rsid w:val="00FA4F8F"/>
    <w:rsid w:val="00FE44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6409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6409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46409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6409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464097"/>
    <w:rPr>
      <w:i/>
      <w:iCs/>
      <w:smallCaps/>
      <w:spacing w:val="5"/>
    </w:rPr>
  </w:style>
  <w:style w:type="paragraph" w:customStyle="1" w:styleId="ECHRHeader">
    <w:name w:val="ECHR_Header"/>
    <w:aliases w:val="Ju_Header"/>
    <w:basedOn w:val="Header"/>
    <w:uiPriority w:val="4"/>
    <w:qFormat/>
    <w:rsid w:val="0046409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464097"/>
    <w:rPr>
      <w:b/>
      <w:bCs/>
    </w:rPr>
  </w:style>
  <w:style w:type="paragraph" w:styleId="NoSpacing">
    <w:name w:val="No Spacing"/>
    <w:basedOn w:val="Normal"/>
    <w:link w:val="NoSpacingChar"/>
    <w:semiHidden/>
    <w:qFormat/>
    <w:rsid w:val="00464097"/>
    <w:rPr>
      <w:sz w:val="22"/>
    </w:rPr>
  </w:style>
  <w:style w:type="character" w:customStyle="1" w:styleId="NoSpacingChar">
    <w:name w:val="No Spacing Char"/>
    <w:basedOn w:val="DefaultParagraphFont"/>
    <w:link w:val="NoSpacing"/>
    <w:semiHidden/>
    <w:rsid w:val="00464097"/>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464097"/>
    <w:pPr>
      <w:numPr>
        <w:numId w:val="16"/>
      </w:numPr>
      <w:jc w:val="left"/>
    </w:pPr>
    <w:rPr>
      <w:b/>
    </w:rPr>
  </w:style>
  <w:style w:type="paragraph" w:customStyle="1" w:styleId="OpiPara">
    <w:name w:val="Opi_Para"/>
    <w:basedOn w:val="ECHRPara"/>
    <w:uiPriority w:val="46"/>
    <w:qFormat/>
    <w:rsid w:val="00464097"/>
  </w:style>
  <w:style w:type="paragraph" w:customStyle="1" w:styleId="JuParaSub">
    <w:name w:val="Ju_Para_Sub"/>
    <w:basedOn w:val="ECHRPara"/>
    <w:uiPriority w:val="13"/>
    <w:qFormat/>
    <w:rsid w:val="00464097"/>
    <w:pPr>
      <w:ind w:left="284"/>
    </w:pPr>
  </w:style>
  <w:style w:type="paragraph" w:customStyle="1" w:styleId="ECHRTitleCentre3">
    <w:name w:val="ECHR_Title_Centre_3"/>
    <w:aliases w:val="Ju_H_Article"/>
    <w:basedOn w:val="Normal"/>
    <w:next w:val="ECHRParaQuote"/>
    <w:uiPriority w:val="27"/>
    <w:qFormat/>
    <w:rsid w:val="0046409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64097"/>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464097"/>
  </w:style>
  <w:style w:type="paragraph" w:customStyle="1" w:styleId="OpiQuot">
    <w:name w:val="Opi_Quot"/>
    <w:basedOn w:val="ECHRParaQuote"/>
    <w:uiPriority w:val="48"/>
    <w:qFormat/>
    <w:rsid w:val="00464097"/>
  </w:style>
  <w:style w:type="paragraph" w:customStyle="1" w:styleId="OpiQuotSub">
    <w:name w:val="Opi_Quot_Sub"/>
    <w:basedOn w:val="JuQuotSub"/>
    <w:uiPriority w:val="49"/>
    <w:qFormat/>
    <w:rsid w:val="00464097"/>
  </w:style>
  <w:style w:type="paragraph" w:customStyle="1" w:styleId="ECHRTitleCentre2">
    <w:name w:val="ECHR_Title_Centre_2"/>
    <w:aliases w:val="Dec_H_Case"/>
    <w:basedOn w:val="Normal"/>
    <w:next w:val="ECHRPara"/>
    <w:uiPriority w:val="8"/>
    <w:qFormat/>
    <w:rsid w:val="00464097"/>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464097"/>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46409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6409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6409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6409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64097"/>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EB689F"/>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464097"/>
    <w:pPr>
      <w:keepNext/>
      <w:keepLines/>
      <w:spacing w:before="240" w:after="120"/>
      <w:ind w:left="1236"/>
    </w:pPr>
    <w:rPr>
      <w:sz w:val="20"/>
    </w:rPr>
  </w:style>
  <w:style w:type="paragraph" w:customStyle="1" w:styleId="JuQuotSub">
    <w:name w:val="Ju_Quot_Sub"/>
    <w:basedOn w:val="ECHRParaQuote"/>
    <w:uiPriority w:val="15"/>
    <w:qFormat/>
    <w:rsid w:val="00464097"/>
    <w:pPr>
      <w:ind w:left="567"/>
    </w:pPr>
  </w:style>
  <w:style w:type="paragraph" w:customStyle="1" w:styleId="JuInitialled">
    <w:name w:val="Ju_Initialled"/>
    <w:basedOn w:val="Normal"/>
    <w:uiPriority w:val="31"/>
    <w:qFormat/>
    <w:rsid w:val="00464097"/>
    <w:pPr>
      <w:tabs>
        <w:tab w:val="center" w:pos="6407"/>
      </w:tabs>
      <w:spacing w:before="720"/>
      <w:jc w:val="right"/>
    </w:pPr>
  </w:style>
  <w:style w:type="paragraph" w:customStyle="1" w:styleId="OpiHA">
    <w:name w:val="Opi_H_A"/>
    <w:basedOn w:val="ECHRHeading1"/>
    <w:next w:val="OpiPara"/>
    <w:uiPriority w:val="41"/>
    <w:qFormat/>
    <w:rsid w:val="00464097"/>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46409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6409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464097"/>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464097"/>
    <w:rPr>
      <w:rFonts w:asciiTheme="majorHAnsi" w:eastAsiaTheme="majorEastAsia" w:hAnsiTheme="majorHAnsi" w:cstheme="majorBidi"/>
      <w:b/>
      <w:bCs/>
      <w:color w:val="808080"/>
    </w:rPr>
  </w:style>
  <w:style w:type="character" w:styleId="SubtleEmphasis">
    <w:name w:val="Subtle Emphasis"/>
    <w:uiPriority w:val="99"/>
    <w:semiHidden/>
    <w:qFormat/>
    <w:rsid w:val="0046409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64097"/>
    <w:pPr>
      <w:keepNext/>
      <w:keepLines/>
      <w:spacing w:before="720" w:after="240"/>
      <w:outlineLvl w:val="0"/>
    </w:pPr>
    <w:rPr>
      <w:rFonts w:asciiTheme="majorHAnsi" w:hAnsiTheme="majorHAnsi"/>
      <w:sz w:val="28"/>
    </w:rPr>
  </w:style>
  <w:style w:type="character" w:styleId="Emphasis">
    <w:name w:val="Emphasis"/>
    <w:uiPriority w:val="99"/>
    <w:semiHidden/>
    <w:qFormat/>
    <w:rsid w:val="00464097"/>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46409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6409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6409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464097"/>
    <w:rPr>
      <w:b/>
      <w:bCs/>
    </w:rPr>
  </w:style>
  <w:style w:type="paragraph" w:styleId="IntenseQuote">
    <w:name w:val="Intense Quote"/>
    <w:basedOn w:val="Normal"/>
    <w:next w:val="Normal"/>
    <w:link w:val="IntenseQuoteChar"/>
    <w:uiPriority w:val="99"/>
    <w:semiHidden/>
    <w:qFormat/>
    <w:rsid w:val="0046409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464097"/>
    <w:rPr>
      <w:rFonts w:eastAsiaTheme="minorEastAsia"/>
      <w:b/>
      <w:bCs/>
      <w:i/>
      <w:iCs/>
      <w:lang w:bidi="en-US"/>
    </w:rPr>
  </w:style>
  <w:style w:type="character" w:styleId="IntenseReference">
    <w:name w:val="Intense Reference"/>
    <w:uiPriority w:val="99"/>
    <w:semiHidden/>
    <w:qFormat/>
    <w:rsid w:val="00464097"/>
    <w:rPr>
      <w:smallCaps/>
      <w:spacing w:val="5"/>
      <w:u w:val="single"/>
    </w:rPr>
  </w:style>
  <w:style w:type="paragraph" w:styleId="ListParagraph">
    <w:name w:val="List Paragraph"/>
    <w:basedOn w:val="Normal"/>
    <w:uiPriority w:val="99"/>
    <w:semiHidden/>
    <w:qFormat/>
    <w:rsid w:val="0046409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64097"/>
    <w:pPr>
      <w:spacing w:before="200"/>
      <w:ind w:left="360" w:right="360"/>
    </w:pPr>
    <w:rPr>
      <w:i/>
      <w:iCs/>
      <w:sz w:val="22"/>
      <w:lang w:bidi="en-US"/>
    </w:rPr>
  </w:style>
  <w:style w:type="character" w:customStyle="1" w:styleId="QuoteChar">
    <w:name w:val="Quote Char"/>
    <w:basedOn w:val="DefaultParagraphFont"/>
    <w:link w:val="Quote"/>
    <w:uiPriority w:val="99"/>
    <w:semiHidden/>
    <w:rsid w:val="00464097"/>
    <w:rPr>
      <w:rFonts w:eastAsiaTheme="minorEastAsia"/>
      <w:i/>
      <w:iCs/>
      <w:lang w:bidi="en-US"/>
    </w:rPr>
  </w:style>
  <w:style w:type="character" w:styleId="SubtleReference">
    <w:name w:val="Subtle Reference"/>
    <w:uiPriority w:val="99"/>
    <w:semiHidden/>
    <w:qFormat/>
    <w:rsid w:val="00464097"/>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6409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qFormat/>
    <w:rsid w:val="00464097"/>
    <w:pPr>
      <w:spacing w:before="120" w:after="120"/>
      <w:ind w:left="425" w:firstLine="142"/>
    </w:pPr>
    <w:rPr>
      <w:sz w:val="20"/>
    </w:rPr>
  </w:style>
  <w:style w:type="paragraph" w:customStyle="1" w:styleId="ECHRPara">
    <w:name w:val="ECHR_Para"/>
    <w:aliases w:val="Ju_Para,Left,First line:  0 cm,Para"/>
    <w:basedOn w:val="Normal"/>
    <w:link w:val="JuParaChar"/>
    <w:uiPriority w:val="12"/>
    <w:qFormat/>
    <w:rsid w:val="00464097"/>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64097"/>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64097"/>
    <w:pPr>
      <w:ind w:left="340" w:hanging="340"/>
    </w:pPr>
  </w:style>
  <w:style w:type="paragraph" w:customStyle="1" w:styleId="JuSigned">
    <w:name w:val="Ju_Signed"/>
    <w:basedOn w:val="Normal"/>
    <w:next w:val="JuParaLast"/>
    <w:uiPriority w:val="32"/>
    <w:qFormat/>
    <w:rsid w:val="00464097"/>
    <w:pPr>
      <w:tabs>
        <w:tab w:val="center" w:pos="851"/>
        <w:tab w:val="center" w:pos="6407"/>
      </w:tabs>
      <w:spacing w:before="720"/>
      <w:jc w:val="left"/>
    </w:pPr>
  </w:style>
  <w:style w:type="paragraph" w:customStyle="1" w:styleId="JuParaLast">
    <w:name w:val="Ju_Para_Last"/>
    <w:basedOn w:val="Normal"/>
    <w:next w:val="ECHRPara"/>
    <w:uiPriority w:val="30"/>
    <w:qFormat/>
    <w:rsid w:val="00464097"/>
    <w:pPr>
      <w:keepNext/>
      <w:keepLines/>
      <w:spacing w:before="240"/>
      <w:ind w:firstLine="284"/>
    </w:pPr>
  </w:style>
  <w:style w:type="paragraph" w:customStyle="1" w:styleId="JuCourt">
    <w:name w:val="Ju_Court"/>
    <w:basedOn w:val="Normal"/>
    <w:next w:val="Normal"/>
    <w:uiPriority w:val="16"/>
    <w:qFormat/>
    <w:rsid w:val="00464097"/>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64097"/>
    <w:pPr>
      <w:ind w:left="346" w:firstLine="0"/>
    </w:pPr>
  </w:style>
  <w:style w:type="paragraph" w:customStyle="1" w:styleId="JuListi">
    <w:name w:val="Ju_List_i"/>
    <w:basedOn w:val="Normal"/>
    <w:next w:val="JuLista"/>
    <w:uiPriority w:val="28"/>
    <w:qFormat/>
    <w:rsid w:val="00464097"/>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6409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6409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6409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NoteHeading1">
    <w:name w:val="Note Heading1"/>
    <w:basedOn w:val="Normal"/>
    <w:next w:val="Normal"/>
    <w:link w:val="NoteHeadingChar"/>
    <w:uiPriority w:val="99"/>
    <w:semiHidden/>
    <w:rsid w:val="00014566"/>
  </w:style>
  <w:style w:type="character" w:customStyle="1" w:styleId="NoteHeadingChar">
    <w:name w:val="Note Heading Char"/>
    <w:basedOn w:val="DefaultParagraphFont"/>
    <w:link w:val="NoteHeading1"/>
    <w:uiPriority w:val="99"/>
    <w:semiHidden/>
    <w:rsid w:val="00014566"/>
    <w:rPr>
      <w:rFonts w:eastAsiaTheme="minorEastAsia"/>
      <w:sz w:val="24"/>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464097"/>
    <w:pPr>
      <w:jc w:val="center"/>
      <w:outlineLvl w:val="0"/>
    </w:pPr>
    <w:rPr>
      <w:i/>
    </w:rPr>
  </w:style>
  <w:style w:type="paragraph" w:customStyle="1" w:styleId="DecHTitle">
    <w:name w:val="Dec_H_Title"/>
    <w:basedOn w:val="ECHRTitleCentre1"/>
    <w:uiPriority w:val="7"/>
    <w:qFormat/>
    <w:rsid w:val="00464097"/>
  </w:style>
  <w:style w:type="paragraph" w:customStyle="1" w:styleId="DecList">
    <w:name w:val="Dec_List"/>
    <w:basedOn w:val="Normal"/>
    <w:uiPriority w:val="9"/>
    <w:qFormat/>
    <w:rsid w:val="00464097"/>
    <w:pPr>
      <w:spacing w:before="240"/>
      <w:ind w:left="284"/>
    </w:pPr>
  </w:style>
  <w:style w:type="paragraph" w:customStyle="1" w:styleId="OpiH1">
    <w:name w:val="Opi_H_1"/>
    <w:basedOn w:val="ECHRHeading2"/>
    <w:uiPriority w:val="42"/>
    <w:qFormat/>
    <w:rsid w:val="00464097"/>
    <w:pPr>
      <w:ind w:left="635" w:hanging="357"/>
      <w:outlineLvl w:val="2"/>
    </w:pPr>
  </w:style>
  <w:style w:type="paragraph" w:customStyle="1" w:styleId="OpiHa0">
    <w:name w:val="Opi_H_a"/>
    <w:basedOn w:val="ECHRHeading3"/>
    <w:uiPriority w:val="43"/>
    <w:qFormat/>
    <w:rsid w:val="00464097"/>
    <w:pPr>
      <w:ind w:left="833" w:hanging="357"/>
      <w:outlineLvl w:val="3"/>
    </w:pPr>
    <w:rPr>
      <w:b/>
      <w:i w:val="0"/>
      <w:sz w:val="20"/>
    </w:rPr>
  </w:style>
  <w:style w:type="paragraph" w:customStyle="1" w:styleId="OpiHi">
    <w:name w:val="Opi_H_i"/>
    <w:basedOn w:val="ECHRHeading4"/>
    <w:uiPriority w:val="44"/>
    <w:qFormat/>
    <w:rsid w:val="00464097"/>
    <w:pPr>
      <w:ind w:left="1037" w:hanging="357"/>
      <w:outlineLvl w:val="4"/>
    </w:pPr>
    <w:rPr>
      <w:b w:val="0"/>
      <w:i/>
    </w:rPr>
  </w:style>
  <w:style w:type="paragraph" w:customStyle="1" w:styleId="DummyStyle">
    <w:name w:val="Dummy_Style"/>
    <w:basedOn w:val="Normal"/>
    <w:semiHidden/>
    <w:qFormat/>
    <w:rsid w:val="00464097"/>
    <w:rPr>
      <w:color w:val="00B050"/>
    </w:rPr>
  </w:style>
  <w:style w:type="paragraph" w:customStyle="1" w:styleId="JuHeaderLandscape">
    <w:name w:val="Ju_Header_Landscape"/>
    <w:basedOn w:val="ECHRHeader"/>
    <w:uiPriority w:val="4"/>
    <w:qFormat/>
    <w:rsid w:val="00464097"/>
    <w:pPr>
      <w:tabs>
        <w:tab w:val="clear" w:pos="3686"/>
        <w:tab w:val="clear" w:pos="7371"/>
        <w:tab w:val="center" w:pos="6146"/>
        <w:tab w:val="right" w:pos="12293"/>
      </w:tabs>
    </w:pPr>
  </w:style>
  <w:style w:type="character" w:customStyle="1" w:styleId="JuParaChar">
    <w:name w:val="Ju_Para Char"/>
    <w:aliases w:val="ECHR_Para Char"/>
    <w:link w:val="ECHRPara"/>
    <w:uiPriority w:val="12"/>
    <w:rsid w:val="003B511B"/>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yperlink" Target="https://hudoc.echr.coe.int/en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yperlink" Target="https://hudoc.echr.coe.int/eng"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EC9A3A-3ECB-41AE-A749-1772D78B49A7}"/>
</file>

<file path=customXml/itemProps2.xml><?xml version="1.0" encoding="utf-8"?>
<ds:datastoreItem xmlns:ds="http://schemas.openxmlformats.org/officeDocument/2006/customXml" ds:itemID="{90CFD8F1-DE90-4341-8B0E-48DB7E1A36A8}"/>
</file>

<file path=customXml/itemProps3.xml><?xml version="1.0" encoding="utf-8"?>
<ds:datastoreItem xmlns:ds="http://schemas.openxmlformats.org/officeDocument/2006/customXml" ds:itemID="{A976B8BE-A35F-4ECA-80CB-D1556430928C}"/>
</file>

<file path=customXml/itemProps4.xml><?xml version="1.0" encoding="utf-8"?>
<ds:datastoreItem xmlns:ds="http://schemas.openxmlformats.org/officeDocument/2006/customXml" ds:itemID="{F0BF407E-7579-4ED3-9074-4EACFA29D6A8}"/>
</file>

<file path=docProps/app.xml><?xml version="1.0" encoding="utf-8"?>
<Properties xmlns="http://schemas.openxmlformats.org/officeDocument/2006/extended-properties" xmlns:vt="http://schemas.openxmlformats.org/officeDocument/2006/docPropsVTypes">
  <Template>Normal.dotm</Template>
  <TotalTime>0</TotalTime>
  <Pages>1</Pages>
  <Words>5107</Words>
  <Characters>29112</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2020-10-22T14:39:00Z</dcterms:created>
  <dcterms:modified xsi:type="dcterms:W3CDTF">2020-10-22T14:39:00Z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54769/10</vt:lpwstr>
  </property>
  <property fmtid="{D5CDD505-2E9C-101B-9397-08002B2CF9AE}" pid="4" name="CASEID">
    <vt:lpwstr>668757</vt:lpwstr>
  </property>
  <property fmtid="{D5CDD505-2E9C-101B-9397-08002B2CF9AE}" pid="5" name="ContentTypeId">
    <vt:lpwstr>0x010100558EB02BDB9E204AB350EDD385B68E10</vt:lpwstr>
  </property>
</Properties>
</file>