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F5659E" w:rsidR="00DE61E0" w:rsidP="00F5659E" w:rsidRDefault="00DE61E0">
      <w:pPr>
        <w:jc w:val="center"/>
      </w:pPr>
      <w:bookmarkStart w:name="_GoBack" w:id="0"/>
      <w:bookmarkEnd w:id="0"/>
    </w:p>
    <w:p w:rsidRPr="00F5659E" w:rsidR="00FB340E" w:rsidP="00F5659E" w:rsidRDefault="00FB340E">
      <w:pPr>
        <w:jc w:val="center"/>
      </w:pPr>
    </w:p>
    <w:p w:rsidRPr="00F5659E" w:rsidR="00FB340E" w:rsidP="00F5659E" w:rsidRDefault="00FB340E">
      <w:pPr>
        <w:jc w:val="center"/>
      </w:pPr>
    </w:p>
    <w:p w:rsidRPr="00F5659E" w:rsidR="00DE61E0" w:rsidP="00F5659E" w:rsidRDefault="001F30CB">
      <w:pPr>
        <w:jc w:val="center"/>
      </w:pPr>
      <w:r w:rsidRPr="00F5659E">
        <w:t>FIFTH SECTION</w:t>
      </w:r>
    </w:p>
    <w:p w:rsidRPr="00F5659E" w:rsidR="00DE61E0" w:rsidP="00F5659E" w:rsidRDefault="00DE61E0">
      <w:pPr>
        <w:jc w:val="center"/>
      </w:pPr>
    </w:p>
    <w:p w:rsidRPr="00F5659E" w:rsidR="00FB340E" w:rsidP="00F5659E" w:rsidRDefault="00FB340E">
      <w:pPr>
        <w:jc w:val="center"/>
      </w:pPr>
    </w:p>
    <w:p w:rsidRPr="00F5659E" w:rsidR="00FB340E" w:rsidP="00F5659E" w:rsidRDefault="00FB340E">
      <w:pPr>
        <w:jc w:val="center"/>
      </w:pPr>
    </w:p>
    <w:p w:rsidRPr="00F5659E" w:rsidR="00FB340E" w:rsidP="00F5659E" w:rsidRDefault="00FB340E">
      <w:pPr>
        <w:jc w:val="center"/>
      </w:pPr>
    </w:p>
    <w:p w:rsidRPr="00F5659E" w:rsidR="00FB340E" w:rsidP="00F5659E" w:rsidRDefault="00FB340E">
      <w:pPr>
        <w:jc w:val="center"/>
      </w:pPr>
    </w:p>
    <w:p w:rsidRPr="00F5659E" w:rsidR="00FB340E" w:rsidP="00F5659E" w:rsidRDefault="00FB340E">
      <w:pPr>
        <w:jc w:val="center"/>
      </w:pPr>
    </w:p>
    <w:p w:rsidRPr="00F5659E" w:rsidR="00DE61E0" w:rsidP="00F5659E" w:rsidRDefault="00DE61E0">
      <w:pPr>
        <w:jc w:val="center"/>
        <w:rPr>
          <w:b/>
        </w:rPr>
      </w:pPr>
      <w:bookmarkStart w:name="To" w:id="1"/>
      <w:r w:rsidRPr="00F5659E">
        <w:rPr>
          <w:b/>
        </w:rPr>
        <w:t xml:space="preserve">CASE OF </w:t>
      </w:r>
      <w:bookmarkEnd w:id="1"/>
      <w:r w:rsidRPr="00F5659E" w:rsidR="001F30CB">
        <w:rPr>
          <w:b/>
        </w:rPr>
        <w:t>O</w:t>
      </w:r>
      <w:r w:rsidRPr="00F5659E" w:rsidR="00F5659E">
        <w:rPr>
          <w:b/>
        </w:rPr>
        <w:t>’</w:t>
      </w:r>
      <w:r w:rsidRPr="00F5659E" w:rsidR="001F30CB">
        <w:rPr>
          <w:b/>
        </w:rPr>
        <w:t>LEARY v. IRELAND</w:t>
      </w:r>
    </w:p>
    <w:p w:rsidRPr="00F5659E" w:rsidR="00DE61E0" w:rsidP="00F5659E" w:rsidRDefault="00DE61E0">
      <w:pPr>
        <w:jc w:val="center"/>
      </w:pPr>
    </w:p>
    <w:p w:rsidRPr="00F5659E" w:rsidR="00DE61E0" w:rsidP="00F5659E" w:rsidRDefault="00DE61E0">
      <w:pPr>
        <w:jc w:val="center"/>
        <w:rPr>
          <w:i/>
        </w:rPr>
      </w:pPr>
      <w:r w:rsidRPr="00F5659E">
        <w:rPr>
          <w:i/>
        </w:rPr>
        <w:t>(</w:t>
      </w:r>
      <w:r w:rsidRPr="00F5659E" w:rsidR="001F30CB">
        <w:rPr>
          <w:i/>
        </w:rPr>
        <w:t>Application no. 45580/16</w:t>
      </w:r>
      <w:r w:rsidRPr="00F5659E">
        <w:rPr>
          <w:i/>
        </w:rPr>
        <w:t>)</w:t>
      </w:r>
    </w:p>
    <w:p w:rsidRPr="00F5659E" w:rsidR="00DE61E0" w:rsidP="00F5659E" w:rsidRDefault="00DE61E0">
      <w:pPr>
        <w:jc w:val="center"/>
      </w:pPr>
    </w:p>
    <w:p w:rsidRPr="00F5659E" w:rsidR="00DE61E0" w:rsidP="00F5659E" w:rsidRDefault="00DE61E0">
      <w:pPr>
        <w:jc w:val="center"/>
        <w:rPr>
          <w:szCs w:val="24"/>
        </w:rPr>
      </w:pPr>
    </w:p>
    <w:p w:rsidRPr="00F5659E" w:rsidR="00DE61E0" w:rsidP="00F5659E" w:rsidRDefault="00DE61E0">
      <w:pPr>
        <w:jc w:val="center"/>
        <w:rPr>
          <w:szCs w:val="24"/>
        </w:rPr>
      </w:pPr>
    </w:p>
    <w:p w:rsidRPr="00F5659E" w:rsidR="00DE61E0" w:rsidP="00F5659E" w:rsidRDefault="00DE61E0">
      <w:pPr>
        <w:jc w:val="center"/>
        <w:rPr>
          <w:szCs w:val="24"/>
        </w:rPr>
      </w:pPr>
    </w:p>
    <w:p w:rsidRPr="00F5659E" w:rsidR="00F5659E" w:rsidP="00F5659E" w:rsidRDefault="00F5659E">
      <w:pPr>
        <w:jc w:val="center"/>
        <w:rPr>
          <w:szCs w:val="24"/>
        </w:rPr>
      </w:pPr>
    </w:p>
    <w:p w:rsidRPr="00F5659E" w:rsidR="00F5659E" w:rsidP="00F5659E" w:rsidRDefault="00F5659E">
      <w:pPr>
        <w:jc w:val="center"/>
        <w:rPr>
          <w:szCs w:val="24"/>
        </w:rPr>
      </w:pPr>
    </w:p>
    <w:p w:rsidRPr="00F5659E" w:rsidR="00F5659E" w:rsidP="00F5659E" w:rsidRDefault="00F5659E">
      <w:pPr>
        <w:jc w:val="center"/>
        <w:rPr>
          <w:szCs w:val="24"/>
        </w:rPr>
      </w:pPr>
    </w:p>
    <w:p w:rsidRPr="00F5659E" w:rsidR="00F5659E" w:rsidP="00F5659E" w:rsidRDefault="00F5659E">
      <w:pPr>
        <w:jc w:val="center"/>
        <w:rPr>
          <w:szCs w:val="24"/>
        </w:rPr>
      </w:pPr>
    </w:p>
    <w:p w:rsidRPr="00F5659E" w:rsidR="00F5659E" w:rsidP="00F5659E" w:rsidRDefault="00F5659E">
      <w:pPr>
        <w:jc w:val="center"/>
        <w:rPr>
          <w:szCs w:val="24"/>
        </w:rPr>
      </w:pPr>
    </w:p>
    <w:p w:rsidRPr="00F5659E" w:rsidR="00F5659E" w:rsidP="00F5659E" w:rsidRDefault="00F5659E">
      <w:pPr>
        <w:jc w:val="center"/>
        <w:rPr>
          <w:szCs w:val="24"/>
        </w:rPr>
      </w:pPr>
    </w:p>
    <w:p w:rsidRPr="00F5659E" w:rsidR="00DE61E0" w:rsidP="00F5659E" w:rsidRDefault="00DE61E0">
      <w:pPr>
        <w:jc w:val="center"/>
        <w:rPr>
          <w:szCs w:val="24"/>
        </w:rPr>
      </w:pPr>
    </w:p>
    <w:p w:rsidRPr="00F5659E" w:rsidR="00DE61E0" w:rsidP="00F5659E" w:rsidRDefault="00DE61E0">
      <w:pPr>
        <w:jc w:val="center"/>
        <w:rPr>
          <w:szCs w:val="24"/>
        </w:rPr>
      </w:pPr>
    </w:p>
    <w:p w:rsidRPr="00F5659E" w:rsidR="00DE61E0" w:rsidP="00F5659E" w:rsidRDefault="00DE61E0">
      <w:pPr>
        <w:jc w:val="center"/>
        <w:rPr>
          <w:szCs w:val="24"/>
        </w:rPr>
      </w:pPr>
    </w:p>
    <w:p w:rsidRPr="00F5659E" w:rsidR="00DE61E0" w:rsidP="00F5659E" w:rsidRDefault="00FB340E">
      <w:pPr>
        <w:jc w:val="center"/>
        <w:rPr>
          <w:szCs w:val="24"/>
        </w:rPr>
      </w:pPr>
      <w:r w:rsidRPr="00F5659E">
        <w:rPr>
          <w:szCs w:val="24"/>
        </w:rPr>
        <w:t>JUDGMENT</w:t>
      </w:r>
    </w:p>
    <w:p w:rsidRPr="00F5659E" w:rsidR="00DE61E0" w:rsidP="00F5659E" w:rsidRDefault="00DE61E0">
      <w:pPr>
        <w:jc w:val="center"/>
      </w:pPr>
    </w:p>
    <w:p w:rsidRPr="00F5659E" w:rsidR="00FB340E" w:rsidP="00F5659E" w:rsidRDefault="00FB340E">
      <w:pPr>
        <w:jc w:val="center"/>
      </w:pPr>
    </w:p>
    <w:p w:rsidRPr="00F5659E" w:rsidR="00F5659E" w:rsidP="00F5659E" w:rsidRDefault="00F5659E">
      <w:pPr>
        <w:jc w:val="center"/>
      </w:pPr>
    </w:p>
    <w:p w:rsidRPr="00F5659E" w:rsidR="00FB340E" w:rsidP="00F5659E" w:rsidRDefault="00FB340E">
      <w:pPr>
        <w:jc w:val="center"/>
      </w:pPr>
    </w:p>
    <w:p w:rsidRPr="00F5659E" w:rsidR="00FB340E" w:rsidP="00F5659E" w:rsidRDefault="00FB340E">
      <w:pPr>
        <w:jc w:val="center"/>
      </w:pPr>
      <w:r w:rsidRPr="00F5659E">
        <w:t>STRASBOURG</w:t>
      </w:r>
    </w:p>
    <w:p w:rsidRPr="00F5659E" w:rsidR="00FB340E" w:rsidP="00F5659E" w:rsidRDefault="00FB340E">
      <w:pPr>
        <w:jc w:val="center"/>
      </w:pPr>
    </w:p>
    <w:p w:rsidRPr="00F5659E" w:rsidR="00FB340E" w:rsidP="00F5659E" w:rsidRDefault="00FB340E">
      <w:pPr>
        <w:jc w:val="center"/>
      </w:pPr>
      <w:r w:rsidRPr="00F5659E">
        <w:t>14 February 2019</w:t>
      </w:r>
    </w:p>
    <w:p w:rsidRPr="00F5659E" w:rsidR="00FB340E" w:rsidP="00F5659E" w:rsidRDefault="00FB340E">
      <w:pPr>
        <w:jc w:val="center"/>
      </w:pPr>
    </w:p>
    <w:p w:rsidRPr="00F5659E" w:rsidR="00900D00" w:rsidP="00F5659E" w:rsidRDefault="00900D00">
      <w:pPr>
        <w:jc w:val="center"/>
      </w:pPr>
    </w:p>
    <w:p w:rsidRPr="00F5659E" w:rsidR="00FB340E" w:rsidP="00F5659E" w:rsidRDefault="00FB340E">
      <w:pPr>
        <w:jc w:val="center"/>
      </w:pPr>
    </w:p>
    <w:p w:rsidRPr="00F5659E" w:rsidR="00484691" w:rsidP="00F5659E" w:rsidRDefault="00FB340E">
      <w:pPr>
        <w:jc w:val="left"/>
        <w:rPr>
          <w:i/>
          <w:sz w:val="22"/>
        </w:rPr>
      </w:pPr>
      <w:r w:rsidRPr="00F5659E">
        <w:rPr>
          <w:i/>
          <w:sz w:val="22"/>
        </w:rPr>
        <w:t>This judgment is final but it may be subject to editorial revision.</w:t>
      </w:r>
    </w:p>
    <w:p w:rsidRPr="00F5659E" w:rsidR="00FB340E" w:rsidP="00F5659E" w:rsidRDefault="00FB340E">
      <w:pPr>
        <w:pStyle w:val="JuCase"/>
        <w:sectPr w:rsidRPr="00F5659E" w:rsidR="00FB340E" w:rsidSect="00FB340E">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F5659E" w:rsidR="00DE61E0" w:rsidP="00F5659E" w:rsidRDefault="00DE61E0">
      <w:pPr>
        <w:pStyle w:val="JuCase"/>
        <w:rPr>
          <w:b w:val="0"/>
          <w:bCs/>
        </w:rPr>
      </w:pPr>
      <w:r w:rsidRPr="00F5659E">
        <w:t xml:space="preserve">In the case of </w:t>
      </w:r>
      <w:r w:rsidRPr="00F5659E" w:rsidR="001F30CB">
        <w:t>O</w:t>
      </w:r>
      <w:r w:rsidRPr="00F5659E" w:rsidR="00F5659E">
        <w:t>’</w:t>
      </w:r>
      <w:r w:rsidRPr="00F5659E" w:rsidR="001F30CB">
        <w:t>Leary v. Ireland</w:t>
      </w:r>
      <w:r w:rsidRPr="00F5659E">
        <w:t>,</w:t>
      </w:r>
    </w:p>
    <w:p w:rsidRPr="00F5659E" w:rsidR="00DE61E0" w:rsidP="00F5659E" w:rsidRDefault="00DE61E0">
      <w:pPr>
        <w:pStyle w:val="ECHRPara"/>
        <w:rPr>
          <w:b/>
        </w:rPr>
      </w:pPr>
      <w:r w:rsidRPr="00F5659E">
        <w:t>The European Court of Human Rights (</w:t>
      </w:r>
      <w:r w:rsidRPr="00F5659E" w:rsidR="001F30CB">
        <w:t>Fifth Section</w:t>
      </w:r>
      <w:r w:rsidRPr="00F5659E">
        <w:t xml:space="preserve">), sitting as a </w:t>
      </w:r>
      <w:r w:rsidRPr="00F5659E" w:rsidR="001F30CB">
        <w:t>Committee</w:t>
      </w:r>
      <w:r w:rsidRPr="00F5659E">
        <w:t xml:space="preserve"> composed of:</w:t>
      </w:r>
    </w:p>
    <w:p w:rsidRPr="00F5659E" w:rsidR="001A1FAB" w:rsidP="00F5659E" w:rsidRDefault="00FB340E">
      <w:pPr>
        <w:pStyle w:val="ECHRDecisionBody"/>
      </w:pPr>
      <w:r w:rsidRPr="00F5659E">
        <w:tab/>
        <w:t>Lәtif Hüseynov,</w:t>
      </w:r>
      <w:r w:rsidRPr="00F5659E">
        <w:rPr>
          <w:i/>
        </w:rPr>
        <w:t xml:space="preserve"> President,</w:t>
      </w:r>
      <w:r w:rsidRPr="00F5659E">
        <w:rPr>
          <w:i/>
        </w:rPr>
        <w:br/>
      </w:r>
      <w:r w:rsidRPr="00F5659E">
        <w:tab/>
        <w:t>Síofra O</w:t>
      </w:r>
      <w:r w:rsidRPr="00F5659E" w:rsidR="00F5659E">
        <w:t>’</w:t>
      </w:r>
      <w:r w:rsidRPr="00F5659E">
        <w:t>Leary,</w:t>
      </w:r>
      <w:r w:rsidRPr="00F5659E">
        <w:rPr>
          <w:i/>
        </w:rPr>
        <w:br/>
      </w:r>
      <w:r w:rsidRPr="00F5659E">
        <w:tab/>
        <w:t>Lado Chanturia,</w:t>
      </w:r>
      <w:r w:rsidRPr="00F5659E">
        <w:rPr>
          <w:i/>
        </w:rPr>
        <w:t xml:space="preserve"> judges,</w:t>
      </w:r>
    </w:p>
    <w:p w:rsidRPr="00F5659E" w:rsidR="00DE61E0" w:rsidP="00F5659E" w:rsidRDefault="00DE61E0">
      <w:pPr>
        <w:pStyle w:val="ECHRDecisionBody"/>
      </w:pPr>
      <w:r w:rsidRPr="00F5659E">
        <w:t xml:space="preserve">and </w:t>
      </w:r>
      <w:r w:rsidRPr="00F5659E" w:rsidR="001F30CB">
        <w:t>Milan Blaško</w:t>
      </w:r>
      <w:r w:rsidRPr="00F5659E">
        <w:t xml:space="preserve">, </w:t>
      </w:r>
      <w:r w:rsidRPr="00F5659E" w:rsidR="001F30CB">
        <w:rPr>
          <w:i/>
        </w:rPr>
        <w:t xml:space="preserve">Deputy Section </w:t>
      </w:r>
      <w:r w:rsidRPr="00F5659E" w:rsidR="001F30CB">
        <w:rPr>
          <w:i/>
          <w:iCs/>
        </w:rPr>
        <w:t>Registrar</w:t>
      </w:r>
      <w:r w:rsidRPr="00F5659E">
        <w:rPr>
          <w:i/>
        </w:rPr>
        <w:t>,</w:t>
      </w:r>
    </w:p>
    <w:p w:rsidRPr="00F5659E" w:rsidR="00DE61E0" w:rsidP="00F5659E" w:rsidRDefault="00DE61E0">
      <w:pPr>
        <w:pStyle w:val="ECHRPara"/>
      </w:pPr>
      <w:r w:rsidRPr="00F5659E">
        <w:t xml:space="preserve">Having deliberated in private on </w:t>
      </w:r>
      <w:r w:rsidRPr="00F5659E" w:rsidR="00FB340E">
        <w:t>22 January 2019</w:t>
      </w:r>
      <w:r w:rsidRPr="00F5659E">
        <w:t>,</w:t>
      </w:r>
    </w:p>
    <w:p w:rsidRPr="00F5659E" w:rsidR="00DE61E0" w:rsidP="00F5659E" w:rsidRDefault="00DE61E0">
      <w:pPr>
        <w:pStyle w:val="ECHRPara"/>
      </w:pPr>
      <w:r w:rsidRPr="00F5659E">
        <w:t>Delivers the following judgment, which was adopted on that date:</w:t>
      </w:r>
    </w:p>
    <w:p w:rsidRPr="00F5659E" w:rsidR="00DE61E0" w:rsidP="00F5659E" w:rsidRDefault="00DE61E0">
      <w:pPr>
        <w:pStyle w:val="ECHRTitle1"/>
      </w:pPr>
      <w:r w:rsidRPr="00F5659E">
        <w:t>PROCEDURE</w:t>
      </w:r>
    </w:p>
    <w:p w:rsidRPr="00F5659E" w:rsidR="00DE61E0" w:rsidP="00F5659E" w:rsidRDefault="001F30CB">
      <w:pPr>
        <w:pStyle w:val="ECHRPara"/>
      </w:pPr>
      <w:r w:rsidRPr="00F5659E">
        <w:fldChar w:fldCharType="begin"/>
      </w:r>
      <w:r w:rsidRPr="00F5659E">
        <w:instrText xml:space="preserve"> SEQ level0 \*arabic </w:instrText>
      </w:r>
      <w:r w:rsidRPr="00F5659E">
        <w:fldChar w:fldCharType="separate"/>
      </w:r>
      <w:r w:rsidRPr="00F5659E" w:rsidR="00F5659E">
        <w:rPr>
          <w:noProof/>
        </w:rPr>
        <w:t>1</w:t>
      </w:r>
      <w:r w:rsidRPr="00F5659E">
        <w:fldChar w:fldCharType="end"/>
      </w:r>
      <w:r w:rsidRPr="00F5659E" w:rsidR="00DE61E0">
        <w:t xml:space="preserve">.  The case originated in </w:t>
      </w:r>
      <w:r w:rsidRPr="00F5659E">
        <w:t>an application (no. 45580/16)</w:t>
      </w:r>
      <w:r w:rsidRPr="00F5659E" w:rsidR="00DE61E0">
        <w:t xml:space="preserve"> against </w:t>
      </w:r>
      <w:r w:rsidRPr="00F5659E">
        <w:t>Ireland</w:t>
      </w:r>
      <w:r w:rsidRPr="00F5659E" w:rsidR="00DE61E0">
        <w:t xml:space="preserve"> lodged with the </w:t>
      </w:r>
      <w:r w:rsidRPr="00F5659E">
        <w:t>Court under Article 34</w:t>
      </w:r>
      <w:r w:rsidRPr="00F5659E" w:rsidR="00DE61E0">
        <w:t xml:space="preserve"> of the Convention for the Protection of Human Rights and Fundamental Freedoms (“the Convention”) by </w:t>
      </w:r>
      <w:r w:rsidRPr="00F5659E">
        <w:t>an Irish national, Mr Alan O</w:t>
      </w:r>
      <w:r w:rsidRPr="00F5659E" w:rsidR="00F5659E">
        <w:t>’</w:t>
      </w:r>
      <w:r w:rsidRPr="00F5659E">
        <w:t>Leary (“the applicant”), on 2 August 2016</w:t>
      </w:r>
      <w:r w:rsidRPr="00F5659E" w:rsidR="00DE61E0">
        <w:t xml:space="preserve">. </w:t>
      </w:r>
      <w:r w:rsidRPr="00F5659E" w:rsidR="00A70A5E">
        <w:t>As he lacks legal capacity, the applicant was represented before the Court by his sister and guardian, Ms Charlene O</w:t>
      </w:r>
      <w:r w:rsidRPr="00F5659E" w:rsidR="00F5659E">
        <w:t>’</w:t>
      </w:r>
      <w:r w:rsidRPr="00F5659E" w:rsidR="00A70A5E">
        <w:t>Leary.</w:t>
      </w:r>
    </w:p>
    <w:p w:rsidRPr="00F5659E" w:rsidR="00DE61E0" w:rsidP="00F5659E" w:rsidRDefault="001F30CB">
      <w:pPr>
        <w:pStyle w:val="ECHRPara"/>
      </w:pPr>
      <w:r w:rsidRPr="00F5659E">
        <w:fldChar w:fldCharType="begin"/>
      </w:r>
      <w:r w:rsidRPr="00F5659E">
        <w:instrText xml:space="preserve"> SEQ level0 \*arabic </w:instrText>
      </w:r>
      <w:r w:rsidRPr="00F5659E">
        <w:fldChar w:fldCharType="separate"/>
      </w:r>
      <w:r w:rsidRPr="00F5659E" w:rsidR="00F5659E">
        <w:rPr>
          <w:noProof/>
        </w:rPr>
        <w:t>2</w:t>
      </w:r>
      <w:r w:rsidRPr="00F5659E">
        <w:fldChar w:fldCharType="end"/>
      </w:r>
      <w:r w:rsidRPr="00F5659E" w:rsidR="00DE61E0">
        <w:t>.  </w:t>
      </w:r>
      <w:r w:rsidRPr="00F5659E">
        <w:t xml:space="preserve">The applicant was </w:t>
      </w:r>
      <w:r w:rsidRPr="00F5659E" w:rsidR="00A70A5E">
        <w:t xml:space="preserve">legally </w:t>
      </w:r>
      <w:r w:rsidRPr="00F5659E">
        <w:t>represented by Denis O</w:t>
      </w:r>
      <w:r w:rsidRPr="00F5659E" w:rsidR="00F5659E">
        <w:t>’</w:t>
      </w:r>
      <w:r w:rsidRPr="00F5659E">
        <w:t>Sullivan &amp; Co. Solicitors</w:t>
      </w:r>
      <w:r w:rsidRPr="00F5659E" w:rsidR="002939E4">
        <w:t>,</w:t>
      </w:r>
      <w:r w:rsidRPr="00F5659E">
        <w:t xml:space="preserve"> a </w:t>
      </w:r>
      <w:r w:rsidRPr="00F5659E" w:rsidR="002939E4">
        <w:t>law firm in</w:t>
      </w:r>
      <w:r w:rsidRPr="00F5659E">
        <w:t xml:space="preserve"> Cork.</w:t>
      </w:r>
      <w:r w:rsidRPr="00F5659E" w:rsidR="002939E4">
        <w:t xml:space="preserve"> </w:t>
      </w:r>
      <w:r w:rsidRPr="00F5659E" w:rsidR="00DE61E0">
        <w:t xml:space="preserve">The </w:t>
      </w:r>
      <w:r w:rsidRPr="00F5659E">
        <w:t>Irish</w:t>
      </w:r>
      <w:r w:rsidRPr="00F5659E" w:rsidR="00DE61E0">
        <w:t xml:space="preserve"> Government (“the Government”) were represented by their Agent, M</w:t>
      </w:r>
      <w:r w:rsidRPr="00F5659E" w:rsidR="002939E4">
        <w:t>r P. White of the Department of Foreign Affairs and Trade.</w:t>
      </w:r>
    </w:p>
    <w:p w:rsidRPr="00F5659E" w:rsidR="00DE61E0" w:rsidP="00F5659E" w:rsidRDefault="001F30CB">
      <w:pPr>
        <w:pStyle w:val="ECHRPara"/>
      </w:pPr>
      <w:r w:rsidRPr="00F5659E">
        <w:fldChar w:fldCharType="begin"/>
      </w:r>
      <w:r w:rsidRPr="00F5659E">
        <w:instrText xml:space="preserve"> SEQ level0 \*arabic </w:instrText>
      </w:r>
      <w:r w:rsidRPr="00F5659E">
        <w:fldChar w:fldCharType="separate"/>
      </w:r>
      <w:r w:rsidRPr="00F5659E" w:rsidR="00F5659E">
        <w:rPr>
          <w:noProof/>
        </w:rPr>
        <w:t>3</w:t>
      </w:r>
      <w:r w:rsidRPr="00F5659E">
        <w:fldChar w:fldCharType="end"/>
      </w:r>
      <w:r w:rsidRPr="00F5659E" w:rsidR="00DE61E0">
        <w:t>.  </w:t>
      </w:r>
      <w:r w:rsidRPr="00F5659E">
        <w:t xml:space="preserve">On </w:t>
      </w:r>
      <w:r w:rsidRPr="00F5659E">
        <w:rPr>
          <w:szCs w:val="24"/>
        </w:rPr>
        <w:t>30 August 2017</w:t>
      </w:r>
      <w:r w:rsidRPr="00F5659E" w:rsidR="008062C2">
        <w:t xml:space="preserve"> </w:t>
      </w:r>
      <w:r w:rsidRPr="00F5659E" w:rsidR="006859D3">
        <w:t xml:space="preserve">notice of </w:t>
      </w:r>
      <w:r w:rsidRPr="00F5659E" w:rsidR="008062C2">
        <w:t xml:space="preserve">the </w:t>
      </w:r>
      <w:r w:rsidRPr="00F5659E">
        <w:t>complaints concerning the length of the proceedings and the lack of remedies in that respect was given to the Government and the remainder of the application was declared inadmissible</w:t>
      </w:r>
      <w:r w:rsidRPr="00F5659E">
        <w:rPr>
          <w:szCs w:val="24"/>
        </w:rPr>
        <w:t xml:space="preserve"> </w:t>
      </w:r>
      <w:r w:rsidRPr="00F5659E">
        <w:t>pursuant to Rule 54 § 3 of the Rules of Court</w:t>
      </w:r>
      <w:r w:rsidRPr="00F5659E" w:rsidR="00AF6511">
        <w:t>.</w:t>
      </w:r>
    </w:p>
    <w:p w:rsidRPr="00F5659E" w:rsidR="00DE61E0" w:rsidP="00F5659E" w:rsidRDefault="00DE61E0">
      <w:pPr>
        <w:pStyle w:val="ECHRTitle1"/>
      </w:pPr>
      <w:r w:rsidRPr="00F5659E">
        <w:t>THE FACTS</w:t>
      </w:r>
    </w:p>
    <w:p w:rsidRPr="00F5659E" w:rsidR="00DE61E0" w:rsidP="00F5659E" w:rsidRDefault="00947011">
      <w:pPr>
        <w:pStyle w:val="ECHRHeading1"/>
      </w:pPr>
      <w:r w:rsidRPr="00F5659E">
        <w:t>I.  </w:t>
      </w:r>
      <w:r w:rsidRPr="00F5659E" w:rsidR="00DE61E0">
        <w:t>THE CIRCUMSTANCES OF THE CASE</w:t>
      </w:r>
    </w:p>
    <w:p w:rsidRPr="00F5659E" w:rsidR="00DE61E0" w:rsidP="00F5659E" w:rsidRDefault="001F30CB">
      <w:pPr>
        <w:pStyle w:val="ECHRPara"/>
      </w:pPr>
      <w:r w:rsidRPr="00F5659E">
        <w:fldChar w:fldCharType="begin"/>
      </w:r>
      <w:r w:rsidRPr="00F5659E">
        <w:instrText xml:space="preserve"> SEQ level0 \*arabic </w:instrText>
      </w:r>
      <w:r w:rsidRPr="00F5659E">
        <w:fldChar w:fldCharType="separate"/>
      </w:r>
      <w:r w:rsidRPr="00F5659E" w:rsidR="00F5659E">
        <w:rPr>
          <w:noProof/>
        </w:rPr>
        <w:t>4</w:t>
      </w:r>
      <w:r w:rsidRPr="00F5659E">
        <w:fldChar w:fldCharType="end"/>
      </w:r>
      <w:r w:rsidRPr="00F5659E" w:rsidR="00DE61E0">
        <w:t xml:space="preserve">.  The </w:t>
      </w:r>
      <w:r w:rsidRPr="00F5659E">
        <w:t>applicant was born in 1986 and lives</w:t>
      </w:r>
      <w:r w:rsidRPr="00F5659E" w:rsidR="00DE61E0">
        <w:t xml:space="preserve"> in </w:t>
      </w:r>
      <w:r w:rsidRPr="00F5659E">
        <w:t>Cork</w:t>
      </w:r>
      <w:r w:rsidRPr="00F5659E" w:rsidR="00DE61E0">
        <w:t>.</w:t>
      </w:r>
    </w:p>
    <w:p w:rsidRPr="00F5659E" w:rsidR="00484691" w:rsidP="00F5659E" w:rsidRDefault="001F30CB">
      <w:pPr>
        <w:pStyle w:val="ECHRPara"/>
      </w:pPr>
      <w:r w:rsidRPr="00F5659E">
        <w:fldChar w:fldCharType="begin"/>
      </w:r>
      <w:r w:rsidRPr="00F5659E">
        <w:instrText xml:space="preserve"> SEQ level0 \*arabic </w:instrText>
      </w:r>
      <w:r w:rsidRPr="00F5659E">
        <w:fldChar w:fldCharType="separate"/>
      </w:r>
      <w:r w:rsidRPr="00F5659E" w:rsidR="00F5659E">
        <w:rPr>
          <w:noProof/>
        </w:rPr>
        <w:t>5</w:t>
      </w:r>
      <w:r w:rsidRPr="00F5659E">
        <w:fldChar w:fldCharType="end"/>
      </w:r>
      <w:r w:rsidRPr="00F5659E" w:rsidR="00DE61E0">
        <w:t>.  </w:t>
      </w:r>
      <w:r w:rsidRPr="00F5659E" w:rsidR="00521B23">
        <w:t xml:space="preserve">He suffers from severe brain damage. It </w:t>
      </w:r>
      <w:r w:rsidRPr="00F5659E" w:rsidR="002F49F7">
        <w:t>wa</w:t>
      </w:r>
      <w:r w:rsidRPr="00F5659E" w:rsidR="00521B23">
        <w:t>s asserted on his behalf that his condition was caused by the measles vaccination administered to him in 1988 when he was 15 months old.</w:t>
      </w:r>
    </w:p>
    <w:p w:rsidRPr="00F5659E" w:rsidR="00484691" w:rsidP="00F5659E" w:rsidRDefault="001132A8">
      <w:pPr>
        <w:pStyle w:val="ECHRPara"/>
      </w:pPr>
      <w:r w:rsidRPr="00F5659E">
        <w:fldChar w:fldCharType="begin"/>
      </w:r>
      <w:r w:rsidRPr="00F5659E">
        <w:instrText xml:space="preserve"> SEQ level0 \*arabic </w:instrText>
      </w:r>
      <w:r w:rsidRPr="00F5659E">
        <w:fldChar w:fldCharType="separate"/>
      </w:r>
      <w:r w:rsidRPr="00F5659E" w:rsidR="00F5659E">
        <w:rPr>
          <w:noProof/>
        </w:rPr>
        <w:t>6</w:t>
      </w:r>
      <w:r w:rsidRPr="00F5659E">
        <w:fldChar w:fldCharType="end"/>
      </w:r>
      <w:r w:rsidRPr="00F5659E">
        <w:t>.  </w:t>
      </w:r>
      <w:r w:rsidRPr="00F5659E" w:rsidR="00521B23">
        <w:t>In November 2002, 14 years after receiving the vaccine, the applicant</w:t>
      </w:r>
      <w:r w:rsidRPr="00F5659E" w:rsidR="00F5659E">
        <w:t>’</w:t>
      </w:r>
      <w:r w:rsidRPr="00F5659E" w:rsidR="00521B23">
        <w:t>s mother instituted proceedings on his behalf against four defendants; the local health authority, the State, the Attorney General (collectively described in the domestic proceedings as the State defendants) and the doctor who had administered the vaccination, H.</w:t>
      </w:r>
    </w:p>
    <w:p w:rsidRPr="00F5659E" w:rsidR="00EA09C3" w:rsidP="00F5659E" w:rsidRDefault="001132A8">
      <w:pPr>
        <w:pStyle w:val="ECHRPara"/>
      </w:pPr>
      <w:r w:rsidRPr="00F5659E">
        <w:fldChar w:fldCharType="begin"/>
      </w:r>
      <w:r w:rsidRPr="00F5659E">
        <w:instrText xml:space="preserve"> SEQ level0 \*arabic </w:instrText>
      </w:r>
      <w:r w:rsidRPr="00F5659E">
        <w:fldChar w:fldCharType="separate"/>
      </w:r>
      <w:r w:rsidRPr="00F5659E" w:rsidR="00F5659E">
        <w:rPr>
          <w:noProof/>
        </w:rPr>
        <w:t>7</w:t>
      </w:r>
      <w:r w:rsidRPr="00F5659E">
        <w:fldChar w:fldCharType="end"/>
      </w:r>
      <w:r w:rsidRPr="00F5659E">
        <w:t>.  </w:t>
      </w:r>
      <w:r w:rsidRPr="00F5659E" w:rsidR="00EA09C3">
        <w:t>On 5 August 2003, the H</w:t>
      </w:r>
      <w:r w:rsidRPr="00F5659E" w:rsidR="00DE6511">
        <w:t>igh Court issued a limited</w:t>
      </w:r>
      <w:r w:rsidRPr="00F5659E" w:rsidR="00F8230E">
        <w:t xml:space="preserve"> order of</w:t>
      </w:r>
      <w:r w:rsidRPr="00F5659E" w:rsidR="00EA09C3">
        <w:t xml:space="preserve"> discovery addressed to the local health authority seeking all relevant records about the applicant in its possession, as well as information about the vaccine used, about any adverse effects noted at the time with this vaccine, about the manner in which the mother</w:t>
      </w:r>
      <w:r w:rsidRPr="00F5659E" w:rsidR="00F5659E">
        <w:t>’</w:t>
      </w:r>
      <w:r w:rsidRPr="00F5659E" w:rsidR="00EA09C3">
        <w:t>s consent was obtained, and about the health of the other members of the applicant</w:t>
      </w:r>
      <w:r w:rsidRPr="00F5659E" w:rsidR="00F5659E">
        <w:t>’</w:t>
      </w:r>
      <w:r w:rsidRPr="00F5659E" w:rsidR="00EA09C3">
        <w:t>s family.</w:t>
      </w:r>
      <w:r w:rsidRPr="00F5659E" w:rsidR="00DE6511">
        <w:t xml:space="preserve"> </w:t>
      </w:r>
      <w:r w:rsidRPr="00F5659E" w:rsidR="00EA09C3">
        <w:t xml:space="preserve">Although the High Court set a time-limit of 8 weeks for discovery, the local health authority only complied with the order in June 2008, that is to say with a delay of </w:t>
      </w:r>
      <w:r w:rsidRPr="00F5659E" w:rsidR="00F46D84">
        <w:t>over</w:t>
      </w:r>
      <w:r w:rsidRPr="00F5659E" w:rsidR="00EA09C3">
        <w:t xml:space="preserve"> four and a half years.</w:t>
      </w:r>
    </w:p>
    <w:p w:rsidRPr="00F5659E" w:rsidR="00EA09C3" w:rsidP="00F5659E" w:rsidRDefault="001132A8">
      <w:pPr>
        <w:pStyle w:val="ECHRPara"/>
      </w:pPr>
      <w:r w:rsidRPr="00F5659E">
        <w:fldChar w:fldCharType="begin"/>
      </w:r>
      <w:r w:rsidRPr="00F5659E">
        <w:instrText xml:space="preserve"> SEQ level0 \*arabic </w:instrText>
      </w:r>
      <w:r w:rsidRPr="00F5659E">
        <w:fldChar w:fldCharType="separate"/>
      </w:r>
      <w:r w:rsidRPr="00F5659E" w:rsidR="00F5659E">
        <w:rPr>
          <w:noProof/>
        </w:rPr>
        <w:t>8</w:t>
      </w:r>
      <w:r w:rsidRPr="00F5659E">
        <w:fldChar w:fldCharType="end"/>
      </w:r>
      <w:r w:rsidRPr="00F5659E">
        <w:t>.  </w:t>
      </w:r>
      <w:r w:rsidRPr="00F5659E" w:rsidR="00DE6511">
        <w:t>The applicant appealed the scope</w:t>
      </w:r>
      <w:r w:rsidRPr="00F5659E" w:rsidR="006E53C9">
        <w:t xml:space="preserve"> of the order of discovery of 5 </w:t>
      </w:r>
      <w:r w:rsidRPr="00F5659E" w:rsidR="00DE6511">
        <w:t>August 2003, leading to the grant of a further</w:t>
      </w:r>
      <w:r w:rsidRPr="00F5659E" w:rsidR="007C2A13">
        <w:t xml:space="preserve"> </w:t>
      </w:r>
      <w:r w:rsidRPr="00F5659E" w:rsidR="00B008A2">
        <w:t xml:space="preserve">limited </w:t>
      </w:r>
      <w:r w:rsidRPr="00F5659E" w:rsidR="007C2A13">
        <w:t>order of</w:t>
      </w:r>
      <w:r w:rsidRPr="00F5659E" w:rsidR="00DE6511">
        <w:t xml:space="preserve"> discovery </w:t>
      </w:r>
      <w:r w:rsidRPr="00F5659E" w:rsidR="00EA09C3">
        <w:t xml:space="preserve">by the High Court on 30 January 2004, addressed to all four defendants. The applicant </w:t>
      </w:r>
      <w:r w:rsidRPr="00F5659E" w:rsidR="00DE6511">
        <w:t>brought another appeal against the order of di</w:t>
      </w:r>
      <w:r w:rsidRPr="00F5659E" w:rsidR="006E53C9">
        <w:t>scovery of 30 </w:t>
      </w:r>
      <w:r w:rsidRPr="00F5659E" w:rsidR="00DE6511">
        <w:t>January 2004</w:t>
      </w:r>
      <w:r w:rsidRPr="00F5659E" w:rsidR="00EA09C3">
        <w:t xml:space="preserve">, but in July 2006 the Supreme Court </w:t>
      </w:r>
      <w:r w:rsidRPr="00F5659E" w:rsidR="00DE6511">
        <w:t>dismissed the appeal,</w:t>
      </w:r>
      <w:r w:rsidRPr="00F5659E" w:rsidR="00EA09C3">
        <w:t xml:space="preserve"> making </w:t>
      </w:r>
      <w:r w:rsidRPr="00F5659E" w:rsidR="00DE6511">
        <w:t xml:space="preserve">only </w:t>
      </w:r>
      <w:r w:rsidRPr="00F5659E" w:rsidR="00EA09C3">
        <w:t>a minor amendment to the order granted by the High Court.</w:t>
      </w:r>
    </w:p>
    <w:p w:rsidRPr="00F5659E" w:rsidR="00484691" w:rsidP="00F5659E" w:rsidRDefault="001132A8">
      <w:pPr>
        <w:pStyle w:val="ECHRPara"/>
      </w:pPr>
      <w:r w:rsidRPr="00F5659E">
        <w:fldChar w:fldCharType="begin"/>
      </w:r>
      <w:r w:rsidRPr="00F5659E">
        <w:instrText xml:space="preserve"> SEQ level0 \*arabic </w:instrText>
      </w:r>
      <w:r w:rsidRPr="00F5659E">
        <w:fldChar w:fldCharType="separate"/>
      </w:r>
      <w:r w:rsidRPr="00F5659E" w:rsidR="00F5659E">
        <w:rPr>
          <w:noProof/>
        </w:rPr>
        <w:t>9</w:t>
      </w:r>
      <w:r w:rsidRPr="00F5659E">
        <w:fldChar w:fldCharType="end"/>
      </w:r>
      <w:r w:rsidRPr="00F5659E">
        <w:t>.  </w:t>
      </w:r>
      <w:r w:rsidRPr="00F5659E" w:rsidR="00EA09C3">
        <w:t>The applicant</w:t>
      </w:r>
      <w:r w:rsidRPr="00F5659E" w:rsidR="00F5659E">
        <w:t>’</w:t>
      </w:r>
      <w:r w:rsidRPr="00F5659E" w:rsidR="00D070EC">
        <w:t>s mother died in December 2007</w:t>
      </w:r>
      <w:r w:rsidRPr="00F5659E" w:rsidR="004D04C9">
        <w:t>.</w:t>
      </w:r>
    </w:p>
    <w:p w:rsidRPr="00F5659E" w:rsidR="004D04C9" w:rsidP="00F5659E" w:rsidRDefault="001132A8">
      <w:pPr>
        <w:pStyle w:val="ECHRPara"/>
      </w:pPr>
      <w:r w:rsidRPr="00F5659E">
        <w:fldChar w:fldCharType="begin"/>
      </w:r>
      <w:r w:rsidRPr="00F5659E">
        <w:instrText xml:space="preserve"> SEQ level0 \*arabic </w:instrText>
      </w:r>
      <w:r w:rsidRPr="00F5659E">
        <w:fldChar w:fldCharType="separate"/>
      </w:r>
      <w:r w:rsidRPr="00F5659E" w:rsidR="00F5659E">
        <w:rPr>
          <w:noProof/>
        </w:rPr>
        <w:t>10</w:t>
      </w:r>
      <w:r w:rsidRPr="00F5659E">
        <w:fldChar w:fldCharType="end"/>
      </w:r>
      <w:r w:rsidRPr="00F5659E">
        <w:t>.  </w:t>
      </w:r>
      <w:r w:rsidRPr="00F5659E" w:rsidR="004D04C9">
        <w:t>In June 2008 the applicant</w:t>
      </w:r>
      <w:r w:rsidRPr="00F5659E" w:rsidR="00F5659E">
        <w:t>’</w:t>
      </w:r>
      <w:r w:rsidRPr="00F5659E" w:rsidR="004D04C9">
        <w:t>s lawyer wrote to the local health authority to complain that the long delays in litigating the case had caused grave prejudice to the case. The applicant</w:t>
      </w:r>
      <w:r w:rsidRPr="00F5659E" w:rsidR="00F5659E">
        <w:t>’</w:t>
      </w:r>
      <w:r w:rsidRPr="00F5659E" w:rsidR="004D04C9">
        <w:t xml:space="preserve">s mother had been a vital witness, and with her death essential evidence had been lost. </w:t>
      </w:r>
      <w:r w:rsidRPr="00F5659E" w:rsidR="007E71C5">
        <w:t>Settlement</w:t>
      </w:r>
      <w:r w:rsidRPr="00F5659E" w:rsidR="0084549B">
        <w:t xml:space="preserve"> of the substantive dispute</w:t>
      </w:r>
      <w:r w:rsidRPr="00F5659E" w:rsidR="007E71C5">
        <w:t xml:space="preserve"> was proposed but not agreed.</w:t>
      </w:r>
    </w:p>
    <w:p w:rsidRPr="00F5659E" w:rsidR="004D04C9" w:rsidP="00F5659E" w:rsidRDefault="001132A8">
      <w:pPr>
        <w:pStyle w:val="ECHRPara"/>
      </w:pPr>
      <w:r w:rsidRPr="00F5659E">
        <w:fldChar w:fldCharType="begin"/>
      </w:r>
      <w:r w:rsidRPr="00F5659E">
        <w:instrText xml:space="preserve"> SEQ level0 \*arabic </w:instrText>
      </w:r>
      <w:r w:rsidRPr="00F5659E">
        <w:fldChar w:fldCharType="separate"/>
      </w:r>
      <w:r w:rsidRPr="00F5659E" w:rsidR="00F5659E">
        <w:rPr>
          <w:noProof/>
        </w:rPr>
        <w:t>11</w:t>
      </w:r>
      <w:r w:rsidRPr="00F5659E">
        <w:fldChar w:fldCharType="end"/>
      </w:r>
      <w:r w:rsidRPr="00F5659E">
        <w:t>.  </w:t>
      </w:r>
      <w:r w:rsidRPr="00F5659E" w:rsidR="00673681">
        <w:t>In May 2008</w:t>
      </w:r>
      <w:r w:rsidRPr="00F5659E" w:rsidR="004D04C9">
        <w:t xml:space="preserve"> the applicant</w:t>
      </w:r>
      <w:r w:rsidRPr="00F5659E" w:rsidR="00F5659E">
        <w:t>’</w:t>
      </w:r>
      <w:r w:rsidRPr="00F5659E" w:rsidR="004D04C9">
        <w:t>s lawyer sought to have the defence of the State defendants set aside. The High Court</w:t>
      </w:r>
      <w:r w:rsidRPr="00F5659E" w:rsidR="006E53C9">
        <w:t xml:space="preserve"> refused this application on 12 </w:t>
      </w:r>
      <w:r w:rsidRPr="00F5659E" w:rsidR="004D04C9">
        <w:t>March 2010.</w:t>
      </w:r>
    </w:p>
    <w:p w:rsidRPr="00F5659E" w:rsidR="00484691" w:rsidP="00F5659E" w:rsidRDefault="001132A8">
      <w:pPr>
        <w:pStyle w:val="ECHRPara"/>
      </w:pPr>
      <w:r w:rsidRPr="00F5659E">
        <w:fldChar w:fldCharType="begin"/>
      </w:r>
      <w:r w:rsidRPr="00F5659E">
        <w:instrText xml:space="preserve"> SEQ level0 \*arabic </w:instrText>
      </w:r>
      <w:r w:rsidRPr="00F5659E">
        <w:fldChar w:fldCharType="separate"/>
      </w:r>
      <w:r w:rsidRPr="00F5659E" w:rsidR="00F5659E">
        <w:rPr>
          <w:noProof/>
        </w:rPr>
        <w:t>12</w:t>
      </w:r>
      <w:r w:rsidRPr="00F5659E">
        <w:fldChar w:fldCharType="end"/>
      </w:r>
      <w:r w:rsidRPr="00F5659E">
        <w:t>.  </w:t>
      </w:r>
      <w:r w:rsidRPr="00F5659E" w:rsidR="00A80370">
        <w:t>The trial</w:t>
      </w:r>
      <w:r w:rsidRPr="00F5659E" w:rsidR="00920929">
        <w:t xml:space="preserve"> involved ten days of hearings. </w:t>
      </w:r>
      <w:r w:rsidRPr="00F5659E" w:rsidR="00851A7B">
        <w:t>No factual evidence was called on behalf of the applicant, but independent medical witnesses gave evidence</w:t>
      </w:r>
      <w:r w:rsidRPr="00F5659E" w:rsidR="008D041B">
        <w:t>,</w:t>
      </w:r>
      <w:r w:rsidRPr="00F5659E" w:rsidR="00851A7B">
        <w:t xml:space="preserve"> </w:t>
      </w:r>
      <w:r w:rsidRPr="00F5659E" w:rsidR="0040671D">
        <w:t>having read</w:t>
      </w:r>
      <w:r w:rsidRPr="00F5659E" w:rsidR="00851A7B">
        <w:t xml:space="preserve"> the applicant</w:t>
      </w:r>
      <w:r w:rsidRPr="00F5659E" w:rsidR="00F5659E">
        <w:t>’</w:t>
      </w:r>
      <w:r w:rsidRPr="00F5659E" w:rsidR="00851A7B">
        <w:t>s medical records</w:t>
      </w:r>
      <w:r w:rsidRPr="00F5659E" w:rsidR="004F7129">
        <w:t>,</w:t>
      </w:r>
      <w:r w:rsidRPr="00F5659E" w:rsidR="0021391C">
        <w:t xml:space="preserve"> and documentary evidence provided by way of discovery was before the court</w:t>
      </w:r>
      <w:r w:rsidRPr="00F5659E" w:rsidR="00AF4223">
        <w:t>. O</w:t>
      </w:r>
      <w:r w:rsidRPr="00F5659E" w:rsidR="00920929">
        <w:t xml:space="preserve">n the eleventh day of the trial, 19 July 2011, the judge accepted an application by the defendants to strike the case out for failure to establish a </w:t>
      </w:r>
      <w:r w:rsidRPr="00F5659E" w:rsidR="00920929">
        <w:rPr>
          <w:i/>
        </w:rPr>
        <w:t>prima facie</w:t>
      </w:r>
      <w:r w:rsidRPr="00F5659E" w:rsidR="00920929">
        <w:t xml:space="preserve"> case against them.</w:t>
      </w:r>
    </w:p>
    <w:p w:rsidRPr="00F5659E" w:rsidR="00484691" w:rsidP="00F5659E" w:rsidRDefault="001132A8">
      <w:pPr>
        <w:pStyle w:val="ECHRPara"/>
      </w:pPr>
      <w:r w:rsidRPr="00F5659E">
        <w:fldChar w:fldCharType="begin"/>
      </w:r>
      <w:r w:rsidRPr="00F5659E">
        <w:instrText xml:space="preserve"> SEQ level0 \*arabic </w:instrText>
      </w:r>
      <w:r w:rsidRPr="00F5659E">
        <w:fldChar w:fldCharType="separate"/>
      </w:r>
      <w:r w:rsidRPr="00F5659E" w:rsidR="00F5659E">
        <w:rPr>
          <w:noProof/>
        </w:rPr>
        <w:t>13</w:t>
      </w:r>
      <w:r w:rsidRPr="00F5659E">
        <w:fldChar w:fldCharType="end"/>
      </w:r>
      <w:r w:rsidRPr="00F5659E">
        <w:t>.  </w:t>
      </w:r>
      <w:r w:rsidRPr="00F5659E" w:rsidR="00920929">
        <w:t xml:space="preserve">Regarding the doctor, he noted that the applicant accepted there was insufficient evidence to establish any negligence in the administration of the vaccine. </w:t>
      </w:r>
      <w:r w:rsidRPr="00F5659E" w:rsidR="0063042B">
        <w:t>The claim against the doctor H was dismissed.</w:t>
      </w:r>
      <w:r w:rsidRPr="00F5659E" w:rsidR="00E32667">
        <w:t xml:space="preserve"> </w:t>
      </w:r>
      <w:r w:rsidRPr="00F5659E" w:rsidR="0063042B">
        <w:t>In relation to the State defendants, the judge held</w:t>
      </w:r>
      <w:r w:rsidRPr="00F5659E" w:rsidR="00F96D14">
        <w:t xml:space="preserve"> that</w:t>
      </w:r>
      <w:r w:rsidRPr="00F5659E" w:rsidR="0063042B">
        <w:t xml:space="preserve"> no evidence had been produced that could support the various grounds relied on by the applicant.</w:t>
      </w:r>
    </w:p>
    <w:p w:rsidRPr="00F5659E" w:rsidR="00F37924" w:rsidP="00F5659E" w:rsidRDefault="00B008A2">
      <w:pPr>
        <w:pStyle w:val="ECHRPara"/>
      </w:pPr>
      <w:r w:rsidRPr="00F5659E">
        <w:fldChar w:fldCharType="begin"/>
      </w:r>
      <w:r w:rsidRPr="00F5659E">
        <w:instrText xml:space="preserve"> SEQ level0 \*arabic </w:instrText>
      </w:r>
      <w:r w:rsidRPr="00F5659E">
        <w:fldChar w:fldCharType="separate"/>
      </w:r>
      <w:r w:rsidRPr="00F5659E" w:rsidR="00F5659E">
        <w:rPr>
          <w:noProof/>
        </w:rPr>
        <w:t>14</w:t>
      </w:r>
      <w:r w:rsidRPr="00F5659E">
        <w:fldChar w:fldCharType="end"/>
      </w:r>
      <w:r w:rsidRPr="00F5659E">
        <w:t>. </w:t>
      </w:r>
      <w:r w:rsidRPr="00F5659E" w:rsidR="006E53C9">
        <w:t> </w:t>
      </w:r>
      <w:r w:rsidRPr="00F5659E" w:rsidR="00777F78">
        <w:t xml:space="preserve">The proceedings in the High Court </w:t>
      </w:r>
      <w:r w:rsidRPr="00F5659E" w:rsidR="00F37924">
        <w:t>terminated on</w:t>
      </w:r>
      <w:r w:rsidRPr="00F5659E" w:rsidR="00777F78">
        <w:t xml:space="preserve"> 19 December 2011</w:t>
      </w:r>
      <w:r w:rsidRPr="00F5659E" w:rsidR="00F37924">
        <w:t>. The applicant filed a notice of appeal presenting 30 grounds of appeal.</w:t>
      </w:r>
      <w:r w:rsidRPr="00F5659E" w:rsidR="00464FB2">
        <w:t xml:space="preserve"> </w:t>
      </w:r>
      <w:r w:rsidRPr="00F5659E" w:rsidR="00F37924">
        <w:t>Following the establishment of</w:t>
      </w:r>
      <w:r w:rsidRPr="00F5659E" w:rsidR="00722C99">
        <w:t xml:space="preserve"> the Court of Appeal in October </w:t>
      </w:r>
      <w:r w:rsidRPr="00F5659E" w:rsidR="00F37924">
        <w:t>2014, the applicant</w:t>
      </w:r>
      <w:r w:rsidRPr="00F5659E" w:rsidR="00F5659E">
        <w:t>’</w:t>
      </w:r>
      <w:r w:rsidRPr="00F5659E" w:rsidR="00F37924">
        <w:t>s case was transferred to it.</w:t>
      </w:r>
      <w:r w:rsidRPr="00F5659E" w:rsidR="006E53C9">
        <w:t xml:space="preserve"> </w:t>
      </w:r>
      <w:r w:rsidRPr="00F5659E" w:rsidR="00F37924">
        <w:t>Outline written submissions were submitted by H in February 2015 and by the State defendants in September 2015.</w:t>
      </w:r>
    </w:p>
    <w:p w:rsidRPr="00F5659E" w:rsidR="00063E9A" w:rsidP="00F5659E" w:rsidRDefault="001132A8">
      <w:pPr>
        <w:pStyle w:val="ECHRPara"/>
      </w:pPr>
      <w:r w:rsidRPr="00F5659E">
        <w:fldChar w:fldCharType="begin"/>
      </w:r>
      <w:r w:rsidRPr="00F5659E">
        <w:instrText xml:space="preserve"> SEQ level0 \*arabic </w:instrText>
      </w:r>
      <w:r w:rsidRPr="00F5659E">
        <w:fldChar w:fldCharType="separate"/>
      </w:r>
      <w:r w:rsidRPr="00F5659E" w:rsidR="00F5659E">
        <w:rPr>
          <w:noProof/>
        </w:rPr>
        <w:t>15</w:t>
      </w:r>
      <w:r w:rsidRPr="00F5659E">
        <w:fldChar w:fldCharType="end"/>
      </w:r>
      <w:r w:rsidRPr="00F5659E">
        <w:t>.  </w:t>
      </w:r>
      <w:r w:rsidRPr="00F5659E" w:rsidR="00F37924">
        <w:t>The Court of Appeal gave its judgment on 10 February 2016, dismissing the appeal. In its conclusions, the Court of Appeal stated that, by taking the case at its highest, the trial judge had adopted the correct approach on the question of striking the case out. The Court of Appeal concluded by remarking on the many legal hurdles the applicant would have had to overcome in order to succeed. It found no basis for overturning the decision of the High Court.</w:t>
      </w:r>
    </w:p>
    <w:p w:rsidRPr="00F5659E" w:rsidR="00F37924" w:rsidP="00F5659E" w:rsidRDefault="001132A8">
      <w:pPr>
        <w:pStyle w:val="ECHRPara"/>
      </w:pPr>
      <w:r w:rsidRPr="00F5659E">
        <w:fldChar w:fldCharType="begin"/>
      </w:r>
      <w:r w:rsidRPr="00F5659E">
        <w:instrText xml:space="preserve"> SEQ level0 \*arabic </w:instrText>
      </w:r>
      <w:r w:rsidRPr="00F5659E">
        <w:fldChar w:fldCharType="separate"/>
      </w:r>
      <w:r w:rsidRPr="00F5659E" w:rsidR="00F5659E">
        <w:rPr>
          <w:noProof/>
        </w:rPr>
        <w:t>16</w:t>
      </w:r>
      <w:r w:rsidRPr="00F5659E">
        <w:fldChar w:fldCharType="end"/>
      </w:r>
      <w:r w:rsidRPr="00F5659E">
        <w:t>.  </w:t>
      </w:r>
      <w:r w:rsidRPr="00F5659E" w:rsidR="00F37924">
        <w:t>The proceedings ended on 10 May 2016 when the Supreme Court declined the applicant</w:t>
      </w:r>
      <w:r w:rsidRPr="00F5659E" w:rsidR="00F5659E">
        <w:t>’</w:t>
      </w:r>
      <w:r w:rsidRPr="00F5659E" w:rsidR="00F37924">
        <w:t>s request for leave to appeal.</w:t>
      </w:r>
    </w:p>
    <w:p w:rsidRPr="00F5659E" w:rsidR="00FE0E27" w:rsidP="00F5659E" w:rsidRDefault="00947011">
      <w:pPr>
        <w:pStyle w:val="ECHRHeading1"/>
      </w:pPr>
      <w:r w:rsidRPr="00F5659E">
        <w:t>II.  </w:t>
      </w:r>
      <w:r w:rsidRPr="00F5659E" w:rsidR="00FE0E27">
        <w:t>RELEVANT DOMESTIC LAW AND PRACTICE</w:t>
      </w:r>
    </w:p>
    <w:p w:rsidRPr="00F5659E" w:rsidR="00484691" w:rsidP="00F5659E" w:rsidRDefault="001132A8">
      <w:pPr>
        <w:pStyle w:val="ECHRPara"/>
      </w:pPr>
      <w:r w:rsidRPr="00F5659E">
        <w:fldChar w:fldCharType="begin"/>
      </w:r>
      <w:r w:rsidRPr="00F5659E">
        <w:instrText xml:space="preserve"> SEQ level0 \*arabic </w:instrText>
      </w:r>
      <w:r w:rsidRPr="00F5659E">
        <w:fldChar w:fldCharType="separate"/>
      </w:r>
      <w:r w:rsidRPr="00F5659E" w:rsidR="00F5659E">
        <w:rPr>
          <w:noProof/>
        </w:rPr>
        <w:t>17</w:t>
      </w:r>
      <w:r w:rsidRPr="00F5659E">
        <w:fldChar w:fldCharType="end"/>
      </w:r>
      <w:r w:rsidRPr="00F5659E">
        <w:t>.  </w:t>
      </w:r>
      <w:r w:rsidRPr="00F5659E" w:rsidR="00C97BD0">
        <w:t xml:space="preserve">On 24 October 2016 the Supreme Court gave judgment in the case of </w:t>
      </w:r>
      <w:r w:rsidRPr="00F5659E" w:rsidR="00C97BD0">
        <w:rPr>
          <w:i/>
        </w:rPr>
        <w:t>Nash v. D.P.P.</w:t>
      </w:r>
      <w:r w:rsidRPr="00F5659E" w:rsidR="00C97BD0">
        <w:t xml:space="preserve"> ([2016] IESC 60) in which the appellant claimed that there had been excessive delay in the criminal proceedings brought against him and sought an award of damages. </w:t>
      </w:r>
      <w:r w:rsidRPr="00F5659E" w:rsidR="00D37E76">
        <w:t>The Supreme Court</w:t>
      </w:r>
      <w:r w:rsidRPr="00F5659E" w:rsidR="00C97BD0">
        <w:t xml:space="preserve"> addressed the possibility of claiming damages where legal proceedings are not completed within a reasonable time. The judgment referred first to the possibility of a claim</w:t>
      </w:r>
      <w:r w:rsidRPr="00F5659E" w:rsidR="00B360A1">
        <w:t xml:space="preserve"> for damages</w:t>
      </w:r>
      <w:r w:rsidRPr="00F5659E" w:rsidR="00C97BD0">
        <w:t xml:space="preserve"> under the European Convention on Human Rights Act, 2003</w:t>
      </w:r>
      <w:r w:rsidRPr="00F5659E" w:rsidR="00E13E45">
        <w:t>,</w:t>
      </w:r>
      <w:r w:rsidRPr="00F5659E" w:rsidR="00B360A1">
        <w:t xml:space="preserve"> which may be sought only if no other remedy in damages is available.</w:t>
      </w:r>
    </w:p>
    <w:p w:rsidRPr="00F5659E" w:rsidR="001954A7" w:rsidP="00F5659E" w:rsidRDefault="00B360A1">
      <w:pPr>
        <w:pStyle w:val="ECHRPara"/>
      </w:pPr>
      <w:r w:rsidRPr="00F5659E">
        <w:fldChar w:fldCharType="begin"/>
      </w:r>
      <w:r w:rsidRPr="00F5659E">
        <w:instrText xml:space="preserve"> SEQ level0 \*arabic </w:instrText>
      </w:r>
      <w:r w:rsidRPr="00F5659E">
        <w:fldChar w:fldCharType="separate"/>
      </w:r>
      <w:r w:rsidRPr="00F5659E" w:rsidR="00F5659E">
        <w:rPr>
          <w:noProof/>
        </w:rPr>
        <w:t>18</w:t>
      </w:r>
      <w:r w:rsidRPr="00F5659E">
        <w:fldChar w:fldCharType="end"/>
      </w:r>
      <w:r w:rsidRPr="00F5659E">
        <w:t>.  </w:t>
      </w:r>
      <w:r w:rsidRPr="00F5659E" w:rsidR="00007CDF">
        <w:t>T</w:t>
      </w:r>
      <w:r w:rsidRPr="00F5659E" w:rsidR="00C97BD0">
        <w:t xml:space="preserve">he </w:t>
      </w:r>
      <w:r w:rsidRPr="00F5659E" w:rsidR="002E7C18">
        <w:t xml:space="preserve">Supreme Court </w:t>
      </w:r>
      <w:r w:rsidRPr="00F5659E" w:rsidR="00C97BD0">
        <w:t>then considered the constitutional basis for a claim</w:t>
      </w:r>
      <w:r w:rsidRPr="00F5659E" w:rsidR="001A4F2D">
        <w:t xml:space="preserve"> in damages</w:t>
      </w:r>
      <w:r w:rsidRPr="00F5659E" w:rsidR="00C97BD0">
        <w:t xml:space="preserve">. </w:t>
      </w:r>
      <w:r w:rsidRPr="00F5659E" w:rsidR="00D43F4C">
        <w:t>The judgment</w:t>
      </w:r>
      <w:r w:rsidRPr="00F5659E" w:rsidR="00C97BD0">
        <w:t xml:space="preserve"> </w:t>
      </w:r>
      <w:r w:rsidRPr="00F5659E" w:rsidR="00D43F4C">
        <w:t>set out</w:t>
      </w:r>
      <w:r w:rsidRPr="00F5659E" w:rsidR="001954A7">
        <w:t xml:space="preserve"> </w:t>
      </w:r>
      <w:r w:rsidRPr="00F5659E" w:rsidR="00D43F4C">
        <w:t>that</w:t>
      </w:r>
    </w:p>
    <w:p w:rsidRPr="00F5659E" w:rsidR="001954A7" w:rsidP="00F5659E" w:rsidRDefault="001954A7">
      <w:pPr>
        <w:pStyle w:val="ECHRParaQuote"/>
      </w:pPr>
      <w:r w:rsidRPr="00F5659E">
        <w:t>“</w:t>
      </w:r>
      <w:r w:rsidRPr="00F5659E" w:rsidR="008226D5">
        <w:t>2.8  It is, therefore, clear that the constitutional right to a timely trial has been well established for many years. Given that it has also been clear that, in an appropriate case, damages can be awarded for the breach of a constitutional right, it has been clearly established for some time in our jurisprudence that there is, at least at the level of principle and in some circumstances, an entitlement to damages for breach of the constitutional right to a timely trial. However, just as in the case of a claim for damages for breach of the similar right guaranteed by the ECHR, there may well be questions as to the precise circumstances in which such an entitlement to damages may arise.”</w:t>
      </w:r>
    </w:p>
    <w:p w:rsidRPr="00F5659E" w:rsidR="00DE61E0" w:rsidP="00F5659E" w:rsidRDefault="00DE61E0">
      <w:pPr>
        <w:pStyle w:val="ECHRTitle1"/>
      </w:pPr>
      <w:r w:rsidRPr="00F5659E">
        <w:t>THE LAW</w:t>
      </w:r>
    </w:p>
    <w:p w:rsidRPr="00F5659E" w:rsidR="00DE61E0" w:rsidP="00F5659E" w:rsidRDefault="00DE61E0">
      <w:pPr>
        <w:pStyle w:val="ECHRHeading1"/>
      </w:pPr>
      <w:r w:rsidRPr="00F5659E">
        <w:t>I.  </w:t>
      </w:r>
      <w:r w:rsidRPr="00F5659E" w:rsidR="00512454">
        <w:t>ADMISSIBILITY OF THE COMPLAINTS</w:t>
      </w:r>
    </w:p>
    <w:p w:rsidRPr="00F5659E" w:rsidR="00512454" w:rsidP="00F5659E" w:rsidRDefault="001F30CB">
      <w:pPr>
        <w:pStyle w:val="ECHRPara"/>
      </w:pPr>
      <w:r w:rsidRPr="00F5659E">
        <w:fldChar w:fldCharType="begin"/>
      </w:r>
      <w:r w:rsidRPr="00F5659E">
        <w:instrText xml:space="preserve"> SEQ level0 \*arabic </w:instrText>
      </w:r>
      <w:r w:rsidRPr="00F5659E">
        <w:fldChar w:fldCharType="separate"/>
      </w:r>
      <w:r w:rsidRPr="00F5659E" w:rsidR="00F5659E">
        <w:rPr>
          <w:noProof/>
        </w:rPr>
        <w:t>19</w:t>
      </w:r>
      <w:r w:rsidRPr="00F5659E">
        <w:fldChar w:fldCharType="end"/>
      </w:r>
      <w:r w:rsidRPr="00F5659E" w:rsidR="00DE61E0">
        <w:t xml:space="preserve">.  The applicant complained </w:t>
      </w:r>
      <w:r w:rsidRPr="00F5659E" w:rsidR="00512454">
        <w:t xml:space="preserve">that the length of proceedings in his case </w:t>
      </w:r>
      <w:r w:rsidRPr="00F5659E" w:rsidR="00A7780A">
        <w:t>had been incompatible with the “reasonable time” requirement laid down in Article 6 § 1 of the Convention</w:t>
      </w:r>
      <w:r w:rsidRPr="00F5659E" w:rsidR="00512454">
        <w:t>. He further complained</w:t>
      </w:r>
      <w:r w:rsidRPr="00F5659E" w:rsidR="00A7780A">
        <w:t xml:space="preserve"> under Article 13</w:t>
      </w:r>
      <w:r w:rsidRPr="00F5659E" w:rsidR="00512454">
        <w:t>, in connection with the Article 6 complaint, that there was no effective remedy in the domestic system.</w:t>
      </w:r>
    </w:p>
    <w:p w:rsidRPr="00F5659E" w:rsidR="00A7780A" w:rsidP="00F5659E" w:rsidRDefault="00512454">
      <w:pPr>
        <w:pStyle w:val="ECHRPara"/>
      </w:pPr>
      <w:r w:rsidRPr="00F5659E">
        <w:fldChar w:fldCharType="begin"/>
      </w:r>
      <w:r w:rsidRPr="00F5659E">
        <w:instrText xml:space="preserve"> SEQ level0 \*arabic </w:instrText>
      </w:r>
      <w:r w:rsidRPr="00F5659E">
        <w:fldChar w:fldCharType="separate"/>
      </w:r>
      <w:r w:rsidRPr="00F5659E" w:rsidR="00F5659E">
        <w:rPr>
          <w:noProof/>
        </w:rPr>
        <w:t>20</w:t>
      </w:r>
      <w:r w:rsidRPr="00F5659E">
        <w:fldChar w:fldCharType="end"/>
      </w:r>
      <w:r w:rsidRPr="00F5659E">
        <w:t>.  </w:t>
      </w:r>
      <w:r w:rsidRPr="00F5659E" w:rsidR="00A7780A">
        <w:t>Article 6 § 1 of the Convention reads</w:t>
      </w:r>
      <w:r w:rsidRPr="00F5659E" w:rsidR="00240AF2">
        <w:t xml:space="preserve"> as follows:</w:t>
      </w:r>
    </w:p>
    <w:p w:rsidRPr="00F5659E" w:rsidR="00DE61E0" w:rsidP="00F5659E" w:rsidRDefault="00DE61E0">
      <w:pPr>
        <w:pStyle w:val="ECHRParaQuote"/>
      </w:pPr>
      <w:r w:rsidRPr="00F5659E">
        <w:t>“</w:t>
      </w:r>
      <w:r w:rsidRPr="00F5659E" w:rsidR="001F30CB">
        <w:t>In the determination of his civil rights and obligations ..., everyone is entitled to a ... hearing within a reasonable time by a ... tribunal</w:t>
      </w:r>
      <w:r w:rsidRPr="00F5659E" w:rsidR="00F5659E">
        <w:t xml:space="preserve"> </w:t>
      </w:r>
      <w:r w:rsidRPr="00F5659E" w:rsidR="001F30CB">
        <w:t>...</w:t>
      </w:r>
      <w:r w:rsidRPr="00F5659E">
        <w:t>”</w:t>
      </w:r>
    </w:p>
    <w:p w:rsidRPr="00F5659E" w:rsidR="00DE61E0" w:rsidP="00F5659E" w:rsidRDefault="001F30CB">
      <w:pPr>
        <w:pStyle w:val="ECHRPara"/>
      </w:pPr>
      <w:r w:rsidRPr="00F5659E">
        <w:fldChar w:fldCharType="begin"/>
      </w:r>
      <w:r w:rsidRPr="00F5659E">
        <w:instrText xml:space="preserve"> SEQ level0 \*arabic </w:instrText>
      </w:r>
      <w:r w:rsidRPr="00F5659E">
        <w:fldChar w:fldCharType="separate"/>
      </w:r>
      <w:r w:rsidRPr="00F5659E" w:rsidR="00F5659E">
        <w:rPr>
          <w:noProof/>
        </w:rPr>
        <w:t>21</w:t>
      </w:r>
      <w:r w:rsidRPr="00F5659E">
        <w:fldChar w:fldCharType="end"/>
      </w:r>
      <w:r w:rsidRPr="00F5659E" w:rsidR="00DE61E0">
        <w:t>.  </w:t>
      </w:r>
      <w:r w:rsidRPr="00F5659E" w:rsidR="009872F9">
        <w:t>Article 13 of the Convention reads as follows:</w:t>
      </w:r>
    </w:p>
    <w:p w:rsidRPr="00F5659E" w:rsidR="009872F9" w:rsidP="00F5659E" w:rsidRDefault="009872F9">
      <w:pPr>
        <w:pStyle w:val="ECHRParaQuote"/>
      </w:pPr>
      <w:r w:rsidRPr="00F5659E">
        <w:t>“Everyone whose rights and freedoms as set forth in [the] Convention are violated shall have an effective remedy before a national authority notwithstanding that the violation has been committed by persons acting in an official capacity.”</w:t>
      </w:r>
    </w:p>
    <w:p w:rsidRPr="00F5659E" w:rsidR="00DE61E0" w:rsidP="00F5659E" w:rsidRDefault="001F30CB">
      <w:pPr>
        <w:pStyle w:val="ECHRPara"/>
        <w:rPr>
          <w:i/>
        </w:rPr>
      </w:pPr>
      <w:r w:rsidRPr="00F5659E">
        <w:fldChar w:fldCharType="begin"/>
      </w:r>
      <w:r w:rsidRPr="00F5659E">
        <w:instrText xml:space="preserve"> SEQ level0 \*arabic </w:instrText>
      </w:r>
      <w:r w:rsidRPr="00F5659E">
        <w:fldChar w:fldCharType="separate"/>
      </w:r>
      <w:r w:rsidRPr="00F5659E" w:rsidR="00F5659E">
        <w:rPr>
          <w:noProof/>
        </w:rPr>
        <w:t>22</w:t>
      </w:r>
      <w:r w:rsidRPr="00F5659E">
        <w:fldChar w:fldCharType="end"/>
      </w:r>
      <w:r w:rsidRPr="00F5659E" w:rsidR="00DE61E0">
        <w:t>.  </w:t>
      </w:r>
      <w:r w:rsidRPr="00F5659E" w:rsidR="007D5F26">
        <w:t>The Government</w:t>
      </w:r>
      <w:r w:rsidRPr="00F5659E" w:rsidR="00AC1722">
        <w:t xml:space="preserve"> </w:t>
      </w:r>
      <w:r w:rsidRPr="00F5659E" w:rsidR="002B0867">
        <w:t>submitted that the complaint was inadmissible for non</w:t>
      </w:r>
      <w:r w:rsidRPr="00F5659E" w:rsidR="006E53C9">
        <w:noBreakHyphen/>
      </w:r>
      <w:r w:rsidRPr="00F5659E" w:rsidR="002B0867">
        <w:t>exhaustion, arguing that</w:t>
      </w:r>
      <w:r w:rsidRPr="00F5659E" w:rsidR="007D5F26">
        <w:t xml:space="preserve"> the applicant had not pursued various means at his disposal to expedite the proceedings at certain points</w:t>
      </w:r>
      <w:r w:rsidRPr="00F5659E" w:rsidR="002B0867">
        <w:t xml:space="preserve">. Further, the </w:t>
      </w:r>
      <w:r w:rsidRPr="00F5659E" w:rsidR="00E72A29">
        <w:t>Government</w:t>
      </w:r>
      <w:r w:rsidRPr="00F5659E" w:rsidR="00281D6A">
        <w:t xml:space="preserve"> </w:t>
      </w:r>
      <w:r w:rsidRPr="00F5659E" w:rsidR="002B0867">
        <w:t>submitted that the applicant</w:t>
      </w:r>
      <w:r w:rsidRPr="00F5659E" w:rsidR="007D5F26">
        <w:t xml:space="preserve"> had</w:t>
      </w:r>
      <w:r w:rsidRPr="00F5659E" w:rsidR="002B0867">
        <w:t xml:space="preserve"> not</w:t>
      </w:r>
      <w:r w:rsidRPr="00F5659E" w:rsidR="007D5F26">
        <w:t xml:space="preserve"> pursued </w:t>
      </w:r>
      <w:r w:rsidRPr="00F5659E" w:rsidR="00A630E8">
        <w:t>domestic remedies for his complaint as to the overall delay in the proceedings</w:t>
      </w:r>
      <w:r w:rsidRPr="00F5659E" w:rsidR="002B0867">
        <w:t>, referring to</w:t>
      </w:r>
      <w:r w:rsidRPr="00F5659E" w:rsidR="007D5F26">
        <w:t xml:space="preserve"> the decision of the Supreme Court in </w:t>
      </w:r>
      <w:r w:rsidRPr="00F5659E" w:rsidR="007D5F26">
        <w:rPr>
          <w:i/>
        </w:rPr>
        <w:t>Nash v. D.P.P.</w:t>
      </w:r>
      <w:r w:rsidRPr="00F5659E" w:rsidR="007D5F26">
        <w:t xml:space="preserve"> The applicant rejected the Government</w:t>
      </w:r>
      <w:r w:rsidRPr="00F5659E" w:rsidR="00F5659E">
        <w:t>’</w:t>
      </w:r>
      <w:r w:rsidRPr="00F5659E" w:rsidR="007D5F26">
        <w:t>s arguments and maintained that no effective remedy had been available to him.</w:t>
      </w:r>
    </w:p>
    <w:bookmarkStart w:name="para23" w:id="2"/>
    <w:p w:rsidRPr="00F5659E" w:rsidR="005C4A0C" w:rsidP="00F5659E" w:rsidRDefault="001F30CB">
      <w:pPr>
        <w:pStyle w:val="ECHRPara"/>
      </w:pPr>
      <w:r w:rsidRPr="00F5659E">
        <w:fldChar w:fldCharType="begin"/>
      </w:r>
      <w:r w:rsidRPr="00F5659E">
        <w:instrText xml:space="preserve"> SEQ level0 \*arabic </w:instrText>
      </w:r>
      <w:r w:rsidRPr="00F5659E">
        <w:fldChar w:fldCharType="separate"/>
      </w:r>
      <w:r w:rsidRPr="00F5659E" w:rsidR="00F5659E">
        <w:rPr>
          <w:noProof/>
        </w:rPr>
        <w:t>23</w:t>
      </w:r>
      <w:r w:rsidRPr="00F5659E">
        <w:fldChar w:fldCharType="end"/>
      </w:r>
      <w:bookmarkEnd w:id="2"/>
      <w:r w:rsidRPr="00F5659E" w:rsidR="00F87CB0">
        <w:t>.  </w:t>
      </w:r>
      <w:r w:rsidRPr="00F5659E" w:rsidR="00A94853">
        <w:t>As stated at paragraph 26 in</w:t>
      </w:r>
      <w:r w:rsidRPr="00F5659E" w:rsidR="007D5F26">
        <w:t xml:space="preserve"> </w:t>
      </w:r>
      <w:r w:rsidRPr="00F5659E" w:rsidR="00BA6431">
        <w:rPr>
          <w:i/>
        </w:rPr>
        <w:t xml:space="preserve">Healy v. Ireland, </w:t>
      </w:r>
      <w:r w:rsidRPr="00F5659E" w:rsidR="00722C99">
        <w:t>no. 27291/16, 18 </w:t>
      </w:r>
      <w:r w:rsidRPr="00F5659E" w:rsidR="00BA6431">
        <w:t>January 2018</w:t>
      </w:r>
      <w:r w:rsidRPr="00F5659E" w:rsidR="007D5F26">
        <w:t xml:space="preserve">, the Court recalls that the issue of whether the applicant </w:t>
      </w:r>
      <w:r w:rsidRPr="00F5659E" w:rsidR="00401351">
        <w:t xml:space="preserve">availed of the </w:t>
      </w:r>
      <w:r w:rsidRPr="00F5659E" w:rsidR="007D5F26">
        <w:t>means at his disposal to expedite the proceedings goes to the substance of the complaint under Article 6 § 1.</w:t>
      </w:r>
      <w:r w:rsidRPr="00F5659E" w:rsidR="005C1364">
        <w:t xml:space="preserve"> It will therefore examine it below.</w:t>
      </w:r>
    </w:p>
    <w:p w:rsidRPr="00F5659E" w:rsidR="003011AC" w:rsidP="00F5659E" w:rsidRDefault="005C4A0C">
      <w:pPr>
        <w:pStyle w:val="ECHRPara"/>
      </w:pPr>
      <w:r w:rsidRPr="00F5659E">
        <w:fldChar w:fldCharType="begin"/>
      </w:r>
      <w:r w:rsidRPr="00F5659E">
        <w:instrText xml:space="preserve"> SEQ level0 \*arabic </w:instrText>
      </w:r>
      <w:r w:rsidRPr="00F5659E">
        <w:fldChar w:fldCharType="separate"/>
      </w:r>
      <w:r w:rsidRPr="00F5659E" w:rsidR="00F5659E">
        <w:rPr>
          <w:noProof/>
        </w:rPr>
        <w:t>24</w:t>
      </w:r>
      <w:r w:rsidRPr="00F5659E">
        <w:fldChar w:fldCharType="end"/>
      </w:r>
      <w:r w:rsidRPr="00F5659E">
        <w:t>.  </w:t>
      </w:r>
      <w:r w:rsidRPr="00F5659E" w:rsidR="007D5F26">
        <w:t>Regarding the availability of a constitutional remedy in damages, the Court recalls that the domestic decisions made in the proceedings predated the</w:t>
      </w:r>
      <w:r w:rsidRPr="00F5659E" w:rsidR="00F073AC">
        <w:t xml:space="preserve"> clarification provided by the</w:t>
      </w:r>
      <w:r w:rsidRPr="00F5659E" w:rsidR="007D5F26">
        <w:t xml:space="preserve"> decision </w:t>
      </w:r>
      <w:r w:rsidRPr="00F5659E" w:rsidR="00C535E1">
        <w:t xml:space="preserve">in </w:t>
      </w:r>
      <w:r w:rsidRPr="00F5659E" w:rsidR="00C535E1">
        <w:rPr>
          <w:i/>
        </w:rPr>
        <w:t>Nash</w:t>
      </w:r>
      <w:r w:rsidRPr="00F5659E" w:rsidR="007D5F26">
        <w:t xml:space="preserve">. </w:t>
      </w:r>
      <w:r w:rsidRPr="00F5659E" w:rsidR="00FC79BB">
        <w:t>In</w:t>
      </w:r>
      <w:r w:rsidRPr="00F5659E" w:rsidR="007D5F26">
        <w:t xml:space="preserve"> these particular circumstances, and given the close affinity between the requirement under Article 35 § 1 to exhaust domestic remedies and the right under the Convention to an effective remedy (see </w:t>
      </w:r>
      <w:r w:rsidRPr="00F5659E" w:rsidR="007D5F26">
        <w:rPr>
          <w:i/>
        </w:rPr>
        <w:t>Kudła v. Poland</w:t>
      </w:r>
      <w:r w:rsidRPr="00F5659E" w:rsidR="00722C99">
        <w:t xml:space="preserve"> [GC], no. </w:t>
      </w:r>
      <w:r w:rsidRPr="00F5659E" w:rsidR="007D5F26">
        <w:t xml:space="preserve">30210/96, § 152, ECHR 2000-XI), the issue of exhaustion </w:t>
      </w:r>
      <w:r w:rsidRPr="00F5659E" w:rsidR="009376AC">
        <w:t xml:space="preserve">will </w:t>
      </w:r>
      <w:r w:rsidRPr="00F5659E" w:rsidR="007D5F26">
        <w:t>be joined to the merits of the complaint under Article 13</w:t>
      </w:r>
      <w:r w:rsidRPr="00F5659E" w:rsidR="009376AC">
        <w:t>.</w:t>
      </w:r>
    </w:p>
    <w:p w:rsidRPr="00F5659E" w:rsidR="00484691" w:rsidP="00F5659E" w:rsidRDefault="001B3E69">
      <w:pPr>
        <w:pStyle w:val="ECHRPara"/>
      </w:pPr>
      <w:r w:rsidRPr="00F5659E">
        <w:fldChar w:fldCharType="begin"/>
      </w:r>
      <w:r w:rsidRPr="00F5659E">
        <w:instrText xml:space="preserve"> SEQ level0 \*arabic </w:instrText>
      </w:r>
      <w:r w:rsidRPr="00F5659E">
        <w:fldChar w:fldCharType="separate"/>
      </w:r>
      <w:r w:rsidRPr="00F5659E" w:rsidR="00F5659E">
        <w:rPr>
          <w:noProof/>
        </w:rPr>
        <w:t>25</w:t>
      </w:r>
      <w:r w:rsidRPr="00F5659E">
        <w:fldChar w:fldCharType="end"/>
      </w:r>
      <w:r w:rsidRPr="00F5659E">
        <w:t>.  </w:t>
      </w:r>
      <w:r w:rsidRPr="00F5659E" w:rsidR="007E12F7">
        <w:t>Accordingly, the Court notes that these complaints are not manifestly ill-fou</w:t>
      </w:r>
      <w:r w:rsidRPr="00F5659E" w:rsidR="00306AB8">
        <w:t>nded or inadmissible on</w:t>
      </w:r>
      <w:r w:rsidRPr="00F5659E" w:rsidR="007E12F7">
        <w:t xml:space="preserve"> any other grounds, and must therefore be declared admissible.</w:t>
      </w:r>
    </w:p>
    <w:p w:rsidRPr="00F5659E" w:rsidR="002D562B" w:rsidP="00F5659E" w:rsidRDefault="001E3A05">
      <w:pPr>
        <w:pStyle w:val="ECHRHeading1"/>
      </w:pPr>
      <w:r w:rsidRPr="00F5659E">
        <w:t>II.  </w:t>
      </w:r>
      <w:r w:rsidRPr="00F5659E" w:rsidR="002D562B">
        <w:t>ALLEGED VIOLATION OF ARTICLE</w:t>
      </w:r>
      <w:r w:rsidRPr="00F5659E" w:rsidR="00536AAE">
        <w:t xml:space="preserve"> 6 § 1</w:t>
      </w:r>
      <w:r w:rsidRPr="00F5659E" w:rsidR="002D562B">
        <w:t xml:space="preserve"> OF THE CONVENTION</w:t>
      </w:r>
    </w:p>
    <w:p w:rsidRPr="00F5659E" w:rsidR="001E3A05" w:rsidP="00F5659E" w:rsidRDefault="001E3A05">
      <w:pPr>
        <w:pStyle w:val="ECHRHeading2"/>
      </w:pPr>
      <w:r w:rsidRPr="00F5659E">
        <w:t>A.  The parties</w:t>
      </w:r>
      <w:r w:rsidRPr="00F5659E" w:rsidR="00F5659E">
        <w:t>’</w:t>
      </w:r>
      <w:r w:rsidRPr="00F5659E">
        <w:t xml:space="preserve"> submissions</w:t>
      </w:r>
    </w:p>
    <w:p w:rsidRPr="00F5659E" w:rsidR="00FD04E7" w:rsidP="00F5659E" w:rsidRDefault="00FD04E7">
      <w:pPr>
        <w:pStyle w:val="ECHRHeading3"/>
      </w:pPr>
      <w:r w:rsidRPr="00F5659E">
        <w:t>1.  The applicant</w:t>
      </w:r>
    </w:p>
    <w:p w:rsidRPr="00F5659E" w:rsidR="00484691" w:rsidP="00F5659E" w:rsidRDefault="00FD04E7">
      <w:pPr>
        <w:pStyle w:val="ECHRPara"/>
      </w:pPr>
      <w:r w:rsidRPr="00F5659E">
        <w:fldChar w:fldCharType="begin"/>
      </w:r>
      <w:r w:rsidRPr="00F5659E">
        <w:instrText xml:space="preserve"> SEQ level0 \*arabic </w:instrText>
      </w:r>
      <w:r w:rsidRPr="00F5659E">
        <w:fldChar w:fldCharType="separate"/>
      </w:r>
      <w:r w:rsidRPr="00F5659E" w:rsidR="00F5659E">
        <w:rPr>
          <w:noProof/>
        </w:rPr>
        <w:t>26</w:t>
      </w:r>
      <w:r w:rsidRPr="00F5659E">
        <w:fldChar w:fldCharType="end"/>
      </w:r>
      <w:r w:rsidRPr="00F5659E">
        <w:t>.  </w:t>
      </w:r>
      <w:r w:rsidRPr="00F5659E" w:rsidR="005D3832">
        <w:t xml:space="preserve">The applicant submitted that the length of the domestic proceedings </w:t>
      </w:r>
      <w:r w:rsidRPr="00F5659E" w:rsidR="00493D32">
        <w:t xml:space="preserve">from commencement of the action in November 2002 to determination of the application for </w:t>
      </w:r>
      <w:r w:rsidRPr="00F5659E" w:rsidR="008350EF">
        <w:t>leave to</w:t>
      </w:r>
      <w:r w:rsidRPr="00F5659E" w:rsidR="00493D32">
        <w:t xml:space="preserve"> appeal on 10 </w:t>
      </w:r>
      <w:r w:rsidRPr="00F5659E" w:rsidR="008350EF">
        <w:t>May</w:t>
      </w:r>
      <w:r w:rsidRPr="00F5659E" w:rsidR="00493D32">
        <w:t xml:space="preserve"> 2016 </w:t>
      </w:r>
      <w:r w:rsidRPr="00F5659E" w:rsidR="005D3832">
        <w:t>had been excessive</w:t>
      </w:r>
      <w:r w:rsidRPr="00F5659E" w:rsidR="00E854D1">
        <w:t xml:space="preserve"> (</w:t>
      </w:r>
      <w:r w:rsidRPr="00F5659E" w:rsidR="00D01FBC">
        <w:t>around</w:t>
      </w:r>
      <w:r w:rsidRPr="00F5659E" w:rsidR="00E854D1">
        <w:t xml:space="preserve"> thirteen years and six months in total)</w:t>
      </w:r>
      <w:r w:rsidRPr="00F5659E" w:rsidR="005D3832">
        <w:t xml:space="preserve">. In particular, he </w:t>
      </w:r>
      <w:r w:rsidRPr="00F5659E" w:rsidR="0063550F">
        <w:t>pointed to several discrete periods of delay.</w:t>
      </w:r>
    </w:p>
    <w:p w:rsidRPr="00F5659E" w:rsidR="00493D32" w:rsidP="00F5659E" w:rsidRDefault="00253CF2">
      <w:pPr>
        <w:pStyle w:val="ECHRPara"/>
      </w:pPr>
      <w:r w:rsidRPr="00F5659E">
        <w:fldChar w:fldCharType="begin"/>
      </w:r>
      <w:r w:rsidRPr="00F5659E">
        <w:instrText xml:space="preserve"> SEQ level0 \*arabic </w:instrText>
      </w:r>
      <w:r w:rsidRPr="00F5659E">
        <w:fldChar w:fldCharType="separate"/>
      </w:r>
      <w:r w:rsidRPr="00F5659E" w:rsidR="00F5659E">
        <w:rPr>
          <w:noProof/>
        </w:rPr>
        <w:t>27</w:t>
      </w:r>
      <w:r w:rsidRPr="00F5659E">
        <w:fldChar w:fldCharType="end"/>
      </w:r>
      <w:r w:rsidRPr="00F5659E">
        <w:t>.  </w:t>
      </w:r>
      <w:r w:rsidRPr="00F5659E" w:rsidR="0063550F">
        <w:t>Firstly, he asserted</w:t>
      </w:r>
      <w:r w:rsidRPr="00F5659E" w:rsidR="002A5F88">
        <w:t xml:space="preserve"> that the </w:t>
      </w:r>
      <w:r w:rsidRPr="00F5659E" w:rsidR="002F6168">
        <w:t>local health authority</w:t>
      </w:r>
      <w:r w:rsidRPr="00F5659E" w:rsidR="002A5F88">
        <w:t xml:space="preserve"> had not complied with order </w:t>
      </w:r>
      <w:r w:rsidRPr="00F5659E" w:rsidR="00FB62B2">
        <w:t xml:space="preserve">of </w:t>
      </w:r>
      <w:r w:rsidRPr="00F5659E" w:rsidR="002A5F88">
        <w:t>discovery</w:t>
      </w:r>
      <w:r w:rsidRPr="00F5659E" w:rsidR="0063550F">
        <w:t xml:space="preserve"> of</w:t>
      </w:r>
      <w:r w:rsidRPr="00F5659E" w:rsidR="009A5C75">
        <w:t xml:space="preserve"> the</w:t>
      </w:r>
      <w:r w:rsidRPr="00F5659E" w:rsidR="002A556A">
        <w:t xml:space="preserve"> Deputy Master in the</w:t>
      </w:r>
      <w:r w:rsidRPr="00F5659E" w:rsidR="009A5C75">
        <w:t xml:space="preserve"> High Court</w:t>
      </w:r>
      <w:r w:rsidRPr="00F5659E" w:rsidR="00A4197A">
        <w:t xml:space="preserve"> dated</w:t>
      </w:r>
      <w:r w:rsidRPr="00F5659E" w:rsidR="002A5F88">
        <w:t xml:space="preserve"> </w:t>
      </w:r>
      <w:r w:rsidRPr="00F5659E" w:rsidR="004F502C">
        <w:t>5 </w:t>
      </w:r>
      <w:r w:rsidRPr="00F5659E" w:rsidR="002A5F88">
        <w:t>August 2003</w:t>
      </w:r>
      <w:r w:rsidRPr="00F5659E" w:rsidR="00A4197A">
        <w:t xml:space="preserve"> and</w:t>
      </w:r>
      <w:r w:rsidRPr="00F5659E" w:rsidR="002A556A">
        <w:t xml:space="preserve"> the order of discovery of the High Court on</w:t>
      </w:r>
      <w:r w:rsidRPr="00F5659E" w:rsidR="00A4197A">
        <w:t xml:space="preserve"> </w:t>
      </w:r>
      <w:r w:rsidRPr="00F5659E" w:rsidR="0031670D">
        <w:t xml:space="preserve">30 </w:t>
      </w:r>
      <w:r w:rsidRPr="00F5659E" w:rsidR="00A4197A">
        <w:t>January 2004</w:t>
      </w:r>
      <w:r w:rsidRPr="00F5659E" w:rsidR="002A5F88">
        <w:t xml:space="preserve"> until June 2008</w:t>
      </w:r>
      <w:r w:rsidRPr="00F5659E" w:rsidR="00243693">
        <w:t xml:space="preserve"> (a </w:t>
      </w:r>
      <w:r w:rsidRPr="00F5659E" w:rsidR="00E9412A">
        <w:t xml:space="preserve">duration </w:t>
      </w:r>
      <w:r w:rsidRPr="00F5659E" w:rsidR="00243693">
        <w:t xml:space="preserve">of around four years and </w:t>
      </w:r>
      <w:r w:rsidRPr="00F5659E" w:rsidR="00A4197A">
        <w:t>ten</w:t>
      </w:r>
      <w:r w:rsidRPr="00F5659E" w:rsidR="00243693">
        <w:t xml:space="preserve"> months)</w:t>
      </w:r>
      <w:r w:rsidRPr="00F5659E" w:rsidR="002A5F88">
        <w:t xml:space="preserve">. </w:t>
      </w:r>
      <w:r w:rsidRPr="00F5659E" w:rsidR="00A4197A">
        <w:t>Secondly, he complained that the period of two years and six months from January 2004 to July 2006 for the determination of an appeal and cross</w:t>
      </w:r>
      <w:r w:rsidRPr="00F5659E" w:rsidR="004F502C">
        <w:noBreakHyphen/>
      </w:r>
      <w:r w:rsidRPr="00F5659E" w:rsidR="00A4197A">
        <w:t>appeal to the Supreme Court in respect of the order of discovery made in January 2004 was excessive and unreasonable.</w:t>
      </w:r>
      <w:r w:rsidRPr="00F5659E" w:rsidR="00336C38">
        <w:t xml:space="preserve"> </w:t>
      </w:r>
      <w:r w:rsidRPr="00F5659E" w:rsidR="00A4197A">
        <w:t>Thirdly, he complained that the period of twenty months from the issue of a motion seeking the defence of the State defendants to be set aside in May 2008 until its determination in March 2010 was excessive. Finally, he claimed that the period of four years for the appeal of the final order dated 19 December 2011 dismissing his case</w:t>
      </w:r>
      <w:r w:rsidRPr="00F5659E" w:rsidR="0071189B">
        <w:t xml:space="preserve"> to be heard, and a further four months until de</w:t>
      </w:r>
      <w:r w:rsidRPr="00F5659E" w:rsidR="000F12CF">
        <w:t>livery of the judgment of the</w:t>
      </w:r>
      <w:r w:rsidRPr="00F5659E" w:rsidR="00A4197A">
        <w:t xml:space="preserve"> Court of Appeal</w:t>
      </w:r>
      <w:r w:rsidRPr="00F5659E" w:rsidR="000F12CF">
        <w:t xml:space="preserve"> </w:t>
      </w:r>
      <w:r w:rsidRPr="00F5659E" w:rsidR="004F502C">
        <w:t>on 10</w:t>
      </w:r>
      <w:r w:rsidRPr="00F5659E" w:rsidR="00336C38">
        <w:t xml:space="preserve"> </w:t>
      </w:r>
      <w:r w:rsidRPr="00F5659E" w:rsidR="00A4197A">
        <w:t>February 2016 was excessive and unreasonable.</w:t>
      </w:r>
    </w:p>
    <w:p w:rsidRPr="00F5659E" w:rsidR="00484691" w:rsidP="00F5659E" w:rsidRDefault="00202A2C">
      <w:pPr>
        <w:pStyle w:val="ECHRPara"/>
      </w:pPr>
      <w:r w:rsidRPr="00F5659E">
        <w:fldChar w:fldCharType="begin"/>
      </w:r>
      <w:r w:rsidRPr="00F5659E">
        <w:instrText xml:space="preserve"> SEQ level0 \*arabic </w:instrText>
      </w:r>
      <w:r w:rsidRPr="00F5659E">
        <w:fldChar w:fldCharType="separate"/>
      </w:r>
      <w:r w:rsidRPr="00F5659E" w:rsidR="00F5659E">
        <w:rPr>
          <w:noProof/>
        </w:rPr>
        <w:t>28</w:t>
      </w:r>
      <w:r w:rsidRPr="00F5659E">
        <w:fldChar w:fldCharType="end"/>
      </w:r>
      <w:r w:rsidRPr="00F5659E">
        <w:t>.  </w:t>
      </w:r>
      <w:r w:rsidRPr="00F5659E" w:rsidR="00A657D6">
        <w:t>The applicant clarified that after the High Court had made</w:t>
      </w:r>
      <w:r w:rsidRPr="00F5659E" w:rsidR="004401A5">
        <w:t xml:space="preserve"> an order of limited discovery o</w:t>
      </w:r>
      <w:r w:rsidRPr="00F5659E" w:rsidR="00A657D6">
        <w:t>n</w:t>
      </w:r>
      <w:r w:rsidRPr="00F5659E" w:rsidR="004401A5">
        <w:t xml:space="preserve"> 5</w:t>
      </w:r>
      <w:r w:rsidRPr="00F5659E" w:rsidR="00A657D6">
        <w:t xml:space="preserve"> August 2003, additional discovery was ordered </w:t>
      </w:r>
      <w:r w:rsidRPr="00F5659E" w:rsidR="00966865">
        <w:t xml:space="preserve">on appeal </w:t>
      </w:r>
      <w:r w:rsidRPr="00F5659E" w:rsidR="004401A5">
        <w:t>on 30</w:t>
      </w:r>
      <w:r w:rsidRPr="00F5659E" w:rsidR="00A657D6">
        <w:t xml:space="preserve"> January 2004. While that order was</w:t>
      </w:r>
      <w:r w:rsidRPr="00F5659E" w:rsidR="00966865">
        <w:t xml:space="preserve"> further </w:t>
      </w:r>
      <w:r w:rsidRPr="00F5659E" w:rsidR="00A657D6">
        <w:t xml:space="preserve">appealed to the Supreme Court, and was not determined until </w:t>
      </w:r>
      <w:r w:rsidRPr="00F5659E" w:rsidR="00B05AA9">
        <w:t xml:space="preserve">21 </w:t>
      </w:r>
      <w:r w:rsidRPr="00F5659E" w:rsidR="00A657D6">
        <w:t>July 2006, the applicant submitted that the judicially imposed duty on several of the State defendants to provide the discovery ordered had existed since at the latest January 2004</w:t>
      </w:r>
      <w:r w:rsidRPr="00F5659E" w:rsidR="00204E7B">
        <w:t xml:space="preserve"> and </w:t>
      </w:r>
      <w:r w:rsidRPr="00F5659E" w:rsidR="00735B75">
        <w:t xml:space="preserve">that </w:t>
      </w:r>
      <w:r w:rsidRPr="00F5659E" w:rsidR="00204E7B">
        <w:t xml:space="preserve">no stay on the orders </w:t>
      </w:r>
      <w:r w:rsidRPr="00F5659E" w:rsidR="004233BA">
        <w:t>had been</w:t>
      </w:r>
      <w:r w:rsidRPr="00F5659E" w:rsidR="00204E7B">
        <w:t xml:space="preserve"> in place</w:t>
      </w:r>
      <w:r w:rsidRPr="00F5659E" w:rsidR="00A657D6">
        <w:t>.</w:t>
      </w:r>
    </w:p>
    <w:p w:rsidRPr="00F5659E" w:rsidR="00484691" w:rsidP="00F5659E" w:rsidRDefault="004401A5">
      <w:pPr>
        <w:pStyle w:val="ECHRPara"/>
      </w:pPr>
      <w:r w:rsidRPr="00F5659E">
        <w:fldChar w:fldCharType="begin"/>
      </w:r>
      <w:r w:rsidRPr="00F5659E">
        <w:instrText xml:space="preserve"> SEQ level0 \*arabic </w:instrText>
      </w:r>
      <w:r w:rsidRPr="00F5659E">
        <w:fldChar w:fldCharType="separate"/>
      </w:r>
      <w:r w:rsidRPr="00F5659E" w:rsidR="00F5659E">
        <w:rPr>
          <w:noProof/>
        </w:rPr>
        <w:t>29</w:t>
      </w:r>
      <w:r w:rsidRPr="00F5659E">
        <w:fldChar w:fldCharType="end"/>
      </w:r>
      <w:r w:rsidRPr="00F5659E">
        <w:t>.  </w:t>
      </w:r>
      <w:r w:rsidRPr="00F5659E" w:rsidR="00A657D6">
        <w:t>The applicant submitted that the Supreme Court, on determining the app</w:t>
      </w:r>
      <w:r w:rsidRPr="00F5659E" w:rsidR="00B92D3C">
        <w:t>eal of the order of discovery on 21</w:t>
      </w:r>
      <w:r w:rsidRPr="00F5659E" w:rsidR="00A657D6">
        <w:t xml:space="preserve"> July 2006, had ordered that the outstanding discovery be made by the State defendants within sixteen weeks from the date of the order. However, disc</w:t>
      </w:r>
      <w:r w:rsidRPr="00F5659E" w:rsidR="00B92D3C">
        <w:t>overy was not</w:t>
      </w:r>
      <w:r w:rsidRPr="00F5659E" w:rsidR="00A435A0">
        <w:t xml:space="preserve"> </w:t>
      </w:r>
      <w:r w:rsidRPr="00F5659E" w:rsidR="00722C99">
        <w:t>made until June </w:t>
      </w:r>
      <w:r w:rsidRPr="00F5659E" w:rsidR="00B92D3C">
        <w:t>2008.</w:t>
      </w:r>
    </w:p>
    <w:p w:rsidRPr="00F5659E" w:rsidR="00484691" w:rsidP="00F5659E" w:rsidRDefault="00202A2C">
      <w:pPr>
        <w:pStyle w:val="ECHRPara"/>
      </w:pPr>
      <w:r w:rsidRPr="00F5659E">
        <w:fldChar w:fldCharType="begin"/>
      </w:r>
      <w:r w:rsidRPr="00F5659E">
        <w:instrText xml:space="preserve"> SEQ level0 \*arabic </w:instrText>
      </w:r>
      <w:r w:rsidRPr="00F5659E">
        <w:fldChar w:fldCharType="separate"/>
      </w:r>
      <w:r w:rsidRPr="00F5659E" w:rsidR="00F5659E">
        <w:rPr>
          <w:noProof/>
        </w:rPr>
        <w:t>30</w:t>
      </w:r>
      <w:r w:rsidRPr="00F5659E">
        <w:fldChar w:fldCharType="end"/>
      </w:r>
      <w:r w:rsidRPr="00F5659E">
        <w:t>.  </w:t>
      </w:r>
      <w:r w:rsidRPr="00F5659E" w:rsidR="00493D32">
        <w:t>The applicant</w:t>
      </w:r>
      <w:r w:rsidRPr="00F5659E" w:rsidR="00646611">
        <w:t xml:space="preserve"> refuted the submission of the Government that the complexity of the litigation had justified the length of time taken to comply with the orders of discovery made. He pointed out that the Government had alleged</w:t>
      </w:r>
      <w:r w:rsidRPr="00F5659E" w:rsidR="00EF4F2E">
        <w:t xml:space="preserve"> during the domestic proceedings</w:t>
      </w:r>
      <w:r w:rsidRPr="00F5659E" w:rsidR="00646611">
        <w:t xml:space="preserve"> that his case was entirely devoid of merit.</w:t>
      </w:r>
    </w:p>
    <w:p w:rsidRPr="00F5659E" w:rsidR="00202A2C" w:rsidP="00F5659E" w:rsidRDefault="00202A2C">
      <w:pPr>
        <w:pStyle w:val="ECHRPara"/>
      </w:pPr>
      <w:r w:rsidRPr="00F5659E">
        <w:fldChar w:fldCharType="begin"/>
      </w:r>
      <w:r w:rsidRPr="00F5659E">
        <w:instrText xml:space="preserve"> SEQ level0 \*arabic </w:instrText>
      </w:r>
      <w:r w:rsidRPr="00F5659E">
        <w:fldChar w:fldCharType="separate"/>
      </w:r>
      <w:r w:rsidRPr="00F5659E" w:rsidR="00F5659E">
        <w:rPr>
          <w:noProof/>
        </w:rPr>
        <w:t>31</w:t>
      </w:r>
      <w:r w:rsidRPr="00F5659E">
        <w:fldChar w:fldCharType="end"/>
      </w:r>
      <w:r w:rsidRPr="00F5659E">
        <w:t>.  In response to the Government</w:t>
      </w:r>
      <w:r w:rsidRPr="00F5659E" w:rsidR="00F5659E">
        <w:t>’</w:t>
      </w:r>
      <w:r w:rsidRPr="00F5659E">
        <w:t xml:space="preserve">s assertion that his delay in filing written submissions in respect of the appeal against the orders of discovery and the </w:t>
      </w:r>
      <w:r w:rsidRPr="00F5659E" w:rsidR="0034178F">
        <w:t>High Court decision of 19 December 2011</w:t>
      </w:r>
      <w:r w:rsidRPr="00F5659E">
        <w:t xml:space="preserve"> significantly impeded the progress of those matters, the applicant rejected this proposition. He submitted that he had correctly followed the relevant </w:t>
      </w:r>
      <w:r w:rsidRPr="00F5659E" w:rsidR="00D953B2">
        <w:t>procedural rules in respect of both appeals.</w:t>
      </w:r>
    </w:p>
    <w:p w:rsidRPr="00F5659E" w:rsidR="00484691" w:rsidP="00F5659E" w:rsidRDefault="00981E5B">
      <w:pPr>
        <w:pStyle w:val="ECHRPara"/>
      </w:pPr>
      <w:r w:rsidRPr="00F5659E">
        <w:fldChar w:fldCharType="begin"/>
      </w:r>
      <w:r w:rsidRPr="00F5659E">
        <w:instrText xml:space="preserve"> SEQ level0 \*arabic </w:instrText>
      </w:r>
      <w:r w:rsidRPr="00F5659E">
        <w:fldChar w:fldCharType="separate"/>
      </w:r>
      <w:r w:rsidRPr="00F5659E" w:rsidR="00F5659E">
        <w:rPr>
          <w:noProof/>
        </w:rPr>
        <w:t>32</w:t>
      </w:r>
      <w:r w:rsidRPr="00F5659E">
        <w:fldChar w:fldCharType="end"/>
      </w:r>
      <w:r w:rsidRPr="00F5659E">
        <w:t>.  The applicant</w:t>
      </w:r>
      <w:r w:rsidRPr="00F5659E" w:rsidR="00062406">
        <w:t xml:space="preserve"> maintained that the establishment of the Court of Appeal could not be relied upon by the Government to justify the delay in hearing his appeal against the High Court decision.</w:t>
      </w:r>
    </w:p>
    <w:p w:rsidRPr="00F5659E" w:rsidR="00FD04E7" w:rsidP="00F5659E" w:rsidRDefault="00FD04E7">
      <w:pPr>
        <w:pStyle w:val="ECHRHeading3"/>
      </w:pPr>
      <w:r w:rsidRPr="00F5659E">
        <w:t>2</w:t>
      </w:r>
      <w:r w:rsidRPr="00F5659E" w:rsidR="004F502C">
        <w:t>.  </w:t>
      </w:r>
      <w:r w:rsidRPr="00F5659E">
        <w:t>The Government</w:t>
      </w:r>
    </w:p>
    <w:p w:rsidRPr="00F5659E" w:rsidR="00484691" w:rsidP="00F5659E" w:rsidRDefault="00C36CC2">
      <w:pPr>
        <w:pStyle w:val="ECHRPara"/>
      </w:pPr>
      <w:r w:rsidRPr="00F5659E">
        <w:fldChar w:fldCharType="begin"/>
      </w:r>
      <w:r w:rsidRPr="00F5659E">
        <w:instrText xml:space="preserve"> SEQ level0 \*arabic </w:instrText>
      </w:r>
      <w:r w:rsidRPr="00F5659E">
        <w:fldChar w:fldCharType="separate"/>
      </w:r>
      <w:r w:rsidRPr="00F5659E" w:rsidR="00F5659E">
        <w:rPr>
          <w:noProof/>
        </w:rPr>
        <w:t>33</w:t>
      </w:r>
      <w:r w:rsidRPr="00F5659E">
        <w:fldChar w:fldCharType="end"/>
      </w:r>
      <w:r w:rsidRPr="00F5659E">
        <w:t>.  </w:t>
      </w:r>
      <w:r w:rsidRPr="00F5659E" w:rsidR="00662D32">
        <w:t>The Government did not accept that there was delay by the local health authority in complying with t</w:t>
      </w:r>
      <w:r w:rsidRPr="00F5659E" w:rsidR="000A2151">
        <w:t>he first order of discovery. The order</w:t>
      </w:r>
      <w:r w:rsidRPr="00F5659E" w:rsidR="007B77E5">
        <w:t>s</w:t>
      </w:r>
      <w:r w:rsidRPr="00F5659E" w:rsidR="000A2151">
        <w:t xml:space="preserve"> of discovery</w:t>
      </w:r>
      <w:r w:rsidRPr="00F5659E" w:rsidR="004F502C">
        <w:t xml:space="preserve"> of 5 August 2003 and 30 </w:t>
      </w:r>
      <w:r w:rsidRPr="00F5659E" w:rsidR="007B77E5">
        <w:t>January 2004</w:t>
      </w:r>
      <w:r w:rsidRPr="00F5659E" w:rsidR="000A2151">
        <w:t xml:space="preserve"> had not in fact been </w:t>
      </w:r>
      <w:r w:rsidRPr="00F5659E" w:rsidR="00F5659E">
        <w:t>‘</w:t>
      </w:r>
      <w:r w:rsidRPr="00F5659E" w:rsidR="000A2151">
        <w:t>finalised</w:t>
      </w:r>
      <w:r w:rsidRPr="00F5659E" w:rsidR="00F5659E">
        <w:t>’</w:t>
      </w:r>
      <w:r w:rsidRPr="00F5659E" w:rsidR="000A2151">
        <w:t xml:space="preserve"> until after an appeal to the Supreme Court which resulted in an amended ord</w:t>
      </w:r>
      <w:r w:rsidRPr="00F5659E" w:rsidR="00745007">
        <w:t>er of discovery dated July 2006. In this respect, the Government asserted that the applicant</w:t>
      </w:r>
      <w:r w:rsidRPr="00F5659E" w:rsidR="00F5659E">
        <w:t>’</w:t>
      </w:r>
      <w:r w:rsidRPr="00F5659E" w:rsidR="00745007">
        <w:t>s view that discovery ought to have been made</w:t>
      </w:r>
      <w:r w:rsidRPr="00F5659E" w:rsidR="00E42265">
        <w:t xml:space="preserve"> pending appeal was unrealistic and impractical.</w:t>
      </w:r>
    </w:p>
    <w:p w:rsidRPr="00F5659E" w:rsidR="00C36CC2" w:rsidP="00F5659E" w:rsidRDefault="00745007">
      <w:pPr>
        <w:pStyle w:val="ECHRPara"/>
      </w:pPr>
      <w:r w:rsidRPr="00F5659E">
        <w:fldChar w:fldCharType="begin"/>
      </w:r>
      <w:r w:rsidRPr="00F5659E">
        <w:instrText xml:space="preserve"> SEQ level0 \*arabic </w:instrText>
      </w:r>
      <w:r w:rsidRPr="00F5659E">
        <w:fldChar w:fldCharType="separate"/>
      </w:r>
      <w:r w:rsidRPr="00F5659E" w:rsidR="00F5659E">
        <w:rPr>
          <w:noProof/>
        </w:rPr>
        <w:t>34</w:t>
      </w:r>
      <w:r w:rsidRPr="00F5659E">
        <w:fldChar w:fldCharType="end"/>
      </w:r>
      <w:r w:rsidRPr="00F5659E">
        <w:t>.  </w:t>
      </w:r>
      <w:r w:rsidRPr="00F5659E" w:rsidR="004266BB">
        <w:t xml:space="preserve">They </w:t>
      </w:r>
      <w:r w:rsidRPr="00F5659E" w:rsidR="000A2151">
        <w:t>also pointed to the</w:t>
      </w:r>
      <w:r w:rsidRPr="00F5659E" w:rsidR="00662D32">
        <w:t xml:space="preserve"> scale, complexity, geographical and historical span of the discovery req</w:t>
      </w:r>
      <w:r w:rsidRPr="00F5659E" w:rsidR="00827BCF">
        <w:t xml:space="preserve">uired. </w:t>
      </w:r>
      <w:r w:rsidRPr="00F5659E" w:rsidR="00D73302">
        <w:t xml:space="preserve">The Government further noted that the local health authority was replaced by and incorporated into a new national institution (the Health Service Executive) </w:t>
      </w:r>
      <w:r w:rsidRPr="00F5659E" w:rsidR="0050402C">
        <w:t>in 2004</w:t>
      </w:r>
      <w:r w:rsidRPr="00F5659E" w:rsidR="00D73302">
        <w:t>, exacerbating the difficulties it faced in making discovery.</w:t>
      </w:r>
    </w:p>
    <w:p w:rsidRPr="00F5659E" w:rsidR="003011AC" w:rsidP="00F5659E" w:rsidRDefault="0014565D">
      <w:pPr>
        <w:pStyle w:val="ECHRPara"/>
      </w:pPr>
      <w:r w:rsidRPr="00F5659E">
        <w:fldChar w:fldCharType="begin"/>
      </w:r>
      <w:r w:rsidRPr="00F5659E">
        <w:instrText xml:space="preserve"> SEQ level0 \*arabic </w:instrText>
      </w:r>
      <w:r w:rsidRPr="00F5659E">
        <w:fldChar w:fldCharType="separate"/>
      </w:r>
      <w:r w:rsidRPr="00F5659E" w:rsidR="00F5659E">
        <w:rPr>
          <w:noProof/>
        </w:rPr>
        <w:t>35</w:t>
      </w:r>
      <w:r w:rsidRPr="00F5659E">
        <w:fldChar w:fldCharType="end"/>
      </w:r>
      <w:r w:rsidRPr="00F5659E">
        <w:t>.  </w:t>
      </w:r>
      <w:r w:rsidRPr="00F5659E" w:rsidR="00E363F2">
        <w:t xml:space="preserve">It was submitted on behalf of the Government that the applicant bore considerable responsibility for the length of the proceedings. </w:t>
      </w:r>
      <w:r w:rsidRPr="00F5659E" w:rsidR="004266BB">
        <w:t>I</w:t>
      </w:r>
      <w:r w:rsidRPr="00F5659E" w:rsidR="00DB1BD0">
        <w:t>n particular</w:t>
      </w:r>
      <w:r w:rsidRPr="00F5659E" w:rsidR="004266BB">
        <w:t>,</w:t>
      </w:r>
      <w:r w:rsidRPr="00F5659E" w:rsidR="00DB1BD0">
        <w:t xml:space="preserve"> while the applicant had lodged an appeal of the order of discovery</w:t>
      </w:r>
      <w:r w:rsidRPr="00F5659E" w:rsidR="00722C99">
        <w:t xml:space="preserve"> of 30 </w:t>
      </w:r>
      <w:r w:rsidRPr="00F5659E" w:rsidR="005D4C3D">
        <w:t>January 2004 that same year</w:t>
      </w:r>
      <w:r w:rsidRPr="00F5659E" w:rsidR="00DB1BD0">
        <w:t>, he had not filed complete books of appeal and submission</w:t>
      </w:r>
      <w:r w:rsidRPr="00F5659E" w:rsidR="00B54EA2">
        <w:t>s</w:t>
      </w:r>
      <w:r w:rsidRPr="00F5659E" w:rsidR="00DB1BD0">
        <w:t xml:space="preserve"> until June 2006.</w:t>
      </w:r>
    </w:p>
    <w:p w:rsidRPr="00F5659E" w:rsidR="003011AC" w:rsidP="00F5659E" w:rsidRDefault="0014565D">
      <w:pPr>
        <w:pStyle w:val="ECHRPara"/>
      </w:pPr>
      <w:r w:rsidRPr="00F5659E">
        <w:fldChar w:fldCharType="begin"/>
      </w:r>
      <w:r w:rsidRPr="00F5659E">
        <w:instrText xml:space="preserve"> SEQ level0 \*arabic </w:instrText>
      </w:r>
      <w:r w:rsidRPr="00F5659E">
        <w:fldChar w:fldCharType="separate"/>
      </w:r>
      <w:r w:rsidRPr="00F5659E" w:rsidR="00F5659E">
        <w:rPr>
          <w:noProof/>
        </w:rPr>
        <w:t>36</w:t>
      </w:r>
      <w:r w:rsidRPr="00F5659E">
        <w:fldChar w:fldCharType="end"/>
      </w:r>
      <w:r w:rsidRPr="00F5659E">
        <w:t>.  </w:t>
      </w:r>
      <w:r w:rsidRPr="00F5659E" w:rsidR="00597BBD">
        <w:t>The Government asserted that the applicant did not take any steps to further the proceedings between June 2008 and March 2010, when an application to set aside the defence of the State defendants was heard.</w:t>
      </w:r>
    </w:p>
    <w:p w:rsidRPr="00F5659E" w:rsidR="00484691" w:rsidP="00F5659E" w:rsidRDefault="0054149D">
      <w:pPr>
        <w:pStyle w:val="ECHRPara"/>
      </w:pPr>
      <w:r w:rsidRPr="00F5659E">
        <w:fldChar w:fldCharType="begin"/>
      </w:r>
      <w:r w:rsidRPr="00F5659E">
        <w:instrText xml:space="preserve"> SEQ level0 \*arabic </w:instrText>
      </w:r>
      <w:r w:rsidRPr="00F5659E">
        <w:fldChar w:fldCharType="separate"/>
      </w:r>
      <w:r w:rsidRPr="00F5659E" w:rsidR="00F5659E">
        <w:rPr>
          <w:noProof/>
        </w:rPr>
        <w:t>37</w:t>
      </w:r>
      <w:r w:rsidRPr="00F5659E">
        <w:fldChar w:fldCharType="end"/>
      </w:r>
      <w:r w:rsidRPr="00F5659E">
        <w:t>.  </w:t>
      </w:r>
      <w:r w:rsidRPr="00F5659E" w:rsidR="00597BBD">
        <w:t>With respect to the appeal o</w:t>
      </w:r>
      <w:r w:rsidRPr="00F5659E" w:rsidR="004F502C">
        <w:t>f the High Court decision of 19 </w:t>
      </w:r>
      <w:r w:rsidRPr="00F5659E" w:rsidR="00597BBD">
        <w:t xml:space="preserve">December 2011, </w:t>
      </w:r>
      <w:r w:rsidRPr="00F5659E" w:rsidR="00083E3E">
        <w:t>the Government submitted that the applicant had failed to pursue the appeal with reasonable diligence</w:t>
      </w:r>
      <w:r w:rsidRPr="00F5659E" w:rsidR="00DC27D6">
        <w:t xml:space="preserve"> as he</w:t>
      </w:r>
      <w:r w:rsidRPr="00F5659E" w:rsidR="00083E3E">
        <w:t xml:space="preserve"> had not filed his submissions until 1 July 2014, when he also made a successful application for priority.</w:t>
      </w:r>
    </w:p>
    <w:p w:rsidRPr="00F5659E" w:rsidR="00597BBD" w:rsidP="00F5659E" w:rsidRDefault="00116ED6">
      <w:pPr>
        <w:pStyle w:val="ECHRPara"/>
      </w:pPr>
      <w:r w:rsidRPr="00F5659E">
        <w:fldChar w:fldCharType="begin"/>
      </w:r>
      <w:r w:rsidRPr="00F5659E">
        <w:instrText xml:space="preserve"> SEQ level0 \*arabic </w:instrText>
      </w:r>
      <w:r w:rsidRPr="00F5659E">
        <w:fldChar w:fldCharType="separate"/>
      </w:r>
      <w:r w:rsidRPr="00F5659E" w:rsidR="00F5659E">
        <w:rPr>
          <w:noProof/>
        </w:rPr>
        <w:t>38</w:t>
      </w:r>
      <w:r w:rsidRPr="00F5659E">
        <w:fldChar w:fldCharType="end"/>
      </w:r>
      <w:r w:rsidRPr="00F5659E">
        <w:t>.  </w:t>
      </w:r>
      <w:r w:rsidRPr="00F5659E" w:rsidR="00083E3E">
        <w:t>The Government submitted that matters were then overtaken by the establishment of the Court of Appeal in October 2014, with the appeal being heard one year later in October 2015 and</w:t>
      </w:r>
      <w:r w:rsidRPr="00F5659E" w:rsidR="004F502C">
        <w:t xml:space="preserve"> judgment being delivered on 10 </w:t>
      </w:r>
      <w:r w:rsidRPr="00F5659E" w:rsidR="00083E3E">
        <w:t>February 2016.</w:t>
      </w:r>
      <w:r w:rsidRPr="00F5659E" w:rsidR="00D734EA">
        <w:t xml:space="preserve"> The Government </w:t>
      </w:r>
      <w:r w:rsidRPr="00F5659E">
        <w:t>considered</w:t>
      </w:r>
      <w:r w:rsidRPr="00F5659E" w:rsidR="00D734EA">
        <w:t xml:space="preserve"> that </w:t>
      </w:r>
      <w:r w:rsidRPr="00F5659E" w:rsidR="00B763F3">
        <w:t xml:space="preserve">no delay relating to the </w:t>
      </w:r>
      <w:r w:rsidRPr="00F5659E" w:rsidR="00B0007E">
        <w:t xml:space="preserve">conduct of the </w:t>
      </w:r>
      <w:r w:rsidRPr="00F5659E" w:rsidR="00B763F3">
        <w:t>appeal had been attributable to the State.</w:t>
      </w:r>
    </w:p>
    <w:p w:rsidRPr="00F5659E" w:rsidR="001E3A05" w:rsidP="00F5659E" w:rsidRDefault="001E3A05">
      <w:pPr>
        <w:pStyle w:val="ECHRHeading2"/>
      </w:pPr>
      <w:r w:rsidRPr="00F5659E">
        <w:t>B.  The Court</w:t>
      </w:r>
      <w:r w:rsidRPr="00F5659E" w:rsidR="00F5659E">
        <w:t>’</w:t>
      </w:r>
      <w:r w:rsidRPr="00F5659E">
        <w:t>s assessment</w:t>
      </w:r>
    </w:p>
    <w:p w:rsidRPr="00F5659E" w:rsidR="00AC12F5" w:rsidP="00F5659E" w:rsidRDefault="00C36CC2">
      <w:pPr>
        <w:pStyle w:val="ECHRPara"/>
      </w:pPr>
      <w:r w:rsidRPr="00F5659E">
        <w:fldChar w:fldCharType="begin"/>
      </w:r>
      <w:r w:rsidRPr="00F5659E">
        <w:instrText xml:space="preserve"> SEQ level0 \*arabic </w:instrText>
      </w:r>
      <w:r w:rsidRPr="00F5659E">
        <w:fldChar w:fldCharType="separate"/>
      </w:r>
      <w:r w:rsidRPr="00F5659E" w:rsidR="00F5659E">
        <w:rPr>
          <w:noProof/>
        </w:rPr>
        <w:t>39</w:t>
      </w:r>
      <w:r w:rsidRPr="00F5659E">
        <w:fldChar w:fldCharType="end"/>
      </w:r>
      <w:r w:rsidRPr="00F5659E">
        <w:t>.  </w:t>
      </w:r>
      <w:r w:rsidRPr="00F5659E" w:rsidR="00AC12F5">
        <w:t xml:space="preserve">The </w:t>
      </w:r>
      <w:r w:rsidRPr="00F5659E" w:rsidR="009D76AD">
        <w:t>Court notes that the proceedings</w:t>
      </w:r>
      <w:r w:rsidRPr="00F5659E" w:rsidR="00AC12F5">
        <w:t xml:space="preserve"> commenced in November 200</w:t>
      </w:r>
      <w:r w:rsidRPr="00F5659E" w:rsidR="00E25301">
        <w:t>2 and terminated on 10 May 2016. The overall duration was therefore</w:t>
      </w:r>
      <w:r w:rsidRPr="00F5659E" w:rsidR="00AC12F5">
        <w:t xml:space="preserve"> thirteen years and 6 months </w:t>
      </w:r>
      <w:r w:rsidRPr="00F5659E" w:rsidR="006322C1">
        <w:t xml:space="preserve">over </w:t>
      </w:r>
      <w:r w:rsidRPr="00F5659E" w:rsidR="00AC12F5">
        <w:t>three levels of jurisdiction.</w:t>
      </w:r>
    </w:p>
    <w:p w:rsidRPr="00F5659E" w:rsidR="00484691" w:rsidP="00F5659E" w:rsidRDefault="00AC12F5">
      <w:pPr>
        <w:pStyle w:val="ECHRPara"/>
        <w:rPr>
          <w:szCs w:val="24"/>
        </w:rPr>
      </w:pPr>
      <w:r w:rsidRPr="00F5659E">
        <w:fldChar w:fldCharType="begin"/>
      </w:r>
      <w:r w:rsidRPr="00F5659E">
        <w:instrText xml:space="preserve"> SEQ level0 \*arabic </w:instrText>
      </w:r>
      <w:r w:rsidRPr="00F5659E">
        <w:fldChar w:fldCharType="separate"/>
      </w:r>
      <w:r w:rsidRPr="00F5659E" w:rsidR="00F5659E">
        <w:rPr>
          <w:noProof/>
        </w:rPr>
        <w:t>40</w:t>
      </w:r>
      <w:r w:rsidRPr="00F5659E">
        <w:fldChar w:fldCharType="end"/>
      </w:r>
      <w:r w:rsidRPr="00F5659E">
        <w:t>.  </w:t>
      </w:r>
      <w:r w:rsidRPr="00F5659E" w:rsidR="00136245">
        <w:t>The</w:t>
      </w:r>
      <w:r w:rsidRPr="00F5659E">
        <w:t xml:space="preserve"> reasonableness of the length of proceedings must be assessed in </w:t>
      </w:r>
      <w:r w:rsidRPr="00F5659E" w:rsidR="00886157">
        <w:t xml:space="preserve">the light of the circumstances of the case, which call for an overall assessment, with reference to the following criteria: </w:t>
      </w:r>
      <w:r w:rsidRPr="00F5659E">
        <w:t xml:space="preserve">the complexity of the case, the conduct of the applicant and the relevant authorities and what was at stake for the applicant in the dispute (see, among many other authorities, </w:t>
      </w:r>
      <w:r w:rsidRPr="00F5659E">
        <w:rPr>
          <w:i/>
        </w:rPr>
        <w:t>Frydlender v. France</w:t>
      </w:r>
      <w:r w:rsidRPr="00F5659E">
        <w:t xml:space="preserve"> [GC], no. 30979/96, § 43, ECHR 2000-VII</w:t>
      </w:r>
      <w:r w:rsidRPr="00F5659E" w:rsidR="003A1C16">
        <w:t xml:space="preserve">, and </w:t>
      </w:r>
      <w:r w:rsidRPr="00F5659E" w:rsidR="003A1C16">
        <w:rPr>
          <w:i/>
        </w:rPr>
        <w:t>Superwood Holdings Plc and Others v. Ireland</w:t>
      </w:r>
      <w:r w:rsidRPr="00F5659E" w:rsidR="003A1C16">
        <w:t xml:space="preserve">, no. 7812/04, </w:t>
      </w:r>
      <w:r w:rsidRPr="00F5659E" w:rsidR="008E0FD7">
        <w:t>§ 34</w:t>
      </w:r>
      <w:r w:rsidRPr="00F5659E" w:rsidR="004F502C">
        <w:t>, 8 </w:t>
      </w:r>
      <w:r w:rsidRPr="00F5659E" w:rsidR="003A1C16">
        <w:t>September 2011</w:t>
      </w:r>
      <w:r w:rsidRPr="00F5659E">
        <w:t>).</w:t>
      </w:r>
    </w:p>
    <w:p w:rsidRPr="00F5659E" w:rsidR="00AC12F5" w:rsidP="00F5659E" w:rsidRDefault="00886157">
      <w:pPr>
        <w:pStyle w:val="ECHRPara"/>
      </w:pPr>
      <w:r w:rsidRPr="00F5659E">
        <w:rPr>
          <w:szCs w:val="24"/>
        </w:rPr>
        <w:fldChar w:fldCharType="begin"/>
      </w:r>
      <w:r w:rsidRPr="00F5659E">
        <w:rPr>
          <w:szCs w:val="24"/>
        </w:rPr>
        <w:instrText xml:space="preserve"> SEQ level0 \*arabic </w:instrText>
      </w:r>
      <w:r w:rsidRPr="00F5659E">
        <w:rPr>
          <w:szCs w:val="24"/>
        </w:rPr>
        <w:fldChar w:fldCharType="separate"/>
      </w:r>
      <w:r w:rsidRPr="00F5659E" w:rsidR="00F5659E">
        <w:rPr>
          <w:noProof/>
          <w:szCs w:val="24"/>
        </w:rPr>
        <w:t>41</w:t>
      </w:r>
      <w:r w:rsidRPr="00F5659E">
        <w:rPr>
          <w:szCs w:val="24"/>
        </w:rPr>
        <w:fldChar w:fldCharType="end"/>
      </w:r>
      <w:r w:rsidRPr="00F5659E">
        <w:rPr>
          <w:szCs w:val="24"/>
        </w:rPr>
        <w:t>.  </w:t>
      </w:r>
      <w:r w:rsidRPr="00F5659E" w:rsidR="00191609">
        <w:rPr>
          <w:szCs w:val="24"/>
        </w:rPr>
        <w:t>The Court reiterates that a temporary backlog of court business does not entail a Contracting State</w:t>
      </w:r>
      <w:r w:rsidRPr="00F5659E" w:rsidR="00F5659E">
        <w:rPr>
          <w:szCs w:val="24"/>
        </w:rPr>
        <w:t>’</w:t>
      </w:r>
      <w:r w:rsidRPr="00F5659E" w:rsidR="00191609">
        <w:rPr>
          <w:szCs w:val="24"/>
        </w:rPr>
        <w:t>s international liability if it takes appropriate remedial action with the requisite promptness. However, according to the Court</w:t>
      </w:r>
      <w:r w:rsidRPr="00F5659E" w:rsidR="00F5659E">
        <w:rPr>
          <w:szCs w:val="24"/>
        </w:rPr>
        <w:t>’</w:t>
      </w:r>
      <w:r w:rsidRPr="00F5659E" w:rsidR="00191609">
        <w:rPr>
          <w:szCs w:val="24"/>
        </w:rPr>
        <w:t>s established case-law, a chronic overload of cases within the domestic system cannot justify an excessive length of proceedings</w:t>
      </w:r>
      <w:r w:rsidRPr="00F5659E" w:rsidR="00A830C0">
        <w:rPr>
          <w:szCs w:val="24"/>
        </w:rPr>
        <w:t xml:space="preserve"> </w:t>
      </w:r>
      <w:r w:rsidRPr="00F5659E" w:rsidR="00191609">
        <w:rPr>
          <w:szCs w:val="24"/>
        </w:rPr>
        <w:t>(</w:t>
      </w:r>
      <w:r w:rsidRPr="00F5659E" w:rsidR="00191609">
        <w:rPr>
          <w:i/>
        </w:rPr>
        <w:t>Probstmeier v. Germany</w:t>
      </w:r>
      <w:r w:rsidRPr="00F5659E" w:rsidR="00A830C0">
        <w:t xml:space="preserve">, 1 July 1997, </w:t>
      </w:r>
      <w:r w:rsidRPr="00F5659E" w:rsidR="00F24707">
        <w:t>§</w:t>
      </w:r>
      <w:r w:rsidRPr="00F5659E" w:rsidR="00A830C0">
        <w:t xml:space="preserve"> 64</w:t>
      </w:r>
      <w:r w:rsidRPr="00F5659E" w:rsidR="00191609">
        <w:t xml:space="preserve">, </w:t>
      </w:r>
      <w:r w:rsidRPr="00F5659E" w:rsidR="00191609">
        <w:rPr>
          <w:i/>
        </w:rPr>
        <w:t>Reports of Judgments and Decisions</w:t>
      </w:r>
      <w:r w:rsidRPr="00F5659E" w:rsidR="00191609">
        <w:t xml:space="preserve"> 1997</w:t>
      </w:r>
      <w:r w:rsidRPr="00F5659E" w:rsidR="00191609">
        <w:noBreakHyphen/>
        <w:t>IV</w:t>
      </w:r>
      <w:r w:rsidRPr="00F5659E" w:rsidR="00A830C0">
        <w:t>), nor can the fact that backlog situations have become commonplace (</w:t>
      </w:r>
      <w:r w:rsidRPr="00F5659E" w:rsidR="00A830C0">
        <w:rPr>
          <w:i/>
        </w:rPr>
        <w:t>Unión Alimentaria Sanders S.A. v. Spain</w:t>
      </w:r>
      <w:r w:rsidRPr="00F5659E" w:rsidR="00A830C0">
        <w:t>, 7 July 1989, § 40, Series A no. 157</w:t>
      </w:r>
      <w:r w:rsidRPr="00F5659E" w:rsidR="00DA0490">
        <w:t xml:space="preserve">, </w:t>
      </w:r>
      <w:r w:rsidRPr="00F5659E" w:rsidR="00DA0490">
        <w:rPr>
          <w:i/>
        </w:rPr>
        <w:t>Mikuljanac and Others v. Serbia</w:t>
      </w:r>
      <w:r w:rsidRPr="00F5659E" w:rsidR="00DA0490">
        <w:t>, no. 41513/05, § 39, 9</w:t>
      </w:r>
      <w:r w:rsidRPr="00F5659E" w:rsidR="00063E9A">
        <w:t> </w:t>
      </w:r>
      <w:r w:rsidRPr="00F5659E" w:rsidR="00DA0490">
        <w:t>October 2007</w:t>
      </w:r>
      <w:r w:rsidRPr="00F5659E" w:rsidR="00A830C0">
        <w:t>).</w:t>
      </w:r>
      <w:r w:rsidRPr="00F5659E" w:rsidR="00BA6431">
        <w:t xml:space="preserve"> The Court has also recognised that in civil proceedings the principal obligation for progressing proceedings lies on the parties themselves, who have a duty to diligently carry out the relevant procedural steps (</w:t>
      </w:r>
      <w:r w:rsidRPr="00F5659E" w:rsidR="00FE4809">
        <w:rPr>
          <w:i/>
        </w:rPr>
        <w:t xml:space="preserve">Healy v. Ireland, </w:t>
      </w:r>
      <w:r w:rsidRPr="00F5659E" w:rsidR="00FE4809">
        <w:t>no. 27291/16, § 55</w:t>
      </w:r>
      <w:r w:rsidRPr="00F5659E" w:rsidR="00F057E8">
        <w:t>,</w:t>
      </w:r>
      <w:r w:rsidRPr="00F5659E" w:rsidR="00D22DA3">
        <w:t xml:space="preserve"> 18 January 2018</w:t>
      </w:r>
      <w:r w:rsidRPr="00F5659E" w:rsidR="00FE4809">
        <w:t>).</w:t>
      </w:r>
    </w:p>
    <w:p w:rsidRPr="00F5659E" w:rsidR="00484691" w:rsidP="00F5659E" w:rsidRDefault="0042074A">
      <w:pPr>
        <w:pStyle w:val="ECHRPara"/>
      </w:pPr>
      <w:r w:rsidRPr="00F5659E">
        <w:fldChar w:fldCharType="begin"/>
      </w:r>
      <w:r w:rsidRPr="00F5659E">
        <w:instrText xml:space="preserve"> SEQ level0 \*arabic </w:instrText>
      </w:r>
      <w:r w:rsidRPr="00F5659E">
        <w:fldChar w:fldCharType="separate"/>
      </w:r>
      <w:r w:rsidRPr="00F5659E" w:rsidR="00F5659E">
        <w:rPr>
          <w:noProof/>
        </w:rPr>
        <w:t>42</w:t>
      </w:r>
      <w:r w:rsidRPr="00F5659E">
        <w:fldChar w:fldCharType="end"/>
      </w:r>
      <w:r w:rsidRPr="00F5659E">
        <w:t>.  </w:t>
      </w:r>
      <w:r w:rsidRPr="00F5659E" w:rsidR="00F24707">
        <w:t xml:space="preserve">The Court does not consider that the proceedings </w:t>
      </w:r>
      <w:r w:rsidRPr="00F5659E" w:rsidR="00DD457C">
        <w:t>involved</w:t>
      </w:r>
      <w:r w:rsidRPr="00F5659E" w:rsidR="00F24707">
        <w:t xml:space="preserve"> particularly complex issues </w:t>
      </w:r>
      <w:r w:rsidRPr="00F5659E" w:rsidR="009B4D8E">
        <w:t>of law</w:t>
      </w:r>
      <w:r w:rsidRPr="00F5659E" w:rsidR="00AE5304">
        <w:t>. Whilst the hearing before the High</w:t>
      </w:r>
      <w:r w:rsidRPr="00F5659E" w:rsidR="00253E6F">
        <w:t xml:space="preserve"> Court lasted for ten days, no factual evidence was called on behalf of the applicant and his claim rested exclusively on the evidence of two </w:t>
      </w:r>
      <w:r w:rsidRPr="00F5659E" w:rsidR="003D7D27">
        <w:t xml:space="preserve">independent </w:t>
      </w:r>
      <w:r w:rsidRPr="00F5659E" w:rsidR="00253E6F">
        <w:t>expert medical witnesses</w:t>
      </w:r>
      <w:r w:rsidRPr="00F5659E" w:rsidR="003D7D27">
        <w:t xml:space="preserve"> as well as certain documentary materials provided by way of discovery</w:t>
      </w:r>
      <w:r w:rsidRPr="00F5659E" w:rsidR="00253E6F">
        <w:t xml:space="preserve">. At the conclusion of this evidence, the defendants successfully made an application for an order dismissing the proceedings on the basis that a </w:t>
      </w:r>
      <w:r w:rsidRPr="00F5659E" w:rsidR="00253E6F">
        <w:rPr>
          <w:i/>
        </w:rPr>
        <w:t>prima facie</w:t>
      </w:r>
      <w:r w:rsidRPr="00F5659E" w:rsidR="00253E6F">
        <w:t xml:space="preserve"> case had not been made out against them.</w:t>
      </w:r>
    </w:p>
    <w:p w:rsidRPr="00F5659E" w:rsidR="00484691" w:rsidP="00F5659E" w:rsidRDefault="002D56C1">
      <w:pPr>
        <w:pStyle w:val="ECHRPara"/>
      </w:pPr>
      <w:r w:rsidRPr="00F5659E">
        <w:fldChar w:fldCharType="begin"/>
      </w:r>
      <w:r w:rsidRPr="00F5659E">
        <w:instrText xml:space="preserve"> SEQ level0 \*arabic </w:instrText>
      </w:r>
      <w:r w:rsidRPr="00F5659E">
        <w:fldChar w:fldCharType="separate"/>
      </w:r>
      <w:r w:rsidRPr="00F5659E" w:rsidR="00F5659E">
        <w:rPr>
          <w:noProof/>
        </w:rPr>
        <w:t>43</w:t>
      </w:r>
      <w:r w:rsidRPr="00F5659E">
        <w:fldChar w:fldCharType="end"/>
      </w:r>
      <w:r w:rsidRPr="00F5659E">
        <w:t>.  With regard to the orders of discovery made in 200</w:t>
      </w:r>
      <w:r w:rsidRPr="00F5659E" w:rsidR="00EC43A5">
        <w:t>3 and 2004, the Court notes the applicant</w:t>
      </w:r>
      <w:r w:rsidRPr="00F5659E" w:rsidR="00F5659E">
        <w:t>’</w:t>
      </w:r>
      <w:r w:rsidRPr="00F5659E" w:rsidR="00EC43A5">
        <w:t>s submission that the duty to make discovery existed from at latest 30 January 2004. However t</w:t>
      </w:r>
      <w:r w:rsidRPr="00F5659E" w:rsidR="006476E0">
        <w:t>he appeal of the</w:t>
      </w:r>
      <w:r w:rsidRPr="00F5659E" w:rsidR="00EC43A5">
        <w:t xml:space="preserve"> order</w:t>
      </w:r>
      <w:r w:rsidRPr="00F5659E" w:rsidR="006476E0">
        <w:t xml:space="preserve"> of January 2004</w:t>
      </w:r>
      <w:r w:rsidRPr="00F5659E" w:rsidR="00EC43A5">
        <w:t xml:space="preserve"> was not disposed of until 12 July 2006 by the Supreme Court</w:t>
      </w:r>
      <w:r w:rsidRPr="00F5659E" w:rsidR="00EF6ABF">
        <w:t xml:space="preserve"> after an application for priority listing was made by the applicant</w:t>
      </w:r>
      <w:r w:rsidRPr="00F5659E" w:rsidR="00C9325C">
        <w:t xml:space="preserve">. </w:t>
      </w:r>
      <w:r w:rsidRPr="00F5659E" w:rsidR="002462D2">
        <w:t>The Court considers that a wait</w:t>
      </w:r>
      <w:r w:rsidRPr="00F5659E" w:rsidR="00D261CC">
        <w:t>ing</w:t>
      </w:r>
      <w:r w:rsidRPr="00F5659E" w:rsidR="002462D2">
        <w:t xml:space="preserve"> duration of over two years to hear a straightforward interlocutory appeal concerning discovery was excessive.</w:t>
      </w:r>
    </w:p>
    <w:p w:rsidRPr="00F5659E" w:rsidR="0042074A" w:rsidP="00F5659E" w:rsidRDefault="00790318">
      <w:pPr>
        <w:pStyle w:val="ECHRPara"/>
      </w:pPr>
      <w:r w:rsidRPr="00F5659E">
        <w:fldChar w:fldCharType="begin"/>
      </w:r>
      <w:r w:rsidRPr="00F5659E">
        <w:instrText xml:space="preserve"> SEQ level0 \*arabic </w:instrText>
      </w:r>
      <w:r w:rsidRPr="00F5659E">
        <w:fldChar w:fldCharType="separate"/>
      </w:r>
      <w:r w:rsidRPr="00F5659E" w:rsidR="00F5659E">
        <w:rPr>
          <w:noProof/>
        </w:rPr>
        <w:t>44</w:t>
      </w:r>
      <w:r w:rsidRPr="00F5659E">
        <w:fldChar w:fldCharType="end"/>
      </w:r>
      <w:r w:rsidRPr="00F5659E">
        <w:t>.  </w:t>
      </w:r>
      <w:r w:rsidRPr="00F5659E" w:rsidR="002F49F7">
        <w:t>C</w:t>
      </w:r>
      <w:r w:rsidRPr="00F5659E" w:rsidR="00A43786">
        <w:t>ompliance with the orders of discovery</w:t>
      </w:r>
      <w:r w:rsidRPr="00F5659E" w:rsidR="004F502C">
        <w:t xml:space="preserve"> within four months of 21 </w:t>
      </w:r>
      <w:r w:rsidRPr="00F5659E" w:rsidR="00FE76FF">
        <w:t>July 2006</w:t>
      </w:r>
      <w:r w:rsidRPr="00F5659E" w:rsidR="00A43786">
        <w:t xml:space="preserve"> was </w:t>
      </w:r>
      <w:r w:rsidRPr="00F5659E" w:rsidR="00C65F55">
        <w:t xml:space="preserve">somewhat </w:t>
      </w:r>
      <w:r w:rsidRPr="00F5659E" w:rsidR="00A43786">
        <w:t>onerous</w:t>
      </w:r>
      <w:r w:rsidRPr="00F5659E" w:rsidR="00FE76FF">
        <w:t xml:space="preserve"> </w:t>
      </w:r>
      <w:r w:rsidRPr="00F5659E" w:rsidR="00A43786">
        <w:t>due to the historical time span and breadth of documents referred to</w:t>
      </w:r>
      <w:r w:rsidRPr="00F5659E" w:rsidR="002046D2">
        <w:t>.</w:t>
      </w:r>
      <w:r w:rsidRPr="00F5659E" w:rsidR="00A43786">
        <w:t xml:space="preserve"> </w:t>
      </w:r>
      <w:r w:rsidRPr="00F5659E" w:rsidR="002046D2">
        <w:t>H</w:t>
      </w:r>
      <w:r w:rsidRPr="00F5659E" w:rsidR="002F49F7">
        <w:t>owever</w:t>
      </w:r>
      <w:r w:rsidRPr="00F5659E" w:rsidR="002046D2">
        <w:t>,</w:t>
      </w:r>
      <w:r w:rsidRPr="00F5659E" w:rsidR="002F49F7">
        <w:t xml:space="preserve"> </w:t>
      </w:r>
      <w:r w:rsidRPr="00F5659E" w:rsidR="00A43786">
        <w:t xml:space="preserve">the State defendants </w:t>
      </w:r>
      <w:r w:rsidRPr="00F5659E" w:rsidR="00C9325C">
        <w:t xml:space="preserve">had been </w:t>
      </w:r>
      <w:r w:rsidRPr="00F5659E" w:rsidR="00A43786">
        <w:t xml:space="preserve">aware of the nature of the discovery to be </w:t>
      </w:r>
      <w:r w:rsidRPr="00F5659E" w:rsidR="00760FC3">
        <w:t>provided</w:t>
      </w:r>
      <w:r w:rsidRPr="00F5659E" w:rsidR="00A43786">
        <w:t xml:space="preserve"> </w:t>
      </w:r>
      <w:r w:rsidRPr="00F5659E" w:rsidR="00AE296B">
        <w:t>since</w:t>
      </w:r>
      <w:r w:rsidRPr="00F5659E" w:rsidR="00A43786">
        <w:t xml:space="preserve"> 2003. The delay in providing the discovery, from the Supreme Court order of 21 July 2006 until June 2008, cannot be justified</w:t>
      </w:r>
      <w:r w:rsidRPr="00F5659E" w:rsidR="00FE76FF">
        <w:t>. The</w:t>
      </w:r>
      <w:r w:rsidRPr="00F5659E" w:rsidR="00952036">
        <w:t xml:space="preserve"> Court considers that the</w:t>
      </w:r>
      <w:r w:rsidRPr="00F5659E" w:rsidR="00FE76FF">
        <w:t xml:space="preserve"> delay of a year and seven months in this regard should be attributed to the </w:t>
      </w:r>
      <w:r w:rsidRPr="00F5659E" w:rsidR="002F49F7">
        <w:t>State</w:t>
      </w:r>
      <w:r w:rsidRPr="00F5659E" w:rsidR="00FE76FF">
        <w:t>.</w:t>
      </w:r>
    </w:p>
    <w:bookmarkStart w:name="para46" w:id="3"/>
    <w:p w:rsidRPr="00F5659E" w:rsidR="00063E9A" w:rsidP="00F5659E" w:rsidRDefault="007A1DF0">
      <w:pPr>
        <w:pStyle w:val="ECHRPara"/>
      </w:pPr>
      <w:r w:rsidRPr="00F5659E">
        <w:fldChar w:fldCharType="begin"/>
      </w:r>
      <w:r w:rsidRPr="00F5659E">
        <w:instrText xml:space="preserve"> SEQ level0 \*arabic </w:instrText>
      </w:r>
      <w:r w:rsidRPr="00F5659E">
        <w:fldChar w:fldCharType="separate"/>
      </w:r>
      <w:r w:rsidRPr="00F5659E" w:rsidR="00F5659E">
        <w:rPr>
          <w:noProof/>
        </w:rPr>
        <w:t>45</w:t>
      </w:r>
      <w:r w:rsidRPr="00F5659E">
        <w:fldChar w:fldCharType="end"/>
      </w:r>
      <w:bookmarkEnd w:id="3"/>
      <w:r w:rsidRPr="00F5659E">
        <w:t>.  </w:t>
      </w:r>
      <w:r w:rsidRPr="00F5659E" w:rsidR="003441A3">
        <w:t>T</w:t>
      </w:r>
      <w:r w:rsidRPr="00F5659E" w:rsidR="006A17C0">
        <w:t>he applicant acted</w:t>
      </w:r>
      <w:r w:rsidRPr="00F5659E" w:rsidR="00070D8D">
        <w:t xml:space="preserve"> at times</w:t>
      </w:r>
      <w:r w:rsidRPr="00F5659E" w:rsidR="006A17C0">
        <w:t xml:space="preserve"> with diligence during the proceedings, </w:t>
      </w:r>
      <w:r w:rsidRPr="00F5659E" w:rsidR="00760DC8">
        <w:t>making</w:t>
      </w:r>
      <w:r w:rsidRPr="00F5659E" w:rsidR="006A17C0">
        <w:t xml:space="preserve"> an application for priority listing of the appeal against the orders of discovery which </w:t>
      </w:r>
      <w:r w:rsidRPr="00F5659E" w:rsidR="00C9325C">
        <w:t>led</w:t>
      </w:r>
      <w:r w:rsidRPr="00F5659E" w:rsidR="006A17C0">
        <w:t xml:space="preserve"> to listing before the Supreme Court s</w:t>
      </w:r>
      <w:r w:rsidRPr="00F5659E" w:rsidR="00E37B11">
        <w:t>hortly</w:t>
      </w:r>
      <w:r w:rsidRPr="00F5659E" w:rsidR="006A17C0">
        <w:t xml:space="preserve"> thereafter. However, </w:t>
      </w:r>
      <w:r w:rsidRPr="00F5659E" w:rsidR="008A3970">
        <w:t xml:space="preserve">his </w:t>
      </w:r>
      <w:r w:rsidRPr="00F5659E" w:rsidR="00E329A1">
        <w:t>application for the State defence to be set aside</w:t>
      </w:r>
      <w:r w:rsidRPr="00F5659E" w:rsidR="008A3970">
        <w:t xml:space="preserve"> </w:t>
      </w:r>
      <w:r w:rsidRPr="00F5659E" w:rsidR="00E329A1">
        <w:t xml:space="preserve">was not made until May 2008 (shortly before the discovery was in fact provided). </w:t>
      </w:r>
      <w:r w:rsidRPr="00F5659E" w:rsidR="00883AD4">
        <w:t>The Court also notes that this application referred only to the failure of the State defendants to comply with the order of discovery of July 2006, but not the earlier orders of August 2003 and January 2004.</w:t>
      </w:r>
    </w:p>
    <w:p w:rsidRPr="00F5659E" w:rsidR="007A1DF0" w:rsidP="00F5659E" w:rsidRDefault="00E329A1">
      <w:pPr>
        <w:pStyle w:val="ECHRPara"/>
      </w:pPr>
      <w:r w:rsidRPr="00F5659E">
        <w:fldChar w:fldCharType="begin"/>
      </w:r>
      <w:r w:rsidRPr="00F5659E">
        <w:instrText xml:space="preserve"> SEQ level0 \*arabic </w:instrText>
      </w:r>
      <w:r w:rsidRPr="00F5659E">
        <w:fldChar w:fldCharType="separate"/>
      </w:r>
      <w:r w:rsidRPr="00F5659E" w:rsidR="00F5659E">
        <w:rPr>
          <w:noProof/>
        </w:rPr>
        <w:t>46</w:t>
      </w:r>
      <w:r w:rsidRPr="00F5659E">
        <w:fldChar w:fldCharType="end"/>
      </w:r>
      <w:r w:rsidRPr="00F5659E">
        <w:t xml:space="preserve">.  Further, despite his </w:t>
      </w:r>
      <w:r w:rsidRPr="00F5659E" w:rsidR="00853EAE">
        <w:t xml:space="preserve">expressed concern about delay in correspondence in June 2008, </w:t>
      </w:r>
      <w:r w:rsidRPr="00F5659E" w:rsidR="00C9325C">
        <w:t xml:space="preserve">the applicant </w:t>
      </w:r>
      <w:r w:rsidRPr="00F5659E" w:rsidR="00853EAE">
        <w:t>did not make an application for priority listing of the application</w:t>
      </w:r>
      <w:r w:rsidRPr="00F5659E" w:rsidR="00C9325C">
        <w:t>, which was</w:t>
      </w:r>
      <w:r w:rsidRPr="00F5659E" w:rsidR="008A3970">
        <w:t xml:space="preserve"> </w:t>
      </w:r>
      <w:r w:rsidRPr="00F5659E">
        <w:t xml:space="preserve">heard and </w:t>
      </w:r>
      <w:r w:rsidRPr="00F5659E" w:rsidR="00EE4F16">
        <w:t>dismissed</w:t>
      </w:r>
      <w:r w:rsidRPr="00F5659E">
        <w:t xml:space="preserve"> by the High Court in March 2010</w:t>
      </w:r>
      <w:r w:rsidRPr="00F5659E" w:rsidR="00EE4F16">
        <w:t xml:space="preserve">. </w:t>
      </w:r>
      <w:r w:rsidRPr="00F5659E" w:rsidR="000846F1">
        <w:t>The Court considers that the applicant could have been more diligent in availing of procedural mechanisms to avoid further delay in this respect</w:t>
      </w:r>
      <w:r w:rsidRPr="00F5659E" w:rsidR="00FE38FC">
        <w:t>.</w:t>
      </w:r>
      <w:r w:rsidRPr="00F5659E" w:rsidR="000846F1">
        <w:t xml:space="preserve"> </w:t>
      </w:r>
      <w:r w:rsidRPr="00F5659E" w:rsidR="00FE38FC">
        <w:t>H</w:t>
      </w:r>
      <w:r w:rsidRPr="00F5659E" w:rsidR="000846F1">
        <w:t>owever, t</w:t>
      </w:r>
      <w:r w:rsidRPr="00F5659E" w:rsidR="00D03E98">
        <w:t>he delay in listing the set aside application of one year and ten months in the context of proceedings which had already been ongoing at that point for over seven years cannot be justified and must be</w:t>
      </w:r>
      <w:r w:rsidRPr="00F5659E" w:rsidR="009327C0">
        <w:t xml:space="preserve"> at least partially</w:t>
      </w:r>
      <w:r w:rsidRPr="00F5659E" w:rsidR="00D03E98">
        <w:t xml:space="preserve"> attributed to the </w:t>
      </w:r>
      <w:r w:rsidRPr="00F5659E" w:rsidR="008A3970">
        <w:t>State</w:t>
      </w:r>
      <w:r w:rsidRPr="00F5659E" w:rsidR="00D03E98">
        <w:t>.</w:t>
      </w:r>
    </w:p>
    <w:bookmarkStart w:name="para48" w:id="4"/>
    <w:p w:rsidRPr="00F5659E" w:rsidR="00511F9A" w:rsidP="00F5659E" w:rsidRDefault="00511F9A">
      <w:pPr>
        <w:pStyle w:val="ECHRPara"/>
      </w:pPr>
      <w:r w:rsidRPr="00F5659E">
        <w:fldChar w:fldCharType="begin"/>
      </w:r>
      <w:r w:rsidRPr="00F5659E">
        <w:instrText xml:space="preserve"> SEQ level0 \*arabic </w:instrText>
      </w:r>
      <w:r w:rsidRPr="00F5659E">
        <w:fldChar w:fldCharType="separate"/>
      </w:r>
      <w:r w:rsidRPr="00F5659E" w:rsidR="00F5659E">
        <w:rPr>
          <w:noProof/>
        </w:rPr>
        <w:t>47</w:t>
      </w:r>
      <w:r w:rsidRPr="00F5659E">
        <w:fldChar w:fldCharType="end"/>
      </w:r>
      <w:bookmarkEnd w:id="4"/>
      <w:r w:rsidRPr="00F5659E">
        <w:t xml:space="preserve">.  The Court considers, with respect to </w:t>
      </w:r>
      <w:r w:rsidRPr="00F5659E" w:rsidR="0054205B">
        <w:t>the Government</w:t>
      </w:r>
      <w:r w:rsidRPr="00F5659E" w:rsidR="00F5659E">
        <w:t>’</w:t>
      </w:r>
      <w:r w:rsidRPr="00F5659E" w:rsidR="0054205B">
        <w:t xml:space="preserve">s submission that </w:t>
      </w:r>
      <w:r w:rsidRPr="00F5659E" w:rsidR="00371518">
        <w:t>t</w:t>
      </w:r>
      <w:r w:rsidRPr="00F5659E" w:rsidR="0054205B">
        <w:t>he</w:t>
      </w:r>
      <w:r w:rsidRPr="00F5659E" w:rsidR="00371518">
        <w:t xml:space="preserve"> applicant</w:t>
      </w:r>
      <w:r w:rsidRPr="00F5659E" w:rsidR="0054205B">
        <w:t xml:space="preserve"> had not used the means at his disposal to expedite the proceedings</w:t>
      </w:r>
      <w:r w:rsidRPr="00F5659E" w:rsidR="005C4A0C">
        <w:t xml:space="preserve"> (see paragraph </w:t>
      </w:r>
      <w:r w:rsidRPr="00F5659E" w:rsidR="005C4A0C">
        <w:fldChar w:fldCharType="begin"/>
      </w:r>
      <w:r w:rsidRPr="00F5659E" w:rsidR="005C4A0C">
        <w:instrText xml:space="preserve"> REF para23 \h </w:instrText>
      </w:r>
      <w:r w:rsidRPr="00F5659E" w:rsidR="005C4A0C">
        <w:fldChar w:fldCharType="separate"/>
      </w:r>
      <w:r w:rsidRPr="00F5659E" w:rsidR="00F5659E">
        <w:rPr>
          <w:noProof/>
        </w:rPr>
        <w:t>23</w:t>
      </w:r>
      <w:r w:rsidRPr="00F5659E" w:rsidR="005C4A0C">
        <w:fldChar w:fldCharType="end"/>
      </w:r>
      <w:r w:rsidRPr="00F5659E" w:rsidR="005C4A0C">
        <w:t xml:space="preserve"> above)</w:t>
      </w:r>
      <w:r w:rsidRPr="00F5659E">
        <w:t>, tha</w:t>
      </w:r>
      <w:r w:rsidRPr="00F5659E" w:rsidR="00557165">
        <w:t>t</w:t>
      </w:r>
      <w:r w:rsidRPr="00F5659E">
        <w:t xml:space="preserve"> the applicant did avail of certain measures to prevent further delay in the proceedings at certain times (</w:t>
      </w:r>
      <w:r w:rsidRPr="00F5659E" w:rsidR="00C812F5">
        <w:t xml:space="preserve">such as a </w:t>
      </w:r>
      <w:r w:rsidRPr="00F5659E">
        <w:t>request for priority listing)</w:t>
      </w:r>
      <w:r w:rsidRPr="00F5659E" w:rsidR="00801067">
        <w:t xml:space="preserve">. While he did not make this request </w:t>
      </w:r>
      <w:r w:rsidRPr="00F5659E" w:rsidR="00C816D9">
        <w:t>at every opportunity</w:t>
      </w:r>
      <w:r w:rsidRPr="00F5659E" w:rsidR="00CD00CE">
        <w:t xml:space="preserve"> </w:t>
      </w:r>
      <w:r w:rsidRPr="00F5659E" w:rsidR="00C816D9">
        <w:t>in the proceedings</w:t>
      </w:r>
      <w:r w:rsidRPr="00F5659E" w:rsidR="00801067">
        <w:t xml:space="preserve">, it is clear from the foregoing observations that </w:t>
      </w:r>
      <w:r w:rsidRPr="00F5659E" w:rsidR="009B4427">
        <w:t xml:space="preserve">the applicant generally sought to </w:t>
      </w:r>
      <w:r w:rsidRPr="00F5659E" w:rsidR="00782525">
        <w:t>progress matters, and that delay prior to hearing of the matter</w:t>
      </w:r>
      <w:r w:rsidRPr="00F5659E" w:rsidR="005A74CD">
        <w:t xml:space="preserve"> had occurred notwithstanding </w:t>
      </w:r>
      <w:r w:rsidRPr="00F5659E" w:rsidR="00901F2E">
        <w:t xml:space="preserve">these </w:t>
      </w:r>
      <w:r w:rsidRPr="00F5659E" w:rsidR="005A74CD">
        <w:t>efforts.</w:t>
      </w:r>
    </w:p>
    <w:p w:rsidRPr="00F5659E" w:rsidR="00CF009C" w:rsidP="00F5659E" w:rsidRDefault="00CF009C">
      <w:pPr>
        <w:pStyle w:val="ECHRPara"/>
      </w:pPr>
      <w:r w:rsidRPr="00F5659E">
        <w:fldChar w:fldCharType="begin"/>
      </w:r>
      <w:r w:rsidRPr="00F5659E">
        <w:instrText xml:space="preserve"> SEQ level0 \*arabic </w:instrText>
      </w:r>
      <w:r w:rsidRPr="00F5659E">
        <w:fldChar w:fldCharType="separate"/>
      </w:r>
      <w:r w:rsidRPr="00F5659E" w:rsidR="00F5659E">
        <w:rPr>
          <w:noProof/>
        </w:rPr>
        <w:t>48</w:t>
      </w:r>
      <w:r w:rsidRPr="00F5659E">
        <w:fldChar w:fldCharType="end"/>
      </w:r>
      <w:r w:rsidRPr="00F5659E">
        <w:t>.  </w:t>
      </w:r>
      <w:r w:rsidRPr="00F5659E" w:rsidR="00A7781A">
        <w:t xml:space="preserve">Regarding the appellate stage of the proceedings, the large backlog before the Supreme Court from the end of 2011 until October 2014 caused a lengthy period of inactivity before the appeal was transferred to the caseload of the newly-created Court of Appeal. </w:t>
      </w:r>
      <w:r w:rsidRPr="00F5659E" w:rsidR="00B15914">
        <w:t xml:space="preserve">The Court recalls its previous assessment of the judicial situation in Ireland during that time in </w:t>
      </w:r>
      <w:r w:rsidRPr="00F5659E" w:rsidR="00B15914">
        <w:rPr>
          <w:i/>
        </w:rPr>
        <w:t>Healy</w:t>
      </w:r>
      <w:r w:rsidRPr="00F5659E" w:rsidR="00B15914">
        <w:t xml:space="preserve"> at paragraph 61 </w:t>
      </w:r>
      <w:r w:rsidRPr="00F5659E" w:rsidR="00FF57A5">
        <w:t xml:space="preserve">to 62 </w:t>
      </w:r>
      <w:r w:rsidRPr="00F5659E" w:rsidR="00B15914">
        <w:t xml:space="preserve">and </w:t>
      </w:r>
      <w:r w:rsidRPr="00F5659E" w:rsidR="00607BB7">
        <w:t>notes that:</w:t>
      </w:r>
    </w:p>
    <w:p w:rsidRPr="00F5659E" w:rsidR="00FF57A5" w:rsidP="00F5659E" w:rsidRDefault="00FF57A5">
      <w:pPr>
        <w:pStyle w:val="ECHRParaQuote"/>
      </w:pPr>
      <w:r w:rsidRPr="00F5659E">
        <w:t xml:space="preserve">“the creation of the Court of Appeal represented a significant modification of the domestic legal system, involving amendment of the Constitution by referendum, the passage of legislation and the allocation of the necessary resources to the new court </w:t>
      </w:r>
      <w:r w:rsidRPr="00F5659E" w:rsidR="00484691">
        <w:t>...</w:t>
      </w:r>
      <w:r w:rsidRPr="00F5659E">
        <w:t>”</w:t>
      </w:r>
    </w:p>
    <w:p w:rsidRPr="00F5659E" w:rsidR="00A87A71" w:rsidP="00F5659E" w:rsidRDefault="001B1C0C">
      <w:pPr>
        <w:pStyle w:val="ECHRPara"/>
      </w:pPr>
      <w:r w:rsidRPr="00F5659E">
        <w:fldChar w:fldCharType="begin"/>
      </w:r>
      <w:r w:rsidRPr="00F5659E">
        <w:instrText xml:space="preserve"> SEQ level0 \*arabic </w:instrText>
      </w:r>
      <w:r w:rsidRPr="00F5659E">
        <w:fldChar w:fldCharType="separate"/>
      </w:r>
      <w:r w:rsidRPr="00F5659E" w:rsidR="00F5659E">
        <w:rPr>
          <w:noProof/>
        </w:rPr>
        <w:t>49</w:t>
      </w:r>
      <w:r w:rsidRPr="00F5659E">
        <w:fldChar w:fldCharType="end"/>
      </w:r>
      <w:r w:rsidRPr="00F5659E">
        <w:t>.  Once the applicant</w:t>
      </w:r>
      <w:r w:rsidRPr="00F5659E" w:rsidR="00F5659E">
        <w:t>’</w:t>
      </w:r>
      <w:r w:rsidRPr="00F5659E">
        <w:t xml:space="preserve">s appeal had been transferred to the Court of Appeal, it was heard one year later and a lengthy judgment was delivered four months after the hearing, on 10 February 2016. The Court considers that the Court of Appeal dealt with the appeal with diligence. </w:t>
      </w:r>
      <w:r w:rsidRPr="00F5659E" w:rsidR="00A87A71">
        <w:t>Further, the Supreme Court determined the applicant</w:t>
      </w:r>
      <w:r w:rsidRPr="00F5659E" w:rsidR="00F5659E">
        <w:t>’</w:t>
      </w:r>
      <w:r w:rsidRPr="00F5659E" w:rsidR="00A87A71">
        <w:t>s request for leave to appeal to that court without delay and within three months of the Court of Appeal</w:t>
      </w:r>
      <w:r w:rsidRPr="00F5659E" w:rsidR="00F5659E">
        <w:t>’</w:t>
      </w:r>
      <w:r w:rsidRPr="00F5659E" w:rsidR="00A87A71">
        <w:t>s decision.</w:t>
      </w:r>
    </w:p>
    <w:p w:rsidRPr="00F5659E" w:rsidR="00484691" w:rsidP="00F5659E" w:rsidRDefault="00A87A71">
      <w:pPr>
        <w:pStyle w:val="ECHRPara"/>
      </w:pPr>
      <w:r w:rsidRPr="00F5659E">
        <w:fldChar w:fldCharType="begin"/>
      </w:r>
      <w:r w:rsidRPr="00F5659E">
        <w:instrText xml:space="preserve"> SEQ level0 \*arabic </w:instrText>
      </w:r>
      <w:r w:rsidRPr="00F5659E">
        <w:fldChar w:fldCharType="separate"/>
      </w:r>
      <w:r w:rsidRPr="00F5659E" w:rsidR="00F5659E">
        <w:rPr>
          <w:noProof/>
        </w:rPr>
        <w:t>50</w:t>
      </w:r>
      <w:r w:rsidRPr="00F5659E">
        <w:fldChar w:fldCharType="end"/>
      </w:r>
      <w:r w:rsidRPr="00F5659E">
        <w:t>.  </w:t>
      </w:r>
      <w:r w:rsidRPr="00F5659E" w:rsidR="001B1C0C">
        <w:t>Nonetheless, the delay</w:t>
      </w:r>
      <w:r w:rsidRPr="00F5659E" w:rsidR="00DA13C5">
        <w:t xml:space="preserve"> and inactivity</w:t>
      </w:r>
      <w:r w:rsidRPr="00F5659E" w:rsidR="001B1C0C">
        <w:t xml:space="preserve"> </w:t>
      </w:r>
      <w:r w:rsidRPr="00F5659E" w:rsidR="00DA13C5">
        <w:t xml:space="preserve">at the appellate stage </w:t>
      </w:r>
      <w:r w:rsidRPr="00F5659E" w:rsidR="001B1C0C">
        <w:t>between December 2011 and October 2014 for a period of almost three years</w:t>
      </w:r>
      <w:r w:rsidRPr="00F5659E" w:rsidR="00DA13C5">
        <w:t xml:space="preserve"> cannot be ignored, as it constituted a</w:t>
      </w:r>
      <w:r w:rsidRPr="00F5659E" w:rsidR="00802C6D">
        <w:t xml:space="preserve"> not</w:t>
      </w:r>
      <w:r w:rsidRPr="00F5659E" w:rsidR="00DA13C5">
        <w:t xml:space="preserve"> </w:t>
      </w:r>
      <w:r w:rsidRPr="00F5659E" w:rsidR="00802C6D">
        <w:t>in</w:t>
      </w:r>
      <w:r w:rsidRPr="00F5659E" w:rsidR="00DA13C5">
        <w:t xml:space="preserve">significant period of the overall proceedings which had already been characterised by a lack of </w:t>
      </w:r>
      <w:r w:rsidRPr="00F5659E" w:rsidR="00802C6D">
        <w:t xml:space="preserve">expedition </w:t>
      </w:r>
      <w:r w:rsidRPr="00F5659E" w:rsidR="00DA13C5">
        <w:t>in the High Court.</w:t>
      </w:r>
      <w:r w:rsidRPr="00F5659E" w:rsidR="004C06C5">
        <w:t xml:space="preserve"> In this respect, the situation can be distinguished from that in </w:t>
      </w:r>
      <w:r w:rsidRPr="00F5659E" w:rsidR="004C06C5">
        <w:rPr>
          <w:i/>
        </w:rPr>
        <w:t xml:space="preserve">P.H. v. Ireland </w:t>
      </w:r>
      <w:r w:rsidRPr="00F5659E" w:rsidR="004C06C5">
        <w:t>(dec.)</w:t>
      </w:r>
      <w:r w:rsidRPr="00F5659E" w:rsidR="00940D9E">
        <w:t xml:space="preserve"> [Committee],</w:t>
      </w:r>
      <w:r w:rsidRPr="00F5659E" w:rsidR="004C06C5">
        <w:t xml:space="preserve"> no. 45046/16</w:t>
      </w:r>
      <w:r w:rsidRPr="00F5659E" w:rsidR="00940D9E">
        <w:t>, 2 November 2017</w:t>
      </w:r>
      <w:r w:rsidRPr="00F5659E" w:rsidR="004C06C5">
        <w:t xml:space="preserve"> wherein a period of inactivity of two years and nine months at the appellate stage until transfer to the Court of Appeal was not considered unreasonable</w:t>
      </w:r>
      <w:r w:rsidRPr="00F5659E" w:rsidR="00C53135">
        <w:t>,</w:t>
      </w:r>
      <w:r w:rsidRPr="00F5659E" w:rsidR="004C06C5">
        <w:t xml:space="preserve"> </w:t>
      </w:r>
      <w:r w:rsidRPr="00F5659E" w:rsidR="00245EA8">
        <w:t>in circumstances where</w:t>
      </w:r>
      <w:r w:rsidRPr="00F5659E" w:rsidR="003A73B2">
        <w:t xml:space="preserve"> no delay was apparent at first instance level.</w:t>
      </w:r>
    </w:p>
    <w:p w:rsidRPr="00F5659E" w:rsidR="004E1960" w:rsidP="00F5659E" w:rsidRDefault="00185001">
      <w:pPr>
        <w:pStyle w:val="ECHRPara"/>
      </w:pPr>
      <w:r w:rsidRPr="00F5659E">
        <w:fldChar w:fldCharType="begin"/>
      </w:r>
      <w:r w:rsidRPr="00F5659E">
        <w:instrText xml:space="preserve"> SEQ level0 \*arabic </w:instrText>
      </w:r>
      <w:r w:rsidRPr="00F5659E">
        <w:fldChar w:fldCharType="separate"/>
      </w:r>
      <w:r w:rsidRPr="00F5659E" w:rsidR="00F5659E">
        <w:rPr>
          <w:noProof/>
        </w:rPr>
        <w:t>51</w:t>
      </w:r>
      <w:r w:rsidRPr="00F5659E">
        <w:fldChar w:fldCharType="end"/>
      </w:r>
      <w:r w:rsidRPr="00F5659E">
        <w:t>.  </w:t>
      </w:r>
      <w:r w:rsidRPr="00F5659E" w:rsidR="008E5E6A">
        <w:t xml:space="preserve">The Court also recalls that in </w:t>
      </w:r>
      <w:r w:rsidRPr="00F5659E" w:rsidR="008E5E6A">
        <w:rPr>
          <w:i/>
        </w:rPr>
        <w:t>Healy</w:t>
      </w:r>
      <w:r w:rsidRPr="00F5659E" w:rsidR="008E5E6A">
        <w:t xml:space="preserve"> it decided that a period of inactivity lasting more than four years at the appellate stage before transfer to the Court of Appeal was excessive, </w:t>
      </w:r>
      <w:r w:rsidRPr="00F5659E" w:rsidR="00DA13C5">
        <w:t>notwithstanding</w:t>
      </w:r>
      <w:r w:rsidRPr="00F5659E" w:rsidR="00802C6D">
        <w:t xml:space="preserve"> its recognition of</w:t>
      </w:r>
      <w:r w:rsidRPr="00F5659E" w:rsidR="00DA13C5">
        <w:t xml:space="preserve"> the clear benefit of the creation of the Court of Appeal for the applicant</w:t>
      </w:r>
      <w:r w:rsidRPr="00F5659E" w:rsidR="00F5659E">
        <w:t>’</w:t>
      </w:r>
      <w:r w:rsidRPr="00F5659E" w:rsidR="00DA13C5">
        <w:t>s case and the efforts on the part of the respondent State to overcome structural deficiencies in its legal system.</w:t>
      </w:r>
      <w:r w:rsidRPr="00F5659E" w:rsidR="007F37B9">
        <w:t xml:space="preserve"> </w:t>
      </w:r>
      <w:r w:rsidRPr="00F5659E" w:rsidR="008E5E6A">
        <w:t>Accordingly, t</w:t>
      </w:r>
      <w:r w:rsidRPr="00F5659E" w:rsidR="00BD687F">
        <w:t>he Court finds</w:t>
      </w:r>
      <w:r w:rsidRPr="00F5659E" w:rsidR="008E5E6A">
        <w:t xml:space="preserve"> in respect of the applicant that </w:t>
      </w:r>
      <w:r w:rsidRPr="00F5659E" w:rsidR="00BD687F">
        <w:t>th</w:t>
      </w:r>
      <w:r w:rsidRPr="00F5659E" w:rsidR="008E5E6A">
        <w:t>e</w:t>
      </w:r>
      <w:r w:rsidRPr="00F5659E" w:rsidR="00BD687F">
        <w:t xml:space="preserve"> delay of almost three years </w:t>
      </w:r>
      <w:r w:rsidRPr="00F5659E" w:rsidR="008E5E6A">
        <w:t xml:space="preserve">at the appellate level </w:t>
      </w:r>
      <w:r w:rsidRPr="00F5659E" w:rsidR="0091726F">
        <w:t xml:space="preserve">was not reasonable and was </w:t>
      </w:r>
      <w:r w:rsidRPr="00F5659E" w:rsidR="00BD687F">
        <w:t xml:space="preserve">attributable to the </w:t>
      </w:r>
      <w:r w:rsidRPr="00F5659E" w:rsidR="007409BF">
        <w:t>State</w:t>
      </w:r>
      <w:r w:rsidRPr="00F5659E" w:rsidR="0091726F">
        <w:t>.</w:t>
      </w:r>
    </w:p>
    <w:p w:rsidRPr="00F5659E" w:rsidR="0019410F" w:rsidP="00F5659E" w:rsidRDefault="005F50BA">
      <w:pPr>
        <w:pStyle w:val="ECHRPara"/>
      </w:pPr>
      <w:r w:rsidRPr="00F5659E">
        <w:fldChar w:fldCharType="begin"/>
      </w:r>
      <w:r w:rsidRPr="00F5659E">
        <w:instrText xml:space="preserve"> SEQ level0 \*arabic </w:instrText>
      </w:r>
      <w:r w:rsidRPr="00F5659E">
        <w:fldChar w:fldCharType="separate"/>
      </w:r>
      <w:r w:rsidRPr="00F5659E" w:rsidR="00F5659E">
        <w:rPr>
          <w:noProof/>
        </w:rPr>
        <w:t>52</w:t>
      </w:r>
      <w:r w:rsidRPr="00F5659E">
        <w:fldChar w:fldCharType="end"/>
      </w:r>
      <w:r w:rsidRPr="00F5659E" w:rsidR="004F502C">
        <w:t>. </w:t>
      </w:r>
      <w:r w:rsidRPr="00F5659E">
        <w:t> </w:t>
      </w:r>
      <w:r w:rsidRPr="00F5659E" w:rsidR="009D23B7">
        <w:t xml:space="preserve">The Government submitted that </w:t>
      </w:r>
      <w:r w:rsidRPr="00F5659E" w:rsidR="00B54EA2">
        <w:t>the failure of the applicant to submit books of appeal and submissions until June 2006 had delayed the determination of the appeal</w:t>
      </w:r>
      <w:r w:rsidRPr="00F5659E" w:rsidR="006C28A7">
        <w:t xml:space="preserve"> concerning discovery orders</w:t>
      </w:r>
      <w:r w:rsidRPr="00F5659E" w:rsidR="00B54EA2">
        <w:t xml:space="preserve">. The Court is not however persuaded either </w:t>
      </w:r>
      <w:r w:rsidRPr="00F5659E" w:rsidR="00D11A6A">
        <w:t xml:space="preserve">that </w:t>
      </w:r>
      <w:r w:rsidRPr="00F5659E" w:rsidR="00B54EA2">
        <w:t>the applicant omitted to submit documents on time or that any delay in submission affected the date of listing of the appeal, particularly as it appears that the hearing was precipitated by the applicant</w:t>
      </w:r>
      <w:r w:rsidRPr="00F5659E" w:rsidR="00F5659E">
        <w:t>’</w:t>
      </w:r>
      <w:r w:rsidRPr="00F5659E" w:rsidR="00B54EA2">
        <w:t>s application for priority listing in June 2016.</w:t>
      </w:r>
      <w:r w:rsidRPr="00F5659E" w:rsidR="00532AFA">
        <w:t xml:space="preserve"> Similarly, the Court is not persuaded by the argument of the Government that the applicant had failed to pursue his appeal with reasonable diligence as he did not file</w:t>
      </w:r>
      <w:r w:rsidRPr="00F5659E" w:rsidR="00350C7E">
        <w:t xml:space="preserve"> his</w:t>
      </w:r>
      <w:r w:rsidRPr="00F5659E" w:rsidR="00532AFA">
        <w:t xml:space="preserve"> submissi</w:t>
      </w:r>
      <w:r w:rsidRPr="00F5659E" w:rsidR="00350C7E">
        <w:t xml:space="preserve">ons until July 2014, given </w:t>
      </w:r>
      <w:r w:rsidRPr="00F5659E" w:rsidR="00432658">
        <w:t>the impending transfer of the case to the Court of Appeal</w:t>
      </w:r>
      <w:r w:rsidRPr="00F5659E" w:rsidR="00F5659E">
        <w:t>’</w:t>
      </w:r>
      <w:r w:rsidRPr="00F5659E" w:rsidR="00432658">
        <w:t>s list was necessary due to the backlog experienced in the legal system at that time.</w:t>
      </w:r>
    </w:p>
    <w:bookmarkStart w:name="para60" w:id="5"/>
    <w:p w:rsidRPr="00F5659E" w:rsidR="00C24C43" w:rsidP="00F5659E" w:rsidRDefault="000D360D">
      <w:pPr>
        <w:pStyle w:val="ECHRPara"/>
      </w:pPr>
      <w:r w:rsidRPr="00F5659E">
        <w:fldChar w:fldCharType="begin"/>
      </w:r>
      <w:r w:rsidRPr="00F5659E">
        <w:instrText xml:space="preserve"> SEQ level0 \*arabic </w:instrText>
      </w:r>
      <w:r w:rsidRPr="00F5659E">
        <w:fldChar w:fldCharType="separate"/>
      </w:r>
      <w:r w:rsidRPr="00F5659E" w:rsidR="00F5659E">
        <w:rPr>
          <w:noProof/>
        </w:rPr>
        <w:t>53</w:t>
      </w:r>
      <w:r w:rsidRPr="00F5659E">
        <w:fldChar w:fldCharType="end"/>
      </w:r>
      <w:bookmarkEnd w:id="5"/>
      <w:r w:rsidRPr="00F5659E">
        <w:t xml:space="preserve">.  The Court notes </w:t>
      </w:r>
      <w:r w:rsidRPr="00F5659E" w:rsidR="00E47823">
        <w:t xml:space="preserve">four separate periods of delay </w:t>
      </w:r>
      <w:r w:rsidRPr="00F5659E">
        <w:t>in</w:t>
      </w:r>
      <w:r w:rsidRPr="00F5659E" w:rsidR="00E47823">
        <w:t xml:space="preserve"> the proceedings:</w:t>
      </w:r>
    </w:p>
    <w:p w:rsidRPr="00F5659E" w:rsidR="00E47823" w:rsidP="00F5659E" w:rsidRDefault="00E47823">
      <w:pPr>
        <w:pStyle w:val="ECHRPara"/>
      </w:pPr>
      <w:r w:rsidRPr="00F5659E">
        <w:t xml:space="preserve">(1)  between </w:t>
      </w:r>
      <w:r w:rsidRPr="00F5659E" w:rsidR="000D360D">
        <w:t>January 2004 and July 2006 when the interlocutory appeal was pending</w:t>
      </w:r>
      <w:r w:rsidRPr="00F5659E">
        <w:t>;</w:t>
      </w:r>
    </w:p>
    <w:p w:rsidRPr="00F5659E" w:rsidR="00E47823" w:rsidP="00F5659E" w:rsidRDefault="00E47823">
      <w:pPr>
        <w:pStyle w:val="ECHRPara"/>
      </w:pPr>
      <w:r w:rsidRPr="00F5659E">
        <w:t xml:space="preserve">(2)  between </w:t>
      </w:r>
      <w:r w:rsidRPr="00F5659E" w:rsidR="000D360D">
        <w:t>July 2006 and June 2008</w:t>
      </w:r>
      <w:r w:rsidRPr="00F5659E">
        <w:t xml:space="preserve"> caused by the failure of the local health authority to provide discovery;</w:t>
      </w:r>
    </w:p>
    <w:p w:rsidRPr="00F5659E" w:rsidR="00E47823" w:rsidP="00F5659E" w:rsidRDefault="00E47823">
      <w:pPr>
        <w:pStyle w:val="ECHRPara"/>
      </w:pPr>
      <w:bookmarkStart w:name="para54" w:id="6"/>
      <w:r w:rsidRPr="00F5659E">
        <w:t>(3)  </w:t>
      </w:r>
      <w:bookmarkEnd w:id="6"/>
      <w:r w:rsidRPr="00F5659E" w:rsidR="000D360D">
        <w:t>between June 2008 and March 2010 when the set aside application was pending but little other progress was made, attributable in part to both the applicant and</w:t>
      </w:r>
      <w:r w:rsidRPr="00F5659E" w:rsidR="002237C7">
        <w:t xml:space="preserve"> the</w:t>
      </w:r>
      <w:r w:rsidRPr="00F5659E" w:rsidR="000D360D">
        <w:t xml:space="preserve"> respondent State</w:t>
      </w:r>
      <w:r w:rsidRPr="00F5659E">
        <w:t>; and</w:t>
      </w:r>
    </w:p>
    <w:p w:rsidRPr="00F5659E" w:rsidR="00484691" w:rsidP="00F5659E" w:rsidRDefault="00E47823">
      <w:pPr>
        <w:pStyle w:val="ECHRPara"/>
      </w:pPr>
      <w:r w:rsidRPr="00F5659E">
        <w:t>(4)  t</w:t>
      </w:r>
      <w:r w:rsidRPr="00F5659E" w:rsidR="000D360D">
        <w:t>he inactivity at appellate stage be</w:t>
      </w:r>
      <w:r w:rsidRPr="00F5659E" w:rsidR="00722C99">
        <w:t>tween December 2011 and October </w:t>
      </w:r>
      <w:r w:rsidRPr="00F5659E" w:rsidR="000D360D">
        <w:t>2014 pending the creation of the Court of Appeal.</w:t>
      </w:r>
    </w:p>
    <w:p w:rsidRPr="00F5659E" w:rsidR="0019410F" w:rsidP="00F5659E" w:rsidRDefault="00E47823">
      <w:pPr>
        <w:pStyle w:val="ECHRPara"/>
      </w:pPr>
      <w:r w:rsidRPr="00F5659E">
        <w:fldChar w:fldCharType="begin"/>
      </w:r>
      <w:r w:rsidRPr="00F5659E">
        <w:instrText xml:space="preserve"> SEQ level0 \*arabic </w:instrText>
      </w:r>
      <w:r w:rsidRPr="00F5659E">
        <w:fldChar w:fldCharType="separate"/>
      </w:r>
      <w:r w:rsidRPr="00F5659E" w:rsidR="00F5659E">
        <w:rPr>
          <w:noProof/>
        </w:rPr>
        <w:t>54</w:t>
      </w:r>
      <w:r w:rsidRPr="00F5659E">
        <w:fldChar w:fldCharType="end"/>
      </w:r>
      <w:r w:rsidRPr="00F5659E">
        <w:t>.  </w:t>
      </w:r>
      <w:r w:rsidRPr="00F5659E" w:rsidR="0019410F">
        <w:t>Having regard to its case-law on the subject, the Court considers that in the instant case the length of the proceedings was excessive and failed to meet the “reasonable time” requirement.</w:t>
      </w:r>
    </w:p>
    <w:p w:rsidRPr="00F5659E" w:rsidR="00AC12F5" w:rsidP="00F5659E" w:rsidRDefault="0019410F">
      <w:pPr>
        <w:pStyle w:val="ECHRPara"/>
      </w:pPr>
      <w:r w:rsidRPr="00F5659E">
        <w:fldChar w:fldCharType="begin"/>
      </w:r>
      <w:r w:rsidRPr="00F5659E">
        <w:instrText xml:space="preserve"> SEQ level0 \*arabic </w:instrText>
      </w:r>
      <w:r w:rsidRPr="00F5659E">
        <w:fldChar w:fldCharType="separate"/>
      </w:r>
      <w:r w:rsidRPr="00F5659E" w:rsidR="00F5659E">
        <w:rPr>
          <w:noProof/>
        </w:rPr>
        <w:t>55</w:t>
      </w:r>
      <w:r w:rsidRPr="00F5659E">
        <w:fldChar w:fldCharType="end"/>
      </w:r>
      <w:r w:rsidRPr="00F5659E">
        <w:t>.  </w:t>
      </w:r>
      <w:r w:rsidRPr="00F5659E" w:rsidR="00AC12F5">
        <w:t xml:space="preserve">There has accordingly been a </w:t>
      </w:r>
      <w:r w:rsidRPr="00F5659E" w:rsidR="00C50420">
        <w:t>violation</w:t>
      </w:r>
      <w:r w:rsidRPr="00F5659E" w:rsidR="00AC12F5">
        <w:t xml:space="preserve"> of Article 6 § 1</w:t>
      </w:r>
      <w:r w:rsidRPr="00F5659E" w:rsidR="00C50420">
        <w:t xml:space="preserve"> of the Convention</w:t>
      </w:r>
      <w:r w:rsidRPr="00F5659E" w:rsidR="00AC12F5">
        <w:t>.</w:t>
      </w:r>
    </w:p>
    <w:p w:rsidRPr="00F5659E" w:rsidR="001E3A05" w:rsidP="00F5659E" w:rsidRDefault="001E3A05">
      <w:pPr>
        <w:pStyle w:val="ECHRHeading1"/>
      </w:pPr>
      <w:r w:rsidRPr="00F5659E">
        <w:t>III.  ALLEGED VIOLATION OF ARTICLE 13 OF THE CONVENTION</w:t>
      </w:r>
    </w:p>
    <w:p w:rsidRPr="00F5659E" w:rsidR="00487A5D" w:rsidP="00F5659E" w:rsidRDefault="00487A5D">
      <w:pPr>
        <w:pStyle w:val="ECHRPara"/>
      </w:pPr>
      <w:r w:rsidRPr="00F5659E">
        <w:fldChar w:fldCharType="begin"/>
      </w:r>
      <w:r w:rsidRPr="00F5659E">
        <w:instrText xml:space="preserve"> SEQ level0 \*arabic </w:instrText>
      </w:r>
      <w:r w:rsidRPr="00F5659E">
        <w:fldChar w:fldCharType="separate"/>
      </w:r>
      <w:r w:rsidRPr="00F5659E" w:rsidR="00F5659E">
        <w:rPr>
          <w:noProof/>
        </w:rPr>
        <w:t>56</w:t>
      </w:r>
      <w:r w:rsidRPr="00F5659E">
        <w:fldChar w:fldCharType="end"/>
      </w:r>
      <w:r w:rsidRPr="00F5659E">
        <w:t>.  The applicant complained that he had no effective remedy in relation to the allegedly excessive duration of the proceedings in his case.</w:t>
      </w:r>
    </w:p>
    <w:p w:rsidRPr="00F5659E" w:rsidR="006F42F6" w:rsidP="00F5659E" w:rsidRDefault="006F42F6">
      <w:pPr>
        <w:pStyle w:val="ECHRHeading2"/>
      </w:pPr>
      <w:r w:rsidRPr="00F5659E">
        <w:t>A.  The parties</w:t>
      </w:r>
      <w:r w:rsidRPr="00F5659E" w:rsidR="00F5659E">
        <w:t>’</w:t>
      </w:r>
      <w:r w:rsidRPr="00F5659E">
        <w:t xml:space="preserve"> submissions</w:t>
      </w:r>
    </w:p>
    <w:p w:rsidRPr="00F5659E" w:rsidR="00AC12F5" w:rsidP="00F5659E" w:rsidRDefault="00AC12F5">
      <w:pPr>
        <w:pStyle w:val="ECHRHeading3"/>
      </w:pPr>
      <w:r w:rsidRPr="00F5659E">
        <w:t>1.  The applicant</w:t>
      </w:r>
    </w:p>
    <w:p w:rsidRPr="00F5659E" w:rsidR="00484691" w:rsidP="00F5659E" w:rsidRDefault="004D4E95">
      <w:pPr>
        <w:pStyle w:val="ECHRPara"/>
        <w:rPr>
          <w:rFonts w:cstheme="minorHAnsi"/>
        </w:rPr>
      </w:pPr>
      <w:r w:rsidRPr="00F5659E">
        <w:fldChar w:fldCharType="begin"/>
      </w:r>
      <w:r w:rsidRPr="00F5659E">
        <w:instrText xml:space="preserve"> SEQ level0 \*arabic </w:instrText>
      </w:r>
      <w:r w:rsidRPr="00F5659E">
        <w:fldChar w:fldCharType="separate"/>
      </w:r>
      <w:r w:rsidRPr="00F5659E" w:rsidR="00F5659E">
        <w:rPr>
          <w:noProof/>
        </w:rPr>
        <w:t>57</w:t>
      </w:r>
      <w:r w:rsidRPr="00F5659E">
        <w:fldChar w:fldCharType="end"/>
      </w:r>
      <w:r w:rsidRPr="00F5659E">
        <w:t>. </w:t>
      </w:r>
      <w:r w:rsidRPr="00F5659E" w:rsidR="004F502C">
        <w:t> </w:t>
      </w:r>
      <w:r w:rsidRPr="00F5659E" w:rsidR="00FC28A9">
        <w:t xml:space="preserve">The applicant submitted </w:t>
      </w:r>
      <w:r w:rsidRPr="00F5659E" w:rsidR="002A59BE">
        <w:t xml:space="preserve">there is no remedy available in domestic law for breach of Article 6 </w:t>
      </w:r>
      <w:r w:rsidRPr="00F5659E" w:rsidR="002A59BE">
        <w:rPr>
          <w:rFonts w:cstheme="minorHAnsi"/>
        </w:rPr>
        <w:t>§ 1 of the Convention caused by delay on the part of the judiciary or the court</w:t>
      </w:r>
      <w:r w:rsidRPr="00F5659E" w:rsidR="00F5659E">
        <w:rPr>
          <w:rFonts w:cstheme="minorHAnsi"/>
        </w:rPr>
        <w:t>’</w:t>
      </w:r>
      <w:r w:rsidRPr="00F5659E" w:rsidR="002A59BE">
        <w:rPr>
          <w:rFonts w:cstheme="minorHAnsi"/>
        </w:rPr>
        <w:t>s system.</w:t>
      </w:r>
    </w:p>
    <w:p w:rsidRPr="00F5659E" w:rsidR="002A59BE" w:rsidP="00F5659E" w:rsidRDefault="00E22BF3">
      <w:pPr>
        <w:pStyle w:val="ECHRPara"/>
      </w:pPr>
      <w:r w:rsidRPr="00F5659E">
        <w:rPr>
          <w:rFonts w:cstheme="minorHAnsi"/>
        </w:rPr>
        <w:fldChar w:fldCharType="begin"/>
      </w:r>
      <w:r w:rsidRPr="00F5659E">
        <w:rPr>
          <w:rFonts w:cstheme="minorHAnsi"/>
        </w:rPr>
        <w:instrText xml:space="preserve"> SEQ level0 \*arabic </w:instrText>
      </w:r>
      <w:r w:rsidRPr="00F5659E">
        <w:rPr>
          <w:rFonts w:cstheme="minorHAnsi"/>
        </w:rPr>
        <w:fldChar w:fldCharType="separate"/>
      </w:r>
      <w:r w:rsidRPr="00F5659E" w:rsidR="00F5659E">
        <w:rPr>
          <w:rFonts w:cstheme="minorHAnsi"/>
          <w:noProof/>
        </w:rPr>
        <w:t>58</w:t>
      </w:r>
      <w:r w:rsidRPr="00F5659E">
        <w:rPr>
          <w:rFonts w:cstheme="minorHAnsi"/>
        </w:rPr>
        <w:fldChar w:fldCharType="end"/>
      </w:r>
      <w:r w:rsidRPr="00F5659E">
        <w:rPr>
          <w:rFonts w:cstheme="minorHAnsi"/>
        </w:rPr>
        <w:t>.  </w:t>
      </w:r>
      <w:r w:rsidRPr="00F5659E" w:rsidR="00E2408C">
        <w:rPr>
          <w:rFonts w:cstheme="minorHAnsi"/>
        </w:rPr>
        <w:t>H</w:t>
      </w:r>
      <w:r w:rsidRPr="00F5659E" w:rsidR="006F178A">
        <w:rPr>
          <w:rFonts w:cstheme="minorHAnsi"/>
        </w:rPr>
        <w:t xml:space="preserve">e </w:t>
      </w:r>
      <w:r w:rsidRPr="00F5659E" w:rsidR="002D1A1C">
        <w:rPr>
          <w:rFonts w:cstheme="minorHAnsi"/>
        </w:rPr>
        <w:t xml:space="preserve">submitted </w:t>
      </w:r>
      <w:r w:rsidRPr="00F5659E" w:rsidR="002A59BE">
        <w:rPr>
          <w:rFonts w:cstheme="minorHAnsi"/>
        </w:rPr>
        <w:t xml:space="preserve">that the </w:t>
      </w:r>
      <w:r w:rsidRPr="00F5659E" w:rsidR="002A59BE">
        <w:rPr>
          <w:rFonts w:cstheme="minorHAnsi"/>
          <w:i/>
        </w:rPr>
        <w:t xml:space="preserve">Nash </w:t>
      </w:r>
      <w:r w:rsidRPr="00F5659E" w:rsidR="002A59BE">
        <w:rPr>
          <w:rFonts w:cstheme="minorHAnsi"/>
        </w:rPr>
        <w:t xml:space="preserve">judgment </w:t>
      </w:r>
      <w:r w:rsidRPr="00F5659E" w:rsidR="006F178A">
        <w:rPr>
          <w:rFonts w:cstheme="minorHAnsi"/>
        </w:rPr>
        <w:t xml:space="preserve">was </w:t>
      </w:r>
      <w:r w:rsidRPr="00F5659E" w:rsidR="002A59BE">
        <w:rPr>
          <w:rFonts w:cstheme="minorHAnsi"/>
        </w:rPr>
        <w:t>irrelevant for the purposes of a remedy for breach of Article 6 § 1 of the Convention as required by Article 13 because any possible constitutional cause of action would be rather in respect of a breach of a constitutional right of undefined content.</w:t>
      </w:r>
    </w:p>
    <w:p w:rsidRPr="00F5659E" w:rsidR="00484691" w:rsidP="00F5659E" w:rsidRDefault="004F502C">
      <w:pPr>
        <w:pStyle w:val="ECHRHeading3"/>
      </w:pPr>
      <w:r w:rsidRPr="00F5659E">
        <w:t>2.  </w:t>
      </w:r>
      <w:r w:rsidRPr="00F5659E" w:rsidR="00AC12F5">
        <w:t>The Government</w:t>
      </w:r>
    </w:p>
    <w:p w:rsidRPr="00F5659E" w:rsidR="00484691" w:rsidP="00F5659E" w:rsidRDefault="00EC0994">
      <w:pPr>
        <w:pStyle w:val="ECHRPara"/>
      </w:pPr>
      <w:r w:rsidRPr="00F5659E">
        <w:fldChar w:fldCharType="begin"/>
      </w:r>
      <w:r w:rsidRPr="00F5659E">
        <w:instrText xml:space="preserve"> SEQ level0 \*arabic </w:instrText>
      </w:r>
      <w:r w:rsidRPr="00F5659E">
        <w:fldChar w:fldCharType="separate"/>
      </w:r>
      <w:r w:rsidRPr="00F5659E" w:rsidR="00F5659E">
        <w:rPr>
          <w:noProof/>
        </w:rPr>
        <w:t>59</w:t>
      </w:r>
      <w:r w:rsidRPr="00F5659E">
        <w:fldChar w:fldCharType="end"/>
      </w:r>
      <w:r w:rsidRPr="00F5659E">
        <w:t>.  </w:t>
      </w:r>
      <w:r w:rsidRPr="00F5659E" w:rsidR="006F178A">
        <w:t>T</w:t>
      </w:r>
      <w:r w:rsidRPr="00F5659E" w:rsidR="00C335F5">
        <w:t>he Government</w:t>
      </w:r>
      <w:r w:rsidRPr="00F5659E" w:rsidR="006F178A">
        <w:t xml:space="preserve"> </w:t>
      </w:r>
      <w:r w:rsidRPr="00F5659E" w:rsidR="00C335F5">
        <w:t>submitted that, firstly, there existed a domestic remedy for breach of the Convention in section 3(2) of the European Convention on Human Rights</w:t>
      </w:r>
      <w:r w:rsidRPr="00F5659E" w:rsidR="00C24C43">
        <w:t xml:space="preserve"> Act, 2003</w:t>
      </w:r>
      <w:r w:rsidRPr="00F5659E" w:rsidR="00C335F5">
        <w:t xml:space="preserve">. </w:t>
      </w:r>
      <w:r w:rsidRPr="00F5659E" w:rsidR="007A1721">
        <w:t>Further, the Government submitted that there is a constitutional entitlement to a damages remedy for delay in the conduct of judicial proceedings, confirmed</w:t>
      </w:r>
      <w:r w:rsidRPr="00F5659E" w:rsidR="008673DA">
        <w:t xml:space="preserve"> and affirmed</w:t>
      </w:r>
      <w:r w:rsidRPr="00F5659E" w:rsidR="007A1721">
        <w:t xml:space="preserve"> by the recent</w:t>
      </w:r>
      <w:r w:rsidRPr="00F5659E" w:rsidR="005610D4">
        <w:t xml:space="preserve"> </w:t>
      </w:r>
      <w:r w:rsidRPr="00F5659E" w:rsidR="005610D4">
        <w:rPr>
          <w:i/>
        </w:rPr>
        <w:t>Nash</w:t>
      </w:r>
      <w:r w:rsidRPr="00F5659E" w:rsidR="005610D4">
        <w:t xml:space="preserve"> judgment.</w:t>
      </w:r>
    </w:p>
    <w:p w:rsidRPr="00F5659E" w:rsidR="006F42F6" w:rsidP="00F5659E" w:rsidRDefault="006F42F6">
      <w:pPr>
        <w:pStyle w:val="ECHRHeading2"/>
      </w:pPr>
      <w:r w:rsidRPr="00F5659E">
        <w:t>B.  The Court</w:t>
      </w:r>
      <w:r w:rsidRPr="00F5659E" w:rsidR="00F5659E">
        <w:t>’</w:t>
      </w:r>
      <w:r w:rsidRPr="00F5659E">
        <w:t>s assessment</w:t>
      </w:r>
    </w:p>
    <w:p w:rsidRPr="00F5659E" w:rsidR="00484691" w:rsidP="00F5659E" w:rsidRDefault="009F5726">
      <w:pPr>
        <w:pStyle w:val="ECHRPara"/>
        <w:rPr>
          <w:i/>
        </w:rPr>
      </w:pPr>
      <w:r w:rsidRPr="00F5659E">
        <w:rPr>
          <w:lang w:val="es-ES_tradnl"/>
        </w:rPr>
        <w:fldChar w:fldCharType="begin"/>
      </w:r>
      <w:r w:rsidRPr="00F5659E">
        <w:rPr>
          <w:lang w:val="es-ES_tradnl"/>
        </w:rPr>
        <w:instrText xml:space="preserve"> SEQ level0 \*arabic </w:instrText>
      </w:r>
      <w:r w:rsidRPr="00F5659E">
        <w:rPr>
          <w:lang w:val="es-ES_tradnl"/>
        </w:rPr>
        <w:fldChar w:fldCharType="separate"/>
      </w:r>
      <w:r w:rsidRPr="00F5659E" w:rsidR="00F5659E">
        <w:rPr>
          <w:noProof/>
          <w:lang w:val="es-ES_tradnl"/>
        </w:rPr>
        <w:t>60</w:t>
      </w:r>
      <w:r w:rsidRPr="00F5659E">
        <w:rPr>
          <w:lang w:val="es-ES_tradnl"/>
        </w:rPr>
        <w:fldChar w:fldCharType="end"/>
      </w:r>
      <w:r w:rsidRPr="00F5659E">
        <w:rPr>
          <w:lang w:val="es-ES_tradnl"/>
        </w:rPr>
        <w:t>.  </w:t>
      </w:r>
      <w:r w:rsidRPr="00F5659E" w:rsidR="00AC12F5">
        <w:t>The</w:t>
      </w:r>
      <w:r w:rsidRPr="00F5659E" w:rsidR="00D6488E">
        <w:t xml:space="preserve"> Court recalls its assessment </w:t>
      </w:r>
      <w:r w:rsidRPr="00F5659E" w:rsidR="004D4E95">
        <w:t>in the</w:t>
      </w:r>
      <w:r w:rsidRPr="00F5659E" w:rsidR="00AC12F5">
        <w:t xml:space="preserve"> </w:t>
      </w:r>
      <w:r w:rsidRPr="00F5659E" w:rsidR="00AC12F5">
        <w:rPr>
          <w:i/>
        </w:rPr>
        <w:t>Healy</w:t>
      </w:r>
      <w:r w:rsidRPr="00F5659E" w:rsidR="004D4E95">
        <w:rPr>
          <w:i/>
        </w:rPr>
        <w:t xml:space="preserve"> </w:t>
      </w:r>
      <w:r w:rsidRPr="00F5659E" w:rsidR="00D72187">
        <w:t xml:space="preserve">judgment </w:t>
      </w:r>
      <w:r w:rsidRPr="00F5659E" w:rsidR="004F502C">
        <w:t>at paragraphs </w:t>
      </w:r>
      <w:r w:rsidRPr="00F5659E" w:rsidR="004D4E95">
        <w:t>69 to 7</w:t>
      </w:r>
      <w:r w:rsidRPr="00F5659E" w:rsidR="00B43EDA">
        <w:t>2</w:t>
      </w:r>
      <w:r w:rsidRPr="00F5659E" w:rsidR="004D4E95">
        <w:t xml:space="preserve"> as follows:</w:t>
      </w:r>
    </w:p>
    <w:p w:rsidRPr="00F5659E" w:rsidR="00484691" w:rsidP="00F5659E" w:rsidRDefault="00DF2B5C">
      <w:pPr>
        <w:pStyle w:val="ECHRParaQuote"/>
      </w:pPr>
      <w:r w:rsidRPr="00F5659E">
        <w:t>“</w:t>
      </w:r>
      <w:r w:rsidRPr="00F5659E" w:rsidR="004F502C">
        <w:t>69.  </w:t>
      </w:r>
      <w:r w:rsidRPr="00F5659E" w:rsidR="00AC12F5">
        <w:t xml:space="preserve">The Court recalls that as from its judgment in </w:t>
      </w:r>
      <w:r w:rsidRPr="00F5659E" w:rsidR="00AC12F5">
        <w:rPr>
          <w:i/>
          <w:iCs/>
        </w:rPr>
        <w:t>Doran v. Ireland</w:t>
      </w:r>
      <w:r w:rsidRPr="00F5659E" w:rsidR="00AC12F5">
        <w:t xml:space="preserve">, no. 50389/99, ECHR 2003-X (extracts) it has consistently found the domestic legal system to lack a remedy for complaints of excessive length of proceedings. The objection of non-exhaustion of domestic remedies could not therefore be raised in such cases, and the Court found a violation of Article 13 each time such a complaint was raised in conjunction with Article 6 § 1 (see as the most recent example involving civil proceedings </w:t>
      </w:r>
      <w:r w:rsidRPr="00F5659E" w:rsidR="00AC12F5">
        <w:rPr>
          <w:i/>
          <w:iCs/>
        </w:rPr>
        <w:t>Rooney v. Ireland</w:t>
      </w:r>
      <w:r w:rsidRPr="00F5659E" w:rsidR="00AC12F5">
        <w:t>, no. 32614/10, 31 October 2013). More recently again, the Court struck out an application in light of the respondent Government</w:t>
      </w:r>
      <w:r w:rsidRPr="00F5659E" w:rsidR="00F5659E">
        <w:t>’</w:t>
      </w:r>
      <w:r w:rsidRPr="00F5659E" w:rsidR="00AC12F5">
        <w:t xml:space="preserve">s acceptance, in a unilateral declaration dated 19 January 2017, that “the length of the proceedings and the lack of an effective remedy in that regard was incompatible with the reasonable time requirement contained in Article 6(1) and Article 13 of the Convention” (see </w:t>
      </w:r>
      <w:r w:rsidRPr="00F5659E" w:rsidR="00AC12F5">
        <w:rPr>
          <w:i/>
          <w:iCs/>
        </w:rPr>
        <w:t xml:space="preserve">Blehein v. Ireland </w:t>
      </w:r>
      <w:r w:rsidRPr="00F5659E" w:rsidR="00AC12F5">
        <w:t>(dec.) [Committee], no. 14704/16, 25 April 2017). It therefore takes note with interest of this first example brought to its attention of an action in damages for excessive length of proceedings, and of the Supreme Court</w:t>
      </w:r>
      <w:r w:rsidRPr="00F5659E" w:rsidR="00F5659E">
        <w:t>’</w:t>
      </w:r>
      <w:r w:rsidRPr="00F5659E" w:rsidR="00AC12F5">
        <w:t>s analysis of this issue in light of the relevant principles of the Constitution and the Convention.</w:t>
      </w:r>
    </w:p>
    <w:p w:rsidRPr="00F5659E" w:rsidR="00484691" w:rsidP="00F5659E" w:rsidRDefault="00AC12F5">
      <w:pPr>
        <w:pStyle w:val="ECHRParaQuote"/>
      </w:pPr>
      <w:r w:rsidRPr="00F5659E">
        <w:t>70</w:t>
      </w:r>
      <w:r w:rsidRPr="00F5659E" w:rsidR="004F502C">
        <w:t>.  </w:t>
      </w:r>
      <w:r w:rsidRPr="00F5659E">
        <w:t>However, it must be recalled that, according to the Court</w:t>
      </w:r>
      <w:r w:rsidRPr="00F5659E" w:rsidR="00F5659E">
        <w:t>’</w:t>
      </w:r>
      <w:r w:rsidRPr="00F5659E">
        <w:t xml:space="preserve">s well-established case-law, the effectiveness of a remedy is normally assessed with reference to the date on which the application was lodged (see </w:t>
      </w:r>
      <w:r w:rsidRPr="00F5659E">
        <w:rPr>
          <w:i/>
          <w:iCs/>
        </w:rPr>
        <w:t>Valada Matos das Neves v. Portugal</w:t>
      </w:r>
      <w:r w:rsidRPr="00F5659E" w:rsidR="004F502C">
        <w:t>, no. </w:t>
      </w:r>
      <w:r w:rsidRPr="00F5659E">
        <w:t xml:space="preserve">73798/13, § 102, 29 October 2015, with further references). Given the close affinity between Article 35 § 1 and Article 13, the same approach must be taken under the latter provision (see </w:t>
      </w:r>
      <w:r w:rsidRPr="00F5659E">
        <w:rPr>
          <w:i/>
          <w:iCs/>
        </w:rPr>
        <w:t>Casse v. Luxembourg</w:t>
      </w:r>
      <w:r w:rsidRPr="00F5659E">
        <w:t>, no. 40327/02, § 66, 27 April 2006).</w:t>
      </w:r>
    </w:p>
    <w:p w:rsidRPr="00F5659E" w:rsidR="00484691" w:rsidP="00F5659E" w:rsidRDefault="00AC12F5">
      <w:pPr>
        <w:pStyle w:val="ECHRParaQuote"/>
      </w:pPr>
      <w:r w:rsidRPr="00F5659E">
        <w:t>71.</w:t>
      </w:r>
      <w:r w:rsidRPr="00F5659E" w:rsidR="004F502C">
        <w:t>  </w:t>
      </w:r>
      <w:r w:rsidRPr="00F5659E">
        <w:t>The present application was introduced on 12 May 2016. It is clear that at that point in time there was no basis to reconsider the Court</w:t>
      </w:r>
      <w:r w:rsidRPr="00F5659E" w:rsidR="00F5659E">
        <w:t>’</w:t>
      </w:r>
      <w:r w:rsidRPr="00F5659E">
        <w:t>s conclusion regarding the inexistence of a remedy in domestic law for length of proceedings, the Supreme Court</w:t>
      </w:r>
      <w:r w:rsidRPr="00F5659E" w:rsidR="00F5659E">
        <w:t>’</w:t>
      </w:r>
      <w:r w:rsidRPr="00F5659E">
        <w:t xml:space="preserve">s decision in </w:t>
      </w:r>
      <w:r w:rsidRPr="00F5659E">
        <w:rPr>
          <w:i/>
          <w:iCs/>
        </w:rPr>
        <w:t xml:space="preserve">Nash </w:t>
      </w:r>
      <w:r w:rsidRPr="00F5659E">
        <w:t>coming more than five months later on 24 October 2016, and indeed following communication of the application.</w:t>
      </w:r>
    </w:p>
    <w:p w:rsidRPr="00F5659E" w:rsidR="00AC12F5" w:rsidP="00F5659E" w:rsidRDefault="00AC12F5">
      <w:pPr>
        <w:pStyle w:val="ECHRParaQuote"/>
      </w:pPr>
      <w:r w:rsidRPr="00F5659E">
        <w:t>72</w:t>
      </w:r>
      <w:r w:rsidRPr="00F5659E" w:rsidR="004F502C">
        <w:t>.  </w:t>
      </w:r>
      <w:r w:rsidRPr="00F5659E">
        <w:t xml:space="preserve">It is true that the Court has approved a number of exceptions to this rule, justified by the specific circumstances of the cases in question. This refers in particular to the enactment of new legislation by States to remedy the systemic problem of length of judicial proceedings (see the cases referred to in </w:t>
      </w:r>
      <w:r w:rsidRPr="00F5659E">
        <w:rPr>
          <w:i/>
          <w:iCs/>
        </w:rPr>
        <w:t>Valada Matos das Neves</w:t>
      </w:r>
      <w:r w:rsidRPr="00F5659E">
        <w:t>, cited above, at § 102). Where the change in domestic law comes about through case-law, the Court</w:t>
      </w:r>
      <w:r w:rsidRPr="00F5659E" w:rsidR="00F5659E">
        <w:t>’</w:t>
      </w:r>
      <w:r w:rsidRPr="00F5659E">
        <w:t xml:space="preserve">s approach has been, for reasons of fairness, to allow a certain time for applicants to familiarise themselves with the new jurisprudence, the exact period depending on the circumstances of each case, especially the publicity given to the decision in question (ibid., §§ 104-105). Periods ranging from one and a half months (see </w:t>
      </w:r>
      <w:r w:rsidRPr="00F5659E">
        <w:rPr>
          <w:i/>
        </w:rPr>
        <w:t>Poulain v. France</w:t>
      </w:r>
      <w:r w:rsidRPr="00F5659E">
        <w:t xml:space="preserve"> (dec.), no. 16470/15, § 29, 21 March 2017) to eight months (see </w:t>
      </w:r>
      <w:r w:rsidRPr="00F5659E">
        <w:rPr>
          <w:i/>
        </w:rPr>
        <w:t>Leandro Da Silva v. Luxembourg</w:t>
      </w:r>
      <w:r w:rsidRPr="00F5659E">
        <w:t xml:space="preserve">, no. 30273/07, § 50, 11 February 2010) have been allowed. It follows that even were the Court to modify its assessment of the domestic system in this regard, this would not have any bearing on its conclusion on the complaint raised in the present case. Accordingly, the Court will refrain on this occasion from determining the significance of the </w:t>
      </w:r>
      <w:r w:rsidRPr="00F5659E">
        <w:rPr>
          <w:i/>
        </w:rPr>
        <w:t>Nash</w:t>
      </w:r>
      <w:r w:rsidRPr="00F5659E">
        <w:t xml:space="preserve"> decision for the purp</w:t>
      </w:r>
      <w:r w:rsidRPr="00F5659E" w:rsidR="00B43EDA">
        <w:t>oses of Articles 35 § 1 and 13</w:t>
      </w:r>
      <w:r w:rsidRPr="00F5659E" w:rsidR="00DF2B5C">
        <w:t>.”</w:t>
      </w:r>
    </w:p>
    <w:p w:rsidRPr="00F5659E" w:rsidR="00793E20" w:rsidP="00F5659E" w:rsidRDefault="00793E20">
      <w:pPr>
        <w:pStyle w:val="ECHRPara"/>
      </w:pPr>
      <w:r w:rsidRPr="00F5659E">
        <w:fldChar w:fldCharType="begin"/>
      </w:r>
      <w:r w:rsidRPr="00F5659E">
        <w:instrText xml:space="preserve"> SEQ level0 \*arabic </w:instrText>
      </w:r>
      <w:r w:rsidRPr="00F5659E">
        <w:fldChar w:fldCharType="separate"/>
      </w:r>
      <w:r w:rsidRPr="00F5659E" w:rsidR="00F5659E">
        <w:rPr>
          <w:noProof/>
        </w:rPr>
        <w:t>61</w:t>
      </w:r>
      <w:r w:rsidRPr="00F5659E">
        <w:fldChar w:fldCharType="end"/>
      </w:r>
      <w:r w:rsidRPr="00F5659E">
        <w:t>.  </w:t>
      </w:r>
      <w:r w:rsidRPr="00F5659E" w:rsidR="00CC602F">
        <w:t>The final domestic decision in the present proceedings was made on 10 May 2016</w:t>
      </w:r>
      <w:r w:rsidRPr="00F5659E" w:rsidR="00366E48">
        <w:t xml:space="preserve"> and t</w:t>
      </w:r>
      <w:r w:rsidRPr="00F5659E" w:rsidR="005363A6">
        <w:t xml:space="preserve">he </w:t>
      </w:r>
      <w:r w:rsidRPr="00F5659E" w:rsidR="00366E48">
        <w:t xml:space="preserve">application was lodged on 2 August 2016. </w:t>
      </w:r>
      <w:r w:rsidRPr="00F5659E" w:rsidR="00935049">
        <w:t xml:space="preserve">The </w:t>
      </w:r>
      <w:r w:rsidRPr="00F5659E" w:rsidR="00935049">
        <w:rPr>
          <w:i/>
        </w:rPr>
        <w:t xml:space="preserve">Nash </w:t>
      </w:r>
      <w:r w:rsidRPr="00F5659E" w:rsidR="00935049">
        <w:t xml:space="preserve">judgment was delivered </w:t>
      </w:r>
      <w:r w:rsidRPr="00F5659E" w:rsidR="00E67378">
        <w:t xml:space="preserve">more than two </w:t>
      </w:r>
      <w:r w:rsidRPr="00F5659E" w:rsidR="00935049">
        <w:t xml:space="preserve">months later, on 24 October 2016. </w:t>
      </w:r>
      <w:r w:rsidRPr="00F5659E" w:rsidR="00366E48">
        <w:t xml:space="preserve">While the present application differs from </w:t>
      </w:r>
      <w:r w:rsidRPr="00F5659E" w:rsidR="00366E48">
        <w:rPr>
          <w:i/>
        </w:rPr>
        <w:t>Healy</w:t>
      </w:r>
      <w:r w:rsidRPr="00F5659E" w:rsidR="00366E48">
        <w:t xml:space="preserve"> in</w:t>
      </w:r>
      <w:r w:rsidRPr="00F5659E" w:rsidR="00751245">
        <w:t xml:space="preserve"> one respect in</w:t>
      </w:r>
      <w:r w:rsidRPr="00F5659E" w:rsidR="00366E48">
        <w:t xml:space="preserve"> that it was communicated after </w:t>
      </w:r>
      <w:r w:rsidRPr="00F5659E" w:rsidR="00751245">
        <w:t xml:space="preserve">the </w:t>
      </w:r>
      <w:r w:rsidRPr="00F5659E" w:rsidR="00751245">
        <w:rPr>
          <w:i/>
        </w:rPr>
        <w:t>Nash</w:t>
      </w:r>
      <w:r w:rsidRPr="00F5659E" w:rsidR="007E1D05">
        <w:t xml:space="preserve"> judgment</w:t>
      </w:r>
      <w:r w:rsidRPr="00F5659E" w:rsidR="00751245">
        <w:t xml:space="preserve">, nonetheless, there was equally no basis at the time of the final decision or before the application was lodged </w:t>
      </w:r>
      <w:r w:rsidRPr="00F5659E" w:rsidR="00366E48">
        <w:t>to reconsider the Court</w:t>
      </w:r>
      <w:r w:rsidRPr="00F5659E" w:rsidR="00F5659E">
        <w:t>’</w:t>
      </w:r>
      <w:r w:rsidRPr="00F5659E" w:rsidR="00366E48">
        <w:t>s conclusion regarding inexistence of a remedy in domestic law for length of proceedings.</w:t>
      </w:r>
    </w:p>
    <w:p w:rsidRPr="00F5659E" w:rsidR="00366E48" w:rsidP="00F5659E" w:rsidRDefault="00366E48">
      <w:pPr>
        <w:pStyle w:val="ECHRPara"/>
      </w:pPr>
      <w:r w:rsidRPr="00F5659E">
        <w:fldChar w:fldCharType="begin"/>
      </w:r>
      <w:r w:rsidRPr="00F5659E">
        <w:instrText xml:space="preserve"> SEQ level0 \*arabic </w:instrText>
      </w:r>
      <w:r w:rsidRPr="00F5659E">
        <w:fldChar w:fldCharType="separate"/>
      </w:r>
      <w:r w:rsidRPr="00F5659E" w:rsidR="00F5659E">
        <w:rPr>
          <w:noProof/>
        </w:rPr>
        <w:t>62</w:t>
      </w:r>
      <w:r w:rsidRPr="00F5659E">
        <w:fldChar w:fldCharType="end"/>
      </w:r>
      <w:r w:rsidRPr="00F5659E">
        <w:t>.  </w:t>
      </w:r>
      <w:r w:rsidRPr="00F5659E" w:rsidR="00751245">
        <w:t>The Court considers on this basis that it is not appropriate to consider in the context of this application the significance of the</w:t>
      </w:r>
      <w:r w:rsidRPr="00F5659E">
        <w:t xml:space="preserve"> </w:t>
      </w:r>
      <w:r w:rsidRPr="00F5659E">
        <w:rPr>
          <w:i/>
        </w:rPr>
        <w:t>Nash</w:t>
      </w:r>
      <w:r w:rsidRPr="00F5659E">
        <w:t xml:space="preserve"> </w:t>
      </w:r>
      <w:r w:rsidRPr="00F5659E" w:rsidR="007E1D05">
        <w:t>judgment</w:t>
      </w:r>
      <w:r w:rsidRPr="00F5659E">
        <w:t xml:space="preserve"> for the purposes of Articles 35 </w:t>
      </w:r>
      <w:r w:rsidRPr="00F5659E">
        <w:rPr>
          <w:rFonts w:cstheme="minorHAnsi"/>
        </w:rPr>
        <w:t>§</w:t>
      </w:r>
      <w:r w:rsidRPr="00F5659E">
        <w:t xml:space="preserve"> 1 and 13.</w:t>
      </w:r>
    </w:p>
    <w:p w:rsidRPr="00F5659E" w:rsidR="00366E48" w:rsidP="00F5659E" w:rsidRDefault="00366E48">
      <w:pPr>
        <w:pStyle w:val="ECHRPara"/>
      </w:pPr>
      <w:r w:rsidRPr="00F5659E">
        <w:fldChar w:fldCharType="begin"/>
      </w:r>
      <w:r w:rsidRPr="00F5659E">
        <w:instrText xml:space="preserve"> SEQ level0 \*arabic </w:instrText>
      </w:r>
      <w:r w:rsidRPr="00F5659E">
        <w:fldChar w:fldCharType="separate"/>
      </w:r>
      <w:r w:rsidRPr="00F5659E" w:rsidR="00F5659E">
        <w:rPr>
          <w:noProof/>
        </w:rPr>
        <w:t>63</w:t>
      </w:r>
      <w:r w:rsidRPr="00F5659E">
        <w:fldChar w:fldCharType="end"/>
      </w:r>
      <w:r w:rsidRPr="00F5659E">
        <w:t>.</w:t>
      </w:r>
      <w:r w:rsidRPr="00F5659E" w:rsidR="004F502C">
        <w:t> </w:t>
      </w:r>
      <w:r w:rsidRPr="00F5659E">
        <w:t xml:space="preserve"> In light of the foregoing, the Court finds that there has been a violation of Article 13, in conjunction with Article 6 </w:t>
      </w:r>
      <w:r w:rsidRPr="00F5659E">
        <w:rPr>
          <w:rFonts w:cstheme="minorHAnsi"/>
        </w:rPr>
        <w:t>§</w:t>
      </w:r>
      <w:r w:rsidRPr="00F5659E">
        <w:t>1 of the Convention, and, consequently, dismisses the Government</w:t>
      </w:r>
      <w:r w:rsidRPr="00F5659E" w:rsidR="00F5659E">
        <w:t>’</w:t>
      </w:r>
      <w:r w:rsidRPr="00F5659E">
        <w:t>s objection as to the applicant</w:t>
      </w:r>
      <w:r w:rsidRPr="00F5659E" w:rsidR="00F5659E">
        <w:t>’</w:t>
      </w:r>
      <w:r w:rsidRPr="00F5659E">
        <w:t>s failure to exhaust domestic remedies.</w:t>
      </w:r>
    </w:p>
    <w:p w:rsidRPr="00F5659E" w:rsidR="00DE61E0" w:rsidP="00F5659E" w:rsidRDefault="00DE61E0">
      <w:pPr>
        <w:pStyle w:val="ECHRHeading1"/>
      </w:pPr>
      <w:r w:rsidRPr="00F5659E">
        <w:t>IV.  APPLICATION OF ARTICLE 41 OF THE CONVENTION</w:t>
      </w:r>
    </w:p>
    <w:p w:rsidRPr="00F5659E" w:rsidR="00DE61E0" w:rsidP="00F5659E" w:rsidRDefault="001F30CB">
      <w:pPr>
        <w:pStyle w:val="ECHRPara"/>
      </w:pPr>
      <w:r w:rsidRPr="00F5659E">
        <w:fldChar w:fldCharType="begin"/>
      </w:r>
      <w:r w:rsidRPr="00F5659E">
        <w:instrText xml:space="preserve"> SEQ level0 \*arabic </w:instrText>
      </w:r>
      <w:r w:rsidRPr="00F5659E">
        <w:fldChar w:fldCharType="separate"/>
      </w:r>
      <w:r w:rsidRPr="00F5659E" w:rsidR="00F5659E">
        <w:rPr>
          <w:noProof/>
        </w:rPr>
        <w:t>64</w:t>
      </w:r>
      <w:r w:rsidRPr="00F5659E">
        <w:fldChar w:fldCharType="end"/>
      </w:r>
      <w:r w:rsidRPr="00F5659E" w:rsidR="00DE61E0">
        <w:t>.  Article 41 of the Convention provides:</w:t>
      </w:r>
    </w:p>
    <w:p w:rsidRPr="00F5659E" w:rsidR="00DE61E0" w:rsidP="00F5659E" w:rsidRDefault="00DE61E0">
      <w:pPr>
        <w:pStyle w:val="ECHRParaQuote"/>
        <w:keepNext/>
        <w:keepLines/>
      </w:pPr>
      <w:r w:rsidRPr="00F5659E">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F5659E" w:rsidR="00DE61E0" w:rsidP="00F5659E" w:rsidRDefault="00DE61E0">
      <w:pPr>
        <w:pStyle w:val="ECHRHeading2"/>
      </w:pPr>
      <w:r w:rsidRPr="00F5659E">
        <w:t>A.  Damage</w:t>
      </w:r>
    </w:p>
    <w:p w:rsidRPr="00F5659E" w:rsidR="00DE61E0" w:rsidP="00F5659E" w:rsidRDefault="001F30CB">
      <w:pPr>
        <w:pStyle w:val="ECHRPara"/>
      </w:pPr>
      <w:r w:rsidRPr="00F5659E">
        <w:fldChar w:fldCharType="begin"/>
      </w:r>
      <w:r w:rsidRPr="00F5659E">
        <w:instrText xml:space="preserve"> SEQ level0 \*arabic </w:instrText>
      </w:r>
      <w:r w:rsidRPr="00F5659E">
        <w:fldChar w:fldCharType="separate"/>
      </w:r>
      <w:r w:rsidRPr="00F5659E" w:rsidR="00F5659E">
        <w:rPr>
          <w:noProof/>
        </w:rPr>
        <w:t>65</w:t>
      </w:r>
      <w:r w:rsidRPr="00F5659E">
        <w:fldChar w:fldCharType="end"/>
      </w:r>
      <w:r w:rsidRPr="00F5659E" w:rsidR="00DE61E0">
        <w:t xml:space="preserve">.  The applicant </w:t>
      </w:r>
      <w:r w:rsidRPr="00F5659E" w:rsidR="00DE1824">
        <w:t>requested the Court to award him such amount as it deemed appropriate for non-pecuniary loss arising out of the violation of his rights under Article</w:t>
      </w:r>
      <w:r w:rsidRPr="00F5659E" w:rsidR="00842533">
        <w:t>s</w:t>
      </w:r>
      <w:r w:rsidRPr="00F5659E" w:rsidR="00DE1824">
        <w:t xml:space="preserve"> 6</w:t>
      </w:r>
      <w:r w:rsidRPr="00F5659E" w:rsidR="00937270">
        <w:t xml:space="preserve"> </w:t>
      </w:r>
      <w:r w:rsidRPr="00F5659E" w:rsidR="00937270">
        <w:rPr>
          <w:rFonts w:cstheme="minorHAnsi"/>
        </w:rPr>
        <w:t>§</w:t>
      </w:r>
      <w:r w:rsidRPr="00F5659E" w:rsidR="00937270">
        <w:t xml:space="preserve"> 1</w:t>
      </w:r>
      <w:r w:rsidRPr="00F5659E" w:rsidR="00DE1824">
        <w:t xml:space="preserve"> and 13.</w:t>
      </w:r>
    </w:p>
    <w:p w:rsidRPr="00F5659E" w:rsidR="00DE61E0" w:rsidP="00F5659E" w:rsidRDefault="001F30CB">
      <w:pPr>
        <w:pStyle w:val="ECHRPara"/>
      </w:pPr>
      <w:r w:rsidRPr="00F5659E">
        <w:fldChar w:fldCharType="begin"/>
      </w:r>
      <w:r w:rsidRPr="00F5659E">
        <w:instrText xml:space="preserve"> SEQ level0 \*arabic </w:instrText>
      </w:r>
      <w:r w:rsidRPr="00F5659E">
        <w:fldChar w:fldCharType="separate"/>
      </w:r>
      <w:r w:rsidRPr="00F5659E" w:rsidR="00F5659E">
        <w:rPr>
          <w:noProof/>
        </w:rPr>
        <w:t>66</w:t>
      </w:r>
      <w:r w:rsidRPr="00F5659E">
        <w:fldChar w:fldCharType="end"/>
      </w:r>
      <w:r w:rsidRPr="00F5659E" w:rsidR="004F502C">
        <w:t>.  </w:t>
      </w:r>
      <w:r w:rsidRPr="00F5659E" w:rsidR="00DE61E0">
        <w:t>Th</w:t>
      </w:r>
      <w:r w:rsidRPr="00F5659E" w:rsidR="00DE1824">
        <w:t xml:space="preserve">e Government </w:t>
      </w:r>
      <w:r w:rsidRPr="00F5659E" w:rsidR="00D60444">
        <w:t>did not propose to suggest a figure for non-pecuniary loss, should an award be made by the Court, noting that the assessment w</w:t>
      </w:r>
      <w:r w:rsidRPr="00F5659E" w:rsidR="00074D15">
        <w:t>ould</w:t>
      </w:r>
      <w:r w:rsidRPr="00F5659E" w:rsidR="00D60444">
        <w:t xml:space="preserve"> be on an equitable basis having regard to the sums granted in similar cases.</w:t>
      </w:r>
    </w:p>
    <w:p w:rsidRPr="00F5659E" w:rsidR="00DE61E0" w:rsidP="00F5659E" w:rsidRDefault="001F30CB">
      <w:pPr>
        <w:pStyle w:val="ECHRPara"/>
      </w:pPr>
      <w:r w:rsidRPr="00F5659E">
        <w:fldChar w:fldCharType="begin"/>
      </w:r>
      <w:r w:rsidRPr="00F5659E">
        <w:instrText xml:space="preserve"> SEQ level0 \*arabic </w:instrText>
      </w:r>
      <w:r w:rsidRPr="00F5659E">
        <w:fldChar w:fldCharType="separate"/>
      </w:r>
      <w:r w:rsidRPr="00F5659E" w:rsidR="00F5659E">
        <w:rPr>
          <w:noProof/>
        </w:rPr>
        <w:t>67</w:t>
      </w:r>
      <w:r w:rsidRPr="00F5659E">
        <w:fldChar w:fldCharType="end"/>
      </w:r>
      <w:r w:rsidRPr="00F5659E" w:rsidR="00DE61E0">
        <w:t>.  </w:t>
      </w:r>
      <w:r w:rsidRPr="00F5659E" w:rsidR="00751DBB">
        <w:t xml:space="preserve">The Court considers that the violation of Article 6 </w:t>
      </w:r>
      <w:r w:rsidRPr="00F5659E" w:rsidR="00751DBB">
        <w:rPr>
          <w:rFonts w:cstheme="minorHAnsi"/>
        </w:rPr>
        <w:t>§</w:t>
      </w:r>
      <w:r w:rsidRPr="00F5659E" w:rsidR="00751DBB">
        <w:t xml:space="preserve"> 1 pertains</w:t>
      </w:r>
      <w:r w:rsidRPr="00F5659E" w:rsidR="000476D3">
        <w:t xml:space="preserve"> in particular</w:t>
      </w:r>
      <w:r w:rsidRPr="00F5659E" w:rsidR="00751DBB">
        <w:t xml:space="preserve"> to those parts of the proceedings identified at paragraph </w:t>
      </w:r>
      <w:r w:rsidRPr="00F5659E" w:rsidR="00751DBB">
        <w:fldChar w:fldCharType="begin"/>
      </w:r>
      <w:r w:rsidRPr="00F5659E" w:rsidR="00751DBB">
        <w:instrText xml:space="preserve"> REF para60 \h </w:instrText>
      </w:r>
      <w:r w:rsidRPr="00F5659E" w:rsidR="00751DBB">
        <w:fldChar w:fldCharType="separate"/>
      </w:r>
      <w:r w:rsidRPr="00F5659E" w:rsidR="00F5659E">
        <w:rPr>
          <w:noProof/>
        </w:rPr>
        <w:t>53</w:t>
      </w:r>
      <w:r w:rsidRPr="00F5659E" w:rsidR="00751DBB">
        <w:fldChar w:fldCharType="end"/>
      </w:r>
      <w:r w:rsidRPr="00F5659E" w:rsidR="00751DBB">
        <w:t xml:space="preserve"> above</w:t>
      </w:r>
      <w:r w:rsidRPr="00F5659E" w:rsidR="009E2EB0">
        <w:t>, while recognising that certain periods of delay were also attributable to the applicant (see paragraphs</w:t>
      </w:r>
      <w:r w:rsidRPr="00F5659E" w:rsidR="00525D44">
        <w:t xml:space="preserve"> </w:t>
      </w:r>
      <w:r w:rsidRPr="00F5659E" w:rsidR="00525D44">
        <w:fldChar w:fldCharType="begin"/>
      </w:r>
      <w:r w:rsidRPr="00F5659E" w:rsidR="00525D44">
        <w:instrText xml:space="preserve"> REF para46 \h </w:instrText>
      </w:r>
      <w:r w:rsidRPr="00F5659E" w:rsidR="00525D44">
        <w:fldChar w:fldCharType="separate"/>
      </w:r>
      <w:r w:rsidRPr="00F5659E" w:rsidR="00F5659E">
        <w:rPr>
          <w:noProof/>
        </w:rPr>
        <w:t>45</w:t>
      </w:r>
      <w:r w:rsidRPr="00F5659E" w:rsidR="00525D44">
        <w:fldChar w:fldCharType="end"/>
      </w:r>
      <w:r w:rsidRPr="00F5659E" w:rsidR="00525D44">
        <w:t xml:space="preserve"> to </w:t>
      </w:r>
      <w:r w:rsidRPr="00F5659E" w:rsidR="00FA25F0">
        <w:fldChar w:fldCharType="begin"/>
      </w:r>
      <w:r w:rsidRPr="00F5659E" w:rsidR="00FA25F0">
        <w:instrText xml:space="preserve"> REF para48 \h </w:instrText>
      </w:r>
      <w:r w:rsidRPr="00F5659E" w:rsidR="00FA25F0">
        <w:fldChar w:fldCharType="separate"/>
      </w:r>
      <w:r w:rsidRPr="00F5659E" w:rsidR="00F5659E">
        <w:rPr>
          <w:noProof/>
        </w:rPr>
        <w:t>47</w:t>
      </w:r>
      <w:r w:rsidRPr="00F5659E" w:rsidR="00FA25F0">
        <w:fldChar w:fldCharType="end"/>
      </w:r>
      <w:r w:rsidRPr="00F5659E" w:rsidR="009E2EB0">
        <w:t xml:space="preserve"> and</w:t>
      </w:r>
      <w:r w:rsidRPr="00F5659E" w:rsidR="00FA25F0">
        <w:t xml:space="preserve"> 5</w:t>
      </w:r>
      <w:r w:rsidRPr="00F5659E" w:rsidR="0034730F">
        <w:t>3</w:t>
      </w:r>
      <w:r w:rsidRPr="00F5659E" w:rsidR="00FA25F0">
        <w:fldChar w:fldCharType="begin"/>
      </w:r>
      <w:r w:rsidRPr="00F5659E" w:rsidR="00FA25F0">
        <w:instrText xml:space="preserve"> REF para54 \h </w:instrText>
      </w:r>
      <w:r w:rsidRPr="00F5659E" w:rsidR="00FA25F0">
        <w:fldChar w:fldCharType="separate"/>
      </w:r>
      <w:r w:rsidRPr="00F5659E" w:rsidR="00F5659E">
        <w:t>(3)  </w:t>
      </w:r>
      <w:r w:rsidRPr="00F5659E" w:rsidR="00FA25F0">
        <w:fldChar w:fldCharType="end"/>
      </w:r>
      <w:r w:rsidRPr="00F5659E" w:rsidR="009E2EB0">
        <w:t>above)</w:t>
      </w:r>
      <w:r w:rsidRPr="00F5659E" w:rsidR="00751DBB">
        <w:t>.</w:t>
      </w:r>
      <w:r w:rsidRPr="00F5659E" w:rsidR="000476D3">
        <w:t xml:space="preserve"> Considering that the applicant must have sustained non-pecuniary damage, and ruling on an equitable basis, the Court awards him EUR </w:t>
      </w:r>
      <w:r w:rsidRPr="00F5659E" w:rsidR="005B01A0">
        <w:t>7</w:t>
      </w:r>
      <w:r w:rsidRPr="00F5659E" w:rsidR="000476D3">
        <w:t>,</w:t>
      </w:r>
      <w:r w:rsidRPr="00F5659E" w:rsidR="005B01A0">
        <w:t>0</w:t>
      </w:r>
      <w:r w:rsidRPr="00F5659E" w:rsidR="000476D3">
        <w:t>00 under this head of damage.</w:t>
      </w:r>
    </w:p>
    <w:p w:rsidRPr="00F5659E" w:rsidR="00DE61E0" w:rsidP="00F5659E" w:rsidRDefault="00DE61E0">
      <w:pPr>
        <w:pStyle w:val="ECHRHeading2"/>
      </w:pPr>
      <w:r w:rsidRPr="00F5659E">
        <w:t>B.  Costs and expenses</w:t>
      </w:r>
    </w:p>
    <w:p w:rsidRPr="00F5659E" w:rsidR="00DE61E0" w:rsidP="00F5659E" w:rsidRDefault="001F30CB">
      <w:pPr>
        <w:pStyle w:val="ECHRPara"/>
      </w:pPr>
      <w:r w:rsidRPr="00F5659E">
        <w:fldChar w:fldCharType="begin"/>
      </w:r>
      <w:r w:rsidRPr="00F5659E">
        <w:instrText xml:space="preserve"> SEQ level0 \*arabic </w:instrText>
      </w:r>
      <w:r w:rsidRPr="00F5659E">
        <w:fldChar w:fldCharType="separate"/>
      </w:r>
      <w:r w:rsidRPr="00F5659E" w:rsidR="00F5659E">
        <w:rPr>
          <w:noProof/>
        </w:rPr>
        <w:t>68</w:t>
      </w:r>
      <w:r w:rsidRPr="00F5659E">
        <w:fldChar w:fldCharType="end"/>
      </w:r>
      <w:r w:rsidRPr="00F5659E" w:rsidR="00DE61E0">
        <w:t xml:space="preserve">.  The applicant </w:t>
      </w:r>
      <w:r w:rsidRPr="00F5659E" w:rsidR="006745B9">
        <w:t xml:space="preserve">claimed a total of </w:t>
      </w:r>
      <w:r w:rsidRPr="00F5659E" w:rsidR="000A6973">
        <w:t xml:space="preserve">EUR 5,083 in legal fees incurred before the Court. This comprised EUR </w:t>
      </w:r>
      <w:r w:rsidRPr="00F5659E" w:rsidR="004F502C">
        <w:t>2,500 charged by counsel for 10 </w:t>
      </w:r>
      <w:r w:rsidRPr="00F5659E" w:rsidR="000A6973">
        <w:t>hours of work at a rate of EUR 250 per hour. The remainder comprised EUR 2,583 charged by his solicitor, for 7 ho</w:t>
      </w:r>
      <w:r w:rsidRPr="00F5659E" w:rsidR="004F502C">
        <w:t>urs of work at a rate of EUR </w:t>
      </w:r>
      <w:r w:rsidRPr="00F5659E" w:rsidR="000A6973">
        <w:t>300 per hour, plus VAT.</w:t>
      </w:r>
    </w:p>
    <w:p w:rsidRPr="00F5659E" w:rsidR="00484691" w:rsidP="00F5659E" w:rsidRDefault="001F30CB">
      <w:pPr>
        <w:pStyle w:val="ECHRPara"/>
      </w:pPr>
      <w:r w:rsidRPr="00F5659E">
        <w:fldChar w:fldCharType="begin"/>
      </w:r>
      <w:r w:rsidRPr="00F5659E">
        <w:instrText xml:space="preserve"> SEQ level0 \*arabic </w:instrText>
      </w:r>
      <w:r w:rsidRPr="00F5659E">
        <w:fldChar w:fldCharType="separate"/>
      </w:r>
      <w:r w:rsidRPr="00F5659E" w:rsidR="00F5659E">
        <w:rPr>
          <w:noProof/>
        </w:rPr>
        <w:t>69</w:t>
      </w:r>
      <w:r w:rsidRPr="00F5659E">
        <w:fldChar w:fldCharType="end"/>
      </w:r>
      <w:r w:rsidRPr="00F5659E" w:rsidR="00DE61E0">
        <w:t>.  The Government did not express an opinion on the matter.</w:t>
      </w:r>
    </w:p>
    <w:p w:rsidRPr="00F5659E" w:rsidR="00DE61E0" w:rsidP="00F5659E" w:rsidRDefault="001F30CB">
      <w:pPr>
        <w:pStyle w:val="ECHRPara"/>
      </w:pPr>
      <w:r w:rsidRPr="00F5659E">
        <w:fldChar w:fldCharType="begin"/>
      </w:r>
      <w:r w:rsidRPr="00F5659E">
        <w:instrText xml:space="preserve"> SEQ level0 \*arabic </w:instrText>
      </w:r>
      <w:r w:rsidRPr="00F5659E">
        <w:fldChar w:fldCharType="separate"/>
      </w:r>
      <w:r w:rsidRPr="00F5659E" w:rsidR="00F5659E">
        <w:rPr>
          <w:noProof/>
        </w:rPr>
        <w:t>70</w:t>
      </w:r>
      <w:r w:rsidRPr="00F5659E">
        <w:fldChar w:fldCharType="end"/>
      </w:r>
      <w:r w:rsidRPr="00F5659E" w:rsidR="00DE61E0">
        <w:t>.  </w:t>
      </w:r>
      <w:r w:rsidRPr="00F5659E" w:rsidR="00C213CB">
        <w:t>According to the Court</w:t>
      </w:r>
      <w:r w:rsidRPr="00F5659E" w:rsidR="00F5659E">
        <w:t>’</w:t>
      </w:r>
      <w:r w:rsidRPr="00F5659E" w:rsidR="00C213CB">
        <w:t xml:space="preserve">s case-law, an applicant is entitled to the reimbursement of costs and expenses only in so far as it has been shown that these have been actually and necessarily incurred and are reasonable as to quantum. In the present case, regard being had to the documents in its possession and the above criteria, the Court considers it reasonable to award the sum of EUR </w:t>
      </w:r>
      <w:r w:rsidRPr="00F5659E" w:rsidR="00F624E4">
        <w:t>4</w:t>
      </w:r>
      <w:r w:rsidRPr="00F5659E" w:rsidR="00AE2DEF">
        <w:t>,</w:t>
      </w:r>
      <w:r w:rsidRPr="00F5659E" w:rsidR="00F624E4">
        <w:t>000.</w:t>
      </w:r>
    </w:p>
    <w:p w:rsidRPr="00F5659E" w:rsidR="00DE61E0" w:rsidP="00F5659E" w:rsidRDefault="00DE61E0">
      <w:pPr>
        <w:pStyle w:val="ECHRHeading2"/>
      </w:pPr>
      <w:r w:rsidRPr="00F5659E">
        <w:t>C.  Default interest</w:t>
      </w:r>
    </w:p>
    <w:p w:rsidRPr="00F5659E" w:rsidR="00DE61E0" w:rsidP="00F5659E" w:rsidRDefault="001F30CB">
      <w:pPr>
        <w:pStyle w:val="ECHRPara"/>
      </w:pPr>
      <w:r w:rsidRPr="00F5659E">
        <w:fldChar w:fldCharType="begin"/>
      </w:r>
      <w:r w:rsidRPr="00F5659E">
        <w:instrText xml:space="preserve"> SEQ level0 \*arabic </w:instrText>
      </w:r>
      <w:r w:rsidRPr="00F5659E">
        <w:fldChar w:fldCharType="separate"/>
      </w:r>
      <w:r w:rsidRPr="00F5659E" w:rsidR="00F5659E">
        <w:rPr>
          <w:noProof/>
        </w:rPr>
        <w:t>71</w:t>
      </w:r>
      <w:r w:rsidRPr="00F5659E">
        <w:fldChar w:fldCharType="end"/>
      </w:r>
      <w:r w:rsidRPr="00F5659E" w:rsidR="00DE61E0">
        <w:t>.  The Court considers it appropriate that the default interest rate should be based on the marginal lending rate of the European Central Bank, to which should be added three percentage points.</w:t>
      </w:r>
    </w:p>
    <w:p w:rsidRPr="00F5659E" w:rsidR="00DE61E0" w:rsidP="00F5659E" w:rsidRDefault="002E044C">
      <w:pPr>
        <w:pStyle w:val="ECHRTitle1"/>
      </w:pPr>
      <w:r w:rsidRPr="00F5659E">
        <w:t>FOR THESE REASONS, THE COURT</w:t>
      </w:r>
      <w:r w:rsidRPr="00F5659E" w:rsidR="001F30CB">
        <w:t>, UNANIMOUSLY,</w:t>
      </w:r>
    </w:p>
    <w:p w:rsidRPr="00F5659E" w:rsidR="000331C9" w:rsidP="00F5659E" w:rsidRDefault="00F60DEA">
      <w:pPr>
        <w:pStyle w:val="JuList"/>
      </w:pPr>
      <w:r w:rsidRPr="00F5659E">
        <w:t>1</w:t>
      </w:r>
      <w:r w:rsidRPr="00F5659E" w:rsidR="000331C9">
        <w:t>. </w:t>
      </w:r>
      <w:r w:rsidRPr="00F5659E" w:rsidR="005156FA">
        <w:t> </w:t>
      </w:r>
      <w:r w:rsidRPr="00F5659E" w:rsidR="000331C9">
        <w:rPr>
          <w:i/>
        </w:rPr>
        <w:t>Decides</w:t>
      </w:r>
      <w:r w:rsidRPr="00F5659E" w:rsidR="000331C9">
        <w:t xml:space="preserve"> to join to the merits of the complaint under Article 13 </w:t>
      </w:r>
      <w:r w:rsidRPr="00F5659E" w:rsidR="00182363">
        <w:t>the Government</w:t>
      </w:r>
      <w:r w:rsidRPr="00F5659E" w:rsidR="00F5659E">
        <w:t>’</w:t>
      </w:r>
      <w:r w:rsidRPr="00F5659E" w:rsidR="00182363">
        <w:t>s objection concerning the non-</w:t>
      </w:r>
      <w:r w:rsidRPr="00F5659E" w:rsidR="000331C9">
        <w:t>exhaustion of domestic remedies</w:t>
      </w:r>
      <w:r w:rsidRPr="00F5659E">
        <w:t>, and rejects it</w:t>
      </w:r>
      <w:r w:rsidRPr="00F5659E" w:rsidR="000331C9">
        <w:t>;</w:t>
      </w:r>
    </w:p>
    <w:p w:rsidRPr="00F5659E" w:rsidR="000331C9" w:rsidP="00F5659E" w:rsidRDefault="000331C9">
      <w:pPr>
        <w:pStyle w:val="JuList"/>
      </w:pPr>
    </w:p>
    <w:p w:rsidRPr="00F5659E" w:rsidR="003613F4" w:rsidP="00F5659E" w:rsidRDefault="00F60DEA">
      <w:pPr>
        <w:pStyle w:val="JuList"/>
      </w:pPr>
      <w:r w:rsidRPr="00F5659E">
        <w:t>2</w:t>
      </w:r>
      <w:r w:rsidRPr="00F5659E" w:rsidR="000331C9">
        <w:t>.  </w:t>
      </w:r>
      <w:r w:rsidRPr="00F5659E" w:rsidR="00A02D3B">
        <w:rPr>
          <w:i/>
        </w:rPr>
        <w:t>Declares</w:t>
      </w:r>
      <w:r w:rsidRPr="00F5659E" w:rsidR="00A02D3B">
        <w:t xml:space="preserve"> the complaint concerning </w:t>
      </w:r>
      <w:r w:rsidRPr="00F5659E" w:rsidR="00FE0E27">
        <w:t xml:space="preserve">Article 6 § 1 and </w:t>
      </w:r>
      <w:r w:rsidRPr="00F5659E" w:rsidR="00BE549B">
        <w:t xml:space="preserve">the related complaint under Article </w:t>
      </w:r>
      <w:r w:rsidRPr="00F5659E" w:rsidR="00FE0E27">
        <w:t>13</w:t>
      </w:r>
      <w:r w:rsidRPr="00F5659E" w:rsidR="00A02D3B">
        <w:t xml:space="preserve"> admissible;</w:t>
      </w:r>
    </w:p>
    <w:p w:rsidRPr="00F5659E" w:rsidR="003613F4" w:rsidP="00F5659E" w:rsidRDefault="003613F4">
      <w:pPr>
        <w:pStyle w:val="JuList"/>
      </w:pPr>
    </w:p>
    <w:p w:rsidRPr="00F5659E" w:rsidR="003613F4" w:rsidP="00F5659E" w:rsidRDefault="00F60DEA">
      <w:pPr>
        <w:pStyle w:val="JuList"/>
        <w:rPr>
          <w:i/>
        </w:rPr>
      </w:pPr>
      <w:r w:rsidRPr="00F5659E">
        <w:t>3</w:t>
      </w:r>
      <w:r w:rsidRPr="00F5659E" w:rsidR="000331C9">
        <w:t>.  </w:t>
      </w:r>
      <w:r w:rsidRPr="00F5659E" w:rsidR="003613F4">
        <w:rPr>
          <w:i/>
        </w:rPr>
        <w:t>Holds</w:t>
      </w:r>
      <w:r w:rsidRPr="00F5659E" w:rsidR="003613F4">
        <w:t xml:space="preserve"> </w:t>
      </w:r>
      <w:r w:rsidRPr="00F5659E" w:rsidR="00DE61E0">
        <w:t>that there has been a violation of Article 6 § 1 of the Convention</w:t>
      </w:r>
      <w:r w:rsidRPr="00F5659E" w:rsidR="00DE61E0">
        <w:rPr>
          <w:i/>
        </w:rPr>
        <w:t>;</w:t>
      </w:r>
    </w:p>
    <w:p w:rsidRPr="00F5659E" w:rsidR="003613F4" w:rsidP="00F5659E" w:rsidRDefault="003613F4">
      <w:pPr>
        <w:pStyle w:val="JuList"/>
      </w:pPr>
    </w:p>
    <w:p w:rsidRPr="00F5659E" w:rsidR="001F30CB" w:rsidP="00F5659E" w:rsidRDefault="00F60DEA">
      <w:pPr>
        <w:pStyle w:val="JuList"/>
      </w:pPr>
      <w:r w:rsidRPr="00F5659E">
        <w:t>4</w:t>
      </w:r>
      <w:r w:rsidRPr="00F5659E" w:rsidR="001F30CB">
        <w:t>.  </w:t>
      </w:r>
      <w:r w:rsidRPr="00F5659E" w:rsidR="001F30CB">
        <w:rPr>
          <w:i/>
        </w:rPr>
        <w:t>Holds</w:t>
      </w:r>
      <w:r w:rsidRPr="00F5659E" w:rsidR="001F30CB">
        <w:rPr>
          <w:color w:val="000000"/>
        </w:rPr>
        <w:t xml:space="preserve"> </w:t>
      </w:r>
      <w:r w:rsidRPr="00F5659E" w:rsidR="001F30CB">
        <w:t>that there has been a violation of Article 13 of the Convention;</w:t>
      </w:r>
    </w:p>
    <w:p w:rsidRPr="00F5659E" w:rsidR="001F30CB" w:rsidP="00F5659E" w:rsidRDefault="001F30CB">
      <w:pPr>
        <w:pStyle w:val="JuList"/>
      </w:pPr>
    </w:p>
    <w:p w:rsidRPr="00F5659E" w:rsidR="00DE61E0" w:rsidP="00F5659E" w:rsidRDefault="00F60DEA">
      <w:pPr>
        <w:pStyle w:val="JuList"/>
        <w:rPr>
          <w:i/>
        </w:rPr>
      </w:pPr>
      <w:r w:rsidRPr="00F5659E">
        <w:t>5</w:t>
      </w:r>
      <w:r w:rsidRPr="00F5659E" w:rsidR="00DE61E0">
        <w:t>.  </w:t>
      </w:r>
      <w:r w:rsidRPr="00F5659E" w:rsidR="00DE61E0">
        <w:rPr>
          <w:i/>
        </w:rPr>
        <w:t>Holds</w:t>
      </w:r>
    </w:p>
    <w:p w:rsidRPr="00F5659E" w:rsidR="00DE61E0" w:rsidP="00F5659E" w:rsidRDefault="00DE61E0">
      <w:pPr>
        <w:pStyle w:val="JuLista"/>
      </w:pPr>
      <w:r w:rsidRPr="00F5659E">
        <w:t>(a)  that the respondent</w:t>
      </w:r>
      <w:r w:rsidRPr="00F5659E" w:rsidR="00951F9E">
        <w:t xml:space="preserve"> State is to</w:t>
      </w:r>
      <w:r w:rsidRPr="00F5659E" w:rsidR="00484691">
        <w:t xml:space="preserve"> </w:t>
      </w:r>
      <w:r w:rsidRPr="00F5659E">
        <w:t>pay the applicant, within three months, the following amounts</w:t>
      </w:r>
      <w:r w:rsidRPr="00F5659E" w:rsidR="00167891">
        <w:t>:</w:t>
      </w:r>
    </w:p>
    <w:p w:rsidRPr="00F5659E" w:rsidR="00DE61E0" w:rsidP="00F5659E" w:rsidRDefault="00DE61E0">
      <w:pPr>
        <w:pStyle w:val="JuListi"/>
      </w:pPr>
      <w:r w:rsidRPr="00F5659E">
        <w:t>(i</w:t>
      </w:r>
      <w:r w:rsidRPr="00F5659E" w:rsidR="00167891">
        <w:t xml:space="preserve">)  EUR </w:t>
      </w:r>
      <w:r w:rsidRPr="00F5659E" w:rsidR="00846FCA">
        <w:t>7</w:t>
      </w:r>
      <w:r w:rsidRPr="00F5659E" w:rsidR="000E4E94">
        <w:t>,</w:t>
      </w:r>
      <w:r w:rsidRPr="00F5659E" w:rsidR="00846FCA">
        <w:t>0</w:t>
      </w:r>
      <w:r w:rsidRPr="00F5659E" w:rsidR="00F6614D">
        <w:t>00</w:t>
      </w:r>
      <w:r w:rsidRPr="00F5659E" w:rsidR="00167891">
        <w:t xml:space="preserve"> (</w:t>
      </w:r>
      <w:r w:rsidRPr="00F5659E" w:rsidR="003F7C20">
        <w:t>seven thousand</w:t>
      </w:r>
      <w:r w:rsidRPr="00F5659E" w:rsidR="00F6614D">
        <w:t xml:space="preserve"> </w:t>
      </w:r>
      <w:r w:rsidRPr="00F5659E" w:rsidR="00167891">
        <w:t>euros)</w:t>
      </w:r>
      <w:r w:rsidRPr="00F5659E">
        <w:t xml:space="preserve">, plus any tax that may be chargeable, in respect of </w:t>
      </w:r>
      <w:r w:rsidRPr="00F5659E" w:rsidR="00165CB5">
        <w:t>non-</w:t>
      </w:r>
      <w:r w:rsidRPr="00F5659E">
        <w:t>pecuniary damage;</w:t>
      </w:r>
    </w:p>
    <w:p w:rsidRPr="00F5659E" w:rsidR="00DE61E0" w:rsidP="00F5659E" w:rsidRDefault="00DE61E0">
      <w:pPr>
        <w:pStyle w:val="JuListi"/>
      </w:pPr>
      <w:r w:rsidRPr="00F5659E">
        <w:t xml:space="preserve">(ii)  EUR </w:t>
      </w:r>
      <w:r w:rsidRPr="00F5659E" w:rsidR="0006067E">
        <w:t>4</w:t>
      </w:r>
      <w:r w:rsidRPr="00F5659E" w:rsidR="000E4E94">
        <w:t>,</w:t>
      </w:r>
      <w:r w:rsidRPr="00F5659E" w:rsidR="0006067E">
        <w:t>000</w:t>
      </w:r>
      <w:r w:rsidRPr="00F5659E">
        <w:t xml:space="preserve"> (</w:t>
      </w:r>
      <w:r w:rsidRPr="00F5659E" w:rsidR="0006067E">
        <w:t>four thousand</w:t>
      </w:r>
      <w:r w:rsidRPr="00F5659E">
        <w:t xml:space="preserve"> euros), plus any tax that may be chargeable to the applicant, in respect of costs and expenses;</w:t>
      </w:r>
    </w:p>
    <w:p w:rsidRPr="00F5659E" w:rsidR="00DE61E0" w:rsidP="00F5659E" w:rsidRDefault="00DE61E0">
      <w:pPr>
        <w:pStyle w:val="JuLista"/>
      </w:pPr>
      <w:r w:rsidRPr="00F5659E">
        <w:t>(b)  that from the expiry of the above-mentioned three months until settlement simple interest shall be payable on the above amounts at a rate equal to the marginal lending rate of the European Central Bank during the default period plus three percentage points</w:t>
      </w:r>
      <w:r w:rsidRPr="00F5659E" w:rsidR="000E4E94">
        <w:t>.</w:t>
      </w:r>
    </w:p>
    <w:p w:rsidRPr="00F5659E" w:rsidR="00DE61E0" w:rsidP="00F5659E" w:rsidRDefault="00DE61E0">
      <w:pPr>
        <w:pStyle w:val="JuParaLast"/>
      </w:pPr>
      <w:r w:rsidRPr="00F5659E">
        <w:t xml:space="preserve">Done in English, and notified in writing on </w:t>
      </w:r>
      <w:r w:rsidRPr="00F5659E" w:rsidR="00FB340E">
        <w:t>14 February 2019</w:t>
      </w:r>
      <w:r w:rsidRPr="00F5659E">
        <w:t>, pursuant to Rule</w:t>
      </w:r>
      <w:r w:rsidRPr="00F5659E" w:rsidR="00973109">
        <w:t> </w:t>
      </w:r>
      <w:r w:rsidRPr="00F5659E">
        <w:t>77</w:t>
      </w:r>
      <w:r w:rsidRPr="00F5659E" w:rsidR="00973109">
        <w:t> </w:t>
      </w:r>
      <w:r w:rsidRPr="00F5659E">
        <w:t>§§</w:t>
      </w:r>
      <w:r w:rsidRPr="00F5659E" w:rsidR="00973109">
        <w:t> </w:t>
      </w:r>
      <w:r w:rsidRPr="00F5659E">
        <w:t>2 and 3 of the Rules of Court.</w:t>
      </w:r>
    </w:p>
    <w:p w:rsidRPr="00F5659E" w:rsidR="00DE61E0" w:rsidP="00F5659E" w:rsidRDefault="00DE61E0">
      <w:pPr>
        <w:pStyle w:val="JuSigned"/>
      </w:pPr>
      <w:r w:rsidRPr="00F5659E">
        <w:tab/>
      </w:r>
      <w:r w:rsidRPr="00F5659E" w:rsidR="001F30CB">
        <w:t>Milan Blaško</w:t>
      </w:r>
      <w:r w:rsidRPr="00F5659E">
        <w:tab/>
      </w:r>
      <w:r w:rsidRPr="00F5659E" w:rsidR="00FB340E">
        <w:rPr>
          <w:szCs w:val="24"/>
        </w:rPr>
        <w:t>Lәtif Hüseynov</w:t>
      </w:r>
      <w:r w:rsidRPr="00F5659E" w:rsidR="0045568E">
        <w:rPr>
          <w:szCs w:val="24"/>
        </w:rPr>
        <w:br/>
      </w:r>
      <w:r w:rsidRPr="00F5659E">
        <w:tab/>
      </w:r>
      <w:r w:rsidRPr="00F5659E" w:rsidR="001F30CB">
        <w:t xml:space="preserve">Deputy </w:t>
      </w:r>
      <w:r w:rsidRPr="00F5659E" w:rsidR="001F30CB">
        <w:rPr>
          <w:iCs/>
        </w:rPr>
        <w:t>Registrar</w:t>
      </w:r>
      <w:r w:rsidRPr="00F5659E">
        <w:tab/>
        <w:t>President</w:t>
      </w:r>
    </w:p>
    <w:sectPr w:rsidRPr="00F5659E" w:rsidR="00DE61E0" w:rsidSect="00FB340E">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5D44" w:rsidRPr="00BD3880" w:rsidRDefault="00525D44" w:rsidP="000055E6">
      <w:r w:rsidRPr="00BD3880">
        <w:separator/>
      </w:r>
    </w:p>
  </w:endnote>
  <w:endnote w:type="continuationSeparator" w:id="0">
    <w:p w:rsidR="00525D44" w:rsidRPr="00BD3880" w:rsidRDefault="00525D44" w:rsidP="000055E6">
      <w:r w:rsidRPr="00BD388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340E" w:rsidRPr="00150BFA" w:rsidRDefault="00FB340E" w:rsidP="0020718E">
    <w:pPr>
      <w:jc w:val="center"/>
    </w:pPr>
    <w:r>
      <w:rPr>
        <w:noProof/>
        <w:lang w:val="en-US" w:eastAsia="ja-JP"/>
      </w:rPr>
      <w:drawing>
        <wp:inline distT="0" distB="0" distL="0" distR="0" wp14:anchorId="719CD417" wp14:editId="28815AC3">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FB340E" w:rsidRDefault="00FB340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5D44" w:rsidRPr="00BD3880" w:rsidRDefault="00525D44" w:rsidP="000055E6">
      <w:r w:rsidRPr="00BD3880">
        <w:separator/>
      </w:r>
    </w:p>
  </w:footnote>
  <w:footnote w:type="continuationSeparator" w:id="0">
    <w:p w:rsidR="00525D44" w:rsidRPr="00BD3880" w:rsidRDefault="00525D44" w:rsidP="000055E6">
      <w:r w:rsidRPr="00BD3880">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5D44" w:rsidRPr="00FB340E" w:rsidRDefault="00525D44" w:rsidP="00FB340E">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340E" w:rsidRPr="00A45145" w:rsidRDefault="00FB340E" w:rsidP="00A45145">
    <w:pPr>
      <w:jc w:val="center"/>
    </w:pPr>
    <w:r>
      <w:rPr>
        <w:noProof/>
        <w:lang w:val="en-US" w:eastAsia="ja-JP"/>
      </w:rPr>
      <w:drawing>
        <wp:inline distT="0" distB="0" distL="0" distR="0" wp14:anchorId="7301EDB4" wp14:editId="2C0908A1">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525D44" w:rsidRDefault="00525D4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340E" w:rsidRPr="00BD3880" w:rsidRDefault="00FB340E" w:rsidP="00D0189E">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F5659E">
      <w:rPr>
        <w:rStyle w:val="PageNumber"/>
        <w:noProof/>
        <w:szCs w:val="18"/>
      </w:rPr>
      <w:t>12</w:t>
    </w:r>
    <w:r>
      <w:rPr>
        <w:rStyle w:val="PageNumber"/>
        <w:szCs w:val="18"/>
      </w:rPr>
      <w:fldChar w:fldCharType="end"/>
    </w:r>
    <w:r w:rsidRPr="00BD3880">
      <w:tab/>
    </w:r>
    <w:r>
      <w:t>O'LEARY v. IRELAND</w:t>
    </w:r>
    <w:r w:rsidRPr="00BD3880">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340E" w:rsidRPr="00BD3880" w:rsidRDefault="00FB340E" w:rsidP="00D0189E">
    <w:pPr>
      <w:pStyle w:val="ECHRHeader"/>
    </w:pPr>
    <w:r w:rsidRPr="00BD3880">
      <w:tab/>
    </w:r>
    <w:r>
      <w:t>O'LEARY v. IRELAND</w:t>
    </w:r>
    <w:r w:rsidRPr="00BD3880">
      <w:t xml:space="preserve"> </w:t>
    </w:r>
    <w:r>
      <w:t>JUDGMENT</w:t>
    </w:r>
    <w:r w:rsidRPr="00BD3880">
      <w:tab/>
    </w:r>
    <w:r>
      <w:rPr>
        <w:rStyle w:val="PageNumber"/>
      </w:rPr>
      <w:fldChar w:fldCharType="begin"/>
    </w:r>
    <w:r>
      <w:rPr>
        <w:rStyle w:val="PageNumber"/>
      </w:rPr>
      <w:instrText xml:space="preserve"> PAGE </w:instrText>
    </w:r>
    <w:r>
      <w:rPr>
        <w:rStyle w:val="PageNumber"/>
      </w:rPr>
      <w:fldChar w:fldCharType="separate"/>
    </w:r>
    <w:r w:rsidR="00F5659E">
      <w:rPr>
        <w:rStyle w:val="PageNumber"/>
        <w:noProof/>
      </w:rPr>
      <w:t>11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E7648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C521FF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91E3B8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1FA6CFE"/>
    <w:lvl w:ilvl="0">
      <w:start w:val="1"/>
      <w:numFmt w:val="decimal"/>
      <w:pStyle w:val="ListNumber2"/>
      <w:lvlText w:val="%1."/>
      <w:lvlJc w:val="left"/>
      <w:pPr>
        <w:tabs>
          <w:tab w:val="num" w:pos="643"/>
        </w:tabs>
        <w:ind w:left="643" w:hanging="360"/>
      </w:pPr>
    </w:lvl>
  </w:abstractNum>
  <w:abstractNum w:abstractNumId="4">
    <w:nsid w:val="FFFFFF80"/>
    <w:multiLevelType w:val="singleLevel"/>
    <w:tmpl w:val="1686855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7F4E0C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A341DD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45AF4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6542F8A"/>
    <w:lvl w:ilvl="0">
      <w:start w:val="1"/>
      <w:numFmt w:val="decimal"/>
      <w:pStyle w:val="ListNumber"/>
      <w:lvlText w:val="%1."/>
      <w:lvlJc w:val="left"/>
      <w:pPr>
        <w:tabs>
          <w:tab w:val="num" w:pos="360"/>
        </w:tabs>
        <w:ind w:left="360" w:hanging="360"/>
      </w:pPr>
    </w:lvl>
  </w:abstractNum>
  <w:abstractNum w:abstractNumId="9">
    <w:nsid w:val="10165EA3"/>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632A0EF5"/>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2">
    <w:nsid w:val="748A1952"/>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1"/>
  </w:num>
  <w:num w:numId="2">
    <w:abstractNumId w:val="9"/>
  </w:num>
  <w:num w:numId="3">
    <w:abstractNumId w:val="10"/>
  </w:num>
  <w:num w:numId="4">
    <w:abstractNumId w:val="12"/>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13"/>
  </w:num>
  <w:num w:numId="16">
    <w:abstractNumId w:val="13"/>
  </w:num>
  <w:num w:numId="17">
    <w:abstractNumId w:val="13"/>
  </w:num>
  <w:num w:numId="18">
    <w:abstractNumId w:val="13"/>
  </w:num>
  <w:num w:numId="19">
    <w:abstractNumId w:val="13"/>
  </w:num>
  <w:num w:numId="20">
    <w:abstractNumId w:val="13"/>
  </w:num>
  <w:num w:numId="21">
    <w:abstractNumId w:val="13"/>
  </w:num>
  <w:num w:numId="22">
    <w:abstractNumId w:val="13"/>
  </w:num>
  <w:num w:numId="23">
    <w:abstractNumId w:val="13"/>
  </w:num>
  <w:num w:numId="24">
    <w:abstractNumId w:val="13"/>
  </w:num>
  <w:num w:numId="25">
    <w:abstractNumId w:val="13"/>
  </w:num>
  <w:num w:numId="26">
    <w:abstractNumId w:val="13"/>
  </w:num>
  <w:num w:numId="27">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1"/>
  </w:docVars>
  <w:rsids>
    <w:rsidRoot w:val="001F30CB"/>
    <w:rsid w:val="00001146"/>
    <w:rsid w:val="000041F8"/>
    <w:rsid w:val="000042A8"/>
    <w:rsid w:val="00004308"/>
    <w:rsid w:val="0000440A"/>
    <w:rsid w:val="000055E6"/>
    <w:rsid w:val="00005BF0"/>
    <w:rsid w:val="00005D0F"/>
    <w:rsid w:val="00006FEE"/>
    <w:rsid w:val="00007154"/>
    <w:rsid w:val="00007CDF"/>
    <w:rsid w:val="000103AE"/>
    <w:rsid w:val="000110AB"/>
    <w:rsid w:val="00011D69"/>
    <w:rsid w:val="00012AD3"/>
    <w:rsid w:val="00015C2D"/>
    <w:rsid w:val="00015F00"/>
    <w:rsid w:val="00016D9D"/>
    <w:rsid w:val="00021687"/>
    <w:rsid w:val="000226F6"/>
    <w:rsid w:val="00022C1D"/>
    <w:rsid w:val="0002312D"/>
    <w:rsid w:val="00024289"/>
    <w:rsid w:val="000242AC"/>
    <w:rsid w:val="0002557D"/>
    <w:rsid w:val="0003064E"/>
    <w:rsid w:val="00030A68"/>
    <w:rsid w:val="000331C9"/>
    <w:rsid w:val="00034987"/>
    <w:rsid w:val="00043AC8"/>
    <w:rsid w:val="00046610"/>
    <w:rsid w:val="000476D3"/>
    <w:rsid w:val="000476F5"/>
    <w:rsid w:val="00050120"/>
    <w:rsid w:val="000544AB"/>
    <w:rsid w:val="000602DF"/>
    <w:rsid w:val="0006067E"/>
    <w:rsid w:val="00060A6A"/>
    <w:rsid w:val="00061B05"/>
    <w:rsid w:val="00062406"/>
    <w:rsid w:val="0006244C"/>
    <w:rsid w:val="000632D5"/>
    <w:rsid w:val="00063E9A"/>
    <w:rsid w:val="000644EE"/>
    <w:rsid w:val="00065C91"/>
    <w:rsid w:val="00070D8D"/>
    <w:rsid w:val="00072C61"/>
    <w:rsid w:val="00074145"/>
    <w:rsid w:val="00074D15"/>
    <w:rsid w:val="00076380"/>
    <w:rsid w:val="00077E50"/>
    <w:rsid w:val="00080552"/>
    <w:rsid w:val="00083651"/>
    <w:rsid w:val="00083E3E"/>
    <w:rsid w:val="000846F1"/>
    <w:rsid w:val="00085435"/>
    <w:rsid w:val="0009126A"/>
    <w:rsid w:val="00091C96"/>
    <w:rsid w:val="0009206B"/>
    <w:rsid w:val="000925AD"/>
    <w:rsid w:val="000929A8"/>
    <w:rsid w:val="000930E2"/>
    <w:rsid w:val="000A2151"/>
    <w:rsid w:val="000A24EB"/>
    <w:rsid w:val="000A3B03"/>
    <w:rsid w:val="000A4E70"/>
    <w:rsid w:val="000A6973"/>
    <w:rsid w:val="000B34F8"/>
    <w:rsid w:val="000B3908"/>
    <w:rsid w:val="000B4C10"/>
    <w:rsid w:val="000B6923"/>
    <w:rsid w:val="000C2343"/>
    <w:rsid w:val="000C2AA3"/>
    <w:rsid w:val="000C5F3C"/>
    <w:rsid w:val="000C6DCC"/>
    <w:rsid w:val="000C7D62"/>
    <w:rsid w:val="000C7F4B"/>
    <w:rsid w:val="000D0F83"/>
    <w:rsid w:val="000D2795"/>
    <w:rsid w:val="000D360D"/>
    <w:rsid w:val="000D47AA"/>
    <w:rsid w:val="000D721F"/>
    <w:rsid w:val="000E069B"/>
    <w:rsid w:val="000E0E82"/>
    <w:rsid w:val="000E1DC5"/>
    <w:rsid w:val="000E223F"/>
    <w:rsid w:val="000E3765"/>
    <w:rsid w:val="000E44E5"/>
    <w:rsid w:val="000E4E94"/>
    <w:rsid w:val="000E7D45"/>
    <w:rsid w:val="000F1142"/>
    <w:rsid w:val="000F12CF"/>
    <w:rsid w:val="000F2F23"/>
    <w:rsid w:val="000F7851"/>
    <w:rsid w:val="00102257"/>
    <w:rsid w:val="00104E23"/>
    <w:rsid w:val="00104FF0"/>
    <w:rsid w:val="00105885"/>
    <w:rsid w:val="00105CDF"/>
    <w:rsid w:val="00111B0C"/>
    <w:rsid w:val="001127A8"/>
    <w:rsid w:val="001132A8"/>
    <w:rsid w:val="00116ED6"/>
    <w:rsid w:val="00120D6C"/>
    <w:rsid w:val="001220FE"/>
    <w:rsid w:val="00122C15"/>
    <w:rsid w:val="00122C80"/>
    <w:rsid w:val="001248E9"/>
    <w:rsid w:val="001257EC"/>
    <w:rsid w:val="00133D33"/>
    <w:rsid w:val="00134D64"/>
    <w:rsid w:val="00135A30"/>
    <w:rsid w:val="0013612C"/>
    <w:rsid w:val="00136245"/>
    <w:rsid w:val="001378CD"/>
    <w:rsid w:val="00137FF6"/>
    <w:rsid w:val="00141650"/>
    <w:rsid w:val="00141A04"/>
    <w:rsid w:val="0014565D"/>
    <w:rsid w:val="001514F7"/>
    <w:rsid w:val="00152608"/>
    <w:rsid w:val="001552F5"/>
    <w:rsid w:val="001576BB"/>
    <w:rsid w:val="0016071E"/>
    <w:rsid w:val="00162A12"/>
    <w:rsid w:val="00165CB5"/>
    <w:rsid w:val="00166530"/>
    <w:rsid w:val="001671DB"/>
    <w:rsid w:val="00167891"/>
    <w:rsid w:val="00171DF1"/>
    <w:rsid w:val="00173159"/>
    <w:rsid w:val="00175D9F"/>
    <w:rsid w:val="001775F6"/>
    <w:rsid w:val="00177CC2"/>
    <w:rsid w:val="00182363"/>
    <w:rsid w:val="001832BD"/>
    <w:rsid w:val="00184691"/>
    <w:rsid w:val="00185001"/>
    <w:rsid w:val="0018610C"/>
    <w:rsid w:val="00191609"/>
    <w:rsid w:val="00192A29"/>
    <w:rsid w:val="0019410F"/>
    <w:rsid w:val="001943B5"/>
    <w:rsid w:val="00195134"/>
    <w:rsid w:val="001954A7"/>
    <w:rsid w:val="001955B6"/>
    <w:rsid w:val="00197790"/>
    <w:rsid w:val="001A0278"/>
    <w:rsid w:val="001A145B"/>
    <w:rsid w:val="001A1FAB"/>
    <w:rsid w:val="001A289A"/>
    <w:rsid w:val="001A32A8"/>
    <w:rsid w:val="001A3FB3"/>
    <w:rsid w:val="001A4F2D"/>
    <w:rsid w:val="001A5FB9"/>
    <w:rsid w:val="001A674C"/>
    <w:rsid w:val="001B1C0C"/>
    <w:rsid w:val="001B3B24"/>
    <w:rsid w:val="001B3E69"/>
    <w:rsid w:val="001B57D7"/>
    <w:rsid w:val="001B6CC2"/>
    <w:rsid w:val="001C0F98"/>
    <w:rsid w:val="001C2A42"/>
    <w:rsid w:val="001C3821"/>
    <w:rsid w:val="001C3DBD"/>
    <w:rsid w:val="001C41DE"/>
    <w:rsid w:val="001C6278"/>
    <w:rsid w:val="001C6731"/>
    <w:rsid w:val="001C6A88"/>
    <w:rsid w:val="001D0197"/>
    <w:rsid w:val="001D01E4"/>
    <w:rsid w:val="001D5048"/>
    <w:rsid w:val="001D63ED"/>
    <w:rsid w:val="001D7348"/>
    <w:rsid w:val="001E035B"/>
    <w:rsid w:val="001E0961"/>
    <w:rsid w:val="001E0D64"/>
    <w:rsid w:val="001E2BEC"/>
    <w:rsid w:val="001E3A05"/>
    <w:rsid w:val="001E3EAE"/>
    <w:rsid w:val="001E6F32"/>
    <w:rsid w:val="001E74C0"/>
    <w:rsid w:val="001F2145"/>
    <w:rsid w:val="001F30CB"/>
    <w:rsid w:val="001F35DA"/>
    <w:rsid w:val="001F3D06"/>
    <w:rsid w:val="001F403D"/>
    <w:rsid w:val="001F6262"/>
    <w:rsid w:val="001F66FE"/>
    <w:rsid w:val="001F67B0"/>
    <w:rsid w:val="001F716D"/>
    <w:rsid w:val="001F7B3D"/>
    <w:rsid w:val="00202A2C"/>
    <w:rsid w:val="002046D2"/>
    <w:rsid w:val="00204E7B"/>
    <w:rsid w:val="00205F9F"/>
    <w:rsid w:val="00206364"/>
    <w:rsid w:val="0020655F"/>
    <w:rsid w:val="00206718"/>
    <w:rsid w:val="00206E65"/>
    <w:rsid w:val="00210338"/>
    <w:rsid w:val="00211441"/>
    <w:rsid w:val="002115FC"/>
    <w:rsid w:val="002126FC"/>
    <w:rsid w:val="002130AE"/>
    <w:rsid w:val="0021391C"/>
    <w:rsid w:val="002140ED"/>
    <w:rsid w:val="0021423C"/>
    <w:rsid w:val="00214323"/>
    <w:rsid w:val="00216800"/>
    <w:rsid w:val="00216A0D"/>
    <w:rsid w:val="00220658"/>
    <w:rsid w:val="00221790"/>
    <w:rsid w:val="002237C7"/>
    <w:rsid w:val="00225910"/>
    <w:rsid w:val="00227609"/>
    <w:rsid w:val="00230D00"/>
    <w:rsid w:val="00231C94"/>
    <w:rsid w:val="00231DF7"/>
    <w:rsid w:val="00231FD1"/>
    <w:rsid w:val="002339E0"/>
    <w:rsid w:val="00233CF8"/>
    <w:rsid w:val="00233E62"/>
    <w:rsid w:val="002343BC"/>
    <w:rsid w:val="0023575D"/>
    <w:rsid w:val="00237148"/>
    <w:rsid w:val="002372AD"/>
    <w:rsid w:val="00240AF2"/>
    <w:rsid w:val="0024222D"/>
    <w:rsid w:val="00243693"/>
    <w:rsid w:val="00244B0E"/>
    <w:rsid w:val="00244F6C"/>
    <w:rsid w:val="002452A0"/>
    <w:rsid w:val="00245EA8"/>
    <w:rsid w:val="002461CB"/>
    <w:rsid w:val="002462D2"/>
    <w:rsid w:val="00246F8A"/>
    <w:rsid w:val="00251CC3"/>
    <w:rsid w:val="002532C5"/>
    <w:rsid w:val="00253CF2"/>
    <w:rsid w:val="00253E6F"/>
    <w:rsid w:val="00260C03"/>
    <w:rsid w:val="002637BF"/>
    <w:rsid w:val="00264516"/>
    <w:rsid w:val="0026465C"/>
    <w:rsid w:val="00265065"/>
    <w:rsid w:val="0026540E"/>
    <w:rsid w:val="002710F0"/>
    <w:rsid w:val="00274051"/>
    <w:rsid w:val="002743DE"/>
    <w:rsid w:val="00275123"/>
    <w:rsid w:val="00281AE2"/>
    <w:rsid w:val="00281D6A"/>
    <w:rsid w:val="00282240"/>
    <w:rsid w:val="0028261F"/>
    <w:rsid w:val="00283749"/>
    <w:rsid w:val="002859FE"/>
    <w:rsid w:val="0029238E"/>
    <w:rsid w:val="002939E4"/>
    <w:rsid w:val="002948AD"/>
    <w:rsid w:val="0029512C"/>
    <w:rsid w:val="002965AA"/>
    <w:rsid w:val="002A01CC"/>
    <w:rsid w:val="002A556A"/>
    <w:rsid w:val="002A59BE"/>
    <w:rsid w:val="002A5B76"/>
    <w:rsid w:val="002A5F88"/>
    <w:rsid w:val="002A61B1"/>
    <w:rsid w:val="002A663C"/>
    <w:rsid w:val="002A714B"/>
    <w:rsid w:val="002B0867"/>
    <w:rsid w:val="002B1D9B"/>
    <w:rsid w:val="002B3B49"/>
    <w:rsid w:val="002B444B"/>
    <w:rsid w:val="002B5887"/>
    <w:rsid w:val="002B5DD2"/>
    <w:rsid w:val="002B7296"/>
    <w:rsid w:val="002C0E27"/>
    <w:rsid w:val="002C1B9C"/>
    <w:rsid w:val="002C3040"/>
    <w:rsid w:val="002D022D"/>
    <w:rsid w:val="002D1A1C"/>
    <w:rsid w:val="002D24BB"/>
    <w:rsid w:val="002D29E2"/>
    <w:rsid w:val="002D4B74"/>
    <w:rsid w:val="002D50BB"/>
    <w:rsid w:val="002D562B"/>
    <w:rsid w:val="002D56C1"/>
    <w:rsid w:val="002D6181"/>
    <w:rsid w:val="002E044C"/>
    <w:rsid w:val="002E1D5C"/>
    <w:rsid w:val="002E2EEB"/>
    <w:rsid w:val="002E5C2B"/>
    <w:rsid w:val="002E7C18"/>
    <w:rsid w:val="002F256C"/>
    <w:rsid w:val="002F2AF7"/>
    <w:rsid w:val="002F49F7"/>
    <w:rsid w:val="002F6168"/>
    <w:rsid w:val="002F6BB5"/>
    <w:rsid w:val="002F7E1C"/>
    <w:rsid w:val="00301163"/>
    <w:rsid w:val="003011AC"/>
    <w:rsid w:val="00301A75"/>
    <w:rsid w:val="00302962"/>
    <w:rsid w:val="00302F70"/>
    <w:rsid w:val="0030336F"/>
    <w:rsid w:val="0030375E"/>
    <w:rsid w:val="003038B4"/>
    <w:rsid w:val="00306AB8"/>
    <w:rsid w:val="00310657"/>
    <w:rsid w:val="00311CB0"/>
    <w:rsid w:val="00312A30"/>
    <w:rsid w:val="00313DD0"/>
    <w:rsid w:val="003150BB"/>
    <w:rsid w:val="0031611A"/>
    <w:rsid w:val="0031670D"/>
    <w:rsid w:val="00316DA9"/>
    <w:rsid w:val="0031701D"/>
    <w:rsid w:val="00320F72"/>
    <w:rsid w:val="0032463E"/>
    <w:rsid w:val="003249B0"/>
    <w:rsid w:val="00324CDD"/>
    <w:rsid w:val="00326224"/>
    <w:rsid w:val="00326D3A"/>
    <w:rsid w:val="003302E7"/>
    <w:rsid w:val="00332584"/>
    <w:rsid w:val="00336C38"/>
    <w:rsid w:val="003379FC"/>
    <w:rsid w:val="00337EE4"/>
    <w:rsid w:val="00340389"/>
    <w:rsid w:val="0034048E"/>
    <w:rsid w:val="00340FFD"/>
    <w:rsid w:val="0034178F"/>
    <w:rsid w:val="00342674"/>
    <w:rsid w:val="0034364A"/>
    <w:rsid w:val="003441A3"/>
    <w:rsid w:val="0034707F"/>
    <w:rsid w:val="0034730F"/>
    <w:rsid w:val="00347B85"/>
    <w:rsid w:val="003506B1"/>
    <w:rsid w:val="00350C7E"/>
    <w:rsid w:val="00352477"/>
    <w:rsid w:val="00352CFC"/>
    <w:rsid w:val="00355ED3"/>
    <w:rsid w:val="00356AC7"/>
    <w:rsid w:val="00356CA6"/>
    <w:rsid w:val="00356E06"/>
    <w:rsid w:val="003609FA"/>
    <w:rsid w:val="003613F4"/>
    <w:rsid w:val="00361C5D"/>
    <w:rsid w:val="00361CB4"/>
    <w:rsid w:val="003622DC"/>
    <w:rsid w:val="00365203"/>
    <w:rsid w:val="00366E48"/>
    <w:rsid w:val="0036718F"/>
    <w:rsid w:val="00370515"/>
    <w:rsid w:val="00370C60"/>
    <w:rsid w:val="003710C8"/>
    <w:rsid w:val="00371518"/>
    <w:rsid w:val="003750BE"/>
    <w:rsid w:val="00377CA7"/>
    <w:rsid w:val="003802D6"/>
    <w:rsid w:val="003861E4"/>
    <w:rsid w:val="0038685B"/>
    <w:rsid w:val="003871DC"/>
    <w:rsid w:val="003879E8"/>
    <w:rsid w:val="00387B9D"/>
    <w:rsid w:val="00392B79"/>
    <w:rsid w:val="0039364F"/>
    <w:rsid w:val="00394565"/>
    <w:rsid w:val="003948A5"/>
    <w:rsid w:val="00396686"/>
    <w:rsid w:val="0039746A"/>
    <w:rsid w:val="0039778E"/>
    <w:rsid w:val="003A11E0"/>
    <w:rsid w:val="003A1230"/>
    <w:rsid w:val="003A1C16"/>
    <w:rsid w:val="003A73B2"/>
    <w:rsid w:val="003B0C66"/>
    <w:rsid w:val="003B12B6"/>
    <w:rsid w:val="003B356F"/>
    <w:rsid w:val="003B4941"/>
    <w:rsid w:val="003B4A4E"/>
    <w:rsid w:val="003B4D1B"/>
    <w:rsid w:val="003C338E"/>
    <w:rsid w:val="003C3D56"/>
    <w:rsid w:val="003C5714"/>
    <w:rsid w:val="003C6B9F"/>
    <w:rsid w:val="003C6E2A"/>
    <w:rsid w:val="003C79B5"/>
    <w:rsid w:val="003D0299"/>
    <w:rsid w:val="003D1EEA"/>
    <w:rsid w:val="003D7D27"/>
    <w:rsid w:val="003E6623"/>
    <w:rsid w:val="003E6D64"/>
    <w:rsid w:val="003E6D80"/>
    <w:rsid w:val="003F0266"/>
    <w:rsid w:val="003F05FA"/>
    <w:rsid w:val="003F0DF6"/>
    <w:rsid w:val="003F170C"/>
    <w:rsid w:val="003F244A"/>
    <w:rsid w:val="003F2F5E"/>
    <w:rsid w:val="003F30B8"/>
    <w:rsid w:val="003F4C45"/>
    <w:rsid w:val="003F5F7B"/>
    <w:rsid w:val="003F7C20"/>
    <w:rsid w:val="003F7D64"/>
    <w:rsid w:val="00400A23"/>
    <w:rsid w:val="00400D1C"/>
    <w:rsid w:val="00401351"/>
    <w:rsid w:val="0040391B"/>
    <w:rsid w:val="0040423E"/>
    <w:rsid w:val="00404DDA"/>
    <w:rsid w:val="00405916"/>
    <w:rsid w:val="0040671D"/>
    <w:rsid w:val="00406849"/>
    <w:rsid w:val="00406DDA"/>
    <w:rsid w:val="00406E1A"/>
    <w:rsid w:val="00411904"/>
    <w:rsid w:val="00414300"/>
    <w:rsid w:val="00414A7D"/>
    <w:rsid w:val="00417F9D"/>
    <w:rsid w:val="0042074A"/>
    <w:rsid w:val="00420EAD"/>
    <w:rsid w:val="00421773"/>
    <w:rsid w:val="00421E58"/>
    <w:rsid w:val="004233BA"/>
    <w:rsid w:val="00425C67"/>
    <w:rsid w:val="004266BB"/>
    <w:rsid w:val="00427E7A"/>
    <w:rsid w:val="00430407"/>
    <w:rsid w:val="00432658"/>
    <w:rsid w:val="00436C49"/>
    <w:rsid w:val="0043779F"/>
    <w:rsid w:val="004401A5"/>
    <w:rsid w:val="00443DF6"/>
    <w:rsid w:val="00444B7C"/>
    <w:rsid w:val="00445366"/>
    <w:rsid w:val="00446322"/>
    <w:rsid w:val="00446415"/>
    <w:rsid w:val="00447F5B"/>
    <w:rsid w:val="00452109"/>
    <w:rsid w:val="00454BA7"/>
    <w:rsid w:val="0045568E"/>
    <w:rsid w:val="00461DB0"/>
    <w:rsid w:val="00463926"/>
    <w:rsid w:val="00463A8F"/>
    <w:rsid w:val="00464C9A"/>
    <w:rsid w:val="00464FB2"/>
    <w:rsid w:val="004662FB"/>
    <w:rsid w:val="004665C0"/>
    <w:rsid w:val="00467A7C"/>
    <w:rsid w:val="00467C4E"/>
    <w:rsid w:val="00470940"/>
    <w:rsid w:val="00471D00"/>
    <w:rsid w:val="00472E57"/>
    <w:rsid w:val="00474F3D"/>
    <w:rsid w:val="0047542A"/>
    <w:rsid w:val="00477629"/>
    <w:rsid w:val="00477E3A"/>
    <w:rsid w:val="00483E5F"/>
    <w:rsid w:val="00484691"/>
    <w:rsid w:val="00485FF9"/>
    <w:rsid w:val="00486C29"/>
    <w:rsid w:val="00487A5D"/>
    <w:rsid w:val="004907F0"/>
    <w:rsid w:val="004908F6"/>
    <w:rsid w:val="0049140B"/>
    <w:rsid w:val="004923A5"/>
    <w:rsid w:val="00493D32"/>
    <w:rsid w:val="00496BFB"/>
    <w:rsid w:val="004A0E6E"/>
    <w:rsid w:val="004A15C7"/>
    <w:rsid w:val="004A2E52"/>
    <w:rsid w:val="004A3B33"/>
    <w:rsid w:val="004A3EDA"/>
    <w:rsid w:val="004A5A55"/>
    <w:rsid w:val="004A6DB4"/>
    <w:rsid w:val="004B013B"/>
    <w:rsid w:val="004B112B"/>
    <w:rsid w:val="004B55FB"/>
    <w:rsid w:val="004B63DC"/>
    <w:rsid w:val="004B6491"/>
    <w:rsid w:val="004B6632"/>
    <w:rsid w:val="004C01E4"/>
    <w:rsid w:val="004C06C5"/>
    <w:rsid w:val="004C086C"/>
    <w:rsid w:val="004C1338"/>
    <w:rsid w:val="004C1F56"/>
    <w:rsid w:val="004C27BC"/>
    <w:rsid w:val="004C6A66"/>
    <w:rsid w:val="004C6C2B"/>
    <w:rsid w:val="004D04C9"/>
    <w:rsid w:val="004D0637"/>
    <w:rsid w:val="004D15F3"/>
    <w:rsid w:val="004D1D27"/>
    <w:rsid w:val="004D4E95"/>
    <w:rsid w:val="004D4FE5"/>
    <w:rsid w:val="004D5251"/>
    <w:rsid w:val="004D5311"/>
    <w:rsid w:val="004D5DCC"/>
    <w:rsid w:val="004D69BC"/>
    <w:rsid w:val="004E145B"/>
    <w:rsid w:val="004E1960"/>
    <w:rsid w:val="004E1ACA"/>
    <w:rsid w:val="004F04E8"/>
    <w:rsid w:val="004F10AF"/>
    <w:rsid w:val="004F11A4"/>
    <w:rsid w:val="004F16A7"/>
    <w:rsid w:val="004F2389"/>
    <w:rsid w:val="004F304D"/>
    <w:rsid w:val="004F502C"/>
    <w:rsid w:val="004F5062"/>
    <w:rsid w:val="004F61BE"/>
    <w:rsid w:val="004F66B1"/>
    <w:rsid w:val="004F7129"/>
    <w:rsid w:val="0050258B"/>
    <w:rsid w:val="0050402C"/>
    <w:rsid w:val="005069F9"/>
    <w:rsid w:val="00511C07"/>
    <w:rsid w:val="00511F9A"/>
    <w:rsid w:val="00512454"/>
    <w:rsid w:val="00513567"/>
    <w:rsid w:val="005156FA"/>
    <w:rsid w:val="00517092"/>
    <w:rsid w:val="005173A6"/>
    <w:rsid w:val="00520BAA"/>
    <w:rsid w:val="00521397"/>
    <w:rsid w:val="00521594"/>
    <w:rsid w:val="00521B23"/>
    <w:rsid w:val="005248BE"/>
    <w:rsid w:val="00525208"/>
    <w:rsid w:val="005257A5"/>
    <w:rsid w:val="00525D44"/>
    <w:rsid w:val="005264C0"/>
    <w:rsid w:val="00526A8A"/>
    <w:rsid w:val="0052718E"/>
    <w:rsid w:val="005272C6"/>
    <w:rsid w:val="0052770F"/>
    <w:rsid w:val="00531DF2"/>
    <w:rsid w:val="00532AFA"/>
    <w:rsid w:val="0053324A"/>
    <w:rsid w:val="00533B50"/>
    <w:rsid w:val="005363A6"/>
    <w:rsid w:val="00536AAE"/>
    <w:rsid w:val="00536FBE"/>
    <w:rsid w:val="00537B3D"/>
    <w:rsid w:val="00540D94"/>
    <w:rsid w:val="0054149D"/>
    <w:rsid w:val="00541F00"/>
    <w:rsid w:val="0054205B"/>
    <w:rsid w:val="00543F4E"/>
    <w:rsid w:val="005442EE"/>
    <w:rsid w:val="00547167"/>
    <w:rsid w:val="00547353"/>
    <w:rsid w:val="005473D8"/>
    <w:rsid w:val="005474E7"/>
    <w:rsid w:val="005512A3"/>
    <w:rsid w:val="00552E8E"/>
    <w:rsid w:val="00554D0D"/>
    <w:rsid w:val="00556753"/>
    <w:rsid w:val="00557165"/>
    <w:rsid w:val="005578CE"/>
    <w:rsid w:val="00557BD6"/>
    <w:rsid w:val="005610D4"/>
    <w:rsid w:val="00562781"/>
    <w:rsid w:val="005646A0"/>
    <w:rsid w:val="0056500A"/>
    <w:rsid w:val="005663B6"/>
    <w:rsid w:val="0057247A"/>
    <w:rsid w:val="0057271C"/>
    <w:rsid w:val="00572845"/>
    <w:rsid w:val="00572A3C"/>
    <w:rsid w:val="00573073"/>
    <w:rsid w:val="00573891"/>
    <w:rsid w:val="00581822"/>
    <w:rsid w:val="0058219C"/>
    <w:rsid w:val="005831CB"/>
    <w:rsid w:val="0058665C"/>
    <w:rsid w:val="00592772"/>
    <w:rsid w:val="005946D5"/>
    <w:rsid w:val="0059574A"/>
    <w:rsid w:val="00595915"/>
    <w:rsid w:val="00597745"/>
    <w:rsid w:val="00597BBD"/>
    <w:rsid w:val="005A13D5"/>
    <w:rsid w:val="005A1B9B"/>
    <w:rsid w:val="005A5824"/>
    <w:rsid w:val="005A6751"/>
    <w:rsid w:val="005A74CD"/>
    <w:rsid w:val="005B01A0"/>
    <w:rsid w:val="005B092E"/>
    <w:rsid w:val="005B0D46"/>
    <w:rsid w:val="005B152C"/>
    <w:rsid w:val="005B1EE0"/>
    <w:rsid w:val="005B23D9"/>
    <w:rsid w:val="005B2B24"/>
    <w:rsid w:val="005B4425"/>
    <w:rsid w:val="005B4B94"/>
    <w:rsid w:val="005B53BA"/>
    <w:rsid w:val="005B698C"/>
    <w:rsid w:val="005C11C9"/>
    <w:rsid w:val="005C1364"/>
    <w:rsid w:val="005C1C5D"/>
    <w:rsid w:val="005C22C5"/>
    <w:rsid w:val="005C3EE8"/>
    <w:rsid w:val="005C48C3"/>
    <w:rsid w:val="005C4A0C"/>
    <w:rsid w:val="005C56F6"/>
    <w:rsid w:val="005C76B9"/>
    <w:rsid w:val="005D22AC"/>
    <w:rsid w:val="005D32F6"/>
    <w:rsid w:val="005D34F9"/>
    <w:rsid w:val="005D3832"/>
    <w:rsid w:val="005D399A"/>
    <w:rsid w:val="005D4007"/>
    <w:rsid w:val="005D4190"/>
    <w:rsid w:val="005D4C3D"/>
    <w:rsid w:val="005D67A3"/>
    <w:rsid w:val="005D7028"/>
    <w:rsid w:val="005E0937"/>
    <w:rsid w:val="005E1C8C"/>
    <w:rsid w:val="005E2988"/>
    <w:rsid w:val="005E3085"/>
    <w:rsid w:val="005F2198"/>
    <w:rsid w:val="005F27A3"/>
    <w:rsid w:val="005F2CCD"/>
    <w:rsid w:val="005F50BA"/>
    <w:rsid w:val="005F51E1"/>
    <w:rsid w:val="005F6A84"/>
    <w:rsid w:val="005F6EF4"/>
    <w:rsid w:val="00607BB7"/>
    <w:rsid w:val="006102D3"/>
    <w:rsid w:val="00610765"/>
    <w:rsid w:val="00611C80"/>
    <w:rsid w:val="00615870"/>
    <w:rsid w:val="00615B10"/>
    <w:rsid w:val="00615F0C"/>
    <w:rsid w:val="00620692"/>
    <w:rsid w:val="00621DA7"/>
    <w:rsid w:val="00622532"/>
    <w:rsid w:val="00622F33"/>
    <w:rsid w:val="006242CA"/>
    <w:rsid w:val="00627117"/>
    <w:rsid w:val="00627507"/>
    <w:rsid w:val="0063042B"/>
    <w:rsid w:val="006322C1"/>
    <w:rsid w:val="00633717"/>
    <w:rsid w:val="006344E1"/>
    <w:rsid w:val="00634DF4"/>
    <w:rsid w:val="0063550F"/>
    <w:rsid w:val="00637248"/>
    <w:rsid w:val="00637C9C"/>
    <w:rsid w:val="00640FD6"/>
    <w:rsid w:val="00641667"/>
    <w:rsid w:val="00644519"/>
    <w:rsid w:val="00645EC3"/>
    <w:rsid w:val="00646611"/>
    <w:rsid w:val="006476E0"/>
    <w:rsid w:val="006538BA"/>
    <w:rsid w:val="00653C66"/>
    <w:rsid w:val="0065421D"/>
    <w:rsid w:val="006545C4"/>
    <w:rsid w:val="00654BA3"/>
    <w:rsid w:val="006551B1"/>
    <w:rsid w:val="00660162"/>
    <w:rsid w:val="00660D64"/>
    <w:rsid w:val="00661971"/>
    <w:rsid w:val="00661CE8"/>
    <w:rsid w:val="006623D9"/>
    <w:rsid w:val="00662D32"/>
    <w:rsid w:val="00664DF1"/>
    <w:rsid w:val="0066550C"/>
    <w:rsid w:val="006659ED"/>
    <w:rsid w:val="006712D1"/>
    <w:rsid w:val="006716F2"/>
    <w:rsid w:val="00671DBA"/>
    <w:rsid w:val="006720DE"/>
    <w:rsid w:val="00673409"/>
    <w:rsid w:val="00673681"/>
    <w:rsid w:val="006745B9"/>
    <w:rsid w:val="006750AA"/>
    <w:rsid w:val="00675840"/>
    <w:rsid w:val="00675894"/>
    <w:rsid w:val="00676944"/>
    <w:rsid w:val="00677624"/>
    <w:rsid w:val="00677A58"/>
    <w:rsid w:val="00681A7D"/>
    <w:rsid w:val="00682BF2"/>
    <w:rsid w:val="006853A8"/>
    <w:rsid w:val="006859CE"/>
    <w:rsid w:val="006859D3"/>
    <w:rsid w:val="00691270"/>
    <w:rsid w:val="00693FBF"/>
    <w:rsid w:val="00694BA8"/>
    <w:rsid w:val="00695003"/>
    <w:rsid w:val="00695222"/>
    <w:rsid w:val="006954F5"/>
    <w:rsid w:val="0069637F"/>
    <w:rsid w:val="006A037C"/>
    <w:rsid w:val="006A17C0"/>
    <w:rsid w:val="006A36F4"/>
    <w:rsid w:val="006A406F"/>
    <w:rsid w:val="006A588E"/>
    <w:rsid w:val="006A5AAD"/>
    <w:rsid w:val="006A5D3A"/>
    <w:rsid w:val="006B2773"/>
    <w:rsid w:val="006B42FA"/>
    <w:rsid w:val="006C0236"/>
    <w:rsid w:val="006C170D"/>
    <w:rsid w:val="006C23D4"/>
    <w:rsid w:val="006C28A7"/>
    <w:rsid w:val="006C534F"/>
    <w:rsid w:val="006C66D2"/>
    <w:rsid w:val="006C7BB0"/>
    <w:rsid w:val="006D028D"/>
    <w:rsid w:val="006D3237"/>
    <w:rsid w:val="006D4B81"/>
    <w:rsid w:val="006E2B69"/>
    <w:rsid w:val="006E2E37"/>
    <w:rsid w:val="006E3CF1"/>
    <w:rsid w:val="006E4DE5"/>
    <w:rsid w:val="006E53C9"/>
    <w:rsid w:val="006E72C1"/>
    <w:rsid w:val="006E7E80"/>
    <w:rsid w:val="006F0A3F"/>
    <w:rsid w:val="006F178A"/>
    <w:rsid w:val="006F1A19"/>
    <w:rsid w:val="006F208A"/>
    <w:rsid w:val="006F2CB6"/>
    <w:rsid w:val="006F39B1"/>
    <w:rsid w:val="006F3F17"/>
    <w:rsid w:val="006F42F6"/>
    <w:rsid w:val="006F48CA"/>
    <w:rsid w:val="006F5C2A"/>
    <w:rsid w:val="006F64DD"/>
    <w:rsid w:val="006F6829"/>
    <w:rsid w:val="0070100D"/>
    <w:rsid w:val="007015DD"/>
    <w:rsid w:val="00703AE2"/>
    <w:rsid w:val="00706A19"/>
    <w:rsid w:val="00711748"/>
    <w:rsid w:val="0071189B"/>
    <w:rsid w:val="00712087"/>
    <w:rsid w:val="00713D68"/>
    <w:rsid w:val="00715127"/>
    <w:rsid w:val="007159C5"/>
    <w:rsid w:val="00715E8E"/>
    <w:rsid w:val="00722C99"/>
    <w:rsid w:val="00723580"/>
    <w:rsid w:val="00723755"/>
    <w:rsid w:val="007262A0"/>
    <w:rsid w:val="00726C1A"/>
    <w:rsid w:val="00730707"/>
    <w:rsid w:val="0073136C"/>
    <w:rsid w:val="0073159A"/>
    <w:rsid w:val="007317F0"/>
    <w:rsid w:val="00731B6D"/>
    <w:rsid w:val="00731F0F"/>
    <w:rsid w:val="007322CB"/>
    <w:rsid w:val="00732BBB"/>
    <w:rsid w:val="00733250"/>
    <w:rsid w:val="007350E0"/>
    <w:rsid w:val="00735B75"/>
    <w:rsid w:val="00735F53"/>
    <w:rsid w:val="007409BF"/>
    <w:rsid w:val="00741404"/>
    <w:rsid w:val="00742D7E"/>
    <w:rsid w:val="007449E5"/>
    <w:rsid w:val="00745007"/>
    <w:rsid w:val="0074782D"/>
    <w:rsid w:val="00747FF0"/>
    <w:rsid w:val="00750816"/>
    <w:rsid w:val="00751245"/>
    <w:rsid w:val="00751637"/>
    <w:rsid w:val="00751DBB"/>
    <w:rsid w:val="00755DAC"/>
    <w:rsid w:val="00756FE2"/>
    <w:rsid w:val="00760C68"/>
    <w:rsid w:val="00760DC8"/>
    <w:rsid w:val="00760FC3"/>
    <w:rsid w:val="00764D4E"/>
    <w:rsid w:val="00765A1F"/>
    <w:rsid w:val="00771896"/>
    <w:rsid w:val="007740E1"/>
    <w:rsid w:val="00774C02"/>
    <w:rsid w:val="00774D9F"/>
    <w:rsid w:val="00775B6D"/>
    <w:rsid w:val="00776D68"/>
    <w:rsid w:val="00777F78"/>
    <w:rsid w:val="0078019B"/>
    <w:rsid w:val="007801DF"/>
    <w:rsid w:val="00782525"/>
    <w:rsid w:val="007850EE"/>
    <w:rsid w:val="00785B95"/>
    <w:rsid w:val="00787C23"/>
    <w:rsid w:val="00790318"/>
    <w:rsid w:val="00790E96"/>
    <w:rsid w:val="007910FA"/>
    <w:rsid w:val="00793366"/>
    <w:rsid w:val="00793E20"/>
    <w:rsid w:val="00794874"/>
    <w:rsid w:val="00796C63"/>
    <w:rsid w:val="007975AF"/>
    <w:rsid w:val="0079785B"/>
    <w:rsid w:val="007A1721"/>
    <w:rsid w:val="007A1DF0"/>
    <w:rsid w:val="007A6F2C"/>
    <w:rsid w:val="007A716F"/>
    <w:rsid w:val="007B13F1"/>
    <w:rsid w:val="007B270A"/>
    <w:rsid w:val="007B2799"/>
    <w:rsid w:val="007B339E"/>
    <w:rsid w:val="007B6D31"/>
    <w:rsid w:val="007B77E5"/>
    <w:rsid w:val="007C060A"/>
    <w:rsid w:val="007C0695"/>
    <w:rsid w:val="007C2A13"/>
    <w:rsid w:val="007C419A"/>
    <w:rsid w:val="007C4C45"/>
    <w:rsid w:val="007C4CC8"/>
    <w:rsid w:val="007C5426"/>
    <w:rsid w:val="007C5798"/>
    <w:rsid w:val="007D0FCC"/>
    <w:rsid w:val="007D4832"/>
    <w:rsid w:val="007D5B75"/>
    <w:rsid w:val="007D5F26"/>
    <w:rsid w:val="007D61D9"/>
    <w:rsid w:val="007D667C"/>
    <w:rsid w:val="007D6744"/>
    <w:rsid w:val="007D7795"/>
    <w:rsid w:val="007D7944"/>
    <w:rsid w:val="007E12F7"/>
    <w:rsid w:val="007E1D05"/>
    <w:rsid w:val="007E21B2"/>
    <w:rsid w:val="007E2C4E"/>
    <w:rsid w:val="007E2D64"/>
    <w:rsid w:val="007E4C90"/>
    <w:rsid w:val="007E5CB1"/>
    <w:rsid w:val="007E5E77"/>
    <w:rsid w:val="007E71C5"/>
    <w:rsid w:val="007F12D3"/>
    <w:rsid w:val="007F1905"/>
    <w:rsid w:val="007F37B9"/>
    <w:rsid w:val="007F4506"/>
    <w:rsid w:val="00800EB2"/>
    <w:rsid w:val="00801067"/>
    <w:rsid w:val="00801982"/>
    <w:rsid w:val="00801987"/>
    <w:rsid w:val="00802C64"/>
    <w:rsid w:val="00802C6D"/>
    <w:rsid w:val="008047BC"/>
    <w:rsid w:val="00804E8A"/>
    <w:rsid w:val="00805E52"/>
    <w:rsid w:val="008061D0"/>
    <w:rsid w:val="008062C2"/>
    <w:rsid w:val="00806D6B"/>
    <w:rsid w:val="008100E4"/>
    <w:rsid w:val="008106C1"/>
    <w:rsid w:val="00810B38"/>
    <w:rsid w:val="00811D89"/>
    <w:rsid w:val="008135B2"/>
    <w:rsid w:val="008148F0"/>
    <w:rsid w:val="0081568C"/>
    <w:rsid w:val="0081666B"/>
    <w:rsid w:val="00817DD1"/>
    <w:rsid w:val="008204C7"/>
    <w:rsid w:val="00820992"/>
    <w:rsid w:val="008226D5"/>
    <w:rsid w:val="00823602"/>
    <w:rsid w:val="008255F5"/>
    <w:rsid w:val="0082561B"/>
    <w:rsid w:val="00827B76"/>
    <w:rsid w:val="00827BCF"/>
    <w:rsid w:val="00827DF8"/>
    <w:rsid w:val="0083014E"/>
    <w:rsid w:val="00831293"/>
    <w:rsid w:val="008315D7"/>
    <w:rsid w:val="0083214A"/>
    <w:rsid w:val="008322B1"/>
    <w:rsid w:val="00834220"/>
    <w:rsid w:val="008349D8"/>
    <w:rsid w:val="008350EF"/>
    <w:rsid w:val="0083588E"/>
    <w:rsid w:val="008366CB"/>
    <w:rsid w:val="00836B81"/>
    <w:rsid w:val="0084120B"/>
    <w:rsid w:val="00842533"/>
    <w:rsid w:val="00842AFA"/>
    <w:rsid w:val="008435D8"/>
    <w:rsid w:val="00844043"/>
    <w:rsid w:val="00844C1B"/>
    <w:rsid w:val="0084549B"/>
    <w:rsid w:val="00845723"/>
    <w:rsid w:val="00846FCA"/>
    <w:rsid w:val="00850861"/>
    <w:rsid w:val="00851A7B"/>
    <w:rsid w:val="00851C12"/>
    <w:rsid w:val="00851EF9"/>
    <w:rsid w:val="00853284"/>
    <w:rsid w:val="008536BC"/>
    <w:rsid w:val="00853EAE"/>
    <w:rsid w:val="0085627B"/>
    <w:rsid w:val="0085680F"/>
    <w:rsid w:val="008568E1"/>
    <w:rsid w:val="008574C4"/>
    <w:rsid w:val="008577FD"/>
    <w:rsid w:val="00860B03"/>
    <w:rsid w:val="0086497A"/>
    <w:rsid w:val="008673DA"/>
    <w:rsid w:val="008713A1"/>
    <w:rsid w:val="008748AD"/>
    <w:rsid w:val="008754AB"/>
    <w:rsid w:val="0088060C"/>
    <w:rsid w:val="00883AD4"/>
    <w:rsid w:val="00886157"/>
    <w:rsid w:val="00891351"/>
    <w:rsid w:val="008921A9"/>
    <w:rsid w:val="008929C8"/>
    <w:rsid w:val="00893576"/>
    <w:rsid w:val="00893E73"/>
    <w:rsid w:val="00894487"/>
    <w:rsid w:val="0089731B"/>
    <w:rsid w:val="008A0079"/>
    <w:rsid w:val="008A0F7B"/>
    <w:rsid w:val="008A1A11"/>
    <w:rsid w:val="008A35C7"/>
    <w:rsid w:val="008A38CD"/>
    <w:rsid w:val="008A3970"/>
    <w:rsid w:val="008A3B82"/>
    <w:rsid w:val="008A5B2D"/>
    <w:rsid w:val="008A7883"/>
    <w:rsid w:val="008A7DEE"/>
    <w:rsid w:val="008B02DC"/>
    <w:rsid w:val="008B2C1A"/>
    <w:rsid w:val="008B2D73"/>
    <w:rsid w:val="008B57CE"/>
    <w:rsid w:val="008B62C5"/>
    <w:rsid w:val="008B6BF1"/>
    <w:rsid w:val="008C21FC"/>
    <w:rsid w:val="008C254B"/>
    <w:rsid w:val="008C26DE"/>
    <w:rsid w:val="008C3F3E"/>
    <w:rsid w:val="008D041B"/>
    <w:rsid w:val="008D2225"/>
    <w:rsid w:val="008D4752"/>
    <w:rsid w:val="008D52DD"/>
    <w:rsid w:val="008D59CC"/>
    <w:rsid w:val="008D78F3"/>
    <w:rsid w:val="008E0FD7"/>
    <w:rsid w:val="008E232C"/>
    <w:rsid w:val="008E271C"/>
    <w:rsid w:val="008E2870"/>
    <w:rsid w:val="008E3E8F"/>
    <w:rsid w:val="008E418E"/>
    <w:rsid w:val="008E5BC6"/>
    <w:rsid w:val="008E5E6A"/>
    <w:rsid w:val="008E65F2"/>
    <w:rsid w:val="008E6A25"/>
    <w:rsid w:val="008E6AA7"/>
    <w:rsid w:val="008E7DD0"/>
    <w:rsid w:val="008F3F67"/>
    <w:rsid w:val="008F4DA6"/>
    <w:rsid w:val="008F5193"/>
    <w:rsid w:val="00900371"/>
    <w:rsid w:val="00900D00"/>
    <w:rsid w:val="009013A7"/>
    <w:rsid w:val="009017FB"/>
    <w:rsid w:val="009017FC"/>
    <w:rsid w:val="00901F2E"/>
    <w:rsid w:val="0090271D"/>
    <w:rsid w:val="009032F1"/>
    <w:rsid w:val="0090506B"/>
    <w:rsid w:val="009050C9"/>
    <w:rsid w:val="009066FC"/>
    <w:rsid w:val="00906942"/>
    <w:rsid w:val="0091120B"/>
    <w:rsid w:val="009131F8"/>
    <w:rsid w:val="009140A3"/>
    <w:rsid w:val="009144A2"/>
    <w:rsid w:val="0091510C"/>
    <w:rsid w:val="0091726F"/>
    <w:rsid w:val="0091773A"/>
    <w:rsid w:val="00917ED0"/>
    <w:rsid w:val="00920929"/>
    <w:rsid w:val="00921728"/>
    <w:rsid w:val="00923B94"/>
    <w:rsid w:val="009259AC"/>
    <w:rsid w:val="00926649"/>
    <w:rsid w:val="00926F38"/>
    <w:rsid w:val="00930837"/>
    <w:rsid w:val="0093105F"/>
    <w:rsid w:val="009327C0"/>
    <w:rsid w:val="00934144"/>
    <w:rsid w:val="00934301"/>
    <w:rsid w:val="00934C56"/>
    <w:rsid w:val="00934F6D"/>
    <w:rsid w:val="00935049"/>
    <w:rsid w:val="00936CD1"/>
    <w:rsid w:val="00936E22"/>
    <w:rsid w:val="00937270"/>
    <w:rsid w:val="009376AC"/>
    <w:rsid w:val="00940D9E"/>
    <w:rsid w:val="00941747"/>
    <w:rsid w:val="00941EFB"/>
    <w:rsid w:val="00942D80"/>
    <w:rsid w:val="00943304"/>
    <w:rsid w:val="00943828"/>
    <w:rsid w:val="00943EF9"/>
    <w:rsid w:val="0094538B"/>
    <w:rsid w:val="00947011"/>
    <w:rsid w:val="009474F4"/>
    <w:rsid w:val="00947AFB"/>
    <w:rsid w:val="00947D07"/>
    <w:rsid w:val="00951041"/>
    <w:rsid w:val="00951D7D"/>
    <w:rsid w:val="00951F9E"/>
    <w:rsid w:val="00952036"/>
    <w:rsid w:val="00952C3B"/>
    <w:rsid w:val="009534B2"/>
    <w:rsid w:val="0095425E"/>
    <w:rsid w:val="0095478A"/>
    <w:rsid w:val="00955CC4"/>
    <w:rsid w:val="00955EA7"/>
    <w:rsid w:val="00962EFE"/>
    <w:rsid w:val="009630C7"/>
    <w:rsid w:val="00966865"/>
    <w:rsid w:val="009674C3"/>
    <w:rsid w:val="00970E70"/>
    <w:rsid w:val="00971CD4"/>
    <w:rsid w:val="00972B55"/>
    <w:rsid w:val="00973109"/>
    <w:rsid w:val="009743B7"/>
    <w:rsid w:val="00975BC4"/>
    <w:rsid w:val="00981E5B"/>
    <w:rsid w:val="0098228B"/>
    <w:rsid w:val="009828DA"/>
    <w:rsid w:val="00983CAF"/>
    <w:rsid w:val="0098477A"/>
    <w:rsid w:val="0098575E"/>
    <w:rsid w:val="00985BAB"/>
    <w:rsid w:val="00985F36"/>
    <w:rsid w:val="0098725D"/>
    <w:rsid w:val="009872F9"/>
    <w:rsid w:val="00987F4A"/>
    <w:rsid w:val="009907B4"/>
    <w:rsid w:val="00993008"/>
    <w:rsid w:val="0099508F"/>
    <w:rsid w:val="00997722"/>
    <w:rsid w:val="009A1B39"/>
    <w:rsid w:val="009A393B"/>
    <w:rsid w:val="009A5C75"/>
    <w:rsid w:val="009A644D"/>
    <w:rsid w:val="009B00FC"/>
    <w:rsid w:val="009B1B5F"/>
    <w:rsid w:val="009B4427"/>
    <w:rsid w:val="009B4BB1"/>
    <w:rsid w:val="009B4D8E"/>
    <w:rsid w:val="009B6673"/>
    <w:rsid w:val="009B6D2C"/>
    <w:rsid w:val="009B6F7E"/>
    <w:rsid w:val="009B75E1"/>
    <w:rsid w:val="009C0944"/>
    <w:rsid w:val="009C191B"/>
    <w:rsid w:val="009C2BD6"/>
    <w:rsid w:val="009C59F8"/>
    <w:rsid w:val="009D23B4"/>
    <w:rsid w:val="009D23B7"/>
    <w:rsid w:val="009D28F7"/>
    <w:rsid w:val="009D3507"/>
    <w:rsid w:val="009D355E"/>
    <w:rsid w:val="009D76AD"/>
    <w:rsid w:val="009E1F32"/>
    <w:rsid w:val="009E2392"/>
    <w:rsid w:val="009E2EB0"/>
    <w:rsid w:val="009E36C9"/>
    <w:rsid w:val="009E3E98"/>
    <w:rsid w:val="009E442D"/>
    <w:rsid w:val="009E5B6B"/>
    <w:rsid w:val="009E5E58"/>
    <w:rsid w:val="009E776C"/>
    <w:rsid w:val="009F0225"/>
    <w:rsid w:val="009F450D"/>
    <w:rsid w:val="009F4942"/>
    <w:rsid w:val="009F5111"/>
    <w:rsid w:val="009F5726"/>
    <w:rsid w:val="009F5C4B"/>
    <w:rsid w:val="00A01C46"/>
    <w:rsid w:val="00A01F8B"/>
    <w:rsid w:val="00A02D3B"/>
    <w:rsid w:val="00A05D68"/>
    <w:rsid w:val="00A07D7E"/>
    <w:rsid w:val="00A11D67"/>
    <w:rsid w:val="00A15033"/>
    <w:rsid w:val="00A1726E"/>
    <w:rsid w:val="00A1759E"/>
    <w:rsid w:val="00A204CF"/>
    <w:rsid w:val="00A20A18"/>
    <w:rsid w:val="00A20C17"/>
    <w:rsid w:val="00A2248A"/>
    <w:rsid w:val="00A23D49"/>
    <w:rsid w:val="00A2588A"/>
    <w:rsid w:val="00A26026"/>
    <w:rsid w:val="00A260FD"/>
    <w:rsid w:val="00A27004"/>
    <w:rsid w:val="00A30C29"/>
    <w:rsid w:val="00A34DD6"/>
    <w:rsid w:val="00A3532B"/>
    <w:rsid w:val="00A36819"/>
    <w:rsid w:val="00A36989"/>
    <w:rsid w:val="00A36D77"/>
    <w:rsid w:val="00A4197A"/>
    <w:rsid w:val="00A435A0"/>
    <w:rsid w:val="00A43628"/>
    <w:rsid w:val="00A43786"/>
    <w:rsid w:val="00A50BAF"/>
    <w:rsid w:val="00A52776"/>
    <w:rsid w:val="00A54192"/>
    <w:rsid w:val="00A6035E"/>
    <w:rsid w:val="00A6144C"/>
    <w:rsid w:val="00A630E8"/>
    <w:rsid w:val="00A63334"/>
    <w:rsid w:val="00A63CC6"/>
    <w:rsid w:val="00A63CDC"/>
    <w:rsid w:val="00A657D6"/>
    <w:rsid w:val="00A66617"/>
    <w:rsid w:val="00A671F8"/>
    <w:rsid w:val="00A673A4"/>
    <w:rsid w:val="00A70120"/>
    <w:rsid w:val="00A70A5E"/>
    <w:rsid w:val="00A724AE"/>
    <w:rsid w:val="00A72BB7"/>
    <w:rsid w:val="00A73293"/>
    <w:rsid w:val="00A73329"/>
    <w:rsid w:val="00A7780A"/>
    <w:rsid w:val="00A7781A"/>
    <w:rsid w:val="00A80370"/>
    <w:rsid w:val="00A8208A"/>
    <w:rsid w:val="00A82359"/>
    <w:rsid w:val="00A830C0"/>
    <w:rsid w:val="00A85CAE"/>
    <w:rsid w:val="00A86363"/>
    <w:rsid w:val="00A865D2"/>
    <w:rsid w:val="00A87A71"/>
    <w:rsid w:val="00A94461"/>
    <w:rsid w:val="00A94853"/>
    <w:rsid w:val="00A94AED"/>
    <w:rsid w:val="00A94C20"/>
    <w:rsid w:val="00AA227F"/>
    <w:rsid w:val="00AA347C"/>
    <w:rsid w:val="00AA3BC7"/>
    <w:rsid w:val="00AA58D5"/>
    <w:rsid w:val="00AA6890"/>
    <w:rsid w:val="00AA7389"/>
    <w:rsid w:val="00AA754A"/>
    <w:rsid w:val="00AB099E"/>
    <w:rsid w:val="00AB0D30"/>
    <w:rsid w:val="00AB2A43"/>
    <w:rsid w:val="00AB4328"/>
    <w:rsid w:val="00AB7E31"/>
    <w:rsid w:val="00AC089C"/>
    <w:rsid w:val="00AC12F5"/>
    <w:rsid w:val="00AC1722"/>
    <w:rsid w:val="00AC25E5"/>
    <w:rsid w:val="00AC2B99"/>
    <w:rsid w:val="00AC61EB"/>
    <w:rsid w:val="00AC7CC4"/>
    <w:rsid w:val="00AD3DBF"/>
    <w:rsid w:val="00AE0A2E"/>
    <w:rsid w:val="00AE1A46"/>
    <w:rsid w:val="00AE226E"/>
    <w:rsid w:val="00AE296B"/>
    <w:rsid w:val="00AE2DEF"/>
    <w:rsid w:val="00AE354C"/>
    <w:rsid w:val="00AE3905"/>
    <w:rsid w:val="00AE5304"/>
    <w:rsid w:val="00AF1AE3"/>
    <w:rsid w:val="00AF1ED4"/>
    <w:rsid w:val="00AF2C8B"/>
    <w:rsid w:val="00AF4223"/>
    <w:rsid w:val="00AF4B07"/>
    <w:rsid w:val="00AF6186"/>
    <w:rsid w:val="00AF6511"/>
    <w:rsid w:val="00AF7345"/>
    <w:rsid w:val="00AF7969"/>
    <w:rsid w:val="00AF7A3A"/>
    <w:rsid w:val="00B0007E"/>
    <w:rsid w:val="00B008A2"/>
    <w:rsid w:val="00B01A33"/>
    <w:rsid w:val="00B05AA9"/>
    <w:rsid w:val="00B13DE3"/>
    <w:rsid w:val="00B15914"/>
    <w:rsid w:val="00B160DB"/>
    <w:rsid w:val="00B20836"/>
    <w:rsid w:val="00B22E1E"/>
    <w:rsid w:val="00B235BB"/>
    <w:rsid w:val="00B23C53"/>
    <w:rsid w:val="00B27A44"/>
    <w:rsid w:val="00B30BBF"/>
    <w:rsid w:val="00B33C03"/>
    <w:rsid w:val="00B360A1"/>
    <w:rsid w:val="00B3615A"/>
    <w:rsid w:val="00B37926"/>
    <w:rsid w:val="00B40D3D"/>
    <w:rsid w:val="00B410C5"/>
    <w:rsid w:val="00B4233F"/>
    <w:rsid w:val="00B43EDA"/>
    <w:rsid w:val="00B44790"/>
    <w:rsid w:val="00B44E56"/>
    <w:rsid w:val="00B46543"/>
    <w:rsid w:val="00B47D33"/>
    <w:rsid w:val="00B50C7A"/>
    <w:rsid w:val="00B52059"/>
    <w:rsid w:val="00B52BE0"/>
    <w:rsid w:val="00B54133"/>
    <w:rsid w:val="00B5475A"/>
    <w:rsid w:val="00B54EA2"/>
    <w:rsid w:val="00B55654"/>
    <w:rsid w:val="00B65A91"/>
    <w:rsid w:val="00B65F1D"/>
    <w:rsid w:val="00B671B5"/>
    <w:rsid w:val="00B701ED"/>
    <w:rsid w:val="00B70960"/>
    <w:rsid w:val="00B71DCF"/>
    <w:rsid w:val="00B763F3"/>
    <w:rsid w:val="00B77C95"/>
    <w:rsid w:val="00B8086C"/>
    <w:rsid w:val="00B81A1E"/>
    <w:rsid w:val="00B84CAE"/>
    <w:rsid w:val="00B85757"/>
    <w:rsid w:val="00B85879"/>
    <w:rsid w:val="00B861B4"/>
    <w:rsid w:val="00B865E3"/>
    <w:rsid w:val="00B86DFE"/>
    <w:rsid w:val="00B90990"/>
    <w:rsid w:val="00B90A40"/>
    <w:rsid w:val="00B90C14"/>
    <w:rsid w:val="00B922FF"/>
    <w:rsid w:val="00B9281E"/>
    <w:rsid w:val="00B928C7"/>
    <w:rsid w:val="00B92CCD"/>
    <w:rsid w:val="00B92D3C"/>
    <w:rsid w:val="00B93925"/>
    <w:rsid w:val="00B93B9B"/>
    <w:rsid w:val="00B95187"/>
    <w:rsid w:val="00BA280A"/>
    <w:rsid w:val="00BA2D55"/>
    <w:rsid w:val="00BA5F67"/>
    <w:rsid w:val="00BA6431"/>
    <w:rsid w:val="00BA71B1"/>
    <w:rsid w:val="00BB0637"/>
    <w:rsid w:val="00BB1AAC"/>
    <w:rsid w:val="00BB248E"/>
    <w:rsid w:val="00BB345F"/>
    <w:rsid w:val="00BB5DE9"/>
    <w:rsid w:val="00BB68EA"/>
    <w:rsid w:val="00BC0814"/>
    <w:rsid w:val="00BC1C27"/>
    <w:rsid w:val="00BC2854"/>
    <w:rsid w:val="00BC3FEE"/>
    <w:rsid w:val="00BC6BBF"/>
    <w:rsid w:val="00BC6E46"/>
    <w:rsid w:val="00BC6E9D"/>
    <w:rsid w:val="00BC70AC"/>
    <w:rsid w:val="00BD1572"/>
    <w:rsid w:val="00BD2E74"/>
    <w:rsid w:val="00BD3880"/>
    <w:rsid w:val="00BD3D82"/>
    <w:rsid w:val="00BD445F"/>
    <w:rsid w:val="00BD5DAB"/>
    <w:rsid w:val="00BD687F"/>
    <w:rsid w:val="00BE14E3"/>
    <w:rsid w:val="00BE24EE"/>
    <w:rsid w:val="00BE29DB"/>
    <w:rsid w:val="00BE3774"/>
    <w:rsid w:val="00BE41E5"/>
    <w:rsid w:val="00BE44DE"/>
    <w:rsid w:val="00BE549B"/>
    <w:rsid w:val="00BE6213"/>
    <w:rsid w:val="00BF1991"/>
    <w:rsid w:val="00BF205E"/>
    <w:rsid w:val="00BF37ED"/>
    <w:rsid w:val="00BF4109"/>
    <w:rsid w:val="00BF4CC3"/>
    <w:rsid w:val="00BF5C3D"/>
    <w:rsid w:val="00C00682"/>
    <w:rsid w:val="00C0115E"/>
    <w:rsid w:val="00C019DF"/>
    <w:rsid w:val="00C02D2A"/>
    <w:rsid w:val="00C049A3"/>
    <w:rsid w:val="00C049B0"/>
    <w:rsid w:val="00C054C7"/>
    <w:rsid w:val="00C057B5"/>
    <w:rsid w:val="00C07E5D"/>
    <w:rsid w:val="00C11831"/>
    <w:rsid w:val="00C20BD9"/>
    <w:rsid w:val="00C213CB"/>
    <w:rsid w:val="00C2233F"/>
    <w:rsid w:val="00C22687"/>
    <w:rsid w:val="00C23593"/>
    <w:rsid w:val="00C24C43"/>
    <w:rsid w:val="00C2792E"/>
    <w:rsid w:val="00C3194F"/>
    <w:rsid w:val="00C32E4D"/>
    <w:rsid w:val="00C333A0"/>
    <w:rsid w:val="00C335F5"/>
    <w:rsid w:val="00C36A81"/>
    <w:rsid w:val="00C36CC2"/>
    <w:rsid w:val="00C3779E"/>
    <w:rsid w:val="00C41974"/>
    <w:rsid w:val="00C438F3"/>
    <w:rsid w:val="00C4418B"/>
    <w:rsid w:val="00C455B0"/>
    <w:rsid w:val="00C50420"/>
    <w:rsid w:val="00C53135"/>
    <w:rsid w:val="00C53195"/>
    <w:rsid w:val="00C535E1"/>
    <w:rsid w:val="00C53F4A"/>
    <w:rsid w:val="00C54125"/>
    <w:rsid w:val="00C55B54"/>
    <w:rsid w:val="00C56FE0"/>
    <w:rsid w:val="00C57E6B"/>
    <w:rsid w:val="00C6098E"/>
    <w:rsid w:val="00C60AE1"/>
    <w:rsid w:val="00C60FD7"/>
    <w:rsid w:val="00C6152C"/>
    <w:rsid w:val="00C642A5"/>
    <w:rsid w:val="00C645B8"/>
    <w:rsid w:val="00C65608"/>
    <w:rsid w:val="00C65F55"/>
    <w:rsid w:val="00C72212"/>
    <w:rsid w:val="00C7286E"/>
    <w:rsid w:val="00C72A42"/>
    <w:rsid w:val="00C74810"/>
    <w:rsid w:val="00C77B16"/>
    <w:rsid w:val="00C812F5"/>
    <w:rsid w:val="00C816D9"/>
    <w:rsid w:val="00C81735"/>
    <w:rsid w:val="00C835DF"/>
    <w:rsid w:val="00C84B41"/>
    <w:rsid w:val="00C85757"/>
    <w:rsid w:val="00C86F39"/>
    <w:rsid w:val="00C90D68"/>
    <w:rsid w:val="00C92873"/>
    <w:rsid w:val="00C9325C"/>
    <w:rsid w:val="00C939FE"/>
    <w:rsid w:val="00C94CCF"/>
    <w:rsid w:val="00C9512D"/>
    <w:rsid w:val="00C958AE"/>
    <w:rsid w:val="00C97BD0"/>
    <w:rsid w:val="00CA154C"/>
    <w:rsid w:val="00CA2F56"/>
    <w:rsid w:val="00CA4BDA"/>
    <w:rsid w:val="00CA5158"/>
    <w:rsid w:val="00CA704F"/>
    <w:rsid w:val="00CA73A2"/>
    <w:rsid w:val="00CA7E9B"/>
    <w:rsid w:val="00CB001F"/>
    <w:rsid w:val="00CB0090"/>
    <w:rsid w:val="00CB1F66"/>
    <w:rsid w:val="00CB2951"/>
    <w:rsid w:val="00CB2C39"/>
    <w:rsid w:val="00CB5BD7"/>
    <w:rsid w:val="00CC1926"/>
    <w:rsid w:val="00CC24DB"/>
    <w:rsid w:val="00CC353B"/>
    <w:rsid w:val="00CC35C3"/>
    <w:rsid w:val="00CC3BC1"/>
    <w:rsid w:val="00CC4325"/>
    <w:rsid w:val="00CC602F"/>
    <w:rsid w:val="00CC6176"/>
    <w:rsid w:val="00CC6553"/>
    <w:rsid w:val="00CC664E"/>
    <w:rsid w:val="00CC6756"/>
    <w:rsid w:val="00CD00CE"/>
    <w:rsid w:val="00CD282B"/>
    <w:rsid w:val="00CD4B90"/>
    <w:rsid w:val="00CD4C35"/>
    <w:rsid w:val="00CD7369"/>
    <w:rsid w:val="00CD749D"/>
    <w:rsid w:val="00CE08BC"/>
    <w:rsid w:val="00CE0B0E"/>
    <w:rsid w:val="00CE3831"/>
    <w:rsid w:val="00CF009C"/>
    <w:rsid w:val="00CF24C5"/>
    <w:rsid w:val="00CF28EA"/>
    <w:rsid w:val="00CF771A"/>
    <w:rsid w:val="00D00ABB"/>
    <w:rsid w:val="00D0189E"/>
    <w:rsid w:val="00D01C05"/>
    <w:rsid w:val="00D01FBC"/>
    <w:rsid w:val="00D02EEC"/>
    <w:rsid w:val="00D03551"/>
    <w:rsid w:val="00D038D0"/>
    <w:rsid w:val="00D03E98"/>
    <w:rsid w:val="00D04697"/>
    <w:rsid w:val="00D06A63"/>
    <w:rsid w:val="00D070EC"/>
    <w:rsid w:val="00D07E0E"/>
    <w:rsid w:val="00D11478"/>
    <w:rsid w:val="00D11A6A"/>
    <w:rsid w:val="00D13C4A"/>
    <w:rsid w:val="00D152EC"/>
    <w:rsid w:val="00D15ED0"/>
    <w:rsid w:val="00D17884"/>
    <w:rsid w:val="00D17DFE"/>
    <w:rsid w:val="00D17E66"/>
    <w:rsid w:val="00D20837"/>
    <w:rsid w:val="00D21B3E"/>
    <w:rsid w:val="00D21FED"/>
    <w:rsid w:val="00D22DA3"/>
    <w:rsid w:val="00D24251"/>
    <w:rsid w:val="00D2436D"/>
    <w:rsid w:val="00D24818"/>
    <w:rsid w:val="00D250B1"/>
    <w:rsid w:val="00D261CC"/>
    <w:rsid w:val="00D27AE1"/>
    <w:rsid w:val="00D33722"/>
    <w:rsid w:val="00D343E2"/>
    <w:rsid w:val="00D34FC6"/>
    <w:rsid w:val="00D361A2"/>
    <w:rsid w:val="00D37E76"/>
    <w:rsid w:val="00D43F4C"/>
    <w:rsid w:val="00D443A3"/>
    <w:rsid w:val="00D44C2E"/>
    <w:rsid w:val="00D45414"/>
    <w:rsid w:val="00D46837"/>
    <w:rsid w:val="00D4691A"/>
    <w:rsid w:val="00D5135F"/>
    <w:rsid w:val="00D54236"/>
    <w:rsid w:val="00D551B4"/>
    <w:rsid w:val="00D55A9B"/>
    <w:rsid w:val="00D566BD"/>
    <w:rsid w:val="00D571BA"/>
    <w:rsid w:val="00D57A4D"/>
    <w:rsid w:val="00D57EA7"/>
    <w:rsid w:val="00D60444"/>
    <w:rsid w:val="00D60AA7"/>
    <w:rsid w:val="00D6435F"/>
    <w:rsid w:val="00D6488E"/>
    <w:rsid w:val="00D649D6"/>
    <w:rsid w:val="00D65CAF"/>
    <w:rsid w:val="00D66777"/>
    <w:rsid w:val="00D66C34"/>
    <w:rsid w:val="00D66E53"/>
    <w:rsid w:val="00D670E6"/>
    <w:rsid w:val="00D70649"/>
    <w:rsid w:val="00D72187"/>
    <w:rsid w:val="00D731C2"/>
    <w:rsid w:val="00D73302"/>
    <w:rsid w:val="00D734EA"/>
    <w:rsid w:val="00D75E28"/>
    <w:rsid w:val="00D7625A"/>
    <w:rsid w:val="00D772C2"/>
    <w:rsid w:val="00D8008E"/>
    <w:rsid w:val="00D8078F"/>
    <w:rsid w:val="00D82C45"/>
    <w:rsid w:val="00D82D0A"/>
    <w:rsid w:val="00D847F9"/>
    <w:rsid w:val="00D84853"/>
    <w:rsid w:val="00D85EC1"/>
    <w:rsid w:val="00D87CCF"/>
    <w:rsid w:val="00D903E5"/>
    <w:rsid w:val="00D908A8"/>
    <w:rsid w:val="00D92AA0"/>
    <w:rsid w:val="00D953B2"/>
    <w:rsid w:val="00D9617C"/>
    <w:rsid w:val="00D977B6"/>
    <w:rsid w:val="00DA0490"/>
    <w:rsid w:val="00DA13C5"/>
    <w:rsid w:val="00DA18BE"/>
    <w:rsid w:val="00DA19E9"/>
    <w:rsid w:val="00DA40A0"/>
    <w:rsid w:val="00DA4A31"/>
    <w:rsid w:val="00DA609F"/>
    <w:rsid w:val="00DA7B04"/>
    <w:rsid w:val="00DB1BD0"/>
    <w:rsid w:val="00DB36C2"/>
    <w:rsid w:val="00DB4453"/>
    <w:rsid w:val="00DB66EC"/>
    <w:rsid w:val="00DC169B"/>
    <w:rsid w:val="00DC27D6"/>
    <w:rsid w:val="00DC2AB9"/>
    <w:rsid w:val="00DC48B4"/>
    <w:rsid w:val="00DC4A6B"/>
    <w:rsid w:val="00DC63F0"/>
    <w:rsid w:val="00DC6FFD"/>
    <w:rsid w:val="00DD24F5"/>
    <w:rsid w:val="00DD2551"/>
    <w:rsid w:val="00DD457C"/>
    <w:rsid w:val="00DD4855"/>
    <w:rsid w:val="00DD6EE5"/>
    <w:rsid w:val="00DE1824"/>
    <w:rsid w:val="00DE386C"/>
    <w:rsid w:val="00DE46E0"/>
    <w:rsid w:val="00DE4D35"/>
    <w:rsid w:val="00DE61E0"/>
    <w:rsid w:val="00DE6511"/>
    <w:rsid w:val="00DE6865"/>
    <w:rsid w:val="00DF098B"/>
    <w:rsid w:val="00DF11C4"/>
    <w:rsid w:val="00DF210C"/>
    <w:rsid w:val="00DF2B5C"/>
    <w:rsid w:val="00DF3B71"/>
    <w:rsid w:val="00DF42B1"/>
    <w:rsid w:val="00DF4B6A"/>
    <w:rsid w:val="00DF4E5A"/>
    <w:rsid w:val="00DF7D22"/>
    <w:rsid w:val="00E0265A"/>
    <w:rsid w:val="00E02C09"/>
    <w:rsid w:val="00E02EBD"/>
    <w:rsid w:val="00E0360A"/>
    <w:rsid w:val="00E03C6D"/>
    <w:rsid w:val="00E04AD9"/>
    <w:rsid w:val="00E04D59"/>
    <w:rsid w:val="00E060E7"/>
    <w:rsid w:val="00E06883"/>
    <w:rsid w:val="00E06D1D"/>
    <w:rsid w:val="00E07DA1"/>
    <w:rsid w:val="00E123CB"/>
    <w:rsid w:val="00E13E45"/>
    <w:rsid w:val="00E20E13"/>
    <w:rsid w:val="00E21A1F"/>
    <w:rsid w:val="00E21DBC"/>
    <w:rsid w:val="00E22BF3"/>
    <w:rsid w:val="00E23CE9"/>
    <w:rsid w:val="00E2408C"/>
    <w:rsid w:val="00E24AEF"/>
    <w:rsid w:val="00E25301"/>
    <w:rsid w:val="00E25DDD"/>
    <w:rsid w:val="00E263BF"/>
    <w:rsid w:val="00E26618"/>
    <w:rsid w:val="00E275D7"/>
    <w:rsid w:val="00E27DBE"/>
    <w:rsid w:val="00E30078"/>
    <w:rsid w:val="00E32667"/>
    <w:rsid w:val="00E329A1"/>
    <w:rsid w:val="00E32AB1"/>
    <w:rsid w:val="00E34FE8"/>
    <w:rsid w:val="00E35D6C"/>
    <w:rsid w:val="00E363F2"/>
    <w:rsid w:val="00E36C71"/>
    <w:rsid w:val="00E37B11"/>
    <w:rsid w:val="00E40404"/>
    <w:rsid w:val="00E42265"/>
    <w:rsid w:val="00E44598"/>
    <w:rsid w:val="00E459C6"/>
    <w:rsid w:val="00E47589"/>
    <w:rsid w:val="00E47823"/>
    <w:rsid w:val="00E50216"/>
    <w:rsid w:val="00E50895"/>
    <w:rsid w:val="00E53CA4"/>
    <w:rsid w:val="00E61D45"/>
    <w:rsid w:val="00E642BF"/>
    <w:rsid w:val="00E64915"/>
    <w:rsid w:val="00E65F8D"/>
    <w:rsid w:val="00E661D4"/>
    <w:rsid w:val="00E67378"/>
    <w:rsid w:val="00E70091"/>
    <w:rsid w:val="00E720F5"/>
    <w:rsid w:val="00E72A29"/>
    <w:rsid w:val="00E75400"/>
    <w:rsid w:val="00E760EB"/>
    <w:rsid w:val="00E765F8"/>
    <w:rsid w:val="00E76D47"/>
    <w:rsid w:val="00E8226F"/>
    <w:rsid w:val="00E83BB0"/>
    <w:rsid w:val="00E841A5"/>
    <w:rsid w:val="00E849F7"/>
    <w:rsid w:val="00E854D1"/>
    <w:rsid w:val="00E85A36"/>
    <w:rsid w:val="00E90302"/>
    <w:rsid w:val="00E9412A"/>
    <w:rsid w:val="00E94AFA"/>
    <w:rsid w:val="00E96522"/>
    <w:rsid w:val="00E97396"/>
    <w:rsid w:val="00EA09C3"/>
    <w:rsid w:val="00EA185E"/>
    <w:rsid w:val="00EA37F7"/>
    <w:rsid w:val="00EA37FE"/>
    <w:rsid w:val="00EA5326"/>
    <w:rsid w:val="00EA592A"/>
    <w:rsid w:val="00EA5C92"/>
    <w:rsid w:val="00EB02AC"/>
    <w:rsid w:val="00EB09D9"/>
    <w:rsid w:val="00EB14E4"/>
    <w:rsid w:val="00EB1B2B"/>
    <w:rsid w:val="00EB32A5"/>
    <w:rsid w:val="00EB34ED"/>
    <w:rsid w:val="00EB4191"/>
    <w:rsid w:val="00EB447C"/>
    <w:rsid w:val="00EB44BB"/>
    <w:rsid w:val="00EB48FF"/>
    <w:rsid w:val="00EB653A"/>
    <w:rsid w:val="00EB79D7"/>
    <w:rsid w:val="00EB7BE0"/>
    <w:rsid w:val="00EC00F3"/>
    <w:rsid w:val="00EC0994"/>
    <w:rsid w:val="00EC1099"/>
    <w:rsid w:val="00EC1984"/>
    <w:rsid w:val="00EC307A"/>
    <w:rsid w:val="00EC315E"/>
    <w:rsid w:val="00EC37A1"/>
    <w:rsid w:val="00EC43A5"/>
    <w:rsid w:val="00ED077C"/>
    <w:rsid w:val="00ED1190"/>
    <w:rsid w:val="00ED41FC"/>
    <w:rsid w:val="00ED6544"/>
    <w:rsid w:val="00EE0277"/>
    <w:rsid w:val="00EE21E2"/>
    <w:rsid w:val="00EE35F0"/>
    <w:rsid w:val="00EE3E00"/>
    <w:rsid w:val="00EE4D97"/>
    <w:rsid w:val="00EE4F16"/>
    <w:rsid w:val="00EE52FD"/>
    <w:rsid w:val="00EE5DD2"/>
    <w:rsid w:val="00EE5FA1"/>
    <w:rsid w:val="00EE6667"/>
    <w:rsid w:val="00EE7F73"/>
    <w:rsid w:val="00EF26E4"/>
    <w:rsid w:val="00EF456F"/>
    <w:rsid w:val="00EF4F2E"/>
    <w:rsid w:val="00EF5158"/>
    <w:rsid w:val="00EF6ABF"/>
    <w:rsid w:val="00EF7A6E"/>
    <w:rsid w:val="00F0049F"/>
    <w:rsid w:val="00F00A79"/>
    <w:rsid w:val="00F00E86"/>
    <w:rsid w:val="00F01C6C"/>
    <w:rsid w:val="00F01CCD"/>
    <w:rsid w:val="00F025A8"/>
    <w:rsid w:val="00F0411D"/>
    <w:rsid w:val="00F04A5D"/>
    <w:rsid w:val="00F050EA"/>
    <w:rsid w:val="00F057E8"/>
    <w:rsid w:val="00F073AC"/>
    <w:rsid w:val="00F07C1E"/>
    <w:rsid w:val="00F105DB"/>
    <w:rsid w:val="00F118E4"/>
    <w:rsid w:val="00F12240"/>
    <w:rsid w:val="00F132BC"/>
    <w:rsid w:val="00F13D80"/>
    <w:rsid w:val="00F16AAA"/>
    <w:rsid w:val="00F16C4A"/>
    <w:rsid w:val="00F21161"/>
    <w:rsid w:val="00F218EF"/>
    <w:rsid w:val="00F21BC7"/>
    <w:rsid w:val="00F2427D"/>
    <w:rsid w:val="00F24707"/>
    <w:rsid w:val="00F25DBD"/>
    <w:rsid w:val="00F266A2"/>
    <w:rsid w:val="00F32269"/>
    <w:rsid w:val="00F336B7"/>
    <w:rsid w:val="00F343BE"/>
    <w:rsid w:val="00F35CA5"/>
    <w:rsid w:val="00F37924"/>
    <w:rsid w:val="00F4204A"/>
    <w:rsid w:val="00F4307F"/>
    <w:rsid w:val="00F43DD1"/>
    <w:rsid w:val="00F44A88"/>
    <w:rsid w:val="00F45955"/>
    <w:rsid w:val="00F46D84"/>
    <w:rsid w:val="00F5659E"/>
    <w:rsid w:val="00F56A6F"/>
    <w:rsid w:val="00F5709C"/>
    <w:rsid w:val="00F60022"/>
    <w:rsid w:val="00F60DEA"/>
    <w:rsid w:val="00F624E4"/>
    <w:rsid w:val="00F64EF1"/>
    <w:rsid w:val="00F64F57"/>
    <w:rsid w:val="00F6614D"/>
    <w:rsid w:val="00F66F43"/>
    <w:rsid w:val="00F67D75"/>
    <w:rsid w:val="00F730B3"/>
    <w:rsid w:val="00F74B33"/>
    <w:rsid w:val="00F80B31"/>
    <w:rsid w:val="00F8230E"/>
    <w:rsid w:val="00F83C81"/>
    <w:rsid w:val="00F8765F"/>
    <w:rsid w:val="00F87CB0"/>
    <w:rsid w:val="00F90767"/>
    <w:rsid w:val="00F91E03"/>
    <w:rsid w:val="00F928D1"/>
    <w:rsid w:val="00F92F63"/>
    <w:rsid w:val="00F94B03"/>
    <w:rsid w:val="00F96D14"/>
    <w:rsid w:val="00FA16B6"/>
    <w:rsid w:val="00FA1D0C"/>
    <w:rsid w:val="00FA25F0"/>
    <w:rsid w:val="00FA685B"/>
    <w:rsid w:val="00FB0C01"/>
    <w:rsid w:val="00FB0F60"/>
    <w:rsid w:val="00FB340E"/>
    <w:rsid w:val="00FB4952"/>
    <w:rsid w:val="00FB62B2"/>
    <w:rsid w:val="00FC05A4"/>
    <w:rsid w:val="00FC0D66"/>
    <w:rsid w:val="00FC11A0"/>
    <w:rsid w:val="00FC18F2"/>
    <w:rsid w:val="00FC28A9"/>
    <w:rsid w:val="00FC2A06"/>
    <w:rsid w:val="00FC39E5"/>
    <w:rsid w:val="00FC3A78"/>
    <w:rsid w:val="00FC65E0"/>
    <w:rsid w:val="00FC79BB"/>
    <w:rsid w:val="00FD04E7"/>
    <w:rsid w:val="00FD1005"/>
    <w:rsid w:val="00FD6C75"/>
    <w:rsid w:val="00FD724C"/>
    <w:rsid w:val="00FE0E27"/>
    <w:rsid w:val="00FE38FC"/>
    <w:rsid w:val="00FE4809"/>
    <w:rsid w:val="00FE49DC"/>
    <w:rsid w:val="00FE6D23"/>
    <w:rsid w:val="00FE71B3"/>
    <w:rsid w:val="00FE76FF"/>
    <w:rsid w:val="00FE7B8B"/>
    <w:rsid w:val="00FF0BF1"/>
    <w:rsid w:val="00FF2E79"/>
    <w:rsid w:val="00FF3993"/>
    <w:rsid w:val="00FF42C5"/>
    <w:rsid w:val="00FF4877"/>
    <w:rsid w:val="00FF57A5"/>
    <w:rsid w:val="00FF6122"/>
    <w:rsid w:val="00FF720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E32667"/>
    <w:pPr>
      <w:jc w:val="both"/>
    </w:pPr>
    <w:rPr>
      <w:rFonts w:eastAsiaTheme="minorEastAsia"/>
      <w:sz w:val="24"/>
      <w:lang w:val="en-GB"/>
    </w:rPr>
  </w:style>
  <w:style w:type="paragraph" w:styleId="Heading1">
    <w:name w:val="heading 1"/>
    <w:basedOn w:val="Normal"/>
    <w:next w:val="Normal"/>
    <w:link w:val="Heading1Char"/>
    <w:uiPriority w:val="99"/>
    <w:semiHidden/>
    <w:rsid w:val="00E32667"/>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E32667"/>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E32667"/>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E32667"/>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E32667"/>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E32667"/>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E32667"/>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E32667"/>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E32667"/>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E32667"/>
    <w:rPr>
      <w:rFonts w:ascii="Tahoma" w:hAnsi="Tahoma" w:cs="Tahoma"/>
      <w:sz w:val="16"/>
      <w:szCs w:val="16"/>
    </w:rPr>
  </w:style>
  <w:style w:type="character" w:customStyle="1" w:styleId="BalloonTextChar">
    <w:name w:val="Balloon Text Char"/>
    <w:basedOn w:val="DefaultParagraphFont"/>
    <w:link w:val="BalloonText"/>
    <w:uiPriority w:val="99"/>
    <w:semiHidden/>
    <w:rsid w:val="00E32667"/>
    <w:rPr>
      <w:rFonts w:ascii="Tahoma" w:eastAsiaTheme="minorEastAsia" w:hAnsi="Tahoma" w:cs="Tahoma"/>
      <w:sz w:val="16"/>
      <w:szCs w:val="16"/>
      <w:lang w:val="en-GB"/>
    </w:rPr>
  </w:style>
  <w:style w:type="character" w:styleId="BookTitle">
    <w:name w:val="Book Title"/>
    <w:uiPriority w:val="99"/>
    <w:semiHidden/>
    <w:qFormat/>
    <w:rsid w:val="00E32667"/>
    <w:rPr>
      <w:i/>
      <w:iCs/>
      <w:smallCaps/>
      <w:spacing w:val="5"/>
    </w:rPr>
  </w:style>
  <w:style w:type="paragraph" w:customStyle="1" w:styleId="ECHRHeader">
    <w:name w:val="ECHR_Header"/>
    <w:aliases w:val="Ju_Header"/>
    <w:basedOn w:val="Header"/>
    <w:uiPriority w:val="4"/>
    <w:qFormat/>
    <w:rsid w:val="00E32667"/>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E32667"/>
    <w:pPr>
      <w:jc w:val="left"/>
    </w:pPr>
    <w:rPr>
      <w:sz w:val="8"/>
    </w:rPr>
  </w:style>
  <w:style w:type="character" w:styleId="Strong">
    <w:name w:val="Strong"/>
    <w:uiPriority w:val="99"/>
    <w:semiHidden/>
    <w:qFormat/>
    <w:rsid w:val="00E32667"/>
    <w:rPr>
      <w:b/>
      <w:bCs/>
    </w:rPr>
  </w:style>
  <w:style w:type="paragraph" w:styleId="NoSpacing">
    <w:name w:val="No Spacing"/>
    <w:basedOn w:val="Normal"/>
    <w:link w:val="NoSpacingChar"/>
    <w:semiHidden/>
    <w:qFormat/>
    <w:rsid w:val="00E32667"/>
    <w:rPr>
      <w:sz w:val="22"/>
      <w:lang w:val="en-US"/>
    </w:rPr>
  </w:style>
  <w:style w:type="character" w:customStyle="1" w:styleId="NoSpacingChar">
    <w:name w:val="No Spacing Char"/>
    <w:basedOn w:val="DefaultParagraphFont"/>
    <w:link w:val="NoSpacing"/>
    <w:semiHidden/>
    <w:rsid w:val="00E32667"/>
    <w:rPr>
      <w:rFonts w:eastAsiaTheme="minorEastAsia"/>
    </w:rPr>
  </w:style>
  <w:style w:type="paragraph" w:customStyle="1" w:styleId="ECHRFooterLine">
    <w:name w:val="ECHR_Footer_Line"/>
    <w:aliases w:val="Footer_Line"/>
    <w:basedOn w:val="Normal"/>
    <w:next w:val="ECHRFooter"/>
    <w:uiPriority w:val="57"/>
    <w:semiHidden/>
    <w:rsid w:val="00E32667"/>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E32667"/>
  </w:style>
  <w:style w:type="paragraph" w:customStyle="1" w:styleId="DecList">
    <w:name w:val="Dec_List"/>
    <w:basedOn w:val="Normal"/>
    <w:uiPriority w:val="9"/>
    <w:semiHidden/>
    <w:qFormat/>
    <w:rsid w:val="00E32667"/>
    <w:pPr>
      <w:spacing w:before="240"/>
      <w:ind w:left="284"/>
    </w:pPr>
  </w:style>
  <w:style w:type="paragraph" w:customStyle="1" w:styleId="DummyStyle">
    <w:name w:val="Dummy_Style"/>
    <w:basedOn w:val="Normal"/>
    <w:semiHidden/>
    <w:qFormat/>
    <w:rsid w:val="00E32667"/>
    <w:rPr>
      <w:color w:val="00B050"/>
    </w:rPr>
  </w:style>
  <w:style w:type="paragraph" w:customStyle="1" w:styleId="ECHRTitleCentre3">
    <w:name w:val="ECHR_Title_Centre_3"/>
    <w:aliases w:val="Ju_H_Article"/>
    <w:basedOn w:val="Normal"/>
    <w:next w:val="ECHRParaQuote"/>
    <w:uiPriority w:val="27"/>
    <w:qFormat/>
    <w:rsid w:val="00E32667"/>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E32667"/>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E32667"/>
    <w:pPr>
      <w:numPr>
        <w:numId w:val="27"/>
      </w:numPr>
      <w:jc w:val="left"/>
    </w:pPr>
    <w:rPr>
      <w:b/>
    </w:rPr>
  </w:style>
  <w:style w:type="paragraph" w:customStyle="1" w:styleId="JuCourt">
    <w:name w:val="Ju_Court"/>
    <w:basedOn w:val="Normal"/>
    <w:next w:val="Normal"/>
    <w:uiPriority w:val="16"/>
    <w:qFormat/>
    <w:rsid w:val="00E32667"/>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E32667"/>
    <w:pPr>
      <w:tabs>
        <w:tab w:val="center" w:pos="6407"/>
      </w:tabs>
      <w:spacing w:before="720"/>
      <w:jc w:val="right"/>
    </w:pPr>
  </w:style>
  <w:style w:type="paragraph" w:customStyle="1" w:styleId="ECHRTitleCentre2">
    <w:name w:val="ECHR_Title_Centre_2"/>
    <w:aliases w:val="Dec_H_Case"/>
    <w:basedOn w:val="Normal"/>
    <w:next w:val="ECHRPara"/>
    <w:uiPriority w:val="8"/>
    <w:qFormat/>
    <w:rsid w:val="00E32667"/>
    <w:pPr>
      <w:spacing w:after="240"/>
      <w:jc w:val="center"/>
      <w:outlineLvl w:val="0"/>
    </w:pPr>
    <w:rPr>
      <w:rFonts w:asciiTheme="majorHAnsi" w:hAnsiTheme="majorHAnsi"/>
    </w:rPr>
  </w:style>
  <w:style w:type="character" w:customStyle="1" w:styleId="JUNAMES">
    <w:name w:val="JU_NAMES"/>
    <w:uiPriority w:val="17"/>
    <w:qFormat/>
    <w:rsid w:val="00E32667"/>
    <w:rPr>
      <w:caps w:val="0"/>
      <w:smallCaps/>
    </w:rPr>
  </w:style>
  <w:style w:type="paragraph" w:styleId="Title">
    <w:name w:val="Title"/>
    <w:basedOn w:val="Normal"/>
    <w:next w:val="Normal"/>
    <w:link w:val="TitleChar"/>
    <w:uiPriority w:val="99"/>
    <w:semiHidden/>
    <w:qFormat/>
    <w:rsid w:val="00E32667"/>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E32667"/>
    <w:rPr>
      <w:rFonts w:asciiTheme="majorHAnsi" w:eastAsiaTheme="majorEastAsia" w:hAnsiTheme="majorHAnsi" w:cstheme="majorBidi"/>
      <w:spacing w:val="5"/>
      <w:sz w:val="52"/>
      <w:szCs w:val="52"/>
      <w:lang w:bidi="en-US"/>
    </w:rPr>
  </w:style>
  <w:style w:type="paragraph" w:customStyle="1" w:styleId="JuParaSub">
    <w:name w:val="Ju_Para_Sub"/>
    <w:basedOn w:val="ECHRPara"/>
    <w:uiPriority w:val="13"/>
    <w:qFormat/>
    <w:rsid w:val="00E32667"/>
    <w:pPr>
      <w:ind w:left="284"/>
    </w:pPr>
  </w:style>
  <w:style w:type="paragraph" w:customStyle="1" w:styleId="ECHRHeading3">
    <w:name w:val="ECHR_Heading_3"/>
    <w:aliases w:val="Ju_H_1."/>
    <w:basedOn w:val="Heading3"/>
    <w:next w:val="ECHRPara"/>
    <w:uiPriority w:val="21"/>
    <w:qFormat/>
    <w:rsid w:val="00E32667"/>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E32667"/>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E32667"/>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E32667"/>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E32667"/>
    <w:pPr>
      <w:keepNext/>
      <w:keepLines/>
      <w:spacing w:before="240" w:after="120"/>
      <w:ind w:left="1236"/>
    </w:pPr>
    <w:rPr>
      <w:sz w:val="20"/>
      <w:lang w:val="en-GB"/>
    </w:rPr>
  </w:style>
  <w:style w:type="paragraph" w:customStyle="1" w:styleId="JuQuotSub">
    <w:name w:val="Ju_Quot_Sub"/>
    <w:basedOn w:val="ECHRParaQuote"/>
    <w:uiPriority w:val="15"/>
    <w:qFormat/>
    <w:rsid w:val="00E32667"/>
    <w:pPr>
      <w:ind w:left="567"/>
    </w:pPr>
  </w:style>
  <w:style w:type="paragraph" w:customStyle="1" w:styleId="JuTitle">
    <w:name w:val="Ju_Title"/>
    <w:basedOn w:val="Normal"/>
    <w:next w:val="ECHRPara"/>
    <w:uiPriority w:val="3"/>
    <w:semiHidden/>
    <w:qFormat/>
    <w:rsid w:val="00E32667"/>
    <w:pPr>
      <w:spacing w:before="720" w:after="240"/>
      <w:jc w:val="center"/>
      <w:outlineLvl w:val="0"/>
    </w:pPr>
    <w:rPr>
      <w:rFonts w:asciiTheme="majorHAnsi" w:hAnsiTheme="majorHAnsi"/>
      <w:b/>
      <w:caps/>
    </w:rPr>
  </w:style>
  <w:style w:type="paragraph" w:styleId="Header">
    <w:name w:val="header"/>
    <w:basedOn w:val="Normal"/>
    <w:link w:val="HeaderChar"/>
    <w:uiPriority w:val="57"/>
    <w:semiHidden/>
    <w:rsid w:val="00E32667"/>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E32667"/>
    <w:rPr>
      <w:sz w:val="24"/>
      <w:lang w:val="en-GB"/>
    </w:rPr>
  </w:style>
  <w:style w:type="character" w:customStyle="1" w:styleId="Heading1Char">
    <w:name w:val="Heading 1 Char"/>
    <w:basedOn w:val="DefaultParagraphFont"/>
    <w:link w:val="Heading1"/>
    <w:uiPriority w:val="99"/>
    <w:semiHidden/>
    <w:rsid w:val="00E32667"/>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E32667"/>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E32667"/>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E32667"/>
    <w:rPr>
      <w:rFonts w:asciiTheme="majorHAnsi" w:eastAsiaTheme="majorEastAsia" w:hAnsiTheme="majorHAnsi" w:cstheme="majorBidi"/>
      <w:b/>
      <w:bCs/>
      <w:color w:val="4D4D4D"/>
      <w:sz w:val="26"/>
      <w:szCs w:val="26"/>
      <w:lang w:val="en-GB"/>
    </w:rPr>
  </w:style>
  <w:style w:type="paragraph" w:customStyle="1" w:styleId="OpiH1">
    <w:name w:val="Opi_H_1"/>
    <w:basedOn w:val="ECHRHeading2"/>
    <w:uiPriority w:val="42"/>
    <w:qFormat/>
    <w:rsid w:val="00E32667"/>
    <w:pPr>
      <w:ind w:left="635" w:hanging="357"/>
      <w:outlineLvl w:val="2"/>
    </w:pPr>
  </w:style>
  <w:style w:type="paragraph" w:customStyle="1" w:styleId="OpiHa">
    <w:name w:val="Opi_H_a"/>
    <w:basedOn w:val="ECHRHeading3"/>
    <w:uiPriority w:val="43"/>
    <w:qFormat/>
    <w:rsid w:val="00E32667"/>
    <w:pPr>
      <w:ind w:left="833" w:hanging="357"/>
      <w:outlineLvl w:val="3"/>
    </w:pPr>
    <w:rPr>
      <w:b/>
      <w:i w:val="0"/>
      <w:sz w:val="20"/>
    </w:rPr>
  </w:style>
  <w:style w:type="character" w:customStyle="1" w:styleId="Heading3Char">
    <w:name w:val="Heading 3 Char"/>
    <w:basedOn w:val="DefaultParagraphFont"/>
    <w:link w:val="Heading3"/>
    <w:uiPriority w:val="99"/>
    <w:semiHidden/>
    <w:rsid w:val="00E32667"/>
    <w:rPr>
      <w:rFonts w:asciiTheme="majorHAnsi" w:eastAsiaTheme="majorEastAsia" w:hAnsiTheme="majorHAnsi" w:cstheme="majorBidi"/>
      <w:b/>
      <w:bCs/>
      <w:color w:val="5F5F5F"/>
      <w:sz w:val="24"/>
      <w:lang w:val="en-GB"/>
    </w:rPr>
  </w:style>
  <w:style w:type="paragraph" w:customStyle="1" w:styleId="ECHRDecisionBody">
    <w:name w:val="ECHR_Decision_Body"/>
    <w:aliases w:val="Ju_Judges"/>
    <w:basedOn w:val="Normal"/>
    <w:uiPriority w:val="11"/>
    <w:qFormat/>
    <w:rsid w:val="00E32667"/>
    <w:pPr>
      <w:tabs>
        <w:tab w:val="left" w:pos="567"/>
        <w:tab w:val="left" w:pos="1134"/>
      </w:tabs>
      <w:jc w:val="left"/>
    </w:pPr>
  </w:style>
  <w:style w:type="paragraph" w:customStyle="1" w:styleId="ECHRPara">
    <w:name w:val="ECHR_Para"/>
    <w:aliases w:val="Ju_Para"/>
    <w:basedOn w:val="Normal"/>
    <w:link w:val="ECHRParaChar"/>
    <w:uiPriority w:val="12"/>
    <w:qFormat/>
    <w:rsid w:val="00E32667"/>
    <w:pPr>
      <w:ind w:firstLine="284"/>
    </w:pPr>
  </w:style>
  <w:style w:type="character" w:customStyle="1" w:styleId="Heading4Char">
    <w:name w:val="Heading 4 Char"/>
    <w:basedOn w:val="DefaultParagraphFont"/>
    <w:link w:val="Heading4"/>
    <w:uiPriority w:val="99"/>
    <w:semiHidden/>
    <w:rsid w:val="00E32667"/>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E32667"/>
    <w:pPr>
      <w:ind w:left="340" w:hanging="340"/>
    </w:pPr>
  </w:style>
  <w:style w:type="character" w:customStyle="1" w:styleId="Heading5Char">
    <w:name w:val="Heading 5 Char"/>
    <w:basedOn w:val="DefaultParagraphFont"/>
    <w:link w:val="Heading5"/>
    <w:uiPriority w:val="99"/>
    <w:semiHidden/>
    <w:rsid w:val="00E32667"/>
    <w:rPr>
      <w:rFonts w:asciiTheme="majorHAnsi" w:eastAsiaTheme="majorEastAsia" w:hAnsiTheme="majorHAnsi" w:cstheme="majorBidi"/>
      <w:b/>
      <w:bCs/>
      <w:color w:val="808080"/>
    </w:rPr>
  </w:style>
  <w:style w:type="paragraph" w:customStyle="1" w:styleId="JuSigned">
    <w:name w:val="Ju_Signed"/>
    <w:basedOn w:val="Normal"/>
    <w:next w:val="JuParaLast"/>
    <w:uiPriority w:val="32"/>
    <w:qFormat/>
    <w:rsid w:val="00E32667"/>
    <w:pPr>
      <w:tabs>
        <w:tab w:val="center" w:pos="851"/>
        <w:tab w:val="center" w:pos="6407"/>
      </w:tabs>
      <w:spacing w:before="720"/>
      <w:jc w:val="left"/>
    </w:pPr>
  </w:style>
  <w:style w:type="paragraph" w:styleId="Revision">
    <w:name w:val="Revision"/>
    <w:hidden/>
    <w:uiPriority w:val="99"/>
    <w:semiHidden/>
    <w:rsid w:val="000055E6"/>
    <w:rPr>
      <w:rFonts w:eastAsiaTheme="minorEastAsia"/>
      <w:sz w:val="24"/>
    </w:rPr>
  </w:style>
  <w:style w:type="character" w:styleId="SubtleEmphasis">
    <w:name w:val="Subtle Emphasis"/>
    <w:uiPriority w:val="99"/>
    <w:semiHidden/>
    <w:qFormat/>
    <w:rsid w:val="00E32667"/>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E32667"/>
    <w:pPr>
      <w:keepNext/>
      <w:keepLines/>
      <w:spacing w:before="720" w:after="240"/>
      <w:outlineLvl w:val="0"/>
    </w:pPr>
    <w:rPr>
      <w:rFonts w:asciiTheme="majorHAnsi" w:hAnsiTheme="majorHAnsi"/>
      <w:sz w:val="28"/>
    </w:rPr>
  </w:style>
  <w:style w:type="character" w:styleId="Emphasis">
    <w:name w:val="Emphasis"/>
    <w:uiPriority w:val="99"/>
    <w:semiHidden/>
    <w:qFormat/>
    <w:rsid w:val="00E32667"/>
    <w:rPr>
      <w:b/>
      <w:bCs/>
      <w:i/>
      <w:iCs/>
      <w:spacing w:val="10"/>
      <w:bdr w:val="none" w:sz="0" w:space="0" w:color="auto"/>
      <w:shd w:val="clear" w:color="auto" w:fill="auto"/>
    </w:rPr>
  </w:style>
  <w:style w:type="paragraph" w:styleId="Footer">
    <w:name w:val="footer"/>
    <w:basedOn w:val="Normal"/>
    <w:link w:val="FooterChar"/>
    <w:uiPriority w:val="57"/>
    <w:semiHidden/>
    <w:rsid w:val="00E32667"/>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E32667"/>
    <w:rPr>
      <w:sz w:val="24"/>
      <w:lang w:val="en-GB"/>
    </w:rPr>
  </w:style>
  <w:style w:type="character" w:styleId="FootnoteReference">
    <w:name w:val="footnote reference"/>
    <w:basedOn w:val="DefaultParagraphFont"/>
    <w:uiPriority w:val="99"/>
    <w:semiHidden/>
    <w:rsid w:val="00E32667"/>
    <w:rPr>
      <w:vertAlign w:val="superscript"/>
    </w:rPr>
  </w:style>
  <w:style w:type="paragraph" w:styleId="FootnoteText">
    <w:name w:val="footnote text"/>
    <w:basedOn w:val="Normal"/>
    <w:link w:val="FootnoteTextChar"/>
    <w:uiPriority w:val="99"/>
    <w:semiHidden/>
    <w:rsid w:val="00E32667"/>
    <w:rPr>
      <w:sz w:val="20"/>
      <w:szCs w:val="20"/>
    </w:rPr>
  </w:style>
  <w:style w:type="character" w:customStyle="1" w:styleId="FootnoteTextChar">
    <w:name w:val="Footnote Text Char"/>
    <w:basedOn w:val="DefaultParagraphFont"/>
    <w:link w:val="FootnoteText"/>
    <w:uiPriority w:val="99"/>
    <w:semiHidden/>
    <w:rsid w:val="00E32667"/>
    <w:rPr>
      <w:rFonts w:eastAsiaTheme="minorEastAsia"/>
      <w:sz w:val="20"/>
      <w:szCs w:val="20"/>
      <w:lang w:val="en-GB"/>
    </w:rPr>
  </w:style>
  <w:style w:type="character" w:customStyle="1" w:styleId="Heading6Char">
    <w:name w:val="Heading 6 Char"/>
    <w:basedOn w:val="DefaultParagraphFont"/>
    <w:link w:val="Heading6"/>
    <w:uiPriority w:val="99"/>
    <w:semiHidden/>
    <w:rsid w:val="00E32667"/>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E32667"/>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E32667"/>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E32667"/>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E32667"/>
    <w:rPr>
      <w:color w:val="0072BC" w:themeColor="hyperlink"/>
      <w:u w:val="single"/>
    </w:rPr>
  </w:style>
  <w:style w:type="character" w:styleId="IntenseEmphasis">
    <w:name w:val="Intense Emphasis"/>
    <w:uiPriority w:val="99"/>
    <w:semiHidden/>
    <w:qFormat/>
    <w:rsid w:val="00E32667"/>
    <w:rPr>
      <w:b/>
      <w:bCs/>
    </w:rPr>
  </w:style>
  <w:style w:type="paragraph" w:styleId="IntenseQuote">
    <w:name w:val="Intense Quote"/>
    <w:basedOn w:val="Normal"/>
    <w:next w:val="Normal"/>
    <w:link w:val="IntenseQuoteChar"/>
    <w:uiPriority w:val="99"/>
    <w:semiHidden/>
    <w:qFormat/>
    <w:rsid w:val="00E32667"/>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E32667"/>
    <w:rPr>
      <w:rFonts w:eastAsiaTheme="minorEastAsia"/>
      <w:b/>
      <w:bCs/>
      <w:i/>
      <w:iCs/>
      <w:lang w:bidi="en-US"/>
    </w:rPr>
  </w:style>
  <w:style w:type="character" w:styleId="IntenseReference">
    <w:name w:val="Intense Reference"/>
    <w:uiPriority w:val="99"/>
    <w:semiHidden/>
    <w:qFormat/>
    <w:rsid w:val="00E32667"/>
    <w:rPr>
      <w:smallCaps/>
      <w:spacing w:val="5"/>
      <w:u w:val="single"/>
    </w:rPr>
  </w:style>
  <w:style w:type="paragraph" w:styleId="ListParagraph">
    <w:name w:val="List Paragraph"/>
    <w:basedOn w:val="Normal"/>
    <w:uiPriority w:val="99"/>
    <w:semiHidden/>
    <w:qFormat/>
    <w:rsid w:val="00E32667"/>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E32667"/>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E32667"/>
    <w:rPr>
      <w:rFonts w:eastAsiaTheme="minorEastAsia"/>
      <w:i/>
      <w:iCs/>
      <w:lang w:bidi="en-US"/>
    </w:rPr>
  </w:style>
  <w:style w:type="character" w:styleId="SubtleReference">
    <w:name w:val="Subtle Reference"/>
    <w:uiPriority w:val="99"/>
    <w:semiHidden/>
    <w:qFormat/>
    <w:rsid w:val="00E32667"/>
    <w:rPr>
      <w:smallCaps/>
    </w:rPr>
  </w:style>
  <w:style w:type="table" w:styleId="TableGrid">
    <w:name w:val="Table Grid"/>
    <w:basedOn w:val="TableNormal"/>
    <w:uiPriority w:val="59"/>
    <w:semiHidden/>
    <w:rsid w:val="00E3266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E32667"/>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E32667"/>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E32667"/>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E32667"/>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E32667"/>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E32667"/>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E32667"/>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E32667"/>
    <w:pPr>
      <w:spacing w:before="120" w:after="120"/>
      <w:ind w:left="425" w:firstLine="142"/>
    </w:pPr>
    <w:rPr>
      <w:sz w:val="20"/>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E32667"/>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ParaLast">
    <w:name w:val="Ju_Para_Last"/>
    <w:basedOn w:val="Normal"/>
    <w:next w:val="ECHRPara"/>
    <w:uiPriority w:val="30"/>
    <w:qFormat/>
    <w:rsid w:val="00E32667"/>
    <w:pPr>
      <w:keepNext/>
      <w:keepLines/>
      <w:spacing w:before="240"/>
      <w:ind w:firstLine="284"/>
    </w:pPr>
  </w:style>
  <w:style w:type="paragraph" w:customStyle="1" w:styleId="JuCase">
    <w:name w:val="Ju_Case"/>
    <w:basedOn w:val="Normal"/>
    <w:next w:val="ECHRPara"/>
    <w:uiPriority w:val="10"/>
    <w:rsid w:val="00E32667"/>
    <w:pPr>
      <w:ind w:firstLine="284"/>
    </w:pPr>
    <w:rPr>
      <w:b/>
    </w:rPr>
  </w:style>
  <w:style w:type="character" w:styleId="PageNumber">
    <w:name w:val="page number"/>
    <w:uiPriority w:val="99"/>
    <w:semiHidden/>
    <w:rsid w:val="00DE61E0"/>
    <w:rPr>
      <w:sz w:val="18"/>
    </w:rPr>
  </w:style>
  <w:style w:type="paragraph" w:customStyle="1" w:styleId="JuLista">
    <w:name w:val="Ju_List_a"/>
    <w:basedOn w:val="JuList"/>
    <w:uiPriority w:val="28"/>
    <w:qFormat/>
    <w:rsid w:val="00E32667"/>
    <w:pPr>
      <w:ind w:left="346" w:firstLine="0"/>
    </w:pPr>
  </w:style>
  <w:style w:type="paragraph" w:customStyle="1" w:styleId="JuListi">
    <w:name w:val="Ju_List_i"/>
    <w:basedOn w:val="Normal"/>
    <w:next w:val="JuLista"/>
    <w:uiPriority w:val="28"/>
    <w:qFormat/>
    <w:rsid w:val="00E32667"/>
    <w:pPr>
      <w:ind w:left="794"/>
    </w:pPr>
  </w:style>
  <w:style w:type="character" w:styleId="CommentReference">
    <w:name w:val="annotation reference"/>
    <w:uiPriority w:val="99"/>
    <w:semiHidden/>
    <w:rsid w:val="00DE61E0"/>
    <w:rPr>
      <w:sz w:val="16"/>
    </w:rPr>
  </w:style>
  <w:style w:type="paragraph" w:styleId="CommentText">
    <w:name w:val="annotation text"/>
    <w:basedOn w:val="Normal"/>
    <w:link w:val="CommentTextChar"/>
    <w:semiHidden/>
    <w:rsid w:val="00DE61E0"/>
    <w:rPr>
      <w:sz w:val="20"/>
    </w:rPr>
  </w:style>
  <w:style w:type="character" w:customStyle="1" w:styleId="CommentTextChar">
    <w:name w:val="Comment Text Char"/>
    <w:basedOn w:val="DefaultParagraphFont"/>
    <w:link w:val="CommentText"/>
    <w:semiHidden/>
    <w:rsid w:val="00DE61E0"/>
    <w:rPr>
      <w:rFonts w:eastAsiaTheme="minorEastAsia"/>
      <w:sz w:val="20"/>
    </w:rPr>
  </w:style>
  <w:style w:type="paragraph" w:styleId="CommentSubject">
    <w:name w:val="annotation subject"/>
    <w:basedOn w:val="CommentText"/>
    <w:next w:val="CommentText"/>
    <w:link w:val="CommentSubjectChar"/>
    <w:uiPriority w:val="99"/>
    <w:semiHidden/>
    <w:rsid w:val="00DE61E0"/>
    <w:rPr>
      <w:b/>
      <w:bCs/>
    </w:rPr>
  </w:style>
  <w:style w:type="character" w:customStyle="1" w:styleId="CommentSubjectChar">
    <w:name w:val="Comment Subject Char"/>
    <w:basedOn w:val="CommentTextChar"/>
    <w:link w:val="CommentSubject"/>
    <w:uiPriority w:val="99"/>
    <w:semiHidden/>
    <w:rsid w:val="00DE61E0"/>
    <w:rPr>
      <w:rFonts w:eastAsiaTheme="minorEastAsia"/>
      <w:b/>
      <w:bCs/>
      <w:sz w:val="20"/>
    </w:rPr>
  </w:style>
  <w:style w:type="character" w:styleId="EndnoteReference">
    <w:name w:val="endnote reference"/>
    <w:basedOn w:val="DefaultParagraphFont"/>
    <w:uiPriority w:val="99"/>
    <w:semiHidden/>
    <w:rsid w:val="00E32667"/>
    <w:rPr>
      <w:vertAlign w:val="superscript"/>
    </w:rPr>
  </w:style>
  <w:style w:type="paragraph" w:styleId="EndnoteText">
    <w:name w:val="endnote text"/>
    <w:basedOn w:val="Normal"/>
    <w:link w:val="EndnoteTextChar"/>
    <w:uiPriority w:val="99"/>
    <w:semiHidden/>
    <w:rsid w:val="00E32667"/>
    <w:rPr>
      <w:sz w:val="20"/>
      <w:szCs w:val="20"/>
    </w:rPr>
  </w:style>
  <w:style w:type="character" w:customStyle="1" w:styleId="EndnoteTextChar">
    <w:name w:val="Endnote Text Char"/>
    <w:basedOn w:val="DefaultParagraphFont"/>
    <w:link w:val="EndnoteText"/>
    <w:uiPriority w:val="99"/>
    <w:semiHidden/>
    <w:rsid w:val="00E32667"/>
    <w:rPr>
      <w:rFonts w:eastAsiaTheme="minorEastAsia"/>
      <w:sz w:val="20"/>
      <w:szCs w:val="20"/>
      <w:lang w:val="en-GB"/>
    </w:rPr>
  </w:style>
  <w:style w:type="character" w:styleId="FollowedHyperlink">
    <w:name w:val="FollowedHyperlink"/>
    <w:uiPriority w:val="99"/>
    <w:semiHidden/>
    <w:rsid w:val="00DE61E0"/>
    <w:rPr>
      <w:color w:val="800080"/>
      <w:u w:val="single"/>
    </w:rPr>
  </w:style>
  <w:style w:type="paragraph" w:styleId="DocumentMap">
    <w:name w:val="Document Map"/>
    <w:basedOn w:val="Normal"/>
    <w:link w:val="DocumentMapChar"/>
    <w:uiPriority w:val="99"/>
    <w:semiHidden/>
    <w:rsid w:val="00DE61E0"/>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DE61E0"/>
    <w:rPr>
      <w:rFonts w:ascii="Tahoma" w:eastAsiaTheme="minorEastAsia" w:hAnsi="Tahoma" w:cs="Tahoma"/>
      <w:sz w:val="20"/>
      <w:shd w:val="clear" w:color="auto" w:fill="000080"/>
    </w:rPr>
  </w:style>
  <w:style w:type="paragraph" w:styleId="ListBullet">
    <w:name w:val="List Bullet"/>
    <w:basedOn w:val="Normal"/>
    <w:uiPriority w:val="99"/>
    <w:semiHidden/>
    <w:rsid w:val="00DE61E0"/>
    <w:pPr>
      <w:numPr>
        <w:numId w:val="1"/>
      </w:numPr>
    </w:pPr>
  </w:style>
  <w:style w:type="character" w:customStyle="1" w:styleId="JuITMark">
    <w:name w:val="Ju_ITMark"/>
    <w:basedOn w:val="DefaultParagraphFont"/>
    <w:uiPriority w:val="38"/>
    <w:qFormat/>
    <w:rsid w:val="00E32667"/>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E32667"/>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E32667"/>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DE61E0"/>
    <w:pPr>
      <w:numPr>
        <w:numId w:val="2"/>
      </w:numPr>
    </w:pPr>
  </w:style>
  <w:style w:type="numbering" w:styleId="1ai">
    <w:name w:val="Outline List 1"/>
    <w:basedOn w:val="NoList"/>
    <w:uiPriority w:val="99"/>
    <w:semiHidden/>
    <w:rsid w:val="00DE61E0"/>
    <w:pPr>
      <w:numPr>
        <w:numId w:val="3"/>
      </w:numPr>
    </w:pPr>
  </w:style>
  <w:style w:type="numbering" w:styleId="ArticleSection">
    <w:name w:val="Outline List 3"/>
    <w:basedOn w:val="NoList"/>
    <w:uiPriority w:val="99"/>
    <w:semiHidden/>
    <w:rsid w:val="00DE61E0"/>
    <w:pPr>
      <w:numPr>
        <w:numId w:val="4"/>
      </w:numPr>
    </w:pPr>
  </w:style>
  <w:style w:type="paragraph" w:styleId="Bibliography">
    <w:name w:val="Bibliography"/>
    <w:basedOn w:val="Normal"/>
    <w:next w:val="Normal"/>
    <w:uiPriority w:val="99"/>
    <w:semiHidden/>
    <w:unhideWhenUsed/>
    <w:rsid w:val="00DE61E0"/>
  </w:style>
  <w:style w:type="paragraph" w:styleId="BlockText">
    <w:name w:val="Block Text"/>
    <w:basedOn w:val="Normal"/>
    <w:uiPriority w:val="99"/>
    <w:semiHidden/>
    <w:rsid w:val="00DE61E0"/>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DE61E0"/>
    <w:pPr>
      <w:spacing w:after="120"/>
    </w:pPr>
  </w:style>
  <w:style w:type="character" w:customStyle="1" w:styleId="BodyTextChar">
    <w:name w:val="Body Text Char"/>
    <w:basedOn w:val="DefaultParagraphFont"/>
    <w:link w:val="BodyText"/>
    <w:uiPriority w:val="99"/>
    <w:semiHidden/>
    <w:rsid w:val="00DE61E0"/>
    <w:rPr>
      <w:rFonts w:eastAsiaTheme="minorEastAsia"/>
      <w:sz w:val="24"/>
    </w:rPr>
  </w:style>
  <w:style w:type="paragraph" w:styleId="BodyText2">
    <w:name w:val="Body Text 2"/>
    <w:basedOn w:val="Normal"/>
    <w:link w:val="BodyText2Char"/>
    <w:uiPriority w:val="99"/>
    <w:semiHidden/>
    <w:rsid w:val="00DE61E0"/>
    <w:pPr>
      <w:spacing w:after="120" w:line="480" w:lineRule="auto"/>
    </w:pPr>
  </w:style>
  <w:style w:type="character" w:customStyle="1" w:styleId="BodyText2Char">
    <w:name w:val="Body Text 2 Char"/>
    <w:basedOn w:val="DefaultParagraphFont"/>
    <w:link w:val="BodyText2"/>
    <w:uiPriority w:val="99"/>
    <w:semiHidden/>
    <w:rsid w:val="00DE61E0"/>
    <w:rPr>
      <w:rFonts w:eastAsiaTheme="minorEastAsia"/>
      <w:sz w:val="24"/>
    </w:rPr>
  </w:style>
  <w:style w:type="paragraph" w:styleId="BodyText3">
    <w:name w:val="Body Text 3"/>
    <w:basedOn w:val="Normal"/>
    <w:link w:val="BodyText3Char"/>
    <w:uiPriority w:val="99"/>
    <w:semiHidden/>
    <w:rsid w:val="00DE61E0"/>
    <w:pPr>
      <w:spacing w:after="120"/>
    </w:pPr>
    <w:rPr>
      <w:sz w:val="16"/>
      <w:szCs w:val="16"/>
    </w:rPr>
  </w:style>
  <w:style w:type="character" w:customStyle="1" w:styleId="BodyText3Char">
    <w:name w:val="Body Text 3 Char"/>
    <w:basedOn w:val="DefaultParagraphFont"/>
    <w:link w:val="BodyText3"/>
    <w:uiPriority w:val="99"/>
    <w:semiHidden/>
    <w:rsid w:val="00DE61E0"/>
    <w:rPr>
      <w:rFonts w:eastAsiaTheme="minorEastAsia"/>
      <w:sz w:val="16"/>
      <w:szCs w:val="16"/>
    </w:rPr>
  </w:style>
  <w:style w:type="paragraph" w:styleId="BodyTextFirstIndent">
    <w:name w:val="Body Text First Indent"/>
    <w:basedOn w:val="BodyText"/>
    <w:link w:val="BodyTextFirstIndentChar"/>
    <w:uiPriority w:val="99"/>
    <w:semiHidden/>
    <w:rsid w:val="00DE61E0"/>
    <w:pPr>
      <w:spacing w:after="0"/>
      <w:ind w:firstLine="360"/>
    </w:pPr>
  </w:style>
  <w:style w:type="character" w:customStyle="1" w:styleId="BodyTextFirstIndentChar">
    <w:name w:val="Body Text First Indent Char"/>
    <w:basedOn w:val="BodyTextChar"/>
    <w:link w:val="BodyTextFirstIndent"/>
    <w:uiPriority w:val="99"/>
    <w:semiHidden/>
    <w:rsid w:val="00DE61E0"/>
    <w:rPr>
      <w:rFonts w:eastAsiaTheme="minorEastAsia"/>
      <w:sz w:val="24"/>
    </w:rPr>
  </w:style>
  <w:style w:type="paragraph" w:styleId="BodyTextIndent">
    <w:name w:val="Body Text Indent"/>
    <w:basedOn w:val="Normal"/>
    <w:link w:val="BodyTextIndentChar"/>
    <w:uiPriority w:val="99"/>
    <w:semiHidden/>
    <w:rsid w:val="00DE61E0"/>
    <w:pPr>
      <w:spacing w:after="120"/>
      <w:ind w:left="283"/>
    </w:pPr>
  </w:style>
  <w:style w:type="character" w:customStyle="1" w:styleId="BodyTextIndentChar">
    <w:name w:val="Body Text Indent Char"/>
    <w:basedOn w:val="DefaultParagraphFont"/>
    <w:link w:val="BodyTextIndent"/>
    <w:uiPriority w:val="99"/>
    <w:semiHidden/>
    <w:rsid w:val="00DE61E0"/>
    <w:rPr>
      <w:rFonts w:eastAsiaTheme="minorEastAsia"/>
      <w:sz w:val="24"/>
    </w:rPr>
  </w:style>
  <w:style w:type="paragraph" w:styleId="BodyTextFirstIndent2">
    <w:name w:val="Body Text First Indent 2"/>
    <w:basedOn w:val="BodyTextIndent"/>
    <w:link w:val="BodyTextFirstIndent2Char"/>
    <w:uiPriority w:val="99"/>
    <w:semiHidden/>
    <w:rsid w:val="00DE61E0"/>
    <w:pPr>
      <w:spacing w:after="0"/>
      <w:ind w:left="360" w:firstLine="360"/>
    </w:pPr>
  </w:style>
  <w:style w:type="character" w:customStyle="1" w:styleId="BodyTextFirstIndent2Char">
    <w:name w:val="Body Text First Indent 2 Char"/>
    <w:basedOn w:val="BodyTextIndentChar"/>
    <w:link w:val="BodyTextFirstIndent2"/>
    <w:uiPriority w:val="99"/>
    <w:semiHidden/>
    <w:rsid w:val="00DE61E0"/>
    <w:rPr>
      <w:rFonts w:eastAsiaTheme="minorEastAsia"/>
      <w:sz w:val="24"/>
    </w:rPr>
  </w:style>
  <w:style w:type="paragraph" w:styleId="BodyTextIndent2">
    <w:name w:val="Body Text Indent 2"/>
    <w:basedOn w:val="Normal"/>
    <w:link w:val="BodyTextIndent2Char"/>
    <w:uiPriority w:val="99"/>
    <w:semiHidden/>
    <w:rsid w:val="00DE61E0"/>
    <w:pPr>
      <w:spacing w:after="120" w:line="480" w:lineRule="auto"/>
      <w:ind w:left="283"/>
    </w:pPr>
  </w:style>
  <w:style w:type="character" w:customStyle="1" w:styleId="BodyTextIndent2Char">
    <w:name w:val="Body Text Indent 2 Char"/>
    <w:basedOn w:val="DefaultParagraphFont"/>
    <w:link w:val="BodyTextIndent2"/>
    <w:uiPriority w:val="99"/>
    <w:semiHidden/>
    <w:rsid w:val="00DE61E0"/>
    <w:rPr>
      <w:rFonts w:eastAsiaTheme="minorEastAsia"/>
      <w:sz w:val="24"/>
    </w:rPr>
  </w:style>
  <w:style w:type="paragraph" w:styleId="BodyTextIndent3">
    <w:name w:val="Body Text Indent 3"/>
    <w:basedOn w:val="Normal"/>
    <w:link w:val="BodyTextIndent3Char"/>
    <w:uiPriority w:val="99"/>
    <w:semiHidden/>
    <w:rsid w:val="00DE61E0"/>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E61E0"/>
    <w:rPr>
      <w:rFonts w:eastAsiaTheme="minorEastAsia"/>
      <w:sz w:val="16"/>
      <w:szCs w:val="16"/>
    </w:rPr>
  </w:style>
  <w:style w:type="paragraph" w:styleId="Caption">
    <w:name w:val="caption"/>
    <w:basedOn w:val="Normal"/>
    <w:next w:val="Normal"/>
    <w:uiPriority w:val="99"/>
    <w:semiHidden/>
    <w:qFormat/>
    <w:rsid w:val="00DE61E0"/>
    <w:pPr>
      <w:spacing w:after="200"/>
    </w:pPr>
    <w:rPr>
      <w:b/>
      <w:bCs/>
      <w:color w:val="0072BC" w:themeColor="accent1"/>
      <w:sz w:val="18"/>
      <w:szCs w:val="18"/>
    </w:rPr>
  </w:style>
  <w:style w:type="paragraph" w:styleId="Closing">
    <w:name w:val="Closing"/>
    <w:basedOn w:val="Normal"/>
    <w:link w:val="ClosingChar"/>
    <w:uiPriority w:val="99"/>
    <w:semiHidden/>
    <w:rsid w:val="00DE61E0"/>
    <w:pPr>
      <w:ind w:left="4252"/>
    </w:pPr>
  </w:style>
  <w:style w:type="character" w:customStyle="1" w:styleId="ClosingChar">
    <w:name w:val="Closing Char"/>
    <w:basedOn w:val="DefaultParagraphFont"/>
    <w:link w:val="Closing"/>
    <w:uiPriority w:val="99"/>
    <w:semiHidden/>
    <w:rsid w:val="00DE61E0"/>
    <w:rPr>
      <w:rFonts w:eastAsiaTheme="minorEastAsia"/>
      <w:sz w:val="24"/>
    </w:rPr>
  </w:style>
  <w:style w:type="table" w:styleId="ColorfulGrid">
    <w:name w:val="Colorful Grid"/>
    <w:basedOn w:val="TableNormal"/>
    <w:uiPriority w:val="99"/>
    <w:semiHidden/>
    <w:rsid w:val="00DE61E0"/>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DE61E0"/>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DE61E0"/>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DE61E0"/>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DE61E0"/>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DE61E0"/>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DE61E0"/>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DE61E0"/>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DE61E0"/>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DE61E0"/>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DE61E0"/>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DE61E0"/>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DE61E0"/>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DE61E0"/>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DE61E0"/>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DE61E0"/>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DE61E0"/>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DE61E0"/>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DE61E0"/>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DE61E0"/>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DE61E0"/>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DE61E0"/>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DE61E0"/>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DE61E0"/>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DE61E0"/>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DE61E0"/>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DE61E0"/>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DE61E0"/>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DE61E0"/>
  </w:style>
  <w:style w:type="character" w:customStyle="1" w:styleId="DateChar">
    <w:name w:val="Date Char"/>
    <w:basedOn w:val="DefaultParagraphFont"/>
    <w:link w:val="Date"/>
    <w:uiPriority w:val="99"/>
    <w:semiHidden/>
    <w:rsid w:val="00DE61E0"/>
    <w:rPr>
      <w:rFonts w:eastAsiaTheme="minorEastAsia"/>
      <w:sz w:val="24"/>
    </w:rPr>
  </w:style>
  <w:style w:type="paragraph" w:styleId="E-mailSignature">
    <w:name w:val="E-mail Signature"/>
    <w:basedOn w:val="Normal"/>
    <w:link w:val="E-mailSignatureChar"/>
    <w:uiPriority w:val="99"/>
    <w:semiHidden/>
    <w:rsid w:val="00DE61E0"/>
  </w:style>
  <w:style w:type="character" w:customStyle="1" w:styleId="E-mailSignatureChar">
    <w:name w:val="E-mail Signature Char"/>
    <w:basedOn w:val="DefaultParagraphFont"/>
    <w:link w:val="E-mailSignature"/>
    <w:uiPriority w:val="99"/>
    <w:semiHidden/>
    <w:rsid w:val="00DE61E0"/>
    <w:rPr>
      <w:rFonts w:eastAsiaTheme="minorEastAsia"/>
      <w:sz w:val="24"/>
    </w:rPr>
  </w:style>
  <w:style w:type="paragraph" w:styleId="EnvelopeAddress">
    <w:name w:val="envelope address"/>
    <w:basedOn w:val="Normal"/>
    <w:uiPriority w:val="99"/>
    <w:semiHidden/>
    <w:rsid w:val="00DE61E0"/>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DE61E0"/>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DE61E0"/>
  </w:style>
  <w:style w:type="paragraph" w:styleId="HTMLAddress">
    <w:name w:val="HTML Address"/>
    <w:basedOn w:val="Normal"/>
    <w:link w:val="HTMLAddressChar"/>
    <w:uiPriority w:val="99"/>
    <w:semiHidden/>
    <w:rsid w:val="00DE61E0"/>
    <w:rPr>
      <w:i/>
      <w:iCs/>
    </w:rPr>
  </w:style>
  <w:style w:type="character" w:customStyle="1" w:styleId="HTMLAddressChar">
    <w:name w:val="HTML Address Char"/>
    <w:basedOn w:val="DefaultParagraphFont"/>
    <w:link w:val="HTMLAddress"/>
    <w:uiPriority w:val="99"/>
    <w:semiHidden/>
    <w:rsid w:val="00DE61E0"/>
    <w:rPr>
      <w:rFonts w:eastAsiaTheme="minorEastAsia"/>
      <w:i/>
      <w:iCs/>
      <w:sz w:val="24"/>
    </w:rPr>
  </w:style>
  <w:style w:type="character" w:styleId="HTMLCite">
    <w:name w:val="HTML Cite"/>
    <w:basedOn w:val="DefaultParagraphFont"/>
    <w:uiPriority w:val="99"/>
    <w:semiHidden/>
    <w:rsid w:val="00DE61E0"/>
    <w:rPr>
      <w:i/>
      <w:iCs/>
    </w:rPr>
  </w:style>
  <w:style w:type="character" w:styleId="HTMLCode">
    <w:name w:val="HTML Code"/>
    <w:basedOn w:val="DefaultParagraphFont"/>
    <w:uiPriority w:val="99"/>
    <w:semiHidden/>
    <w:rsid w:val="00DE61E0"/>
    <w:rPr>
      <w:rFonts w:ascii="Consolas" w:hAnsi="Consolas" w:cs="Consolas"/>
      <w:sz w:val="20"/>
      <w:szCs w:val="20"/>
    </w:rPr>
  </w:style>
  <w:style w:type="character" w:styleId="HTMLDefinition">
    <w:name w:val="HTML Definition"/>
    <w:basedOn w:val="DefaultParagraphFont"/>
    <w:uiPriority w:val="99"/>
    <w:semiHidden/>
    <w:rsid w:val="00DE61E0"/>
    <w:rPr>
      <w:i/>
      <w:iCs/>
    </w:rPr>
  </w:style>
  <w:style w:type="character" w:styleId="HTMLKeyboard">
    <w:name w:val="HTML Keyboard"/>
    <w:basedOn w:val="DefaultParagraphFont"/>
    <w:uiPriority w:val="99"/>
    <w:semiHidden/>
    <w:rsid w:val="00DE61E0"/>
    <w:rPr>
      <w:rFonts w:ascii="Consolas" w:hAnsi="Consolas" w:cs="Consolas"/>
      <w:sz w:val="20"/>
      <w:szCs w:val="20"/>
    </w:rPr>
  </w:style>
  <w:style w:type="paragraph" w:styleId="HTMLPreformatted">
    <w:name w:val="HTML Preformatted"/>
    <w:basedOn w:val="Normal"/>
    <w:link w:val="HTMLPreformattedChar"/>
    <w:uiPriority w:val="99"/>
    <w:semiHidden/>
    <w:rsid w:val="00DE61E0"/>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DE61E0"/>
    <w:rPr>
      <w:rFonts w:ascii="Consolas" w:eastAsiaTheme="minorEastAsia" w:hAnsi="Consolas" w:cs="Consolas"/>
      <w:sz w:val="20"/>
      <w:szCs w:val="20"/>
    </w:rPr>
  </w:style>
  <w:style w:type="character" w:styleId="HTMLSample">
    <w:name w:val="HTML Sample"/>
    <w:basedOn w:val="DefaultParagraphFont"/>
    <w:uiPriority w:val="99"/>
    <w:semiHidden/>
    <w:rsid w:val="00DE61E0"/>
    <w:rPr>
      <w:rFonts w:ascii="Consolas" w:hAnsi="Consolas" w:cs="Consolas"/>
      <w:sz w:val="24"/>
      <w:szCs w:val="24"/>
    </w:rPr>
  </w:style>
  <w:style w:type="character" w:styleId="HTMLTypewriter">
    <w:name w:val="HTML Typewriter"/>
    <w:basedOn w:val="DefaultParagraphFont"/>
    <w:uiPriority w:val="99"/>
    <w:semiHidden/>
    <w:rsid w:val="00DE61E0"/>
    <w:rPr>
      <w:rFonts w:ascii="Consolas" w:hAnsi="Consolas" w:cs="Consolas"/>
      <w:sz w:val="20"/>
      <w:szCs w:val="20"/>
    </w:rPr>
  </w:style>
  <w:style w:type="character" w:styleId="HTMLVariable">
    <w:name w:val="HTML Variable"/>
    <w:basedOn w:val="DefaultParagraphFont"/>
    <w:uiPriority w:val="99"/>
    <w:semiHidden/>
    <w:rsid w:val="00DE61E0"/>
    <w:rPr>
      <w:i/>
      <w:iCs/>
    </w:rPr>
  </w:style>
  <w:style w:type="paragraph" w:styleId="Index1">
    <w:name w:val="index 1"/>
    <w:basedOn w:val="Normal"/>
    <w:next w:val="Normal"/>
    <w:autoRedefine/>
    <w:uiPriority w:val="99"/>
    <w:semiHidden/>
    <w:rsid w:val="00DE61E0"/>
    <w:pPr>
      <w:ind w:left="240" w:hanging="240"/>
    </w:pPr>
  </w:style>
  <w:style w:type="paragraph" w:styleId="Index2">
    <w:name w:val="index 2"/>
    <w:basedOn w:val="Normal"/>
    <w:next w:val="Normal"/>
    <w:autoRedefine/>
    <w:uiPriority w:val="99"/>
    <w:semiHidden/>
    <w:rsid w:val="00DE61E0"/>
    <w:pPr>
      <w:ind w:left="480" w:hanging="240"/>
    </w:pPr>
  </w:style>
  <w:style w:type="paragraph" w:styleId="Index3">
    <w:name w:val="index 3"/>
    <w:basedOn w:val="Normal"/>
    <w:next w:val="Normal"/>
    <w:autoRedefine/>
    <w:uiPriority w:val="99"/>
    <w:semiHidden/>
    <w:rsid w:val="00DE61E0"/>
    <w:pPr>
      <w:ind w:left="720" w:hanging="240"/>
    </w:pPr>
  </w:style>
  <w:style w:type="paragraph" w:styleId="Index4">
    <w:name w:val="index 4"/>
    <w:basedOn w:val="Normal"/>
    <w:next w:val="Normal"/>
    <w:autoRedefine/>
    <w:uiPriority w:val="99"/>
    <w:semiHidden/>
    <w:rsid w:val="00DE61E0"/>
    <w:pPr>
      <w:ind w:left="960" w:hanging="240"/>
    </w:pPr>
  </w:style>
  <w:style w:type="paragraph" w:styleId="Index5">
    <w:name w:val="index 5"/>
    <w:basedOn w:val="Normal"/>
    <w:next w:val="Normal"/>
    <w:autoRedefine/>
    <w:uiPriority w:val="99"/>
    <w:semiHidden/>
    <w:rsid w:val="00DE61E0"/>
    <w:pPr>
      <w:ind w:left="1200" w:hanging="240"/>
    </w:pPr>
  </w:style>
  <w:style w:type="paragraph" w:styleId="Index6">
    <w:name w:val="index 6"/>
    <w:basedOn w:val="Normal"/>
    <w:next w:val="Normal"/>
    <w:autoRedefine/>
    <w:uiPriority w:val="99"/>
    <w:semiHidden/>
    <w:rsid w:val="00DE61E0"/>
    <w:pPr>
      <w:ind w:left="1440" w:hanging="240"/>
    </w:pPr>
  </w:style>
  <w:style w:type="paragraph" w:styleId="Index7">
    <w:name w:val="index 7"/>
    <w:basedOn w:val="Normal"/>
    <w:next w:val="Normal"/>
    <w:autoRedefine/>
    <w:uiPriority w:val="99"/>
    <w:semiHidden/>
    <w:rsid w:val="00DE61E0"/>
    <w:pPr>
      <w:ind w:left="1680" w:hanging="240"/>
    </w:pPr>
  </w:style>
  <w:style w:type="paragraph" w:styleId="Index8">
    <w:name w:val="index 8"/>
    <w:basedOn w:val="Normal"/>
    <w:next w:val="Normal"/>
    <w:autoRedefine/>
    <w:uiPriority w:val="99"/>
    <w:semiHidden/>
    <w:rsid w:val="00DE61E0"/>
    <w:pPr>
      <w:ind w:left="1920" w:hanging="240"/>
    </w:pPr>
  </w:style>
  <w:style w:type="paragraph" w:styleId="Index9">
    <w:name w:val="index 9"/>
    <w:basedOn w:val="Normal"/>
    <w:next w:val="Normal"/>
    <w:autoRedefine/>
    <w:uiPriority w:val="99"/>
    <w:semiHidden/>
    <w:rsid w:val="00DE61E0"/>
    <w:pPr>
      <w:ind w:left="2160" w:hanging="240"/>
    </w:pPr>
  </w:style>
  <w:style w:type="paragraph" w:styleId="IndexHeading">
    <w:name w:val="index heading"/>
    <w:basedOn w:val="Normal"/>
    <w:next w:val="Index1"/>
    <w:uiPriority w:val="99"/>
    <w:semiHidden/>
    <w:rsid w:val="00DE61E0"/>
    <w:rPr>
      <w:rFonts w:asciiTheme="majorHAnsi" w:eastAsiaTheme="majorEastAsia" w:hAnsiTheme="majorHAnsi" w:cstheme="majorBidi"/>
      <w:b/>
      <w:bCs/>
    </w:rPr>
  </w:style>
  <w:style w:type="table" w:styleId="LightGrid">
    <w:name w:val="Light Grid"/>
    <w:basedOn w:val="TableNormal"/>
    <w:uiPriority w:val="99"/>
    <w:semiHidden/>
    <w:rsid w:val="00DE61E0"/>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DE61E0"/>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DE61E0"/>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DE61E0"/>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DE61E0"/>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DE61E0"/>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DE61E0"/>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DE61E0"/>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DE61E0"/>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DE61E0"/>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DE61E0"/>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DE61E0"/>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DE61E0"/>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DE61E0"/>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DE61E0"/>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DE61E0"/>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DE61E0"/>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DE61E0"/>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DE61E0"/>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DE61E0"/>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DE61E0"/>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DE61E0"/>
  </w:style>
  <w:style w:type="paragraph" w:styleId="List">
    <w:name w:val="List"/>
    <w:basedOn w:val="Normal"/>
    <w:uiPriority w:val="99"/>
    <w:semiHidden/>
    <w:rsid w:val="00DE61E0"/>
    <w:pPr>
      <w:ind w:left="283" w:hanging="283"/>
      <w:contextualSpacing/>
    </w:pPr>
  </w:style>
  <w:style w:type="paragraph" w:styleId="List2">
    <w:name w:val="List 2"/>
    <w:basedOn w:val="Normal"/>
    <w:uiPriority w:val="99"/>
    <w:semiHidden/>
    <w:rsid w:val="00DE61E0"/>
    <w:pPr>
      <w:ind w:left="566" w:hanging="283"/>
      <w:contextualSpacing/>
    </w:pPr>
  </w:style>
  <w:style w:type="paragraph" w:styleId="List3">
    <w:name w:val="List 3"/>
    <w:basedOn w:val="Normal"/>
    <w:uiPriority w:val="99"/>
    <w:semiHidden/>
    <w:rsid w:val="00DE61E0"/>
    <w:pPr>
      <w:ind w:left="849" w:hanging="283"/>
      <w:contextualSpacing/>
    </w:pPr>
  </w:style>
  <w:style w:type="paragraph" w:styleId="List4">
    <w:name w:val="List 4"/>
    <w:basedOn w:val="Normal"/>
    <w:uiPriority w:val="99"/>
    <w:semiHidden/>
    <w:rsid w:val="00DE61E0"/>
    <w:pPr>
      <w:ind w:left="1132" w:hanging="283"/>
      <w:contextualSpacing/>
    </w:pPr>
  </w:style>
  <w:style w:type="paragraph" w:styleId="List5">
    <w:name w:val="List 5"/>
    <w:basedOn w:val="Normal"/>
    <w:uiPriority w:val="99"/>
    <w:semiHidden/>
    <w:rsid w:val="00DE61E0"/>
    <w:pPr>
      <w:ind w:left="1415" w:hanging="283"/>
      <w:contextualSpacing/>
    </w:pPr>
  </w:style>
  <w:style w:type="paragraph" w:styleId="ListBullet2">
    <w:name w:val="List Bullet 2"/>
    <w:basedOn w:val="Normal"/>
    <w:uiPriority w:val="99"/>
    <w:semiHidden/>
    <w:rsid w:val="00DE61E0"/>
    <w:pPr>
      <w:numPr>
        <w:numId w:val="5"/>
      </w:numPr>
      <w:contextualSpacing/>
    </w:pPr>
  </w:style>
  <w:style w:type="paragraph" w:styleId="ListBullet3">
    <w:name w:val="List Bullet 3"/>
    <w:basedOn w:val="Normal"/>
    <w:uiPriority w:val="99"/>
    <w:semiHidden/>
    <w:rsid w:val="00DE61E0"/>
    <w:pPr>
      <w:numPr>
        <w:numId w:val="6"/>
      </w:numPr>
      <w:contextualSpacing/>
    </w:pPr>
  </w:style>
  <w:style w:type="paragraph" w:styleId="ListBullet4">
    <w:name w:val="List Bullet 4"/>
    <w:basedOn w:val="Normal"/>
    <w:uiPriority w:val="99"/>
    <w:semiHidden/>
    <w:rsid w:val="00DE61E0"/>
    <w:pPr>
      <w:numPr>
        <w:numId w:val="7"/>
      </w:numPr>
      <w:contextualSpacing/>
    </w:pPr>
  </w:style>
  <w:style w:type="paragraph" w:styleId="ListBullet5">
    <w:name w:val="List Bullet 5"/>
    <w:basedOn w:val="Normal"/>
    <w:uiPriority w:val="99"/>
    <w:semiHidden/>
    <w:rsid w:val="00DE61E0"/>
    <w:pPr>
      <w:numPr>
        <w:numId w:val="8"/>
      </w:numPr>
      <w:contextualSpacing/>
    </w:pPr>
  </w:style>
  <w:style w:type="paragraph" w:styleId="ListContinue">
    <w:name w:val="List Continue"/>
    <w:basedOn w:val="Normal"/>
    <w:uiPriority w:val="99"/>
    <w:semiHidden/>
    <w:rsid w:val="00DE61E0"/>
    <w:pPr>
      <w:spacing w:after="120"/>
      <w:ind w:left="283"/>
      <w:contextualSpacing/>
    </w:pPr>
  </w:style>
  <w:style w:type="paragraph" w:styleId="ListContinue2">
    <w:name w:val="List Continue 2"/>
    <w:basedOn w:val="Normal"/>
    <w:uiPriority w:val="99"/>
    <w:semiHidden/>
    <w:rsid w:val="00DE61E0"/>
    <w:pPr>
      <w:spacing w:after="120"/>
      <w:ind w:left="566"/>
      <w:contextualSpacing/>
    </w:pPr>
  </w:style>
  <w:style w:type="paragraph" w:styleId="ListContinue3">
    <w:name w:val="List Continue 3"/>
    <w:basedOn w:val="Normal"/>
    <w:uiPriority w:val="99"/>
    <w:semiHidden/>
    <w:rsid w:val="00DE61E0"/>
    <w:pPr>
      <w:spacing w:after="120"/>
      <w:ind w:left="849"/>
      <w:contextualSpacing/>
    </w:pPr>
  </w:style>
  <w:style w:type="paragraph" w:styleId="ListContinue4">
    <w:name w:val="List Continue 4"/>
    <w:basedOn w:val="Normal"/>
    <w:uiPriority w:val="99"/>
    <w:semiHidden/>
    <w:rsid w:val="00DE61E0"/>
    <w:pPr>
      <w:spacing w:after="120"/>
      <w:ind w:left="1132"/>
      <w:contextualSpacing/>
    </w:pPr>
  </w:style>
  <w:style w:type="paragraph" w:styleId="ListContinue5">
    <w:name w:val="List Continue 5"/>
    <w:basedOn w:val="Normal"/>
    <w:uiPriority w:val="99"/>
    <w:semiHidden/>
    <w:rsid w:val="00DE61E0"/>
    <w:pPr>
      <w:spacing w:after="120"/>
      <w:ind w:left="1415"/>
      <w:contextualSpacing/>
    </w:pPr>
  </w:style>
  <w:style w:type="paragraph" w:styleId="ListNumber">
    <w:name w:val="List Number"/>
    <w:basedOn w:val="Normal"/>
    <w:uiPriority w:val="99"/>
    <w:semiHidden/>
    <w:rsid w:val="00DE61E0"/>
    <w:pPr>
      <w:numPr>
        <w:numId w:val="9"/>
      </w:numPr>
      <w:contextualSpacing/>
    </w:pPr>
  </w:style>
  <w:style w:type="paragraph" w:styleId="ListNumber2">
    <w:name w:val="List Number 2"/>
    <w:basedOn w:val="Normal"/>
    <w:uiPriority w:val="99"/>
    <w:semiHidden/>
    <w:rsid w:val="00DE61E0"/>
    <w:pPr>
      <w:numPr>
        <w:numId w:val="10"/>
      </w:numPr>
      <w:contextualSpacing/>
    </w:pPr>
  </w:style>
  <w:style w:type="paragraph" w:styleId="ListNumber3">
    <w:name w:val="List Number 3"/>
    <w:basedOn w:val="Normal"/>
    <w:uiPriority w:val="99"/>
    <w:semiHidden/>
    <w:rsid w:val="00DE61E0"/>
    <w:pPr>
      <w:numPr>
        <w:numId w:val="11"/>
      </w:numPr>
      <w:contextualSpacing/>
    </w:pPr>
  </w:style>
  <w:style w:type="paragraph" w:styleId="ListNumber4">
    <w:name w:val="List Number 4"/>
    <w:basedOn w:val="Normal"/>
    <w:uiPriority w:val="99"/>
    <w:semiHidden/>
    <w:rsid w:val="00DE61E0"/>
    <w:pPr>
      <w:numPr>
        <w:numId w:val="12"/>
      </w:numPr>
      <w:contextualSpacing/>
    </w:pPr>
  </w:style>
  <w:style w:type="paragraph" w:styleId="ListNumber5">
    <w:name w:val="List Number 5"/>
    <w:basedOn w:val="Normal"/>
    <w:uiPriority w:val="99"/>
    <w:semiHidden/>
    <w:rsid w:val="00DE61E0"/>
    <w:pPr>
      <w:numPr>
        <w:numId w:val="13"/>
      </w:numPr>
      <w:contextualSpacing/>
    </w:pPr>
  </w:style>
  <w:style w:type="paragraph" w:styleId="MacroText">
    <w:name w:val="macro"/>
    <w:link w:val="MacroTextChar"/>
    <w:uiPriority w:val="99"/>
    <w:semiHidden/>
    <w:rsid w:val="00DE61E0"/>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DE61E0"/>
    <w:rPr>
      <w:rFonts w:ascii="Consolas" w:hAnsi="Consolas" w:cs="Consolas"/>
      <w:sz w:val="20"/>
      <w:szCs w:val="20"/>
      <w:lang w:val="en-GB" w:eastAsia="fr-FR"/>
    </w:rPr>
  </w:style>
  <w:style w:type="table" w:styleId="MediumGrid1">
    <w:name w:val="Medium Grid 1"/>
    <w:basedOn w:val="TableNormal"/>
    <w:uiPriority w:val="99"/>
    <w:semiHidden/>
    <w:rsid w:val="00DE61E0"/>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DE61E0"/>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DE61E0"/>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DE61E0"/>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DE61E0"/>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DE61E0"/>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DE61E0"/>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DE61E0"/>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DE61E0"/>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DE61E0"/>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DE61E0"/>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DE61E0"/>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DE61E0"/>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DE61E0"/>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DE61E0"/>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DE61E0"/>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DE61E0"/>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DE61E0"/>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DE61E0"/>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DE61E0"/>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DE61E0"/>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DE61E0"/>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DE61E0"/>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DE61E0"/>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DE61E0"/>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DE61E0"/>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DE61E0"/>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DE61E0"/>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DE61E0"/>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DE61E0"/>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DE61E0"/>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DE61E0"/>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DE61E0"/>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DE61E0"/>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DE61E0"/>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DE61E0"/>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DE61E0"/>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DE61E0"/>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DE61E0"/>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DE61E0"/>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DE61E0"/>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DE61E0"/>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DE61E0"/>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DE61E0"/>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DE61E0"/>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DE61E0"/>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DE61E0"/>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DE61E0"/>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DE61E0"/>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DE61E0"/>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DE61E0"/>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DE61E0"/>
    <w:rPr>
      <w:rFonts w:ascii="Times New Roman" w:hAnsi="Times New Roman" w:cs="Times New Roman"/>
      <w:szCs w:val="24"/>
    </w:rPr>
  </w:style>
  <w:style w:type="paragraph" w:styleId="NormalIndent">
    <w:name w:val="Normal Indent"/>
    <w:basedOn w:val="Normal"/>
    <w:uiPriority w:val="99"/>
    <w:semiHidden/>
    <w:rsid w:val="00DE61E0"/>
    <w:pPr>
      <w:ind w:left="720"/>
    </w:pPr>
  </w:style>
  <w:style w:type="paragraph" w:styleId="NoteHeading">
    <w:name w:val="Note Heading"/>
    <w:basedOn w:val="Normal"/>
    <w:next w:val="Normal"/>
    <w:link w:val="NoteHeadingChar"/>
    <w:uiPriority w:val="99"/>
    <w:semiHidden/>
    <w:rsid w:val="00DE61E0"/>
  </w:style>
  <w:style w:type="character" w:customStyle="1" w:styleId="NoteHeadingChar">
    <w:name w:val="Note Heading Char"/>
    <w:basedOn w:val="DefaultParagraphFont"/>
    <w:link w:val="NoteHeading"/>
    <w:uiPriority w:val="99"/>
    <w:semiHidden/>
    <w:rsid w:val="00DE61E0"/>
    <w:rPr>
      <w:rFonts w:eastAsiaTheme="minorEastAsia"/>
      <w:sz w:val="24"/>
    </w:rPr>
  </w:style>
  <w:style w:type="character" w:styleId="PlaceholderText">
    <w:name w:val="Placeholder Text"/>
    <w:basedOn w:val="DefaultParagraphFont"/>
    <w:uiPriority w:val="99"/>
    <w:semiHidden/>
    <w:rsid w:val="00E32667"/>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DE61E0"/>
    <w:rPr>
      <w:rFonts w:ascii="Consolas" w:hAnsi="Consolas" w:cs="Consolas"/>
      <w:sz w:val="21"/>
      <w:szCs w:val="21"/>
    </w:rPr>
  </w:style>
  <w:style w:type="character" w:customStyle="1" w:styleId="PlainTextChar">
    <w:name w:val="Plain Text Char"/>
    <w:basedOn w:val="DefaultParagraphFont"/>
    <w:link w:val="PlainText"/>
    <w:uiPriority w:val="99"/>
    <w:semiHidden/>
    <w:rsid w:val="00DE61E0"/>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DE61E0"/>
  </w:style>
  <w:style w:type="character" w:customStyle="1" w:styleId="SalutationChar">
    <w:name w:val="Salutation Char"/>
    <w:basedOn w:val="DefaultParagraphFont"/>
    <w:link w:val="Salutation"/>
    <w:uiPriority w:val="99"/>
    <w:semiHidden/>
    <w:rsid w:val="00DE61E0"/>
    <w:rPr>
      <w:rFonts w:eastAsiaTheme="minorEastAsia"/>
      <w:sz w:val="24"/>
    </w:rPr>
  </w:style>
  <w:style w:type="paragraph" w:styleId="Signature">
    <w:name w:val="Signature"/>
    <w:basedOn w:val="Normal"/>
    <w:link w:val="SignatureChar"/>
    <w:uiPriority w:val="99"/>
    <w:semiHidden/>
    <w:rsid w:val="00DE61E0"/>
    <w:pPr>
      <w:ind w:left="4252"/>
    </w:pPr>
  </w:style>
  <w:style w:type="character" w:customStyle="1" w:styleId="SignatureChar">
    <w:name w:val="Signature Char"/>
    <w:basedOn w:val="DefaultParagraphFont"/>
    <w:link w:val="Signature"/>
    <w:uiPriority w:val="99"/>
    <w:semiHidden/>
    <w:rsid w:val="00DE61E0"/>
    <w:rPr>
      <w:rFonts w:eastAsiaTheme="minorEastAsia"/>
      <w:sz w:val="24"/>
    </w:rPr>
  </w:style>
  <w:style w:type="table" w:styleId="Table3Deffects1">
    <w:name w:val="Table 3D effects 1"/>
    <w:basedOn w:val="TableNormal"/>
    <w:uiPriority w:val="99"/>
    <w:semiHidden/>
    <w:rsid w:val="00DE61E0"/>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DE61E0"/>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DE61E0"/>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DE61E0"/>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DE61E0"/>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DE61E0"/>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DE61E0"/>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DE61E0"/>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DE61E0"/>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DE61E0"/>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DE61E0"/>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DE61E0"/>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DE61E0"/>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DE61E0"/>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DE61E0"/>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DE61E0"/>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DE61E0"/>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DE61E0"/>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DE61E0"/>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DE61E0"/>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DE61E0"/>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DE61E0"/>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DE61E0"/>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DE61E0"/>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DE61E0"/>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DE61E0"/>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DE61E0"/>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DE61E0"/>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DE61E0"/>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DE61E0"/>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DE61E0"/>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DE61E0"/>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DE61E0"/>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DE61E0"/>
    <w:pPr>
      <w:ind w:left="240" w:hanging="240"/>
    </w:pPr>
  </w:style>
  <w:style w:type="paragraph" w:styleId="TableofFigures">
    <w:name w:val="table of figures"/>
    <w:basedOn w:val="Normal"/>
    <w:next w:val="Normal"/>
    <w:uiPriority w:val="99"/>
    <w:semiHidden/>
    <w:rsid w:val="00DE61E0"/>
  </w:style>
  <w:style w:type="table" w:styleId="TableProfessional">
    <w:name w:val="Table Professional"/>
    <w:basedOn w:val="TableNormal"/>
    <w:uiPriority w:val="99"/>
    <w:semiHidden/>
    <w:rsid w:val="00DE61E0"/>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DE61E0"/>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DE61E0"/>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DE61E0"/>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DE61E0"/>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DE61E0"/>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DE61E0"/>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DE61E0"/>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DE61E0"/>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DE61E0"/>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E32667"/>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E32667"/>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DE61E0"/>
    <w:pPr>
      <w:spacing w:after="100"/>
      <w:ind w:left="1680"/>
    </w:pPr>
  </w:style>
  <w:style w:type="paragraph" w:styleId="TOC9">
    <w:name w:val="toc 9"/>
    <w:basedOn w:val="Normal"/>
    <w:next w:val="Normal"/>
    <w:autoRedefine/>
    <w:uiPriority w:val="99"/>
    <w:semiHidden/>
    <w:rsid w:val="00DE61E0"/>
    <w:pPr>
      <w:spacing w:after="100"/>
      <w:ind w:left="1920"/>
    </w:pPr>
  </w:style>
  <w:style w:type="paragraph" w:customStyle="1" w:styleId="OpiHA0">
    <w:name w:val="Opi_H_A"/>
    <w:basedOn w:val="ECHRHeading1"/>
    <w:next w:val="OpiPara"/>
    <w:uiPriority w:val="41"/>
    <w:qFormat/>
    <w:rsid w:val="00E32667"/>
    <w:pPr>
      <w:tabs>
        <w:tab w:val="clear" w:pos="357"/>
      </w:tabs>
      <w:outlineLvl w:val="1"/>
    </w:pPr>
    <w:rPr>
      <w:b/>
    </w:rPr>
  </w:style>
  <w:style w:type="paragraph" w:customStyle="1" w:styleId="OpiHi">
    <w:name w:val="Opi_H_i"/>
    <w:basedOn w:val="ECHRHeading4"/>
    <w:uiPriority w:val="44"/>
    <w:qFormat/>
    <w:rsid w:val="00E32667"/>
    <w:pPr>
      <w:ind w:left="1037" w:hanging="357"/>
      <w:outlineLvl w:val="4"/>
    </w:pPr>
    <w:rPr>
      <w:b w:val="0"/>
      <w:i/>
    </w:rPr>
  </w:style>
  <w:style w:type="paragraph" w:customStyle="1" w:styleId="OpiPara">
    <w:name w:val="Opi_Para"/>
    <w:basedOn w:val="ECHRPara"/>
    <w:uiPriority w:val="46"/>
    <w:qFormat/>
    <w:rsid w:val="00E32667"/>
  </w:style>
  <w:style w:type="paragraph" w:customStyle="1" w:styleId="OpiParaSub">
    <w:name w:val="Opi_Para_Sub"/>
    <w:basedOn w:val="JuParaSub"/>
    <w:uiPriority w:val="47"/>
    <w:qFormat/>
    <w:rsid w:val="00E32667"/>
  </w:style>
  <w:style w:type="paragraph" w:customStyle="1" w:styleId="OpiQuot">
    <w:name w:val="Opi_Quot"/>
    <w:basedOn w:val="ECHRParaQuote"/>
    <w:uiPriority w:val="48"/>
    <w:qFormat/>
    <w:rsid w:val="00E32667"/>
  </w:style>
  <w:style w:type="paragraph" w:customStyle="1" w:styleId="OpiQuotSub">
    <w:name w:val="Opi_Quot_Sub"/>
    <w:basedOn w:val="JuQuotSub"/>
    <w:uiPriority w:val="49"/>
    <w:qFormat/>
    <w:rsid w:val="00E32667"/>
  </w:style>
  <w:style w:type="paragraph" w:customStyle="1" w:styleId="OpiTranslation">
    <w:name w:val="Opi_Translation"/>
    <w:basedOn w:val="Normal"/>
    <w:next w:val="OpiPara"/>
    <w:uiPriority w:val="40"/>
    <w:qFormat/>
    <w:rsid w:val="00E32667"/>
    <w:pPr>
      <w:jc w:val="center"/>
      <w:outlineLvl w:val="0"/>
    </w:pPr>
    <w:rPr>
      <w:i/>
    </w:rPr>
  </w:style>
  <w:style w:type="paragraph" w:customStyle="1" w:styleId="JuHeaderLandscape">
    <w:name w:val="Ju_Header_Landscape"/>
    <w:basedOn w:val="ECHRHeader"/>
    <w:uiPriority w:val="4"/>
    <w:qFormat/>
    <w:rsid w:val="00E32667"/>
    <w:pPr>
      <w:tabs>
        <w:tab w:val="clear" w:pos="3686"/>
        <w:tab w:val="clear" w:pos="7371"/>
        <w:tab w:val="center" w:pos="6146"/>
        <w:tab w:val="right" w:pos="12293"/>
      </w:tabs>
    </w:pPr>
  </w:style>
  <w:style w:type="character" w:customStyle="1" w:styleId="ECHRParaChar">
    <w:name w:val="ECHR_Para Char"/>
    <w:aliases w:val="Ju_Para Char"/>
    <w:link w:val="ECHRPara"/>
    <w:uiPriority w:val="12"/>
    <w:rsid w:val="008148F0"/>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8D73B0F-1F9C-4E13-8B79-B35B03E4AB4A}"/>
</file>

<file path=customXml/itemProps2.xml><?xml version="1.0" encoding="utf-8"?>
<ds:datastoreItem xmlns:ds="http://schemas.openxmlformats.org/officeDocument/2006/customXml" ds:itemID="{161467BC-E205-48DB-B91E-A73408C65C08}"/>
</file>

<file path=customXml/itemProps3.xml><?xml version="1.0" encoding="utf-8"?>
<ds:datastoreItem xmlns:ds="http://schemas.openxmlformats.org/officeDocument/2006/customXml" ds:itemID="{628A2B13-C31F-4CFF-B174-37C431439205}"/>
</file>

<file path=customXml/itemProps4.xml><?xml version="1.0" encoding="utf-8"?>
<ds:datastoreItem xmlns:ds="http://schemas.openxmlformats.org/officeDocument/2006/customXml" ds:itemID="{38270862-FEAD-4675-ADD6-1C73FED0656A}"/>
</file>

<file path=docProps/app.xml><?xml version="1.0" encoding="utf-8"?>
<Properties xmlns="http://schemas.openxmlformats.org/officeDocument/2006/extended-properties" xmlns:vt="http://schemas.openxmlformats.org/officeDocument/2006/docPropsVTypes">
  <Template>Normal.dotm</Template>
  <TotalTime>0</TotalTime>
  <Pages>1</Pages>
  <Words>5166</Words>
  <Characters>29447</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34544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2019-08-31T11:03:00Z</dcterms:created>
  <dcterms:modified xsi:type="dcterms:W3CDTF">2019-08-31T11:03:00Z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lpwstr>2057</vt:lpwstr>
  </property>
  <property fmtid="{D5CDD505-2E9C-101B-9397-08002B2CF9AE}" pid="3" name="RegisteredNo">
    <vt:lpwstr>45580/16</vt:lpwstr>
  </property>
  <property fmtid="{D5CDD505-2E9C-101B-9397-08002B2CF9AE}" pid="4" name="CASEID">
    <vt:lpwstr>1229073</vt:lpwstr>
  </property>
  <property fmtid="{D5CDD505-2E9C-101B-9397-08002B2CF9AE}" pid="5" name="ContentTypeId">
    <vt:lpwstr>0x010100558EB02BDB9E204AB350EDD385B68E10</vt:lpwstr>
  </property>
</Properties>
</file>