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03D5" w:rsidR="00D420F3" w:rsidP="004F03D5" w:rsidRDefault="00D420F3">
      <w:pPr>
        <w:pStyle w:val="ECHRDecisionBody"/>
        <w:rPr>
          <w:lang w:val="fr-FR"/>
        </w:rPr>
      </w:pPr>
      <w:bookmarkStart w:name="_GoBack" w:id="0"/>
      <w:bookmarkEnd w:id="0"/>
    </w:p>
    <w:p w:rsidRPr="004F03D5" w:rsidR="00B21F96" w:rsidP="004F03D5" w:rsidRDefault="00B21F96">
      <w:pPr>
        <w:pStyle w:val="ECHRDecisionBody"/>
        <w:rPr>
          <w:lang w:val="fr-FR"/>
        </w:rPr>
      </w:pPr>
    </w:p>
    <w:p w:rsidRPr="004F03D5" w:rsidR="00B21F96" w:rsidP="004F03D5" w:rsidRDefault="00B21F96">
      <w:pPr>
        <w:pStyle w:val="ECHRDecisionBody"/>
        <w:rPr>
          <w:lang w:val="fr-FR"/>
        </w:rPr>
      </w:pPr>
    </w:p>
    <w:p w:rsidRPr="004F03D5" w:rsidR="00D420F3" w:rsidP="004F03D5" w:rsidRDefault="00F6123C">
      <w:pPr>
        <w:jc w:val="center"/>
      </w:pPr>
      <w:r w:rsidRPr="004F03D5">
        <w:t>THIRD SECTION</w:t>
      </w:r>
    </w:p>
    <w:p w:rsidRPr="004F03D5" w:rsidR="00D420F3" w:rsidP="004F03D5" w:rsidRDefault="00D420F3">
      <w:pPr>
        <w:jc w:val="center"/>
      </w:pPr>
    </w:p>
    <w:p w:rsidRPr="004F03D5" w:rsidR="00B21F96" w:rsidP="004F03D5" w:rsidRDefault="00B21F96">
      <w:pPr>
        <w:jc w:val="center"/>
      </w:pPr>
    </w:p>
    <w:p w:rsidRPr="004F03D5" w:rsidR="00B21F96" w:rsidP="004F03D5" w:rsidRDefault="00B21F96">
      <w:pPr>
        <w:jc w:val="center"/>
      </w:pPr>
    </w:p>
    <w:p w:rsidRPr="004F03D5" w:rsidR="00B21F96" w:rsidP="004F03D5" w:rsidRDefault="00B21F96">
      <w:pPr>
        <w:jc w:val="center"/>
      </w:pPr>
    </w:p>
    <w:p w:rsidRPr="004F03D5" w:rsidR="004F03D5" w:rsidP="004F03D5" w:rsidRDefault="004F03D5">
      <w:pPr>
        <w:jc w:val="center"/>
      </w:pPr>
    </w:p>
    <w:p w:rsidRPr="004F03D5" w:rsidR="004F03D5" w:rsidP="004F03D5" w:rsidRDefault="004F03D5">
      <w:pPr>
        <w:jc w:val="center"/>
      </w:pPr>
    </w:p>
    <w:p w:rsidRPr="004F03D5" w:rsidR="00B21F96" w:rsidP="004F03D5" w:rsidRDefault="00B21F96">
      <w:pPr>
        <w:jc w:val="center"/>
      </w:pPr>
    </w:p>
    <w:p w:rsidRPr="004F03D5" w:rsidR="00B21F96" w:rsidP="004F03D5" w:rsidRDefault="00B21F96">
      <w:pPr>
        <w:jc w:val="center"/>
      </w:pPr>
    </w:p>
    <w:p w:rsidRPr="004F03D5" w:rsidR="00D420F3" w:rsidP="004F03D5" w:rsidRDefault="0077175D">
      <w:pPr>
        <w:jc w:val="center"/>
        <w:rPr>
          <w:b/>
        </w:rPr>
      </w:pPr>
      <w:bookmarkStart w:name="To" w:id="1"/>
      <w:r w:rsidRPr="004F03D5">
        <w:rPr>
          <w:b/>
        </w:rPr>
        <w:t xml:space="preserve">CASE OF </w:t>
      </w:r>
      <w:bookmarkEnd w:id="1"/>
      <w:r w:rsidRPr="004F03D5" w:rsidR="00F6123C">
        <w:rPr>
          <w:b/>
        </w:rPr>
        <w:t xml:space="preserve">RYKLIN </w:t>
      </w:r>
      <w:r w:rsidRPr="004F03D5" w:rsidR="00706603">
        <w:rPr>
          <w:b/>
        </w:rPr>
        <w:t xml:space="preserve">AND SHAROV </w:t>
      </w:r>
      <w:r w:rsidRPr="004F03D5" w:rsidR="00F6123C">
        <w:rPr>
          <w:b/>
        </w:rPr>
        <w:t>v. RUSSIA</w:t>
      </w:r>
    </w:p>
    <w:p w:rsidRPr="004F03D5" w:rsidR="00D420F3" w:rsidP="004F03D5" w:rsidRDefault="00D420F3">
      <w:pPr>
        <w:jc w:val="center"/>
      </w:pPr>
    </w:p>
    <w:p w:rsidRPr="004F03D5" w:rsidR="00D420F3" w:rsidP="004F03D5" w:rsidRDefault="0077175D">
      <w:pPr>
        <w:jc w:val="center"/>
        <w:rPr>
          <w:i/>
        </w:rPr>
      </w:pPr>
      <w:r w:rsidRPr="004F03D5">
        <w:rPr>
          <w:i/>
        </w:rPr>
        <w:t>(</w:t>
      </w:r>
      <w:r w:rsidRPr="004F03D5" w:rsidR="00F6123C">
        <w:rPr>
          <w:i/>
        </w:rPr>
        <w:t xml:space="preserve">Applications nos. 37513/15 and </w:t>
      </w:r>
      <w:r w:rsidRPr="004F03D5" w:rsidR="00706603">
        <w:rPr>
          <w:i/>
        </w:rPr>
        <w:t>37528/15</w:t>
      </w:r>
      <w:r w:rsidRPr="004F03D5">
        <w:rPr>
          <w:i/>
        </w:rPr>
        <w:t>)</w:t>
      </w:r>
    </w:p>
    <w:p w:rsidRPr="004F03D5" w:rsidR="00D420F3" w:rsidP="004F03D5" w:rsidRDefault="00D420F3">
      <w:pPr>
        <w:jc w:val="center"/>
      </w:pPr>
    </w:p>
    <w:p w:rsidRPr="004F03D5" w:rsidR="00D420F3" w:rsidP="004F03D5" w:rsidRDefault="00D420F3">
      <w:pPr>
        <w:jc w:val="center"/>
      </w:pPr>
    </w:p>
    <w:p w:rsidRPr="004F03D5" w:rsidR="004F03D5" w:rsidP="004F03D5" w:rsidRDefault="004F03D5">
      <w:pPr>
        <w:jc w:val="center"/>
      </w:pPr>
    </w:p>
    <w:p w:rsidRPr="004F03D5" w:rsidR="004F03D5" w:rsidP="004F03D5" w:rsidRDefault="004F03D5">
      <w:pPr>
        <w:jc w:val="center"/>
      </w:pPr>
    </w:p>
    <w:p w:rsidRPr="004F03D5" w:rsidR="00D420F3" w:rsidP="004F03D5" w:rsidRDefault="00D420F3">
      <w:pPr>
        <w:jc w:val="center"/>
      </w:pPr>
    </w:p>
    <w:p w:rsidRPr="004F03D5" w:rsidR="00D420F3" w:rsidP="004F03D5" w:rsidRDefault="00D420F3">
      <w:pPr>
        <w:jc w:val="center"/>
      </w:pPr>
    </w:p>
    <w:p w:rsidRPr="004F03D5" w:rsidR="00B21F96" w:rsidP="004F03D5" w:rsidRDefault="00B21F96">
      <w:pPr>
        <w:jc w:val="center"/>
      </w:pPr>
    </w:p>
    <w:p w:rsidRPr="004F03D5" w:rsidR="00D420F3" w:rsidP="004F03D5" w:rsidRDefault="00D420F3">
      <w:pPr>
        <w:jc w:val="center"/>
      </w:pPr>
    </w:p>
    <w:p w:rsidRPr="004F03D5" w:rsidR="00D420F3" w:rsidP="004F03D5" w:rsidRDefault="00D420F3">
      <w:pPr>
        <w:jc w:val="center"/>
      </w:pPr>
    </w:p>
    <w:p w:rsidRPr="004F03D5" w:rsidR="00D420F3" w:rsidP="004F03D5" w:rsidRDefault="00B21F96">
      <w:pPr>
        <w:jc w:val="center"/>
        <w:rPr>
          <w:szCs w:val="24"/>
        </w:rPr>
      </w:pPr>
      <w:r w:rsidRPr="004F03D5">
        <w:rPr>
          <w:szCs w:val="24"/>
        </w:rPr>
        <w:t>JUDGMENT</w:t>
      </w:r>
    </w:p>
    <w:p w:rsidRPr="004F03D5" w:rsidR="00CB20C3" w:rsidP="004F03D5" w:rsidRDefault="00CB20C3">
      <w:pPr>
        <w:jc w:val="center"/>
        <w:rPr>
          <w:szCs w:val="24"/>
        </w:rPr>
      </w:pPr>
    </w:p>
    <w:p w:rsidRPr="004F03D5" w:rsidR="00B21F96" w:rsidP="004F03D5" w:rsidRDefault="00B21F96">
      <w:pPr>
        <w:jc w:val="center"/>
        <w:rPr>
          <w:sz w:val="22"/>
        </w:rPr>
      </w:pPr>
    </w:p>
    <w:p w:rsidRPr="004F03D5" w:rsidR="00B21F96" w:rsidP="004F03D5" w:rsidRDefault="00B21F96">
      <w:pPr>
        <w:jc w:val="center"/>
        <w:rPr>
          <w:sz w:val="22"/>
        </w:rPr>
      </w:pPr>
      <w:r w:rsidRPr="004F03D5">
        <w:rPr>
          <w:sz w:val="22"/>
        </w:rPr>
        <w:t>STRASBOURG</w:t>
      </w:r>
    </w:p>
    <w:p w:rsidRPr="004F03D5" w:rsidR="00B21F96" w:rsidP="004F03D5" w:rsidRDefault="00B21F96">
      <w:pPr>
        <w:jc w:val="center"/>
        <w:rPr>
          <w:sz w:val="22"/>
        </w:rPr>
      </w:pPr>
    </w:p>
    <w:p w:rsidRPr="004F03D5" w:rsidR="0021545D" w:rsidP="004F03D5" w:rsidRDefault="0021545D">
      <w:pPr>
        <w:jc w:val="center"/>
        <w:rPr>
          <w:szCs w:val="24"/>
        </w:rPr>
      </w:pPr>
      <w:r w:rsidRPr="004F03D5">
        <w:rPr>
          <w:szCs w:val="24"/>
        </w:rPr>
        <w:t>12 February 2019</w:t>
      </w:r>
    </w:p>
    <w:p w:rsidRPr="004F03D5" w:rsidR="00B21F96" w:rsidP="004F03D5" w:rsidRDefault="00B21F96">
      <w:pPr>
        <w:jc w:val="center"/>
        <w:rPr>
          <w:sz w:val="22"/>
        </w:rPr>
      </w:pPr>
    </w:p>
    <w:p w:rsidRPr="004F03D5" w:rsidR="004F03D5" w:rsidP="004F03D5" w:rsidRDefault="004F03D5">
      <w:pPr>
        <w:jc w:val="center"/>
        <w:rPr>
          <w:sz w:val="22"/>
        </w:rPr>
      </w:pPr>
    </w:p>
    <w:p w:rsidRPr="004F03D5" w:rsidR="004F03D5" w:rsidP="004F03D5" w:rsidRDefault="004F03D5">
      <w:pPr>
        <w:jc w:val="center"/>
        <w:rPr>
          <w:sz w:val="22"/>
        </w:rPr>
      </w:pPr>
    </w:p>
    <w:p w:rsidRPr="004F03D5" w:rsidR="00B21F96" w:rsidP="004F03D5" w:rsidRDefault="00B21F96">
      <w:pPr>
        <w:jc w:val="center"/>
        <w:rPr>
          <w:sz w:val="22"/>
        </w:rPr>
      </w:pPr>
    </w:p>
    <w:p w:rsidRPr="004F03D5" w:rsidR="00B21F96" w:rsidP="004F03D5" w:rsidRDefault="00B21F96">
      <w:pPr>
        <w:jc w:val="center"/>
        <w:rPr>
          <w:sz w:val="22"/>
        </w:rPr>
      </w:pPr>
    </w:p>
    <w:p w:rsidRPr="004F03D5" w:rsidR="00B21F96" w:rsidP="004F03D5" w:rsidRDefault="00B21F96">
      <w:pPr>
        <w:jc w:val="center"/>
        <w:rPr>
          <w:sz w:val="22"/>
        </w:rPr>
      </w:pPr>
    </w:p>
    <w:p w:rsidRPr="004F03D5" w:rsidR="003E2882" w:rsidP="004F03D5" w:rsidRDefault="00B21F96">
      <w:pPr>
        <w:jc w:val="center"/>
        <w:rPr>
          <w:i/>
          <w:sz w:val="22"/>
        </w:rPr>
      </w:pPr>
      <w:r w:rsidRPr="004F03D5">
        <w:rPr>
          <w:i/>
          <w:sz w:val="22"/>
        </w:rPr>
        <w:t>This judgment is final but it may be subject to editorial revision.</w:t>
      </w:r>
    </w:p>
    <w:p w:rsidRPr="004F03D5" w:rsidR="00B21F96" w:rsidP="004F03D5" w:rsidRDefault="00B21F96">
      <w:pPr>
        <w:jc w:val="center"/>
      </w:pPr>
    </w:p>
    <w:p w:rsidRPr="004F03D5" w:rsidR="00B21F96" w:rsidP="004F03D5" w:rsidRDefault="00B21F96">
      <w:pPr>
        <w:pStyle w:val="JuCase"/>
        <w:sectPr w:rsidRPr="004F03D5" w:rsidR="00B21F96" w:rsidSect="00B21F9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4F03D5" w:rsidR="00D420F3" w:rsidP="004F03D5" w:rsidRDefault="0077175D">
      <w:pPr>
        <w:pStyle w:val="JuCase"/>
        <w:rPr>
          <w:bCs/>
        </w:rPr>
      </w:pPr>
      <w:r w:rsidRPr="004F03D5">
        <w:t xml:space="preserve">In the case of </w:t>
      </w:r>
      <w:r w:rsidRPr="004F03D5" w:rsidR="00F6123C">
        <w:t xml:space="preserve">Ryklin </w:t>
      </w:r>
      <w:r w:rsidRPr="004F03D5" w:rsidR="00706603">
        <w:t xml:space="preserve">and Sharov </w:t>
      </w:r>
      <w:r w:rsidRPr="004F03D5" w:rsidR="00F6123C">
        <w:t>v. Russia</w:t>
      </w:r>
      <w:r w:rsidRPr="004F03D5">
        <w:t>,</w:t>
      </w:r>
    </w:p>
    <w:p w:rsidRPr="004F03D5" w:rsidR="00D420F3" w:rsidP="004F03D5" w:rsidRDefault="0077175D">
      <w:pPr>
        <w:pStyle w:val="ECHRPara"/>
      </w:pPr>
      <w:r w:rsidRPr="004F03D5">
        <w:t>The European Court of Human Rights (</w:t>
      </w:r>
      <w:r w:rsidRPr="004F03D5" w:rsidR="00F6123C">
        <w:t>Third Section</w:t>
      </w:r>
      <w:r w:rsidRPr="004F03D5">
        <w:t xml:space="preserve">), sitting as a </w:t>
      </w:r>
      <w:r w:rsidRPr="004F03D5" w:rsidR="00F6123C">
        <w:t>Committee</w:t>
      </w:r>
      <w:r w:rsidRPr="004F03D5">
        <w:t xml:space="preserve"> composed of:</w:t>
      </w:r>
    </w:p>
    <w:p w:rsidRPr="004F03D5" w:rsidR="00D420F3" w:rsidP="004F03D5" w:rsidRDefault="00B21F96">
      <w:pPr>
        <w:pStyle w:val="ECHRDecisionBody"/>
      </w:pPr>
      <w:r w:rsidRPr="004F03D5">
        <w:tab/>
        <w:t>Helen Keller,</w:t>
      </w:r>
      <w:r w:rsidRPr="004F03D5">
        <w:rPr>
          <w:i/>
        </w:rPr>
        <w:t xml:space="preserve"> President,</w:t>
      </w:r>
      <w:r w:rsidRPr="004F03D5">
        <w:rPr>
          <w:i/>
        </w:rPr>
        <w:br/>
      </w:r>
      <w:r w:rsidRPr="004F03D5">
        <w:tab/>
        <w:t>Pere Pastor Vilanova,</w:t>
      </w:r>
      <w:r w:rsidRPr="004F03D5">
        <w:rPr>
          <w:i/>
        </w:rPr>
        <w:br/>
      </w:r>
      <w:r w:rsidRPr="004F03D5">
        <w:tab/>
        <w:t>María Elósegui,</w:t>
      </w:r>
      <w:r w:rsidRPr="004F03D5">
        <w:rPr>
          <w:i/>
        </w:rPr>
        <w:t xml:space="preserve"> judges,</w:t>
      </w:r>
      <w:r w:rsidRPr="004F03D5" w:rsidR="0077175D">
        <w:rPr>
          <w:szCs w:val="24"/>
        </w:rPr>
        <w:br/>
      </w:r>
      <w:r w:rsidRPr="004F03D5" w:rsidR="0077175D">
        <w:t xml:space="preserve">and </w:t>
      </w:r>
      <w:r w:rsidRPr="004F03D5" w:rsidR="00F6123C">
        <w:t>Fatoş Aracı</w:t>
      </w:r>
      <w:r w:rsidRPr="004F03D5" w:rsidR="0077175D">
        <w:t xml:space="preserve">, </w:t>
      </w:r>
      <w:r w:rsidRPr="004F03D5" w:rsidR="00F6123C">
        <w:rPr>
          <w:i/>
        </w:rPr>
        <w:t xml:space="preserve">Deputy Section </w:t>
      </w:r>
      <w:r w:rsidRPr="004F03D5" w:rsidR="00F6123C">
        <w:rPr>
          <w:i/>
          <w:iCs/>
        </w:rPr>
        <w:t>Registrar</w:t>
      </w:r>
      <w:r w:rsidRPr="004F03D5" w:rsidR="0077175D">
        <w:rPr>
          <w:i/>
        </w:rPr>
        <w:t>,</w:t>
      </w:r>
    </w:p>
    <w:p w:rsidRPr="004F03D5" w:rsidR="00D420F3" w:rsidP="004F03D5" w:rsidRDefault="0077175D">
      <w:pPr>
        <w:pStyle w:val="ECHRPara"/>
      </w:pPr>
      <w:r w:rsidRPr="004F03D5">
        <w:t xml:space="preserve">Having deliberated in private on </w:t>
      </w:r>
      <w:r w:rsidRPr="004F03D5" w:rsidR="00B21F96">
        <w:t>22 January 2019</w:t>
      </w:r>
      <w:r w:rsidRPr="004F03D5">
        <w:t>,</w:t>
      </w:r>
    </w:p>
    <w:p w:rsidRPr="004F03D5" w:rsidR="00D420F3" w:rsidP="004F03D5" w:rsidRDefault="0077175D">
      <w:pPr>
        <w:pStyle w:val="ECHRPara"/>
      </w:pPr>
      <w:r w:rsidRPr="004F03D5">
        <w:t>Delivers the following judgment, which was adopted on that date:</w:t>
      </w:r>
    </w:p>
    <w:p w:rsidRPr="004F03D5" w:rsidR="00D420F3" w:rsidP="004F03D5" w:rsidRDefault="0077175D">
      <w:pPr>
        <w:pStyle w:val="ECHRTitle1"/>
      </w:pPr>
      <w:r w:rsidRPr="004F03D5">
        <w:t>PROCEDURE</w:t>
      </w:r>
    </w:p>
    <w:p w:rsidRPr="004F03D5" w:rsidR="001D4766"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1</w:t>
      </w:r>
      <w:r w:rsidRPr="004F03D5">
        <w:fldChar w:fldCharType="end"/>
      </w:r>
      <w:r w:rsidRPr="004F03D5" w:rsidR="0077175D">
        <w:t xml:space="preserve">.  The case originated in </w:t>
      </w:r>
      <w:r w:rsidRPr="004F03D5" w:rsidR="00706603">
        <w:t>two</w:t>
      </w:r>
      <w:r w:rsidRPr="004F03D5">
        <w:t xml:space="preserve"> applications (nos. 37513/15 and </w:t>
      </w:r>
      <w:r w:rsidRPr="004F03D5" w:rsidR="00706603">
        <w:t>37528/15</w:t>
      </w:r>
      <w:r w:rsidRPr="004F03D5">
        <w:t>)</w:t>
      </w:r>
      <w:r w:rsidRPr="004F03D5" w:rsidR="0077175D">
        <w:t xml:space="preserve"> against </w:t>
      </w:r>
      <w:r w:rsidRPr="004F03D5">
        <w:t>the Russian Federation</w:t>
      </w:r>
      <w:r w:rsidRPr="004F03D5" w:rsidR="0077175D">
        <w:t xml:space="preserve"> lodged with the </w:t>
      </w:r>
      <w:r w:rsidRPr="004F03D5">
        <w:t>Court under Article 34</w:t>
      </w:r>
      <w:r w:rsidRPr="004F03D5" w:rsidR="0077175D">
        <w:t xml:space="preserve"> of the Convention for the Protection of Human Rights and Fundamental Freedoms (“the Convention”) by </w:t>
      </w:r>
      <w:r w:rsidRPr="004F03D5" w:rsidR="00706603">
        <w:t>two</w:t>
      </w:r>
      <w:r w:rsidRPr="004F03D5">
        <w:t xml:space="preserve"> Russian nationals, Mr Aleksandr Yuryevich Ryklin and Mr </w:t>
      </w:r>
      <w:r w:rsidRPr="004F03D5" w:rsidR="00706603">
        <w:t>Sergey Aleksandrovich</w:t>
      </w:r>
      <w:r w:rsidRPr="004F03D5" w:rsidR="001D4766">
        <w:t xml:space="preserve"> </w:t>
      </w:r>
      <w:r w:rsidRPr="004F03D5" w:rsidR="00706603">
        <w:t xml:space="preserve">Sharov </w:t>
      </w:r>
      <w:r w:rsidRPr="004F03D5">
        <w:t>(“the applicants”), on 3 July 2015</w:t>
      </w:r>
      <w:r w:rsidRPr="004F03D5" w:rsidR="0077175D">
        <w:t>.</w:t>
      </w:r>
    </w:p>
    <w:p w:rsidRPr="004F03D5" w:rsidR="001D4766"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2</w:t>
      </w:r>
      <w:r w:rsidRPr="004F03D5">
        <w:fldChar w:fldCharType="end"/>
      </w:r>
      <w:r w:rsidRPr="004F03D5" w:rsidR="0077175D">
        <w:t>.  </w:t>
      </w:r>
      <w:r w:rsidRPr="004F03D5">
        <w:t xml:space="preserve">The applicants were represented by Ms </w:t>
      </w:r>
      <w:r w:rsidRPr="004F03D5" w:rsidR="00706603">
        <w:t>I.</w:t>
      </w:r>
      <w:r w:rsidRPr="004F03D5">
        <w:t xml:space="preserve"> Biryukova</w:t>
      </w:r>
      <w:r w:rsidRPr="004F03D5" w:rsidR="0076225B">
        <w:t>,</w:t>
      </w:r>
      <w:r w:rsidRPr="004F03D5">
        <w:t xml:space="preserve"> a lawyer </w:t>
      </w:r>
      <w:r w:rsidRPr="004F03D5" w:rsidR="0076225B">
        <w:t>from “Civil Assistance” (</w:t>
      </w:r>
      <w:r w:rsidRPr="004F03D5" w:rsidR="0076225B">
        <w:rPr>
          <w:i/>
        </w:rPr>
        <w:t>Комитет “Гражданское содействие”)</w:t>
      </w:r>
      <w:r w:rsidRPr="004F03D5" w:rsidR="0076225B">
        <w:t xml:space="preserve">, an NGO based in Moscow. </w:t>
      </w:r>
      <w:r w:rsidRPr="004F03D5" w:rsidR="0077175D">
        <w:t xml:space="preserve">The </w:t>
      </w:r>
      <w:r w:rsidRPr="004F03D5">
        <w:t>Russian</w:t>
      </w:r>
      <w:r w:rsidRPr="004F03D5" w:rsidR="0077175D">
        <w:t xml:space="preserve"> Government (“the Government”) were represented by their Agent, </w:t>
      </w:r>
      <w:r w:rsidRPr="004F03D5" w:rsidR="00A746F4">
        <w:t>Mr M. Galperin, the Representative of the Russian Federation to the European Court of Human Rights</w:t>
      </w:r>
      <w:r w:rsidRPr="004F03D5" w:rsidR="001A00FC">
        <w:t>.</w:t>
      </w:r>
    </w:p>
    <w:p w:rsidRPr="004F03D5" w:rsidR="00D420F3"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3</w:t>
      </w:r>
      <w:r w:rsidRPr="004F03D5">
        <w:fldChar w:fldCharType="end"/>
      </w:r>
      <w:r w:rsidRPr="004F03D5" w:rsidR="0077175D">
        <w:t>.  </w:t>
      </w:r>
      <w:r w:rsidRPr="004F03D5">
        <w:t xml:space="preserve">On </w:t>
      </w:r>
      <w:r w:rsidRPr="004F03D5" w:rsidR="00A746F4">
        <w:t>30 June 2017</w:t>
      </w:r>
      <w:r w:rsidRPr="004F03D5">
        <w:t xml:space="preserve"> </w:t>
      </w:r>
      <w:r w:rsidRPr="004F03D5" w:rsidR="009A7479">
        <w:t xml:space="preserve">notice of </w:t>
      </w:r>
      <w:r w:rsidRPr="004F03D5" w:rsidR="0077175D">
        <w:t xml:space="preserve">the </w:t>
      </w:r>
      <w:r w:rsidRPr="004F03D5">
        <w:t>applications was given to the Government</w:t>
      </w:r>
      <w:r w:rsidRPr="004F03D5" w:rsidR="0077175D">
        <w:t>.</w:t>
      </w:r>
    </w:p>
    <w:p w:rsidRPr="004F03D5" w:rsidR="00A746F4" w:rsidP="004F03D5" w:rsidRDefault="00A746F4">
      <w:pPr>
        <w:pStyle w:val="ECHRPara"/>
      </w:pPr>
      <w:r w:rsidRPr="004F03D5">
        <w:fldChar w:fldCharType="begin"/>
      </w:r>
      <w:r w:rsidRPr="004F03D5">
        <w:instrText xml:space="preserve"> SEQ level0 \*arabic </w:instrText>
      </w:r>
      <w:r w:rsidRPr="004F03D5">
        <w:fldChar w:fldCharType="separate"/>
      </w:r>
      <w:r w:rsidRPr="004F03D5" w:rsidR="004F03D5">
        <w:rPr>
          <w:noProof/>
        </w:rPr>
        <w:t>4</w:t>
      </w:r>
      <w:r w:rsidRPr="004F03D5">
        <w:fldChar w:fldCharType="end"/>
      </w:r>
      <w:r w:rsidRPr="004F03D5">
        <w:t>.  </w:t>
      </w:r>
      <w:r w:rsidRPr="004F03D5">
        <w:rPr>
          <w:rFonts w:ascii="Times New Roman" w:hAnsi="Times New Roman" w:cs="Times New Roman"/>
          <w:color w:val="000000"/>
        </w:rPr>
        <w:t>The Government did not object to the examination of the applications by a Committee.</w:t>
      </w:r>
    </w:p>
    <w:p w:rsidRPr="004F03D5" w:rsidR="00D420F3" w:rsidP="004F03D5" w:rsidRDefault="0077175D">
      <w:pPr>
        <w:pStyle w:val="ECHRTitle1"/>
      </w:pPr>
      <w:r w:rsidRPr="004F03D5">
        <w:t>THE FACTS</w:t>
      </w:r>
    </w:p>
    <w:p w:rsidRPr="004F03D5" w:rsidR="00D420F3" w:rsidP="004F03D5" w:rsidRDefault="0077175D">
      <w:pPr>
        <w:pStyle w:val="ECHRHeading1"/>
      </w:pPr>
      <w:r w:rsidRPr="004F03D5">
        <w:t>I.  THE CIRCUMSTANCES OF THE CASE</w:t>
      </w:r>
    </w:p>
    <w:p w:rsidRPr="004F03D5" w:rsidR="001D4766"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5</w:t>
      </w:r>
      <w:r w:rsidRPr="004F03D5">
        <w:fldChar w:fldCharType="end"/>
      </w:r>
      <w:r w:rsidRPr="004F03D5" w:rsidR="0077175D">
        <w:t xml:space="preserve">.  The </w:t>
      </w:r>
      <w:r w:rsidRPr="004F03D5" w:rsidR="00A746F4">
        <w:t>first applicant (Mr Ryklin)</w:t>
      </w:r>
      <w:r w:rsidRPr="004F03D5">
        <w:t xml:space="preserve"> </w:t>
      </w:r>
      <w:r w:rsidRPr="004F03D5" w:rsidR="00A746F4">
        <w:t xml:space="preserve">was born in 1958. The second applicant (Mr Sharov) was born in 1956. Both applicants are human rights activists </w:t>
      </w:r>
      <w:r w:rsidRPr="004F03D5" w:rsidR="001D4766">
        <w:t>and pro-democracy campaigners</w:t>
      </w:r>
      <w:r w:rsidRPr="004F03D5" w:rsidR="001A00FC">
        <w:t>.</w:t>
      </w:r>
      <w:r w:rsidRPr="004F03D5" w:rsidR="001D4766">
        <w:t xml:space="preserve"> </w:t>
      </w:r>
      <w:r w:rsidRPr="004F03D5" w:rsidR="001A00FC">
        <w:t>T</w:t>
      </w:r>
      <w:r w:rsidRPr="004F03D5" w:rsidR="001D4766">
        <w:t xml:space="preserve">hey </w:t>
      </w:r>
      <w:r w:rsidRPr="004F03D5" w:rsidR="001A00FC">
        <w:t xml:space="preserve">both </w:t>
      </w:r>
      <w:r w:rsidRPr="004F03D5" w:rsidR="00A746F4">
        <w:t>live in Moscow.</w:t>
      </w:r>
    </w:p>
    <w:p w:rsidRPr="004F03D5" w:rsidR="00883B9B" w:rsidP="004F03D5" w:rsidRDefault="00883B9B">
      <w:pPr>
        <w:pStyle w:val="ECHRHeading2"/>
      </w:pPr>
      <w:r w:rsidRPr="004F03D5">
        <w:t>A.  Notification of a public assembly</w:t>
      </w:r>
    </w:p>
    <w:p w:rsidRPr="004F03D5" w:rsidR="003E021D" w:rsidP="004F03D5" w:rsidRDefault="0076225B">
      <w:pPr>
        <w:pStyle w:val="ECHRPara"/>
      </w:pPr>
      <w:r w:rsidRPr="004F03D5">
        <w:fldChar w:fldCharType="begin"/>
      </w:r>
      <w:r w:rsidRPr="004F03D5">
        <w:instrText xml:space="preserve"> SEQ level0 \*arabic </w:instrText>
      </w:r>
      <w:r w:rsidRPr="004F03D5">
        <w:fldChar w:fldCharType="separate"/>
      </w:r>
      <w:r w:rsidRPr="004F03D5" w:rsidR="004F03D5">
        <w:rPr>
          <w:noProof/>
        </w:rPr>
        <w:t>6</w:t>
      </w:r>
      <w:r w:rsidRPr="004F03D5">
        <w:fldChar w:fldCharType="end"/>
      </w:r>
      <w:r w:rsidRPr="004F03D5">
        <w:t>.  On 21 April 2015 the applicants</w:t>
      </w:r>
      <w:r w:rsidRPr="004F03D5" w:rsidR="001A00FC">
        <w:t xml:space="preserve">, </w:t>
      </w:r>
      <w:r w:rsidRPr="004F03D5">
        <w:t>with three other</w:t>
      </w:r>
      <w:r w:rsidRPr="004F03D5" w:rsidR="001A00FC">
        <w:t xml:space="preserve">s, </w:t>
      </w:r>
      <w:r w:rsidRPr="004F03D5">
        <w:t>sent written notification to the Moscow Mayor</w:t>
      </w:r>
      <w:r w:rsidRPr="004F03D5" w:rsidR="004F03D5">
        <w:t>’</w:t>
      </w:r>
      <w:r w:rsidRPr="004F03D5">
        <w:t xml:space="preserve">s office of their intention to hold a demonstration with some 15,000 participants from 7 p.m. to 10 p.m. on 6 May 2015 </w:t>
      </w:r>
      <w:r w:rsidRPr="004F03D5" w:rsidR="001A00FC">
        <w:t>in</w:t>
      </w:r>
      <w:r w:rsidRPr="004F03D5">
        <w:t xml:space="preserve"> Bolotnaya Square. After </w:t>
      </w:r>
      <w:r w:rsidRPr="004F03D5" w:rsidR="001A00FC">
        <w:t xml:space="preserve">the </w:t>
      </w:r>
      <w:r w:rsidRPr="004F03D5">
        <w:t>expiry of the statutory period for the authority</w:t>
      </w:r>
      <w:r w:rsidRPr="004F03D5" w:rsidR="004F03D5">
        <w:t>’</w:t>
      </w:r>
      <w:r w:rsidRPr="004F03D5">
        <w:t>s reply, on 28 April 2015 the applicants wrote a letter to the Mayor</w:t>
      </w:r>
      <w:r w:rsidRPr="004F03D5" w:rsidR="004F03D5">
        <w:t>’</w:t>
      </w:r>
      <w:r w:rsidRPr="004F03D5">
        <w:t>s office</w:t>
      </w:r>
      <w:r w:rsidRPr="004F03D5" w:rsidR="00AF5F01">
        <w:t xml:space="preserve"> stating that they considered the event of 6 May 2015 to </w:t>
      </w:r>
      <w:r w:rsidRPr="004F03D5" w:rsidR="00E02FB5">
        <w:t xml:space="preserve">have </w:t>
      </w:r>
      <w:r w:rsidRPr="004F03D5" w:rsidR="00AF5F01">
        <w:t>be</w:t>
      </w:r>
      <w:r w:rsidRPr="004F03D5" w:rsidR="00E02FB5">
        <w:t>en</w:t>
      </w:r>
      <w:r w:rsidRPr="004F03D5" w:rsidR="00AF5F01">
        <w:t xml:space="preserve"> approved by the Mayor.</w:t>
      </w:r>
    </w:p>
    <w:p w:rsidRPr="004F03D5" w:rsidR="0076225B" w:rsidP="004F03D5" w:rsidRDefault="00AF5F01">
      <w:pPr>
        <w:pStyle w:val="ECHRPara"/>
      </w:pPr>
      <w:r w:rsidRPr="004F03D5">
        <w:fldChar w:fldCharType="begin"/>
      </w:r>
      <w:r w:rsidRPr="004F03D5">
        <w:instrText xml:space="preserve"> SEQ level0 \*arabic </w:instrText>
      </w:r>
      <w:r w:rsidRPr="004F03D5">
        <w:fldChar w:fldCharType="separate"/>
      </w:r>
      <w:r w:rsidRPr="004F03D5" w:rsidR="004F03D5">
        <w:rPr>
          <w:noProof/>
        </w:rPr>
        <w:t>7</w:t>
      </w:r>
      <w:r w:rsidRPr="004F03D5">
        <w:fldChar w:fldCharType="end"/>
      </w:r>
      <w:r w:rsidRPr="004F03D5">
        <w:t xml:space="preserve">.  On 27 April 2015 </w:t>
      </w:r>
      <w:r w:rsidRPr="004F03D5" w:rsidR="0076225B">
        <w:t xml:space="preserve">the </w:t>
      </w:r>
      <w:r w:rsidRPr="004F03D5">
        <w:t xml:space="preserve">Regional Security and Anti-Corruption Department of Moscow </w:t>
      </w:r>
      <w:r w:rsidRPr="004F03D5" w:rsidR="00E02FB5">
        <w:t xml:space="preserve">telephoned </w:t>
      </w:r>
      <w:r w:rsidRPr="004F03D5">
        <w:t xml:space="preserve">the applicants and suggested that the event be held on Marshal Vasilevskiy Street. On 30 April 2015 the Department repeated this proposal in a letter. </w:t>
      </w:r>
      <w:r w:rsidRPr="004F03D5" w:rsidR="0076225B">
        <w:t>The event organisers were also warned that if they rejected this proposal they would not be allowed to hold a public event</w:t>
      </w:r>
      <w:r w:rsidRPr="004F03D5" w:rsidR="000C3ADB">
        <w:t xml:space="preserve"> at all</w:t>
      </w:r>
      <w:r w:rsidRPr="004F03D5" w:rsidR="0076225B">
        <w:t>.</w:t>
      </w:r>
    </w:p>
    <w:p w:rsidRPr="004F03D5" w:rsidR="0076225B" w:rsidP="004F03D5" w:rsidRDefault="00AF5F01">
      <w:pPr>
        <w:pStyle w:val="ECHRPara"/>
      </w:pPr>
      <w:r w:rsidRPr="004F03D5">
        <w:fldChar w:fldCharType="begin"/>
      </w:r>
      <w:r w:rsidRPr="004F03D5">
        <w:instrText xml:space="preserve"> SEQ level0 \*arabic </w:instrText>
      </w:r>
      <w:r w:rsidRPr="004F03D5">
        <w:fldChar w:fldCharType="separate"/>
      </w:r>
      <w:r w:rsidRPr="004F03D5" w:rsidR="004F03D5">
        <w:rPr>
          <w:noProof/>
        </w:rPr>
        <w:t>8</w:t>
      </w:r>
      <w:r w:rsidRPr="004F03D5">
        <w:fldChar w:fldCharType="end"/>
      </w:r>
      <w:r w:rsidRPr="004F03D5">
        <w:t>.  </w:t>
      </w:r>
      <w:r w:rsidRPr="004F03D5" w:rsidR="0076225B">
        <w:t>According to the applicant</w:t>
      </w:r>
      <w:r w:rsidRPr="004F03D5">
        <w:t>s</w:t>
      </w:r>
      <w:r w:rsidRPr="004F03D5" w:rsidR="0076225B">
        <w:t xml:space="preserve">, </w:t>
      </w:r>
      <w:r w:rsidRPr="004F03D5">
        <w:t>t</w:t>
      </w:r>
      <w:r w:rsidRPr="004F03D5" w:rsidR="0076225B">
        <w:t>he</w:t>
      </w:r>
      <w:r w:rsidRPr="004F03D5">
        <w:t>y</w:t>
      </w:r>
      <w:r w:rsidRPr="004F03D5" w:rsidR="0076225B">
        <w:t xml:space="preserve"> informed all </w:t>
      </w:r>
      <w:r w:rsidRPr="004F03D5">
        <w:t>possible</w:t>
      </w:r>
      <w:r w:rsidRPr="004F03D5" w:rsidR="0076225B">
        <w:t xml:space="preserve"> participants </w:t>
      </w:r>
      <w:r w:rsidRPr="004F03D5" w:rsidR="00E02FB5">
        <w:t>in</w:t>
      </w:r>
      <w:r w:rsidRPr="004F03D5">
        <w:t xml:space="preserve"> the demonstration about its cancellation </w:t>
      </w:r>
      <w:r w:rsidRPr="004F03D5" w:rsidR="0076225B">
        <w:t xml:space="preserve">by way of posting information on the </w:t>
      </w:r>
      <w:r w:rsidRPr="004F03D5" w:rsidR="00E02FB5">
        <w:t>i</w:t>
      </w:r>
      <w:r w:rsidRPr="004F03D5" w:rsidR="0076225B">
        <w:t>nternet and via various mass-media outlets.</w:t>
      </w:r>
    </w:p>
    <w:p w:rsidRPr="004F03D5" w:rsidR="005E047A" w:rsidP="004F03D5" w:rsidRDefault="005E047A">
      <w:pPr>
        <w:pStyle w:val="ECHRHeading2"/>
      </w:pPr>
      <w:r w:rsidRPr="004F03D5">
        <w:t>B.  </w:t>
      </w:r>
      <w:r w:rsidRPr="004F03D5" w:rsidR="00E02FB5">
        <w:t>The e</w:t>
      </w:r>
      <w:r w:rsidRPr="004F03D5">
        <w:t>vents of 6 May 2015</w:t>
      </w:r>
    </w:p>
    <w:p w:rsidRPr="004F03D5" w:rsidR="003E021D" w:rsidP="004F03D5" w:rsidRDefault="005E047A">
      <w:pPr>
        <w:pStyle w:val="ECHRPara"/>
      </w:pPr>
      <w:r w:rsidRPr="004F03D5">
        <w:fldChar w:fldCharType="begin"/>
      </w:r>
      <w:r w:rsidRPr="004F03D5">
        <w:instrText xml:space="preserve"> SEQ level0 \*arabic </w:instrText>
      </w:r>
      <w:r w:rsidRPr="004F03D5">
        <w:fldChar w:fldCharType="separate"/>
      </w:r>
      <w:r w:rsidRPr="004F03D5" w:rsidR="004F03D5">
        <w:rPr>
          <w:noProof/>
        </w:rPr>
        <w:t>9</w:t>
      </w:r>
      <w:r w:rsidRPr="004F03D5">
        <w:fldChar w:fldCharType="end"/>
      </w:r>
      <w:r w:rsidRPr="004F03D5">
        <w:t xml:space="preserve">.  At around 7.05 p.m. both </w:t>
      </w:r>
      <w:r w:rsidRPr="004F03D5" w:rsidR="00E02FB5">
        <w:t xml:space="preserve">the </w:t>
      </w:r>
      <w:r w:rsidRPr="004F03D5">
        <w:t xml:space="preserve">applicants arrived </w:t>
      </w:r>
      <w:r w:rsidRPr="004F03D5" w:rsidR="00E02FB5">
        <w:t>in</w:t>
      </w:r>
      <w:r w:rsidRPr="004F03D5">
        <w:t xml:space="preserve"> Bolotnaya Square</w:t>
      </w:r>
      <w:r w:rsidRPr="004F03D5" w:rsidR="000C3ADB">
        <w:t>,</w:t>
      </w:r>
      <w:r w:rsidRPr="004F03D5">
        <w:t xml:space="preserve"> where they </w:t>
      </w:r>
      <w:r w:rsidRPr="004F03D5" w:rsidR="005D743E">
        <w:t>saw</w:t>
      </w:r>
      <w:r w:rsidRPr="004F03D5">
        <w:t xml:space="preserve"> </w:t>
      </w:r>
      <w:r w:rsidRPr="004F03D5" w:rsidR="00E02FB5">
        <w:t>a</w:t>
      </w:r>
      <w:r w:rsidRPr="004F03D5">
        <w:t xml:space="preserve"> gathering of some fifty people standing quietly, without any banners. According to the applicants, </w:t>
      </w:r>
      <w:r w:rsidRPr="004F03D5" w:rsidR="005D743E">
        <w:t xml:space="preserve">each </w:t>
      </w:r>
      <w:r w:rsidRPr="004F03D5" w:rsidR="000F6D74">
        <w:t>positioned</w:t>
      </w:r>
      <w:r w:rsidRPr="004F03D5" w:rsidR="005D743E">
        <w:t xml:space="preserve"> himself at a distance from </w:t>
      </w:r>
      <w:r w:rsidRPr="004F03D5" w:rsidR="000F6D74">
        <w:t xml:space="preserve">other </w:t>
      </w:r>
      <w:r w:rsidRPr="004F03D5" w:rsidR="005D743E">
        <w:t xml:space="preserve">people </w:t>
      </w:r>
      <w:r w:rsidRPr="004F03D5" w:rsidR="00041422">
        <w:t xml:space="preserve">with </w:t>
      </w:r>
      <w:r w:rsidRPr="004F03D5" w:rsidR="005D743E">
        <w:t xml:space="preserve">a </w:t>
      </w:r>
      <w:r w:rsidRPr="004F03D5" w:rsidR="00041422">
        <w:t xml:space="preserve">political </w:t>
      </w:r>
      <w:r w:rsidRPr="004F03D5" w:rsidR="005D743E">
        <w:t xml:space="preserve">banner. The applicants considered that </w:t>
      </w:r>
      <w:r w:rsidRPr="004F03D5" w:rsidR="005B1D12">
        <w:t>each of them was</w:t>
      </w:r>
      <w:r w:rsidRPr="004F03D5" w:rsidR="005D743E">
        <w:t xml:space="preserve"> staging a solo demonstration which did not require prior notification of the authorities. </w:t>
      </w:r>
      <w:r w:rsidRPr="004F03D5" w:rsidR="005B1D12">
        <w:t>A few minutes later the applicants were arrested and taken to a police van.</w:t>
      </w:r>
    </w:p>
    <w:p w:rsidRPr="004F03D5" w:rsidR="003E021D" w:rsidP="004F03D5" w:rsidRDefault="005B1D12">
      <w:pPr>
        <w:pStyle w:val="ECHRPara"/>
      </w:pPr>
      <w:r w:rsidRPr="004F03D5">
        <w:fldChar w:fldCharType="begin"/>
      </w:r>
      <w:r w:rsidRPr="004F03D5">
        <w:instrText xml:space="preserve"> SEQ level0 \*arabic </w:instrText>
      </w:r>
      <w:r w:rsidRPr="004F03D5">
        <w:fldChar w:fldCharType="separate"/>
      </w:r>
      <w:r w:rsidRPr="004F03D5" w:rsidR="004F03D5">
        <w:rPr>
          <w:noProof/>
        </w:rPr>
        <w:t>10</w:t>
      </w:r>
      <w:r w:rsidRPr="004F03D5">
        <w:fldChar w:fldCharType="end"/>
      </w:r>
      <w:r w:rsidRPr="004F03D5">
        <w:t xml:space="preserve">.  According to the Government, on 6 May 2015 the applicants, acting in a group of fifty people, organised and held a public assembly without prior notification </w:t>
      </w:r>
      <w:r w:rsidRPr="004F03D5" w:rsidR="00E02FB5">
        <w:t xml:space="preserve">being given </w:t>
      </w:r>
      <w:r w:rsidRPr="004F03D5">
        <w:t xml:space="preserve">to the authorities. The applicants called upon others to shout </w:t>
      </w:r>
      <w:r w:rsidRPr="004F03D5" w:rsidR="00E02FB5">
        <w:t xml:space="preserve">the </w:t>
      </w:r>
      <w:r w:rsidRPr="004F03D5">
        <w:t>slogans “Freedom to political prisoners”, “Death to fascists” and other</w:t>
      </w:r>
      <w:r w:rsidRPr="004F03D5" w:rsidR="00E02FB5">
        <w:t>s</w:t>
      </w:r>
      <w:r w:rsidRPr="004F03D5">
        <w:t xml:space="preserve">; the second applicant </w:t>
      </w:r>
      <w:r w:rsidRPr="004F03D5" w:rsidR="00E02FB5">
        <w:t>held</w:t>
      </w:r>
      <w:r w:rsidRPr="004F03D5">
        <w:t xml:space="preserve"> a banner stating that all “Bolotnaya participants” were innocent. The applicants did not </w:t>
      </w:r>
      <w:r w:rsidRPr="004F03D5" w:rsidR="00E02FB5">
        <w:t>respond</w:t>
      </w:r>
      <w:r w:rsidRPr="004F03D5">
        <w:t xml:space="preserve"> to </w:t>
      </w:r>
      <w:r w:rsidRPr="004F03D5" w:rsidR="00E02FB5">
        <w:t xml:space="preserve">the </w:t>
      </w:r>
      <w:r w:rsidRPr="004F03D5">
        <w:t xml:space="preserve">multiple demands </w:t>
      </w:r>
      <w:r w:rsidRPr="004F03D5" w:rsidR="00E02FB5">
        <w:t>by</w:t>
      </w:r>
      <w:r w:rsidRPr="004F03D5">
        <w:t xml:space="preserve"> the police </w:t>
      </w:r>
      <w:r w:rsidRPr="004F03D5" w:rsidR="00E02FB5">
        <w:t xml:space="preserve">that they </w:t>
      </w:r>
      <w:r w:rsidRPr="004F03D5">
        <w:t>cease their actions, and at 7.35</w:t>
      </w:r>
      <w:r w:rsidRPr="004F03D5" w:rsidR="0004594E">
        <w:t> </w:t>
      </w:r>
      <w:r w:rsidRPr="004F03D5">
        <w:t xml:space="preserve">p.m. they were </w:t>
      </w:r>
      <w:r w:rsidRPr="004F03D5" w:rsidR="00E02FB5">
        <w:t>taken</w:t>
      </w:r>
      <w:r w:rsidRPr="004F03D5">
        <w:t xml:space="preserve"> to the Yakimanka district police station.</w:t>
      </w:r>
    </w:p>
    <w:bookmarkStart w:name="EscortArrest" w:id="2"/>
    <w:p w:rsidRPr="004F03D5" w:rsidR="003E021D" w:rsidP="004F03D5" w:rsidRDefault="005B1D12">
      <w:pPr>
        <w:pStyle w:val="ECHRPara"/>
      </w:pPr>
      <w:r w:rsidRPr="004F03D5">
        <w:fldChar w:fldCharType="begin"/>
      </w:r>
      <w:r w:rsidRPr="004F03D5">
        <w:instrText xml:space="preserve"> SEQ level0 \*arabic </w:instrText>
      </w:r>
      <w:r w:rsidRPr="004F03D5">
        <w:fldChar w:fldCharType="separate"/>
      </w:r>
      <w:r w:rsidRPr="004F03D5" w:rsidR="004F03D5">
        <w:rPr>
          <w:noProof/>
        </w:rPr>
        <w:t>11</w:t>
      </w:r>
      <w:r w:rsidRPr="004F03D5">
        <w:fldChar w:fldCharType="end"/>
      </w:r>
      <w:bookmarkEnd w:id="2"/>
      <w:r w:rsidRPr="004F03D5">
        <w:t xml:space="preserve">.  According to the records of </w:t>
      </w:r>
      <w:r w:rsidRPr="004F03D5" w:rsidR="002D17A8">
        <w:t>transfer</w:t>
      </w:r>
      <w:r w:rsidRPr="004F03D5" w:rsidR="00E02FB5">
        <w:t xml:space="preserve"> to the police station</w:t>
      </w:r>
      <w:r w:rsidRPr="004F03D5">
        <w:t xml:space="preserve"> (</w:t>
      </w:r>
      <w:r w:rsidRPr="004F03D5">
        <w:rPr>
          <w:i/>
        </w:rPr>
        <w:t>протоколы доставлени</w:t>
      </w:r>
      <w:r w:rsidRPr="004F03D5" w:rsidR="001A44A4">
        <w:rPr>
          <w:i/>
          <w:lang w:val="ru-RU"/>
        </w:rPr>
        <w:t>я</w:t>
      </w:r>
      <w:r w:rsidRPr="004F03D5">
        <w:t xml:space="preserve">) and </w:t>
      </w:r>
      <w:r w:rsidRPr="004F03D5" w:rsidR="00E02FB5">
        <w:t xml:space="preserve">the </w:t>
      </w:r>
      <w:r w:rsidRPr="004F03D5">
        <w:t>administrative arrest records, the first applicant was brought to the police station at 7.40 p.m. on 6 May 2015</w:t>
      </w:r>
      <w:r w:rsidRPr="004F03D5" w:rsidR="00F12212">
        <w:t xml:space="preserve"> and </w:t>
      </w:r>
      <w:r w:rsidRPr="004F03D5" w:rsidR="00E02FB5">
        <w:t xml:space="preserve">placed under </w:t>
      </w:r>
      <w:r w:rsidRPr="004F03D5" w:rsidR="00F12212">
        <w:t xml:space="preserve">administrative arrest at the same time. The second applicant was brought to the police station at 7.25 p.m. and </w:t>
      </w:r>
      <w:r w:rsidRPr="004F03D5" w:rsidR="00E02FB5">
        <w:t xml:space="preserve">placed under </w:t>
      </w:r>
      <w:r w:rsidRPr="004F03D5" w:rsidR="00F12212">
        <w:t xml:space="preserve">administrative arrest at 7.40 p.m. </w:t>
      </w:r>
      <w:r w:rsidRPr="004F03D5" w:rsidR="00B5684C">
        <w:t xml:space="preserve">The records of </w:t>
      </w:r>
      <w:r w:rsidRPr="004F03D5" w:rsidR="000C3ADB">
        <w:t xml:space="preserve">the </w:t>
      </w:r>
      <w:r w:rsidRPr="004F03D5" w:rsidR="002D17A8">
        <w:t>transfer</w:t>
      </w:r>
      <w:r w:rsidRPr="004F03D5" w:rsidR="00B5684C">
        <w:t xml:space="preserve"> contained an indication that both applicants were taken to the police station for an administrative offence record</w:t>
      </w:r>
      <w:r w:rsidRPr="004F03D5" w:rsidR="004277DD">
        <w:t xml:space="preserve"> to be drawn up</w:t>
      </w:r>
      <w:r w:rsidRPr="004F03D5" w:rsidR="00B5684C">
        <w:t>.</w:t>
      </w:r>
    </w:p>
    <w:p w:rsidRPr="004F03D5" w:rsidR="003E021D" w:rsidP="004F03D5" w:rsidRDefault="00F12212">
      <w:pPr>
        <w:pStyle w:val="ECHRPara"/>
      </w:pPr>
      <w:r w:rsidRPr="004F03D5">
        <w:fldChar w:fldCharType="begin"/>
      </w:r>
      <w:r w:rsidRPr="004F03D5">
        <w:instrText xml:space="preserve"> SEQ level0 \*arabic </w:instrText>
      </w:r>
      <w:r w:rsidRPr="004F03D5">
        <w:fldChar w:fldCharType="separate"/>
      </w:r>
      <w:r w:rsidRPr="004F03D5" w:rsidR="004F03D5">
        <w:rPr>
          <w:noProof/>
        </w:rPr>
        <w:t>12</w:t>
      </w:r>
      <w:r w:rsidRPr="004F03D5">
        <w:fldChar w:fldCharType="end"/>
      </w:r>
      <w:r w:rsidRPr="004F03D5">
        <w:t>.  According to the Government, the term of the applicants</w:t>
      </w:r>
      <w:r w:rsidRPr="004F03D5" w:rsidR="004F03D5">
        <w:t>’</w:t>
      </w:r>
      <w:r w:rsidRPr="004F03D5">
        <w:t xml:space="preserve"> </w:t>
      </w:r>
      <w:r w:rsidRPr="004F03D5" w:rsidR="00EC396B">
        <w:t>r</w:t>
      </w:r>
      <w:r w:rsidRPr="004F03D5">
        <w:t xml:space="preserve">etention </w:t>
      </w:r>
      <w:r w:rsidRPr="004F03D5" w:rsidR="004277DD">
        <w:t>in</w:t>
      </w:r>
      <w:r w:rsidRPr="004F03D5">
        <w:t xml:space="preserve"> the police station was extended to forty-eight hours. On 6 May 2015 at 10.15 p.m. the first applicant was transported to the police station in Zamoskvorechye District of Moscow. On 7 May 2015 at 4 p.m. he was </w:t>
      </w:r>
      <w:r w:rsidRPr="004F03D5" w:rsidR="000C3ADB">
        <w:t>taken</w:t>
      </w:r>
      <w:r w:rsidRPr="004F03D5">
        <w:t xml:space="preserve"> to the Zamoskvoretskiy District Court of Moscow. The second applicant was </w:t>
      </w:r>
      <w:r w:rsidRPr="004F03D5" w:rsidR="000C3ADB">
        <w:t>taken</w:t>
      </w:r>
      <w:r w:rsidRPr="004F03D5">
        <w:t xml:space="preserve"> to that same court on 7 May 2015 at 4.10 p.m.</w:t>
      </w:r>
    </w:p>
    <w:p w:rsidRPr="004F03D5" w:rsidR="003E021D" w:rsidP="004F03D5" w:rsidRDefault="00F12212">
      <w:pPr>
        <w:pStyle w:val="ECHRPara"/>
      </w:pPr>
      <w:r w:rsidRPr="004F03D5">
        <w:fldChar w:fldCharType="begin"/>
      </w:r>
      <w:r w:rsidRPr="004F03D5">
        <w:instrText xml:space="preserve"> SEQ level0 \*arabic </w:instrText>
      </w:r>
      <w:r w:rsidRPr="004F03D5">
        <w:fldChar w:fldCharType="separate"/>
      </w:r>
      <w:r w:rsidRPr="004F03D5" w:rsidR="004F03D5">
        <w:rPr>
          <w:noProof/>
        </w:rPr>
        <w:t>13</w:t>
      </w:r>
      <w:r w:rsidRPr="004F03D5">
        <w:fldChar w:fldCharType="end"/>
      </w:r>
      <w:r w:rsidRPr="004F03D5">
        <w:t xml:space="preserve">.  At the police stations both applicants were accused of </w:t>
      </w:r>
      <w:r w:rsidRPr="004F03D5" w:rsidR="001A65FF">
        <w:t>organising and holding a group public event without notif</w:t>
      </w:r>
      <w:r w:rsidRPr="004F03D5" w:rsidR="004277DD">
        <w:t>ying</w:t>
      </w:r>
      <w:r w:rsidRPr="004F03D5" w:rsidR="001A65FF">
        <w:t xml:space="preserve"> the authorities</w:t>
      </w:r>
      <w:r w:rsidRPr="004F03D5" w:rsidR="004277DD">
        <w:t xml:space="preserve"> in advance</w:t>
      </w:r>
      <w:r w:rsidRPr="004F03D5" w:rsidR="001A65FF">
        <w:t>, in breach of Article 20.2 § 2 of the Code of Administrative Offences (hereinafter “</w:t>
      </w:r>
      <w:r w:rsidRPr="004F03D5" w:rsidR="004277DD">
        <w:t xml:space="preserve">the </w:t>
      </w:r>
      <w:r w:rsidRPr="004F03D5" w:rsidR="001A65FF">
        <w:t>CAO”).</w:t>
      </w:r>
      <w:r w:rsidRPr="004F03D5" w:rsidR="00723F4B">
        <w:t xml:space="preserve"> In particular, they called upon others to shout political slogans; the second applicant had a banner.</w:t>
      </w:r>
    </w:p>
    <w:p w:rsidRPr="004F03D5" w:rsidR="003E021D" w:rsidP="004F03D5" w:rsidRDefault="00723F4B">
      <w:pPr>
        <w:pStyle w:val="ECHRHeading2"/>
      </w:pPr>
      <w:r w:rsidRPr="004F03D5">
        <w:t>C.  </w:t>
      </w:r>
      <w:r w:rsidRPr="004F03D5" w:rsidR="004277DD">
        <w:t>The a</w:t>
      </w:r>
      <w:r w:rsidRPr="004F03D5">
        <w:t>dministrative proceedings against the applicants</w:t>
      </w:r>
    </w:p>
    <w:bookmarkStart w:name="AdminConviction1Appt" w:id="3"/>
    <w:p w:rsidRPr="004F03D5" w:rsidR="0076225B" w:rsidP="004F03D5" w:rsidRDefault="00723F4B">
      <w:pPr>
        <w:pStyle w:val="ECHRPara"/>
      </w:pPr>
      <w:r w:rsidRPr="004F03D5">
        <w:fldChar w:fldCharType="begin"/>
      </w:r>
      <w:r w:rsidRPr="004F03D5">
        <w:instrText xml:space="preserve"> SEQ level0 \*arabic </w:instrText>
      </w:r>
      <w:r w:rsidRPr="004F03D5">
        <w:fldChar w:fldCharType="separate"/>
      </w:r>
      <w:r w:rsidRPr="004F03D5" w:rsidR="004F03D5">
        <w:rPr>
          <w:noProof/>
        </w:rPr>
        <w:t>14</w:t>
      </w:r>
      <w:r w:rsidRPr="004F03D5">
        <w:fldChar w:fldCharType="end"/>
      </w:r>
      <w:bookmarkEnd w:id="3"/>
      <w:r w:rsidRPr="004F03D5">
        <w:t xml:space="preserve">.  On 7 May 2015 </w:t>
      </w:r>
      <w:r w:rsidRPr="004F03D5" w:rsidR="0076225B">
        <w:t xml:space="preserve">the Zamoskvoretskiy District Court </w:t>
      </w:r>
      <w:r w:rsidRPr="004F03D5">
        <w:t>convicted the first applicant under Article 20.2 § 2 of the CAO and sentenced him to ten days</w:t>
      </w:r>
      <w:r w:rsidRPr="004F03D5" w:rsidR="004F03D5">
        <w:t>’</w:t>
      </w:r>
      <w:r w:rsidRPr="004F03D5">
        <w:t xml:space="preserve"> detention. The court found that the first applicant, with the second applicant</w:t>
      </w:r>
      <w:r w:rsidRPr="004F03D5" w:rsidR="004277DD">
        <w:t>,</w:t>
      </w:r>
      <w:r w:rsidRPr="004F03D5">
        <w:t xml:space="preserve"> </w:t>
      </w:r>
      <w:r w:rsidRPr="004F03D5" w:rsidR="00DD32A1">
        <w:t xml:space="preserve">had </w:t>
      </w:r>
      <w:r w:rsidRPr="004F03D5">
        <w:t xml:space="preserve">organised and held a group public event </w:t>
      </w:r>
      <w:r w:rsidRPr="004F03D5" w:rsidR="00B46C38">
        <w:t xml:space="preserve">in the form of a “meeting” </w:t>
      </w:r>
      <w:r w:rsidRPr="004F03D5">
        <w:t>with about fifty participants, without notif</w:t>
      </w:r>
      <w:r w:rsidRPr="004F03D5" w:rsidR="004277DD">
        <w:t xml:space="preserve">ying </w:t>
      </w:r>
      <w:r w:rsidRPr="004F03D5">
        <w:t>the authorities</w:t>
      </w:r>
      <w:r w:rsidRPr="004F03D5" w:rsidR="004277DD">
        <w:t xml:space="preserve"> in advance</w:t>
      </w:r>
      <w:r w:rsidRPr="004F03D5">
        <w:t xml:space="preserve">. </w:t>
      </w:r>
      <w:r w:rsidRPr="004F03D5" w:rsidR="00EA7F6B">
        <w:t>It dismissed the applicant</w:t>
      </w:r>
      <w:r w:rsidRPr="004F03D5" w:rsidR="004F03D5">
        <w:t>’</w:t>
      </w:r>
      <w:r w:rsidRPr="004F03D5" w:rsidR="00EA7F6B">
        <w:t xml:space="preserve">s argument that he had staged a solo demonstration, </w:t>
      </w:r>
      <w:r w:rsidRPr="004F03D5" w:rsidR="004277DD">
        <w:t xml:space="preserve">after </w:t>
      </w:r>
      <w:r w:rsidRPr="004F03D5" w:rsidR="00EA7F6B">
        <w:t>consider</w:t>
      </w:r>
      <w:r w:rsidRPr="004F03D5" w:rsidR="004277DD">
        <w:t>ing</w:t>
      </w:r>
      <w:r w:rsidRPr="004F03D5" w:rsidR="00EA7F6B">
        <w:t xml:space="preserve"> it as a line of defence. The court also </w:t>
      </w:r>
      <w:r w:rsidRPr="004F03D5" w:rsidR="0076225B">
        <w:t xml:space="preserve">refused to </w:t>
      </w:r>
      <w:r w:rsidRPr="004F03D5" w:rsidR="00EA7F6B">
        <w:t xml:space="preserve">admit </w:t>
      </w:r>
      <w:r w:rsidRPr="004F03D5" w:rsidR="004277DD">
        <w:t>in</w:t>
      </w:r>
      <w:r w:rsidRPr="004F03D5" w:rsidR="0076225B">
        <w:t xml:space="preserve"> evidence a video recording </w:t>
      </w:r>
      <w:r w:rsidRPr="004F03D5" w:rsidR="00EA7F6B">
        <w:t xml:space="preserve">of the events </w:t>
      </w:r>
      <w:r w:rsidRPr="004F03D5" w:rsidR="004277DD">
        <w:t>in</w:t>
      </w:r>
      <w:r w:rsidRPr="004F03D5" w:rsidR="00EA7F6B">
        <w:t xml:space="preserve"> Bolotnaya Square</w:t>
      </w:r>
      <w:r w:rsidRPr="004F03D5" w:rsidR="004277DD">
        <w:t>,</w:t>
      </w:r>
      <w:r w:rsidRPr="004F03D5" w:rsidR="00EA7F6B">
        <w:t xml:space="preserve"> </w:t>
      </w:r>
      <w:r w:rsidRPr="004F03D5" w:rsidR="0076225B">
        <w:t>because it was “undated and did not contain the entire chronology of events preceding [the applicant</w:t>
      </w:r>
      <w:r w:rsidRPr="004F03D5" w:rsidR="004F03D5">
        <w:t>’</w:t>
      </w:r>
      <w:r w:rsidRPr="004F03D5" w:rsidR="0076225B">
        <w:t>s] arrest”.</w:t>
      </w:r>
    </w:p>
    <w:bookmarkStart w:name="AdminConviction2Appt" w:id="4"/>
    <w:p w:rsidRPr="004F03D5" w:rsidR="003E021D" w:rsidP="004F03D5" w:rsidRDefault="00EA7F6B">
      <w:pPr>
        <w:pStyle w:val="ECHRPara"/>
      </w:pPr>
      <w:r w:rsidRPr="004F03D5">
        <w:fldChar w:fldCharType="begin"/>
      </w:r>
      <w:r w:rsidRPr="004F03D5">
        <w:instrText xml:space="preserve"> SEQ level0 \*arabic </w:instrText>
      </w:r>
      <w:r w:rsidRPr="004F03D5">
        <w:fldChar w:fldCharType="separate"/>
      </w:r>
      <w:r w:rsidRPr="004F03D5" w:rsidR="004F03D5">
        <w:rPr>
          <w:noProof/>
        </w:rPr>
        <w:t>15</w:t>
      </w:r>
      <w:r w:rsidRPr="004F03D5">
        <w:fldChar w:fldCharType="end"/>
      </w:r>
      <w:bookmarkEnd w:id="4"/>
      <w:r w:rsidRPr="004F03D5">
        <w:t xml:space="preserve">.  On the same day the Zamoskvoretskiy District Court heard </w:t>
      </w:r>
      <w:r w:rsidRPr="004F03D5" w:rsidR="009A1AB8">
        <w:t>the</w:t>
      </w:r>
      <w:r w:rsidRPr="004F03D5">
        <w:t xml:space="preserve"> case against the second applicant. The court reiterated the description of the administrative offence </w:t>
      </w:r>
      <w:r w:rsidRPr="004F03D5" w:rsidR="00150167">
        <w:t xml:space="preserve">imputed to the first applicant, found </w:t>
      </w:r>
      <w:r w:rsidRPr="004F03D5">
        <w:t xml:space="preserve">the second applicant guilty </w:t>
      </w:r>
      <w:r w:rsidRPr="004F03D5" w:rsidR="00150167">
        <w:t>under Article 20.2 § 2 of the CAO, and sentenced him to ten days</w:t>
      </w:r>
      <w:r w:rsidRPr="004F03D5" w:rsidR="004F03D5">
        <w:t>’</w:t>
      </w:r>
      <w:r w:rsidRPr="004F03D5" w:rsidR="00150167">
        <w:t xml:space="preserve"> detention. The court dismissed </w:t>
      </w:r>
      <w:r w:rsidRPr="004F03D5" w:rsidR="004277DD">
        <w:t xml:space="preserve">the evidence of </w:t>
      </w:r>
      <w:r w:rsidRPr="004F03D5" w:rsidR="00150167">
        <w:t xml:space="preserve">two eyewitnesses who stated that the second applicant had been standing alone on the bridge with a banner. It also refused to admit </w:t>
      </w:r>
      <w:r w:rsidRPr="004F03D5" w:rsidR="004277DD">
        <w:t>in</w:t>
      </w:r>
      <w:r w:rsidRPr="004F03D5" w:rsidR="00150167">
        <w:t xml:space="preserve"> evidence video recordings and photographs </w:t>
      </w:r>
      <w:r w:rsidRPr="004F03D5" w:rsidR="004277DD">
        <w:t>showing</w:t>
      </w:r>
      <w:r w:rsidRPr="004F03D5" w:rsidR="00150167">
        <w:t xml:space="preserve"> the second applicant</w:t>
      </w:r>
      <w:r w:rsidRPr="004F03D5" w:rsidR="004277DD">
        <w:t>,</w:t>
      </w:r>
      <w:r w:rsidRPr="004F03D5" w:rsidR="00150167">
        <w:t xml:space="preserve"> because neither of them contained “information about </w:t>
      </w:r>
      <w:r w:rsidRPr="004F03D5" w:rsidR="004277DD">
        <w:t xml:space="preserve">the </w:t>
      </w:r>
      <w:r w:rsidRPr="004F03D5" w:rsidR="00150167">
        <w:t>address”.</w:t>
      </w:r>
    </w:p>
    <w:bookmarkStart w:name="Appeal" w:id="5"/>
    <w:p w:rsidRPr="004F03D5" w:rsidR="003E021D" w:rsidP="004F03D5" w:rsidRDefault="00150167">
      <w:pPr>
        <w:pStyle w:val="ECHRPara"/>
      </w:pPr>
      <w:r w:rsidRPr="004F03D5">
        <w:fldChar w:fldCharType="begin"/>
      </w:r>
      <w:r w:rsidRPr="004F03D5">
        <w:instrText xml:space="preserve"> SEQ level0 \*arabic </w:instrText>
      </w:r>
      <w:r w:rsidRPr="004F03D5">
        <w:fldChar w:fldCharType="separate"/>
      </w:r>
      <w:r w:rsidRPr="004F03D5" w:rsidR="004F03D5">
        <w:rPr>
          <w:noProof/>
        </w:rPr>
        <w:t>16</w:t>
      </w:r>
      <w:r w:rsidRPr="004F03D5">
        <w:fldChar w:fldCharType="end"/>
      </w:r>
      <w:bookmarkEnd w:id="5"/>
      <w:r w:rsidRPr="004F03D5">
        <w:t xml:space="preserve">.  Both </w:t>
      </w:r>
      <w:r w:rsidRPr="004F03D5" w:rsidR="004277DD">
        <w:t xml:space="preserve">the </w:t>
      </w:r>
      <w:r w:rsidRPr="004F03D5">
        <w:t>applicants appealed</w:t>
      </w:r>
      <w:r w:rsidRPr="004F03D5" w:rsidR="004277DD">
        <w:t>,</w:t>
      </w:r>
      <w:r w:rsidRPr="004F03D5">
        <w:t xml:space="preserve"> insisting that </w:t>
      </w:r>
      <w:r w:rsidRPr="004F03D5" w:rsidR="00B46C38">
        <w:t xml:space="preserve">they had staged solo demonstrations. </w:t>
      </w:r>
      <w:r w:rsidRPr="004F03D5" w:rsidR="0076225B">
        <w:t xml:space="preserve">On 13 May 2015 the Moscow City Court upheld </w:t>
      </w:r>
      <w:r w:rsidRPr="004F03D5" w:rsidR="004277DD">
        <w:t xml:space="preserve">the </w:t>
      </w:r>
      <w:r w:rsidRPr="004F03D5" w:rsidR="0076225B">
        <w:t>judgment</w:t>
      </w:r>
      <w:r w:rsidRPr="004F03D5" w:rsidR="00B46C38">
        <w:t>s</w:t>
      </w:r>
      <w:r w:rsidRPr="004F03D5" w:rsidR="0076225B">
        <w:t xml:space="preserve">. Referring to the statutory definition of a “meeting” (the presence of people in a specific place in order to publicly </w:t>
      </w:r>
      <w:r w:rsidRPr="004F03D5" w:rsidR="004277DD">
        <w:t xml:space="preserve">express </w:t>
      </w:r>
      <w:r w:rsidRPr="004F03D5" w:rsidR="0076225B">
        <w:t xml:space="preserve">their opinions, essentially on social and political issues), the appellate court </w:t>
      </w:r>
      <w:r w:rsidRPr="004F03D5" w:rsidR="00B46C38">
        <w:t xml:space="preserve">considered that </w:t>
      </w:r>
      <w:r w:rsidRPr="004F03D5" w:rsidR="0076225B">
        <w:t xml:space="preserve">some fifty people had been present </w:t>
      </w:r>
      <w:r w:rsidRPr="004F03D5" w:rsidR="004277DD">
        <w:t>in</w:t>
      </w:r>
      <w:r w:rsidRPr="004F03D5" w:rsidR="0076225B">
        <w:t xml:space="preserve"> </w:t>
      </w:r>
      <w:r w:rsidRPr="004F03D5" w:rsidR="00B46C38">
        <w:t>Bolotnaya Square, including the applicants, who had called on others to shout political slogans.</w:t>
      </w:r>
    </w:p>
    <w:p w:rsidRPr="004F03D5" w:rsidR="00D420F3" w:rsidP="004F03D5" w:rsidRDefault="0077175D">
      <w:pPr>
        <w:pStyle w:val="ECHRHeading1"/>
      </w:pPr>
      <w:r w:rsidRPr="004F03D5">
        <w:t>II.  RELEVANT DOMESTIC LAW AND PRACTICE</w:t>
      </w:r>
    </w:p>
    <w:p w:rsidRPr="004F03D5" w:rsidR="003E021D"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17</w:t>
      </w:r>
      <w:r w:rsidRPr="004F03D5">
        <w:fldChar w:fldCharType="end"/>
      </w:r>
      <w:r w:rsidRPr="004F03D5" w:rsidR="0077175D">
        <w:t>.  </w:t>
      </w:r>
      <w:r w:rsidRPr="004F03D5" w:rsidR="00B46C38">
        <w:t xml:space="preserve">For a summary of domestic law and practice concerning regulations relating to the conduct of public events, liability for breaches committed </w:t>
      </w:r>
      <w:r w:rsidRPr="004F03D5" w:rsidR="004277DD">
        <w:t xml:space="preserve">during such events, </w:t>
      </w:r>
      <w:r w:rsidRPr="004F03D5" w:rsidR="00B46C38">
        <w:t xml:space="preserve">and administrative </w:t>
      </w:r>
      <w:r w:rsidRPr="004F03D5" w:rsidR="002D17A8">
        <w:t>transfer</w:t>
      </w:r>
      <w:r w:rsidRPr="004F03D5" w:rsidR="00B46C38">
        <w:t xml:space="preserve"> and arrest, see </w:t>
      </w:r>
      <w:r w:rsidRPr="004F03D5" w:rsidR="00B46C38">
        <w:rPr>
          <w:i/>
        </w:rPr>
        <w:t>Lashmankin and Others</w:t>
      </w:r>
      <w:r w:rsidRPr="004F03D5" w:rsidR="00B46C38">
        <w:t xml:space="preserve">, nos. 57818/09 and 14 others, §§ 216-312, 7 February 2017, and </w:t>
      </w:r>
      <w:r w:rsidRPr="004F03D5" w:rsidR="00B46C38">
        <w:rPr>
          <w:i/>
        </w:rPr>
        <w:t>Novikova and Others v. Russia</w:t>
      </w:r>
      <w:r w:rsidRPr="004F03D5" w:rsidR="00B46C38">
        <w:t>, nos. 25501/07 and 4 others, §§ 47-85, 26</w:t>
      </w:r>
      <w:r w:rsidRPr="004F03D5" w:rsidR="006F4119">
        <w:t> </w:t>
      </w:r>
      <w:r w:rsidRPr="004F03D5" w:rsidR="00B46C38">
        <w:t>April 2016.</w:t>
      </w:r>
    </w:p>
    <w:bookmarkStart w:name="MoscowLaw" w:id="6"/>
    <w:p w:rsidRPr="004F03D5" w:rsidR="00D420F3" w:rsidP="004F03D5" w:rsidRDefault="00B46C38">
      <w:pPr>
        <w:pStyle w:val="ECHRPara"/>
      </w:pPr>
      <w:r w:rsidRPr="004F03D5">
        <w:fldChar w:fldCharType="begin"/>
      </w:r>
      <w:r w:rsidRPr="004F03D5">
        <w:instrText xml:space="preserve"> SEQ level0 \*arabic </w:instrText>
      </w:r>
      <w:r w:rsidRPr="004F03D5">
        <w:fldChar w:fldCharType="separate"/>
      </w:r>
      <w:r w:rsidRPr="004F03D5" w:rsidR="004F03D5">
        <w:rPr>
          <w:noProof/>
        </w:rPr>
        <w:t>18</w:t>
      </w:r>
      <w:r w:rsidRPr="004F03D5">
        <w:fldChar w:fldCharType="end"/>
      </w:r>
      <w:bookmarkEnd w:id="6"/>
      <w:r w:rsidRPr="004F03D5">
        <w:t xml:space="preserve">.  Since 6 January 2013 Moscow City Law no. 10 of 4 April 2007 </w:t>
      </w:r>
      <w:r w:rsidRPr="004F03D5" w:rsidR="004277DD">
        <w:t xml:space="preserve">has </w:t>
      </w:r>
      <w:r w:rsidRPr="004F03D5">
        <w:t>provide</w:t>
      </w:r>
      <w:r w:rsidRPr="004F03D5" w:rsidR="004277DD">
        <w:t>d</w:t>
      </w:r>
      <w:r w:rsidRPr="004F03D5">
        <w:t xml:space="preserve"> that the distance between solo demonstrations should be no less than fifty met</w:t>
      </w:r>
      <w:r w:rsidRPr="004F03D5" w:rsidR="004277DD">
        <w:t>re</w:t>
      </w:r>
      <w:r w:rsidRPr="004F03D5">
        <w:t xml:space="preserve">s. It also specifies that simultaneous demonstrations should be treated as solo demonstrations </w:t>
      </w:r>
      <w:r w:rsidRPr="004F03D5" w:rsidR="00E934FF">
        <w:t xml:space="preserve">only if </w:t>
      </w:r>
      <w:r w:rsidRPr="004F03D5">
        <w:t>they do not have a common goal and organisation (section 2.3).</w:t>
      </w:r>
    </w:p>
    <w:p w:rsidRPr="004F03D5" w:rsidR="00D420F3" w:rsidP="004F03D5" w:rsidRDefault="0077175D">
      <w:pPr>
        <w:pStyle w:val="ECHRTitle1"/>
      </w:pPr>
      <w:r w:rsidRPr="004F03D5">
        <w:t>THE LAW</w:t>
      </w:r>
    </w:p>
    <w:p w:rsidRPr="004F03D5" w:rsidR="00B46C38" w:rsidP="004F03D5" w:rsidRDefault="0004594E">
      <w:pPr>
        <w:pStyle w:val="ECHRHeading1"/>
      </w:pPr>
      <w:r w:rsidRPr="004F03D5">
        <w:t>I.  </w:t>
      </w:r>
      <w:r w:rsidRPr="004F03D5" w:rsidR="00B46C38">
        <w:t>JOINDER OF THE APPLICATIONS</w:t>
      </w:r>
    </w:p>
    <w:p w:rsidRPr="004F03D5" w:rsidR="00B46C38" w:rsidP="004F03D5" w:rsidRDefault="00B46C38">
      <w:pPr>
        <w:pStyle w:val="ECHRPara"/>
      </w:pPr>
      <w:r w:rsidRPr="004F03D5">
        <w:fldChar w:fldCharType="begin"/>
      </w:r>
      <w:r w:rsidRPr="004F03D5">
        <w:instrText xml:space="preserve"> SEQ level0 \*arabic </w:instrText>
      </w:r>
      <w:r w:rsidRPr="004F03D5">
        <w:fldChar w:fldCharType="separate"/>
      </w:r>
      <w:r w:rsidRPr="004F03D5" w:rsidR="004F03D5">
        <w:rPr>
          <w:noProof/>
        </w:rPr>
        <w:t>19</w:t>
      </w:r>
      <w:r w:rsidRPr="004F03D5">
        <w:fldChar w:fldCharType="end"/>
      </w:r>
      <w:r w:rsidRPr="004F03D5">
        <w:t>.  Given their common factual and legal background, the Court decides that the two applications should be joined pursuant to Rule</w:t>
      </w:r>
      <w:r w:rsidRPr="004F03D5" w:rsidR="00F45329">
        <w:t xml:space="preserve"> 42 § 1 of the Rules of Court.</w:t>
      </w:r>
    </w:p>
    <w:p w:rsidRPr="004F03D5" w:rsidR="00D420F3" w:rsidP="004F03D5" w:rsidRDefault="00F45329">
      <w:pPr>
        <w:pStyle w:val="ECHRHeading1"/>
      </w:pPr>
      <w:r w:rsidRPr="004F03D5">
        <w:t>I</w:t>
      </w:r>
      <w:r w:rsidRPr="004F03D5" w:rsidR="0077175D">
        <w:t xml:space="preserve">I.  ALLEGED VIOLATION OF ARTICLE </w:t>
      </w:r>
      <w:r w:rsidRPr="004F03D5">
        <w:t>5 § 1</w:t>
      </w:r>
      <w:r w:rsidRPr="004F03D5" w:rsidR="0077175D">
        <w:t xml:space="preserve"> OF THE CONVENTION</w:t>
      </w:r>
    </w:p>
    <w:p w:rsidRPr="004F03D5" w:rsidR="00D420F3"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20</w:t>
      </w:r>
      <w:r w:rsidRPr="004F03D5">
        <w:fldChar w:fldCharType="end"/>
      </w:r>
      <w:r w:rsidRPr="004F03D5" w:rsidR="0077175D">
        <w:t>.  The applicant</w:t>
      </w:r>
      <w:r w:rsidRPr="004F03D5">
        <w:t>s</w:t>
      </w:r>
      <w:r w:rsidRPr="004F03D5" w:rsidR="0077175D">
        <w:t xml:space="preserve"> complained that </w:t>
      </w:r>
      <w:r w:rsidRPr="004F03D5" w:rsidR="00FE6B3E">
        <w:t xml:space="preserve">their arrest and </w:t>
      </w:r>
      <w:r w:rsidRPr="004F03D5" w:rsidR="00EC396B">
        <w:t>r</w:t>
      </w:r>
      <w:r w:rsidRPr="004F03D5" w:rsidR="00FE6B3E">
        <w:t xml:space="preserve">etention at the police stations </w:t>
      </w:r>
      <w:r w:rsidRPr="004F03D5" w:rsidR="008423CA">
        <w:t xml:space="preserve">had been </w:t>
      </w:r>
      <w:r w:rsidRPr="004F03D5" w:rsidR="00FE6B3E">
        <w:t>unlawful and arbitrary. They relied on Article 5 § 1 of the Convention</w:t>
      </w:r>
      <w:r w:rsidRPr="004F03D5" w:rsidR="0077175D">
        <w:t xml:space="preserve">, </w:t>
      </w:r>
      <w:r w:rsidRPr="004F03D5" w:rsidR="004277DD">
        <w:t xml:space="preserve">the </w:t>
      </w:r>
      <w:r w:rsidRPr="004F03D5" w:rsidR="00FE6B3E">
        <w:t xml:space="preserve">relevant </w:t>
      </w:r>
      <w:r w:rsidRPr="004F03D5" w:rsidR="004277DD">
        <w:t xml:space="preserve">part of which </w:t>
      </w:r>
      <w:r w:rsidRPr="004F03D5" w:rsidR="0077175D">
        <w:t>reads as follows:</w:t>
      </w:r>
    </w:p>
    <w:p w:rsidRPr="004F03D5" w:rsidR="00FE6B3E" w:rsidP="004F03D5" w:rsidRDefault="00FE6B3E">
      <w:pPr>
        <w:pStyle w:val="ECHRParaQuote"/>
      </w:pPr>
      <w:r w:rsidRPr="004F03D5">
        <w:t>“1.  Everyone has the right to liberty and security of person. No one shall be deprived of his liberty save in the following cases and in accordance with a procedure prescribed by law:</w:t>
      </w:r>
    </w:p>
    <w:p w:rsidRPr="004F03D5" w:rsidR="00FE6B3E" w:rsidP="004F03D5" w:rsidRDefault="00FE6B3E">
      <w:pPr>
        <w:pStyle w:val="ECHRParaQuote"/>
      </w:pPr>
      <w:r w:rsidRPr="004F03D5">
        <w:t>...</w:t>
      </w:r>
    </w:p>
    <w:p w:rsidRPr="004F03D5" w:rsidR="00FE6B3E" w:rsidP="004F03D5" w:rsidRDefault="00FE6B3E">
      <w:pPr>
        <w:pStyle w:val="ECHRParaQuote"/>
      </w:pPr>
      <w:r w:rsidRPr="004F03D5">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p>
    <w:p w:rsidRPr="004F03D5" w:rsidR="001C2AF5" w:rsidP="004F03D5" w:rsidRDefault="00480BE3">
      <w:pPr>
        <w:pStyle w:val="ECHRPara"/>
      </w:pPr>
      <w:r w:rsidRPr="004F03D5">
        <w:fldChar w:fldCharType="begin"/>
      </w:r>
      <w:r w:rsidRPr="004F03D5">
        <w:instrText xml:space="preserve"> SEQ level0 \*arabic </w:instrText>
      </w:r>
      <w:r w:rsidRPr="004F03D5">
        <w:fldChar w:fldCharType="separate"/>
      </w:r>
      <w:r w:rsidRPr="004F03D5" w:rsidR="004F03D5">
        <w:rPr>
          <w:noProof/>
        </w:rPr>
        <w:t>21</w:t>
      </w:r>
      <w:r w:rsidRPr="004F03D5">
        <w:fldChar w:fldCharType="end"/>
      </w:r>
      <w:r w:rsidRPr="004F03D5">
        <w:t>.  The Government stated, without</w:t>
      </w:r>
      <w:r w:rsidRPr="004F03D5" w:rsidR="008423CA">
        <w:t xml:space="preserve"> giving</w:t>
      </w:r>
      <w:r w:rsidRPr="004F03D5">
        <w:t xml:space="preserve"> any detail, that the domestic remedies had not been exhausted. The Court dismisse</w:t>
      </w:r>
      <w:r w:rsidRPr="004F03D5" w:rsidR="008423CA">
        <w:t>s</w:t>
      </w:r>
      <w:r w:rsidRPr="004F03D5">
        <w:t xml:space="preserve"> this argument as unsubstantiated.</w:t>
      </w:r>
      <w:r w:rsidRPr="004F03D5" w:rsidR="00D04EDC">
        <w:t xml:space="preserve"> As to their reference to recourse to the review procedure under Article 30.12 of the CAO, the Court reiterates that, as a rule, </w:t>
      </w:r>
      <w:r w:rsidRPr="004F03D5" w:rsidR="004277DD">
        <w:t xml:space="preserve">this </w:t>
      </w:r>
      <w:r w:rsidRPr="004F03D5" w:rsidR="000F6D74">
        <w:t>wa</w:t>
      </w:r>
      <w:r w:rsidRPr="004F03D5" w:rsidR="00D04EDC">
        <w:t>s not a remedy to be used prior to lodging an application before it in July</w:t>
      </w:r>
      <w:r w:rsidRPr="004F03D5" w:rsidR="00E17C0F">
        <w:t> </w:t>
      </w:r>
      <w:r w:rsidRPr="004F03D5" w:rsidR="00D04EDC">
        <w:t xml:space="preserve">2015 (see </w:t>
      </w:r>
      <w:r w:rsidRPr="004F03D5" w:rsidR="00D04EDC">
        <w:rPr>
          <w:i/>
        </w:rPr>
        <w:t>Smadikov v. Russia</w:t>
      </w:r>
      <w:r w:rsidRPr="004F03D5" w:rsidR="00D04EDC">
        <w:t> (dec.). no </w:t>
      </w:r>
      <w:hyperlink w:tgtFrame="_blank" w:history="1" w:anchor="{%22appno%22:[%2210810/15%22]}" r:id="rId14">
        <w:r w:rsidRPr="004F03D5" w:rsidR="00D04EDC">
          <w:t>10810/15</w:t>
        </w:r>
      </w:hyperlink>
      <w:r w:rsidRPr="004F03D5" w:rsidR="00D04EDC">
        <w:t> 31 January 2017).</w:t>
      </w:r>
    </w:p>
    <w:p w:rsidRPr="004F03D5" w:rsidR="001C2AF5" w:rsidP="004F03D5" w:rsidRDefault="001C2AF5">
      <w:pPr>
        <w:pStyle w:val="ECHRPara"/>
      </w:pPr>
      <w:r w:rsidRPr="004F03D5">
        <w:fldChar w:fldCharType="begin"/>
      </w:r>
      <w:r w:rsidRPr="004F03D5">
        <w:instrText xml:space="preserve"> SEQ level0 \*arabic </w:instrText>
      </w:r>
      <w:r w:rsidRPr="004F03D5">
        <w:fldChar w:fldCharType="separate"/>
      </w:r>
      <w:r w:rsidRPr="004F03D5" w:rsidR="004F03D5">
        <w:rPr>
          <w:noProof/>
        </w:rPr>
        <w:t>22</w:t>
      </w:r>
      <w:r w:rsidRPr="004F03D5">
        <w:fldChar w:fldCharType="end"/>
      </w:r>
      <w:r w:rsidRPr="004F03D5">
        <w:t>.  As regards the applicants</w:t>
      </w:r>
      <w:r w:rsidRPr="004F03D5" w:rsidR="004F03D5">
        <w:t>’</w:t>
      </w:r>
      <w:r w:rsidRPr="004F03D5">
        <w:t xml:space="preserve"> initial complaint under Article 5 of the Convention, the Court notes that it was unspecific and d</w:t>
      </w:r>
      <w:r w:rsidRPr="004F03D5" w:rsidR="004277DD">
        <w:t>id</w:t>
      </w:r>
      <w:r w:rsidRPr="004F03D5">
        <w:t xml:space="preserve"> not disclose any essential element pertaining to </w:t>
      </w:r>
      <w:r w:rsidRPr="004F03D5" w:rsidR="004277DD">
        <w:t xml:space="preserve">the </w:t>
      </w:r>
      <w:r w:rsidRPr="004F03D5">
        <w:t>legality of a deprivation of liberty. Accordingly, it is manifestly ill-founded and must be rejected in accordance with Article 35 §§ 3 (a) and 4 of the Convention.</w:t>
      </w:r>
    </w:p>
    <w:p w:rsidRPr="004F03D5" w:rsidR="001C2AF5" w:rsidP="004F03D5" w:rsidRDefault="00C7393A">
      <w:pPr>
        <w:pStyle w:val="ECHRPara"/>
      </w:pPr>
      <w:r w:rsidRPr="004F03D5">
        <w:fldChar w:fldCharType="begin"/>
      </w:r>
      <w:r w:rsidRPr="004F03D5">
        <w:instrText xml:space="preserve"> SEQ level0 \*arabic </w:instrText>
      </w:r>
      <w:r w:rsidRPr="004F03D5">
        <w:fldChar w:fldCharType="separate"/>
      </w:r>
      <w:r w:rsidRPr="004F03D5" w:rsidR="004F03D5">
        <w:rPr>
          <w:noProof/>
        </w:rPr>
        <w:t>23</w:t>
      </w:r>
      <w:r w:rsidRPr="004F03D5">
        <w:fldChar w:fldCharType="end"/>
      </w:r>
      <w:r w:rsidRPr="004F03D5">
        <w:t>.  </w:t>
      </w:r>
      <w:r w:rsidRPr="004F03D5" w:rsidR="001C2AF5">
        <w:t>In their observations in 2018 t</w:t>
      </w:r>
      <w:r w:rsidRPr="004F03D5">
        <w:t>he applicants submitted</w:t>
      </w:r>
      <w:r w:rsidRPr="004F03D5" w:rsidR="001C2AF5">
        <w:t xml:space="preserve"> new legal arguments, </w:t>
      </w:r>
      <w:r w:rsidRPr="004F03D5" w:rsidR="000F6D74">
        <w:t>in particular</w:t>
      </w:r>
      <w:r w:rsidRPr="004F03D5">
        <w:t xml:space="preserve"> that they ha</w:t>
      </w:r>
      <w:r w:rsidRPr="004F03D5" w:rsidR="004277DD">
        <w:t>d</w:t>
      </w:r>
      <w:r w:rsidRPr="004F03D5">
        <w:t xml:space="preserve"> not been informed </w:t>
      </w:r>
      <w:r w:rsidRPr="004F03D5" w:rsidR="009A1AB8">
        <w:t>of</w:t>
      </w:r>
      <w:r w:rsidRPr="004F03D5" w:rsidR="006625AA">
        <w:t xml:space="preserve"> the charges against them during the first three hours of their </w:t>
      </w:r>
      <w:r w:rsidRPr="004F03D5" w:rsidR="00EC396B">
        <w:t>r</w:t>
      </w:r>
      <w:r w:rsidRPr="004F03D5" w:rsidR="006625AA">
        <w:t xml:space="preserve">etention </w:t>
      </w:r>
      <w:r w:rsidRPr="004F03D5" w:rsidR="004277DD">
        <w:t>in</w:t>
      </w:r>
      <w:r w:rsidRPr="004F03D5" w:rsidR="006625AA">
        <w:t xml:space="preserve"> the police stations, as required by law. </w:t>
      </w:r>
      <w:r w:rsidRPr="004F03D5" w:rsidR="001C2AF5">
        <w:t>Accordingly, this complaint has been introduced out of time and must be rejected in accordance with Article 35 §§ 1 and 4 of the Convention.</w:t>
      </w:r>
    </w:p>
    <w:p w:rsidRPr="004F03D5" w:rsidR="00D420F3" w:rsidP="004F03D5" w:rsidRDefault="00B73AAC">
      <w:pPr>
        <w:pStyle w:val="ECHRHeading1"/>
      </w:pPr>
      <w:r w:rsidRPr="004F03D5">
        <w:t>III</w:t>
      </w:r>
      <w:r w:rsidRPr="004F03D5" w:rsidR="0077175D">
        <w:t xml:space="preserve">.  ALLEGED VIOLATION OF ARTICLE </w:t>
      </w:r>
      <w:r w:rsidRPr="004F03D5">
        <w:t>6</w:t>
      </w:r>
      <w:r w:rsidRPr="004F03D5" w:rsidR="003E021D">
        <w:t xml:space="preserve"> </w:t>
      </w:r>
      <w:r w:rsidRPr="004F03D5" w:rsidR="0077175D">
        <w:t>OF THE CONVENTION</w:t>
      </w:r>
    </w:p>
    <w:p w:rsidRPr="004F03D5" w:rsidR="003E021D"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24</w:t>
      </w:r>
      <w:r w:rsidRPr="004F03D5">
        <w:fldChar w:fldCharType="end"/>
      </w:r>
      <w:r w:rsidRPr="004F03D5" w:rsidR="0077175D">
        <w:t>.  The applicant</w:t>
      </w:r>
      <w:r w:rsidRPr="004F03D5">
        <w:t>s</w:t>
      </w:r>
      <w:r w:rsidRPr="004F03D5" w:rsidR="0077175D">
        <w:t xml:space="preserve"> complained of </w:t>
      </w:r>
      <w:r w:rsidRPr="004F03D5" w:rsidR="00A8561A">
        <w:t xml:space="preserve">the </w:t>
      </w:r>
      <w:r w:rsidRPr="004F03D5" w:rsidR="002F580C">
        <w:t>lack</w:t>
      </w:r>
      <w:r w:rsidRPr="004F03D5" w:rsidR="00A8561A">
        <w:t xml:space="preserve"> of a prosecuting party at the court hearings in the administrative proceedings against them</w:t>
      </w:r>
      <w:r w:rsidRPr="004F03D5" w:rsidR="00B069A9">
        <w:t>,</w:t>
      </w:r>
      <w:r w:rsidRPr="004F03D5" w:rsidR="007E369D">
        <w:t xml:space="preserve"> and </w:t>
      </w:r>
      <w:r w:rsidRPr="004F03D5" w:rsidR="00D9739B">
        <w:t xml:space="preserve">that those </w:t>
      </w:r>
      <w:r w:rsidRPr="004F03D5" w:rsidR="000F6D74">
        <w:t>proceedings</w:t>
      </w:r>
      <w:r w:rsidRPr="004F03D5" w:rsidR="00D9739B">
        <w:t xml:space="preserve"> were unfair</w:t>
      </w:r>
      <w:r w:rsidRPr="004F03D5" w:rsidR="00A8561A">
        <w:t>.</w:t>
      </w:r>
      <w:r w:rsidRPr="004F03D5" w:rsidR="0077175D">
        <w:t xml:space="preserve"> </w:t>
      </w:r>
      <w:r w:rsidRPr="004F03D5" w:rsidR="00A8561A">
        <w:t xml:space="preserve">They relied on Article 6 § 1 of the Convention, </w:t>
      </w:r>
      <w:r w:rsidRPr="004F03D5" w:rsidR="00D9739B">
        <w:t>the relevant part</w:t>
      </w:r>
      <w:r w:rsidRPr="004F03D5" w:rsidR="00B069A9">
        <w:t>s</w:t>
      </w:r>
      <w:r w:rsidRPr="004F03D5" w:rsidR="00D9739B">
        <w:t xml:space="preserve"> of which </w:t>
      </w:r>
      <w:r w:rsidRPr="004F03D5" w:rsidR="00A8561A">
        <w:t>provide as follows:</w:t>
      </w:r>
    </w:p>
    <w:p w:rsidRPr="004F03D5" w:rsidR="00A8561A" w:rsidP="004F03D5" w:rsidRDefault="00A8561A">
      <w:pPr>
        <w:pStyle w:val="ECHRParaQuote"/>
      </w:pPr>
      <w:r w:rsidRPr="004F03D5">
        <w:rPr>
          <w:szCs w:val="20"/>
        </w:rPr>
        <w:t>“1.  In the</w:t>
      </w:r>
      <w:r w:rsidRPr="004F03D5">
        <w:t xml:space="preserve"> determination of ... any criminal charge against him, everyone is</w:t>
      </w:r>
      <w:r w:rsidRPr="004F03D5" w:rsidR="003E021D">
        <w:t xml:space="preserve"> </w:t>
      </w:r>
      <w:r w:rsidRPr="004F03D5">
        <w:t>entitled to a fair ... hearing ... by an independent and impartial tribunal ...”</w:t>
      </w:r>
    </w:p>
    <w:p w:rsidRPr="004F03D5" w:rsidR="00A8561A" w:rsidP="004F03D5" w:rsidRDefault="00A8561A">
      <w:pPr>
        <w:pStyle w:val="ECHRPara"/>
      </w:pPr>
      <w:r w:rsidRPr="004F03D5">
        <w:fldChar w:fldCharType="begin"/>
      </w:r>
      <w:r w:rsidRPr="004F03D5">
        <w:instrText xml:space="preserve"> SEQ level0 \*arabic </w:instrText>
      </w:r>
      <w:r w:rsidRPr="004F03D5">
        <w:fldChar w:fldCharType="separate"/>
      </w:r>
      <w:r w:rsidRPr="004F03D5" w:rsidR="004F03D5">
        <w:rPr>
          <w:noProof/>
        </w:rPr>
        <w:t>25</w:t>
      </w:r>
      <w:r w:rsidRPr="004F03D5">
        <w:fldChar w:fldCharType="end"/>
      </w:r>
      <w:r w:rsidRPr="004F03D5">
        <w:t>.</w:t>
      </w:r>
      <w:r w:rsidRPr="004F03D5" w:rsidR="003E021D">
        <w:t>  </w:t>
      </w:r>
      <w:r w:rsidRPr="004F03D5">
        <w:t xml:space="preserve">The Government submitted that the CAO did not provide for mandatory participation of a public prosecutor in each case concerning an administrative offence. Their submissions in that respect were similar to those made in </w:t>
      </w:r>
      <w:r w:rsidRPr="004F03D5">
        <w:rPr>
          <w:i/>
        </w:rPr>
        <w:t>Karelin v. Russia</w:t>
      </w:r>
      <w:r w:rsidRPr="004F03D5">
        <w:t xml:space="preserve"> (no. 926/08, §§ 46-48, 20 September 2016). The Government insisted that the domestic courts had not taken the role of </w:t>
      </w:r>
      <w:r w:rsidRPr="004F03D5" w:rsidR="00D9739B">
        <w:t xml:space="preserve">the </w:t>
      </w:r>
      <w:r w:rsidRPr="004F03D5">
        <w:t>prosecution when examining the applicants</w:t>
      </w:r>
      <w:r w:rsidRPr="004F03D5" w:rsidR="004F03D5">
        <w:t>’</w:t>
      </w:r>
      <w:r w:rsidRPr="004F03D5">
        <w:t xml:space="preserve"> cases, and that </w:t>
      </w:r>
      <w:r w:rsidRPr="004F03D5" w:rsidR="00D9739B">
        <w:t>those courts</w:t>
      </w:r>
      <w:r w:rsidRPr="004F03D5" w:rsidR="004F03D5">
        <w:t>’</w:t>
      </w:r>
      <w:r w:rsidRPr="004F03D5" w:rsidR="00D9739B">
        <w:t xml:space="preserve"> </w:t>
      </w:r>
      <w:r w:rsidRPr="004F03D5">
        <w:t>decisions were well</w:t>
      </w:r>
      <w:r w:rsidRPr="004F03D5" w:rsidR="00D9739B">
        <w:t xml:space="preserve"> </w:t>
      </w:r>
      <w:r w:rsidRPr="004F03D5">
        <w:t>reasoned.</w:t>
      </w:r>
    </w:p>
    <w:p w:rsidRPr="004F03D5" w:rsidR="003E021D" w:rsidP="004F03D5" w:rsidRDefault="00A8561A">
      <w:pPr>
        <w:pStyle w:val="ECHRPara"/>
      </w:pPr>
      <w:r w:rsidRPr="004F03D5">
        <w:fldChar w:fldCharType="begin"/>
      </w:r>
      <w:r w:rsidRPr="004F03D5">
        <w:instrText xml:space="preserve"> SEQ level0 \*arabic </w:instrText>
      </w:r>
      <w:r w:rsidRPr="004F03D5">
        <w:fldChar w:fldCharType="separate"/>
      </w:r>
      <w:r w:rsidRPr="004F03D5" w:rsidR="004F03D5">
        <w:rPr>
          <w:noProof/>
        </w:rPr>
        <w:t>26</w:t>
      </w:r>
      <w:r w:rsidRPr="004F03D5">
        <w:fldChar w:fldCharType="end"/>
      </w:r>
      <w:r w:rsidRPr="004F03D5">
        <w:t>.  </w:t>
      </w:r>
      <w:r w:rsidRPr="004F03D5" w:rsidR="002F580C">
        <w:t xml:space="preserve">The applicants argued that in the absence of a prosecuting party the trial judge had taken </w:t>
      </w:r>
      <w:r w:rsidRPr="004F03D5" w:rsidR="00D9739B">
        <w:t xml:space="preserve">on </w:t>
      </w:r>
      <w:r w:rsidRPr="004F03D5" w:rsidR="002F580C">
        <w:t xml:space="preserve">the role of </w:t>
      </w:r>
      <w:r w:rsidRPr="004F03D5" w:rsidR="00D9739B">
        <w:t xml:space="preserve">the </w:t>
      </w:r>
      <w:r w:rsidRPr="004F03D5" w:rsidR="002F580C">
        <w:t>prosecution</w:t>
      </w:r>
      <w:r w:rsidRPr="004F03D5" w:rsidR="00D9739B">
        <w:t>,</w:t>
      </w:r>
      <w:r w:rsidRPr="004F03D5" w:rsidR="002F580C">
        <w:t xml:space="preserve"> in breach of the “impartiality” requirement under Article 6 § 1 of the Convention.</w:t>
      </w:r>
    </w:p>
    <w:p w:rsidRPr="004F03D5" w:rsidR="00A8561A" w:rsidP="004F03D5" w:rsidRDefault="00A8561A">
      <w:pPr>
        <w:pStyle w:val="ECHRHeading2"/>
      </w:pPr>
      <w:r w:rsidRPr="004F03D5">
        <w:t>A.  Admissibility</w:t>
      </w:r>
    </w:p>
    <w:p w:rsidRPr="004F03D5" w:rsidR="00445CE2" w:rsidP="004F03D5" w:rsidRDefault="007E369D">
      <w:pPr>
        <w:pStyle w:val="ECHRPara"/>
      </w:pPr>
      <w:r w:rsidRPr="004F03D5">
        <w:fldChar w:fldCharType="begin"/>
      </w:r>
      <w:r w:rsidRPr="004F03D5">
        <w:instrText xml:space="preserve"> SEQ level0 \*arabic </w:instrText>
      </w:r>
      <w:r w:rsidRPr="004F03D5">
        <w:fldChar w:fldCharType="separate"/>
      </w:r>
      <w:r w:rsidRPr="004F03D5" w:rsidR="004F03D5">
        <w:rPr>
          <w:noProof/>
        </w:rPr>
        <w:t>27</w:t>
      </w:r>
      <w:r w:rsidRPr="004F03D5">
        <w:fldChar w:fldCharType="end"/>
      </w:r>
      <w:r w:rsidRPr="004F03D5">
        <w:t>.  </w:t>
      </w:r>
      <w:r w:rsidRPr="004F03D5" w:rsidR="00445CE2">
        <w:t xml:space="preserve">The Court notes that the complaint relating to the lack of </w:t>
      </w:r>
      <w:r w:rsidRPr="004F03D5" w:rsidR="00D9739B">
        <w:t>opportunity</w:t>
      </w:r>
      <w:r w:rsidRPr="004F03D5" w:rsidR="00445CE2">
        <w:t xml:space="preserve"> to examine an unspecified police officer was first raised by the applicants</w:t>
      </w:r>
      <w:r w:rsidRPr="004F03D5" w:rsidR="004F03D5">
        <w:t>’</w:t>
      </w:r>
      <w:r w:rsidRPr="004F03D5" w:rsidR="00445CE2">
        <w:t xml:space="preserve"> lawyer in her observations of 30 January 2018. Accordingly, this complaint has been introduced out of time</w:t>
      </w:r>
      <w:r w:rsidRPr="004F03D5" w:rsidR="00B069A9">
        <w:t>,</w:t>
      </w:r>
      <w:r w:rsidRPr="004F03D5" w:rsidR="00445CE2">
        <w:t xml:space="preserve"> and must be rejected in accordance with Article 35 §§ 1 and 4 of the Convention.</w:t>
      </w:r>
    </w:p>
    <w:p w:rsidRPr="004F03D5" w:rsidR="00A8561A" w:rsidP="004F03D5" w:rsidRDefault="00A8561A">
      <w:pPr>
        <w:pStyle w:val="ECHRPara"/>
      </w:pPr>
      <w:r w:rsidRPr="004F03D5">
        <w:fldChar w:fldCharType="begin"/>
      </w:r>
      <w:r w:rsidRPr="004F03D5">
        <w:instrText xml:space="preserve"> SEQ level0 \*arabic </w:instrText>
      </w:r>
      <w:r w:rsidRPr="004F03D5">
        <w:fldChar w:fldCharType="separate"/>
      </w:r>
      <w:r w:rsidRPr="004F03D5" w:rsidR="004F03D5">
        <w:rPr>
          <w:noProof/>
        </w:rPr>
        <w:t>28</w:t>
      </w:r>
      <w:r w:rsidRPr="004F03D5">
        <w:fldChar w:fldCharType="end"/>
      </w:r>
      <w:r w:rsidRPr="004F03D5">
        <w:t>.  The Court notes that th</w:t>
      </w:r>
      <w:r w:rsidRPr="004F03D5" w:rsidR="00445CE2">
        <w:t>e</w:t>
      </w:r>
      <w:r w:rsidRPr="004F03D5">
        <w:t xml:space="preserve"> complaint </w:t>
      </w:r>
      <w:r w:rsidRPr="004F03D5" w:rsidR="00445CE2">
        <w:t xml:space="preserve">relating to the requirement of objective impartiality on account of the lack of a prosecuting party </w:t>
      </w:r>
      <w:r w:rsidRPr="004F03D5">
        <w:t>is not manifestly ill-founded within the meaning of Article 35 § 3 (a) of the Convention. It further notes that it is not inadmissible on any other grounds. It must therefore be declared admissible.</w:t>
      </w:r>
    </w:p>
    <w:p w:rsidRPr="004F03D5" w:rsidR="00A8561A" w:rsidP="004F03D5" w:rsidRDefault="00A8561A">
      <w:pPr>
        <w:pStyle w:val="ECHRHeading2"/>
      </w:pPr>
      <w:r w:rsidRPr="004F03D5">
        <w:t>B.  Merits</w:t>
      </w:r>
    </w:p>
    <w:p w:rsidRPr="004F03D5" w:rsidR="00087149" w:rsidP="004F03D5" w:rsidRDefault="00507BF8">
      <w:pPr>
        <w:pStyle w:val="ECHRPara"/>
      </w:pPr>
      <w:r w:rsidRPr="004F03D5">
        <w:fldChar w:fldCharType="begin"/>
      </w:r>
      <w:r w:rsidRPr="004F03D5">
        <w:instrText xml:space="preserve"> SEQ level0 \*arabic </w:instrText>
      </w:r>
      <w:r w:rsidRPr="004F03D5">
        <w:fldChar w:fldCharType="separate"/>
      </w:r>
      <w:r w:rsidRPr="004F03D5" w:rsidR="004F03D5">
        <w:rPr>
          <w:noProof/>
        </w:rPr>
        <w:t>29</w:t>
      </w:r>
      <w:r w:rsidRPr="004F03D5">
        <w:fldChar w:fldCharType="end"/>
      </w:r>
      <w:r w:rsidRPr="004F03D5">
        <w:t>.  </w:t>
      </w:r>
      <w:r w:rsidRPr="004F03D5" w:rsidR="00087149">
        <w:t xml:space="preserve">The Court reiterates at the outset that the criminal limb of Article 6 of the Convention was applicable to the proceedings against the applicants under the Russian CAO (see </w:t>
      </w:r>
      <w:r w:rsidRPr="004F03D5" w:rsidR="00087149">
        <w:rPr>
          <w:i/>
        </w:rPr>
        <w:t>Mikhaylova v.  Russia</w:t>
      </w:r>
      <w:r w:rsidRPr="004F03D5" w:rsidR="00087149">
        <w:t>, no. 46998/08</w:t>
      </w:r>
      <w:r w:rsidRPr="004F03D5" w:rsidR="00087149">
        <w:rPr>
          <w:snapToGrid w:val="0"/>
        </w:rPr>
        <w:t>, § 69, 1</w:t>
      </w:r>
      <w:r w:rsidRPr="004F03D5" w:rsidR="00087149">
        <w:t>9 November</w:t>
      </w:r>
      <w:r w:rsidRPr="004F03D5" w:rsidR="00087149">
        <w:rPr>
          <w:snapToGrid w:val="0"/>
        </w:rPr>
        <w:t xml:space="preserve"> 2015</w:t>
      </w:r>
      <w:r w:rsidRPr="004F03D5" w:rsidR="00087149">
        <w:t xml:space="preserve">). It has previously found that the lack of a prosecuting party in the context of oral hearings resulting in the determination of administrative charges constitutes a serious shortcoming in breach of </w:t>
      </w:r>
      <w:r w:rsidRPr="004F03D5" w:rsidR="00D9739B">
        <w:t xml:space="preserve">the </w:t>
      </w:r>
      <w:r w:rsidRPr="004F03D5" w:rsidR="00087149">
        <w:t xml:space="preserve">objective impartiality requirement of Article 6 § 1 of the Convention (see </w:t>
      </w:r>
      <w:r w:rsidRPr="004F03D5" w:rsidR="00087149">
        <w:rPr>
          <w:i/>
        </w:rPr>
        <w:t>Karelin</w:t>
      </w:r>
      <w:r w:rsidRPr="004F03D5" w:rsidR="00087149">
        <w:t xml:space="preserve">, cited above, §§ 69-84). It notes that the essential factual and legal elements of the present case and the case of </w:t>
      </w:r>
      <w:r w:rsidRPr="004F03D5" w:rsidR="00087149">
        <w:rPr>
          <w:i/>
        </w:rPr>
        <w:t>Karelin</w:t>
      </w:r>
      <w:r w:rsidRPr="004F03D5" w:rsidR="00087149">
        <w:t xml:space="preserve"> (ibid., §§ 59-68) are similar. The parties</w:t>
      </w:r>
      <w:r w:rsidRPr="004F03D5" w:rsidR="004F03D5">
        <w:t>’</w:t>
      </w:r>
      <w:r w:rsidRPr="004F03D5" w:rsidR="00087149">
        <w:t xml:space="preserve"> submissions in the present case disclose no reason for the Court to depart from its earlier judgment.</w:t>
      </w:r>
    </w:p>
    <w:p w:rsidRPr="004F03D5" w:rsidR="00087149" w:rsidP="004F03D5" w:rsidRDefault="00D04EDC">
      <w:pPr>
        <w:pStyle w:val="ECHRPara"/>
      </w:pPr>
      <w:r w:rsidRPr="004F03D5">
        <w:fldChar w:fldCharType="begin"/>
      </w:r>
      <w:r w:rsidRPr="004F03D5">
        <w:instrText xml:space="preserve"> SEQ level0 \*arabic </w:instrText>
      </w:r>
      <w:r w:rsidRPr="004F03D5">
        <w:fldChar w:fldCharType="separate"/>
      </w:r>
      <w:r w:rsidRPr="004F03D5" w:rsidR="004F03D5">
        <w:rPr>
          <w:noProof/>
        </w:rPr>
        <w:t>30</w:t>
      </w:r>
      <w:r w:rsidRPr="004F03D5">
        <w:fldChar w:fldCharType="end"/>
      </w:r>
      <w:r w:rsidRPr="004F03D5">
        <w:t>.  </w:t>
      </w:r>
      <w:r w:rsidRPr="004F03D5" w:rsidR="00087149">
        <w:t>There has therefore been a violation of Article 6 § 1 of the Convention on account of the objective impartiality requirement in relation to each applicant.</w:t>
      </w:r>
    </w:p>
    <w:p w:rsidRPr="004F03D5" w:rsidR="00D420F3" w:rsidP="004F03D5" w:rsidRDefault="002F580C">
      <w:pPr>
        <w:pStyle w:val="ECHRHeading1"/>
      </w:pPr>
      <w:r w:rsidRPr="004F03D5">
        <w:t>IV</w:t>
      </w:r>
      <w:r w:rsidRPr="004F03D5" w:rsidR="0077175D">
        <w:t xml:space="preserve">.  ALLEGED VIOLATION OF ARTICLE </w:t>
      </w:r>
      <w:r w:rsidRPr="004F03D5">
        <w:t>11</w:t>
      </w:r>
      <w:r w:rsidRPr="004F03D5" w:rsidR="0077175D">
        <w:t xml:space="preserve"> OF THE CONVENTION</w:t>
      </w:r>
    </w:p>
    <w:bookmarkStart w:name="Interference" w:id="7"/>
    <w:p w:rsidRPr="004F03D5" w:rsidR="003E021D"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31</w:t>
      </w:r>
      <w:r w:rsidRPr="004F03D5">
        <w:fldChar w:fldCharType="end"/>
      </w:r>
      <w:bookmarkEnd w:id="7"/>
      <w:r w:rsidRPr="004F03D5" w:rsidR="0077175D">
        <w:t>.  </w:t>
      </w:r>
      <w:r w:rsidRPr="004F03D5" w:rsidR="00634C0E">
        <w:t>Referring to Article 11 of the Conven</w:t>
      </w:r>
      <w:r w:rsidRPr="004F03D5" w:rsidR="00D9739B">
        <w:t>t</w:t>
      </w:r>
      <w:r w:rsidRPr="004F03D5" w:rsidR="00634C0E">
        <w:t>ion, t</w:t>
      </w:r>
      <w:r w:rsidRPr="004F03D5" w:rsidR="0077175D">
        <w:t>he applicant</w:t>
      </w:r>
      <w:r w:rsidRPr="004F03D5">
        <w:t>s</w:t>
      </w:r>
      <w:r w:rsidRPr="004F03D5" w:rsidR="004C0697">
        <w:t xml:space="preserve"> </w:t>
      </w:r>
      <w:r w:rsidRPr="004F03D5" w:rsidR="0077175D">
        <w:t xml:space="preserve">complained that </w:t>
      </w:r>
      <w:r w:rsidRPr="004F03D5" w:rsidR="00E934FF">
        <w:t xml:space="preserve">taking them </w:t>
      </w:r>
      <w:r w:rsidRPr="004F03D5" w:rsidR="00764343">
        <w:t>to the police station</w:t>
      </w:r>
      <w:r w:rsidRPr="004F03D5" w:rsidR="004C0697">
        <w:t xml:space="preserve"> and </w:t>
      </w:r>
      <w:r w:rsidRPr="004F03D5" w:rsidR="00E934FF">
        <w:t xml:space="preserve">imposing </w:t>
      </w:r>
      <w:r w:rsidRPr="004F03D5" w:rsidR="004C0697">
        <w:t>administrative conviction</w:t>
      </w:r>
      <w:r w:rsidRPr="004F03D5" w:rsidR="00D07950">
        <w:t>s</w:t>
      </w:r>
      <w:r w:rsidRPr="004F03D5" w:rsidR="004C0697">
        <w:t xml:space="preserve"> </w:t>
      </w:r>
      <w:r w:rsidRPr="004F03D5" w:rsidR="00E934FF">
        <w:t xml:space="preserve">on them </w:t>
      </w:r>
      <w:r w:rsidRPr="004F03D5" w:rsidR="004C0697">
        <w:t xml:space="preserve">for expressing </w:t>
      </w:r>
      <w:r w:rsidRPr="004F03D5" w:rsidR="00D07950">
        <w:t xml:space="preserve">an </w:t>
      </w:r>
      <w:r w:rsidRPr="004F03D5" w:rsidR="004C0697">
        <w:t>opinion on a matter of public interest constituted unlawful and disproportionate interference with the</w:t>
      </w:r>
      <w:r w:rsidRPr="004F03D5" w:rsidR="00634C0E">
        <w:t>ir</w:t>
      </w:r>
      <w:r w:rsidRPr="004F03D5" w:rsidR="004C0697">
        <w:t xml:space="preserve"> right to freedom </w:t>
      </w:r>
      <w:r w:rsidRPr="004F03D5" w:rsidR="00634C0E">
        <w:t>to hold opinions</w:t>
      </w:r>
      <w:r w:rsidRPr="004F03D5" w:rsidR="004C0697">
        <w:t>.</w:t>
      </w:r>
    </w:p>
    <w:p w:rsidRPr="004F03D5" w:rsidR="003E021D" w:rsidP="004F03D5" w:rsidRDefault="004C0697">
      <w:pPr>
        <w:pStyle w:val="ECHRPara"/>
      </w:pPr>
      <w:r w:rsidRPr="004F03D5">
        <w:fldChar w:fldCharType="begin"/>
      </w:r>
      <w:r w:rsidRPr="004F03D5">
        <w:instrText xml:space="preserve"> SEQ level0 \*arabic </w:instrText>
      </w:r>
      <w:r w:rsidRPr="004F03D5">
        <w:fldChar w:fldCharType="separate"/>
      </w:r>
      <w:r w:rsidRPr="004F03D5" w:rsidR="004F03D5">
        <w:rPr>
          <w:noProof/>
        </w:rPr>
        <w:t>32</w:t>
      </w:r>
      <w:r w:rsidRPr="004F03D5">
        <w:fldChar w:fldCharType="end"/>
      </w:r>
      <w:r w:rsidRPr="004F03D5">
        <w:t>.  In view of the nature and scope of the applicants</w:t>
      </w:r>
      <w:r w:rsidRPr="004F03D5" w:rsidR="004F03D5">
        <w:t>’</w:t>
      </w:r>
      <w:r w:rsidRPr="004F03D5">
        <w:t xml:space="preserve"> arguments and the authorities</w:t>
      </w:r>
      <w:r w:rsidRPr="004F03D5" w:rsidR="004F03D5">
        <w:t>’</w:t>
      </w:r>
      <w:r w:rsidRPr="004F03D5">
        <w:t xml:space="preserve"> reliance on the PEA</w:t>
      </w:r>
      <w:r w:rsidRPr="004F03D5" w:rsidR="004F03D5">
        <w:t>’</w:t>
      </w:r>
      <w:r w:rsidRPr="004F03D5">
        <w:t>s rules relating to group events, the Court finds it appropriate to examine this case under both Articles 10 and 11 of the Convention</w:t>
      </w:r>
      <w:r w:rsidRPr="004F03D5" w:rsidR="00634C0E">
        <w:t xml:space="preserve"> (see </w:t>
      </w:r>
      <w:r w:rsidRPr="004F03D5" w:rsidR="00634C0E">
        <w:rPr>
          <w:i/>
          <w:iCs/>
        </w:rPr>
        <w:t>Radomilja and Others v. Croatia</w:t>
      </w:r>
      <w:r w:rsidRPr="004F03D5" w:rsidR="00634C0E">
        <w:t xml:space="preserve"> [GC]</w:t>
      </w:r>
      <w:r w:rsidRPr="004F03D5" w:rsidR="00634C0E">
        <w:rPr>
          <w:lang w:eastAsia="en-GB"/>
        </w:rPr>
        <w:t xml:space="preserve">, </w:t>
      </w:r>
      <w:r w:rsidRPr="004F03D5" w:rsidR="00634C0E">
        <w:rPr>
          <w:lang w:val="en-US"/>
        </w:rPr>
        <w:t xml:space="preserve">nos. </w:t>
      </w:r>
      <w:r w:rsidRPr="004F03D5" w:rsidR="00634C0E">
        <w:t>37685/10 and 22768/12</w:t>
      </w:r>
      <w:r w:rsidRPr="004F03D5" w:rsidR="00634C0E">
        <w:rPr>
          <w:lang w:eastAsia="en-GB"/>
        </w:rPr>
        <w:t xml:space="preserve">, </w:t>
      </w:r>
      <w:r w:rsidRPr="004F03D5" w:rsidR="00634C0E">
        <w:t>§ 126, 20 March 2018)</w:t>
      </w:r>
      <w:r w:rsidRPr="004F03D5">
        <w:t xml:space="preserve">, </w:t>
      </w:r>
      <w:r w:rsidRPr="004F03D5" w:rsidR="00D07950">
        <w:t xml:space="preserve">the relevant parts of </w:t>
      </w:r>
      <w:r w:rsidRPr="004F03D5">
        <w:t>which read as follows:</w:t>
      </w:r>
    </w:p>
    <w:p w:rsidRPr="004F03D5" w:rsidR="004C0697" w:rsidP="004F03D5" w:rsidRDefault="004C0697">
      <w:pPr>
        <w:pStyle w:val="ECHRTitleCentre3"/>
      </w:pPr>
      <w:r w:rsidRPr="004F03D5">
        <w:t>Article 10</w:t>
      </w:r>
    </w:p>
    <w:p w:rsidRPr="004F03D5" w:rsidR="004C0697" w:rsidP="004F03D5" w:rsidRDefault="004C0697">
      <w:pPr>
        <w:pStyle w:val="ECHRParaQuote"/>
      </w:pPr>
      <w:r w:rsidRPr="004F03D5">
        <w:t>“1.  Everyone has the right to freedom of expression. This right shall include freedom to hold opinions and to receive and impart information and ideas without interference by public authority ...</w:t>
      </w:r>
    </w:p>
    <w:p w:rsidRPr="004F03D5" w:rsidR="004C0697" w:rsidP="004F03D5" w:rsidRDefault="004C0697">
      <w:pPr>
        <w:pStyle w:val="ECHRParaQuote"/>
      </w:pPr>
      <w:r w:rsidRPr="004F03D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w:t>
      </w:r>
    </w:p>
    <w:p w:rsidRPr="004F03D5" w:rsidR="004C0697" w:rsidP="004F03D5" w:rsidRDefault="004C0697">
      <w:pPr>
        <w:pStyle w:val="ECHRTitleCentre3"/>
      </w:pPr>
      <w:r w:rsidRPr="004F03D5">
        <w:t>Article 11</w:t>
      </w:r>
    </w:p>
    <w:p w:rsidRPr="004F03D5" w:rsidR="004C0697" w:rsidP="004F03D5" w:rsidRDefault="004C0697">
      <w:pPr>
        <w:pStyle w:val="ECHRParaQuote"/>
      </w:pPr>
      <w:r w:rsidRPr="004F03D5">
        <w:rPr>
          <w:szCs w:val="20"/>
        </w:rPr>
        <w:t>“</w:t>
      </w:r>
      <w:r w:rsidRPr="004F03D5">
        <w:t>1.  Everyone has the right to freedom of peaceful assembly ...</w:t>
      </w:r>
    </w:p>
    <w:p w:rsidRPr="004F03D5" w:rsidR="004C0697" w:rsidP="004F03D5" w:rsidRDefault="004C0697">
      <w:pPr>
        <w:pStyle w:val="ECHRParaQuote"/>
      </w:pPr>
      <w:r w:rsidRPr="004F03D5">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4F03D5" w:rsidR="004C0697" w:rsidP="004F03D5" w:rsidRDefault="004C0697">
      <w:pPr>
        <w:pStyle w:val="ECHRHeading2"/>
      </w:pPr>
      <w:r w:rsidRPr="004F03D5">
        <w:t>A.  Admissibility</w:t>
      </w:r>
    </w:p>
    <w:p w:rsidRPr="004F03D5" w:rsidR="004C0697" w:rsidP="004F03D5" w:rsidRDefault="004C0697">
      <w:pPr>
        <w:pStyle w:val="ECHRPara"/>
      </w:pPr>
      <w:r w:rsidRPr="004F03D5">
        <w:fldChar w:fldCharType="begin"/>
      </w:r>
      <w:r w:rsidRPr="004F03D5">
        <w:instrText xml:space="preserve"> SEQ level0 \*arabic </w:instrText>
      </w:r>
      <w:r w:rsidRPr="004F03D5">
        <w:fldChar w:fldCharType="separate"/>
      </w:r>
      <w:r w:rsidRPr="004F03D5" w:rsidR="004F03D5">
        <w:rPr>
          <w:noProof/>
        </w:rPr>
        <w:t>33</w:t>
      </w:r>
      <w:r w:rsidRPr="004F03D5">
        <w:fldChar w:fldCharType="end"/>
      </w:r>
      <w:r w:rsidRPr="004F03D5">
        <w:t>.  The Court notes that this complaint is not manifestly ill-founded within the meaning of Article 35 § 3 (a) of the Convention. It further notes that it is not inadmissible on any other grounds. It must therefore be declared admissible.</w:t>
      </w:r>
    </w:p>
    <w:p w:rsidRPr="004F03D5" w:rsidR="004C0697" w:rsidP="004F03D5" w:rsidRDefault="004C0697">
      <w:pPr>
        <w:pStyle w:val="ECHRHeading2"/>
      </w:pPr>
      <w:r w:rsidRPr="004F03D5">
        <w:t>B.  Merits</w:t>
      </w:r>
    </w:p>
    <w:p w:rsidRPr="004F03D5" w:rsidR="004C0697" w:rsidP="004F03D5" w:rsidRDefault="004C0697">
      <w:pPr>
        <w:pStyle w:val="ECHRHeading3"/>
      </w:pPr>
      <w:r w:rsidRPr="004F03D5">
        <w:t>1.  The parties</w:t>
      </w:r>
      <w:r w:rsidRPr="004F03D5" w:rsidR="004F03D5">
        <w:t>’</w:t>
      </w:r>
      <w:r w:rsidRPr="004F03D5">
        <w:t xml:space="preserve"> submissions</w:t>
      </w:r>
    </w:p>
    <w:p w:rsidRPr="004F03D5" w:rsidR="003E021D" w:rsidP="004F03D5" w:rsidRDefault="004C0697">
      <w:pPr>
        <w:pStyle w:val="ECHRPara"/>
      </w:pPr>
      <w:r w:rsidRPr="004F03D5">
        <w:fldChar w:fldCharType="begin"/>
      </w:r>
      <w:r w:rsidRPr="004F03D5">
        <w:instrText xml:space="preserve"> SEQ level0 \*arabic </w:instrText>
      </w:r>
      <w:r w:rsidRPr="004F03D5">
        <w:fldChar w:fldCharType="separate"/>
      </w:r>
      <w:r w:rsidRPr="004F03D5" w:rsidR="004F03D5">
        <w:rPr>
          <w:noProof/>
        </w:rPr>
        <w:t>34</w:t>
      </w:r>
      <w:r w:rsidRPr="004F03D5">
        <w:fldChar w:fldCharType="end"/>
      </w:r>
      <w:r w:rsidRPr="004F03D5">
        <w:t>.  The applicants maintained their complaints.</w:t>
      </w:r>
    </w:p>
    <w:p w:rsidRPr="004F03D5" w:rsidR="003E021D" w:rsidP="004F03D5" w:rsidRDefault="004C0697">
      <w:pPr>
        <w:pStyle w:val="ECHRPara"/>
      </w:pPr>
      <w:r w:rsidRPr="004F03D5">
        <w:fldChar w:fldCharType="begin"/>
      </w:r>
      <w:r w:rsidRPr="004F03D5">
        <w:instrText xml:space="preserve"> SEQ level0 \*arabic </w:instrText>
      </w:r>
      <w:r w:rsidRPr="004F03D5">
        <w:fldChar w:fldCharType="separate"/>
      </w:r>
      <w:r w:rsidRPr="004F03D5" w:rsidR="004F03D5">
        <w:rPr>
          <w:noProof/>
        </w:rPr>
        <w:t>35</w:t>
      </w:r>
      <w:r w:rsidRPr="004F03D5">
        <w:fldChar w:fldCharType="end"/>
      </w:r>
      <w:r w:rsidRPr="004F03D5">
        <w:t>.  </w:t>
      </w:r>
      <w:r w:rsidRPr="004F03D5" w:rsidR="00E5542C">
        <w:t xml:space="preserve">The Government reiterated their submissions concerning statutory regulation of public events, made in </w:t>
      </w:r>
      <w:r w:rsidRPr="004F03D5" w:rsidR="00E5542C">
        <w:rPr>
          <w:i/>
        </w:rPr>
        <w:t>Novikova and Others</w:t>
      </w:r>
      <w:r w:rsidRPr="004F03D5" w:rsidR="00E5542C">
        <w:t xml:space="preserve"> (cited above, §§</w:t>
      </w:r>
      <w:r w:rsidRPr="004F03D5" w:rsidR="006F4119">
        <w:t> </w:t>
      </w:r>
      <w:r w:rsidRPr="004F03D5" w:rsidR="00E5542C">
        <w:t xml:space="preserve">95-96). The applicants </w:t>
      </w:r>
      <w:r w:rsidRPr="004F03D5" w:rsidR="00D07950">
        <w:t xml:space="preserve">had </w:t>
      </w:r>
      <w:r w:rsidRPr="004F03D5" w:rsidR="00E5542C">
        <w:t xml:space="preserve">organised and held a group public event in the form of a “meeting”, without </w:t>
      </w:r>
      <w:r w:rsidRPr="004F03D5" w:rsidR="00D07950">
        <w:t xml:space="preserve">notifying the </w:t>
      </w:r>
      <w:r w:rsidRPr="004F03D5" w:rsidR="00E5542C">
        <w:t>Moscow authorities</w:t>
      </w:r>
      <w:r w:rsidRPr="004F03D5" w:rsidR="00D07950">
        <w:t xml:space="preserve"> in advance</w:t>
      </w:r>
      <w:r w:rsidRPr="004F03D5" w:rsidR="00E5542C">
        <w:t>. In the Government</w:t>
      </w:r>
      <w:r w:rsidRPr="004F03D5" w:rsidR="004F03D5">
        <w:t>’</w:t>
      </w:r>
      <w:r w:rsidRPr="004F03D5" w:rsidR="00E5542C">
        <w:t xml:space="preserve">s view, there were no compelling reasons for holding this event on a particular date, and the applicants </w:t>
      </w:r>
      <w:r w:rsidRPr="004F03D5" w:rsidR="00D07950">
        <w:t xml:space="preserve">had </w:t>
      </w:r>
      <w:r w:rsidRPr="004F03D5" w:rsidR="00E5542C">
        <w:t xml:space="preserve">had sufficient time to obtain authorisation from </w:t>
      </w:r>
      <w:r w:rsidRPr="004F03D5" w:rsidR="00D07950">
        <w:t xml:space="preserve">the </w:t>
      </w:r>
      <w:r w:rsidRPr="004F03D5" w:rsidR="00E5542C">
        <w:t xml:space="preserve">city authorities. They </w:t>
      </w:r>
      <w:r w:rsidRPr="004F03D5" w:rsidR="00D07950">
        <w:t xml:space="preserve">had </w:t>
      </w:r>
      <w:r w:rsidRPr="004F03D5" w:rsidR="00E5542C">
        <w:t xml:space="preserve">therefore been lawfully held liable for </w:t>
      </w:r>
      <w:r w:rsidRPr="004F03D5" w:rsidR="00D07950">
        <w:t xml:space="preserve">a </w:t>
      </w:r>
      <w:r w:rsidRPr="004F03D5" w:rsidR="00E5542C">
        <w:t>breach of the PEA requirements.</w:t>
      </w:r>
    </w:p>
    <w:p w:rsidRPr="004F03D5" w:rsidR="003E021D" w:rsidP="004F03D5" w:rsidRDefault="00E5542C">
      <w:pPr>
        <w:pStyle w:val="ECHRHeading3"/>
      </w:pPr>
      <w:r w:rsidRPr="004F03D5">
        <w:t>2.  The Court</w:t>
      </w:r>
      <w:r w:rsidRPr="004F03D5" w:rsidR="004F03D5">
        <w:t>’</w:t>
      </w:r>
      <w:r w:rsidRPr="004F03D5">
        <w:t>s assessment</w:t>
      </w:r>
    </w:p>
    <w:p w:rsidRPr="004F03D5" w:rsidR="00E5542C" w:rsidP="004F03D5" w:rsidRDefault="00E5542C">
      <w:pPr>
        <w:pStyle w:val="ECHRPara"/>
      </w:pPr>
      <w:r w:rsidRPr="004F03D5">
        <w:fldChar w:fldCharType="begin"/>
      </w:r>
      <w:r w:rsidRPr="004F03D5">
        <w:instrText xml:space="preserve"> SEQ level0 \*arabic </w:instrText>
      </w:r>
      <w:r w:rsidRPr="004F03D5">
        <w:fldChar w:fldCharType="separate"/>
      </w:r>
      <w:r w:rsidRPr="004F03D5" w:rsidR="004F03D5">
        <w:rPr>
          <w:noProof/>
        </w:rPr>
        <w:t>36</w:t>
      </w:r>
      <w:r w:rsidRPr="004F03D5">
        <w:fldChar w:fldCharType="end"/>
      </w:r>
      <w:r w:rsidRPr="004F03D5">
        <w:t xml:space="preserve">.  The </w:t>
      </w:r>
      <w:r w:rsidRPr="004F03D5" w:rsidR="00DA3118">
        <w:t>Government accepted</w:t>
      </w:r>
      <w:r w:rsidRPr="004F03D5">
        <w:t xml:space="preserve"> that the applicants</w:t>
      </w:r>
      <w:r w:rsidRPr="004F03D5" w:rsidR="004F03D5">
        <w:t>’</w:t>
      </w:r>
      <w:r w:rsidRPr="004F03D5">
        <w:t xml:space="preserve"> </w:t>
      </w:r>
      <w:r w:rsidRPr="004F03D5" w:rsidR="00ED3A7B">
        <w:t xml:space="preserve">arrest at the </w:t>
      </w:r>
      <w:r w:rsidRPr="004F03D5" w:rsidR="00D07950">
        <w:t>site</w:t>
      </w:r>
      <w:r w:rsidRPr="004F03D5" w:rsidR="00ED3A7B">
        <w:t xml:space="preserve"> of the public event</w:t>
      </w:r>
      <w:r w:rsidRPr="004F03D5">
        <w:t xml:space="preserve"> and their administrative conviction</w:t>
      </w:r>
      <w:r w:rsidRPr="004F03D5" w:rsidR="00E934FF">
        <w:t>s</w:t>
      </w:r>
      <w:r w:rsidRPr="004F03D5">
        <w:t xml:space="preserve"> </w:t>
      </w:r>
      <w:r w:rsidRPr="004F03D5" w:rsidR="000F480B">
        <w:t xml:space="preserve">had </w:t>
      </w:r>
      <w:r w:rsidRPr="004F03D5">
        <w:t xml:space="preserve">constituted </w:t>
      </w:r>
      <w:r w:rsidRPr="004F03D5" w:rsidR="00E934FF">
        <w:t xml:space="preserve">an </w:t>
      </w:r>
      <w:r w:rsidRPr="004F03D5">
        <w:t xml:space="preserve">interference with their right to freedom of peaceful assembly and their right to freedom of expression. Such </w:t>
      </w:r>
      <w:r w:rsidRPr="004F03D5" w:rsidR="000F480B">
        <w:t xml:space="preserve">an </w:t>
      </w:r>
      <w:r w:rsidRPr="004F03D5">
        <w:t xml:space="preserve">interference constitutes </w:t>
      </w:r>
      <w:r w:rsidRPr="004F03D5" w:rsidR="000F480B">
        <w:t xml:space="preserve">a </w:t>
      </w:r>
      <w:r w:rsidRPr="004F03D5">
        <w:t>breach of Articles 10 and</w:t>
      </w:r>
      <w:r w:rsidRPr="004F03D5" w:rsidR="00DA3118">
        <w:t>/or</w:t>
      </w:r>
      <w:r w:rsidRPr="004F03D5">
        <w:t xml:space="preserve"> 11 of the Convention unless it is prescribed by law, pursues one or more legitimate aims under paragraph 2 of each Article</w:t>
      </w:r>
      <w:r w:rsidRPr="004F03D5" w:rsidR="00D07950">
        <w:t>,</w:t>
      </w:r>
      <w:r w:rsidRPr="004F03D5">
        <w:t xml:space="preserve"> and is “necessary in a democratic society”.</w:t>
      </w:r>
    </w:p>
    <w:p w:rsidRPr="004F03D5" w:rsidR="003E021D" w:rsidP="004F03D5" w:rsidRDefault="001C2AF5">
      <w:pPr>
        <w:pStyle w:val="ECHRPara"/>
      </w:pPr>
      <w:r w:rsidRPr="004F03D5">
        <w:fldChar w:fldCharType="begin"/>
      </w:r>
      <w:r w:rsidRPr="004F03D5">
        <w:instrText xml:space="preserve"> SEQ level0 \*arabic </w:instrText>
      </w:r>
      <w:r w:rsidRPr="004F03D5">
        <w:fldChar w:fldCharType="separate"/>
      </w:r>
      <w:r w:rsidRPr="004F03D5" w:rsidR="004F03D5">
        <w:rPr>
          <w:noProof/>
        </w:rPr>
        <w:t>37</w:t>
      </w:r>
      <w:r w:rsidRPr="004F03D5">
        <w:fldChar w:fldCharType="end"/>
      </w:r>
      <w:r w:rsidRPr="004F03D5">
        <w:t>.  T</w:t>
      </w:r>
      <w:r w:rsidRPr="004F03D5" w:rsidR="00764343">
        <w:t xml:space="preserve">he applicants submitted no convincing argument that </w:t>
      </w:r>
      <w:r w:rsidRPr="004F03D5" w:rsidR="00454A65">
        <w:t>their</w:t>
      </w:r>
      <w:r w:rsidRPr="004F03D5">
        <w:t xml:space="preserve"> administrative </w:t>
      </w:r>
      <w:r w:rsidRPr="004F03D5" w:rsidR="002D17A8">
        <w:t>transfer</w:t>
      </w:r>
      <w:r w:rsidRPr="004F03D5">
        <w:t xml:space="preserve">, arrest </w:t>
      </w:r>
      <w:r w:rsidRPr="004F03D5" w:rsidR="00E934FF">
        <w:t>and</w:t>
      </w:r>
      <w:r w:rsidRPr="004F03D5" w:rsidR="00764343">
        <w:t xml:space="preserve"> administrative conviction had </w:t>
      </w:r>
      <w:r w:rsidRPr="004F03D5" w:rsidR="000F480B">
        <w:t xml:space="preserve">had </w:t>
      </w:r>
      <w:r w:rsidRPr="004F03D5" w:rsidR="00764343">
        <w:t xml:space="preserve">no basis in the domestic law. Thus, the Court will focus on the arguments pertaining </w:t>
      </w:r>
      <w:r w:rsidRPr="004F03D5" w:rsidR="007E2CA1">
        <w:t xml:space="preserve">to the proportionality of </w:t>
      </w:r>
      <w:r w:rsidRPr="004F03D5" w:rsidR="000F480B">
        <w:t xml:space="preserve">the </w:t>
      </w:r>
      <w:r w:rsidRPr="004F03D5" w:rsidR="007E2CA1">
        <w:t>interference with the applicants</w:t>
      </w:r>
      <w:r w:rsidRPr="004F03D5" w:rsidR="004F03D5">
        <w:t>’</w:t>
      </w:r>
      <w:r w:rsidRPr="004F03D5" w:rsidR="007E2CA1">
        <w:t xml:space="preserve"> rights.</w:t>
      </w:r>
    </w:p>
    <w:p w:rsidRPr="004F03D5" w:rsidR="00297ECB" w:rsidP="004F03D5" w:rsidRDefault="007E2CA1">
      <w:pPr>
        <w:pStyle w:val="ECHRPara"/>
      </w:pPr>
      <w:r w:rsidRPr="004F03D5">
        <w:fldChar w:fldCharType="begin"/>
      </w:r>
      <w:r w:rsidRPr="004F03D5">
        <w:instrText xml:space="preserve"> SEQ level0 \*arabic </w:instrText>
      </w:r>
      <w:r w:rsidRPr="004F03D5">
        <w:fldChar w:fldCharType="separate"/>
      </w:r>
      <w:r w:rsidRPr="004F03D5" w:rsidR="004F03D5">
        <w:rPr>
          <w:noProof/>
        </w:rPr>
        <w:t>38</w:t>
      </w:r>
      <w:r w:rsidRPr="004F03D5">
        <w:fldChar w:fldCharType="end"/>
      </w:r>
      <w:r w:rsidRPr="004F03D5">
        <w:t>.  </w:t>
      </w:r>
      <w:r w:rsidRPr="004F03D5" w:rsidR="00297ECB">
        <w:t>T</w:t>
      </w:r>
      <w:r w:rsidRPr="004F03D5">
        <w:t>he Court has taken note of the applicants</w:t>
      </w:r>
      <w:r w:rsidRPr="004F03D5" w:rsidR="004F03D5">
        <w:t>’</w:t>
      </w:r>
      <w:r w:rsidRPr="004F03D5">
        <w:t xml:space="preserve"> argument that both </w:t>
      </w:r>
      <w:r w:rsidRPr="004F03D5" w:rsidR="00706AA2">
        <w:t xml:space="preserve">had </w:t>
      </w:r>
      <w:r w:rsidRPr="004F03D5">
        <w:t>staged solo demonstrations</w:t>
      </w:r>
      <w:r w:rsidRPr="004F03D5" w:rsidR="00D07950">
        <w:t>,</w:t>
      </w:r>
      <w:r w:rsidRPr="004F03D5">
        <w:t xml:space="preserve"> which happened to coincide as to venue and timing. It is noted that there was a specific statutory requirement of fifty metres </w:t>
      </w:r>
      <w:r w:rsidRPr="004F03D5" w:rsidR="002D17A8">
        <w:t>of distance between solo demonstrations</w:t>
      </w:r>
      <w:r w:rsidRPr="004F03D5" w:rsidR="000F480B">
        <w:t xml:space="preserve"> </w:t>
      </w:r>
      <w:r w:rsidRPr="004F03D5">
        <w:t xml:space="preserve">in Moscow in 2015 (see paragraph </w:t>
      </w:r>
      <w:r w:rsidRPr="004F03D5">
        <w:fldChar w:fldCharType="begin"/>
      </w:r>
      <w:r w:rsidRPr="004F03D5">
        <w:instrText xml:space="preserve"> REF MoscowLaw \h </w:instrText>
      </w:r>
      <w:r w:rsidRPr="004F03D5" w:rsidR="003E021D">
        <w:instrText xml:space="preserve"> \* MERGEFORMAT </w:instrText>
      </w:r>
      <w:r w:rsidRPr="004F03D5">
        <w:fldChar w:fldCharType="separate"/>
      </w:r>
      <w:r w:rsidRPr="004F03D5" w:rsidR="004F03D5">
        <w:rPr>
          <w:noProof/>
        </w:rPr>
        <w:t>18</w:t>
      </w:r>
      <w:r w:rsidRPr="004F03D5">
        <w:fldChar w:fldCharType="end"/>
      </w:r>
      <w:r w:rsidRPr="004F03D5">
        <w:t xml:space="preserve"> above). </w:t>
      </w:r>
      <w:r w:rsidRPr="004F03D5" w:rsidR="00DA3118">
        <w:t>The Court considers that the applicants</w:t>
      </w:r>
      <w:r w:rsidRPr="004F03D5" w:rsidR="004F03D5">
        <w:t>’</w:t>
      </w:r>
      <w:r w:rsidRPr="004F03D5" w:rsidR="00DA3118">
        <w:t xml:space="preserve"> argument was not devoid of substance. However, t</w:t>
      </w:r>
      <w:r w:rsidRPr="004F03D5" w:rsidR="00297ECB">
        <w:t xml:space="preserve">he court decisions in the </w:t>
      </w:r>
      <w:r w:rsidRPr="004F03D5" w:rsidR="000F6D74">
        <w:t>administrative</w:t>
      </w:r>
      <w:r w:rsidRPr="004F03D5" w:rsidR="00297ECB">
        <w:t xml:space="preserve"> case</w:t>
      </w:r>
      <w:r w:rsidRPr="004F03D5" w:rsidR="003D4571">
        <w:t>s</w:t>
      </w:r>
      <w:r w:rsidRPr="004F03D5" w:rsidR="00297ECB">
        <w:t xml:space="preserve"> against the applicant</w:t>
      </w:r>
      <w:r w:rsidRPr="004F03D5" w:rsidR="003D4571">
        <w:t>s</w:t>
      </w:r>
      <w:r w:rsidRPr="004F03D5" w:rsidR="00297ECB">
        <w:t xml:space="preserve"> contain no specific assessment of the “solo demonstration” </w:t>
      </w:r>
      <w:r w:rsidRPr="004F03D5" w:rsidR="000F6D74">
        <w:t>argument</w:t>
      </w:r>
      <w:r w:rsidRPr="004F03D5" w:rsidR="002D17A8">
        <w:t>. I</w:t>
      </w:r>
      <w:r w:rsidRPr="004F03D5" w:rsidR="00297ECB">
        <w:t xml:space="preserve">t remains unclear whether each applicant </w:t>
      </w:r>
      <w:r w:rsidRPr="004F03D5" w:rsidR="00DD53D5">
        <w:t>was</w:t>
      </w:r>
      <w:r w:rsidRPr="004F03D5" w:rsidR="00297ECB">
        <w:t xml:space="preserve"> standing at this or another non-</w:t>
      </w:r>
      <w:r w:rsidRPr="004F03D5" w:rsidR="000F6D74">
        <w:t>negligible</w:t>
      </w:r>
      <w:r w:rsidRPr="004F03D5" w:rsidR="00297ECB">
        <w:t xml:space="preserve"> distance from each other, other solo demonstrators (if any) or any group of people that had gathered following their earlier initiative for a group event.</w:t>
      </w:r>
    </w:p>
    <w:bookmarkStart w:name="cc" w:id="8"/>
    <w:p w:rsidRPr="004F03D5" w:rsidR="003E021D" w:rsidP="004F03D5" w:rsidRDefault="007E2CA1">
      <w:pPr>
        <w:pStyle w:val="ECHRPara"/>
      </w:pPr>
      <w:r w:rsidRPr="004F03D5">
        <w:fldChar w:fldCharType="begin"/>
      </w:r>
      <w:r w:rsidRPr="004F03D5">
        <w:instrText xml:space="preserve"> SEQ level0 \*arabic </w:instrText>
      </w:r>
      <w:r w:rsidRPr="004F03D5">
        <w:fldChar w:fldCharType="separate"/>
      </w:r>
      <w:r w:rsidRPr="004F03D5" w:rsidR="004F03D5">
        <w:rPr>
          <w:noProof/>
        </w:rPr>
        <w:t>39</w:t>
      </w:r>
      <w:r w:rsidRPr="004F03D5">
        <w:fldChar w:fldCharType="end"/>
      </w:r>
      <w:r w:rsidRPr="004F03D5">
        <w:t>.  </w:t>
      </w:r>
      <w:r w:rsidRPr="004F03D5" w:rsidR="00297ECB">
        <w:t>T</w:t>
      </w:r>
      <w:bookmarkEnd w:id="8"/>
      <w:r w:rsidRPr="004F03D5">
        <w:t>he domestic courts</w:t>
      </w:r>
      <w:r w:rsidRPr="004F03D5" w:rsidR="00297ECB">
        <w:t xml:space="preserve"> found</w:t>
      </w:r>
      <w:r w:rsidRPr="004F03D5">
        <w:t xml:space="preserve"> that the applicants</w:t>
      </w:r>
      <w:r w:rsidRPr="004F03D5" w:rsidR="00297ECB">
        <w:t xml:space="preserve"> had organised and</w:t>
      </w:r>
      <w:r w:rsidRPr="004F03D5">
        <w:t xml:space="preserve"> held </w:t>
      </w:r>
      <w:r w:rsidRPr="004F03D5" w:rsidR="00C410F6">
        <w:t xml:space="preserve">a </w:t>
      </w:r>
      <w:r w:rsidRPr="004F03D5">
        <w:t xml:space="preserve">group public event in the form of </w:t>
      </w:r>
      <w:r w:rsidRPr="004F03D5" w:rsidR="00C410F6">
        <w:t xml:space="preserve">a </w:t>
      </w:r>
      <w:r w:rsidRPr="004F03D5">
        <w:t>“</w:t>
      </w:r>
      <w:r w:rsidRPr="004F03D5" w:rsidR="00C410F6">
        <w:t>meeting</w:t>
      </w:r>
      <w:r w:rsidRPr="004F03D5">
        <w:t xml:space="preserve">” without prior notice. Even accepting that the applicants did indeed </w:t>
      </w:r>
      <w:r w:rsidRPr="004F03D5" w:rsidR="00297ECB">
        <w:t>act in that manner</w:t>
      </w:r>
      <w:r w:rsidRPr="004F03D5">
        <w:t xml:space="preserve">, </w:t>
      </w:r>
      <w:r w:rsidRPr="004F03D5" w:rsidR="00297ECB">
        <w:t>t</w:t>
      </w:r>
      <w:r w:rsidRPr="004F03D5">
        <w:t>he Court has consistently found a violation of Article 11</w:t>
      </w:r>
      <w:r w:rsidRPr="004F03D5" w:rsidR="00297ECB">
        <w:t xml:space="preserve"> of the Convention</w:t>
      </w:r>
      <w:r w:rsidRPr="004F03D5">
        <w:t xml:space="preserve"> in a situation in which the </w:t>
      </w:r>
      <w:r w:rsidRPr="004F03D5" w:rsidR="00297ECB">
        <w:t xml:space="preserve">organisers </w:t>
      </w:r>
      <w:r w:rsidRPr="004F03D5" w:rsidR="00B069A9">
        <w:t xml:space="preserve">of </w:t>
      </w:r>
      <w:r w:rsidRPr="004F03D5" w:rsidR="00297ECB">
        <w:t xml:space="preserve">or </w:t>
      </w:r>
      <w:r w:rsidRPr="004F03D5">
        <w:t xml:space="preserve">participants </w:t>
      </w:r>
      <w:r w:rsidRPr="004F03D5" w:rsidR="00B069A9">
        <w:t xml:space="preserve">in </w:t>
      </w:r>
      <w:r w:rsidRPr="004F03D5">
        <w:t xml:space="preserve">a public gathering </w:t>
      </w:r>
      <w:r w:rsidRPr="004F03D5" w:rsidR="00DD53D5">
        <w:t>are</w:t>
      </w:r>
      <w:r w:rsidRPr="004F03D5">
        <w:t xml:space="preserve"> arrested and convicted of administrative offences for the sole reason that the Russian State authorities perceive their assembly to be unauthorised (see, as a most recent authority, </w:t>
      </w:r>
      <w:r w:rsidRPr="004F03D5">
        <w:rPr>
          <w:i/>
        </w:rPr>
        <w:t>Lashmankin and Others</w:t>
      </w:r>
      <w:r w:rsidRPr="004F03D5">
        <w:t xml:space="preserve">, cited above, §§ 459-63 and 475, and the cases cited therein). Having examined the proportionality of the interference in those cases, the Court </w:t>
      </w:r>
      <w:r w:rsidRPr="004F03D5" w:rsidR="00DD53D5">
        <w:t>discerns</w:t>
      </w:r>
      <w:r w:rsidRPr="004F03D5" w:rsidR="005A4256">
        <w:t xml:space="preserve">, </w:t>
      </w:r>
      <w:r w:rsidRPr="004F03D5" w:rsidR="005A4256">
        <w:rPr>
          <w:i/>
        </w:rPr>
        <w:t>inter alia</w:t>
      </w:r>
      <w:r w:rsidRPr="004F03D5" w:rsidR="005A4256">
        <w:t xml:space="preserve">, in the absence of any reprehensible act or non-minor disturbance on the part of the applicants, </w:t>
      </w:r>
      <w:r w:rsidRPr="004F03D5">
        <w:t xml:space="preserve">no “pressing social need” for their arrest and conviction </w:t>
      </w:r>
      <w:r w:rsidRPr="004F03D5" w:rsidR="00DD53D5">
        <w:t xml:space="preserve">of </w:t>
      </w:r>
      <w:r w:rsidRPr="004F03D5">
        <w:t>an administrative offence.</w:t>
      </w:r>
    </w:p>
    <w:p w:rsidRPr="004F03D5" w:rsidR="003E021D" w:rsidP="004F03D5" w:rsidRDefault="007E2CA1">
      <w:pPr>
        <w:pStyle w:val="ECHRPara"/>
      </w:pPr>
      <w:r w:rsidRPr="004F03D5">
        <w:fldChar w:fldCharType="begin"/>
      </w:r>
      <w:r w:rsidRPr="004F03D5">
        <w:instrText xml:space="preserve"> SEQ level0 \*arabic </w:instrText>
      </w:r>
      <w:r w:rsidRPr="004F03D5">
        <w:fldChar w:fldCharType="separate"/>
      </w:r>
      <w:r w:rsidRPr="004F03D5" w:rsidR="004F03D5">
        <w:rPr>
          <w:noProof/>
        </w:rPr>
        <w:t>40</w:t>
      </w:r>
      <w:r w:rsidRPr="004F03D5">
        <w:fldChar w:fldCharType="end"/>
      </w:r>
      <w:r w:rsidRPr="004F03D5">
        <w:t xml:space="preserve">.  In view of the domestic decisions and the other material submitted by the parties, the Court has not identified any fact or argument capable of persuading it to reach a different conclusion in the present case. It observes that </w:t>
      </w:r>
      <w:r w:rsidRPr="004F03D5" w:rsidR="00C410F6">
        <w:t>each</w:t>
      </w:r>
      <w:r w:rsidRPr="004F03D5">
        <w:t xml:space="preserve"> applicant w</w:t>
      </w:r>
      <w:r w:rsidRPr="004F03D5" w:rsidR="00C410F6">
        <w:t>as</w:t>
      </w:r>
      <w:r w:rsidRPr="004F03D5">
        <w:t xml:space="preserve"> sentenced to </w:t>
      </w:r>
      <w:r w:rsidRPr="004F03D5" w:rsidR="00C410F6">
        <w:t>ten</w:t>
      </w:r>
      <w:r w:rsidRPr="004F03D5" w:rsidR="00DD53D5">
        <w:t xml:space="preserve"> </w:t>
      </w:r>
      <w:r w:rsidRPr="004F03D5" w:rsidR="00C410F6">
        <w:t>day</w:t>
      </w:r>
      <w:r w:rsidRPr="004F03D5" w:rsidR="00DD53D5">
        <w:t>s</w:t>
      </w:r>
      <w:r w:rsidRPr="004F03D5" w:rsidR="004F03D5">
        <w:t>’</w:t>
      </w:r>
      <w:r w:rsidRPr="004F03D5" w:rsidR="00C410F6">
        <w:t xml:space="preserve"> detention</w:t>
      </w:r>
      <w:r w:rsidRPr="004F03D5">
        <w:t xml:space="preserve"> for </w:t>
      </w:r>
      <w:r w:rsidRPr="004F03D5" w:rsidR="00297ECB">
        <w:t>organis</w:t>
      </w:r>
      <w:r w:rsidRPr="004F03D5" w:rsidR="00DD53D5">
        <w:t>ing</w:t>
      </w:r>
      <w:r w:rsidRPr="004F03D5">
        <w:t xml:space="preserve"> </w:t>
      </w:r>
      <w:r w:rsidRPr="004F03D5" w:rsidR="00C410F6">
        <w:t xml:space="preserve">a </w:t>
      </w:r>
      <w:r w:rsidRPr="004F03D5">
        <w:t>group public event held without prior notice. It was not suggested that they</w:t>
      </w:r>
      <w:r w:rsidRPr="004F03D5" w:rsidR="00297ECB">
        <w:t xml:space="preserve"> </w:t>
      </w:r>
      <w:r w:rsidRPr="004F03D5">
        <w:t xml:space="preserve">had demonstrated violent behaviour or had in </w:t>
      </w:r>
      <w:r w:rsidRPr="004F03D5" w:rsidR="00DD53D5">
        <w:t xml:space="preserve">any </w:t>
      </w:r>
      <w:r w:rsidRPr="004F03D5">
        <w:t xml:space="preserve">other way disrupted peace or public order. </w:t>
      </w:r>
      <w:r w:rsidRPr="004F03D5" w:rsidR="00297ECB">
        <w:t xml:space="preserve">There is nothing to suggest that the gathering, as it </w:t>
      </w:r>
      <w:r w:rsidRPr="004F03D5" w:rsidR="00DA3118">
        <w:t xml:space="preserve">actually </w:t>
      </w:r>
      <w:r w:rsidRPr="004F03D5" w:rsidR="00297ECB">
        <w:t>happened, entailed any adverse consequence or damage</w:t>
      </w:r>
      <w:r w:rsidRPr="004F03D5" w:rsidR="000F6D74">
        <w:t xml:space="preserve"> or the necessary mobilisation of police resources in that context,</w:t>
      </w:r>
      <w:r w:rsidRPr="004F03D5" w:rsidR="003E021D">
        <w:t xml:space="preserve"> </w:t>
      </w:r>
      <w:r w:rsidRPr="004F03D5" w:rsidR="00297ECB">
        <w:t xml:space="preserve">apart from its formal non-compliance with the PEA. </w:t>
      </w:r>
      <w:r w:rsidRPr="004F03D5" w:rsidR="00C410F6">
        <w:t>Nor did the national authorities explain why it had been preferred not to allow the demonstrators, including the applicants, to complete the assembly</w:t>
      </w:r>
      <w:r w:rsidRPr="004F03D5" w:rsidR="000F5036">
        <w:t>,</w:t>
      </w:r>
      <w:r w:rsidRPr="004F03D5" w:rsidR="002D17A8">
        <w:t xml:space="preserve"> and</w:t>
      </w:r>
      <w:r w:rsidRPr="004F03D5" w:rsidR="009A1AB8">
        <w:t xml:space="preserve"> </w:t>
      </w:r>
      <w:r w:rsidRPr="004F03D5" w:rsidR="00C410F6">
        <w:t xml:space="preserve">to impose a reasonable fine </w:t>
      </w:r>
      <w:r w:rsidRPr="004F03D5" w:rsidR="000F5036">
        <w:t xml:space="preserve">for breach of the notification rules </w:t>
      </w:r>
      <w:r w:rsidRPr="004F03D5" w:rsidR="00C410F6">
        <w:t xml:space="preserve">on the spot or later on (see, </w:t>
      </w:r>
      <w:r w:rsidRPr="004F03D5" w:rsidR="00C410F6">
        <w:rPr>
          <w:i/>
        </w:rPr>
        <w:t>mutatis mutandis</w:t>
      </w:r>
      <w:r w:rsidRPr="004F03D5" w:rsidR="00C410F6">
        <w:t xml:space="preserve">, </w:t>
      </w:r>
      <w:r w:rsidRPr="004F03D5" w:rsidR="00C410F6">
        <w:rPr>
          <w:i/>
        </w:rPr>
        <w:t>Novikova and Others</w:t>
      </w:r>
      <w:r w:rsidRPr="004F03D5" w:rsidR="00C410F6">
        <w:t xml:space="preserve">, cited above, § 175). </w:t>
      </w:r>
      <w:r w:rsidRPr="004F03D5">
        <w:t>Accordingly, the Court considers that in the instant case the overall reaction of the domestic authorities was not “necessary in a democratic society”.</w:t>
      </w:r>
    </w:p>
    <w:p w:rsidRPr="004F03D5" w:rsidR="003E021D" w:rsidP="004F03D5" w:rsidRDefault="00297ECB">
      <w:pPr>
        <w:pStyle w:val="ECHRPara"/>
      </w:pPr>
      <w:r w:rsidRPr="004F03D5">
        <w:fldChar w:fldCharType="begin"/>
      </w:r>
      <w:r w:rsidRPr="004F03D5">
        <w:instrText xml:space="preserve"> SEQ level0 \*arabic </w:instrText>
      </w:r>
      <w:r w:rsidRPr="004F03D5">
        <w:fldChar w:fldCharType="separate"/>
      </w:r>
      <w:r w:rsidRPr="004F03D5" w:rsidR="004F03D5">
        <w:rPr>
          <w:noProof/>
        </w:rPr>
        <w:t>41</w:t>
      </w:r>
      <w:r w:rsidRPr="004F03D5">
        <w:fldChar w:fldCharType="end"/>
      </w:r>
      <w:r w:rsidRPr="004F03D5">
        <w:t>.  </w:t>
      </w:r>
      <w:r w:rsidRPr="004F03D5" w:rsidR="007E2CA1">
        <w:t>There has therefore been a violation of Article 1</w:t>
      </w:r>
      <w:r w:rsidRPr="004F03D5" w:rsidR="00DA3118">
        <w:t>0</w:t>
      </w:r>
      <w:r w:rsidRPr="004F03D5" w:rsidR="007E2CA1">
        <w:t xml:space="preserve"> of the Convention</w:t>
      </w:r>
      <w:r w:rsidRPr="004F03D5" w:rsidR="00DA3118">
        <w:t>, seen in the light of Article 11,</w:t>
      </w:r>
      <w:r w:rsidRPr="004F03D5" w:rsidR="007E2CA1">
        <w:t xml:space="preserve"> in respect of each applicant.</w:t>
      </w:r>
    </w:p>
    <w:p w:rsidRPr="004F03D5" w:rsidR="00D420F3" w:rsidP="004F03D5" w:rsidRDefault="002F580C">
      <w:pPr>
        <w:pStyle w:val="ECHRHeading1"/>
        <w:keepNext w:val="0"/>
        <w:keepLines w:val="0"/>
      </w:pPr>
      <w:r w:rsidRPr="004F03D5">
        <w:t>V</w:t>
      </w:r>
      <w:r w:rsidRPr="004F03D5" w:rsidR="0077175D">
        <w:t>.  APPLICATION OF ARTICLE 41 OF THE CONVENTION</w:t>
      </w:r>
    </w:p>
    <w:p w:rsidRPr="004F03D5" w:rsidR="00D420F3" w:rsidP="004F03D5" w:rsidRDefault="002F580C">
      <w:pPr>
        <w:pStyle w:val="ECHRPara"/>
      </w:pPr>
      <w:r w:rsidRPr="004F03D5">
        <w:fldChar w:fldCharType="begin"/>
      </w:r>
      <w:r w:rsidRPr="004F03D5">
        <w:instrText xml:space="preserve"> SEQ level0 \*arabic </w:instrText>
      </w:r>
      <w:r w:rsidRPr="004F03D5">
        <w:fldChar w:fldCharType="separate"/>
      </w:r>
      <w:r w:rsidRPr="004F03D5" w:rsidR="004F03D5">
        <w:rPr>
          <w:noProof/>
        </w:rPr>
        <w:t>42</w:t>
      </w:r>
      <w:r w:rsidRPr="004F03D5">
        <w:fldChar w:fldCharType="end"/>
      </w:r>
      <w:r w:rsidRPr="004F03D5">
        <w:t>.  </w:t>
      </w:r>
      <w:r w:rsidRPr="004F03D5" w:rsidR="0077175D">
        <w:t>Article 41 of the Convention provides:</w:t>
      </w:r>
    </w:p>
    <w:p w:rsidRPr="004F03D5" w:rsidR="00D420F3" w:rsidP="004F03D5" w:rsidRDefault="0077175D">
      <w:pPr>
        <w:pStyle w:val="ECHRParaQuote"/>
      </w:pPr>
      <w:r w:rsidRPr="004F03D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F03D5" w:rsidR="00D420F3" w:rsidP="004F03D5" w:rsidRDefault="0077175D">
      <w:pPr>
        <w:pStyle w:val="ECHRHeading2"/>
      </w:pPr>
      <w:r w:rsidRPr="004F03D5">
        <w:t>A.  Damage</w:t>
      </w:r>
    </w:p>
    <w:p w:rsidRPr="004F03D5" w:rsidR="00D420F3" w:rsidP="004F03D5" w:rsidRDefault="00A30943">
      <w:pPr>
        <w:pStyle w:val="ECHRPara"/>
      </w:pPr>
      <w:r w:rsidRPr="004F03D5">
        <w:fldChar w:fldCharType="begin"/>
      </w:r>
      <w:r w:rsidRPr="004F03D5">
        <w:instrText xml:space="preserve"> SEQ level0 \*arabic </w:instrText>
      </w:r>
      <w:r w:rsidRPr="004F03D5">
        <w:fldChar w:fldCharType="separate"/>
      </w:r>
      <w:r w:rsidRPr="004F03D5" w:rsidR="004F03D5">
        <w:rPr>
          <w:noProof/>
        </w:rPr>
        <w:t>43</w:t>
      </w:r>
      <w:r w:rsidRPr="004F03D5">
        <w:fldChar w:fldCharType="end"/>
      </w:r>
      <w:r w:rsidRPr="004F03D5">
        <w:t>.  Each</w:t>
      </w:r>
      <w:r w:rsidRPr="004F03D5" w:rsidR="0077175D">
        <w:t xml:space="preserve"> applicant claimed </w:t>
      </w:r>
      <w:r w:rsidRPr="004F03D5">
        <w:t>5,000</w:t>
      </w:r>
      <w:r w:rsidRPr="004F03D5" w:rsidR="0077175D">
        <w:t xml:space="preserve"> euros (EUR) in respect of non</w:t>
      </w:r>
      <w:r w:rsidRPr="004F03D5" w:rsidR="006F4119">
        <w:noBreakHyphen/>
      </w:r>
      <w:r w:rsidRPr="004F03D5" w:rsidR="0077175D">
        <w:t>pecuniary damage</w:t>
      </w:r>
      <w:r w:rsidRPr="004F03D5" w:rsidR="007E369D">
        <w:t xml:space="preserve"> and EUR 5,000 on account of lost earnings during the period when they </w:t>
      </w:r>
      <w:r w:rsidRPr="004F03D5" w:rsidR="00DD53D5">
        <w:t>had been serving</w:t>
      </w:r>
      <w:r w:rsidRPr="004F03D5" w:rsidR="007E369D">
        <w:t xml:space="preserve"> their sentences of administrative detention.</w:t>
      </w:r>
    </w:p>
    <w:p w:rsidRPr="004F03D5" w:rsidR="003E021D"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44</w:t>
      </w:r>
      <w:r w:rsidRPr="004F03D5">
        <w:fldChar w:fldCharType="end"/>
      </w:r>
      <w:r w:rsidRPr="004F03D5" w:rsidR="0077175D">
        <w:t xml:space="preserve">.  The Government </w:t>
      </w:r>
      <w:r w:rsidRPr="004F03D5" w:rsidR="00A30943">
        <w:t>contested the claims for non-pecuniary damage as excessive and unreasonable.</w:t>
      </w:r>
    </w:p>
    <w:p w:rsidRPr="004F03D5" w:rsidR="003E021D"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45</w:t>
      </w:r>
      <w:r w:rsidRPr="004F03D5">
        <w:fldChar w:fldCharType="end"/>
      </w:r>
      <w:r w:rsidRPr="004F03D5" w:rsidR="0077175D">
        <w:t>.  </w:t>
      </w:r>
      <w:r w:rsidRPr="004F03D5" w:rsidR="007E369D">
        <w:t xml:space="preserve">The Court dismisses the pecuniary claim as unsubstantiated. </w:t>
      </w:r>
      <w:r w:rsidRPr="004F03D5" w:rsidR="0077175D">
        <w:t>T</w:t>
      </w:r>
      <w:r w:rsidRPr="004F03D5" w:rsidR="00A30943">
        <w:t>aking into account the nature and scope of the violations of Articles 6 and 1</w:t>
      </w:r>
      <w:r w:rsidRPr="004F03D5" w:rsidR="00FA754C">
        <w:t>0</w:t>
      </w:r>
      <w:r w:rsidRPr="004F03D5" w:rsidR="00A30943">
        <w:t xml:space="preserve"> of the Convention</w:t>
      </w:r>
      <w:r w:rsidRPr="004F03D5" w:rsidR="00F12EDB">
        <w:t xml:space="preserve"> (the latter being seen in the light of Article 11)</w:t>
      </w:r>
      <w:r w:rsidRPr="004F03D5" w:rsidR="00A30943">
        <w:t xml:space="preserve"> in respect of each applicant</w:t>
      </w:r>
      <w:r w:rsidRPr="004F03D5" w:rsidR="00DD53D5">
        <w:t>,</w:t>
      </w:r>
      <w:r w:rsidRPr="004F03D5" w:rsidR="00A30943">
        <w:t xml:space="preserve"> and making its assessment on an equitable basis, the Court awards each applicant EUR 5,000 in respect of non-pecuniary damage, plus any tax that may be chargeable.</w:t>
      </w:r>
    </w:p>
    <w:p w:rsidRPr="004F03D5" w:rsidR="00D420F3" w:rsidP="004F03D5" w:rsidRDefault="0077175D">
      <w:pPr>
        <w:pStyle w:val="ECHRHeading2"/>
      </w:pPr>
      <w:r w:rsidRPr="004F03D5">
        <w:t>B.  Costs and expenses</w:t>
      </w:r>
    </w:p>
    <w:p w:rsidRPr="004F03D5" w:rsidR="00D420F3"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46</w:t>
      </w:r>
      <w:r w:rsidRPr="004F03D5">
        <w:fldChar w:fldCharType="end"/>
      </w:r>
      <w:r w:rsidRPr="004F03D5" w:rsidR="0077175D">
        <w:t>.  </w:t>
      </w:r>
      <w:r w:rsidRPr="004F03D5" w:rsidR="00A30943">
        <w:t>Each</w:t>
      </w:r>
      <w:r w:rsidRPr="004F03D5" w:rsidR="0077175D">
        <w:t xml:space="preserve"> applicant also claimed EUR </w:t>
      </w:r>
      <w:r w:rsidRPr="004F03D5" w:rsidR="00A30943">
        <w:t>2,000</w:t>
      </w:r>
      <w:r w:rsidRPr="004F03D5" w:rsidR="0077175D">
        <w:t xml:space="preserve"> for </w:t>
      </w:r>
      <w:r w:rsidRPr="004F03D5" w:rsidR="00A30943">
        <w:t xml:space="preserve">legal representation </w:t>
      </w:r>
      <w:r w:rsidRPr="004F03D5" w:rsidR="007D153F">
        <w:t xml:space="preserve">in the proceedings </w:t>
      </w:r>
      <w:r w:rsidRPr="004F03D5" w:rsidR="00A30943">
        <w:t>before</w:t>
      </w:r>
      <w:r w:rsidRPr="004F03D5" w:rsidR="0077175D">
        <w:t xml:space="preserve"> the Court.</w:t>
      </w:r>
    </w:p>
    <w:p w:rsidRPr="004F03D5" w:rsidR="003E021D"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47</w:t>
      </w:r>
      <w:r w:rsidRPr="004F03D5">
        <w:fldChar w:fldCharType="end"/>
      </w:r>
      <w:r w:rsidRPr="004F03D5" w:rsidR="0077175D">
        <w:t xml:space="preserve">.  The Government </w:t>
      </w:r>
      <w:r w:rsidRPr="004F03D5" w:rsidR="00A30943">
        <w:t>contested the claim on the grounds that there was no proof that the legal fees had actually been incurred.</w:t>
      </w:r>
    </w:p>
    <w:p w:rsidRPr="004F03D5" w:rsidR="00A30943"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48</w:t>
      </w:r>
      <w:r w:rsidRPr="004F03D5">
        <w:fldChar w:fldCharType="end"/>
      </w:r>
      <w:r w:rsidRPr="004F03D5" w:rsidR="0077175D">
        <w:t>.  </w:t>
      </w:r>
      <w:r w:rsidRPr="004F03D5" w:rsidR="000A57B6">
        <w:t>According to the Court</w:t>
      </w:r>
      <w:r w:rsidRPr="004F03D5" w:rsidR="004F03D5">
        <w:t>’</w:t>
      </w:r>
      <w:r w:rsidRPr="004F03D5" w:rsidR="000A57B6">
        <w:t>s case-law, an applicant is entitled to the reimbursement of costs and expenses only in so far as it has been shown that these have been actually and necessarily incurred and are reasonable as to quantum. The Court is satisfied that the contracts for legal services (in respect of the proceedings before the Court) concluded with the applicants</w:t>
      </w:r>
      <w:r w:rsidRPr="004F03D5" w:rsidR="004F03D5">
        <w:t>’</w:t>
      </w:r>
      <w:r w:rsidRPr="004F03D5" w:rsidR="000A57B6">
        <w:t xml:space="preserve"> lawyer created legally enforceable obligations to pay </w:t>
      </w:r>
      <w:r w:rsidRPr="004F03D5" w:rsidR="007E369D">
        <w:t>for the representative</w:t>
      </w:r>
      <w:r w:rsidRPr="004F03D5" w:rsidR="004F03D5">
        <w:t>’</w:t>
      </w:r>
      <w:r w:rsidRPr="004F03D5" w:rsidR="007E369D">
        <w:t>s work</w:t>
      </w:r>
      <w:r w:rsidRPr="004F03D5" w:rsidR="000A57B6">
        <w:t>. Regard being had to these considerations, the documents in its possession and the</w:t>
      </w:r>
      <w:r w:rsidRPr="004F03D5" w:rsidR="007E369D">
        <w:t xml:space="preserve"> repetitive nature of the legal issues examined in this case,</w:t>
      </w:r>
      <w:r w:rsidRPr="004F03D5" w:rsidR="000A57B6">
        <w:t xml:space="preserve"> the Court considers it reasonable to award </w:t>
      </w:r>
      <w:r w:rsidRPr="004F03D5" w:rsidR="007D153F">
        <w:t>each applicant</w:t>
      </w:r>
      <w:r w:rsidRPr="004F03D5" w:rsidR="000A57B6">
        <w:t xml:space="preserve"> </w:t>
      </w:r>
      <w:r w:rsidRPr="004F03D5" w:rsidR="007D153F">
        <w:t xml:space="preserve">the sum </w:t>
      </w:r>
      <w:r w:rsidRPr="004F03D5" w:rsidR="000A57B6">
        <w:t xml:space="preserve">of EUR </w:t>
      </w:r>
      <w:r w:rsidRPr="004F03D5" w:rsidR="007E369D">
        <w:t>5</w:t>
      </w:r>
      <w:r w:rsidRPr="004F03D5" w:rsidR="000A57B6">
        <w:t xml:space="preserve">00 relating to </w:t>
      </w:r>
      <w:r w:rsidRPr="004F03D5" w:rsidR="00DD53D5">
        <w:t>their</w:t>
      </w:r>
      <w:r w:rsidRPr="004F03D5" w:rsidR="007D153F">
        <w:t xml:space="preserve"> </w:t>
      </w:r>
      <w:r w:rsidRPr="004F03D5" w:rsidR="000A57B6">
        <w:t xml:space="preserve">legal representation </w:t>
      </w:r>
      <w:r w:rsidRPr="004F03D5" w:rsidR="007D153F">
        <w:t>before the Court</w:t>
      </w:r>
      <w:r w:rsidRPr="004F03D5" w:rsidR="000A57B6">
        <w:t>, plus any tax that may be chargeable</w:t>
      </w:r>
      <w:r w:rsidRPr="004F03D5" w:rsidR="007E369D">
        <w:t xml:space="preserve"> to each applicant</w:t>
      </w:r>
      <w:r w:rsidRPr="004F03D5" w:rsidR="000A57B6">
        <w:t>.</w:t>
      </w:r>
    </w:p>
    <w:p w:rsidRPr="004F03D5" w:rsidR="00D420F3" w:rsidP="004F03D5" w:rsidRDefault="0077175D">
      <w:pPr>
        <w:pStyle w:val="ECHRHeading2"/>
      </w:pPr>
      <w:r w:rsidRPr="004F03D5">
        <w:t>C.  Default interest</w:t>
      </w:r>
    </w:p>
    <w:p w:rsidRPr="004F03D5" w:rsidR="00D420F3" w:rsidP="004F03D5" w:rsidRDefault="00F6123C">
      <w:pPr>
        <w:pStyle w:val="ECHRPara"/>
      </w:pPr>
      <w:r w:rsidRPr="004F03D5">
        <w:fldChar w:fldCharType="begin"/>
      </w:r>
      <w:r w:rsidRPr="004F03D5">
        <w:instrText xml:space="preserve"> SEQ level0 \*arabic </w:instrText>
      </w:r>
      <w:r w:rsidRPr="004F03D5">
        <w:fldChar w:fldCharType="separate"/>
      </w:r>
      <w:r w:rsidRPr="004F03D5" w:rsidR="004F03D5">
        <w:rPr>
          <w:noProof/>
        </w:rPr>
        <w:t>49</w:t>
      </w:r>
      <w:r w:rsidRPr="004F03D5">
        <w:fldChar w:fldCharType="end"/>
      </w:r>
      <w:r w:rsidRPr="004F03D5" w:rsidR="0077175D">
        <w:t>.  The Court considers it appropriate that the default interest rate should be based on the marginal lending rate of the European Central Bank, to which should be added three percentage points.</w:t>
      </w:r>
    </w:p>
    <w:p w:rsidRPr="004F03D5" w:rsidR="00D420F3" w:rsidP="004F03D5" w:rsidRDefault="0077175D">
      <w:pPr>
        <w:pStyle w:val="ECHRTitle1"/>
      </w:pPr>
      <w:r w:rsidRPr="004F03D5">
        <w:t>FOR THESE REASONS, THE COURT</w:t>
      </w:r>
      <w:r w:rsidRPr="004F03D5" w:rsidR="00F6123C">
        <w:t>, UNANIMOUSLY,</w:t>
      </w:r>
    </w:p>
    <w:p w:rsidRPr="004F03D5" w:rsidR="007D153F" w:rsidP="004F03D5" w:rsidRDefault="0077175D">
      <w:pPr>
        <w:pStyle w:val="JuList"/>
        <w:keepNext/>
        <w:keepLines/>
      </w:pPr>
      <w:r w:rsidRPr="004F03D5">
        <w:t>1.  </w:t>
      </w:r>
      <w:r w:rsidRPr="004F03D5" w:rsidR="007D153F">
        <w:rPr>
          <w:i/>
        </w:rPr>
        <w:t>Decides</w:t>
      </w:r>
      <w:r w:rsidRPr="004F03D5" w:rsidR="007D153F">
        <w:rPr>
          <w:color w:val="000000"/>
        </w:rPr>
        <w:t xml:space="preserve"> to join </w:t>
      </w:r>
      <w:r w:rsidRPr="004F03D5" w:rsidR="007D153F">
        <w:t>the applications;</w:t>
      </w:r>
    </w:p>
    <w:p w:rsidRPr="004F03D5" w:rsidR="007D153F" w:rsidP="004F03D5" w:rsidRDefault="007D153F">
      <w:pPr>
        <w:pStyle w:val="JuList"/>
      </w:pPr>
    </w:p>
    <w:p w:rsidRPr="004F03D5" w:rsidR="00D420F3" w:rsidP="004F03D5" w:rsidRDefault="007D153F">
      <w:pPr>
        <w:pStyle w:val="JuList"/>
      </w:pPr>
      <w:r w:rsidRPr="004F03D5">
        <w:t>2.  </w:t>
      </w:r>
      <w:r w:rsidRPr="004F03D5" w:rsidR="0077175D">
        <w:rPr>
          <w:i/>
        </w:rPr>
        <w:t>Declares</w:t>
      </w:r>
      <w:r w:rsidRPr="004F03D5" w:rsidR="0077175D">
        <w:rPr>
          <w:color w:val="000000"/>
        </w:rPr>
        <w:t xml:space="preserve"> </w:t>
      </w:r>
      <w:r w:rsidRPr="004F03D5" w:rsidR="0077175D">
        <w:t xml:space="preserve">the </w:t>
      </w:r>
      <w:r w:rsidRPr="004F03D5" w:rsidR="00480BE3">
        <w:t xml:space="preserve">complaints under Articles 6, 10 and 11 of the Convention </w:t>
      </w:r>
      <w:r w:rsidRPr="004F03D5" w:rsidR="0077175D">
        <w:t>admissible</w:t>
      </w:r>
      <w:r w:rsidRPr="004F03D5" w:rsidR="00634C0E">
        <w:t xml:space="preserve"> and the remainder inadmissible</w:t>
      </w:r>
      <w:r w:rsidRPr="004F03D5" w:rsidR="0077175D">
        <w:t>;</w:t>
      </w:r>
    </w:p>
    <w:p w:rsidRPr="004F03D5" w:rsidR="00D420F3" w:rsidP="004F03D5" w:rsidRDefault="00D420F3">
      <w:pPr>
        <w:pStyle w:val="JuList"/>
        <w:ind w:left="0" w:firstLine="0"/>
      </w:pPr>
    </w:p>
    <w:p w:rsidRPr="004F03D5" w:rsidR="0059618B" w:rsidP="004F03D5" w:rsidRDefault="007D153F">
      <w:pPr>
        <w:pStyle w:val="JuList"/>
      </w:pPr>
      <w:r w:rsidRPr="004F03D5">
        <w:t>3</w:t>
      </w:r>
      <w:r w:rsidRPr="004F03D5" w:rsidR="0077175D">
        <w:t>.  </w:t>
      </w:r>
      <w:r w:rsidRPr="004F03D5" w:rsidR="0077175D">
        <w:rPr>
          <w:i/>
        </w:rPr>
        <w:t>Holds</w:t>
      </w:r>
      <w:r w:rsidRPr="004F03D5" w:rsidR="0077175D">
        <w:rPr>
          <w:color w:val="000000"/>
        </w:rPr>
        <w:t xml:space="preserve"> </w:t>
      </w:r>
      <w:r w:rsidRPr="004F03D5" w:rsidR="0077175D">
        <w:t xml:space="preserve">that </w:t>
      </w:r>
      <w:r w:rsidRPr="004F03D5" w:rsidR="0059618B">
        <w:t>there has been a violation of Article 6 § 1 of the Convention on account of the objective impartiality requirement in respect of each applicant;</w:t>
      </w:r>
    </w:p>
    <w:p w:rsidRPr="004F03D5" w:rsidR="00D420F3" w:rsidP="004F03D5" w:rsidRDefault="00D420F3">
      <w:pPr>
        <w:pStyle w:val="JuList"/>
      </w:pPr>
    </w:p>
    <w:p w:rsidRPr="004F03D5" w:rsidR="00D420F3" w:rsidP="004F03D5" w:rsidRDefault="00634C0E">
      <w:pPr>
        <w:pStyle w:val="JuList"/>
      </w:pPr>
      <w:r w:rsidRPr="004F03D5">
        <w:t>4</w:t>
      </w:r>
      <w:r w:rsidRPr="004F03D5" w:rsidR="0077175D">
        <w:t>.  </w:t>
      </w:r>
      <w:r w:rsidRPr="004F03D5" w:rsidR="0077175D">
        <w:rPr>
          <w:i/>
        </w:rPr>
        <w:t>Holds</w:t>
      </w:r>
      <w:r w:rsidRPr="004F03D5" w:rsidR="0077175D">
        <w:rPr>
          <w:color w:val="000000"/>
        </w:rPr>
        <w:t xml:space="preserve"> </w:t>
      </w:r>
      <w:r w:rsidRPr="004F03D5" w:rsidR="0077175D">
        <w:t xml:space="preserve">that there has been a violation of Article </w:t>
      </w:r>
      <w:r w:rsidRPr="004F03D5" w:rsidR="0059618B">
        <w:t>1</w:t>
      </w:r>
      <w:r w:rsidRPr="004F03D5" w:rsidR="00DA3118">
        <w:t>0</w:t>
      </w:r>
      <w:r w:rsidRPr="004F03D5" w:rsidR="0077175D">
        <w:t xml:space="preserve"> of the Convention</w:t>
      </w:r>
      <w:r w:rsidRPr="004F03D5" w:rsidR="0059618B">
        <w:t xml:space="preserve"> </w:t>
      </w:r>
      <w:r w:rsidRPr="004F03D5" w:rsidR="00F675A3">
        <w:t xml:space="preserve">seen in the light of Article 11 </w:t>
      </w:r>
      <w:r w:rsidRPr="004F03D5" w:rsidR="0059618B">
        <w:t>in respect of each applicant</w:t>
      </w:r>
      <w:r w:rsidRPr="004F03D5" w:rsidR="0077175D">
        <w:t>;</w:t>
      </w:r>
    </w:p>
    <w:p w:rsidRPr="004F03D5" w:rsidR="00D420F3" w:rsidP="004F03D5" w:rsidRDefault="00D420F3">
      <w:pPr>
        <w:pStyle w:val="JuList"/>
      </w:pPr>
    </w:p>
    <w:p w:rsidRPr="004F03D5" w:rsidR="001D4766" w:rsidP="004F03D5" w:rsidRDefault="00634C0E">
      <w:pPr>
        <w:pStyle w:val="JuList"/>
      </w:pPr>
      <w:r w:rsidRPr="004F03D5">
        <w:t>5</w:t>
      </w:r>
      <w:r w:rsidRPr="004F03D5" w:rsidR="0077175D">
        <w:t>.  </w:t>
      </w:r>
      <w:r w:rsidRPr="004F03D5" w:rsidR="0077175D">
        <w:rPr>
          <w:i/>
        </w:rPr>
        <w:t>Holds</w:t>
      </w:r>
    </w:p>
    <w:p w:rsidRPr="004F03D5" w:rsidR="00D420F3" w:rsidP="004F03D5" w:rsidRDefault="0077175D">
      <w:pPr>
        <w:pStyle w:val="JuLista"/>
      </w:pPr>
      <w:r w:rsidRPr="004F03D5">
        <w:t xml:space="preserve">(a)  that the respondent State is to pay </w:t>
      </w:r>
      <w:r w:rsidRPr="004F03D5" w:rsidR="0059618B">
        <w:t>each</w:t>
      </w:r>
      <w:r w:rsidRPr="004F03D5">
        <w:t xml:space="preserve"> applicant, within three months</w:t>
      </w:r>
      <w:r w:rsidRPr="004F03D5" w:rsidR="00DD53D5">
        <w:t>,</w:t>
      </w:r>
      <w:r w:rsidRPr="004F03D5" w:rsidR="001D4766">
        <w:t xml:space="preserve"> </w:t>
      </w:r>
      <w:r w:rsidRPr="004F03D5">
        <w:t>the following amounts,</w:t>
      </w:r>
      <w:r w:rsidRPr="004F03D5">
        <w:rPr>
          <w:b/>
        </w:rPr>
        <w:t xml:space="preserve"> </w:t>
      </w:r>
      <w:r w:rsidRPr="004F03D5">
        <w:t xml:space="preserve">to be converted into </w:t>
      </w:r>
      <w:r w:rsidRPr="004F03D5">
        <w:rPr>
          <w:color w:val="000000"/>
        </w:rPr>
        <w:t>the currency of the respondent State</w:t>
      </w:r>
      <w:r w:rsidRPr="004F03D5" w:rsidR="0059618B">
        <w:rPr>
          <w:color w:val="000000"/>
        </w:rPr>
        <w:t xml:space="preserve"> </w:t>
      </w:r>
      <w:r w:rsidRPr="004F03D5">
        <w:t>at the rate applicable at the date of settlement:</w:t>
      </w:r>
    </w:p>
    <w:p w:rsidRPr="004F03D5" w:rsidR="00D420F3" w:rsidP="004F03D5" w:rsidRDefault="0077175D">
      <w:pPr>
        <w:pStyle w:val="JuListi"/>
      </w:pPr>
      <w:r w:rsidRPr="004F03D5">
        <w:t xml:space="preserve">(i)  EUR </w:t>
      </w:r>
      <w:r w:rsidRPr="004F03D5" w:rsidR="0059618B">
        <w:t>5,000</w:t>
      </w:r>
      <w:r w:rsidRPr="004F03D5">
        <w:t xml:space="preserve"> (</w:t>
      </w:r>
      <w:r w:rsidRPr="004F03D5" w:rsidR="0059618B">
        <w:t>five thousand euros)</w:t>
      </w:r>
      <w:r w:rsidRPr="004F03D5">
        <w:t>, plus any tax that may be chargeable,</w:t>
      </w:r>
      <w:r w:rsidRPr="004F03D5" w:rsidR="0059618B">
        <w:t xml:space="preserve"> </w:t>
      </w:r>
      <w:r w:rsidRPr="004F03D5">
        <w:t xml:space="preserve">in respect of </w:t>
      </w:r>
      <w:r w:rsidRPr="004F03D5" w:rsidR="0059618B">
        <w:t>non-</w:t>
      </w:r>
      <w:r w:rsidRPr="004F03D5">
        <w:t>pecuniary damage;</w:t>
      </w:r>
    </w:p>
    <w:p w:rsidRPr="004F03D5" w:rsidR="00D420F3" w:rsidP="004F03D5" w:rsidRDefault="0077175D">
      <w:pPr>
        <w:pStyle w:val="JuListi"/>
      </w:pPr>
      <w:r w:rsidRPr="004F03D5">
        <w:t xml:space="preserve">(ii)  EUR </w:t>
      </w:r>
      <w:r w:rsidRPr="004F03D5" w:rsidR="007E369D">
        <w:t>5</w:t>
      </w:r>
      <w:r w:rsidRPr="004F03D5" w:rsidR="0059618B">
        <w:t>00</w:t>
      </w:r>
      <w:r w:rsidRPr="004F03D5">
        <w:t xml:space="preserve"> (</w:t>
      </w:r>
      <w:r w:rsidRPr="004F03D5" w:rsidR="007E369D">
        <w:t xml:space="preserve">five </w:t>
      </w:r>
      <w:r w:rsidRPr="004F03D5" w:rsidR="0059618B">
        <w:t>hundred</w:t>
      </w:r>
      <w:r w:rsidRPr="004F03D5">
        <w:t xml:space="preserve"> euros), plus any tax that may be chargeable </w:t>
      </w:r>
      <w:r w:rsidRPr="004F03D5" w:rsidR="007E369D">
        <w:t>to each applicant</w:t>
      </w:r>
      <w:r w:rsidRPr="004F03D5">
        <w:t>, in respect of costs and expenses;</w:t>
      </w:r>
    </w:p>
    <w:p w:rsidRPr="004F03D5" w:rsidR="00D420F3" w:rsidP="004F03D5" w:rsidRDefault="0077175D">
      <w:pPr>
        <w:pStyle w:val="JuLista"/>
      </w:pPr>
      <w:r w:rsidRPr="004F03D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F03D5" w:rsidR="00D420F3" w:rsidP="004F03D5" w:rsidRDefault="00D420F3">
      <w:pPr>
        <w:pStyle w:val="JuList"/>
      </w:pPr>
    </w:p>
    <w:p w:rsidRPr="004F03D5" w:rsidR="00D420F3" w:rsidP="004F03D5" w:rsidRDefault="00634C0E">
      <w:pPr>
        <w:pStyle w:val="JuList"/>
      </w:pPr>
      <w:r w:rsidRPr="004F03D5">
        <w:t>6</w:t>
      </w:r>
      <w:r w:rsidRPr="004F03D5" w:rsidR="0077175D">
        <w:t>.  </w:t>
      </w:r>
      <w:r w:rsidRPr="004F03D5" w:rsidR="0077175D">
        <w:rPr>
          <w:i/>
        </w:rPr>
        <w:t>Dismisses</w:t>
      </w:r>
      <w:r w:rsidRPr="004F03D5" w:rsidR="0077175D">
        <w:rPr>
          <w:color w:val="000000"/>
        </w:rPr>
        <w:t xml:space="preserve"> </w:t>
      </w:r>
      <w:r w:rsidRPr="004F03D5" w:rsidR="0077175D">
        <w:t>the remainder of the applicant</w:t>
      </w:r>
      <w:r w:rsidRPr="004F03D5" w:rsidR="00F6123C">
        <w:t>s</w:t>
      </w:r>
      <w:r w:rsidRPr="004F03D5" w:rsidR="004F03D5">
        <w:t>’</w:t>
      </w:r>
      <w:r w:rsidRPr="004F03D5" w:rsidR="0077175D">
        <w:t xml:space="preserve"> claim for just satisfaction.</w:t>
      </w:r>
    </w:p>
    <w:p w:rsidRPr="004F03D5" w:rsidR="00D420F3" w:rsidP="004F03D5" w:rsidRDefault="0077175D">
      <w:pPr>
        <w:pStyle w:val="JuParaLast"/>
      </w:pPr>
      <w:r w:rsidRPr="004F03D5">
        <w:t xml:space="preserve">Done in English, and notified in writing on </w:t>
      </w:r>
      <w:r w:rsidRPr="004F03D5" w:rsidR="005061AE">
        <w:t>12 February 2019</w:t>
      </w:r>
      <w:r w:rsidRPr="004F03D5">
        <w:t>, pursuant to Rule 77 §§ 2 and 3 of the Rules of Court.</w:t>
      </w:r>
    </w:p>
    <w:p w:rsidRPr="004F03D5" w:rsidR="00D420F3" w:rsidP="004F03D5" w:rsidRDefault="0077175D">
      <w:pPr>
        <w:pStyle w:val="JuSigned"/>
      </w:pPr>
      <w:r w:rsidRPr="004F03D5">
        <w:tab/>
      </w:r>
      <w:r w:rsidRPr="004F03D5" w:rsidR="00F6123C">
        <w:t>Fatoş Aracı</w:t>
      </w:r>
      <w:r w:rsidRPr="004F03D5">
        <w:tab/>
      </w:r>
      <w:r w:rsidRPr="004F03D5" w:rsidR="005061AE">
        <w:t>Helen Keller</w:t>
      </w:r>
      <w:r w:rsidRPr="004F03D5">
        <w:rPr>
          <w:szCs w:val="24"/>
        </w:rPr>
        <w:br/>
      </w:r>
      <w:r w:rsidRPr="004F03D5">
        <w:tab/>
      </w:r>
      <w:r w:rsidRPr="004F03D5" w:rsidR="00F6123C">
        <w:t xml:space="preserve">Deputy </w:t>
      </w:r>
      <w:r w:rsidRPr="004F03D5" w:rsidR="00F6123C">
        <w:rPr>
          <w:iCs/>
        </w:rPr>
        <w:t>Registrar</w:t>
      </w:r>
      <w:r w:rsidRPr="004F03D5">
        <w:tab/>
        <w:t>President</w:t>
      </w:r>
    </w:p>
    <w:p w:rsidRPr="004F03D5" w:rsidR="004F03D5" w:rsidP="004F03D5" w:rsidRDefault="004F03D5">
      <w:pPr>
        <w:pStyle w:val="JuParaLast"/>
      </w:pPr>
    </w:p>
    <w:sectPr w:rsidRPr="004F03D5" w:rsidR="004F03D5" w:rsidSect="00B21F96">
      <w:headerReference w:type="even" r:id="rId15"/>
      <w:head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573D" w:rsidRDefault="0012573D">
      <w:r>
        <w:separator/>
      </w:r>
    </w:p>
  </w:endnote>
  <w:endnote w:type="continuationSeparator" w:id="0">
    <w:p w:rsidR="0012573D" w:rsidRDefault="00125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F96" w:rsidRDefault="00B21F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F96" w:rsidRDefault="00B21F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F96" w:rsidRPr="00150BFA" w:rsidRDefault="00B21F96" w:rsidP="0020718E">
    <w:pPr>
      <w:jc w:val="center"/>
    </w:pPr>
    <w:r>
      <w:rPr>
        <w:noProof/>
        <w:lang w:val="en-US" w:eastAsia="ja-JP"/>
      </w:rPr>
      <w:drawing>
        <wp:inline distT="0" distB="0" distL="0" distR="0" wp14:anchorId="145FA885" wp14:editId="34D0A5A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21F96" w:rsidRDefault="00B21F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573D" w:rsidRPr="003152BA" w:rsidRDefault="0012573D" w:rsidP="00D420F3">
      <w:r w:rsidRPr="003152BA">
        <w:separator/>
      </w:r>
    </w:p>
  </w:footnote>
  <w:footnote w:type="continuationSeparator" w:id="0">
    <w:p w:rsidR="0012573D" w:rsidRPr="003152BA" w:rsidRDefault="0012573D"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F96" w:rsidRDefault="00B21F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73D" w:rsidRPr="00B21F96" w:rsidRDefault="0012573D" w:rsidP="00B21F96">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F96" w:rsidRPr="00A45145" w:rsidRDefault="00B21F96" w:rsidP="00A45145">
    <w:pPr>
      <w:jc w:val="center"/>
    </w:pPr>
    <w:r>
      <w:rPr>
        <w:noProof/>
        <w:lang w:val="en-US" w:eastAsia="ja-JP"/>
      </w:rPr>
      <w:drawing>
        <wp:inline distT="0" distB="0" distL="0" distR="0" wp14:anchorId="7B9C91C4" wp14:editId="4090F6F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E021D" w:rsidRDefault="003E02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F96" w:rsidRPr="003152BA" w:rsidRDefault="00B21F96"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4F03D5">
      <w:rPr>
        <w:rStyle w:val="PageNumber"/>
        <w:noProof/>
        <w:szCs w:val="18"/>
      </w:rPr>
      <w:t>10</w:t>
    </w:r>
    <w:r>
      <w:rPr>
        <w:rStyle w:val="PageNumber"/>
        <w:szCs w:val="18"/>
      </w:rPr>
      <w:fldChar w:fldCharType="end"/>
    </w:r>
    <w:r w:rsidRPr="003152BA">
      <w:tab/>
    </w:r>
    <w:r>
      <w:t>RYKLIN AND SHAROV v. RUSSIA</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F96" w:rsidRPr="003152BA" w:rsidRDefault="00B21F96" w:rsidP="00D420F3">
    <w:pPr>
      <w:pStyle w:val="ECHRHeader"/>
    </w:pPr>
    <w:r w:rsidRPr="003152BA">
      <w:tab/>
    </w:r>
    <w:r>
      <w:t>RYKLIN AND SHAROV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4F03D5">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6123C"/>
    <w:rsid w:val="00041422"/>
    <w:rsid w:val="0004594E"/>
    <w:rsid w:val="0007707B"/>
    <w:rsid w:val="00086DFE"/>
    <w:rsid w:val="00087149"/>
    <w:rsid w:val="000A57B6"/>
    <w:rsid w:val="000C3ADB"/>
    <w:rsid w:val="000D55C5"/>
    <w:rsid w:val="000F480B"/>
    <w:rsid w:val="000F5036"/>
    <w:rsid w:val="000F6D74"/>
    <w:rsid w:val="0012573D"/>
    <w:rsid w:val="00150167"/>
    <w:rsid w:val="001A00FC"/>
    <w:rsid w:val="001A44A4"/>
    <w:rsid w:val="001A65FF"/>
    <w:rsid w:val="001C2AF5"/>
    <w:rsid w:val="001D4766"/>
    <w:rsid w:val="0021545D"/>
    <w:rsid w:val="002777C1"/>
    <w:rsid w:val="002842EC"/>
    <w:rsid w:val="002921B9"/>
    <w:rsid w:val="00297ECB"/>
    <w:rsid w:val="002D17A8"/>
    <w:rsid w:val="002F580C"/>
    <w:rsid w:val="003D4571"/>
    <w:rsid w:val="003E021D"/>
    <w:rsid w:val="003E2882"/>
    <w:rsid w:val="00403E58"/>
    <w:rsid w:val="00405C4F"/>
    <w:rsid w:val="00417AF3"/>
    <w:rsid w:val="004277DD"/>
    <w:rsid w:val="00445CE2"/>
    <w:rsid w:val="00454A65"/>
    <w:rsid w:val="00480BE3"/>
    <w:rsid w:val="0048671B"/>
    <w:rsid w:val="004C0697"/>
    <w:rsid w:val="004F03D5"/>
    <w:rsid w:val="005061AE"/>
    <w:rsid w:val="00507BF8"/>
    <w:rsid w:val="00514646"/>
    <w:rsid w:val="0059618B"/>
    <w:rsid w:val="00597A23"/>
    <w:rsid w:val="005A4256"/>
    <w:rsid w:val="005B1D12"/>
    <w:rsid w:val="005B374A"/>
    <w:rsid w:val="005D743E"/>
    <w:rsid w:val="005E047A"/>
    <w:rsid w:val="00630F58"/>
    <w:rsid w:val="00634C0E"/>
    <w:rsid w:val="00661919"/>
    <w:rsid w:val="006625AA"/>
    <w:rsid w:val="00671C91"/>
    <w:rsid w:val="006823E0"/>
    <w:rsid w:val="006D3997"/>
    <w:rsid w:val="006F4119"/>
    <w:rsid w:val="00704D3E"/>
    <w:rsid w:val="00706603"/>
    <w:rsid w:val="00706AA2"/>
    <w:rsid w:val="00720D33"/>
    <w:rsid w:val="00723F4B"/>
    <w:rsid w:val="0076225B"/>
    <w:rsid w:val="00764343"/>
    <w:rsid w:val="0077175D"/>
    <w:rsid w:val="00783E0C"/>
    <w:rsid w:val="00795779"/>
    <w:rsid w:val="007D153F"/>
    <w:rsid w:val="007E2CA1"/>
    <w:rsid w:val="007E369D"/>
    <w:rsid w:val="00833E41"/>
    <w:rsid w:val="008423CA"/>
    <w:rsid w:val="00846909"/>
    <w:rsid w:val="00883B9B"/>
    <w:rsid w:val="00947BC8"/>
    <w:rsid w:val="009A1AB8"/>
    <w:rsid w:val="009A7479"/>
    <w:rsid w:val="009B020F"/>
    <w:rsid w:val="009C65F4"/>
    <w:rsid w:val="009E68E8"/>
    <w:rsid w:val="00A062F4"/>
    <w:rsid w:val="00A27297"/>
    <w:rsid w:val="00A30943"/>
    <w:rsid w:val="00A746F4"/>
    <w:rsid w:val="00A8561A"/>
    <w:rsid w:val="00AA5918"/>
    <w:rsid w:val="00AD5F38"/>
    <w:rsid w:val="00AF5F01"/>
    <w:rsid w:val="00B069A9"/>
    <w:rsid w:val="00B13BFB"/>
    <w:rsid w:val="00B21F96"/>
    <w:rsid w:val="00B46C38"/>
    <w:rsid w:val="00B5684C"/>
    <w:rsid w:val="00B73AAC"/>
    <w:rsid w:val="00BE185F"/>
    <w:rsid w:val="00C16B04"/>
    <w:rsid w:val="00C25665"/>
    <w:rsid w:val="00C410F6"/>
    <w:rsid w:val="00C73441"/>
    <w:rsid w:val="00C7393A"/>
    <w:rsid w:val="00CA5169"/>
    <w:rsid w:val="00CB20C3"/>
    <w:rsid w:val="00CC3DE3"/>
    <w:rsid w:val="00CD098C"/>
    <w:rsid w:val="00D00BF8"/>
    <w:rsid w:val="00D04EDC"/>
    <w:rsid w:val="00D07950"/>
    <w:rsid w:val="00D420F3"/>
    <w:rsid w:val="00D87648"/>
    <w:rsid w:val="00D9739B"/>
    <w:rsid w:val="00DA3118"/>
    <w:rsid w:val="00DD32A1"/>
    <w:rsid w:val="00DD53D5"/>
    <w:rsid w:val="00DE7D67"/>
    <w:rsid w:val="00E02FB5"/>
    <w:rsid w:val="00E10E41"/>
    <w:rsid w:val="00E17C0F"/>
    <w:rsid w:val="00E5542C"/>
    <w:rsid w:val="00E87134"/>
    <w:rsid w:val="00E934FF"/>
    <w:rsid w:val="00E94429"/>
    <w:rsid w:val="00EA7F6B"/>
    <w:rsid w:val="00EC0001"/>
    <w:rsid w:val="00EC396B"/>
    <w:rsid w:val="00ED3A7B"/>
    <w:rsid w:val="00F11D8F"/>
    <w:rsid w:val="00F12212"/>
    <w:rsid w:val="00F12EDB"/>
    <w:rsid w:val="00F45329"/>
    <w:rsid w:val="00F6123C"/>
    <w:rsid w:val="00F62D54"/>
    <w:rsid w:val="00F675A3"/>
    <w:rsid w:val="00F9031F"/>
    <w:rsid w:val="00F95937"/>
    <w:rsid w:val="00FA4F8F"/>
    <w:rsid w:val="00FA754C"/>
    <w:rsid w:val="00FE6B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A5918"/>
    <w:pPr>
      <w:jc w:val="both"/>
    </w:pPr>
    <w:rPr>
      <w:rFonts w:eastAsiaTheme="minorEastAsia"/>
      <w:sz w:val="24"/>
      <w:lang w:val="en-GB"/>
    </w:rPr>
  </w:style>
  <w:style w:type="paragraph" w:styleId="Heading1">
    <w:name w:val="heading 1"/>
    <w:basedOn w:val="Normal"/>
    <w:next w:val="Normal"/>
    <w:link w:val="Heading1Char"/>
    <w:uiPriority w:val="99"/>
    <w:semiHidden/>
    <w:rsid w:val="00AA591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A591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A591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A591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A591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A591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A591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A591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A591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A5918"/>
    <w:rPr>
      <w:rFonts w:ascii="Tahoma" w:hAnsi="Tahoma" w:cs="Tahoma"/>
      <w:sz w:val="16"/>
      <w:szCs w:val="16"/>
    </w:rPr>
  </w:style>
  <w:style w:type="character" w:customStyle="1" w:styleId="BalloonTextChar">
    <w:name w:val="Balloon Text Char"/>
    <w:basedOn w:val="DefaultParagraphFont"/>
    <w:link w:val="BalloonText"/>
    <w:uiPriority w:val="99"/>
    <w:semiHidden/>
    <w:rsid w:val="00AA5918"/>
    <w:rPr>
      <w:rFonts w:ascii="Tahoma" w:eastAsiaTheme="minorEastAsia" w:hAnsi="Tahoma" w:cs="Tahoma"/>
      <w:sz w:val="16"/>
      <w:szCs w:val="16"/>
      <w:lang w:val="en-GB"/>
    </w:rPr>
  </w:style>
  <w:style w:type="character" w:styleId="BookTitle">
    <w:name w:val="Book Title"/>
    <w:uiPriority w:val="99"/>
    <w:semiHidden/>
    <w:qFormat/>
    <w:rsid w:val="00AA5918"/>
    <w:rPr>
      <w:i/>
      <w:iCs/>
      <w:smallCaps/>
      <w:spacing w:val="5"/>
    </w:rPr>
  </w:style>
  <w:style w:type="paragraph" w:customStyle="1" w:styleId="ECHRHeader">
    <w:name w:val="ECHR_Header"/>
    <w:aliases w:val="Ju_Header"/>
    <w:basedOn w:val="Header"/>
    <w:uiPriority w:val="4"/>
    <w:qFormat/>
    <w:rsid w:val="00AA591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A5918"/>
    <w:pPr>
      <w:jc w:val="left"/>
    </w:pPr>
    <w:rPr>
      <w:sz w:val="8"/>
    </w:rPr>
  </w:style>
  <w:style w:type="character" w:styleId="Strong">
    <w:name w:val="Strong"/>
    <w:uiPriority w:val="99"/>
    <w:semiHidden/>
    <w:qFormat/>
    <w:rsid w:val="00AA5918"/>
    <w:rPr>
      <w:b/>
      <w:bCs/>
    </w:rPr>
  </w:style>
  <w:style w:type="paragraph" w:styleId="NoSpacing">
    <w:name w:val="No Spacing"/>
    <w:basedOn w:val="Normal"/>
    <w:link w:val="NoSpacingChar"/>
    <w:semiHidden/>
    <w:qFormat/>
    <w:rsid w:val="00AA5918"/>
    <w:rPr>
      <w:sz w:val="22"/>
      <w:lang w:val="en-US"/>
    </w:rPr>
  </w:style>
  <w:style w:type="character" w:customStyle="1" w:styleId="NoSpacingChar">
    <w:name w:val="No Spacing Char"/>
    <w:basedOn w:val="DefaultParagraphFont"/>
    <w:link w:val="NoSpacing"/>
    <w:semiHidden/>
    <w:rsid w:val="00AA5918"/>
    <w:rPr>
      <w:rFonts w:eastAsiaTheme="minorEastAsia"/>
    </w:rPr>
  </w:style>
  <w:style w:type="paragraph" w:customStyle="1" w:styleId="ECHRFooterLine">
    <w:name w:val="ECHR_Footer_Line"/>
    <w:aliases w:val="Footer_Line"/>
    <w:basedOn w:val="Normal"/>
    <w:next w:val="ECHRFooter"/>
    <w:uiPriority w:val="57"/>
    <w:semiHidden/>
    <w:rsid w:val="00AA5918"/>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A5918"/>
  </w:style>
  <w:style w:type="paragraph" w:customStyle="1" w:styleId="DecList">
    <w:name w:val="Dec_List"/>
    <w:basedOn w:val="Normal"/>
    <w:uiPriority w:val="9"/>
    <w:semiHidden/>
    <w:qFormat/>
    <w:rsid w:val="00AA5918"/>
    <w:pPr>
      <w:spacing w:before="240"/>
      <w:ind w:left="284"/>
    </w:pPr>
  </w:style>
  <w:style w:type="paragraph" w:customStyle="1" w:styleId="DummyStyle">
    <w:name w:val="Dummy_Style"/>
    <w:basedOn w:val="Normal"/>
    <w:semiHidden/>
    <w:qFormat/>
    <w:rsid w:val="00AA5918"/>
    <w:rPr>
      <w:color w:val="00B050"/>
    </w:rPr>
  </w:style>
  <w:style w:type="paragraph" w:customStyle="1" w:styleId="ECHRTitleCentre3">
    <w:name w:val="ECHR_Title_Centre_3"/>
    <w:aliases w:val="Ju_H_Article"/>
    <w:basedOn w:val="Normal"/>
    <w:next w:val="ECHRParaQuote"/>
    <w:uiPriority w:val="27"/>
    <w:qFormat/>
    <w:rsid w:val="00AA591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A5918"/>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A5918"/>
    <w:pPr>
      <w:numPr>
        <w:numId w:val="22"/>
      </w:numPr>
      <w:jc w:val="left"/>
    </w:pPr>
    <w:rPr>
      <w:b/>
    </w:rPr>
  </w:style>
  <w:style w:type="paragraph" w:customStyle="1" w:styleId="JuCourt">
    <w:name w:val="Ju_Court"/>
    <w:basedOn w:val="Normal"/>
    <w:next w:val="Normal"/>
    <w:uiPriority w:val="16"/>
    <w:qFormat/>
    <w:rsid w:val="00AA5918"/>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A5918"/>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AA5918"/>
    <w:pPr>
      <w:spacing w:after="240"/>
      <w:jc w:val="center"/>
      <w:outlineLvl w:val="0"/>
    </w:pPr>
    <w:rPr>
      <w:rFonts w:asciiTheme="majorHAnsi" w:hAnsiTheme="majorHAnsi"/>
    </w:rPr>
  </w:style>
  <w:style w:type="character" w:customStyle="1" w:styleId="JUNAMES">
    <w:name w:val="JU_NAMES"/>
    <w:uiPriority w:val="17"/>
    <w:qFormat/>
    <w:rsid w:val="00AA5918"/>
    <w:rPr>
      <w:caps w:val="0"/>
      <w:smallCaps/>
    </w:rPr>
  </w:style>
  <w:style w:type="paragraph" w:styleId="Title">
    <w:name w:val="Title"/>
    <w:basedOn w:val="Normal"/>
    <w:next w:val="Normal"/>
    <w:link w:val="TitleChar"/>
    <w:uiPriority w:val="99"/>
    <w:semiHidden/>
    <w:qFormat/>
    <w:rsid w:val="00AA591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A591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A591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A591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A591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A591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A5918"/>
    <w:pPr>
      <w:keepNext/>
      <w:keepLines/>
      <w:spacing w:before="240" w:after="120"/>
      <w:ind w:left="1236"/>
    </w:pPr>
    <w:rPr>
      <w:sz w:val="20"/>
      <w:lang w:val="en-GB"/>
    </w:rPr>
  </w:style>
  <w:style w:type="paragraph" w:customStyle="1" w:styleId="JuQuotSub">
    <w:name w:val="Ju_Quot_Sub"/>
    <w:basedOn w:val="ECHRParaQuote"/>
    <w:uiPriority w:val="15"/>
    <w:qFormat/>
    <w:rsid w:val="00AA5918"/>
    <w:pPr>
      <w:ind w:left="567"/>
    </w:pPr>
  </w:style>
  <w:style w:type="paragraph" w:customStyle="1" w:styleId="JuParaSub">
    <w:name w:val="Ju_Para_Sub"/>
    <w:basedOn w:val="ECHRPara"/>
    <w:uiPriority w:val="13"/>
    <w:qFormat/>
    <w:rsid w:val="00AA5918"/>
    <w:pPr>
      <w:ind w:left="284"/>
    </w:pPr>
  </w:style>
  <w:style w:type="paragraph" w:customStyle="1" w:styleId="JuTitle">
    <w:name w:val="Ju_Title"/>
    <w:basedOn w:val="Normal"/>
    <w:next w:val="ECHRPara"/>
    <w:uiPriority w:val="3"/>
    <w:semiHidden/>
    <w:qFormat/>
    <w:rsid w:val="00AA5918"/>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AA591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A5918"/>
    <w:rPr>
      <w:sz w:val="24"/>
      <w:lang w:val="en-GB"/>
    </w:rPr>
  </w:style>
  <w:style w:type="character" w:customStyle="1" w:styleId="Heading1Char">
    <w:name w:val="Heading 1 Char"/>
    <w:basedOn w:val="DefaultParagraphFont"/>
    <w:link w:val="Heading1"/>
    <w:uiPriority w:val="99"/>
    <w:semiHidden/>
    <w:rsid w:val="00AA591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A591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A591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A5918"/>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AA5918"/>
    <w:pPr>
      <w:ind w:left="635" w:hanging="357"/>
      <w:outlineLvl w:val="2"/>
    </w:pPr>
  </w:style>
  <w:style w:type="paragraph" w:customStyle="1" w:styleId="JuCase">
    <w:name w:val="Ju_Case"/>
    <w:basedOn w:val="Normal"/>
    <w:next w:val="ECHRPara"/>
    <w:uiPriority w:val="10"/>
    <w:rsid w:val="00AA5918"/>
    <w:pPr>
      <w:ind w:firstLine="284"/>
    </w:pPr>
    <w:rPr>
      <w:b/>
    </w:rPr>
  </w:style>
  <w:style w:type="character" w:customStyle="1" w:styleId="Heading3Char">
    <w:name w:val="Heading 3 Char"/>
    <w:basedOn w:val="DefaultParagraphFont"/>
    <w:link w:val="Heading3"/>
    <w:uiPriority w:val="99"/>
    <w:semiHidden/>
    <w:rsid w:val="00AA591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AA591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A5918"/>
    <w:rPr>
      <w:rFonts w:asciiTheme="majorHAnsi" w:eastAsiaTheme="majorEastAsia" w:hAnsiTheme="majorHAnsi" w:cstheme="majorBidi"/>
      <w:b/>
      <w:bCs/>
      <w:color w:val="808080"/>
    </w:rPr>
  </w:style>
  <w:style w:type="character" w:styleId="SubtleEmphasis">
    <w:name w:val="Subtle Emphasis"/>
    <w:uiPriority w:val="99"/>
    <w:semiHidden/>
    <w:qFormat/>
    <w:rsid w:val="00AA591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A5918"/>
    <w:pPr>
      <w:keepNext/>
      <w:keepLines/>
      <w:spacing w:before="720" w:after="240"/>
      <w:outlineLvl w:val="0"/>
    </w:pPr>
    <w:rPr>
      <w:rFonts w:asciiTheme="majorHAnsi" w:hAnsiTheme="majorHAnsi"/>
      <w:sz w:val="28"/>
    </w:rPr>
  </w:style>
  <w:style w:type="character" w:styleId="Emphasis">
    <w:name w:val="Emphasis"/>
    <w:uiPriority w:val="99"/>
    <w:semiHidden/>
    <w:qFormat/>
    <w:rsid w:val="00AA5918"/>
    <w:rPr>
      <w:b/>
      <w:bCs/>
      <w:i/>
      <w:iCs/>
      <w:spacing w:val="10"/>
      <w:bdr w:val="none" w:sz="0" w:space="0" w:color="auto"/>
      <w:shd w:val="clear" w:color="auto" w:fill="auto"/>
    </w:rPr>
  </w:style>
  <w:style w:type="paragraph" w:styleId="Footer">
    <w:name w:val="footer"/>
    <w:basedOn w:val="Normal"/>
    <w:link w:val="FooterChar"/>
    <w:uiPriority w:val="57"/>
    <w:semiHidden/>
    <w:rsid w:val="00AA591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A5918"/>
    <w:rPr>
      <w:sz w:val="24"/>
      <w:lang w:val="en-GB"/>
    </w:rPr>
  </w:style>
  <w:style w:type="character" w:styleId="FootnoteReference">
    <w:name w:val="footnote reference"/>
    <w:basedOn w:val="DefaultParagraphFont"/>
    <w:uiPriority w:val="99"/>
    <w:semiHidden/>
    <w:rsid w:val="00AA5918"/>
    <w:rPr>
      <w:vertAlign w:val="superscript"/>
    </w:rPr>
  </w:style>
  <w:style w:type="paragraph" w:styleId="FootnoteText">
    <w:name w:val="footnote text"/>
    <w:basedOn w:val="Normal"/>
    <w:link w:val="FootnoteTextChar"/>
    <w:uiPriority w:val="99"/>
    <w:semiHidden/>
    <w:rsid w:val="00AA5918"/>
    <w:rPr>
      <w:sz w:val="20"/>
      <w:szCs w:val="20"/>
    </w:rPr>
  </w:style>
  <w:style w:type="character" w:customStyle="1" w:styleId="FootnoteTextChar">
    <w:name w:val="Footnote Text Char"/>
    <w:basedOn w:val="DefaultParagraphFont"/>
    <w:link w:val="FootnoteText"/>
    <w:uiPriority w:val="99"/>
    <w:semiHidden/>
    <w:rsid w:val="00AA5918"/>
    <w:rPr>
      <w:rFonts w:eastAsiaTheme="minorEastAsia"/>
      <w:sz w:val="20"/>
      <w:szCs w:val="20"/>
      <w:lang w:val="en-GB"/>
    </w:rPr>
  </w:style>
  <w:style w:type="character" w:customStyle="1" w:styleId="Heading6Char">
    <w:name w:val="Heading 6 Char"/>
    <w:basedOn w:val="DefaultParagraphFont"/>
    <w:link w:val="Heading6"/>
    <w:uiPriority w:val="99"/>
    <w:semiHidden/>
    <w:rsid w:val="00AA591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A591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A591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A591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A5918"/>
    <w:rPr>
      <w:color w:val="0072BC" w:themeColor="hyperlink"/>
      <w:u w:val="single"/>
    </w:rPr>
  </w:style>
  <w:style w:type="character" w:styleId="IntenseEmphasis">
    <w:name w:val="Intense Emphasis"/>
    <w:uiPriority w:val="99"/>
    <w:semiHidden/>
    <w:qFormat/>
    <w:rsid w:val="00AA5918"/>
    <w:rPr>
      <w:b/>
      <w:bCs/>
    </w:rPr>
  </w:style>
  <w:style w:type="paragraph" w:styleId="IntenseQuote">
    <w:name w:val="Intense Quote"/>
    <w:basedOn w:val="Normal"/>
    <w:next w:val="Normal"/>
    <w:link w:val="IntenseQuoteChar"/>
    <w:uiPriority w:val="99"/>
    <w:semiHidden/>
    <w:qFormat/>
    <w:rsid w:val="00AA591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A5918"/>
    <w:rPr>
      <w:rFonts w:eastAsiaTheme="minorEastAsia"/>
      <w:b/>
      <w:bCs/>
      <w:i/>
      <w:iCs/>
      <w:lang w:bidi="en-US"/>
    </w:rPr>
  </w:style>
  <w:style w:type="character" w:styleId="IntenseReference">
    <w:name w:val="Intense Reference"/>
    <w:uiPriority w:val="99"/>
    <w:semiHidden/>
    <w:qFormat/>
    <w:rsid w:val="00AA5918"/>
    <w:rPr>
      <w:smallCaps/>
      <w:spacing w:val="5"/>
      <w:u w:val="single"/>
    </w:rPr>
  </w:style>
  <w:style w:type="paragraph" w:styleId="ListParagraph">
    <w:name w:val="List Paragraph"/>
    <w:basedOn w:val="Normal"/>
    <w:uiPriority w:val="99"/>
    <w:semiHidden/>
    <w:qFormat/>
    <w:rsid w:val="00AA591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A591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A5918"/>
    <w:rPr>
      <w:rFonts w:eastAsiaTheme="minorEastAsia"/>
      <w:i/>
      <w:iCs/>
      <w:lang w:bidi="en-US"/>
    </w:rPr>
  </w:style>
  <w:style w:type="character" w:styleId="SubtleReference">
    <w:name w:val="Subtle Reference"/>
    <w:uiPriority w:val="99"/>
    <w:semiHidden/>
    <w:qFormat/>
    <w:rsid w:val="00AA5918"/>
    <w:rPr>
      <w:smallCaps/>
    </w:rPr>
  </w:style>
  <w:style w:type="table" w:styleId="TableGrid">
    <w:name w:val="Table Grid"/>
    <w:basedOn w:val="TableNormal"/>
    <w:uiPriority w:val="59"/>
    <w:semiHidden/>
    <w:rsid w:val="00AA591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A591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A591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A591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A591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A591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A591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A591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A5918"/>
    <w:pPr>
      <w:spacing w:before="120" w:after="120"/>
      <w:ind w:left="425" w:firstLine="142"/>
    </w:pPr>
    <w:rPr>
      <w:sz w:val="20"/>
    </w:rPr>
  </w:style>
  <w:style w:type="paragraph" w:customStyle="1" w:styleId="ECHRPara">
    <w:name w:val="ECHR_Para"/>
    <w:aliases w:val="Ju_Para"/>
    <w:basedOn w:val="Normal"/>
    <w:link w:val="ECHRParaChar"/>
    <w:uiPriority w:val="12"/>
    <w:qFormat/>
    <w:rsid w:val="00AA591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A591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A591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A5918"/>
    <w:pPr>
      <w:ind w:left="340" w:hanging="340"/>
    </w:pPr>
  </w:style>
  <w:style w:type="paragraph" w:customStyle="1" w:styleId="JuSigned">
    <w:name w:val="Ju_Signed"/>
    <w:basedOn w:val="Normal"/>
    <w:next w:val="JuParaLast"/>
    <w:uiPriority w:val="32"/>
    <w:qFormat/>
    <w:rsid w:val="00AA5918"/>
    <w:pPr>
      <w:tabs>
        <w:tab w:val="center" w:pos="851"/>
        <w:tab w:val="center" w:pos="6407"/>
      </w:tabs>
      <w:spacing w:before="720"/>
      <w:jc w:val="left"/>
    </w:pPr>
  </w:style>
  <w:style w:type="paragraph" w:customStyle="1" w:styleId="JuParaLast">
    <w:name w:val="Ju_Para_Last"/>
    <w:basedOn w:val="Normal"/>
    <w:next w:val="ECHRPara"/>
    <w:uiPriority w:val="30"/>
    <w:qFormat/>
    <w:rsid w:val="00AA5918"/>
    <w:pPr>
      <w:keepNext/>
      <w:keepLines/>
      <w:spacing w:before="240"/>
      <w:ind w:firstLine="284"/>
    </w:pPr>
  </w:style>
  <w:style w:type="paragraph" w:customStyle="1" w:styleId="OpiHa">
    <w:name w:val="Opi_H_a"/>
    <w:basedOn w:val="ECHRHeading3"/>
    <w:uiPriority w:val="43"/>
    <w:qFormat/>
    <w:rsid w:val="00AA5918"/>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A5918"/>
    <w:pPr>
      <w:ind w:left="346" w:firstLine="0"/>
    </w:pPr>
  </w:style>
  <w:style w:type="paragraph" w:customStyle="1" w:styleId="JuListi">
    <w:name w:val="Ju_List_i"/>
    <w:basedOn w:val="Normal"/>
    <w:next w:val="JuLista"/>
    <w:uiPriority w:val="28"/>
    <w:qFormat/>
    <w:rsid w:val="00AA5918"/>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AA5918"/>
    <w:rPr>
      <w:vertAlign w:val="superscript"/>
    </w:rPr>
  </w:style>
  <w:style w:type="paragraph" w:styleId="EndnoteText">
    <w:name w:val="endnote text"/>
    <w:basedOn w:val="Normal"/>
    <w:link w:val="EndnoteTextChar"/>
    <w:uiPriority w:val="99"/>
    <w:semiHidden/>
    <w:rsid w:val="00AA5918"/>
    <w:rPr>
      <w:sz w:val="20"/>
      <w:szCs w:val="20"/>
    </w:rPr>
  </w:style>
  <w:style w:type="character" w:customStyle="1" w:styleId="EndnoteTextChar">
    <w:name w:val="Endnote Text Char"/>
    <w:basedOn w:val="DefaultParagraphFont"/>
    <w:link w:val="EndnoteText"/>
    <w:uiPriority w:val="99"/>
    <w:semiHidden/>
    <w:rsid w:val="00AA591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AA5918"/>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A591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A591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A591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AA5918"/>
    <w:pPr>
      <w:ind w:left="1037" w:hanging="357"/>
      <w:outlineLvl w:val="4"/>
    </w:pPr>
    <w:rPr>
      <w:b w:val="0"/>
      <w:i/>
    </w:rPr>
  </w:style>
  <w:style w:type="paragraph" w:customStyle="1" w:styleId="OpiPara">
    <w:name w:val="Opi_Para"/>
    <w:basedOn w:val="ECHRPara"/>
    <w:uiPriority w:val="46"/>
    <w:qFormat/>
    <w:rsid w:val="00AA5918"/>
  </w:style>
  <w:style w:type="character" w:styleId="PlaceholderText">
    <w:name w:val="Placeholder Text"/>
    <w:basedOn w:val="DefaultParagraphFont"/>
    <w:uiPriority w:val="99"/>
    <w:semiHidden/>
    <w:rsid w:val="00AA591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A591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A591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AA5918"/>
  </w:style>
  <w:style w:type="paragraph" w:customStyle="1" w:styleId="OpiQuot">
    <w:name w:val="Opi_Quot"/>
    <w:basedOn w:val="ECHRParaQuote"/>
    <w:uiPriority w:val="48"/>
    <w:qFormat/>
    <w:rsid w:val="00AA5918"/>
  </w:style>
  <w:style w:type="paragraph" w:customStyle="1" w:styleId="OpiQuotSub">
    <w:name w:val="Opi_Quot_Sub"/>
    <w:basedOn w:val="JuQuotSub"/>
    <w:uiPriority w:val="49"/>
    <w:qFormat/>
    <w:rsid w:val="00AA5918"/>
  </w:style>
  <w:style w:type="paragraph" w:customStyle="1" w:styleId="OpiTranslation">
    <w:name w:val="Opi_Translation"/>
    <w:basedOn w:val="Normal"/>
    <w:next w:val="OpiPara"/>
    <w:uiPriority w:val="40"/>
    <w:qFormat/>
    <w:rsid w:val="00AA5918"/>
    <w:pPr>
      <w:jc w:val="center"/>
      <w:outlineLvl w:val="0"/>
    </w:pPr>
    <w:rPr>
      <w:i/>
    </w:rPr>
  </w:style>
  <w:style w:type="paragraph" w:styleId="NoteHeading">
    <w:name w:val="Note Heading"/>
    <w:basedOn w:val="Normal"/>
    <w:next w:val="Normal"/>
    <w:link w:val="NoteHeadingChar"/>
    <w:uiPriority w:val="99"/>
    <w:semiHidden/>
    <w:rsid w:val="003E021D"/>
  </w:style>
  <w:style w:type="character" w:customStyle="1" w:styleId="NoteHeadingChar">
    <w:name w:val="Note Heading Char"/>
    <w:basedOn w:val="DefaultParagraphFont"/>
    <w:link w:val="NoteHeading"/>
    <w:uiPriority w:val="99"/>
    <w:semiHidden/>
    <w:rsid w:val="003E021D"/>
    <w:rPr>
      <w:rFonts w:eastAsiaTheme="minorEastAsia"/>
      <w:sz w:val="24"/>
      <w:lang w:val="en-GB"/>
    </w:rPr>
  </w:style>
  <w:style w:type="paragraph" w:customStyle="1" w:styleId="JuHeaderLandscape">
    <w:name w:val="Ju_Header_Landscape"/>
    <w:basedOn w:val="ECHRHeader"/>
    <w:uiPriority w:val="4"/>
    <w:qFormat/>
    <w:rsid w:val="00AA5918"/>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B374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AD3E07-048E-4743-9D6E-F19381378BEC}"/>
</file>

<file path=customXml/itemProps2.xml><?xml version="1.0" encoding="utf-8"?>
<ds:datastoreItem xmlns:ds="http://schemas.openxmlformats.org/officeDocument/2006/customXml" ds:itemID="{56F903D1-2029-4BD9-9320-B03C95A2BA83}"/>
</file>

<file path=customXml/itemProps3.xml><?xml version="1.0" encoding="utf-8"?>
<ds:datastoreItem xmlns:ds="http://schemas.openxmlformats.org/officeDocument/2006/customXml" ds:itemID="{DCF7BB31-2C9A-4427-B4DA-8FC34E14339F}"/>
</file>

<file path=customXml/itemProps4.xml><?xml version="1.0" encoding="utf-8"?>
<ds:datastoreItem xmlns:ds="http://schemas.openxmlformats.org/officeDocument/2006/customXml" ds:itemID="{2D1A2999-DCB9-4A96-8C15-F37988486CE8}"/>
</file>

<file path=docProps/app.xml><?xml version="1.0" encoding="utf-8"?>
<Properties xmlns="http://schemas.openxmlformats.org/officeDocument/2006/extended-properties" xmlns:vt="http://schemas.openxmlformats.org/officeDocument/2006/docPropsVTypes">
  <Template>Normal.dotm</Template>
  <TotalTime>0</TotalTime>
  <Pages>1</Pages>
  <Words>3643</Words>
  <Characters>20770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2019-08-31T10:30:00Z</dcterms:created>
  <dcterms:modified xsi:type="dcterms:W3CDTF">2019-08-31T10:30:00Z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37513/15</vt:lpwstr>
  </property>
  <property fmtid="{D5CDD505-2E9C-101B-9397-08002B2CF9AE}" pid="4" name="CASEID">
    <vt:lpwstr>1147871</vt:lpwstr>
  </property>
  <property fmtid="{D5CDD505-2E9C-101B-9397-08002B2CF9AE}" pid="5" name="ContentTypeId">
    <vt:lpwstr>0x010100558EB02BDB9E204AB350EDD385B68E10</vt:lpwstr>
  </property>
</Properties>
</file>