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E331D" w:rsidR="0098410D" w:rsidP="007E331D" w:rsidRDefault="0098410D">
      <w:pPr>
        <w:jc w:val="center"/>
      </w:pPr>
      <w:bookmarkStart w:name="_GoBack" w:id="0"/>
      <w:bookmarkEnd w:id="0"/>
    </w:p>
    <w:p w:rsidRPr="007E331D" w:rsidR="00FF17FE" w:rsidP="007E331D" w:rsidRDefault="00FF17FE">
      <w:pPr>
        <w:jc w:val="center"/>
      </w:pPr>
    </w:p>
    <w:p w:rsidRPr="007E331D" w:rsidR="0098410D" w:rsidP="007E331D" w:rsidRDefault="0098410D">
      <w:pPr>
        <w:jc w:val="center"/>
      </w:pPr>
    </w:p>
    <w:p w:rsidRPr="007E331D" w:rsidR="0098410D" w:rsidP="007E331D" w:rsidRDefault="007D085E">
      <w:pPr>
        <w:tabs>
          <w:tab w:val="left" w:pos="5529"/>
        </w:tabs>
        <w:jc w:val="center"/>
      </w:pPr>
      <w:r w:rsidRPr="007E331D">
        <w:t>SECOND SECTION</w:t>
      </w: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FF17FE" w:rsidP="007E331D" w:rsidRDefault="00FF17FE">
      <w:pPr>
        <w:jc w:val="center"/>
      </w:pPr>
    </w:p>
    <w:p w:rsidRPr="007E331D" w:rsidR="0098410D" w:rsidP="007E331D" w:rsidRDefault="0098410D">
      <w:pPr>
        <w:jc w:val="center"/>
      </w:pPr>
    </w:p>
    <w:p w:rsidRPr="007E331D" w:rsidR="00FF17FE" w:rsidP="007E331D" w:rsidRDefault="00FF17FE">
      <w:pPr>
        <w:jc w:val="center"/>
      </w:pPr>
    </w:p>
    <w:p w:rsidRPr="007E331D" w:rsidR="00FF17FE" w:rsidP="007E331D" w:rsidRDefault="00FF17FE">
      <w:pPr>
        <w:jc w:val="center"/>
      </w:pPr>
    </w:p>
    <w:p w:rsidRPr="007E331D" w:rsidR="0098410D" w:rsidP="007E331D" w:rsidRDefault="0098410D">
      <w:pPr>
        <w:jc w:val="center"/>
      </w:pPr>
    </w:p>
    <w:p w:rsidRPr="007E331D" w:rsidR="0098410D" w:rsidP="007E331D" w:rsidRDefault="0098410D">
      <w:pPr>
        <w:jc w:val="center"/>
        <w:outlineLvl w:val="0"/>
        <w:rPr>
          <w:b/>
        </w:rPr>
      </w:pPr>
      <w:r w:rsidRPr="007E331D">
        <w:rPr>
          <w:b/>
        </w:rPr>
        <w:t xml:space="preserve">CASE OF </w:t>
      </w:r>
      <w:r w:rsidRPr="007E331D" w:rsidR="007D085E">
        <w:rPr>
          <w:b/>
        </w:rPr>
        <w:t>RAGNAR THORISSON v. ICELAND</w:t>
      </w:r>
    </w:p>
    <w:p w:rsidRPr="007E331D" w:rsidR="0098410D" w:rsidP="007E331D" w:rsidRDefault="0098410D">
      <w:pPr>
        <w:jc w:val="center"/>
      </w:pPr>
    </w:p>
    <w:p w:rsidRPr="007E331D" w:rsidR="0098410D" w:rsidP="007E331D" w:rsidRDefault="0098410D">
      <w:pPr>
        <w:jc w:val="center"/>
        <w:rPr>
          <w:i/>
        </w:rPr>
      </w:pPr>
      <w:r w:rsidRPr="007E331D">
        <w:rPr>
          <w:i/>
        </w:rPr>
        <w:t xml:space="preserve">(Application no. </w:t>
      </w:r>
      <w:r w:rsidRPr="007E331D" w:rsidR="007D085E">
        <w:rPr>
          <w:i/>
        </w:rPr>
        <w:t>52623/14</w:t>
      </w:r>
      <w:r w:rsidRPr="007E331D">
        <w:rPr>
          <w:i/>
        </w:rPr>
        <w:t>)</w:t>
      </w: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pPr>
    </w:p>
    <w:p w:rsidRPr="007E331D" w:rsidR="0098410D" w:rsidP="007E331D" w:rsidRDefault="0098410D">
      <w:pPr>
        <w:jc w:val="center"/>
        <w:outlineLvl w:val="0"/>
      </w:pPr>
      <w:r w:rsidRPr="007E331D">
        <w:t>JUDGMENT</w:t>
      </w:r>
    </w:p>
    <w:p w:rsidRPr="007E331D" w:rsidR="0098410D" w:rsidP="007E331D" w:rsidRDefault="0098410D">
      <w:pPr>
        <w:jc w:val="center"/>
      </w:pPr>
    </w:p>
    <w:p w:rsidRPr="007E331D" w:rsidR="00FF17FE" w:rsidP="007E331D" w:rsidRDefault="00FF17FE">
      <w:pPr>
        <w:jc w:val="center"/>
      </w:pPr>
    </w:p>
    <w:p w:rsidRPr="007E331D" w:rsidR="0098410D" w:rsidP="007E331D" w:rsidRDefault="0098410D">
      <w:pPr>
        <w:jc w:val="center"/>
        <w:outlineLvl w:val="0"/>
      </w:pPr>
      <w:r w:rsidRPr="007E331D">
        <w:t>STRASBOURG</w:t>
      </w:r>
    </w:p>
    <w:p w:rsidRPr="007E331D" w:rsidR="0098410D" w:rsidP="007E331D" w:rsidRDefault="0098410D">
      <w:pPr>
        <w:jc w:val="center"/>
      </w:pPr>
    </w:p>
    <w:p w:rsidRPr="007E331D" w:rsidR="0098410D" w:rsidP="007E331D" w:rsidRDefault="007D085E">
      <w:pPr>
        <w:jc w:val="center"/>
      </w:pPr>
      <w:r w:rsidRPr="007E331D">
        <w:t>12 February 2019</w:t>
      </w:r>
    </w:p>
    <w:p w:rsidRPr="007E331D" w:rsidR="0098410D" w:rsidP="007E331D" w:rsidRDefault="0098410D">
      <w:pPr>
        <w:jc w:val="center"/>
      </w:pPr>
    </w:p>
    <w:p w:rsidRPr="007E331D" w:rsidR="007D085E" w:rsidP="007E331D" w:rsidRDefault="007D085E">
      <w:pPr>
        <w:jc w:val="center"/>
      </w:pPr>
    </w:p>
    <w:p w:rsidRPr="007E331D" w:rsidR="007D085E" w:rsidP="007E331D" w:rsidRDefault="007D085E">
      <w:pPr>
        <w:jc w:val="center"/>
      </w:pPr>
    </w:p>
    <w:p w:rsidRPr="007E331D" w:rsidR="007D085E" w:rsidP="007E331D" w:rsidRDefault="007D085E">
      <w:pPr>
        <w:jc w:val="center"/>
      </w:pPr>
    </w:p>
    <w:p w:rsidRPr="007E331D" w:rsidR="007D085E" w:rsidP="007E331D" w:rsidRDefault="007D085E">
      <w:pPr>
        <w:jc w:val="center"/>
      </w:pPr>
    </w:p>
    <w:p w:rsidRPr="007E331D" w:rsidR="007D085E" w:rsidP="007E331D" w:rsidRDefault="007D085E">
      <w:pPr>
        <w:jc w:val="center"/>
      </w:pPr>
    </w:p>
    <w:p w:rsidRPr="007E331D" w:rsidR="0098410D" w:rsidP="007E331D" w:rsidRDefault="0098410D">
      <w:pPr>
        <w:jc w:val="center"/>
      </w:pPr>
    </w:p>
    <w:p w:rsidRPr="007E331D" w:rsidR="002422B6" w:rsidP="007E331D" w:rsidRDefault="0098410D">
      <w:pPr>
        <w:rPr>
          <w:i/>
          <w:sz w:val="22"/>
        </w:rPr>
      </w:pPr>
      <w:r w:rsidRPr="007E331D">
        <w:rPr>
          <w:i/>
          <w:sz w:val="22"/>
        </w:rPr>
        <w:t xml:space="preserve">This judgment </w:t>
      </w:r>
      <w:r w:rsidRPr="007E331D" w:rsidR="007D085E">
        <w:rPr>
          <w:i/>
          <w:sz w:val="22"/>
        </w:rPr>
        <w:t>is final but it</w:t>
      </w:r>
      <w:r w:rsidRPr="007E331D">
        <w:rPr>
          <w:i/>
          <w:sz w:val="22"/>
        </w:rPr>
        <w:t xml:space="preserve"> may be subject to editorial revision.</w:t>
      </w:r>
    </w:p>
    <w:p w:rsidRPr="007E331D" w:rsidR="0098410D" w:rsidP="007E331D" w:rsidRDefault="0098410D"/>
    <w:p w:rsidRPr="007E331D" w:rsidR="00FF17FE" w:rsidP="007E331D" w:rsidRDefault="00FF17FE">
      <w:pPr>
        <w:sectPr w:rsidRPr="007E331D" w:rsidR="00FF17F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E331D" w:rsidR="0098410D" w:rsidP="007E331D" w:rsidRDefault="0098410D">
      <w:pPr>
        <w:pStyle w:val="JuCase"/>
      </w:pPr>
      <w:r w:rsidRPr="007E331D">
        <w:t xml:space="preserve">In the case of </w:t>
      </w:r>
      <w:r w:rsidRPr="007E331D" w:rsidR="007D085E">
        <w:t>Ragnar Thorisson v. Iceland</w:t>
      </w:r>
      <w:r w:rsidRPr="007E331D">
        <w:t>,</w:t>
      </w:r>
    </w:p>
    <w:p w:rsidRPr="007E331D" w:rsidR="007D085E" w:rsidP="007E331D" w:rsidRDefault="007D085E">
      <w:pPr>
        <w:pStyle w:val="ECHRPara"/>
      </w:pPr>
      <w:r w:rsidRPr="007E331D">
        <w:t>The European Court of Human Rights (Second Section), sitting as a Committee composed of:</w:t>
      </w:r>
    </w:p>
    <w:p w:rsidRPr="007E331D" w:rsidR="007D085E" w:rsidP="007E331D" w:rsidRDefault="007D085E">
      <w:pPr>
        <w:pStyle w:val="ECHRDecisionBody"/>
      </w:pPr>
      <w:r w:rsidRPr="007E331D">
        <w:tab/>
        <w:t>Paul Lemmens,</w:t>
      </w:r>
      <w:r w:rsidRPr="007E331D">
        <w:rPr>
          <w:i/>
        </w:rPr>
        <w:t xml:space="preserve"> President,</w:t>
      </w:r>
      <w:r w:rsidRPr="007E331D">
        <w:rPr>
          <w:i/>
        </w:rPr>
        <w:br/>
      </w:r>
      <w:r w:rsidRPr="007E331D">
        <w:tab/>
        <w:t>Jon Fridrik Kjølbro,</w:t>
      </w:r>
      <w:r w:rsidRPr="007E331D">
        <w:rPr>
          <w:i/>
        </w:rPr>
        <w:br/>
      </w:r>
      <w:r w:rsidRPr="007E331D">
        <w:tab/>
        <w:t>Ivana Jelić,</w:t>
      </w:r>
      <w:r w:rsidRPr="007E331D">
        <w:rPr>
          <w:i/>
        </w:rPr>
        <w:t xml:space="preserve"> judges,</w:t>
      </w:r>
      <w:r w:rsidRPr="007E331D">
        <w:rPr>
          <w:szCs w:val="24"/>
        </w:rPr>
        <w:br/>
      </w:r>
      <w:r w:rsidRPr="007E331D">
        <w:t xml:space="preserve">and Hasan Bakırcı, </w:t>
      </w:r>
      <w:r w:rsidRPr="007E331D">
        <w:rPr>
          <w:i/>
        </w:rPr>
        <w:t xml:space="preserve">Deputy Section </w:t>
      </w:r>
      <w:r w:rsidRPr="007E331D">
        <w:rPr>
          <w:i/>
          <w:iCs/>
        </w:rPr>
        <w:t>Registrar</w:t>
      </w:r>
      <w:r w:rsidRPr="007E331D">
        <w:rPr>
          <w:i/>
        </w:rPr>
        <w:t>,</w:t>
      </w:r>
    </w:p>
    <w:p w:rsidRPr="007E331D" w:rsidR="007D085E" w:rsidP="007E331D" w:rsidRDefault="007D085E">
      <w:pPr>
        <w:pStyle w:val="ECHRPara"/>
      </w:pPr>
      <w:r w:rsidRPr="007E331D">
        <w:t>Having deliberated in private on 22 January 2019,</w:t>
      </w:r>
    </w:p>
    <w:p w:rsidRPr="007E331D" w:rsidR="007D085E" w:rsidP="007E331D" w:rsidRDefault="007D085E">
      <w:pPr>
        <w:pStyle w:val="ECHRPara"/>
      </w:pPr>
      <w:r w:rsidRPr="007E331D">
        <w:t>Delivers the following judgment, which was adopted on that date:</w:t>
      </w:r>
    </w:p>
    <w:p w:rsidRPr="007E331D" w:rsidR="007D085E" w:rsidP="007E331D" w:rsidRDefault="007D085E">
      <w:pPr>
        <w:pStyle w:val="ECHRTitle1"/>
      </w:pPr>
      <w:r w:rsidRPr="007E331D">
        <w:t>PROCEDURE</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w:t>
      </w:r>
      <w:r w:rsidRPr="007E331D">
        <w:fldChar w:fldCharType="end"/>
      </w:r>
      <w:r w:rsidRPr="007E331D">
        <w:t>.  The case originated in an application (no. 52623/14) against the Republic of Iceland lodged with the Court under Article 34 of the Convention for the Protection of Human Rights and Fundamental Freedoms (“the Convention”) by an Icelandic national, Mr Ragnar Þórisson (“the applicant”), on 9 July 2014.</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w:t>
      </w:r>
      <w:r w:rsidRPr="007E331D">
        <w:fldChar w:fldCharType="end"/>
      </w:r>
      <w:r w:rsidRPr="007E331D">
        <w:t xml:space="preserve">.  The applicant was represented by Mr Heiðar Ásberg Atlason, a lawyer practising in Reykjavik. The Icelandic Government (“the Government”) were represented by their Agent, Mr Einar Karl Hallvarðsson, </w:t>
      </w:r>
      <w:proofErr w:type="gramStart"/>
      <w:r w:rsidRPr="007E331D">
        <w:t>the</w:t>
      </w:r>
      <w:proofErr w:type="gramEnd"/>
      <w:r w:rsidRPr="007E331D">
        <w:t xml:space="preserve"> State Attorney General.</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3</w:t>
      </w:r>
      <w:r w:rsidRPr="007E331D">
        <w:fldChar w:fldCharType="end"/>
      </w:r>
      <w:r w:rsidRPr="007E331D">
        <w:t xml:space="preserve">.  On </w:t>
      </w:r>
      <w:r w:rsidRPr="007E331D">
        <w:rPr>
          <w:szCs w:val="24"/>
        </w:rPr>
        <w:t>13 June 2017</w:t>
      </w:r>
      <w:r w:rsidRPr="007E331D">
        <w:t xml:space="preserve"> notice of the </w:t>
      </w:r>
      <w:r w:rsidRPr="007E331D">
        <w:rPr>
          <w:szCs w:val="24"/>
        </w:rPr>
        <w:t>application was given to the Government</w:t>
      </w:r>
      <w:r w:rsidRPr="007E331D">
        <w:t>.</w:t>
      </w:r>
    </w:p>
    <w:p w:rsidRPr="007E331D" w:rsidR="007D085E" w:rsidP="007E331D" w:rsidRDefault="007D085E">
      <w:pPr>
        <w:pStyle w:val="ECHRTitle1"/>
      </w:pPr>
      <w:r w:rsidRPr="007E331D">
        <w:t>THE FACTS</w:t>
      </w:r>
    </w:p>
    <w:p w:rsidRPr="007E331D" w:rsidR="007D085E" w:rsidP="007E331D" w:rsidRDefault="007D085E">
      <w:pPr>
        <w:pStyle w:val="ECHRHeading1"/>
      </w:pPr>
      <w:r w:rsidRPr="007E331D">
        <w:t>I.  THE CIRCUMSTANCES OF THE CASE</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w:t>
      </w:r>
      <w:r w:rsidRPr="007E331D">
        <w:fldChar w:fldCharType="end"/>
      </w:r>
      <w:r w:rsidRPr="007E331D">
        <w:t>.  The applicant was born in 1971 and lives in Reykjavík.</w:t>
      </w:r>
    </w:p>
    <w:p w:rsidRPr="007E331D" w:rsidR="007D085E" w:rsidP="007E331D" w:rsidRDefault="00BF4524">
      <w:pPr>
        <w:pStyle w:val="ECHRHeading2"/>
      </w:pPr>
      <w:r w:rsidRPr="007E331D">
        <w:t>A.  </w:t>
      </w:r>
      <w:r w:rsidRPr="007E331D" w:rsidR="007D085E">
        <w:t>Tax proceedings</w:t>
      </w:r>
    </w:p>
    <w:p w:rsidRPr="007E331D" w:rsidR="007D085E" w:rsidP="007E331D" w:rsidRDefault="007D085E">
      <w:pPr>
        <w:pStyle w:val="ECHRPara"/>
        <w:tabs>
          <w:tab w:val="left" w:pos="1470"/>
        </w:tabs>
      </w:pPr>
      <w:r w:rsidRPr="007E331D">
        <w:fldChar w:fldCharType="begin"/>
      </w:r>
      <w:r w:rsidRPr="007E331D">
        <w:instrText xml:space="preserve"> SEQ level0 \*arabic </w:instrText>
      </w:r>
      <w:r w:rsidRPr="007E331D">
        <w:fldChar w:fldCharType="separate"/>
      </w:r>
      <w:r w:rsidRPr="007E331D" w:rsidR="007E331D">
        <w:rPr>
          <w:noProof/>
        </w:rPr>
        <w:t>5</w:t>
      </w:r>
      <w:r w:rsidRPr="007E331D">
        <w:fldChar w:fldCharType="end"/>
      </w:r>
      <w:r w:rsidRPr="007E331D">
        <w:t>.  On 21 October 2010 the Directorate of Tax Investigation (</w:t>
      </w:r>
      <w:r w:rsidRPr="007E331D">
        <w:rPr>
          <w:i/>
        </w:rPr>
        <w:t>Skattrannsóknarstjóri ríkisins</w:t>
      </w:r>
      <w:r w:rsidRPr="007E331D">
        <w:t>) initiated an audit of the applicant</w:t>
      </w:r>
      <w:r w:rsidRPr="007E331D" w:rsidR="007E331D">
        <w:t>’</w:t>
      </w:r>
      <w:r w:rsidRPr="007E331D">
        <w:t>s tax return for the income year 2006. On 5 November 2010, the applicant was interviewed by the Directorate.</w:t>
      </w:r>
    </w:p>
    <w:p w:rsidRPr="007E331D" w:rsidR="007D085E" w:rsidP="007E331D" w:rsidRDefault="007D085E">
      <w:pPr>
        <w:pStyle w:val="ECHRPara"/>
        <w:tabs>
          <w:tab w:val="left" w:pos="1470"/>
        </w:tabs>
      </w:pPr>
      <w:r w:rsidRPr="007E331D">
        <w:fldChar w:fldCharType="begin"/>
      </w:r>
      <w:r w:rsidRPr="007E331D">
        <w:instrText xml:space="preserve"> SEQ level0 \*arabic </w:instrText>
      </w:r>
      <w:r w:rsidRPr="007E331D">
        <w:fldChar w:fldCharType="separate"/>
      </w:r>
      <w:r w:rsidRPr="007E331D" w:rsidR="007E331D">
        <w:rPr>
          <w:noProof/>
        </w:rPr>
        <w:t>6</w:t>
      </w:r>
      <w:r w:rsidRPr="007E331D">
        <w:fldChar w:fldCharType="end"/>
      </w:r>
      <w:r w:rsidRPr="007E331D">
        <w:t>.  The investigation was concluded with a report issued on 13</w:t>
      </w:r>
      <w:r w:rsidRPr="007E331D" w:rsidR="00BF4524">
        <w:t> </w:t>
      </w:r>
      <w:r w:rsidRPr="007E331D">
        <w:t>January 2011. By a letter of 14 January 2011 the Directorate informed the applicant that the case would be referred to the Directorate of Internal Revenue (</w:t>
      </w:r>
      <w:r w:rsidRPr="007E331D">
        <w:rPr>
          <w:i/>
        </w:rPr>
        <w:t>Ríkisskattstjóri)</w:t>
      </w:r>
      <w:r w:rsidRPr="007E331D">
        <w:t xml:space="preserve"> for reassessment of his taxes. It also informed the applicant about the Directorate of Tax Investigation</w:t>
      </w:r>
      <w:r w:rsidRPr="007E331D" w:rsidR="007E331D">
        <w:t>’</w:t>
      </w:r>
      <w:r w:rsidRPr="007E331D">
        <w:t>s upcoming decision on possible criminal proceedings, listed possible ways of finalising the criminal procedure in the case and gave the applicant 30 days to comment. By letter of 18 February 2011, 5 days after the deadline, the applicant replied and requested the finalisation of the case with a decision by the Directorate, ordering him to pay a fine, or for the case to be sent to the State Internal Revenue Board (</w:t>
      </w:r>
      <w:r w:rsidRPr="007E331D">
        <w:rPr>
          <w:i/>
        </w:rPr>
        <w:t>Yfirskattanefnd)</w:t>
      </w:r>
      <w:r w:rsidRPr="007E331D">
        <w:t>.</w:t>
      </w:r>
    </w:p>
    <w:p w:rsidRPr="007E331D" w:rsidR="00BF4524" w:rsidP="007E331D" w:rsidRDefault="007D085E">
      <w:pPr>
        <w:pStyle w:val="ECHRPara"/>
        <w:tabs>
          <w:tab w:val="left" w:pos="1470"/>
        </w:tabs>
      </w:pPr>
      <w:r w:rsidRPr="007E331D">
        <w:fldChar w:fldCharType="begin"/>
      </w:r>
      <w:r w:rsidRPr="007E331D">
        <w:instrText xml:space="preserve"> SEQ level0 \*arabic </w:instrText>
      </w:r>
      <w:r w:rsidRPr="007E331D">
        <w:fldChar w:fldCharType="separate"/>
      </w:r>
      <w:r w:rsidRPr="007E331D" w:rsidR="007E331D">
        <w:rPr>
          <w:noProof/>
        </w:rPr>
        <w:t>7</w:t>
      </w:r>
      <w:r w:rsidRPr="007E331D">
        <w:fldChar w:fldCharType="end"/>
      </w:r>
      <w:r w:rsidRPr="007E331D">
        <w:t>.  On the basis of the Directorate of Tax Investigation</w:t>
      </w:r>
      <w:r w:rsidRPr="007E331D" w:rsidR="007E331D">
        <w:t>’</w:t>
      </w:r>
      <w:r w:rsidRPr="007E331D">
        <w:t>s report, the Directorate of Internal Revenue, ruling on 23 November 2011, found in particular that the applicant had failed to declare significant capital gains received in 2006. Therefore, it revised upward the amount declared as capital gains in his tax return for the income year 2006 and, consequently, re-assessed his taxes and imposed a 25% surcharge. The applicant paid the additional tax and tax surcharges.</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8</w:t>
      </w:r>
      <w:r w:rsidRPr="007E331D">
        <w:fldChar w:fldCharType="end"/>
      </w:r>
      <w:r w:rsidRPr="007E331D">
        <w:t>.  The applicant did not appeal to the State Internal Revenue Board against the decision, which thus acquired legal force three months later, in February 2012, when the time-limit for an appeal had expired.</w:t>
      </w:r>
    </w:p>
    <w:p w:rsidRPr="007E331D" w:rsidR="007D085E" w:rsidP="007E331D" w:rsidRDefault="007D085E">
      <w:pPr>
        <w:pStyle w:val="ECHRHeading2"/>
        <w:rPr>
          <w:b w:val="0"/>
        </w:rPr>
      </w:pPr>
      <w:r w:rsidRPr="007E331D">
        <w:t>B.</w:t>
      </w:r>
      <w:r w:rsidRPr="007E331D" w:rsidR="00BF4524">
        <w:t>  </w:t>
      </w:r>
      <w:r w:rsidRPr="007E331D">
        <w:t>Criminal proceedings</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9</w:t>
      </w:r>
      <w:r w:rsidRPr="007E331D">
        <w:fldChar w:fldCharType="end"/>
      </w:r>
      <w:r w:rsidRPr="007E331D">
        <w:t>.  On 28 March 2012 the Directorate of Tax Investigation reported the matter to the Special Prosecutor. By a letter of the same day, the applicant was informed about it. On 14 September 2012 the applicant was interviewed by the police for the first time.</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10</w:t>
      </w:r>
      <w:r w:rsidRPr="007E331D">
        <w:fldChar w:fldCharType="end"/>
      </w:r>
      <w:r w:rsidRPr="007E331D">
        <w:t>.  On 10 October 2012 the Special Prosecutor indicted the applicant for aggravated tax offences. In particular, the applicant was charged with having under declared his income in his tax return of 2007. This included failure to declare significant capital gains received in 2006.</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11</w:t>
      </w:r>
      <w:r w:rsidRPr="007E331D">
        <w:fldChar w:fldCharType="end"/>
      </w:r>
      <w:r w:rsidRPr="007E331D">
        <w:t>.  By judgment of 16 May 2013, the District Court found that the applicant had acted with gross negligence, which was sufficient for criminal liability under the relevant provisions of the tax law, and therefore convicted the applicant of the charges against him. The court sentenced him to three months</w:t>
      </w:r>
      <w:r w:rsidRPr="007E331D" w:rsidR="007E331D">
        <w:t>’</w:t>
      </w:r>
      <w:r w:rsidRPr="007E331D">
        <w:t xml:space="preserve"> imprisonment, suspended for two years, and the payment of 24,006,000 Icelandic </w:t>
      </w:r>
      <w:r w:rsidRPr="007E331D">
        <w:rPr>
          <w:i/>
        </w:rPr>
        <w:t xml:space="preserve">krónur </w:t>
      </w:r>
      <w:r w:rsidRPr="007E331D">
        <w:t>(ISK; approximately 152,000 euros (EUR) at the material time). Furthermore, the applicant was ordered to pay legal costs of ISK 878,500 plus value added tax for his defence counsel.</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12</w:t>
      </w:r>
      <w:r w:rsidRPr="007E331D">
        <w:fldChar w:fldCharType="end"/>
      </w:r>
      <w:r w:rsidRPr="007E331D">
        <w:t>.  The applicant lodged an appeal against the District Court</w:t>
      </w:r>
      <w:r w:rsidRPr="007E331D" w:rsidR="007E331D">
        <w:t>’</w:t>
      </w:r>
      <w:r w:rsidRPr="007E331D">
        <w:t>s judgment.</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13</w:t>
      </w:r>
      <w:r w:rsidRPr="007E331D">
        <w:fldChar w:fldCharType="end"/>
      </w:r>
      <w:r w:rsidRPr="007E331D">
        <w:t>.  By a judgment of 22 May 2014, the Supreme Court rejected the applicant</w:t>
      </w:r>
      <w:r w:rsidRPr="007E331D" w:rsidR="007E331D">
        <w:t>’</w:t>
      </w:r>
      <w:r w:rsidRPr="007E331D">
        <w:t>s request to dismiss the case on the bas</w:t>
      </w:r>
      <w:r w:rsidRPr="007E331D" w:rsidR="00BF4524">
        <w:t>is of Article 4 of Protocol No. </w:t>
      </w:r>
      <w:r w:rsidRPr="007E331D">
        <w:t>7 to the Convention. The court upheld the applicant</w:t>
      </w:r>
      <w:r w:rsidRPr="007E331D" w:rsidR="007E331D">
        <w:t>’</w:t>
      </w:r>
      <w:r w:rsidRPr="007E331D">
        <w:t>s conviction and confirmed his prison sentence. However, the Supreme Court sentenced the applicant to pay a fine of ISK 21,000,000 (approximately EUR 136,000 at the material time). In fixing the fine, the court had regard to the tax surcharge imposed. The applicant was ordered to pay legal costs of ISK 1,286,614, ISK 1,255,000 of that amount for his defence counsel.</w:t>
      </w:r>
    </w:p>
    <w:p w:rsidRPr="007E331D" w:rsidR="007D085E" w:rsidP="007E331D" w:rsidRDefault="007D085E">
      <w:pPr>
        <w:pStyle w:val="ECHRHeading1"/>
      </w:pPr>
      <w:r w:rsidRPr="007E331D">
        <w:t>II.</w:t>
      </w:r>
      <w:proofErr w:type="gramStart"/>
      <w:r w:rsidRPr="007E331D">
        <w:t>  RELEVANT</w:t>
      </w:r>
      <w:proofErr w:type="gramEnd"/>
      <w:r w:rsidRPr="007E331D">
        <w:t xml:space="preserve"> DOMESTIC LAW AND PRACTICE</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14</w:t>
      </w:r>
      <w:r w:rsidRPr="007E331D">
        <w:fldChar w:fldCharType="end"/>
      </w:r>
      <w:r w:rsidRPr="007E331D">
        <w:t>.  The relevant Sections of the Income Tax Act (</w:t>
      </w:r>
      <w:r w:rsidRPr="007E331D">
        <w:rPr>
          <w:i/>
        </w:rPr>
        <w:t>Lög um tekjuskatt</w:t>
      </w:r>
      <w:r w:rsidRPr="007E331D">
        <w:t>, no.</w:t>
      </w:r>
      <w:r w:rsidRPr="007E331D" w:rsidR="00BF4524">
        <w:t> </w:t>
      </w:r>
      <w:r w:rsidRPr="007E331D">
        <w:t>90/2003) read as follows:</w:t>
      </w:r>
    </w:p>
    <w:p w:rsidRPr="007E331D" w:rsidR="00BF4524" w:rsidP="007E331D" w:rsidRDefault="007D085E">
      <w:pPr>
        <w:pStyle w:val="ECHRTitleCentre3"/>
      </w:pPr>
      <w:r w:rsidRPr="007E331D">
        <w:t>Section 108</w:t>
      </w:r>
    </w:p>
    <w:p w:rsidRPr="007E331D" w:rsidR="007D085E" w:rsidP="007E331D" w:rsidRDefault="007D085E">
      <w:pPr>
        <w:pStyle w:val="ECHRParaQuote"/>
      </w:pPr>
      <w:r w:rsidRPr="007E331D">
        <w:t>“If an entity that is obliged to submit a tax return does not do so within the given deadline, the Director of Internal Revenue is permitted to add up to a 15% charge to his tax-base estimate. The Director of Internal Revenue is nonetheless required to take notice of the extent to which taxation has taken place through withheld taxes. The Director of Internal Revenue sets further rules on that point. If a tax return on which the levying of taxes will be based is submitted after the filing deadline, but before a Local Tax Commissioner completes assessing taxes, there can only be added a 0.5% charge to the tax base for each day that the filing of a tax return has been delayed after the given deadline, although no more than a 10% charge.</w:t>
      </w:r>
    </w:p>
    <w:p w:rsidRPr="007E331D" w:rsidR="007D085E" w:rsidP="007E331D" w:rsidRDefault="007D085E">
      <w:pPr>
        <w:pStyle w:val="ECHRParaQuote"/>
      </w:pPr>
      <w:r w:rsidRPr="007E331D">
        <w:t>If a tax return is incorrect, as noted in Article 96, or specific items declared wrongly, the Director of Internal Revenue can add a 25% charge to estimated or wrongly declared tax bases. If a tax entity corrects the errors or adjusts specific items in the tax return before taxes are assessed, the charge of the Director of Internal Revenue may not be higher than 15%.</w:t>
      </w:r>
    </w:p>
    <w:p w:rsidRPr="007E331D" w:rsidR="007D085E" w:rsidP="007E331D" w:rsidRDefault="007D085E">
      <w:pPr>
        <w:pStyle w:val="ECHRParaQuote"/>
      </w:pPr>
      <w:r w:rsidRPr="007E331D">
        <w:t xml:space="preserve">Additional charges, in accordance with this Section, are to be cancelled if a tax entity can show with justification that it is not to blame for limitations in the tax return, or the failure to file, that </w:t>
      </w:r>
      <w:r w:rsidRPr="007E331D">
        <w:rPr>
          <w:i/>
        </w:rPr>
        <w:t>force majeure</w:t>
      </w:r>
      <w:r w:rsidRPr="007E331D">
        <w:t xml:space="preserve"> made it impossible to file the tax return in the given time, it rectifies errors in the tax return or corrects specific items therein.</w:t>
      </w:r>
    </w:p>
    <w:p w:rsidRPr="007E331D" w:rsidR="007D085E" w:rsidP="007E331D" w:rsidRDefault="007D085E">
      <w:pPr>
        <w:pStyle w:val="ECHRParaQuote"/>
      </w:pPr>
      <w:r w:rsidRPr="007E331D">
        <w:t>Complaints to the Directorate of Internal Revenue and the State Internal Revenue Board are subject to the provisions of Article 99 of the Act and the provisions of Act No. 30/1992 on the State Internal Revenue Board.”</w:t>
      </w:r>
    </w:p>
    <w:p w:rsidRPr="007E331D" w:rsidR="00BF4524" w:rsidP="007E331D" w:rsidRDefault="007D085E">
      <w:pPr>
        <w:pStyle w:val="ECHRTitleCentre3"/>
      </w:pPr>
      <w:r w:rsidRPr="007E331D">
        <w:t>Section 109</w:t>
      </w:r>
    </w:p>
    <w:p w:rsidRPr="007E331D" w:rsidR="007D085E" w:rsidP="007E331D" w:rsidRDefault="007D085E">
      <w:pPr>
        <w:pStyle w:val="ECHRParaQuote"/>
      </w:pPr>
      <w:r w:rsidRPr="007E331D">
        <w:t>“If a taxable person, intentionally or out of gross negligence, makes false or misleading statements about something that matters in relation to its income tax, such person shall pay a fine of up to tenfold the tax amount from the tax base that was concealed and never a lower fine than double the tax amount. Tax from a charge in accordance with Article 108 is deducted from the fine. Paragraph 1 of Article 262 of the Penal Code applies to major offences against this provision.</w:t>
      </w:r>
    </w:p>
    <w:p w:rsidRPr="007E331D" w:rsidR="007D085E" w:rsidP="007E331D" w:rsidRDefault="007D085E">
      <w:pPr>
        <w:pStyle w:val="ECHRParaQuote"/>
      </w:pPr>
      <w:r w:rsidRPr="007E331D">
        <w:t>If a taxable person, intentionally or out of gross negligence, neglects to file a tax return, the violation calls for a fine that is never to be lower than double the tax amount from the tax base that was lacking, if the tax evaluation proved to be too low when taxes were re-assessed in accordance with paragraph 2 of Article 96 of this Act, in which case the tax on the added charge shall be deducted from the amount of the fine in accordance with Article 108. Paragraph 1 of Article 262 of the Penal Code applies to major offences against this provision.</w:t>
      </w:r>
    </w:p>
    <w:p w:rsidRPr="007E331D" w:rsidR="007D085E" w:rsidP="007E331D" w:rsidRDefault="007D085E">
      <w:pPr>
        <w:pStyle w:val="ECHRParaQuote"/>
      </w:pPr>
      <w:r w:rsidRPr="007E331D">
        <w:t>If a taxable person gives false or misleading information on any aspects regarding his tax return, then that person can be made to pay a fine, even if the information cannot affect his liability to pay taxes or tax payments.</w:t>
      </w:r>
    </w:p>
    <w:p w:rsidRPr="007E331D" w:rsidR="007D085E" w:rsidP="007E331D" w:rsidRDefault="007D085E">
      <w:pPr>
        <w:pStyle w:val="ECHRParaQuote"/>
      </w:pPr>
      <w:r w:rsidRPr="007E331D">
        <w:t>If violations of paragraph 1 or paragraph 2 of the provision are discovered when the estate of a deceased person is wound up, then the estate shall pay a fine of up to quadruple the tax amount from the tax base that was evaded and never less than the tax amount plus half of the tax amount. Tax from a charge in accordance with Article 108 is deducted from the fine. Under circumstances stated in Paragraph 3, the estate may be fined.</w:t>
      </w:r>
    </w:p>
    <w:p w:rsidRPr="007E331D" w:rsidR="007D085E" w:rsidP="007E331D" w:rsidRDefault="007D085E">
      <w:pPr>
        <w:pStyle w:val="ECHRParaQuote"/>
      </w:pPr>
      <w:r w:rsidRPr="007E331D">
        <w:t>Any person who wilfully or by gross negligence provides tax authorities with wrongful or misleading information or documentation regarding the tax returns of other parties or assists a wrongful or misleading tax return to tax authorities, shall be subject to punishment as stated in Paragraph 1 of this Article.</w:t>
      </w:r>
    </w:p>
    <w:p w:rsidRPr="007E331D" w:rsidR="007D085E" w:rsidP="007E331D" w:rsidRDefault="007D085E">
      <w:pPr>
        <w:pStyle w:val="ECHRParaQuote"/>
      </w:pPr>
      <w:r w:rsidRPr="007E331D">
        <w:t>If a person, intentionally or out of gross negligence, has neglected his duties according to the provisions of Articles 90, 92 or 94 he shall pay a fine or be sentenced to imprisonment for up to 2 years.</w:t>
      </w:r>
    </w:p>
    <w:p w:rsidRPr="007E331D" w:rsidR="007D085E" w:rsidP="007E331D" w:rsidRDefault="007D085E">
      <w:pPr>
        <w:pStyle w:val="ECHRParaQuote"/>
      </w:pPr>
      <w:r w:rsidRPr="007E331D">
        <w:t>An attempted violation and accessory to a violation of this Act is punishable according to the provisions of Chapter III of the Penal Code and is subject to a fine up to the maximum stated in other provisions of this Article.</w:t>
      </w:r>
    </w:p>
    <w:p w:rsidRPr="007E331D" w:rsidR="007D085E" w:rsidP="007E331D" w:rsidRDefault="007D085E">
      <w:pPr>
        <w:pStyle w:val="ECHRParaQuote"/>
      </w:pPr>
      <w:r w:rsidRPr="007E331D">
        <w:t>A legal entity may be fined for a violation of this Act, irrespective of whether the violation may be attributable to the criminal act of an officer or employee of the legal entity. If its officer or employee has been guilty of violating this Act, the legal entity may be subject to a fine and withdrawal of its operating licence in addition to a punishment inflicted, provided the violation is committed for the benefit of the legal entity and it has profited from the violation.”</w:t>
      </w:r>
    </w:p>
    <w:p w:rsidRPr="007E331D" w:rsidR="00BF4524" w:rsidP="007E331D" w:rsidRDefault="007D085E">
      <w:pPr>
        <w:pStyle w:val="ECHRTitleCentre3"/>
      </w:pPr>
      <w:r w:rsidRPr="007E331D">
        <w:t>Section 110</w:t>
      </w:r>
    </w:p>
    <w:p w:rsidRPr="007E331D" w:rsidR="00BF4524" w:rsidP="007E331D" w:rsidRDefault="007D085E">
      <w:pPr>
        <w:pStyle w:val="ECHRParaQuote"/>
      </w:pPr>
      <w:r w:rsidRPr="007E331D">
        <w:t>“The State Internal Revenue Board rules on fines in accordance with Article 109 unless a case is referred for investigation and judicial treatment in accordance with paragraph 4. Act 30/1992 on the State Internal Revenue Board, applies to the Board</w:t>
      </w:r>
      <w:r w:rsidRPr="007E331D" w:rsidR="007E331D">
        <w:t>’</w:t>
      </w:r>
      <w:r w:rsidRPr="007E331D">
        <w:t>s handling of cases.</w:t>
      </w:r>
    </w:p>
    <w:p w:rsidRPr="007E331D" w:rsidR="00BF4524" w:rsidP="007E331D" w:rsidRDefault="007D085E">
      <w:pPr>
        <w:pStyle w:val="ECHRParaQuote"/>
      </w:pPr>
      <w:r w:rsidRPr="007E331D">
        <w:t>The Directorate of Tax Investigations in Iceland appears before the Board on behalf of the state when it rules on fines. The rulings of the Board are final.</w:t>
      </w:r>
    </w:p>
    <w:p w:rsidRPr="007E331D" w:rsidR="007D085E" w:rsidP="007E331D" w:rsidRDefault="007D085E">
      <w:pPr>
        <w:pStyle w:val="ECHRParaQuote"/>
      </w:pPr>
      <w:r w:rsidRPr="007E331D">
        <w:t xml:space="preserve">Despite the provision of paragraph 1, the Directorate of Tax Investigations or its representative learned in law is permitted to offer a party the option to end the penal proceedings of a case by paying a fine to the Treasury, provided that an offence is considered proved beyond doubt, and then the case is neither to be sent to be investigated by the police nor to fine proceedings with the State Internal Revenue Board. When deciding the amount of a fine, notice is to be taken of the nature and scale of the offence. Fines can amount to between 100 thousand </w:t>
      </w:r>
      <w:r w:rsidRPr="007E331D">
        <w:rPr>
          <w:i/>
        </w:rPr>
        <w:t>krónur</w:t>
      </w:r>
      <w:r w:rsidRPr="007E331D">
        <w:t xml:space="preserve"> and 6 million </w:t>
      </w:r>
      <w:r w:rsidRPr="007E331D">
        <w:rPr>
          <w:i/>
        </w:rPr>
        <w:t>krónur</w:t>
      </w:r>
      <w:r w:rsidRPr="007E331D">
        <w:t>. The entity in the case is to be informed of the proposed amount of a fine before it agrees to end a case in such a manner. A decision on the amount of a fine according to this provision is to have been made within six months from the end of the investigation of the Directorate of Tax Investigations.</w:t>
      </w:r>
    </w:p>
    <w:p w:rsidRPr="007E331D" w:rsidR="007D085E" w:rsidP="007E331D" w:rsidRDefault="007D085E">
      <w:pPr>
        <w:pStyle w:val="ECHRParaQuote"/>
      </w:pPr>
      <w:r w:rsidRPr="007E331D">
        <w:t>An alternative penalty is not included in the decision of the Directorate of Tax Investigations. On the collection of a fine imposed by the Directorate of Tax Investigations the same rules apply as to taxes according to this Act, the right to carry out distraint included. The State Prosecutor is to be sent a record of all cases that have been closed according to this provision. If the State Prosecutor believes that an innocent person has been made to suffer a fine in accordance with paragraph 2, or that the closure of the case has been improbable in other ways, he can refer the case to a judge in order to overthrow the decision of the Directorate of Tax Investigations.</w:t>
      </w:r>
    </w:p>
    <w:p w:rsidRPr="007E331D" w:rsidR="00BF4524" w:rsidP="007E331D" w:rsidRDefault="007D085E">
      <w:pPr>
        <w:pStyle w:val="ECHRParaQuote"/>
      </w:pPr>
      <w:r w:rsidRPr="007E331D">
        <w:t>The Directorate of Tax Investigations can, of its own accord, refer a case to be investigated by the police as well as at the request of the accused, if he is opposed to the case being dealt with by the State Internal Revenue Board in accordance with paragraph 1.</w:t>
      </w:r>
    </w:p>
    <w:p w:rsidRPr="007E331D" w:rsidR="007D085E" w:rsidP="007E331D" w:rsidRDefault="007D085E">
      <w:pPr>
        <w:pStyle w:val="ECHRParaQuote"/>
      </w:pPr>
      <w:r w:rsidRPr="007E331D">
        <w:t>Tax claims can be upheld and judged in criminal proceedings because of offences against the Act.</w:t>
      </w:r>
    </w:p>
    <w:p w:rsidRPr="007E331D" w:rsidR="007D085E" w:rsidP="007E331D" w:rsidRDefault="007D085E">
      <w:pPr>
        <w:pStyle w:val="ECHRParaQuote"/>
      </w:pPr>
      <w:r w:rsidRPr="007E331D">
        <w:t>Fines for offences against this Act go to the Treasury.</w:t>
      </w:r>
    </w:p>
    <w:p w:rsidRPr="007E331D" w:rsidR="00BF4524" w:rsidP="007E331D" w:rsidRDefault="007D085E">
      <w:pPr>
        <w:pStyle w:val="ECHRParaQuote"/>
      </w:pPr>
      <w:r w:rsidRPr="007E331D">
        <w:t>An alternative penalty does not accompany the State Internal Revenue Board</w:t>
      </w:r>
      <w:r w:rsidRPr="007E331D" w:rsidR="007E331D">
        <w:t>’</w:t>
      </w:r>
      <w:r w:rsidRPr="007E331D">
        <w:t>s rulings of a fine. On the collection of a fine issued by the State Internal Revenue Board the same rules apply as to taxes according to this Act, the right to carry out distraint included.</w:t>
      </w:r>
    </w:p>
    <w:p w:rsidRPr="007E331D" w:rsidR="007D085E" w:rsidP="007E331D" w:rsidRDefault="007D085E">
      <w:pPr>
        <w:pStyle w:val="ECHRParaQuote"/>
      </w:pPr>
      <w:r w:rsidRPr="007E331D">
        <w:t>Charges in accordance with Article 109 have a six-year limitation period from the time an investigation by the Directorate of Tax Investigations commences, as long as there are no unnecessary delays in the investigation of a case or the issue of punishment.”</w:t>
      </w:r>
    </w:p>
    <w:p w:rsidRPr="007E331D" w:rsidR="007D085E" w:rsidP="007E331D" w:rsidRDefault="007D085E">
      <w:pPr>
        <w:pStyle w:val="ECHRPara"/>
        <w:rPr>
          <w:lang w:val="is-IS"/>
        </w:rPr>
      </w:pPr>
      <w:r w:rsidRPr="007E331D">
        <w:rPr>
          <w:lang w:val="is-IS"/>
        </w:rPr>
        <w:fldChar w:fldCharType="begin"/>
      </w:r>
      <w:r w:rsidRPr="007E331D">
        <w:rPr>
          <w:lang w:val="is-IS"/>
        </w:rPr>
        <w:instrText xml:space="preserve"> SEQ level0 \*arabic </w:instrText>
      </w:r>
      <w:r w:rsidRPr="007E331D">
        <w:rPr>
          <w:lang w:val="is-IS"/>
        </w:rPr>
        <w:fldChar w:fldCharType="separate"/>
      </w:r>
      <w:r w:rsidRPr="007E331D" w:rsidR="007E331D">
        <w:rPr>
          <w:noProof/>
          <w:lang w:val="is-IS"/>
        </w:rPr>
        <w:t>15</w:t>
      </w:r>
      <w:r w:rsidRPr="007E331D">
        <w:rPr>
          <w:lang w:val="is-IS"/>
        </w:rPr>
        <w:fldChar w:fldCharType="end"/>
      </w:r>
      <w:r w:rsidRPr="007E331D">
        <w:rPr>
          <w:lang w:val="is-IS"/>
        </w:rPr>
        <w:t>.  Article 262 of the Penal Code (</w:t>
      </w:r>
      <w:r w:rsidRPr="007E331D">
        <w:rPr>
          <w:i/>
          <w:lang w:val="is-IS"/>
        </w:rPr>
        <w:t>Almenn hegningarlög</w:t>
      </w:r>
      <w:r w:rsidRPr="007E331D">
        <w:rPr>
          <w:lang w:val="is-IS"/>
        </w:rPr>
        <w:t>, no. 19/1940) stipulates:</w:t>
      </w:r>
    </w:p>
    <w:p w:rsidRPr="007E331D" w:rsidR="007D085E" w:rsidP="007E331D" w:rsidRDefault="007D085E">
      <w:pPr>
        <w:pStyle w:val="ECHRParaQuote"/>
      </w:pPr>
      <w:r w:rsidRPr="007E331D">
        <w:t>“Any person who intentionally or through gross negligence is guilty of a major violation of the first, second or fifth paragraphs of Article 109 of Act No. 90/2003 on income tax, cf. also Article 22 of the act on municipal tax revenues, the first, second or seventh paragraphs of Article 30 of the Act on the withholding of public levies at source, cf. also Article 11 of the Act on payroll taxes, and of the first or sixth paragraphs of Article 40 of the Act on value added tax, shall be subject to a maximum of 6 years</w:t>
      </w:r>
      <w:r w:rsidRPr="007E331D" w:rsidR="007E331D">
        <w:t>’</w:t>
      </w:r>
      <w:r w:rsidRPr="007E331D">
        <w:t xml:space="preserve"> imprisonment. An additional fine may be imposed by virtue of the provisions of the tax laws cited above.</w:t>
      </w:r>
    </w:p>
    <w:p w:rsidRPr="007E331D" w:rsidR="007D085E" w:rsidP="007E331D" w:rsidRDefault="007D085E">
      <w:pPr>
        <w:pStyle w:val="ECHRParaQuote"/>
      </w:pPr>
      <w:r w:rsidRPr="007E331D">
        <w:t>The same punishment may be imposed on a person who intentionally or through gross negligence is guilty of a major violation of the third paragraph of Article 30 of the Act on the withholding of public levies at source, the second paragraph of Article 40 of the Act on value added tax, Articles 37 and 28, cf. Article 36, of the Act on accounting or Articles 83-85, cf. Article 82, of the Act on annual accounts, including any intent to conceal an acquisitive offence committed by oneself or others.</w:t>
      </w:r>
    </w:p>
    <w:p w:rsidRPr="007E331D" w:rsidR="007D085E" w:rsidP="007E331D" w:rsidRDefault="007D085E">
      <w:pPr>
        <w:pStyle w:val="ECHRParaQuote"/>
      </w:pPr>
      <w:r w:rsidRPr="007E331D">
        <w:t>An action constitutes a major violation pursuant to the first and second paragraphs of this Act if the violation involves significant amounts, if the action is committed in a particularly flagrant manner or under circumstances which greatly exacerbate the culpability of the violation, and also if a person to be sentenced to punishment for any of the violations referred to in the first or second paragraph has previously been convicted for a similar violation or any other violation covered by the provisions.”</w:t>
      </w:r>
    </w:p>
    <w:p w:rsidRPr="007E331D" w:rsidR="007D085E" w:rsidP="007E331D" w:rsidRDefault="007D085E">
      <w:pPr>
        <w:pStyle w:val="ECHRTitle1"/>
      </w:pPr>
      <w:r w:rsidRPr="007E331D">
        <w:t>THE LAW</w:t>
      </w:r>
    </w:p>
    <w:p w:rsidRPr="007E331D" w:rsidR="007D085E" w:rsidP="007E331D" w:rsidRDefault="007D085E">
      <w:pPr>
        <w:pStyle w:val="ECHRHeading1"/>
      </w:pPr>
      <w:r w:rsidRPr="007E331D">
        <w:t>I.  ALLEGED VIOLATION OF ARTICLE 4 OF PROTOCOL No.</w:t>
      </w:r>
      <w:r w:rsidRPr="007E331D" w:rsidR="00FF17FE">
        <w:t> </w:t>
      </w:r>
      <w:r w:rsidRPr="007E331D">
        <w:t>7 TO</w:t>
      </w:r>
      <w:r w:rsidRPr="007E331D" w:rsidR="00FF17FE">
        <w:t xml:space="preserve"> </w:t>
      </w:r>
      <w:r w:rsidRPr="007E331D">
        <w:t>THE CONVENTION</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16</w:t>
      </w:r>
      <w:r w:rsidRPr="007E331D">
        <w:fldChar w:fldCharType="end"/>
      </w:r>
      <w:r w:rsidRPr="007E331D">
        <w:t>.  The applicant complained that, through the imposition of tax surcharges and the subsequent criminal trial and conviction for aggravated tax offences, he had been tried and punished twice for the same offence. He relied on Article 4 of Protocol No. 7 to the Convention, which reads as follows:</w:t>
      </w:r>
    </w:p>
    <w:p w:rsidRPr="007E331D" w:rsidR="007D085E" w:rsidP="007E331D" w:rsidRDefault="007D085E">
      <w:pPr>
        <w:pStyle w:val="ECHRParaQuote"/>
      </w:pPr>
      <w:r w:rsidRPr="007E331D">
        <w:t>“1.</w:t>
      </w:r>
      <w:proofErr w:type="gramStart"/>
      <w:r w:rsidRPr="007E331D">
        <w:t>  No</w:t>
      </w:r>
      <w:proofErr w:type="gramEnd"/>
      <w:r w:rsidRPr="007E331D">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7E331D" w:rsidR="007D085E" w:rsidP="007E331D" w:rsidRDefault="007D085E">
      <w:pPr>
        <w:pStyle w:val="ECHRParaQuote"/>
      </w:pPr>
      <w:r w:rsidRPr="007E331D">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7E331D" w:rsidR="007D085E" w:rsidP="007E331D" w:rsidRDefault="007D085E">
      <w:pPr>
        <w:pStyle w:val="ECHRParaQuote"/>
      </w:pPr>
      <w:r w:rsidRPr="007E331D">
        <w:t>...”</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17</w:t>
      </w:r>
      <w:r w:rsidRPr="007E331D">
        <w:fldChar w:fldCharType="end"/>
      </w:r>
      <w:r w:rsidRPr="007E331D">
        <w:t>.  The Government contested that argument.</w:t>
      </w:r>
    </w:p>
    <w:p w:rsidRPr="007E331D" w:rsidR="007D085E" w:rsidP="007E331D" w:rsidRDefault="007D085E">
      <w:pPr>
        <w:pStyle w:val="ECHRHeading2"/>
      </w:pPr>
      <w:r w:rsidRPr="007E331D">
        <w:t>A.  Admissibility</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18</w:t>
      </w:r>
      <w:r w:rsidRPr="007E331D">
        <w:fldChar w:fldCharType="end"/>
      </w:r>
      <w:r w:rsidRPr="007E331D">
        <w:t>.  The Court notes that the application is not manifestly ill-founded within the meaning of Article 35 § 3 (a) of the Convention. It further notes that it is not inadmissible on any other grounds. It must therefore be declared admissible.</w:t>
      </w:r>
    </w:p>
    <w:p w:rsidRPr="007E331D" w:rsidR="007D085E" w:rsidP="007E331D" w:rsidRDefault="007D085E">
      <w:pPr>
        <w:pStyle w:val="ECHRHeading2"/>
      </w:pPr>
      <w:r w:rsidRPr="007E331D">
        <w:t>B.  Merits</w:t>
      </w:r>
    </w:p>
    <w:p w:rsidRPr="007E331D" w:rsidR="007D085E" w:rsidP="007E331D" w:rsidRDefault="00BF4524">
      <w:pPr>
        <w:pStyle w:val="ECHRHeading3"/>
      </w:pPr>
      <w:r w:rsidRPr="007E331D">
        <w:t>1.  </w:t>
      </w:r>
      <w:r w:rsidRPr="007E331D" w:rsidR="007D085E">
        <w:t>The parties</w:t>
      </w:r>
      <w:r w:rsidRPr="007E331D" w:rsidR="007E331D">
        <w:t>’</w:t>
      </w:r>
      <w:r w:rsidRPr="007E331D" w:rsidR="007D085E">
        <w:t xml:space="preserve"> submissions</w:t>
      </w:r>
    </w:p>
    <w:p w:rsidRPr="007E331D" w:rsidR="007D085E" w:rsidP="007E331D" w:rsidRDefault="00BF4524">
      <w:pPr>
        <w:pStyle w:val="ECHRHeading4"/>
      </w:pPr>
      <w:r w:rsidRPr="007E331D">
        <w:t>(a)  </w:t>
      </w:r>
      <w:r w:rsidRPr="007E331D" w:rsidR="007D085E">
        <w:t>The applicant</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19</w:t>
      </w:r>
      <w:r w:rsidRPr="007E331D">
        <w:fldChar w:fldCharType="end"/>
      </w:r>
      <w:r w:rsidRPr="007E331D">
        <w:t>.  The applicant submitted that, according to the case-law of the Court, the imposition of tax surcharges constituted sanctions which were criminal by nature for the purpose of Article 4 of Protocol No. 7 to the Convention.</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20</w:t>
      </w:r>
      <w:r w:rsidRPr="007E331D">
        <w:fldChar w:fldCharType="end"/>
      </w:r>
      <w:r w:rsidRPr="007E331D">
        <w:t>.  The applicant maintained that the offence for which he was prosecuted was the same as the one that had formed the basis for the imposition of the tax surcharges.</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21</w:t>
      </w:r>
      <w:r w:rsidRPr="007E331D">
        <w:fldChar w:fldCharType="end"/>
      </w:r>
      <w:r w:rsidRPr="007E331D">
        <w:t>.  The applicant submitted that the proceedings had neither been sufficiently closely connected in time or in substance, nor had they been foreseeable or proportionate. The total length of proceedings had been three years and seven months. The decision of the Directorate of Internal Revenue of 23 November 2011 should be considered the end of the tax proceedings as he had not appealed against the decision to the State Revenue Board within the stipulated time-limit and it thus became final and legally binding 3 months later, in February 2012. The criminal proceedings had then been initiated on 28 March 2012, when the tax authorities referred the case to the Special Prosecutor. Therefore, there had been a clear duplication of proceedings as they had never been conducted in parallel. The applicant rejected the Government</w:t>
      </w:r>
      <w:r w:rsidRPr="007E331D" w:rsidR="007E331D">
        <w:t>’</w:t>
      </w:r>
      <w:r w:rsidRPr="007E331D">
        <w:t>s submissions that the criminal proceedings had been initiated by the Directorate of Tax Investigation</w:t>
      </w:r>
      <w:r w:rsidRPr="007E331D" w:rsidR="007E331D">
        <w:t>’</w:t>
      </w:r>
      <w:r w:rsidRPr="007E331D">
        <w:t>s letter of 14 January 2011.</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22</w:t>
      </w:r>
      <w:r w:rsidRPr="007E331D">
        <w:fldChar w:fldCharType="end"/>
      </w:r>
      <w:r w:rsidRPr="007E331D">
        <w:t>.</w:t>
      </w:r>
      <w:r w:rsidRPr="007E331D" w:rsidR="0069481D">
        <w:t>  </w:t>
      </w:r>
      <w:r w:rsidRPr="007E331D">
        <w:t>As regards the connection in substance, the applicant argued that there had been a duplication of investigations in the case as he had been questioned both by the tax authorities in 2010 and by the Special Prosecutor almost 2 years later on materially the same issues, without reference to the first questioning.</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23</w:t>
      </w:r>
      <w:r w:rsidRPr="007E331D">
        <w:fldChar w:fldCharType="end"/>
      </w:r>
      <w:r w:rsidRPr="007E331D">
        <w:t>.  As to the foreseeability, the applicant maintained that the mere fact that the possibility of a police investigation was mentioned in a letter to him from the tax authorities did not demonstrate sufficient foreseeability to justify dual proceedings. The tax authorities had not referred the case to the Special Prosecutor until thirteen months after he had been given the opportunity to comment on a possible criminal procedure and a month after the tax proceedings had become final.</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24</w:t>
      </w:r>
      <w:r w:rsidRPr="007E331D">
        <w:fldChar w:fldCharType="end"/>
      </w:r>
      <w:r w:rsidRPr="007E331D">
        <w:t>.  The applicant rejected the Government</w:t>
      </w:r>
      <w:r w:rsidRPr="007E331D" w:rsidR="007E331D">
        <w:t>’</w:t>
      </w:r>
      <w:r w:rsidRPr="007E331D">
        <w:t>s statements that it was mere chance whether an indictment was issued shortly before or after the administrative proceedings became final. The criminal case had been initiated after the tax proceedings had become final and the indictment had been issued 11 months later.</w:t>
      </w:r>
    </w:p>
    <w:p w:rsidRPr="007E331D" w:rsidR="00BF4524" w:rsidP="007E331D" w:rsidRDefault="00BF4524">
      <w:pPr>
        <w:pStyle w:val="ECHRHeading4"/>
      </w:pPr>
      <w:r w:rsidRPr="007E331D">
        <w:t>(b)  </w:t>
      </w:r>
      <w:r w:rsidRPr="007E331D" w:rsidR="007D085E">
        <w:t>The Government</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25</w:t>
      </w:r>
      <w:r w:rsidRPr="007E331D">
        <w:rPr>
          <w:noProof/>
        </w:rPr>
        <w:fldChar w:fldCharType="end"/>
      </w:r>
      <w:r w:rsidRPr="007E331D" w:rsidR="007D085E">
        <w:t>.  The Government did not dispute that the imposition of a 25% tax surcharge pursuant to Section 108 of the Income Tax Act constituted a penalty within the meaning of Article 4 of Protocol No. 7 and that therefore the proceedings before the tax authorities had been criminal in nature.</w:t>
      </w:r>
    </w:p>
    <w:p w:rsidRPr="007E331D" w:rsidR="00BF4524"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26</w:t>
      </w:r>
      <w:r w:rsidRPr="007E331D">
        <w:rPr>
          <w:noProof/>
        </w:rPr>
        <w:fldChar w:fldCharType="end"/>
      </w:r>
      <w:r w:rsidRPr="007E331D" w:rsidR="007D085E">
        <w:t>.  As to whether the applicant had been tried or punished twice for the same offence, the Government acknowledged that the tax proceedings, on the one hand, and the criminal proceedings, on the other, had been rooted in the same events, and had concerned the same time period and the same amounts.</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27</w:t>
      </w:r>
      <w:r w:rsidRPr="007E331D">
        <w:rPr>
          <w:noProof/>
        </w:rPr>
        <w:fldChar w:fldCharType="end"/>
      </w:r>
      <w:r w:rsidRPr="007E331D" w:rsidR="007D085E">
        <w:t xml:space="preserve">.  However, the Government pointed out that the Court has found that Article 4 of Protocol No. 7 does not as such proscribe dealing with the same offence, firstly, by the tax authorities, which can result in re-assessment of taxes levied and the imposition of surcharges and, secondly, by the courts in a criminal case, which could result in punishment for the same or similar events if certain criteria were satisfied. In this respect the Government referred to the case of </w:t>
      </w:r>
      <w:r w:rsidRPr="007E331D" w:rsidR="007D085E">
        <w:rPr>
          <w:i/>
        </w:rPr>
        <w:t>A and B v. Norway</w:t>
      </w:r>
      <w:r w:rsidRPr="007E331D" w:rsidR="007D085E">
        <w:t xml:space="preserve"> [GC], nos. 24130/11 and 29758/11, 15 November 2016 and </w:t>
      </w:r>
      <w:r w:rsidRPr="007E331D" w:rsidR="007D085E">
        <w:rPr>
          <w:i/>
        </w:rPr>
        <w:t>Johannesson and Others v. Iceland</w:t>
      </w:r>
      <w:r w:rsidRPr="007E331D" w:rsidR="007D085E">
        <w:t xml:space="preserve"> (cited above). The Government argued that the two sets of proceedings had been sufficiently connected in substance and time to be regarded as forming an integrated legal response to the applicant</w:t>
      </w:r>
      <w:r w:rsidRPr="007E331D" w:rsidR="007E331D">
        <w:t>’</w:t>
      </w:r>
      <w:r w:rsidRPr="007E331D" w:rsidR="007D085E">
        <w:t>s conduct.</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28</w:t>
      </w:r>
      <w:r w:rsidRPr="007E331D">
        <w:fldChar w:fldCharType="end"/>
      </w:r>
      <w:r w:rsidRPr="007E331D">
        <w:t>.  The consequence of the applicant</w:t>
      </w:r>
      <w:r w:rsidRPr="007E331D" w:rsidR="007E331D">
        <w:t>’</w:t>
      </w:r>
      <w:r w:rsidRPr="007E331D">
        <w:t>s conduct had been foreseeable as both procedures were part of actions and sanctions applied for violations of tax law. The applicant had been informed at all stages of the case by the tax authorities of the channel which his case would follow.</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29</w:t>
      </w:r>
      <w:r w:rsidRPr="007E331D">
        <w:fldChar w:fldCharType="end"/>
      </w:r>
      <w:r w:rsidRPr="007E331D">
        <w:t>.  The Government submitted that the criminal proceedings were in substance complementary or supplementary to the tax proceedings. An audit by tax authorities and the imposition of a sanction for violation of tax law was subject to other legal rules than a police investigation, which could form the basis for indictment and a conviction by a court. The tax proceedings were aimed at revealing factors other than those investigated by the police and judged by a court in connection with the same violation of tax law, the penalties were different and the conditions for their application differed. The Government stated that, due to the dissimilar requirements and penalties, it had been necessary for the police to gather additional documentation.</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30</w:t>
      </w:r>
      <w:r w:rsidRPr="007E331D">
        <w:fldChar w:fldCharType="end"/>
      </w:r>
      <w:r w:rsidRPr="007E331D">
        <w:t>.  The Government submitted that the two sets of proceedings had been conducted in parallel and had been interconnected. By a letter of 14</w:t>
      </w:r>
      <w:r w:rsidRPr="007E331D" w:rsidR="00BF4524">
        <w:t> </w:t>
      </w:r>
      <w:r w:rsidRPr="007E331D">
        <w:t xml:space="preserve">January 2011, the Directorate of Tax Investigation had informed the applicant of the conclusion of its investigation. Furthermore, the applicant had been informed about a criminal procedure which was planned in the case and what it would involve, and he had been given a chance to comment. The Government argued that from that date, the two investigations had been parallel and the applicant knew which path the case would follow. The overall length of the proceedings had only been three years and seven months, in contrast to </w:t>
      </w:r>
      <w:r w:rsidRPr="007E331D">
        <w:rPr>
          <w:i/>
        </w:rPr>
        <w:t>A and B v. Norway</w:t>
      </w:r>
      <w:r w:rsidRPr="007E331D">
        <w:t xml:space="preserve"> (cited above), where it had been around five years and </w:t>
      </w:r>
      <w:r w:rsidRPr="007E331D">
        <w:rPr>
          <w:i/>
        </w:rPr>
        <w:t>Johannesson and others v. Iceland</w:t>
      </w:r>
      <w:r w:rsidRPr="007E331D">
        <w:t xml:space="preserve"> (cited above), where it had been nine years and three months.</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31</w:t>
      </w:r>
      <w:r w:rsidRPr="007E331D">
        <w:fldChar w:fldCharType="end"/>
      </w:r>
      <w:r w:rsidRPr="007E331D">
        <w:t>.  Lastly, the Government maintained that, although the indictment had been issued 10 months after the tax proceedings had ended in the present case, it could not be concluded that it caused extreme uncertainty or resulted in unnecessary delays in the proceedings. Mere chance could determine whether an indictment would be issued shortly before or after the conclusion of a case at the administrative level.</w:t>
      </w:r>
    </w:p>
    <w:p w:rsidRPr="007E331D" w:rsidR="007D085E" w:rsidP="007E331D" w:rsidRDefault="00BF4524">
      <w:pPr>
        <w:pStyle w:val="ECHRHeading3"/>
      </w:pPr>
      <w:r w:rsidRPr="007E331D">
        <w:t>2.  </w:t>
      </w:r>
      <w:r w:rsidRPr="007E331D" w:rsidR="007D085E">
        <w:t>The Court</w:t>
      </w:r>
      <w:r w:rsidRPr="007E331D" w:rsidR="007E331D">
        <w:t>’</w:t>
      </w:r>
      <w:r w:rsidRPr="007E331D" w:rsidR="007D085E">
        <w:t>s assessment</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32</w:t>
      </w:r>
      <w:r w:rsidRPr="007E331D">
        <w:rPr>
          <w:noProof/>
        </w:rPr>
        <w:fldChar w:fldCharType="end"/>
      </w:r>
      <w:r w:rsidRPr="007E331D" w:rsidR="007D085E">
        <w:t>.  Under Article 4 of Protocol No. 7 to the Convention, the Court has to determine whether the imposition of tax surcharges was criminal in nature, whether the criminal offence for which the applicant was prosecuted and convicted was the same as that for which the tax surcharges were imposed (</w:t>
      </w:r>
      <w:r w:rsidRPr="007E331D" w:rsidR="007D085E">
        <w:rPr>
          <w:i/>
        </w:rPr>
        <w:t>idem)</w:t>
      </w:r>
      <w:r w:rsidRPr="007E331D" w:rsidR="007D085E">
        <w:t>, whether there was a final decision and whether there was duplication of the proceedings (</w:t>
      </w:r>
      <w:r w:rsidRPr="007E331D" w:rsidR="007D085E">
        <w:rPr>
          <w:i/>
        </w:rPr>
        <w:t>bis).</w:t>
      </w:r>
    </w:p>
    <w:p w:rsidRPr="007E331D" w:rsidR="007D085E" w:rsidP="007E331D" w:rsidRDefault="00BF4524">
      <w:pPr>
        <w:pStyle w:val="ECHRHeading4"/>
      </w:pPr>
      <w:r w:rsidRPr="007E331D">
        <w:t>(a)  </w:t>
      </w:r>
      <w:r w:rsidRPr="007E331D" w:rsidR="007D085E">
        <w:t>Whether the imposition of tax surcharges was criminal in nature</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33</w:t>
      </w:r>
      <w:r w:rsidRPr="007E331D">
        <w:rPr>
          <w:noProof/>
        </w:rPr>
        <w:fldChar w:fldCharType="end"/>
      </w:r>
      <w:r w:rsidRPr="007E331D" w:rsidR="007D085E">
        <w:t xml:space="preserve">.  In comparable cases involving the imposition of tax surcharges, the Court has held, on the basis of the “Engel criteria” (see </w:t>
      </w:r>
      <w:r w:rsidRPr="007E331D" w:rsidR="00BF4524">
        <w:rPr>
          <w:i/>
        </w:rPr>
        <w:t>Engel and others v. </w:t>
      </w:r>
      <w:r w:rsidRPr="007E331D" w:rsidR="007D085E">
        <w:rPr>
          <w:i/>
        </w:rPr>
        <w:t>the Netherlands</w:t>
      </w:r>
      <w:r w:rsidRPr="007E331D" w:rsidR="007D085E">
        <w:t xml:space="preserve">, 8 June 1976, § 82, Series A no. 22), that the proceedings in question were “criminal” in nature, not </w:t>
      </w:r>
      <w:r w:rsidRPr="007E331D" w:rsidR="00BF4524">
        <w:t>only for the purpose of Article </w:t>
      </w:r>
      <w:r w:rsidRPr="007E331D" w:rsidR="007D085E">
        <w:t xml:space="preserve">6 of the Convention but also for the purpose of Article 4 of Protocol No. 7 to the Convention (see </w:t>
      </w:r>
      <w:r w:rsidRPr="007E331D" w:rsidR="007D085E">
        <w:rPr>
          <w:i/>
        </w:rPr>
        <w:t>A and B v. Norway</w:t>
      </w:r>
      <w:r w:rsidRPr="007E331D" w:rsidR="007D085E">
        <w:t xml:space="preserve">, cited above, §§ 107,136 and 138, and </w:t>
      </w:r>
      <w:r w:rsidRPr="007E331D" w:rsidR="007D085E">
        <w:rPr>
          <w:i/>
        </w:rPr>
        <w:t>Johannesson and others v. Iceland</w:t>
      </w:r>
      <w:r w:rsidRPr="007E331D" w:rsidR="007D085E">
        <w:t>, cited above, § 43).</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34</w:t>
      </w:r>
      <w:r w:rsidRPr="007E331D">
        <w:rPr>
          <w:noProof/>
        </w:rPr>
        <w:fldChar w:fldCharType="end"/>
      </w:r>
      <w:r w:rsidRPr="007E331D" w:rsidR="007D085E">
        <w:t>.  Noting that the parties did not dispute this, the Court concludes that both sets of proceedings in the present case concerned a “criminal” offence within the autonomous meaning of Article 4 of Protocol No. 7.</w:t>
      </w:r>
    </w:p>
    <w:p w:rsidRPr="007E331D" w:rsidR="007D085E" w:rsidP="007E331D" w:rsidRDefault="00BF4524">
      <w:pPr>
        <w:pStyle w:val="ECHRHeading4"/>
        <w:rPr>
          <w:i/>
        </w:rPr>
      </w:pPr>
      <w:r w:rsidRPr="007E331D">
        <w:t>(b)  </w:t>
      </w:r>
      <w:r w:rsidRPr="007E331D" w:rsidR="007D085E">
        <w:t>Whether the criminal offence for which the applicant was prosecuted and convicted was the same as that for which the tax surcharges were imposed (</w:t>
      </w:r>
      <w:r w:rsidRPr="007E331D" w:rsidR="007D085E">
        <w:rPr>
          <w:i/>
        </w:rPr>
        <w:t>idem)</w:t>
      </w:r>
    </w:p>
    <w:p w:rsidRPr="007E331D" w:rsidR="00BF4524"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35</w:t>
      </w:r>
      <w:r w:rsidRPr="007E331D">
        <w:rPr>
          <w:noProof/>
        </w:rPr>
        <w:fldChar w:fldCharType="end"/>
      </w:r>
      <w:r w:rsidRPr="007E331D" w:rsidR="007D085E">
        <w:t xml:space="preserve">.  The notion of the “same offence” – the </w:t>
      </w:r>
      <w:r w:rsidRPr="007E331D" w:rsidR="007D085E">
        <w:rPr>
          <w:i/>
        </w:rPr>
        <w:t>idem</w:t>
      </w:r>
      <w:r w:rsidRPr="007E331D" w:rsidR="007D085E">
        <w:t xml:space="preserve"> element of the </w:t>
      </w:r>
      <w:r w:rsidRPr="007E331D" w:rsidR="007D085E">
        <w:rPr>
          <w:i/>
        </w:rPr>
        <w:t>ne bis in idem</w:t>
      </w:r>
      <w:r w:rsidRPr="007E331D" w:rsidR="007D085E">
        <w:t xml:space="preserve"> principle in Article 4 of Protocol No. 7 – is to be understood as prohibiting the prosecution or conviction of a second “offence” in so far as it arises from identical facts or facts which are substantially the same (see </w:t>
      </w:r>
      <w:r w:rsidRPr="007E331D" w:rsidR="007D085E">
        <w:rPr>
          <w:i/>
        </w:rPr>
        <w:t>Sergey Zolotukhin v. Russia</w:t>
      </w:r>
      <w:r w:rsidRPr="007E331D" w:rsidR="007D085E">
        <w:t xml:space="preserve"> (cited above), § 78-84).</w:t>
      </w:r>
    </w:p>
    <w:p w:rsidRPr="007E331D" w:rsidR="00BF4524"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36</w:t>
      </w:r>
      <w:r w:rsidRPr="007E331D">
        <w:rPr>
          <w:noProof/>
        </w:rPr>
        <w:fldChar w:fldCharType="end"/>
      </w:r>
      <w:r w:rsidRPr="007E331D" w:rsidR="007D085E">
        <w:t>.  In the criminal proceedings in the present case, the applicant was indicted and convicted for aggravated tax offences. Both parties submitted that the facts underlying the indictment and conviction were the same or substantially the same as those leading to the imposition of tax surcharges.</w:t>
      </w:r>
    </w:p>
    <w:p w:rsidRPr="007E331D" w:rsidR="00BF4524"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37</w:t>
      </w:r>
      <w:r w:rsidRPr="007E331D">
        <w:rPr>
          <w:noProof/>
        </w:rPr>
        <w:fldChar w:fldCharType="end"/>
      </w:r>
      <w:r w:rsidRPr="007E331D" w:rsidR="007D085E">
        <w:t>.  The Court agrees with the parties. The applicant</w:t>
      </w:r>
      <w:r w:rsidRPr="007E331D" w:rsidR="007E331D">
        <w:t>’</w:t>
      </w:r>
      <w:r w:rsidRPr="007E331D" w:rsidR="007D085E">
        <w:t xml:space="preserve">s conviction and the imposition of tax surcharges were based on the same failure to declare income. Moreover, the tax proceedings and the criminal proceedings concerned the same period of time and the same amount of evaded taxes. Consequently, </w:t>
      </w:r>
      <w:proofErr w:type="gramStart"/>
      <w:r w:rsidRPr="007E331D" w:rsidR="007D085E">
        <w:t xml:space="preserve">the </w:t>
      </w:r>
      <w:r w:rsidRPr="007E331D" w:rsidR="007D085E">
        <w:rPr>
          <w:i/>
        </w:rPr>
        <w:t>idem</w:t>
      </w:r>
      <w:proofErr w:type="gramEnd"/>
      <w:r w:rsidRPr="007E331D" w:rsidR="007D085E">
        <w:t xml:space="preserve"> part of the </w:t>
      </w:r>
      <w:r w:rsidRPr="007E331D" w:rsidR="007D085E">
        <w:rPr>
          <w:i/>
        </w:rPr>
        <w:t>ne bis in idem</w:t>
      </w:r>
      <w:r w:rsidRPr="007E331D" w:rsidR="007D085E">
        <w:t xml:space="preserve"> principle is present.</w:t>
      </w:r>
    </w:p>
    <w:p w:rsidRPr="007E331D" w:rsidR="007D085E" w:rsidP="007E331D" w:rsidRDefault="00BF4524">
      <w:pPr>
        <w:pStyle w:val="ECHRHeading4"/>
      </w:pPr>
      <w:r w:rsidRPr="007E331D">
        <w:t>(c)  </w:t>
      </w:r>
      <w:r w:rsidRPr="007E331D" w:rsidR="007D085E">
        <w:t>Whether there was a final decision</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38</w:t>
      </w:r>
      <w:r w:rsidRPr="007E331D">
        <w:fldChar w:fldCharType="end"/>
      </w:r>
      <w:r w:rsidRPr="007E331D">
        <w:t>.  Before determining whether there was a duplication of proceedings (</w:t>
      </w:r>
      <w:r w:rsidRPr="007E331D">
        <w:rPr>
          <w:i/>
        </w:rPr>
        <w:t>bis</w:t>
      </w:r>
      <w:r w:rsidRPr="007E331D">
        <w:t xml:space="preserve">), in some cases the Court has first undertaken an examination of whether and, if so, when there was a “final” decision in one set of proceedings (potentially barring the continuation of the other set). However, the issue of whether a decision is “final” is devoid of relevance if there is no real duplication of proceedings but rather a combination of proceedings considered to constitute an integrated whole. In the present case, the Court does not find it necessary to determine whether and when the first set of proceedings – the tax proceedings – became “final”, as this circumstance does not affect the assessment given below of the relationship between them (see </w:t>
      </w:r>
      <w:r w:rsidRPr="007E331D">
        <w:rPr>
          <w:i/>
        </w:rPr>
        <w:t xml:space="preserve">A and B v. Norway, </w:t>
      </w:r>
      <w:r w:rsidRPr="007E331D">
        <w:t>cited above</w:t>
      </w:r>
      <w:r w:rsidRPr="007E331D">
        <w:rPr>
          <w:i/>
        </w:rPr>
        <w:t xml:space="preserve">, </w:t>
      </w:r>
      <w:r w:rsidRPr="007E331D">
        <w:t xml:space="preserve">§§ 126 and 142, and </w:t>
      </w:r>
      <w:r w:rsidRPr="007E331D">
        <w:rPr>
          <w:i/>
        </w:rPr>
        <w:t xml:space="preserve">Jóhannesson and others v. Iceland, </w:t>
      </w:r>
      <w:r w:rsidRPr="007E331D">
        <w:t>cited above, § 48).</w:t>
      </w:r>
    </w:p>
    <w:p w:rsidRPr="007E331D" w:rsidR="007D085E" w:rsidP="007E331D" w:rsidRDefault="00BF4524">
      <w:pPr>
        <w:pStyle w:val="ECHRHeading4"/>
      </w:pPr>
      <w:r w:rsidRPr="007E331D">
        <w:t>(d)  </w:t>
      </w:r>
      <w:r w:rsidRPr="007E331D" w:rsidR="007D085E">
        <w:t>Whether there was a duplication of the proceedings (</w:t>
      </w:r>
      <w:r w:rsidRPr="007E331D" w:rsidR="007D085E">
        <w:rPr>
          <w:i/>
        </w:rPr>
        <w:t>bis</w:t>
      </w:r>
      <w:r w:rsidRPr="007E331D" w:rsidR="007D085E">
        <w:t>)</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39</w:t>
      </w:r>
      <w:r w:rsidRPr="007E331D">
        <w:fldChar w:fldCharType="end"/>
      </w:r>
      <w:r w:rsidRPr="007E331D">
        <w:t xml:space="preserve">.  In the Grand Chamber judgment in the case of </w:t>
      </w:r>
      <w:r w:rsidRPr="007E331D">
        <w:rPr>
          <w:i/>
        </w:rPr>
        <w:t xml:space="preserve">A and B v. Norway </w:t>
      </w:r>
      <w:r w:rsidRPr="007E331D">
        <w:t>(cited above), the Court stated (</w:t>
      </w:r>
      <w:r w:rsidRPr="007E331D">
        <w:rPr>
          <w:rFonts w:cstheme="minorHAnsi"/>
        </w:rPr>
        <w:t>§</w:t>
      </w:r>
      <w:r w:rsidRPr="007E331D">
        <w:t xml:space="preserve"> 130):</w:t>
      </w:r>
    </w:p>
    <w:p w:rsidRPr="007E331D" w:rsidR="007D085E" w:rsidP="007E331D" w:rsidRDefault="007D085E">
      <w:pPr>
        <w:pStyle w:val="ECHRParaQuote"/>
      </w:pPr>
      <w:r w:rsidRPr="007E331D">
        <w:t>“On the basis of the foregoing review of the Court</w:t>
      </w:r>
      <w:r w:rsidRPr="007E331D" w:rsidR="007E331D">
        <w:t>’</w:t>
      </w:r>
      <w:r w:rsidRPr="007E331D">
        <w:t>s case-law, it is evident that, in relation to matters subject to repression under both criminal and administrative law, the surest manner of ensuring compliance with Article 4 of Protocol No. 7 is the provision, at some appropriate stage, of a single-track procedure enabling the parallel strands of legal regulation of the activity concerned to be brought together, so that the different needs of society in responding to the offence can be addressed within the framework of a single process. Nonetheless, as explained above (see notably paragraphs 111 and 117-120), Article 4 of Protocol No. 7 does not exclude the conduct of dual proceedings, even to their term, provided that certain conditions are fulfilled. In particular, for the Court to be satisfied that there is no duplication of trial or punishment (</w:t>
      </w:r>
      <w:r w:rsidRPr="007E331D">
        <w:rPr>
          <w:i/>
        </w:rPr>
        <w:t>bis</w:t>
      </w:r>
      <w:r w:rsidRPr="007E331D">
        <w:t>) as proscribed by Article 4 of Protocol No. 7, the respondent State must demonstrate convincingly that the dual proceedings in question have been “sufficiently closely connected in substance and in time”. In other words, it must be shown that they have been 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40</w:t>
      </w:r>
      <w:r w:rsidRPr="007E331D">
        <w:fldChar w:fldCharType="end"/>
      </w:r>
      <w:r w:rsidRPr="007E331D">
        <w:t xml:space="preserve">.  In the above-mentioned case, the Court exemplified what should be taken into account when evaluating the connection in substance and in time between dual criminal and administrative proceedings, see </w:t>
      </w:r>
      <w:r w:rsidRPr="007E331D">
        <w:rPr>
          <w:rFonts w:cstheme="minorHAnsi"/>
        </w:rPr>
        <w:t xml:space="preserve">§§ </w:t>
      </w:r>
      <w:r w:rsidRPr="007E331D">
        <w:t>132-134 of the judgment.</w:t>
      </w:r>
    </w:p>
    <w:p w:rsidRPr="007E331D" w:rsidR="007D085E" w:rsidP="007E331D" w:rsidRDefault="007D085E">
      <w:pPr>
        <w:pStyle w:val="ECHRPara"/>
        <w:rPr>
          <w:rFonts w:eastAsiaTheme="minorHAnsi"/>
        </w:rPr>
      </w:pPr>
      <w:r w:rsidRPr="007E331D">
        <w:fldChar w:fldCharType="begin"/>
      </w:r>
      <w:r w:rsidRPr="007E331D">
        <w:instrText xml:space="preserve"> SEQ level0 \*arabic </w:instrText>
      </w:r>
      <w:r w:rsidRPr="007E331D">
        <w:fldChar w:fldCharType="separate"/>
      </w:r>
      <w:r w:rsidRPr="007E331D" w:rsidR="007E331D">
        <w:rPr>
          <w:noProof/>
        </w:rPr>
        <w:t>41</w:t>
      </w:r>
      <w:r w:rsidRPr="007E331D">
        <w:fldChar w:fldCharType="end"/>
      </w:r>
      <w:r w:rsidRPr="007E331D">
        <w:t xml:space="preserve">.  In the case of </w:t>
      </w:r>
      <w:r w:rsidRPr="007E331D">
        <w:rPr>
          <w:i/>
        </w:rPr>
        <w:t xml:space="preserve">A and B v. Norway </w:t>
      </w:r>
      <w:r w:rsidRPr="007E331D">
        <w:t xml:space="preserve">(cited above) </w:t>
      </w:r>
      <w:r w:rsidRPr="007E331D">
        <w:rPr>
          <w:rFonts w:eastAsiaTheme="minorHAnsi"/>
        </w:rPr>
        <w:t xml:space="preserve">the Court found that the conducting of dual proceedings, with the possibility of a combination of different penalties, had been foreseeable for the applicants, who must have known from the outset that criminal prosecution as well as the imposition of tax penalties was possible, or even likely, based on the facts of their cases. The Court observed that the administrative and criminal proceedings had been conducted in parallel and were interconnected. The facts established in one of the sets of proceedings had been relied on in the other set and, as regards the proportionality of the overall </w:t>
      </w:r>
      <w:proofErr w:type="gramStart"/>
      <w:r w:rsidRPr="007E331D">
        <w:rPr>
          <w:rFonts w:eastAsiaTheme="minorHAnsi"/>
        </w:rPr>
        <w:t>punishment,</w:t>
      </w:r>
      <w:proofErr w:type="gramEnd"/>
      <w:r w:rsidRPr="007E331D">
        <w:rPr>
          <w:rFonts w:eastAsiaTheme="minorHAnsi"/>
        </w:rPr>
        <w:t xml:space="preserve"> the sentence imposed in the criminal trial had taken account of the tax penalty. The Court was satisfied that, while different penalties had been imposed by two different authorities in the context of different procedures, there had nevertheless been a sufficiently close connection between them, both in substance and in time, for them to be regarded as forming part of an overall scheme of sanctions under Norwegian law.</w:t>
      </w:r>
    </w:p>
    <w:p w:rsidRPr="007E331D" w:rsidR="007D085E" w:rsidP="007E331D" w:rsidRDefault="00FC4767">
      <w:pPr>
        <w:pStyle w:val="ECHRPara"/>
        <w:rPr>
          <w:rFonts w:eastAsiaTheme="minorHAnsi"/>
        </w:rPr>
      </w:pPr>
      <w:r w:rsidRPr="007E331D">
        <w:fldChar w:fldCharType="begin"/>
      </w:r>
      <w:r w:rsidRPr="007E331D">
        <w:instrText xml:space="preserve"> SEQ level0 \*arabic </w:instrText>
      </w:r>
      <w:r w:rsidRPr="007E331D">
        <w:fldChar w:fldCharType="separate"/>
      </w:r>
      <w:r w:rsidRPr="007E331D" w:rsidR="007E331D">
        <w:rPr>
          <w:noProof/>
        </w:rPr>
        <w:t>42</w:t>
      </w:r>
      <w:r w:rsidRPr="007E331D">
        <w:rPr>
          <w:noProof/>
        </w:rPr>
        <w:fldChar w:fldCharType="end"/>
      </w:r>
      <w:r w:rsidRPr="007E331D" w:rsidR="007D085E">
        <w:t>.  </w:t>
      </w:r>
      <w:r w:rsidRPr="007E331D" w:rsidR="007D085E">
        <w:rPr>
          <w:rFonts w:eastAsiaTheme="minorHAnsi"/>
        </w:rPr>
        <w:t xml:space="preserve">In contrast, for example, in the case of </w:t>
      </w:r>
      <w:r w:rsidRPr="007E331D" w:rsidR="007D085E">
        <w:rPr>
          <w:rFonts w:eastAsiaTheme="minorHAnsi"/>
          <w:i/>
        </w:rPr>
        <w:t>Johannesson and others v.</w:t>
      </w:r>
      <w:r w:rsidRPr="007E331D" w:rsidR="00BF4524">
        <w:rPr>
          <w:rFonts w:eastAsiaTheme="minorHAnsi"/>
          <w:i/>
        </w:rPr>
        <w:t> </w:t>
      </w:r>
      <w:r w:rsidRPr="007E331D" w:rsidR="007D085E">
        <w:rPr>
          <w:rFonts w:eastAsiaTheme="minorHAnsi"/>
          <w:i/>
        </w:rPr>
        <w:t>Iceland</w:t>
      </w:r>
      <w:r w:rsidRPr="007E331D" w:rsidR="007D085E">
        <w:rPr>
          <w:rFonts w:eastAsiaTheme="minorHAnsi"/>
        </w:rPr>
        <w:t xml:space="preserve"> (cited above), the Court found that the two individual applicants had been tried and punished twice for the same conduct. In particular, this was because the two sets of proceedings had both been “criminal” in nature; they had been based on substantially the same facts; and they had not been sufficiently interlinked for it to be considered that the authorities had avoided a duplication of proceedings. Though Article 4 of Protocol No.7 did not rule out the carrying out of parallel administrative and criminal proceedings in relation to the same offending conduct, the two sets of proceedings must have a sufficiently close connection in substance and in time to avoid duplication. The Court held that there had not been a sufficiently close connection between the sets of proceedings in that case.</w:t>
      </w:r>
    </w:p>
    <w:p w:rsidRPr="007E331D" w:rsidR="007D085E" w:rsidP="007E331D" w:rsidRDefault="007D085E">
      <w:pPr>
        <w:pStyle w:val="ECHRPara"/>
      </w:pPr>
      <w:r w:rsidRPr="007E331D">
        <w:rPr>
          <w:rFonts w:eastAsiaTheme="minorHAnsi"/>
        </w:rPr>
        <w:fldChar w:fldCharType="begin"/>
      </w:r>
      <w:r w:rsidRPr="007E331D">
        <w:rPr>
          <w:rFonts w:eastAsiaTheme="minorHAnsi"/>
        </w:rPr>
        <w:instrText xml:space="preserve"> SEQ level0 \*arabic </w:instrText>
      </w:r>
      <w:r w:rsidRPr="007E331D">
        <w:rPr>
          <w:rFonts w:eastAsiaTheme="minorHAnsi"/>
        </w:rPr>
        <w:fldChar w:fldCharType="separate"/>
      </w:r>
      <w:r w:rsidRPr="007E331D" w:rsidR="007E331D">
        <w:rPr>
          <w:rFonts w:eastAsiaTheme="minorHAnsi"/>
          <w:noProof/>
        </w:rPr>
        <w:t>43</w:t>
      </w:r>
      <w:r w:rsidRPr="007E331D">
        <w:rPr>
          <w:rFonts w:eastAsiaTheme="minorHAnsi"/>
        </w:rPr>
        <w:fldChar w:fldCharType="end"/>
      </w:r>
      <w:r w:rsidRPr="007E331D">
        <w:rPr>
          <w:rFonts w:eastAsiaTheme="minorHAnsi"/>
        </w:rPr>
        <w:t>.  </w:t>
      </w:r>
      <w:r w:rsidRPr="007E331D">
        <w:t>In the present case the Court has to determine the timeframe to be taken into account.</w:t>
      </w:r>
    </w:p>
    <w:p w:rsidRPr="007E331D" w:rsidR="007D085E" w:rsidP="007E331D" w:rsidRDefault="007D085E">
      <w:pPr>
        <w:pStyle w:val="ECHRPara"/>
        <w:rPr>
          <w:snapToGrid w:val="0"/>
        </w:rPr>
      </w:pPr>
      <w:r w:rsidRPr="007E331D">
        <w:fldChar w:fldCharType="begin"/>
      </w:r>
      <w:r w:rsidRPr="007E331D">
        <w:instrText xml:space="preserve"> SEQ level0 \*arabic </w:instrText>
      </w:r>
      <w:r w:rsidRPr="007E331D">
        <w:fldChar w:fldCharType="separate"/>
      </w:r>
      <w:r w:rsidRPr="007E331D" w:rsidR="007E331D">
        <w:rPr>
          <w:noProof/>
        </w:rPr>
        <w:t>44</w:t>
      </w:r>
      <w:r w:rsidRPr="007E331D">
        <w:fldChar w:fldCharType="end"/>
      </w:r>
      <w:r w:rsidRPr="007E331D">
        <w:t xml:space="preserve">.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7E331D">
        <w:rPr>
          <w:i/>
        </w:rPr>
        <w:t xml:space="preserve">Ibrahim and Others v. the United Kingdom </w:t>
      </w:r>
      <w:r w:rsidRPr="007E331D">
        <w:rPr>
          <w:snapToGrid w:val="0"/>
        </w:rPr>
        <w:t xml:space="preserve">[GC], nos. 50541/08 </w:t>
      </w:r>
      <w:r w:rsidRPr="007E331D">
        <w:t>and 3 others</w:t>
      </w:r>
      <w:r w:rsidRPr="007E331D">
        <w:rPr>
          <w:snapToGrid w:val="0"/>
        </w:rPr>
        <w:t xml:space="preserve">, § 249, </w:t>
      </w:r>
      <w:r w:rsidRPr="007E331D">
        <w:t>13 September</w:t>
      </w:r>
      <w:r w:rsidRPr="007E331D">
        <w:rPr>
          <w:snapToGrid w:val="0"/>
        </w:rPr>
        <w:t xml:space="preserve"> 2016, with further references).</w:t>
      </w:r>
    </w:p>
    <w:p w:rsidRPr="007E331D" w:rsidR="00BF4524" w:rsidP="007E331D" w:rsidRDefault="007D085E">
      <w:pPr>
        <w:pStyle w:val="ECHRPara"/>
        <w:rPr>
          <w:snapToGrid w:val="0"/>
        </w:rPr>
      </w:pPr>
      <w:r w:rsidRPr="007E331D">
        <w:rPr>
          <w:snapToGrid w:val="0"/>
        </w:rPr>
        <w:fldChar w:fldCharType="begin"/>
      </w:r>
      <w:r w:rsidRPr="007E331D">
        <w:rPr>
          <w:snapToGrid w:val="0"/>
        </w:rPr>
        <w:instrText xml:space="preserve"> SEQ level0 \*arabic </w:instrText>
      </w:r>
      <w:r w:rsidRPr="007E331D">
        <w:rPr>
          <w:snapToGrid w:val="0"/>
        </w:rPr>
        <w:fldChar w:fldCharType="separate"/>
      </w:r>
      <w:r w:rsidRPr="007E331D" w:rsidR="007E331D">
        <w:rPr>
          <w:noProof/>
          <w:snapToGrid w:val="0"/>
        </w:rPr>
        <w:t>45</w:t>
      </w:r>
      <w:r w:rsidRPr="007E331D">
        <w:rPr>
          <w:snapToGrid w:val="0"/>
        </w:rPr>
        <w:fldChar w:fldCharType="end"/>
      </w:r>
      <w:r w:rsidRPr="007E331D">
        <w:rPr>
          <w:snapToGrid w:val="0"/>
        </w:rPr>
        <w:t>.  On 21 October 2010 the Directorate of Tax Investigation initiated a tax audit of the applicant and interviewed him on 5 November 2010. The investigation was finalised with the issuing of a report on 13 January 2011. The Directorate of Internal Revenue</w:t>
      </w:r>
      <w:r w:rsidRPr="007E331D" w:rsidR="007E331D">
        <w:rPr>
          <w:snapToGrid w:val="0"/>
        </w:rPr>
        <w:t>’</w:t>
      </w:r>
      <w:r w:rsidRPr="007E331D">
        <w:rPr>
          <w:snapToGrid w:val="0"/>
        </w:rPr>
        <w:t xml:space="preserve">s ruling in the tax proceedings was issued on 23 November 2011 and became final 3 months later, in February 2012. On 28 March 2012 the Directorate of Tax Investigation reported the matter to the Special Prosecutor for criminal investigation. </w:t>
      </w:r>
      <w:r w:rsidRPr="007E331D" w:rsidR="00BF4524">
        <w:rPr>
          <w:snapToGrid w:val="0"/>
        </w:rPr>
        <w:t>On 14 </w:t>
      </w:r>
      <w:r w:rsidRPr="007E331D">
        <w:rPr>
          <w:snapToGrid w:val="0"/>
        </w:rPr>
        <w:t xml:space="preserve">September 2012 the applicant was interviewed by the police for the first time. On 10 October 2012, about eight months after the decision in the tax proceedings became </w:t>
      </w:r>
      <w:proofErr w:type="gramStart"/>
      <w:r w:rsidRPr="007E331D">
        <w:rPr>
          <w:snapToGrid w:val="0"/>
        </w:rPr>
        <w:t>final,</w:t>
      </w:r>
      <w:proofErr w:type="gramEnd"/>
      <w:r w:rsidRPr="007E331D">
        <w:rPr>
          <w:snapToGrid w:val="0"/>
        </w:rPr>
        <w:t xml:space="preserve"> the indictment in the criminal case was issued. By a judgment of 16 May 2013, the District Court convicted the applicant for aggravated tax offences. On 22 May 2014, the Supreme Court upheld the applicant</w:t>
      </w:r>
      <w:r w:rsidRPr="007E331D" w:rsidR="007E331D">
        <w:rPr>
          <w:snapToGrid w:val="0"/>
        </w:rPr>
        <w:t>’</w:t>
      </w:r>
      <w:r w:rsidRPr="007E331D">
        <w:rPr>
          <w:snapToGrid w:val="0"/>
        </w:rPr>
        <w:t>s conviction. Thus, the overall length of the two sets of proceedings, from the start of the Directorate</w:t>
      </w:r>
      <w:r w:rsidRPr="007E331D" w:rsidR="007E331D">
        <w:rPr>
          <w:snapToGrid w:val="0"/>
        </w:rPr>
        <w:t>’</w:t>
      </w:r>
      <w:r w:rsidRPr="007E331D">
        <w:rPr>
          <w:snapToGrid w:val="0"/>
        </w:rPr>
        <w:t>s investigation until the Supreme Court gave its final ruling, was three years and 7 months.</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46</w:t>
      </w:r>
      <w:r w:rsidRPr="007E331D">
        <w:fldChar w:fldCharType="end"/>
      </w:r>
      <w:r w:rsidRPr="007E331D">
        <w:t>.  Assessing the connection in substance between the tax and criminal proceedings in the present case – as well as the different sanctions imposed on the applicant –</w:t>
      </w:r>
      <w:r w:rsidRPr="007E331D" w:rsidR="002C3BD2">
        <w:t xml:space="preserve"> </w:t>
      </w:r>
      <w:r w:rsidRPr="007E331D">
        <w:t>the Court accepts at the outset that they pursued a complementary purpose in addressing the issue of a taxpayer</w:t>
      </w:r>
      <w:r w:rsidRPr="007E331D" w:rsidR="007E331D">
        <w:t>’</w:t>
      </w:r>
      <w:r w:rsidRPr="007E331D">
        <w:t>s failure to comply with the legal requirements relating to the filing of tax returns. Furthermore, the consequences of the applicant</w:t>
      </w:r>
      <w:r w:rsidRPr="007E331D" w:rsidR="007E331D">
        <w:t>’</w:t>
      </w:r>
      <w:r w:rsidRPr="007E331D">
        <w:t>s conduct were foreseeable: both the imposition of tax surcharges and the indictment and conviction for tax offences form part of the actions taken and sanctions levied under Icelandic law for failure to provide accurate information in a tax return.</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47</w:t>
      </w:r>
      <w:r w:rsidRPr="007E331D">
        <w:fldChar w:fldCharType="end"/>
      </w:r>
      <w:r w:rsidRPr="007E331D">
        <w:t>.  The Supreme Court sentenced the applicant to three months</w:t>
      </w:r>
      <w:r w:rsidRPr="007E331D" w:rsidR="007E331D">
        <w:t>’</w:t>
      </w:r>
      <w:r w:rsidRPr="007E331D">
        <w:t xml:space="preserve"> suspended sentence and ordered him to pay a fine. In fixing the fines, the court had regard to the tax surcharges that had already been imposed on the applicant, albeit without providing any details on the calculation in this respect. Nevertheless, the Court is convinced that the sanctions already imposed in the tax proceedings were sufficiently taken into account in the sentencing in the criminal proceedings.</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48</w:t>
      </w:r>
      <w:r w:rsidRPr="007E331D">
        <w:fldChar w:fldCharType="end"/>
      </w:r>
      <w:r w:rsidRPr="007E331D">
        <w:t>.  It is not clear from the documents in the Court</w:t>
      </w:r>
      <w:r w:rsidRPr="007E331D" w:rsidR="007E331D">
        <w:t>’</w:t>
      </w:r>
      <w:r w:rsidRPr="007E331D">
        <w:t>s possession whether, or to what extent, the Special Prosecutor in charge of the criminal investigation had access to the reports issued by the Directorate of Tax Investigation and the documents collected during the tax audit. In any event, the police proceeded by conducting their own independent investigation, which resulted in the applicant</w:t>
      </w:r>
      <w:r w:rsidRPr="007E331D" w:rsidR="007E331D">
        <w:t>’</w:t>
      </w:r>
      <w:r w:rsidRPr="007E331D">
        <w:t>s conviction by the Supreme Court more than two years after the Directorate had reported the matter to the Special Prosecutor. The applicant</w:t>
      </w:r>
      <w:r w:rsidRPr="007E331D" w:rsidR="007E331D">
        <w:t>’</w:t>
      </w:r>
      <w:r w:rsidRPr="007E331D">
        <w:t>s conduct and his liability under the different provisions of tax and criminal law were thus examined by different authorities and courts in proceedings that were largely independent of each other.</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49</w:t>
      </w:r>
      <w:r w:rsidRPr="007E331D">
        <w:fldChar w:fldCharType="end"/>
      </w:r>
      <w:r w:rsidRPr="007E331D">
        <w:t>.  Turning to the connection in time between the two sets of proceedings, the Court notes that the overall length of proceedings was about three years and seven months. During that period, the proceedings did not progress concurrently at any point (see paragraph 45 above). The proceedings were thus never conducted in parallel. Moreover, the applicant was indicted on 10 October 2012, eleven months after the final decision was taken by the Directorate of Internal Revenue and eight months after it acquired legal force. The Criminal proceedings then continued for over two years on their own: the District Court convicted the applican</w:t>
      </w:r>
      <w:r w:rsidRPr="007E331D" w:rsidR="00BF4524">
        <w:t>t on 16 </w:t>
      </w:r>
      <w:r w:rsidRPr="007E331D">
        <w:t>May 2013, one year and six months after the decision of the Directorate of Internal Revenue, and the Supreme Court</w:t>
      </w:r>
      <w:r w:rsidRPr="007E331D" w:rsidR="007E331D">
        <w:t>’</w:t>
      </w:r>
      <w:r w:rsidRPr="007E331D">
        <w:t>s judgment was not pronounced until a year later.</w:t>
      </w:r>
    </w:p>
    <w:p w:rsidRPr="007E331D" w:rsidR="00BF4524"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50</w:t>
      </w:r>
      <w:r w:rsidRPr="007E331D">
        <w:rPr>
          <w:noProof/>
        </w:rPr>
        <w:fldChar w:fldCharType="end"/>
      </w:r>
      <w:r w:rsidRPr="007E331D" w:rsidR="007D085E">
        <w:t xml:space="preserve">.  Having regard to the above circumstances, in particular the lack of overlap in time and the largely independent collection and assessment of evidence, the Court cannot find that there was a sufficiently close connection in substance and in time between the tax proceedings and the criminal proceedings in the case for them to be compatible with the </w:t>
      </w:r>
      <w:r w:rsidRPr="007E331D" w:rsidR="007D085E">
        <w:rPr>
          <w:i/>
        </w:rPr>
        <w:t xml:space="preserve">bis </w:t>
      </w:r>
      <w:r w:rsidRPr="007E331D" w:rsidR="007D085E">
        <w:t>criterion in Article 4 of Protocol No. 7.</w:t>
      </w:r>
    </w:p>
    <w:p w:rsidRPr="007E331D" w:rsidR="007D085E" w:rsidP="007E331D" w:rsidRDefault="00FC4767">
      <w:pPr>
        <w:pStyle w:val="ECHRPara"/>
      </w:pPr>
      <w:r w:rsidRPr="007E331D">
        <w:fldChar w:fldCharType="begin"/>
      </w:r>
      <w:r w:rsidRPr="007E331D">
        <w:instrText xml:space="preserve"> SEQ level0 \*arabic </w:instrText>
      </w:r>
      <w:r w:rsidRPr="007E331D">
        <w:fldChar w:fldCharType="separate"/>
      </w:r>
      <w:r w:rsidRPr="007E331D" w:rsidR="007E331D">
        <w:rPr>
          <w:noProof/>
        </w:rPr>
        <w:t>51</w:t>
      </w:r>
      <w:r w:rsidRPr="007E331D">
        <w:rPr>
          <w:noProof/>
        </w:rPr>
        <w:fldChar w:fldCharType="end"/>
      </w:r>
      <w:r w:rsidRPr="007E331D" w:rsidR="007D085E">
        <w:t>.  Consequently, the applicant was tried and punished for the same or substantially the same conduct by different authorities in two different sets of proceedings which lacked the required connection.</w:t>
      </w:r>
    </w:p>
    <w:p w:rsidRPr="007E331D" w:rsidR="00BF4524" w:rsidP="007E331D" w:rsidRDefault="007D085E">
      <w:pPr>
        <w:pStyle w:val="ECHRPara"/>
      </w:pPr>
      <w:r w:rsidRPr="007E331D">
        <w:t>For these reasons, there has been a violation of Article 4 of Protocol No. 7 to the Convention.</w:t>
      </w:r>
    </w:p>
    <w:p w:rsidRPr="007E331D" w:rsidR="007D085E" w:rsidP="007E331D" w:rsidRDefault="007D085E">
      <w:pPr>
        <w:pStyle w:val="ECHRHeading1"/>
      </w:pPr>
      <w:r w:rsidRPr="007E331D">
        <w:t>II.</w:t>
      </w:r>
      <w:proofErr w:type="gramStart"/>
      <w:r w:rsidRPr="007E331D">
        <w:t> </w:t>
      </w:r>
      <w:r w:rsidRPr="007E331D" w:rsidR="00FF17FE">
        <w:t> </w:t>
      </w:r>
      <w:r w:rsidRPr="007E331D">
        <w:t>APPLICATION</w:t>
      </w:r>
      <w:proofErr w:type="gramEnd"/>
      <w:r w:rsidRPr="007E331D">
        <w:t xml:space="preserve"> OF ARTICLE 41 OF THE CONVENTION</w:t>
      </w:r>
    </w:p>
    <w:p w:rsidRPr="007E331D" w:rsidR="007D085E" w:rsidP="007E331D" w:rsidRDefault="007D085E">
      <w:pPr>
        <w:pStyle w:val="ECHRPara"/>
        <w:keepNext/>
        <w:keepLines/>
      </w:pPr>
      <w:r w:rsidRPr="007E331D">
        <w:fldChar w:fldCharType="begin"/>
      </w:r>
      <w:r w:rsidRPr="007E331D">
        <w:instrText xml:space="preserve"> SEQ level0 \*arabic </w:instrText>
      </w:r>
      <w:r w:rsidRPr="007E331D">
        <w:fldChar w:fldCharType="separate"/>
      </w:r>
      <w:r w:rsidRPr="007E331D" w:rsidR="007E331D">
        <w:rPr>
          <w:noProof/>
        </w:rPr>
        <w:t>52</w:t>
      </w:r>
      <w:r w:rsidRPr="007E331D">
        <w:fldChar w:fldCharType="end"/>
      </w:r>
      <w:r w:rsidRPr="007E331D">
        <w:t>.  Article 41 of the Convention provides:</w:t>
      </w:r>
    </w:p>
    <w:p w:rsidRPr="007E331D" w:rsidR="007D085E" w:rsidP="007E331D" w:rsidRDefault="007D085E">
      <w:pPr>
        <w:pStyle w:val="ECHRParaQuote"/>
        <w:keepNext/>
        <w:keepLines/>
      </w:pPr>
      <w:r w:rsidRPr="007E331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E331D" w:rsidR="007D085E" w:rsidP="007E331D" w:rsidRDefault="007D085E">
      <w:pPr>
        <w:pStyle w:val="ECHRHeading2"/>
        <w:keepNext w:val="0"/>
        <w:keepLines w:val="0"/>
      </w:pPr>
      <w:r w:rsidRPr="007E331D">
        <w:t>A.  Damage</w:t>
      </w:r>
    </w:p>
    <w:p w:rsidRPr="007E331D" w:rsidR="007D085E" w:rsidP="007E331D" w:rsidRDefault="007D085E">
      <w:pPr>
        <w:pStyle w:val="ECHRHeading3"/>
        <w:keepNext w:val="0"/>
        <w:keepLines w:val="0"/>
      </w:pPr>
      <w:r w:rsidRPr="007E331D">
        <w:t>1.</w:t>
      </w:r>
      <w:r w:rsidRPr="007E331D" w:rsidR="00BF4524">
        <w:t>  </w:t>
      </w:r>
      <w:r w:rsidRPr="007E331D">
        <w:t>Pecuniary damage</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53</w:t>
      </w:r>
      <w:r w:rsidRPr="007E331D">
        <w:fldChar w:fldCharType="end"/>
      </w:r>
      <w:r w:rsidRPr="007E331D">
        <w:t>.  The applicant claimed ISK 21,000,000 (corresponding to approximately EUR 136,000 at the material time or approximately EUR 151,500 at today</w:t>
      </w:r>
      <w:r w:rsidRPr="007E331D" w:rsidR="007E331D">
        <w:t>’</w:t>
      </w:r>
      <w:r w:rsidRPr="007E331D">
        <w:t>s exchange rate) in respect of pecuniary damage for the fine resulting from the Supreme Court judgment of 22 May 2014. Furthermore, the applicant claimed other costs in the amount of EUR 36,500, allegedly associated with the violations against him due to conflicts with his international bank.</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54</w:t>
      </w:r>
      <w:r w:rsidRPr="007E331D">
        <w:fldChar w:fldCharType="end"/>
      </w:r>
      <w:r w:rsidRPr="007E331D">
        <w:t>.  The Government argued that, as the applicant had not paid the fine, no pecuniary damage had been sustained. Furthermore, the Government submitted that it should not have to pay other costs which the applicant claimed were associated with the violations in the case against him. The applicant had neither substantiated this with any proof, nor could the Government be made responsible for such costs.</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55</w:t>
      </w:r>
      <w:r w:rsidRPr="007E331D">
        <w:fldChar w:fldCharType="end"/>
      </w:r>
      <w:r w:rsidRPr="007E331D">
        <w:t>.  The Court notes that the applicant did not maintain or substantiate that he had paid the fine he was sentenced to by the Supreme Court</w:t>
      </w:r>
      <w:r w:rsidRPr="007E331D" w:rsidR="007E331D">
        <w:t>’</w:t>
      </w:r>
      <w:r w:rsidRPr="007E331D">
        <w:t>s judgment of 22 May 2014. Agreeing with the Government, the Court considers that, due to the non-payment of the fine, it cannot be said that the applicant has suffered any pecuniary damage on that account.</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56</w:t>
      </w:r>
      <w:r w:rsidRPr="007E331D">
        <w:fldChar w:fldCharType="end"/>
      </w:r>
      <w:r w:rsidRPr="007E331D">
        <w:t>.  Furthermore, the applicant has not substantiated that he suffered other costs as a direct result of the violations against him. This claim is therefore rejected.</w:t>
      </w:r>
    </w:p>
    <w:p w:rsidRPr="007E331D" w:rsidR="007D085E" w:rsidP="007E331D" w:rsidRDefault="007D085E">
      <w:pPr>
        <w:pStyle w:val="ECHRHeading3"/>
      </w:pPr>
      <w:r w:rsidRPr="007E331D">
        <w:t>2.</w:t>
      </w:r>
      <w:r w:rsidRPr="007E331D" w:rsidR="00BF4524">
        <w:t>  </w:t>
      </w:r>
      <w:r w:rsidRPr="007E331D">
        <w:t>Non-pecuniary damage</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57</w:t>
      </w:r>
      <w:r w:rsidRPr="007E331D">
        <w:fldChar w:fldCharType="end"/>
      </w:r>
      <w:r w:rsidRPr="007E331D">
        <w:t>.  The applicant claimed EUR 100,000 in respect of non-pecuniary damage.</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58</w:t>
      </w:r>
      <w:r w:rsidRPr="007E331D">
        <w:fldChar w:fldCharType="end"/>
      </w:r>
      <w:r w:rsidRPr="007E331D">
        <w:t>.  The Government argued that if a violati</w:t>
      </w:r>
      <w:r w:rsidRPr="007E331D" w:rsidR="00BF4524">
        <w:t>on of Article 4 of Protocol No. </w:t>
      </w:r>
      <w:r w:rsidRPr="007E331D">
        <w:t>7 to the Convention were to be found, such a finding by the Court would in itself constitute just satisfaction for any non-pecuniary damage claimed.</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59</w:t>
      </w:r>
      <w:r w:rsidRPr="007E331D">
        <w:fldChar w:fldCharType="end"/>
      </w:r>
      <w:r w:rsidRPr="007E331D">
        <w:t>.  The finding of a violation cannot be said to fully compensate the applicant for the sense of injustice and frustration that he must have felt. Making its assessment on an equitable basis, the Court therefore awards the applicant EUR 5,000 in respect of non-pecuniary damage.</w:t>
      </w:r>
    </w:p>
    <w:p w:rsidRPr="007E331D" w:rsidR="007D085E" w:rsidP="007E331D" w:rsidRDefault="007D085E">
      <w:pPr>
        <w:pStyle w:val="ECHRHeading2"/>
      </w:pPr>
      <w:r w:rsidRPr="007E331D">
        <w:t>B.  Costs and expenses</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60</w:t>
      </w:r>
      <w:r w:rsidRPr="007E331D">
        <w:fldChar w:fldCharType="end"/>
      </w:r>
      <w:r w:rsidRPr="007E331D">
        <w:t>.  The applicant also claimed EUR 112,000 for costs and expenses incurred before the domestic courts and EUR 75,340 for those incurred before the Court.</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61</w:t>
      </w:r>
      <w:r w:rsidRPr="007E331D">
        <w:fldChar w:fldCharType="end"/>
      </w:r>
      <w:r w:rsidRPr="007E331D">
        <w:t>.  The Government submitted that the applicant</w:t>
      </w:r>
      <w:r w:rsidRPr="007E331D" w:rsidR="007E331D">
        <w:t>’</w:t>
      </w:r>
      <w:r w:rsidRPr="007E331D">
        <w:t>s lawyer</w:t>
      </w:r>
      <w:r w:rsidRPr="007E331D" w:rsidR="007E331D">
        <w:t>’</w:t>
      </w:r>
      <w:r w:rsidRPr="007E331D">
        <w:t>s fees were paid by the Treasury in accordance with the Criminal Procedures Act. They further alleged that the applicant had not submitted any invoice demonstrating that he had reimbursed the Treasury. The Government further asserted that the costs claimed before the domestic courts and the Court were excessively high.</w:t>
      </w:r>
    </w:p>
    <w:p w:rsidRPr="007E331D" w:rsidR="00BF4524"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62</w:t>
      </w:r>
      <w:r w:rsidRPr="007E331D">
        <w:fldChar w:fldCharType="end"/>
      </w:r>
      <w:r w:rsidRPr="007E331D">
        <w:t>.  According to the Court</w:t>
      </w:r>
      <w:r w:rsidRPr="007E331D" w:rsidR="007E331D">
        <w:t>’</w:t>
      </w:r>
      <w:r w:rsidRPr="007E331D">
        <w:t>s case-law, an applicant is entitled to the reimbursement of costs and expenses only in so far as it has been shown that these have been actually and necessarily incurred and are reasonable as to quantum.</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63</w:t>
      </w:r>
      <w:r w:rsidRPr="007E331D">
        <w:fldChar w:fldCharType="end"/>
      </w:r>
      <w:r w:rsidRPr="007E331D">
        <w:t>.  The applicant was ordered to pay legal costs in the domestic proceedings. The District Court ordered the applicant to pay ISK</w:t>
      </w:r>
      <w:r w:rsidRPr="007E331D" w:rsidR="00BF4524">
        <w:t> </w:t>
      </w:r>
      <w:r w:rsidRPr="007E331D">
        <w:t>878,500 (corresponding to approximately EUR 6,400 at today</w:t>
      </w:r>
      <w:r w:rsidRPr="007E331D" w:rsidR="007E331D">
        <w:t>’</w:t>
      </w:r>
      <w:r w:rsidRPr="007E331D">
        <w:t>s exchange rate) plus value added tax. The Supreme Court ordered the applicant to pay legal costs</w:t>
      </w:r>
      <w:r w:rsidRPr="007E331D" w:rsidR="00BF4524">
        <w:t xml:space="preserve"> of ISK </w:t>
      </w:r>
      <w:r w:rsidRPr="007E331D">
        <w:t>1,286,614 (corresponding to approximately EUR 9,300 at today</w:t>
      </w:r>
      <w:r w:rsidRPr="007E331D" w:rsidR="007E331D">
        <w:t>’</w:t>
      </w:r>
      <w:r w:rsidRPr="007E331D">
        <w:t>s exchange rate), of which ISK 1,255,000 for his defence counsel.</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64</w:t>
      </w:r>
      <w:r w:rsidRPr="007E331D">
        <w:fldChar w:fldCharType="end"/>
      </w:r>
      <w:r w:rsidRPr="007E331D">
        <w:t>.  However, the Court notes that, regard being had to the documents in its possession and the above criteria, the applicant has not substantiated that he had paid the costs and expenses incurred in the domestic proceedings and therefore rejects this claim.</w:t>
      </w:r>
    </w:p>
    <w:p w:rsidRPr="007E331D" w:rsidR="007D085E" w:rsidP="007E331D" w:rsidRDefault="007D085E">
      <w:pPr>
        <w:pStyle w:val="ECHRPara"/>
      </w:pPr>
      <w:r w:rsidRPr="007E331D">
        <w:fldChar w:fldCharType="begin"/>
      </w:r>
      <w:r w:rsidRPr="007E331D">
        <w:instrText xml:space="preserve"> SEQ level0 \*arabic </w:instrText>
      </w:r>
      <w:r w:rsidRPr="007E331D">
        <w:fldChar w:fldCharType="separate"/>
      </w:r>
      <w:r w:rsidRPr="007E331D" w:rsidR="007E331D">
        <w:rPr>
          <w:noProof/>
        </w:rPr>
        <w:t>65</w:t>
      </w:r>
      <w:r w:rsidRPr="007E331D">
        <w:fldChar w:fldCharType="end"/>
      </w:r>
      <w:r w:rsidRPr="007E331D">
        <w:t>.  As regards the applicant</w:t>
      </w:r>
      <w:r w:rsidRPr="007E331D" w:rsidR="007E331D">
        <w:t>’</w:t>
      </w:r>
      <w:r w:rsidRPr="007E331D">
        <w:t>s claim concerning his costs and expenses before the Court, the Court finds that they are excessive. However, making an overall assessment, the Court considers it reasonable to award the applicant EUR 10,000 for costs and expenses incurred in the proceedings before the Court.</w:t>
      </w:r>
    </w:p>
    <w:p w:rsidRPr="007E331D" w:rsidR="007D085E" w:rsidP="007E331D" w:rsidRDefault="007D085E">
      <w:pPr>
        <w:pStyle w:val="ECHRTitle1"/>
      </w:pPr>
      <w:r w:rsidRPr="007E331D">
        <w:t>FOR THESE REASONS, THE COURT, UNANIMOUSLY,</w:t>
      </w:r>
    </w:p>
    <w:p w:rsidRPr="007E331D" w:rsidR="007D085E" w:rsidP="007E331D" w:rsidRDefault="007D085E">
      <w:pPr>
        <w:pStyle w:val="JuList"/>
      </w:pPr>
      <w:r w:rsidRPr="007E331D">
        <w:t>1.  </w:t>
      </w:r>
      <w:proofErr w:type="gramStart"/>
      <w:r w:rsidRPr="007E331D">
        <w:rPr>
          <w:i/>
        </w:rPr>
        <w:t>Declares</w:t>
      </w:r>
      <w:proofErr w:type="gramEnd"/>
      <w:r w:rsidRPr="007E331D">
        <w:rPr>
          <w:color w:val="000000"/>
        </w:rPr>
        <w:t xml:space="preserve"> </w:t>
      </w:r>
      <w:r w:rsidRPr="007E331D">
        <w:t>the application admissible;</w:t>
      </w:r>
    </w:p>
    <w:p w:rsidRPr="007E331D" w:rsidR="007D085E" w:rsidP="007E331D" w:rsidRDefault="007D085E">
      <w:pPr>
        <w:pStyle w:val="JuList"/>
        <w:ind w:left="0" w:firstLine="0"/>
      </w:pPr>
    </w:p>
    <w:p w:rsidRPr="007E331D" w:rsidR="007D085E" w:rsidP="007E331D" w:rsidRDefault="007D085E">
      <w:pPr>
        <w:pStyle w:val="JuList"/>
      </w:pPr>
      <w:r w:rsidRPr="007E331D">
        <w:t>2.  </w:t>
      </w:r>
      <w:proofErr w:type="gramStart"/>
      <w:r w:rsidRPr="007E331D">
        <w:rPr>
          <w:i/>
        </w:rPr>
        <w:t>Holds</w:t>
      </w:r>
      <w:proofErr w:type="gramEnd"/>
      <w:r w:rsidRPr="007E331D">
        <w:rPr>
          <w:color w:val="000000"/>
        </w:rPr>
        <w:t xml:space="preserve"> </w:t>
      </w:r>
      <w:r w:rsidRPr="007E331D">
        <w:t>that there has been a violation of Article 4 of Protocol No. 7 to the Convention;</w:t>
      </w:r>
    </w:p>
    <w:p w:rsidRPr="007E331D" w:rsidR="007D085E" w:rsidP="007E331D" w:rsidRDefault="007D085E">
      <w:pPr>
        <w:pStyle w:val="JuList"/>
      </w:pPr>
    </w:p>
    <w:p w:rsidRPr="007E331D" w:rsidR="007D085E" w:rsidP="007E331D" w:rsidRDefault="007D085E">
      <w:pPr>
        <w:pStyle w:val="JuList"/>
        <w:keepNext/>
        <w:keepLines/>
        <w:ind w:left="0" w:firstLine="0"/>
      </w:pPr>
      <w:r w:rsidRPr="007E331D">
        <w:t>3.  </w:t>
      </w:r>
      <w:r w:rsidRPr="007E331D">
        <w:rPr>
          <w:i/>
        </w:rPr>
        <w:t>Holds</w:t>
      </w:r>
    </w:p>
    <w:p w:rsidRPr="007E331D" w:rsidR="007D085E" w:rsidP="007E331D" w:rsidRDefault="007D085E">
      <w:pPr>
        <w:pStyle w:val="JuLista"/>
        <w:keepNext/>
        <w:keepLines/>
      </w:pPr>
      <w:r w:rsidRPr="007E331D">
        <w:t xml:space="preserve">(a)  that the respondent State is to pay the applicant, within three months from the date on which the judgment becomes final in accordance with Article 44 </w:t>
      </w:r>
      <w:r w:rsidRPr="007E331D">
        <w:rPr>
          <w:rFonts w:cstheme="minorHAnsi"/>
        </w:rPr>
        <w:t>§</w:t>
      </w:r>
      <w:r w:rsidRPr="007E331D">
        <w:t xml:space="preserve"> 2 of the Convention, the following amounts plus any tax that may be chargeable to the applicant, to be converted into the currency of the respondent State at the rate applicable at the date of settlement:</w:t>
      </w:r>
    </w:p>
    <w:p w:rsidRPr="007E331D" w:rsidR="007D085E" w:rsidP="007E331D" w:rsidRDefault="007D085E">
      <w:pPr>
        <w:pStyle w:val="JuListi"/>
      </w:pPr>
      <w:r w:rsidRPr="007E331D">
        <w:t>(i)  EUR 5,000 (five thousand euros) in respect of non-pecuniary damage;</w:t>
      </w:r>
    </w:p>
    <w:p w:rsidRPr="007E331D" w:rsidR="007D085E" w:rsidP="007E331D" w:rsidRDefault="007E331D">
      <w:pPr>
        <w:pStyle w:val="JuListi"/>
      </w:pPr>
      <w:r w:rsidRPr="007E331D">
        <w:t>(ii</w:t>
      </w:r>
      <w:r w:rsidRPr="007E331D" w:rsidR="007D085E">
        <w:t>)  EUR 10,000 (ten thousand euros) in respect of costs and expenses;</w:t>
      </w:r>
    </w:p>
    <w:p w:rsidRPr="007E331D" w:rsidR="007D085E" w:rsidP="007E331D" w:rsidRDefault="007D085E">
      <w:pPr>
        <w:pStyle w:val="JuLista"/>
      </w:pPr>
      <w:r w:rsidRPr="007E331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E331D" w:rsidR="007D085E" w:rsidP="007E331D" w:rsidRDefault="007D085E">
      <w:pPr>
        <w:pStyle w:val="JuList"/>
      </w:pPr>
    </w:p>
    <w:p w:rsidRPr="007E331D" w:rsidR="007D085E" w:rsidP="007E331D" w:rsidRDefault="007D085E">
      <w:pPr>
        <w:pStyle w:val="JuList"/>
      </w:pPr>
      <w:r w:rsidRPr="007E331D">
        <w:t>4.  </w:t>
      </w:r>
      <w:r w:rsidRPr="007E331D">
        <w:rPr>
          <w:i/>
        </w:rPr>
        <w:t>Dismisses</w:t>
      </w:r>
      <w:r w:rsidRPr="007E331D">
        <w:rPr>
          <w:color w:val="000000"/>
        </w:rPr>
        <w:t xml:space="preserve"> </w:t>
      </w:r>
      <w:r w:rsidRPr="007E331D">
        <w:t>the remainder of the applicant</w:t>
      </w:r>
      <w:r w:rsidRPr="007E331D" w:rsidR="007E331D">
        <w:t>’</w:t>
      </w:r>
      <w:r w:rsidRPr="007E331D">
        <w:t>s claim for just satisfaction.</w:t>
      </w:r>
    </w:p>
    <w:p w:rsidRPr="007E331D" w:rsidR="007D085E" w:rsidP="007E331D" w:rsidRDefault="007D085E">
      <w:pPr>
        <w:pStyle w:val="JuParaLast"/>
      </w:pPr>
      <w:r w:rsidRPr="007E331D">
        <w:t xml:space="preserve">Done in English, and notified in writing on </w:t>
      </w:r>
      <w:r w:rsidRPr="007E331D" w:rsidR="00BF4524">
        <w:t>12 February 2019</w:t>
      </w:r>
      <w:r w:rsidRPr="007E331D">
        <w:t>, pursuant to Rule 77 §§ 2 and 3 of the Rules of Court.</w:t>
      </w:r>
    </w:p>
    <w:p w:rsidRPr="007E331D" w:rsidR="007D085E" w:rsidP="007E331D" w:rsidRDefault="007D085E">
      <w:pPr>
        <w:pStyle w:val="JuSigned"/>
        <w:rPr>
          <w:lang w:val="sv-SE"/>
        </w:rPr>
      </w:pPr>
      <w:r w:rsidRPr="007E331D">
        <w:tab/>
      </w:r>
      <w:r w:rsidRPr="007E331D">
        <w:rPr>
          <w:lang w:val="sv-SE"/>
        </w:rPr>
        <w:t>Hasan Bakırcı</w:t>
      </w:r>
      <w:r w:rsidRPr="007E331D">
        <w:rPr>
          <w:lang w:val="sv-SE"/>
        </w:rPr>
        <w:tab/>
      </w:r>
      <w:r w:rsidRPr="007E331D" w:rsidR="00291663">
        <w:rPr>
          <w:szCs w:val="24"/>
          <w:lang w:val="sv-SE"/>
        </w:rPr>
        <w:t>Paul Lemmens</w:t>
      </w:r>
      <w:r w:rsidRPr="007E331D">
        <w:rPr>
          <w:szCs w:val="24"/>
          <w:lang w:val="sv-SE"/>
        </w:rPr>
        <w:br/>
      </w:r>
      <w:r w:rsidRPr="007E331D">
        <w:rPr>
          <w:lang w:val="sv-SE"/>
        </w:rPr>
        <w:tab/>
        <w:t xml:space="preserve">Deputy </w:t>
      </w:r>
      <w:r w:rsidRPr="007E331D">
        <w:rPr>
          <w:iCs/>
          <w:lang w:val="sv-SE"/>
        </w:rPr>
        <w:t>Registrar</w:t>
      </w:r>
      <w:r w:rsidRPr="007E331D">
        <w:rPr>
          <w:lang w:val="sv-SE"/>
        </w:rPr>
        <w:tab/>
        <w:t>President</w:t>
      </w:r>
    </w:p>
    <w:p w:rsidRPr="007E331D" w:rsidR="00FF17FE" w:rsidP="007E331D" w:rsidRDefault="00FF17FE">
      <w:pPr>
        <w:pStyle w:val="JuParaLast"/>
        <w:rPr>
          <w:lang w:val="sv-SE"/>
        </w:rPr>
      </w:pPr>
    </w:p>
    <w:sectPr w:rsidRPr="007E331D" w:rsidR="00FF17FE"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85E" w:rsidRPr="008D5A13" w:rsidRDefault="007D085E" w:rsidP="0098410D">
      <w:r w:rsidRPr="008D5A13">
        <w:separator/>
      </w:r>
    </w:p>
  </w:endnote>
  <w:endnote w:type="continuationSeparator" w:id="0">
    <w:p w:rsidR="007D085E" w:rsidRPr="008D5A13" w:rsidRDefault="007D085E"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81D" w:rsidRDefault="00694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5E" w:rsidRPr="00150BFA" w:rsidRDefault="007D085E" w:rsidP="0020718E">
    <w:pPr>
      <w:jc w:val="center"/>
    </w:pPr>
    <w:r>
      <w:rPr>
        <w:noProof/>
        <w:lang w:val="en-US" w:eastAsia="ja-JP"/>
      </w:rPr>
      <w:drawing>
        <wp:inline distT="0" distB="0" distL="0" distR="0" wp14:anchorId="0BA6AE03" wp14:editId="146E6782">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81D" w:rsidRDefault="0069481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B78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B78B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85E" w:rsidRPr="008D5A13" w:rsidRDefault="007D085E" w:rsidP="0098410D">
      <w:r w:rsidRPr="008D5A13">
        <w:separator/>
      </w:r>
    </w:p>
  </w:footnote>
  <w:footnote w:type="continuationSeparator" w:id="0">
    <w:p w:rsidR="007D085E" w:rsidRPr="008D5A13" w:rsidRDefault="007D085E"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81D" w:rsidRDefault="00694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5E" w:rsidRPr="00A45145" w:rsidRDefault="007D085E" w:rsidP="00A45145">
    <w:pPr>
      <w:jc w:val="center"/>
    </w:pPr>
    <w:r>
      <w:rPr>
        <w:noProof/>
        <w:lang w:val="en-US" w:eastAsia="ja-JP"/>
      </w:rPr>
      <w:drawing>
        <wp:inline distT="0" distB="0" distL="0" distR="0" wp14:anchorId="1F5E5518" wp14:editId="00F32A34">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5E" w:rsidRPr="00A45145" w:rsidRDefault="007D085E" w:rsidP="00A45145">
    <w:pPr>
      <w:jc w:val="center"/>
    </w:pPr>
    <w:r>
      <w:rPr>
        <w:noProof/>
        <w:lang w:val="en-US" w:eastAsia="ja-JP"/>
      </w:rPr>
      <w:drawing>
        <wp:inline distT="0" distB="0" distL="0" distR="0" wp14:anchorId="6A85B0F7" wp14:editId="25E2E7E9">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D085E" w:rsidP="004D0EC7">
    <w:pPr>
      <w:pStyle w:val="ECHRHeader"/>
    </w:pPr>
    <w:r>
      <w:rPr>
        <w:rStyle w:val="PageNumber"/>
      </w:rPr>
      <w:fldChar w:fldCharType="begin"/>
    </w:r>
    <w:r>
      <w:rPr>
        <w:rStyle w:val="PageNumber"/>
      </w:rPr>
      <w:instrText xml:space="preserve"> PAGE </w:instrText>
    </w:r>
    <w:r>
      <w:rPr>
        <w:rStyle w:val="PageNumber"/>
      </w:rPr>
      <w:fldChar w:fldCharType="separate"/>
    </w:r>
    <w:r w:rsidR="007E331D">
      <w:rPr>
        <w:rStyle w:val="PageNumber"/>
        <w:noProof/>
      </w:rPr>
      <w:t>14</w:t>
    </w:r>
    <w:r>
      <w:rPr>
        <w:rStyle w:val="PageNumber"/>
      </w:rPr>
      <w:fldChar w:fldCharType="end"/>
    </w:r>
    <w:r w:rsidR="00882CD5" w:rsidRPr="004D0EC7">
      <w:tab/>
    </w:r>
    <w:r>
      <w:t>RAGNAR THORISSON v. ICELAND</w:t>
    </w:r>
    <w:r w:rsidR="008E3A08">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7D085E">
      <w:t>RAGNAR THORISSON v. ICELAND</w:t>
    </w:r>
    <w:r w:rsidRPr="00882CD5">
      <w:t xml:space="preserve"> JUDGMENT</w:t>
    </w:r>
    <w:r w:rsidRPr="00882CD5">
      <w:tab/>
    </w:r>
    <w:r w:rsidR="007D085E">
      <w:rPr>
        <w:rStyle w:val="PageNumber"/>
      </w:rPr>
      <w:fldChar w:fldCharType="begin"/>
    </w:r>
    <w:r w:rsidR="007D085E">
      <w:rPr>
        <w:rStyle w:val="PageNumber"/>
      </w:rPr>
      <w:instrText xml:space="preserve"> PAGE </w:instrText>
    </w:r>
    <w:r w:rsidR="007D085E">
      <w:rPr>
        <w:rStyle w:val="PageNumber"/>
      </w:rPr>
      <w:fldChar w:fldCharType="separate"/>
    </w:r>
    <w:r w:rsidR="007E331D">
      <w:rPr>
        <w:rStyle w:val="PageNumber"/>
        <w:noProof/>
      </w:rPr>
      <w:t>15</w:t>
    </w:r>
    <w:r w:rsidR="007D085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5C341C8"/>
    <w:multiLevelType w:val="multilevel"/>
    <w:tmpl w:val="B26084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D085E"/>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1663"/>
    <w:rsid w:val="002948AD"/>
    <w:rsid w:val="002A01CC"/>
    <w:rsid w:val="002A61B1"/>
    <w:rsid w:val="002A663C"/>
    <w:rsid w:val="002B444B"/>
    <w:rsid w:val="002B5887"/>
    <w:rsid w:val="002C0E27"/>
    <w:rsid w:val="002C3040"/>
    <w:rsid w:val="002C3BD2"/>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3C0E"/>
    <w:rsid w:val="005F51E1"/>
    <w:rsid w:val="00611C80"/>
    <w:rsid w:val="00620692"/>
    <w:rsid w:val="006242CA"/>
    <w:rsid w:val="00627507"/>
    <w:rsid w:val="00633717"/>
    <w:rsid w:val="00633975"/>
    <w:rsid w:val="006344E1"/>
    <w:rsid w:val="0064393B"/>
    <w:rsid w:val="006545C4"/>
    <w:rsid w:val="00661971"/>
    <w:rsid w:val="00661CE8"/>
    <w:rsid w:val="006623D9"/>
    <w:rsid w:val="0066550C"/>
    <w:rsid w:val="006716F2"/>
    <w:rsid w:val="00682BF2"/>
    <w:rsid w:val="006859CE"/>
    <w:rsid w:val="00691270"/>
    <w:rsid w:val="0069481D"/>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085E"/>
    <w:rsid w:val="007D4832"/>
    <w:rsid w:val="007E21B2"/>
    <w:rsid w:val="007E2C4E"/>
    <w:rsid w:val="007E331D"/>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524"/>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2F59"/>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765F"/>
    <w:rsid w:val="00F90767"/>
    <w:rsid w:val="00FA685B"/>
    <w:rsid w:val="00FB0C01"/>
    <w:rsid w:val="00FC18F2"/>
    <w:rsid w:val="00FC39E5"/>
    <w:rsid w:val="00FC3A78"/>
    <w:rsid w:val="00FC4767"/>
    <w:rsid w:val="00FD1005"/>
    <w:rsid w:val="00FD6C75"/>
    <w:rsid w:val="00FE71B3"/>
    <w:rsid w:val="00FF17FE"/>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C3BD2"/>
    <w:pPr>
      <w:jc w:val="both"/>
    </w:pPr>
    <w:rPr>
      <w:rFonts w:eastAsiaTheme="minorEastAsia"/>
      <w:sz w:val="24"/>
      <w:lang w:val="en-GB"/>
    </w:rPr>
  </w:style>
  <w:style w:type="paragraph" w:styleId="Heading1">
    <w:name w:val="heading 1"/>
    <w:basedOn w:val="Normal"/>
    <w:next w:val="Normal"/>
    <w:link w:val="Heading1Char"/>
    <w:uiPriority w:val="99"/>
    <w:semiHidden/>
    <w:rsid w:val="002C3B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C3B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C3BD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C3BD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C3BD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C3BD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C3BD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C3BD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C3BD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C3BD2"/>
    <w:rPr>
      <w:rFonts w:ascii="Tahoma" w:hAnsi="Tahoma" w:cs="Tahoma"/>
      <w:sz w:val="16"/>
      <w:szCs w:val="16"/>
    </w:rPr>
  </w:style>
  <w:style w:type="character" w:customStyle="1" w:styleId="BalloonTextChar">
    <w:name w:val="Balloon Text Char"/>
    <w:basedOn w:val="DefaultParagraphFont"/>
    <w:link w:val="BalloonText"/>
    <w:uiPriority w:val="99"/>
    <w:semiHidden/>
    <w:rsid w:val="002C3BD2"/>
    <w:rPr>
      <w:rFonts w:ascii="Tahoma" w:eastAsiaTheme="minorEastAsia" w:hAnsi="Tahoma" w:cs="Tahoma"/>
      <w:sz w:val="16"/>
      <w:szCs w:val="16"/>
      <w:lang w:val="en-GB"/>
    </w:rPr>
  </w:style>
  <w:style w:type="character" w:styleId="BookTitle">
    <w:name w:val="Book Title"/>
    <w:uiPriority w:val="99"/>
    <w:semiHidden/>
    <w:qFormat/>
    <w:rsid w:val="002C3BD2"/>
    <w:rPr>
      <w:i/>
      <w:iCs/>
      <w:smallCaps/>
      <w:spacing w:val="5"/>
    </w:rPr>
  </w:style>
  <w:style w:type="paragraph" w:customStyle="1" w:styleId="ECHRHeader">
    <w:name w:val="ECHR_Header"/>
    <w:aliases w:val="Ju_Header"/>
    <w:basedOn w:val="Header"/>
    <w:uiPriority w:val="4"/>
    <w:qFormat/>
    <w:rsid w:val="002C3BD2"/>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2C3BD2"/>
  </w:style>
  <w:style w:type="character" w:styleId="Strong">
    <w:name w:val="Strong"/>
    <w:uiPriority w:val="99"/>
    <w:semiHidden/>
    <w:qFormat/>
    <w:rsid w:val="002C3BD2"/>
    <w:rPr>
      <w:b/>
      <w:bCs/>
    </w:rPr>
  </w:style>
  <w:style w:type="paragraph" w:styleId="NoSpacing">
    <w:name w:val="No Spacing"/>
    <w:basedOn w:val="Normal"/>
    <w:link w:val="NoSpacingChar"/>
    <w:semiHidden/>
    <w:qFormat/>
    <w:rsid w:val="002C3BD2"/>
    <w:rPr>
      <w:sz w:val="22"/>
      <w:lang w:val="en-US"/>
    </w:rPr>
  </w:style>
  <w:style w:type="character" w:customStyle="1" w:styleId="NoSpacingChar">
    <w:name w:val="No Spacing Char"/>
    <w:basedOn w:val="DefaultParagraphFont"/>
    <w:link w:val="NoSpacing"/>
    <w:semiHidden/>
    <w:rsid w:val="002C3BD2"/>
    <w:rPr>
      <w:rFonts w:eastAsiaTheme="minorEastAsia"/>
    </w:rPr>
  </w:style>
  <w:style w:type="paragraph" w:customStyle="1" w:styleId="ECHRParaQuote">
    <w:name w:val="ECHR_Para_Quote"/>
    <w:aliases w:val="Ju_Quot"/>
    <w:basedOn w:val="Normal"/>
    <w:uiPriority w:val="14"/>
    <w:qFormat/>
    <w:rsid w:val="002C3BD2"/>
    <w:pPr>
      <w:spacing w:before="120" w:after="120"/>
      <w:ind w:left="425" w:firstLine="142"/>
    </w:pPr>
    <w:rPr>
      <w:sz w:val="20"/>
    </w:rPr>
  </w:style>
  <w:style w:type="paragraph" w:customStyle="1" w:styleId="DecList">
    <w:name w:val="Dec_List"/>
    <w:basedOn w:val="Normal"/>
    <w:uiPriority w:val="9"/>
    <w:semiHidden/>
    <w:qFormat/>
    <w:rsid w:val="002C3BD2"/>
    <w:pPr>
      <w:spacing w:before="240"/>
      <w:ind w:left="284"/>
    </w:pPr>
  </w:style>
  <w:style w:type="paragraph" w:customStyle="1" w:styleId="DummyStyle">
    <w:name w:val="Dummy_Style"/>
    <w:basedOn w:val="Normal"/>
    <w:semiHidden/>
    <w:qFormat/>
    <w:rsid w:val="002C3BD2"/>
    <w:rPr>
      <w:color w:val="00B050"/>
    </w:rPr>
  </w:style>
  <w:style w:type="paragraph" w:customStyle="1" w:styleId="JuAppQuestion">
    <w:name w:val="Ju_App_Question"/>
    <w:basedOn w:val="Normal"/>
    <w:uiPriority w:val="5"/>
    <w:semiHidden/>
    <w:qFormat/>
    <w:rsid w:val="002C3BD2"/>
    <w:pPr>
      <w:numPr>
        <w:numId w:val="30"/>
      </w:numPr>
      <w:jc w:val="left"/>
    </w:pPr>
    <w:rPr>
      <w:b/>
    </w:rPr>
  </w:style>
  <w:style w:type="paragraph" w:customStyle="1" w:styleId="JuCourt">
    <w:name w:val="Ju_Court"/>
    <w:basedOn w:val="Normal"/>
    <w:next w:val="Normal"/>
    <w:uiPriority w:val="16"/>
    <w:qFormat/>
    <w:rsid w:val="002C3BD2"/>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2C3BD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C3BD2"/>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2C3BD2"/>
    <w:pPr>
      <w:tabs>
        <w:tab w:val="center" w:pos="6407"/>
      </w:tabs>
      <w:spacing w:before="720"/>
      <w:jc w:val="right"/>
    </w:pPr>
  </w:style>
  <w:style w:type="paragraph" w:customStyle="1" w:styleId="ECHRTitle1">
    <w:name w:val="ECHR_Title_1"/>
    <w:aliases w:val="Ju_H_Head"/>
    <w:basedOn w:val="Normal"/>
    <w:next w:val="ECHRPara"/>
    <w:uiPriority w:val="18"/>
    <w:qFormat/>
    <w:rsid w:val="002C3BD2"/>
    <w:pPr>
      <w:keepNext/>
      <w:keepLines/>
      <w:spacing w:before="720" w:after="240"/>
      <w:outlineLvl w:val="0"/>
    </w:pPr>
    <w:rPr>
      <w:rFonts w:asciiTheme="majorHAnsi" w:hAnsiTheme="majorHAnsi"/>
      <w:sz w:val="28"/>
    </w:rPr>
  </w:style>
  <w:style w:type="character" w:customStyle="1" w:styleId="JUNAMES">
    <w:name w:val="JU_NAMES"/>
    <w:uiPriority w:val="17"/>
    <w:qFormat/>
    <w:rsid w:val="002C3BD2"/>
    <w:rPr>
      <w:caps w:val="0"/>
      <w:smallCaps/>
    </w:rPr>
  </w:style>
  <w:style w:type="paragraph" w:customStyle="1" w:styleId="JuSigned">
    <w:name w:val="Ju_Signed"/>
    <w:basedOn w:val="Normal"/>
    <w:next w:val="JuParaLast"/>
    <w:uiPriority w:val="32"/>
    <w:qFormat/>
    <w:rsid w:val="002C3BD2"/>
    <w:pPr>
      <w:tabs>
        <w:tab w:val="center" w:pos="851"/>
        <w:tab w:val="center" w:pos="6407"/>
      </w:tabs>
      <w:spacing w:before="720"/>
      <w:jc w:val="left"/>
    </w:pPr>
  </w:style>
  <w:style w:type="paragraph" w:styleId="Title">
    <w:name w:val="Title"/>
    <w:basedOn w:val="Normal"/>
    <w:next w:val="Normal"/>
    <w:link w:val="TitleChar"/>
    <w:uiPriority w:val="99"/>
    <w:semiHidden/>
    <w:qFormat/>
    <w:rsid w:val="002C3BD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C3BD2"/>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2C3BD2"/>
    <w:pPr>
      <w:ind w:left="284"/>
    </w:pPr>
  </w:style>
  <w:style w:type="paragraph" w:customStyle="1" w:styleId="JuQuotSub">
    <w:name w:val="Ju_Quot_Sub"/>
    <w:basedOn w:val="ECHRParaQuote"/>
    <w:uiPriority w:val="15"/>
    <w:qFormat/>
    <w:rsid w:val="002C3BD2"/>
    <w:pPr>
      <w:ind w:left="567"/>
    </w:pPr>
  </w:style>
  <w:style w:type="character" w:customStyle="1" w:styleId="JuITMark">
    <w:name w:val="Ju_ITMark"/>
    <w:basedOn w:val="DefaultParagraphFont"/>
    <w:uiPriority w:val="38"/>
    <w:qFormat/>
    <w:rsid w:val="002C3BD2"/>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2C3BD2"/>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C3BD2"/>
    <w:pPr>
      <w:ind w:left="635" w:hanging="357"/>
      <w:outlineLvl w:val="2"/>
    </w:pPr>
  </w:style>
  <w:style w:type="paragraph" w:customStyle="1" w:styleId="ECHRHeading1">
    <w:name w:val="ECHR_Heading_1"/>
    <w:aliases w:val="Ju_H_I_Roman"/>
    <w:basedOn w:val="Heading1"/>
    <w:next w:val="ECHRPara"/>
    <w:uiPriority w:val="19"/>
    <w:qFormat/>
    <w:rsid w:val="002C3BD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C3BD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C3BD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C3BD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C3BD2"/>
    <w:rPr>
      <w:sz w:val="24"/>
      <w:lang w:val="en-GB"/>
    </w:rPr>
  </w:style>
  <w:style w:type="character" w:customStyle="1" w:styleId="Heading1Char">
    <w:name w:val="Heading 1 Char"/>
    <w:basedOn w:val="DefaultParagraphFont"/>
    <w:link w:val="Heading1"/>
    <w:uiPriority w:val="99"/>
    <w:semiHidden/>
    <w:rsid w:val="002C3BD2"/>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C3BD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C3BD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C3BD2"/>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C3BD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C3BD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C3BD2"/>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2C3BD2"/>
    <w:pPr>
      <w:keepNext/>
      <w:keepLines/>
      <w:spacing w:before="240"/>
      <w:ind w:firstLine="284"/>
    </w:pPr>
  </w:style>
  <w:style w:type="paragraph" w:customStyle="1" w:styleId="ECHRDecisionBody">
    <w:name w:val="ECHR_Decision_Body"/>
    <w:aliases w:val="Ju_Judges"/>
    <w:basedOn w:val="Normal"/>
    <w:uiPriority w:val="11"/>
    <w:qFormat/>
    <w:rsid w:val="002C3BD2"/>
    <w:pPr>
      <w:tabs>
        <w:tab w:val="left" w:pos="567"/>
        <w:tab w:val="left" w:pos="1134"/>
      </w:tabs>
      <w:jc w:val="left"/>
    </w:pPr>
  </w:style>
  <w:style w:type="character" w:customStyle="1" w:styleId="Heading4Char">
    <w:name w:val="Heading 4 Char"/>
    <w:basedOn w:val="DefaultParagraphFont"/>
    <w:link w:val="Heading4"/>
    <w:uiPriority w:val="99"/>
    <w:semiHidden/>
    <w:rsid w:val="002C3BD2"/>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2C3BD2"/>
    <w:pPr>
      <w:ind w:left="340" w:hanging="340"/>
    </w:pPr>
  </w:style>
  <w:style w:type="character" w:customStyle="1" w:styleId="Heading5Char">
    <w:name w:val="Heading 5 Char"/>
    <w:basedOn w:val="DefaultParagraphFont"/>
    <w:link w:val="Heading5"/>
    <w:uiPriority w:val="99"/>
    <w:semiHidden/>
    <w:rsid w:val="002C3BD2"/>
    <w:rPr>
      <w:rFonts w:asciiTheme="majorHAnsi" w:eastAsiaTheme="majorEastAsia" w:hAnsiTheme="majorHAnsi" w:cstheme="majorBidi"/>
      <w:b/>
      <w:bCs/>
      <w:color w:val="808080"/>
    </w:rPr>
  </w:style>
  <w:style w:type="paragraph" w:customStyle="1" w:styleId="JuLista">
    <w:name w:val="Ju_List_a"/>
    <w:basedOn w:val="JuList"/>
    <w:uiPriority w:val="28"/>
    <w:qFormat/>
    <w:rsid w:val="002C3BD2"/>
    <w:pPr>
      <w:ind w:left="346" w:firstLine="0"/>
    </w:pPr>
  </w:style>
  <w:style w:type="paragraph" w:customStyle="1" w:styleId="JuListi">
    <w:name w:val="Ju_List_i"/>
    <w:basedOn w:val="Normal"/>
    <w:next w:val="JuLista"/>
    <w:uiPriority w:val="28"/>
    <w:qFormat/>
    <w:rsid w:val="002C3BD2"/>
    <w:pPr>
      <w:ind w:left="794"/>
    </w:pPr>
  </w:style>
  <w:style w:type="character" w:styleId="SubtleEmphasis">
    <w:name w:val="Subtle Emphasis"/>
    <w:uiPriority w:val="99"/>
    <w:semiHidden/>
    <w:qFormat/>
    <w:rsid w:val="002C3BD2"/>
    <w:rPr>
      <w:i/>
      <w:iCs/>
    </w:rPr>
  </w:style>
  <w:style w:type="paragraph" w:customStyle="1" w:styleId="OpiHa">
    <w:name w:val="Opi_H_a"/>
    <w:basedOn w:val="ECHRHeading3"/>
    <w:uiPriority w:val="43"/>
    <w:qFormat/>
    <w:rsid w:val="002C3BD2"/>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2C3BD2"/>
    <w:pPr>
      <w:tabs>
        <w:tab w:val="clear" w:pos="357"/>
      </w:tabs>
      <w:outlineLvl w:val="1"/>
    </w:pPr>
    <w:rPr>
      <w:b/>
    </w:rPr>
  </w:style>
  <w:style w:type="paragraph" w:customStyle="1" w:styleId="OpiHi">
    <w:name w:val="Opi_H_i"/>
    <w:basedOn w:val="ECHRHeading4"/>
    <w:uiPriority w:val="44"/>
    <w:qFormat/>
    <w:rsid w:val="002C3BD2"/>
    <w:pPr>
      <w:ind w:left="1037" w:hanging="357"/>
      <w:outlineLvl w:val="4"/>
    </w:pPr>
    <w:rPr>
      <w:b w:val="0"/>
      <w:i/>
    </w:rPr>
  </w:style>
  <w:style w:type="paragraph" w:customStyle="1" w:styleId="OpiPara">
    <w:name w:val="Opi_Para"/>
    <w:basedOn w:val="ECHRPara"/>
    <w:uiPriority w:val="46"/>
    <w:qFormat/>
    <w:rsid w:val="002C3BD2"/>
  </w:style>
  <w:style w:type="character" w:styleId="Emphasis">
    <w:name w:val="Emphasis"/>
    <w:uiPriority w:val="99"/>
    <w:semiHidden/>
    <w:qFormat/>
    <w:rsid w:val="002C3BD2"/>
    <w:rPr>
      <w:b/>
      <w:bCs/>
      <w:i/>
      <w:iCs/>
      <w:spacing w:val="10"/>
      <w:bdr w:val="none" w:sz="0" w:space="0" w:color="auto"/>
      <w:shd w:val="clear" w:color="auto" w:fill="auto"/>
    </w:rPr>
  </w:style>
  <w:style w:type="paragraph" w:styleId="Footer">
    <w:name w:val="footer"/>
    <w:basedOn w:val="Normal"/>
    <w:link w:val="FooterChar"/>
    <w:uiPriority w:val="57"/>
    <w:semiHidden/>
    <w:rsid w:val="002C3BD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C3BD2"/>
    <w:rPr>
      <w:sz w:val="24"/>
      <w:lang w:val="en-GB"/>
    </w:rPr>
  </w:style>
  <w:style w:type="character" w:styleId="FootnoteReference">
    <w:name w:val="footnote reference"/>
    <w:basedOn w:val="DefaultParagraphFont"/>
    <w:uiPriority w:val="99"/>
    <w:semiHidden/>
    <w:rsid w:val="002C3BD2"/>
    <w:rPr>
      <w:vertAlign w:val="superscript"/>
    </w:rPr>
  </w:style>
  <w:style w:type="paragraph" w:styleId="FootnoteText">
    <w:name w:val="footnote text"/>
    <w:basedOn w:val="Normal"/>
    <w:link w:val="FootnoteTextChar"/>
    <w:uiPriority w:val="99"/>
    <w:semiHidden/>
    <w:rsid w:val="002C3BD2"/>
    <w:rPr>
      <w:sz w:val="20"/>
      <w:szCs w:val="20"/>
    </w:rPr>
  </w:style>
  <w:style w:type="character" w:customStyle="1" w:styleId="FootnoteTextChar">
    <w:name w:val="Footnote Text Char"/>
    <w:basedOn w:val="DefaultParagraphFont"/>
    <w:link w:val="FootnoteText"/>
    <w:uiPriority w:val="99"/>
    <w:semiHidden/>
    <w:rsid w:val="002C3BD2"/>
    <w:rPr>
      <w:rFonts w:eastAsiaTheme="minorEastAsia"/>
      <w:sz w:val="20"/>
      <w:szCs w:val="20"/>
      <w:lang w:val="en-GB"/>
    </w:rPr>
  </w:style>
  <w:style w:type="character" w:customStyle="1" w:styleId="Heading6Char">
    <w:name w:val="Heading 6 Char"/>
    <w:basedOn w:val="DefaultParagraphFont"/>
    <w:link w:val="Heading6"/>
    <w:uiPriority w:val="99"/>
    <w:semiHidden/>
    <w:rsid w:val="002C3BD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C3BD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C3BD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C3BD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C3BD2"/>
    <w:rPr>
      <w:color w:val="0072BC" w:themeColor="hyperlink"/>
      <w:u w:val="single"/>
    </w:rPr>
  </w:style>
  <w:style w:type="character" w:styleId="IntenseEmphasis">
    <w:name w:val="Intense Emphasis"/>
    <w:uiPriority w:val="99"/>
    <w:semiHidden/>
    <w:qFormat/>
    <w:rsid w:val="002C3BD2"/>
    <w:rPr>
      <w:b/>
      <w:bCs/>
    </w:rPr>
  </w:style>
  <w:style w:type="paragraph" w:styleId="IntenseQuote">
    <w:name w:val="Intense Quote"/>
    <w:basedOn w:val="Normal"/>
    <w:next w:val="Normal"/>
    <w:link w:val="IntenseQuoteChar"/>
    <w:uiPriority w:val="99"/>
    <w:semiHidden/>
    <w:qFormat/>
    <w:rsid w:val="002C3BD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C3BD2"/>
    <w:rPr>
      <w:rFonts w:eastAsiaTheme="minorEastAsia"/>
      <w:b/>
      <w:bCs/>
      <w:i/>
      <w:iCs/>
      <w:lang w:bidi="en-US"/>
    </w:rPr>
  </w:style>
  <w:style w:type="character" w:styleId="IntenseReference">
    <w:name w:val="Intense Reference"/>
    <w:uiPriority w:val="99"/>
    <w:semiHidden/>
    <w:qFormat/>
    <w:rsid w:val="002C3BD2"/>
    <w:rPr>
      <w:smallCaps/>
      <w:spacing w:val="5"/>
      <w:u w:val="single"/>
    </w:rPr>
  </w:style>
  <w:style w:type="paragraph" w:styleId="ListParagraph">
    <w:name w:val="List Paragraph"/>
    <w:basedOn w:val="Normal"/>
    <w:uiPriority w:val="99"/>
    <w:semiHidden/>
    <w:qFormat/>
    <w:rsid w:val="002C3BD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C3BD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C3BD2"/>
    <w:rPr>
      <w:rFonts w:eastAsiaTheme="minorEastAsia"/>
      <w:i/>
      <w:iCs/>
      <w:lang w:bidi="en-US"/>
    </w:rPr>
  </w:style>
  <w:style w:type="character" w:styleId="SubtleReference">
    <w:name w:val="Subtle Reference"/>
    <w:uiPriority w:val="99"/>
    <w:semiHidden/>
    <w:qFormat/>
    <w:rsid w:val="002C3BD2"/>
    <w:rPr>
      <w:smallCaps/>
    </w:rPr>
  </w:style>
  <w:style w:type="table" w:styleId="TableGrid">
    <w:name w:val="Table Grid"/>
    <w:basedOn w:val="TableNormal"/>
    <w:uiPriority w:val="59"/>
    <w:semiHidden/>
    <w:rsid w:val="002C3BD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C3B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C3B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C3B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C3B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C3B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C3BD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C3BD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C3BD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C3BD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C3BD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C3BD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C3BD2"/>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2C3BD2"/>
    <w:rPr>
      <w:vertAlign w:val="superscript"/>
    </w:rPr>
  </w:style>
  <w:style w:type="paragraph" w:styleId="EndnoteText">
    <w:name w:val="endnote text"/>
    <w:basedOn w:val="Normal"/>
    <w:link w:val="EndnoteTextChar"/>
    <w:uiPriority w:val="99"/>
    <w:semiHidden/>
    <w:rsid w:val="002C3BD2"/>
    <w:rPr>
      <w:sz w:val="20"/>
      <w:szCs w:val="20"/>
    </w:rPr>
  </w:style>
  <w:style w:type="character" w:customStyle="1" w:styleId="EndnoteTextChar">
    <w:name w:val="Endnote Text Char"/>
    <w:basedOn w:val="DefaultParagraphFont"/>
    <w:link w:val="EndnoteText"/>
    <w:uiPriority w:val="99"/>
    <w:semiHidden/>
    <w:rsid w:val="002C3BD2"/>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2C3BD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C3B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C3B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2C3BD2"/>
  </w:style>
  <w:style w:type="paragraph" w:customStyle="1" w:styleId="OpiQuot">
    <w:name w:val="Opi_Quot"/>
    <w:basedOn w:val="ECHRParaQuote"/>
    <w:uiPriority w:val="48"/>
    <w:qFormat/>
    <w:rsid w:val="002C3BD2"/>
  </w:style>
  <w:style w:type="paragraph" w:customStyle="1" w:styleId="ECHRFooter">
    <w:name w:val="ECHR_Footer"/>
    <w:aliases w:val="Footer_ECHR"/>
    <w:basedOn w:val="Footer"/>
    <w:uiPriority w:val="57"/>
    <w:semiHidden/>
    <w:rsid w:val="002C3BD2"/>
    <w:pPr>
      <w:jc w:val="left"/>
    </w:pPr>
    <w:rPr>
      <w:sz w:val="8"/>
    </w:rPr>
  </w:style>
  <w:style w:type="paragraph" w:customStyle="1" w:styleId="ECHRFooterLine">
    <w:name w:val="ECHR_Footer_Line"/>
    <w:aliases w:val="Footer_Line"/>
    <w:basedOn w:val="Normal"/>
    <w:next w:val="ECHRFooter"/>
    <w:uiPriority w:val="57"/>
    <w:semiHidden/>
    <w:rsid w:val="002C3BD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C3BD2"/>
    <w:pPr>
      <w:spacing w:after="240"/>
      <w:jc w:val="center"/>
      <w:outlineLvl w:val="0"/>
    </w:pPr>
    <w:rPr>
      <w:rFonts w:asciiTheme="majorHAnsi" w:hAnsiTheme="majorHAnsi"/>
    </w:rPr>
  </w:style>
  <w:style w:type="paragraph" w:customStyle="1" w:styleId="OpiQuotSub">
    <w:name w:val="Opi_Quot_Sub"/>
    <w:basedOn w:val="JuQuotSub"/>
    <w:uiPriority w:val="49"/>
    <w:qFormat/>
    <w:rsid w:val="002C3BD2"/>
  </w:style>
  <w:style w:type="paragraph" w:customStyle="1" w:styleId="JuHeaderLandscape">
    <w:name w:val="Ju_Header_Landscape"/>
    <w:basedOn w:val="ECHRHeader"/>
    <w:uiPriority w:val="4"/>
    <w:qFormat/>
    <w:rsid w:val="002C3BD2"/>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2C3BD2"/>
    <w:pPr>
      <w:jc w:val="center"/>
      <w:outlineLvl w:val="0"/>
    </w:pPr>
    <w:rPr>
      <w:i/>
    </w:rPr>
  </w:style>
  <w:style w:type="character" w:customStyle="1" w:styleId="ECHRParaChar">
    <w:name w:val="ECHR_Para Char"/>
    <w:aliases w:val="Ju_Para Char"/>
    <w:link w:val="ECHRPara"/>
    <w:uiPriority w:val="12"/>
    <w:rsid w:val="007D085E"/>
    <w:rPr>
      <w:rFonts w:eastAsiaTheme="minorEastAsia"/>
      <w:sz w:val="24"/>
      <w:lang w:val="en-GB"/>
    </w:rPr>
  </w:style>
  <w:style w:type="paragraph" w:styleId="Revision">
    <w:name w:val="Revision"/>
    <w:hidden/>
    <w:uiPriority w:val="99"/>
    <w:semiHidden/>
    <w:rsid w:val="007D085E"/>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19351">
      <w:bodyDiv w:val="1"/>
      <w:marLeft w:val="0"/>
      <w:marRight w:val="0"/>
      <w:marTop w:val="0"/>
      <w:marBottom w:val="0"/>
      <w:divBdr>
        <w:top w:val="none" w:sz="0" w:space="0" w:color="auto"/>
        <w:left w:val="none" w:sz="0" w:space="0" w:color="auto"/>
        <w:bottom w:val="none" w:sz="0" w:space="0" w:color="auto"/>
        <w:right w:val="none" w:sz="0" w:space="0" w:color="auto"/>
      </w:divBdr>
    </w:div>
    <w:div w:id="31549338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67BE7E-FDFD-4669-B4A2-F39D5AD84EF0}"/>
</file>

<file path=customXml/itemProps2.xml><?xml version="1.0" encoding="utf-8"?>
<ds:datastoreItem xmlns:ds="http://schemas.openxmlformats.org/officeDocument/2006/customXml" ds:itemID="{C85F81E6-77A0-4425-9A2D-AF4A1703B749}"/>
</file>

<file path=customXml/itemProps3.xml><?xml version="1.0" encoding="utf-8"?>
<ds:datastoreItem xmlns:ds="http://schemas.openxmlformats.org/officeDocument/2006/customXml" ds:itemID="{7EFE7EA8-5F6C-424D-A001-2A1B7BF697FD}"/>
</file>

<file path=customXml/itemProps4.xml><?xml version="1.0" encoding="utf-8"?>
<ds:datastoreItem xmlns:ds="http://schemas.openxmlformats.org/officeDocument/2006/customXml" ds:itemID="{713AA00A-67C9-4538-ADD5-254689E66A0A}"/>
</file>

<file path=docProps/app.xml><?xml version="1.0" encoding="utf-8"?>
<Properties xmlns="http://schemas.openxmlformats.org/officeDocument/2006/extended-properties" xmlns:vt="http://schemas.openxmlformats.org/officeDocument/2006/docPropsVTypes">
  <Template>Normal.dotm</Template>
  <TotalTime>0</TotalTime>
  <Pages>1</Pages>
  <Words>6094</Words>
  <Characters>34741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DE2.0a</vt:lpstr>
    </vt:vector>
  </TitlesOfParts>
  <Manager/>
  <Company/>
  <LinksUpToDate>false</LinksUpToDate>
  <CharactersWithSpaces>40754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2020-07-23T09:59:00Z</dcterms:created>
  <dcterms:modified xsi:type="dcterms:W3CDTF">2020-07-23T09:59:00Z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52623/14</vt:lpwstr>
  </property>
  <property fmtid="{D5CDD505-2E9C-101B-9397-08002B2CF9AE}" pid="4" name="CASEID">
    <vt:lpwstr>1044338</vt:lpwstr>
  </property>
  <property fmtid="{D5CDD505-2E9C-101B-9397-08002B2CF9AE}" pid="5" name="ContentTypeId">
    <vt:lpwstr>0x010100558EB02BDB9E204AB350EDD385B68E10</vt:lpwstr>
  </property>
</Properties>
</file>