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651D2" w:rsidR="002D2C99" w:rsidP="00F651D2" w:rsidRDefault="002D2C99">
      <w:pPr>
        <w:pStyle w:val="ECHRDecisionBody"/>
        <w:jc w:val="center"/>
        <w:rPr>
          <w:lang w:val="fr-FR"/>
        </w:rPr>
      </w:pPr>
    </w:p>
    <w:p w:rsidRPr="00F651D2" w:rsidR="002D2C99" w:rsidP="00F651D2" w:rsidRDefault="002D2C99">
      <w:pPr>
        <w:jc w:val="center"/>
        <w:rPr>
          <w:lang w:val="fr-FR"/>
        </w:rPr>
      </w:pPr>
    </w:p>
    <w:p w:rsidRPr="00F651D2" w:rsidR="002D2C99" w:rsidP="00F651D2" w:rsidRDefault="00E14498">
      <w:pPr>
        <w:tabs>
          <w:tab w:val="left" w:pos="5529"/>
        </w:tabs>
        <w:jc w:val="center"/>
        <w:rPr>
          <w:lang w:val="fr-FR"/>
        </w:rPr>
      </w:pPr>
      <w:r w:rsidRPr="00F651D2">
        <w:rPr>
          <w:lang w:val="fr-FR"/>
        </w:rPr>
        <w:t>DEUXIÈME SECTION</w:t>
      </w:r>
    </w:p>
    <w:p w:rsidRPr="00F651D2" w:rsidR="002D2C99" w:rsidP="00F651D2" w:rsidRDefault="002D2C99">
      <w:pPr>
        <w:jc w:val="center"/>
        <w:rPr>
          <w:lang w:val="fr-FR"/>
        </w:rPr>
      </w:pPr>
    </w:p>
    <w:p w:rsidRPr="00F651D2" w:rsidR="002D2C99" w:rsidP="00F651D2" w:rsidRDefault="002D2C99">
      <w:pPr>
        <w:jc w:val="center"/>
        <w:rPr>
          <w:lang w:val="fr-FR"/>
        </w:rPr>
      </w:pPr>
    </w:p>
    <w:p w:rsidRPr="00F651D2" w:rsidR="002D2C99" w:rsidP="00F651D2" w:rsidRDefault="002D2C99">
      <w:pPr>
        <w:jc w:val="center"/>
        <w:rPr>
          <w:lang w:val="fr-FR"/>
        </w:rPr>
      </w:pPr>
    </w:p>
    <w:p w:rsidRPr="00F651D2" w:rsidR="002D2C99" w:rsidP="00F651D2" w:rsidRDefault="002D2C99">
      <w:pPr>
        <w:jc w:val="center"/>
        <w:rPr>
          <w:lang w:val="fr-FR"/>
        </w:rPr>
      </w:pPr>
    </w:p>
    <w:p w:rsidRPr="00F651D2" w:rsidR="001D393E" w:rsidP="00F651D2" w:rsidRDefault="001D393E">
      <w:pPr>
        <w:jc w:val="center"/>
        <w:rPr>
          <w:lang w:val="fr-FR"/>
        </w:rPr>
      </w:pPr>
    </w:p>
    <w:p w:rsidRPr="00F651D2" w:rsidR="001D393E" w:rsidP="00F651D2" w:rsidRDefault="001D393E">
      <w:pPr>
        <w:jc w:val="center"/>
        <w:rPr>
          <w:lang w:val="fr-FR"/>
        </w:rPr>
      </w:pPr>
    </w:p>
    <w:p w:rsidRPr="00F651D2" w:rsidR="002D2C99" w:rsidP="00F651D2" w:rsidRDefault="002D2C99">
      <w:pPr>
        <w:jc w:val="center"/>
        <w:rPr>
          <w:lang w:val="fr-FR"/>
        </w:rPr>
      </w:pPr>
    </w:p>
    <w:p w:rsidRPr="00F651D2" w:rsidR="002D2C99" w:rsidP="00F651D2" w:rsidRDefault="002D2C99">
      <w:pPr>
        <w:jc w:val="center"/>
        <w:rPr>
          <w:lang w:val="fr-FR"/>
        </w:rPr>
      </w:pPr>
    </w:p>
    <w:p w:rsidRPr="00F651D2" w:rsidR="002D2C99" w:rsidP="00F651D2" w:rsidRDefault="002D2C99">
      <w:pPr>
        <w:jc w:val="center"/>
        <w:outlineLvl w:val="0"/>
        <w:rPr>
          <w:b/>
          <w:lang w:val="fr-FR"/>
        </w:rPr>
      </w:pPr>
      <w:r w:rsidRPr="00F651D2">
        <w:rPr>
          <w:b/>
          <w:lang w:val="fr-FR"/>
        </w:rPr>
        <w:t xml:space="preserve">AFFAIRE </w:t>
      </w:r>
      <w:r w:rsidRPr="00F651D2" w:rsidR="00E14498">
        <w:rPr>
          <w:b/>
          <w:lang w:val="fr-FR"/>
        </w:rPr>
        <w:t>CRISTEA c. RÉPUBLIQUE DE MOLDOVA</w:t>
      </w:r>
    </w:p>
    <w:p w:rsidRPr="00F651D2" w:rsidR="002D2C99" w:rsidP="00F651D2" w:rsidRDefault="002D2C99">
      <w:pPr>
        <w:jc w:val="center"/>
        <w:rPr>
          <w:lang w:val="fr-FR"/>
        </w:rPr>
      </w:pPr>
    </w:p>
    <w:p w:rsidRPr="00F651D2" w:rsidR="002D2C99" w:rsidP="00F651D2" w:rsidRDefault="002D2C99">
      <w:pPr>
        <w:jc w:val="center"/>
        <w:rPr>
          <w:i/>
          <w:lang w:val="fr-FR"/>
        </w:rPr>
      </w:pPr>
      <w:r w:rsidRPr="00F651D2">
        <w:rPr>
          <w:i/>
          <w:lang w:val="fr-FR"/>
        </w:rPr>
        <w:t>(Requête n</w:t>
      </w:r>
      <w:r w:rsidRPr="00F651D2">
        <w:rPr>
          <w:i/>
          <w:vertAlign w:val="superscript"/>
          <w:lang w:val="fr-FR"/>
        </w:rPr>
        <w:t>o</w:t>
      </w:r>
      <w:r w:rsidRPr="00F651D2">
        <w:rPr>
          <w:i/>
          <w:lang w:val="fr-FR"/>
        </w:rPr>
        <w:t xml:space="preserve"> </w:t>
      </w:r>
      <w:r w:rsidRPr="00F651D2" w:rsidR="00E14498">
        <w:rPr>
          <w:i/>
          <w:lang w:val="fr-FR"/>
        </w:rPr>
        <w:t>35098/12</w:t>
      </w:r>
      <w:r w:rsidRPr="00F651D2">
        <w:rPr>
          <w:i/>
          <w:lang w:val="fr-FR"/>
        </w:rPr>
        <w:t>)</w:t>
      </w:r>
    </w:p>
    <w:p w:rsidRPr="00F651D2" w:rsidR="002D2C99" w:rsidP="00F651D2" w:rsidRDefault="002D2C99">
      <w:pPr>
        <w:jc w:val="center"/>
        <w:rPr>
          <w:lang w:val="fr-FR"/>
        </w:rPr>
      </w:pPr>
    </w:p>
    <w:p w:rsidRPr="00F651D2" w:rsidR="002D2C99" w:rsidP="00F651D2" w:rsidRDefault="002D2C99">
      <w:pPr>
        <w:jc w:val="center"/>
        <w:rPr>
          <w:lang w:val="fr-FR"/>
        </w:rPr>
      </w:pPr>
    </w:p>
    <w:p w:rsidRPr="00F651D2" w:rsidR="002D2C99" w:rsidP="00F651D2" w:rsidRDefault="002D2C99">
      <w:pPr>
        <w:jc w:val="center"/>
        <w:rPr>
          <w:lang w:val="fr-FR"/>
        </w:rPr>
      </w:pPr>
    </w:p>
    <w:p w:rsidRPr="00F651D2" w:rsidR="002D2C99" w:rsidP="00F651D2" w:rsidRDefault="002D2C99">
      <w:pPr>
        <w:jc w:val="center"/>
        <w:rPr>
          <w:lang w:val="fr-FR"/>
        </w:rPr>
      </w:pPr>
    </w:p>
    <w:p w:rsidRPr="00F651D2" w:rsidR="002D2C99" w:rsidP="00F651D2" w:rsidRDefault="002D2C99">
      <w:pPr>
        <w:jc w:val="center"/>
        <w:rPr>
          <w:lang w:val="fr-FR"/>
        </w:rPr>
      </w:pPr>
    </w:p>
    <w:p w:rsidRPr="00F651D2" w:rsidR="002D2C99" w:rsidP="00F651D2" w:rsidRDefault="002D2C99">
      <w:pPr>
        <w:jc w:val="center"/>
        <w:rPr>
          <w:lang w:val="fr-FR"/>
        </w:rPr>
      </w:pPr>
    </w:p>
    <w:p w:rsidRPr="00F651D2" w:rsidR="002D2C99" w:rsidP="00F651D2" w:rsidRDefault="002D2C99">
      <w:pPr>
        <w:jc w:val="center"/>
        <w:rPr>
          <w:lang w:val="fr-FR"/>
        </w:rPr>
      </w:pPr>
    </w:p>
    <w:p w:rsidRPr="00F651D2" w:rsidR="002D2C99" w:rsidP="00F651D2" w:rsidRDefault="002D2C99">
      <w:pPr>
        <w:jc w:val="center"/>
        <w:outlineLvl w:val="0"/>
        <w:rPr>
          <w:lang w:val="fr-FR"/>
        </w:rPr>
      </w:pPr>
      <w:r w:rsidRPr="00F651D2">
        <w:rPr>
          <w:lang w:val="fr-FR"/>
        </w:rPr>
        <w:t>ARRÊT</w:t>
      </w:r>
    </w:p>
    <w:p w:rsidRPr="00F651D2" w:rsidR="001D393E" w:rsidP="00F651D2" w:rsidRDefault="001D393E">
      <w:pPr>
        <w:jc w:val="center"/>
        <w:rPr>
          <w:lang w:val="fr-FR"/>
        </w:rPr>
      </w:pPr>
    </w:p>
    <w:p w:rsidRPr="00F651D2" w:rsidR="00100B4F" w:rsidP="00F651D2" w:rsidRDefault="00100B4F">
      <w:pPr>
        <w:jc w:val="center"/>
        <w:rPr>
          <w:lang w:val="fr-FR"/>
        </w:rPr>
      </w:pPr>
    </w:p>
    <w:p w:rsidRPr="00F651D2" w:rsidR="002D2C99" w:rsidP="00F651D2" w:rsidRDefault="002D2C99">
      <w:pPr>
        <w:jc w:val="center"/>
        <w:rPr>
          <w:lang w:val="fr-FR"/>
        </w:rPr>
      </w:pPr>
    </w:p>
    <w:p w:rsidRPr="00F651D2" w:rsidR="002D2C99" w:rsidP="00F651D2" w:rsidRDefault="002D2C99">
      <w:pPr>
        <w:jc w:val="center"/>
        <w:outlineLvl w:val="0"/>
        <w:rPr>
          <w:lang w:val="fr-FR"/>
        </w:rPr>
      </w:pPr>
      <w:r w:rsidRPr="00F651D2">
        <w:rPr>
          <w:lang w:val="fr-FR"/>
        </w:rPr>
        <w:t>STRASBOURG</w:t>
      </w:r>
    </w:p>
    <w:p w:rsidRPr="00F651D2" w:rsidR="002D2C99" w:rsidP="00F651D2" w:rsidRDefault="002D2C99">
      <w:pPr>
        <w:jc w:val="center"/>
        <w:rPr>
          <w:lang w:val="fr-FR"/>
        </w:rPr>
      </w:pPr>
    </w:p>
    <w:p w:rsidRPr="00F651D2" w:rsidR="002D2C99" w:rsidP="00F651D2" w:rsidRDefault="00E14498">
      <w:pPr>
        <w:jc w:val="center"/>
        <w:rPr>
          <w:lang w:val="fr-FR"/>
        </w:rPr>
      </w:pPr>
      <w:r w:rsidRPr="00F651D2">
        <w:rPr>
          <w:lang w:val="fr-FR"/>
        </w:rPr>
        <w:t>12 février 2019</w:t>
      </w:r>
    </w:p>
    <w:p w:rsidRPr="00F651D2" w:rsidR="002D2C99" w:rsidP="00F651D2" w:rsidRDefault="002D2C99">
      <w:pPr>
        <w:jc w:val="center"/>
        <w:rPr>
          <w:lang w:val="fr-FR"/>
        </w:rPr>
      </w:pPr>
    </w:p>
    <w:p w:rsidRPr="00F651D2" w:rsidR="00F651D2" w:rsidP="00F651D2" w:rsidRDefault="00F651D2">
      <w:pPr>
        <w:jc w:val="center"/>
        <w:rPr>
          <w:lang w:val="fr-FR"/>
        </w:rPr>
      </w:pPr>
    </w:p>
    <w:p w:rsidR="00B36B75" w:rsidP="00B36B75" w:rsidRDefault="00B36B75">
      <w:pPr>
        <w:pStyle w:val="jucase0"/>
        <w:ind w:firstLine="0"/>
        <w:jc w:val="center"/>
        <w:rPr>
          <w:color w:val="FF0000"/>
          <w:sz w:val="28"/>
          <w:szCs w:val="28"/>
          <w:u w:val="single"/>
          <w:lang w:val="fr-FR"/>
        </w:rPr>
      </w:pPr>
      <w:r>
        <w:rPr>
          <w:color w:val="FF0000"/>
          <w:sz w:val="28"/>
          <w:szCs w:val="28"/>
          <w:u w:val="single"/>
          <w:lang w:val="fr-FR"/>
        </w:rPr>
        <w:t>DÉFINITIF</w:t>
      </w:r>
    </w:p>
    <w:p w:rsidR="00B36B75" w:rsidP="00B36B75" w:rsidRDefault="00B36B75">
      <w:pPr>
        <w:pStyle w:val="jupara"/>
        <w:tabs>
          <w:tab w:val="left" w:pos="3450"/>
        </w:tabs>
        <w:ind w:firstLine="0"/>
        <w:jc w:val="center"/>
        <w:rPr>
          <w:color w:val="FF0000"/>
          <w:sz w:val="28"/>
          <w:szCs w:val="28"/>
          <w:lang w:val="fr-FR"/>
        </w:rPr>
      </w:pPr>
    </w:p>
    <w:p w:rsidR="00B36B75" w:rsidP="00B36B75" w:rsidRDefault="00B36B75">
      <w:pPr>
        <w:pStyle w:val="jupara"/>
        <w:ind w:firstLine="0"/>
        <w:jc w:val="center"/>
        <w:rPr>
          <w:color w:val="FF0000"/>
          <w:sz w:val="28"/>
          <w:szCs w:val="28"/>
          <w:lang w:val="fr-FR"/>
        </w:rPr>
      </w:pPr>
      <w:r>
        <w:rPr>
          <w:color w:val="FF0000"/>
          <w:sz w:val="28"/>
          <w:szCs w:val="28"/>
          <w:lang w:val="fr-FR"/>
        </w:rPr>
        <w:t>12/05/2019</w:t>
      </w:r>
    </w:p>
    <w:p w:rsidR="00B36B75" w:rsidP="00B36B75" w:rsidRDefault="00B36B75">
      <w:pPr>
        <w:pStyle w:val="jupara"/>
        <w:ind w:firstLine="0"/>
        <w:jc w:val="center"/>
        <w:rPr>
          <w:u w:val="single"/>
          <w:lang w:val="fr-FR"/>
        </w:rPr>
      </w:pPr>
    </w:p>
    <w:p w:rsidR="00B36B75" w:rsidP="00B36B75" w:rsidRDefault="00B36B75">
      <w:pPr>
        <w:jc w:val="center"/>
        <w:rPr>
          <w:i/>
          <w:iCs/>
          <w:sz w:val="22"/>
          <w:lang w:val="fr-FR"/>
        </w:rPr>
      </w:pPr>
      <w:r>
        <w:rPr>
          <w:i/>
          <w:iCs/>
          <w:sz w:val="22"/>
          <w:lang w:val="fr-FR"/>
        </w:rPr>
        <w:t>Cet arrêt est devenu définitif en vertu de l’article 44 § 2 de la Convention. Il peut subir des retouches de forme.</w:t>
      </w:r>
    </w:p>
    <w:p w:rsidRPr="00F651D2" w:rsidR="00F651D2" w:rsidP="00F651D2" w:rsidRDefault="00F651D2">
      <w:pPr>
        <w:jc w:val="center"/>
        <w:rPr>
          <w:i/>
          <w:iCs/>
          <w:sz w:val="22"/>
          <w:lang w:val="fr-FR"/>
        </w:rPr>
      </w:pPr>
      <w:bookmarkStart w:name="_GoBack" w:id="0"/>
      <w:bookmarkEnd w:id="0"/>
    </w:p>
    <w:p w:rsidRPr="00F651D2" w:rsidR="002D2C99" w:rsidP="00F651D2" w:rsidRDefault="002D2C99">
      <w:pPr>
        <w:rPr>
          <w:lang w:val="fr-FR"/>
        </w:rPr>
        <w:sectPr w:rsidRPr="00F651D2"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F651D2" w:rsidR="002D2C99" w:rsidP="00F651D2" w:rsidRDefault="002D2C99">
      <w:pPr>
        <w:pStyle w:val="JuCase"/>
        <w:rPr>
          <w:lang w:val="fr-FR"/>
        </w:rPr>
      </w:pPr>
      <w:r w:rsidRPr="00F651D2">
        <w:rPr>
          <w:lang w:val="fr-FR"/>
        </w:rPr>
        <w:t>En l</w:t>
      </w:r>
      <w:r w:rsidRPr="00F651D2" w:rsidR="00F651D2">
        <w:rPr>
          <w:lang w:val="fr-FR"/>
        </w:rPr>
        <w:t>’</w:t>
      </w:r>
      <w:r w:rsidRPr="00F651D2">
        <w:rPr>
          <w:lang w:val="fr-FR"/>
        </w:rPr>
        <w:t xml:space="preserve">affaire </w:t>
      </w:r>
      <w:proofErr w:type="spellStart"/>
      <w:r w:rsidRPr="00F651D2" w:rsidR="00E14498">
        <w:rPr>
          <w:lang w:val="fr-FR"/>
        </w:rPr>
        <w:t>Cristea</w:t>
      </w:r>
      <w:proofErr w:type="spellEnd"/>
      <w:r w:rsidRPr="00F651D2" w:rsidR="00E14498">
        <w:rPr>
          <w:lang w:val="fr-FR"/>
        </w:rPr>
        <w:t xml:space="preserve"> c. République de Moldova</w:t>
      </w:r>
      <w:r w:rsidRPr="00F651D2">
        <w:rPr>
          <w:lang w:val="fr-FR"/>
        </w:rPr>
        <w:t>,</w:t>
      </w:r>
    </w:p>
    <w:p w:rsidRPr="00F651D2" w:rsidR="00E14498" w:rsidP="00F651D2" w:rsidRDefault="00E14498">
      <w:pPr>
        <w:pStyle w:val="ECHRPara"/>
        <w:rPr>
          <w:lang w:val="fr-FR"/>
        </w:rPr>
      </w:pPr>
      <w:r w:rsidRPr="00F651D2">
        <w:rPr>
          <w:lang w:val="fr-FR"/>
        </w:rPr>
        <w:t>La Cour européenne des droits de l</w:t>
      </w:r>
      <w:r w:rsidRPr="00F651D2" w:rsidR="00F651D2">
        <w:rPr>
          <w:lang w:val="fr-FR"/>
        </w:rPr>
        <w:t>’</w:t>
      </w:r>
      <w:r w:rsidRPr="00F651D2">
        <w:rPr>
          <w:lang w:val="fr-FR"/>
        </w:rPr>
        <w:t>homme (deuxième section), siégeant en une chambre composée de :</w:t>
      </w:r>
    </w:p>
    <w:p w:rsidRPr="00F651D2" w:rsidR="00E14498" w:rsidP="00F651D2" w:rsidRDefault="00E14498">
      <w:pPr>
        <w:pStyle w:val="ECHRDecisionBody"/>
        <w:rPr>
          <w:lang w:val="fr-FR"/>
        </w:rPr>
      </w:pPr>
      <w:r w:rsidRPr="00F651D2">
        <w:rPr>
          <w:lang w:val="fr-FR"/>
        </w:rPr>
        <w:tab/>
        <w:t>Robert Spano,</w:t>
      </w:r>
      <w:r w:rsidRPr="00F651D2">
        <w:rPr>
          <w:i/>
          <w:lang w:val="fr-FR"/>
        </w:rPr>
        <w:t xml:space="preserve"> président,</w:t>
      </w:r>
      <w:r w:rsidRPr="00F651D2">
        <w:rPr>
          <w:i/>
          <w:lang w:val="fr-FR"/>
        </w:rPr>
        <w:br/>
      </w:r>
      <w:r w:rsidRPr="00F651D2">
        <w:rPr>
          <w:lang w:val="fr-FR"/>
        </w:rPr>
        <w:tab/>
      </w:r>
      <w:proofErr w:type="spellStart"/>
      <w:r w:rsidRPr="00F651D2">
        <w:rPr>
          <w:lang w:val="fr-FR"/>
        </w:rPr>
        <w:t>Işıl</w:t>
      </w:r>
      <w:proofErr w:type="spellEnd"/>
      <w:r w:rsidRPr="00F651D2">
        <w:rPr>
          <w:lang w:val="fr-FR"/>
        </w:rPr>
        <w:t xml:space="preserve"> </w:t>
      </w:r>
      <w:proofErr w:type="spellStart"/>
      <w:r w:rsidRPr="00F651D2">
        <w:rPr>
          <w:lang w:val="fr-FR"/>
        </w:rPr>
        <w:t>Karakaş</w:t>
      </w:r>
      <w:proofErr w:type="spellEnd"/>
      <w:r w:rsidRPr="00F651D2">
        <w:rPr>
          <w:lang w:val="fr-FR"/>
        </w:rPr>
        <w:t>,</w:t>
      </w:r>
      <w:r w:rsidRPr="00F651D2">
        <w:rPr>
          <w:i/>
          <w:lang w:val="fr-FR"/>
        </w:rPr>
        <w:br/>
      </w:r>
      <w:r w:rsidRPr="00F651D2">
        <w:rPr>
          <w:lang w:val="fr-FR"/>
        </w:rPr>
        <w:tab/>
        <w:t>Julia Laffranque,</w:t>
      </w:r>
      <w:r w:rsidRPr="00F651D2">
        <w:rPr>
          <w:i/>
          <w:lang w:val="fr-FR"/>
        </w:rPr>
        <w:br/>
      </w:r>
      <w:r w:rsidRPr="00F651D2">
        <w:rPr>
          <w:lang w:val="fr-FR"/>
        </w:rPr>
        <w:tab/>
      </w:r>
      <w:proofErr w:type="spellStart"/>
      <w:r w:rsidRPr="00F651D2">
        <w:rPr>
          <w:lang w:val="fr-FR"/>
        </w:rPr>
        <w:t>Valeriu</w:t>
      </w:r>
      <w:proofErr w:type="spellEnd"/>
      <w:r w:rsidRPr="00F651D2">
        <w:rPr>
          <w:lang w:val="fr-FR"/>
        </w:rPr>
        <w:t xml:space="preserve"> </w:t>
      </w:r>
      <w:proofErr w:type="spellStart"/>
      <w:r w:rsidRPr="00F651D2">
        <w:rPr>
          <w:lang w:val="fr-FR"/>
        </w:rPr>
        <w:t>Griţco</w:t>
      </w:r>
      <w:proofErr w:type="spellEnd"/>
      <w:r w:rsidRPr="00F651D2">
        <w:rPr>
          <w:lang w:val="fr-FR"/>
        </w:rPr>
        <w:t>,</w:t>
      </w:r>
      <w:r w:rsidRPr="00F651D2">
        <w:rPr>
          <w:i/>
          <w:lang w:val="fr-FR"/>
        </w:rPr>
        <w:br/>
      </w:r>
      <w:r w:rsidRPr="00F651D2">
        <w:rPr>
          <w:lang w:val="fr-FR"/>
        </w:rPr>
        <w:tab/>
        <w:t xml:space="preserve">Jon </w:t>
      </w:r>
      <w:proofErr w:type="spellStart"/>
      <w:r w:rsidRPr="00F651D2">
        <w:rPr>
          <w:lang w:val="fr-FR"/>
        </w:rPr>
        <w:t>Fridrik</w:t>
      </w:r>
      <w:proofErr w:type="spellEnd"/>
      <w:r w:rsidRPr="00F651D2">
        <w:rPr>
          <w:lang w:val="fr-FR"/>
        </w:rPr>
        <w:t xml:space="preserve"> </w:t>
      </w:r>
      <w:proofErr w:type="spellStart"/>
      <w:r w:rsidRPr="00F651D2">
        <w:rPr>
          <w:lang w:val="fr-FR"/>
        </w:rPr>
        <w:t>Kjølbro</w:t>
      </w:r>
      <w:proofErr w:type="spellEnd"/>
      <w:r w:rsidRPr="00F651D2">
        <w:rPr>
          <w:lang w:val="fr-FR"/>
        </w:rPr>
        <w:t>,</w:t>
      </w:r>
      <w:r w:rsidRPr="00F651D2">
        <w:rPr>
          <w:i/>
          <w:lang w:val="fr-FR"/>
        </w:rPr>
        <w:br/>
      </w:r>
      <w:r w:rsidRPr="00F651D2">
        <w:rPr>
          <w:lang w:val="fr-FR"/>
        </w:rPr>
        <w:tab/>
        <w:t xml:space="preserve">Ivana </w:t>
      </w:r>
      <w:proofErr w:type="spellStart"/>
      <w:r w:rsidRPr="00F651D2">
        <w:rPr>
          <w:lang w:val="fr-FR"/>
        </w:rPr>
        <w:t>Jelić</w:t>
      </w:r>
      <w:proofErr w:type="spellEnd"/>
      <w:r w:rsidRPr="00F651D2">
        <w:rPr>
          <w:lang w:val="fr-FR"/>
        </w:rPr>
        <w:t>,</w:t>
      </w:r>
      <w:r w:rsidRPr="00F651D2">
        <w:rPr>
          <w:i/>
          <w:lang w:val="fr-FR"/>
        </w:rPr>
        <w:br/>
      </w:r>
      <w:r w:rsidRPr="00F651D2">
        <w:rPr>
          <w:lang w:val="fr-FR"/>
        </w:rPr>
        <w:tab/>
      </w:r>
      <w:proofErr w:type="spellStart"/>
      <w:r w:rsidRPr="00F651D2">
        <w:rPr>
          <w:lang w:val="fr-FR"/>
        </w:rPr>
        <w:t>Arnfinn</w:t>
      </w:r>
      <w:proofErr w:type="spellEnd"/>
      <w:r w:rsidRPr="00F651D2">
        <w:rPr>
          <w:lang w:val="fr-FR"/>
        </w:rPr>
        <w:t xml:space="preserve"> </w:t>
      </w:r>
      <w:proofErr w:type="spellStart"/>
      <w:r w:rsidRPr="00F651D2">
        <w:rPr>
          <w:lang w:val="fr-FR"/>
        </w:rPr>
        <w:t>Bårdsen</w:t>
      </w:r>
      <w:proofErr w:type="spellEnd"/>
      <w:r w:rsidRPr="00F651D2">
        <w:rPr>
          <w:lang w:val="fr-FR"/>
        </w:rPr>
        <w:t>,</w:t>
      </w:r>
      <w:r w:rsidRPr="00F651D2">
        <w:rPr>
          <w:i/>
          <w:lang w:val="fr-FR"/>
        </w:rPr>
        <w:t xml:space="preserve"> juges</w:t>
      </w:r>
      <w:proofErr w:type="gramStart"/>
      <w:r w:rsidRPr="00F651D2">
        <w:rPr>
          <w:i/>
          <w:lang w:val="fr-FR"/>
        </w:rPr>
        <w:t>,</w:t>
      </w:r>
      <w:proofErr w:type="gramEnd"/>
      <w:r w:rsidRPr="00F651D2">
        <w:rPr>
          <w:i/>
          <w:lang w:val="fr-FR"/>
        </w:rPr>
        <w:br/>
      </w:r>
      <w:r w:rsidRPr="00F651D2">
        <w:rPr>
          <w:lang w:val="fr-FR"/>
        </w:rPr>
        <w:t xml:space="preserve">et de Stanley Naismith, </w:t>
      </w:r>
      <w:r w:rsidRPr="00F651D2">
        <w:rPr>
          <w:i/>
          <w:lang w:val="fr-FR"/>
        </w:rPr>
        <w:t>greffier</w:t>
      </w:r>
      <w:r w:rsidRPr="00F651D2">
        <w:rPr>
          <w:iCs/>
          <w:lang w:val="fr-FR"/>
        </w:rPr>
        <w:t xml:space="preserve"> </w:t>
      </w:r>
      <w:r w:rsidRPr="00F651D2">
        <w:rPr>
          <w:i/>
          <w:iCs/>
          <w:lang w:val="fr-FR"/>
        </w:rPr>
        <w:t>d</w:t>
      </w:r>
      <w:r w:rsidRPr="00F651D2">
        <w:rPr>
          <w:i/>
          <w:lang w:val="fr-FR"/>
        </w:rPr>
        <w:t>e section</w:t>
      </w:r>
      <w:r w:rsidRPr="00F651D2">
        <w:rPr>
          <w:lang w:val="fr-FR"/>
        </w:rPr>
        <w:t>,</w:t>
      </w:r>
    </w:p>
    <w:p w:rsidRPr="00F651D2" w:rsidR="00E14498" w:rsidP="00F651D2" w:rsidRDefault="00E14498">
      <w:pPr>
        <w:pStyle w:val="ECHRPara"/>
        <w:rPr>
          <w:lang w:val="fr-FR"/>
        </w:rPr>
      </w:pPr>
      <w:r w:rsidRPr="00F651D2">
        <w:rPr>
          <w:lang w:val="fr-FR"/>
        </w:rPr>
        <w:t>Après en avoir délibéré en chambre du conseil le 22 janvier 2019,</w:t>
      </w:r>
    </w:p>
    <w:p w:rsidRPr="00F651D2" w:rsidR="00E14498" w:rsidP="00F651D2" w:rsidRDefault="00E14498">
      <w:pPr>
        <w:pStyle w:val="ECHRPara"/>
        <w:rPr>
          <w:lang w:val="fr-FR"/>
        </w:rPr>
      </w:pPr>
      <w:r w:rsidRPr="00F651D2">
        <w:rPr>
          <w:lang w:val="fr-FR"/>
        </w:rPr>
        <w:t>Rend l</w:t>
      </w:r>
      <w:r w:rsidRPr="00F651D2" w:rsidR="00F651D2">
        <w:rPr>
          <w:lang w:val="fr-FR"/>
        </w:rPr>
        <w:t>’</w:t>
      </w:r>
      <w:r w:rsidRPr="00F651D2">
        <w:rPr>
          <w:lang w:val="fr-FR"/>
        </w:rPr>
        <w:t>arrêt que voici, adopté à cette date :</w:t>
      </w:r>
    </w:p>
    <w:p w:rsidRPr="00F651D2" w:rsidR="00E14498" w:rsidP="00F651D2" w:rsidRDefault="00E14498">
      <w:pPr>
        <w:pStyle w:val="ECHRTitle1"/>
        <w:rPr>
          <w:lang w:val="fr-FR"/>
        </w:rPr>
      </w:pPr>
      <w:r w:rsidRPr="00F651D2">
        <w:rPr>
          <w:lang w:val="fr-FR"/>
        </w:rPr>
        <w:t>PROCÉDURE</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1</w:t>
      </w:r>
      <w:r w:rsidRPr="00F651D2">
        <w:rPr>
          <w:lang w:val="fr-FR"/>
        </w:rPr>
        <w:fldChar w:fldCharType="end"/>
      </w:r>
      <w:r w:rsidRPr="00F651D2">
        <w:rPr>
          <w:lang w:val="fr-FR"/>
        </w:rPr>
        <w:t>.  À l</w:t>
      </w:r>
      <w:r w:rsidRPr="00F651D2" w:rsidR="00F651D2">
        <w:rPr>
          <w:lang w:val="fr-FR"/>
        </w:rPr>
        <w:t>’</w:t>
      </w:r>
      <w:r w:rsidRPr="00F651D2">
        <w:rPr>
          <w:lang w:val="fr-FR"/>
        </w:rPr>
        <w:t>origine de l</w:t>
      </w:r>
      <w:r w:rsidRPr="00F651D2" w:rsidR="00F651D2">
        <w:rPr>
          <w:lang w:val="fr-FR"/>
        </w:rPr>
        <w:t>’</w:t>
      </w:r>
      <w:r w:rsidRPr="00F651D2">
        <w:rPr>
          <w:lang w:val="fr-FR"/>
        </w:rPr>
        <w:t>affaire se trouve une requête (n</w:t>
      </w:r>
      <w:r w:rsidRPr="00F651D2">
        <w:rPr>
          <w:vertAlign w:val="superscript"/>
          <w:lang w:val="fr-FR"/>
        </w:rPr>
        <w:t>o</w:t>
      </w:r>
      <w:r w:rsidRPr="00F651D2">
        <w:rPr>
          <w:lang w:val="fr-FR"/>
        </w:rPr>
        <w:t xml:space="preserve"> 35098/12) dirigée contre la République de Moldova et dont un ressortissant de cet État, M. Valentin </w:t>
      </w:r>
      <w:proofErr w:type="spellStart"/>
      <w:r w:rsidRPr="00F651D2">
        <w:rPr>
          <w:lang w:val="fr-FR"/>
        </w:rPr>
        <w:t>Cristea</w:t>
      </w:r>
      <w:proofErr w:type="spellEnd"/>
      <w:r w:rsidRPr="00F651D2">
        <w:rPr>
          <w:lang w:val="fr-FR"/>
        </w:rPr>
        <w:t xml:space="preserve"> (« le requérant »), a saisi la Cour le 24 mai 2012 en vertu de l</w:t>
      </w:r>
      <w:r w:rsidRPr="00F651D2" w:rsidR="00F651D2">
        <w:rPr>
          <w:lang w:val="fr-FR"/>
        </w:rPr>
        <w:t>’</w:t>
      </w:r>
      <w:r w:rsidRPr="00F651D2">
        <w:rPr>
          <w:lang w:val="fr-FR"/>
        </w:rPr>
        <w:t>article 34 de la Convention de sauvegarde des droits de l</w:t>
      </w:r>
      <w:r w:rsidRPr="00F651D2" w:rsidR="00F651D2">
        <w:rPr>
          <w:lang w:val="fr-FR"/>
        </w:rPr>
        <w:t>’</w:t>
      </w:r>
      <w:r w:rsidRPr="00F651D2">
        <w:rPr>
          <w:lang w:val="fr-FR"/>
        </w:rPr>
        <w:t>homme et des libertés fondamentales (« la Convention »).</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2</w:t>
      </w:r>
      <w:r w:rsidRPr="00F651D2">
        <w:rPr>
          <w:lang w:val="fr-FR"/>
        </w:rPr>
        <w:fldChar w:fldCharType="end"/>
      </w:r>
      <w:r w:rsidRPr="00F651D2">
        <w:rPr>
          <w:lang w:val="fr-FR"/>
        </w:rPr>
        <w:t>.  Le requérant a été représenté par M</w:t>
      </w:r>
      <w:r w:rsidRPr="00F651D2">
        <w:rPr>
          <w:vertAlign w:val="superscript"/>
          <w:lang w:val="fr-FR"/>
        </w:rPr>
        <w:t>e</w:t>
      </w:r>
      <w:r w:rsidRPr="00F651D2">
        <w:rPr>
          <w:lang w:val="fr-FR"/>
        </w:rPr>
        <w:t xml:space="preserve"> A. </w:t>
      </w:r>
      <w:proofErr w:type="spellStart"/>
      <w:r w:rsidRPr="00F651D2">
        <w:rPr>
          <w:lang w:val="fr-FR"/>
        </w:rPr>
        <w:t>Pavalatii</w:t>
      </w:r>
      <w:proofErr w:type="spellEnd"/>
      <w:r w:rsidRPr="00F651D2">
        <w:rPr>
          <w:lang w:val="fr-FR"/>
        </w:rPr>
        <w:t xml:space="preserve">, avocat à </w:t>
      </w:r>
      <w:proofErr w:type="spellStart"/>
      <w:r w:rsidRPr="00F651D2">
        <w:rPr>
          <w:lang w:val="fr-FR"/>
        </w:rPr>
        <w:t>Chișinău</w:t>
      </w:r>
      <w:proofErr w:type="spellEnd"/>
      <w:r w:rsidRPr="00F651D2">
        <w:rPr>
          <w:lang w:val="fr-FR"/>
        </w:rPr>
        <w:t>. Le gouvernement moldave (« le Gouvernement ») a été représenté d</w:t>
      </w:r>
      <w:r w:rsidRPr="00F651D2" w:rsidR="00F651D2">
        <w:rPr>
          <w:lang w:val="fr-FR"/>
        </w:rPr>
        <w:t>’</w:t>
      </w:r>
      <w:r w:rsidRPr="00F651D2">
        <w:rPr>
          <w:lang w:val="fr-FR"/>
        </w:rPr>
        <w:t xml:space="preserve">abord par son agent, M. M. Gurin, ensuite par son agente </w:t>
      </w:r>
      <w:r w:rsidRPr="00F651D2">
        <w:rPr>
          <w:i/>
          <w:lang w:val="fr-FR"/>
        </w:rPr>
        <w:t xml:space="preserve">ad </w:t>
      </w:r>
      <w:proofErr w:type="spellStart"/>
      <w:r w:rsidRPr="00F651D2">
        <w:rPr>
          <w:i/>
          <w:lang w:val="fr-FR"/>
        </w:rPr>
        <w:t>interim</w:t>
      </w:r>
      <w:proofErr w:type="spellEnd"/>
      <w:r w:rsidRPr="00F651D2">
        <w:rPr>
          <w:lang w:val="fr-FR"/>
        </w:rPr>
        <w:t>, M</w:t>
      </w:r>
      <w:r w:rsidRPr="00F651D2">
        <w:rPr>
          <w:vertAlign w:val="superscript"/>
          <w:lang w:val="fr-FR"/>
        </w:rPr>
        <w:t>me</w:t>
      </w:r>
      <w:r w:rsidRPr="00F651D2">
        <w:rPr>
          <w:lang w:val="fr-FR"/>
        </w:rPr>
        <w:t> R. </w:t>
      </w:r>
      <w:proofErr w:type="spellStart"/>
      <w:r w:rsidRPr="00F651D2">
        <w:rPr>
          <w:lang w:val="fr-FR"/>
        </w:rPr>
        <w:t>Revencu</w:t>
      </w:r>
      <w:proofErr w:type="spellEnd"/>
      <w:r w:rsidRPr="00F651D2">
        <w:rPr>
          <w:lang w:val="fr-FR"/>
        </w:rPr>
        <w:t>.</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3</w:t>
      </w:r>
      <w:r w:rsidRPr="00F651D2">
        <w:rPr>
          <w:lang w:val="fr-FR"/>
        </w:rPr>
        <w:fldChar w:fldCharType="end"/>
      </w:r>
      <w:r w:rsidRPr="00F651D2">
        <w:rPr>
          <w:lang w:val="fr-FR"/>
        </w:rPr>
        <w:t>.  Le requérant se plaint de la non-exécution d</w:t>
      </w:r>
      <w:r w:rsidRPr="00F651D2" w:rsidR="00F651D2">
        <w:rPr>
          <w:lang w:val="fr-FR"/>
        </w:rPr>
        <w:t>’</w:t>
      </w:r>
      <w:r w:rsidRPr="00F651D2">
        <w:rPr>
          <w:lang w:val="fr-FR"/>
        </w:rPr>
        <w:t>une décision de justice définitive et d</w:t>
      </w:r>
      <w:r w:rsidRPr="00F651D2" w:rsidR="00F651D2">
        <w:rPr>
          <w:lang w:val="fr-FR"/>
        </w:rPr>
        <w:t>’</w:t>
      </w:r>
      <w:r w:rsidRPr="00F651D2">
        <w:rPr>
          <w:lang w:val="fr-FR"/>
        </w:rPr>
        <w:t>une inefficacité du recours interne en la matière.</w:t>
      </w:r>
    </w:p>
    <w:p w:rsidRPr="00F651D2" w:rsidR="00E14498" w:rsidP="00F651D2" w:rsidRDefault="00E14498">
      <w:pPr>
        <w:pStyle w:val="ECHRPara"/>
        <w:rPr>
          <w:szCs w:val="24"/>
          <w:lang w:val="fr-FR" w:eastAsia="en-GB"/>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4</w:t>
      </w:r>
      <w:r w:rsidRPr="00F651D2">
        <w:rPr>
          <w:lang w:val="fr-FR"/>
        </w:rPr>
        <w:fldChar w:fldCharType="end"/>
      </w:r>
      <w:r w:rsidRPr="00F651D2">
        <w:rPr>
          <w:lang w:val="fr-FR"/>
        </w:rPr>
        <w:t>.  Le 1</w:t>
      </w:r>
      <w:r w:rsidRPr="00F651D2">
        <w:rPr>
          <w:vertAlign w:val="superscript"/>
          <w:lang w:val="fr-FR"/>
        </w:rPr>
        <w:t>er</w:t>
      </w:r>
      <w:r w:rsidRPr="00F651D2">
        <w:rPr>
          <w:lang w:val="fr-FR"/>
        </w:rPr>
        <w:t xml:space="preserve"> septembre 2015, les griefs tirés des articles 6 et 13 de la Convention et de l</w:t>
      </w:r>
      <w:r w:rsidRPr="00F651D2" w:rsidR="00F651D2">
        <w:rPr>
          <w:lang w:val="fr-FR"/>
        </w:rPr>
        <w:t>’</w:t>
      </w:r>
      <w:r w:rsidRPr="00F651D2">
        <w:rPr>
          <w:lang w:val="fr-FR"/>
        </w:rPr>
        <w:t>article 1 du Protocole n</w:t>
      </w:r>
      <w:r w:rsidRPr="00F651D2">
        <w:rPr>
          <w:vertAlign w:val="superscript"/>
          <w:lang w:val="fr-FR"/>
        </w:rPr>
        <w:t>o</w:t>
      </w:r>
      <w:r w:rsidRPr="00F651D2">
        <w:rPr>
          <w:lang w:val="fr-FR"/>
        </w:rPr>
        <w:t xml:space="preserve"> 1 à la Convention ont été communiqués au Gouvernement et la requête a été déclarée irrecevable pour le surplus.</w:t>
      </w:r>
    </w:p>
    <w:p w:rsidRPr="00F651D2" w:rsidR="00E14498" w:rsidP="00F651D2" w:rsidRDefault="00E14498">
      <w:pPr>
        <w:pStyle w:val="ECHRTitle1"/>
        <w:tabs>
          <w:tab w:val="left" w:pos="5387"/>
        </w:tabs>
        <w:rPr>
          <w:lang w:val="fr-FR"/>
        </w:rPr>
      </w:pPr>
      <w:r w:rsidRPr="00F651D2">
        <w:rPr>
          <w:lang w:val="fr-FR"/>
        </w:rPr>
        <w:t>EN FAIT</w:t>
      </w:r>
    </w:p>
    <w:p w:rsidRPr="00F651D2" w:rsidR="00E14498" w:rsidP="00F651D2" w:rsidRDefault="00E14498">
      <w:pPr>
        <w:pStyle w:val="ECHRHeading1"/>
        <w:rPr>
          <w:lang w:val="fr-FR"/>
        </w:rPr>
      </w:pPr>
      <w:r w:rsidRPr="00F651D2">
        <w:rPr>
          <w:lang w:val="fr-FR"/>
        </w:rPr>
        <w:t>I.  LES CIRCONSTANCES DE L</w:t>
      </w:r>
      <w:r w:rsidRPr="00F651D2" w:rsidR="00F651D2">
        <w:rPr>
          <w:lang w:val="fr-FR"/>
        </w:rPr>
        <w:t>’</w:t>
      </w:r>
      <w:r w:rsidRPr="00F651D2">
        <w:rPr>
          <w:lang w:val="fr-FR"/>
        </w:rPr>
        <w:t>ESPÈCE</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5</w:t>
      </w:r>
      <w:r w:rsidRPr="00F651D2">
        <w:rPr>
          <w:lang w:val="fr-FR"/>
        </w:rPr>
        <w:fldChar w:fldCharType="end"/>
      </w:r>
      <w:r w:rsidRPr="00F651D2">
        <w:rPr>
          <w:lang w:val="fr-FR"/>
        </w:rPr>
        <w:t xml:space="preserve">.  Le requérant est né en 1969 et réside à </w:t>
      </w:r>
      <w:proofErr w:type="spellStart"/>
      <w:r w:rsidRPr="00F651D2">
        <w:rPr>
          <w:lang w:val="fr-FR"/>
        </w:rPr>
        <w:t>Chișinău</w:t>
      </w:r>
      <w:proofErr w:type="spellEnd"/>
      <w:r w:rsidRPr="00F651D2">
        <w:rPr>
          <w:lang w:val="fr-FR"/>
        </w:rPr>
        <w:t>.</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6</w:t>
      </w:r>
      <w:r w:rsidRPr="00F651D2">
        <w:rPr>
          <w:lang w:val="fr-FR"/>
        </w:rPr>
        <w:fldChar w:fldCharType="end"/>
      </w:r>
      <w:r w:rsidRPr="00F651D2">
        <w:rPr>
          <w:lang w:val="fr-FR"/>
        </w:rPr>
        <w:t>.  Au moment des faits, il était employé du ministère des Affaires intérieures.</w:t>
      </w:r>
    </w:p>
    <w:p w:rsidRPr="00F651D2" w:rsidR="00E14498" w:rsidP="00F651D2" w:rsidRDefault="00E14498">
      <w:pPr>
        <w:pStyle w:val="ECHRHeading2"/>
        <w:rPr>
          <w:lang w:val="fr-FR"/>
        </w:rPr>
      </w:pPr>
      <w:r w:rsidRPr="00F651D2">
        <w:rPr>
          <w:lang w:val="fr-FR"/>
        </w:rPr>
        <w:t>A.  Décision définitive favorable au requérant</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7</w:t>
      </w:r>
      <w:r w:rsidRPr="00F651D2">
        <w:rPr>
          <w:lang w:val="fr-FR"/>
        </w:rPr>
        <w:fldChar w:fldCharType="end"/>
      </w:r>
      <w:r w:rsidRPr="00F651D2">
        <w:rPr>
          <w:lang w:val="fr-FR"/>
        </w:rPr>
        <w:t xml:space="preserve">.  Le 20 septembre 2007, le requérant engagea une action contre les autorités locales de </w:t>
      </w:r>
      <w:proofErr w:type="spellStart"/>
      <w:r w:rsidRPr="00F651D2">
        <w:rPr>
          <w:lang w:val="fr-FR"/>
        </w:rPr>
        <w:t>Chișinău</w:t>
      </w:r>
      <w:proofErr w:type="spellEnd"/>
      <w:r w:rsidRPr="00F651D2">
        <w:rPr>
          <w:lang w:val="fr-FR"/>
        </w:rPr>
        <w:t xml:space="preserve"> aux fins de les obliger à lui fournir un logement. Il invoquait les dispositions de la loi sur la police.</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8</w:t>
      </w:r>
      <w:r w:rsidRPr="00F651D2">
        <w:rPr>
          <w:lang w:val="fr-FR"/>
        </w:rPr>
        <w:fldChar w:fldCharType="end"/>
      </w:r>
      <w:r w:rsidRPr="00F651D2">
        <w:rPr>
          <w:lang w:val="fr-FR"/>
        </w:rPr>
        <w:t>.  Par un arrêt du 6 décembre 2007, la cour d</w:t>
      </w:r>
      <w:r w:rsidRPr="00F651D2" w:rsidR="00F651D2">
        <w:rPr>
          <w:lang w:val="fr-FR"/>
        </w:rPr>
        <w:t>’</w:t>
      </w:r>
      <w:r w:rsidRPr="00F651D2">
        <w:rPr>
          <w:lang w:val="fr-FR"/>
        </w:rPr>
        <w:t xml:space="preserve">appel de </w:t>
      </w:r>
      <w:proofErr w:type="spellStart"/>
      <w:r w:rsidRPr="00F651D2">
        <w:rPr>
          <w:lang w:val="fr-FR"/>
        </w:rPr>
        <w:t>Chișinău</w:t>
      </w:r>
      <w:proofErr w:type="spellEnd"/>
      <w:r w:rsidRPr="00F651D2">
        <w:rPr>
          <w:lang w:val="fr-FR"/>
        </w:rPr>
        <w:t xml:space="preserve"> accueillit l</w:t>
      </w:r>
      <w:r w:rsidRPr="00F651D2" w:rsidR="00F651D2">
        <w:rPr>
          <w:lang w:val="fr-FR"/>
        </w:rPr>
        <w:t>’</w:t>
      </w:r>
      <w:r w:rsidRPr="00F651D2">
        <w:rPr>
          <w:lang w:val="fr-FR"/>
        </w:rPr>
        <w:t>action.</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9</w:t>
      </w:r>
      <w:r w:rsidRPr="00F651D2">
        <w:rPr>
          <w:lang w:val="fr-FR"/>
        </w:rPr>
        <w:fldChar w:fldCharType="end"/>
      </w:r>
      <w:r w:rsidRPr="00F651D2">
        <w:rPr>
          <w:lang w:val="fr-FR"/>
        </w:rPr>
        <w:t>.  Le 20 février 2008, la Cour suprême de justice confirma, sur recours de la partie défenderesse, l</w:t>
      </w:r>
      <w:r w:rsidRPr="00F651D2" w:rsidR="00F651D2">
        <w:rPr>
          <w:lang w:val="fr-FR"/>
        </w:rPr>
        <w:t>’</w:t>
      </w:r>
      <w:r w:rsidRPr="00F651D2">
        <w:rPr>
          <w:lang w:val="fr-FR"/>
        </w:rPr>
        <w:t>arrêt de l</w:t>
      </w:r>
      <w:r w:rsidRPr="00F651D2" w:rsidR="00F651D2">
        <w:rPr>
          <w:lang w:val="fr-FR"/>
        </w:rPr>
        <w:t>’</w:t>
      </w:r>
      <w:r w:rsidRPr="00F651D2">
        <w:rPr>
          <w:lang w:val="fr-FR"/>
        </w:rPr>
        <w:t xml:space="preserve">instance inférieure. Elle ordonna notamment au conseil municipal </w:t>
      </w:r>
      <w:proofErr w:type="spellStart"/>
      <w:r w:rsidRPr="00F651D2">
        <w:rPr>
          <w:lang w:val="fr-FR"/>
        </w:rPr>
        <w:t>Chișinău</w:t>
      </w:r>
      <w:proofErr w:type="spellEnd"/>
      <w:r w:rsidRPr="00F651D2">
        <w:rPr>
          <w:lang w:val="fr-FR"/>
        </w:rPr>
        <w:t xml:space="preserve"> de fournir au requérant et à la famille de celui-ci un logement en location (« </w:t>
      </w:r>
      <w:r w:rsidRPr="00F651D2">
        <w:rPr>
          <w:i/>
          <w:lang w:val="fr-FR"/>
        </w:rPr>
        <w:t>spa</w:t>
      </w:r>
      <w:r w:rsidRPr="00F651D2">
        <w:rPr>
          <w:i/>
          <w:lang w:val="ro-RO"/>
        </w:rPr>
        <w:t>țiu locativ</w:t>
      </w:r>
      <w:r w:rsidRPr="00F651D2">
        <w:rPr>
          <w:lang w:val="fr-FR"/>
        </w:rPr>
        <w:t> »).</w:t>
      </w:r>
    </w:p>
    <w:p w:rsidRPr="00F651D2" w:rsidR="00E14498" w:rsidP="00F651D2" w:rsidRDefault="00E14498">
      <w:pPr>
        <w:pStyle w:val="ECHRHeading2"/>
        <w:rPr>
          <w:lang w:val="fr-FR"/>
        </w:rPr>
      </w:pPr>
      <w:r w:rsidRPr="00F651D2">
        <w:rPr>
          <w:lang w:val="fr-FR"/>
        </w:rPr>
        <w:t>B.  Première action en réparation contre l</w:t>
      </w:r>
      <w:r w:rsidRPr="00F651D2" w:rsidR="00F651D2">
        <w:rPr>
          <w:lang w:val="fr-FR"/>
        </w:rPr>
        <w:t>’</w:t>
      </w:r>
      <w:r w:rsidRPr="00F651D2">
        <w:rPr>
          <w:lang w:val="fr-FR"/>
        </w:rPr>
        <w:t>État</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10</w:t>
      </w:r>
      <w:r w:rsidRPr="00F651D2">
        <w:rPr>
          <w:lang w:val="fr-FR"/>
        </w:rPr>
        <w:fldChar w:fldCharType="end"/>
      </w:r>
      <w:r w:rsidRPr="00F651D2">
        <w:rPr>
          <w:lang w:val="fr-FR"/>
        </w:rPr>
        <w:t>.  Le 2 novembre 2011, le requérant déclencha une action en dédommagement contre l</w:t>
      </w:r>
      <w:r w:rsidRPr="00F651D2" w:rsidR="00F651D2">
        <w:rPr>
          <w:lang w:val="fr-FR"/>
        </w:rPr>
        <w:t>’</w:t>
      </w:r>
      <w:r w:rsidRPr="00F651D2">
        <w:rPr>
          <w:lang w:val="fr-FR"/>
        </w:rPr>
        <w:t>État, sur le fondement des dispositions de la loi n</w:t>
      </w:r>
      <w:r w:rsidRPr="00F651D2">
        <w:rPr>
          <w:vertAlign w:val="superscript"/>
          <w:lang w:val="fr-FR"/>
        </w:rPr>
        <w:t>o</w:t>
      </w:r>
      <w:r w:rsidRPr="00F651D2">
        <w:rPr>
          <w:lang w:val="fr-FR"/>
        </w:rPr>
        <w:t xml:space="preserve"> 87 (paragraphe </w:t>
      </w:r>
      <w:r w:rsidRPr="00F651D2">
        <w:rPr>
          <w:lang w:val="fr-FR"/>
        </w:rPr>
        <w:fldChar w:fldCharType="begin"/>
      </w:r>
      <w:r w:rsidRPr="00F651D2">
        <w:rPr>
          <w:lang w:val="fr-FR"/>
        </w:rPr>
        <w:instrText xml:space="preserve"> REF loi_87 \h </w:instrText>
      </w:r>
      <w:r w:rsidRPr="00F651D2">
        <w:rPr>
          <w:lang w:val="fr-FR"/>
        </w:rPr>
      </w:r>
      <w:r w:rsidRPr="00F651D2">
        <w:rPr>
          <w:lang w:val="fr-FR"/>
        </w:rPr>
        <w:fldChar w:fldCharType="separate"/>
      </w:r>
      <w:r w:rsidRPr="00F651D2" w:rsidR="00F651D2">
        <w:rPr>
          <w:noProof/>
          <w:lang w:val="fr-FR"/>
        </w:rPr>
        <w:t>21</w:t>
      </w:r>
      <w:r w:rsidRPr="00F651D2">
        <w:rPr>
          <w:lang w:val="fr-FR"/>
        </w:rPr>
        <w:fldChar w:fldCharType="end"/>
      </w:r>
      <w:r w:rsidRPr="00F651D2">
        <w:rPr>
          <w:lang w:val="fr-FR"/>
        </w:rPr>
        <w:t xml:space="preserve"> ci-dessous). Arguant de la non-exécution de la décision définitive de la Cour suprême de justice du 20 février 2008, il demandait des sommes au titre des préjudices matériel et moral.</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11</w:t>
      </w:r>
      <w:r w:rsidRPr="00F651D2">
        <w:rPr>
          <w:lang w:val="fr-FR"/>
        </w:rPr>
        <w:fldChar w:fldCharType="end"/>
      </w:r>
      <w:r w:rsidRPr="00F651D2">
        <w:rPr>
          <w:lang w:val="fr-FR"/>
        </w:rPr>
        <w:t xml:space="preserve">.  Par un jugement du 26 janvier 2012, le tribunal de </w:t>
      </w:r>
      <w:proofErr w:type="spellStart"/>
      <w:r w:rsidRPr="00F651D2">
        <w:rPr>
          <w:lang w:val="fr-FR"/>
        </w:rPr>
        <w:t>Râșcani</w:t>
      </w:r>
      <w:proofErr w:type="spellEnd"/>
      <w:r w:rsidRPr="00F651D2">
        <w:rPr>
          <w:lang w:val="fr-FR"/>
        </w:rPr>
        <w:t>, après avoir constaté que la décision du 20 février 2008 n</w:t>
      </w:r>
      <w:r w:rsidRPr="00F651D2" w:rsidR="00F651D2">
        <w:rPr>
          <w:lang w:val="fr-FR"/>
        </w:rPr>
        <w:t>’</w:t>
      </w:r>
      <w:r w:rsidRPr="00F651D2">
        <w:rPr>
          <w:lang w:val="fr-FR"/>
        </w:rPr>
        <w:t>était toujours pas exécutée, accueillit partiellement l</w:t>
      </w:r>
      <w:r w:rsidRPr="00F651D2" w:rsidR="00F651D2">
        <w:rPr>
          <w:lang w:val="fr-FR"/>
        </w:rPr>
        <w:t>’</w:t>
      </w:r>
      <w:r w:rsidRPr="00F651D2">
        <w:rPr>
          <w:lang w:val="fr-FR"/>
        </w:rPr>
        <w:t>action.</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12</w:t>
      </w:r>
      <w:r w:rsidRPr="00F651D2">
        <w:rPr>
          <w:lang w:val="fr-FR"/>
        </w:rPr>
        <w:fldChar w:fldCharType="end"/>
      </w:r>
      <w:r w:rsidRPr="00F651D2">
        <w:rPr>
          <w:lang w:val="fr-FR"/>
        </w:rPr>
        <w:t>.  À des dates non spécifiées, le ministère des Finances et le requérant formèrent des pourvois en cassation.</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13</w:t>
      </w:r>
      <w:r w:rsidRPr="00F651D2">
        <w:rPr>
          <w:lang w:val="fr-FR"/>
        </w:rPr>
        <w:fldChar w:fldCharType="end"/>
      </w:r>
      <w:r w:rsidRPr="00F651D2">
        <w:rPr>
          <w:lang w:val="fr-FR"/>
        </w:rPr>
        <w:t>.  Par une décision définitive du 11 avril 2012, la cour d</w:t>
      </w:r>
      <w:r w:rsidRPr="00F651D2" w:rsidR="00F651D2">
        <w:rPr>
          <w:lang w:val="fr-FR"/>
        </w:rPr>
        <w:t>’</w:t>
      </w:r>
      <w:r w:rsidRPr="00F651D2">
        <w:rPr>
          <w:lang w:val="fr-FR"/>
        </w:rPr>
        <w:t xml:space="preserve">appel de </w:t>
      </w:r>
      <w:proofErr w:type="spellStart"/>
      <w:r w:rsidRPr="00F651D2">
        <w:rPr>
          <w:lang w:val="fr-FR"/>
        </w:rPr>
        <w:t>Chișinău</w:t>
      </w:r>
      <w:proofErr w:type="spellEnd"/>
      <w:r w:rsidRPr="00F651D2">
        <w:rPr>
          <w:lang w:val="fr-FR"/>
        </w:rPr>
        <w:t xml:space="preserve"> infirma le jugement attaqué. Elle mit en exergue le fait que, depuis le 31 mars 2011, le requérant n</w:t>
      </w:r>
      <w:r w:rsidRPr="00F651D2" w:rsidR="00F651D2">
        <w:rPr>
          <w:lang w:val="fr-FR"/>
        </w:rPr>
        <w:t>’</w:t>
      </w:r>
      <w:r w:rsidRPr="00F651D2">
        <w:rPr>
          <w:lang w:val="fr-FR"/>
        </w:rPr>
        <w:t>était plus employé du ministère des Affaires intérieures et conclut que l</w:t>
      </w:r>
      <w:r w:rsidRPr="00F651D2" w:rsidR="00F651D2">
        <w:rPr>
          <w:lang w:val="fr-FR"/>
        </w:rPr>
        <w:t>’</w:t>
      </w:r>
      <w:r w:rsidRPr="00F651D2">
        <w:rPr>
          <w:lang w:val="fr-FR"/>
        </w:rPr>
        <w:t>État n</w:t>
      </w:r>
      <w:r w:rsidRPr="00F651D2" w:rsidR="00F651D2">
        <w:rPr>
          <w:lang w:val="fr-FR"/>
        </w:rPr>
        <w:t>’</w:t>
      </w:r>
      <w:r w:rsidRPr="00F651D2">
        <w:rPr>
          <w:lang w:val="fr-FR"/>
        </w:rPr>
        <w:t>était plus dans l</w:t>
      </w:r>
      <w:r w:rsidRPr="00F651D2" w:rsidR="00F651D2">
        <w:rPr>
          <w:lang w:val="fr-FR"/>
        </w:rPr>
        <w:t>’</w:t>
      </w:r>
      <w:r w:rsidRPr="00F651D2">
        <w:rPr>
          <w:lang w:val="fr-FR"/>
        </w:rPr>
        <w:t>obligation, au titre des dispositions de la loi sur la police, de lui fournir un logement. En conséquence, elle jugea que le requérant ne pouvait pas prétendre à la réparation des préjudices matériel et moral qu</w:t>
      </w:r>
      <w:r w:rsidRPr="00F651D2" w:rsidR="00F651D2">
        <w:rPr>
          <w:lang w:val="fr-FR"/>
        </w:rPr>
        <w:t>’</w:t>
      </w:r>
      <w:r w:rsidRPr="00F651D2">
        <w:rPr>
          <w:lang w:val="fr-FR"/>
        </w:rPr>
        <w:t>il disait avoir subis, et rejeta son action comme mal fondée.</w:t>
      </w:r>
    </w:p>
    <w:p w:rsidRPr="00F651D2" w:rsidR="00E14498" w:rsidP="00F651D2" w:rsidRDefault="00E14498">
      <w:pPr>
        <w:pStyle w:val="ECHRHeading2"/>
        <w:rPr>
          <w:lang w:val="fr-FR"/>
        </w:rPr>
      </w:pPr>
      <w:r w:rsidRPr="00F651D2">
        <w:rPr>
          <w:lang w:val="fr-FR"/>
        </w:rPr>
        <w:t>C.  Seconde action en réparation contre l</w:t>
      </w:r>
      <w:r w:rsidRPr="00F651D2" w:rsidR="00F651D2">
        <w:rPr>
          <w:lang w:val="fr-FR"/>
        </w:rPr>
        <w:t>’</w:t>
      </w:r>
      <w:r w:rsidRPr="00F651D2">
        <w:rPr>
          <w:lang w:val="fr-FR"/>
        </w:rPr>
        <w:t>État</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14</w:t>
      </w:r>
      <w:r w:rsidRPr="00F651D2">
        <w:rPr>
          <w:lang w:val="fr-FR"/>
        </w:rPr>
        <w:fldChar w:fldCharType="end"/>
      </w:r>
      <w:r w:rsidRPr="00F651D2">
        <w:rPr>
          <w:lang w:val="fr-FR"/>
        </w:rPr>
        <w:t>.  Le 6 mai 2014, le requérant engagea sur le fondement des dispositions de la loi n</w:t>
      </w:r>
      <w:r w:rsidRPr="00F651D2">
        <w:rPr>
          <w:vertAlign w:val="superscript"/>
          <w:lang w:val="fr-FR"/>
        </w:rPr>
        <w:t>o</w:t>
      </w:r>
      <w:r w:rsidRPr="00F651D2">
        <w:rPr>
          <w:lang w:val="fr-FR"/>
        </w:rPr>
        <w:t xml:space="preserve"> 87 une seconde action en réparation contre l</w:t>
      </w:r>
      <w:r w:rsidRPr="00F651D2" w:rsidR="00F651D2">
        <w:rPr>
          <w:lang w:val="fr-FR"/>
        </w:rPr>
        <w:t>’</w:t>
      </w:r>
      <w:r w:rsidRPr="00F651D2">
        <w:rPr>
          <w:lang w:val="fr-FR"/>
        </w:rPr>
        <w:t>État. Il demandait le remboursement des frais de location de l</w:t>
      </w:r>
      <w:r w:rsidRPr="00F651D2" w:rsidR="00F651D2">
        <w:rPr>
          <w:lang w:val="fr-FR"/>
        </w:rPr>
        <w:t>’</w:t>
      </w:r>
      <w:r w:rsidRPr="00F651D2">
        <w:rPr>
          <w:lang w:val="fr-FR"/>
        </w:rPr>
        <w:t>appartement qu</w:t>
      </w:r>
      <w:r w:rsidRPr="00F651D2" w:rsidR="00F651D2">
        <w:rPr>
          <w:lang w:val="fr-FR"/>
        </w:rPr>
        <w:t>’</w:t>
      </w:r>
      <w:r w:rsidRPr="00F651D2">
        <w:rPr>
          <w:lang w:val="fr-FR"/>
        </w:rPr>
        <w:t>il disait occuper avec sa famille depuis le 1</w:t>
      </w:r>
      <w:r w:rsidRPr="00F651D2">
        <w:rPr>
          <w:vertAlign w:val="superscript"/>
          <w:lang w:val="fr-FR"/>
        </w:rPr>
        <w:t>er</w:t>
      </w:r>
      <w:r w:rsidRPr="00F651D2">
        <w:rPr>
          <w:lang w:val="fr-FR"/>
        </w:rPr>
        <w:t xml:space="preserve"> juin 2011, ainsi que 25 000 MDL (1 333 euros (EUR) selon le taux de change en vigueur à la date en question) pour le préjudice moral.</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15</w:t>
      </w:r>
      <w:r w:rsidRPr="00F651D2">
        <w:rPr>
          <w:lang w:val="fr-FR"/>
        </w:rPr>
        <w:fldChar w:fldCharType="end"/>
      </w:r>
      <w:r w:rsidRPr="00F651D2">
        <w:rPr>
          <w:lang w:val="fr-FR"/>
        </w:rPr>
        <w:t xml:space="preserve">.  Par un jugement du 13 octobre 2014, le tribunal de </w:t>
      </w:r>
      <w:proofErr w:type="spellStart"/>
      <w:r w:rsidRPr="00F651D2">
        <w:rPr>
          <w:lang w:val="fr-FR"/>
        </w:rPr>
        <w:t>Buiucani</w:t>
      </w:r>
      <w:proofErr w:type="spellEnd"/>
      <w:r w:rsidRPr="00F651D2">
        <w:rPr>
          <w:lang w:val="fr-FR"/>
        </w:rPr>
        <w:t xml:space="preserve"> accueillit partiellement l</w:t>
      </w:r>
      <w:r w:rsidRPr="00F651D2" w:rsidR="00F651D2">
        <w:rPr>
          <w:lang w:val="fr-FR"/>
        </w:rPr>
        <w:t>’</w:t>
      </w:r>
      <w:r w:rsidRPr="00F651D2">
        <w:rPr>
          <w:lang w:val="fr-FR"/>
        </w:rPr>
        <w:t>action. Il alloua des sommes au requérant au titre des préjudices matériel et moral. Sur appel du requérant et du ministère de la Justice, ce jugement fut partiellement confirmé par la cour d</w:t>
      </w:r>
      <w:r w:rsidRPr="00F651D2" w:rsidR="00F651D2">
        <w:rPr>
          <w:lang w:val="fr-FR"/>
        </w:rPr>
        <w:t>’</w:t>
      </w:r>
      <w:r w:rsidRPr="00F651D2">
        <w:rPr>
          <w:lang w:val="fr-FR"/>
        </w:rPr>
        <w:t xml:space="preserve">appel de </w:t>
      </w:r>
      <w:proofErr w:type="spellStart"/>
      <w:r w:rsidRPr="00F651D2">
        <w:rPr>
          <w:lang w:val="fr-FR"/>
        </w:rPr>
        <w:t>Chișinău</w:t>
      </w:r>
      <w:proofErr w:type="spellEnd"/>
      <w:r w:rsidRPr="00F651D2">
        <w:rPr>
          <w:lang w:val="fr-FR"/>
        </w:rPr>
        <w:t xml:space="preserve"> le 4 mars 2015.</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16</w:t>
      </w:r>
      <w:r w:rsidRPr="00F651D2">
        <w:rPr>
          <w:lang w:val="fr-FR"/>
        </w:rPr>
        <w:fldChar w:fldCharType="end"/>
      </w:r>
      <w:r w:rsidRPr="00F651D2">
        <w:rPr>
          <w:lang w:val="fr-FR"/>
        </w:rPr>
        <w:t>.  À des dates différentes, le requérant et le ministère de la Justice formèrent des pourvois en cassation.</w:t>
      </w:r>
    </w:p>
    <w:bookmarkStart w:name="Seconde_décisionCSJ" w:id="1"/>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17</w:t>
      </w:r>
      <w:r w:rsidRPr="00F651D2">
        <w:rPr>
          <w:lang w:val="fr-FR"/>
        </w:rPr>
        <w:fldChar w:fldCharType="end"/>
      </w:r>
      <w:bookmarkEnd w:id="1"/>
      <w:r w:rsidRPr="00F651D2">
        <w:rPr>
          <w:lang w:val="fr-FR"/>
        </w:rPr>
        <w:t>.  Par une décision du 22 juillet 2015, la Cour suprême de justice accueillit le pourvoi du requérant et rejeta comme mal fondé celui du ministère. Elle releva que la décision définitive du 20 février 2008 n</w:t>
      </w:r>
      <w:r w:rsidRPr="00F651D2" w:rsidR="00F651D2">
        <w:rPr>
          <w:lang w:val="fr-FR"/>
        </w:rPr>
        <w:t>’</w:t>
      </w:r>
      <w:r w:rsidRPr="00F651D2">
        <w:rPr>
          <w:lang w:val="fr-FR"/>
        </w:rPr>
        <w:t>était pas exécutée et que la période de non-exécution à prendre en considération s</w:t>
      </w:r>
      <w:r w:rsidRPr="00F651D2" w:rsidR="00F651D2">
        <w:rPr>
          <w:lang w:val="fr-FR"/>
        </w:rPr>
        <w:t>’</w:t>
      </w:r>
      <w:r w:rsidRPr="00F651D2">
        <w:rPr>
          <w:lang w:val="fr-FR"/>
        </w:rPr>
        <w:t>étalait jusqu</w:t>
      </w:r>
      <w:r w:rsidRPr="00F651D2" w:rsidR="00F651D2">
        <w:rPr>
          <w:lang w:val="fr-FR"/>
        </w:rPr>
        <w:t>’</w:t>
      </w:r>
      <w:r w:rsidRPr="00F651D2">
        <w:rPr>
          <w:lang w:val="fr-FR"/>
        </w:rPr>
        <w:t>au 4 mars 2015, date du prononcé de l</w:t>
      </w:r>
      <w:r w:rsidRPr="00F651D2" w:rsidR="00F651D2">
        <w:rPr>
          <w:lang w:val="fr-FR"/>
        </w:rPr>
        <w:t>’</w:t>
      </w:r>
      <w:r w:rsidRPr="00F651D2">
        <w:rPr>
          <w:lang w:val="fr-FR"/>
        </w:rPr>
        <w:t>arrêt de l</w:t>
      </w:r>
      <w:r w:rsidRPr="00F651D2" w:rsidR="00F651D2">
        <w:rPr>
          <w:lang w:val="fr-FR"/>
        </w:rPr>
        <w:t>’</w:t>
      </w:r>
      <w:r w:rsidRPr="00F651D2">
        <w:rPr>
          <w:lang w:val="fr-FR"/>
        </w:rPr>
        <w:t>instance d</w:t>
      </w:r>
      <w:r w:rsidRPr="00F651D2" w:rsidR="00F651D2">
        <w:rPr>
          <w:lang w:val="fr-FR"/>
        </w:rPr>
        <w:t>’</w:t>
      </w:r>
      <w:r w:rsidRPr="00F651D2">
        <w:rPr>
          <w:lang w:val="fr-FR"/>
        </w:rPr>
        <w:t>appel. Elle nota également que le droit du requérant à un logement fourni par l</w:t>
      </w:r>
      <w:r w:rsidRPr="00F651D2" w:rsidR="00F651D2">
        <w:rPr>
          <w:lang w:val="fr-FR"/>
        </w:rPr>
        <w:t>’</w:t>
      </w:r>
      <w:r w:rsidRPr="00F651D2">
        <w:rPr>
          <w:lang w:val="fr-FR"/>
        </w:rPr>
        <w:t>État avait été sanctionné par la décision du 20 février 2008, que cette décision ne mentionnait aucunement qu</w:t>
      </w:r>
      <w:r w:rsidRPr="00F651D2" w:rsidR="00F651D2">
        <w:rPr>
          <w:lang w:val="fr-FR"/>
        </w:rPr>
        <w:t>’</w:t>
      </w:r>
      <w:r w:rsidRPr="00F651D2">
        <w:rPr>
          <w:lang w:val="fr-FR"/>
        </w:rPr>
        <w:t>il s</w:t>
      </w:r>
      <w:r w:rsidRPr="00F651D2" w:rsidR="00F651D2">
        <w:rPr>
          <w:lang w:val="fr-FR"/>
        </w:rPr>
        <w:t>’</w:t>
      </w:r>
      <w:r w:rsidRPr="00F651D2">
        <w:rPr>
          <w:lang w:val="fr-FR"/>
        </w:rPr>
        <w:t>agissait d</w:t>
      </w:r>
      <w:r w:rsidRPr="00F651D2" w:rsidR="00F651D2">
        <w:rPr>
          <w:lang w:val="fr-FR"/>
        </w:rPr>
        <w:t>’</w:t>
      </w:r>
      <w:r w:rsidRPr="00F651D2">
        <w:rPr>
          <w:lang w:val="fr-FR"/>
        </w:rPr>
        <w:t>un logement de fonction et que, par conséquent, le fait que l</w:t>
      </w:r>
      <w:r w:rsidRPr="00F651D2" w:rsidR="00F651D2">
        <w:rPr>
          <w:lang w:val="fr-FR"/>
        </w:rPr>
        <w:t>’</w:t>
      </w:r>
      <w:r w:rsidRPr="00F651D2">
        <w:rPr>
          <w:lang w:val="fr-FR"/>
        </w:rPr>
        <w:t>intéressé ait cessé ses fonctions de policier n</w:t>
      </w:r>
      <w:r w:rsidRPr="00F651D2" w:rsidR="00F651D2">
        <w:rPr>
          <w:lang w:val="fr-FR"/>
        </w:rPr>
        <w:t>’</w:t>
      </w:r>
      <w:r w:rsidRPr="00F651D2">
        <w:rPr>
          <w:lang w:val="fr-FR"/>
        </w:rPr>
        <w:t>était pas pertinent pour le cas d</w:t>
      </w:r>
      <w:r w:rsidRPr="00F651D2" w:rsidR="00F651D2">
        <w:rPr>
          <w:lang w:val="fr-FR"/>
        </w:rPr>
        <w:t>’</w:t>
      </w:r>
      <w:r w:rsidRPr="00F651D2">
        <w:rPr>
          <w:lang w:val="fr-FR"/>
        </w:rPr>
        <w:t>espèce. Concluant donc à la violation du droit du requérant à l</w:t>
      </w:r>
      <w:r w:rsidRPr="00F651D2" w:rsidR="00F651D2">
        <w:rPr>
          <w:lang w:val="fr-FR"/>
        </w:rPr>
        <w:t>’</w:t>
      </w:r>
      <w:r w:rsidRPr="00F651D2">
        <w:rPr>
          <w:lang w:val="fr-FR"/>
        </w:rPr>
        <w:t>exécution d</w:t>
      </w:r>
      <w:r w:rsidRPr="00F651D2" w:rsidR="00F651D2">
        <w:rPr>
          <w:lang w:val="fr-FR"/>
        </w:rPr>
        <w:t>’</w:t>
      </w:r>
      <w:r w:rsidRPr="00F651D2">
        <w:rPr>
          <w:lang w:val="fr-FR"/>
        </w:rPr>
        <w:t>une décision de justice dans un délai raisonnable, elle lui alloua 6 000 MDL (290 EUR selon le taux de change en vigueur à la date de l</w:t>
      </w:r>
      <w:r w:rsidRPr="00F651D2" w:rsidR="00F651D2">
        <w:rPr>
          <w:lang w:val="fr-FR"/>
        </w:rPr>
        <w:t>’</w:t>
      </w:r>
      <w:r w:rsidRPr="00F651D2">
        <w:rPr>
          <w:lang w:val="fr-FR"/>
        </w:rPr>
        <w:t>adoption de la décision) au titre de dommage moral. Quant au préjudice matériel, elle considéra que le contrat de location signé par le requérant avait une validité de deux ans et octroya à celui-ci 72 000 MDL (3 490 EUR selon le même taux que précédemment) pour les loyers engagés du 1</w:t>
      </w:r>
      <w:r w:rsidRPr="00F651D2">
        <w:rPr>
          <w:vertAlign w:val="superscript"/>
          <w:lang w:val="fr-FR"/>
        </w:rPr>
        <w:t>er</w:t>
      </w:r>
      <w:r w:rsidRPr="00F651D2">
        <w:rPr>
          <w:lang w:val="fr-FR"/>
        </w:rPr>
        <w:t xml:space="preserve"> juin 2011 au 31 mai 2013.</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18</w:t>
      </w:r>
      <w:r w:rsidRPr="00F651D2">
        <w:rPr>
          <w:lang w:val="fr-FR"/>
        </w:rPr>
        <w:fldChar w:fldCharType="end"/>
      </w:r>
      <w:r w:rsidRPr="00F651D2">
        <w:rPr>
          <w:lang w:val="fr-FR"/>
        </w:rPr>
        <w:t>.  Selon le requérant, les autorités payèrent en mars 2016 les indemnités pour la non-exécution, accordées par la Cour suprême de justice dans sa décision du 22 juillet 2015.</w:t>
      </w:r>
    </w:p>
    <w:p w:rsidRPr="00F651D2" w:rsidR="00E14498" w:rsidP="00F651D2" w:rsidRDefault="00E14498">
      <w:pPr>
        <w:pStyle w:val="ECHRHeading1"/>
        <w:rPr>
          <w:lang w:val="fr-FR"/>
        </w:rPr>
      </w:pPr>
      <w:r w:rsidRPr="00F651D2">
        <w:rPr>
          <w:lang w:val="fr-FR"/>
        </w:rPr>
        <w:t>II.  LE DROIT INTERNE PERTINENT</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19</w:t>
      </w:r>
      <w:r w:rsidRPr="00F651D2">
        <w:rPr>
          <w:lang w:val="fr-FR"/>
        </w:rPr>
        <w:fldChar w:fldCharType="end"/>
      </w:r>
      <w:r w:rsidRPr="00F651D2">
        <w:rPr>
          <w:lang w:val="fr-FR"/>
        </w:rPr>
        <w:t>.  Le code des logements de la République soviétique socialiste moldave du 3 juin 1983, en vigueur jusqu</w:t>
      </w:r>
      <w:r w:rsidRPr="00F651D2" w:rsidR="00F651D2">
        <w:rPr>
          <w:lang w:val="fr-FR"/>
        </w:rPr>
        <w:t>’</w:t>
      </w:r>
      <w:r w:rsidRPr="00F651D2">
        <w:rPr>
          <w:lang w:val="fr-FR"/>
        </w:rPr>
        <w:t>au 29 novembre 2015, prévoyait que les citoyens moldaves avaient le droit d</w:t>
      </w:r>
      <w:r w:rsidRPr="00F651D2" w:rsidR="00F651D2">
        <w:rPr>
          <w:lang w:val="fr-FR"/>
        </w:rPr>
        <w:t>’</w:t>
      </w:r>
      <w:r w:rsidRPr="00F651D2">
        <w:rPr>
          <w:lang w:val="fr-FR"/>
        </w:rPr>
        <w:t>occuper, sur la base d</w:t>
      </w:r>
      <w:r w:rsidRPr="00F651D2" w:rsidR="00F651D2">
        <w:rPr>
          <w:lang w:val="fr-FR"/>
        </w:rPr>
        <w:t>’</w:t>
      </w:r>
      <w:r w:rsidRPr="00F651D2">
        <w:rPr>
          <w:lang w:val="fr-FR"/>
        </w:rPr>
        <w:t>un contrat de location, un logement appartenant à l</w:t>
      </w:r>
      <w:r w:rsidRPr="00F651D2" w:rsidR="00F651D2">
        <w:rPr>
          <w:lang w:val="fr-FR"/>
        </w:rPr>
        <w:t>’</w:t>
      </w:r>
      <w:r w:rsidRPr="00F651D2">
        <w:rPr>
          <w:lang w:val="fr-FR"/>
        </w:rPr>
        <w:t>État. Les logements étaient attribués pour un usage permanent (article 10). Le code prévoyait également que certaines catégories de personnes pouvaient obtenir un logement en priorité.</w:t>
      </w:r>
    </w:p>
    <w:p w:rsidRPr="00F651D2" w:rsidR="00E14498" w:rsidP="00F651D2" w:rsidRDefault="00E14498">
      <w:pPr>
        <w:pStyle w:val="ECHRPara"/>
        <w:rPr>
          <w:lang w:val="fr-FR"/>
        </w:rPr>
      </w:pPr>
      <w:r w:rsidRPr="00F651D2">
        <w:rPr>
          <w:lang w:val="fr-FR"/>
        </w:rPr>
        <w:t>Le 29 novembre 2015, une nouvelle loi sur les logements entra en vigueur. Elle reconnaît aux personnes avec des revenus modestes le droit à un logement social fourni par l</w:t>
      </w:r>
      <w:r w:rsidRPr="00F651D2" w:rsidR="00F651D2">
        <w:rPr>
          <w:lang w:val="fr-FR"/>
        </w:rPr>
        <w:t>’</w:t>
      </w:r>
      <w:r w:rsidRPr="00F651D2">
        <w:rPr>
          <w:lang w:val="fr-FR"/>
        </w:rPr>
        <w:t>État.</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20</w:t>
      </w:r>
      <w:r w:rsidRPr="00F651D2">
        <w:rPr>
          <w:lang w:val="fr-FR"/>
        </w:rPr>
        <w:fldChar w:fldCharType="end"/>
      </w:r>
      <w:r w:rsidRPr="00F651D2">
        <w:rPr>
          <w:lang w:val="fr-FR"/>
        </w:rPr>
        <w:t>.  Les passages pertinents en l</w:t>
      </w:r>
      <w:r w:rsidRPr="00F651D2" w:rsidR="00F651D2">
        <w:rPr>
          <w:lang w:val="fr-FR"/>
        </w:rPr>
        <w:t>’</w:t>
      </w:r>
      <w:r w:rsidRPr="00F651D2">
        <w:rPr>
          <w:lang w:val="fr-FR"/>
        </w:rPr>
        <w:t>espèce de l</w:t>
      </w:r>
      <w:r w:rsidRPr="00F651D2" w:rsidR="00F651D2">
        <w:rPr>
          <w:lang w:val="fr-FR"/>
        </w:rPr>
        <w:t>’</w:t>
      </w:r>
      <w:r w:rsidRPr="00F651D2">
        <w:rPr>
          <w:lang w:val="fr-FR"/>
        </w:rPr>
        <w:t>article 35 de la loi sur la police du 18 décembre 1990, en vigueur à l</w:t>
      </w:r>
      <w:r w:rsidRPr="00F651D2" w:rsidR="00F651D2">
        <w:rPr>
          <w:lang w:val="fr-FR"/>
        </w:rPr>
        <w:t>’</w:t>
      </w:r>
      <w:r w:rsidRPr="00F651D2">
        <w:rPr>
          <w:lang w:val="fr-FR"/>
        </w:rPr>
        <w:t>époque des faits, se lisaient comme suit :</w:t>
      </w:r>
    </w:p>
    <w:p w:rsidRPr="00F651D2" w:rsidR="00E14498" w:rsidP="00F651D2" w:rsidRDefault="00E14498">
      <w:pPr>
        <w:pStyle w:val="ECHRTitleCentre3"/>
        <w:rPr>
          <w:lang w:val="fr-FR"/>
        </w:rPr>
      </w:pPr>
      <w:r w:rsidRPr="00F651D2">
        <w:rPr>
          <w:lang w:val="fr-FR"/>
        </w:rPr>
        <w:t>Article 35.  L</w:t>
      </w:r>
      <w:r w:rsidRPr="00F651D2" w:rsidR="00F651D2">
        <w:rPr>
          <w:lang w:val="fr-FR"/>
        </w:rPr>
        <w:t>’</w:t>
      </w:r>
      <w:r w:rsidRPr="00F651D2">
        <w:rPr>
          <w:lang w:val="fr-FR"/>
        </w:rPr>
        <w:t>attribution d</w:t>
      </w:r>
      <w:r w:rsidRPr="00F651D2" w:rsidR="00F651D2">
        <w:rPr>
          <w:lang w:val="fr-FR"/>
        </w:rPr>
        <w:t>’</w:t>
      </w:r>
      <w:r w:rsidRPr="00F651D2">
        <w:rPr>
          <w:lang w:val="fr-FR"/>
        </w:rPr>
        <w:t>un logement aux agents de police</w:t>
      </w:r>
    </w:p>
    <w:p w:rsidRPr="00F651D2" w:rsidR="00E14498" w:rsidP="00F651D2" w:rsidRDefault="00E14498">
      <w:pPr>
        <w:pStyle w:val="ECHRParaQuote"/>
        <w:rPr>
          <w:lang w:val="fr-FR"/>
        </w:rPr>
      </w:pPr>
      <w:r w:rsidRPr="00F651D2">
        <w:rPr>
          <w:lang w:val="fr-FR"/>
        </w:rPr>
        <w:t>« [1.]  Les autorités locales fournissent aux agents de police, au plus tard trois ans après leur embauche, et pour ce qui est des officiers, au plus tard un an après leur prise de fonctions, un logement en location (...) conforme aux normes établies par la législation.</w:t>
      </w:r>
    </w:p>
    <w:p w:rsidRPr="00F651D2" w:rsidR="00E14498" w:rsidP="00F651D2" w:rsidRDefault="00E14498">
      <w:pPr>
        <w:pStyle w:val="ECHRParaQuote"/>
        <w:rPr>
          <w:lang w:val="fr-FR"/>
        </w:rPr>
      </w:pPr>
      <w:r w:rsidRPr="00F651D2">
        <w:rPr>
          <w:lang w:val="fr-FR"/>
        </w:rPr>
        <w:t>(...) »</w:t>
      </w:r>
    </w:p>
    <w:p w:rsidRPr="00F651D2" w:rsidR="00E14498" w:rsidP="00F651D2" w:rsidRDefault="00E14498">
      <w:pPr>
        <w:pStyle w:val="ECHRPara"/>
        <w:rPr>
          <w:lang w:val="fr-FR"/>
        </w:rPr>
      </w:pPr>
      <w:r w:rsidRPr="00F651D2">
        <w:rPr>
          <w:lang w:val="fr-FR"/>
        </w:rPr>
        <w:t>Le 18 décembre 2009, cette disposition a été abrogée.</w:t>
      </w:r>
    </w:p>
    <w:bookmarkStart w:name="loi_87" w:id="2"/>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21</w:t>
      </w:r>
      <w:r w:rsidRPr="00F651D2">
        <w:rPr>
          <w:lang w:val="fr-FR"/>
        </w:rPr>
        <w:fldChar w:fldCharType="end"/>
      </w:r>
      <w:bookmarkEnd w:id="2"/>
      <w:r w:rsidRPr="00F651D2">
        <w:rPr>
          <w:lang w:val="fr-FR"/>
        </w:rPr>
        <w:t>.  Le 1</w:t>
      </w:r>
      <w:r w:rsidRPr="00F651D2">
        <w:rPr>
          <w:vertAlign w:val="superscript"/>
          <w:lang w:val="fr-FR"/>
        </w:rPr>
        <w:t>er</w:t>
      </w:r>
      <w:r w:rsidRPr="00F651D2">
        <w:rPr>
          <w:lang w:val="fr-FR"/>
        </w:rPr>
        <w:t xml:space="preserve"> juillet 2011, la loi n</w:t>
      </w:r>
      <w:r w:rsidRPr="00F651D2">
        <w:rPr>
          <w:vertAlign w:val="superscript"/>
          <w:lang w:val="fr-FR"/>
        </w:rPr>
        <w:t>o</w:t>
      </w:r>
      <w:r w:rsidRPr="00F651D2">
        <w:rPr>
          <w:lang w:val="fr-FR"/>
        </w:rPr>
        <w:t xml:space="preserve"> 87 est entrée en vigueur. Elle permet à toute personne physique ou morale qui se considère lésée dans son droit à l</w:t>
      </w:r>
      <w:r w:rsidRPr="00F651D2" w:rsidR="00F651D2">
        <w:rPr>
          <w:lang w:val="fr-FR"/>
        </w:rPr>
        <w:t>’</w:t>
      </w:r>
      <w:r w:rsidRPr="00F651D2">
        <w:rPr>
          <w:lang w:val="fr-FR"/>
        </w:rPr>
        <w:t>exécution d</w:t>
      </w:r>
      <w:r w:rsidRPr="00F651D2" w:rsidR="00F651D2">
        <w:rPr>
          <w:lang w:val="fr-FR"/>
        </w:rPr>
        <w:t>’</w:t>
      </w:r>
      <w:r w:rsidRPr="00F651D2">
        <w:rPr>
          <w:lang w:val="fr-FR"/>
        </w:rPr>
        <w:t>une décision de justice définitive dans un délai raisonnable ou à l</w:t>
      </w:r>
      <w:r w:rsidRPr="00F651D2" w:rsidR="00F651D2">
        <w:rPr>
          <w:lang w:val="fr-FR"/>
        </w:rPr>
        <w:t>’</w:t>
      </w:r>
      <w:r w:rsidRPr="00F651D2">
        <w:rPr>
          <w:lang w:val="fr-FR"/>
        </w:rPr>
        <w:t>examen d</w:t>
      </w:r>
      <w:r w:rsidRPr="00F651D2" w:rsidR="00F651D2">
        <w:rPr>
          <w:lang w:val="fr-FR"/>
        </w:rPr>
        <w:t>’</w:t>
      </w:r>
      <w:r w:rsidRPr="00F651D2">
        <w:rPr>
          <w:lang w:val="fr-FR"/>
        </w:rPr>
        <w:t>une affaire dans un délai raisonnable, de saisir un tribunal aux fins de constater une telle violation et d</w:t>
      </w:r>
      <w:r w:rsidRPr="00F651D2" w:rsidR="00F651D2">
        <w:rPr>
          <w:lang w:val="fr-FR"/>
        </w:rPr>
        <w:t>’</w:t>
      </w:r>
      <w:r w:rsidRPr="00F651D2">
        <w:rPr>
          <w:lang w:val="fr-FR"/>
        </w:rPr>
        <w:t>obtenir réparation. Selon l</w:t>
      </w:r>
      <w:r w:rsidRPr="00F651D2" w:rsidR="00F651D2">
        <w:rPr>
          <w:lang w:val="fr-FR"/>
        </w:rPr>
        <w:t>’</w:t>
      </w:r>
      <w:r w:rsidRPr="00F651D2" w:rsidR="00100B4F">
        <w:rPr>
          <w:lang w:val="fr-FR"/>
        </w:rPr>
        <w:t>article </w:t>
      </w:r>
      <w:r w:rsidRPr="00F651D2">
        <w:rPr>
          <w:lang w:val="fr-FR"/>
        </w:rPr>
        <w:t>1, cette loi doit être appliquée et interprétée conformément au droit interne, à la Convention et à la jurisprudence de la Cour. L</w:t>
      </w:r>
      <w:r w:rsidRPr="00F651D2" w:rsidR="00F651D2">
        <w:rPr>
          <w:lang w:val="fr-FR"/>
        </w:rPr>
        <w:t>’</w:t>
      </w:r>
      <w:r w:rsidRPr="00F651D2">
        <w:rPr>
          <w:lang w:val="fr-FR"/>
        </w:rPr>
        <w:t>article 5 de la loi énonce que, lorsqu</w:t>
      </w:r>
      <w:r w:rsidRPr="00F651D2" w:rsidR="00F651D2">
        <w:rPr>
          <w:lang w:val="fr-FR"/>
        </w:rPr>
        <w:t>’</w:t>
      </w:r>
      <w:r w:rsidRPr="00F651D2">
        <w:rPr>
          <w:lang w:val="fr-FR"/>
        </w:rPr>
        <w:t>un tribunal constate la violation du droit à l</w:t>
      </w:r>
      <w:r w:rsidRPr="00F651D2" w:rsidR="00F651D2">
        <w:rPr>
          <w:lang w:val="fr-FR"/>
        </w:rPr>
        <w:t>’</w:t>
      </w:r>
      <w:r w:rsidRPr="00F651D2">
        <w:rPr>
          <w:lang w:val="fr-FR"/>
        </w:rPr>
        <w:t>exécution d</w:t>
      </w:r>
      <w:r w:rsidRPr="00F651D2" w:rsidR="00F651D2">
        <w:rPr>
          <w:lang w:val="fr-FR"/>
        </w:rPr>
        <w:t>’</w:t>
      </w:r>
      <w:r w:rsidRPr="00F651D2">
        <w:rPr>
          <w:lang w:val="fr-FR"/>
        </w:rPr>
        <w:t>une décision de justice définitive dans un délai raisonnable ou du droit à l</w:t>
      </w:r>
      <w:r w:rsidRPr="00F651D2" w:rsidR="00F651D2">
        <w:rPr>
          <w:lang w:val="fr-FR"/>
        </w:rPr>
        <w:t>’</w:t>
      </w:r>
      <w:r w:rsidRPr="00F651D2">
        <w:rPr>
          <w:lang w:val="fr-FR"/>
        </w:rPr>
        <w:t>examen d</w:t>
      </w:r>
      <w:r w:rsidRPr="00F651D2" w:rsidR="00F651D2">
        <w:rPr>
          <w:lang w:val="fr-FR"/>
        </w:rPr>
        <w:t>’</w:t>
      </w:r>
      <w:r w:rsidRPr="00F651D2">
        <w:rPr>
          <w:lang w:val="fr-FR"/>
        </w:rPr>
        <w:t>une affaire dans un délai raisonnable, il doit se prononcer sur l</w:t>
      </w:r>
      <w:r w:rsidRPr="00F651D2" w:rsidR="00F651D2">
        <w:rPr>
          <w:lang w:val="fr-FR"/>
        </w:rPr>
        <w:t>’</w:t>
      </w:r>
      <w:r w:rsidRPr="00F651D2">
        <w:rPr>
          <w:lang w:val="fr-FR"/>
        </w:rPr>
        <w:t>octroi des dédommagements au titre des préjudices matériel et moral ainsi que sur le remboursement des frais et dépens.</w:t>
      </w:r>
    </w:p>
    <w:p w:rsidRPr="00F651D2" w:rsidR="00E14498" w:rsidP="00F651D2" w:rsidRDefault="00E14498">
      <w:pPr>
        <w:pStyle w:val="ECHRPara"/>
        <w:rPr>
          <w:lang w:val="fr-FR"/>
        </w:rPr>
      </w:pPr>
      <w:r w:rsidRPr="00F651D2">
        <w:rPr>
          <w:lang w:val="fr-FR"/>
        </w:rPr>
        <w:t>D</w:t>
      </w:r>
      <w:r w:rsidRPr="00F651D2" w:rsidR="00F651D2">
        <w:rPr>
          <w:lang w:val="fr-FR"/>
        </w:rPr>
        <w:t>’</w:t>
      </w:r>
      <w:r w:rsidRPr="00F651D2">
        <w:rPr>
          <w:lang w:val="fr-FR"/>
        </w:rPr>
        <w:t>autres détails relativement aux dispositions de la loi n</w:t>
      </w:r>
      <w:r w:rsidRPr="00F651D2">
        <w:rPr>
          <w:vertAlign w:val="superscript"/>
          <w:lang w:val="fr-FR"/>
        </w:rPr>
        <w:t>o</w:t>
      </w:r>
      <w:r w:rsidRPr="00F651D2">
        <w:rPr>
          <w:lang w:val="fr-FR"/>
        </w:rPr>
        <w:t xml:space="preserve"> 87 sont résumés dans l</w:t>
      </w:r>
      <w:r w:rsidRPr="00F651D2" w:rsidR="00F651D2">
        <w:rPr>
          <w:lang w:val="fr-FR"/>
        </w:rPr>
        <w:t>’</w:t>
      </w:r>
      <w:r w:rsidRPr="00F651D2">
        <w:rPr>
          <w:lang w:val="fr-FR"/>
        </w:rPr>
        <w:t xml:space="preserve">affaire </w:t>
      </w:r>
      <w:r w:rsidRPr="00F651D2">
        <w:rPr>
          <w:i/>
          <w:lang w:val="fr-FR"/>
        </w:rPr>
        <w:t xml:space="preserve">Balan c. la République de Moldova </w:t>
      </w:r>
      <w:r w:rsidRPr="00F651D2">
        <w:rPr>
          <w:lang w:val="fr-FR"/>
        </w:rPr>
        <w:t>((déc.), n</w:t>
      </w:r>
      <w:r w:rsidRPr="00F651D2">
        <w:rPr>
          <w:vertAlign w:val="superscript"/>
          <w:lang w:val="fr-FR"/>
        </w:rPr>
        <w:t>o</w:t>
      </w:r>
      <w:r w:rsidRPr="00F651D2">
        <w:rPr>
          <w:lang w:val="fr-FR"/>
        </w:rPr>
        <w:t> 44746/08, § 9, 24 janvier 2012).</w:t>
      </w:r>
    </w:p>
    <w:p w:rsidRPr="00F651D2" w:rsidR="00E14498" w:rsidP="00F651D2" w:rsidRDefault="00E14498">
      <w:pPr>
        <w:pStyle w:val="ECHRHeading1"/>
        <w:rPr>
          <w:lang w:val="fr-FR"/>
        </w:rPr>
      </w:pPr>
      <w:r w:rsidRPr="00F651D2">
        <w:rPr>
          <w:lang w:val="fr-FR"/>
        </w:rPr>
        <w:t>EN DROIT</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22</w:t>
      </w:r>
      <w:r w:rsidRPr="00F651D2">
        <w:rPr>
          <w:lang w:val="fr-FR"/>
        </w:rPr>
        <w:fldChar w:fldCharType="end"/>
      </w:r>
      <w:r w:rsidRPr="00F651D2">
        <w:rPr>
          <w:lang w:val="fr-FR"/>
        </w:rPr>
        <w:t>.  Invoquant l</w:t>
      </w:r>
      <w:r w:rsidRPr="00F651D2" w:rsidR="00F651D2">
        <w:rPr>
          <w:lang w:val="fr-FR"/>
        </w:rPr>
        <w:t>’</w:t>
      </w:r>
      <w:r w:rsidRPr="00F651D2">
        <w:rPr>
          <w:lang w:val="fr-FR"/>
        </w:rPr>
        <w:t>article 6 § 1 de la Convention ainsi que l</w:t>
      </w:r>
      <w:r w:rsidRPr="00F651D2" w:rsidR="00F651D2">
        <w:rPr>
          <w:lang w:val="fr-FR"/>
        </w:rPr>
        <w:t>’</w:t>
      </w:r>
      <w:r w:rsidRPr="00F651D2">
        <w:rPr>
          <w:lang w:val="fr-FR"/>
        </w:rPr>
        <w:t>article 1 du Protocole n</w:t>
      </w:r>
      <w:r w:rsidRPr="00F651D2">
        <w:rPr>
          <w:vertAlign w:val="superscript"/>
          <w:lang w:val="fr-FR"/>
        </w:rPr>
        <w:t>o</w:t>
      </w:r>
      <w:r w:rsidRPr="00F651D2">
        <w:rPr>
          <w:lang w:val="fr-FR"/>
        </w:rPr>
        <w:t xml:space="preserve"> 1 à la Convention, le requérant se plaint de la non-exécution de la décision définitive du 20 février 2008. Il se plaint en outre de l</w:t>
      </w:r>
      <w:r w:rsidRPr="00F651D2" w:rsidR="00F651D2">
        <w:rPr>
          <w:lang w:val="fr-FR"/>
        </w:rPr>
        <w:t>’</w:t>
      </w:r>
      <w:r w:rsidRPr="00F651D2">
        <w:rPr>
          <w:lang w:val="fr-FR"/>
        </w:rPr>
        <w:t>absence d</w:t>
      </w:r>
      <w:r w:rsidRPr="00F651D2" w:rsidR="00F651D2">
        <w:rPr>
          <w:lang w:val="fr-FR"/>
        </w:rPr>
        <w:t>’</w:t>
      </w:r>
      <w:r w:rsidRPr="00F651D2">
        <w:rPr>
          <w:lang w:val="fr-FR"/>
        </w:rPr>
        <w:t>un recours effectif au sens de l</w:t>
      </w:r>
      <w:r w:rsidRPr="00F651D2" w:rsidR="00F651D2">
        <w:rPr>
          <w:lang w:val="fr-FR"/>
        </w:rPr>
        <w:t>’</w:t>
      </w:r>
      <w:r w:rsidRPr="00F651D2">
        <w:rPr>
          <w:lang w:val="fr-FR"/>
        </w:rPr>
        <w:t>article 13 de la Convention pour faire valoir ses droits garantis par l</w:t>
      </w:r>
      <w:r w:rsidRPr="00F651D2" w:rsidR="00F651D2">
        <w:rPr>
          <w:lang w:val="fr-FR"/>
        </w:rPr>
        <w:t>’</w:t>
      </w:r>
      <w:r w:rsidRPr="00F651D2">
        <w:rPr>
          <w:lang w:val="fr-FR"/>
        </w:rPr>
        <w:t>article 6 § 1 de la Convention et l</w:t>
      </w:r>
      <w:r w:rsidRPr="00F651D2" w:rsidR="00F651D2">
        <w:rPr>
          <w:lang w:val="fr-FR"/>
        </w:rPr>
        <w:t>’</w:t>
      </w:r>
      <w:r w:rsidRPr="00F651D2">
        <w:rPr>
          <w:lang w:val="fr-FR"/>
        </w:rPr>
        <w:t>article 1 du Protocole n</w:t>
      </w:r>
      <w:r w:rsidRPr="00F651D2">
        <w:rPr>
          <w:vertAlign w:val="superscript"/>
          <w:lang w:val="fr-FR"/>
        </w:rPr>
        <w:t>o</w:t>
      </w:r>
      <w:r w:rsidRPr="00F651D2">
        <w:rPr>
          <w:lang w:val="fr-FR"/>
        </w:rPr>
        <w:t xml:space="preserve"> 1 à la Convention. Ces dispositions dans leurs passages pertinents en l</w:t>
      </w:r>
      <w:r w:rsidRPr="00F651D2" w:rsidR="00F651D2">
        <w:rPr>
          <w:lang w:val="fr-FR"/>
        </w:rPr>
        <w:t>’</w:t>
      </w:r>
      <w:r w:rsidRPr="00F651D2">
        <w:rPr>
          <w:lang w:val="fr-FR"/>
        </w:rPr>
        <w:t>espèce sont ainsi libellées :</w:t>
      </w:r>
    </w:p>
    <w:p w:rsidRPr="00F651D2" w:rsidR="00E14498" w:rsidP="00F651D2" w:rsidRDefault="00E14498">
      <w:pPr>
        <w:pStyle w:val="ECHRTitleCentre3"/>
        <w:rPr>
          <w:lang w:val="fr-FR"/>
        </w:rPr>
      </w:pPr>
      <w:r w:rsidRPr="00F651D2">
        <w:rPr>
          <w:lang w:val="fr-FR"/>
        </w:rPr>
        <w:t>Article 6</w:t>
      </w:r>
    </w:p>
    <w:p w:rsidRPr="00F651D2" w:rsidR="00E14498" w:rsidP="00F651D2" w:rsidRDefault="00E14498">
      <w:pPr>
        <w:pStyle w:val="ECHRParaQuote"/>
        <w:rPr>
          <w:lang w:val="fr-FR"/>
        </w:rPr>
      </w:pPr>
      <w:r w:rsidRPr="00F651D2">
        <w:rPr>
          <w:lang w:val="fr-FR"/>
        </w:rPr>
        <w:t xml:space="preserve"> « 1.  Toute personne a droit à ce que sa cause soit entendue (...) dans un délai raisonnable, par un tribunal (...), qui décidera (...) des contestations sur ses droits et obligations de caractère civil (...) »</w:t>
      </w:r>
    </w:p>
    <w:p w:rsidRPr="00F651D2" w:rsidR="00E14498" w:rsidP="00F651D2" w:rsidRDefault="00E14498">
      <w:pPr>
        <w:pStyle w:val="ECHRTitleCentre3"/>
        <w:rPr>
          <w:lang w:val="fr-FR"/>
        </w:rPr>
      </w:pPr>
      <w:r w:rsidRPr="00F651D2">
        <w:rPr>
          <w:lang w:val="fr-FR"/>
        </w:rPr>
        <w:t>Article 1 du Protocole n</w:t>
      </w:r>
      <w:r w:rsidRPr="00F651D2">
        <w:rPr>
          <w:vertAlign w:val="superscript"/>
          <w:lang w:val="fr-FR"/>
        </w:rPr>
        <w:t>o</w:t>
      </w:r>
      <w:r w:rsidRPr="00F651D2">
        <w:rPr>
          <w:lang w:val="fr-FR"/>
        </w:rPr>
        <w:t xml:space="preserve"> 1</w:t>
      </w:r>
    </w:p>
    <w:p w:rsidRPr="00F651D2" w:rsidR="00E14498" w:rsidP="00F651D2" w:rsidRDefault="00E14498">
      <w:pPr>
        <w:pStyle w:val="ECHRParaQuote"/>
        <w:rPr>
          <w:lang w:val="fr-FR"/>
        </w:rPr>
      </w:pPr>
      <w:r w:rsidRPr="00F651D2">
        <w:rPr>
          <w:lang w:val="fr-FR"/>
        </w:rPr>
        <w:t>« Toute personne physique ou morale a droit au respect de ses biens. Nul ne peut être privé de sa propriété que pour cause d</w:t>
      </w:r>
      <w:r w:rsidRPr="00F651D2" w:rsidR="00F651D2">
        <w:rPr>
          <w:lang w:val="fr-FR"/>
        </w:rPr>
        <w:t>’</w:t>
      </w:r>
      <w:r w:rsidRPr="00F651D2">
        <w:rPr>
          <w:lang w:val="fr-FR"/>
        </w:rPr>
        <w:t>utilité publique et dans les conditions prévues par la loi et les principes généraux du droit international.</w:t>
      </w:r>
    </w:p>
    <w:p w:rsidRPr="00F651D2" w:rsidR="00E14498" w:rsidP="00F651D2" w:rsidRDefault="00E14498">
      <w:pPr>
        <w:pStyle w:val="ECHRParaQuote"/>
        <w:rPr>
          <w:lang w:val="fr-FR"/>
        </w:rPr>
      </w:pPr>
      <w:r w:rsidRPr="00F651D2">
        <w:rPr>
          <w:lang w:val="fr-FR"/>
        </w:rPr>
        <w:t>(...) »</w:t>
      </w:r>
    </w:p>
    <w:p w:rsidRPr="00F651D2" w:rsidR="00E14498" w:rsidP="00F651D2" w:rsidRDefault="00E14498">
      <w:pPr>
        <w:pStyle w:val="ECHRTitleCentre3"/>
        <w:rPr>
          <w:lang w:val="fr-FR"/>
        </w:rPr>
      </w:pPr>
      <w:r w:rsidRPr="00F651D2">
        <w:rPr>
          <w:lang w:val="fr-FR"/>
        </w:rPr>
        <w:t>Article 13</w:t>
      </w:r>
    </w:p>
    <w:p w:rsidRPr="00F651D2" w:rsidR="00E14498" w:rsidP="00F651D2" w:rsidRDefault="00E14498">
      <w:pPr>
        <w:pStyle w:val="ECHRParaQuote"/>
        <w:rPr>
          <w:lang w:val="fr-FR"/>
        </w:rPr>
      </w:pPr>
      <w:r w:rsidRPr="00F651D2">
        <w:rPr>
          <w:lang w:val="fr-FR"/>
        </w:rPr>
        <w:t>« Toute personne dont les droits et libertés reconnus dans la (...) Convention ont été violés, a droit à l</w:t>
      </w:r>
      <w:r w:rsidRPr="00F651D2" w:rsidR="00F651D2">
        <w:rPr>
          <w:lang w:val="fr-FR"/>
        </w:rPr>
        <w:t>’</w:t>
      </w:r>
      <w:r w:rsidRPr="00F651D2">
        <w:rPr>
          <w:lang w:val="fr-FR"/>
        </w:rPr>
        <w:t>octroi d</w:t>
      </w:r>
      <w:r w:rsidRPr="00F651D2" w:rsidR="00F651D2">
        <w:rPr>
          <w:lang w:val="fr-FR"/>
        </w:rPr>
        <w:t>’</w:t>
      </w:r>
      <w:r w:rsidRPr="00F651D2">
        <w:rPr>
          <w:lang w:val="fr-FR"/>
        </w:rPr>
        <w:t>un recours effectif devant une instance nationale, alors même que la violation aurait été commise par des personnes agissant dans l</w:t>
      </w:r>
      <w:r w:rsidRPr="00F651D2" w:rsidR="00F651D2">
        <w:rPr>
          <w:lang w:val="fr-FR"/>
        </w:rPr>
        <w:t>’</w:t>
      </w:r>
      <w:r w:rsidRPr="00F651D2">
        <w:rPr>
          <w:lang w:val="fr-FR"/>
        </w:rPr>
        <w:t>exercice de leurs fonctions officielles. »</w:t>
      </w:r>
    </w:p>
    <w:p w:rsidRPr="00F651D2" w:rsidR="00E14498" w:rsidP="00F651D2" w:rsidRDefault="00E14498">
      <w:pPr>
        <w:pStyle w:val="ECHRHeading1"/>
        <w:rPr>
          <w:lang w:val="fr-FR"/>
        </w:rPr>
      </w:pPr>
      <w:r w:rsidRPr="00F651D2">
        <w:rPr>
          <w:lang w:val="fr-FR"/>
        </w:rPr>
        <w:t>I.  SUR LA RECEVABILITÉ</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23</w:t>
      </w:r>
      <w:r w:rsidRPr="00F651D2">
        <w:rPr>
          <w:lang w:val="fr-FR"/>
        </w:rPr>
        <w:fldChar w:fldCharType="end"/>
      </w:r>
      <w:r w:rsidRPr="00F651D2">
        <w:rPr>
          <w:lang w:val="fr-FR"/>
        </w:rPr>
        <w:t>.  Le Gouvernement argue que le requérant a perdu sa qualité de victime. Il indique à cet égard que les tribunaux nationaux ont reconnu l</w:t>
      </w:r>
      <w:r w:rsidRPr="00F651D2" w:rsidR="00F651D2">
        <w:rPr>
          <w:lang w:val="fr-FR"/>
        </w:rPr>
        <w:t>’</w:t>
      </w:r>
      <w:r w:rsidRPr="00F651D2">
        <w:rPr>
          <w:lang w:val="fr-FR"/>
        </w:rPr>
        <w:t>existence d</w:t>
      </w:r>
      <w:r w:rsidRPr="00F651D2" w:rsidR="00F651D2">
        <w:rPr>
          <w:lang w:val="fr-FR"/>
        </w:rPr>
        <w:t>’</w:t>
      </w:r>
      <w:r w:rsidRPr="00F651D2">
        <w:rPr>
          <w:lang w:val="fr-FR"/>
        </w:rPr>
        <w:t>une violation dans le chef de l</w:t>
      </w:r>
      <w:r w:rsidRPr="00F651D2" w:rsidR="00F651D2">
        <w:rPr>
          <w:lang w:val="fr-FR"/>
        </w:rPr>
        <w:t>’</w:t>
      </w:r>
      <w:r w:rsidRPr="00F651D2">
        <w:rPr>
          <w:lang w:val="fr-FR"/>
        </w:rPr>
        <w:t>intéressé et qu</w:t>
      </w:r>
      <w:r w:rsidRPr="00F651D2" w:rsidR="00F651D2">
        <w:rPr>
          <w:lang w:val="fr-FR"/>
        </w:rPr>
        <w:t>’</w:t>
      </w:r>
      <w:r w:rsidRPr="00F651D2">
        <w:rPr>
          <w:lang w:val="fr-FR"/>
        </w:rPr>
        <w:t>ils lui ont octroyé un dédommagement qu</w:t>
      </w:r>
      <w:r w:rsidRPr="00F651D2" w:rsidR="00F651D2">
        <w:rPr>
          <w:lang w:val="fr-FR"/>
        </w:rPr>
        <w:t>’</w:t>
      </w:r>
      <w:r w:rsidRPr="00F651D2">
        <w:rPr>
          <w:lang w:val="fr-FR"/>
        </w:rPr>
        <w:t>il estime suffisant.</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24</w:t>
      </w:r>
      <w:r w:rsidRPr="00F651D2">
        <w:rPr>
          <w:lang w:val="fr-FR"/>
        </w:rPr>
        <w:fldChar w:fldCharType="end"/>
      </w:r>
      <w:r w:rsidRPr="00F651D2">
        <w:rPr>
          <w:lang w:val="fr-FR"/>
        </w:rPr>
        <w:t>.  Le requérant rétorque que les juridictions internes n</w:t>
      </w:r>
      <w:r w:rsidRPr="00F651D2" w:rsidR="00F651D2">
        <w:rPr>
          <w:lang w:val="fr-FR"/>
        </w:rPr>
        <w:t>’</w:t>
      </w:r>
      <w:r w:rsidRPr="00F651D2">
        <w:rPr>
          <w:lang w:val="fr-FR"/>
        </w:rPr>
        <w:t>ont pas explicitement reconnu la violation de l</w:t>
      </w:r>
      <w:r w:rsidRPr="00F651D2" w:rsidR="00F651D2">
        <w:rPr>
          <w:lang w:val="fr-FR"/>
        </w:rPr>
        <w:t>’</w:t>
      </w:r>
      <w:r w:rsidRPr="00F651D2">
        <w:rPr>
          <w:lang w:val="fr-FR"/>
        </w:rPr>
        <w:t>article 6 de la Convention à son égard et que le montant du dédommagement moral accordé par celles-ci est largement inférieur à celui que la Cour avait alloué dans des affaires similaires. Il avance également qu</w:t>
      </w:r>
      <w:r w:rsidRPr="00F651D2" w:rsidR="00F651D2">
        <w:rPr>
          <w:lang w:val="fr-FR"/>
        </w:rPr>
        <w:t>’</w:t>
      </w:r>
      <w:r w:rsidRPr="00F651D2">
        <w:rPr>
          <w:lang w:val="fr-FR"/>
        </w:rPr>
        <w:t>une partie de ses prétentions au titre du préjudice matériel a été rejetée par les tribunaux nationaux et que la décision définitive de la Cour suprême de justice du 20 février 2008 n</w:t>
      </w:r>
      <w:r w:rsidRPr="00F651D2" w:rsidR="00F651D2">
        <w:rPr>
          <w:lang w:val="fr-FR"/>
        </w:rPr>
        <w:t>’</w:t>
      </w:r>
      <w:r w:rsidRPr="00F651D2">
        <w:rPr>
          <w:lang w:val="fr-FR"/>
        </w:rPr>
        <w:t>est toujours pas exécutée. Par conséquent, il estime ne pas avoir perdu sa qualité de victime des violations alléguées.</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25</w:t>
      </w:r>
      <w:r w:rsidRPr="00F651D2">
        <w:rPr>
          <w:lang w:val="fr-FR"/>
        </w:rPr>
        <w:fldChar w:fldCharType="end"/>
      </w:r>
      <w:r w:rsidRPr="00F651D2">
        <w:rPr>
          <w:lang w:val="fr-FR"/>
        </w:rPr>
        <w:t>.  La Cour rappelle qu</w:t>
      </w:r>
      <w:r w:rsidRPr="00F651D2" w:rsidR="00F651D2">
        <w:rPr>
          <w:lang w:val="fr-FR"/>
        </w:rPr>
        <w:t>’</w:t>
      </w:r>
      <w:r w:rsidRPr="00F651D2">
        <w:rPr>
          <w:lang w:val="fr-FR"/>
        </w:rPr>
        <w:t>une décision ou une mesure favorable au requérant ne suffit pas en principe à le priver de sa qualité de « victime » aux fins de l</w:t>
      </w:r>
      <w:r w:rsidRPr="00F651D2" w:rsidR="00F651D2">
        <w:rPr>
          <w:lang w:val="fr-FR"/>
        </w:rPr>
        <w:t>’</w:t>
      </w:r>
      <w:r w:rsidRPr="00F651D2">
        <w:rPr>
          <w:lang w:val="fr-FR"/>
        </w:rPr>
        <w:t>article 34 de la Convention sauf si les autorités nationales reconnaissent, explicitement ou en substance, puis réparent la violation de la Convention (voir, parmi beaucoup d</w:t>
      </w:r>
      <w:r w:rsidRPr="00F651D2" w:rsidR="00F651D2">
        <w:rPr>
          <w:lang w:val="fr-FR"/>
        </w:rPr>
        <w:t>’</w:t>
      </w:r>
      <w:r w:rsidRPr="00F651D2">
        <w:rPr>
          <w:lang w:val="fr-FR"/>
        </w:rPr>
        <w:t xml:space="preserve">autres, </w:t>
      </w:r>
      <w:proofErr w:type="spellStart"/>
      <w:r w:rsidRPr="00F651D2">
        <w:rPr>
          <w:i/>
          <w:lang w:val="fr-FR"/>
        </w:rPr>
        <w:t>Kurić</w:t>
      </w:r>
      <w:proofErr w:type="spellEnd"/>
      <w:r w:rsidRPr="00F651D2">
        <w:rPr>
          <w:i/>
          <w:lang w:val="fr-FR"/>
        </w:rPr>
        <w:t xml:space="preserve"> et autres c. Slovénie</w:t>
      </w:r>
      <w:r w:rsidRPr="00F651D2">
        <w:rPr>
          <w:lang w:val="fr-FR"/>
        </w:rPr>
        <w:t xml:space="preserve"> [GC], n</w:t>
      </w:r>
      <w:r w:rsidRPr="00F651D2">
        <w:rPr>
          <w:vertAlign w:val="superscript"/>
          <w:lang w:val="fr-FR"/>
        </w:rPr>
        <w:t>o</w:t>
      </w:r>
      <w:r w:rsidRPr="00F651D2">
        <w:rPr>
          <w:lang w:val="fr-FR"/>
        </w:rPr>
        <w:t xml:space="preserve"> 26828/06, § 259, </w:t>
      </w:r>
      <w:r w:rsidRPr="00F651D2">
        <w:rPr>
          <w:snapToGrid w:val="0"/>
          <w:lang w:val="fr-FR"/>
        </w:rPr>
        <w:t>CEDH 2012 (extraits)</w:t>
      </w:r>
      <w:r w:rsidRPr="00F651D2">
        <w:rPr>
          <w:lang w:val="fr-FR"/>
        </w:rPr>
        <w:t>). Elle réaffirme que la question de savoir si le requérant a obtenu pour le dommage qui lui a été causé une réparation – comparable à la satisfaction équitable prévue à l</w:t>
      </w:r>
      <w:r w:rsidRPr="00F651D2" w:rsidR="00F651D2">
        <w:rPr>
          <w:lang w:val="fr-FR"/>
        </w:rPr>
        <w:t>’</w:t>
      </w:r>
      <w:r w:rsidRPr="00F651D2">
        <w:rPr>
          <w:lang w:val="fr-FR"/>
        </w:rPr>
        <w:t>article 41 de la Convention – revêt de l</w:t>
      </w:r>
      <w:r w:rsidRPr="00F651D2" w:rsidR="00F651D2">
        <w:rPr>
          <w:lang w:val="fr-FR"/>
        </w:rPr>
        <w:t>’</w:t>
      </w:r>
      <w:r w:rsidRPr="00F651D2">
        <w:rPr>
          <w:lang w:val="fr-FR"/>
        </w:rPr>
        <w:t>importance (</w:t>
      </w:r>
      <w:proofErr w:type="spellStart"/>
      <w:r w:rsidRPr="00F651D2">
        <w:rPr>
          <w:i/>
          <w:lang w:val="fr-FR"/>
        </w:rPr>
        <w:t>Cocchiarella</w:t>
      </w:r>
      <w:proofErr w:type="spellEnd"/>
      <w:r w:rsidRPr="00F651D2">
        <w:rPr>
          <w:i/>
          <w:lang w:val="fr-FR"/>
        </w:rPr>
        <w:t xml:space="preserve"> c. Italie</w:t>
      </w:r>
      <w:r w:rsidRPr="00F651D2">
        <w:rPr>
          <w:lang w:val="fr-FR"/>
        </w:rPr>
        <w:t xml:space="preserve"> [GC], n</w:t>
      </w:r>
      <w:r w:rsidRPr="00F651D2">
        <w:rPr>
          <w:vertAlign w:val="superscript"/>
          <w:lang w:val="fr-FR"/>
        </w:rPr>
        <w:t>o</w:t>
      </w:r>
      <w:r w:rsidRPr="00F651D2">
        <w:rPr>
          <w:lang w:val="fr-FR"/>
        </w:rPr>
        <w:t> 64886/01, §§ 70-72, CEDH 2006</w:t>
      </w:r>
      <w:r w:rsidRPr="00F651D2">
        <w:rPr>
          <w:lang w:val="fr-FR"/>
        </w:rPr>
        <w:noBreakHyphen/>
        <w:t>V).</w:t>
      </w:r>
    </w:p>
    <w:p w:rsidRPr="00F651D2" w:rsidR="00E14498" w:rsidP="00F651D2" w:rsidRDefault="00E14498">
      <w:pPr>
        <w:pStyle w:val="ECHRHeading2"/>
        <w:rPr>
          <w:lang w:val="fr-FR"/>
        </w:rPr>
      </w:pPr>
      <w:r w:rsidRPr="00F651D2">
        <w:rPr>
          <w:lang w:val="fr-FR"/>
        </w:rPr>
        <w:t>A.  Constat de violation</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26</w:t>
      </w:r>
      <w:r w:rsidRPr="00F651D2">
        <w:rPr>
          <w:lang w:val="fr-FR"/>
        </w:rPr>
        <w:fldChar w:fldCharType="end"/>
      </w:r>
      <w:r w:rsidRPr="00F651D2">
        <w:rPr>
          <w:lang w:val="fr-FR"/>
        </w:rPr>
        <w:t>.  Dans la présente affaire, la Cour observe que les juridictions nationales ont reconnu la violation du droit du requérant à l</w:t>
      </w:r>
      <w:r w:rsidRPr="00F651D2" w:rsidR="00F651D2">
        <w:rPr>
          <w:lang w:val="fr-FR"/>
        </w:rPr>
        <w:t>’</w:t>
      </w:r>
      <w:r w:rsidRPr="00F651D2">
        <w:rPr>
          <w:lang w:val="fr-FR"/>
        </w:rPr>
        <w:t>exécution d</w:t>
      </w:r>
      <w:r w:rsidRPr="00F651D2" w:rsidR="00F651D2">
        <w:rPr>
          <w:lang w:val="fr-FR"/>
        </w:rPr>
        <w:t>’</w:t>
      </w:r>
      <w:r w:rsidRPr="00F651D2">
        <w:rPr>
          <w:lang w:val="fr-FR"/>
        </w:rPr>
        <w:t>une décision définitive dans un délai raisonnable. Elle estime que ce constat équivaut à une reconnaissance explicite des violations alléguées par le requérant.</w:t>
      </w:r>
    </w:p>
    <w:p w:rsidRPr="00F651D2" w:rsidR="00E14498" w:rsidP="00F651D2" w:rsidRDefault="00E14498">
      <w:pPr>
        <w:pStyle w:val="ECHRHeading2"/>
        <w:rPr>
          <w:lang w:val="fr-FR"/>
        </w:rPr>
      </w:pPr>
      <w:r w:rsidRPr="00F651D2">
        <w:rPr>
          <w:lang w:val="fr-FR"/>
        </w:rPr>
        <w:t>B.  Caractéristiques du redressement</w:t>
      </w:r>
    </w:p>
    <w:p w:rsidRPr="00F651D2" w:rsidR="00E14498" w:rsidP="00F651D2" w:rsidRDefault="00E14498">
      <w:pPr>
        <w:pStyle w:val="ECHRHeading3"/>
        <w:rPr>
          <w:lang w:val="fr-FR"/>
        </w:rPr>
      </w:pPr>
      <w:r w:rsidRPr="00F651D2">
        <w:rPr>
          <w:lang w:val="fr-FR"/>
        </w:rPr>
        <w:t>1.  Principes généraux</w:t>
      </w:r>
    </w:p>
    <w:p w:rsidRPr="00F651D2" w:rsidR="00E14498" w:rsidP="00F651D2" w:rsidRDefault="00E14498">
      <w:pPr>
        <w:pStyle w:val="ECHRPara"/>
        <w:rPr>
          <w:lang w:val="it-IT"/>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27</w:t>
      </w:r>
      <w:r w:rsidRPr="00F651D2">
        <w:rPr>
          <w:lang w:val="fr-FR"/>
        </w:rPr>
        <w:fldChar w:fldCharType="end"/>
      </w:r>
      <w:r w:rsidRPr="00F651D2">
        <w:rPr>
          <w:lang w:val="fr-FR"/>
        </w:rPr>
        <w:t>.  La Cour rappelle que, dans ce genre d</w:t>
      </w:r>
      <w:r w:rsidRPr="00F651D2" w:rsidR="00F651D2">
        <w:rPr>
          <w:lang w:val="fr-FR"/>
        </w:rPr>
        <w:t>’</w:t>
      </w:r>
      <w:r w:rsidRPr="00F651D2">
        <w:rPr>
          <w:lang w:val="fr-FR"/>
        </w:rPr>
        <w:t xml:space="preserve">affaires, la possibilité pour un requérant de se prétendre victime dépendra du redressement que le recours interne lui aura fourni (voir, par exemple, </w:t>
      </w:r>
      <w:r w:rsidRPr="00F651D2">
        <w:rPr>
          <w:i/>
          <w:lang w:val="it-IT"/>
        </w:rPr>
        <w:t xml:space="preserve">Scordino c. </w:t>
      </w:r>
      <w:proofErr w:type="spellStart"/>
      <w:r w:rsidRPr="00F651D2">
        <w:rPr>
          <w:i/>
          <w:lang w:val="it-IT"/>
        </w:rPr>
        <w:t>Italie</w:t>
      </w:r>
      <w:proofErr w:type="spellEnd"/>
      <w:r w:rsidRPr="00F651D2">
        <w:rPr>
          <w:i/>
          <w:lang w:val="it-IT"/>
        </w:rPr>
        <w:t xml:space="preserve"> (n</w:t>
      </w:r>
      <w:r w:rsidRPr="00F651D2">
        <w:rPr>
          <w:rFonts w:cs="Times New Roman"/>
          <w:i/>
          <w:vertAlign w:val="superscript"/>
          <w:lang w:val="it-IT"/>
        </w:rPr>
        <w:t>o</w:t>
      </w:r>
      <w:r w:rsidRPr="00F651D2">
        <w:rPr>
          <w:i/>
          <w:lang w:val="it-IT"/>
        </w:rPr>
        <w:t xml:space="preserve"> 1)</w:t>
      </w:r>
      <w:r w:rsidRPr="00F651D2">
        <w:rPr>
          <w:lang w:val="it-IT"/>
        </w:rPr>
        <w:t xml:space="preserve"> [GC], n</w:t>
      </w:r>
      <w:r w:rsidRPr="00F651D2">
        <w:rPr>
          <w:szCs w:val="24"/>
          <w:vertAlign w:val="superscript"/>
          <w:lang w:val="it-IT"/>
        </w:rPr>
        <w:t>o</w:t>
      </w:r>
      <w:r w:rsidRPr="00F651D2">
        <w:rPr>
          <w:lang w:val="it-IT"/>
        </w:rPr>
        <w:t> 36813/97, § 182, CEDH 2006</w:t>
      </w:r>
      <w:r w:rsidRPr="00F651D2">
        <w:rPr>
          <w:lang w:val="it-IT"/>
        </w:rPr>
        <w:noBreakHyphen/>
        <w:t>V).</w:t>
      </w:r>
    </w:p>
    <w:p w:rsidRPr="00F651D2" w:rsidR="00E14498" w:rsidP="00F651D2" w:rsidRDefault="00E14498">
      <w:pPr>
        <w:pStyle w:val="ECHRPara"/>
        <w:rPr>
          <w:i/>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28</w:t>
      </w:r>
      <w:r w:rsidRPr="00F651D2">
        <w:rPr>
          <w:lang w:val="fr-FR"/>
        </w:rPr>
        <w:fldChar w:fldCharType="end"/>
      </w:r>
      <w:r w:rsidRPr="00F651D2">
        <w:rPr>
          <w:lang w:val="fr-FR"/>
        </w:rPr>
        <w:t>.  La Cour a déjà eu l</w:t>
      </w:r>
      <w:r w:rsidRPr="00F651D2" w:rsidR="00F651D2">
        <w:rPr>
          <w:lang w:val="fr-FR"/>
        </w:rPr>
        <w:t>’</w:t>
      </w:r>
      <w:r w:rsidRPr="00F651D2">
        <w:rPr>
          <w:lang w:val="fr-FR"/>
        </w:rPr>
        <w:t>occasion de préciser dans l</w:t>
      </w:r>
      <w:r w:rsidRPr="00F651D2" w:rsidR="00F651D2">
        <w:rPr>
          <w:lang w:val="fr-FR"/>
        </w:rPr>
        <w:t>’</w:t>
      </w:r>
      <w:r w:rsidRPr="00F651D2">
        <w:rPr>
          <w:lang w:val="fr-FR"/>
        </w:rPr>
        <w:t xml:space="preserve">arrêt </w:t>
      </w:r>
      <w:proofErr w:type="spellStart"/>
      <w:r w:rsidRPr="00F651D2" w:rsidR="00100B4F">
        <w:rPr>
          <w:i/>
          <w:lang w:val="fr-FR"/>
        </w:rPr>
        <w:t>Bourdov</w:t>
      </w:r>
      <w:proofErr w:type="spellEnd"/>
      <w:r w:rsidRPr="00F651D2" w:rsidR="00100B4F">
        <w:rPr>
          <w:i/>
          <w:lang w:val="fr-FR"/>
        </w:rPr>
        <w:t xml:space="preserve"> c. </w:t>
      </w:r>
      <w:r w:rsidRPr="00F651D2">
        <w:rPr>
          <w:i/>
          <w:lang w:val="fr-FR"/>
        </w:rPr>
        <w:t>Russie (n</w:t>
      </w:r>
      <w:r w:rsidRPr="00F651D2">
        <w:rPr>
          <w:rFonts w:cs="Times New Roman"/>
          <w:i/>
          <w:vertAlign w:val="superscript"/>
          <w:lang w:val="fr-FR"/>
        </w:rPr>
        <w:t>o</w:t>
      </w:r>
      <w:r w:rsidRPr="00F651D2">
        <w:rPr>
          <w:i/>
          <w:lang w:val="fr-FR"/>
        </w:rPr>
        <w:t xml:space="preserve"> 2)</w:t>
      </w:r>
      <w:r w:rsidRPr="00F651D2">
        <w:rPr>
          <w:lang w:val="fr-FR"/>
        </w:rPr>
        <w:t xml:space="preserve"> (n</w:t>
      </w:r>
      <w:r w:rsidRPr="00F651D2">
        <w:rPr>
          <w:vertAlign w:val="superscript"/>
          <w:lang w:val="fr-FR"/>
        </w:rPr>
        <w:t>o</w:t>
      </w:r>
      <w:r w:rsidRPr="00F651D2">
        <w:rPr>
          <w:lang w:val="fr-FR"/>
        </w:rPr>
        <w:t> 33509/04, § 99, CEDH 2009) les critères essentiels permettant de vérifier l</w:t>
      </w:r>
      <w:r w:rsidRPr="00F651D2" w:rsidR="00F651D2">
        <w:rPr>
          <w:lang w:val="fr-FR"/>
        </w:rPr>
        <w:t>’</w:t>
      </w:r>
      <w:r w:rsidRPr="00F651D2">
        <w:rPr>
          <w:lang w:val="fr-FR"/>
        </w:rPr>
        <w:t>effectivité d</w:t>
      </w:r>
      <w:r w:rsidRPr="00F651D2" w:rsidR="00F651D2">
        <w:rPr>
          <w:lang w:val="fr-FR"/>
        </w:rPr>
        <w:t>’</w:t>
      </w:r>
      <w:r w:rsidRPr="00F651D2">
        <w:rPr>
          <w:lang w:val="fr-FR"/>
        </w:rPr>
        <w:t>un recours indemnitaire en matière d</w:t>
      </w:r>
      <w:r w:rsidRPr="00F651D2" w:rsidR="00F651D2">
        <w:rPr>
          <w:lang w:val="fr-FR"/>
        </w:rPr>
        <w:t>’</w:t>
      </w:r>
      <w:r w:rsidRPr="00F651D2">
        <w:rPr>
          <w:lang w:val="fr-FR"/>
        </w:rPr>
        <w:t>inexécution des décisions de justice. Les passages de cet arrêt, pertinents en l</w:t>
      </w:r>
      <w:r w:rsidRPr="00F651D2" w:rsidR="00F651D2">
        <w:rPr>
          <w:lang w:val="fr-FR"/>
        </w:rPr>
        <w:t>’</w:t>
      </w:r>
      <w:r w:rsidRPr="00F651D2">
        <w:rPr>
          <w:lang w:val="fr-FR"/>
        </w:rPr>
        <w:t>espèce, se lisent comme suit :</w:t>
      </w:r>
    </w:p>
    <w:p w:rsidRPr="00F651D2" w:rsidR="00E14498" w:rsidP="00F651D2" w:rsidRDefault="00E14498">
      <w:pPr>
        <w:pStyle w:val="ECHRParaQuote"/>
        <w:rPr>
          <w:lang w:val="fr-FR"/>
        </w:rPr>
      </w:pPr>
      <w:r w:rsidRPr="00F651D2">
        <w:rPr>
          <w:lang w:val="fr-FR"/>
        </w:rPr>
        <w:t>« 99.  Les États peuvent également choisir de ne créer qu</w:t>
      </w:r>
      <w:r w:rsidRPr="00F651D2" w:rsidR="00F651D2">
        <w:rPr>
          <w:lang w:val="fr-FR"/>
        </w:rPr>
        <w:t>’</w:t>
      </w:r>
      <w:r w:rsidRPr="00F651D2">
        <w:rPr>
          <w:lang w:val="fr-FR"/>
        </w:rPr>
        <w:t>un recours indemnitaire, sans que celui-ci puisse être considéré comme manquant d</w:t>
      </w:r>
      <w:r w:rsidRPr="00F651D2" w:rsidR="00F651D2">
        <w:rPr>
          <w:lang w:val="fr-FR"/>
        </w:rPr>
        <w:t>’</w:t>
      </w:r>
      <w:r w:rsidRPr="00F651D2">
        <w:rPr>
          <w:lang w:val="fr-FR"/>
        </w:rPr>
        <w:t>effectivité. (...). [La Cour] est néanmoins appelée à vérifier si la manière dont le droit interne est interprété et appliqué entraîne des conséquences conformes aux principes de la Convention tels qu</w:t>
      </w:r>
      <w:r w:rsidRPr="00F651D2" w:rsidR="00F651D2">
        <w:rPr>
          <w:lang w:val="fr-FR"/>
        </w:rPr>
        <w:t>’</w:t>
      </w:r>
      <w:r w:rsidRPr="00F651D2">
        <w:rPr>
          <w:lang w:val="fr-FR"/>
        </w:rPr>
        <w:t>interprétés dans sa jurisprudence (</w:t>
      </w:r>
      <w:proofErr w:type="spellStart"/>
      <w:r w:rsidRPr="00F651D2">
        <w:rPr>
          <w:i/>
          <w:lang w:val="fr-FR"/>
        </w:rPr>
        <w:t>Scordino</w:t>
      </w:r>
      <w:proofErr w:type="spellEnd"/>
      <w:r w:rsidRPr="00F651D2">
        <w:rPr>
          <w:lang w:val="fr-FR"/>
        </w:rPr>
        <w:t>, précité, §§ 187-191). Elle a fixé certains critères essentiels permettant de vérifier l</w:t>
      </w:r>
      <w:r w:rsidRPr="00F651D2" w:rsidR="00F651D2">
        <w:rPr>
          <w:lang w:val="fr-FR"/>
        </w:rPr>
        <w:t>’</w:t>
      </w:r>
      <w:r w:rsidRPr="00F651D2">
        <w:rPr>
          <w:lang w:val="fr-FR"/>
        </w:rPr>
        <w:t>effectivité des recours indemnitaires en matière de durée excessive de procédures judiciaires. Ces critères, valables également dans les affaires d</w:t>
      </w:r>
      <w:r w:rsidRPr="00F651D2" w:rsidR="00F651D2">
        <w:rPr>
          <w:lang w:val="fr-FR"/>
        </w:rPr>
        <w:t>’</w:t>
      </w:r>
      <w:r w:rsidRPr="00F651D2">
        <w:rPr>
          <w:lang w:val="fr-FR"/>
        </w:rPr>
        <w:t>inexécution (</w:t>
      </w:r>
      <w:proofErr w:type="spellStart"/>
      <w:r w:rsidRPr="00F651D2">
        <w:rPr>
          <w:i/>
          <w:lang w:val="fr-FR"/>
        </w:rPr>
        <w:t>Wasserman</w:t>
      </w:r>
      <w:proofErr w:type="spellEnd"/>
      <w:r w:rsidRPr="00F651D2">
        <w:rPr>
          <w:lang w:val="fr-FR"/>
        </w:rPr>
        <w:t>, précité, §§ 49 et 51), sont les suivants :</w:t>
      </w:r>
    </w:p>
    <w:p w:rsidRPr="00F651D2" w:rsidR="00E14498" w:rsidP="00F651D2" w:rsidRDefault="00E14498">
      <w:pPr>
        <w:pStyle w:val="JuQuotSub"/>
        <w:rPr>
          <w:lang w:val="fr-FR"/>
        </w:rPr>
      </w:pPr>
      <w:r w:rsidRPr="00F651D2">
        <w:rPr>
          <w:lang w:val="fr-FR"/>
        </w:rPr>
        <w:t>– l</w:t>
      </w:r>
      <w:r w:rsidRPr="00F651D2" w:rsidR="00F651D2">
        <w:rPr>
          <w:lang w:val="fr-FR"/>
        </w:rPr>
        <w:t>’</w:t>
      </w:r>
      <w:r w:rsidRPr="00F651D2">
        <w:rPr>
          <w:lang w:val="fr-FR"/>
        </w:rPr>
        <w:t>action en indemnisation doit être tranchée dans un délai raisonnable (</w:t>
      </w:r>
      <w:proofErr w:type="spellStart"/>
      <w:r w:rsidRPr="00F651D2">
        <w:rPr>
          <w:i/>
          <w:lang w:val="fr-FR"/>
        </w:rPr>
        <w:t>Scordino</w:t>
      </w:r>
      <w:proofErr w:type="spellEnd"/>
      <w:r w:rsidRPr="00F651D2">
        <w:rPr>
          <w:lang w:val="fr-FR"/>
        </w:rPr>
        <w:t>, précité, § 194) ;</w:t>
      </w:r>
    </w:p>
    <w:p w:rsidRPr="00F651D2" w:rsidR="00E14498" w:rsidP="00F651D2" w:rsidRDefault="00E14498">
      <w:pPr>
        <w:pStyle w:val="JuQuotSub"/>
        <w:rPr>
          <w:lang w:val="fr-FR"/>
        </w:rPr>
      </w:pPr>
      <w:r w:rsidRPr="00F651D2">
        <w:rPr>
          <w:lang w:val="fr-FR"/>
        </w:rPr>
        <w:t>– l</w:t>
      </w:r>
      <w:r w:rsidRPr="00F651D2" w:rsidR="00F651D2">
        <w:rPr>
          <w:lang w:val="fr-FR"/>
        </w:rPr>
        <w:t>’</w:t>
      </w:r>
      <w:r w:rsidRPr="00F651D2">
        <w:rPr>
          <w:lang w:val="fr-FR"/>
        </w:rPr>
        <w:t>indemnité doit être promptement versée, en principe au plus tard six mois après la date à laquelle la décision octroyant la somme est devenue exécutoire (</w:t>
      </w:r>
      <w:r w:rsidRPr="00F651D2">
        <w:rPr>
          <w:i/>
          <w:lang w:val="fr-FR"/>
        </w:rPr>
        <w:t>ibidem</w:t>
      </w:r>
      <w:r w:rsidRPr="00F651D2">
        <w:rPr>
          <w:lang w:val="fr-FR"/>
        </w:rPr>
        <w:t>, § 198) ;</w:t>
      </w:r>
    </w:p>
    <w:p w:rsidRPr="00F651D2" w:rsidR="00E14498" w:rsidP="00F651D2" w:rsidRDefault="00E14498">
      <w:pPr>
        <w:pStyle w:val="JuQuotSub"/>
        <w:rPr>
          <w:lang w:val="fr-FR"/>
        </w:rPr>
      </w:pPr>
      <w:r w:rsidRPr="00F651D2">
        <w:rPr>
          <w:lang w:val="fr-FR"/>
        </w:rPr>
        <w:t>– les règles procédurales régissant l</w:t>
      </w:r>
      <w:r w:rsidRPr="00F651D2" w:rsidR="00F651D2">
        <w:rPr>
          <w:lang w:val="fr-FR"/>
        </w:rPr>
        <w:t>’</w:t>
      </w:r>
      <w:r w:rsidRPr="00F651D2">
        <w:rPr>
          <w:lang w:val="fr-FR"/>
        </w:rPr>
        <w:t>action en indemnisation doivent être conformes aux principes d</w:t>
      </w:r>
      <w:r w:rsidRPr="00F651D2" w:rsidR="00F651D2">
        <w:rPr>
          <w:lang w:val="fr-FR"/>
        </w:rPr>
        <w:t>’</w:t>
      </w:r>
      <w:r w:rsidRPr="00F651D2">
        <w:rPr>
          <w:lang w:val="fr-FR"/>
        </w:rPr>
        <w:t>équité tels que garantis par l</w:t>
      </w:r>
      <w:r w:rsidRPr="00F651D2" w:rsidR="00F651D2">
        <w:rPr>
          <w:lang w:val="fr-FR"/>
        </w:rPr>
        <w:t>’</w:t>
      </w:r>
      <w:r w:rsidRPr="00F651D2">
        <w:rPr>
          <w:lang w:val="fr-FR"/>
        </w:rPr>
        <w:t>article 6 de la Convention (</w:t>
      </w:r>
      <w:r w:rsidRPr="00F651D2">
        <w:rPr>
          <w:i/>
          <w:lang w:val="fr-FR"/>
        </w:rPr>
        <w:t>ibidem</w:t>
      </w:r>
      <w:r w:rsidRPr="00F651D2">
        <w:rPr>
          <w:lang w:val="fr-FR"/>
        </w:rPr>
        <w:t>, § 200) ;</w:t>
      </w:r>
    </w:p>
    <w:p w:rsidRPr="00F651D2" w:rsidR="00E14498" w:rsidP="00F651D2" w:rsidRDefault="00E14498">
      <w:pPr>
        <w:pStyle w:val="JuQuotSub"/>
        <w:rPr>
          <w:lang w:val="fr-FR"/>
        </w:rPr>
      </w:pPr>
      <w:r w:rsidRPr="00F651D2">
        <w:rPr>
          <w:lang w:val="fr-FR"/>
        </w:rPr>
        <w:t>– les règles en matière de frais de justice ne doivent pas faire peser un fardeau excessif sur les plaideurs dont l</w:t>
      </w:r>
      <w:r w:rsidRPr="00F651D2" w:rsidR="00F651D2">
        <w:rPr>
          <w:lang w:val="fr-FR"/>
        </w:rPr>
        <w:t>’</w:t>
      </w:r>
      <w:r w:rsidRPr="00F651D2">
        <w:rPr>
          <w:lang w:val="fr-FR"/>
        </w:rPr>
        <w:t>action est fondée (</w:t>
      </w:r>
      <w:r w:rsidRPr="00F651D2">
        <w:rPr>
          <w:i/>
          <w:lang w:val="fr-FR"/>
        </w:rPr>
        <w:t>ibidem</w:t>
      </w:r>
      <w:r w:rsidRPr="00F651D2">
        <w:rPr>
          <w:lang w:val="fr-FR"/>
        </w:rPr>
        <w:t>, § 201) ;</w:t>
      </w:r>
    </w:p>
    <w:p w:rsidRPr="00F651D2" w:rsidR="00E14498" w:rsidP="00F651D2" w:rsidRDefault="00E14498">
      <w:pPr>
        <w:pStyle w:val="JuQuotSub"/>
        <w:rPr>
          <w:lang w:val="fr-FR"/>
        </w:rPr>
      </w:pPr>
      <w:r w:rsidRPr="00F651D2">
        <w:rPr>
          <w:lang w:val="fr-FR"/>
        </w:rPr>
        <w:t>– le montant des indemnités ne doit pas être insuffisant par rapport aux sommes octroyées par la Cour dans des affaires similaires (</w:t>
      </w:r>
      <w:r w:rsidRPr="00F651D2">
        <w:rPr>
          <w:i/>
          <w:lang w:val="fr-FR"/>
        </w:rPr>
        <w:t>ibidem</w:t>
      </w:r>
      <w:r w:rsidRPr="00F651D2">
        <w:rPr>
          <w:lang w:val="fr-FR"/>
        </w:rPr>
        <w:t>, §§ 202-206 et 213). »</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29</w:t>
      </w:r>
      <w:r w:rsidRPr="00F651D2">
        <w:rPr>
          <w:lang w:val="fr-FR"/>
        </w:rPr>
        <w:fldChar w:fldCharType="end"/>
      </w:r>
      <w:r w:rsidRPr="00F651D2">
        <w:rPr>
          <w:lang w:val="fr-FR"/>
        </w:rPr>
        <w:t>.  À propos des indemnités accordées, la Cour redit que le juge national est manifestement mieux placé pour statuer sur l</w:t>
      </w:r>
      <w:r w:rsidRPr="00F651D2" w:rsidR="00F651D2">
        <w:rPr>
          <w:lang w:val="fr-FR"/>
        </w:rPr>
        <w:t>’</w:t>
      </w:r>
      <w:r w:rsidRPr="00F651D2">
        <w:rPr>
          <w:lang w:val="fr-FR"/>
        </w:rPr>
        <w:t>existence et l</w:t>
      </w:r>
      <w:r w:rsidRPr="00F651D2" w:rsidR="00F651D2">
        <w:rPr>
          <w:lang w:val="fr-FR"/>
        </w:rPr>
        <w:t>’</w:t>
      </w:r>
      <w:r w:rsidRPr="00F651D2">
        <w:rPr>
          <w:lang w:val="fr-FR"/>
        </w:rPr>
        <w:t>ampleur du dommage matériel allégué (</w:t>
      </w:r>
      <w:proofErr w:type="spellStart"/>
      <w:r w:rsidRPr="00F651D2">
        <w:rPr>
          <w:i/>
          <w:lang w:val="fr-FR"/>
        </w:rPr>
        <w:t>Scordino</w:t>
      </w:r>
      <w:proofErr w:type="spellEnd"/>
      <w:r w:rsidRPr="00F651D2">
        <w:rPr>
          <w:lang w:val="fr-FR"/>
        </w:rPr>
        <w:t xml:space="preserve">, précité, § 194, et </w:t>
      </w:r>
      <w:proofErr w:type="spellStart"/>
      <w:r w:rsidRPr="00F651D2">
        <w:rPr>
          <w:i/>
          <w:lang w:val="fr-FR"/>
        </w:rPr>
        <w:t>Bourdov</w:t>
      </w:r>
      <w:proofErr w:type="spellEnd"/>
      <w:r w:rsidRPr="00F651D2">
        <w:rPr>
          <w:lang w:val="fr-FR"/>
        </w:rPr>
        <w:t>, précité, § 100). Cependant, elle a, dans le contexte d</w:t>
      </w:r>
      <w:r w:rsidRPr="00F651D2" w:rsidR="00F651D2">
        <w:rPr>
          <w:lang w:val="fr-FR"/>
        </w:rPr>
        <w:t>’</w:t>
      </w:r>
      <w:r w:rsidRPr="00F651D2">
        <w:rPr>
          <w:lang w:val="fr-FR"/>
        </w:rPr>
        <w:t>un recours indemnitaire contre l</w:t>
      </w:r>
      <w:r w:rsidRPr="00F651D2" w:rsidR="00F651D2">
        <w:rPr>
          <w:lang w:val="fr-FR"/>
        </w:rPr>
        <w:t>’</w:t>
      </w:r>
      <w:r w:rsidRPr="00F651D2">
        <w:rPr>
          <w:lang w:val="fr-FR"/>
        </w:rPr>
        <w:t>État, déjà jugé que, lorsque les tribunaux nationaux rejettent sans fondement raisonnable les prétentions au titre de préjudice matériel, cela peut être incompatible avec sa jurisprudence en matière d</w:t>
      </w:r>
      <w:r w:rsidRPr="00F651D2" w:rsidR="00F651D2">
        <w:rPr>
          <w:lang w:val="fr-FR"/>
        </w:rPr>
        <w:t>’</w:t>
      </w:r>
      <w:r w:rsidRPr="00F651D2">
        <w:rPr>
          <w:lang w:val="fr-FR"/>
        </w:rPr>
        <w:t>inexécution des décisions de justice (</w:t>
      </w:r>
      <w:proofErr w:type="spellStart"/>
      <w:r w:rsidRPr="00F651D2">
        <w:rPr>
          <w:i/>
          <w:lang w:val="fr-FR"/>
        </w:rPr>
        <w:t>Botezatu</w:t>
      </w:r>
      <w:proofErr w:type="spellEnd"/>
      <w:r w:rsidRPr="00F651D2">
        <w:rPr>
          <w:i/>
          <w:lang w:val="fr-FR"/>
        </w:rPr>
        <w:t xml:space="preserve"> c. République de Moldova</w:t>
      </w:r>
      <w:r w:rsidRPr="00F651D2">
        <w:rPr>
          <w:lang w:val="fr-FR"/>
        </w:rPr>
        <w:t>, n</w:t>
      </w:r>
      <w:r w:rsidRPr="00F651D2">
        <w:rPr>
          <w:vertAlign w:val="superscript"/>
          <w:lang w:val="fr-FR"/>
        </w:rPr>
        <w:t>o</w:t>
      </w:r>
      <w:r w:rsidRPr="00F651D2">
        <w:rPr>
          <w:lang w:val="fr-FR"/>
        </w:rPr>
        <w:t xml:space="preserve"> 17899/08</w:t>
      </w:r>
      <w:r w:rsidRPr="00F651D2">
        <w:rPr>
          <w:snapToGrid w:val="0"/>
          <w:lang w:val="fr-FR"/>
        </w:rPr>
        <w:t xml:space="preserve">, § 28, 14 </w:t>
      </w:r>
      <w:r w:rsidRPr="00F651D2">
        <w:rPr>
          <w:lang w:val="fr-FR"/>
        </w:rPr>
        <w:t>avril</w:t>
      </w:r>
      <w:r w:rsidRPr="00F651D2">
        <w:rPr>
          <w:snapToGrid w:val="0"/>
          <w:lang w:val="fr-FR"/>
        </w:rPr>
        <w:t xml:space="preserve"> 2015). Quant au dommage moral, elle rappelle qu</w:t>
      </w:r>
      <w:r w:rsidRPr="00F651D2" w:rsidR="00F651D2">
        <w:rPr>
          <w:snapToGrid w:val="0"/>
          <w:lang w:val="fr-FR"/>
        </w:rPr>
        <w:t>’</w:t>
      </w:r>
      <w:r w:rsidRPr="00F651D2">
        <w:rPr>
          <w:snapToGrid w:val="0"/>
          <w:lang w:val="fr-FR"/>
        </w:rPr>
        <w:t xml:space="preserve">il existe </w:t>
      </w:r>
      <w:r w:rsidRPr="00F651D2">
        <w:rPr>
          <w:lang w:val="fr-FR"/>
        </w:rPr>
        <w:t xml:space="preserve">une présomption solide, quoique </w:t>
      </w:r>
      <w:proofErr w:type="spellStart"/>
      <w:r w:rsidRPr="00F651D2">
        <w:rPr>
          <w:lang w:val="fr-FR"/>
        </w:rPr>
        <w:t>réfragable</w:t>
      </w:r>
      <w:proofErr w:type="spellEnd"/>
      <w:r w:rsidRPr="00F651D2">
        <w:rPr>
          <w:lang w:val="fr-FR"/>
        </w:rPr>
        <w:t>, selon laquelle la durée excessive dans l</w:t>
      </w:r>
      <w:r w:rsidRPr="00F651D2" w:rsidR="00F651D2">
        <w:rPr>
          <w:lang w:val="fr-FR"/>
        </w:rPr>
        <w:t>’</w:t>
      </w:r>
      <w:r w:rsidRPr="00F651D2">
        <w:rPr>
          <w:lang w:val="fr-FR"/>
        </w:rPr>
        <w:t>exécution d</w:t>
      </w:r>
      <w:r w:rsidRPr="00F651D2" w:rsidR="00F651D2">
        <w:rPr>
          <w:lang w:val="fr-FR"/>
        </w:rPr>
        <w:t>’</w:t>
      </w:r>
      <w:r w:rsidRPr="00F651D2">
        <w:rPr>
          <w:lang w:val="fr-FR"/>
        </w:rPr>
        <w:t>un jugement cause un préjudice moral (</w:t>
      </w:r>
      <w:proofErr w:type="spellStart"/>
      <w:r w:rsidRPr="00F651D2">
        <w:rPr>
          <w:i/>
          <w:lang w:val="fr-FR"/>
        </w:rPr>
        <w:t>Bourdov</w:t>
      </w:r>
      <w:proofErr w:type="spellEnd"/>
      <w:r w:rsidRPr="00F651D2">
        <w:rPr>
          <w:lang w:val="fr-FR"/>
        </w:rPr>
        <w:t>, précité, § 100).</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30</w:t>
      </w:r>
      <w:r w:rsidRPr="00F651D2">
        <w:rPr>
          <w:lang w:val="fr-FR"/>
        </w:rPr>
        <w:fldChar w:fldCharType="end"/>
      </w:r>
      <w:r w:rsidRPr="00F651D2">
        <w:rPr>
          <w:lang w:val="fr-FR"/>
        </w:rPr>
        <w:t>.  Lorsqu</w:t>
      </w:r>
      <w:r w:rsidRPr="00F651D2" w:rsidR="00F651D2">
        <w:rPr>
          <w:lang w:val="fr-FR"/>
        </w:rPr>
        <w:t>’</w:t>
      </w:r>
      <w:r w:rsidRPr="00F651D2">
        <w:rPr>
          <w:lang w:val="fr-FR"/>
        </w:rPr>
        <w:t>un État a fait un pas significatif en introduisant un recours indemnitaire, la Cour se doit de lui laisser une plus grande marge d</w:t>
      </w:r>
      <w:r w:rsidRPr="00F651D2" w:rsidR="00F651D2">
        <w:rPr>
          <w:lang w:val="fr-FR"/>
        </w:rPr>
        <w:t>’</w:t>
      </w:r>
      <w:r w:rsidRPr="00F651D2">
        <w:rPr>
          <w:lang w:val="fr-FR"/>
        </w:rPr>
        <w:t>appréciation pour qu</w:t>
      </w:r>
      <w:r w:rsidRPr="00F651D2" w:rsidR="00F651D2">
        <w:rPr>
          <w:lang w:val="fr-FR"/>
        </w:rPr>
        <w:t>’</w:t>
      </w:r>
      <w:r w:rsidRPr="00F651D2">
        <w:rPr>
          <w:lang w:val="fr-FR"/>
        </w:rPr>
        <w:t>il puisse organiser ce recours interne de façon cohérente avec son propre système juridique et ses traditions, en conformité avec le niveau de vie du pays. Le juge national pourra notamment se référer plus facilement aux montants accordés au niveau national pour d</w:t>
      </w:r>
      <w:r w:rsidRPr="00F651D2" w:rsidR="00F651D2">
        <w:rPr>
          <w:lang w:val="fr-FR"/>
        </w:rPr>
        <w:t>’</w:t>
      </w:r>
      <w:r w:rsidRPr="00F651D2">
        <w:rPr>
          <w:lang w:val="fr-FR"/>
        </w:rPr>
        <w:t>autres types de dommages – les dommages corporels, ceux concernant le décès d</w:t>
      </w:r>
      <w:r w:rsidRPr="00F651D2" w:rsidR="00F651D2">
        <w:rPr>
          <w:lang w:val="fr-FR"/>
        </w:rPr>
        <w:t>’</w:t>
      </w:r>
      <w:r w:rsidRPr="00F651D2">
        <w:rPr>
          <w:lang w:val="fr-FR"/>
        </w:rPr>
        <w:t>un proche ou ceux en matière de diffamation, par exemple – et se fonder sur son intime conviction, même si cela aboutit à l</w:t>
      </w:r>
      <w:r w:rsidRPr="00F651D2" w:rsidR="00F651D2">
        <w:rPr>
          <w:lang w:val="fr-FR"/>
        </w:rPr>
        <w:t>’</w:t>
      </w:r>
      <w:r w:rsidRPr="00F651D2">
        <w:rPr>
          <w:lang w:val="fr-FR"/>
        </w:rPr>
        <w:t>octroi de sommes inférieures à celles fixées par la Cour dans des affaires similaires (</w:t>
      </w:r>
      <w:proofErr w:type="spellStart"/>
      <w:r w:rsidRPr="00F651D2" w:rsidR="00100B4F">
        <w:rPr>
          <w:i/>
          <w:lang w:val="fr-FR"/>
        </w:rPr>
        <w:t>Musci</w:t>
      </w:r>
      <w:proofErr w:type="spellEnd"/>
      <w:r w:rsidRPr="00F651D2" w:rsidR="00100B4F">
        <w:rPr>
          <w:i/>
          <w:lang w:val="fr-FR"/>
        </w:rPr>
        <w:t xml:space="preserve"> c. </w:t>
      </w:r>
      <w:r w:rsidRPr="00F651D2">
        <w:rPr>
          <w:i/>
          <w:lang w:val="fr-FR"/>
        </w:rPr>
        <w:t>Italie</w:t>
      </w:r>
      <w:r w:rsidRPr="00F651D2">
        <w:rPr>
          <w:lang w:val="fr-FR"/>
        </w:rPr>
        <w:t xml:space="preserve"> [GC], n</w:t>
      </w:r>
      <w:r w:rsidRPr="00F651D2">
        <w:rPr>
          <w:szCs w:val="24"/>
          <w:vertAlign w:val="superscript"/>
          <w:lang w:val="fr-FR"/>
        </w:rPr>
        <w:t>o</w:t>
      </w:r>
      <w:r w:rsidRPr="00F651D2">
        <w:rPr>
          <w:lang w:val="fr-FR"/>
        </w:rPr>
        <w:t xml:space="preserve"> 64699/01, § 81, CEDH 2006</w:t>
      </w:r>
      <w:r w:rsidRPr="00F651D2">
        <w:rPr>
          <w:lang w:val="fr-FR"/>
        </w:rPr>
        <w:noBreakHyphen/>
        <w:t>V (extraits)</w:t>
      </w:r>
      <w:r w:rsidRPr="00F651D2" w:rsidR="00951656">
        <w:rPr>
          <w:lang w:val="fr-FR"/>
        </w:rPr>
        <w:t>)</w:t>
      </w:r>
      <w:r w:rsidRPr="00F651D2">
        <w:rPr>
          <w:lang w:val="fr-FR"/>
        </w:rPr>
        <w:t>.</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31</w:t>
      </w:r>
      <w:r w:rsidRPr="00F651D2">
        <w:rPr>
          <w:lang w:val="fr-FR"/>
        </w:rPr>
        <w:fldChar w:fldCharType="end"/>
      </w:r>
      <w:r w:rsidRPr="00F651D2">
        <w:rPr>
          <w:lang w:val="fr-FR"/>
        </w:rPr>
        <w:t>.  La Cour rappelle enfin qu</w:t>
      </w:r>
      <w:r w:rsidRPr="00F651D2" w:rsidR="00F651D2">
        <w:rPr>
          <w:lang w:val="fr-FR"/>
        </w:rPr>
        <w:t>’</w:t>
      </w:r>
      <w:r w:rsidRPr="00F651D2">
        <w:rPr>
          <w:lang w:val="fr-FR"/>
        </w:rPr>
        <w:t>elle a déjà estimé que le recours indemnitaire introduit par la loi n</w:t>
      </w:r>
      <w:r w:rsidRPr="00F651D2">
        <w:rPr>
          <w:vertAlign w:val="superscript"/>
          <w:lang w:val="fr-FR"/>
        </w:rPr>
        <w:t>o</w:t>
      </w:r>
      <w:r w:rsidRPr="00F651D2">
        <w:rPr>
          <w:lang w:val="fr-FR"/>
        </w:rPr>
        <w:t xml:space="preserve"> 87 n</w:t>
      </w:r>
      <w:r w:rsidRPr="00F651D2" w:rsidR="00F651D2">
        <w:rPr>
          <w:lang w:val="fr-FR"/>
        </w:rPr>
        <w:t>’</w:t>
      </w:r>
      <w:r w:rsidRPr="00F651D2">
        <w:rPr>
          <w:lang w:val="fr-FR"/>
        </w:rPr>
        <w:t>apparaissait pas comme ineffectif (</w:t>
      </w:r>
      <w:r w:rsidRPr="00F651D2">
        <w:rPr>
          <w:i/>
          <w:lang w:val="fr-FR"/>
        </w:rPr>
        <w:t>Balan c. Moldova</w:t>
      </w:r>
      <w:r w:rsidRPr="00F651D2">
        <w:rPr>
          <w:lang w:val="fr-FR"/>
        </w:rPr>
        <w:t>, décision précitée, § 19). En même temps, elle a jugé qu</w:t>
      </w:r>
      <w:r w:rsidRPr="00F651D2" w:rsidR="00F651D2">
        <w:rPr>
          <w:lang w:val="fr-FR"/>
        </w:rPr>
        <w:t>’</w:t>
      </w:r>
      <w:r w:rsidRPr="00F651D2">
        <w:rPr>
          <w:lang w:val="fr-FR"/>
        </w:rPr>
        <w:t>il n</w:t>
      </w:r>
      <w:r w:rsidRPr="00F651D2" w:rsidR="00F651D2">
        <w:rPr>
          <w:lang w:val="fr-FR"/>
        </w:rPr>
        <w:t>’</w:t>
      </w:r>
      <w:r w:rsidRPr="00F651D2">
        <w:rPr>
          <w:lang w:val="fr-FR"/>
        </w:rPr>
        <w:t xml:space="preserve">était pas opportun de se prononcer </w:t>
      </w:r>
      <w:r w:rsidRPr="00F651D2">
        <w:rPr>
          <w:i/>
          <w:lang w:val="fr-FR"/>
        </w:rPr>
        <w:t>in abstracto</w:t>
      </w:r>
      <w:r w:rsidRPr="00F651D2">
        <w:rPr>
          <w:lang w:val="fr-FR"/>
        </w:rPr>
        <w:t xml:space="preserve"> sur la question de savoir si ce recours était encore effectif dans l</w:t>
      </w:r>
      <w:r w:rsidRPr="00F651D2" w:rsidR="00F651D2">
        <w:rPr>
          <w:lang w:val="fr-FR"/>
        </w:rPr>
        <w:t>’</w:t>
      </w:r>
      <w:r w:rsidRPr="00F651D2">
        <w:rPr>
          <w:lang w:val="fr-FR"/>
        </w:rPr>
        <w:t>hypothèse où l</w:t>
      </w:r>
      <w:r w:rsidRPr="00F651D2" w:rsidR="00F651D2">
        <w:rPr>
          <w:lang w:val="fr-FR"/>
        </w:rPr>
        <w:t>’</w:t>
      </w:r>
      <w:r w:rsidRPr="00F651D2">
        <w:rPr>
          <w:lang w:val="fr-FR"/>
        </w:rPr>
        <w:t>État n</w:t>
      </w:r>
      <w:r w:rsidRPr="00F651D2" w:rsidR="00F651D2">
        <w:rPr>
          <w:lang w:val="fr-FR"/>
        </w:rPr>
        <w:t>’</w:t>
      </w:r>
      <w:r w:rsidRPr="00F651D2">
        <w:rPr>
          <w:lang w:val="fr-FR"/>
        </w:rPr>
        <w:t>exécutait pas de manière prolongée une décision de justice en dépit de sa condamnation, voire de ses condamnations répétées à verser une réparation en application de la loi n</w:t>
      </w:r>
      <w:r w:rsidRPr="00F651D2">
        <w:rPr>
          <w:vertAlign w:val="superscript"/>
          <w:lang w:val="fr-FR"/>
        </w:rPr>
        <w:t>o</w:t>
      </w:r>
      <w:r w:rsidRPr="00F651D2">
        <w:rPr>
          <w:lang w:val="fr-FR"/>
        </w:rPr>
        <w:t xml:space="preserve"> 87 (</w:t>
      </w:r>
      <w:r w:rsidRPr="00F651D2">
        <w:rPr>
          <w:i/>
          <w:lang w:val="fr-FR"/>
        </w:rPr>
        <w:t>ibidem</w:t>
      </w:r>
      <w:r w:rsidRPr="00F651D2">
        <w:rPr>
          <w:lang w:val="fr-FR"/>
        </w:rPr>
        <w:t>, §§ 20-21). En outre, elle a récemment dit au sujet d</w:t>
      </w:r>
      <w:r w:rsidRPr="00F651D2" w:rsidR="00F651D2">
        <w:rPr>
          <w:lang w:val="fr-FR"/>
        </w:rPr>
        <w:t>’</w:t>
      </w:r>
      <w:r w:rsidRPr="00F651D2">
        <w:rPr>
          <w:lang w:val="fr-FR"/>
        </w:rPr>
        <w:t>un recours similaire disponible en droit russe qu</w:t>
      </w:r>
      <w:r w:rsidRPr="00F651D2" w:rsidR="00F651D2">
        <w:rPr>
          <w:lang w:val="fr-FR"/>
        </w:rPr>
        <w:t>’</w:t>
      </w:r>
      <w:r w:rsidRPr="00F651D2">
        <w:rPr>
          <w:lang w:val="fr-FR"/>
        </w:rPr>
        <w:t>elle pourrait revoir sa position quant à l</w:t>
      </w:r>
      <w:r w:rsidRPr="00F651D2" w:rsidR="00F651D2">
        <w:rPr>
          <w:lang w:val="fr-FR"/>
        </w:rPr>
        <w:t>’</w:t>
      </w:r>
      <w:r w:rsidRPr="00F651D2">
        <w:rPr>
          <w:lang w:val="fr-FR"/>
        </w:rPr>
        <w:t>effectivité du recours en cause en cas d</w:t>
      </w:r>
      <w:r w:rsidRPr="00F651D2" w:rsidR="00F651D2">
        <w:rPr>
          <w:lang w:val="fr-FR"/>
        </w:rPr>
        <w:t>’</w:t>
      </w:r>
      <w:r w:rsidRPr="00F651D2">
        <w:rPr>
          <w:lang w:val="fr-FR"/>
        </w:rPr>
        <w:t>omission continue des autorités d</w:t>
      </w:r>
      <w:r w:rsidRPr="00F651D2" w:rsidR="00F651D2">
        <w:rPr>
          <w:lang w:val="fr-FR"/>
        </w:rPr>
        <w:t>’</w:t>
      </w:r>
      <w:r w:rsidRPr="00F651D2">
        <w:rPr>
          <w:lang w:val="fr-FR"/>
        </w:rPr>
        <w:t>exécuter les décisions internes initiales pendant des périodes considérables, même après le paiement d</w:t>
      </w:r>
      <w:r w:rsidRPr="00F651D2" w:rsidR="00F651D2">
        <w:rPr>
          <w:lang w:val="fr-FR"/>
        </w:rPr>
        <w:t>’</w:t>
      </w:r>
      <w:r w:rsidRPr="00F651D2">
        <w:rPr>
          <w:lang w:val="fr-FR"/>
        </w:rPr>
        <w:t>une indemnité en raison de la non-exécution (</w:t>
      </w:r>
      <w:proofErr w:type="spellStart"/>
      <w:r w:rsidRPr="00F651D2">
        <w:rPr>
          <w:i/>
          <w:lang w:val="fr-FR"/>
        </w:rPr>
        <w:t>Shtolts</w:t>
      </w:r>
      <w:proofErr w:type="spellEnd"/>
      <w:r w:rsidRPr="00F651D2">
        <w:rPr>
          <w:i/>
          <w:lang w:val="fr-FR"/>
        </w:rPr>
        <w:t xml:space="preserve"> et autres c. Russie</w:t>
      </w:r>
      <w:r w:rsidRPr="00F651D2">
        <w:rPr>
          <w:lang w:val="fr-FR"/>
        </w:rPr>
        <w:t xml:space="preserve"> (déc.), n</w:t>
      </w:r>
      <w:r w:rsidRPr="00F651D2">
        <w:rPr>
          <w:vertAlign w:val="superscript"/>
          <w:lang w:val="fr-FR"/>
        </w:rPr>
        <w:t>os</w:t>
      </w:r>
      <w:r w:rsidRPr="00F651D2">
        <w:rPr>
          <w:lang w:val="fr-FR"/>
        </w:rPr>
        <w:t xml:space="preserve"> 77056/14 et autres, § 114, 30 janvier 2018).</w:t>
      </w:r>
    </w:p>
    <w:p w:rsidRPr="00F651D2" w:rsidR="00E14498" w:rsidP="00F651D2" w:rsidRDefault="00E14498">
      <w:pPr>
        <w:pStyle w:val="ECHRHeading3"/>
        <w:rPr>
          <w:lang w:val="fr-FR"/>
        </w:rPr>
      </w:pPr>
      <w:r w:rsidRPr="00F651D2">
        <w:rPr>
          <w:lang w:val="fr-FR"/>
        </w:rPr>
        <w:t>2.  Application au cas d</w:t>
      </w:r>
      <w:r w:rsidRPr="00F651D2" w:rsidR="00F651D2">
        <w:rPr>
          <w:lang w:val="fr-FR"/>
        </w:rPr>
        <w:t>’</w:t>
      </w:r>
      <w:r w:rsidRPr="00F651D2">
        <w:rPr>
          <w:lang w:val="fr-FR"/>
        </w:rPr>
        <w:t>espèce</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32</w:t>
      </w:r>
      <w:r w:rsidRPr="00F651D2">
        <w:rPr>
          <w:lang w:val="fr-FR"/>
        </w:rPr>
        <w:fldChar w:fldCharType="end"/>
      </w:r>
      <w:r w:rsidRPr="00F651D2">
        <w:rPr>
          <w:lang w:val="fr-FR"/>
        </w:rPr>
        <w:t>.  La Cour observe d</w:t>
      </w:r>
      <w:r w:rsidRPr="00F651D2" w:rsidR="00F651D2">
        <w:rPr>
          <w:lang w:val="fr-FR"/>
        </w:rPr>
        <w:t>’</w:t>
      </w:r>
      <w:r w:rsidRPr="00F651D2">
        <w:rPr>
          <w:lang w:val="fr-FR"/>
        </w:rPr>
        <w:t>emblée que le requérant ne formule de griefs ni quant au déroulement de la procédure engagée sur le fondement de la loi n</w:t>
      </w:r>
      <w:r w:rsidRPr="00F651D2">
        <w:rPr>
          <w:vertAlign w:val="superscript"/>
          <w:lang w:val="fr-FR"/>
        </w:rPr>
        <w:t>o</w:t>
      </w:r>
      <w:r w:rsidRPr="00F651D2">
        <w:rPr>
          <w:lang w:val="fr-FR"/>
        </w:rPr>
        <w:t> 87, ni quant aux règles applicables à cette procédure, ni quant au délai de paiement des indemnités allouées par les tribunaux nationaux. Elle n</w:t>
      </w:r>
      <w:r w:rsidRPr="00F651D2" w:rsidR="00F651D2">
        <w:rPr>
          <w:lang w:val="fr-FR"/>
        </w:rPr>
        <w:t>’</w:t>
      </w:r>
      <w:r w:rsidRPr="00F651D2">
        <w:rPr>
          <w:lang w:val="fr-FR"/>
        </w:rPr>
        <w:t>examinera donc pas ces critères pour apprécier l</w:t>
      </w:r>
      <w:r w:rsidRPr="00F651D2" w:rsidR="00F651D2">
        <w:rPr>
          <w:lang w:val="fr-FR"/>
        </w:rPr>
        <w:t>’</w:t>
      </w:r>
      <w:r w:rsidRPr="00F651D2">
        <w:rPr>
          <w:lang w:val="fr-FR"/>
        </w:rPr>
        <w:t>effectivité du recours exercé par le requérant.</w:t>
      </w:r>
    </w:p>
    <w:bookmarkStart w:name="appréciation_dommage_matériel" w:id="3"/>
    <w:p w:rsidRPr="00F651D2" w:rsidR="00E14498" w:rsidP="00F651D2" w:rsidRDefault="00E14498">
      <w:pPr>
        <w:pStyle w:val="ECHRPara"/>
        <w:rPr>
          <w:i/>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33</w:t>
      </w:r>
      <w:r w:rsidRPr="00F651D2">
        <w:rPr>
          <w:lang w:val="fr-FR"/>
        </w:rPr>
        <w:fldChar w:fldCharType="end"/>
      </w:r>
      <w:bookmarkEnd w:id="3"/>
      <w:r w:rsidRPr="00F651D2">
        <w:rPr>
          <w:lang w:val="fr-FR"/>
        </w:rPr>
        <w:t>.  En revanche, la Cour remarque que l</w:t>
      </w:r>
      <w:r w:rsidRPr="00F651D2" w:rsidR="00F651D2">
        <w:rPr>
          <w:lang w:val="fr-FR"/>
        </w:rPr>
        <w:t>’</w:t>
      </w:r>
      <w:r w:rsidRPr="00F651D2">
        <w:rPr>
          <w:lang w:val="fr-FR"/>
        </w:rPr>
        <w:t xml:space="preserve">intéressé conteste les montants alloués. </w:t>
      </w:r>
      <w:r w:rsidRPr="00F651D2">
        <w:rPr>
          <w:snapToGrid w:val="0"/>
          <w:lang w:val="fr-FR"/>
        </w:rPr>
        <w:t>Pour ce qui est du dommage matériel, elle note que la Cour suprême de justice a estimé, après avoir examiné les éléments qui lui avaient été soumis, que le contrat de location signé par le requérant avait une validité de deux ans. Elle relève que la Cour suprême de justice a par conséquent alloué à l</w:t>
      </w:r>
      <w:r w:rsidRPr="00F651D2" w:rsidR="00F651D2">
        <w:rPr>
          <w:snapToGrid w:val="0"/>
          <w:lang w:val="fr-FR"/>
        </w:rPr>
        <w:t>’</w:t>
      </w:r>
      <w:r w:rsidRPr="00F651D2">
        <w:rPr>
          <w:snapToGrid w:val="0"/>
          <w:lang w:val="fr-FR"/>
        </w:rPr>
        <w:t>intéressé une indemnité correspondant à cette durée (paragraphe </w:t>
      </w:r>
      <w:r w:rsidRPr="00F651D2">
        <w:rPr>
          <w:snapToGrid w:val="0"/>
          <w:lang w:val="fr-FR"/>
        </w:rPr>
        <w:fldChar w:fldCharType="begin"/>
      </w:r>
      <w:r w:rsidRPr="00F651D2">
        <w:rPr>
          <w:snapToGrid w:val="0"/>
          <w:lang w:val="fr-FR"/>
        </w:rPr>
        <w:instrText xml:space="preserve"> REF Seconde_décisionCSJ \h </w:instrText>
      </w:r>
      <w:r w:rsidRPr="00F651D2">
        <w:rPr>
          <w:snapToGrid w:val="0"/>
          <w:lang w:val="fr-FR"/>
        </w:rPr>
      </w:r>
      <w:r w:rsidRPr="00F651D2">
        <w:rPr>
          <w:snapToGrid w:val="0"/>
          <w:lang w:val="fr-FR"/>
        </w:rPr>
        <w:fldChar w:fldCharType="separate"/>
      </w:r>
      <w:r w:rsidRPr="00F651D2" w:rsidR="00F651D2">
        <w:rPr>
          <w:noProof/>
          <w:lang w:val="fr-FR"/>
        </w:rPr>
        <w:t>17</w:t>
      </w:r>
      <w:r w:rsidRPr="00F651D2">
        <w:rPr>
          <w:snapToGrid w:val="0"/>
          <w:lang w:val="fr-FR"/>
        </w:rPr>
        <w:fldChar w:fldCharType="end"/>
      </w:r>
      <w:r w:rsidRPr="00F651D2" w:rsidR="00860A28">
        <w:rPr>
          <w:snapToGrid w:val="0"/>
          <w:lang w:val="fr-FR"/>
        </w:rPr>
        <w:t xml:space="preserve"> ci</w:t>
      </w:r>
      <w:r w:rsidRPr="00F651D2" w:rsidR="00860A28">
        <w:rPr>
          <w:snapToGrid w:val="0"/>
          <w:lang w:val="fr-FR"/>
        </w:rPr>
        <w:noBreakHyphen/>
      </w:r>
      <w:r w:rsidRPr="00F651D2">
        <w:rPr>
          <w:snapToGrid w:val="0"/>
          <w:lang w:val="fr-FR"/>
        </w:rPr>
        <w:t>dessus). La Cour juge que les éléments dont elle dispose ne lui permettent pas de s</w:t>
      </w:r>
      <w:r w:rsidRPr="00F651D2" w:rsidR="00F651D2">
        <w:rPr>
          <w:snapToGrid w:val="0"/>
          <w:lang w:val="fr-FR"/>
        </w:rPr>
        <w:t>’</w:t>
      </w:r>
      <w:r w:rsidRPr="00F651D2">
        <w:rPr>
          <w:snapToGrid w:val="0"/>
          <w:lang w:val="fr-FR"/>
        </w:rPr>
        <w:t>écarter de ces constats, lesquels n</w:t>
      </w:r>
      <w:r w:rsidRPr="00F651D2" w:rsidR="00F651D2">
        <w:rPr>
          <w:snapToGrid w:val="0"/>
          <w:lang w:val="fr-FR"/>
        </w:rPr>
        <w:t>’</w:t>
      </w:r>
      <w:r w:rsidRPr="00F651D2">
        <w:rPr>
          <w:snapToGrid w:val="0"/>
          <w:lang w:val="fr-FR"/>
        </w:rPr>
        <w:t>apparaissent donc pas comme manifestement déraisonnables.</w:t>
      </w:r>
    </w:p>
    <w:bookmarkStart w:name="redressement_insufissant1" w:id="4"/>
    <w:bookmarkStart w:name="redressement_insufissant_préj_moral" w:id="5"/>
    <w:p w:rsidRPr="00F651D2" w:rsidR="00E14498" w:rsidP="00F651D2" w:rsidRDefault="00E14498">
      <w:pPr>
        <w:pStyle w:val="ECHRPara"/>
        <w:rPr>
          <w:lang w:val="it-IT"/>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34</w:t>
      </w:r>
      <w:r w:rsidRPr="00F651D2">
        <w:rPr>
          <w:lang w:val="fr-FR"/>
        </w:rPr>
        <w:fldChar w:fldCharType="end"/>
      </w:r>
      <w:bookmarkEnd w:id="4"/>
      <w:bookmarkEnd w:id="5"/>
      <w:r w:rsidRPr="00F651D2">
        <w:rPr>
          <w:lang w:val="fr-FR"/>
        </w:rPr>
        <w:t>.  Quant au dommage moral, elle observe que le montant alloué au requérant</w:t>
      </w:r>
      <w:r w:rsidRPr="00F651D2" w:rsidR="00283EAF">
        <w:rPr>
          <w:lang w:val="fr-FR"/>
        </w:rPr>
        <w:t xml:space="preserve"> à ce titre ne représente que 8</w:t>
      </w:r>
      <w:r w:rsidRPr="00F651D2">
        <w:rPr>
          <w:lang w:val="fr-FR"/>
        </w:rPr>
        <w:t>% de ce qu</w:t>
      </w:r>
      <w:r w:rsidRPr="00F651D2" w:rsidR="00F651D2">
        <w:rPr>
          <w:lang w:val="fr-FR"/>
        </w:rPr>
        <w:t>’</w:t>
      </w:r>
      <w:r w:rsidRPr="00F651D2">
        <w:rPr>
          <w:lang w:val="fr-FR"/>
        </w:rPr>
        <w:t xml:space="preserve">elle avait accordé dans des affaires moldaves similaires (voir, par exemple, </w:t>
      </w:r>
      <w:proofErr w:type="spellStart"/>
      <w:r w:rsidRPr="00F651D2">
        <w:rPr>
          <w:i/>
          <w:lang w:val="fr-FR"/>
        </w:rPr>
        <w:t>Modra</w:t>
      </w:r>
      <w:r w:rsidRPr="00F651D2">
        <w:rPr>
          <w:i/>
          <w:lang w:val="ro-RO"/>
        </w:rPr>
        <w:t>nga</w:t>
      </w:r>
      <w:proofErr w:type="spellEnd"/>
      <w:r w:rsidRPr="00F651D2">
        <w:rPr>
          <w:i/>
          <w:lang w:val="ro-RO"/>
        </w:rPr>
        <w:t xml:space="preserve"> et </w:t>
      </w:r>
      <w:proofErr w:type="spellStart"/>
      <w:r w:rsidRPr="00F651D2">
        <w:rPr>
          <w:i/>
          <w:lang w:val="ro-RO"/>
        </w:rPr>
        <w:t>autres</w:t>
      </w:r>
      <w:proofErr w:type="spellEnd"/>
      <w:r w:rsidRPr="00F651D2">
        <w:rPr>
          <w:i/>
          <w:lang w:val="ro-RO"/>
        </w:rPr>
        <w:t xml:space="preserve"> </w:t>
      </w:r>
      <w:r w:rsidRPr="00F651D2" w:rsidR="00100B4F">
        <w:rPr>
          <w:i/>
          <w:lang w:val="fr-FR"/>
        </w:rPr>
        <w:t>c. </w:t>
      </w:r>
      <w:r w:rsidRPr="00F651D2">
        <w:rPr>
          <w:i/>
          <w:lang w:val="fr-FR"/>
        </w:rPr>
        <w:t xml:space="preserve">République de Moldova </w:t>
      </w:r>
      <w:r w:rsidRPr="00F651D2">
        <w:rPr>
          <w:lang w:val="fr-FR"/>
        </w:rPr>
        <w:t>(déc.) [comité], n</w:t>
      </w:r>
      <w:r w:rsidRPr="00F651D2">
        <w:rPr>
          <w:vertAlign w:val="superscript"/>
          <w:lang w:val="fr-FR"/>
        </w:rPr>
        <w:t>os</w:t>
      </w:r>
      <w:r w:rsidRPr="00F651D2">
        <w:rPr>
          <w:lang w:val="fr-FR"/>
        </w:rPr>
        <w:t> 33328/06 et 10 autres, §§</w:t>
      </w:r>
      <w:r w:rsidRPr="00F651D2" w:rsidR="00100B4F">
        <w:rPr>
          <w:lang w:val="fr-FR"/>
        </w:rPr>
        <w:t> </w:t>
      </w:r>
      <w:r w:rsidRPr="00F651D2">
        <w:rPr>
          <w:lang w:val="fr-FR"/>
        </w:rPr>
        <w:t xml:space="preserve">11 et 18, 4 juin 2013). Cet élément à lui seul aboutit à un résultat manifestement déraisonnable par rapport à sa jurisprudence (comparer avec </w:t>
      </w:r>
      <w:r w:rsidRPr="00F651D2">
        <w:rPr>
          <w:i/>
          <w:lang w:val="it-IT"/>
        </w:rPr>
        <w:t xml:space="preserve">Giuseppe </w:t>
      </w:r>
      <w:proofErr w:type="spellStart"/>
      <w:r w:rsidRPr="00F651D2">
        <w:rPr>
          <w:i/>
          <w:lang w:val="it-IT"/>
        </w:rPr>
        <w:t>Mostacciuolo</w:t>
      </w:r>
      <w:proofErr w:type="spellEnd"/>
      <w:r w:rsidRPr="00F651D2">
        <w:rPr>
          <w:i/>
          <w:lang w:val="it-IT"/>
        </w:rPr>
        <w:t xml:space="preserve"> c. </w:t>
      </w:r>
      <w:proofErr w:type="spellStart"/>
      <w:r w:rsidRPr="00F651D2">
        <w:rPr>
          <w:i/>
          <w:lang w:val="it-IT"/>
        </w:rPr>
        <w:t>Italie</w:t>
      </w:r>
      <w:proofErr w:type="spellEnd"/>
      <w:r w:rsidRPr="00F651D2">
        <w:rPr>
          <w:i/>
          <w:lang w:val="it-IT"/>
        </w:rPr>
        <w:t xml:space="preserve"> (n</w:t>
      </w:r>
      <w:r w:rsidRPr="00F651D2">
        <w:rPr>
          <w:rFonts w:cs="Times New Roman"/>
          <w:i/>
          <w:vertAlign w:val="superscript"/>
          <w:lang w:val="it-IT"/>
        </w:rPr>
        <w:t>o</w:t>
      </w:r>
      <w:r w:rsidRPr="00F651D2">
        <w:rPr>
          <w:i/>
          <w:lang w:val="it-IT"/>
        </w:rPr>
        <w:t xml:space="preserve"> 2)</w:t>
      </w:r>
      <w:r w:rsidRPr="00F651D2">
        <w:rPr>
          <w:lang w:val="it-IT"/>
        </w:rPr>
        <w:t xml:space="preserve"> [GC], n</w:t>
      </w:r>
      <w:r w:rsidRPr="00F651D2">
        <w:rPr>
          <w:vertAlign w:val="superscript"/>
          <w:lang w:val="it-IT"/>
        </w:rPr>
        <w:t>o</w:t>
      </w:r>
      <w:r w:rsidRPr="00F651D2">
        <w:rPr>
          <w:lang w:val="it-IT"/>
        </w:rPr>
        <w:t xml:space="preserve"> 65102/01, § 104, 29 </w:t>
      </w:r>
      <w:r w:rsidRPr="00F651D2">
        <w:rPr>
          <w:lang w:val="fr-FR"/>
        </w:rPr>
        <w:t xml:space="preserve">mars </w:t>
      </w:r>
      <w:r w:rsidRPr="00F651D2">
        <w:rPr>
          <w:lang w:val="it-IT"/>
        </w:rPr>
        <w:t>2006</w:t>
      </w:r>
      <w:r w:rsidRPr="00F651D2">
        <w:rPr>
          <w:lang w:val="fr-FR"/>
        </w:rPr>
        <w:t>). La Cour se propose de revenir sur la question dans le cadre de l</w:t>
      </w:r>
      <w:r w:rsidRPr="00F651D2" w:rsidR="00F651D2">
        <w:rPr>
          <w:lang w:val="fr-FR"/>
        </w:rPr>
        <w:t>’</w:t>
      </w:r>
      <w:r w:rsidRPr="00F651D2">
        <w:rPr>
          <w:lang w:val="fr-FR"/>
        </w:rPr>
        <w:t>article 41.</w:t>
      </w:r>
    </w:p>
    <w:bookmarkStart w:name="redressement_insufissant2" w:id="6"/>
    <w:p w:rsidRPr="00F651D2" w:rsidR="00E14498" w:rsidP="00F651D2" w:rsidRDefault="00E14498">
      <w:pPr>
        <w:pStyle w:val="ECHRPara"/>
        <w:rPr>
          <w:lang w:val="pt-PT"/>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35</w:t>
      </w:r>
      <w:r w:rsidRPr="00F651D2">
        <w:rPr>
          <w:lang w:val="fr-FR"/>
        </w:rPr>
        <w:fldChar w:fldCharType="end"/>
      </w:r>
      <w:bookmarkEnd w:id="6"/>
      <w:r w:rsidRPr="00F651D2">
        <w:rPr>
          <w:lang w:val="fr-FR"/>
        </w:rPr>
        <w:t>.  Surtout, la Cour constate que, nonobstant les deux procédures engagées par le requérant en application des dispositions de la loi n</w:t>
      </w:r>
      <w:r w:rsidRPr="00F651D2">
        <w:rPr>
          <w:vertAlign w:val="superscript"/>
          <w:lang w:val="fr-FR"/>
        </w:rPr>
        <w:t>o</w:t>
      </w:r>
      <w:r w:rsidRPr="00F651D2">
        <w:rPr>
          <w:lang w:val="fr-FR"/>
        </w:rPr>
        <w:t xml:space="preserve"> 87 et malgré l</w:t>
      </w:r>
      <w:r w:rsidRPr="00F651D2" w:rsidR="00F651D2">
        <w:rPr>
          <w:lang w:val="fr-FR"/>
        </w:rPr>
        <w:t>’</w:t>
      </w:r>
      <w:r w:rsidRPr="00F651D2">
        <w:rPr>
          <w:lang w:val="fr-FR"/>
        </w:rPr>
        <w:t>écoulement de plus de trois ans et demi après la condamnation de l</w:t>
      </w:r>
      <w:r w:rsidRPr="00F651D2" w:rsidR="00F651D2">
        <w:rPr>
          <w:lang w:val="fr-FR"/>
        </w:rPr>
        <w:t>’</w:t>
      </w:r>
      <w:r w:rsidRPr="00F651D2">
        <w:rPr>
          <w:lang w:val="fr-FR"/>
        </w:rPr>
        <w:t>État à verser des indemnités en raison de la non-exécution, la décision définitive du 20 février 2008 n</w:t>
      </w:r>
      <w:r w:rsidRPr="00F651D2" w:rsidR="00F651D2">
        <w:rPr>
          <w:lang w:val="fr-FR"/>
        </w:rPr>
        <w:t>’</w:t>
      </w:r>
      <w:r w:rsidRPr="00F651D2">
        <w:rPr>
          <w:lang w:val="fr-FR"/>
        </w:rPr>
        <w:t>est toujours pas exécutée par les autorités moldaves. Elle estime que cette nouvelle période d</w:t>
      </w:r>
      <w:r w:rsidRPr="00F651D2" w:rsidR="00F651D2">
        <w:rPr>
          <w:lang w:val="fr-FR"/>
        </w:rPr>
        <w:t>’</w:t>
      </w:r>
      <w:r w:rsidRPr="00F651D2">
        <w:rPr>
          <w:lang w:val="fr-FR"/>
        </w:rPr>
        <w:t>inexécution de plus de trois ans et demi est considérable, car celle-ci est en soi largement suffisante pour constituer une seconde violation de la même procédure d</w:t>
      </w:r>
      <w:r w:rsidRPr="00F651D2" w:rsidR="00F651D2">
        <w:rPr>
          <w:lang w:val="fr-FR"/>
        </w:rPr>
        <w:t>’</w:t>
      </w:r>
      <w:r w:rsidRPr="00F651D2">
        <w:rPr>
          <w:lang w:val="fr-FR"/>
        </w:rPr>
        <w:t xml:space="preserve">exécution (voir, par exemple, </w:t>
      </w:r>
      <w:proofErr w:type="spellStart"/>
      <w:r w:rsidRPr="00F651D2">
        <w:rPr>
          <w:i/>
          <w:lang w:val="pt-PT"/>
        </w:rPr>
        <w:t>Cogut</w:t>
      </w:r>
      <w:proofErr w:type="spellEnd"/>
      <w:r w:rsidRPr="00F651D2">
        <w:rPr>
          <w:i/>
          <w:lang w:val="pt-PT"/>
        </w:rPr>
        <w:t xml:space="preserve"> c. Moldova</w:t>
      </w:r>
      <w:r w:rsidRPr="00F651D2">
        <w:rPr>
          <w:lang w:val="pt-PT"/>
        </w:rPr>
        <w:t>, n</w:t>
      </w:r>
      <w:r w:rsidRPr="00F651D2">
        <w:rPr>
          <w:vertAlign w:val="superscript"/>
          <w:lang w:val="pt-PT"/>
        </w:rPr>
        <w:t>o</w:t>
      </w:r>
      <w:r w:rsidRPr="00F651D2">
        <w:rPr>
          <w:lang w:val="pt-PT"/>
        </w:rPr>
        <w:t xml:space="preserve"> 31043/04, § 32, 4 </w:t>
      </w:r>
      <w:r w:rsidRPr="00F651D2">
        <w:rPr>
          <w:lang w:val="fr-FR"/>
        </w:rPr>
        <w:t xml:space="preserve">décembre </w:t>
      </w:r>
      <w:r w:rsidRPr="00F651D2">
        <w:rPr>
          <w:lang w:val="pt-PT"/>
        </w:rPr>
        <w:t xml:space="preserve">2007, </w:t>
      </w:r>
      <w:proofErr w:type="spellStart"/>
      <w:r w:rsidRPr="00F651D2">
        <w:rPr>
          <w:lang w:val="pt-PT"/>
        </w:rPr>
        <w:t>et</w:t>
      </w:r>
      <w:proofErr w:type="spellEnd"/>
      <w:r w:rsidRPr="00F651D2">
        <w:rPr>
          <w:lang w:val="pt-PT"/>
        </w:rPr>
        <w:t xml:space="preserve"> </w:t>
      </w:r>
      <w:proofErr w:type="spellStart"/>
      <w:r w:rsidRPr="00F651D2">
        <w:rPr>
          <w:i/>
          <w:lang w:val="fr-FR"/>
        </w:rPr>
        <w:t>Burea</w:t>
      </w:r>
      <w:proofErr w:type="spellEnd"/>
      <w:r w:rsidRPr="00F651D2">
        <w:rPr>
          <w:i/>
          <w:lang w:val="fr-FR"/>
        </w:rPr>
        <w:t xml:space="preserve"> et autres c. Moldova</w:t>
      </w:r>
      <w:r w:rsidRPr="00F651D2">
        <w:rPr>
          <w:lang w:val="fr-FR"/>
        </w:rPr>
        <w:t xml:space="preserve"> [comité], n</w:t>
      </w:r>
      <w:r w:rsidRPr="00F651D2">
        <w:rPr>
          <w:vertAlign w:val="superscript"/>
          <w:lang w:val="fr-FR"/>
        </w:rPr>
        <w:t>os</w:t>
      </w:r>
      <w:r w:rsidRPr="00F651D2" w:rsidR="00100B4F">
        <w:rPr>
          <w:lang w:val="fr-FR"/>
        </w:rPr>
        <w:t xml:space="preserve"> 55349/07 et autres, § </w:t>
      </w:r>
      <w:r w:rsidRPr="00F651D2">
        <w:rPr>
          <w:lang w:val="fr-FR"/>
        </w:rPr>
        <w:t>32, 13 décembre 2011). Compte tenu donc de l</w:t>
      </w:r>
      <w:r w:rsidRPr="00F651D2" w:rsidR="00F651D2">
        <w:rPr>
          <w:lang w:val="fr-FR"/>
        </w:rPr>
        <w:t>’</w:t>
      </w:r>
      <w:r w:rsidRPr="00F651D2">
        <w:rPr>
          <w:lang w:val="fr-FR"/>
        </w:rPr>
        <w:t>omission persistante des autorités moldaves d</w:t>
      </w:r>
      <w:r w:rsidRPr="00F651D2" w:rsidR="00F651D2">
        <w:rPr>
          <w:lang w:val="fr-FR"/>
        </w:rPr>
        <w:t>’</w:t>
      </w:r>
      <w:r w:rsidRPr="00F651D2">
        <w:rPr>
          <w:lang w:val="fr-FR"/>
        </w:rPr>
        <w:t xml:space="preserve">exécuter la décision initiale, la Cour estime que, en tout état de cause, le recours indemnitaire exercé par le requérant ne lui a pas offert un redressement adéquat (comparer avec </w:t>
      </w:r>
      <w:proofErr w:type="spellStart"/>
      <w:r w:rsidRPr="00F651D2" w:rsidR="00100B4F">
        <w:rPr>
          <w:i/>
          <w:lang w:val="fr-FR"/>
        </w:rPr>
        <w:t>Gerasimov</w:t>
      </w:r>
      <w:proofErr w:type="spellEnd"/>
      <w:r w:rsidRPr="00F651D2" w:rsidR="00100B4F">
        <w:rPr>
          <w:i/>
          <w:lang w:val="fr-FR"/>
        </w:rPr>
        <w:t xml:space="preserve"> et autres c. </w:t>
      </w:r>
      <w:r w:rsidRPr="00F651D2">
        <w:rPr>
          <w:i/>
          <w:lang w:val="fr-FR"/>
        </w:rPr>
        <w:t>Russie</w:t>
      </w:r>
      <w:r w:rsidRPr="00F651D2">
        <w:rPr>
          <w:lang w:val="fr-FR"/>
        </w:rPr>
        <w:t>, n</w:t>
      </w:r>
      <w:r w:rsidRPr="00F651D2">
        <w:rPr>
          <w:vertAlign w:val="superscript"/>
          <w:lang w:val="fr-FR"/>
        </w:rPr>
        <w:t>os</w:t>
      </w:r>
      <w:r w:rsidRPr="00F651D2">
        <w:rPr>
          <w:lang w:val="fr-FR"/>
        </w:rPr>
        <w:t> 29920/05 et 10 autres</w:t>
      </w:r>
      <w:r w:rsidRPr="00F651D2">
        <w:rPr>
          <w:snapToGrid w:val="0"/>
          <w:lang w:val="fr-FR"/>
        </w:rPr>
        <w:t>, § 152, 1</w:t>
      </w:r>
      <w:r w:rsidRPr="00F651D2">
        <w:rPr>
          <w:snapToGrid w:val="0"/>
          <w:vertAlign w:val="superscript"/>
          <w:lang w:val="fr-FR"/>
        </w:rPr>
        <w:t>er</w:t>
      </w:r>
      <w:r w:rsidRPr="00F651D2">
        <w:rPr>
          <w:snapToGrid w:val="0"/>
          <w:lang w:val="fr-FR"/>
        </w:rPr>
        <w:t xml:space="preserve"> </w:t>
      </w:r>
      <w:r w:rsidRPr="00F651D2">
        <w:rPr>
          <w:lang w:val="fr-FR"/>
        </w:rPr>
        <w:t>juillet</w:t>
      </w:r>
      <w:r w:rsidRPr="00F651D2">
        <w:rPr>
          <w:snapToGrid w:val="0"/>
          <w:lang w:val="fr-FR"/>
        </w:rPr>
        <w:t xml:space="preserve"> 2014).</w:t>
      </w:r>
    </w:p>
    <w:bookmarkStart w:name="redressement_insufissant3" w:id="7"/>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36</w:t>
      </w:r>
      <w:r w:rsidRPr="00F651D2">
        <w:rPr>
          <w:lang w:val="fr-FR"/>
        </w:rPr>
        <w:fldChar w:fldCharType="end"/>
      </w:r>
      <w:bookmarkEnd w:id="7"/>
      <w:r w:rsidRPr="00F651D2">
        <w:rPr>
          <w:lang w:val="fr-FR"/>
        </w:rPr>
        <w:t>.  En conclusion, la Cour considère que le redressement s</w:t>
      </w:r>
      <w:r w:rsidRPr="00F651D2" w:rsidR="00F651D2">
        <w:rPr>
          <w:lang w:val="fr-FR"/>
        </w:rPr>
        <w:t>’</w:t>
      </w:r>
      <w:r w:rsidRPr="00F651D2">
        <w:rPr>
          <w:lang w:val="fr-FR"/>
        </w:rPr>
        <w:t>est révélé insuffisant et que, dès lors, le requérant peut toujours se prétendre en l</w:t>
      </w:r>
      <w:r w:rsidRPr="00F651D2" w:rsidR="00F651D2">
        <w:rPr>
          <w:lang w:val="fr-FR"/>
        </w:rPr>
        <w:t>’</w:t>
      </w:r>
      <w:r w:rsidRPr="00F651D2">
        <w:rPr>
          <w:lang w:val="fr-FR"/>
        </w:rPr>
        <w:t>espèce victime des violations alléguées.</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37</w:t>
      </w:r>
      <w:r w:rsidRPr="00F651D2">
        <w:rPr>
          <w:lang w:val="fr-FR"/>
        </w:rPr>
        <w:fldChar w:fldCharType="end"/>
      </w:r>
      <w:r w:rsidRPr="00F651D2">
        <w:rPr>
          <w:lang w:val="fr-FR"/>
        </w:rPr>
        <w:t>.  Partant, l</w:t>
      </w:r>
      <w:r w:rsidRPr="00F651D2" w:rsidR="00F651D2">
        <w:rPr>
          <w:lang w:val="fr-FR"/>
        </w:rPr>
        <w:t>’</w:t>
      </w:r>
      <w:r w:rsidRPr="00F651D2">
        <w:rPr>
          <w:lang w:val="fr-FR"/>
        </w:rPr>
        <w:t>exception du Gouvernement doit être rejetée.</w:t>
      </w:r>
    </w:p>
    <w:p w:rsidRPr="00F651D2" w:rsidR="00E14498" w:rsidP="00F651D2" w:rsidRDefault="00E14498">
      <w:pPr>
        <w:pStyle w:val="ECHRHeading2"/>
        <w:rPr>
          <w:lang w:val="fr-FR"/>
        </w:rPr>
      </w:pPr>
      <w:r w:rsidRPr="00F651D2">
        <w:rPr>
          <w:lang w:val="fr-FR"/>
        </w:rPr>
        <w:t>C.  Conclusion sur la recevabilité</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38</w:t>
      </w:r>
      <w:r w:rsidRPr="00F651D2">
        <w:rPr>
          <w:lang w:val="fr-FR"/>
        </w:rPr>
        <w:fldChar w:fldCharType="end"/>
      </w:r>
      <w:r w:rsidRPr="00F651D2">
        <w:rPr>
          <w:lang w:val="fr-FR"/>
        </w:rPr>
        <w:t>.  Constatant que la requête n</w:t>
      </w:r>
      <w:r w:rsidRPr="00F651D2" w:rsidR="00F651D2">
        <w:rPr>
          <w:lang w:val="fr-FR"/>
        </w:rPr>
        <w:t>’</w:t>
      </w:r>
      <w:r w:rsidRPr="00F651D2">
        <w:rPr>
          <w:lang w:val="fr-FR"/>
        </w:rPr>
        <w:t>est pas manifestement mal fondée au sens de l</w:t>
      </w:r>
      <w:r w:rsidRPr="00F651D2" w:rsidR="00F651D2">
        <w:rPr>
          <w:lang w:val="fr-FR"/>
        </w:rPr>
        <w:t>’</w:t>
      </w:r>
      <w:r w:rsidRPr="00F651D2">
        <w:rPr>
          <w:lang w:val="fr-FR"/>
        </w:rPr>
        <w:t>article 35 § 3 a) de la Convention et qu</w:t>
      </w:r>
      <w:r w:rsidRPr="00F651D2" w:rsidR="00F651D2">
        <w:rPr>
          <w:lang w:val="fr-FR"/>
        </w:rPr>
        <w:t>’</w:t>
      </w:r>
      <w:r w:rsidRPr="00F651D2">
        <w:rPr>
          <w:lang w:val="fr-FR"/>
        </w:rPr>
        <w:t>elle ne se heurte par ailleurs à aucun autre motif d</w:t>
      </w:r>
      <w:r w:rsidRPr="00F651D2" w:rsidR="00F651D2">
        <w:rPr>
          <w:lang w:val="fr-FR"/>
        </w:rPr>
        <w:t>’</w:t>
      </w:r>
      <w:r w:rsidRPr="00F651D2">
        <w:rPr>
          <w:lang w:val="fr-FR"/>
        </w:rPr>
        <w:t>irrecevabilité, la Cour la déclare recevable.</w:t>
      </w:r>
    </w:p>
    <w:p w:rsidRPr="00F651D2" w:rsidR="00E14498" w:rsidP="00F651D2" w:rsidRDefault="00E14498">
      <w:pPr>
        <w:pStyle w:val="ECHRHeading1"/>
        <w:rPr>
          <w:lang w:val="fr-FR"/>
        </w:rPr>
      </w:pPr>
      <w:r w:rsidRPr="00F651D2">
        <w:rPr>
          <w:lang w:val="fr-FR"/>
        </w:rPr>
        <w:t>II.  SUR LE FOND</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39</w:t>
      </w:r>
      <w:r w:rsidRPr="00F651D2">
        <w:rPr>
          <w:lang w:val="fr-FR"/>
        </w:rPr>
        <w:fldChar w:fldCharType="end"/>
      </w:r>
      <w:r w:rsidRPr="00F651D2">
        <w:rPr>
          <w:lang w:val="fr-FR"/>
        </w:rPr>
        <w:t>.  Le requérant soutient que la non-exécution prolongée de la décision du 20 février 2008 rendue en sa faveur porte atteinte à ses droits garantis par l</w:t>
      </w:r>
      <w:r w:rsidRPr="00F651D2" w:rsidR="00F651D2">
        <w:rPr>
          <w:lang w:val="fr-FR"/>
        </w:rPr>
        <w:t>’</w:t>
      </w:r>
      <w:r w:rsidRPr="00F651D2">
        <w:rPr>
          <w:lang w:val="fr-FR"/>
        </w:rPr>
        <w:t>article 6 § 1 de la Convention et par l</w:t>
      </w:r>
      <w:r w:rsidRPr="00F651D2" w:rsidR="00F651D2">
        <w:rPr>
          <w:lang w:val="fr-FR"/>
        </w:rPr>
        <w:t>’</w:t>
      </w:r>
      <w:r w:rsidRPr="00F651D2">
        <w:rPr>
          <w:lang w:val="fr-FR"/>
        </w:rPr>
        <w:t>article 1 du Protocole n</w:t>
      </w:r>
      <w:r w:rsidRPr="00F651D2">
        <w:rPr>
          <w:vertAlign w:val="superscript"/>
          <w:lang w:val="fr-FR"/>
        </w:rPr>
        <w:t>o</w:t>
      </w:r>
      <w:r w:rsidRPr="00F651D2">
        <w:rPr>
          <w:lang w:val="fr-FR"/>
        </w:rPr>
        <w:t xml:space="preserve"> 1 à la Convention. Il affirme en outre que l</w:t>
      </w:r>
      <w:r w:rsidRPr="00F651D2" w:rsidR="00F651D2">
        <w:rPr>
          <w:lang w:val="fr-FR"/>
        </w:rPr>
        <w:t>’</w:t>
      </w:r>
      <w:r w:rsidRPr="00F651D2">
        <w:rPr>
          <w:lang w:val="fr-FR"/>
        </w:rPr>
        <w:t>action en réparation mise en place par la loi n</w:t>
      </w:r>
      <w:r w:rsidRPr="00F651D2">
        <w:rPr>
          <w:vertAlign w:val="superscript"/>
          <w:lang w:val="fr-FR"/>
        </w:rPr>
        <w:t>o</w:t>
      </w:r>
      <w:r w:rsidRPr="00F651D2">
        <w:rPr>
          <w:lang w:val="fr-FR"/>
        </w:rPr>
        <w:t xml:space="preserve"> 87 n</w:t>
      </w:r>
      <w:r w:rsidRPr="00F651D2" w:rsidR="00F651D2">
        <w:rPr>
          <w:lang w:val="fr-FR"/>
        </w:rPr>
        <w:t>’</w:t>
      </w:r>
      <w:r w:rsidRPr="00F651D2">
        <w:rPr>
          <w:lang w:val="fr-FR"/>
        </w:rPr>
        <w:t>a pas constitué dans son affaire une voie de recours effective au sens de l</w:t>
      </w:r>
      <w:r w:rsidRPr="00F651D2" w:rsidR="00F651D2">
        <w:rPr>
          <w:lang w:val="fr-FR"/>
        </w:rPr>
        <w:t>’</w:t>
      </w:r>
      <w:r w:rsidRPr="00F651D2">
        <w:rPr>
          <w:lang w:val="fr-FR"/>
        </w:rPr>
        <w:t>article 13 de la Convention pour dénoncer l</w:t>
      </w:r>
      <w:r w:rsidRPr="00F651D2" w:rsidR="00F651D2">
        <w:rPr>
          <w:lang w:val="fr-FR"/>
        </w:rPr>
        <w:t>’</w:t>
      </w:r>
      <w:r w:rsidRPr="00F651D2">
        <w:rPr>
          <w:lang w:val="fr-FR"/>
        </w:rPr>
        <w:t>inexécution en cause.</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40</w:t>
      </w:r>
      <w:r w:rsidRPr="00F651D2">
        <w:rPr>
          <w:lang w:val="fr-FR"/>
        </w:rPr>
        <w:fldChar w:fldCharType="end"/>
      </w:r>
      <w:r w:rsidRPr="00F651D2">
        <w:rPr>
          <w:lang w:val="fr-FR"/>
        </w:rPr>
        <w:t>.  Le Gouvernement conteste ces thèses.</w:t>
      </w:r>
    </w:p>
    <w:p w:rsidRPr="00F651D2" w:rsidR="00E14498" w:rsidP="00F651D2" w:rsidRDefault="00E14498">
      <w:pPr>
        <w:pStyle w:val="ECHRHeading2"/>
        <w:rPr>
          <w:lang w:val="fr-FR"/>
        </w:rPr>
      </w:pPr>
      <w:r w:rsidRPr="00F651D2">
        <w:rPr>
          <w:lang w:val="fr-FR"/>
        </w:rPr>
        <w:t>A.  Période à considérer</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41</w:t>
      </w:r>
      <w:r w:rsidRPr="00F651D2">
        <w:rPr>
          <w:lang w:val="fr-FR"/>
        </w:rPr>
        <w:fldChar w:fldCharType="end"/>
      </w:r>
      <w:r w:rsidRPr="00F651D2">
        <w:rPr>
          <w:lang w:val="fr-FR"/>
        </w:rPr>
        <w:t>.  La Cour rappelle qu</w:t>
      </w:r>
      <w:r w:rsidRPr="00F651D2" w:rsidR="00F651D2">
        <w:rPr>
          <w:lang w:val="fr-FR"/>
        </w:rPr>
        <w:t>’</w:t>
      </w:r>
      <w:r w:rsidRPr="00F651D2">
        <w:rPr>
          <w:lang w:val="fr-FR"/>
        </w:rPr>
        <w:t>une personne qui a obtenu un jugement contre l</w:t>
      </w:r>
      <w:r w:rsidRPr="00F651D2" w:rsidR="00F651D2">
        <w:rPr>
          <w:lang w:val="fr-FR"/>
        </w:rPr>
        <w:t>’</w:t>
      </w:r>
      <w:r w:rsidRPr="00F651D2">
        <w:rPr>
          <w:lang w:val="fr-FR"/>
        </w:rPr>
        <w:t>État n</w:t>
      </w:r>
      <w:r w:rsidRPr="00F651D2" w:rsidR="00F651D2">
        <w:rPr>
          <w:lang w:val="fr-FR"/>
        </w:rPr>
        <w:t>’</w:t>
      </w:r>
      <w:r w:rsidRPr="00F651D2">
        <w:rPr>
          <w:lang w:val="fr-FR"/>
        </w:rPr>
        <w:t>a normalement pas à ouvrir une procédure distincte pour en obtenir l</w:t>
      </w:r>
      <w:r w:rsidRPr="00F651D2" w:rsidR="00F651D2">
        <w:rPr>
          <w:lang w:val="fr-FR"/>
        </w:rPr>
        <w:t>’</w:t>
      </w:r>
      <w:r w:rsidRPr="00F651D2">
        <w:rPr>
          <w:lang w:val="fr-FR"/>
        </w:rPr>
        <w:t>exécution forcée (</w:t>
      </w:r>
      <w:proofErr w:type="spellStart"/>
      <w:r w:rsidRPr="00F651D2">
        <w:rPr>
          <w:i/>
          <w:lang w:val="fr-FR"/>
        </w:rPr>
        <w:t>Metaxas</w:t>
      </w:r>
      <w:proofErr w:type="spellEnd"/>
      <w:r w:rsidRPr="00F651D2">
        <w:rPr>
          <w:i/>
          <w:lang w:val="fr-FR"/>
        </w:rPr>
        <w:t xml:space="preserve"> c. Grèce</w:t>
      </w:r>
      <w:r w:rsidRPr="00F651D2">
        <w:rPr>
          <w:lang w:val="fr-FR"/>
        </w:rPr>
        <w:t>, n</w:t>
      </w:r>
      <w:r w:rsidRPr="00F651D2">
        <w:rPr>
          <w:vertAlign w:val="superscript"/>
          <w:lang w:val="fr-FR"/>
        </w:rPr>
        <w:t>o</w:t>
      </w:r>
      <w:r w:rsidRPr="00F651D2">
        <w:rPr>
          <w:lang w:val="fr-FR"/>
        </w:rPr>
        <w:t xml:space="preserve"> 8415/02, § 19, 27 mai 2004). Elle considère que c</w:t>
      </w:r>
      <w:r w:rsidRPr="00F651D2" w:rsidR="00F651D2">
        <w:rPr>
          <w:lang w:val="fr-FR"/>
        </w:rPr>
        <w:t>’</w:t>
      </w:r>
      <w:r w:rsidRPr="00F651D2">
        <w:rPr>
          <w:lang w:val="fr-FR"/>
        </w:rPr>
        <w:t>est au premier chef aux autorités de l</w:t>
      </w:r>
      <w:r w:rsidRPr="00F651D2" w:rsidR="00F651D2">
        <w:rPr>
          <w:lang w:val="fr-FR"/>
        </w:rPr>
        <w:t>’</w:t>
      </w:r>
      <w:r w:rsidRPr="00F651D2">
        <w:rPr>
          <w:lang w:val="fr-FR"/>
        </w:rPr>
        <w:t>État qu</w:t>
      </w:r>
      <w:r w:rsidRPr="00F651D2" w:rsidR="00F651D2">
        <w:rPr>
          <w:lang w:val="fr-FR"/>
        </w:rPr>
        <w:t>’</w:t>
      </w:r>
      <w:r w:rsidRPr="00F651D2">
        <w:rPr>
          <w:lang w:val="fr-FR"/>
        </w:rPr>
        <w:t>il incombe de garantir l</w:t>
      </w:r>
      <w:r w:rsidRPr="00F651D2" w:rsidR="00F651D2">
        <w:rPr>
          <w:lang w:val="fr-FR"/>
        </w:rPr>
        <w:t>’</w:t>
      </w:r>
      <w:r w:rsidRPr="00F651D2">
        <w:rPr>
          <w:lang w:val="fr-FR"/>
        </w:rPr>
        <w:t>exécution d</w:t>
      </w:r>
      <w:r w:rsidRPr="00F651D2" w:rsidR="00F651D2">
        <w:rPr>
          <w:lang w:val="fr-FR"/>
        </w:rPr>
        <w:t>’</w:t>
      </w:r>
      <w:r w:rsidRPr="00F651D2">
        <w:rPr>
          <w:lang w:val="fr-FR"/>
        </w:rPr>
        <w:t>une décision de justice rendue contre celui-ci, et ce dès la date à laquelle cette décision devient obligatoire et exécutoire (</w:t>
      </w:r>
      <w:proofErr w:type="spellStart"/>
      <w:r w:rsidRPr="00F651D2">
        <w:rPr>
          <w:i/>
          <w:lang w:val="fr-FR"/>
        </w:rPr>
        <w:t>Bourdov</w:t>
      </w:r>
      <w:proofErr w:type="spellEnd"/>
      <w:r w:rsidRPr="00F651D2">
        <w:rPr>
          <w:lang w:val="fr-FR"/>
        </w:rPr>
        <w:t xml:space="preserve">, précité § 69, </w:t>
      </w:r>
      <w:r w:rsidRPr="00F651D2">
        <w:rPr>
          <w:i/>
          <w:lang w:val="fr-FR"/>
        </w:rPr>
        <w:t>in fine</w:t>
      </w:r>
      <w:r w:rsidRPr="00F651D2">
        <w:rPr>
          <w:lang w:val="fr-FR"/>
        </w:rPr>
        <w:t>).</w:t>
      </w:r>
    </w:p>
    <w:bookmarkStart w:name="période_inexécution_début" w:id="8"/>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42</w:t>
      </w:r>
      <w:r w:rsidRPr="00F651D2">
        <w:rPr>
          <w:lang w:val="fr-FR"/>
        </w:rPr>
        <w:fldChar w:fldCharType="end"/>
      </w:r>
      <w:bookmarkEnd w:id="8"/>
      <w:r w:rsidRPr="00F651D2">
        <w:rPr>
          <w:lang w:val="fr-FR"/>
        </w:rPr>
        <w:t>.  En application de ces principes, la Cour observe qu</w:t>
      </w:r>
      <w:r w:rsidRPr="00F651D2" w:rsidR="00F651D2">
        <w:rPr>
          <w:lang w:val="fr-FR"/>
        </w:rPr>
        <w:t>’</w:t>
      </w:r>
      <w:r w:rsidRPr="00F651D2">
        <w:rPr>
          <w:lang w:val="fr-FR"/>
        </w:rPr>
        <w:t>en l</w:t>
      </w:r>
      <w:r w:rsidRPr="00F651D2" w:rsidR="00F651D2">
        <w:rPr>
          <w:lang w:val="fr-FR"/>
        </w:rPr>
        <w:t>’</w:t>
      </w:r>
      <w:r w:rsidRPr="00F651D2">
        <w:rPr>
          <w:lang w:val="fr-FR"/>
        </w:rPr>
        <w:t>espèce la période à prendre en considération a commencé le 20 février 2008, avec le prononcé de la décision définitive et exécutoire obligeant les autorités à fournir au requérant un logement en location. Elle note aussi que la Cour suprême de justice a évalué la durée d</w:t>
      </w:r>
      <w:r w:rsidRPr="00F651D2" w:rsidR="00F651D2">
        <w:rPr>
          <w:lang w:val="fr-FR"/>
        </w:rPr>
        <w:t>’</w:t>
      </w:r>
      <w:r w:rsidRPr="00F651D2">
        <w:rPr>
          <w:lang w:val="fr-FR"/>
        </w:rPr>
        <w:t>inexécution jusqu</w:t>
      </w:r>
      <w:r w:rsidRPr="00F651D2" w:rsidR="00F651D2">
        <w:rPr>
          <w:lang w:val="fr-FR"/>
        </w:rPr>
        <w:t>’</w:t>
      </w:r>
      <w:r w:rsidRPr="00F651D2">
        <w:rPr>
          <w:lang w:val="fr-FR"/>
        </w:rPr>
        <w:t xml:space="preserve">à la date </w:t>
      </w:r>
      <w:r w:rsidRPr="00F651D2" w:rsidR="00100B4F">
        <w:rPr>
          <w:lang w:val="fr-FR"/>
        </w:rPr>
        <w:t>du 4 </w:t>
      </w:r>
      <w:r w:rsidRPr="00F651D2">
        <w:rPr>
          <w:lang w:val="fr-FR"/>
        </w:rPr>
        <w:t>mars 2015. Cette période avait alors déjà duré plus de sept ans.</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43</w:t>
      </w:r>
      <w:r w:rsidRPr="00F651D2">
        <w:rPr>
          <w:lang w:val="fr-FR"/>
        </w:rPr>
        <w:fldChar w:fldCharType="end"/>
      </w:r>
      <w:r w:rsidRPr="00F651D2">
        <w:rPr>
          <w:lang w:val="fr-FR"/>
        </w:rPr>
        <w:t>.  Étant donné que la procédure d</w:t>
      </w:r>
      <w:r w:rsidRPr="00F651D2" w:rsidR="00F651D2">
        <w:rPr>
          <w:lang w:val="fr-FR"/>
        </w:rPr>
        <w:t>’</w:t>
      </w:r>
      <w:r w:rsidRPr="00F651D2">
        <w:rPr>
          <w:lang w:val="fr-FR"/>
        </w:rPr>
        <w:t>exécution est encore pendante au niveau interne, la Cour souligne qu</w:t>
      </w:r>
      <w:r w:rsidRPr="00F651D2" w:rsidR="00F651D2">
        <w:rPr>
          <w:lang w:val="fr-FR"/>
        </w:rPr>
        <w:t>’</w:t>
      </w:r>
      <w:r w:rsidRPr="00F651D2">
        <w:rPr>
          <w:lang w:val="fr-FR"/>
        </w:rPr>
        <w:t>un laps de temps de presque quatre</w:t>
      </w:r>
      <w:r w:rsidRPr="00F651D2" w:rsidR="00100B4F">
        <w:rPr>
          <w:lang w:val="fr-FR"/>
        </w:rPr>
        <w:t> </w:t>
      </w:r>
      <w:r w:rsidRPr="00F651D2">
        <w:rPr>
          <w:lang w:val="fr-FR"/>
        </w:rPr>
        <w:t>ans n</w:t>
      </w:r>
      <w:r w:rsidRPr="00F651D2" w:rsidR="00F651D2">
        <w:rPr>
          <w:lang w:val="fr-FR"/>
        </w:rPr>
        <w:t>’</w:t>
      </w:r>
      <w:r w:rsidRPr="00F651D2">
        <w:rPr>
          <w:lang w:val="fr-FR"/>
        </w:rPr>
        <w:t>a pas pu être pris en considération par les juridictions internes.</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44</w:t>
      </w:r>
      <w:r w:rsidRPr="00F651D2">
        <w:rPr>
          <w:lang w:val="fr-FR"/>
        </w:rPr>
        <w:fldChar w:fldCharType="end"/>
      </w:r>
      <w:r w:rsidRPr="00F651D2">
        <w:rPr>
          <w:lang w:val="fr-FR"/>
        </w:rPr>
        <w:t>.  Elle observe également que le requérant a encore la possibilité, s</w:t>
      </w:r>
      <w:r w:rsidRPr="00F651D2" w:rsidR="00F651D2">
        <w:rPr>
          <w:lang w:val="fr-FR"/>
        </w:rPr>
        <w:t>’</w:t>
      </w:r>
      <w:r w:rsidRPr="00F651D2">
        <w:rPr>
          <w:lang w:val="fr-FR"/>
        </w:rPr>
        <w:t>il souhaite se plaindre de la durée d</w:t>
      </w:r>
      <w:r w:rsidRPr="00F651D2" w:rsidR="00F651D2">
        <w:rPr>
          <w:lang w:val="fr-FR"/>
        </w:rPr>
        <w:t>’</w:t>
      </w:r>
      <w:r w:rsidRPr="00F651D2">
        <w:rPr>
          <w:lang w:val="fr-FR"/>
        </w:rPr>
        <w:t>inexécution postérieure à celle déjà examinée par la Cour suprême de justice, d</w:t>
      </w:r>
      <w:r w:rsidRPr="00F651D2" w:rsidR="00F651D2">
        <w:rPr>
          <w:lang w:val="fr-FR"/>
        </w:rPr>
        <w:t>’</w:t>
      </w:r>
      <w:r w:rsidRPr="00F651D2">
        <w:rPr>
          <w:lang w:val="fr-FR"/>
        </w:rPr>
        <w:t>introduire une nouvelle action selon la loi n</w:t>
      </w:r>
      <w:r w:rsidRPr="00F651D2">
        <w:rPr>
          <w:vertAlign w:val="superscript"/>
          <w:lang w:val="fr-FR"/>
        </w:rPr>
        <w:t>o</w:t>
      </w:r>
      <w:r w:rsidRPr="00F651D2">
        <w:rPr>
          <w:lang w:val="fr-FR"/>
        </w:rPr>
        <w:t xml:space="preserve"> 87 devant les tribunaux nationaux. Or, la Cour rappelle que cette durée, de presque quatre ans, est en soi largement suffisante pour constituer une seconde violation de la même procédure d</w:t>
      </w:r>
      <w:r w:rsidRPr="00F651D2" w:rsidR="00F651D2">
        <w:rPr>
          <w:lang w:val="fr-FR"/>
        </w:rPr>
        <w:t>’</w:t>
      </w:r>
      <w:r w:rsidRPr="00F651D2">
        <w:rPr>
          <w:lang w:val="fr-FR"/>
        </w:rPr>
        <w:t xml:space="preserve">exécution (paragraphe </w:t>
      </w:r>
      <w:r w:rsidRPr="00F651D2">
        <w:rPr>
          <w:lang w:val="fr-FR"/>
        </w:rPr>
        <w:fldChar w:fldCharType="begin"/>
      </w:r>
      <w:r w:rsidRPr="00F651D2">
        <w:rPr>
          <w:lang w:val="fr-FR"/>
        </w:rPr>
        <w:instrText xml:space="preserve"> REF redressement_insufissant2 \h </w:instrText>
      </w:r>
      <w:r w:rsidRPr="00F651D2">
        <w:rPr>
          <w:lang w:val="fr-FR"/>
        </w:rPr>
      </w:r>
      <w:r w:rsidRPr="00F651D2">
        <w:rPr>
          <w:lang w:val="fr-FR"/>
        </w:rPr>
        <w:fldChar w:fldCharType="separate"/>
      </w:r>
      <w:r w:rsidRPr="00F651D2" w:rsidR="00F651D2">
        <w:rPr>
          <w:noProof/>
          <w:lang w:val="fr-FR"/>
        </w:rPr>
        <w:t>35</w:t>
      </w:r>
      <w:r w:rsidRPr="00F651D2">
        <w:rPr>
          <w:lang w:val="fr-FR"/>
        </w:rPr>
        <w:fldChar w:fldCharType="end"/>
      </w:r>
      <w:r w:rsidRPr="00F651D2">
        <w:rPr>
          <w:lang w:val="fr-FR"/>
        </w:rPr>
        <w:t xml:space="preserve"> ci-dessus). À ce sujet, elle rappelle avoir, pour ce qui est des recours en matière de durée de procédure et relativement à des situations comparables à celles du cas d</w:t>
      </w:r>
      <w:r w:rsidRPr="00F651D2" w:rsidR="00F651D2">
        <w:rPr>
          <w:lang w:val="fr-FR"/>
        </w:rPr>
        <w:t>’</w:t>
      </w:r>
      <w:r w:rsidRPr="00F651D2">
        <w:rPr>
          <w:lang w:val="fr-FR"/>
        </w:rPr>
        <w:t>espèce, estimé qu</w:t>
      </w:r>
      <w:r w:rsidRPr="00F651D2" w:rsidR="00F651D2">
        <w:rPr>
          <w:lang w:val="fr-FR"/>
        </w:rPr>
        <w:t>’</w:t>
      </w:r>
      <w:r w:rsidRPr="00F651D2">
        <w:rPr>
          <w:lang w:val="fr-FR"/>
        </w:rPr>
        <w:t>elle n</w:t>
      </w:r>
      <w:r w:rsidRPr="00F651D2" w:rsidR="00F651D2">
        <w:rPr>
          <w:lang w:val="fr-FR"/>
        </w:rPr>
        <w:t>’</w:t>
      </w:r>
      <w:r w:rsidRPr="00F651D2">
        <w:rPr>
          <w:lang w:val="fr-FR"/>
        </w:rPr>
        <w:t>était pas tenue d</w:t>
      </w:r>
      <w:r w:rsidRPr="00F651D2" w:rsidR="00F651D2">
        <w:rPr>
          <w:lang w:val="fr-FR"/>
        </w:rPr>
        <w:t>’</w:t>
      </w:r>
      <w:r w:rsidRPr="00F651D2">
        <w:rPr>
          <w:lang w:val="fr-FR"/>
        </w:rPr>
        <w:t>examiner la procédure dans son ensemble mais pouvait se contenter de la durée ayant fait l</w:t>
      </w:r>
      <w:r w:rsidRPr="00F651D2" w:rsidR="00F651D2">
        <w:rPr>
          <w:lang w:val="fr-FR"/>
        </w:rPr>
        <w:t>’</w:t>
      </w:r>
      <w:r w:rsidRPr="00F651D2">
        <w:rPr>
          <w:lang w:val="fr-FR"/>
        </w:rPr>
        <w:t>objet d</w:t>
      </w:r>
      <w:r w:rsidRPr="00F651D2" w:rsidR="00F651D2">
        <w:rPr>
          <w:lang w:val="fr-FR"/>
        </w:rPr>
        <w:t>’</w:t>
      </w:r>
      <w:r w:rsidRPr="00F651D2">
        <w:rPr>
          <w:lang w:val="fr-FR"/>
        </w:rPr>
        <w:t>un examen par les juridictions internes (</w:t>
      </w:r>
      <w:proofErr w:type="spellStart"/>
      <w:r w:rsidRPr="00F651D2" w:rsidR="001A6D7C">
        <w:rPr>
          <w:i/>
          <w:lang w:val="fr-FR"/>
        </w:rPr>
        <w:t>Musci</w:t>
      </w:r>
      <w:proofErr w:type="spellEnd"/>
      <w:r w:rsidRPr="00F651D2" w:rsidR="001A6D7C">
        <w:rPr>
          <w:i/>
          <w:lang w:val="fr-FR"/>
        </w:rPr>
        <w:t xml:space="preserve"> c. </w:t>
      </w:r>
      <w:r w:rsidRPr="00F651D2">
        <w:rPr>
          <w:i/>
          <w:lang w:val="fr-FR"/>
        </w:rPr>
        <w:t>Italie</w:t>
      </w:r>
      <w:r w:rsidRPr="00F651D2">
        <w:rPr>
          <w:lang w:val="fr-FR"/>
        </w:rPr>
        <w:t xml:space="preserve"> [GC], n</w:t>
      </w:r>
      <w:r w:rsidRPr="00F651D2">
        <w:rPr>
          <w:szCs w:val="24"/>
          <w:vertAlign w:val="superscript"/>
          <w:lang w:val="fr-FR"/>
        </w:rPr>
        <w:t>o</w:t>
      </w:r>
      <w:r w:rsidRPr="00F651D2">
        <w:rPr>
          <w:lang w:val="fr-FR"/>
        </w:rPr>
        <w:t xml:space="preserve"> 64699/01, § 116, CEDH 2006</w:t>
      </w:r>
      <w:r w:rsidRPr="00F651D2">
        <w:rPr>
          <w:lang w:val="fr-FR"/>
        </w:rPr>
        <w:noBreakHyphen/>
        <w:t xml:space="preserve">V (extraits), et voir, </w:t>
      </w:r>
      <w:r w:rsidRPr="00F651D2">
        <w:rPr>
          <w:i/>
          <w:lang w:val="fr-FR"/>
        </w:rPr>
        <w:t>à contrario</w:t>
      </w:r>
      <w:r w:rsidRPr="00F651D2">
        <w:rPr>
          <w:lang w:val="fr-FR"/>
        </w:rPr>
        <w:t xml:space="preserve">, </w:t>
      </w:r>
      <w:proofErr w:type="spellStart"/>
      <w:r w:rsidRPr="00F651D2">
        <w:rPr>
          <w:i/>
          <w:lang w:val="fr-FR"/>
        </w:rPr>
        <w:t>Cocchiarella</w:t>
      </w:r>
      <w:proofErr w:type="spellEnd"/>
      <w:r w:rsidRPr="00F651D2">
        <w:rPr>
          <w:lang w:val="fr-FR"/>
        </w:rPr>
        <w:t>, précité, § 116).</w:t>
      </w:r>
    </w:p>
    <w:bookmarkStart w:name="période_inexécution_fin" w:id="9"/>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45</w:t>
      </w:r>
      <w:r w:rsidRPr="00F651D2">
        <w:rPr>
          <w:lang w:val="fr-FR"/>
        </w:rPr>
        <w:fldChar w:fldCharType="end"/>
      </w:r>
      <w:bookmarkEnd w:id="9"/>
      <w:r w:rsidRPr="00F651D2">
        <w:rPr>
          <w:lang w:val="fr-FR"/>
        </w:rPr>
        <w:t>.  Cependant, la Cour rappelle avoir estimé dans le cas présent que, en tout état de cause, le recours indemnitaire exercé par le requérant n</w:t>
      </w:r>
      <w:r w:rsidRPr="00F651D2" w:rsidR="00F651D2">
        <w:rPr>
          <w:lang w:val="fr-FR"/>
        </w:rPr>
        <w:t>’</w:t>
      </w:r>
      <w:r w:rsidRPr="00F651D2">
        <w:rPr>
          <w:lang w:val="fr-FR"/>
        </w:rPr>
        <w:t>avait pas été en mesure de lui offrir un redressement adéquat en raison de l</w:t>
      </w:r>
      <w:r w:rsidRPr="00F651D2" w:rsidR="00F651D2">
        <w:rPr>
          <w:lang w:val="fr-FR"/>
        </w:rPr>
        <w:t>’</w:t>
      </w:r>
      <w:r w:rsidRPr="00F651D2">
        <w:rPr>
          <w:lang w:val="fr-FR"/>
        </w:rPr>
        <w:t>omission persistante des autorités d</w:t>
      </w:r>
      <w:r w:rsidRPr="00F651D2" w:rsidR="00F651D2">
        <w:rPr>
          <w:lang w:val="fr-FR"/>
        </w:rPr>
        <w:t>’</w:t>
      </w:r>
      <w:r w:rsidRPr="00F651D2">
        <w:rPr>
          <w:lang w:val="fr-FR"/>
        </w:rPr>
        <w:t>exécuter la décision initiale (paragraphe</w:t>
      </w:r>
      <w:r w:rsidRPr="00F651D2" w:rsidR="00283EAF">
        <w:rPr>
          <w:lang w:val="fr-FR"/>
        </w:rPr>
        <w:t> </w:t>
      </w:r>
      <w:r w:rsidRPr="00F651D2">
        <w:rPr>
          <w:lang w:val="fr-FR"/>
        </w:rPr>
        <w:fldChar w:fldCharType="begin"/>
      </w:r>
      <w:r w:rsidRPr="00F651D2">
        <w:rPr>
          <w:lang w:val="fr-FR"/>
        </w:rPr>
        <w:instrText xml:space="preserve"> REF redressement_insufissant2 \h </w:instrText>
      </w:r>
      <w:r w:rsidRPr="00F651D2">
        <w:rPr>
          <w:lang w:val="fr-FR"/>
        </w:rPr>
      </w:r>
      <w:r w:rsidRPr="00F651D2">
        <w:rPr>
          <w:lang w:val="fr-FR"/>
        </w:rPr>
        <w:fldChar w:fldCharType="separate"/>
      </w:r>
      <w:r w:rsidRPr="00F651D2" w:rsidR="00F651D2">
        <w:rPr>
          <w:noProof/>
          <w:lang w:val="fr-FR"/>
        </w:rPr>
        <w:t>35</w:t>
      </w:r>
      <w:r w:rsidRPr="00F651D2">
        <w:rPr>
          <w:lang w:val="fr-FR"/>
        </w:rPr>
        <w:fldChar w:fldCharType="end"/>
      </w:r>
      <w:r w:rsidRPr="00F651D2">
        <w:rPr>
          <w:lang w:val="fr-FR"/>
        </w:rPr>
        <w:t xml:space="preserve"> ci</w:t>
      </w:r>
      <w:r w:rsidRPr="00F651D2" w:rsidR="001A6D7C">
        <w:rPr>
          <w:lang w:val="fr-FR"/>
        </w:rPr>
        <w:noBreakHyphen/>
      </w:r>
      <w:r w:rsidRPr="00F651D2">
        <w:rPr>
          <w:lang w:val="fr-FR"/>
        </w:rPr>
        <w:t>dessus). Dans ces conditions, elle juge qu</w:t>
      </w:r>
      <w:r w:rsidRPr="00F651D2" w:rsidR="00F651D2">
        <w:rPr>
          <w:lang w:val="fr-FR"/>
        </w:rPr>
        <w:t>’</w:t>
      </w:r>
      <w:r w:rsidRPr="00F651D2">
        <w:rPr>
          <w:lang w:val="fr-FR"/>
        </w:rPr>
        <w:t>il serait injuste de demander à l</w:t>
      </w:r>
      <w:r w:rsidRPr="00F651D2" w:rsidR="00F651D2">
        <w:rPr>
          <w:lang w:val="fr-FR"/>
        </w:rPr>
        <w:t>’</w:t>
      </w:r>
      <w:r w:rsidRPr="00F651D2">
        <w:rPr>
          <w:lang w:val="fr-FR"/>
        </w:rPr>
        <w:t>intéressé d</w:t>
      </w:r>
      <w:r w:rsidRPr="00F651D2" w:rsidR="00F651D2">
        <w:rPr>
          <w:lang w:val="fr-FR"/>
        </w:rPr>
        <w:t>’</w:t>
      </w:r>
      <w:r w:rsidRPr="00F651D2">
        <w:rPr>
          <w:lang w:val="fr-FR"/>
        </w:rPr>
        <w:t>introduire un nouveau recours sur le fondement de la loi n</w:t>
      </w:r>
      <w:r w:rsidRPr="00F651D2">
        <w:rPr>
          <w:vertAlign w:val="superscript"/>
          <w:lang w:val="fr-FR"/>
        </w:rPr>
        <w:t>o</w:t>
      </w:r>
      <w:r w:rsidRPr="00F651D2">
        <w:rPr>
          <w:lang w:val="fr-FR"/>
        </w:rPr>
        <w:t xml:space="preserve"> 87. Partant, la Cour considère qu</w:t>
      </w:r>
      <w:r w:rsidRPr="00F651D2" w:rsidR="00F651D2">
        <w:rPr>
          <w:lang w:val="fr-FR"/>
        </w:rPr>
        <w:t>’</w:t>
      </w:r>
      <w:r w:rsidRPr="00F651D2">
        <w:rPr>
          <w:lang w:val="fr-FR"/>
        </w:rPr>
        <w:t>elle peut prendre en considération toute la procédure nationale d</w:t>
      </w:r>
      <w:r w:rsidRPr="00F651D2" w:rsidR="00F651D2">
        <w:rPr>
          <w:lang w:val="fr-FR"/>
        </w:rPr>
        <w:t>’</w:t>
      </w:r>
      <w:r w:rsidRPr="00F651D2">
        <w:rPr>
          <w:lang w:val="fr-FR"/>
        </w:rPr>
        <w:t>exécution et pas seulement celle déjà examinée par la Cour suprême de justice.</w:t>
      </w:r>
    </w:p>
    <w:p w:rsidRPr="00F651D2" w:rsidR="00E14498" w:rsidP="00F651D2" w:rsidRDefault="00E14498">
      <w:pPr>
        <w:pStyle w:val="ECHRHeading2"/>
        <w:rPr>
          <w:lang w:val="fr-FR"/>
        </w:rPr>
      </w:pPr>
      <w:r w:rsidRPr="00F651D2">
        <w:rPr>
          <w:lang w:val="fr-FR"/>
        </w:rPr>
        <w:t>B.  Caractère raisonnable de la durée de la procédure d</w:t>
      </w:r>
      <w:r w:rsidRPr="00F651D2" w:rsidR="00F651D2">
        <w:rPr>
          <w:lang w:val="fr-FR"/>
        </w:rPr>
        <w:t>’</w:t>
      </w:r>
      <w:r w:rsidRPr="00F651D2">
        <w:rPr>
          <w:lang w:val="fr-FR"/>
        </w:rPr>
        <w:t>exécution</w:t>
      </w:r>
    </w:p>
    <w:p w:rsidRPr="00F651D2" w:rsidR="00E14498" w:rsidP="00F651D2" w:rsidRDefault="00E14498">
      <w:pPr>
        <w:pStyle w:val="ECHRPara"/>
        <w:rPr>
          <w:i/>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46</w:t>
      </w:r>
      <w:r w:rsidRPr="00F651D2">
        <w:rPr>
          <w:lang w:val="fr-FR"/>
        </w:rPr>
        <w:fldChar w:fldCharType="end"/>
      </w:r>
      <w:r w:rsidRPr="00F651D2">
        <w:rPr>
          <w:lang w:val="fr-FR"/>
        </w:rPr>
        <w:t>.  La Cour note que, à ce jour, la procédure d</w:t>
      </w:r>
      <w:r w:rsidRPr="00F651D2" w:rsidR="00F651D2">
        <w:rPr>
          <w:lang w:val="fr-FR"/>
        </w:rPr>
        <w:t>’</w:t>
      </w:r>
      <w:r w:rsidRPr="00F651D2">
        <w:rPr>
          <w:lang w:val="fr-FR"/>
        </w:rPr>
        <w:t>exécution de la décision définitive ordonnant aux autorités d</w:t>
      </w:r>
      <w:r w:rsidRPr="00F651D2" w:rsidR="00F651D2">
        <w:rPr>
          <w:lang w:val="fr-FR"/>
        </w:rPr>
        <w:t>’</w:t>
      </w:r>
      <w:r w:rsidRPr="00F651D2">
        <w:rPr>
          <w:lang w:val="fr-FR"/>
        </w:rPr>
        <w:t>attribuer un logement au requérant et à sa famille a déjà duré environ onze ans. Elle rappelle qu</w:t>
      </w:r>
      <w:r w:rsidRPr="00F651D2" w:rsidR="00F651D2">
        <w:rPr>
          <w:lang w:val="fr-FR"/>
        </w:rPr>
        <w:t>’</w:t>
      </w:r>
      <w:r w:rsidRPr="00F651D2">
        <w:rPr>
          <w:lang w:val="fr-FR"/>
        </w:rPr>
        <w:t>une autorité étatique ne peut invoquer l</w:t>
      </w:r>
      <w:r w:rsidRPr="00F651D2" w:rsidR="00F651D2">
        <w:rPr>
          <w:lang w:val="fr-FR"/>
        </w:rPr>
        <w:t>’</w:t>
      </w:r>
      <w:r w:rsidRPr="00F651D2">
        <w:rPr>
          <w:lang w:val="fr-FR"/>
        </w:rPr>
        <w:t>absence de fonds et de logements de substitution pour expliquer la non-exécution d</w:t>
      </w:r>
      <w:r w:rsidRPr="00F651D2" w:rsidR="00F651D2">
        <w:rPr>
          <w:lang w:val="fr-FR"/>
        </w:rPr>
        <w:t>’</w:t>
      </w:r>
      <w:r w:rsidRPr="00F651D2">
        <w:rPr>
          <w:lang w:val="fr-FR"/>
        </w:rPr>
        <w:t>un jugement (voir, parmi beaucoup d</w:t>
      </w:r>
      <w:r w:rsidRPr="00F651D2" w:rsidR="00F651D2">
        <w:rPr>
          <w:lang w:val="fr-FR"/>
        </w:rPr>
        <w:t>’</w:t>
      </w:r>
      <w:r w:rsidRPr="00F651D2">
        <w:rPr>
          <w:lang w:val="fr-FR"/>
        </w:rPr>
        <w:t xml:space="preserve">autres, </w:t>
      </w:r>
      <w:proofErr w:type="spellStart"/>
      <w:r w:rsidRPr="00F651D2">
        <w:rPr>
          <w:i/>
          <w:lang w:val="fr-FR"/>
        </w:rPr>
        <w:t>Prodan</w:t>
      </w:r>
      <w:proofErr w:type="spellEnd"/>
      <w:r w:rsidRPr="00F651D2">
        <w:rPr>
          <w:i/>
          <w:lang w:val="fr-FR"/>
        </w:rPr>
        <w:t xml:space="preserve"> c. Moldova</w:t>
      </w:r>
      <w:r w:rsidRPr="00F651D2">
        <w:rPr>
          <w:lang w:val="fr-FR"/>
        </w:rPr>
        <w:t>, n</w:t>
      </w:r>
      <w:r w:rsidRPr="00F651D2">
        <w:rPr>
          <w:vertAlign w:val="superscript"/>
          <w:lang w:val="fr-FR"/>
        </w:rPr>
        <w:t>o</w:t>
      </w:r>
      <w:r w:rsidRPr="00F651D2">
        <w:rPr>
          <w:lang w:val="fr-FR"/>
        </w:rPr>
        <w:t> 49806/99, § 53, CEDH 2004</w:t>
      </w:r>
      <w:r w:rsidRPr="00F651D2">
        <w:rPr>
          <w:lang w:val="fr-FR"/>
        </w:rPr>
        <w:noBreakHyphen/>
        <w:t xml:space="preserve">III (extraits), et </w:t>
      </w:r>
      <w:r w:rsidRPr="00F651D2">
        <w:rPr>
          <w:i/>
          <w:lang w:val="fr-FR"/>
        </w:rPr>
        <w:t xml:space="preserve">Yuriy </w:t>
      </w:r>
      <w:proofErr w:type="spellStart"/>
      <w:r w:rsidRPr="00F651D2">
        <w:rPr>
          <w:i/>
          <w:lang w:val="fr-FR"/>
        </w:rPr>
        <w:t>Nikolayevich</w:t>
      </w:r>
      <w:proofErr w:type="spellEnd"/>
      <w:r w:rsidRPr="00F651D2">
        <w:rPr>
          <w:i/>
          <w:lang w:val="fr-FR"/>
        </w:rPr>
        <w:t xml:space="preserve"> Ivanov c. Ukraine</w:t>
      </w:r>
      <w:r w:rsidRPr="00F651D2">
        <w:rPr>
          <w:lang w:val="fr-FR"/>
        </w:rPr>
        <w:t>, n</w:t>
      </w:r>
      <w:r w:rsidRPr="00F651D2">
        <w:rPr>
          <w:vertAlign w:val="superscript"/>
          <w:lang w:val="fr-FR"/>
        </w:rPr>
        <w:t>o</w:t>
      </w:r>
      <w:r w:rsidRPr="00F651D2">
        <w:rPr>
          <w:lang w:val="fr-FR"/>
        </w:rPr>
        <w:t xml:space="preserve"> 40450/04</w:t>
      </w:r>
      <w:r w:rsidRPr="00F651D2">
        <w:rPr>
          <w:szCs w:val="24"/>
          <w:lang w:val="fr-FR"/>
        </w:rPr>
        <w:t xml:space="preserve">, § 54, </w:t>
      </w:r>
      <w:r w:rsidRPr="00F651D2" w:rsidR="001A6D7C">
        <w:rPr>
          <w:lang w:val="fr-FR"/>
        </w:rPr>
        <w:t>15 </w:t>
      </w:r>
      <w:r w:rsidRPr="00F651D2">
        <w:rPr>
          <w:lang w:val="fr-FR"/>
        </w:rPr>
        <w:t>octobre 2009).</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47</w:t>
      </w:r>
      <w:r w:rsidRPr="00F651D2">
        <w:rPr>
          <w:lang w:val="fr-FR"/>
        </w:rPr>
        <w:fldChar w:fldCharType="end"/>
      </w:r>
      <w:r w:rsidRPr="00F651D2">
        <w:rPr>
          <w:lang w:val="fr-FR"/>
        </w:rPr>
        <w:t>.  La Cour rappelle également sa position, exprimée à maintes reprises dans des affaires ayant trait au défaut d</w:t>
      </w:r>
      <w:r w:rsidRPr="00F651D2" w:rsidR="00F651D2">
        <w:rPr>
          <w:lang w:val="fr-FR"/>
        </w:rPr>
        <w:t>’</w:t>
      </w:r>
      <w:r w:rsidRPr="00F651D2">
        <w:rPr>
          <w:lang w:val="fr-FR"/>
        </w:rPr>
        <w:t>exécution, selon laquelle l</w:t>
      </w:r>
      <w:r w:rsidRPr="00F651D2" w:rsidR="00F651D2">
        <w:rPr>
          <w:lang w:val="fr-FR"/>
        </w:rPr>
        <w:t>’</w:t>
      </w:r>
      <w:r w:rsidRPr="00F651D2">
        <w:rPr>
          <w:lang w:val="fr-FR"/>
        </w:rPr>
        <w:t>impossibilité, pour un créancier, de faire exécuter intégralement, et dans un délai raisonnable, une décision rendue en sa faveur constitue une violation dans son chef du « droit à un tribunal » consacré par l</w:t>
      </w:r>
      <w:r w:rsidRPr="00F651D2" w:rsidR="00F651D2">
        <w:rPr>
          <w:lang w:val="fr-FR"/>
        </w:rPr>
        <w:t>’</w:t>
      </w:r>
      <w:r w:rsidRPr="00F651D2" w:rsidR="001A6D7C">
        <w:rPr>
          <w:lang w:val="fr-FR"/>
        </w:rPr>
        <w:t>article 6 § </w:t>
      </w:r>
      <w:r w:rsidRPr="00F651D2">
        <w:rPr>
          <w:lang w:val="fr-FR"/>
        </w:rPr>
        <w:t>1 de la Convention, ainsi que du droit à la libre jouissance de ses biens garanti par l</w:t>
      </w:r>
      <w:r w:rsidRPr="00F651D2" w:rsidR="00F651D2">
        <w:rPr>
          <w:lang w:val="fr-FR"/>
        </w:rPr>
        <w:t>’</w:t>
      </w:r>
      <w:r w:rsidRPr="00F651D2">
        <w:rPr>
          <w:lang w:val="fr-FR"/>
        </w:rPr>
        <w:t>article 1 du Protocole n</w:t>
      </w:r>
      <w:r w:rsidRPr="00F651D2">
        <w:rPr>
          <w:vertAlign w:val="superscript"/>
          <w:lang w:val="fr-FR"/>
        </w:rPr>
        <w:t>o</w:t>
      </w:r>
      <w:r w:rsidRPr="00F651D2">
        <w:rPr>
          <w:lang w:val="fr-FR"/>
        </w:rPr>
        <w:t> 1 à la Convention (voir, parmi beaucoup d</w:t>
      </w:r>
      <w:r w:rsidRPr="00F651D2" w:rsidR="00F651D2">
        <w:rPr>
          <w:lang w:val="fr-FR"/>
        </w:rPr>
        <w:t>’</w:t>
      </w:r>
      <w:r w:rsidRPr="00F651D2">
        <w:rPr>
          <w:lang w:val="fr-FR"/>
        </w:rPr>
        <w:t xml:space="preserve">autres, </w:t>
      </w:r>
      <w:proofErr w:type="spellStart"/>
      <w:r w:rsidRPr="00F651D2">
        <w:rPr>
          <w:i/>
          <w:lang w:val="fr-FR"/>
        </w:rPr>
        <w:t>Prodan</w:t>
      </w:r>
      <w:proofErr w:type="spellEnd"/>
      <w:r w:rsidRPr="00F651D2">
        <w:rPr>
          <w:lang w:val="fr-FR"/>
        </w:rPr>
        <w:t xml:space="preserve">, précité, §§ 56 et 62, et </w:t>
      </w:r>
      <w:r w:rsidRPr="00F651D2">
        <w:rPr>
          <w:i/>
          <w:lang w:val="fr-FR"/>
        </w:rPr>
        <w:t xml:space="preserve">Yuriy </w:t>
      </w:r>
      <w:proofErr w:type="spellStart"/>
      <w:r w:rsidRPr="00F651D2">
        <w:rPr>
          <w:i/>
          <w:lang w:val="fr-FR"/>
        </w:rPr>
        <w:t>Nikolayevich</w:t>
      </w:r>
      <w:proofErr w:type="spellEnd"/>
      <w:r w:rsidRPr="00F651D2">
        <w:rPr>
          <w:i/>
          <w:lang w:val="fr-FR"/>
        </w:rPr>
        <w:t xml:space="preserve"> Ivanov</w:t>
      </w:r>
      <w:r w:rsidRPr="00F651D2" w:rsidR="001A6D7C">
        <w:rPr>
          <w:lang w:val="fr-FR"/>
        </w:rPr>
        <w:t>, précité, §§ </w:t>
      </w:r>
      <w:r w:rsidRPr="00F651D2">
        <w:rPr>
          <w:lang w:val="fr-FR"/>
        </w:rPr>
        <w:t>56-57).</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48</w:t>
      </w:r>
      <w:r w:rsidRPr="00F651D2">
        <w:rPr>
          <w:lang w:val="fr-FR"/>
        </w:rPr>
        <w:fldChar w:fldCharType="end"/>
      </w:r>
      <w:r w:rsidRPr="00F651D2">
        <w:rPr>
          <w:lang w:val="fr-FR"/>
        </w:rPr>
        <w:t>.  À la lumière des circonstances de l</w:t>
      </w:r>
      <w:r w:rsidRPr="00F651D2" w:rsidR="00F651D2">
        <w:rPr>
          <w:lang w:val="fr-FR"/>
        </w:rPr>
        <w:t>’</w:t>
      </w:r>
      <w:r w:rsidRPr="00F651D2">
        <w:rPr>
          <w:lang w:val="fr-FR"/>
        </w:rPr>
        <w:t>espèce, la Cour ne voit aucune raison de parvenir à une conclusion différente dans la présente affaire. Partant, elle estime qu</w:t>
      </w:r>
      <w:r w:rsidRPr="00F651D2" w:rsidR="00F651D2">
        <w:rPr>
          <w:lang w:val="fr-FR"/>
        </w:rPr>
        <w:t>’</w:t>
      </w:r>
      <w:r w:rsidRPr="00F651D2">
        <w:rPr>
          <w:lang w:val="fr-FR"/>
        </w:rPr>
        <w:t>il y a eu violation de l</w:t>
      </w:r>
      <w:r w:rsidRPr="00F651D2" w:rsidR="00F651D2">
        <w:rPr>
          <w:lang w:val="fr-FR"/>
        </w:rPr>
        <w:t>’</w:t>
      </w:r>
      <w:r w:rsidRPr="00F651D2">
        <w:rPr>
          <w:lang w:val="fr-FR"/>
        </w:rPr>
        <w:t>article 6 § 1 de la Convention et de l</w:t>
      </w:r>
      <w:r w:rsidRPr="00F651D2" w:rsidR="00F651D2">
        <w:rPr>
          <w:lang w:val="fr-FR"/>
        </w:rPr>
        <w:t>’</w:t>
      </w:r>
      <w:r w:rsidRPr="00F651D2">
        <w:rPr>
          <w:lang w:val="fr-FR"/>
        </w:rPr>
        <w:t>article 1 du Protocole n</w:t>
      </w:r>
      <w:r w:rsidRPr="00F651D2">
        <w:rPr>
          <w:vertAlign w:val="superscript"/>
          <w:lang w:val="fr-FR"/>
        </w:rPr>
        <w:t>o</w:t>
      </w:r>
      <w:r w:rsidRPr="00F651D2">
        <w:rPr>
          <w:lang w:val="fr-FR"/>
        </w:rPr>
        <w:t xml:space="preserve"> 1 à la Convention à raison de l</w:t>
      </w:r>
      <w:r w:rsidRPr="00F651D2" w:rsidR="00F651D2">
        <w:rPr>
          <w:lang w:val="fr-FR"/>
        </w:rPr>
        <w:t>’</w:t>
      </w:r>
      <w:r w:rsidRPr="00F651D2">
        <w:rPr>
          <w:lang w:val="fr-FR"/>
        </w:rPr>
        <w:t>omission des autorités d</w:t>
      </w:r>
      <w:r w:rsidRPr="00F651D2" w:rsidR="00F651D2">
        <w:rPr>
          <w:lang w:val="fr-FR"/>
        </w:rPr>
        <w:t>’</w:t>
      </w:r>
      <w:r w:rsidRPr="00F651D2">
        <w:rPr>
          <w:lang w:val="fr-FR"/>
        </w:rPr>
        <w:t>exécuter, dans un délai raisonnable, la décision définitive rendue en faveur du requérant.</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49</w:t>
      </w:r>
      <w:r w:rsidRPr="00F651D2">
        <w:rPr>
          <w:lang w:val="fr-FR"/>
        </w:rPr>
        <w:fldChar w:fldCharType="end"/>
      </w:r>
      <w:r w:rsidRPr="00F651D2">
        <w:rPr>
          <w:lang w:val="fr-FR"/>
        </w:rPr>
        <w:t>.  Pour les mêmes raisons qui l</w:t>
      </w:r>
      <w:r w:rsidRPr="00F651D2" w:rsidR="00F651D2">
        <w:rPr>
          <w:lang w:val="fr-FR"/>
        </w:rPr>
        <w:t>’</w:t>
      </w:r>
      <w:r w:rsidRPr="00F651D2">
        <w:rPr>
          <w:lang w:val="fr-FR"/>
        </w:rPr>
        <w:t>ont amené à considérer que le recours exercé par le requérant n</w:t>
      </w:r>
      <w:r w:rsidRPr="00F651D2" w:rsidR="00F651D2">
        <w:rPr>
          <w:lang w:val="fr-FR"/>
        </w:rPr>
        <w:t>’</w:t>
      </w:r>
      <w:r w:rsidRPr="00F651D2">
        <w:rPr>
          <w:lang w:val="fr-FR"/>
        </w:rPr>
        <w:t xml:space="preserve">avait pas offert à celui-ci un redressement suffisant (paragraphes </w:t>
      </w:r>
      <w:r w:rsidRPr="00F651D2">
        <w:rPr>
          <w:lang w:val="fr-FR"/>
        </w:rPr>
        <w:fldChar w:fldCharType="begin"/>
      </w:r>
      <w:r w:rsidRPr="00F651D2">
        <w:rPr>
          <w:lang w:val="fr-FR"/>
        </w:rPr>
        <w:instrText xml:space="preserve"> REF redressement_insufissant1 \h </w:instrText>
      </w:r>
      <w:r w:rsidRPr="00F651D2">
        <w:rPr>
          <w:lang w:val="fr-FR"/>
        </w:rPr>
      </w:r>
      <w:r w:rsidRPr="00F651D2">
        <w:rPr>
          <w:lang w:val="fr-FR"/>
        </w:rPr>
        <w:fldChar w:fldCharType="separate"/>
      </w:r>
      <w:r w:rsidRPr="00F651D2" w:rsidR="00F651D2">
        <w:rPr>
          <w:noProof/>
          <w:lang w:val="fr-FR"/>
        </w:rPr>
        <w:t>34</w:t>
      </w:r>
      <w:r w:rsidRPr="00F651D2">
        <w:rPr>
          <w:lang w:val="fr-FR"/>
        </w:rPr>
        <w:fldChar w:fldCharType="end"/>
      </w:r>
      <w:r w:rsidRPr="00F651D2">
        <w:rPr>
          <w:lang w:val="fr-FR"/>
        </w:rPr>
        <w:t>-</w:t>
      </w:r>
      <w:r w:rsidRPr="00F651D2">
        <w:rPr>
          <w:lang w:val="fr-FR"/>
        </w:rPr>
        <w:fldChar w:fldCharType="begin"/>
      </w:r>
      <w:r w:rsidRPr="00F651D2">
        <w:rPr>
          <w:lang w:val="fr-FR"/>
        </w:rPr>
        <w:instrText xml:space="preserve"> REF redressement_insufissant3 \h </w:instrText>
      </w:r>
      <w:r w:rsidRPr="00F651D2">
        <w:rPr>
          <w:lang w:val="fr-FR"/>
        </w:rPr>
      </w:r>
      <w:r w:rsidRPr="00F651D2">
        <w:rPr>
          <w:lang w:val="fr-FR"/>
        </w:rPr>
        <w:fldChar w:fldCharType="separate"/>
      </w:r>
      <w:r w:rsidRPr="00F651D2" w:rsidR="00F651D2">
        <w:rPr>
          <w:noProof/>
          <w:lang w:val="fr-FR"/>
        </w:rPr>
        <w:t>36</w:t>
      </w:r>
      <w:r w:rsidRPr="00F651D2">
        <w:rPr>
          <w:lang w:val="fr-FR"/>
        </w:rPr>
        <w:fldChar w:fldCharType="end"/>
      </w:r>
      <w:r w:rsidRPr="00F651D2">
        <w:rPr>
          <w:lang w:val="fr-FR"/>
        </w:rPr>
        <w:t xml:space="preserve"> ci-dessus), la Cour estime qu</w:t>
      </w:r>
      <w:r w:rsidRPr="00F651D2" w:rsidR="00F651D2">
        <w:rPr>
          <w:lang w:val="fr-FR"/>
        </w:rPr>
        <w:t>’</w:t>
      </w:r>
      <w:r w:rsidRPr="00F651D2">
        <w:rPr>
          <w:lang w:val="fr-FR"/>
        </w:rPr>
        <w:t>il y a eu également violation de l</w:t>
      </w:r>
      <w:r w:rsidRPr="00F651D2" w:rsidR="00F651D2">
        <w:rPr>
          <w:lang w:val="fr-FR"/>
        </w:rPr>
        <w:t>’</w:t>
      </w:r>
      <w:r w:rsidRPr="00F651D2">
        <w:rPr>
          <w:lang w:val="fr-FR"/>
        </w:rPr>
        <w:t>article 13 de la Convention combiné avec l</w:t>
      </w:r>
      <w:r w:rsidRPr="00F651D2" w:rsidR="00F651D2">
        <w:rPr>
          <w:lang w:val="fr-FR"/>
        </w:rPr>
        <w:t>’</w:t>
      </w:r>
      <w:r w:rsidRPr="00F651D2">
        <w:rPr>
          <w:lang w:val="fr-FR"/>
        </w:rPr>
        <w:t>article 6 § 1 de la Convention et avec l</w:t>
      </w:r>
      <w:r w:rsidRPr="00F651D2" w:rsidR="00F651D2">
        <w:rPr>
          <w:lang w:val="fr-FR"/>
        </w:rPr>
        <w:t>’</w:t>
      </w:r>
      <w:r w:rsidRPr="00F651D2">
        <w:rPr>
          <w:lang w:val="fr-FR"/>
        </w:rPr>
        <w:t>article 1 du Protocole n</w:t>
      </w:r>
      <w:r w:rsidRPr="00F651D2">
        <w:rPr>
          <w:vertAlign w:val="superscript"/>
          <w:lang w:val="fr-FR"/>
        </w:rPr>
        <w:t>o</w:t>
      </w:r>
      <w:r w:rsidRPr="00F651D2">
        <w:rPr>
          <w:lang w:val="fr-FR"/>
        </w:rPr>
        <w:t xml:space="preserve"> 1.</w:t>
      </w:r>
    </w:p>
    <w:p w:rsidRPr="00F651D2" w:rsidR="00E14498" w:rsidP="00F651D2" w:rsidRDefault="00E14498">
      <w:pPr>
        <w:pStyle w:val="ECHRHeading1"/>
        <w:rPr>
          <w:lang w:val="fr-FR"/>
        </w:rPr>
      </w:pPr>
      <w:r w:rsidRPr="00F651D2">
        <w:rPr>
          <w:lang w:val="fr-FR"/>
        </w:rPr>
        <w:t>III.  SUR L</w:t>
      </w:r>
      <w:r w:rsidRPr="00F651D2" w:rsidR="00F651D2">
        <w:rPr>
          <w:lang w:val="fr-FR"/>
        </w:rPr>
        <w:t>’</w:t>
      </w:r>
      <w:r w:rsidRPr="00F651D2">
        <w:rPr>
          <w:lang w:val="fr-FR"/>
        </w:rPr>
        <w:t>APPLICATION DE L</w:t>
      </w:r>
      <w:r w:rsidRPr="00F651D2" w:rsidR="00F651D2">
        <w:rPr>
          <w:lang w:val="fr-FR"/>
        </w:rPr>
        <w:t>’</w:t>
      </w:r>
      <w:r w:rsidRPr="00F651D2">
        <w:rPr>
          <w:lang w:val="fr-FR"/>
        </w:rPr>
        <w:t>ARTICLE 41 DE LA CONVENTION</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50</w:t>
      </w:r>
      <w:r w:rsidRPr="00F651D2">
        <w:rPr>
          <w:lang w:val="fr-FR"/>
        </w:rPr>
        <w:fldChar w:fldCharType="end"/>
      </w:r>
      <w:r w:rsidRPr="00F651D2">
        <w:rPr>
          <w:lang w:val="fr-FR"/>
        </w:rPr>
        <w:t>.  Aux termes de l</w:t>
      </w:r>
      <w:r w:rsidRPr="00F651D2" w:rsidR="00F651D2">
        <w:rPr>
          <w:lang w:val="fr-FR"/>
        </w:rPr>
        <w:t>’</w:t>
      </w:r>
      <w:r w:rsidRPr="00F651D2">
        <w:rPr>
          <w:lang w:val="fr-FR"/>
        </w:rPr>
        <w:t>article 41 de la Convention,</w:t>
      </w:r>
    </w:p>
    <w:p w:rsidRPr="00F651D2" w:rsidR="00E14498" w:rsidP="00F651D2" w:rsidRDefault="00E14498">
      <w:pPr>
        <w:pStyle w:val="ECHRParaQuote"/>
        <w:keepNext/>
        <w:keepLines/>
        <w:rPr>
          <w:lang w:val="fr-FR"/>
        </w:rPr>
      </w:pPr>
      <w:r w:rsidRPr="00F651D2">
        <w:rPr>
          <w:lang w:val="fr-FR"/>
        </w:rPr>
        <w:t>« Si la Cour déclare qu</w:t>
      </w:r>
      <w:r w:rsidRPr="00F651D2" w:rsidR="00F651D2">
        <w:rPr>
          <w:lang w:val="fr-FR"/>
        </w:rPr>
        <w:t>’</w:t>
      </w:r>
      <w:r w:rsidRPr="00F651D2">
        <w:rPr>
          <w:lang w:val="fr-FR"/>
        </w:rPr>
        <w:t>il y a eu violation de la Convention ou de ses Protocoles, et si le droit interne de la Haute Partie contractante ne permet d</w:t>
      </w:r>
      <w:r w:rsidRPr="00F651D2" w:rsidR="00F651D2">
        <w:rPr>
          <w:lang w:val="fr-FR"/>
        </w:rPr>
        <w:t>’</w:t>
      </w:r>
      <w:r w:rsidRPr="00F651D2">
        <w:rPr>
          <w:lang w:val="fr-FR"/>
        </w:rPr>
        <w:t>effacer qu</w:t>
      </w:r>
      <w:r w:rsidRPr="00F651D2" w:rsidR="00F651D2">
        <w:rPr>
          <w:lang w:val="fr-FR"/>
        </w:rPr>
        <w:t>’</w:t>
      </w:r>
      <w:r w:rsidRPr="00F651D2">
        <w:rPr>
          <w:lang w:val="fr-FR"/>
        </w:rPr>
        <w:t>imparfaitement les conséquences de cette violation, la Cour accorde à la partie lésée, s</w:t>
      </w:r>
      <w:r w:rsidRPr="00F651D2" w:rsidR="00F651D2">
        <w:rPr>
          <w:lang w:val="fr-FR"/>
        </w:rPr>
        <w:t>’</w:t>
      </w:r>
      <w:r w:rsidRPr="00F651D2">
        <w:rPr>
          <w:lang w:val="fr-FR"/>
        </w:rPr>
        <w:t>il y a lieu, une satisfaction équitable. »</w:t>
      </w:r>
    </w:p>
    <w:p w:rsidRPr="00F651D2" w:rsidR="00E14498" w:rsidP="00F651D2" w:rsidRDefault="00E14498">
      <w:pPr>
        <w:pStyle w:val="ECHRHeading2"/>
        <w:rPr>
          <w:lang w:val="fr-FR"/>
        </w:rPr>
      </w:pPr>
      <w:r w:rsidRPr="00F651D2">
        <w:rPr>
          <w:lang w:val="fr-FR"/>
        </w:rPr>
        <w:t>A.  Dommage matériel</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51</w:t>
      </w:r>
      <w:r w:rsidRPr="00F651D2">
        <w:rPr>
          <w:lang w:val="fr-FR"/>
        </w:rPr>
        <w:fldChar w:fldCharType="end"/>
      </w:r>
      <w:r w:rsidRPr="00F651D2">
        <w:rPr>
          <w:lang w:val="fr-FR"/>
        </w:rPr>
        <w:t>.  Le requérant réclame 7 200 euros (EUR) pour préjudice matériel. Cette somme correspond à ses dires au montant des loyers qu</w:t>
      </w:r>
      <w:r w:rsidRPr="00F651D2" w:rsidR="00F651D2">
        <w:rPr>
          <w:lang w:val="fr-FR"/>
        </w:rPr>
        <w:t>’</w:t>
      </w:r>
      <w:r w:rsidRPr="00F651D2">
        <w:rPr>
          <w:lang w:val="fr-FR"/>
        </w:rPr>
        <w:t>il aurait payé</w:t>
      </w:r>
      <w:r w:rsidRPr="00F651D2" w:rsidR="00283EAF">
        <w:rPr>
          <w:lang w:val="fr-FR"/>
        </w:rPr>
        <w:t>s</w:t>
      </w:r>
      <w:r w:rsidRPr="00F651D2">
        <w:rPr>
          <w:lang w:val="fr-FR"/>
        </w:rPr>
        <w:t xml:space="preserve"> pour la location d</w:t>
      </w:r>
      <w:r w:rsidRPr="00F651D2" w:rsidR="00F651D2">
        <w:rPr>
          <w:lang w:val="fr-FR"/>
        </w:rPr>
        <w:t>’</w:t>
      </w:r>
      <w:r w:rsidRPr="00F651D2">
        <w:rPr>
          <w:lang w:val="fr-FR"/>
        </w:rPr>
        <w:t>un logement alternatif durant la période juin 2013 – mai 2017. Il fournit copie du contrat de location du 1</w:t>
      </w:r>
      <w:r w:rsidRPr="00F651D2">
        <w:rPr>
          <w:vertAlign w:val="superscript"/>
          <w:lang w:val="fr-FR"/>
        </w:rPr>
        <w:t>er</w:t>
      </w:r>
      <w:r w:rsidRPr="00F651D2">
        <w:rPr>
          <w:lang w:val="fr-FR"/>
        </w:rPr>
        <w:t xml:space="preserve"> juin 2011, fixant le montant du loyer à 3 000 lei moldaves (MDL) (136 EUR selon le taux de change au moment où la prétention a été formulée devant la Cour). Il présente également une copie du contrat additionnel du 1</w:t>
      </w:r>
      <w:r w:rsidRPr="00F651D2">
        <w:rPr>
          <w:vertAlign w:val="superscript"/>
          <w:lang w:val="fr-FR"/>
        </w:rPr>
        <w:t>er</w:t>
      </w:r>
      <w:r w:rsidRPr="00F651D2">
        <w:rPr>
          <w:lang w:val="fr-FR"/>
        </w:rPr>
        <w:t xml:space="preserve"> juin 2014, ayant prolongé la durée du contrat initial jusqu</w:t>
      </w:r>
      <w:r w:rsidRPr="00F651D2" w:rsidR="00F651D2">
        <w:rPr>
          <w:lang w:val="fr-FR"/>
        </w:rPr>
        <w:t>’</w:t>
      </w:r>
      <w:r w:rsidRPr="00F651D2">
        <w:rPr>
          <w:lang w:val="fr-FR"/>
        </w:rPr>
        <w:t>au 1</w:t>
      </w:r>
      <w:r w:rsidRPr="00F651D2">
        <w:rPr>
          <w:vertAlign w:val="superscript"/>
          <w:lang w:val="fr-FR"/>
        </w:rPr>
        <w:t>er</w:t>
      </w:r>
      <w:r w:rsidRPr="00F651D2">
        <w:rPr>
          <w:lang w:val="fr-FR"/>
        </w:rPr>
        <w:t xml:space="preserve"> juin 2017.</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52</w:t>
      </w:r>
      <w:r w:rsidRPr="00F651D2">
        <w:rPr>
          <w:lang w:val="fr-FR"/>
        </w:rPr>
        <w:fldChar w:fldCharType="end"/>
      </w:r>
      <w:r w:rsidRPr="00F651D2">
        <w:rPr>
          <w:lang w:val="fr-FR"/>
        </w:rPr>
        <w:t>.  Le Gouvernement conteste ces sommes.</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53</w:t>
      </w:r>
      <w:r w:rsidRPr="00F651D2">
        <w:rPr>
          <w:lang w:val="fr-FR"/>
        </w:rPr>
        <w:fldChar w:fldCharType="end"/>
      </w:r>
      <w:r w:rsidRPr="00F651D2">
        <w:rPr>
          <w:lang w:val="fr-FR"/>
        </w:rPr>
        <w:t>.  La Cour rappelle avoir estimé que les conclusions de la Cour suprême de justice relatives à l</w:t>
      </w:r>
      <w:r w:rsidRPr="00F651D2" w:rsidR="00F651D2">
        <w:rPr>
          <w:lang w:val="fr-FR"/>
        </w:rPr>
        <w:t>’</w:t>
      </w:r>
      <w:r w:rsidRPr="00F651D2">
        <w:rPr>
          <w:lang w:val="fr-FR"/>
        </w:rPr>
        <w:t>ampleur du dommage matériel n</w:t>
      </w:r>
      <w:r w:rsidRPr="00F651D2" w:rsidR="00F651D2">
        <w:rPr>
          <w:lang w:val="fr-FR"/>
        </w:rPr>
        <w:t>’</w:t>
      </w:r>
      <w:r w:rsidRPr="00F651D2">
        <w:rPr>
          <w:lang w:val="fr-FR"/>
        </w:rPr>
        <w:t xml:space="preserve">étaient pas déraisonnables (paragraphe </w:t>
      </w:r>
      <w:r w:rsidRPr="00F651D2">
        <w:rPr>
          <w:lang w:val="fr-FR"/>
        </w:rPr>
        <w:fldChar w:fldCharType="begin"/>
      </w:r>
      <w:r w:rsidRPr="00F651D2">
        <w:rPr>
          <w:lang w:val="fr-FR"/>
        </w:rPr>
        <w:instrText xml:space="preserve"> REF appréciation_dommage_matériel \h </w:instrText>
      </w:r>
      <w:r w:rsidRPr="00F651D2">
        <w:rPr>
          <w:lang w:val="fr-FR"/>
        </w:rPr>
      </w:r>
      <w:r w:rsidRPr="00F651D2">
        <w:rPr>
          <w:lang w:val="fr-FR"/>
        </w:rPr>
        <w:fldChar w:fldCharType="separate"/>
      </w:r>
      <w:r w:rsidRPr="00F651D2" w:rsidR="00F651D2">
        <w:rPr>
          <w:noProof/>
          <w:lang w:val="fr-FR"/>
        </w:rPr>
        <w:t>33</w:t>
      </w:r>
      <w:r w:rsidRPr="00F651D2">
        <w:rPr>
          <w:lang w:val="fr-FR"/>
        </w:rPr>
        <w:fldChar w:fldCharType="end"/>
      </w:r>
      <w:r w:rsidRPr="00F651D2">
        <w:rPr>
          <w:lang w:val="fr-FR"/>
        </w:rPr>
        <w:t xml:space="preserve"> ci-dessus). Dès lors, elle rejette la demande à ce titre pour ce qui est de la période prise en compte par la Cour suprême de justice, à savoir jusqu</w:t>
      </w:r>
      <w:r w:rsidRPr="00F651D2" w:rsidR="00F651D2">
        <w:rPr>
          <w:lang w:val="fr-FR"/>
        </w:rPr>
        <w:t>’</w:t>
      </w:r>
      <w:r w:rsidRPr="00F651D2">
        <w:rPr>
          <w:lang w:val="fr-FR"/>
        </w:rPr>
        <w:t>au 4 mars 2015.</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54</w:t>
      </w:r>
      <w:r w:rsidRPr="00F651D2">
        <w:rPr>
          <w:lang w:val="fr-FR"/>
        </w:rPr>
        <w:fldChar w:fldCharType="end"/>
      </w:r>
      <w:r w:rsidRPr="00F651D2">
        <w:rPr>
          <w:lang w:val="fr-FR"/>
        </w:rPr>
        <w:t>.  En revanche, elle juge qu</w:t>
      </w:r>
      <w:r w:rsidRPr="00F651D2" w:rsidR="00F651D2">
        <w:rPr>
          <w:lang w:val="fr-FR"/>
        </w:rPr>
        <w:t>’</w:t>
      </w:r>
      <w:r w:rsidRPr="00F651D2">
        <w:rPr>
          <w:lang w:val="fr-FR"/>
        </w:rPr>
        <w:t>il y a lieu d</w:t>
      </w:r>
      <w:r w:rsidRPr="00F651D2" w:rsidR="00F651D2">
        <w:rPr>
          <w:lang w:val="fr-FR"/>
        </w:rPr>
        <w:t>’</w:t>
      </w:r>
      <w:r w:rsidRPr="00F651D2">
        <w:rPr>
          <w:lang w:val="fr-FR"/>
        </w:rPr>
        <w:t>accueillir les prétentions du requérant qui se rapportent à la période postérieure à cette date. Elle lui alloue donc 3 400 EUR au titre du dommage matériel subi.</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55</w:t>
      </w:r>
      <w:r w:rsidRPr="00F651D2">
        <w:rPr>
          <w:lang w:val="fr-FR"/>
        </w:rPr>
        <w:fldChar w:fldCharType="end"/>
      </w:r>
      <w:r w:rsidRPr="00F651D2">
        <w:rPr>
          <w:lang w:val="fr-FR"/>
        </w:rPr>
        <w:t>.  Enfin, la Cour rappelle sa position constante selon laquelle l</w:t>
      </w:r>
      <w:r w:rsidRPr="00F651D2" w:rsidR="00F651D2">
        <w:rPr>
          <w:lang w:val="fr-FR"/>
        </w:rPr>
        <w:t>’</w:t>
      </w:r>
      <w:r w:rsidRPr="00F651D2">
        <w:rPr>
          <w:lang w:val="fr-FR"/>
        </w:rPr>
        <w:t>exécution de la décision interne demeure la forme la plus appropriée de redressement pour ce qui est des violations de la Convention similaires à celles constatées dans la présente affaire (</w:t>
      </w:r>
      <w:proofErr w:type="spellStart"/>
      <w:r w:rsidRPr="00F651D2">
        <w:rPr>
          <w:i/>
          <w:lang w:val="fr-FR"/>
        </w:rPr>
        <w:t>Gerasimov</w:t>
      </w:r>
      <w:proofErr w:type="spellEnd"/>
      <w:r w:rsidRPr="00F651D2">
        <w:rPr>
          <w:i/>
          <w:lang w:val="fr-FR"/>
        </w:rPr>
        <w:t xml:space="preserve"> et autres</w:t>
      </w:r>
      <w:r w:rsidRPr="00F651D2">
        <w:rPr>
          <w:lang w:val="fr-FR"/>
        </w:rPr>
        <w:t>, précité, § 198). Par conséquent, elle juge que l</w:t>
      </w:r>
      <w:r w:rsidRPr="00F651D2" w:rsidR="00F651D2">
        <w:rPr>
          <w:lang w:val="fr-FR"/>
        </w:rPr>
        <w:t>’</w:t>
      </w:r>
      <w:r w:rsidRPr="00F651D2">
        <w:rPr>
          <w:lang w:val="fr-FR"/>
        </w:rPr>
        <w:t>État défendeur doit sans tarder assurer l</w:t>
      </w:r>
      <w:r w:rsidRPr="00F651D2" w:rsidR="00F651D2">
        <w:rPr>
          <w:lang w:val="fr-FR"/>
        </w:rPr>
        <w:t>’</w:t>
      </w:r>
      <w:r w:rsidRPr="00F651D2">
        <w:rPr>
          <w:lang w:val="fr-FR"/>
        </w:rPr>
        <w:t>exécution, par des moyens appropriés, de la décision initiale rendue en faveur du requérant.</w:t>
      </w:r>
    </w:p>
    <w:p w:rsidRPr="00F651D2" w:rsidR="00E14498" w:rsidP="00F651D2" w:rsidRDefault="00E14498">
      <w:pPr>
        <w:pStyle w:val="ECHRHeading2"/>
        <w:rPr>
          <w:lang w:val="fr-FR"/>
        </w:rPr>
      </w:pPr>
      <w:r w:rsidRPr="00F651D2">
        <w:rPr>
          <w:lang w:val="fr-FR"/>
        </w:rPr>
        <w:t>B.  Dommage moral</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56</w:t>
      </w:r>
      <w:r w:rsidRPr="00F651D2">
        <w:rPr>
          <w:lang w:val="fr-FR"/>
        </w:rPr>
        <w:fldChar w:fldCharType="end"/>
      </w:r>
      <w:r w:rsidRPr="00F651D2">
        <w:rPr>
          <w:lang w:val="fr-FR"/>
        </w:rPr>
        <w:t>.  Le requérant demande également 2 500 EUR pour préjudice moral.</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57</w:t>
      </w:r>
      <w:r w:rsidRPr="00F651D2">
        <w:rPr>
          <w:lang w:val="fr-FR"/>
        </w:rPr>
        <w:fldChar w:fldCharType="end"/>
      </w:r>
      <w:r w:rsidRPr="00F651D2">
        <w:rPr>
          <w:lang w:val="fr-FR"/>
        </w:rPr>
        <w:t>.  Le Gouvernement estime cette somme excessive.</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58</w:t>
      </w:r>
      <w:r w:rsidRPr="00F651D2">
        <w:rPr>
          <w:lang w:val="fr-FR"/>
        </w:rPr>
        <w:fldChar w:fldCharType="end"/>
      </w:r>
      <w:r w:rsidRPr="00F651D2">
        <w:rPr>
          <w:lang w:val="fr-FR"/>
        </w:rPr>
        <w:t>.  La Cour rappelle qu</w:t>
      </w:r>
      <w:r w:rsidRPr="00F651D2" w:rsidR="00F651D2">
        <w:rPr>
          <w:lang w:val="fr-FR"/>
        </w:rPr>
        <w:t>’</w:t>
      </w:r>
      <w:r w:rsidRPr="00F651D2">
        <w:rPr>
          <w:lang w:val="fr-FR"/>
        </w:rPr>
        <w:t>elle a déjà fixé les critères applicables pour déterminer les sommes allouées pour dommage moral lorsqu</w:t>
      </w:r>
      <w:r w:rsidRPr="00F651D2" w:rsidR="00F651D2">
        <w:rPr>
          <w:lang w:val="fr-FR"/>
        </w:rPr>
        <w:t>’</w:t>
      </w:r>
      <w:r w:rsidRPr="00F651D2">
        <w:rPr>
          <w:lang w:val="fr-FR"/>
        </w:rPr>
        <w:t>un recours indemnitaire en matière de durée excessive de procédures judiciaires s</w:t>
      </w:r>
      <w:r w:rsidRPr="00F651D2" w:rsidR="00F651D2">
        <w:rPr>
          <w:lang w:val="fr-FR"/>
        </w:rPr>
        <w:t>’</w:t>
      </w:r>
      <w:r w:rsidRPr="00F651D2">
        <w:rPr>
          <w:lang w:val="fr-FR"/>
        </w:rPr>
        <w:t xml:space="preserve">était révélé insuffisant (voir, par exemple, </w:t>
      </w:r>
      <w:proofErr w:type="spellStart"/>
      <w:r w:rsidRPr="00F651D2">
        <w:rPr>
          <w:i/>
          <w:lang w:val="fr-FR"/>
        </w:rPr>
        <w:t>Scordino</w:t>
      </w:r>
      <w:proofErr w:type="spellEnd"/>
      <w:r w:rsidRPr="00F651D2">
        <w:rPr>
          <w:lang w:val="fr-FR"/>
        </w:rPr>
        <w:t xml:space="preserve">, précité, §§ 268-271, et </w:t>
      </w:r>
      <w:proofErr w:type="spellStart"/>
      <w:r w:rsidRPr="00F651D2">
        <w:rPr>
          <w:i/>
          <w:lang w:val="fr-FR"/>
        </w:rPr>
        <w:t>Cocchiarella</w:t>
      </w:r>
      <w:proofErr w:type="spellEnd"/>
      <w:r w:rsidRPr="00F651D2">
        <w:rPr>
          <w:lang w:val="fr-FR"/>
        </w:rPr>
        <w:t>, précité, §§ 139-142). Elle juge que ces critères doivent être également appliqués dans les affaires d</w:t>
      </w:r>
      <w:r w:rsidRPr="00F651D2" w:rsidR="00F651D2">
        <w:rPr>
          <w:lang w:val="fr-FR"/>
        </w:rPr>
        <w:t>’</w:t>
      </w:r>
      <w:r w:rsidRPr="00F651D2">
        <w:rPr>
          <w:lang w:val="fr-FR"/>
        </w:rPr>
        <w:t xml:space="preserve">inexécution (comparer avec </w:t>
      </w:r>
      <w:proofErr w:type="spellStart"/>
      <w:r w:rsidRPr="00F651D2">
        <w:rPr>
          <w:i/>
          <w:lang w:val="fr-FR"/>
        </w:rPr>
        <w:t>Botezatu</w:t>
      </w:r>
      <w:proofErr w:type="spellEnd"/>
      <w:r w:rsidRPr="00F651D2">
        <w:rPr>
          <w:lang w:val="fr-FR"/>
        </w:rPr>
        <w:t>, précité, §§ 38-41). Les passages pertinents en l</w:t>
      </w:r>
      <w:r w:rsidRPr="00F651D2" w:rsidR="00F651D2">
        <w:rPr>
          <w:lang w:val="fr-FR"/>
        </w:rPr>
        <w:t>’</w:t>
      </w:r>
      <w:r w:rsidRPr="00F651D2">
        <w:rPr>
          <w:lang w:val="fr-FR"/>
        </w:rPr>
        <w:t>espèce de l</w:t>
      </w:r>
      <w:r w:rsidRPr="00F651D2" w:rsidR="00F651D2">
        <w:rPr>
          <w:lang w:val="fr-FR"/>
        </w:rPr>
        <w:t>’</w:t>
      </w:r>
      <w:r w:rsidRPr="00F651D2">
        <w:rPr>
          <w:lang w:val="fr-FR"/>
        </w:rPr>
        <w:t xml:space="preserve">arrêt </w:t>
      </w:r>
      <w:proofErr w:type="spellStart"/>
      <w:r w:rsidRPr="00F651D2">
        <w:rPr>
          <w:i/>
          <w:lang w:val="fr-FR"/>
        </w:rPr>
        <w:t>Scordino</w:t>
      </w:r>
      <w:proofErr w:type="spellEnd"/>
      <w:r w:rsidRPr="00F651D2">
        <w:rPr>
          <w:lang w:val="fr-FR"/>
        </w:rPr>
        <w:t xml:space="preserve"> sont ainsi libellés :</w:t>
      </w:r>
    </w:p>
    <w:p w:rsidRPr="00F651D2" w:rsidR="00E14498" w:rsidP="00F651D2" w:rsidRDefault="00E14498">
      <w:pPr>
        <w:pStyle w:val="ECHRParaQuote"/>
        <w:rPr>
          <w:lang w:val="fr-FR"/>
        </w:rPr>
      </w:pPr>
      <w:r w:rsidRPr="00F651D2">
        <w:rPr>
          <w:lang w:val="fr-FR"/>
        </w:rPr>
        <w:t>“268.  [La Cour] indique (...) que le montant qu</w:t>
      </w:r>
      <w:r w:rsidRPr="00F651D2" w:rsidR="00F651D2">
        <w:rPr>
          <w:lang w:val="fr-FR"/>
        </w:rPr>
        <w:t>’</w:t>
      </w:r>
      <w:r w:rsidRPr="00F651D2">
        <w:rPr>
          <w:lang w:val="fr-FR"/>
        </w:rPr>
        <w:t>elle accordera au titre du dommage moral pourra être inférieur à celui qu</w:t>
      </w:r>
      <w:r w:rsidRPr="00F651D2" w:rsidR="00F651D2">
        <w:rPr>
          <w:lang w:val="fr-FR"/>
        </w:rPr>
        <w:t>’</w:t>
      </w:r>
      <w:r w:rsidRPr="00F651D2">
        <w:rPr>
          <w:lang w:val="fr-FR"/>
        </w:rPr>
        <w:t>on peut dégager de sa jurisprudence, lorsque la partie requérante a déjà obtenu au niveau national un constat de violation et une indemnité dans le cadre d</w:t>
      </w:r>
      <w:r w:rsidRPr="00F651D2" w:rsidR="00F651D2">
        <w:rPr>
          <w:lang w:val="fr-FR"/>
        </w:rPr>
        <w:t>’</w:t>
      </w:r>
      <w:r w:rsidRPr="00F651D2">
        <w:rPr>
          <w:lang w:val="fr-FR"/>
        </w:rPr>
        <w:t>une voie de recours interne. Outre que l</w:t>
      </w:r>
      <w:r w:rsidRPr="00F651D2" w:rsidR="00F651D2">
        <w:rPr>
          <w:lang w:val="fr-FR"/>
        </w:rPr>
        <w:t>’</w:t>
      </w:r>
      <w:r w:rsidRPr="00F651D2">
        <w:rPr>
          <w:lang w:val="fr-FR"/>
        </w:rPr>
        <w:t>existence d</w:t>
      </w:r>
      <w:r w:rsidRPr="00F651D2" w:rsidR="00F651D2">
        <w:rPr>
          <w:lang w:val="fr-FR"/>
        </w:rPr>
        <w:t>’</w:t>
      </w:r>
      <w:r w:rsidRPr="00F651D2">
        <w:rPr>
          <w:lang w:val="fr-FR"/>
        </w:rPr>
        <w:t>une voie de recours sur le plan interne s</w:t>
      </w:r>
      <w:r w:rsidRPr="00F651D2" w:rsidR="00F651D2">
        <w:rPr>
          <w:lang w:val="fr-FR"/>
        </w:rPr>
        <w:t>’</w:t>
      </w:r>
      <w:r w:rsidRPr="00F651D2">
        <w:rPr>
          <w:lang w:val="fr-FR"/>
        </w:rPr>
        <w:t>accorde pleinement avec le principe de subsidiarité propre à la Convention, cette voie est plus proche et accessible que le recours devant la Cour, est plus rapide et se déroule dans la langue de la partie requérante; elle présente donc des avantages qu</w:t>
      </w:r>
      <w:r w:rsidRPr="00F651D2" w:rsidR="00F651D2">
        <w:rPr>
          <w:lang w:val="fr-FR"/>
        </w:rPr>
        <w:t>’</w:t>
      </w:r>
      <w:r w:rsidRPr="00F651D2">
        <w:rPr>
          <w:lang w:val="fr-FR"/>
        </w:rPr>
        <w:t>il convient de prendre en considération.</w:t>
      </w:r>
    </w:p>
    <w:p w:rsidRPr="00F651D2" w:rsidR="00E14498" w:rsidP="00F651D2" w:rsidRDefault="00E14498">
      <w:pPr>
        <w:pStyle w:val="ECHRParaQuote"/>
        <w:rPr>
          <w:lang w:val="fr-FR"/>
        </w:rPr>
      </w:pPr>
      <w:r w:rsidRPr="00F651D2">
        <w:rPr>
          <w:lang w:val="fr-FR"/>
        </w:rPr>
        <w:t>269.  La Cour estime toutefois que lorsqu</w:t>
      </w:r>
      <w:r w:rsidRPr="00F651D2" w:rsidR="00F651D2">
        <w:rPr>
          <w:lang w:val="fr-FR"/>
        </w:rPr>
        <w:t>’</w:t>
      </w:r>
      <w:r w:rsidRPr="00F651D2">
        <w:rPr>
          <w:lang w:val="fr-FR"/>
        </w:rPr>
        <w:t>un requérant peut encore se prétendre « victime » après avoir épuisé cette voie de recours interne, il doit se voir accorder la différence entre la somme qu</w:t>
      </w:r>
      <w:r w:rsidRPr="00F651D2" w:rsidR="00F651D2">
        <w:rPr>
          <w:lang w:val="fr-FR"/>
        </w:rPr>
        <w:t>’</w:t>
      </w:r>
      <w:r w:rsidRPr="00F651D2">
        <w:rPr>
          <w:lang w:val="fr-FR"/>
        </w:rPr>
        <w:t>il a obtenue par la cour d</w:t>
      </w:r>
      <w:r w:rsidRPr="00F651D2" w:rsidR="00F651D2">
        <w:rPr>
          <w:lang w:val="fr-FR"/>
        </w:rPr>
        <w:t>’</w:t>
      </w:r>
      <w:r w:rsidRPr="00F651D2">
        <w:rPr>
          <w:lang w:val="fr-FR"/>
        </w:rPr>
        <w:t>appel et une somme qui n</w:t>
      </w:r>
      <w:r w:rsidRPr="00F651D2" w:rsidR="00F651D2">
        <w:rPr>
          <w:lang w:val="fr-FR"/>
        </w:rPr>
        <w:t>’</w:t>
      </w:r>
      <w:r w:rsidRPr="00F651D2">
        <w:rPr>
          <w:lang w:val="fr-FR"/>
        </w:rPr>
        <w:t>aurait pas été considérée comme manifestement déraisonnable par rapport à celle octroyée par la Cour si elle avait été allouée par la cour d</w:t>
      </w:r>
      <w:r w:rsidRPr="00F651D2" w:rsidR="00F651D2">
        <w:rPr>
          <w:lang w:val="fr-FR"/>
        </w:rPr>
        <w:t>’</w:t>
      </w:r>
      <w:r w:rsidRPr="00F651D2">
        <w:rPr>
          <w:lang w:val="fr-FR"/>
        </w:rPr>
        <w:t>appel et versée rapidement.</w:t>
      </w:r>
    </w:p>
    <w:p w:rsidRPr="00F651D2" w:rsidR="00E14498" w:rsidP="00F651D2" w:rsidRDefault="00E14498">
      <w:pPr>
        <w:pStyle w:val="ECHRParaQuote"/>
        <w:rPr>
          <w:lang w:val="fr-FR"/>
        </w:rPr>
      </w:pPr>
      <w:r w:rsidRPr="00F651D2">
        <w:rPr>
          <w:lang w:val="fr-FR"/>
        </w:rPr>
        <w:t>270.  Il convient également d</w:t>
      </w:r>
      <w:r w:rsidRPr="00F651D2" w:rsidR="00F651D2">
        <w:rPr>
          <w:lang w:val="fr-FR"/>
        </w:rPr>
        <w:t>’</w:t>
      </w:r>
      <w:r w:rsidRPr="00F651D2">
        <w:rPr>
          <w:lang w:val="fr-FR"/>
        </w:rPr>
        <w:t>attribuer à l</w:t>
      </w:r>
      <w:r w:rsidRPr="00F651D2" w:rsidR="00F651D2">
        <w:rPr>
          <w:lang w:val="fr-FR"/>
        </w:rPr>
        <w:t>’</w:t>
      </w:r>
      <w:r w:rsidRPr="00F651D2">
        <w:rPr>
          <w:lang w:val="fr-FR"/>
        </w:rPr>
        <w:t>intéressé une somme pour les phases de la procédure que la juridiction nationale n</w:t>
      </w:r>
      <w:r w:rsidRPr="00F651D2" w:rsidR="00F651D2">
        <w:rPr>
          <w:lang w:val="fr-FR"/>
        </w:rPr>
        <w:t>’</w:t>
      </w:r>
      <w:r w:rsidRPr="00F651D2">
        <w:rPr>
          <w:lang w:val="fr-FR"/>
        </w:rPr>
        <w:t>aurait – le cas échéant – pas prises en compte dans la période de référence, lorsque le requérant n</w:t>
      </w:r>
      <w:r w:rsidRPr="00F651D2" w:rsidR="00F651D2">
        <w:rPr>
          <w:lang w:val="fr-FR"/>
        </w:rPr>
        <w:t>’</w:t>
      </w:r>
      <w:r w:rsidRPr="00F651D2">
        <w:rPr>
          <w:lang w:val="fr-FR"/>
        </w:rPr>
        <w:t>a plus la possibilité de saisir une cour d</w:t>
      </w:r>
      <w:r w:rsidRPr="00F651D2" w:rsidR="00F651D2">
        <w:rPr>
          <w:lang w:val="fr-FR"/>
        </w:rPr>
        <w:t>’</w:t>
      </w:r>
      <w:r w:rsidRPr="00F651D2">
        <w:rPr>
          <w:lang w:val="fr-FR"/>
        </w:rPr>
        <w:t>appel (...) ou lorsque la durée restante n</w:t>
      </w:r>
      <w:r w:rsidRPr="00F651D2" w:rsidR="00F651D2">
        <w:rPr>
          <w:lang w:val="fr-FR"/>
        </w:rPr>
        <w:t>’</w:t>
      </w:r>
      <w:r w:rsidRPr="00F651D2">
        <w:rPr>
          <w:lang w:val="fr-FR"/>
        </w:rPr>
        <w:t>était en soi pas suffisamment longue pour pouvoir être considérée comme constitutive d</w:t>
      </w:r>
      <w:r w:rsidRPr="00F651D2" w:rsidR="00F651D2">
        <w:rPr>
          <w:lang w:val="fr-FR"/>
        </w:rPr>
        <w:t>’</w:t>
      </w:r>
      <w:r w:rsidRPr="00F651D2">
        <w:rPr>
          <w:lang w:val="fr-FR"/>
        </w:rPr>
        <w:t>une seconde violation dans le cadre de la même procédure.</w:t>
      </w:r>
    </w:p>
    <w:p w:rsidRPr="00F651D2" w:rsidR="00E14498" w:rsidP="00F651D2" w:rsidRDefault="00E14498">
      <w:pPr>
        <w:pStyle w:val="ECHRParaQuote"/>
        <w:rPr>
          <w:lang w:val="fr-FR"/>
        </w:rPr>
      </w:pPr>
      <w:r w:rsidRPr="00F651D2">
        <w:rPr>
          <w:lang w:val="fr-FR"/>
        </w:rPr>
        <w:t>271.  Enfin, il y a lieu de condamner le Gouvernement à verser une somme supplémentaire lorsque l</w:t>
      </w:r>
      <w:r w:rsidRPr="00F651D2" w:rsidR="00F651D2">
        <w:rPr>
          <w:lang w:val="fr-FR"/>
        </w:rPr>
        <w:t>’</w:t>
      </w:r>
      <w:r w:rsidRPr="00F651D2">
        <w:rPr>
          <w:lang w:val="fr-FR"/>
        </w:rPr>
        <w:t>intéressé a dû supporter l</w:t>
      </w:r>
      <w:r w:rsidRPr="00F651D2" w:rsidR="00F651D2">
        <w:rPr>
          <w:lang w:val="fr-FR"/>
        </w:rPr>
        <w:t>’</w:t>
      </w:r>
      <w:r w:rsidRPr="00F651D2">
        <w:rPr>
          <w:lang w:val="fr-FR"/>
        </w:rPr>
        <w:t>attente du versement de l</w:t>
      </w:r>
      <w:r w:rsidRPr="00F651D2" w:rsidR="00F651D2">
        <w:rPr>
          <w:lang w:val="fr-FR"/>
        </w:rPr>
        <w:t>’</w:t>
      </w:r>
      <w:r w:rsidRPr="00F651D2">
        <w:rPr>
          <w:lang w:val="fr-FR"/>
        </w:rPr>
        <w:t>indemnité due par l</w:t>
      </w:r>
      <w:r w:rsidRPr="00F651D2" w:rsidR="00F651D2">
        <w:rPr>
          <w:lang w:val="fr-FR"/>
        </w:rPr>
        <w:t>’</w:t>
      </w:r>
      <w:r w:rsidRPr="00F651D2">
        <w:rPr>
          <w:lang w:val="fr-FR"/>
        </w:rPr>
        <w:t>État, en vue de compenser la frustration qui découle du retard dans l</w:t>
      </w:r>
      <w:r w:rsidRPr="00F651D2" w:rsidR="00F651D2">
        <w:rPr>
          <w:lang w:val="fr-FR"/>
        </w:rPr>
        <w:t>’</w:t>
      </w:r>
      <w:r w:rsidRPr="00F651D2">
        <w:rPr>
          <w:lang w:val="fr-FR"/>
        </w:rPr>
        <w:t>obtention du paiement. »</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59</w:t>
      </w:r>
      <w:r w:rsidRPr="00F651D2">
        <w:rPr>
          <w:lang w:val="fr-FR"/>
        </w:rPr>
        <w:fldChar w:fldCharType="end"/>
      </w:r>
      <w:r w:rsidRPr="00F651D2">
        <w:rPr>
          <w:lang w:val="fr-FR"/>
        </w:rPr>
        <w:t>.  Dans le cas d</w:t>
      </w:r>
      <w:r w:rsidRPr="00F651D2" w:rsidR="00F651D2">
        <w:rPr>
          <w:lang w:val="fr-FR"/>
        </w:rPr>
        <w:t>’</w:t>
      </w:r>
      <w:r w:rsidRPr="00F651D2">
        <w:rPr>
          <w:lang w:val="fr-FR"/>
        </w:rPr>
        <w:t>espèce, la Cour note que le requérant s</w:t>
      </w:r>
      <w:r w:rsidRPr="00F651D2" w:rsidR="00F651D2">
        <w:rPr>
          <w:lang w:val="fr-FR"/>
        </w:rPr>
        <w:t>’</w:t>
      </w:r>
      <w:r w:rsidRPr="00F651D2">
        <w:rPr>
          <w:lang w:val="fr-FR"/>
        </w:rPr>
        <w:t xml:space="preserve">est vu octroyer 290 EUR par la Cour suprême de justice (paragraphes </w:t>
      </w:r>
      <w:r w:rsidRPr="00F651D2">
        <w:rPr>
          <w:lang w:val="fr-FR"/>
        </w:rPr>
        <w:fldChar w:fldCharType="begin"/>
      </w:r>
      <w:r w:rsidRPr="00F651D2">
        <w:rPr>
          <w:lang w:val="fr-FR"/>
        </w:rPr>
        <w:instrText xml:space="preserve"> REF redressement_insufissant_préj_moral \h </w:instrText>
      </w:r>
      <w:r w:rsidRPr="00F651D2">
        <w:rPr>
          <w:lang w:val="fr-FR"/>
        </w:rPr>
      </w:r>
      <w:r w:rsidRPr="00F651D2">
        <w:rPr>
          <w:lang w:val="fr-FR"/>
        </w:rPr>
        <w:fldChar w:fldCharType="separate"/>
      </w:r>
      <w:r w:rsidRPr="00F651D2" w:rsidR="00F651D2">
        <w:rPr>
          <w:noProof/>
          <w:lang w:val="fr-FR"/>
        </w:rPr>
        <w:t>34</w:t>
      </w:r>
      <w:r w:rsidRPr="00F651D2">
        <w:rPr>
          <w:lang w:val="fr-FR"/>
        </w:rPr>
        <w:fldChar w:fldCharType="end"/>
      </w:r>
      <w:r w:rsidRPr="00F651D2">
        <w:rPr>
          <w:lang w:val="fr-FR"/>
        </w:rPr>
        <w:t xml:space="preserve"> et </w:t>
      </w:r>
      <w:r w:rsidRPr="00F651D2">
        <w:rPr>
          <w:lang w:val="fr-FR"/>
        </w:rPr>
        <w:fldChar w:fldCharType="begin"/>
      </w:r>
      <w:r w:rsidRPr="00F651D2">
        <w:rPr>
          <w:lang w:val="fr-FR"/>
        </w:rPr>
        <w:instrText xml:space="preserve"> REF période_inexécution_début \h </w:instrText>
      </w:r>
      <w:r w:rsidRPr="00F651D2">
        <w:rPr>
          <w:lang w:val="fr-FR"/>
        </w:rPr>
      </w:r>
      <w:r w:rsidRPr="00F651D2">
        <w:rPr>
          <w:lang w:val="fr-FR"/>
        </w:rPr>
        <w:fldChar w:fldCharType="separate"/>
      </w:r>
      <w:r w:rsidRPr="00F651D2" w:rsidR="00F651D2">
        <w:rPr>
          <w:noProof/>
          <w:lang w:val="fr-FR"/>
        </w:rPr>
        <w:t>42</w:t>
      </w:r>
      <w:r w:rsidRPr="00F651D2">
        <w:rPr>
          <w:lang w:val="fr-FR"/>
        </w:rPr>
        <w:fldChar w:fldCharType="end"/>
      </w:r>
      <w:r w:rsidRPr="00F651D2">
        <w:rPr>
          <w:lang w:val="fr-FR"/>
        </w:rPr>
        <w:t>-</w:t>
      </w:r>
      <w:r w:rsidRPr="00F651D2">
        <w:rPr>
          <w:lang w:val="fr-FR"/>
        </w:rPr>
        <w:fldChar w:fldCharType="begin"/>
      </w:r>
      <w:r w:rsidRPr="00F651D2">
        <w:rPr>
          <w:lang w:val="fr-FR"/>
        </w:rPr>
        <w:instrText xml:space="preserve"> REF période_inexécution_fin \h </w:instrText>
      </w:r>
      <w:r w:rsidRPr="00F651D2">
        <w:rPr>
          <w:lang w:val="fr-FR"/>
        </w:rPr>
      </w:r>
      <w:r w:rsidRPr="00F651D2">
        <w:rPr>
          <w:lang w:val="fr-FR"/>
        </w:rPr>
        <w:fldChar w:fldCharType="separate"/>
      </w:r>
      <w:r w:rsidRPr="00F651D2" w:rsidR="00F651D2">
        <w:rPr>
          <w:noProof/>
          <w:lang w:val="fr-FR"/>
        </w:rPr>
        <w:t>45</w:t>
      </w:r>
      <w:r w:rsidRPr="00F651D2">
        <w:rPr>
          <w:lang w:val="fr-FR"/>
        </w:rPr>
        <w:fldChar w:fldCharType="end"/>
      </w:r>
      <w:r w:rsidRPr="00F651D2">
        <w:rPr>
          <w:lang w:val="fr-FR"/>
        </w:rPr>
        <w:t xml:space="preserve"> ci</w:t>
      </w:r>
      <w:r w:rsidRPr="00F651D2" w:rsidR="00100B4F">
        <w:rPr>
          <w:lang w:val="fr-FR"/>
        </w:rPr>
        <w:noBreakHyphen/>
      </w:r>
      <w:r w:rsidRPr="00F651D2">
        <w:rPr>
          <w:lang w:val="fr-FR"/>
        </w:rPr>
        <w:t>dessus). Pour la Cour, cette circonstance, en soi, aboutit à un résultat manifestement déraisonnable au regard des critères dégagés dans sa jurisprudence.</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60</w:t>
      </w:r>
      <w:r w:rsidRPr="00F651D2">
        <w:rPr>
          <w:lang w:val="fr-FR"/>
        </w:rPr>
        <w:fldChar w:fldCharType="end"/>
      </w:r>
      <w:r w:rsidRPr="00F651D2">
        <w:rPr>
          <w:lang w:val="fr-FR"/>
        </w:rPr>
        <w:t xml:space="preserve">.  Statuant en équité, la Cour </w:t>
      </w:r>
      <w:r w:rsidRPr="00F651D2">
        <w:rPr>
          <w:rFonts w:ascii="Times New Roman" w:hAnsi="Times New Roman" w:cs="Times New Roman"/>
          <w:color w:val="000000"/>
          <w:lang w:val="fr-FR"/>
        </w:rPr>
        <w:t>considère raisonnable la somme globale de 2 500 EUR demandée par le requérant pour dommage moral et la lui accorde.</w:t>
      </w:r>
    </w:p>
    <w:p w:rsidRPr="00F651D2" w:rsidR="00E14498" w:rsidP="00F651D2" w:rsidRDefault="00100B4F">
      <w:pPr>
        <w:pStyle w:val="ECHRHeading2"/>
        <w:rPr>
          <w:lang w:val="fr-FR"/>
        </w:rPr>
      </w:pPr>
      <w:r w:rsidRPr="00F651D2">
        <w:rPr>
          <w:lang w:val="fr-FR"/>
        </w:rPr>
        <w:t>C</w:t>
      </w:r>
      <w:r w:rsidRPr="00F651D2" w:rsidR="00E14498">
        <w:rPr>
          <w:lang w:val="fr-FR"/>
        </w:rPr>
        <w:t>.  Intérêts moratoires</w:t>
      </w:r>
    </w:p>
    <w:p w:rsidRPr="00F651D2" w:rsidR="00E14498" w:rsidP="00F651D2" w:rsidRDefault="00E14498">
      <w:pPr>
        <w:pStyle w:val="ECHRPara"/>
        <w:rPr>
          <w:lang w:val="fr-FR"/>
        </w:rPr>
      </w:pPr>
      <w:r w:rsidRPr="00F651D2">
        <w:rPr>
          <w:lang w:val="fr-FR"/>
        </w:rPr>
        <w:fldChar w:fldCharType="begin"/>
      </w:r>
      <w:r w:rsidRPr="00F651D2">
        <w:rPr>
          <w:lang w:val="fr-FR"/>
        </w:rPr>
        <w:instrText xml:space="preserve"> SEQ level0 \*arabic </w:instrText>
      </w:r>
      <w:r w:rsidRPr="00F651D2">
        <w:rPr>
          <w:lang w:val="fr-FR"/>
        </w:rPr>
        <w:fldChar w:fldCharType="separate"/>
      </w:r>
      <w:r w:rsidRPr="00F651D2" w:rsidR="00F651D2">
        <w:rPr>
          <w:noProof/>
          <w:lang w:val="fr-FR"/>
        </w:rPr>
        <w:t>61</w:t>
      </w:r>
      <w:r w:rsidRPr="00F651D2">
        <w:rPr>
          <w:lang w:val="fr-FR"/>
        </w:rPr>
        <w:fldChar w:fldCharType="end"/>
      </w:r>
      <w:r w:rsidRPr="00F651D2">
        <w:rPr>
          <w:lang w:val="fr-FR"/>
        </w:rPr>
        <w:t>.  La Cour juge approprié de calquer le taux des intérêts moratoires sur le taux d</w:t>
      </w:r>
      <w:r w:rsidRPr="00F651D2" w:rsidR="00F651D2">
        <w:rPr>
          <w:lang w:val="fr-FR"/>
        </w:rPr>
        <w:t>’</w:t>
      </w:r>
      <w:r w:rsidRPr="00F651D2">
        <w:rPr>
          <w:lang w:val="fr-FR"/>
        </w:rPr>
        <w:t>intérêt de la facilité de prêt marginal de la Banque centrale européenne majoré de trois points de pourcentage.</w:t>
      </w:r>
    </w:p>
    <w:p w:rsidRPr="00F651D2" w:rsidR="00E14498" w:rsidP="00F651D2" w:rsidRDefault="00E14498">
      <w:pPr>
        <w:pStyle w:val="ECHRTitle1"/>
        <w:rPr>
          <w:lang w:val="fr-FR"/>
        </w:rPr>
      </w:pPr>
      <w:r w:rsidRPr="00F651D2">
        <w:rPr>
          <w:lang w:val="fr-FR"/>
        </w:rPr>
        <w:t>PAR CES MOTIFS, LA COUR, À L</w:t>
      </w:r>
      <w:r w:rsidRPr="00F651D2" w:rsidR="00F651D2">
        <w:rPr>
          <w:lang w:val="fr-FR"/>
        </w:rPr>
        <w:t>’</w:t>
      </w:r>
      <w:r w:rsidRPr="00F651D2">
        <w:rPr>
          <w:lang w:val="fr-FR"/>
        </w:rPr>
        <w:t>UNANIMITÉ,</w:t>
      </w:r>
    </w:p>
    <w:p w:rsidRPr="00F651D2" w:rsidR="00E14498" w:rsidP="00F651D2" w:rsidRDefault="00E14498">
      <w:pPr>
        <w:pStyle w:val="JuList"/>
        <w:rPr>
          <w:lang w:val="fr-FR"/>
        </w:rPr>
      </w:pPr>
      <w:r w:rsidRPr="00F651D2">
        <w:rPr>
          <w:lang w:val="fr-FR"/>
        </w:rPr>
        <w:t>1.  </w:t>
      </w:r>
      <w:r w:rsidRPr="00F651D2">
        <w:rPr>
          <w:i/>
          <w:lang w:val="fr-FR"/>
        </w:rPr>
        <w:t>Déclare</w:t>
      </w:r>
      <w:r w:rsidRPr="00F651D2">
        <w:rPr>
          <w:lang w:val="fr-FR"/>
        </w:rPr>
        <w:t xml:space="preserve"> la requête recevable ;</w:t>
      </w:r>
    </w:p>
    <w:p w:rsidRPr="00F651D2" w:rsidR="00E14498" w:rsidP="00F651D2" w:rsidRDefault="00E14498">
      <w:pPr>
        <w:pStyle w:val="JuList"/>
        <w:rPr>
          <w:lang w:val="fr-FR"/>
        </w:rPr>
      </w:pPr>
    </w:p>
    <w:p w:rsidRPr="00F651D2" w:rsidR="00E14498" w:rsidP="00F651D2" w:rsidRDefault="00E14498">
      <w:pPr>
        <w:pStyle w:val="JuList"/>
        <w:rPr>
          <w:lang w:val="fr-FR"/>
        </w:rPr>
      </w:pPr>
      <w:r w:rsidRPr="00F651D2">
        <w:rPr>
          <w:lang w:val="fr-FR"/>
        </w:rPr>
        <w:t>2.  </w:t>
      </w:r>
      <w:r w:rsidRPr="00F651D2">
        <w:rPr>
          <w:i/>
          <w:lang w:val="fr-FR"/>
        </w:rPr>
        <w:t>Dit</w:t>
      </w:r>
      <w:r w:rsidRPr="00F651D2">
        <w:rPr>
          <w:lang w:val="fr-FR"/>
        </w:rPr>
        <w:t xml:space="preserve"> qu</w:t>
      </w:r>
      <w:r w:rsidRPr="00F651D2" w:rsidR="00F651D2">
        <w:rPr>
          <w:lang w:val="fr-FR"/>
        </w:rPr>
        <w:t>’</w:t>
      </w:r>
      <w:r w:rsidRPr="00F651D2">
        <w:rPr>
          <w:lang w:val="fr-FR"/>
        </w:rPr>
        <w:t>il y a eu violation de l</w:t>
      </w:r>
      <w:r w:rsidRPr="00F651D2" w:rsidR="00F651D2">
        <w:rPr>
          <w:lang w:val="fr-FR"/>
        </w:rPr>
        <w:t>’</w:t>
      </w:r>
      <w:r w:rsidRPr="00F651D2">
        <w:rPr>
          <w:lang w:val="fr-FR"/>
        </w:rPr>
        <w:t>article 6 § 1 de la Convention ;</w:t>
      </w:r>
    </w:p>
    <w:p w:rsidRPr="00F651D2" w:rsidR="00E14498" w:rsidP="00F651D2" w:rsidRDefault="00E14498">
      <w:pPr>
        <w:pStyle w:val="JuList"/>
        <w:rPr>
          <w:lang w:val="fr-FR"/>
        </w:rPr>
      </w:pPr>
    </w:p>
    <w:p w:rsidRPr="00F651D2" w:rsidR="00E14498" w:rsidP="00F651D2" w:rsidRDefault="00E14498">
      <w:pPr>
        <w:pStyle w:val="JuList"/>
        <w:rPr>
          <w:lang w:val="fr-FR"/>
        </w:rPr>
      </w:pPr>
      <w:r w:rsidRPr="00F651D2">
        <w:rPr>
          <w:lang w:val="fr-FR"/>
        </w:rPr>
        <w:t>3.  </w:t>
      </w:r>
      <w:r w:rsidRPr="00F651D2">
        <w:rPr>
          <w:i/>
          <w:lang w:val="fr-FR"/>
        </w:rPr>
        <w:t>Dit</w:t>
      </w:r>
      <w:r w:rsidRPr="00F651D2">
        <w:rPr>
          <w:lang w:val="fr-FR"/>
        </w:rPr>
        <w:t xml:space="preserve"> qu</w:t>
      </w:r>
      <w:r w:rsidRPr="00F651D2" w:rsidR="00F651D2">
        <w:rPr>
          <w:lang w:val="fr-FR"/>
        </w:rPr>
        <w:t>’</w:t>
      </w:r>
      <w:r w:rsidRPr="00F651D2">
        <w:rPr>
          <w:lang w:val="fr-FR"/>
        </w:rPr>
        <w:t>il y a eu violation de l</w:t>
      </w:r>
      <w:r w:rsidRPr="00F651D2" w:rsidR="00F651D2">
        <w:rPr>
          <w:lang w:val="fr-FR"/>
        </w:rPr>
        <w:t>’</w:t>
      </w:r>
      <w:r w:rsidRPr="00F651D2">
        <w:rPr>
          <w:lang w:val="fr-FR"/>
        </w:rPr>
        <w:t>article 1 du Protocole n</w:t>
      </w:r>
      <w:r w:rsidRPr="00F651D2">
        <w:rPr>
          <w:vertAlign w:val="superscript"/>
          <w:lang w:val="fr-FR"/>
        </w:rPr>
        <w:t>o</w:t>
      </w:r>
      <w:r w:rsidRPr="00F651D2">
        <w:rPr>
          <w:lang w:val="fr-FR"/>
        </w:rPr>
        <w:t xml:space="preserve"> 1 à la Convention ;</w:t>
      </w:r>
    </w:p>
    <w:p w:rsidRPr="00F651D2" w:rsidR="00E14498" w:rsidP="00F651D2" w:rsidRDefault="00E14498">
      <w:pPr>
        <w:pStyle w:val="JuList"/>
        <w:rPr>
          <w:lang w:val="fr-FR"/>
        </w:rPr>
      </w:pPr>
    </w:p>
    <w:p w:rsidRPr="00F651D2" w:rsidR="00E14498" w:rsidP="00F651D2" w:rsidRDefault="00E14498">
      <w:pPr>
        <w:pStyle w:val="JuList"/>
        <w:rPr>
          <w:lang w:val="fr-FR"/>
        </w:rPr>
      </w:pPr>
      <w:r w:rsidRPr="00F651D2">
        <w:rPr>
          <w:lang w:val="fr-FR"/>
        </w:rPr>
        <w:t>4.  </w:t>
      </w:r>
      <w:r w:rsidRPr="00F651D2">
        <w:rPr>
          <w:i/>
          <w:lang w:val="fr-FR"/>
        </w:rPr>
        <w:t>Dit</w:t>
      </w:r>
      <w:r w:rsidRPr="00F651D2">
        <w:rPr>
          <w:lang w:val="fr-FR"/>
        </w:rPr>
        <w:t xml:space="preserve"> qu</w:t>
      </w:r>
      <w:r w:rsidRPr="00F651D2" w:rsidR="00F651D2">
        <w:rPr>
          <w:lang w:val="fr-FR"/>
        </w:rPr>
        <w:t>’</w:t>
      </w:r>
      <w:r w:rsidRPr="00F651D2">
        <w:rPr>
          <w:lang w:val="fr-FR"/>
        </w:rPr>
        <w:t>il y a eu violation de l</w:t>
      </w:r>
      <w:r w:rsidRPr="00F651D2" w:rsidR="00F651D2">
        <w:rPr>
          <w:lang w:val="fr-FR"/>
        </w:rPr>
        <w:t>’</w:t>
      </w:r>
      <w:r w:rsidRPr="00F651D2">
        <w:rPr>
          <w:lang w:val="fr-FR"/>
        </w:rPr>
        <w:t>article 13 de la Convention combiné avec l</w:t>
      </w:r>
      <w:r w:rsidRPr="00F651D2" w:rsidR="00F651D2">
        <w:rPr>
          <w:lang w:val="fr-FR"/>
        </w:rPr>
        <w:t>’</w:t>
      </w:r>
      <w:r w:rsidRPr="00F651D2">
        <w:rPr>
          <w:lang w:val="fr-FR"/>
        </w:rPr>
        <w:t>article 6 § 1 de la Convention et l</w:t>
      </w:r>
      <w:r w:rsidRPr="00F651D2" w:rsidR="00F651D2">
        <w:rPr>
          <w:lang w:val="fr-FR"/>
        </w:rPr>
        <w:t>’</w:t>
      </w:r>
      <w:r w:rsidRPr="00F651D2">
        <w:rPr>
          <w:lang w:val="fr-FR"/>
        </w:rPr>
        <w:t>article 1 du Protocole n</w:t>
      </w:r>
      <w:r w:rsidRPr="00F651D2">
        <w:rPr>
          <w:vertAlign w:val="superscript"/>
          <w:lang w:val="fr-FR"/>
        </w:rPr>
        <w:t>o</w:t>
      </w:r>
      <w:r w:rsidRPr="00F651D2">
        <w:rPr>
          <w:lang w:val="fr-FR"/>
        </w:rPr>
        <w:t xml:space="preserve"> 1 à la Convention ;</w:t>
      </w:r>
    </w:p>
    <w:p w:rsidRPr="00F651D2" w:rsidR="00E14498" w:rsidP="00F651D2" w:rsidRDefault="00E14498">
      <w:pPr>
        <w:pStyle w:val="JuList"/>
        <w:rPr>
          <w:lang w:val="fr-FR"/>
        </w:rPr>
      </w:pPr>
    </w:p>
    <w:p w:rsidRPr="00F651D2" w:rsidR="00E14498" w:rsidP="00F651D2" w:rsidRDefault="00E14498">
      <w:pPr>
        <w:pStyle w:val="JuList"/>
        <w:rPr>
          <w:lang w:val="fr-FR"/>
        </w:rPr>
      </w:pPr>
      <w:r w:rsidRPr="00F651D2">
        <w:rPr>
          <w:lang w:val="fr-FR"/>
        </w:rPr>
        <w:t>5.  </w:t>
      </w:r>
      <w:r w:rsidRPr="00F651D2">
        <w:rPr>
          <w:i/>
          <w:lang w:val="fr-FR"/>
        </w:rPr>
        <w:t>Dit</w:t>
      </w:r>
    </w:p>
    <w:p w:rsidRPr="00F651D2" w:rsidR="00E14498" w:rsidP="00F651D2" w:rsidRDefault="00E14498">
      <w:pPr>
        <w:pStyle w:val="JuLista"/>
        <w:rPr>
          <w:lang w:val="fr-FR"/>
        </w:rPr>
      </w:pPr>
      <w:r w:rsidRPr="00F651D2">
        <w:rPr>
          <w:lang w:val="fr-FR"/>
        </w:rPr>
        <w:t>a)  que l</w:t>
      </w:r>
      <w:r w:rsidRPr="00F651D2" w:rsidR="00F651D2">
        <w:rPr>
          <w:lang w:val="fr-FR"/>
        </w:rPr>
        <w:t>’</w:t>
      </w:r>
      <w:r w:rsidRPr="00F651D2">
        <w:rPr>
          <w:lang w:val="fr-FR"/>
        </w:rPr>
        <w:t>État défendeur doit verser au requérant, dans les trois mois à compter du jour où l</w:t>
      </w:r>
      <w:r w:rsidRPr="00F651D2" w:rsidR="00F651D2">
        <w:rPr>
          <w:lang w:val="fr-FR"/>
        </w:rPr>
        <w:t>’</w:t>
      </w:r>
      <w:r w:rsidRPr="00F651D2">
        <w:rPr>
          <w:lang w:val="fr-FR"/>
        </w:rPr>
        <w:t>arrêt sera devenu définitif conformément à l</w:t>
      </w:r>
      <w:r w:rsidRPr="00F651D2" w:rsidR="00F651D2">
        <w:rPr>
          <w:lang w:val="fr-FR"/>
        </w:rPr>
        <w:t>’</w:t>
      </w:r>
      <w:r w:rsidRPr="00F651D2">
        <w:rPr>
          <w:lang w:val="fr-FR"/>
        </w:rPr>
        <w:t>article 44 § 2 de la Convention, les sommes suivantes, à convertir dans la monnaie de l</w:t>
      </w:r>
      <w:r w:rsidRPr="00F651D2" w:rsidR="00F651D2">
        <w:rPr>
          <w:lang w:val="fr-FR"/>
        </w:rPr>
        <w:t>’</w:t>
      </w:r>
      <w:r w:rsidRPr="00F651D2">
        <w:rPr>
          <w:lang w:val="fr-FR"/>
        </w:rPr>
        <w:t>État défendeur au taux applicable à la date du règlement :</w:t>
      </w:r>
    </w:p>
    <w:p w:rsidRPr="00F651D2" w:rsidR="00E14498" w:rsidP="00F651D2" w:rsidRDefault="00E14498">
      <w:pPr>
        <w:pStyle w:val="JuListi"/>
        <w:rPr>
          <w:lang w:val="fr-FR" w:eastAsia="en-GB"/>
        </w:rPr>
      </w:pPr>
      <w:r w:rsidRPr="00F651D2">
        <w:rPr>
          <w:lang w:val="fr-FR" w:eastAsia="en-GB"/>
        </w:rPr>
        <w:t>i.  </w:t>
      </w:r>
      <w:r w:rsidRPr="00F651D2">
        <w:rPr>
          <w:lang w:val="fr-FR"/>
        </w:rPr>
        <w:t xml:space="preserve">3 400 </w:t>
      </w:r>
      <w:r w:rsidRPr="00F651D2">
        <w:rPr>
          <w:lang w:val="fr-FR" w:eastAsia="en-GB"/>
        </w:rPr>
        <w:t>EUR (trois mille quatre cents euros), plus tout montant pouvant être dû à titre d</w:t>
      </w:r>
      <w:r w:rsidRPr="00F651D2" w:rsidR="00F651D2">
        <w:rPr>
          <w:lang w:val="fr-FR" w:eastAsia="en-GB"/>
        </w:rPr>
        <w:t>’</w:t>
      </w:r>
      <w:r w:rsidRPr="00F651D2">
        <w:rPr>
          <w:lang w:val="fr-FR" w:eastAsia="en-GB"/>
        </w:rPr>
        <w:t>impôt, pour dommage matériel ;</w:t>
      </w:r>
    </w:p>
    <w:p w:rsidRPr="00F651D2" w:rsidR="00E14498" w:rsidP="00F651D2" w:rsidRDefault="00E14498">
      <w:pPr>
        <w:pStyle w:val="JuListi"/>
        <w:rPr>
          <w:lang w:val="fr-FR" w:eastAsia="en-GB"/>
        </w:rPr>
      </w:pPr>
      <w:r w:rsidRPr="00F651D2">
        <w:rPr>
          <w:lang w:val="fr-FR" w:eastAsia="en-GB"/>
        </w:rPr>
        <w:t>ii.  2 500 EUR (deux mille cinq cents euros), plus tout montant pouvant être dû à titre d</w:t>
      </w:r>
      <w:r w:rsidRPr="00F651D2" w:rsidR="00F651D2">
        <w:rPr>
          <w:lang w:val="fr-FR" w:eastAsia="en-GB"/>
        </w:rPr>
        <w:t>’</w:t>
      </w:r>
      <w:r w:rsidRPr="00F651D2">
        <w:rPr>
          <w:lang w:val="fr-FR" w:eastAsia="en-GB"/>
        </w:rPr>
        <w:t>impôt, pour dommage moral ;</w:t>
      </w:r>
    </w:p>
    <w:p w:rsidRPr="00F651D2" w:rsidR="00E14498" w:rsidP="00F651D2" w:rsidRDefault="00E14498">
      <w:pPr>
        <w:pStyle w:val="JuLista"/>
        <w:rPr>
          <w:lang w:val="fr-FR"/>
        </w:rPr>
      </w:pPr>
      <w:r w:rsidRPr="00F651D2">
        <w:rPr>
          <w:lang w:val="fr-FR"/>
        </w:rPr>
        <w:t>b)  qu</w:t>
      </w:r>
      <w:r w:rsidRPr="00F651D2" w:rsidR="00F651D2">
        <w:rPr>
          <w:lang w:val="fr-FR"/>
        </w:rPr>
        <w:t>’</w:t>
      </w:r>
      <w:r w:rsidRPr="00F651D2">
        <w:rPr>
          <w:lang w:val="fr-FR"/>
        </w:rPr>
        <w:t>à compter de l</w:t>
      </w:r>
      <w:r w:rsidRPr="00F651D2" w:rsidR="00F651D2">
        <w:rPr>
          <w:lang w:val="fr-FR"/>
        </w:rPr>
        <w:t>’</w:t>
      </w:r>
      <w:r w:rsidRPr="00F651D2">
        <w:rPr>
          <w:lang w:val="fr-FR"/>
        </w:rPr>
        <w:t>expiration dudit délai et jusqu</w:t>
      </w:r>
      <w:r w:rsidRPr="00F651D2" w:rsidR="00F651D2">
        <w:rPr>
          <w:lang w:val="fr-FR"/>
        </w:rPr>
        <w:t>’</w:t>
      </w:r>
      <w:r w:rsidRPr="00F651D2">
        <w:rPr>
          <w:lang w:val="fr-FR"/>
        </w:rPr>
        <w:t>au versement, ces montants seront à majorer d</w:t>
      </w:r>
      <w:r w:rsidRPr="00F651D2" w:rsidR="00F651D2">
        <w:rPr>
          <w:lang w:val="fr-FR"/>
        </w:rPr>
        <w:t>’</w:t>
      </w:r>
      <w:r w:rsidRPr="00F651D2">
        <w:rPr>
          <w:lang w:val="fr-FR"/>
        </w:rPr>
        <w:t>un intérêt simple à un taux égal à celui de la facilité de prêt marginal de la Banque centrale européenne applicable pendant cette période, augmenté d</w:t>
      </w:r>
      <w:r w:rsidRPr="00F651D2" w:rsidR="001A6D7C">
        <w:rPr>
          <w:lang w:val="fr-FR"/>
        </w:rPr>
        <w:t>e trois points de pourcentage ;</w:t>
      </w:r>
    </w:p>
    <w:p w:rsidRPr="00F651D2" w:rsidR="00E14498" w:rsidP="00F651D2" w:rsidRDefault="00E14498">
      <w:pPr>
        <w:pStyle w:val="JuLista"/>
        <w:rPr>
          <w:lang w:val="fr-FR"/>
        </w:rPr>
      </w:pPr>
    </w:p>
    <w:p w:rsidRPr="00F651D2" w:rsidR="00E14498" w:rsidP="00F651D2" w:rsidRDefault="00E14498">
      <w:pPr>
        <w:pStyle w:val="JuList"/>
        <w:rPr>
          <w:lang w:val="fr-FR"/>
        </w:rPr>
      </w:pPr>
      <w:r w:rsidRPr="00F651D2">
        <w:rPr>
          <w:lang w:val="fr-FR"/>
        </w:rPr>
        <w:t>6.  </w:t>
      </w:r>
      <w:r w:rsidRPr="00F651D2">
        <w:rPr>
          <w:i/>
          <w:lang w:val="fr-FR"/>
        </w:rPr>
        <w:t>Rejette</w:t>
      </w:r>
      <w:r w:rsidRPr="00F651D2">
        <w:rPr>
          <w:lang w:val="fr-FR"/>
        </w:rPr>
        <w:t xml:space="preserve"> la demande de satisfaction équitable pour le surplus.</w:t>
      </w:r>
    </w:p>
    <w:p w:rsidRPr="00F651D2" w:rsidR="00E14498" w:rsidP="00F651D2" w:rsidRDefault="00E14498">
      <w:pPr>
        <w:pStyle w:val="JuParaLast"/>
        <w:keepNext w:val="0"/>
        <w:keepLines w:val="0"/>
        <w:rPr>
          <w:lang w:val="fr-FR"/>
        </w:rPr>
      </w:pPr>
      <w:r w:rsidRPr="00F651D2">
        <w:rPr>
          <w:lang w:val="fr-FR"/>
        </w:rPr>
        <w:t>Fait en français, puis communiqué par écrit le </w:t>
      </w:r>
      <w:r w:rsidRPr="00F651D2" w:rsidR="00100B4F">
        <w:rPr>
          <w:lang w:val="fr-FR"/>
        </w:rPr>
        <w:t>12 février 2019</w:t>
      </w:r>
      <w:r w:rsidRPr="00F651D2">
        <w:rPr>
          <w:lang w:val="fr-FR"/>
        </w:rPr>
        <w:t>, en application de l</w:t>
      </w:r>
      <w:r w:rsidRPr="00F651D2" w:rsidR="00F651D2">
        <w:rPr>
          <w:lang w:val="fr-FR"/>
        </w:rPr>
        <w:t>’</w:t>
      </w:r>
      <w:r w:rsidRPr="00F651D2">
        <w:rPr>
          <w:lang w:val="fr-FR"/>
        </w:rPr>
        <w:t>article 77 §§ 2 et 3 du règlement de la Cour.</w:t>
      </w:r>
    </w:p>
    <w:p w:rsidRPr="00F651D2" w:rsidR="004D15F3" w:rsidP="00F651D2" w:rsidRDefault="00E14498">
      <w:pPr>
        <w:pStyle w:val="JuSigned"/>
        <w:rPr>
          <w:lang w:val="fr-FR"/>
        </w:rPr>
      </w:pPr>
      <w:r w:rsidRPr="00F651D2">
        <w:rPr>
          <w:lang w:val="fr-FR"/>
        </w:rPr>
        <w:tab/>
        <w:t>Stanley Naismith</w:t>
      </w:r>
      <w:r w:rsidRPr="00F651D2">
        <w:rPr>
          <w:lang w:val="fr-FR"/>
        </w:rPr>
        <w:tab/>
      </w:r>
      <w:r w:rsidRPr="00F651D2">
        <w:rPr>
          <w:szCs w:val="24"/>
          <w:lang w:val="fr-FR"/>
        </w:rPr>
        <w:t>Robert Spano</w:t>
      </w:r>
      <w:r w:rsidRPr="00F651D2">
        <w:rPr>
          <w:lang w:val="fr-FR"/>
        </w:rPr>
        <w:br/>
      </w:r>
      <w:r w:rsidRPr="00F651D2">
        <w:rPr>
          <w:lang w:val="fr-FR"/>
        </w:rPr>
        <w:tab/>
        <w:t>Greffier</w:t>
      </w:r>
      <w:r w:rsidRPr="00F651D2">
        <w:rPr>
          <w:lang w:val="fr-FR"/>
        </w:rPr>
        <w:tab/>
        <w:t>Président</w:t>
      </w:r>
    </w:p>
    <w:p w:rsidRPr="00F651D2" w:rsidR="00860A28" w:rsidP="00F651D2" w:rsidRDefault="00860A28">
      <w:pPr>
        <w:pStyle w:val="JuParaLast"/>
        <w:rPr>
          <w:lang w:val="fr-FR"/>
        </w:rPr>
      </w:pPr>
    </w:p>
    <w:sectPr w:rsidRPr="00F651D2" w:rsidR="00860A28">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93E" w:rsidRPr="001D19C3" w:rsidRDefault="001D393E" w:rsidP="002D2C99">
      <w:pPr>
        <w:rPr>
          <w:lang w:val="fr-FR"/>
        </w:rPr>
      </w:pPr>
      <w:r w:rsidRPr="001D19C3">
        <w:rPr>
          <w:lang w:val="fr-FR"/>
        </w:rPr>
        <w:separator/>
      </w:r>
    </w:p>
  </w:endnote>
  <w:endnote w:type="continuationSeparator" w:id="0">
    <w:p w:rsidR="001D393E" w:rsidRPr="001D19C3" w:rsidRDefault="001D393E" w:rsidP="002D2C99">
      <w:pPr>
        <w:rPr>
          <w:lang w:val="fr-FR"/>
        </w:rPr>
      </w:pPr>
      <w:r w:rsidRPr="001D19C3">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93E" w:rsidRPr="00150BFA" w:rsidRDefault="001D393E" w:rsidP="00100B4F">
    <w:pPr>
      <w:jc w:val="center"/>
    </w:pPr>
    <w:r>
      <w:rPr>
        <w:noProof/>
        <w:lang w:val="en-US" w:eastAsia="ja-JP"/>
      </w:rPr>
      <w:drawing>
        <wp:inline distT="0" distB="0" distL="0" distR="0" wp14:anchorId="2700C7CE" wp14:editId="63FDE18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D393E" w:rsidRPr="001D19C3" w:rsidRDefault="001D393E" w:rsidP="00100B4F">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93E" w:rsidRDefault="001D393E" w:rsidP="00100B4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93E" w:rsidRDefault="001D393E" w:rsidP="00100B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93E" w:rsidRPr="001D19C3" w:rsidRDefault="001D393E" w:rsidP="002D2C99">
      <w:pPr>
        <w:rPr>
          <w:lang w:val="fr-FR"/>
        </w:rPr>
      </w:pPr>
      <w:r w:rsidRPr="001D19C3">
        <w:rPr>
          <w:lang w:val="fr-FR"/>
        </w:rPr>
        <w:separator/>
      </w:r>
    </w:p>
  </w:footnote>
  <w:footnote w:type="continuationSeparator" w:id="0">
    <w:p w:rsidR="001D393E" w:rsidRPr="001D19C3" w:rsidRDefault="001D393E" w:rsidP="002D2C99">
      <w:pPr>
        <w:rPr>
          <w:lang w:val="fr-FR"/>
        </w:rPr>
      </w:pPr>
      <w:r w:rsidRPr="001D19C3">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93E" w:rsidRPr="00A45145" w:rsidRDefault="001D393E" w:rsidP="00100B4F">
    <w:pPr>
      <w:jc w:val="center"/>
    </w:pPr>
    <w:r>
      <w:rPr>
        <w:noProof/>
        <w:lang w:val="en-US" w:eastAsia="ja-JP"/>
      </w:rPr>
      <w:drawing>
        <wp:inline distT="0" distB="0" distL="0" distR="0" wp14:anchorId="5CF66102" wp14:editId="72F47386">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D393E" w:rsidRPr="001D19C3" w:rsidRDefault="001D393E"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93E" w:rsidRPr="00F5432B" w:rsidRDefault="001D393E" w:rsidP="00F5432B">
    <w:pPr>
      <w:pStyle w:val="ECHRHeader"/>
      <w:rPr>
        <w:lang w:val="fr-FR"/>
      </w:rPr>
    </w:pPr>
    <w:r>
      <w:rPr>
        <w:rStyle w:val="PageNumber"/>
      </w:rPr>
      <w:fldChar w:fldCharType="begin"/>
    </w:r>
    <w:r w:rsidRPr="00E14498">
      <w:rPr>
        <w:rStyle w:val="PageNumber"/>
        <w:lang w:val="fr-FR"/>
      </w:rPr>
      <w:instrText xml:space="preserve"> PAGE </w:instrText>
    </w:r>
    <w:r>
      <w:rPr>
        <w:rStyle w:val="PageNumber"/>
      </w:rPr>
      <w:fldChar w:fldCharType="separate"/>
    </w:r>
    <w:r w:rsidR="00B36B75">
      <w:rPr>
        <w:rStyle w:val="PageNumber"/>
        <w:noProof/>
        <w:lang w:val="fr-FR"/>
      </w:rPr>
      <w:t>12</w:t>
    </w:r>
    <w:r>
      <w:rPr>
        <w:rStyle w:val="PageNumber"/>
      </w:rPr>
      <w:fldChar w:fldCharType="end"/>
    </w:r>
    <w:r w:rsidRPr="00E14498">
      <w:rPr>
        <w:lang w:val="fr-FR"/>
      </w:rPr>
      <w:tab/>
      <w:t>ARRÊT CRISTEA c. RÉPUBLIQUE DE MOLDOVA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93E" w:rsidRPr="00E14498" w:rsidRDefault="001D393E" w:rsidP="00420F04">
    <w:pPr>
      <w:pStyle w:val="ECHRHeader"/>
      <w:rPr>
        <w:lang w:val="fr-FR"/>
      </w:rPr>
    </w:pPr>
    <w:r>
      <w:tab/>
    </w:r>
    <w:r w:rsidRPr="00E14498">
      <w:rPr>
        <w:lang w:val="fr-FR"/>
      </w:rPr>
      <w:t>ARRÊT CRISTEA c. RÉPUBLIQUE DE MOLDOVA</w:t>
    </w:r>
    <w:r w:rsidRPr="00E14498">
      <w:rPr>
        <w:lang w:val="fr-FR"/>
      </w:rPr>
      <w:tab/>
    </w:r>
    <w:r>
      <w:rPr>
        <w:rStyle w:val="PageNumber"/>
      </w:rPr>
      <w:fldChar w:fldCharType="begin"/>
    </w:r>
    <w:r w:rsidRPr="00E14498">
      <w:rPr>
        <w:rStyle w:val="PageNumber"/>
        <w:lang w:val="fr-FR"/>
      </w:rPr>
      <w:instrText xml:space="preserve"> PAGE </w:instrText>
    </w:r>
    <w:r>
      <w:rPr>
        <w:rStyle w:val="PageNumber"/>
      </w:rPr>
      <w:fldChar w:fldCharType="separate"/>
    </w:r>
    <w:r w:rsidR="00B36B75">
      <w:rPr>
        <w:rStyle w:val="PageNumber"/>
        <w:noProof/>
        <w:lang w:val="fr-FR"/>
      </w:rPr>
      <w:t>13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6CB6E08"/>
    <w:multiLevelType w:val="hybridMultilevel"/>
    <w:tmpl w:val="ED3CDAF8"/>
    <w:lvl w:ilvl="0" w:tplc="04090001">
      <w:start w:val="1"/>
      <w:numFmt w:val="bullet"/>
      <w:lvlText w:val=""/>
      <w:lvlJc w:val="left"/>
      <w:pPr>
        <w:ind w:left="128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15">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9D9074E"/>
    <w:multiLevelType w:val="hybridMultilevel"/>
    <w:tmpl w:val="C1542DD2"/>
    <w:lvl w:ilvl="0" w:tplc="0409000F">
      <w:start w:val="1"/>
      <w:numFmt w:val="decimal"/>
      <w:lvlText w:val="%1."/>
      <w:lvlJc w:val="left"/>
      <w:pPr>
        <w:ind w:left="1004" w:hanging="360"/>
      </w:pPr>
      <w:rPr>
        <w:rFont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7"/>
  </w:num>
  <w:num w:numId="10">
    <w:abstractNumId w:val="15"/>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18"/>
  </w:num>
  <w:num w:numId="23">
    <w:abstractNumId w:val="14"/>
  </w:num>
  <w:num w:numId="24">
    <w:abstractNumId w:val="16"/>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18"/>
  </w:num>
  <w:num w:numId="34">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E14498"/>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C5F3C"/>
    <w:rsid w:val="000C6DCC"/>
    <w:rsid w:val="000D47AA"/>
    <w:rsid w:val="000D721F"/>
    <w:rsid w:val="000E069B"/>
    <w:rsid w:val="000E0E82"/>
    <w:rsid w:val="000E1DC5"/>
    <w:rsid w:val="000E223F"/>
    <w:rsid w:val="000E7D45"/>
    <w:rsid w:val="000F7851"/>
    <w:rsid w:val="00100B4F"/>
    <w:rsid w:val="00104E23"/>
    <w:rsid w:val="00111B0C"/>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674C"/>
    <w:rsid w:val="001A6D7C"/>
    <w:rsid w:val="001B3B24"/>
    <w:rsid w:val="001C0F98"/>
    <w:rsid w:val="001C2A42"/>
    <w:rsid w:val="001D19C3"/>
    <w:rsid w:val="001D393E"/>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828CA"/>
    <w:rsid w:val="00283EAF"/>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F04"/>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A28"/>
    <w:rsid w:val="00860B03"/>
    <w:rsid w:val="0086497A"/>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656"/>
    <w:rsid w:val="00951D7D"/>
    <w:rsid w:val="009630C7"/>
    <w:rsid w:val="00972B55"/>
    <w:rsid w:val="009743B7"/>
    <w:rsid w:val="0098228B"/>
    <w:rsid w:val="009828DA"/>
    <w:rsid w:val="00985BAB"/>
    <w:rsid w:val="009B1B5F"/>
    <w:rsid w:val="009B6673"/>
    <w:rsid w:val="009C191B"/>
    <w:rsid w:val="009C2BD6"/>
    <w:rsid w:val="009E1F32"/>
    <w:rsid w:val="009E776C"/>
    <w:rsid w:val="009F65DC"/>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4C20"/>
    <w:rsid w:val="00AA227F"/>
    <w:rsid w:val="00AA3BC7"/>
    <w:rsid w:val="00AA754A"/>
    <w:rsid w:val="00AB099E"/>
    <w:rsid w:val="00AB4328"/>
    <w:rsid w:val="00AC3ABA"/>
    <w:rsid w:val="00AD4891"/>
    <w:rsid w:val="00AE0A2E"/>
    <w:rsid w:val="00AE354C"/>
    <w:rsid w:val="00AF4B07"/>
    <w:rsid w:val="00AF6186"/>
    <w:rsid w:val="00AF7A3A"/>
    <w:rsid w:val="00B160DB"/>
    <w:rsid w:val="00B20836"/>
    <w:rsid w:val="00B235BB"/>
    <w:rsid w:val="00B27A44"/>
    <w:rsid w:val="00B30BBF"/>
    <w:rsid w:val="00B33C03"/>
    <w:rsid w:val="00B36B75"/>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4810"/>
    <w:rsid w:val="00C90D68"/>
    <w:rsid w:val="00C939FE"/>
    <w:rsid w:val="00CA4BDA"/>
    <w:rsid w:val="00CB1F66"/>
    <w:rsid w:val="00CB25E5"/>
    <w:rsid w:val="00CB2951"/>
    <w:rsid w:val="00CD282B"/>
    <w:rsid w:val="00CD4C35"/>
    <w:rsid w:val="00CD7369"/>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3066"/>
    <w:rsid w:val="00D96C6B"/>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14498"/>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6D47"/>
    <w:rsid w:val="00E849F7"/>
    <w:rsid w:val="00E90302"/>
    <w:rsid w:val="00E97396"/>
    <w:rsid w:val="00EA185E"/>
    <w:rsid w:val="00EA4BD7"/>
    <w:rsid w:val="00EA592A"/>
    <w:rsid w:val="00EB14E4"/>
    <w:rsid w:val="00EB32A5"/>
    <w:rsid w:val="00EB34ED"/>
    <w:rsid w:val="00EB7BE0"/>
    <w:rsid w:val="00EC315E"/>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6A6F"/>
    <w:rsid w:val="00F5709C"/>
    <w:rsid w:val="00F64EF1"/>
    <w:rsid w:val="00F651D2"/>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D393E"/>
    <w:pPr>
      <w:jc w:val="both"/>
    </w:pPr>
    <w:rPr>
      <w:rFonts w:eastAsiaTheme="minorEastAsia"/>
      <w:sz w:val="24"/>
      <w:lang w:val="en-GB"/>
    </w:rPr>
  </w:style>
  <w:style w:type="paragraph" w:styleId="Heading1">
    <w:name w:val="heading 1"/>
    <w:basedOn w:val="Normal"/>
    <w:next w:val="Normal"/>
    <w:link w:val="Heading1Char"/>
    <w:uiPriority w:val="99"/>
    <w:semiHidden/>
    <w:rsid w:val="001D393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D393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D393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D393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D393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D393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D393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D393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D393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D393E"/>
    <w:rPr>
      <w:rFonts w:ascii="Tahoma" w:hAnsi="Tahoma" w:cs="Tahoma"/>
      <w:sz w:val="16"/>
      <w:szCs w:val="16"/>
    </w:rPr>
  </w:style>
  <w:style w:type="character" w:customStyle="1" w:styleId="BalloonTextChar">
    <w:name w:val="Balloon Text Char"/>
    <w:basedOn w:val="DefaultParagraphFont"/>
    <w:link w:val="BalloonText"/>
    <w:uiPriority w:val="99"/>
    <w:semiHidden/>
    <w:rsid w:val="001D393E"/>
    <w:rPr>
      <w:rFonts w:ascii="Tahoma" w:eastAsiaTheme="minorEastAsia" w:hAnsi="Tahoma" w:cs="Tahoma"/>
      <w:sz w:val="16"/>
      <w:szCs w:val="16"/>
      <w:lang w:val="en-GB"/>
    </w:rPr>
  </w:style>
  <w:style w:type="character" w:styleId="BookTitle">
    <w:name w:val="Book Title"/>
    <w:uiPriority w:val="99"/>
    <w:semiHidden/>
    <w:qFormat/>
    <w:rsid w:val="001D393E"/>
    <w:rPr>
      <w:i/>
      <w:iCs/>
      <w:smallCaps/>
      <w:spacing w:val="5"/>
    </w:rPr>
  </w:style>
  <w:style w:type="paragraph" w:customStyle="1" w:styleId="ECHRHeader">
    <w:name w:val="ECHR_Header"/>
    <w:aliases w:val="Ju_Header"/>
    <w:basedOn w:val="Header"/>
    <w:uiPriority w:val="4"/>
    <w:qFormat/>
    <w:rsid w:val="001D393E"/>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1D393E"/>
  </w:style>
  <w:style w:type="character" w:styleId="Strong">
    <w:name w:val="Strong"/>
    <w:uiPriority w:val="99"/>
    <w:semiHidden/>
    <w:qFormat/>
    <w:rsid w:val="001D393E"/>
    <w:rPr>
      <w:b/>
      <w:bCs/>
    </w:rPr>
  </w:style>
  <w:style w:type="paragraph" w:styleId="NoSpacing">
    <w:name w:val="No Spacing"/>
    <w:basedOn w:val="Normal"/>
    <w:link w:val="NoSpacingChar"/>
    <w:semiHidden/>
    <w:qFormat/>
    <w:rsid w:val="001D393E"/>
    <w:rPr>
      <w:sz w:val="22"/>
      <w:lang w:val="en-US"/>
    </w:rPr>
  </w:style>
  <w:style w:type="character" w:customStyle="1" w:styleId="NoSpacingChar">
    <w:name w:val="No Spacing Char"/>
    <w:basedOn w:val="DefaultParagraphFont"/>
    <w:link w:val="NoSpacing"/>
    <w:semiHidden/>
    <w:rsid w:val="001D393E"/>
    <w:rPr>
      <w:rFonts w:eastAsiaTheme="minorEastAsia"/>
    </w:rPr>
  </w:style>
  <w:style w:type="paragraph" w:customStyle="1" w:styleId="ECHRParaQuote">
    <w:name w:val="ECHR_Para_Quote"/>
    <w:aliases w:val="Ju_Quot"/>
    <w:basedOn w:val="Normal"/>
    <w:uiPriority w:val="14"/>
    <w:qFormat/>
    <w:rsid w:val="001D393E"/>
    <w:pPr>
      <w:spacing w:before="120" w:after="120"/>
      <w:ind w:left="425" w:firstLine="142"/>
    </w:pPr>
    <w:rPr>
      <w:sz w:val="20"/>
    </w:rPr>
  </w:style>
  <w:style w:type="paragraph" w:customStyle="1" w:styleId="DecList">
    <w:name w:val="Dec_List"/>
    <w:basedOn w:val="Normal"/>
    <w:uiPriority w:val="9"/>
    <w:semiHidden/>
    <w:qFormat/>
    <w:rsid w:val="001D393E"/>
    <w:pPr>
      <w:spacing w:before="240"/>
      <w:ind w:left="284"/>
    </w:pPr>
  </w:style>
  <w:style w:type="paragraph" w:customStyle="1" w:styleId="DummyStyle">
    <w:name w:val="Dummy_Style"/>
    <w:basedOn w:val="Normal"/>
    <w:semiHidden/>
    <w:qFormat/>
    <w:rsid w:val="001D393E"/>
    <w:rPr>
      <w:color w:val="00B050"/>
    </w:rPr>
  </w:style>
  <w:style w:type="paragraph" w:customStyle="1" w:styleId="JuAppQuestion">
    <w:name w:val="Ju_App_Question"/>
    <w:basedOn w:val="Normal"/>
    <w:uiPriority w:val="5"/>
    <w:semiHidden/>
    <w:qFormat/>
    <w:rsid w:val="001D393E"/>
    <w:pPr>
      <w:numPr>
        <w:numId w:val="34"/>
      </w:numPr>
      <w:jc w:val="left"/>
    </w:pPr>
    <w:rPr>
      <w:b/>
    </w:rPr>
  </w:style>
  <w:style w:type="paragraph" w:customStyle="1" w:styleId="JuCourt">
    <w:name w:val="Ju_Court"/>
    <w:basedOn w:val="Normal"/>
    <w:next w:val="Normal"/>
    <w:uiPriority w:val="16"/>
    <w:qFormat/>
    <w:rsid w:val="001D393E"/>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1D393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D393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1D393E"/>
    <w:pPr>
      <w:ind w:left="567"/>
    </w:pPr>
  </w:style>
  <w:style w:type="paragraph" w:customStyle="1" w:styleId="ECHRTitle1">
    <w:name w:val="ECHR_Title_1"/>
    <w:aliases w:val="Ju_H_Head"/>
    <w:basedOn w:val="Normal"/>
    <w:next w:val="ECHRPara"/>
    <w:uiPriority w:val="18"/>
    <w:qFormat/>
    <w:rsid w:val="001D393E"/>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1D393E"/>
    <w:pPr>
      <w:tabs>
        <w:tab w:val="center" w:pos="6407"/>
      </w:tabs>
      <w:spacing w:before="720"/>
      <w:jc w:val="right"/>
    </w:pPr>
  </w:style>
  <w:style w:type="paragraph" w:customStyle="1" w:styleId="JuSigned">
    <w:name w:val="Ju_Signed"/>
    <w:basedOn w:val="Normal"/>
    <w:next w:val="JuParaLast"/>
    <w:uiPriority w:val="32"/>
    <w:qFormat/>
    <w:rsid w:val="001D393E"/>
    <w:pPr>
      <w:tabs>
        <w:tab w:val="center" w:pos="851"/>
        <w:tab w:val="center" w:pos="6407"/>
      </w:tabs>
      <w:spacing w:before="720"/>
      <w:jc w:val="left"/>
    </w:pPr>
  </w:style>
  <w:style w:type="paragraph" w:styleId="Title">
    <w:name w:val="Title"/>
    <w:basedOn w:val="Normal"/>
    <w:next w:val="Normal"/>
    <w:link w:val="TitleChar"/>
    <w:uiPriority w:val="99"/>
    <w:semiHidden/>
    <w:qFormat/>
    <w:rsid w:val="001D393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D393E"/>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1D393E"/>
    <w:rPr>
      <w:caps w:val="0"/>
      <w:smallCaps/>
    </w:rPr>
  </w:style>
  <w:style w:type="paragraph" w:customStyle="1" w:styleId="JuParaSub">
    <w:name w:val="Ju_Para_Sub"/>
    <w:basedOn w:val="ECHRPara"/>
    <w:uiPriority w:val="13"/>
    <w:qFormat/>
    <w:rsid w:val="001D393E"/>
    <w:pPr>
      <w:ind w:left="284"/>
    </w:pPr>
  </w:style>
  <w:style w:type="character" w:customStyle="1" w:styleId="JuITMark">
    <w:name w:val="Ju_ITMark"/>
    <w:basedOn w:val="DefaultParagraphFont"/>
    <w:uiPriority w:val="38"/>
    <w:qFormat/>
    <w:rsid w:val="001D393E"/>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1D393E"/>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1D393E"/>
    <w:pPr>
      <w:ind w:left="635" w:hanging="357"/>
      <w:outlineLvl w:val="2"/>
    </w:pPr>
  </w:style>
  <w:style w:type="paragraph" w:customStyle="1" w:styleId="ECHRHeading1">
    <w:name w:val="ECHR_Heading_1"/>
    <w:aliases w:val="Ju_H_I_Roman"/>
    <w:basedOn w:val="Heading1"/>
    <w:next w:val="ECHRPara"/>
    <w:uiPriority w:val="19"/>
    <w:qFormat/>
    <w:rsid w:val="001D393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D393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1D393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1D393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D393E"/>
    <w:rPr>
      <w:sz w:val="24"/>
      <w:lang w:val="en-GB"/>
    </w:rPr>
  </w:style>
  <w:style w:type="character" w:customStyle="1" w:styleId="Heading1Char">
    <w:name w:val="Heading 1 Char"/>
    <w:basedOn w:val="DefaultParagraphFont"/>
    <w:link w:val="Heading1"/>
    <w:uiPriority w:val="99"/>
    <w:semiHidden/>
    <w:rsid w:val="001D393E"/>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1D393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D393E"/>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1D393E"/>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1D393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D393E"/>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1D393E"/>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1D393E"/>
    <w:pPr>
      <w:keepNext/>
      <w:keepLines/>
      <w:spacing w:before="240"/>
      <w:ind w:firstLine="284"/>
    </w:pPr>
  </w:style>
  <w:style w:type="paragraph" w:customStyle="1" w:styleId="JuList">
    <w:name w:val="Ju_List"/>
    <w:basedOn w:val="Normal"/>
    <w:uiPriority w:val="28"/>
    <w:qFormat/>
    <w:rsid w:val="001D393E"/>
    <w:pPr>
      <w:ind w:left="340" w:hanging="340"/>
    </w:pPr>
  </w:style>
  <w:style w:type="character" w:customStyle="1" w:styleId="Heading4Char">
    <w:name w:val="Heading 4 Char"/>
    <w:basedOn w:val="DefaultParagraphFont"/>
    <w:link w:val="Heading4"/>
    <w:uiPriority w:val="99"/>
    <w:semiHidden/>
    <w:rsid w:val="001D393E"/>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1D393E"/>
    <w:pPr>
      <w:ind w:left="346" w:firstLine="0"/>
    </w:pPr>
  </w:style>
  <w:style w:type="character" w:customStyle="1" w:styleId="Heading5Char">
    <w:name w:val="Heading 5 Char"/>
    <w:basedOn w:val="DefaultParagraphFont"/>
    <w:link w:val="Heading5"/>
    <w:uiPriority w:val="99"/>
    <w:semiHidden/>
    <w:rsid w:val="001D393E"/>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1D393E"/>
    <w:pPr>
      <w:ind w:left="794"/>
    </w:pPr>
  </w:style>
  <w:style w:type="paragraph" w:customStyle="1" w:styleId="OpiHa">
    <w:name w:val="Opi_H_a"/>
    <w:basedOn w:val="ECHRHeading3"/>
    <w:uiPriority w:val="43"/>
    <w:qFormat/>
    <w:rsid w:val="001D393E"/>
    <w:pPr>
      <w:ind w:left="833" w:hanging="357"/>
      <w:outlineLvl w:val="3"/>
    </w:pPr>
    <w:rPr>
      <w:b/>
      <w:i w:val="0"/>
      <w:sz w:val="20"/>
    </w:rPr>
  </w:style>
  <w:style w:type="character" w:styleId="SubtleEmphasis">
    <w:name w:val="Subtle Emphasis"/>
    <w:uiPriority w:val="99"/>
    <w:semiHidden/>
    <w:qFormat/>
    <w:rsid w:val="001D393E"/>
    <w:rPr>
      <w:i/>
      <w:iCs/>
    </w:rPr>
  </w:style>
  <w:style w:type="paragraph" w:customStyle="1" w:styleId="OpiHA0">
    <w:name w:val="Opi_H_A"/>
    <w:basedOn w:val="ECHRHeading1"/>
    <w:next w:val="OpiPara"/>
    <w:uiPriority w:val="41"/>
    <w:qFormat/>
    <w:rsid w:val="001D393E"/>
    <w:pPr>
      <w:tabs>
        <w:tab w:val="clear" w:pos="357"/>
      </w:tabs>
      <w:outlineLvl w:val="1"/>
    </w:pPr>
    <w:rPr>
      <w: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1D393E"/>
    <w:pPr>
      <w:ind w:left="1037" w:hanging="357"/>
      <w:outlineLvl w:val="4"/>
    </w:pPr>
    <w:rPr>
      <w:b w:val="0"/>
      <w:i/>
    </w:rPr>
  </w:style>
  <w:style w:type="paragraph" w:customStyle="1" w:styleId="OpiPara">
    <w:name w:val="Opi_Para"/>
    <w:basedOn w:val="ECHRPara"/>
    <w:uiPriority w:val="46"/>
    <w:qFormat/>
    <w:rsid w:val="001D393E"/>
  </w:style>
  <w:style w:type="paragraph" w:styleId="Subtitle">
    <w:name w:val="Subtitle"/>
    <w:basedOn w:val="Normal"/>
    <w:next w:val="Normal"/>
    <w:link w:val="SubtitleChar"/>
    <w:uiPriority w:val="99"/>
    <w:semiHidden/>
    <w:qFormat/>
    <w:rsid w:val="001D393E"/>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1D393E"/>
    <w:rPr>
      <w:b/>
      <w:bCs/>
      <w:i/>
      <w:iCs/>
      <w:spacing w:val="10"/>
      <w:bdr w:val="none" w:sz="0" w:space="0" w:color="auto"/>
      <w:shd w:val="clear" w:color="auto" w:fill="auto"/>
    </w:rPr>
  </w:style>
  <w:style w:type="paragraph" w:styleId="Footer">
    <w:name w:val="footer"/>
    <w:basedOn w:val="Normal"/>
    <w:link w:val="FooterChar"/>
    <w:uiPriority w:val="57"/>
    <w:semiHidden/>
    <w:rsid w:val="001D393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D393E"/>
    <w:rPr>
      <w:sz w:val="24"/>
      <w:lang w:val="en-GB"/>
    </w:rPr>
  </w:style>
  <w:style w:type="character" w:styleId="FootnoteReference">
    <w:name w:val="footnote reference"/>
    <w:basedOn w:val="DefaultParagraphFont"/>
    <w:uiPriority w:val="99"/>
    <w:semiHidden/>
    <w:rsid w:val="001D393E"/>
    <w:rPr>
      <w:vertAlign w:val="superscript"/>
    </w:rPr>
  </w:style>
  <w:style w:type="paragraph" w:styleId="FootnoteText">
    <w:name w:val="footnote text"/>
    <w:basedOn w:val="Normal"/>
    <w:link w:val="FootnoteTextChar"/>
    <w:uiPriority w:val="99"/>
    <w:semiHidden/>
    <w:rsid w:val="001D393E"/>
    <w:rPr>
      <w:sz w:val="20"/>
      <w:szCs w:val="20"/>
    </w:rPr>
  </w:style>
  <w:style w:type="character" w:customStyle="1" w:styleId="FootnoteTextChar">
    <w:name w:val="Footnote Text Char"/>
    <w:basedOn w:val="DefaultParagraphFont"/>
    <w:link w:val="FootnoteText"/>
    <w:uiPriority w:val="99"/>
    <w:semiHidden/>
    <w:rsid w:val="001D393E"/>
    <w:rPr>
      <w:rFonts w:eastAsiaTheme="minorEastAsia"/>
      <w:sz w:val="20"/>
      <w:szCs w:val="20"/>
      <w:lang w:val="en-GB"/>
    </w:rPr>
  </w:style>
  <w:style w:type="character" w:customStyle="1" w:styleId="Heading6Char">
    <w:name w:val="Heading 6 Char"/>
    <w:basedOn w:val="DefaultParagraphFont"/>
    <w:link w:val="Heading6"/>
    <w:uiPriority w:val="99"/>
    <w:semiHidden/>
    <w:rsid w:val="001D393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D393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D393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D393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D393E"/>
    <w:rPr>
      <w:color w:val="0072BC" w:themeColor="hyperlink"/>
      <w:u w:val="single"/>
    </w:rPr>
  </w:style>
  <w:style w:type="character" w:styleId="IntenseEmphasis">
    <w:name w:val="Intense Emphasis"/>
    <w:uiPriority w:val="99"/>
    <w:semiHidden/>
    <w:qFormat/>
    <w:rsid w:val="001D393E"/>
    <w:rPr>
      <w:b/>
      <w:bCs/>
    </w:rPr>
  </w:style>
  <w:style w:type="paragraph" w:styleId="IntenseQuote">
    <w:name w:val="Intense Quote"/>
    <w:basedOn w:val="Normal"/>
    <w:next w:val="Normal"/>
    <w:link w:val="IntenseQuoteChar"/>
    <w:uiPriority w:val="99"/>
    <w:semiHidden/>
    <w:qFormat/>
    <w:rsid w:val="001D393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D393E"/>
    <w:rPr>
      <w:rFonts w:eastAsiaTheme="minorEastAsia"/>
      <w:b/>
      <w:bCs/>
      <w:i/>
      <w:iCs/>
      <w:lang w:bidi="en-US"/>
    </w:rPr>
  </w:style>
  <w:style w:type="character" w:styleId="IntenseReference">
    <w:name w:val="Intense Reference"/>
    <w:uiPriority w:val="99"/>
    <w:semiHidden/>
    <w:qFormat/>
    <w:rsid w:val="001D393E"/>
    <w:rPr>
      <w:smallCaps/>
      <w:spacing w:val="5"/>
      <w:u w:val="single"/>
    </w:rPr>
  </w:style>
  <w:style w:type="paragraph" w:styleId="ListParagraph">
    <w:name w:val="List Paragraph"/>
    <w:basedOn w:val="Normal"/>
    <w:uiPriority w:val="99"/>
    <w:semiHidden/>
    <w:qFormat/>
    <w:rsid w:val="001D393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D393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D393E"/>
    <w:rPr>
      <w:rFonts w:eastAsiaTheme="minorEastAsia"/>
      <w:i/>
      <w:iCs/>
      <w:lang w:bidi="en-US"/>
    </w:rPr>
  </w:style>
  <w:style w:type="character" w:styleId="SubtleReference">
    <w:name w:val="Subtle Reference"/>
    <w:uiPriority w:val="99"/>
    <w:semiHidden/>
    <w:qFormat/>
    <w:rsid w:val="001D393E"/>
    <w:rPr>
      <w:smallCaps/>
    </w:rPr>
  </w:style>
  <w:style w:type="table" w:styleId="TableGrid">
    <w:name w:val="Table Grid"/>
    <w:basedOn w:val="TableNormal"/>
    <w:uiPriority w:val="59"/>
    <w:semiHidden/>
    <w:rsid w:val="001D393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D393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D393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D393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D393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D393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D393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D393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1D393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uiPriority w:val="12"/>
    <w:qFormat/>
    <w:rsid w:val="001D393E"/>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D393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D393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D393E"/>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1D393E"/>
    <w:rPr>
      <w:vertAlign w:val="superscript"/>
    </w:rPr>
  </w:style>
  <w:style w:type="paragraph" w:styleId="EndnoteText">
    <w:name w:val="endnote text"/>
    <w:basedOn w:val="Normal"/>
    <w:link w:val="EndnoteTextChar"/>
    <w:uiPriority w:val="99"/>
    <w:semiHidden/>
    <w:rsid w:val="001D393E"/>
    <w:rPr>
      <w:sz w:val="20"/>
      <w:szCs w:val="20"/>
    </w:rPr>
  </w:style>
  <w:style w:type="character" w:customStyle="1" w:styleId="EndnoteTextChar">
    <w:name w:val="Endnote Text Char"/>
    <w:basedOn w:val="DefaultParagraphFont"/>
    <w:link w:val="EndnoteText"/>
    <w:uiPriority w:val="99"/>
    <w:semiHidden/>
    <w:rsid w:val="001D393E"/>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1D393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D393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D393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OpiParaSub">
    <w:name w:val="Opi_Para_Sub"/>
    <w:basedOn w:val="JuParaSub"/>
    <w:uiPriority w:val="47"/>
    <w:qFormat/>
    <w:rsid w:val="001D393E"/>
  </w:style>
  <w:style w:type="paragraph" w:customStyle="1" w:styleId="OpiQuot">
    <w:name w:val="Opi_Quot"/>
    <w:basedOn w:val="ECHRParaQuote"/>
    <w:uiPriority w:val="48"/>
    <w:qFormat/>
    <w:rsid w:val="001D393E"/>
  </w:style>
  <w:style w:type="paragraph" w:customStyle="1" w:styleId="ECHRFooter">
    <w:name w:val="ECHR_Footer"/>
    <w:aliases w:val="Footer_ECHR"/>
    <w:basedOn w:val="Footer"/>
    <w:link w:val="ECHRFooterChar"/>
    <w:uiPriority w:val="57"/>
    <w:rsid w:val="001D393E"/>
    <w:pPr>
      <w:jc w:val="left"/>
    </w:pPr>
    <w:rPr>
      <w:sz w:val="8"/>
    </w:rPr>
  </w:style>
  <w:style w:type="paragraph" w:customStyle="1" w:styleId="ECHRFooterLine">
    <w:name w:val="ECHR_Footer_Line"/>
    <w:aliases w:val="Footer_Line"/>
    <w:basedOn w:val="Normal"/>
    <w:next w:val="ECHRFooter"/>
    <w:uiPriority w:val="57"/>
    <w:semiHidden/>
    <w:rsid w:val="001D393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1D393E"/>
    <w:pPr>
      <w:spacing w:after="240"/>
      <w:jc w:val="center"/>
      <w:outlineLvl w:val="0"/>
    </w:pPr>
    <w:rPr>
      <w:rFonts w:asciiTheme="majorHAnsi" w:hAnsiTheme="majorHAnsi"/>
    </w:rPr>
  </w:style>
  <w:style w:type="paragraph" w:customStyle="1" w:styleId="OpiQuotSub">
    <w:name w:val="Opi_Quot_Sub"/>
    <w:basedOn w:val="JuQuotSub"/>
    <w:uiPriority w:val="49"/>
    <w:qFormat/>
    <w:rsid w:val="001D393E"/>
  </w:style>
  <w:style w:type="paragraph" w:customStyle="1" w:styleId="JuHeaderLandscape">
    <w:name w:val="Ju_Header_Landscape"/>
    <w:basedOn w:val="ECHRHeader"/>
    <w:uiPriority w:val="4"/>
    <w:qFormat/>
    <w:rsid w:val="001D393E"/>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1D393E"/>
    <w:pPr>
      <w:jc w:val="center"/>
      <w:outlineLvl w:val="0"/>
    </w:pPr>
    <w:rPr>
      <w:i/>
    </w:rPr>
  </w:style>
  <w:style w:type="paragraph" w:customStyle="1" w:styleId="ECHRSpacer">
    <w:name w:val="ECHR_Spacer"/>
    <w:basedOn w:val="Normal"/>
    <w:uiPriority w:val="45"/>
    <w:rsid w:val="00E14498"/>
    <w:pPr>
      <w:jc w:val="left"/>
    </w:pPr>
    <w:rPr>
      <w:rFonts w:eastAsiaTheme="minorHAnsi"/>
      <w:sz w:val="4"/>
    </w:rPr>
  </w:style>
  <w:style w:type="character" w:customStyle="1" w:styleId="ECHRFooterChar">
    <w:name w:val="ECHR_Footer Char"/>
    <w:basedOn w:val="DefaultParagraphFont"/>
    <w:link w:val="ECHRFooter"/>
    <w:uiPriority w:val="57"/>
    <w:rsid w:val="00E14498"/>
    <w:rPr>
      <w:sz w:val="8"/>
      <w:lang w:val="en-GB"/>
    </w:rPr>
  </w:style>
  <w:style w:type="paragraph" w:customStyle="1" w:styleId="jupara">
    <w:name w:val="jupara"/>
    <w:basedOn w:val="Normal"/>
    <w:rsid w:val="00F651D2"/>
    <w:pPr>
      <w:ind w:firstLine="284"/>
    </w:pPr>
    <w:rPr>
      <w:rFonts w:ascii="Times New Roman" w:eastAsia="Times New Roman" w:hAnsi="Times New Roman" w:cs="Times New Roman"/>
      <w:szCs w:val="24"/>
      <w:lang w:eastAsia="en-GB"/>
    </w:rPr>
  </w:style>
  <w:style w:type="paragraph" w:customStyle="1" w:styleId="jucase0">
    <w:name w:val="jucase"/>
    <w:basedOn w:val="Normal"/>
    <w:rsid w:val="00F651D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3D49E4-733A-4437-B333-4DC0BDAFB98F}"/>
</file>

<file path=customXml/itemProps2.xml><?xml version="1.0" encoding="utf-8"?>
<ds:datastoreItem xmlns:ds="http://schemas.openxmlformats.org/officeDocument/2006/customXml" ds:itemID="{D727626B-79E9-4FE2-BB03-04F5654CF553}"/>
</file>

<file path=customXml/itemProps3.xml><?xml version="1.0" encoding="utf-8"?>
<ds:datastoreItem xmlns:ds="http://schemas.openxmlformats.org/officeDocument/2006/customXml" ds:itemID="{9A6740E9-0145-4702-9D5B-97D82B3DB0AF}"/>
</file>

<file path=customXml/itemProps4.xml><?xml version="1.0" encoding="utf-8"?>
<ds:datastoreItem xmlns:ds="http://schemas.openxmlformats.org/officeDocument/2006/customXml" ds:itemID="{A42DC789-E91A-4B3A-9294-83E39CFAC373}"/>
</file>

<file path=docProps/app.xml><?xml version="1.0" encoding="utf-8"?>
<Properties xmlns="http://schemas.openxmlformats.org/officeDocument/2006/extended-properties" xmlns:vt="http://schemas.openxmlformats.org/officeDocument/2006/docPropsVTypes">
  <Template>Normal.dotm</Template>
  <TotalTime>0</TotalTime>
  <Pages>1</Pages>
  <Words>4941</Words>
  <Characters>28168</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33043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2019-08-31T10:30:00Z</dcterms:created>
  <dcterms:modified xsi:type="dcterms:W3CDTF">2019-08-31T10:30:00Z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35098/12</vt:lpwstr>
  </property>
  <property fmtid="{D5CDD505-2E9C-101B-9397-08002B2CF9AE}" pid="4" name="CASEID">
    <vt:lpwstr>803741</vt:lpwstr>
  </property>
  <property fmtid="{D5CDD505-2E9C-101B-9397-08002B2CF9AE}" pid="5" name="ContentTypeId">
    <vt:lpwstr>0x010100558EB02BDB9E204AB350EDD385B68E10</vt:lpwstr>
  </property>
</Properties>
</file>