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232C2" w:rsidR="002D2C99" w:rsidP="000232C2" w:rsidRDefault="002D2C99">
      <w:pPr>
        <w:pStyle w:val="ECHRDecisionBody"/>
        <w:jc w:val="center"/>
        <w:rPr>
          <w:lang w:val="fr-FR"/>
        </w:rPr>
      </w:pPr>
      <w:bookmarkStart w:name="_GoBack" w:id="0"/>
      <w:bookmarkEnd w:id="0"/>
    </w:p>
    <w:p w:rsidRPr="000232C2" w:rsidR="00DE50E0" w:rsidP="000232C2" w:rsidRDefault="00DE50E0">
      <w:pPr>
        <w:pStyle w:val="ECHRDecisionBody"/>
        <w:jc w:val="center"/>
        <w:rPr>
          <w:lang w:val="fr-FR"/>
        </w:rPr>
      </w:pPr>
    </w:p>
    <w:p w:rsidRPr="000232C2" w:rsidR="002D2C99" w:rsidP="000232C2" w:rsidRDefault="002D2C99">
      <w:pPr>
        <w:jc w:val="center"/>
        <w:rPr>
          <w:lang w:val="fr-FR"/>
        </w:rPr>
      </w:pPr>
    </w:p>
    <w:p w:rsidRPr="000232C2" w:rsidR="002D2C99" w:rsidP="000232C2" w:rsidRDefault="006C3F03">
      <w:pPr>
        <w:tabs>
          <w:tab w:val="left" w:pos="5529"/>
        </w:tabs>
        <w:jc w:val="center"/>
        <w:rPr>
          <w:lang w:val="fr-FR"/>
        </w:rPr>
      </w:pPr>
      <w:r w:rsidRPr="000232C2">
        <w:rPr>
          <w:lang w:val="fr-FR"/>
        </w:rPr>
        <w:t>DEUXIÈME SECTION</w:t>
      </w:r>
    </w:p>
    <w:p w:rsidRPr="000232C2" w:rsidR="002D2C99" w:rsidP="000232C2" w:rsidRDefault="002D2C99">
      <w:pPr>
        <w:jc w:val="center"/>
        <w:rPr>
          <w:lang w:val="fr-FR"/>
        </w:rPr>
      </w:pPr>
    </w:p>
    <w:p w:rsidRPr="000232C2" w:rsidR="002D2C99" w:rsidP="000232C2" w:rsidRDefault="002D2C99">
      <w:pPr>
        <w:jc w:val="center"/>
        <w:rPr>
          <w:lang w:val="fr-FR"/>
        </w:rPr>
      </w:pPr>
    </w:p>
    <w:p w:rsidRPr="000232C2" w:rsidR="002D2C99" w:rsidP="000232C2" w:rsidRDefault="002D2C99">
      <w:pPr>
        <w:jc w:val="center"/>
        <w:rPr>
          <w:lang w:val="fr-FR"/>
        </w:rPr>
      </w:pPr>
    </w:p>
    <w:p w:rsidRPr="000232C2" w:rsidR="00E40F3F" w:rsidP="000232C2" w:rsidRDefault="00E40F3F">
      <w:pPr>
        <w:jc w:val="center"/>
        <w:rPr>
          <w:lang w:val="fr-FR"/>
        </w:rPr>
      </w:pPr>
    </w:p>
    <w:p w:rsidRPr="000232C2" w:rsidR="00E40F3F" w:rsidP="000232C2" w:rsidRDefault="00E40F3F">
      <w:pPr>
        <w:jc w:val="center"/>
        <w:rPr>
          <w:lang w:val="fr-FR"/>
        </w:rPr>
      </w:pPr>
    </w:p>
    <w:p w:rsidRPr="000232C2" w:rsidR="002D2C99" w:rsidP="000232C2" w:rsidRDefault="002D2C99">
      <w:pPr>
        <w:jc w:val="center"/>
        <w:rPr>
          <w:lang w:val="fr-FR"/>
        </w:rPr>
      </w:pPr>
    </w:p>
    <w:p w:rsidRPr="000232C2" w:rsidR="002D2C99" w:rsidP="000232C2" w:rsidRDefault="002D2C99">
      <w:pPr>
        <w:jc w:val="center"/>
        <w:rPr>
          <w:lang w:val="fr-FR"/>
        </w:rPr>
      </w:pPr>
    </w:p>
    <w:p w:rsidRPr="000232C2" w:rsidR="002D2C99" w:rsidP="000232C2" w:rsidRDefault="002D2C99">
      <w:pPr>
        <w:jc w:val="center"/>
        <w:outlineLvl w:val="0"/>
        <w:rPr>
          <w:b/>
          <w:lang w:val="fr-FR"/>
        </w:rPr>
      </w:pPr>
      <w:r w:rsidRPr="000232C2">
        <w:rPr>
          <w:b/>
          <w:lang w:val="fr-FR"/>
        </w:rPr>
        <w:t xml:space="preserve">AFFAIRE </w:t>
      </w:r>
      <w:r w:rsidRPr="000232C2" w:rsidR="006C3F03">
        <w:rPr>
          <w:b/>
          <w:lang w:val="fr-FR"/>
        </w:rPr>
        <w:t>ALGÜL ET AUTRES c. TURQUIE</w:t>
      </w:r>
    </w:p>
    <w:p w:rsidRPr="000232C2" w:rsidR="002D2C99" w:rsidP="000232C2" w:rsidRDefault="002D2C99">
      <w:pPr>
        <w:jc w:val="center"/>
        <w:rPr>
          <w:lang w:val="fr-FR"/>
        </w:rPr>
      </w:pPr>
    </w:p>
    <w:p w:rsidRPr="000232C2" w:rsidR="002D2C99" w:rsidP="000232C2" w:rsidRDefault="002D2C99">
      <w:pPr>
        <w:jc w:val="center"/>
        <w:rPr>
          <w:i/>
          <w:lang w:val="fr-FR"/>
        </w:rPr>
      </w:pPr>
      <w:r w:rsidRPr="000232C2">
        <w:rPr>
          <w:i/>
          <w:lang w:val="fr-FR"/>
        </w:rPr>
        <w:t>(Requête n</w:t>
      </w:r>
      <w:r w:rsidRPr="000232C2">
        <w:rPr>
          <w:i/>
          <w:vertAlign w:val="superscript"/>
          <w:lang w:val="fr-FR"/>
        </w:rPr>
        <w:t>o</w:t>
      </w:r>
      <w:r w:rsidRPr="000232C2">
        <w:rPr>
          <w:i/>
          <w:lang w:val="fr-FR"/>
        </w:rPr>
        <w:t xml:space="preserve"> </w:t>
      </w:r>
      <w:r w:rsidRPr="000232C2" w:rsidR="006C3F03">
        <w:rPr>
          <w:i/>
          <w:lang w:val="fr-FR"/>
        </w:rPr>
        <w:t>59864/12</w:t>
      </w:r>
      <w:r w:rsidRPr="000232C2">
        <w:rPr>
          <w:i/>
          <w:lang w:val="fr-FR"/>
        </w:rPr>
        <w:t>)</w:t>
      </w:r>
    </w:p>
    <w:p w:rsidRPr="000232C2" w:rsidR="002D2C99" w:rsidP="000232C2" w:rsidRDefault="002D2C99">
      <w:pPr>
        <w:jc w:val="center"/>
        <w:rPr>
          <w:lang w:val="fr-FR"/>
        </w:rPr>
      </w:pPr>
    </w:p>
    <w:p w:rsidRPr="000232C2" w:rsidR="002D2C99" w:rsidP="000232C2" w:rsidRDefault="002D2C99">
      <w:pPr>
        <w:jc w:val="center"/>
        <w:rPr>
          <w:lang w:val="fr-FR"/>
        </w:rPr>
      </w:pPr>
    </w:p>
    <w:p w:rsidRPr="000232C2" w:rsidR="002D2C99" w:rsidP="000232C2" w:rsidRDefault="002D2C99">
      <w:pPr>
        <w:jc w:val="center"/>
        <w:rPr>
          <w:lang w:val="fr-FR"/>
        </w:rPr>
      </w:pPr>
    </w:p>
    <w:p w:rsidRPr="000232C2" w:rsidR="000232C2" w:rsidP="000232C2" w:rsidRDefault="000232C2">
      <w:pPr>
        <w:jc w:val="center"/>
        <w:rPr>
          <w:lang w:val="fr-FR"/>
        </w:rPr>
      </w:pPr>
    </w:p>
    <w:p w:rsidRPr="000232C2" w:rsidR="000232C2" w:rsidP="000232C2" w:rsidRDefault="000232C2">
      <w:pPr>
        <w:jc w:val="center"/>
        <w:rPr>
          <w:lang w:val="fr-FR"/>
        </w:rPr>
      </w:pPr>
    </w:p>
    <w:p w:rsidRPr="000232C2" w:rsidR="002D2C99" w:rsidP="000232C2" w:rsidRDefault="002D2C99">
      <w:pPr>
        <w:jc w:val="center"/>
        <w:rPr>
          <w:lang w:val="fr-FR"/>
        </w:rPr>
      </w:pPr>
    </w:p>
    <w:p w:rsidRPr="000232C2" w:rsidR="002D2C99" w:rsidP="000232C2" w:rsidRDefault="002D2C99">
      <w:pPr>
        <w:jc w:val="center"/>
        <w:rPr>
          <w:lang w:val="fr-FR"/>
        </w:rPr>
      </w:pPr>
    </w:p>
    <w:p w:rsidRPr="000232C2" w:rsidR="002D2C99" w:rsidP="000232C2" w:rsidRDefault="002D2C99">
      <w:pPr>
        <w:jc w:val="center"/>
        <w:outlineLvl w:val="0"/>
        <w:rPr>
          <w:lang w:val="fr-FR"/>
        </w:rPr>
      </w:pPr>
      <w:r w:rsidRPr="000232C2">
        <w:rPr>
          <w:lang w:val="fr-FR"/>
        </w:rPr>
        <w:t>ARRÊT</w:t>
      </w:r>
    </w:p>
    <w:p w:rsidRPr="000232C2" w:rsidR="002D2C99" w:rsidP="000232C2" w:rsidRDefault="002D2C99">
      <w:pPr>
        <w:jc w:val="center"/>
        <w:rPr>
          <w:lang w:val="fr-FR"/>
        </w:rPr>
      </w:pPr>
    </w:p>
    <w:p w:rsidRPr="000232C2" w:rsidR="006C3F03" w:rsidP="000232C2" w:rsidRDefault="006C3F03">
      <w:pPr>
        <w:jc w:val="center"/>
        <w:rPr>
          <w:i/>
          <w:lang w:val="fr-FR"/>
        </w:rPr>
      </w:pPr>
    </w:p>
    <w:p w:rsidRPr="000232C2" w:rsidR="002D2C99" w:rsidP="000232C2" w:rsidRDefault="002D2C99">
      <w:pPr>
        <w:jc w:val="center"/>
        <w:outlineLvl w:val="0"/>
        <w:rPr>
          <w:lang w:val="fr-FR"/>
        </w:rPr>
      </w:pPr>
      <w:r w:rsidRPr="000232C2">
        <w:rPr>
          <w:lang w:val="fr-FR"/>
        </w:rPr>
        <w:t>STRASBOURG</w:t>
      </w:r>
    </w:p>
    <w:p w:rsidRPr="000232C2" w:rsidR="002D2C99" w:rsidP="000232C2" w:rsidRDefault="002D2C99">
      <w:pPr>
        <w:jc w:val="center"/>
        <w:rPr>
          <w:lang w:val="fr-FR"/>
        </w:rPr>
      </w:pPr>
    </w:p>
    <w:p w:rsidRPr="000232C2" w:rsidR="002D2C99" w:rsidP="000232C2" w:rsidRDefault="006C3F03">
      <w:pPr>
        <w:jc w:val="center"/>
        <w:rPr>
          <w:lang w:val="fr-FR"/>
        </w:rPr>
      </w:pPr>
      <w:r w:rsidRPr="000232C2">
        <w:rPr>
          <w:lang w:val="fr-FR"/>
        </w:rPr>
        <w:t>5 février 2019</w:t>
      </w:r>
    </w:p>
    <w:p w:rsidRPr="000232C2" w:rsidR="002D2C99" w:rsidP="000232C2" w:rsidRDefault="002D2C99">
      <w:pPr>
        <w:jc w:val="center"/>
        <w:rPr>
          <w:lang w:val="fr-FR"/>
        </w:rPr>
      </w:pPr>
    </w:p>
    <w:p w:rsidRPr="000232C2" w:rsidR="00BC2406" w:rsidP="000232C2" w:rsidRDefault="00BC2406">
      <w:pPr>
        <w:jc w:val="center"/>
        <w:rPr>
          <w:lang w:val="fr-FR"/>
        </w:rPr>
      </w:pPr>
    </w:p>
    <w:p w:rsidRPr="000232C2" w:rsidR="000232C2" w:rsidP="000232C2" w:rsidRDefault="000232C2">
      <w:pPr>
        <w:jc w:val="center"/>
        <w:rPr>
          <w:lang w:val="fr-FR"/>
        </w:rPr>
      </w:pPr>
    </w:p>
    <w:p w:rsidRPr="000232C2" w:rsidR="000232C2" w:rsidP="000232C2" w:rsidRDefault="000232C2">
      <w:pPr>
        <w:pStyle w:val="jucase0"/>
        <w:ind w:firstLine="0"/>
        <w:jc w:val="center"/>
        <w:rPr>
          <w:color w:val="FF0000"/>
          <w:sz w:val="28"/>
          <w:szCs w:val="28"/>
          <w:u w:val="single"/>
          <w:lang w:val="fr-FR"/>
        </w:rPr>
      </w:pPr>
      <w:r w:rsidRPr="000232C2">
        <w:rPr>
          <w:color w:val="FF0000"/>
          <w:sz w:val="28"/>
          <w:szCs w:val="28"/>
          <w:u w:val="single"/>
          <w:lang w:val="fr-FR"/>
        </w:rPr>
        <w:t>DÉFINITIF</w:t>
      </w:r>
    </w:p>
    <w:p w:rsidRPr="000232C2" w:rsidR="000232C2" w:rsidP="000232C2" w:rsidRDefault="000232C2">
      <w:pPr>
        <w:pStyle w:val="jupara"/>
        <w:tabs>
          <w:tab w:val="left" w:pos="3450"/>
        </w:tabs>
        <w:ind w:firstLine="0"/>
        <w:jc w:val="center"/>
        <w:rPr>
          <w:color w:val="FF0000"/>
          <w:sz w:val="28"/>
          <w:szCs w:val="28"/>
          <w:lang w:val="fr-FR"/>
        </w:rPr>
      </w:pPr>
    </w:p>
    <w:p w:rsidRPr="000232C2" w:rsidR="000232C2" w:rsidP="000232C2" w:rsidRDefault="000232C2">
      <w:pPr>
        <w:pStyle w:val="jupara"/>
        <w:ind w:firstLine="0"/>
        <w:jc w:val="center"/>
        <w:rPr>
          <w:color w:val="FF0000"/>
          <w:sz w:val="28"/>
          <w:szCs w:val="28"/>
          <w:lang w:val="fr-FR"/>
        </w:rPr>
      </w:pPr>
      <w:r w:rsidRPr="000232C2">
        <w:rPr>
          <w:color w:val="FF0000"/>
          <w:sz w:val="28"/>
          <w:szCs w:val="28"/>
          <w:lang w:val="fr-FR"/>
        </w:rPr>
        <w:t>24/06/2019</w:t>
      </w:r>
    </w:p>
    <w:p w:rsidRPr="000232C2" w:rsidR="000232C2" w:rsidP="000232C2" w:rsidRDefault="000232C2">
      <w:pPr>
        <w:pStyle w:val="jupara"/>
        <w:ind w:firstLine="0"/>
        <w:jc w:val="center"/>
        <w:rPr>
          <w:u w:val="single"/>
          <w:lang w:val="fr-FR"/>
        </w:rPr>
      </w:pPr>
    </w:p>
    <w:p w:rsidRPr="000232C2" w:rsidR="000232C2" w:rsidP="000232C2" w:rsidRDefault="000232C2">
      <w:pPr>
        <w:pStyle w:val="jupara"/>
        <w:ind w:firstLine="0"/>
        <w:jc w:val="center"/>
        <w:rPr>
          <w:u w:val="single"/>
          <w:lang w:val="fr-FR"/>
        </w:rPr>
      </w:pPr>
    </w:p>
    <w:p w:rsidRPr="000232C2" w:rsidR="000232C2" w:rsidP="000232C2" w:rsidRDefault="000232C2">
      <w:pPr>
        <w:pStyle w:val="jupara"/>
        <w:ind w:firstLine="0"/>
        <w:jc w:val="center"/>
        <w:rPr>
          <w:u w:val="single"/>
          <w:lang w:val="fr-FR"/>
        </w:rPr>
      </w:pPr>
    </w:p>
    <w:p w:rsidRPr="000232C2" w:rsidR="002D2C99" w:rsidP="000232C2" w:rsidRDefault="000232C2">
      <w:pPr>
        <w:jc w:val="left"/>
        <w:rPr>
          <w:i/>
          <w:lang w:val="fr-FR"/>
        </w:rPr>
      </w:pPr>
      <w:r w:rsidRPr="000232C2">
        <w:rPr>
          <w:i/>
          <w:iCs/>
          <w:sz w:val="22"/>
          <w:lang w:val="fr-FR"/>
        </w:rPr>
        <w:t>Cet arrêt est devenu définitif en vertu de l’article 44 § 2 de la Convention. Il peut subir des retouches de forme.</w:t>
      </w:r>
    </w:p>
    <w:p w:rsidRPr="000232C2" w:rsidR="002D2C99" w:rsidP="000232C2" w:rsidRDefault="002D2C99">
      <w:pPr>
        <w:rPr>
          <w:lang w:val="fr-FR"/>
        </w:rPr>
        <w:sectPr w:rsidRPr="000232C2" w:rsidR="002D2C99" w:rsidSect="00F5432B">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0232C2" w:rsidR="002D2C99" w:rsidP="000232C2" w:rsidRDefault="002D2C99">
      <w:pPr>
        <w:pStyle w:val="JuCase"/>
        <w:rPr>
          <w:lang w:val="fr-FR"/>
        </w:rPr>
      </w:pPr>
      <w:r w:rsidRPr="000232C2">
        <w:rPr>
          <w:lang w:val="fr-FR"/>
        </w:rPr>
        <w:t>En l</w:t>
      </w:r>
      <w:r w:rsidRPr="000232C2" w:rsidR="000232C2">
        <w:rPr>
          <w:lang w:val="fr-FR"/>
        </w:rPr>
        <w:t>’</w:t>
      </w:r>
      <w:r w:rsidRPr="000232C2">
        <w:rPr>
          <w:lang w:val="fr-FR"/>
        </w:rPr>
        <w:t xml:space="preserve">affaire </w:t>
      </w:r>
      <w:r w:rsidRPr="000232C2" w:rsidR="006C3F03">
        <w:rPr>
          <w:lang w:val="fr-FR"/>
        </w:rPr>
        <w:t>Algül et autres c. Turquie</w:t>
      </w:r>
      <w:r w:rsidRPr="000232C2">
        <w:rPr>
          <w:lang w:val="fr-FR"/>
        </w:rPr>
        <w:t>,</w:t>
      </w:r>
    </w:p>
    <w:p w:rsidRPr="000232C2" w:rsidR="006C3F03" w:rsidP="000232C2" w:rsidRDefault="006C3F03">
      <w:pPr>
        <w:pStyle w:val="ECHRPara"/>
        <w:rPr>
          <w:lang w:val="fr-FR"/>
        </w:rPr>
      </w:pPr>
      <w:r w:rsidRPr="000232C2">
        <w:rPr>
          <w:lang w:val="fr-FR"/>
        </w:rPr>
        <w:t>La Cour européenne des droits de l</w:t>
      </w:r>
      <w:r w:rsidRPr="000232C2" w:rsidR="000232C2">
        <w:rPr>
          <w:lang w:val="fr-FR"/>
        </w:rPr>
        <w:t>’</w:t>
      </w:r>
      <w:r w:rsidRPr="000232C2">
        <w:rPr>
          <w:lang w:val="fr-FR"/>
        </w:rPr>
        <w:t>homme (deuxième section), siégeant en une chambre composée de :</w:t>
      </w:r>
    </w:p>
    <w:p w:rsidRPr="000232C2" w:rsidR="006C3F03" w:rsidP="000232C2" w:rsidRDefault="00014B4C">
      <w:pPr>
        <w:pStyle w:val="ECHRDecisionBody"/>
        <w:rPr>
          <w:lang w:val="fr-FR"/>
        </w:rPr>
      </w:pPr>
      <w:r w:rsidRPr="000232C2">
        <w:rPr>
          <w:lang w:val="fr-FR"/>
        </w:rPr>
        <w:tab/>
        <w:t>Robert Spano,</w:t>
      </w:r>
      <w:r w:rsidRPr="000232C2">
        <w:rPr>
          <w:i/>
          <w:lang w:val="fr-FR"/>
        </w:rPr>
        <w:t xml:space="preserve"> président,</w:t>
      </w:r>
      <w:r w:rsidRPr="000232C2">
        <w:rPr>
          <w:i/>
          <w:lang w:val="fr-FR"/>
        </w:rPr>
        <w:br/>
      </w:r>
      <w:r w:rsidRPr="000232C2">
        <w:rPr>
          <w:lang w:val="fr-FR"/>
        </w:rPr>
        <w:tab/>
        <w:t>Paul Lemmens,</w:t>
      </w:r>
      <w:r w:rsidRPr="000232C2">
        <w:rPr>
          <w:i/>
          <w:lang w:val="fr-FR"/>
        </w:rPr>
        <w:br/>
      </w:r>
      <w:r w:rsidRPr="000232C2">
        <w:rPr>
          <w:lang w:val="fr-FR"/>
        </w:rPr>
        <w:tab/>
        <w:t>Işıl Karakaş,</w:t>
      </w:r>
      <w:r w:rsidRPr="000232C2">
        <w:rPr>
          <w:i/>
          <w:lang w:val="fr-FR"/>
        </w:rPr>
        <w:br/>
      </w:r>
      <w:r w:rsidRPr="000232C2">
        <w:rPr>
          <w:lang w:val="fr-FR"/>
        </w:rPr>
        <w:tab/>
        <w:t>Valeriu Griţco,</w:t>
      </w:r>
      <w:r w:rsidRPr="000232C2">
        <w:rPr>
          <w:i/>
          <w:lang w:val="fr-FR"/>
        </w:rPr>
        <w:br/>
      </w:r>
      <w:r w:rsidRPr="000232C2">
        <w:rPr>
          <w:lang w:val="fr-FR"/>
        </w:rPr>
        <w:tab/>
        <w:t>Jon Fridrik Kjølbro,</w:t>
      </w:r>
      <w:r w:rsidRPr="000232C2">
        <w:rPr>
          <w:i/>
          <w:lang w:val="fr-FR"/>
        </w:rPr>
        <w:br/>
      </w:r>
      <w:r w:rsidRPr="000232C2">
        <w:rPr>
          <w:lang w:val="fr-FR"/>
        </w:rPr>
        <w:tab/>
        <w:t>Ivana Jelić,</w:t>
      </w:r>
      <w:r w:rsidRPr="000232C2">
        <w:rPr>
          <w:i/>
          <w:lang w:val="fr-FR"/>
        </w:rPr>
        <w:br/>
      </w:r>
      <w:r w:rsidRPr="000232C2">
        <w:rPr>
          <w:lang w:val="fr-FR"/>
        </w:rPr>
        <w:tab/>
        <w:t>Darian Pavli,</w:t>
      </w:r>
      <w:r w:rsidRPr="000232C2">
        <w:rPr>
          <w:i/>
          <w:lang w:val="fr-FR"/>
        </w:rPr>
        <w:t xml:space="preserve"> juges,</w:t>
      </w:r>
      <w:r w:rsidRPr="000232C2">
        <w:rPr>
          <w:i/>
          <w:lang w:val="fr-FR"/>
        </w:rPr>
        <w:br/>
      </w:r>
      <w:r w:rsidRPr="000232C2" w:rsidR="006C3F03">
        <w:rPr>
          <w:lang w:val="fr-FR"/>
        </w:rPr>
        <w:t xml:space="preserve">et de </w:t>
      </w:r>
      <w:r w:rsidRPr="000232C2" w:rsidR="00DE50E0">
        <w:rPr>
          <w:rStyle w:val="JuJudgesChar"/>
          <w:szCs w:val="24"/>
          <w:lang w:val="fr-FR"/>
        </w:rPr>
        <w:t xml:space="preserve">Hasan Bakırcı, </w:t>
      </w:r>
      <w:r w:rsidRPr="000232C2" w:rsidR="00DE50E0">
        <w:rPr>
          <w:i/>
          <w:szCs w:val="24"/>
          <w:lang w:val="fr-FR"/>
        </w:rPr>
        <w:t>greffier adjoint de section</w:t>
      </w:r>
      <w:r w:rsidRPr="000232C2" w:rsidR="006C3F03">
        <w:rPr>
          <w:lang w:val="fr-FR"/>
        </w:rPr>
        <w:t>,</w:t>
      </w:r>
    </w:p>
    <w:p w:rsidRPr="000232C2" w:rsidR="006C3F03" w:rsidP="000232C2" w:rsidRDefault="006C3F03">
      <w:pPr>
        <w:pStyle w:val="ECHRPara"/>
        <w:rPr>
          <w:lang w:val="fr-FR"/>
        </w:rPr>
      </w:pPr>
      <w:r w:rsidRPr="000232C2">
        <w:rPr>
          <w:lang w:val="fr-FR"/>
        </w:rPr>
        <w:t xml:space="preserve">Après en avoir délibéré en chambre du conseil le </w:t>
      </w:r>
      <w:r w:rsidRPr="000232C2" w:rsidR="00014B4C">
        <w:rPr>
          <w:lang w:val="fr-FR"/>
        </w:rPr>
        <w:t>15 janvier 2019</w:t>
      </w:r>
      <w:r w:rsidRPr="000232C2">
        <w:rPr>
          <w:lang w:val="fr-FR"/>
        </w:rPr>
        <w:t>,</w:t>
      </w:r>
    </w:p>
    <w:p w:rsidRPr="000232C2" w:rsidR="006C3F03" w:rsidP="000232C2" w:rsidRDefault="006C3F03">
      <w:pPr>
        <w:pStyle w:val="ECHRPara"/>
        <w:rPr>
          <w:lang w:val="fr-FR"/>
        </w:rPr>
      </w:pPr>
      <w:r w:rsidRPr="000232C2">
        <w:rPr>
          <w:lang w:val="fr-FR"/>
        </w:rPr>
        <w:t>Rend l</w:t>
      </w:r>
      <w:r w:rsidRPr="000232C2" w:rsidR="000232C2">
        <w:rPr>
          <w:lang w:val="fr-FR"/>
        </w:rPr>
        <w:t>’</w:t>
      </w:r>
      <w:r w:rsidRPr="000232C2">
        <w:rPr>
          <w:lang w:val="fr-FR"/>
        </w:rPr>
        <w:t>arrêt que voici, adopté à cette date :</w:t>
      </w:r>
    </w:p>
    <w:p w:rsidRPr="000232C2" w:rsidR="006C3F03" w:rsidP="000232C2" w:rsidRDefault="006C3F03">
      <w:pPr>
        <w:pStyle w:val="ECHRTitle1"/>
        <w:rPr>
          <w:lang w:val="fr-FR"/>
        </w:rPr>
      </w:pPr>
      <w:r w:rsidRPr="000232C2">
        <w:rPr>
          <w:lang w:val="fr-FR"/>
        </w:rPr>
        <w:t>PROCÉDURE</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1</w:t>
      </w:r>
      <w:r w:rsidRPr="000232C2">
        <w:fldChar w:fldCharType="end"/>
      </w:r>
      <w:r w:rsidRPr="000232C2">
        <w:rPr>
          <w:lang w:val="fr-FR"/>
        </w:rPr>
        <w:t>.  À l</w:t>
      </w:r>
      <w:r w:rsidRPr="000232C2" w:rsidR="000232C2">
        <w:rPr>
          <w:lang w:val="fr-FR"/>
        </w:rPr>
        <w:t>’</w:t>
      </w:r>
      <w:r w:rsidRPr="000232C2">
        <w:rPr>
          <w:lang w:val="fr-FR"/>
        </w:rPr>
        <w:t>origine de l</w:t>
      </w:r>
      <w:r w:rsidRPr="000232C2" w:rsidR="000232C2">
        <w:rPr>
          <w:lang w:val="fr-FR"/>
        </w:rPr>
        <w:t>’</w:t>
      </w:r>
      <w:r w:rsidRPr="000232C2">
        <w:rPr>
          <w:lang w:val="fr-FR"/>
        </w:rPr>
        <w:t>affaire se trouve une requête (n</w:t>
      </w:r>
      <w:r w:rsidRPr="000232C2">
        <w:rPr>
          <w:vertAlign w:val="superscript"/>
          <w:lang w:val="fr-FR"/>
        </w:rPr>
        <w:t>o</w:t>
      </w:r>
      <w:r w:rsidRPr="000232C2">
        <w:rPr>
          <w:lang w:val="fr-FR"/>
        </w:rPr>
        <w:t xml:space="preserve"> 59864/12) dirigée contre la République de Turquie et dont sept ressortissants de cet </w:t>
      </w:r>
      <w:r w:rsidRPr="000232C2">
        <w:rPr>
          <w:rFonts w:cstheme="minorHAnsi"/>
          <w:lang w:val="fr-FR"/>
        </w:rPr>
        <w:t>É</w:t>
      </w:r>
      <w:r w:rsidRPr="000232C2">
        <w:rPr>
          <w:lang w:val="fr-FR"/>
        </w:rPr>
        <w:t>tat, MM. </w:t>
      </w:r>
      <w:r w:rsidRPr="000232C2">
        <w:rPr>
          <w:rFonts w:cstheme="minorHAnsi"/>
          <w:lang w:val="fr-FR"/>
        </w:rPr>
        <w:t>İ</w:t>
      </w:r>
      <w:r w:rsidRPr="000232C2">
        <w:rPr>
          <w:lang w:val="fr-FR"/>
        </w:rPr>
        <w:t>lyas Algül, Cebrail Algül, Cem Algül, Mikail Algül et M</w:t>
      </w:r>
      <w:r w:rsidRPr="000232C2">
        <w:rPr>
          <w:vertAlign w:val="superscript"/>
          <w:lang w:val="fr-FR"/>
        </w:rPr>
        <w:t>mes</w:t>
      </w:r>
      <w:r w:rsidRPr="000232C2">
        <w:rPr>
          <w:lang w:val="fr-FR"/>
        </w:rPr>
        <w:t> Zülal Algül, Zeynep Avc</w:t>
      </w:r>
      <w:r w:rsidRPr="000232C2">
        <w:rPr>
          <w:rFonts w:cstheme="minorHAnsi"/>
          <w:lang w:val="fr-FR"/>
        </w:rPr>
        <w:t>ı</w:t>
      </w:r>
      <w:r w:rsidRPr="000232C2">
        <w:rPr>
          <w:lang w:val="fr-FR"/>
        </w:rPr>
        <w:t xml:space="preserve"> et Ay</w:t>
      </w:r>
      <w:r w:rsidRPr="000232C2">
        <w:rPr>
          <w:rFonts w:cstheme="minorHAnsi"/>
          <w:lang w:val="fr-FR"/>
        </w:rPr>
        <w:t>ş</w:t>
      </w:r>
      <w:r w:rsidRPr="000232C2">
        <w:rPr>
          <w:lang w:val="fr-FR"/>
        </w:rPr>
        <w:t xml:space="preserve">e </w:t>
      </w:r>
      <w:r w:rsidRPr="000232C2">
        <w:rPr>
          <w:rFonts w:cstheme="minorHAnsi"/>
          <w:lang w:val="fr-FR"/>
        </w:rPr>
        <w:t>Ç</w:t>
      </w:r>
      <w:r w:rsidRPr="000232C2">
        <w:rPr>
          <w:lang w:val="fr-FR"/>
        </w:rPr>
        <w:t>içek (« les requérants »), ont saisi la Cour le 16 juillet 2012 en vertu de l</w:t>
      </w:r>
      <w:r w:rsidRPr="000232C2" w:rsidR="000232C2">
        <w:rPr>
          <w:lang w:val="fr-FR"/>
        </w:rPr>
        <w:t>’</w:t>
      </w:r>
      <w:r w:rsidRPr="000232C2">
        <w:rPr>
          <w:lang w:val="fr-FR"/>
        </w:rPr>
        <w:t>article 34 de la Convention de sauvegarde des droits de l</w:t>
      </w:r>
      <w:r w:rsidRPr="000232C2" w:rsidR="000232C2">
        <w:rPr>
          <w:lang w:val="fr-FR"/>
        </w:rPr>
        <w:t>’</w:t>
      </w:r>
      <w:r w:rsidRPr="000232C2">
        <w:rPr>
          <w:lang w:val="fr-FR"/>
        </w:rPr>
        <w:t>homme et des libertés fondamentales (« la Convention »).</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2</w:t>
      </w:r>
      <w:r w:rsidRPr="000232C2">
        <w:fldChar w:fldCharType="end"/>
      </w:r>
      <w:r w:rsidRPr="000232C2">
        <w:rPr>
          <w:lang w:val="fr-FR"/>
        </w:rPr>
        <w:t>.  Les requérants ont été représentés par M</w:t>
      </w:r>
      <w:r w:rsidRPr="000232C2">
        <w:rPr>
          <w:vertAlign w:val="superscript"/>
          <w:lang w:val="fr-FR"/>
        </w:rPr>
        <w:t>es</w:t>
      </w:r>
      <w:r w:rsidRPr="000232C2" w:rsidR="00014B4C">
        <w:rPr>
          <w:vertAlign w:val="superscript"/>
          <w:lang w:val="fr-FR"/>
        </w:rPr>
        <w:t xml:space="preserve"> </w:t>
      </w:r>
      <w:r w:rsidRPr="000232C2">
        <w:rPr>
          <w:lang w:val="fr-FR"/>
        </w:rPr>
        <w:t>M. Görgeç et A.</w:t>
      </w:r>
      <w:r w:rsidRPr="000232C2" w:rsidR="00014B4C">
        <w:rPr>
          <w:lang w:val="fr-FR"/>
        </w:rPr>
        <w:t> </w:t>
      </w:r>
      <w:r w:rsidRPr="000232C2">
        <w:rPr>
          <w:lang w:val="fr-FR"/>
        </w:rPr>
        <w:t>Görgeç, avocats exerçant à Malatya. Le gouvernement turc (« le Gouvernement ») a été représenté par son agent.</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3</w:t>
      </w:r>
      <w:r w:rsidRPr="000232C2">
        <w:fldChar w:fldCharType="end"/>
      </w:r>
      <w:r w:rsidRPr="000232C2">
        <w:rPr>
          <w:lang w:val="fr-FR"/>
        </w:rPr>
        <w:t>.  Les requérants alléguaient en particulier que le décès d</w:t>
      </w:r>
      <w:r w:rsidRPr="000232C2" w:rsidR="000232C2">
        <w:rPr>
          <w:lang w:val="fr-FR"/>
        </w:rPr>
        <w:t>’</w:t>
      </w:r>
      <w:r w:rsidRPr="000232C2" w:rsidR="00DE50E0">
        <w:rPr>
          <w:lang w:val="fr-FR"/>
        </w:rPr>
        <w:t>Erol </w:t>
      </w:r>
      <w:r w:rsidRPr="000232C2">
        <w:rPr>
          <w:lang w:val="fr-FR"/>
        </w:rPr>
        <w:t>Algül avait emporté violation du volet procédural de l</w:t>
      </w:r>
      <w:r w:rsidRPr="000232C2" w:rsidR="000232C2">
        <w:rPr>
          <w:lang w:val="fr-FR"/>
        </w:rPr>
        <w:t>’</w:t>
      </w:r>
      <w:r w:rsidRPr="000232C2">
        <w:rPr>
          <w:lang w:val="fr-FR"/>
        </w:rPr>
        <w:t>article 2 de la Convention.</w:t>
      </w:r>
    </w:p>
    <w:p w:rsidRPr="000232C2" w:rsidR="006C3F03" w:rsidP="000232C2" w:rsidRDefault="006C3F03">
      <w:pPr>
        <w:pStyle w:val="ECHRPara"/>
        <w:rPr>
          <w:szCs w:val="24"/>
          <w:lang w:val="fr-FR" w:eastAsia="en-GB"/>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4</w:t>
      </w:r>
      <w:r w:rsidRPr="000232C2">
        <w:fldChar w:fldCharType="end"/>
      </w:r>
      <w:r w:rsidRPr="000232C2">
        <w:rPr>
          <w:lang w:val="fr-FR"/>
        </w:rPr>
        <w:t xml:space="preserve">.  Le </w:t>
      </w:r>
      <w:r w:rsidRPr="000232C2">
        <w:rPr>
          <w:szCs w:val="24"/>
          <w:lang w:val="fr-FR"/>
        </w:rPr>
        <w:t>16 janvier 2017</w:t>
      </w:r>
      <w:r w:rsidRPr="000232C2">
        <w:rPr>
          <w:lang w:val="fr-FR"/>
        </w:rPr>
        <w:t>, la requête a été communiquée au Gouvernement.</w:t>
      </w:r>
    </w:p>
    <w:p w:rsidRPr="000232C2" w:rsidR="006C3F03" w:rsidP="000232C2" w:rsidRDefault="006C3F03">
      <w:pPr>
        <w:pStyle w:val="ECHRTitle1"/>
        <w:tabs>
          <w:tab w:val="left" w:pos="5387"/>
        </w:tabs>
        <w:rPr>
          <w:lang w:val="fr-FR"/>
        </w:rPr>
      </w:pPr>
      <w:r w:rsidRPr="000232C2">
        <w:rPr>
          <w:lang w:val="fr-FR"/>
        </w:rPr>
        <w:t>EN FAIT</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5</w:t>
      </w:r>
      <w:r w:rsidRPr="000232C2">
        <w:fldChar w:fldCharType="end"/>
      </w:r>
      <w:r w:rsidRPr="000232C2">
        <w:rPr>
          <w:lang w:val="fr-FR"/>
        </w:rPr>
        <w:t>.  Les requérants sont nés respectivemen</w:t>
      </w:r>
      <w:r w:rsidRPr="000232C2" w:rsidR="008879CD">
        <w:rPr>
          <w:lang w:val="fr-FR"/>
        </w:rPr>
        <w:t>t en 1959, en 1994, en 1996, en </w:t>
      </w:r>
      <w:r w:rsidRPr="000232C2">
        <w:rPr>
          <w:lang w:val="fr-FR"/>
        </w:rPr>
        <w:t>1987, en 1964, en 1984 et en 1988 et résident à Malatya.</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6</w:t>
      </w:r>
      <w:r w:rsidRPr="000232C2">
        <w:fldChar w:fldCharType="end"/>
      </w:r>
      <w:r w:rsidRPr="000232C2">
        <w:rPr>
          <w:lang w:val="fr-FR"/>
        </w:rPr>
        <w:t>.  Les faits de la cause, tels qu</w:t>
      </w:r>
      <w:r w:rsidRPr="000232C2" w:rsidR="000232C2">
        <w:rPr>
          <w:lang w:val="fr-FR"/>
        </w:rPr>
        <w:t>’</w:t>
      </w:r>
      <w:r w:rsidRPr="000232C2">
        <w:rPr>
          <w:lang w:val="fr-FR"/>
        </w:rPr>
        <w:t>ils ont été exposés par les parties, peuvent se résumer comme suit.</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7</w:t>
      </w:r>
      <w:r w:rsidRPr="000232C2">
        <w:fldChar w:fldCharType="end"/>
      </w:r>
      <w:r w:rsidRPr="000232C2">
        <w:rPr>
          <w:lang w:val="fr-FR"/>
        </w:rPr>
        <w:t>.  Le 28 septembre 2005, vers 19 h 15, le proche des requérants, Erol Algül, qui effectuait son service militaire obligatoire à Şanlıurfa, fut retrouvé blessé sous les décombres du poste de garde qui s</w:t>
      </w:r>
      <w:r w:rsidRPr="000232C2" w:rsidR="000232C2">
        <w:rPr>
          <w:lang w:val="fr-FR"/>
        </w:rPr>
        <w:t>’</w:t>
      </w:r>
      <w:r w:rsidRPr="000232C2">
        <w:rPr>
          <w:lang w:val="fr-FR"/>
        </w:rPr>
        <w:t>était effondré sur lui alors qu</w:t>
      </w:r>
      <w:r w:rsidRPr="000232C2" w:rsidR="000232C2">
        <w:rPr>
          <w:lang w:val="fr-FR"/>
        </w:rPr>
        <w:t>’</w:t>
      </w:r>
      <w:r w:rsidRPr="000232C2">
        <w:rPr>
          <w:lang w:val="fr-FR"/>
        </w:rPr>
        <w:t>il montait la garde.</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8</w:t>
      </w:r>
      <w:r w:rsidRPr="000232C2">
        <w:fldChar w:fldCharType="end"/>
      </w:r>
      <w:r w:rsidRPr="000232C2">
        <w:rPr>
          <w:lang w:val="fr-FR"/>
        </w:rPr>
        <w:t>.  Il succomba à ses blessures à l</w:t>
      </w:r>
      <w:r w:rsidRPr="000232C2" w:rsidR="000232C2">
        <w:rPr>
          <w:lang w:val="fr-FR"/>
        </w:rPr>
        <w:t>’</w:t>
      </w:r>
      <w:r w:rsidRPr="000232C2">
        <w:rPr>
          <w:lang w:val="fr-FR"/>
        </w:rPr>
        <w:t>hôpital public de Şanlıurfa.</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9</w:t>
      </w:r>
      <w:r w:rsidRPr="000232C2">
        <w:fldChar w:fldCharType="end"/>
      </w:r>
      <w:r w:rsidRPr="000232C2">
        <w:rPr>
          <w:lang w:val="fr-FR"/>
        </w:rPr>
        <w:t>.  Le parquet militaire fut immédiatement informé des événements et une enquête pénale fut ouverte d</w:t>
      </w:r>
      <w:r w:rsidRPr="000232C2" w:rsidR="000232C2">
        <w:rPr>
          <w:lang w:val="fr-FR"/>
        </w:rPr>
        <w:t>’</w:t>
      </w:r>
      <w:r w:rsidRPr="000232C2">
        <w:rPr>
          <w:lang w:val="fr-FR"/>
        </w:rPr>
        <w:t>office.</w:t>
      </w:r>
    </w:p>
    <w:p w:rsidRPr="000232C2" w:rsidR="006C3F03" w:rsidP="000232C2" w:rsidRDefault="006C3F03">
      <w:pPr>
        <w:pStyle w:val="ECHRHeading2"/>
        <w:rPr>
          <w:lang w:val="fr-FR"/>
        </w:rPr>
      </w:pPr>
      <w:r w:rsidRPr="000232C2">
        <w:rPr>
          <w:lang w:val="fr-FR"/>
        </w:rPr>
        <w:t>A.  Les mesures d</w:t>
      </w:r>
      <w:r w:rsidRPr="000232C2" w:rsidR="000232C2">
        <w:rPr>
          <w:lang w:val="fr-FR"/>
        </w:rPr>
        <w:t>’</w:t>
      </w:r>
      <w:r w:rsidRPr="000232C2">
        <w:rPr>
          <w:lang w:val="fr-FR"/>
        </w:rPr>
        <w:t>instruction</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10</w:t>
      </w:r>
      <w:r w:rsidRPr="000232C2">
        <w:fldChar w:fldCharType="end"/>
      </w:r>
      <w:r w:rsidRPr="000232C2">
        <w:rPr>
          <w:lang w:val="fr-FR"/>
        </w:rPr>
        <w:t>.  Le procès-verbal du constat effectué sur les lieux indique qu</w:t>
      </w:r>
      <w:r w:rsidRPr="000232C2" w:rsidR="000232C2">
        <w:rPr>
          <w:lang w:val="fr-FR"/>
        </w:rPr>
        <w:t>’</w:t>
      </w:r>
      <w:r w:rsidRPr="000232C2">
        <w:rPr>
          <w:lang w:val="fr-FR"/>
        </w:rPr>
        <w:t>il manquait deux morceaux de bois dans la structure du poste de garde et que celui-ci s</w:t>
      </w:r>
      <w:r w:rsidRPr="000232C2" w:rsidR="000232C2">
        <w:rPr>
          <w:lang w:val="fr-FR"/>
        </w:rPr>
        <w:t>’</w:t>
      </w:r>
      <w:r w:rsidRPr="000232C2">
        <w:rPr>
          <w:lang w:val="fr-FR"/>
        </w:rPr>
        <w:t>était complètement effondré.</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11</w:t>
      </w:r>
      <w:r w:rsidRPr="000232C2">
        <w:fldChar w:fldCharType="end"/>
      </w:r>
      <w:r w:rsidRPr="000232C2">
        <w:rPr>
          <w:lang w:val="fr-FR"/>
        </w:rPr>
        <w:t>.  Les deux soldats qui avaient découvert Erol Algül, O.K. et M.R., déclarèrent que celui-ci se trouvait sous les décombres du poste de garde qui s</w:t>
      </w:r>
      <w:r w:rsidRPr="000232C2" w:rsidR="000232C2">
        <w:rPr>
          <w:lang w:val="fr-FR"/>
        </w:rPr>
        <w:t>’</w:t>
      </w:r>
      <w:r w:rsidRPr="000232C2">
        <w:rPr>
          <w:lang w:val="fr-FR"/>
        </w:rPr>
        <w:t>était effondré et qu</w:t>
      </w:r>
      <w:r w:rsidRPr="000232C2" w:rsidR="000232C2">
        <w:rPr>
          <w:lang w:val="fr-FR"/>
        </w:rPr>
        <w:t>’</w:t>
      </w:r>
      <w:r w:rsidRPr="000232C2">
        <w:rPr>
          <w:lang w:val="fr-FR"/>
        </w:rPr>
        <w:t>ils l</w:t>
      </w:r>
      <w:r w:rsidRPr="000232C2" w:rsidR="000232C2">
        <w:rPr>
          <w:lang w:val="fr-FR"/>
        </w:rPr>
        <w:t>’</w:t>
      </w:r>
      <w:r w:rsidRPr="000232C2">
        <w:rPr>
          <w:lang w:val="fr-FR"/>
        </w:rPr>
        <w:t>avaient aidé à en sortir.</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12</w:t>
      </w:r>
      <w:r w:rsidRPr="000232C2">
        <w:fldChar w:fldCharType="end"/>
      </w:r>
      <w:r w:rsidRPr="000232C2">
        <w:rPr>
          <w:lang w:val="fr-FR"/>
        </w:rPr>
        <w:t>.  Huit autres soldats furent également entendus. Ils déclarèrent qu</w:t>
      </w:r>
      <w:r w:rsidRPr="000232C2" w:rsidR="000232C2">
        <w:rPr>
          <w:lang w:val="fr-FR"/>
        </w:rPr>
        <w:t>’</w:t>
      </w:r>
      <w:r w:rsidRPr="000232C2">
        <w:rPr>
          <w:lang w:val="fr-FR"/>
        </w:rPr>
        <w:t>Erol Algül avait des difficultés financières et d</w:t>
      </w:r>
      <w:r w:rsidRPr="000232C2" w:rsidR="000232C2">
        <w:rPr>
          <w:lang w:val="fr-FR"/>
        </w:rPr>
        <w:t>’</w:t>
      </w:r>
      <w:r w:rsidRPr="000232C2">
        <w:rPr>
          <w:lang w:val="fr-FR"/>
        </w:rPr>
        <w:t>autres soucis personnels, qu</w:t>
      </w:r>
      <w:r w:rsidRPr="000232C2" w:rsidR="000232C2">
        <w:rPr>
          <w:lang w:val="fr-FR"/>
        </w:rPr>
        <w:t>’</w:t>
      </w:r>
      <w:r w:rsidRPr="000232C2">
        <w:rPr>
          <w:lang w:val="fr-FR"/>
        </w:rPr>
        <w:t>il avait dit à plusieurs reprises qu</w:t>
      </w:r>
      <w:r w:rsidRPr="000232C2" w:rsidR="000232C2">
        <w:rPr>
          <w:lang w:val="fr-FR"/>
        </w:rPr>
        <w:t>’</w:t>
      </w:r>
      <w:r w:rsidRPr="000232C2">
        <w:rPr>
          <w:lang w:val="fr-FR"/>
        </w:rPr>
        <w:t>il en avait assez de faire son service militaire, qu</w:t>
      </w:r>
      <w:r w:rsidRPr="000232C2" w:rsidR="000232C2">
        <w:rPr>
          <w:lang w:val="fr-FR"/>
        </w:rPr>
        <w:t>’</w:t>
      </w:r>
      <w:r w:rsidRPr="000232C2">
        <w:rPr>
          <w:lang w:val="fr-FR"/>
        </w:rPr>
        <w:t>il s</w:t>
      </w:r>
      <w:r w:rsidRPr="000232C2" w:rsidR="000232C2">
        <w:rPr>
          <w:lang w:val="fr-FR"/>
        </w:rPr>
        <w:t>’</w:t>
      </w:r>
      <w:r w:rsidRPr="000232C2">
        <w:rPr>
          <w:lang w:val="fr-FR"/>
        </w:rPr>
        <w:t>ennuyait et qu</w:t>
      </w:r>
      <w:r w:rsidRPr="000232C2" w:rsidR="000232C2">
        <w:rPr>
          <w:lang w:val="fr-FR"/>
        </w:rPr>
        <w:t>’</w:t>
      </w:r>
      <w:r w:rsidRPr="000232C2">
        <w:rPr>
          <w:lang w:val="fr-FR"/>
        </w:rPr>
        <w:t>il voulait rentrer chez lui. Ils ajoutèrent que l</w:t>
      </w:r>
      <w:r w:rsidRPr="000232C2" w:rsidR="000232C2">
        <w:rPr>
          <w:lang w:val="fr-FR"/>
        </w:rPr>
        <w:t>’</w:t>
      </w:r>
      <w:r w:rsidRPr="000232C2">
        <w:rPr>
          <w:lang w:val="fr-FR"/>
        </w:rPr>
        <w:t>intéressé avait aussi dit qu</w:t>
      </w:r>
      <w:r w:rsidRPr="000232C2" w:rsidR="000232C2">
        <w:rPr>
          <w:lang w:val="fr-FR"/>
        </w:rPr>
        <w:t>’</w:t>
      </w:r>
      <w:r w:rsidRPr="000232C2">
        <w:rPr>
          <w:lang w:val="fr-FR"/>
        </w:rPr>
        <w:t>il allait soit déserter, soit se suicider, soit demander un congé pour se changer les idées mais que, de toute façon, il ne continuerait pas son service militaire.</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13</w:t>
      </w:r>
      <w:r w:rsidRPr="000232C2">
        <w:fldChar w:fldCharType="end"/>
      </w:r>
      <w:r w:rsidRPr="000232C2">
        <w:rPr>
          <w:lang w:val="fr-FR"/>
        </w:rPr>
        <w:t>.  Les soldats S.A., Ş.Ö., H.A., Z.B. indiquèrent avoir vu deux soldats non loin du lieu des événements vers 19 h 30 mais qu</w:t>
      </w:r>
      <w:r w:rsidRPr="000232C2" w:rsidR="000232C2">
        <w:rPr>
          <w:lang w:val="fr-FR"/>
        </w:rPr>
        <w:t>’</w:t>
      </w:r>
      <w:r w:rsidRPr="000232C2">
        <w:rPr>
          <w:lang w:val="fr-FR"/>
        </w:rPr>
        <w:t>ils n</w:t>
      </w:r>
      <w:r w:rsidRPr="000232C2" w:rsidR="000232C2">
        <w:rPr>
          <w:lang w:val="fr-FR"/>
        </w:rPr>
        <w:t>’</w:t>
      </w:r>
      <w:r w:rsidRPr="000232C2">
        <w:rPr>
          <w:lang w:val="fr-FR"/>
        </w:rPr>
        <w:t>avaient pas été en mesure de les identifier parce qu</w:t>
      </w:r>
      <w:r w:rsidRPr="000232C2" w:rsidR="000232C2">
        <w:rPr>
          <w:lang w:val="fr-FR"/>
        </w:rPr>
        <w:t>’</w:t>
      </w:r>
      <w:r w:rsidRPr="000232C2">
        <w:rPr>
          <w:lang w:val="fr-FR"/>
        </w:rPr>
        <w:t>il faisait nuit. Ces deux soldats ne purent être identifiés lors de l</w:t>
      </w:r>
      <w:r w:rsidRPr="000232C2" w:rsidR="000232C2">
        <w:rPr>
          <w:lang w:val="fr-FR"/>
        </w:rPr>
        <w:t>’</w:t>
      </w:r>
      <w:r w:rsidRPr="000232C2">
        <w:rPr>
          <w:lang w:val="fr-FR"/>
        </w:rPr>
        <w:t>instruction.</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14</w:t>
      </w:r>
      <w:r w:rsidRPr="000232C2">
        <w:fldChar w:fldCharType="end"/>
      </w:r>
      <w:r w:rsidRPr="000232C2">
        <w:rPr>
          <w:lang w:val="fr-FR"/>
        </w:rPr>
        <w:t>.  À son arrivée à l</w:t>
      </w:r>
      <w:r w:rsidRPr="000232C2" w:rsidR="000232C2">
        <w:rPr>
          <w:lang w:val="fr-FR"/>
        </w:rPr>
        <w:t>’</w:t>
      </w:r>
      <w:r w:rsidRPr="000232C2">
        <w:rPr>
          <w:lang w:val="fr-FR"/>
        </w:rPr>
        <w:t>hôpital, le procureur militaire fit pratiquer, sous sa supervision, un examen externe et une autopsie de la dépouille. Le médecin légiste fit les constatations suivantes :</w:t>
      </w:r>
    </w:p>
    <w:p w:rsidRPr="000232C2" w:rsidR="006C3F03" w:rsidP="000232C2" w:rsidRDefault="006C3F03">
      <w:pPr>
        <w:pStyle w:val="ECHRParaQuote"/>
        <w:rPr>
          <w:lang w:val="fr-FR"/>
        </w:rPr>
      </w:pPr>
      <w:r w:rsidRPr="000232C2">
        <w:rPr>
          <w:lang w:val="fr-FR"/>
        </w:rPr>
        <w:t>«  Le corps mesure 1,73 mètre ; il ne présente aucune blessure causée par un objet tranchant ou une arme à feu ; il n</w:t>
      </w:r>
      <w:r w:rsidRPr="000232C2" w:rsidR="000232C2">
        <w:rPr>
          <w:lang w:val="fr-FR"/>
        </w:rPr>
        <w:t>’</w:t>
      </w:r>
      <w:r w:rsidRPr="000232C2">
        <w:rPr>
          <w:lang w:val="fr-FR"/>
        </w:rPr>
        <w:t>y a aucune lésion au niveau de la tête ; il n</w:t>
      </w:r>
      <w:r w:rsidRPr="000232C2" w:rsidR="000232C2">
        <w:rPr>
          <w:lang w:val="fr-FR"/>
        </w:rPr>
        <w:t>’</w:t>
      </w:r>
      <w:r w:rsidRPr="000232C2">
        <w:rPr>
          <w:lang w:val="fr-FR"/>
        </w:rPr>
        <w:t>y a pas de lésion traumatique au niveau du thorax ni des poumons ; il y a une zone ecchymotique et une érosion de 10 x 15 centimètres au niveau de l</w:t>
      </w:r>
      <w:r w:rsidRPr="000232C2" w:rsidR="000232C2">
        <w:rPr>
          <w:lang w:val="fr-FR"/>
        </w:rPr>
        <w:t>’</w:t>
      </w:r>
      <w:r w:rsidRPr="000232C2">
        <w:rPr>
          <w:lang w:val="fr-FR"/>
        </w:rPr>
        <w:t>abdomen et une zone ecchymotique et une érosion de 5 x 4 centimètres au niveau du dos ; la paroi thoracique et l</w:t>
      </w:r>
      <w:r w:rsidRPr="000232C2" w:rsidR="000232C2">
        <w:rPr>
          <w:lang w:val="fr-FR"/>
        </w:rPr>
        <w:t>’</w:t>
      </w:r>
      <w:r w:rsidRPr="000232C2">
        <w:rPr>
          <w:lang w:val="fr-FR"/>
        </w:rPr>
        <w:t>abdomen sont remplis de sang (environ 200 millilitres) ; il y a une déchirure sur la partie gauche du cou et une autre avec un hématome de 2</w:t>
      </w:r>
      <w:r w:rsidRPr="000232C2" w:rsidR="008879CD">
        <w:rPr>
          <w:lang w:val="fr-FR"/>
        </w:rPr>
        <w:t> </w:t>
      </w:r>
      <w:r w:rsidRPr="000232C2">
        <w:rPr>
          <w:lang w:val="fr-FR"/>
        </w:rPr>
        <w:t>centimètres sur le mésocôlon ; il y a une ecchymose et une éraflure superficielle de 1 x 2 centimètres sur le gland du pénis. Le décès a été causé par un traumatisme thoracique et abdominal ayant provoqué une hémorragie interne. »</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15</w:t>
      </w:r>
      <w:r w:rsidRPr="000232C2">
        <w:fldChar w:fldCharType="end"/>
      </w:r>
      <w:r w:rsidRPr="000232C2">
        <w:rPr>
          <w:lang w:val="fr-FR"/>
        </w:rPr>
        <w:t>.  Le procureur militaire saisit la direction régionale de la météorologie nationale de Şanlıurfa afin de s</w:t>
      </w:r>
      <w:r w:rsidRPr="000232C2" w:rsidR="000232C2">
        <w:rPr>
          <w:lang w:val="fr-FR"/>
        </w:rPr>
        <w:t>’</w:t>
      </w:r>
      <w:r w:rsidRPr="000232C2">
        <w:rPr>
          <w:lang w:val="fr-FR"/>
        </w:rPr>
        <w:t>informer de la vitesse du vent le 28 septembre 2005 entre 17 h 00 et 19 h 30. Il apprit que, dans la tranche horaire concernée, la vitesse du vent n</w:t>
      </w:r>
      <w:r w:rsidRPr="000232C2" w:rsidR="000232C2">
        <w:rPr>
          <w:lang w:val="fr-FR"/>
        </w:rPr>
        <w:t>’</w:t>
      </w:r>
      <w:r w:rsidRPr="000232C2">
        <w:rPr>
          <w:lang w:val="fr-FR"/>
        </w:rPr>
        <w:t xml:space="preserve">avait pas dépassé 33 </w:t>
      </w:r>
      <w:r w:rsidRPr="000232C2">
        <w:rPr>
          <w:bCs/>
          <w:lang w:val="fr-FR"/>
        </w:rPr>
        <w:t>km/h</w:t>
      </w:r>
      <w:r w:rsidRPr="000232C2">
        <w:rPr>
          <w:lang w:val="fr-FR"/>
        </w:rPr>
        <w:t xml:space="preserve"> ce jour-là.</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16</w:t>
      </w:r>
      <w:r w:rsidRPr="000232C2">
        <w:fldChar w:fldCharType="end"/>
      </w:r>
      <w:r w:rsidRPr="000232C2">
        <w:rPr>
          <w:lang w:val="fr-FR"/>
        </w:rPr>
        <w:t>.  Selon un rapport administratif du 1</w:t>
      </w:r>
      <w:r w:rsidRPr="000232C2">
        <w:rPr>
          <w:vertAlign w:val="superscript"/>
          <w:lang w:val="fr-FR"/>
        </w:rPr>
        <w:t>er</w:t>
      </w:r>
      <w:r w:rsidRPr="000232C2">
        <w:rPr>
          <w:lang w:val="fr-FR"/>
        </w:rPr>
        <w:t xml:space="preserve"> octobre 2005, il était impossible que le poste de garde se fût écroulé tout seul.</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17</w:t>
      </w:r>
      <w:r w:rsidRPr="000232C2">
        <w:fldChar w:fldCharType="end"/>
      </w:r>
      <w:r w:rsidRPr="000232C2">
        <w:rPr>
          <w:lang w:val="fr-FR"/>
        </w:rPr>
        <w:t>.  D</w:t>
      </w:r>
      <w:r w:rsidRPr="000232C2" w:rsidR="000232C2">
        <w:rPr>
          <w:lang w:val="fr-FR"/>
        </w:rPr>
        <w:t>’</w:t>
      </w:r>
      <w:r w:rsidRPr="000232C2">
        <w:rPr>
          <w:lang w:val="fr-FR"/>
        </w:rPr>
        <w:t>après un rapport administratif du 13 octobre 2005, le poste de garde avait été déplacé de son emplacement d</w:t>
      </w:r>
      <w:r w:rsidRPr="000232C2" w:rsidR="000232C2">
        <w:rPr>
          <w:lang w:val="fr-FR"/>
        </w:rPr>
        <w:t>’</w:t>
      </w:r>
      <w:r w:rsidRPr="000232C2">
        <w:rPr>
          <w:lang w:val="fr-FR"/>
        </w:rPr>
        <w:t>origine à l</w:t>
      </w:r>
      <w:r w:rsidRPr="000232C2" w:rsidR="000232C2">
        <w:rPr>
          <w:lang w:val="fr-FR"/>
        </w:rPr>
        <w:t>’</w:t>
      </w:r>
      <w:r w:rsidRPr="000232C2">
        <w:rPr>
          <w:lang w:val="fr-FR"/>
        </w:rPr>
        <w:t>aide d</w:t>
      </w:r>
      <w:r w:rsidRPr="000232C2" w:rsidR="000232C2">
        <w:rPr>
          <w:lang w:val="fr-FR"/>
        </w:rPr>
        <w:t>’</w:t>
      </w:r>
      <w:r w:rsidRPr="000232C2">
        <w:rPr>
          <w:lang w:val="fr-FR"/>
        </w:rPr>
        <w:t>un morceau de bois qui aurait fait partie de sa structure.</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18</w:t>
      </w:r>
      <w:r w:rsidRPr="000232C2">
        <w:fldChar w:fldCharType="end"/>
      </w:r>
      <w:r w:rsidRPr="000232C2">
        <w:rPr>
          <w:lang w:val="fr-FR"/>
        </w:rPr>
        <w:t>.  Une expertise fut ordonnée par le procureur militaire pour connaître les circonstances de l</w:t>
      </w:r>
      <w:r w:rsidRPr="000232C2" w:rsidR="000232C2">
        <w:rPr>
          <w:lang w:val="fr-FR"/>
        </w:rPr>
        <w:t>’</w:t>
      </w:r>
      <w:r w:rsidRPr="000232C2">
        <w:rPr>
          <w:lang w:val="fr-FR"/>
        </w:rPr>
        <w:t>effondrement du poste de garde en cause. Dans leur rapport, les deux experts, ingénieurs en bâtiment, exposèrent notamment ce qui suit :</w:t>
      </w:r>
    </w:p>
    <w:p w:rsidRPr="000232C2" w:rsidR="006C3F03" w:rsidP="000232C2" w:rsidRDefault="006C3F03">
      <w:pPr>
        <w:pStyle w:val="ECHRParaQuote"/>
        <w:rPr>
          <w:lang w:val="fr-FR"/>
        </w:rPr>
      </w:pPr>
      <w:r w:rsidRPr="000232C2">
        <w:rPr>
          <w:lang w:val="fr-FR"/>
        </w:rPr>
        <w:t>« Il n</w:t>
      </w:r>
      <w:r w:rsidRPr="000232C2" w:rsidR="000232C2">
        <w:rPr>
          <w:lang w:val="fr-FR"/>
        </w:rPr>
        <w:t>’</w:t>
      </w:r>
      <w:r w:rsidRPr="000232C2">
        <w:rPr>
          <w:lang w:val="fr-FR"/>
        </w:rPr>
        <w:t>y a pas de trace de choc extérieur sur la structure du poste de garde militaire. Le vent était faible et il n</w:t>
      </w:r>
      <w:r w:rsidRPr="000232C2" w:rsidR="000232C2">
        <w:rPr>
          <w:lang w:val="fr-FR"/>
        </w:rPr>
        <w:t>’</w:t>
      </w:r>
      <w:r w:rsidRPr="000232C2">
        <w:rPr>
          <w:lang w:val="fr-FR"/>
        </w:rPr>
        <w:t>y a eu aucune secousse sismique dans la région le jour de l</w:t>
      </w:r>
      <w:r w:rsidRPr="000232C2" w:rsidR="000232C2">
        <w:rPr>
          <w:lang w:val="fr-FR"/>
        </w:rPr>
        <w:t>’</w:t>
      </w:r>
      <w:r w:rsidRPr="000232C2">
        <w:rPr>
          <w:lang w:val="fr-FR"/>
        </w:rPr>
        <w:t>incident. Le poste de garde pesait 440 kilogrammes. Deux morceaux de bois, l</w:t>
      </w:r>
      <w:r w:rsidRPr="000232C2" w:rsidR="000232C2">
        <w:rPr>
          <w:lang w:val="fr-FR"/>
        </w:rPr>
        <w:t>’</w:t>
      </w:r>
      <w:r w:rsidRPr="000232C2">
        <w:rPr>
          <w:lang w:val="fr-FR"/>
        </w:rPr>
        <w:t>un mesurant 2 x 12 x 25 centimètres et l</w:t>
      </w:r>
      <w:r w:rsidRPr="000232C2" w:rsidR="000232C2">
        <w:rPr>
          <w:lang w:val="fr-FR"/>
        </w:rPr>
        <w:t>’</w:t>
      </w:r>
      <w:r w:rsidRPr="000232C2">
        <w:rPr>
          <w:lang w:val="fr-FR"/>
        </w:rPr>
        <w:t>autre 4 x 6,5 x 87 centimètres, ont été trouvés près du poste de garde. Ils sont apparemment identiques aux matériaux utilisés dans la construction du poste de garde et ils sont en tout cas recouverts de la même peinture. Ils ont probablement servi de levier pour faire basculer le poste de garde qui a bougé de 40 centimètres par rapport à son emplacement d</w:t>
      </w:r>
      <w:r w:rsidRPr="000232C2" w:rsidR="000232C2">
        <w:rPr>
          <w:lang w:val="fr-FR"/>
        </w:rPr>
        <w:t>’</w:t>
      </w:r>
      <w:r w:rsidRPr="000232C2">
        <w:rPr>
          <w:lang w:val="fr-FR"/>
        </w:rPr>
        <w:t>origine. Une personne seule aurait pu le faire mais il est plus probable que ceci a été fait par plusieurs personnes qui ont d</w:t>
      </w:r>
      <w:r w:rsidRPr="000232C2" w:rsidR="000232C2">
        <w:rPr>
          <w:lang w:val="fr-FR"/>
        </w:rPr>
        <w:t>’</w:t>
      </w:r>
      <w:r w:rsidRPr="000232C2">
        <w:rPr>
          <w:lang w:val="fr-FR"/>
        </w:rPr>
        <w:t>abord déséquilibré la structure à l</w:t>
      </w:r>
      <w:r w:rsidRPr="000232C2" w:rsidR="000232C2">
        <w:rPr>
          <w:lang w:val="fr-FR"/>
        </w:rPr>
        <w:t>’</w:t>
      </w:r>
      <w:r w:rsidRPr="000232C2">
        <w:rPr>
          <w:lang w:val="fr-FR"/>
        </w:rPr>
        <w:t>aide d</w:t>
      </w:r>
      <w:r w:rsidRPr="000232C2" w:rsidR="000232C2">
        <w:rPr>
          <w:lang w:val="fr-FR"/>
        </w:rPr>
        <w:t>’</w:t>
      </w:r>
      <w:r w:rsidRPr="000232C2">
        <w:rPr>
          <w:lang w:val="fr-FR"/>
        </w:rPr>
        <w:t>un levier, puis l</w:t>
      </w:r>
      <w:r w:rsidRPr="000232C2" w:rsidR="000232C2">
        <w:rPr>
          <w:lang w:val="fr-FR"/>
        </w:rPr>
        <w:t>’</w:t>
      </w:r>
      <w:r w:rsidRPr="000232C2">
        <w:rPr>
          <w:lang w:val="fr-FR"/>
        </w:rPr>
        <w:t>ont poussée et enfin l</w:t>
      </w:r>
      <w:r w:rsidRPr="000232C2" w:rsidR="000232C2">
        <w:rPr>
          <w:lang w:val="fr-FR"/>
        </w:rPr>
        <w:t>’</w:t>
      </w:r>
      <w:r w:rsidRPr="000232C2">
        <w:rPr>
          <w:lang w:val="fr-FR"/>
        </w:rPr>
        <w:t>ont fait tomber à terre. Selon les informations fournies par l</w:t>
      </w:r>
      <w:r w:rsidRPr="000232C2" w:rsidR="000232C2">
        <w:rPr>
          <w:lang w:val="fr-FR"/>
        </w:rPr>
        <w:t>’</w:t>
      </w:r>
      <w:r w:rsidRPr="000232C2">
        <w:rPr>
          <w:lang w:val="fr-FR"/>
        </w:rPr>
        <w:t>administration, le poste de garde avait été placé sur un sol en béton à l</w:t>
      </w:r>
      <w:r w:rsidRPr="000232C2" w:rsidR="000232C2">
        <w:rPr>
          <w:lang w:val="fr-FR"/>
        </w:rPr>
        <w:t>’</w:t>
      </w:r>
      <w:r w:rsidRPr="000232C2">
        <w:rPr>
          <w:lang w:val="fr-FR"/>
        </w:rPr>
        <w:t>aide d</w:t>
      </w:r>
      <w:r w:rsidRPr="000232C2" w:rsidR="000232C2">
        <w:rPr>
          <w:lang w:val="fr-FR"/>
        </w:rPr>
        <w:t>’</w:t>
      </w:r>
      <w:r w:rsidRPr="000232C2">
        <w:rPr>
          <w:lang w:val="fr-FR"/>
        </w:rPr>
        <w:t>un engin et n</w:t>
      </w:r>
      <w:r w:rsidRPr="000232C2" w:rsidR="000232C2">
        <w:rPr>
          <w:lang w:val="fr-FR"/>
        </w:rPr>
        <w:t>’</w:t>
      </w:r>
      <w:r w:rsidRPr="000232C2">
        <w:rPr>
          <w:lang w:val="fr-FR"/>
        </w:rPr>
        <w:t>avait pas fait l</w:t>
      </w:r>
      <w:r w:rsidRPr="000232C2" w:rsidR="000232C2">
        <w:rPr>
          <w:lang w:val="fr-FR"/>
        </w:rPr>
        <w:t>’</w:t>
      </w:r>
      <w:r w:rsidRPr="000232C2">
        <w:rPr>
          <w:lang w:val="fr-FR"/>
        </w:rPr>
        <w:t>objet de travaux par la suite. Il n</w:t>
      </w:r>
      <w:r w:rsidRPr="000232C2" w:rsidR="000232C2">
        <w:rPr>
          <w:lang w:val="fr-FR"/>
        </w:rPr>
        <w:t>’</w:t>
      </w:r>
      <w:r w:rsidRPr="000232C2">
        <w:rPr>
          <w:lang w:val="fr-FR"/>
        </w:rPr>
        <w:t>y avait pas d</w:t>
      </w:r>
      <w:r w:rsidRPr="000232C2" w:rsidR="000232C2">
        <w:rPr>
          <w:lang w:val="fr-FR"/>
        </w:rPr>
        <w:t>’</w:t>
      </w:r>
      <w:r w:rsidRPr="000232C2">
        <w:rPr>
          <w:lang w:val="fr-FR"/>
        </w:rPr>
        <w:t>ancrage entre le béton et la structure du poste de garde militaire. S</w:t>
      </w:r>
      <w:r w:rsidRPr="000232C2" w:rsidR="000232C2">
        <w:rPr>
          <w:lang w:val="fr-FR"/>
        </w:rPr>
        <w:t>’</w:t>
      </w:r>
      <w:r w:rsidRPr="000232C2">
        <w:rPr>
          <w:lang w:val="fr-FR"/>
        </w:rPr>
        <w:t>il y avait eu un ancrage entre les deux, il aurait été beaucoup plus difficile de faire tomber [la structure] à terre. »</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19</w:t>
      </w:r>
      <w:r w:rsidRPr="000232C2">
        <w:fldChar w:fldCharType="end"/>
      </w:r>
      <w:r w:rsidRPr="000232C2">
        <w:rPr>
          <w:lang w:val="fr-FR"/>
        </w:rPr>
        <w:t>.  Une autre expertise fut ordonnée par le procureur militaire auprès d</w:t>
      </w:r>
      <w:r w:rsidRPr="000232C2" w:rsidR="000232C2">
        <w:rPr>
          <w:lang w:val="fr-FR"/>
        </w:rPr>
        <w:t>’</w:t>
      </w:r>
      <w:r w:rsidRPr="000232C2">
        <w:rPr>
          <w:lang w:val="fr-FR"/>
        </w:rPr>
        <w:t>un médecin spécialiste en pathologie afin de déterminer si les blessures constatées sur le corps d</w:t>
      </w:r>
      <w:r w:rsidRPr="000232C2" w:rsidR="000232C2">
        <w:rPr>
          <w:lang w:val="fr-FR"/>
        </w:rPr>
        <w:t>’</w:t>
      </w:r>
      <w:r w:rsidRPr="000232C2">
        <w:rPr>
          <w:lang w:val="fr-FR"/>
        </w:rPr>
        <w:t>Erol Algül étaient cohérentes avec un écroulement du poste de garde sur l</w:t>
      </w:r>
      <w:r w:rsidRPr="000232C2" w:rsidR="000232C2">
        <w:rPr>
          <w:lang w:val="fr-FR"/>
        </w:rPr>
        <w:t>’</w:t>
      </w:r>
      <w:r w:rsidRPr="000232C2">
        <w:rPr>
          <w:lang w:val="fr-FR"/>
        </w:rPr>
        <w:t>intéressé pendant qu</w:t>
      </w:r>
      <w:r w:rsidRPr="000232C2" w:rsidR="000232C2">
        <w:rPr>
          <w:lang w:val="fr-FR"/>
        </w:rPr>
        <w:t>’</w:t>
      </w:r>
      <w:r w:rsidRPr="000232C2">
        <w:rPr>
          <w:lang w:val="fr-FR"/>
        </w:rPr>
        <w:t>il montait la garde à l</w:t>
      </w:r>
      <w:r w:rsidRPr="000232C2" w:rsidR="000232C2">
        <w:rPr>
          <w:lang w:val="fr-FR"/>
        </w:rPr>
        <w:t>’</w:t>
      </w:r>
      <w:r w:rsidRPr="000232C2">
        <w:rPr>
          <w:lang w:val="fr-FR"/>
        </w:rPr>
        <w:t>intérieur. Les passages pertinents en l</w:t>
      </w:r>
      <w:r w:rsidRPr="000232C2" w:rsidR="000232C2">
        <w:rPr>
          <w:lang w:val="fr-FR"/>
        </w:rPr>
        <w:t>’</w:t>
      </w:r>
      <w:r w:rsidRPr="000232C2">
        <w:rPr>
          <w:lang w:val="fr-FR"/>
        </w:rPr>
        <w:t>espèce de ce rapport d</w:t>
      </w:r>
      <w:r w:rsidRPr="000232C2" w:rsidR="000232C2">
        <w:rPr>
          <w:lang w:val="fr-FR"/>
        </w:rPr>
        <w:t>’</w:t>
      </w:r>
      <w:r w:rsidRPr="000232C2">
        <w:rPr>
          <w:lang w:val="fr-FR"/>
        </w:rPr>
        <w:t>expertise se lisent comme suit :</w:t>
      </w:r>
    </w:p>
    <w:p w:rsidRPr="000232C2" w:rsidR="006C3F03" w:rsidP="000232C2" w:rsidRDefault="006C3F03">
      <w:pPr>
        <w:pStyle w:val="ECHRParaQuote"/>
        <w:rPr>
          <w:lang w:val="fr-FR"/>
        </w:rPr>
      </w:pPr>
      <w:r w:rsidRPr="000232C2">
        <w:rPr>
          <w:lang w:val="fr-FR"/>
        </w:rPr>
        <w:t>« Les traces d</w:t>
      </w:r>
      <w:r w:rsidRPr="000232C2" w:rsidR="000232C2">
        <w:rPr>
          <w:lang w:val="fr-FR"/>
        </w:rPr>
        <w:t>’</w:t>
      </w:r>
      <w:r w:rsidRPr="000232C2">
        <w:rPr>
          <w:lang w:val="fr-FR"/>
        </w:rPr>
        <w:t>ecchymose et d</w:t>
      </w:r>
      <w:r w:rsidRPr="000232C2" w:rsidR="000232C2">
        <w:rPr>
          <w:lang w:val="fr-FR"/>
        </w:rPr>
        <w:t>’</w:t>
      </w:r>
      <w:r w:rsidRPr="000232C2">
        <w:rPr>
          <w:lang w:val="fr-FR"/>
        </w:rPr>
        <w:t>éraflure relevées sur le pénis du défunt étaient certainement liées au fait qu</w:t>
      </w:r>
      <w:r w:rsidRPr="000232C2" w:rsidR="000232C2">
        <w:rPr>
          <w:lang w:val="fr-FR"/>
        </w:rPr>
        <w:t>’</w:t>
      </w:r>
      <w:r w:rsidRPr="000232C2">
        <w:rPr>
          <w:lang w:val="fr-FR"/>
        </w:rPr>
        <w:t>il était resté coincé sous les décombres à la suite de l</w:t>
      </w:r>
      <w:r w:rsidRPr="000232C2" w:rsidR="000232C2">
        <w:rPr>
          <w:lang w:val="fr-FR"/>
        </w:rPr>
        <w:t>’</w:t>
      </w:r>
      <w:r w:rsidRPr="000232C2">
        <w:rPr>
          <w:lang w:val="fr-FR"/>
        </w:rPr>
        <w:t>effondrement du poste de garde.</w:t>
      </w:r>
    </w:p>
    <w:p w:rsidRPr="000232C2" w:rsidR="006C3F03" w:rsidP="000232C2" w:rsidRDefault="006C3F03">
      <w:pPr>
        <w:pStyle w:val="ECHRParaQuote"/>
        <w:rPr>
          <w:lang w:val="fr-FR"/>
        </w:rPr>
      </w:pPr>
      <w:r w:rsidRPr="000232C2">
        <w:rPr>
          <w:lang w:val="fr-FR"/>
        </w:rPr>
        <w:t>En ce qui concerne la présence de sang dans la paroi thoracique et dans l</w:t>
      </w:r>
      <w:r w:rsidRPr="000232C2" w:rsidR="000232C2">
        <w:rPr>
          <w:lang w:val="fr-FR"/>
        </w:rPr>
        <w:t>’</w:t>
      </w:r>
      <w:r w:rsidRPr="000232C2">
        <w:rPr>
          <w:lang w:val="fr-FR"/>
        </w:rPr>
        <w:t>abdomen, celle-ci était probablement liée à la grande pression subie par l</w:t>
      </w:r>
      <w:r w:rsidRPr="000232C2" w:rsidR="000232C2">
        <w:rPr>
          <w:lang w:val="fr-FR"/>
        </w:rPr>
        <w:t>’</w:t>
      </w:r>
      <w:r w:rsidRPr="000232C2">
        <w:rPr>
          <w:lang w:val="fr-FR"/>
        </w:rPr>
        <w:t>abdomen qui avait poussé le diaphragme vers le haut, ce qui avait causé une diminution du volume des poumons, laquelle avait elle-même entraîné une hémorragie interne. À cet égard, il convient d</w:t>
      </w:r>
      <w:r w:rsidRPr="000232C2" w:rsidR="000232C2">
        <w:rPr>
          <w:lang w:val="fr-FR"/>
        </w:rPr>
        <w:t>’</w:t>
      </w:r>
      <w:r w:rsidRPr="000232C2">
        <w:rPr>
          <w:lang w:val="fr-FR"/>
        </w:rPr>
        <w:t>observer que les côtes n</w:t>
      </w:r>
      <w:r w:rsidRPr="000232C2" w:rsidR="000232C2">
        <w:rPr>
          <w:lang w:val="fr-FR"/>
        </w:rPr>
        <w:t>’</w:t>
      </w:r>
      <w:r w:rsidRPr="000232C2">
        <w:rPr>
          <w:lang w:val="fr-FR"/>
        </w:rPr>
        <w:t>étaient pas cassées et que les poumons ne présentaient pas de lésion.</w:t>
      </w:r>
    </w:p>
    <w:p w:rsidRPr="000232C2" w:rsidR="006C3F03" w:rsidP="000232C2" w:rsidRDefault="006C3F03">
      <w:pPr>
        <w:pStyle w:val="ECHRParaQuote"/>
        <w:rPr>
          <w:lang w:val="fr-FR"/>
        </w:rPr>
      </w:pPr>
      <w:r w:rsidRPr="000232C2">
        <w:rPr>
          <w:lang w:val="fr-FR"/>
        </w:rPr>
        <w:t>S</w:t>
      </w:r>
      <w:r w:rsidRPr="000232C2" w:rsidR="000232C2">
        <w:rPr>
          <w:lang w:val="fr-FR"/>
        </w:rPr>
        <w:t>’</w:t>
      </w:r>
      <w:r w:rsidRPr="000232C2">
        <w:rPr>
          <w:lang w:val="fr-FR"/>
        </w:rPr>
        <w:t>agissant de la déchirure au niveau du mésocôlon, elle pouvait avoir été causée par un choc violent. Il est également à noter que le poste de garde pesait environ 450 kilogrammes et que les témoins ont affirmé qu</w:t>
      </w:r>
      <w:r w:rsidRPr="000232C2" w:rsidR="000232C2">
        <w:rPr>
          <w:lang w:val="fr-FR"/>
        </w:rPr>
        <w:t>’</w:t>
      </w:r>
      <w:r w:rsidRPr="000232C2">
        <w:rPr>
          <w:lang w:val="fr-FR"/>
        </w:rPr>
        <w:t>Erol</w:t>
      </w:r>
      <w:r w:rsidRPr="000232C2" w:rsidR="008879CD">
        <w:rPr>
          <w:lang w:val="fr-FR"/>
        </w:rPr>
        <w:t xml:space="preserve"> </w:t>
      </w:r>
      <w:r w:rsidRPr="000232C2">
        <w:rPr>
          <w:lang w:val="fr-FR"/>
        </w:rPr>
        <w:t>Algül était sorti des décombres en rampant. Il est probable que la déchiru</w:t>
      </w:r>
      <w:r w:rsidRPr="000232C2" w:rsidR="008879CD">
        <w:rPr>
          <w:lang w:val="fr-FR"/>
        </w:rPr>
        <w:t>re avait été causée à ce moment</w:t>
      </w:r>
      <w:r w:rsidRPr="000232C2" w:rsidR="008879CD">
        <w:rPr>
          <w:lang w:val="fr-FR"/>
        </w:rPr>
        <w:noBreakHyphen/>
      </w:r>
      <w:r w:rsidRPr="000232C2">
        <w:rPr>
          <w:lang w:val="fr-FR"/>
        </w:rPr>
        <w:t>là sous l</w:t>
      </w:r>
      <w:r w:rsidRPr="000232C2" w:rsidR="000232C2">
        <w:rPr>
          <w:lang w:val="fr-FR"/>
        </w:rPr>
        <w:t>’</w:t>
      </w:r>
      <w:r w:rsidRPr="000232C2">
        <w:rPr>
          <w:lang w:val="fr-FR"/>
        </w:rPr>
        <w:t>effet de la pression du poste de garde sur son corps.</w:t>
      </w:r>
    </w:p>
    <w:p w:rsidRPr="000232C2" w:rsidR="006C3F03" w:rsidP="000232C2" w:rsidRDefault="006C3F03">
      <w:pPr>
        <w:pStyle w:val="ECHRParaQuote"/>
        <w:rPr>
          <w:lang w:val="fr-FR"/>
        </w:rPr>
      </w:pPr>
      <w:r w:rsidRPr="000232C2">
        <w:rPr>
          <w:lang w:val="fr-FR"/>
        </w:rPr>
        <w:t>Compte tenu de l</w:t>
      </w:r>
      <w:r w:rsidRPr="000232C2" w:rsidR="000232C2">
        <w:rPr>
          <w:lang w:val="fr-FR"/>
        </w:rPr>
        <w:t>’</w:t>
      </w:r>
      <w:r w:rsidRPr="000232C2">
        <w:rPr>
          <w:lang w:val="fr-FR"/>
        </w:rPr>
        <w:t>ensemble des éléments du dossier, j</w:t>
      </w:r>
      <w:r w:rsidRPr="000232C2" w:rsidR="000232C2">
        <w:rPr>
          <w:lang w:val="fr-FR"/>
        </w:rPr>
        <w:t>’</w:t>
      </w:r>
      <w:r w:rsidRPr="000232C2">
        <w:rPr>
          <w:lang w:val="fr-FR"/>
        </w:rPr>
        <w:t>estime que le poste de garde ne s</w:t>
      </w:r>
      <w:r w:rsidRPr="000232C2" w:rsidR="000232C2">
        <w:rPr>
          <w:lang w:val="fr-FR"/>
        </w:rPr>
        <w:t>’</w:t>
      </w:r>
      <w:r w:rsidRPr="000232C2">
        <w:rPr>
          <w:lang w:val="fr-FR"/>
        </w:rPr>
        <w:t>est pas écroulé d</w:t>
      </w:r>
      <w:r w:rsidRPr="000232C2" w:rsidR="000232C2">
        <w:rPr>
          <w:lang w:val="fr-FR"/>
        </w:rPr>
        <w:t>’</w:t>
      </w:r>
      <w:r w:rsidRPr="000232C2">
        <w:rPr>
          <w:lang w:val="fr-FR"/>
        </w:rPr>
        <w:t>un seul coup.</w:t>
      </w:r>
    </w:p>
    <w:p w:rsidRPr="000232C2" w:rsidR="006C3F03" w:rsidP="000232C2" w:rsidRDefault="006C3F03">
      <w:pPr>
        <w:pStyle w:val="ECHRParaQuote"/>
        <w:rPr>
          <w:lang w:val="fr-FR"/>
        </w:rPr>
      </w:pPr>
      <w:r w:rsidRPr="000232C2">
        <w:rPr>
          <w:lang w:val="fr-FR"/>
        </w:rPr>
        <w:t>Cela dit, à supposer que l</w:t>
      </w:r>
      <w:r w:rsidRPr="000232C2" w:rsidR="000232C2">
        <w:rPr>
          <w:lang w:val="fr-FR"/>
        </w:rPr>
        <w:t>’</w:t>
      </w:r>
      <w:r w:rsidRPr="000232C2">
        <w:rPr>
          <w:lang w:val="fr-FR"/>
        </w:rPr>
        <w:t>on accepte cette thèse, il convient de faire les observations suivantes :</w:t>
      </w:r>
    </w:p>
    <w:p w:rsidRPr="000232C2" w:rsidR="006C3F03" w:rsidP="000232C2" w:rsidRDefault="00014B4C">
      <w:pPr>
        <w:pStyle w:val="ECHRParaQuote"/>
        <w:rPr>
          <w:lang w:val="fr-FR"/>
        </w:rPr>
      </w:pPr>
      <w:r w:rsidRPr="000232C2">
        <w:rPr>
          <w:lang w:val="fr-FR"/>
        </w:rPr>
        <w:t>1) </w:t>
      </w:r>
      <w:r w:rsidRPr="000232C2" w:rsidR="006C3F03">
        <w:rPr>
          <w:lang w:val="fr-FR"/>
        </w:rPr>
        <w:t>le corps du défunt aurait dû présenter des éraflures, des ecchymoses, des saignements et des déchirures beaucoup plus prononcés ;</w:t>
      </w:r>
    </w:p>
    <w:p w:rsidRPr="000232C2" w:rsidR="006C3F03" w:rsidP="000232C2" w:rsidRDefault="00014B4C">
      <w:pPr>
        <w:pStyle w:val="ECHRParaQuote"/>
        <w:rPr>
          <w:lang w:val="fr-FR"/>
        </w:rPr>
      </w:pPr>
      <w:r w:rsidRPr="000232C2">
        <w:rPr>
          <w:lang w:val="fr-FR"/>
        </w:rPr>
        <w:t>2) </w:t>
      </w:r>
      <w:r w:rsidRPr="000232C2" w:rsidR="006C3F03">
        <w:rPr>
          <w:lang w:val="fr-FR"/>
        </w:rPr>
        <w:t>ces lésions auraient d</w:t>
      </w:r>
      <w:r w:rsidRPr="000232C2" w:rsidR="000232C2">
        <w:rPr>
          <w:lang w:val="fr-FR"/>
        </w:rPr>
        <w:t>’</w:t>
      </w:r>
      <w:r w:rsidRPr="000232C2" w:rsidR="006C3F03">
        <w:rPr>
          <w:lang w:val="fr-FR"/>
        </w:rPr>
        <w:t>abord dû être causées à la partie supérieure du corps puis aux parties inférieures ;</w:t>
      </w:r>
    </w:p>
    <w:p w:rsidRPr="000232C2" w:rsidR="006C3F03" w:rsidP="000232C2" w:rsidRDefault="006C3F03">
      <w:pPr>
        <w:pStyle w:val="ECHRParaQuote"/>
        <w:rPr>
          <w:lang w:val="fr-FR"/>
        </w:rPr>
      </w:pPr>
      <w:r w:rsidRPr="000232C2">
        <w:rPr>
          <w:lang w:val="fr-FR"/>
        </w:rPr>
        <w:t>3)</w:t>
      </w:r>
      <w:r w:rsidRPr="000232C2" w:rsidR="008879CD">
        <w:rPr>
          <w:lang w:val="fr-FR"/>
        </w:rPr>
        <w:t> </w:t>
      </w:r>
      <w:r w:rsidRPr="000232C2">
        <w:rPr>
          <w:lang w:val="fr-FR"/>
        </w:rPr>
        <w:t>des déchirures et des saignements musculaires marqués auraient dû être observés ;</w:t>
      </w:r>
    </w:p>
    <w:p w:rsidRPr="000232C2" w:rsidR="006C3F03" w:rsidP="000232C2" w:rsidRDefault="00014B4C">
      <w:pPr>
        <w:pStyle w:val="ECHRParaQuote"/>
        <w:rPr>
          <w:lang w:val="fr-FR"/>
        </w:rPr>
      </w:pPr>
      <w:r w:rsidRPr="000232C2">
        <w:rPr>
          <w:lang w:val="fr-FR"/>
        </w:rPr>
        <w:t>4) </w:t>
      </w:r>
      <w:r w:rsidRPr="000232C2" w:rsidR="006C3F03">
        <w:rPr>
          <w:lang w:val="fr-FR"/>
        </w:rPr>
        <w:t>des fractures des os déplacées et non déplacées auraient dû être constatées ;</w:t>
      </w:r>
    </w:p>
    <w:p w:rsidRPr="000232C2" w:rsidR="006C3F03" w:rsidP="000232C2" w:rsidRDefault="006C3F03">
      <w:pPr>
        <w:pStyle w:val="ECHRParaQuote"/>
        <w:rPr>
          <w:lang w:val="fr-FR"/>
        </w:rPr>
      </w:pPr>
      <w:r w:rsidRPr="000232C2">
        <w:rPr>
          <w:lang w:val="fr-FR"/>
        </w:rPr>
        <w:t>5)</w:t>
      </w:r>
      <w:r w:rsidRPr="000232C2" w:rsidR="00014B4C">
        <w:rPr>
          <w:lang w:val="fr-FR"/>
        </w:rPr>
        <w:t> </w:t>
      </w:r>
      <w:r w:rsidRPr="000232C2">
        <w:rPr>
          <w:lang w:val="fr-FR"/>
        </w:rPr>
        <w:t>des lésions visibles du foie, de la rate et des autres organes internes auraient dû être présentes ;</w:t>
      </w:r>
    </w:p>
    <w:p w:rsidRPr="000232C2" w:rsidR="006C3F03" w:rsidP="000232C2" w:rsidRDefault="00014B4C">
      <w:pPr>
        <w:pStyle w:val="ECHRParaQuote"/>
        <w:rPr>
          <w:lang w:val="fr-FR"/>
        </w:rPr>
      </w:pPr>
      <w:r w:rsidRPr="000232C2">
        <w:rPr>
          <w:lang w:val="fr-FR"/>
        </w:rPr>
        <w:t>6) </w:t>
      </w:r>
      <w:r w:rsidRPr="000232C2" w:rsidR="006C3F03">
        <w:rPr>
          <w:lang w:val="fr-FR"/>
        </w:rPr>
        <w:t>des traces de traumatisme au niveau de la tête auraient dû être observées.</w:t>
      </w:r>
    </w:p>
    <w:p w:rsidRPr="000232C2" w:rsidR="006C3F03" w:rsidP="000232C2" w:rsidRDefault="006C3F03">
      <w:pPr>
        <w:pStyle w:val="ECHRParaQuote"/>
        <w:rPr>
          <w:lang w:val="fr-FR"/>
        </w:rPr>
      </w:pPr>
      <w:r w:rsidRPr="000232C2">
        <w:rPr>
          <w:lang w:val="fr-FR"/>
        </w:rPr>
        <w:t>Les circonstances de la cause font donc plutôt penser que l</w:t>
      </w:r>
      <w:r w:rsidRPr="000232C2" w:rsidR="000232C2">
        <w:rPr>
          <w:lang w:val="fr-FR"/>
        </w:rPr>
        <w:t>’</w:t>
      </w:r>
      <w:r w:rsidRPr="000232C2">
        <w:rPr>
          <w:lang w:val="fr-FR"/>
        </w:rPr>
        <w:t>effondrement du poste de garde militaire sur l</w:t>
      </w:r>
      <w:r w:rsidRPr="000232C2" w:rsidR="000232C2">
        <w:rPr>
          <w:lang w:val="fr-FR"/>
        </w:rPr>
        <w:t>’</w:t>
      </w:r>
      <w:r w:rsidRPr="000232C2">
        <w:rPr>
          <w:lang w:val="fr-FR"/>
        </w:rPr>
        <w:t>intéressé a été provoqué de manière intentionnelle et progressive.</w:t>
      </w:r>
    </w:p>
    <w:p w:rsidRPr="000232C2" w:rsidR="006C3F03" w:rsidP="000232C2" w:rsidRDefault="006C3F03">
      <w:pPr>
        <w:pStyle w:val="ECHRParaQuote"/>
        <w:rPr>
          <w:lang w:val="fr-FR"/>
        </w:rPr>
      </w:pPr>
      <w:r w:rsidRPr="000232C2">
        <w:rPr>
          <w:lang w:val="fr-FR"/>
        </w:rPr>
        <w:t>Le rapport d</w:t>
      </w:r>
      <w:r w:rsidRPr="000232C2" w:rsidR="000232C2">
        <w:rPr>
          <w:lang w:val="fr-FR"/>
        </w:rPr>
        <w:t>’</w:t>
      </w:r>
      <w:r w:rsidRPr="000232C2">
        <w:rPr>
          <w:lang w:val="fr-FR"/>
        </w:rPr>
        <w:t>autopsie indique la présence de sang dans l</w:t>
      </w:r>
      <w:r w:rsidRPr="000232C2" w:rsidR="000232C2">
        <w:rPr>
          <w:lang w:val="fr-FR"/>
        </w:rPr>
        <w:t>’</w:t>
      </w:r>
      <w:r w:rsidRPr="000232C2">
        <w:rPr>
          <w:lang w:val="fr-FR"/>
        </w:rPr>
        <w:t>abdomen. Il faut comprendre qu</w:t>
      </w:r>
      <w:r w:rsidRPr="000232C2" w:rsidR="000232C2">
        <w:rPr>
          <w:lang w:val="fr-FR"/>
        </w:rPr>
        <w:t>’</w:t>
      </w:r>
      <w:r w:rsidRPr="000232C2">
        <w:rPr>
          <w:lang w:val="fr-FR"/>
        </w:rPr>
        <w:t>il y avait 1,5 litre de sang dans cette partie du corps. Une telle quantité est potentiellement mortelle. Le temps nécessaire pour que l</w:t>
      </w:r>
      <w:r w:rsidRPr="000232C2" w:rsidR="000232C2">
        <w:rPr>
          <w:lang w:val="fr-FR"/>
        </w:rPr>
        <w:t>’</w:t>
      </w:r>
      <w:r w:rsidRPr="000232C2">
        <w:rPr>
          <w:lang w:val="fr-FR"/>
        </w:rPr>
        <w:t>abdomen se remplisse d</w:t>
      </w:r>
      <w:r w:rsidRPr="000232C2" w:rsidR="000232C2">
        <w:rPr>
          <w:lang w:val="fr-FR"/>
        </w:rPr>
        <w:t>’</w:t>
      </w:r>
      <w:r w:rsidRPr="000232C2">
        <w:rPr>
          <w:lang w:val="fr-FR"/>
        </w:rPr>
        <w:t>autant de sang est en moyenne de vingt à trente minutes. D</w:t>
      </w:r>
      <w:r w:rsidRPr="000232C2" w:rsidR="000232C2">
        <w:rPr>
          <w:lang w:val="fr-FR"/>
        </w:rPr>
        <w:t>’</w:t>
      </w:r>
      <w:r w:rsidRPr="000232C2">
        <w:rPr>
          <w:lang w:val="fr-FR"/>
        </w:rPr>
        <w:t>ailleurs, les déclarations des témoins selon lesquelles Erol Algül était conscient mais avait eu un léger malaise en sortant des décombres, avait ensuite perdu connaissance dans l</w:t>
      </w:r>
      <w:r w:rsidRPr="000232C2" w:rsidR="000232C2">
        <w:rPr>
          <w:lang w:val="fr-FR"/>
        </w:rPr>
        <w:t>’</w:t>
      </w:r>
      <w:r w:rsidRPr="000232C2">
        <w:rPr>
          <w:lang w:val="fr-FR"/>
        </w:rPr>
        <w:t>ambulance et était décédé à son arrivée à l</w:t>
      </w:r>
      <w:r w:rsidRPr="000232C2" w:rsidR="000232C2">
        <w:rPr>
          <w:lang w:val="fr-FR"/>
        </w:rPr>
        <w:t>’</w:t>
      </w:r>
      <w:r w:rsidRPr="000232C2">
        <w:rPr>
          <w:lang w:val="fr-FR"/>
        </w:rPr>
        <w:t>hôpital confortent cette hypothèse.</w:t>
      </w:r>
    </w:p>
    <w:p w:rsidRPr="000232C2" w:rsidR="006C3F03" w:rsidP="000232C2" w:rsidRDefault="006C3F03">
      <w:pPr>
        <w:pStyle w:val="ECHRParaQuote"/>
        <w:rPr>
          <w:lang w:val="fr-FR"/>
        </w:rPr>
      </w:pPr>
      <w:r w:rsidRPr="000232C2">
        <w:rPr>
          <w:lang w:val="fr-FR"/>
        </w:rPr>
        <w:t>La déchirure du mésocôlon démontre que les 450 kilogrammes du poste de garde avaient créé une compression sur le corps de l</w:t>
      </w:r>
      <w:r w:rsidRPr="000232C2" w:rsidR="000232C2">
        <w:rPr>
          <w:lang w:val="fr-FR"/>
        </w:rPr>
        <w:t>’</w:t>
      </w:r>
      <w:r w:rsidRPr="000232C2">
        <w:rPr>
          <w:lang w:val="fr-FR"/>
        </w:rPr>
        <w:t>appelé. Il n</w:t>
      </w:r>
      <w:r w:rsidRPr="000232C2" w:rsidR="000232C2">
        <w:rPr>
          <w:lang w:val="fr-FR"/>
        </w:rPr>
        <w:t>’</w:t>
      </w:r>
      <w:r w:rsidRPr="000232C2">
        <w:rPr>
          <w:lang w:val="fr-FR"/>
        </w:rPr>
        <w:t>y a pas d</w:t>
      </w:r>
      <w:r w:rsidRPr="000232C2" w:rsidR="000232C2">
        <w:rPr>
          <w:lang w:val="fr-FR"/>
        </w:rPr>
        <w:t>’</w:t>
      </w:r>
      <w:r w:rsidRPr="000232C2">
        <w:rPr>
          <w:lang w:val="fr-FR"/>
        </w:rPr>
        <w:t>éléments permettant de dire que [celui-ci] a reçu ce poids de face. Les lésions démontrent que l</w:t>
      </w:r>
      <w:r w:rsidRPr="000232C2" w:rsidR="000232C2">
        <w:rPr>
          <w:lang w:val="fr-FR"/>
        </w:rPr>
        <w:t>’</w:t>
      </w:r>
      <w:r w:rsidRPr="000232C2">
        <w:rPr>
          <w:lang w:val="fr-FR"/>
        </w:rPr>
        <w:t>appelé a reçu ce poids directement sur le dos. »</w:t>
      </w:r>
    </w:p>
    <w:p w:rsidRPr="000232C2" w:rsidR="006C3F03" w:rsidP="000232C2" w:rsidRDefault="006C3F03">
      <w:pPr>
        <w:pStyle w:val="ECHRHeading2"/>
        <w:rPr>
          <w:b w:val="0"/>
          <w:lang w:val="fr-FR"/>
        </w:rPr>
      </w:pPr>
      <w:r w:rsidRPr="000232C2">
        <w:rPr>
          <w:lang w:val="fr-FR"/>
        </w:rPr>
        <w:t>B.  La compétence du parquet militaire</w:t>
      </w:r>
    </w:p>
    <w:p w:rsidRPr="000232C2" w:rsidR="006C3F03" w:rsidP="000232C2" w:rsidRDefault="006C3F03">
      <w:pPr>
        <w:pStyle w:val="ECHRPara"/>
        <w:rPr>
          <w:noProof/>
          <w:lang w:val="fr-FR"/>
        </w:rPr>
      </w:pPr>
      <w:r w:rsidRPr="000232C2">
        <w:rPr>
          <w:noProof/>
        </w:rPr>
        <w:fldChar w:fldCharType="begin"/>
      </w:r>
      <w:r w:rsidRPr="000232C2">
        <w:rPr>
          <w:noProof/>
          <w:lang w:val="fr-FR"/>
        </w:rPr>
        <w:instrText xml:space="preserve"> SEQ level0 \*arabic </w:instrText>
      </w:r>
      <w:r w:rsidRPr="000232C2">
        <w:rPr>
          <w:noProof/>
        </w:rPr>
        <w:fldChar w:fldCharType="separate"/>
      </w:r>
      <w:r w:rsidRPr="000232C2" w:rsidR="000232C2">
        <w:rPr>
          <w:noProof/>
          <w:lang w:val="fr-FR"/>
        </w:rPr>
        <w:t>20</w:t>
      </w:r>
      <w:r w:rsidRPr="000232C2">
        <w:rPr>
          <w:noProof/>
        </w:rPr>
        <w:fldChar w:fldCharType="end"/>
      </w:r>
      <w:r w:rsidRPr="000232C2">
        <w:rPr>
          <w:noProof/>
          <w:lang w:val="fr-FR"/>
        </w:rPr>
        <w:t>.  </w:t>
      </w:r>
      <w:r w:rsidRPr="000232C2">
        <w:rPr>
          <w:lang w:val="fr-FR"/>
        </w:rPr>
        <w:t>Le 31 octobre 2008, le parquet militaire de Diyarbak</w:t>
      </w:r>
      <w:r w:rsidRPr="000232C2">
        <w:rPr>
          <w:rFonts w:cstheme="minorHAnsi"/>
          <w:lang w:val="fr-FR"/>
        </w:rPr>
        <w:t>ı</w:t>
      </w:r>
      <w:r w:rsidRPr="000232C2">
        <w:rPr>
          <w:lang w:val="fr-FR"/>
        </w:rPr>
        <w:t>r (« le parquet militaire ») se déclara incompétent et transmit, le 3 novembre 2008, le dossier de l</w:t>
      </w:r>
      <w:r w:rsidRPr="000232C2" w:rsidR="000232C2">
        <w:rPr>
          <w:lang w:val="fr-FR"/>
        </w:rPr>
        <w:t>’</w:t>
      </w:r>
      <w:r w:rsidRPr="000232C2">
        <w:rPr>
          <w:lang w:val="fr-FR"/>
        </w:rPr>
        <w:t>enquête pénale au procureur de la République de</w:t>
      </w:r>
      <w:r w:rsidRPr="000232C2">
        <w:rPr>
          <w:rFonts w:cstheme="minorHAnsi"/>
          <w:lang w:val="fr-FR"/>
        </w:rPr>
        <w:t xml:space="preserve"> Ş</w:t>
      </w:r>
      <w:r w:rsidRPr="000232C2">
        <w:rPr>
          <w:lang w:val="fr-FR"/>
        </w:rPr>
        <w:t>anl</w:t>
      </w:r>
      <w:r w:rsidRPr="000232C2">
        <w:rPr>
          <w:rFonts w:cstheme="minorHAnsi"/>
          <w:lang w:val="fr-FR"/>
        </w:rPr>
        <w:t>ı</w:t>
      </w:r>
      <w:r w:rsidRPr="000232C2">
        <w:rPr>
          <w:lang w:val="fr-FR"/>
        </w:rPr>
        <w:t>urfa.</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21</w:t>
      </w:r>
      <w:r w:rsidRPr="000232C2">
        <w:fldChar w:fldCharType="end"/>
      </w:r>
      <w:r w:rsidRPr="000232C2">
        <w:rPr>
          <w:lang w:val="fr-FR"/>
        </w:rPr>
        <w:t>.  Le 10 février 2009, le procureur de la République de Şanlıurfa se déclara également incompétent et renvoya le dossier au parquet militaire.</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22</w:t>
      </w:r>
      <w:r w:rsidRPr="000232C2">
        <w:fldChar w:fldCharType="end"/>
      </w:r>
      <w:r w:rsidRPr="000232C2">
        <w:rPr>
          <w:lang w:val="fr-FR"/>
        </w:rPr>
        <w:t>.  Le 6 mai 2009, le parquet militaire se déclara de nouveau incompétent et renvoya le dossier au procureur de la République de Şanlıurfa.</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23</w:t>
      </w:r>
      <w:r w:rsidRPr="000232C2">
        <w:fldChar w:fldCharType="end"/>
      </w:r>
      <w:r w:rsidRPr="000232C2">
        <w:rPr>
          <w:lang w:val="fr-FR"/>
        </w:rPr>
        <w:t>.  Les requérants s</w:t>
      </w:r>
      <w:r w:rsidRPr="000232C2" w:rsidR="000232C2">
        <w:rPr>
          <w:lang w:val="fr-FR"/>
        </w:rPr>
        <w:t>’</w:t>
      </w:r>
      <w:r w:rsidRPr="000232C2">
        <w:rPr>
          <w:lang w:val="fr-FR"/>
        </w:rPr>
        <w:t>opposèrent à cette décision auprès du tribunal militaire de Diyarbakır (« le tribunal militaire »).</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24</w:t>
      </w:r>
      <w:r w:rsidRPr="000232C2">
        <w:fldChar w:fldCharType="end"/>
      </w:r>
      <w:r w:rsidRPr="000232C2">
        <w:rPr>
          <w:lang w:val="fr-FR"/>
        </w:rPr>
        <w:t>.  À une date non précisée, mais postérieure à 2009, leur opposition fut accueillie et le parquet militaire fut finalement désigné comme étant l</w:t>
      </w:r>
      <w:r w:rsidRPr="000232C2" w:rsidR="000232C2">
        <w:rPr>
          <w:lang w:val="fr-FR"/>
        </w:rPr>
        <w:t>’</w:t>
      </w:r>
      <w:r w:rsidRPr="000232C2">
        <w:rPr>
          <w:lang w:val="fr-FR"/>
        </w:rPr>
        <w:t>organe juridiquement compétent pour instruire l</w:t>
      </w:r>
      <w:r w:rsidRPr="000232C2" w:rsidR="000232C2">
        <w:rPr>
          <w:lang w:val="fr-FR"/>
        </w:rPr>
        <w:t>’</w:t>
      </w:r>
      <w:r w:rsidRPr="000232C2">
        <w:rPr>
          <w:lang w:val="fr-FR"/>
        </w:rPr>
        <w:t>affaire.</w:t>
      </w:r>
    </w:p>
    <w:p w:rsidRPr="000232C2" w:rsidR="006C3F03" w:rsidP="000232C2" w:rsidRDefault="006C3F03">
      <w:pPr>
        <w:pStyle w:val="ECHRHeading2"/>
        <w:rPr>
          <w:lang w:val="fr-FR"/>
        </w:rPr>
      </w:pPr>
      <w:r w:rsidRPr="000232C2">
        <w:rPr>
          <w:lang w:val="fr-FR"/>
        </w:rPr>
        <w:t>C.  L</w:t>
      </w:r>
      <w:r w:rsidRPr="000232C2" w:rsidR="000232C2">
        <w:rPr>
          <w:lang w:val="fr-FR"/>
        </w:rPr>
        <w:t>’</w:t>
      </w:r>
      <w:r w:rsidRPr="000232C2">
        <w:rPr>
          <w:lang w:val="fr-FR"/>
        </w:rPr>
        <w:t>ordonnance de non-lieu</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25</w:t>
      </w:r>
      <w:r w:rsidRPr="000232C2">
        <w:fldChar w:fldCharType="end"/>
      </w:r>
      <w:r w:rsidRPr="000232C2">
        <w:rPr>
          <w:lang w:val="fr-FR"/>
        </w:rPr>
        <w:t>.  Le 2 juillet 2012, le procureur militaire de Diyarbakır (« le procureur militaire ») rendit une ordonnance de non-lieu au motif que l</w:t>
      </w:r>
      <w:r w:rsidRPr="000232C2" w:rsidR="000232C2">
        <w:rPr>
          <w:lang w:val="fr-FR"/>
        </w:rPr>
        <w:t>’</w:t>
      </w:r>
      <w:r w:rsidRPr="000232C2">
        <w:rPr>
          <w:lang w:val="fr-FR"/>
        </w:rPr>
        <w:t>enquête pénale n</w:t>
      </w:r>
      <w:r w:rsidRPr="000232C2" w:rsidR="000232C2">
        <w:rPr>
          <w:lang w:val="fr-FR"/>
        </w:rPr>
        <w:t>’</w:t>
      </w:r>
      <w:r w:rsidRPr="000232C2">
        <w:rPr>
          <w:lang w:val="fr-FR"/>
        </w:rPr>
        <w:t>avait pas permis de déterminer qui était responsable des événements en cause.</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26</w:t>
      </w:r>
      <w:r w:rsidRPr="000232C2">
        <w:fldChar w:fldCharType="end"/>
      </w:r>
      <w:r w:rsidRPr="000232C2">
        <w:rPr>
          <w:lang w:val="fr-FR"/>
        </w:rPr>
        <w:t>.  Les requérants formèrent opposition</w:t>
      </w:r>
      <w:r w:rsidRPr="000232C2" w:rsidR="008879CD">
        <w:rPr>
          <w:lang w:val="fr-FR"/>
        </w:rPr>
        <w:t xml:space="preserve"> contre cette ordonnance de non</w:t>
      </w:r>
      <w:r w:rsidRPr="000232C2" w:rsidR="008879CD">
        <w:rPr>
          <w:lang w:val="fr-FR"/>
        </w:rPr>
        <w:noBreakHyphen/>
      </w:r>
      <w:r w:rsidRPr="000232C2">
        <w:rPr>
          <w:lang w:val="fr-FR"/>
        </w:rPr>
        <w:t>lieu, alléguant que plusieurs zones d</w:t>
      </w:r>
      <w:r w:rsidRPr="000232C2" w:rsidR="000232C2">
        <w:rPr>
          <w:lang w:val="fr-FR"/>
        </w:rPr>
        <w:t>’</w:t>
      </w:r>
      <w:r w:rsidRPr="000232C2">
        <w:rPr>
          <w:lang w:val="fr-FR"/>
        </w:rPr>
        <w:t>ombre subsistaient quant aux circonstances du décès d</w:t>
      </w:r>
      <w:r w:rsidRPr="000232C2" w:rsidR="000232C2">
        <w:rPr>
          <w:lang w:val="fr-FR"/>
        </w:rPr>
        <w:t>’</w:t>
      </w:r>
      <w:r w:rsidRPr="000232C2">
        <w:rPr>
          <w:lang w:val="fr-FR"/>
        </w:rPr>
        <w:t>Erol</w:t>
      </w:r>
      <w:r w:rsidRPr="000232C2" w:rsidR="008879CD">
        <w:rPr>
          <w:lang w:val="fr-FR"/>
        </w:rPr>
        <w:t> </w:t>
      </w:r>
      <w:r w:rsidRPr="000232C2">
        <w:rPr>
          <w:lang w:val="fr-FR"/>
        </w:rPr>
        <w:t>Algül.</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27</w:t>
      </w:r>
      <w:r w:rsidRPr="000232C2">
        <w:fldChar w:fldCharType="end"/>
      </w:r>
      <w:r w:rsidRPr="000232C2">
        <w:rPr>
          <w:lang w:val="fr-FR"/>
        </w:rPr>
        <w:t>.  Le 17 août 2012, le tribunal militaire fit droit à l</w:t>
      </w:r>
      <w:r w:rsidRPr="000232C2" w:rsidR="000232C2">
        <w:rPr>
          <w:lang w:val="fr-FR"/>
        </w:rPr>
        <w:t>’</w:t>
      </w:r>
      <w:r w:rsidRPr="000232C2">
        <w:rPr>
          <w:lang w:val="fr-FR"/>
        </w:rPr>
        <w:t>opposition des requérants et ordonna au parquet de procéder à un complément d</w:t>
      </w:r>
      <w:r w:rsidRPr="000232C2" w:rsidR="000232C2">
        <w:rPr>
          <w:lang w:val="fr-FR"/>
        </w:rPr>
        <w:t>’</w:t>
      </w:r>
      <w:r w:rsidRPr="000232C2">
        <w:rPr>
          <w:lang w:val="fr-FR"/>
        </w:rPr>
        <w:t>instruction. Il estima notamment qu</w:t>
      </w:r>
      <w:r w:rsidRPr="000232C2" w:rsidR="000232C2">
        <w:rPr>
          <w:lang w:val="fr-FR"/>
        </w:rPr>
        <w:t>’</w:t>
      </w:r>
      <w:r w:rsidRPr="000232C2">
        <w:rPr>
          <w:lang w:val="fr-FR"/>
        </w:rPr>
        <w:t>il fallait établir les circonstances des événements et déterminer s</w:t>
      </w:r>
      <w:r w:rsidRPr="000232C2" w:rsidR="000232C2">
        <w:rPr>
          <w:lang w:val="fr-FR"/>
        </w:rPr>
        <w:t>’</w:t>
      </w:r>
      <w:r w:rsidRPr="000232C2">
        <w:rPr>
          <w:lang w:val="fr-FR"/>
        </w:rPr>
        <w:t>il s</w:t>
      </w:r>
      <w:r w:rsidRPr="000232C2" w:rsidR="000232C2">
        <w:rPr>
          <w:lang w:val="fr-FR"/>
        </w:rPr>
        <w:t>’</w:t>
      </w:r>
      <w:r w:rsidRPr="000232C2">
        <w:rPr>
          <w:lang w:val="fr-FR"/>
        </w:rPr>
        <w:t>agissait ou non d</w:t>
      </w:r>
      <w:r w:rsidRPr="000232C2" w:rsidR="000232C2">
        <w:rPr>
          <w:lang w:val="fr-FR"/>
        </w:rPr>
        <w:t>’</w:t>
      </w:r>
      <w:r w:rsidRPr="000232C2">
        <w:rPr>
          <w:lang w:val="fr-FR"/>
        </w:rPr>
        <w:t>un accident.</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28</w:t>
      </w:r>
      <w:r w:rsidRPr="000232C2">
        <w:fldChar w:fldCharType="end"/>
      </w:r>
      <w:r w:rsidRPr="000232C2">
        <w:rPr>
          <w:lang w:val="fr-FR"/>
        </w:rPr>
        <w:t>.  Le 6 août 2015, le procureur militaire mit un terme aux investigations et renvoya, le 7 août 2015, le dossier au tribunal militaire, accompagné d</w:t>
      </w:r>
      <w:r w:rsidRPr="000232C2" w:rsidR="000232C2">
        <w:rPr>
          <w:lang w:val="fr-FR"/>
        </w:rPr>
        <w:t>’</w:t>
      </w:r>
      <w:r w:rsidRPr="000232C2">
        <w:rPr>
          <w:lang w:val="fr-FR"/>
        </w:rPr>
        <w:t>un rapport relatif au complément d</w:t>
      </w:r>
      <w:r w:rsidRPr="000232C2" w:rsidR="000232C2">
        <w:rPr>
          <w:lang w:val="fr-FR"/>
        </w:rPr>
        <w:t>’</w:t>
      </w:r>
      <w:r w:rsidRPr="000232C2">
        <w:rPr>
          <w:lang w:val="fr-FR"/>
        </w:rPr>
        <w:t>instruction demandé dans lequel il présentait les mesures prises et répondait aux insuffisances relevées par ledit tribunal.</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29</w:t>
      </w:r>
      <w:r w:rsidRPr="000232C2">
        <w:fldChar w:fldCharType="end"/>
      </w:r>
      <w:r w:rsidRPr="000232C2">
        <w:rPr>
          <w:lang w:val="fr-FR"/>
        </w:rPr>
        <w:t>.  À la lumière de l</w:t>
      </w:r>
      <w:r w:rsidRPr="000232C2" w:rsidR="000232C2">
        <w:rPr>
          <w:lang w:val="fr-FR"/>
        </w:rPr>
        <w:t>’</w:t>
      </w:r>
      <w:r w:rsidRPr="000232C2">
        <w:rPr>
          <w:lang w:val="fr-FR"/>
        </w:rPr>
        <w:t>ensemble des éléments recueillis, le procureur militaire parvint aux conclusions suivantes :</w:t>
      </w:r>
    </w:p>
    <w:p w:rsidRPr="000232C2" w:rsidR="006C3F03" w:rsidP="000232C2" w:rsidRDefault="006C3F03">
      <w:pPr>
        <w:pStyle w:val="ECHRPara"/>
        <w:rPr>
          <w:lang w:val="fr-FR"/>
        </w:rPr>
      </w:pPr>
      <w:r w:rsidRPr="000232C2">
        <w:rPr>
          <w:lang w:val="fr-FR"/>
        </w:rPr>
        <w:t>–  Erol</w:t>
      </w:r>
      <w:r w:rsidRPr="000232C2" w:rsidR="008879CD">
        <w:rPr>
          <w:lang w:val="fr-FR"/>
        </w:rPr>
        <w:t> </w:t>
      </w:r>
      <w:r w:rsidRPr="000232C2">
        <w:rPr>
          <w:lang w:val="fr-FR"/>
        </w:rPr>
        <w:t>Algül avait probablement fait basculer le poste de garde sur lui de manière intentionnelle avec l</w:t>
      </w:r>
      <w:r w:rsidRPr="000232C2" w:rsidR="000232C2">
        <w:rPr>
          <w:lang w:val="fr-FR"/>
        </w:rPr>
        <w:t>’</w:t>
      </w:r>
      <w:r w:rsidRPr="000232C2">
        <w:rPr>
          <w:lang w:val="fr-FR"/>
        </w:rPr>
        <w:t>aide d</w:t>
      </w:r>
      <w:r w:rsidRPr="000232C2" w:rsidR="000232C2">
        <w:rPr>
          <w:lang w:val="fr-FR"/>
        </w:rPr>
        <w:t>’</w:t>
      </w:r>
      <w:r w:rsidRPr="000232C2">
        <w:rPr>
          <w:lang w:val="fr-FR"/>
        </w:rPr>
        <w:t>un camarade ;</w:t>
      </w:r>
    </w:p>
    <w:p w:rsidRPr="000232C2" w:rsidR="006C3F03" w:rsidP="000232C2" w:rsidRDefault="006C3F03">
      <w:pPr>
        <w:pStyle w:val="ECHRPara"/>
        <w:rPr>
          <w:lang w:val="fr-FR"/>
        </w:rPr>
      </w:pPr>
      <w:r w:rsidRPr="000232C2">
        <w:rPr>
          <w:lang w:val="fr-FR"/>
        </w:rPr>
        <w:t>–  l</w:t>
      </w:r>
      <w:r w:rsidRPr="000232C2" w:rsidR="000232C2">
        <w:rPr>
          <w:lang w:val="fr-FR"/>
        </w:rPr>
        <w:t>’</w:t>
      </w:r>
      <w:r w:rsidRPr="000232C2">
        <w:rPr>
          <w:lang w:val="fr-FR"/>
        </w:rPr>
        <w:t>intéressé avait agi de la sorte dans l</w:t>
      </w:r>
      <w:r w:rsidRPr="000232C2" w:rsidR="000232C2">
        <w:rPr>
          <w:lang w:val="fr-FR"/>
        </w:rPr>
        <w:t>’</w:t>
      </w:r>
      <w:r w:rsidRPr="000232C2">
        <w:rPr>
          <w:lang w:val="fr-FR"/>
        </w:rPr>
        <w:t>intention de se blesser et de terminer plus rapidement son service militaire ;</w:t>
      </w:r>
    </w:p>
    <w:p w:rsidRPr="000232C2" w:rsidR="006C3F03" w:rsidP="000232C2" w:rsidRDefault="006C3F03">
      <w:pPr>
        <w:pStyle w:val="ECHRPara"/>
        <w:rPr>
          <w:lang w:val="fr-FR"/>
        </w:rPr>
      </w:pPr>
      <w:r w:rsidRPr="000232C2">
        <w:rPr>
          <w:lang w:val="fr-FR"/>
        </w:rPr>
        <w:t>–  l</w:t>
      </w:r>
      <w:r w:rsidRPr="000232C2" w:rsidR="000232C2">
        <w:rPr>
          <w:lang w:val="fr-FR"/>
        </w:rPr>
        <w:t>’</w:t>
      </w:r>
      <w:r w:rsidRPr="000232C2">
        <w:rPr>
          <w:lang w:val="fr-FR"/>
        </w:rPr>
        <w:t>appelé O.K. avait été suspecté mais l</w:t>
      </w:r>
      <w:r w:rsidRPr="000232C2" w:rsidR="000232C2">
        <w:rPr>
          <w:lang w:val="fr-FR"/>
        </w:rPr>
        <w:t>’</w:t>
      </w:r>
      <w:r w:rsidRPr="000232C2">
        <w:rPr>
          <w:lang w:val="fr-FR"/>
        </w:rPr>
        <w:t>instruction avait permis d</w:t>
      </w:r>
      <w:r w:rsidRPr="000232C2" w:rsidR="000232C2">
        <w:rPr>
          <w:lang w:val="fr-FR"/>
        </w:rPr>
        <w:t>’</w:t>
      </w:r>
      <w:r w:rsidRPr="000232C2">
        <w:rPr>
          <w:lang w:val="fr-FR"/>
        </w:rPr>
        <w:t>acquérir la certitude qu</w:t>
      </w:r>
      <w:r w:rsidRPr="000232C2" w:rsidR="000232C2">
        <w:rPr>
          <w:lang w:val="fr-FR"/>
        </w:rPr>
        <w:t>’</w:t>
      </w:r>
      <w:r w:rsidRPr="000232C2">
        <w:rPr>
          <w:lang w:val="fr-FR"/>
        </w:rPr>
        <w:t>il ne connaissait pas Erol Algül et qu</w:t>
      </w:r>
      <w:r w:rsidRPr="000232C2" w:rsidR="000232C2">
        <w:rPr>
          <w:lang w:val="fr-FR"/>
        </w:rPr>
        <w:t>’</w:t>
      </w:r>
      <w:r w:rsidRPr="000232C2">
        <w:rPr>
          <w:lang w:val="fr-FR"/>
        </w:rPr>
        <w:t>il n</w:t>
      </w:r>
      <w:r w:rsidRPr="000232C2" w:rsidR="000232C2">
        <w:rPr>
          <w:lang w:val="fr-FR"/>
        </w:rPr>
        <w:t>’</w:t>
      </w:r>
      <w:r w:rsidRPr="000232C2">
        <w:rPr>
          <w:lang w:val="fr-FR"/>
        </w:rPr>
        <w:t>y avait donc aucun élément dans le dossier justifiant sa mise en examen.</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30</w:t>
      </w:r>
      <w:r w:rsidRPr="000232C2">
        <w:fldChar w:fldCharType="end"/>
      </w:r>
      <w:r w:rsidRPr="000232C2">
        <w:rPr>
          <w:lang w:val="fr-FR"/>
        </w:rPr>
        <w:t>.  Le 13 août 2015, le tribunal militaire rejeta l</w:t>
      </w:r>
      <w:r w:rsidRPr="000232C2" w:rsidR="000232C2">
        <w:rPr>
          <w:lang w:val="fr-FR"/>
        </w:rPr>
        <w:t>’</w:t>
      </w:r>
      <w:r w:rsidRPr="000232C2">
        <w:rPr>
          <w:lang w:val="fr-FR"/>
        </w:rPr>
        <w:t>opposition des requérants.</w:t>
      </w:r>
    </w:p>
    <w:p w:rsidRPr="000232C2" w:rsidR="006C3F03" w:rsidP="000232C2" w:rsidRDefault="006C3F03">
      <w:pPr>
        <w:pStyle w:val="ECHRHeading2"/>
        <w:rPr>
          <w:b w:val="0"/>
          <w:lang w:val="fr-FR"/>
        </w:rPr>
      </w:pPr>
      <w:r w:rsidRPr="000232C2">
        <w:rPr>
          <w:lang w:val="fr-FR"/>
        </w:rPr>
        <w:t>D.  Le recours en indemnisation devant la Haute Cour administrative militaire</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31</w:t>
      </w:r>
      <w:r w:rsidRPr="000232C2">
        <w:fldChar w:fldCharType="end"/>
      </w:r>
      <w:r w:rsidRPr="000232C2">
        <w:rPr>
          <w:lang w:val="fr-FR"/>
        </w:rPr>
        <w:t>.  Le 1</w:t>
      </w:r>
      <w:r w:rsidRPr="000232C2">
        <w:rPr>
          <w:vertAlign w:val="superscript"/>
          <w:lang w:val="fr-FR"/>
        </w:rPr>
        <w:t>er</w:t>
      </w:r>
      <w:r w:rsidRPr="000232C2">
        <w:rPr>
          <w:lang w:val="fr-FR"/>
        </w:rPr>
        <w:t xml:space="preserve"> juillet 2014, les requérants, par l</w:t>
      </w:r>
      <w:r w:rsidRPr="000232C2" w:rsidR="000232C2">
        <w:rPr>
          <w:lang w:val="fr-FR"/>
        </w:rPr>
        <w:t>’</w:t>
      </w:r>
      <w:r w:rsidRPr="000232C2">
        <w:rPr>
          <w:lang w:val="fr-FR"/>
        </w:rPr>
        <w:t>intermédiaire de leur avocat, formèrent un recours de plein contentieux devant la Haute Cour administrative militaire tendant à l</w:t>
      </w:r>
      <w:r w:rsidRPr="000232C2" w:rsidR="000232C2">
        <w:rPr>
          <w:lang w:val="fr-FR"/>
        </w:rPr>
        <w:t>’</w:t>
      </w:r>
      <w:r w:rsidRPr="000232C2">
        <w:rPr>
          <w:lang w:val="fr-FR"/>
        </w:rPr>
        <w:t>obtention d</w:t>
      </w:r>
      <w:r w:rsidRPr="000232C2" w:rsidR="000232C2">
        <w:rPr>
          <w:lang w:val="fr-FR"/>
        </w:rPr>
        <w:t>’</w:t>
      </w:r>
      <w:r w:rsidRPr="000232C2">
        <w:rPr>
          <w:lang w:val="fr-FR"/>
        </w:rPr>
        <w:t>une indemnité pécuniaire en raison du décès de leur proche Erol</w:t>
      </w:r>
      <w:r w:rsidRPr="000232C2" w:rsidR="008879CD">
        <w:rPr>
          <w:lang w:val="fr-FR"/>
        </w:rPr>
        <w:t> </w:t>
      </w:r>
      <w:r w:rsidRPr="000232C2">
        <w:rPr>
          <w:lang w:val="fr-FR"/>
        </w:rPr>
        <w:t>Algül.</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32</w:t>
      </w:r>
      <w:r w:rsidRPr="000232C2">
        <w:fldChar w:fldCharType="end"/>
      </w:r>
      <w:r w:rsidRPr="000232C2">
        <w:rPr>
          <w:lang w:val="fr-FR"/>
        </w:rPr>
        <w:t>.  Cette procédure demeure pendante devant les juridictions nationales.</w:t>
      </w:r>
    </w:p>
    <w:p w:rsidRPr="000232C2" w:rsidR="006C3F03" w:rsidP="000232C2" w:rsidRDefault="006C3F03">
      <w:pPr>
        <w:pStyle w:val="ECHRTitle1"/>
        <w:rPr>
          <w:lang w:val="fr-FR"/>
        </w:rPr>
      </w:pPr>
      <w:r w:rsidRPr="000232C2">
        <w:rPr>
          <w:lang w:val="fr-FR"/>
        </w:rPr>
        <w:t>EN DROIT</w:t>
      </w:r>
    </w:p>
    <w:p w:rsidRPr="000232C2" w:rsidR="006C3F03" w:rsidP="000232C2" w:rsidRDefault="006C3F03">
      <w:pPr>
        <w:pStyle w:val="ECHRHeading1"/>
        <w:rPr>
          <w:lang w:val="fr-FR"/>
        </w:rPr>
      </w:pPr>
      <w:r w:rsidRPr="000232C2">
        <w:rPr>
          <w:lang w:val="fr-FR"/>
        </w:rPr>
        <w:t>I.  SUR LA VIOLATION ALLÉGUÉE DE L</w:t>
      </w:r>
      <w:r w:rsidRPr="000232C2" w:rsidR="000232C2">
        <w:rPr>
          <w:lang w:val="fr-FR"/>
        </w:rPr>
        <w:t>’</w:t>
      </w:r>
      <w:r w:rsidRPr="000232C2">
        <w:rPr>
          <w:lang w:val="fr-FR"/>
        </w:rPr>
        <w:t>ARTICLE 2 DE LA CONVENTION</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33</w:t>
      </w:r>
      <w:r w:rsidRPr="000232C2">
        <w:fldChar w:fldCharType="end"/>
      </w:r>
      <w:r w:rsidRPr="000232C2">
        <w:rPr>
          <w:lang w:val="fr-FR"/>
        </w:rPr>
        <w:t>.  Les requérants allèguent que les circonstances de la cause ont emporté violation de l</w:t>
      </w:r>
      <w:r w:rsidRPr="000232C2" w:rsidR="000232C2">
        <w:rPr>
          <w:lang w:val="fr-FR"/>
        </w:rPr>
        <w:t>’</w:t>
      </w:r>
      <w:r w:rsidRPr="000232C2">
        <w:rPr>
          <w:lang w:val="fr-FR"/>
        </w:rPr>
        <w:t>article 2 de la Convention sous son volet procédural et de l</w:t>
      </w:r>
      <w:r w:rsidRPr="000232C2" w:rsidR="000232C2">
        <w:rPr>
          <w:lang w:val="fr-FR"/>
        </w:rPr>
        <w:t>’</w:t>
      </w:r>
      <w:r w:rsidRPr="000232C2">
        <w:rPr>
          <w:lang w:val="fr-FR"/>
        </w:rPr>
        <w:t>article 13 de la Convention.</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34</w:t>
      </w:r>
      <w:r w:rsidRPr="000232C2">
        <w:fldChar w:fldCharType="end"/>
      </w:r>
      <w:r w:rsidRPr="000232C2">
        <w:rPr>
          <w:lang w:val="fr-FR"/>
        </w:rPr>
        <w:t>.  Le Gouvernement combat cette thèse.</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35</w:t>
      </w:r>
      <w:r w:rsidRPr="000232C2">
        <w:fldChar w:fldCharType="end"/>
      </w:r>
      <w:r w:rsidRPr="000232C2">
        <w:rPr>
          <w:lang w:val="fr-FR"/>
        </w:rPr>
        <w:t>.  </w:t>
      </w:r>
      <w:bookmarkStart w:name="OLE_LINK1" w:id="1"/>
      <w:r w:rsidRPr="000232C2">
        <w:rPr>
          <w:lang w:val="fr-FR"/>
        </w:rPr>
        <w:t xml:space="preserve">La Cour rappelle que, en vertu du principe </w:t>
      </w:r>
      <w:r w:rsidRPr="000232C2">
        <w:rPr>
          <w:i/>
          <w:iCs/>
          <w:lang w:val="fr-FR"/>
        </w:rPr>
        <w:t>jura novit curia</w:t>
      </w:r>
      <w:r w:rsidRPr="000232C2">
        <w:rPr>
          <w:lang w:val="fr-FR"/>
        </w:rPr>
        <w:t>, elle n</w:t>
      </w:r>
      <w:r w:rsidRPr="000232C2" w:rsidR="000232C2">
        <w:rPr>
          <w:lang w:val="fr-FR"/>
        </w:rPr>
        <w:t>’</w:t>
      </w:r>
      <w:r w:rsidRPr="000232C2">
        <w:rPr>
          <w:lang w:val="fr-FR"/>
        </w:rPr>
        <w:t>est pas tenue par les moyens de droit avancés par les requérants en vertu de la Convention et de ses Protocoles, et elle peut décider de la qualification juridique à donner aux faits d</w:t>
      </w:r>
      <w:r w:rsidRPr="000232C2" w:rsidR="000232C2">
        <w:rPr>
          <w:lang w:val="fr-FR"/>
        </w:rPr>
        <w:t>’</w:t>
      </w:r>
      <w:r w:rsidRPr="000232C2">
        <w:rPr>
          <w:lang w:val="fr-FR"/>
        </w:rPr>
        <w:t>un grief en examinant celui-ci sur le terrain d</w:t>
      </w:r>
      <w:r w:rsidRPr="000232C2" w:rsidR="000232C2">
        <w:rPr>
          <w:lang w:val="fr-FR"/>
        </w:rPr>
        <w:t>’</w:t>
      </w:r>
      <w:r w:rsidRPr="000232C2">
        <w:rPr>
          <w:lang w:val="fr-FR"/>
        </w:rPr>
        <w:t>articles ou de dispositions de la Convention autres que ceux invoqués par les requérants (</w:t>
      </w:r>
      <w:r w:rsidRPr="000232C2">
        <w:rPr>
          <w:i/>
          <w:iCs/>
          <w:lang w:val="fr-FR"/>
        </w:rPr>
        <w:t>Radomilja et autres c. Croatie</w:t>
      </w:r>
      <w:r w:rsidRPr="000232C2">
        <w:rPr>
          <w:lang w:val="fr-FR"/>
        </w:rPr>
        <w:t xml:space="preserve"> [GC], n</w:t>
      </w:r>
      <w:r w:rsidRPr="000232C2">
        <w:rPr>
          <w:vertAlign w:val="superscript"/>
          <w:lang w:val="fr-FR"/>
        </w:rPr>
        <w:t>os</w:t>
      </w:r>
      <w:r w:rsidRPr="000232C2" w:rsidR="00F15391">
        <w:rPr>
          <w:vertAlign w:val="superscript"/>
          <w:lang w:val="fr-FR"/>
        </w:rPr>
        <w:t> </w:t>
      </w:r>
      <w:r w:rsidRPr="000232C2" w:rsidR="00F15391">
        <w:rPr>
          <w:lang w:val="fr-FR"/>
        </w:rPr>
        <w:t>37685/10 et </w:t>
      </w:r>
      <w:r w:rsidRPr="000232C2">
        <w:rPr>
          <w:lang w:val="fr-FR"/>
        </w:rPr>
        <w:t>22768/12, § 126, 20 mars 2018). En l</w:t>
      </w:r>
      <w:r w:rsidRPr="000232C2" w:rsidR="000232C2">
        <w:rPr>
          <w:lang w:val="fr-FR"/>
        </w:rPr>
        <w:t>’</w:t>
      </w:r>
      <w:r w:rsidRPr="000232C2">
        <w:rPr>
          <w:lang w:val="fr-FR"/>
        </w:rPr>
        <w:t>espèce, elle estime qu</w:t>
      </w:r>
      <w:r w:rsidRPr="000232C2" w:rsidR="000232C2">
        <w:rPr>
          <w:lang w:val="fr-FR"/>
        </w:rPr>
        <w:t>’</w:t>
      </w:r>
      <w:r w:rsidRPr="000232C2">
        <w:rPr>
          <w:lang w:val="fr-FR"/>
        </w:rPr>
        <w:t>il convient d</w:t>
      </w:r>
      <w:r w:rsidRPr="000232C2" w:rsidR="000232C2">
        <w:rPr>
          <w:lang w:val="fr-FR"/>
        </w:rPr>
        <w:t>’</w:t>
      </w:r>
      <w:r w:rsidRPr="000232C2">
        <w:rPr>
          <w:lang w:val="fr-FR"/>
        </w:rPr>
        <w:t>examiner les griefs des requérants sous l</w:t>
      </w:r>
      <w:r w:rsidRPr="000232C2" w:rsidR="000232C2">
        <w:rPr>
          <w:lang w:val="fr-FR"/>
        </w:rPr>
        <w:t>’</w:t>
      </w:r>
      <w:r w:rsidRPr="000232C2">
        <w:rPr>
          <w:lang w:val="fr-FR"/>
        </w:rPr>
        <w:t>angle du seul artic</w:t>
      </w:r>
      <w:r w:rsidRPr="000232C2" w:rsidR="008879CD">
        <w:rPr>
          <w:lang w:val="fr-FR"/>
        </w:rPr>
        <w:t xml:space="preserve">le </w:t>
      </w:r>
      <w:r w:rsidRPr="000232C2">
        <w:rPr>
          <w:lang w:val="fr-FR"/>
        </w:rPr>
        <w:t>2 de la Convention.</w:t>
      </w:r>
    </w:p>
    <w:bookmarkEnd w:id="1"/>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36</w:t>
      </w:r>
      <w:r w:rsidRPr="000232C2">
        <w:fldChar w:fldCharType="end"/>
      </w:r>
      <w:r w:rsidRPr="000232C2">
        <w:rPr>
          <w:lang w:val="fr-FR"/>
        </w:rPr>
        <w:t>.  L</w:t>
      </w:r>
      <w:r w:rsidRPr="000232C2" w:rsidR="000232C2">
        <w:rPr>
          <w:lang w:val="fr-FR"/>
        </w:rPr>
        <w:t>’</w:t>
      </w:r>
      <w:r w:rsidRPr="000232C2">
        <w:rPr>
          <w:lang w:val="fr-FR"/>
        </w:rPr>
        <w:t>article</w:t>
      </w:r>
      <w:r w:rsidRPr="000232C2" w:rsidR="008879CD">
        <w:rPr>
          <w:lang w:val="fr-FR"/>
        </w:rPr>
        <w:t> </w:t>
      </w:r>
      <w:r w:rsidRPr="000232C2">
        <w:rPr>
          <w:lang w:val="fr-FR"/>
        </w:rPr>
        <w:t>2 de la Convention est ainsi libellé en sa partie pertinente en l</w:t>
      </w:r>
      <w:r w:rsidRPr="000232C2" w:rsidR="000232C2">
        <w:rPr>
          <w:lang w:val="fr-FR"/>
        </w:rPr>
        <w:t>’</w:t>
      </w:r>
      <w:r w:rsidRPr="000232C2">
        <w:rPr>
          <w:lang w:val="fr-FR"/>
        </w:rPr>
        <w:t>espèce :</w:t>
      </w:r>
    </w:p>
    <w:p w:rsidRPr="000232C2" w:rsidR="006C3F03" w:rsidP="000232C2" w:rsidRDefault="006C3F03">
      <w:pPr>
        <w:pStyle w:val="ECHRParaQuote"/>
        <w:rPr>
          <w:lang w:val="fr-FR"/>
        </w:rPr>
      </w:pPr>
      <w:r w:rsidRPr="000232C2">
        <w:rPr>
          <w:lang w:val="fr-FR"/>
        </w:rPr>
        <w:t>« Le droit de toute personne à la vie est protégé par la loi. »</w:t>
      </w:r>
    </w:p>
    <w:p w:rsidRPr="000232C2" w:rsidR="006C3F03" w:rsidP="000232C2" w:rsidRDefault="006C3F03">
      <w:pPr>
        <w:pStyle w:val="ECHRHeading2"/>
        <w:rPr>
          <w:lang w:val="fr-FR"/>
        </w:rPr>
      </w:pPr>
      <w:r w:rsidRPr="000232C2">
        <w:rPr>
          <w:lang w:val="fr-FR"/>
        </w:rPr>
        <w:t>A.  Sur la recevabilité</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37</w:t>
      </w:r>
      <w:r w:rsidRPr="000232C2">
        <w:fldChar w:fldCharType="end"/>
      </w:r>
      <w:r w:rsidRPr="000232C2">
        <w:rPr>
          <w:lang w:val="fr-FR"/>
        </w:rPr>
        <w:t>.  Le Gouvernement excipe du non-épuisement des voies de recours internes. Il indique à cet égard que la procédure est pendante devant les juridictions nationales et que les requérants ont désormais la possibilité d</w:t>
      </w:r>
      <w:r w:rsidRPr="000232C2" w:rsidR="000232C2">
        <w:rPr>
          <w:lang w:val="fr-FR"/>
        </w:rPr>
        <w:t>’</w:t>
      </w:r>
      <w:r w:rsidRPr="000232C2">
        <w:rPr>
          <w:lang w:val="fr-FR"/>
        </w:rPr>
        <w:t>introduire un recours individuel devant la Cour constitutionnelle.</w:t>
      </w:r>
    </w:p>
    <w:p w:rsidRPr="000232C2" w:rsidR="006C3F03" w:rsidP="000232C2" w:rsidRDefault="006C3F03">
      <w:pPr>
        <w:pStyle w:val="ECHRPara"/>
        <w:rPr>
          <w:noProof/>
          <w:lang w:val="fr-FR"/>
        </w:rPr>
      </w:pPr>
      <w:r w:rsidRPr="000232C2">
        <w:rPr>
          <w:noProof/>
        </w:rPr>
        <w:fldChar w:fldCharType="begin"/>
      </w:r>
      <w:r w:rsidRPr="000232C2">
        <w:rPr>
          <w:noProof/>
          <w:lang w:val="fr-FR"/>
        </w:rPr>
        <w:instrText xml:space="preserve"> SEQ level0 \*arabic </w:instrText>
      </w:r>
      <w:r w:rsidRPr="000232C2">
        <w:rPr>
          <w:noProof/>
        </w:rPr>
        <w:fldChar w:fldCharType="separate"/>
      </w:r>
      <w:r w:rsidRPr="000232C2" w:rsidR="000232C2">
        <w:rPr>
          <w:noProof/>
          <w:lang w:val="fr-FR"/>
        </w:rPr>
        <w:t>38</w:t>
      </w:r>
      <w:r w:rsidRPr="000232C2">
        <w:rPr>
          <w:noProof/>
        </w:rPr>
        <w:fldChar w:fldCharType="end"/>
      </w:r>
      <w:r w:rsidRPr="000232C2">
        <w:rPr>
          <w:noProof/>
          <w:lang w:val="fr-FR"/>
        </w:rPr>
        <w:t>.  S</w:t>
      </w:r>
      <w:r w:rsidRPr="000232C2" w:rsidR="000232C2">
        <w:rPr>
          <w:noProof/>
          <w:lang w:val="fr-FR"/>
        </w:rPr>
        <w:t>’</w:t>
      </w:r>
      <w:r w:rsidRPr="000232C2">
        <w:rPr>
          <w:noProof/>
          <w:lang w:val="fr-FR"/>
        </w:rPr>
        <w:t>agissant du recours individuel devant la Cour Constitutionnelle, la Cour rappelle que le respect de la condition d</w:t>
      </w:r>
      <w:r w:rsidRPr="000232C2" w:rsidR="000232C2">
        <w:rPr>
          <w:noProof/>
          <w:lang w:val="fr-FR"/>
        </w:rPr>
        <w:t>’</w:t>
      </w:r>
      <w:r w:rsidRPr="000232C2">
        <w:rPr>
          <w:noProof/>
          <w:lang w:val="fr-FR"/>
        </w:rPr>
        <w:t>épuisement des voies de recours internes s</w:t>
      </w:r>
      <w:r w:rsidRPr="000232C2" w:rsidR="000232C2">
        <w:rPr>
          <w:noProof/>
          <w:lang w:val="fr-FR"/>
        </w:rPr>
        <w:t>’</w:t>
      </w:r>
      <w:r w:rsidRPr="000232C2">
        <w:rPr>
          <w:noProof/>
          <w:lang w:val="fr-FR"/>
        </w:rPr>
        <w:t>apprécie en règle générale à la date d</w:t>
      </w:r>
      <w:r w:rsidRPr="000232C2" w:rsidR="000232C2">
        <w:rPr>
          <w:noProof/>
          <w:lang w:val="fr-FR"/>
        </w:rPr>
        <w:t>’</w:t>
      </w:r>
      <w:r w:rsidRPr="000232C2">
        <w:rPr>
          <w:noProof/>
          <w:lang w:val="fr-FR"/>
        </w:rPr>
        <w:t>introduction de la requête devant elle (</w:t>
      </w:r>
      <w:r w:rsidRPr="000232C2">
        <w:rPr>
          <w:i/>
          <w:noProof/>
          <w:lang w:val="fr-FR"/>
        </w:rPr>
        <w:t>Valada Matos das Neves</w:t>
      </w:r>
      <w:r w:rsidRPr="000232C2" w:rsidR="008879CD">
        <w:rPr>
          <w:i/>
          <w:noProof/>
          <w:lang w:val="fr-FR"/>
        </w:rPr>
        <w:t xml:space="preserve"> </w:t>
      </w:r>
      <w:r w:rsidRPr="000232C2">
        <w:rPr>
          <w:i/>
          <w:noProof/>
          <w:lang w:val="fr-FR"/>
        </w:rPr>
        <w:t>c.</w:t>
      </w:r>
      <w:r w:rsidRPr="000232C2" w:rsidR="008879CD">
        <w:rPr>
          <w:i/>
          <w:noProof/>
          <w:lang w:val="fr-FR"/>
        </w:rPr>
        <w:t xml:space="preserve"> </w:t>
      </w:r>
      <w:r w:rsidRPr="000232C2">
        <w:rPr>
          <w:i/>
          <w:noProof/>
          <w:lang w:val="fr-FR"/>
        </w:rPr>
        <w:t>Portugal</w:t>
      </w:r>
      <w:r w:rsidRPr="000232C2">
        <w:rPr>
          <w:noProof/>
          <w:lang w:val="fr-FR"/>
        </w:rPr>
        <w:t>, n</w:t>
      </w:r>
      <w:r w:rsidRPr="000232C2">
        <w:rPr>
          <w:noProof/>
          <w:vertAlign w:val="superscript"/>
          <w:lang w:val="fr-FR"/>
        </w:rPr>
        <w:t>o</w:t>
      </w:r>
      <w:r w:rsidRPr="000232C2" w:rsidR="008879CD">
        <w:rPr>
          <w:noProof/>
          <w:lang w:val="fr-FR"/>
        </w:rPr>
        <w:t xml:space="preserve"> 73798/13, </w:t>
      </w:r>
      <w:r w:rsidRPr="000232C2">
        <w:rPr>
          <w:noProof/>
          <w:lang w:val="fr-FR"/>
        </w:rPr>
        <w:t>§ 102, 29 octobre 2015) et note que, en l</w:t>
      </w:r>
      <w:r w:rsidRPr="000232C2" w:rsidR="000232C2">
        <w:rPr>
          <w:noProof/>
          <w:lang w:val="fr-FR"/>
        </w:rPr>
        <w:t>’</w:t>
      </w:r>
      <w:r w:rsidRPr="000232C2">
        <w:rPr>
          <w:noProof/>
          <w:lang w:val="fr-FR"/>
        </w:rPr>
        <w:t>espèce, la requête a été introduite le 16 juillet 2012, c</w:t>
      </w:r>
      <w:r w:rsidRPr="000232C2" w:rsidR="000232C2">
        <w:rPr>
          <w:noProof/>
          <w:lang w:val="fr-FR"/>
        </w:rPr>
        <w:t>’</w:t>
      </w:r>
      <w:r w:rsidRPr="000232C2" w:rsidR="008879CD">
        <w:rPr>
          <w:noProof/>
          <w:lang w:val="fr-FR"/>
        </w:rPr>
        <w:t xml:space="preserve">est-à-dire avant le </w:t>
      </w:r>
      <w:r w:rsidRPr="000232C2">
        <w:rPr>
          <w:noProof/>
          <w:lang w:val="fr-FR"/>
        </w:rPr>
        <w:t>23 septembre 2012, date de l</w:t>
      </w:r>
      <w:r w:rsidRPr="000232C2" w:rsidR="000232C2">
        <w:rPr>
          <w:noProof/>
          <w:lang w:val="fr-FR"/>
        </w:rPr>
        <w:t>’</w:t>
      </w:r>
      <w:r w:rsidRPr="000232C2">
        <w:rPr>
          <w:noProof/>
          <w:lang w:val="fr-FR"/>
        </w:rPr>
        <w:t>instauration du recours individuel devant la Cour constitutionnelle.</w:t>
      </w:r>
    </w:p>
    <w:p w:rsidRPr="000232C2" w:rsidR="006C3F03" w:rsidP="000232C2" w:rsidRDefault="006C3F03">
      <w:pPr>
        <w:pStyle w:val="ECHRPara"/>
        <w:rPr>
          <w:noProof/>
          <w:lang w:val="fr-FR"/>
        </w:rPr>
      </w:pPr>
      <w:r w:rsidRPr="000232C2">
        <w:rPr>
          <w:noProof/>
        </w:rPr>
        <w:fldChar w:fldCharType="begin"/>
      </w:r>
      <w:r w:rsidRPr="000232C2">
        <w:rPr>
          <w:noProof/>
          <w:lang w:val="fr-FR"/>
        </w:rPr>
        <w:instrText xml:space="preserve"> SEQ level0 \*arabic </w:instrText>
      </w:r>
      <w:r w:rsidRPr="000232C2">
        <w:rPr>
          <w:noProof/>
        </w:rPr>
        <w:fldChar w:fldCharType="separate"/>
      </w:r>
      <w:r w:rsidRPr="000232C2" w:rsidR="000232C2">
        <w:rPr>
          <w:noProof/>
          <w:lang w:val="fr-FR"/>
        </w:rPr>
        <w:t>39</w:t>
      </w:r>
      <w:r w:rsidRPr="000232C2">
        <w:rPr>
          <w:noProof/>
        </w:rPr>
        <w:fldChar w:fldCharType="end"/>
      </w:r>
      <w:r w:rsidRPr="000232C2">
        <w:rPr>
          <w:noProof/>
          <w:lang w:val="fr-FR"/>
        </w:rPr>
        <w:t>.  La Cour ne distingue en l</w:t>
      </w:r>
      <w:r w:rsidRPr="000232C2" w:rsidR="000232C2">
        <w:rPr>
          <w:noProof/>
          <w:lang w:val="fr-FR"/>
        </w:rPr>
        <w:t>’</w:t>
      </w:r>
      <w:r w:rsidRPr="000232C2">
        <w:rPr>
          <w:noProof/>
          <w:lang w:val="fr-FR"/>
        </w:rPr>
        <w:t>occurrence aucune circonstance justifiant qu</w:t>
      </w:r>
      <w:r w:rsidRPr="000232C2" w:rsidR="000232C2">
        <w:rPr>
          <w:noProof/>
          <w:lang w:val="fr-FR"/>
        </w:rPr>
        <w:t>’</w:t>
      </w:r>
      <w:r w:rsidRPr="000232C2">
        <w:rPr>
          <w:noProof/>
          <w:lang w:val="fr-FR"/>
        </w:rPr>
        <w:t>elle adopte une autre approche.</w:t>
      </w:r>
    </w:p>
    <w:p w:rsidRPr="000232C2" w:rsidR="006C3F03" w:rsidP="000232C2" w:rsidRDefault="006C3F03">
      <w:pPr>
        <w:pStyle w:val="ECHRPara"/>
        <w:rPr>
          <w:rFonts w:ascii="Times New Roman" w:hAnsi="Times New Roman"/>
          <w:szCs w:val="24"/>
          <w:lang w:val="fr-FR"/>
        </w:rPr>
      </w:pPr>
      <w:r w:rsidRPr="000232C2">
        <w:rPr>
          <w:noProof/>
        </w:rPr>
        <w:fldChar w:fldCharType="begin"/>
      </w:r>
      <w:r w:rsidRPr="000232C2">
        <w:rPr>
          <w:noProof/>
          <w:lang w:val="fr-FR"/>
        </w:rPr>
        <w:instrText xml:space="preserve"> SEQ level0 \*arabic </w:instrText>
      </w:r>
      <w:r w:rsidRPr="000232C2">
        <w:rPr>
          <w:noProof/>
        </w:rPr>
        <w:fldChar w:fldCharType="separate"/>
      </w:r>
      <w:r w:rsidRPr="000232C2" w:rsidR="000232C2">
        <w:rPr>
          <w:noProof/>
          <w:lang w:val="fr-FR"/>
        </w:rPr>
        <w:t>40</w:t>
      </w:r>
      <w:r w:rsidRPr="000232C2">
        <w:rPr>
          <w:noProof/>
        </w:rPr>
        <w:fldChar w:fldCharType="end"/>
      </w:r>
      <w:r w:rsidRPr="000232C2">
        <w:rPr>
          <w:noProof/>
          <w:lang w:val="fr-FR"/>
        </w:rPr>
        <w:t>.  </w:t>
      </w:r>
      <w:r w:rsidRPr="000232C2">
        <w:rPr>
          <w:rFonts w:ascii="Times New Roman" w:hAnsi="Times New Roman"/>
          <w:szCs w:val="24"/>
          <w:lang w:val="fr-FR"/>
        </w:rPr>
        <w:t>En outre, elle rappelle avoir déjà rejeté une exception similaire dans une affaire où, comme en l</w:t>
      </w:r>
      <w:r w:rsidRPr="000232C2" w:rsidR="000232C2">
        <w:rPr>
          <w:rFonts w:ascii="Times New Roman" w:hAnsi="Times New Roman"/>
          <w:szCs w:val="24"/>
          <w:lang w:val="fr-FR"/>
        </w:rPr>
        <w:t>’</w:t>
      </w:r>
      <w:r w:rsidRPr="000232C2">
        <w:rPr>
          <w:rFonts w:ascii="Times New Roman" w:hAnsi="Times New Roman"/>
          <w:szCs w:val="24"/>
          <w:lang w:val="fr-FR"/>
        </w:rPr>
        <w:t>espèce, la procédure était encore pendante devant les juridictions nationales à la date d</w:t>
      </w:r>
      <w:r w:rsidRPr="000232C2" w:rsidR="000232C2">
        <w:rPr>
          <w:rFonts w:ascii="Times New Roman" w:hAnsi="Times New Roman"/>
          <w:szCs w:val="24"/>
          <w:lang w:val="fr-FR"/>
        </w:rPr>
        <w:t>’</w:t>
      </w:r>
      <w:r w:rsidRPr="000232C2">
        <w:rPr>
          <w:rFonts w:ascii="Times New Roman" w:hAnsi="Times New Roman"/>
          <w:szCs w:val="24"/>
          <w:lang w:val="fr-FR"/>
        </w:rPr>
        <w:t>instauration du recours susmentionné (</w:t>
      </w:r>
      <w:r w:rsidRPr="000232C2">
        <w:rPr>
          <w:rFonts w:ascii="Times New Roman" w:hAnsi="Times New Roman"/>
          <w:i/>
          <w:iCs/>
          <w:szCs w:val="24"/>
          <w:lang w:val="fr-FR"/>
        </w:rPr>
        <w:t>Öztünç c. Turquie</w:t>
      </w:r>
      <w:r w:rsidRPr="000232C2">
        <w:rPr>
          <w:rFonts w:ascii="Times New Roman" w:hAnsi="Times New Roman"/>
          <w:szCs w:val="24"/>
          <w:lang w:val="fr-FR"/>
        </w:rPr>
        <w:t>, n</w:t>
      </w:r>
      <w:r w:rsidRPr="000232C2">
        <w:rPr>
          <w:rFonts w:ascii="Times New Roman" w:hAnsi="Times New Roman"/>
          <w:szCs w:val="24"/>
          <w:vertAlign w:val="superscript"/>
          <w:lang w:val="fr-FR"/>
        </w:rPr>
        <w:t>o</w:t>
      </w:r>
      <w:r w:rsidRPr="000232C2">
        <w:rPr>
          <w:rFonts w:ascii="Times New Roman" w:hAnsi="Times New Roman"/>
          <w:szCs w:val="24"/>
          <w:lang w:val="fr-FR"/>
        </w:rPr>
        <w:t xml:space="preserve"> 14777/08, §§ 50-61, 9 février 2016</w:t>
      </w:r>
      <w:r w:rsidRPr="000232C2" w:rsidR="008879CD">
        <w:rPr>
          <w:rFonts w:ascii="Times New Roman" w:hAnsi="Times New Roman"/>
          <w:szCs w:val="24"/>
          <w:lang w:val="fr-FR"/>
        </w:rPr>
        <w:t xml:space="preserve">, et </w:t>
      </w:r>
      <w:r w:rsidRPr="000232C2" w:rsidR="008879CD">
        <w:rPr>
          <w:rFonts w:ascii="Times New Roman" w:hAnsi="Times New Roman"/>
          <w:i/>
          <w:iCs/>
          <w:szCs w:val="24"/>
          <w:lang w:val="fr-FR"/>
        </w:rPr>
        <w:t>Nihat </w:t>
      </w:r>
      <w:r w:rsidRPr="000232C2">
        <w:rPr>
          <w:rFonts w:ascii="Times New Roman" w:hAnsi="Times New Roman"/>
          <w:i/>
          <w:iCs/>
          <w:szCs w:val="24"/>
          <w:lang w:val="fr-FR"/>
        </w:rPr>
        <w:t>Soylu c. Turquie</w:t>
      </w:r>
      <w:r w:rsidRPr="000232C2">
        <w:rPr>
          <w:rFonts w:ascii="Times New Roman" w:hAnsi="Times New Roman"/>
          <w:szCs w:val="24"/>
          <w:lang w:val="fr-FR"/>
        </w:rPr>
        <w:t>, n</w:t>
      </w:r>
      <w:r w:rsidRPr="000232C2">
        <w:rPr>
          <w:rFonts w:ascii="Times New Roman" w:hAnsi="Times New Roman"/>
          <w:szCs w:val="24"/>
          <w:vertAlign w:val="superscript"/>
          <w:lang w:val="fr-FR"/>
        </w:rPr>
        <w:t>o</w:t>
      </w:r>
      <w:r w:rsidRPr="000232C2">
        <w:rPr>
          <w:rFonts w:ascii="Times New Roman" w:hAnsi="Times New Roman"/>
          <w:szCs w:val="24"/>
          <w:lang w:val="fr-FR"/>
        </w:rPr>
        <w:t xml:space="preserve"> 48532/11, 11 décembre 2018).</w:t>
      </w:r>
    </w:p>
    <w:p w:rsidRPr="000232C2" w:rsidR="006C3F03" w:rsidP="000232C2" w:rsidRDefault="006C3F03">
      <w:pPr>
        <w:pStyle w:val="ECHRPara"/>
        <w:rPr>
          <w:noProof/>
          <w:lang w:val="fr-FR"/>
        </w:rPr>
      </w:pPr>
      <w:r w:rsidRPr="000232C2">
        <w:rPr>
          <w:rFonts w:ascii="Times New Roman" w:hAnsi="Times New Roman"/>
          <w:szCs w:val="24"/>
        </w:rPr>
        <w:fldChar w:fldCharType="begin"/>
      </w:r>
      <w:r w:rsidRPr="000232C2">
        <w:rPr>
          <w:rFonts w:ascii="Times New Roman" w:hAnsi="Times New Roman"/>
          <w:szCs w:val="24"/>
          <w:lang w:val="fr-FR"/>
        </w:rPr>
        <w:instrText xml:space="preserve"> SEQ level0 \*arabic </w:instrText>
      </w:r>
      <w:r w:rsidRPr="000232C2">
        <w:rPr>
          <w:rFonts w:ascii="Times New Roman" w:hAnsi="Times New Roman"/>
          <w:szCs w:val="24"/>
        </w:rPr>
        <w:fldChar w:fldCharType="separate"/>
      </w:r>
      <w:r w:rsidRPr="000232C2" w:rsidR="000232C2">
        <w:rPr>
          <w:rFonts w:ascii="Times New Roman" w:hAnsi="Times New Roman"/>
          <w:noProof/>
          <w:szCs w:val="24"/>
          <w:lang w:val="fr-FR"/>
        </w:rPr>
        <w:t>41</w:t>
      </w:r>
      <w:r w:rsidRPr="000232C2">
        <w:rPr>
          <w:rFonts w:ascii="Times New Roman" w:hAnsi="Times New Roman"/>
          <w:szCs w:val="24"/>
        </w:rPr>
        <w:fldChar w:fldCharType="end"/>
      </w:r>
      <w:r w:rsidRPr="000232C2">
        <w:rPr>
          <w:rFonts w:ascii="Times New Roman" w:hAnsi="Times New Roman"/>
          <w:szCs w:val="24"/>
          <w:lang w:val="fr-FR"/>
        </w:rPr>
        <w:t>.  Par conséquent, elle rejette cette branche de l</w:t>
      </w:r>
      <w:r w:rsidRPr="000232C2" w:rsidR="000232C2">
        <w:rPr>
          <w:rFonts w:ascii="Times New Roman" w:hAnsi="Times New Roman"/>
          <w:szCs w:val="24"/>
          <w:lang w:val="fr-FR"/>
        </w:rPr>
        <w:t>’</w:t>
      </w:r>
      <w:r w:rsidRPr="000232C2">
        <w:rPr>
          <w:rFonts w:ascii="Times New Roman" w:hAnsi="Times New Roman"/>
          <w:szCs w:val="24"/>
          <w:lang w:val="fr-FR"/>
        </w:rPr>
        <w:t>exception du Gouvernement.</w:t>
      </w:r>
    </w:p>
    <w:p w:rsidRPr="000232C2" w:rsidR="006C3F03" w:rsidP="000232C2" w:rsidRDefault="006C3F03">
      <w:pPr>
        <w:pStyle w:val="ECHRPara"/>
        <w:rPr>
          <w:rFonts w:ascii="Times New Roman" w:hAnsi="Times New Roman"/>
          <w:szCs w:val="24"/>
          <w:lang w:val="fr-FR"/>
        </w:rPr>
      </w:pPr>
      <w:r w:rsidRPr="000232C2">
        <w:rPr>
          <w:noProof/>
        </w:rPr>
        <w:fldChar w:fldCharType="begin"/>
      </w:r>
      <w:r w:rsidRPr="000232C2">
        <w:rPr>
          <w:noProof/>
          <w:lang w:val="fr-FR"/>
        </w:rPr>
        <w:instrText xml:space="preserve"> SEQ level0 \*arabic </w:instrText>
      </w:r>
      <w:r w:rsidRPr="000232C2">
        <w:rPr>
          <w:noProof/>
        </w:rPr>
        <w:fldChar w:fldCharType="separate"/>
      </w:r>
      <w:r w:rsidRPr="000232C2" w:rsidR="000232C2">
        <w:rPr>
          <w:noProof/>
          <w:lang w:val="fr-FR"/>
        </w:rPr>
        <w:t>42</w:t>
      </w:r>
      <w:r w:rsidRPr="000232C2">
        <w:rPr>
          <w:noProof/>
        </w:rPr>
        <w:fldChar w:fldCharType="end"/>
      </w:r>
      <w:r w:rsidRPr="000232C2">
        <w:rPr>
          <w:noProof/>
          <w:lang w:val="fr-FR"/>
        </w:rPr>
        <w:t>.  </w:t>
      </w:r>
      <w:r w:rsidRPr="000232C2">
        <w:rPr>
          <w:rFonts w:ascii="Times New Roman" w:hAnsi="Times New Roman"/>
          <w:szCs w:val="24"/>
          <w:lang w:val="fr-FR"/>
        </w:rPr>
        <w:t>En ce qui concerne la procédure en indemnisation devant les juridictions de fond, l</w:t>
      </w:r>
      <w:r w:rsidRPr="000232C2" w:rsidR="000232C2">
        <w:rPr>
          <w:rFonts w:ascii="Times New Roman" w:hAnsi="Times New Roman"/>
          <w:szCs w:val="24"/>
          <w:lang w:val="fr-FR"/>
        </w:rPr>
        <w:t>’</w:t>
      </w:r>
      <w:r w:rsidRPr="000232C2">
        <w:rPr>
          <w:rFonts w:ascii="Times New Roman" w:hAnsi="Times New Roman"/>
          <w:szCs w:val="24"/>
          <w:lang w:val="fr-FR"/>
        </w:rPr>
        <w:t>exception de non-épuisement des voies de recours internes soulevée par le Gouvernement est étroitement liée à la substance des griefs des requérants tirés de l</w:t>
      </w:r>
      <w:r w:rsidRPr="000232C2" w:rsidR="000232C2">
        <w:rPr>
          <w:rFonts w:ascii="Times New Roman" w:hAnsi="Times New Roman"/>
          <w:szCs w:val="24"/>
          <w:lang w:val="fr-FR"/>
        </w:rPr>
        <w:t>’</w:t>
      </w:r>
      <w:r w:rsidRPr="000232C2">
        <w:rPr>
          <w:rFonts w:ascii="Times New Roman" w:hAnsi="Times New Roman"/>
          <w:szCs w:val="24"/>
          <w:lang w:val="fr-FR"/>
        </w:rPr>
        <w:t>article</w:t>
      </w:r>
      <w:r w:rsidRPr="000232C2" w:rsidR="008879CD">
        <w:rPr>
          <w:rFonts w:ascii="Times New Roman" w:hAnsi="Times New Roman"/>
          <w:szCs w:val="24"/>
          <w:lang w:val="fr-FR"/>
        </w:rPr>
        <w:t xml:space="preserve"> </w:t>
      </w:r>
      <w:r w:rsidRPr="000232C2">
        <w:rPr>
          <w:rFonts w:ascii="Times New Roman" w:hAnsi="Times New Roman"/>
          <w:szCs w:val="24"/>
          <w:lang w:val="fr-FR"/>
        </w:rPr>
        <w:t>2 de la Convention et qu</w:t>
      </w:r>
      <w:r w:rsidRPr="000232C2" w:rsidR="000232C2">
        <w:rPr>
          <w:rFonts w:ascii="Times New Roman" w:hAnsi="Times New Roman"/>
          <w:szCs w:val="24"/>
          <w:lang w:val="fr-FR"/>
        </w:rPr>
        <w:t>’</w:t>
      </w:r>
      <w:r w:rsidRPr="000232C2">
        <w:rPr>
          <w:rFonts w:ascii="Times New Roman" w:hAnsi="Times New Roman"/>
          <w:szCs w:val="24"/>
          <w:lang w:val="fr-FR"/>
        </w:rPr>
        <w:t>elle doit donc être jointe au fond. La Cour relève en outre que ces griefs ne se heurtent à aucun autre motif d</w:t>
      </w:r>
      <w:r w:rsidRPr="000232C2" w:rsidR="000232C2">
        <w:rPr>
          <w:rFonts w:ascii="Times New Roman" w:hAnsi="Times New Roman"/>
          <w:szCs w:val="24"/>
          <w:lang w:val="fr-FR"/>
        </w:rPr>
        <w:t>’</w:t>
      </w:r>
      <w:r w:rsidRPr="000232C2">
        <w:rPr>
          <w:rFonts w:ascii="Times New Roman" w:hAnsi="Times New Roman"/>
          <w:szCs w:val="24"/>
          <w:lang w:val="fr-FR"/>
        </w:rPr>
        <w:t>irrecevabilité.</w:t>
      </w:r>
      <w:r w:rsidRPr="000232C2">
        <w:rPr>
          <w:lang w:val="fr-FR"/>
        </w:rPr>
        <w:t xml:space="preserve"> Elle les déclare donc recevables.</w:t>
      </w:r>
    </w:p>
    <w:p w:rsidRPr="000232C2" w:rsidR="006C3F03" w:rsidP="000232C2" w:rsidRDefault="006C3F03">
      <w:pPr>
        <w:pStyle w:val="ECHRHeading2"/>
        <w:rPr>
          <w:lang w:val="fr-FR"/>
        </w:rPr>
      </w:pPr>
      <w:r w:rsidRPr="000232C2">
        <w:rPr>
          <w:lang w:val="fr-FR"/>
        </w:rPr>
        <w:t>B.  Sur le fond</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43</w:t>
      </w:r>
      <w:r w:rsidRPr="000232C2">
        <w:fldChar w:fldCharType="end"/>
      </w:r>
      <w:r w:rsidRPr="000232C2">
        <w:rPr>
          <w:lang w:val="fr-FR"/>
        </w:rPr>
        <w:t>.  Les requérants se plaignent que les circonstances dans lesquelles s</w:t>
      </w:r>
      <w:r w:rsidRPr="000232C2" w:rsidR="000232C2">
        <w:rPr>
          <w:lang w:val="fr-FR"/>
        </w:rPr>
        <w:t>’</w:t>
      </w:r>
      <w:r w:rsidRPr="000232C2">
        <w:rPr>
          <w:lang w:val="fr-FR"/>
        </w:rPr>
        <w:t>est produit le décès de leur proche n</w:t>
      </w:r>
      <w:r w:rsidRPr="000232C2" w:rsidR="000232C2">
        <w:rPr>
          <w:lang w:val="fr-FR"/>
        </w:rPr>
        <w:t>’</w:t>
      </w:r>
      <w:r w:rsidRPr="000232C2">
        <w:rPr>
          <w:lang w:val="fr-FR"/>
        </w:rPr>
        <w:t>ont pas été clairement élucidées.</w:t>
      </w:r>
    </w:p>
    <w:p w:rsidRPr="000232C2" w:rsidR="006C3F03" w:rsidP="000232C2" w:rsidRDefault="006C3F03">
      <w:pPr>
        <w:pStyle w:val="ECHRPara"/>
        <w:rPr>
          <w:noProof/>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44</w:t>
      </w:r>
      <w:r w:rsidRPr="000232C2">
        <w:fldChar w:fldCharType="end"/>
      </w:r>
      <w:r w:rsidRPr="000232C2">
        <w:rPr>
          <w:lang w:val="fr-FR"/>
        </w:rPr>
        <w:t>.  Le Gouvernement combat la thèse des requérants, soutenant qu</w:t>
      </w:r>
      <w:r w:rsidRPr="000232C2" w:rsidR="000232C2">
        <w:rPr>
          <w:lang w:val="fr-FR"/>
        </w:rPr>
        <w:t>’</w:t>
      </w:r>
      <w:r w:rsidRPr="000232C2">
        <w:rPr>
          <w:lang w:val="fr-FR"/>
        </w:rPr>
        <w:t xml:space="preserve">elle est dénuée de tout fondement. </w:t>
      </w:r>
      <w:r w:rsidRPr="000232C2">
        <w:rPr>
          <w:noProof/>
          <w:lang w:val="fr-FR"/>
        </w:rPr>
        <w:t>Il indique que l</w:t>
      </w:r>
      <w:r w:rsidRPr="000232C2" w:rsidR="000232C2">
        <w:rPr>
          <w:noProof/>
          <w:lang w:val="fr-FR"/>
        </w:rPr>
        <w:t>’</w:t>
      </w:r>
      <w:r w:rsidRPr="000232C2">
        <w:rPr>
          <w:noProof/>
          <w:lang w:val="fr-FR"/>
        </w:rPr>
        <w:t>enquête pénale a permis de déterminer la cause du décès d</w:t>
      </w:r>
      <w:r w:rsidRPr="000232C2" w:rsidR="000232C2">
        <w:rPr>
          <w:noProof/>
          <w:lang w:val="fr-FR"/>
        </w:rPr>
        <w:t>’</w:t>
      </w:r>
      <w:r w:rsidRPr="000232C2">
        <w:rPr>
          <w:lang w:val="fr-FR"/>
        </w:rPr>
        <w:t xml:space="preserve">Erol Algül. </w:t>
      </w:r>
      <w:r w:rsidRPr="000232C2">
        <w:rPr>
          <w:noProof/>
          <w:lang w:val="fr-FR"/>
        </w:rPr>
        <w:t>Il estime que les circonstances de l</w:t>
      </w:r>
      <w:r w:rsidRPr="000232C2" w:rsidR="000232C2">
        <w:rPr>
          <w:noProof/>
          <w:lang w:val="fr-FR"/>
        </w:rPr>
        <w:t>’</w:t>
      </w:r>
      <w:r w:rsidRPr="000232C2">
        <w:rPr>
          <w:noProof/>
          <w:lang w:val="fr-FR"/>
        </w:rPr>
        <w:t>espèce ne révèlent aucun manquement de la part des autorités à l</w:t>
      </w:r>
      <w:r w:rsidRPr="000232C2" w:rsidR="000232C2">
        <w:rPr>
          <w:noProof/>
          <w:lang w:val="fr-FR"/>
        </w:rPr>
        <w:t>’</w:t>
      </w:r>
      <w:r w:rsidRPr="000232C2">
        <w:rPr>
          <w:noProof/>
          <w:lang w:val="fr-FR"/>
        </w:rPr>
        <w:t>obligation procédurale que fait peser sur elles l</w:t>
      </w:r>
      <w:r w:rsidRPr="000232C2" w:rsidR="000232C2">
        <w:rPr>
          <w:noProof/>
          <w:lang w:val="fr-FR"/>
        </w:rPr>
        <w:t>’</w:t>
      </w:r>
      <w:r w:rsidRPr="000232C2">
        <w:rPr>
          <w:noProof/>
          <w:lang w:val="fr-FR"/>
        </w:rPr>
        <w:t>article 2 de la Convention.</w:t>
      </w:r>
    </w:p>
    <w:p w:rsidRPr="000232C2" w:rsidR="006C3F03" w:rsidP="000232C2" w:rsidRDefault="006C3F03">
      <w:pPr>
        <w:pStyle w:val="ECHRPara"/>
        <w:rPr>
          <w:lang w:val="fr-FR"/>
        </w:rPr>
      </w:pPr>
      <w:r w:rsidRPr="000232C2">
        <w:rPr>
          <w:noProof/>
        </w:rPr>
        <w:fldChar w:fldCharType="begin"/>
      </w:r>
      <w:r w:rsidRPr="000232C2">
        <w:rPr>
          <w:noProof/>
          <w:lang w:val="fr-FR"/>
        </w:rPr>
        <w:instrText xml:space="preserve"> SEQ level0 \*arabic </w:instrText>
      </w:r>
      <w:r w:rsidRPr="000232C2">
        <w:rPr>
          <w:noProof/>
        </w:rPr>
        <w:fldChar w:fldCharType="separate"/>
      </w:r>
      <w:r w:rsidRPr="000232C2" w:rsidR="000232C2">
        <w:rPr>
          <w:noProof/>
          <w:lang w:val="fr-FR"/>
        </w:rPr>
        <w:t>45</w:t>
      </w:r>
      <w:r w:rsidRPr="000232C2">
        <w:rPr>
          <w:noProof/>
        </w:rPr>
        <w:fldChar w:fldCharType="end"/>
      </w:r>
      <w:r w:rsidRPr="000232C2">
        <w:rPr>
          <w:noProof/>
          <w:lang w:val="fr-FR"/>
        </w:rPr>
        <w:t>.  </w:t>
      </w:r>
      <w:r w:rsidRPr="000232C2">
        <w:rPr>
          <w:lang w:val="fr-FR"/>
        </w:rPr>
        <w:t>Les requérants n</w:t>
      </w:r>
      <w:r w:rsidRPr="000232C2" w:rsidR="000232C2">
        <w:rPr>
          <w:lang w:val="fr-FR"/>
        </w:rPr>
        <w:t>’</w:t>
      </w:r>
      <w:r w:rsidRPr="000232C2">
        <w:rPr>
          <w:lang w:val="fr-FR"/>
        </w:rPr>
        <w:t>ont pas répondu aux observations du Gouvernement dans le délai qui leur était imparti.</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46</w:t>
      </w:r>
      <w:r w:rsidRPr="000232C2">
        <w:fldChar w:fldCharType="end"/>
      </w:r>
      <w:r w:rsidRPr="000232C2">
        <w:rPr>
          <w:lang w:val="fr-FR"/>
        </w:rPr>
        <w:t>.  La Cour rappelle que les requêtes dont elle a été saisie dans le domaine du service militaire obligatoire avaient trait à des événements qui étaient souvent survenus dans une zone placée sous le contrôle exclusif des autorités ou des agents de l</w:t>
      </w:r>
      <w:r w:rsidRPr="000232C2" w:rsidR="000232C2">
        <w:rPr>
          <w:lang w:val="fr-FR"/>
        </w:rPr>
        <w:t>’</w:t>
      </w:r>
      <w:r w:rsidRPr="000232C2">
        <w:rPr>
          <w:lang w:val="fr-FR"/>
        </w:rPr>
        <w:t>État ou bien dans des locaux plus ou moins inaccessibles au public, où les protagonistes étaient réputés être les seuls susceptibles, d</w:t>
      </w:r>
      <w:r w:rsidRPr="000232C2" w:rsidR="000232C2">
        <w:rPr>
          <w:lang w:val="fr-FR"/>
        </w:rPr>
        <w:t>’</w:t>
      </w:r>
      <w:r w:rsidRPr="000232C2">
        <w:rPr>
          <w:lang w:val="fr-FR"/>
        </w:rPr>
        <w:t>une part, de connaître le déroulement exact des faits et, d</w:t>
      </w:r>
      <w:r w:rsidRPr="000232C2" w:rsidR="000232C2">
        <w:rPr>
          <w:lang w:val="fr-FR"/>
        </w:rPr>
        <w:t>’</w:t>
      </w:r>
      <w:r w:rsidRPr="000232C2">
        <w:rPr>
          <w:lang w:val="fr-FR"/>
        </w:rPr>
        <w:t>autre part, d</w:t>
      </w:r>
      <w:r w:rsidRPr="000232C2" w:rsidR="000232C2">
        <w:rPr>
          <w:lang w:val="fr-FR"/>
        </w:rPr>
        <w:t>’</w:t>
      </w:r>
      <w:r w:rsidRPr="000232C2">
        <w:rPr>
          <w:lang w:val="fr-FR"/>
        </w:rPr>
        <w:t>avoir accès aux informations propres à confirmer ou à réfuter les allégations formulées à leur endroit par les victimes ; aussi la jurisprudence de la Cour en la matière commande-t-elle, dans des situations déterminées, une application rigoureuse de l</w:t>
      </w:r>
      <w:r w:rsidRPr="000232C2" w:rsidR="000232C2">
        <w:rPr>
          <w:lang w:val="fr-FR"/>
        </w:rPr>
        <w:t>’</w:t>
      </w:r>
      <w:r w:rsidRPr="000232C2">
        <w:rPr>
          <w:lang w:val="fr-FR"/>
        </w:rPr>
        <w:t>obligation de mener une enquête officielle, de nature pénale, répondant aux critères minimums d</w:t>
      </w:r>
      <w:r w:rsidRPr="000232C2" w:rsidR="000232C2">
        <w:rPr>
          <w:lang w:val="fr-FR"/>
        </w:rPr>
        <w:t>’</w:t>
      </w:r>
      <w:r w:rsidRPr="000232C2">
        <w:rPr>
          <w:lang w:val="fr-FR"/>
        </w:rPr>
        <w:t>effectivité (</w:t>
      </w:r>
      <w:r w:rsidRPr="000232C2">
        <w:rPr>
          <w:i/>
          <w:lang w:val="fr-FR"/>
        </w:rPr>
        <w:t>Mustafa Tunç et Fecire Tunç c. Turquie</w:t>
      </w:r>
      <w:r w:rsidRPr="000232C2">
        <w:rPr>
          <w:lang w:val="fr-FR"/>
        </w:rPr>
        <w:t>, n</w:t>
      </w:r>
      <w:r w:rsidRPr="000232C2">
        <w:rPr>
          <w:vertAlign w:val="superscript"/>
          <w:lang w:val="fr-FR"/>
        </w:rPr>
        <w:t>o</w:t>
      </w:r>
      <w:r w:rsidRPr="000232C2" w:rsidR="008879CD">
        <w:rPr>
          <w:lang w:val="fr-FR"/>
        </w:rPr>
        <w:t> 24014/05, §§ 169</w:t>
      </w:r>
      <w:r w:rsidRPr="000232C2" w:rsidR="008879CD">
        <w:rPr>
          <w:lang w:val="fr-FR"/>
        </w:rPr>
        <w:noBreakHyphen/>
      </w:r>
      <w:r w:rsidRPr="000232C2">
        <w:rPr>
          <w:lang w:val="fr-FR"/>
        </w:rPr>
        <w:t>182, 25</w:t>
      </w:r>
      <w:r w:rsidRPr="000232C2" w:rsidR="008879CD">
        <w:rPr>
          <w:lang w:val="fr-FR"/>
        </w:rPr>
        <w:t xml:space="preserve"> </w:t>
      </w:r>
      <w:r w:rsidRPr="000232C2">
        <w:rPr>
          <w:lang w:val="fr-FR"/>
        </w:rPr>
        <w:t>juin 2013).</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47</w:t>
      </w:r>
      <w:r w:rsidRPr="000232C2">
        <w:fldChar w:fldCharType="end"/>
      </w:r>
      <w:r w:rsidRPr="000232C2">
        <w:rPr>
          <w:lang w:val="fr-FR"/>
        </w:rPr>
        <w:t>.  Pareille obligation s</w:t>
      </w:r>
      <w:r w:rsidRPr="000232C2" w:rsidR="000232C2">
        <w:rPr>
          <w:lang w:val="fr-FR"/>
        </w:rPr>
        <w:t>’</w:t>
      </w:r>
      <w:r w:rsidRPr="000232C2">
        <w:rPr>
          <w:lang w:val="fr-FR"/>
        </w:rPr>
        <w:t>impose notamment si le décès d</w:t>
      </w:r>
      <w:r w:rsidRPr="000232C2" w:rsidR="000232C2">
        <w:rPr>
          <w:lang w:val="fr-FR"/>
        </w:rPr>
        <w:t>’</w:t>
      </w:r>
      <w:r w:rsidRPr="000232C2">
        <w:rPr>
          <w:lang w:val="fr-FR"/>
        </w:rPr>
        <w:t>un appelé paraît objectivement « suspect ». C</w:t>
      </w:r>
      <w:r w:rsidRPr="000232C2" w:rsidR="000232C2">
        <w:rPr>
          <w:lang w:val="fr-FR"/>
        </w:rPr>
        <w:t>’</w:t>
      </w:r>
      <w:r w:rsidRPr="000232C2">
        <w:rPr>
          <w:lang w:val="fr-FR"/>
        </w:rPr>
        <w:t>est le cas lorsque la thèse de l</w:t>
      </w:r>
      <w:r w:rsidRPr="000232C2" w:rsidR="000232C2">
        <w:rPr>
          <w:lang w:val="fr-FR"/>
        </w:rPr>
        <w:t>’</w:t>
      </w:r>
      <w:r w:rsidRPr="000232C2">
        <w:rPr>
          <w:lang w:val="fr-FR"/>
        </w:rPr>
        <w:t>homicide est, eu égard aux faits, au moins défendable, ou qu</w:t>
      </w:r>
      <w:r w:rsidRPr="000232C2" w:rsidR="000232C2">
        <w:rPr>
          <w:lang w:val="fr-FR"/>
        </w:rPr>
        <w:t>’</w:t>
      </w:r>
      <w:r w:rsidRPr="000232C2">
        <w:rPr>
          <w:lang w:val="fr-FR"/>
        </w:rPr>
        <w:t>il n</w:t>
      </w:r>
      <w:r w:rsidRPr="000232C2" w:rsidR="000232C2">
        <w:rPr>
          <w:lang w:val="fr-FR"/>
        </w:rPr>
        <w:t>’</w:t>
      </w:r>
      <w:r w:rsidRPr="000232C2">
        <w:rPr>
          <w:lang w:val="fr-FR"/>
        </w:rPr>
        <w:t>est pas établi d</w:t>
      </w:r>
      <w:r w:rsidRPr="000232C2" w:rsidR="000232C2">
        <w:rPr>
          <w:lang w:val="fr-FR"/>
        </w:rPr>
        <w:t>’</w:t>
      </w:r>
      <w:r w:rsidRPr="000232C2">
        <w:rPr>
          <w:lang w:val="fr-FR"/>
        </w:rPr>
        <w:t>emblée et de manière claire que la mort a résulté d</w:t>
      </w:r>
      <w:r w:rsidRPr="000232C2" w:rsidR="000232C2">
        <w:rPr>
          <w:lang w:val="fr-FR"/>
        </w:rPr>
        <w:t>’</w:t>
      </w:r>
      <w:r w:rsidRPr="000232C2">
        <w:rPr>
          <w:lang w:val="fr-FR"/>
        </w:rPr>
        <w:t>un accident ou d</w:t>
      </w:r>
      <w:r w:rsidRPr="000232C2" w:rsidR="000232C2">
        <w:rPr>
          <w:lang w:val="fr-FR"/>
        </w:rPr>
        <w:t>’</w:t>
      </w:r>
      <w:r w:rsidRPr="000232C2">
        <w:rPr>
          <w:lang w:val="fr-FR"/>
        </w:rPr>
        <w:t>un autre acte involontaire (</w:t>
      </w:r>
      <w:r w:rsidRPr="000232C2">
        <w:rPr>
          <w:i/>
          <w:lang w:val="fr-FR"/>
        </w:rPr>
        <w:t>Mustafa Tunç et Fecire Tunç</w:t>
      </w:r>
      <w:r w:rsidRPr="000232C2" w:rsidR="00014B4C">
        <w:rPr>
          <w:lang w:val="fr-FR"/>
        </w:rPr>
        <w:t>, précité, §§ </w:t>
      </w:r>
      <w:r w:rsidRPr="000232C2">
        <w:rPr>
          <w:lang w:val="fr-FR"/>
        </w:rPr>
        <w:t>130-133).</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48</w:t>
      </w:r>
      <w:r w:rsidRPr="000232C2">
        <w:fldChar w:fldCharType="end"/>
      </w:r>
      <w:r w:rsidRPr="000232C2">
        <w:rPr>
          <w:lang w:val="fr-FR"/>
        </w:rPr>
        <w:t>.  La Cour estime que, dans les circonstances de l</w:t>
      </w:r>
      <w:r w:rsidRPr="000232C2" w:rsidR="000232C2">
        <w:rPr>
          <w:lang w:val="fr-FR"/>
        </w:rPr>
        <w:t>’</w:t>
      </w:r>
      <w:r w:rsidRPr="000232C2">
        <w:rPr>
          <w:lang w:val="fr-FR"/>
        </w:rPr>
        <w:t>espèce, une enquête officielle, de nature pénale, répondant aux critères minimums d</w:t>
      </w:r>
      <w:r w:rsidRPr="000232C2" w:rsidR="000232C2">
        <w:rPr>
          <w:lang w:val="fr-FR"/>
        </w:rPr>
        <w:t>’</w:t>
      </w:r>
      <w:r w:rsidRPr="000232C2">
        <w:rPr>
          <w:lang w:val="fr-FR"/>
        </w:rPr>
        <w:t>effectivité s</w:t>
      </w:r>
      <w:r w:rsidRPr="000232C2" w:rsidR="000232C2">
        <w:rPr>
          <w:lang w:val="fr-FR"/>
        </w:rPr>
        <w:t>’</w:t>
      </w:r>
      <w:r w:rsidRPr="000232C2">
        <w:rPr>
          <w:lang w:val="fr-FR"/>
        </w:rPr>
        <w:t>imposait.</w:t>
      </w:r>
    </w:p>
    <w:p w:rsidRPr="000232C2" w:rsidR="006C3F03" w:rsidP="000232C2" w:rsidRDefault="006C3F03">
      <w:pPr>
        <w:pStyle w:val="ECHRPara"/>
        <w:rPr>
          <w:noProof/>
          <w:lang w:val="fr-FR"/>
        </w:rPr>
      </w:pPr>
      <w:r w:rsidRPr="000232C2">
        <w:rPr>
          <w:noProof/>
        </w:rPr>
        <w:fldChar w:fldCharType="begin"/>
      </w:r>
      <w:r w:rsidRPr="000232C2">
        <w:rPr>
          <w:noProof/>
          <w:lang w:val="fr-FR"/>
        </w:rPr>
        <w:instrText xml:space="preserve"> SEQ level0 \*arabic </w:instrText>
      </w:r>
      <w:r w:rsidRPr="000232C2">
        <w:rPr>
          <w:noProof/>
        </w:rPr>
        <w:fldChar w:fldCharType="separate"/>
      </w:r>
      <w:r w:rsidRPr="000232C2" w:rsidR="000232C2">
        <w:rPr>
          <w:noProof/>
          <w:lang w:val="fr-FR"/>
        </w:rPr>
        <w:t>49</w:t>
      </w:r>
      <w:r w:rsidRPr="000232C2">
        <w:rPr>
          <w:noProof/>
        </w:rPr>
        <w:fldChar w:fldCharType="end"/>
      </w:r>
      <w:r w:rsidRPr="000232C2">
        <w:rPr>
          <w:noProof/>
          <w:lang w:val="fr-FR"/>
        </w:rPr>
        <w:t>.  Il convient d</w:t>
      </w:r>
      <w:r w:rsidRPr="000232C2" w:rsidR="000232C2">
        <w:rPr>
          <w:noProof/>
          <w:lang w:val="fr-FR"/>
        </w:rPr>
        <w:t>’</w:t>
      </w:r>
      <w:r w:rsidRPr="000232C2">
        <w:rPr>
          <w:noProof/>
          <w:lang w:val="fr-FR"/>
        </w:rPr>
        <w:t>observer en premier lieu que l</w:t>
      </w:r>
      <w:r w:rsidRPr="000232C2" w:rsidR="000232C2">
        <w:rPr>
          <w:noProof/>
          <w:lang w:val="fr-FR"/>
        </w:rPr>
        <w:t>’</w:t>
      </w:r>
      <w:r w:rsidRPr="000232C2">
        <w:rPr>
          <w:noProof/>
          <w:lang w:val="fr-FR"/>
        </w:rPr>
        <w:t>incident ayant conduit au décès d</w:t>
      </w:r>
      <w:r w:rsidRPr="000232C2" w:rsidR="000232C2">
        <w:rPr>
          <w:noProof/>
          <w:lang w:val="fr-FR"/>
        </w:rPr>
        <w:t>’</w:t>
      </w:r>
      <w:r w:rsidRPr="000232C2">
        <w:rPr>
          <w:noProof/>
          <w:lang w:val="fr-FR"/>
        </w:rPr>
        <w:t>Erol Algül lors de l</w:t>
      </w:r>
      <w:r w:rsidRPr="000232C2" w:rsidR="000232C2">
        <w:rPr>
          <w:noProof/>
          <w:lang w:val="fr-FR"/>
        </w:rPr>
        <w:t>’</w:t>
      </w:r>
      <w:r w:rsidRPr="000232C2">
        <w:rPr>
          <w:noProof/>
          <w:lang w:val="fr-FR"/>
        </w:rPr>
        <w:t>accomplissement de son service militaire obligatoire a eu lieu le 28 septembre 2005, que le parquet militaire a été immédiatement prévenu et que les premières mesures d</w:t>
      </w:r>
      <w:r w:rsidRPr="000232C2" w:rsidR="000232C2">
        <w:rPr>
          <w:noProof/>
          <w:lang w:val="fr-FR"/>
        </w:rPr>
        <w:t>’</w:t>
      </w:r>
      <w:r w:rsidRPr="000232C2">
        <w:rPr>
          <w:noProof/>
          <w:lang w:val="fr-FR"/>
        </w:rPr>
        <w:t>enquête ont été prises rapidement. Cependant, la Cour constate que le parquet militaire n</w:t>
      </w:r>
      <w:r w:rsidRPr="000232C2" w:rsidR="000232C2">
        <w:rPr>
          <w:noProof/>
          <w:lang w:val="fr-FR"/>
        </w:rPr>
        <w:t>’</w:t>
      </w:r>
      <w:r w:rsidRPr="000232C2">
        <w:rPr>
          <w:noProof/>
          <w:lang w:val="fr-FR"/>
        </w:rPr>
        <w:t>a pris aucune décision, qu</w:t>
      </w:r>
      <w:r w:rsidRPr="000232C2" w:rsidR="000232C2">
        <w:rPr>
          <w:noProof/>
          <w:lang w:val="fr-FR"/>
        </w:rPr>
        <w:t>’</w:t>
      </w:r>
      <w:r w:rsidRPr="000232C2">
        <w:rPr>
          <w:noProof/>
          <w:lang w:val="fr-FR"/>
        </w:rPr>
        <w:t>il s</w:t>
      </w:r>
      <w:r w:rsidRPr="000232C2" w:rsidR="000232C2">
        <w:rPr>
          <w:noProof/>
          <w:lang w:val="fr-FR"/>
        </w:rPr>
        <w:t>’</w:t>
      </w:r>
      <w:r w:rsidRPr="000232C2">
        <w:rPr>
          <w:noProof/>
          <w:lang w:val="fr-FR"/>
        </w:rPr>
        <w:t>est déclaré incompétent plus de trois ans après les faits et qu</w:t>
      </w:r>
      <w:r w:rsidRPr="000232C2" w:rsidR="000232C2">
        <w:rPr>
          <w:noProof/>
          <w:lang w:val="fr-FR"/>
        </w:rPr>
        <w:t>’</w:t>
      </w:r>
      <w:r w:rsidRPr="000232C2">
        <w:rPr>
          <w:noProof/>
          <w:lang w:val="fr-FR"/>
        </w:rPr>
        <w:t>il a envoyé le dossier au parquet de Şanlıurfa. Elle note que le parquet de Şanlıurfa a également estimé qu</w:t>
      </w:r>
      <w:r w:rsidRPr="000232C2" w:rsidR="000232C2">
        <w:rPr>
          <w:noProof/>
          <w:lang w:val="fr-FR"/>
        </w:rPr>
        <w:t>’</w:t>
      </w:r>
      <w:r w:rsidRPr="000232C2">
        <w:rPr>
          <w:noProof/>
          <w:lang w:val="fr-FR"/>
        </w:rPr>
        <w:t>il n</w:t>
      </w:r>
      <w:r w:rsidRPr="000232C2" w:rsidR="000232C2">
        <w:rPr>
          <w:noProof/>
          <w:lang w:val="fr-FR"/>
        </w:rPr>
        <w:t>’</w:t>
      </w:r>
      <w:r w:rsidRPr="000232C2">
        <w:rPr>
          <w:noProof/>
          <w:lang w:val="fr-FR"/>
        </w:rPr>
        <w:t>était pas compétent pour instruire l</w:t>
      </w:r>
      <w:r w:rsidRPr="000232C2" w:rsidR="000232C2">
        <w:rPr>
          <w:noProof/>
          <w:lang w:val="fr-FR"/>
        </w:rPr>
        <w:t>’</w:t>
      </w:r>
      <w:r w:rsidRPr="000232C2">
        <w:rPr>
          <w:noProof/>
          <w:lang w:val="fr-FR"/>
        </w:rPr>
        <w:t>affaire et que cette situation a duré jusqu</w:t>
      </w:r>
      <w:r w:rsidRPr="000232C2" w:rsidR="000232C2">
        <w:rPr>
          <w:noProof/>
          <w:lang w:val="fr-FR"/>
        </w:rPr>
        <w:t>’</w:t>
      </w:r>
      <w:r w:rsidRPr="000232C2">
        <w:rPr>
          <w:noProof/>
          <w:lang w:val="fr-FR"/>
        </w:rPr>
        <w:t>en 2009, date à laquelle le parquet militaire a finalement été désigné comme étant l</w:t>
      </w:r>
      <w:r w:rsidRPr="000232C2" w:rsidR="000232C2">
        <w:rPr>
          <w:noProof/>
          <w:lang w:val="fr-FR"/>
        </w:rPr>
        <w:t>’</w:t>
      </w:r>
      <w:r w:rsidRPr="000232C2">
        <w:rPr>
          <w:noProof/>
          <w:lang w:val="fr-FR"/>
        </w:rPr>
        <w:t>organe juridiquement compétent pour instruire l</w:t>
      </w:r>
      <w:r w:rsidRPr="000232C2" w:rsidR="000232C2">
        <w:rPr>
          <w:noProof/>
          <w:lang w:val="fr-FR"/>
        </w:rPr>
        <w:t>’</w:t>
      </w:r>
      <w:r w:rsidRPr="000232C2">
        <w:rPr>
          <w:noProof/>
          <w:lang w:val="fr-FR"/>
        </w:rPr>
        <w:t>affaire (paragraphe 24 ci-dessus). Elle relève que les autorités nationales judiciaires ont donc mis environ quatre ans pour prendre une décision sur la question de leur compétence. Le 2 juillet 2012, soit presque sept ans après le décès du proche des requérants, le parquet militaire a clôturé les investigations et a rendu une ordonnance de non-lieu. Le 17 août 2012, faisant droit aux contestations des requérants, le tribunal militaire a ordonné un complément d</w:t>
      </w:r>
      <w:r w:rsidRPr="000232C2" w:rsidR="000232C2">
        <w:rPr>
          <w:noProof/>
          <w:lang w:val="fr-FR"/>
        </w:rPr>
        <w:t>’</w:t>
      </w:r>
      <w:r w:rsidRPr="000232C2">
        <w:rPr>
          <w:noProof/>
          <w:lang w:val="fr-FR"/>
        </w:rPr>
        <w:t>instruction. Le parquet a rendu son rapport le 7</w:t>
      </w:r>
      <w:r w:rsidRPr="000232C2" w:rsidR="008879CD">
        <w:rPr>
          <w:noProof/>
          <w:lang w:val="fr-FR"/>
        </w:rPr>
        <w:t xml:space="preserve"> </w:t>
      </w:r>
      <w:r w:rsidRPr="000232C2">
        <w:rPr>
          <w:noProof/>
          <w:lang w:val="fr-FR"/>
        </w:rPr>
        <w:t>août 2015, après avoir effectué les actes complémentaires d</w:t>
      </w:r>
      <w:r w:rsidRPr="000232C2" w:rsidR="000232C2">
        <w:rPr>
          <w:noProof/>
          <w:lang w:val="fr-FR"/>
        </w:rPr>
        <w:t>’</w:t>
      </w:r>
      <w:r w:rsidRPr="000232C2">
        <w:rPr>
          <w:noProof/>
          <w:lang w:val="fr-FR"/>
        </w:rPr>
        <w:t>instruction. Le 13 août 2015, le tribunal militaire a rejeté l</w:t>
      </w:r>
      <w:r w:rsidRPr="000232C2" w:rsidR="000232C2">
        <w:rPr>
          <w:noProof/>
          <w:lang w:val="fr-FR"/>
        </w:rPr>
        <w:t>’</w:t>
      </w:r>
      <w:r w:rsidRPr="000232C2">
        <w:rPr>
          <w:noProof/>
          <w:lang w:val="fr-FR"/>
        </w:rPr>
        <w:t>opposition des requérants (paragraphe 30 ci-dessus). L</w:t>
      </w:r>
      <w:r w:rsidRPr="000232C2" w:rsidR="000232C2">
        <w:rPr>
          <w:noProof/>
          <w:lang w:val="fr-FR"/>
        </w:rPr>
        <w:t>’</w:t>
      </w:r>
      <w:r w:rsidRPr="000232C2">
        <w:rPr>
          <w:noProof/>
          <w:lang w:val="fr-FR"/>
        </w:rPr>
        <w:t>enquête pénale a donc duré près de dix ans. Or la Cour rappelle que, s</w:t>
      </w:r>
      <w:r w:rsidRPr="000232C2" w:rsidR="000232C2">
        <w:rPr>
          <w:noProof/>
          <w:lang w:val="fr-FR"/>
        </w:rPr>
        <w:t>’</w:t>
      </w:r>
      <w:r w:rsidRPr="000232C2">
        <w:rPr>
          <w:noProof/>
          <w:lang w:val="fr-FR"/>
        </w:rPr>
        <w:t>il peut arriver que des obstacles ou des difficultés empêchent une enquête de progresser dans une situation particulière, il reste que la prompte réaction des autorités est capitale pour maintenir la confiance du public et son adhésion à l</w:t>
      </w:r>
      <w:r w:rsidRPr="000232C2" w:rsidR="000232C2">
        <w:rPr>
          <w:noProof/>
          <w:lang w:val="fr-FR"/>
        </w:rPr>
        <w:t>’</w:t>
      </w:r>
      <w:r w:rsidRPr="000232C2">
        <w:rPr>
          <w:noProof/>
          <w:lang w:val="fr-FR"/>
        </w:rPr>
        <w:t>état de droit, et pour prévenir toute apparence de tolérance d</w:t>
      </w:r>
      <w:r w:rsidRPr="000232C2" w:rsidR="000232C2">
        <w:rPr>
          <w:noProof/>
          <w:lang w:val="fr-FR"/>
        </w:rPr>
        <w:t>’</w:t>
      </w:r>
      <w:r w:rsidRPr="000232C2">
        <w:rPr>
          <w:noProof/>
          <w:lang w:val="fr-FR"/>
        </w:rPr>
        <w:t>actes illégaux ou de collusion dans leur perpétration (</w:t>
      </w:r>
      <w:r w:rsidRPr="000232C2">
        <w:rPr>
          <w:i/>
          <w:noProof/>
          <w:lang w:val="fr-FR"/>
        </w:rPr>
        <w:t>Šilih c. Slovénie</w:t>
      </w:r>
      <w:r w:rsidRPr="000232C2">
        <w:rPr>
          <w:noProof/>
          <w:lang w:val="fr-FR"/>
        </w:rPr>
        <w:t xml:space="preserve"> [GC], n</w:t>
      </w:r>
      <w:r w:rsidRPr="000232C2">
        <w:rPr>
          <w:noProof/>
          <w:vertAlign w:val="superscript"/>
          <w:lang w:val="fr-FR"/>
        </w:rPr>
        <w:t>o</w:t>
      </w:r>
      <w:r w:rsidRPr="000232C2">
        <w:rPr>
          <w:noProof/>
          <w:lang w:val="fr-FR"/>
        </w:rPr>
        <w:t xml:space="preserve"> 71463/01, § 196, 9 avril 2009). En l</w:t>
      </w:r>
      <w:r w:rsidRPr="000232C2" w:rsidR="000232C2">
        <w:rPr>
          <w:noProof/>
          <w:lang w:val="fr-FR"/>
        </w:rPr>
        <w:t>’</w:t>
      </w:r>
      <w:r w:rsidRPr="000232C2">
        <w:rPr>
          <w:noProof/>
          <w:lang w:val="fr-FR"/>
        </w:rPr>
        <w:t>occurrence, la Cour ne peut que constater que les investigations en cause n</w:t>
      </w:r>
      <w:r w:rsidRPr="000232C2" w:rsidR="000232C2">
        <w:rPr>
          <w:noProof/>
          <w:lang w:val="fr-FR"/>
        </w:rPr>
        <w:t>’</w:t>
      </w:r>
      <w:r w:rsidRPr="000232C2">
        <w:rPr>
          <w:noProof/>
          <w:lang w:val="fr-FR"/>
        </w:rPr>
        <w:t>ont pas été menées avec la célérité requise et que la durée de la procédure pénale ne satisfait aucunement à l</w:t>
      </w:r>
      <w:r w:rsidRPr="000232C2" w:rsidR="000232C2">
        <w:rPr>
          <w:noProof/>
          <w:lang w:val="fr-FR"/>
        </w:rPr>
        <w:t>’</w:t>
      </w:r>
      <w:r w:rsidRPr="000232C2">
        <w:rPr>
          <w:noProof/>
          <w:lang w:val="fr-FR"/>
        </w:rPr>
        <w:t>exigence d</w:t>
      </w:r>
      <w:r w:rsidRPr="000232C2" w:rsidR="000232C2">
        <w:rPr>
          <w:noProof/>
          <w:lang w:val="fr-FR"/>
        </w:rPr>
        <w:t>’</w:t>
      </w:r>
      <w:r w:rsidRPr="000232C2">
        <w:rPr>
          <w:noProof/>
          <w:lang w:val="fr-FR"/>
        </w:rPr>
        <w:t>un examen prompt et sans retard inutile de l</w:t>
      </w:r>
      <w:r w:rsidRPr="000232C2" w:rsidR="000232C2">
        <w:rPr>
          <w:noProof/>
          <w:lang w:val="fr-FR"/>
        </w:rPr>
        <w:t>’</w:t>
      </w:r>
      <w:r w:rsidRPr="000232C2">
        <w:rPr>
          <w:noProof/>
          <w:lang w:val="fr-FR"/>
        </w:rPr>
        <w:t>affaire.</w:t>
      </w:r>
    </w:p>
    <w:p w:rsidRPr="000232C2" w:rsidR="006C3F03" w:rsidP="000232C2" w:rsidRDefault="006C3F03">
      <w:pPr>
        <w:pStyle w:val="ECHRPara"/>
        <w:rPr>
          <w:noProof/>
          <w:lang w:val="fr-FR"/>
        </w:rPr>
      </w:pPr>
      <w:r w:rsidRPr="000232C2">
        <w:rPr>
          <w:noProof/>
        </w:rPr>
        <w:fldChar w:fldCharType="begin"/>
      </w:r>
      <w:r w:rsidRPr="000232C2">
        <w:rPr>
          <w:noProof/>
          <w:lang w:val="fr-FR"/>
        </w:rPr>
        <w:instrText xml:space="preserve"> SEQ level0 \*arabic </w:instrText>
      </w:r>
      <w:r w:rsidRPr="000232C2">
        <w:rPr>
          <w:noProof/>
        </w:rPr>
        <w:fldChar w:fldCharType="separate"/>
      </w:r>
      <w:r w:rsidRPr="000232C2" w:rsidR="000232C2">
        <w:rPr>
          <w:noProof/>
          <w:lang w:val="fr-FR"/>
        </w:rPr>
        <w:t>50</w:t>
      </w:r>
      <w:r w:rsidRPr="000232C2">
        <w:rPr>
          <w:noProof/>
        </w:rPr>
        <w:fldChar w:fldCharType="end"/>
      </w:r>
      <w:r w:rsidRPr="000232C2">
        <w:rPr>
          <w:noProof/>
          <w:lang w:val="fr-FR"/>
        </w:rPr>
        <w:t>.  Il convient d</w:t>
      </w:r>
      <w:r w:rsidRPr="000232C2" w:rsidR="000232C2">
        <w:rPr>
          <w:noProof/>
          <w:lang w:val="fr-FR"/>
        </w:rPr>
        <w:t>’</w:t>
      </w:r>
      <w:r w:rsidRPr="000232C2">
        <w:rPr>
          <w:noProof/>
          <w:lang w:val="fr-FR"/>
        </w:rPr>
        <w:t>observer en second lieu que ce retard a eu des conséquences préjudiciables pour l</w:t>
      </w:r>
      <w:r w:rsidRPr="000232C2" w:rsidR="000232C2">
        <w:rPr>
          <w:noProof/>
          <w:lang w:val="fr-FR"/>
        </w:rPr>
        <w:t>’</w:t>
      </w:r>
      <w:r w:rsidRPr="000232C2">
        <w:rPr>
          <w:noProof/>
          <w:lang w:val="fr-FR"/>
        </w:rPr>
        <w:t>effectivité de l</w:t>
      </w:r>
      <w:r w:rsidRPr="000232C2" w:rsidR="000232C2">
        <w:rPr>
          <w:noProof/>
          <w:lang w:val="fr-FR"/>
        </w:rPr>
        <w:t>’</w:t>
      </w:r>
      <w:r w:rsidRPr="000232C2">
        <w:rPr>
          <w:noProof/>
          <w:lang w:val="fr-FR"/>
        </w:rPr>
        <w:t>enquête. En effet, lorsque, le 17 août 2012, le tribunal militaire a ordonné un complément d</w:t>
      </w:r>
      <w:r w:rsidRPr="000232C2" w:rsidR="000232C2">
        <w:rPr>
          <w:noProof/>
          <w:lang w:val="fr-FR"/>
        </w:rPr>
        <w:t>’</w:t>
      </w:r>
      <w:r w:rsidRPr="000232C2">
        <w:rPr>
          <w:noProof/>
          <w:lang w:val="fr-FR"/>
        </w:rPr>
        <w:t>instruction, un délai de presque sept ans s</w:t>
      </w:r>
      <w:r w:rsidRPr="000232C2" w:rsidR="000232C2">
        <w:rPr>
          <w:noProof/>
          <w:lang w:val="fr-FR"/>
        </w:rPr>
        <w:t>’</w:t>
      </w:r>
      <w:r w:rsidRPr="000232C2">
        <w:rPr>
          <w:noProof/>
          <w:lang w:val="fr-FR"/>
        </w:rPr>
        <w:t>était écoulé depuis la survenance des faits. Il était par conséquent pratiquement impossible de combler les insuffisances relevées par le tribunal militaire. Les autorités n</w:t>
      </w:r>
      <w:r w:rsidRPr="000232C2" w:rsidR="000232C2">
        <w:rPr>
          <w:noProof/>
          <w:lang w:val="fr-FR"/>
        </w:rPr>
        <w:t>’</w:t>
      </w:r>
      <w:r w:rsidRPr="000232C2">
        <w:rPr>
          <w:noProof/>
          <w:lang w:val="fr-FR"/>
        </w:rPr>
        <w:t>étaient donc plus en mesure de rectifier d</w:t>
      </w:r>
      <w:r w:rsidRPr="000232C2" w:rsidR="000232C2">
        <w:rPr>
          <w:noProof/>
          <w:lang w:val="fr-FR"/>
        </w:rPr>
        <w:t>’</w:t>
      </w:r>
      <w:r w:rsidRPr="000232C2">
        <w:rPr>
          <w:noProof/>
          <w:lang w:val="fr-FR"/>
        </w:rPr>
        <w:t>éventuelles erreurs.</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51</w:t>
      </w:r>
      <w:r w:rsidRPr="000232C2">
        <w:fldChar w:fldCharType="end"/>
      </w:r>
      <w:r w:rsidRPr="000232C2">
        <w:rPr>
          <w:lang w:val="fr-FR"/>
        </w:rPr>
        <w:t>.  La Cour relève également que, dans le cadre du recours en indemnisation intenté par les requérants devant la Haute Cour administrative militaire, la question s</w:t>
      </w:r>
      <w:r w:rsidRPr="000232C2" w:rsidR="000232C2">
        <w:rPr>
          <w:lang w:val="fr-FR"/>
        </w:rPr>
        <w:t>’</w:t>
      </w:r>
      <w:r w:rsidRPr="000232C2">
        <w:rPr>
          <w:lang w:val="fr-FR"/>
        </w:rPr>
        <w:t>est posée de savoir si les autorités militaires avaient une responsabilité dans le décès d</w:t>
      </w:r>
      <w:r w:rsidRPr="000232C2" w:rsidR="000232C2">
        <w:rPr>
          <w:lang w:val="fr-FR"/>
        </w:rPr>
        <w:t>’</w:t>
      </w:r>
      <w:r w:rsidRPr="000232C2">
        <w:rPr>
          <w:lang w:val="fr-FR"/>
        </w:rPr>
        <w:t>Erol Algül. Cette question n</w:t>
      </w:r>
      <w:r w:rsidRPr="000232C2" w:rsidR="000232C2">
        <w:rPr>
          <w:lang w:val="fr-FR"/>
        </w:rPr>
        <w:t>’</w:t>
      </w:r>
      <w:r w:rsidRPr="000232C2">
        <w:rPr>
          <w:lang w:val="fr-FR"/>
        </w:rPr>
        <w:t>a toujours pas trouvé de réponse car cette procédure est pendante devant les tribunaux internes depuis plus de quatre ans. Il n</w:t>
      </w:r>
      <w:r w:rsidRPr="000232C2" w:rsidR="000232C2">
        <w:rPr>
          <w:lang w:val="fr-FR"/>
        </w:rPr>
        <w:t>’</w:t>
      </w:r>
      <w:r w:rsidRPr="000232C2">
        <w:rPr>
          <w:lang w:val="fr-FR"/>
        </w:rPr>
        <w:t>apparaît pas, eu égard aux éléments du dossier, qu</w:t>
      </w:r>
      <w:r w:rsidRPr="000232C2" w:rsidR="000232C2">
        <w:rPr>
          <w:lang w:val="fr-FR"/>
        </w:rPr>
        <w:t>’</w:t>
      </w:r>
      <w:r w:rsidRPr="000232C2">
        <w:rPr>
          <w:lang w:val="fr-FR"/>
        </w:rPr>
        <w:t>une telle durée soit justifiée par les circonstances de la cause. À cet égard, la Cour rappelle qu</w:t>
      </w:r>
      <w:r w:rsidRPr="000232C2" w:rsidR="000232C2">
        <w:rPr>
          <w:lang w:val="fr-FR"/>
        </w:rPr>
        <w:t>’</w:t>
      </w:r>
      <w:r w:rsidRPr="000232C2">
        <w:rPr>
          <w:lang w:val="fr-FR"/>
        </w:rPr>
        <w:t>il appartient à l</w:t>
      </w:r>
      <w:r w:rsidRPr="000232C2" w:rsidR="000232C2">
        <w:rPr>
          <w:lang w:val="fr-FR"/>
        </w:rPr>
        <w:t>’</w:t>
      </w:r>
      <w:r w:rsidRPr="000232C2">
        <w:rPr>
          <w:lang w:val="fr-FR"/>
        </w:rPr>
        <w:t>État d</w:t>
      </w:r>
      <w:r w:rsidRPr="000232C2" w:rsidR="000232C2">
        <w:rPr>
          <w:lang w:val="fr-FR"/>
        </w:rPr>
        <w:t>’</w:t>
      </w:r>
      <w:r w:rsidRPr="000232C2">
        <w:rPr>
          <w:lang w:val="fr-FR"/>
        </w:rPr>
        <w:t>agencer son système judiciaire de manière à permettre à ses tribunaux de répondre aux exigences de la Convention, notamment celles consacrées par les obligations découlant de son article 2 de la Convention.</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52</w:t>
      </w:r>
      <w:r w:rsidRPr="000232C2">
        <w:fldChar w:fldCharType="end"/>
      </w:r>
      <w:r w:rsidRPr="000232C2">
        <w:rPr>
          <w:lang w:val="fr-FR"/>
        </w:rPr>
        <w:t>.  Ces éléments suffisent en eux-mêmes pour permettre à la Cour de conclure que les procédures menées en droit interne ont été défaillantes. Les autorités nationales n</w:t>
      </w:r>
      <w:r w:rsidRPr="000232C2" w:rsidR="000232C2">
        <w:rPr>
          <w:lang w:val="fr-FR"/>
        </w:rPr>
        <w:t>’</w:t>
      </w:r>
      <w:r w:rsidRPr="000232C2">
        <w:rPr>
          <w:lang w:val="fr-FR"/>
        </w:rPr>
        <w:t>ont pas traité la cause des requérants liée au décès de leur proche avec le niveau de diligence requis par l</w:t>
      </w:r>
      <w:r w:rsidRPr="000232C2" w:rsidR="000232C2">
        <w:rPr>
          <w:lang w:val="fr-FR"/>
        </w:rPr>
        <w:t>’</w:t>
      </w:r>
      <w:r w:rsidRPr="000232C2" w:rsidR="008879CD">
        <w:rPr>
          <w:lang w:val="fr-FR"/>
        </w:rPr>
        <w:t xml:space="preserve">article </w:t>
      </w:r>
      <w:r w:rsidRPr="000232C2">
        <w:rPr>
          <w:lang w:val="fr-FR"/>
        </w:rPr>
        <w:t>2 de la Convention. En conséquence, la Cour rejette l</w:t>
      </w:r>
      <w:r w:rsidRPr="000232C2" w:rsidR="000232C2">
        <w:rPr>
          <w:lang w:val="fr-FR"/>
        </w:rPr>
        <w:t>’</w:t>
      </w:r>
      <w:r w:rsidRPr="000232C2">
        <w:rPr>
          <w:lang w:val="fr-FR"/>
        </w:rPr>
        <w:t>exception préliminaire du Gouvernement relative au non-épuisement des voies de recours internes et conclut à la violation de cette disposition sous son volet procédural.</w:t>
      </w:r>
    </w:p>
    <w:p w:rsidRPr="000232C2" w:rsidR="006C3F03" w:rsidP="000232C2" w:rsidRDefault="006C3F03">
      <w:pPr>
        <w:pStyle w:val="ECHRHeading1"/>
        <w:rPr>
          <w:lang w:val="fr-FR"/>
        </w:rPr>
      </w:pPr>
      <w:r w:rsidRPr="000232C2">
        <w:rPr>
          <w:lang w:val="fr-FR"/>
        </w:rPr>
        <w:t>II.  SUR L</w:t>
      </w:r>
      <w:r w:rsidRPr="000232C2" w:rsidR="000232C2">
        <w:rPr>
          <w:lang w:val="fr-FR"/>
        </w:rPr>
        <w:t>’</w:t>
      </w:r>
      <w:r w:rsidRPr="000232C2">
        <w:rPr>
          <w:lang w:val="fr-FR"/>
        </w:rPr>
        <w:t>APPLICATION DE L</w:t>
      </w:r>
      <w:r w:rsidRPr="000232C2" w:rsidR="000232C2">
        <w:rPr>
          <w:lang w:val="fr-FR"/>
        </w:rPr>
        <w:t>’</w:t>
      </w:r>
      <w:r w:rsidRPr="000232C2">
        <w:rPr>
          <w:lang w:val="fr-FR"/>
        </w:rPr>
        <w:t>ARTICLE 41 DE LA CONVENTION</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53</w:t>
      </w:r>
      <w:r w:rsidRPr="000232C2">
        <w:fldChar w:fldCharType="end"/>
      </w:r>
      <w:r w:rsidRPr="000232C2">
        <w:rPr>
          <w:lang w:val="fr-FR"/>
        </w:rPr>
        <w:t>.  Aux termes de l</w:t>
      </w:r>
      <w:r w:rsidRPr="000232C2" w:rsidR="000232C2">
        <w:rPr>
          <w:lang w:val="fr-FR"/>
        </w:rPr>
        <w:t>’</w:t>
      </w:r>
      <w:r w:rsidRPr="000232C2">
        <w:rPr>
          <w:lang w:val="fr-FR"/>
        </w:rPr>
        <w:t>article 41 de la Convention,</w:t>
      </w:r>
    </w:p>
    <w:p w:rsidRPr="000232C2" w:rsidR="006C3F03" w:rsidP="000232C2" w:rsidRDefault="006C3F03">
      <w:pPr>
        <w:pStyle w:val="ECHRParaQuote"/>
        <w:keepNext/>
        <w:keepLines/>
        <w:rPr>
          <w:lang w:val="fr-FR"/>
        </w:rPr>
      </w:pPr>
      <w:r w:rsidRPr="000232C2">
        <w:rPr>
          <w:lang w:val="fr-FR"/>
        </w:rPr>
        <w:t>« Si la Cour déclare qu</w:t>
      </w:r>
      <w:r w:rsidRPr="000232C2" w:rsidR="000232C2">
        <w:rPr>
          <w:lang w:val="fr-FR"/>
        </w:rPr>
        <w:t>’</w:t>
      </w:r>
      <w:r w:rsidRPr="000232C2">
        <w:rPr>
          <w:lang w:val="fr-FR"/>
        </w:rPr>
        <w:t>il y a eu violation de la Convention ou de ses Protocoles, et si le droit interne de la Haute Partie contractante ne permet d</w:t>
      </w:r>
      <w:r w:rsidRPr="000232C2" w:rsidR="000232C2">
        <w:rPr>
          <w:lang w:val="fr-FR"/>
        </w:rPr>
        <w:t>’</w:t>
      </w:r>
      <w:r w:rsidRPr="000232C2">
        <w:rPr>
          <w:lang w:val="fr-FR"/>
        </w:rPr>
        <w:t>effacer qu</w:t>
      </w:r>
      <w:r w:rsidRPr="000232C2" w:rsidR="000232C2">
        <w:rPr>
          <w:lang w:val="fr-FR"/>
        </w:rPr>
        <w:t>’</w:t>
      </w:r>
      <w:r w:rsidRPr="000232C2">
        <w:rPr>
          <w:lang w:val="fr-FR"/>
        </w:rPr>
        <w:t>imparfaitement les conséquences de cette violation, la Cour accorde à la partie lésée, s</w:t>
      </w:r>
      <w:r w:rsidRPr="000232C2" w:rsidR="000232C2">
        <w:rPr>
          <w:lang w:val="fr-FR"/>
        </w:rPr>
        <w:t>’</w:t>
      </w:r>
      <w:r w:rsidRPr="000232C2">
        <w:rPr>
          <w:lang w:val="fr-FR"/>
        </w:rPr>
        <w:t>il y a lieu, une satisfaction équitable. »</w:t>
      </w:r>
    </w:p>
    <w:p w:rsidRPr="000232C2" w:rsidR="006C3F03" w:rsidP="000232C2" w:rsidRDefault="006C3F03">
      <w:pPr>
        <w:pStyle w:val="ECHRPara"/>
        <w:rPr>
          <w:lang w:val="fr-FR"/>
        </w:rPr>
      </w:pPr>
      <w:r w:rsidRPr="000232C2">
        <w:fldChar w:fldCharType="begin"/>
      </w:r>
      <w:r w:rsidRPr="000232C2">
        <w:rPr>
          <w:lang w:val="fr-FR"/>
        </w:rPr>
        <w:instrText xml:space="preserve"> SEQ level0 \*arabic </w:instrText>
      </w:r>
      <w:r w:rsidRPr="000232C2">
        <w:fldChar w:fldCharType="separate"/>
      </w:r>
      <w:r w:rsidRPr="000232C2" w:rsidR="000232C2">
        <w:rPr>
          <w:noProof/>
          <w:lang w:val="fr-FR"/>
        </w:rPr>
        <w:t>54</w:t>
      </w:r>
      <w:r w:rsidRPr="000232C2">
        <w:fldChar w:fldCharType="end"/>
      </w:r>
      <w:r w:rsidRPr="000232C2">
        <w:rPr>
          <w:lang w:val="fr-FR"/>
        </w:rPr>
        <w:t>.  Les requérants n</w:t>
      </w:r>
      <w:r w:rsidRPr="000232C2" w:rsidR="000232C2">
        <w:rPr>
          <w:lang w:val="fr-FR"/>
        </w:rPr>
        <w:t>’</w:t>
      </w:r>
      <w:r w:rsidRPr="000232C2">
        <w:rPr>
          <w:lang w:val="fr-FR"/>
        </w:rPr>
        <w:t>ont présenté aucune demande de satisfaction équitable. Partant, la Cour estime qu</w:t>
      </w:r>
      <w:r w:rsidRPr="000232C2" w:rsidR="000232C2">
        <w:rPr>
          <w:lang w:val="fr-FR"/>
        </w:rPr>
        <w:t>’</w:t>
      </w:r>
      <w:r w:rsidRPr="000232C2">
        <w:rPr>
          <w:lang w:val="fr-FR"/>
        </w:rPr>
        <w:t>il n</w:t>
      </w:r>
      <w:r w:rsidRPr="000232C2" w:rsidR="000232C2">
        <w:rPr>
          <w:lang w:val="fr-FR"/>
        </w:rPr>
        <w:t>’</w:t>
      </w:r>
      <w:r w:rsidRPr="000232C2">
        <w:rPr>
          <w:lang w:val="fr-FR"/>
        </w:rPr>
        <w:t>y a pas lieu de leur octroyer de somme à ce titre.</w:t>
      </w:r>
    </w:p>
    <w:p w:rsidRPr="000232C2" w:rsidR="006C3F03" w:rsidP="000232C2" w:rsidRDefault="006C3F03">
      <w:pPr>
        <w:pStyle w:val="ECHRTitle1"/>
        <w:rPr>
          <w:lang w:val="fr-FR"/>
        </w:rPr>
      </w:pPr>
      <w:r w:rsidRPr="000232C2">
        <w:rPr>
          <w:lang w:val="fr-FR"/>
        </w:rPr>
        <w:t>PAR CES MOTIFS, LA COUR, À L</w:t>
      </w:r>
      <w:r w:rsidRPr="000232C2" w:rsidR="000232C2">
        <w:rPr>
          <w:lang w:val="fr-FR"/>
        </w:rPr>
        <w:t>’</w:t>
      </w:r>
      <w:r w:rsidRPr="000232C2">
        <w:rPr>
          <w:lang w:val="fr-FR"/>
        </w:rPr>
        <w:t>UNANIMITÉ,</w:t>
      </w:r>
    </w:p>
    <w:p w:rsidRPr="000232C2" w:rsidR="006C3F03" w:rsidP="000232C2" w:rsidRDefault="006C3F03">
      <w:pPr>
        <w:pStyle w:val="JuList"/>
        <w:rPr>
          <w:lang w:val="fr-FR"/>
        </w:rPr>
      </w:pPr>
      <w:r w:rsidRPr="000232C2">
        <w:rPr>
          <w:lang w:val="fr-FR"/>
        </w:rPr>
        <w:t>1.</w:t>
      </w:r>
      <w:r w:rsidRPr="000232C2" w:rsidR="00014B4C">
        <w:rPr>
          <w:lang w:val="fr-FR"/>
        </w:rPr>
        <w:t>  </w:t>
      </w:r>
      <w:r w:rsidRPr="000232C2">
        <w:rPr>
          <w:i/>
          <w:lang w:val="fr-FR"/>
        </w:rPr>
        <w:t>Rejette</w:t>
      </w:r>
      <w:r w:rsidRPr="000232C2">
        <w:rPr>
          <w:lang w:val="fr-FR"/>
        </w:rPr>
        <w:t xml:space="preserve"> l</w:t>
      </w:r>
      <w:r w:rsidRPr="000232C2" w:rsidR="000232C2">
        <w:rPr>
          <w:lang w:val="fr-FR"/>
        </w:rPr>
        <w:t>’</w:t>
      </w:r>
      <w:r w:rsidRPr="000232C2">
        <w:rPr>
          <w:lang w:val="fr-FR"/>
        </w:rPr>
        <w:t>exception de non-épuisement des voies de recours internes devant la Cour Constitutionnelle ;</w:t>
      </w:r>
    </w:p>
    <w:p w:rsidRPr="000232C2" w:rsidR="006C3F03" w:rsidP="000232C2" w:rsidRDefault="006C3F03">
      <w:pPr>
        <w:pStyle w:val="JuList"/>
        <w:rPr>
          <w:lang w:val="fr-FR"/>
        </w:rPr>
      </w:pPr>
    </w:p>
    <w:p w:rsidRPr="000232C2" w:rsidR="006C3F03" w:rsidP="000232C2" w:rsidRDefault="006C3F03">
      <w:pPr>
        <w:pStyle w:val="JuList"/>
        <w:rPr>
          <w:lang w:val="fr-FR"/>
        </w:rPr>
      </w:pPr>
      <w:r w:rsidRPr="000232C2">
        <w:rPr>
          <w:lang w:val="fr-FR"/>
        </w:rPr>
        <w:t>2.  </w:t>
      </w:r>
      <w:r w:rsidRPr="000232C2">
        <w:rPr>
          <w:i/>
          <w:lang w:val="fr-FR"/>
        </w:rPr>
        <w:t>Joint</w:t>
      </w:r>
      <w:r w:rsidRPr="000232C2">
        <w:rPr>
          <w:lang w:val="fr-FR"/>
        </w:rPr>
        <w:t xml:space="preserve"> au fond l</w:t>
      </w:r>
      <w:r w:rsidRPr="000232C2" w:rsidR="000232C2">
        <w:rPr>
          <w:lang w:val="fr-FR"/>
        </w:rPr>
        <w:t>’</w:t>
      </w:r>
      <w:r w:rsidRPr="000232C2">
        <w:rPr>
          <w:lang w:val="fr-FR"/>
        </w:rPr>
        <w:t>exception de non-épuisement des voies de recours internes devant les juridictions de fond, et la rejette ;</w:t>
      </w:r>
    </w:p>
    <w:p w:rsidRPr="000232C2" w:rsidR="006C3F03" w:rsidP="000232C2" w:rsidRDefault="006C3F03">
      <w:pPr>
        <w:pStyle w:val="JuList"/>
        <w:rPr>
          <w:lang w:val="fr-FR"/>
        </w:rPr>
      </w:pPr>
    </w:p>
    <w:p w:rsidRPr="000232C2" w:rsidR="006C3F03" w:rsidP="000232C2" w:rsidRDefault="006C3F03">
      <w:pPr>
        <w:pStyle w:val="JuList"/>
        <w:rPr>
          <w:lang w:val="fr-FR"/>
        </w:rPr>
      </w:pPr>
      <w:r w:rsidRPr="000232C2">
        <w:rPr>
          <w:lang w:val="fr-FR"/>
        </w:rPr>
        <w:t>3.  </w:t>
      </w:r>
      <w:r w:rsidRPr="000232C2">
        <w:rPr>
          <w:i/>
          <w:lang w:val="fr-FR"/>
        </w:rPr>
        <w:t>Déclare</w:t>
      </w:r>
      <w:r w:rsidRPr="000232C2">
        <w:rPr>
          <w:lang w:val="fr-FR"/>
        </w:rPr>
        <w:t xml:space="preserve"> la requête recevable ;</w:t>
      </w:r>
    </w:p>
    <w:p w:rsidRPr="000232C2" w:rsidR="006C3F03" w:rsidP="000232C2" w:rsidRDefault="006C3F03">
      <w:pPr>
        <w:pStyle w:val="JuList"/>
        <w:rPr>
          <w:lang w:val="fr-FR"/>
        </w:rPr>
      </w:pPr>
    </w:p>
    <w:p w:rsidRPr="000232C2" w:rsidR="006C3F03" w:rsidP="000232C2" w:rsidRDefault="006C3F03">
      <w:pPr>
        <w:pStyle w:val="JuList"/>
        <w:rPr>
          <w:lang w:val="fr-FR"/>
        </w:rPr>
      </w:pPr>
      <w:r w:rsidRPr="000232C2">
        <w:rPr>
          <w:lang w:val="fr-FR"/>
        </w:rPr>
        <w:t>4.  </w:t>
      </w:r>
      <w:r w:rsidRPr="000232C2">
        <w:rPr>
          <w:i/>
          <w:lang w:val="fr-FR"/>
        </w:rPr>
        <w:t>Dit</w:t>
      </w:r>
      <w:r w:rsidRPr="000232C2">
        <w:rPr>
          <w:lang w:val="fr-FR"/>
        </w:rPr>
        <w:t xml:space="preserve"> qu</w:t>
      </w:r>
      <w:r w:rsidRPr="000232C2" w:rsidR="000232C2">
        <w:rPr>
          <w:lang w:val="fr-FR"/>
        </w:rPr>
        <w:t>’</w:t>
      </w:r>
      <w:r w:rsidRPr="000232C2">
        <w:rPr>
          <w:lang w:val="fr-FR"/>
        </w:rPr>
        <w:t>il y a eu violation du volet procédural de l</w:t>
      </w:r>
      <w:r w:rsidRPr="000232C2" w:rsidR="000232C2">
        <w:rPr>
          <w:lang w:val="fr-FR"/>
        </w:rPr>
        <w:t>’</w:t>
      </w:r>
      <w:r w:rsidRPr="000232C2">
        <w:rPr>
          <w:lang w:val="fr-FR"/>
        </w:rPr>
        <w:t>article 2 de la Convention.</w:t>
      </w:r>
    </w:p>
    <w:p w:rsidRPr="000232C2" w:rsidR="006C3F03" w:rsidP="000232C2" w:rsidRDefault="006C3F03">
      <w:pPr>
        <w:pStyle w:val="JuParaLast"/>
        <w:rPr>
          <w:lang w:val="fr-FR"/>
        </w:rPr>
      </w:pPr>
      <w:r w:rsidRPr="000232C2">
        <w:rPr>
          <w:lang w:val="fr-FR"/>
        </w:rPr>
        <w:t>Fait en français, puis communiqué par écrit le</w:t>
      </w:r>
      <w:r w:rsidRPr="000232C2" w:rsidR="00014B4C">
        <w:rPr>
          <w:lang w:val="fr-FR"/>
        </w:rPr>
        <w:t xml:space="preserve"> 5 février 2019</w:t>
      </w:r>
      <w:r w:rsidRPr="000232C2">
        <w:rPr>
          <w:lang w:val="fr-FR"/>
        </w:rPr>
        <w:t>, en application de l</w:t>
      </w:r>
      <w:r w:rsidRPr="000232C2" w:rsidR="000232C2">
        <w:rPr>
          <w:lang w:val="fr-FR"/>
        </w:rPr>
        <w:t>’</w:t>
      </w:r>
      <w:r w:rsidRPr="000232C2">
        <w:rPr>
          <w:lang w:val="fr-FR"/>
        </w:rPr>
        <w:t>article 77 §§ 2 et 3 du règlement de la Cour.</w:t>
      </w:r>
    </w:p>
    <w:p w:rsidRPr="000232C2" w:rsidR="002D2C99" w:rsidP="000232C2" w:rsidRDefault="006C3F03">
      <w:pPr>
        <w:pStyle w:val="JuSigned"/>
        <w:rPr>
          <w:lang w:val="fr-FR"/>
        </w:rPr>
      </w:pPr>
      <w:r w:rsidRPr="000232C2">
        <w:rPr>
          <w:lang w:val="fr-FR"/>
        </w:rPr>
        <w:tab/>
      </w:r>
      <w:r w:rsidRPr="000232C2" w:rsidR="00DE50E0">
        <w:rPr>
          <w:lang w:val="fr-FR"/>
        </w:rPr>
        <w:t>Hasan Bakırcı</w:t>
      </w:r>
      <w:r w:rsidRPr="000232C2">
        <w:rPr>
          <w:lang w:val="fr-FR"/>
        </w:rPr>
        <w:tab/>
      </w:r>
      <w:r w:rsidRPr="000232C2">
        <w:rPr>
          <w:szCs w:val="24"/>
          <w:lang w:val="fr-FR"/>
        </w:rPr>
        <w:t>Robert Spano</w:t>
      </w:r>
      <w:r w:rsidRPr="000232C2">
        <w:rPr>
          <w:lang w:val="fr-FR"/>
        </w:rPr>
        <w:br/>
      </w:r>
      <w:r w:rsidRPr="000232C2">
        <w:rPr>
          <w:lang w:val="fr-FR"/>
        </w:rPr>
        <w:tab/>
        <w:t>Greffier</w:t>
      </w:r>
      <w:r w:rsidRPr="000232C2" w:rsidR="00DE50E0">
        <w:rPr>
          <w:lang w:val="fr-FR"/>
        </w:rPr>
        <w:t xml:space="preserve"> adjoint</w:t>
      </w:r>
      <w:r w:rsidRPr="000232C2">
        <w:rPr>
          <w:lang w:val="fr-FR"/>
        </w:rPr>
        <w:tab/>
        <w:t>Président</w:t>
      </w:r>
    </w:p>
    <w:sectPr w:rsidRPr="000232C2" w:rsidR="002D2C99">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3F03" w:rsidRPr="001D19C3" w:rsidRDefault="006C3F03" w:rsidP="002D2C99">
      <w:pPr>
        <w:rPr>
          <w:lang w:val="fr-FR"/>
        </w:rPr>
      </w:pPr>
      <w:r w:rsidRPr="001D19C3">
        <w:rPr>
          <w:lang w:val="fr-FR"/>
        </w:rPr>
        <w:separator/>
      </w:r>
    </w:p>
  </w:endnote>
  <w:endnote w:type="continuationSeparator" w:id="0">
    <w:p w:rsidR="006C3F03" w:rsidRPr="001D19C3" w:rsidRDefault="006C3F03" w:rsidP="002D2C99">
      <w:pPr>
        <w:rPr>
          <w:lang w:val="fr-FR"/>
        </w:rPr>
      </w:pPr>
      <w:r w:rsidRPr="001D19C3">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3F03" w:rsidRPr="00150BFA" w:rsidRDefault="006C3F03" w:rsidP="0020718E">
    <w:pPr>
      <w:jc w:val="center"/>
    </w:pPr>
    <w:r>
      <w:rPr>
        <w:noProof/>
        <w:lang w:val="en-US" w:eastAsia="ja-JP"/>
      </w:rPr>
      <w:drawing>
        <wp:inline distT="0" distB="0" distL="0" distR="0" wp14:anchorId="06ED070C" wp14:editId="4E3416F9">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D2C99" w:rsidRPr="001D19C3" w:rsidRDefault="002D2C99" w:rsidP="005072EA">
    <w:pPr>
      <w:rPr>
        <w:lang w:val="fr-F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6D3055" w:rsidP="005072E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6D3055" w:rsidP="005072E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3F03" w:rsidRPr="001D19C3" w:rsidRDefault="006C3F03" w:rsidP="002D2C99">
      <w:pPr>
        <w:rPr>
          <w:lang w:val="fr-FR"/>
        </w:rPr>
      </w:pPr>
      <w:r w:rsidRPr="001D19C3">
        <w:rPr>
          <w:lang w:val="fr-FR"/>
        </w:rPr>
        <w:separator/>
      </w:r>
    </w:p>
  </w:footnote>
  <w:footnote w:type="continuationSeparator" w:id="0">
    <w:p w:rsidR="006C3F03" w:rsidRPr="001D19C3" w:rsidRDefault="006C3F03" w:rsidP="002D2C99">
      <w:pPr>
        <w:rPr>
          <w:lang w:val="fr-FR"/>
        </w:rPr>
      </w:pPr>
      <w:r w:rsidRPr="001D19C3">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3F03" w:rsidRPr="00A45145" w:rsidRDefault="006C3F03" w:rsidP="00A45145">
    <w:pPr>
      <w:jc w:val="center"/>
    </w:pPr>
    <w:r>
      <w:rPr>
        <w:noProof/>
        <w:lang w:val="en-US" w:eastAsia="ja-JP"/>
      </w:rPr>
      <w:drawing>
        <wp:inline distT="0" distB="0" distL="0" distR="0" wp14:anchorId="35720046" wp14:editId="718142D0">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D2C99" w:rsidRPr="001D19C3" w:rsidRDefault="002D2C99" w:rsidP="00F5432B">
    <w:pPr>
      <w:jc w:val="cent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F5432B" w:rsidRDefault="006C3F03" w:rsidP="00F5432B">
    <w:pPr>
      <w:pStyle w:val="ECHRHeader"/>
      <w:rPr>
        <w:lang w:val="fr-FR"/>
      </w:rPr>
    </w:pPr>
    <w:r>
      <w:rPr>
        <w:rStyle w:val="PageNumber"/>
      </w:rPr>
      <w:fldChar w:fldCharType="begin"/>
    </w:r>
    <w:r w:rsidRPr="006C3F03">
      <w:rPr>
        <w:rStyle w:val="PageNumber"/>
        <w:lang w:val="fr-FR"/>
      </w:rPr>
      <w:instrText xml:space="preserve"> PAGE </w:instrText>
    </w:r>
    <w:r>
      <w:rPr>
        <w:rStyle w:val="PageNumber"/>
      </w:rPr>
      <w:fldChar w:fldCharType="separate"/>
    </w:r>
    <w:r w:rsidR="000232C2">
      <w:rPr>
        <w:rStyle w:val="PageNumber"/>
        <w:noProof/>
        <w:lang w:val="fr-FR"/>
      </w:rPr>
      <w:t>8</w:t>
    </w:r>
    <w:r>
      <w:rPr>
        <w:rStyle w:val="PageNumber"/>
      </w:rPr>
      <w:fldChar w:fldCharType="end"/>
    </w:r>
    <w:r w:rsidR="00420F04" w:rsidRPr="006C3F03">
      <w:rPr>
        <w:lang w:val="fr-FR"/>
      </w:rPr>
      <w:tab/>
      <w:t xml:space="preserve">ARRÊT </w:t>
    </w:r>
    <w:r w:rsidRPr="006C3F03">
      <w:rPr>
        <w:lang w:val="fr-FR"/>
      </w:rPr>
      <w:t>ALGÜL ET AUTRES c. TURQUIE</w:t>
    </w:r>
    <w:r w:rsidR="00420F04" w:rsidRPr="006C3F03">
      <w:rPr>
        <w:lang w:val="fr-FR"/>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6C3F03" w:rsidRDefault="00420F04" w:rsidP="00420F04">
    <w:pPr>
      <w:pStyle w:val="ECHRHeader"/>
      <w:rPr>
        <w:lang w:val="fr-FR"/>
      </w:rPr>
    </w:pPr>
    <w:r>
      <w:tab/>
    </w:r>
    <w:r w:rsidRPr="006C3F03">
      <w:rPr>
        <w:lang w:val="fr-FR"/>
      </w:rPr>
      <w:t xml:space="preserve">ARRÊT </w:t>
    </w:r>
    <w:r w:rsidR="006C3F03" w:rsidRPr="006C3F03">
      <w:rPr>
        <w:lang w:val="fr-FR"/>
      </w:rPr>
      <w:t>ALGÜL ET AUTRES c. TURQUIE</w:t>
    </w:r>
    <w:r w:rsidRPr="006C3F03">
      <w:rPr>
        <w:lang w:val="fr-FR"/>
      </w:rPr>
      <w:t xml:space="preserve"> </w:t>
    </w:r>
    <w:r w:rsidRPr="006C3F03">
      <w:rPr>
        <w:lang w:val="fr-FR"/>
      </w:rPr>
      <w:tab/>
    </w:r>
    <w:r w:rsidR="006C3F03">
      <w:rPr>
        <w:rStyle w:val="PageNumber"/>
      </w:rPr>
      <w:fldChar w:fldCharType="begin"/>
    </w:r>
    <w:r w:rsidR="006C3F03" w:rsidRPr="006C3F03">
      <w:rPr>
        <w:rStyle w:val="PageNumber"/>
        <w:lang w:val="fr-FR"/>
      </w:rPr>
      <w:instrText xml:space="preserve"> PAGE </w:instrText>
    </w:r>
    <w:r w:rsidR="006C3F03">
      <w:rPr>
        <w:rStyle w:val="PageNumber"/>
      </w:rPr>
      <w:fldChar w:fldCharType="separate"/>
    </w:r>
    <w:r w:rsidR="000232C2">
      <w:rPr>
        <w:rStyle w:val="PageNumber"/>
        <w:noProof/>
        <w:lang w:val="fr-FR"/>
      </w:rPr>
      <w:t>9</w:t>
    </w:r>
    <w:r w:rsidR="006C3F03">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A08B0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F25A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B02ED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1E60D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AA4F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E221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DDCF2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04BE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2A84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88CC5F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3633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7"/>
  </w:num>
  <w:num w:numId="9">
    <w:abstractNumId w:val="15"/>
  </w:num>
  <w:num w:numId="10">
    <w:abstractNumId w:val="14"/>
  </w:num>
  <w:num w:numId="11">
    <w:abstractNumId w:val="10"/>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6"/>
  </w:num>
  <w:num w:numId="23">
    <w:abstractNumId w:val="16"/>
  </w:num>
  <w:num w:numId="24">
    <w:abstractNumId w:val="16"/>
  </w:num>
  <w:num w:numId="25">
    <w:abstractNumId w:val="16"/>
  </w:num>
  <w:num w:numId="26">
    <w:abstractNumId w:val="16"/>
  </w:num>
  <w:num w:numId="27">
    <w:abstractNumId w:val="16"/>
  </w:num>
  <w:num w:numId="28">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6C3F03"/>
    <w:rsid w:val="000041F8"/>
    <w:rsid w:val="000042A8"/>
    <w:rsid w:val="00004308"/>
    <w:rsid w:val="00005BF0"/>
    <w:rsid w:val="00007154"/>
    <w:rsid w:val="000103AE"/>
    <w:rsid w:val="00011D69"/>
    <w:rsid w:val="00012AD3"/>
    <w:rsid w:val="00014B4C"/>
    <w:rsid w:val="00015C2D"/>
    <w:rsid w:val="00015F00"/>
    <w:rsid w:val="00022C1D"/>
    <w:rsid w:val="000232C2"/>
    <w:rsid w:val="00034987"/>
    <w:rsid w:val="000602DF"/>
    <w:rsid w:val="00061B05"/>
    <w:rsid w:val="000632D5"/>
    <w:rsid w:val="000644EE"/>
    <w:rsid w:val="000655D6"/>
    <w:rsid w:val="000925AD"/>
    <w:rsid w:val="000A24EB"/>
    <w:rsid w:val="000B692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27B42"/>
    <w:rsid w:val="00133D33"/>
    <w:rsid w:val="00134D64"/>
    <w:rsid w:val="00135A30"/>
    <w:rsid w:val="0013612C"/>
    <w:rsid w:val="00137FF6"/>
    <w:rsid w:val="00141650"/>
    <w:rsid w:val="00162A12"/>
    <w:rsid w:val="00166530"/>
    <w:rsid w:val="001832BD"/>
    <w:rsid w:val="001943B5"/>
    <w:rsid w:val="00195134"/>
    <w:rsid w:val="001A145B"/>
    <w:rsid w:val="001A674C"/>
    <w:rsid w:val="001B3B24"/>
    <w:rsid w:val="001C0F98"/>
    <w:rsid w:val="001C2A42"/>
    <w:rsid w:val="001D19C3"/>
    <w:rsid w:val="001D63ED"/>
    <w:rsid w:val="001D7348"/>
    <w:rsid w:val="001E035B"/>
    <w:rsid w:val="001E0961"/>
    <w:rsid w:val="001E3EAE"/>
    <w:rsid w:val="001E6F32"/>
    <w:rsid w:val="001F2145"/>
    <w:rsid w:val="001F6262"/>
    <w:rsid w:val="001F67B0"/>
    <w:rsid w:val="001F7B3D"/>
    <w:rsid w:val="00205F9F"/>
    <w:rsid w:val="00210338"/>
    <w:rsid w:val="002115FC"/>
    <w:rsid w:val="0021423C"/>
    <w:rsid w:val="002258CD"/>
    <w:rsid w:val="00230D00"/>
    <w:rsid w:val="00231DF7"/>
    <w:rsid w:val="00231FD1"/>
    <w:rsid w:val="002339E0"/>
    <w:rsid w:val="00233CF8"/>
    <w:rsid w:val="0023575D"/>
    <w:rsid w:val="00237148"/>
    <w:rsid w:val="0024222D"/>
    <w:rsid w:val="00244B0E"/>
    <w:rsid w:val="00244F6C"/>
    <w:rsid w:val="002532C5"/>
    <w:rsid w:val="00260C03"/>
    <w:rsid w:val="0026540E"/>
    <w:rsid w:val="00275123"/>
    <w:rsid w:val="00282240"/>
    <w:rsid w:val="002948AD"/>
    <w:rsid w:val="002A01CC"/>
    <w:rsid w:val="002A61B1"/>
    <w:rsid w:val="002A663C"/>
    <w:rsid w:val="002B444B"/>
    <w:rsid w:val="002B5887"/>
    <w:rsid w:val="002C0E27"/>
    <w:rsid w:val="002C3040"/>
    <w:rsid w:val="002D022D"/>
    <w:rsid w:val="002D24BB"/>
    <w:rsid w:val="002D2C99"/>
    <w:rsid w:val="002F2AF7"/>
    <w:rsid w:val="002F7E1C"/>
    <w:rsid w:val="00301A75"/>
    <w:rsid w:val="00302F70"/>
    <w:rsid w:val="0030336F"/>
    <w:rsid w:val="0030375E"/>
    <w:rsid w:val="00312A30"/>
    <w:rsid w:val="00320F72"/>
    <w:rsid w:val="0032463E"/>
    <w:rsid w:val="00326224"/>
    <w:rsid w:val="00336456"/>
    <w:rsid w:val="00337EE4"/>
    <w:rsid w:val="00340FFD"/>
    <w:rsid w:val="003506B1"/>
    <w:rsid w:val="00356AC7"/>
    <w:rsid w:val="003609FA"/>
    <w:rsid w:val="003710C8"/>
    <w:rsid w:val="003750BE"/>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14300"/>
    <w:rsid w:val="00420F04"/>
    <w:rsid w:val="00425C67"/>
    <w:rsid w:val="00427E7A"/>
    <w:rsid w:val="00430B93"/>
    <w:rsid w:val="00436C49"/>
    <w:rsid w:val="00445366"/>
    <w:rsid w:val="00447F5B"/>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36D5"/>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3F03"/>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64D4E"/>
    <w:rsid w:val="00765A1F"/>
    <w:rsid w:val="00775B6D"/>
    <w:rsid w:val="00776D68"/>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905"/>
    <w:rsid w:val="00801300"/>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54AB"/>
    <w:rsid w:val="008802A9"/>
    <w:rsid w:val="0088060C"/>
    <w:rsid w:val="008879CD"/>
    <w:rsid w:val="00893576"/>
    <w:rsid w:val="00893E73"/>
    <w:rsid w:val="008B02DC"/>
    <w:rsid w:val="008B57CE"/>
    <w:rsid w:val="008C26DE"/>
    <w:rsid w:val="008D2225"/>
    <w:rsid w:val="008D4752"/>
    <w:rsid w:val="008E271C"/>
    <w:rsid w:val="008E418E"/>
    <w:rsid w:val="008E5BC6"/>
    <w:rsid w:val="008E6A25"/>
    <w:rsid w:val="008F5193"/>
    <w:rsid w:val="008F55F5"/>
    <w:rsid w:val="009013A7"/>
    <w:rsid w:val="009017FB"/>
    <w:rsid w:val="009017FC"/>
    <w:rsid w:val="0090506B"/>
    <w:rsid w:val="009050C9"/>
    <w:rsid w:val="009066FC"/>
    <w:rsid w:val="009140A3"/>
    <w:rsid w:val="009144A2"/>
    <w:rsid w:val="0091510C"/>
    <w:rsid w:val="009259AC"/>
    <w:rsid w:val="00926F38"/>
    <w:rsid w:val="00934301"/>
    <w:rsid w:val="00936CD1"/>
    <w:rsid w:val="00941747"/>
    <w:rsid w:val="00941EFB"/>
    <w:rsid w:val="00947AFB"/>
    <w:rsid w:val="00951D7D"/>
    <w:rsid w:val="009630C7"/>
    <w:rsid w:val="00972B55"/>
    <w:rsid w:val="009743B7"/>
    <w:rsid w:val="0098228B"/>
    <w:rsid w:val="009828DA"/>
    <w:rsid w:val="00985BAB"/>
    <w:rsid w:val="009B1B5F"/>
    <w:rsid w:val="009B6673"/>
    <w:rsid w:val="009C191B"/>
    <w:rsid w:val="009C2BD6"/>
    <w:rsid w:val="009E1F32"/>
    <w:rsid w:val="009E776C"/>
    <w:rsid w:val="009F65DC"/>
    <w:rsid w:val="00A1726E"/>
    <w:rsid w:val="00A204CF"/>
    <w:rsid w:val="00A23D49"/>
    <w:rsid w:val="00A242AC"/>
    <w:rsid w:val="00A27004"/>
    <w:rsid w:val="00A30152"/>
    <w:rsid w:val="00A30C29"/>
    <w:rsid w:val="00A34DD6"/>
    <w:rsid w:val="00A36819"/>
    <w:rsid w:val="00A36989"/>
    <w:rsid w:val="00A43628"/>
    <w:rsid w:val="00A54192"/>
    <w:rsid w:val="00A6035E"/>
    <w:rsid w:val="00A6144C"/>
    <w:rsid w:val="00A66617"/>
    <w:rsid w:val="00A671F8"/>
    <w:rsid w:val="00A673A4"/>
    <w:rsid w:val="00A724AE"/>
    <w:rsid w:val="00A73329"/>
    <w:rsid w:val="00A82359"/>
    <w:rsid w:val="00A865D2"/>
    <w:rsid w:val="00A94C20"/>
    <w:rsid w:val="00AA227F"/>
    <w:rsid w:val="00AA3BC7"/>
    <w:rsid w:val="00AA754A"/>
    <w:rsid w:val="00AB099E"/>
    <w:rsid w:val="00AB4328"/>
    <w:rsid w:val="00AC3ABA"/>
    <w:rsid w:val="00AD4891"/>
    <w:rsid w:val="00AE0A2E"/>
    <w:rsid w:val="00AE354C"/>
    <w:rsid w:val="00AF4B07"/>
    <w:rsid w:val="00AF6186"/>
    <w:rsid w:val="00AF7A3A"/>
    <w:rsid w:val="00B160DB"/>
    <w:rsid w:val="00B20836"/>
    <w:rsid w:val="00B235BB"/>
    <w:rsid w:val="00B27A44"/>
    <w:rsid w:val="00B30BBF"/>
    <w:rsid w:val="00B33C03"/>
    <w:rsid w:val="00B44E56"/>
    <w:rsid w:val="00B46543"/>
    <w:rsid w:val="00B47D33"/>
    <w:rsid w:val="00B52BE0"/>
    <w:rsid w:val="00B5413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2406"/>
    <w:rsid w:val="00BC6BBF"/>
    <w:rsid w:val="00BD1572"/>
    <w:rsid w:val="00BE14E3"/>
    <w:rsid w:val="00BE3774"/>
    <w:rsid w:val="00BE41E5"/>
    <w:rsid w:val="00BF4109"/>
    <w:rsid w:val="00BF4CC3"/>
    <w:rsid w:val="00C054C7"/>
    <w:rsid w:val="00C057B5"/>
    <w:rsid w:val="00C22687"/>
    <w:rsid w:val="00C25A3E"/>
    <w:rsid w:val="00C32E4D"/>
    <w:rsid w:val="00C333A0"/>
    <w:rsid w:val="00C36408"/>
    <w:rsid w:val="00C36A81"/>
    <w:rsid w:val="00C41226"/>
    <w:rsid w:val="00C41974"/>
    <w:rsid w:val="00C41981"/>
    <w:rsid w:val="00C535F5"/>
    <w:rsid w:val="00C53F4A"/>
    <w:rsid w:val="00C54125"/>
    <w:rsid w:val="00C55B54"/>
    <w:rsid w:val="00C6098E"/>
    <w:rsid w:val="00C6152C"/>
    <w:rsid w:val="00C74810"/>
    <w:rsid w:val="00C90D68"/>
    <w:rsid w:val="00C939FE"/>
    <w:rsid w:val="00CA4BDA"/>
    <w:rsid w:val="00CB1F66"/>
    <w:rsid w:val="00CB25E5"/>
    <w:rsid w:val="00CB2951"/>
    <w:rsid w:val="00CD282B"/>
    <w:rsid w:val="00CD4C35"/>
    <w:rsid w:val="00CD7369"/>
    <w:rsid w:val="00CE0B0E"/>
    <w:rsid w:val="00CE3831"/>
    <w:rsid w:val="00D00ABB"/>
    <w:rsid w:val="00D02EEC"/>
    <w:rsid w:val="00D03551"/>
    <w:rsid w:val="00D06A63"/>
    <w:rsid w:val="00D07E0E"/>
    <w:rsid w:val="00D11478"/>
    <w:rsid w:val="00D15ED0"/>
    <w:rsid w:val="00D20A92"/>
    <w:rsid w:val="00D21B3E"/>
    <w:rsid w:val="00D21FED"/>
    <w:rsid w:val="00D24251"/>
    <w:rsid w:val="00D343E2"/>
    <w:rsid w:val="00D361A2"/>
    <w:rsid w:val="00D44C2E"/>
    <w:rsid w:val="00D45414"/>
    <w:rsid w:val="00D47891"/>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E50E0"/>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37CB1"/>
    <w:rsid w:val="00E40404"/>
    <w:rsid w:val="00E40F3F"/>
    <w:rsid w:val="00E459C6"/>
    <w:rsid w:val="00E47589"/>
    <w:rsid w:val="00E64915"/>
    <w:rsid w:val="00E661D4"/>
    <w:rsid w:val="00E70091"/>
    <w:rsid w:val="00E720F5"/>
    <w:rsid w:val="00E76D47"/>
    <w:rsid w:val="00E849F7"/>
    <w:rsid w:val="00E90302"/>
    <w:rsid w:val="00E97396"/>
    <w:rsid w:val="00EA185E"/>
    <w:rsid w:val="00EA4BD7"/>
    <w:rsid w:val="00EA592A"/>
    <w:rsid w:val="00EB14E4"/>
    <w:rsid w:val="00EB32A5"/>
    <w:rsid w:val="00EB34ED"/>
    <w:rsid w:val="00EB7BE0"/>
    <w:rsid w:val="00EC315E"/>
    <w:rsid w:val="00EC69C0"/>
    <w:rsid w:val="00ED077C"/>
    <w:rsid w:val="00ED1190"/>
    <w:rsid w:val="00ED6544"/>
    <w:rsid w:val="00EE0277"/>
    <w:rsid w:val="00EE3E00"/>
    <w:rsid w:val="00EE5DD2"/>
    <w:rsid w:val="00F00A79"/>
    <w:rsid w:val="00F00E86"/>
    <w:rsid w:val="00F07C1E"/>
    <w:rsid w:val="00F105DB"/>
    <w:rsid w:val="00F132BC"/>
    <w:rsid w:val="00F13D80"/>
    <w:rsid w:val="00F15391"/>
    <w:rsid w:val="00F16AAA"/>
    <w:rsid w:val="00F21161"/>
    <w:rsid w:val="00F218EF"/>
    <w:rsid w:val="00F21BC7"/>
    <w:rsid w:val="00F266A2"/>
    <w:rsid w:val="00F32269"/>
    <w:rsid w:val="00F5432B"/>
    <w:rsid w:val="00F56A6F"/>
    <w:rsid w:val="00F5709C"/>
    <w:rsid w:val="00F64EF1"/>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40F3F"/>
    <w:pPr>
      <w:jc w:val="both"/>
    </w:pPr>
    <w:rPr>
      <w:rFonts w:eastAsiaTheme="minorEastAsia"/>
      <w:sz w:val="24"/>
      <w:lang w:val="en-GB"/>
    </w:rPr>
  </w:style>
  <w:style w:type="paragraph" w:styleId="Heading1">
    <w:name w:val="heading 1"/>
    <w:basedOn w:val="Normal"/>
    <w:next w:val="Normal"/>
    <w:link w:val="Heading1Char"/>
    <w:uiPriority w:val="99"/>
    <w:semiHidden/>
    <w:rsid w:val="00E40F3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40F3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40F3F"/>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40F3F"/>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40F3F"/>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E40F3F"/>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40F3F"/>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E40F3F"/>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E40F3F"/>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40F3F"/>
    <w:rPr>
      <w:rFonts w:ascii="Tahoma" w:hAnsi="Tahoma" w:cs="Tahoma"/>
      <w:sz w:val="16"/>
      <w:szCs w:val="16"/>
    </w:rPr>
  </w:style>
  <w:style w:type="character" w:customStyle="1" w:styleId="BalloonTextChar">
    <w:name w:val="Balloon Text Char"/>
    <w:basedOn w:val="DefaultParagraphFont"/>
    <w:link w:val="BalloonText"/>
    <w:uiPriority w:val="99"/>
    <w:semiHidden/>
    <w:rsid w:val="00E40F3F"/>
    <w:rPr>
      <w:rFonts w:ascii="Tahoma" w:eastAsiaTheme="minorEastAsia" w:hAnsi="Tahoma" w:cs="Tahoma"/>
      <w:sz w:val="16"/>
      <w:szCs w:val="16"/>
      <w:lang w:val="en-GB"/>
    </w:rPr>
  </w:style>
  <w:style w:type="character" w:styleId="BookTitle">
    <w:name w:val="Book Title"/>
    <w:uiPriority w:val="99"/>
    <w:semiHidden/>
    <w:qFormat/>
    <w:rsid w:val="00E40F3F"/>
    <w:rPr>
      <w:i/>
      <w:iCs/>
      <w:smallCaps/>
      <w:spacing w:val="5"/>
    </w:rPr>
  </w:style>
  <w:style w:type="paragraph" w:customStyle="1" w:styleId="ECHRHeader">
    <w:name w:val="ECHR_Header"/>
    <w:aliases w:val="Ju_Header"/>
    <w:basedOn w:val="Header"/>
    <w:uiPriority w:val="4"/>
    <w:qFormat/>
    <w:rsid w:val="00E40F3F"/>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E40F3F"/>
  </w:style>
  <w:style w:type="character" w:styleId="Strong">
    <w:name w:val="Strong"/>
    <w:uiPriority w:val="99"/>
    <w:semiHidden/>
    <w:qFormat/>
    <w:rsid w:val="00E40F3F"/>
    <w:rPr>
      <w:b/>
      <w:bCs/>
    </w:rPr>
  </w:style>
  <w:style w:type="paragraph" w:styleId="NoSpacing">
    <w:name w:val="No Spacing"/>
    <w:basedOn w:val="Normal"/>
    <w:link w:val="NoSpacingChar"/>
    <w:semiHidden/>
    <w:qFormat/>
    <w:rsid w:val="00E40F3F"/>
    <w:rPr>
      <w:sz w:val="22"/>
      <w:lang w:val="en-US"/>
    </w:rPr>
  </w:style>
  <w:style w:type="character" w:customStyle="1" w:styleId="NoSpacingChar">
    <w:name w:val="No Spacing Char"/>
    <w:basedOn w:val="DefaultParagraphFont"/>
    <w:link w:val="NoSpacing"/>
    <w:semiHidden/>
    <w:rsid w:val="00E40F3F"/>
    <w:rPr>
      <w:rFonts w:eastAsiaTheme="minorEastAsia"/>
    </w:rPr>
  </w:style>
  <w:style w:type="paragraph" w:customStyle="1" w:styleId="ECHRParaQuote">
    <w:name w:val="ECHR_Para_Quote"/>
    <w:aliases w:val="Ju_Quot"/>
    <w:basedOn w:val="Normal"/>
    <w:uiPriority w:val="14"/>
    <w:qFormat/>
    <w:rsid w:val="00E40F3F"/>
    <w:pPr>
      <w:spacing w:before="120" w:after="120"/>
      <w:ind w:left="425" w:firstLine="142"/>
    </w:pPr>
    <w:rPr>
      <w:sz w:val="20"/>
    </w:rPr>
  </w:style>
  <w:style w:type="paragraph" w:customStyle="1" w:styleId="DecList">
    <w:name w:val="Dec_List"/>
    <w:basedOn w:val="Normal"/>
    <w:uiPriority w:val="9"/>
    <w:semiHidden/>
    <w:qFormat/>
    <w:rsid w:val="00E40F3F"/>
    <w:pPr>
      <w:spacing w:before="240"/>
      <w:ind w:left="284"/>
    </w:pPr>
  </w:style>
  <w:style w:type="paragraph" w:customStyle="1" w:styleId="DummyStyle">
    <w:name w:val="Dummy_Style"/>
    <w:basedOn w:val="Normal"/>
    <w:semiHidden/>
    <w:qFormat/>
    <w:rsid w:val="00E40F3F"/>
    <w:rPr>
      <w:color w:val="00B050"/>
    </w:rPr>
  </w:style>
  <w:style w:type="paragraph" w:customStyle="1" w:styleId="JuAppQuestion">
    <w:name w:val="Ju_App_Question"/>
    <w:basedOn w:val="Normal"/>
    <w:uiPriority w:val="5"/>
    <w:semiHidden/>
    <w:qFormat/>
    <w:rsid w:val="00E40F3F"/>
    <w:pPr>
      <w:numPr>
        <w:numId w:val="28"/>
      </w:numPr>
      <w:jc w:val="left"/>
    </w:pPr>
    <w:rPr>
      <w:b/>
    </w:rPr>
  </w:style>
  <w:style w:type="paragraph" w:customStyle="1" w:styleId="JuCourt">
    <w:name w:val="Ju_Court"/>
    <w:basedOn w:val="Normal"/>
    <w:next w:val="Normal"/>
    <w:uiPriority w:val="16"/>
    <w:qFormat/>
    <w:rsid w:val="00E40F3F"/>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E40F3F"/>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E40F3F"/>
    <w:pPr>
      <w:keepNext/>
      <w:keepLines/>
      <w:spacing w:after="240"/>
      <w:jc w:val="center"/>
      <w:outlineLvl w:val="0"/>
    </w:pPr>
    <w:rPr>
      <w:rFonts w:asciiTheme="majorHAnsi" w:hAnsiTheme="majorHAnsi"/>
      <w:sz w:val="28"/>
    </w:rPr>
  </w:style>
  <w:style w:type="paragraph" w:customStyle="1" w:styleId="JuInitialled">
    <w:name w:val="Ju_Initialled"/>
    <w:basedOn w:val="Normal"/>
    <w:uiPriority w:val="31"/>
    <w:qFormat/>
    <w:rsid w:val="00E40F3F"/>
    <w:pPr>
      <w:tabs>
        <w:tab w:val="center" w:pos="6407"/>
      </w:tabs>
      <w:spacing w:before="720"/>
      <w:jc w:val="right"/>
    </w:pPr>
  </w:style>
  <w:style w:type="paragraph" w:customStyle="1" w:styleId="ECHRTitle1">
    <w:name w:val="ECHR_Title_1"/>
    <w:aliases w:val="Ju_H_Head"/>
    <w:basedOn w:val="Normal"/>
    <w:next w:val="ECHRPara"/>
    <w:uiPriority w:val="18"/>
    <w:qFormat/>
    <w:rsid w:val="00E40F3F"/>
    <w:pPr>
      <w:keepNext/>
      <w:keepLines/>
      <w:spacing w:before="720" w:after="240"/>
      <w:outlineLvl w:val="0"/>
    </w:pPr>
    <w:rPr>
      <w:rFonts w:asciiTheme="majorHAnsi" w:hAnsiTheme="majorHAnsi"/>
      <w:sz w:val="28"/>
    </w:rPr>
  </w:style>
  <w:style w:type="paragraph" w:customStyle="1" w:styleId="JuLista">
    <w:name w:val="Ju_List_a"/>
    <w:basedOn w:val="JuList"/>
    <w:uiPriority w:val="28"/>
    <w:qFormat/>
    <w:rsid w:val="00E40F3F"/>
    <w:pPr>
      <w:ind w:left="346" w:firstLine="0"/>
    </w:pPr>
  </w:style>
  <w:style w:type="paragraph" w:customStyle="1" w:styleId="JuSigned">
    <w:name w:val="Ju_Signed"/>
    <w:basedOn w:val="Normal"/>
    <w:next w:val="JuParaLast"/>
    <w:uiPriority w:val="32"/>
    <w:qFormat/>
    <w:rsid w:val="00E40F3F"/>
    <w:pPr>
      <w:tabs>
        <w:tab w:val="center" w:pos="851"/>
        <w:tab w:val="center" w:pos="6407"/>
      </w:tabs>
      <w:spacing w:before="720"/>
      <w:jc w:val="left"/>
    </w:pPr>
  </w:style>
  <w:style w:type="paragraph" w:styleId="Title">
    <w:name w:val="Title"/>
    <w:basedOn w:val="Normal"/>
    <w:next w:val="Normal"/>
    <w:link w:val="TitleChar"/>
    <w:uiPriority w:val="99"/>
    <w:semiHidden/>
    <w:qFormat/>
    <w:rsid w:val="00E40F3F"/>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E40F3F"/>
    <w:rPr>
      <w:rFonts w:asciiTheme="majorHAnsi" w:eastAsiaTheme="majorEastAsia" w:hAnsiTheme="majorHAnsi" w:cstheme="majorBidi"/>
      <w:spacing w:val="5"/>
      <w:sz w:val="52"/>
      <w:szCs w:val="52"/>
      <w:lang w:bidi="en-US"/>
    </w:rPr>
  </w:style>
  <w:style w:type="paragraph" w:customStyle="1" w:styleId="JuListi">
    <w:name w:val="Ju_List_i"/>
    <w:basedOn w:val="Normal"/>
    <w:next w:val="JuLista"/>
    <w:uiPriority w:val="28"/>
    <w:qFormat/>
    <w:rsid w:val="00E40F3F"/>
    <w:pPr>
      <w:ind w:left="794"/>
    </w:pPr>
  </w:style>
  <w:style w:type="character" w:customStyle="1" w:styleId="JUNAMES">
    <w:name w:val="JU_NAMES"/>
    <w:uiPriority w:val="17"/>
    <w:qFormat/>
    <w:rsid w:val="00E40F3F"/>
    <w:rPr>
      <w:caps w:val="0"/>
      <w:smallCaps/>
    </w:rPr>
  </w:style>
  <w:style w:type="character" w:customStyle="1" w:styleId="JuITMark">
    <w:name w:val="Ju_ITMark"/>
    <w:basedOn w:val="DefaultParagraphFont"/>
    <w:uiPriority w:val="38"/>
    <w:qFormat/>
    <w:rsid w:val="00E40F3F"/>
    <w:rPr>
      <w:vanish w:val="0"/>
      <w:color w:val="auto"/>
      <w:sz w:val="14"/>
      <w:bdr w:val="none" w:sz="0" w:space="0" w:color="auto"/>
      <w:shd w:val="clear" w:color="auto" w:fill="BEE5FF" w:themeFill="background1" w:themeFillTint="33"/>
    </w:rPr>
  </w:style>
  <w:style w:type="paragraph" w:customStyle="1" w:styleId="JuParaSub">
    <w:name w:val="Ju_Para_Sub"/>
    <w:basedOn w:val="ECHRPara"/>
    <w:uiPriority w:val="13"/>
    <w:qFormat/>
    <w:rsid w:val="00E40F3F"/>
    <w:pPr>
      <w:ind w:left="284"/>
    </w:pPr>
  </w:style>
  <w:style w:type="paragraph" w:customStyle="1" w:styleId="JuQuotSub">
    <w:name w:val="Ju_Quot_Sub"/>
    <w:basedOn w:val="ECHRParaQuote"/>
    <w:uiPriority w:val="15"/>
    <w:qFormat/>
    <w:rsid w:val="00E40F3F"/>
    <w:pPr>
      <w:ind w:left="567"/>
    </w:pPr>
  </w:style>
  <w:style w:type="paragraph" w:customStyle="1" w:styleId="ECHRHeading1">
    <w:name w:val="ECHR_Heading_1"/>
    <w:aliases w:val="Ju_H_I_Roman"/>
    <w:basedOn w:val="Heading1"/>
    <w:next w:val="ECHRPara"/>
    <w:uiPriority w:val="19"/>
    <w:qFormat/>
    <w:rsid w:val="00E40F3F"/>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E40F3F"/>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E40F3F"/>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E40F3F"/>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40F3F"/>
    <w:rPr>
      <w:sz w:val="24"/>
      <w:lang w:val="en-GB"/>
    </w:rPr>
  </w:style>
  <w:style w:type="character" w:customStyle="1" w:styleId="Heading1Char">
    <w:name w:val="Heading 1 Char"/>
    <w:basedOn w:val="DefaultParagraphFont"/>
    <w:link w:val="Heading1"/>
    <w:uiPriority w:val="99"/>
    <w:semiHidden/>
    <w:rsid w:val="00E40F3F"/>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E40F3F"/>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E40F3F"/>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E40F3F"/>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E40F3F"/>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E40F3F"/>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E40F3F"/>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E40F3F"/>
    <w:pPr>
      <w:keepNext/>
      <w:keepLines/>
      <w:spacing w:before="240"/>
      <w:ind w:firstLine="284"/>
    </w:pPr>
  </w:style>
  <w:style w:type="paragraph" w:customStyle="1" w:styleId="JuList">
    <w:name w:val="Ju_List"/>
    <w:basedOn w:val="Normal"/>
    <w:uiPriority w:val="28"/>
    <w:qFormat/>
    <w:rsid w:val="00E40F3F"/>
    <w:pPr>
      <w:ind w:left="340" w:hanging="340"/>
    </w:pPr>
  </w:style>
  <w:style w:type="character" w:customStyle="1" w:styleId="Heading4Char">
    <w:name w:val="Heading 4 Char"/>
    <w:basedOn w:val="DefaultParagraphFont"/>
    <w:link w:val="Heading4"/>
    <w:uiPriority w:val="99"/>
    <w:semiHidden/>
    <w:rsid w:val="00E40F3F"/>
    <w:rPr>
      <w:rFonts w:asciiTheme="majorHAnsi" w:eastAsiaTheme="majorEastAsia" w:hAnsiTheme="majorHAnsi" w:cstheme="majorBidi"/>
      <w:b/>
      <w:bCs/>
      <w:i/>
      <w:iCs/>
      <w:color w:val="777777"/>
      <w:sz w:val="24"/>
      <w:lang w:val="en-GB"/>
    </w:rPr>
  </w:style>
  <w:style w:type="paragraph" w:customStyle="1" w:styleId="JuTitle">
    <w:name w:val="Ju_Title"/>
    <w:basedOn w:val="Normal"/>
    <w:next w:val="ECHRPara"/>
    <w:uiPriority w:val="3"/>
    <w:semiHidden/>
    <w:qFormat/>
    <w:rsid w:val="00E40F3F"/>
    <w:pPr>
      <w:spacing w:before="720" w:after="240"/>
      <w:jc w:val="center"/>
      <w:outlineLvl w:val="0"/>
    </w:pPr>
    <w:rPr>
      <w:rFonts w:asciiTheme="majorHAnsi" w:hAnsiTheme="majorHAnsi"/>
      <w:b/>
      <w:caps/>
    </w:rPr>
  </w:style>
  <w:style w:type="character" w:customStyle="1" w:styleId="Heading5Char">
    <w:name w:val="Heading 5 Char"/>
    <w:basedOn w:val="DefaultParagraphFont"/>
    <w:link w:val="Heading5"/>
    <w:uiPriority w:val="99"/>
    <w:semiHidden/>
    <w:rsid w:val="00E40F3F"/>
    <w:rPr>
      <w:rFonts w:asciiTheme="majorHAnsi" w:eastAsiaTheme="majorEastAsia" w:hAnsiTheme="majorHAnsi" w:cstheme="majorBidi"/>
      <w:b/>
      <w:bCs/>
      <w:color w:val="808080"/>
    </w:rPr>
  </w:style>
  <w:style w:type="paragraph" w:customStyle="1" w:styleId="OpiH1">
    <w:name w:val="Opi_H_1"/>
    <w:basedOn w:val="ECHRHeading2"/>
    <w:uiPriority w:val="42"/>
    <w:qFormat/>
    <w:rsid w:val="00E40F3F"/>
    <w:pPr>
      <w:ind w:left="635" w:hanging="357"/>
      <w:outlineLvl w:val="2"/>
    </w:pPr>
  </w:style>
  <w:style w:type="paragraph" w:customStyle="1" w:styleId="OpiHa">
    <w:name w:val="Opi_H_a"/>
    <w:basedOn w:val="ECHRHeading3"/>
    <w:uiPriority w:val="43"/>
    <w:qFormat/>
    <w:rsid w:val="00E40F3F"/>
    <w:pPr>
      <w:ind w:left="833" w:hanging="357"/>
      <w:outlineLvl w:val="3"/>
    </w:pPr>
    <w:rPr>
      <w:b/>
      <w:i w:val="0"/>
      <w:sz w:val="20"/>
    </w:rPr>
  </w:style>
  <w:style w:type="character" w:styleId="SubtleEmphasis">
    <w:name w:val="Subtle Emphasis"/>
    <w:uiPriority w:val="99"/>
    <w:semiHidden/>
    <w:qFormat/>
    <w:rsid w:val="00E40F3F"/>
    <w:rPr>
      <w:i/>
      <w:iCs/>
    </w:rPr>
  </w:style>
  <w:style w:type="paragraph" w:customStyle="1" w:styleId="OpiHA0">
    <w:name w:val="Opi_H_A"/>
    <w:basedOn w:val="ECHRHeading1"/>
    <w:next w:val="OpiPara"/>
    <w:uiPriority w:val="41"/>
    <w:qFormat/>
    <w:rsid w:val="00E40F3F"/>
    <w:pPr>
      <w:tabs>
        <w:tab w:val="clear" w:pos="357"/>
      </w:tabs>
      <w:outlineLvl w:val="1"/>
    </w:pPr>
    <w:rPr>
      <w:b/>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i">
    <w:name w:val="Opi_H_i"/>
    <w:basedOn w:val="ECHRHeading4"/>
    <w:uiPriority w:val="44"/>
    <w:qFormat/>
    <w:rsid w:val="00E40F3F"/>
    <w:pPr>
      <w:ind w:left="1037" w:hanging="357"/>
      <w:outlineLvl w:val="4"/>
    </w:pPr>
    <w:rPr>
      <w:b w:val="0"/>
      <w:i/>
    </w:rPr>
  </w:style>
  <w:style w:type="paragraph" w:customStyle="1" w:styleId="OpiPara">
    <w:name w:val="Opi_Para"/>
    <w:basedOn w:val="ECHRPara"/>
    <w:uiPriority w:val="46"/>
    <w:qFormat/>
    <w:rsid w:val="00E40F3F"/>
  </w:style>
  <w:style w:type="paragraph" w:styleId="Subtitle">
    <w:name w:val="Subtitle"/>
    <w:basedOn w:val="Normal"/>
    <w:next w:val="Normal"/>
    <w:link w:val="SubtitleChar"/>
    <w:uiPriority w:val="99"/>
    <w:semiHidden/>
    <w:qFormat/>
    <w:rsid w:val="00E40F3F"/>
    <w:pPr>
      <w:spacing w:after="600"/>
    </w:pPr>
    <w:rPr>
      <w:rFonts w:asciiTheme="majorHAnsi" w:eastAsiaTheme="majorEastAsia" w:hAnsiTheme="majorHAnsi" w:cstheme="majorBidi"/>
      <w:i/>
      <w:iCs/>
      <w:spacing w:val="13"/>
      <w:szCs w:val="24"/>
      <w:lang w:val="en-US" w:bidi="en-US"/>
    </w:rPr>
  </w:style>
  <w:style w:type="character" w:styleId="Emphasis">
    <w:name w:val="Emphasis"/>
    <w:uiPriority w:val="99"/>
    <w:semiHidden/>
    <w:qFormat/>
    <w:rsid w:val="00E40F3F"/>
    <w:rPr>
      <w:b/>
      <w:bCs/>
      <w:i/>
      <w:iCs/>
      <w:spacing w:val="10"/>
      <w:bdr w:val="none" w:sz="0" w:space="0" w:color="auto"/>
      <w:shd w:val="clear" w:color="auto" w:fill="auto"/>
    </w:rPr>
  </w:style>
  <w:style w:type="paragraph" w:styleId="Footer">
    <w:name w:val="footer"/>
    <w:basedOn w:val="Normal"/>
    <w:link w:val="FooterChar"/>
    <w:uiPriority w:val="57"/>
    <w:semiHidden/>
    <w:rsid w:val="00E40F3F"/>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E40F3F"/>
    <w:rPr>
      <w:sz w:val="24"/>
      <w:lang w:val="en-GB"/>
    </w:rPr>
  </w:style>
  <w:style w:type="character" w:styleId="FootnoteReference">
    <w:name w:val="footnote reference"/>
    <w:basedOn w:val="DefaultParagraphFont"/>
    <w:uiPriority w:val="99"/>
    <w:semiHidden/>
    <w:rsid w:val="00E40F3F"/>
    <w:rPr>
      <w:vertAlign w:val="superscript"/>
    </w:rPr>
  </w:style>
  <w:style w:type="paragraph" w:styleId="FootnoteText">
    <w:name w:val="footnote text"/>
    <w:basedOn w:val="Normal"/>
    <w:link w:val="FootnoteTextChar"/>
    <w:uiPriority w:val="99"/>
    <w:semiHidden/>
    <w:rsid w:val="00E40F3F"/>
    <w:rPr>
      <w:sz w:val="20"/>
      <w:szCs w:val="20"/>
    </w:rPr>
  </w:style>
  <w:style w:type="character" w:customStyle="1" w:styleId="FootnoteTextChar">
    <w:name w:val="Footnote Text Char"/>
    <w:basedOn w:val="DefaultParagraphFont"/>
    <w:link w:val="FootnoteText"/>
    <w:uiPriority w:val="99"/>
    <w:semiHidden/>
    <w:rsid w:val="00E40F3F"/>
    <w:rPr>
      <w:rFonts w:eastAsiaTheme="minorEastAsia"/>
      <w:sz w:val="20"/>
      <w:szCs w:val="20"/>
      <w:lang w:val="en-GB"/>
    </w:rPr>
  </w:style>
  <w:style w:type="character" w:customStyle="1" w:styleId="Heading6Char">
    <w:name w:val="Heading 6 Char"/>
    <w:basedOn w:val="DefaultParagraphFont"/>
    <w:link w:val="Heading6"/>
    <w:uiPriority w:val="99"/>
    <w:semiHidden/>
    <w:rsid w:val="00E40F3F"/>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E40F3F"/>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40F3F"/>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40F3F"/>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E40F3F"/>
    <w:rPr>
      <w:color w:val="0072BC" w:themeColor="hyperlink"/>
      <w:u w:val="single"/>
    </w:rPr>
  </w:style>
  <w:style w:type="character" w:styleId="IntenseEmphasis">
    <w:name w:val="Intense Emphasis"/>
    <w:uiPriority w:val="99"/>
    <w:semiHidden/>
    <w:qFormat/>
    <w:rsid w:val="00E40F3F"/>
    <w:rPr>
      <w:b/>
      <w:bCs/>
    </w:rPr>
  </w:style>
  <w:style w:type="paragraph" w:styleId="IntenseQuote">
    <w:name w:val="Intense Quote"/>
    <w:basedOn w:val="Normal"/>
    <w:next w:val="Normal"/>
    <w:link w:val="IntenseQuoteChar"/>
    <w:uiPriority w:val="99"/>
    <w:semiHidden/>
    <w:qFormat/>
    <w:rsid w:val="00E40F3F"/>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E40F3F"/>
    <w:rPr>
      <w:rFonts w:eastAsiaTheme="minorEastAsia"/>
      <w:b/>
      <w:bCs/>
      <w:i/>
      <w:iCs/>
      <w:lang w:bidi="en-US"/>
    </w:rPr>
  </w:style>
  <w:style w:type="character" w:styleId="IntenseReference">
    <w:name w:val="Intense Reference"/>
    <w:uiPriority w:val="99"/>
    <w:semiHidden/>
    <w:qFormat/>
    <w:rsid w:val="00E40F3F"/>
    <w:rPr>
      <w:smallCaps/>
      <w:spacing w:val="5"/>
      <w:u w:val="single"/>
    </w:rPr>
  </w:style>
  <w:style w:type="paragraph" w:styleId="ListParagraph">
    <w:name w:val="List Paragraph"/>
    <w:basedOn w:val="Normal"/>
    <w:uiPriority w:val="99"/>
    <w:semiHidden/>
    <w:qFormat/>
    <w:rsid w:val="00E40F3F"/>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40F3F"/>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E40F3F"/>
    <w:rPr>
      <w:rFonts w:eastAsiaTheme="minorEastAsia"/>
      <w:i/>
      <w:iCs/>
      <w:lang w:bidi="en-US"/>
    </w:rPr>
  </w:style>
  <w:style w:type="character" w:styleId="SubtleReference">
    <w:name w:val="Subtle Reference"/>
    <w:uiPriority w:val="99"/>
    <w:semiHidden/>
    <w:qFormat/>
    <w:rsid w:val="00E40F3F"/>
    <w:rPr>
      <w:smallCaps/>
    </w:rPr>
  </w:style>
  <w:style w:type="table" w:styleId="TableGrid">
    <w:name w:val="Table Grid"/>
    <w:basedOn w:val="TableNormal"/>
    <w:uiPriority w:val="59"/>
    <w:semiHidden/>
    <w:rsid w:val="00E40F3F"/>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40F3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40F3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40F3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40F3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40F3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40F3F"/>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40F3F"/>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E40F3F"/>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2D2C99"/>
    <w:pPr>
      <w:numPr>
        <w:numId w:val="9"/>
      </w:numPr>
    </w:pPr>
  </w:style>
  <w:style w:type="numbering" w:styleId="1ai">
    <w:name w:val="Outline List 1"/>
    <w:basedOn w:val="NoList"/>
    <w:uiPriority w:val="99"/>
    <w:semiHidden/>
    <w:unhideWhenUsed/>
    <w:rsid w:val="002D2C99"/>
    <w:pPr>
      <w:numPr>
        <w:numId w:val="10"/>
      </w:numPr>
    </w:pPr>
  </w:style>
  <w:style w:type="paragraph" w:customStyle="1" w:styleId="ECHRPara">
    <w:name w:val="ECHR_Para"/>
    <w:aliases w:val="Ju_Para"/>
    <w:basedOn w:val="Normal"/>
    <w:uiPriority w:val="12"/>
    <w:qFormat/>
    <w:rsid w:val="00E40F3F"/>
    <w:pPr>
      <w:ind w:firstLine="284"/>
    </w:pPr>
  </w:style>
  <w:style w:type="numbering" w:styleId="ArticleSection">
    <w:name w:val="Outline List 3"/>
    <w:basedOn w:val="NoList"/>
    <w:uiPriority w:val="99"/>
    <w:semiHidden/>
    <w:unhideWhenUsed/>
    <w:rsid w:val="002D2C99"/>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2D2C99"/>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40F3F"/>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2D2C99"/>
    <w:pPr>
      <w:pBdr>
        <w:top w:val="single" w:sz="2" w:space="10" w:color="0072BC" w:themeColor="accent1" w:shadow="1"/>
        <w:left w:val="single" w:sz="2" w:space="10" w:color="0072BC" w:themeColor="accent1" w:shadow="1"/>
        <w:bottom w:val="single" w:sz="2" w:space="10" w:color="0072BC" w:themeColor="accent1" w:shadow="1"/>
        <w:right w:val="single" w:sz="2" w:space="10" w:color="0072BC" w:themeColor="accent1" w:shadow="1"/>
      </w:pBdr>
      <w:ind w:left="1152" w:right="1152"/>
    </w:pPr>
    <w:rPr>
      <w:i/>
      <w:iCs/>
      <w:color w:val="0072BC" w:themeColor="accent1"/>
    </w:rPr>
  </w:style>
  <w:style w:type="paragraph" w:styleId="BodyText">
    <w:name w:val="Body Text"/>
    <w:basedOn w:val="Normal"/>
    <w:link w:val="BodyTextChar"/>
    <w:uiPriority w:val="99"/>
    <w:semiHidden/>
    <w:rsid w:val="002D2C99"/>
    <w:pPr>
      <w:spacing w:after="120"/>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2D2C99"/>
    <w:rPr>
      <w:rFonts w:eastAsiaTheme="minorEastAsia"/>
      <w:sz w:val="24"/>
    </w:rPr>
  </w:style>
  <w:style w:type="paragraph" w:styleId="BodyText2">
    <w:name w:val="Body Text 2"/>
    <w:basedOn w:val="Normal"/>
    <w:link w:val="BodyText2Char"/>
    <w:uiPriority w:val="99"/>
    <w:semiHidden/>
    <w:rsid w:val="002D2C99"/>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link w:val="JuJudgesChar"/>
    <w:uiPriority w:val="11"/>
    <w:qFormat/>
    <w:rsid w:val="00E40F3F"/>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E40F3F"/>
    <w:pPr>
      <w:ind w:firstLine="284"/>
    </w:pPr>
    <w:rPr>
      <w:b/>
    </w:rPr>
  </w:style>
  <w:style w:type="character" w:styleId="PageNumber">
    <w:name w:val="page number"/>
    <w:uiPriority w:val="99"/>
    <w:semiHidden/>
    <w:rsid w:val="002D2C99"/>
    <w:rPr>
      <w:rFonts w:ascii="Times New Roman" w:hAnsi="Times New Roman" w:cs="Times New Roman"/>
      <w:sz w:val="18"/>
    </w:rPr>
  </w:style>
  <w:style w:type="paragraph" w:styleId="ListBullet2">
    <w:name w:val="List Bullet 2"/>
    <w:basedOn w:val="Normal"/>
    <w:uiPriority w:val="99"/>
    <w:semiHidden/>
    <w:rsid w:val="002D2C99"/>
    <w:pPr>
      <w:numPr>
        <w:numId w:val="8"/>
      </w:numPr>
      <w:contextualSpacing/>
    </w:pPr>
  </w:style>
  <w:style w:type="character" w:customStyle="1" w:styleId="BodyText2Char">
    <w:name w:val="Body Text 2 Char"/>
    <w:basedOn w:val="DefaultParagraphFont"/>
    <w:link w:val="BodyText2"/>
    <w:uiPriority w:val="99"/>
    <w:semiHidden/>
    <w:rsid w:val="002D2C99"/>
    <w:rPr>
      <w:rFonts w:eastAsiaTheme="minorEastAsia"/>
      <w:sz w:val="24"/>
    </w:rPr>
  </w:style>
  <w:style w:type="paragraph" w:styleId="BodyText3">
    <w:name w:val="Body Text 3"/>
    <w:basedOn w:val="Normal"/>
    <w:link w:val="BodyText3Char"/>
    <w:uiPriority w:val="99"/>
    <w:semiHidden/>
    <w:rsid w:val="002D2C99"/>
    <w:pPr>
      <w:spacing w:after="120"/>
    </w:pPr>
    <w:rPr>
      <w:sz w:val="16"/>
      <w:szCs w:val="16"/>
    </w:rPr>
  </w:style>
  <w:style w:type="character" w:customStyle="1" w:styleId="BodyText3Char">
    <w:name w:val="Body Text 3 Char"/>
    <w:basedOn w:val="DefaultParagraphFont"/>
    <w:link w:val="BodyText3"/>
    <w:uiPriority w:val="99"/>
    <w:semiHidden/>
    <w:rsid w:val="002D2C99"/>
    <w:rPr>
      <w:rFonts w:eastAsiaTheme="minorEastAsia"/>
      <w:sz w:val="16"/>
      <w:szCs w:val="16"/>
    </w:rPr>
  </w:style>
  <w:style w:type="paragraph" w:styleId="BodyTextFirstIndent">
    <w:name w:val="Body Text First Indent"/>
    <w:basedOn w:val="BodyText"/>
    <w:link w:val="BodyTextFirstIndentChar"/>
    <w:uiPriority w:val="99"/>
    <w:semiHidden/>
    <w:rsid w:val="002D2C99"/>
    <w:pPr>
      <w:spacing w:after="0"/>
      <w:ind w:firstLine="360"/>
    </w:pPr>
  </w:style>
  <w:style w:type="character" w:customStyle="1" w:styleId="BodyTextFirstIndentChar">
    <w:name w:val="Body Text First Indent Char"/>
    <w:basedOn w:val="BodyTextChar"/>
    <w:link w:val="BodyTextFirstIndent"/>
    <w:uiPriority w:val="99"/>
    <w:semiHidden/>
    <w:rsid w:val="002D2C99"/>
    <w:rPr>
      <w:rFonts w:eastAsiaTheme="minorEastAsia"/>
      <w:sz w:val="24"/>
    </w:rPr>
  </w:style>
  <w:style w:type="paragraph" w:styleId="BodyTextIndent">
    <w:name w:val="Body Text Indent"/>
    <w:basedOn w:val="Normal"/>
    <w:link w:val="BodyTextIndentChar"/>
    <w:uiPriority w:val="99"/>
    <w:semiHidden/>
    <w:rsid w:val="002D2C99"/>
    <w:pPr>
      <w:spacing w:after="120"/>
      <w:ind w:left="283"/>
    </w:pPr>
  </w:style>
  <w:style w:type="character" w:customStyle="1" w:styleId="BodyTextIndentChar">
    <w:name w:val="Body Text Indent Char"/>
    <w:basedOn w:val="DefaultParagraphFont"/>
    <w:link w:val="BodyTextIndent"/>
    <w:uiPriority w:val="99"/>
    <w:semiHidden/>
    <w:rsid w:val="002D2C99"/>
    <w:rPr>
      <w:rFonts w:eastAsiaTheme="minorEastAsia"/>
      <w:sz w:val="24"/>
    </w:rPr>
  </w:style>
  <w:style w:type="paragraph" w:styleId="BodyTextFirstIndent2">
    <w:name w:val="Body Text First Indent 2"/>
    <w:basedOn w:val="BodyTextIndent"/>
    <w:link w:val="BodyTextFirstIndent2Char"/>
    <w:uiPriority w:val="99"/>
    <w:semiHidden/>
    <w:rsid w:val="002D2C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D2C99"/>
    <w:rPr>
      <w:rFonts w:eastAsiaTheme="minorEastAsia"/>
      <w:sz w:val="24"/>
    </w:rPr>
  </w:style>
  <w:style w:type="paragraph" w:styleId="BodyTextIndent2">
    <w:name w:val="Body Text Indent 2"/>
    <w:basedOn w:val="Normal"/>
    <w:link w:val="BodyTextIndent2Char"/>
    <w:uiPriority w:val="99"/>
    <w:semiHidden/>
    <w:rsid w:val="002D2C99"/>
    <w:pPr>
      <w:spacing w:after="120" w:line="480" w:lineRule="auto"/>
      <w:ind w:left="283"/>
    </w:pPr>
  </w:style>
  <w:style w:type="character" w:customStyle="1" w:styleId="BodyTextIndent2Char">
    <w:name w:val="Body Text Indent 2 Char"/>
    <w:basedOn w:val="DefaultParagraphFont"/>
    <w:link w:val="BodyTextIndent2"/>
    <w:uiPriority w:val="99"/>
    <w:semiHidden/>
    <w:rsid w:val="002D2C99"/>
    <w:rPr>
      <w:rFonts w:eastAsiaTheme="minorEastAsia"/>
      <w:sz w:val="24"/>
    </w:rPr>
  </w:style>
  <w:style w:type="paragraph" w:styleId="BodyTextIndent3">
    <w:name w:val="Body Text Indent 3"/>
    <w:basedOn w:val="Normal"/>
    <w:link w:val="BodyTextIndent3Char"/>
    <w:uiPriority w:val="99"/>
    <w:semiHidden/>
    <w:rsid w:val="002D2C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D2C99"/>
    <w:rPr>
      <w:rFonts w:eastAsiaTheme="minorEastAsia"/>
      <w:sz w:val="16"/>
      <w:szCs w:val="16"/>
    </w:rPr>
  </w:style>
  <w:style w:type="paragraph" w:styleId="Caption">
    <w:name w:val="caption"/>
    <w:basedOn w:val="Normal"/>
    <w:next w:val="Normal"/>
    <w:uiPriority w:val="99"/>
    <w:semiHidden/>
    <w:qFormat/>
    <w:rsid w:val="002D2C99"/>
    <w:pPr>
      <w:spacing w:after="200"/>
    </w:pPr>
    <w:rPr>
      <w:b/>
      <w:bCs/>
      <w:color w:val="0072BC" w:themeColor="accent1"/>
      <w:sz w:val="18"/>
      <w:szCs w:val="18"/>
    </w:rPr>
  </w:style>
  <w:style w:type="paragraph" w:styleId="Closing">
    <w:name w:val="Closing"/>
    <w:basedOn w:val="Normal"/>
    <w:link w:val="ClosingChar"/>
    <w:uiPriority w:val="99"/>
    <w:semiHidden/>
    <w:rsid w:val="002D2C99"/>
    <w:pPr>
      <w:ind w:left="4252"/>
    </w:pPr>
  </w:style>
  <w:style w:type="character" w:customStyle="1" w:styleId="ClosingChar">
    <w:name w:val="Closing Char"/>
    <w:basedOn w:val="DefaultParagraphFont"/>
    <w:link w:val="Closing"/>
    <w:uiPriority w:val="99"/>
    <w:semiHidden/>
    <w:rsid w:val="002D2C99"/>
    <w:rPr>
      <w:rFonts w:eastAsiaTheme="minorEastAsia"/>
      <w:sz w:val="24"/>
    </w:rPr>
  </w:style>
  <w:style w:type="table" w:styleId="ColorfulGrid">
    <w:name w:val="Colorful Grid"/>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D2C9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D2C9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D2C9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D2C9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D2C9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D2C9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D2C9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D2C9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D2C9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D2C9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D2C9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D2C9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D2C9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D2C9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2D2C99"/>
    <w:rPr>
      <w:sz w:val="16"/>
      <w:szCs w:val="16"/>
    </w:rPr>
  </w:style>
  <w:style w:type="paragraph" w:styleId="CommentText">
    <w:name w:val="annotation text"/>
    <w:basedOn w:val="Normal"/>
    <w:link w:val="CommentTextChar"/>
    <w:uiPriority w:val="99"/>
    <w:semiHidden/>
    <w:rsid w:val="002D2C99"/>
    <w:rPr>
      <w:sz w:val="20"/>
      <w:szCs w:val="20"/>
    </w:rPr>
  </w:style>
  <w:style w:type="character" w:customStyle="1" w:styleId="CommentTextChar">
    <w:name w:val="Comment Text Char"/>
    <w:basedOn w:val="DefaultParagraphFont"/>
    <w:link w:val="CommentText"/>
    <w:uiPriority w:val="99"/>
    <w:semiHidden/>
    <w:rsid w:val="002D2C99"/>
    <w:rPr>
      <w:rFonts w:eastAsiaTheme="minorEastAsia"/>
      <w:sz w:val="20"/>
      <w:szCs w:val="20"/>
    </w:rPr>
  </w:style>
  <w:style w:type="paragraph" w:styleId="CommentSubject">
    <w:name w:val="annotation subject"/>
    <w:basedOn w:val="CommentText"/>
    <w:next w:val="CommentText"/>
    <w:link w:val="CommentSubjectChar"/>
    <w:uiPriority w:val="99"/>
    <w:semiHidden/>
    <w:rsid w:val="002D2C99"/>
    <w:rPr>
      <w:b/>
      <w:bCs/>
    </w:rPr>
  </w:style>
  <w:style w:type="character" w:customStyle="1" w:styleId="CommentSubjectChar">
    <w:name w:val="Comment Subject Char"/>
    <w:basedOn w:val="CommentTextChar"/>
    <w:link w:val="CommentSubject"/>
    <w:uiPriority w:val="99"/>
    <w:semiHidden/>
    <w:rsid w:val="002D2C99"/>
    <w:rPr>
      <w:rFonts w:eastAsiaTheme="minorEastAsia"/>
      <w:b/>
      <w:bCs/>
      <w:sz w:val="20"/>
      <w:szCs w:val="20"/>
    </w:rPr>
  </w:style>
  <w:style w:type="table" w:styleId="DarkList">
    <w:name w:val="Dark List"/>
    <w:basedOn w:val="TableNormal"/>
    <w:uiPriority w:val="70"/>
    <w:semiHidden/>
    <w:rsid w:val="002D2C9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D2C9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D2C9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D2C9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D2C9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D2C9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D2C9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D2C99"/>
  </w:style>
  <w:style w:type="character" w:customStyle="1" w:styleId="DateChar">
    <w:name w:val="Date Char"/>
    <w:basedOn w:val="DefaultParagraphFont"/>
    <w:link w:val="Date"/>
    <w:uiPriority w:val="99"/>
    <w:semiHidden/>
    <w:rsid w:val="002D2C99"/>
    <w:rPr>
      <w:rFonts w:eastAsiaTheme="minorEastAsia"/>
      <w:sz w:val="24"/>
    </w:rPr>
  </w:style>
  <w:style w:type="paragraph" w:styleId="DocumentMap">
    <w:name w:val="Document Map"/>
    <w:basedOn w:val="Normal"/>
    <w:link w:val="DocumentMapChar"/>
    <w:uiPriority w:val="99"/>
    <w:semiHidden/>
    <w:rsid w:val="002D2C99"/>
    <w:rPr>
      <w:rFonts w:ascii="Tahoma" w:hAnsi="Tahoma" w:cs="Tahoma"/>
      <w:sz w:val="16"/>
      <w:szCs w:val="16"/>
    </w:rPr>
  </w:style>
  <w:style w:type="character" w:customStyle="1" w:styleId="DocumentMapChar">
    <w:name w:val="Document Map Char"/>
    <w:basedOn w:val="DefaultParagraphFont"/>
    <w:link w:val="DocumentMap"/>
    <w:uiPriority w:val="99"/>
    <w:semiHidden/>
    <w:rsid w:val="002D2C99"/>
    <w:rPr>
      <w:rFonts w:ascii="Tahoma" w:eastAsiaTheme="minorEastAsia" w:hAnsi="Tahoma" w:cs="Tahoma"/>
      <w:sz w:val="16"/>
      <w:szCs w:val="16"/>
    </w:rPr>
  </w:style>
  <w:style w:type="paragraph" w:styleId="E-mailSignature">
    <w:name w:val="E-mail Signature"/>
    <w:basedOn w:val="Normal"/>
    <w:link w:val="E-mailSignatureChar"/>
    <w:uiPriority w:val="99"/>
    <w:semiHidden/>
    <w:rsid w:val="002D2C99"/>
  </w:style>
  <w:style w:type="character" w:customStyle="1" w:styleId="E-mailSignatureChar">
    <w:name w:val="E-mail Signature Char"/>
    <w:basedOn w:val="DefaultParagraphFont"/>
    <w:link w:val="E-mailSignature"/>
    <w:uiPriority w:val="99"/>
    <w:semiHidden/>
    <w:rsid w:val="002D2C99"/>
    <w:rPr>
      <w:rFonts w:eastAsiaTheme="minorEastAsia"/>
      <w:sz w:val="24"/>
    </w:rPr>
  </w:style>
  <w:style w:type="character" w:styleId="EndnoteReference">
    <w:name w:val="endnote reference"/>
    <w:basedOn w:val="DefaultParagraphFont"/>
    <w:uiPriority w:val="99"/>
    <w:semiHidden/>
    <w:rsid w:val="00E40F3F"/>
    <w:rPr>
      <w:vertAlign w:val="superscript"/>
    </w:rPr>
  </w:style>
  <w:style w:type="paragraph" w:styleId="EndnoteText">
    <w:name w:val="endnote text"/>
    <w:basedOn w:val="Normal"/>
    <w:link w:val="EndnoteTextChar"/>
    <w:uiPriority w:val="99"/>
    <w:semiHidden/>
    <w:rsid w:val="00E40F3F"/>
    <w:rPr>
      <w:sz w:val="20"/>
      <w:szCs w:val="20"/>
    </w:rPr>
  </w:style>
  <w:style w:type="character" w:customStyle="1" w:styleId="EndnoteTextChar">
    <w:name w:val="Endnote Text Char"/>
    <w:basedOn w:val="DefaultParagraphFont"/>
    <w:link w:val="EndnoteText"/>
    <w:uiPriority w:val="99"/>
    <w:semiHidden/>
    <w:rsid w:val="00E40F3F"/>
    <w:rPr>
      <w:rFonts w:eastAsiaTheme="minorEastAsia"/>
      <w:sz w:val="20"/>
      <w:szCs w:val="20"/>
      <w:lang w:val="en-GB"/>
    </w:rPr>
  </w:style>
  <w:style w:type="paragraph" w:styleId="EnvelopeAddress">
    <w:name w:val="envelope address"/>
    <w:basedOn w:val="Normal"/>
    <w:uiPriority w:val="99"/>
    <w:semiHidden/>
    <w:rsid w:val="002D2C9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D2C9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D2C99"/>
    <w:rPr>
      <w:color w:val="7030A0" w:themeColor="followedHyperlink"/>
      <w:u w:val="single"/>
    </w:rPr>
  </w:style>
  <w:style w:type="character" w:styleId="HTMLAcronym">
    <w:name w:val="HTML Acronym"/>
    <w:basedOn w:val="DefaultParagraphFont"/>
    <w:uiPriority w:val="99"/>
    <w:semiHidden/>
    <w:rsid w:val="002D2C99"/>
  </w:style>
  <w:style w:type="paragraph" w:styleId="HTMLAddress">
    <w:name w:val="HTML Address"/>
    <w:basedOn w:val="Normal"/>
    <w:link w:val="HTMLAddressChar"/>
    <w:uiPriority w:val="99"/>
    <w:semiHidden/>
    <w:rsid w:val="002D2C99"/>
    <w:rPr>
      <w:i/>
      <w:iCs/>
    </w:rPr>
  </w:style>
  <w:style w:type="character" w:customStyle="1" w:styleId="HTMLAddressChar">
    <w:name w:val="HTML Address Char"/>
    <w:basedOn w:val="DefaultParagraphFont"/>
    <w:link w:val="HTMLAddress"/>
    <w:uiPriority w:val="99"/>
    <w:semiHidden/>
    <w:rsid w:val="002D2C99"/>
    <w:rPr>
      <w:rFonts w:eastAsiaTheme="minorEastAsia"/>
      <w:i/>
      <w:iCs/>
      <w:sz w:val="24"/>
    </w:rPr>
  </w:style>
  <w:style w:type="character" w:styleId="HTMLCite">
    <w:name w:val="HTML Cite"/>
    <w:basedOn w:val="DefaultParagraphFont"/>
    <w:uiPriority w:val="99"/>
    <w:semiHidden/>
    <w:rsid w:val="002D2C99"/>
    <w:rPr>
      <w:i/>
      <w:iCs/>
    </w:rPr>
  </w:style>
  <w:style w:type="character" w:styleId="HTMLCode">
    <w:name w:val="HTML Code"/>
    <w:basedOn w:val="DefaultParagraphFont"/>
    <w:uiPriority w:val="99"/>
    <w:semiHidden/>
    <w:rsid w:val="002D2C99"/>
    <w:rPr>
      <w:rFonts w:ascii="Consolas" w:hAnsi="Consolas" w:cs="Consolas"/>
      <w:sz w:val="20"/>
      <w:szCs w:val="20"/>
    </w:rPr>
  </w:style>
  <w:style w:type="character" w:styleId="HTMLDefinition">
    <w:name w:val="HTML Definition"/>
    <w:basedOn w:val="DefaultParagraphFont"/>
    <w:uiPriority w:val="99"/>
    <w:semiHidden/>
    <w:rsid w:val="002D2C99"/>
    <w:rPr>
      <w:i/>
      <w:iCs/>
    </w:rPr>
  </w:style>
  <w:style w:type="character" w:styleId="HTMLKeyboard">
    <w:name w:val="HTML Keyboard"/>
    <w:basedOn w:val="DefaultParagraphFont"/>
    <w:uiPriority w:val="99"/>
    <w:semiHidden/>
    <w:rsid w:val="002D2C99"/>
    <w:rPr>
      <w:rFonts w:ascii="Consolas" w:hAnsi="Consolas" w:cs="Consolas"/>
      <w:sz w:val="20"/>
      <w:szCs w:val="20"/>
    </w:rPr>
  </w:style>
  <w:style w:type="paragraph" w:styleId="HTMLPreformatted">
    <w:name w:val="HTML Preformatted"/>
    <w:basedOn w:val="Normal"/>
    <w:link w:val="HTMLPreformattedChar"/>
    <w:uiPriority w:val="99"/>
    <w:semiHidden/>
    <w:rsid w:val="002D2C9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D2C99"/>
    <w:rPr>
      <w:rFonts w:ascii="Consolas" w:eastAsiaTheme="minorEastAsia" w:hAnsi="Consolas" w:cs="Consolas"/>
      <w:sz w:val="20"/>
      <w:szCs w:val="20"/>
    </w:rPr>
  </w:style>
  <w:style w:type="character" w:styleId="HTMLSample">
    <w:name w:val="HTML Sample"/>
    <w:basedOn w:val="DefaultParagraphFont"/>
    <w:uiPriority w:val="99"/>
    <w:semiHidden/>
    <w:rsid w:val="002D2C99"/>
    <w:rPr>
      <w:rFonts w:ascii="Consolas" w:hAnsi="Consolas" w:cs="Consolas"/>
      <w:sz w:val="24"/>
      <w:szCs w:val="24"/>
    </w:rPr>
  </w:style>
  <w:style w:type="character" w:styleId="HTMLTypewriter">
    <w:name w:val="HTML Typewriter"/>
    <w:basedOn w:val="DefaultParagraphFont"/>
    <w:uiPriority w:val="99"/>
    <w:semiHidden/>
    <w:rsid w:val="002D2C99"/>
    <w:rPr>
      <w:rFonts w:ascii="Consolas" w:hAnsi="Consolas" w:cs="Consolas"/>
      <w:sz w:val="20"/>
      <w:szCs w:val="20"/>
    </w:rPr>
  </w:style>
  <w:style w:type="character" w:styleId="HTMLVariable">
    <w:name w:val="HTML Variable"/>
    <w:basedOn w:val="DefaultParagraphFont"/>
    <w:uiPriority w:val="99"/>
    <w:semiHidden/>
    <w:rsid w:val="002D2C99"/>
    <w:rPr>
      <w:i/>
      <w:iCs/>
    </w:rPr>
  </w:style>
  <w:style w:type="paragraph" w:styleId="Index1">
    <w:name w:val="index 1"/>
    <w:basedOn w:val="Normal"/>
    <w:next w:val="Normal"/>
    <w:autoRedefine/>
    <w:uiPriority w:val="99"/>
    <w:semiHidden/>
    <w:rsid w:val="002D2C99"/>
    <w:pPr>
      <w:ind w:left="240" w:hanging="240"/>
    </w:pPr>
  </w:style>
  <w:style w:type="paragraph" w:styleId="Index2">
    <w:name w:val="index 2"/>
    <w:basedOn w:val="Normal"/>
    <w:next w:val="Normal"/>
    <w:autoRedefine/>
    <w:uiPriority w:val="99"/>
    <w:semiHidden/>
    <w:rsid w:val="002D2C99"/>
    <w:pPr>
      <w:ind w:left="480" w:hanging="240"/>
    </w:pPr>
  </w:style>
  <w:style w:type="paragraph" w:styleId="Index3">
    <w:name w:val="index 3"/>
    <w:basedOn w:val="Normal"/>
    <w:next w:val="Normal"/>
    <w:autoRedefine/>
    <w:uiPriority w:val="99"/>
    <w:semiHidden/>
    <w:rsid w:val="002D2C99"/>
    <w:pPr>
      <w:ind w:left="720" w:hanging="240"/>
    </w:pPr>
  </w:style>
  <w:style w:type="paragraph" w:styleId="Index4">
    <w:name w:val="index 4"/>
    <w:basedOn w:val="Normal"/>
    <w:next w:val="Normal"/>
    <w:autoRedefine/>
    <w:uiPriority w:val="99"/>
    <w:semiHidden/>
    <w:rsid w:val="002D2C99"/>
    <w:pPr>
      <w:ind w:left="960" w:hanging="240"/>
    </w:pPr>
  </w:style>
  <w:style w:type="paragraph" w:styleId="Index5">
    <w:name w:val="index 5"/>
    <w:basedOn w:val="Normal"/>
    <w:next w:val="Normal"/>
    <w:autoRedefine/>
    <w:uiPriority w:val="99"/>
    <w:semiHidden/>
    <w:rsid w:val="002D2C99"/>
    <w:pPr>
      <w:ind w:left="1200" w:hanging="240"/>
    </w:pPr>
  </w:style>
  <w:style w:type="paragraph" w:styleId="Index6">
    <w:name w:val="index 6"/>
    <w:basedOn w:val="Normal"/>
    <w:next w:val="Normal"/>
    <w:autoRedefine/>
    <w:uiPriority w:val="99"/>
    <w:semiHidden/>
    <w:rsid w:val="002D2C99"/>
    <w:pPr>
      <w:ind w:left="1440" w:hanging="240"/>
    </w:pPr>
  </w:style>
  <w:style w:type="paragraph" w:styleId="Index7">
    <w:name w:val="index 7"/>
    <w:basedOn w:val="Normal"/>
    <w:next w:val="Normal"/>
    <w:autoRedefine/>
    <w:uiPriority w:val="99"/>
    <w:semiHidden/>
    <w:rsid w:val="002D2C99"/>
    <w:pPr>
      <w:ind w:left="1680" w:hanging="240"/>
    </w:pPr>
  </w:style>
  <w:style w:type="paragraph" w:styleId="Index8">
    <w:name w:val="index 8"/>
    <w:basedOn w:val="Normal"/>
    <w:next w:val="Normal"/>
    <w:autoRedefine/>
    <w:uiPriority w:val="99"/>
    <w:semiHidden/>
    <w:rsid w:val="002D2C99"/>
    <w:pPr>
      <w:ind w:left="1920" w:hanging="240"/>
    </w:pPr>
  </w:style>
  <w:style w:type="paragraph" w:styleId="Index9">
    <w:name w:val="index 9"/>
    <w:basedOn w:val="Normal"/>
    <w:next w:val="Normal"/>
    <w:autoRedefine/>
    <w:uiPriority w:val="99"/>
    <w:semiHidden/>
    <w:rsid w:val="002D2C99"/>
    <w:pPr>
      <w:ind w:left="2160" w:hanging="240"/>
    </w:pPr>
  </w:style>
  <w:style w:type="paragraph" w:styleId="IndexHeading">
    <w:name w:val="index heading"/>
    <w:basedOn w:val="Normal"/>
    <w:next w:val="Index1"/>
    <w:uiPriority w:val="99"/>
    <w:semiHidden/>
    <w:rsid w:val="002D2C99"/>
    <w:rPr>
      <w:rFonts w:asciiTheme="majorHAnsi" w:eastAsiaTheme="majorEastAsia" w:hAnsiTheme="majorHAnsi" w:cstheme="majorBidi"/>
      <w:b/>
      <w:bCs/>
    </w:rPr>
  </w:style>
  <w:style w:type="table" w:styleId="LightGrid">
    <w:name w:val="Light Grid"/>
    <w:basedOn w:val="TableNormal"/>
    <w:uiPriority w:val="62"/>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D2C9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D2C9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D2C9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D2C9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D2C9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D2C9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D2C9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D2C99"/>
  </w:style>
  <w:style w:type="paragraph" w:styleId="List">
    <w:name w:val="List"/>
    <w:basedOn w:val="Normal"/>
    <w:uiPriority w:val="99"/>
    <w:semiHidden/>
    <w:rsid w:val="002D2C99"/>
    <w:pPr>
      <w:ind w:left="283" w:hanging="283"/>
      <w:contextualSpacing/>
    </w:pPr>
  </w:style>
  <w:style w:type="paragraph" w:styleId="List2">
    <w:name w:val="List 2"/>
    <w:basedOn w:val="Normal"/>
    <w:uiPriority w:val="99"/>
    <w:semiHidden/>
    <w:rsid w:val="002D2C99"/>
    <w:pPr>
      <w:ind w:left="566" w:hanging="283"/>
      <w:contextualSpacing/>
    </w:pPr>
  </w:style>
  <w:style w:type="paragraph" w:styleId="List3">
    <w:name w:val="List 3"/>
    <w:basedOn w:val="Normal"/>
    <w:uiPriority w:val="99"/>
    <w:semiHidden/>
    <w:rsid w:val="002D2C99"/>
    <w:pPr>
      <w:ind w:left="849" w:hanging="283"/>
      <w:contextualSpacing/>
    </w:pPr>
  </w:style>
  <w:style w:type="paragraph" w:styleId="List4">
    <w:name w:val="List 4"/>
    <w:basedOn w:val="Normal"/>
    <w:uiPriority w:val="99"/>
    <w:semiHidden/>
    <w:rsid w:val="002D2C99"/>
    <w:pPr>
      <w:ind w:left="1132" w:hanging="283"/>
      <w:contextualSpacing/>
    </w:pPr>
  </w:style>
  <w:style w:type="paragraph" w:styleId="List5">
    <w:name w:val="List 5"/>
    <w:basedOn w:val="Normal"/>
    <w:uiPriority w:val="99"/>
    <w:semiHidden/>
    <w:rsid w:val="002D2C99"/>
    <w:pPr>
      <w:ind w:left="1415" w:hanging="283"/>
      <w:contextualSpacing/>
    </w:pPr>
  </w:style>
  <w:style w:type="paragraph" w:styleId="ListBullet">
    <w:name w:val="List Bullet"/>
    <w:basedOn w:val="Normal"/>
    <w:uiPriority w:val="99"/>
    <w:semiHidden/>
    <w:rsid w:val="002D2C99"/>
    <w:pPr>
      <w:numPr>
        <w:numId w:val="12"/>
      </w:numPr>
      <w:contextualSpacing/>
    </w:pPr>
  </w:style>
  <w:style w:type="paragraph" w:styleId="ListBullet3">
    <w:name w:val="List Bullet 3"/>
    <w:basedOn w:val="Normal"/>
    <w:uiPriority w:val="99"/>
    <w:semiHidden/>
    <w:rsid w:val="002D2C99"/>
    <w:pPr>
      <w:numPr>
        <w:numId w:val="13"/>
      </w:numPr>
      <w:contextualSpacing/>
    </w:pPr>
  </w:style>
  <w:style w:type="paragraph" w:styleId="ListBullet4">
    <w:name w:val="List Bullet 4"/>
    <w:basedOn w:val="Normal"/>
    <w:uiPriority w:val="99"/>
    <w:semiHidden/>
    <w:rsid w:val="002D2C99"/>
    <w:pPr>
      <w:numPr>
        <w:numId w:val="14"/>
      </w:numPr>
      <w:contextualSpacing/>
    </w:pPr>
  </w:style>
  <w:style w:type="paragraph" w:styleId="ListBullet5">
    <w:name w:val="List Bullet 5"/>
    <w:basedOn w:val="Normal"/>
    <w:uiPriority w:val="99"/>
    <w:semiHidden/>
    <w:rsid w:val="002D2C99"/>
    <w:pPr>
      <w:numPr>
        <w:numId w:val="15"/>
      </w:numPr>
      <w:contextualSpacing/>
    </w:pPr>
  </w:style>
  <w:style w:type="paragraph" w:styleId="ListContinue">
    <w:name w:val="List Continue"/>
    <w:basedOn w:val="Normal"/>
    <w:uiPriority w:val="99"/>
    <w:semiHidden/>
    <w:rsid w:val="002D2C99"/>
    <w:pPr>
      <w:spacing w:after="120"/>
      <w:ind w:left="283"/>
      <w:contextualSpacing/>
    </w:pPr>
  </w:style>
  <w:style w:type="paragraph" w:styleId="ListContinue2">
    <w:name w:val="List Continue 2"/>
    <w:basedOn w:val="Normal"/>
    <w:uiPriority w:val="99"/>
    <w:semiHidden/>
    <w:rsid w:val="002D2C99"/>
    <w:pPr>
      <w:spacing w:after="120"/>
      <w:ind w:left="566"/>
      <w:contextualSpacing/>
    </w:pPr>
  </w:style>
  <w:style w:type="paragraph" w:styleId="ListContinue3">
    <w:name w:val="List Continue 3"/>
    <w:basedOn w:val="Normal"/>
    <w:uiPriority w:val="99"/>
    <w:semiHidden/>
    <w:rsid w:val="002D2C99"/>
    <w:pPr>
      <w:spacing w:after="120"/>
      <w:ind w:left="849"/>
      <w:contextualSpacing/>
    </w:pPr>
  </w:style>
  <w:style w:type="paragraph" w:styleId="ListContinue4">
    <w:name w:val="List Continue 4"/>
    <w:basedOn w:val="Normal"/>
    <w:uiPriority w:val="99"/>
    <w:semiHidden/>
    <w:rsid w:val="002D2C99"/>
    <w:pPr>
      <w:spacing w:after="120"/>
      <w:ind w:left="1132"/>
      <w:contextualSpacing/>
    </w:pPr>
  </w:style>
  <w:style w:type="paragraph" w:styleId="ListContinue5">
    <w:name w:val="List Continue 5"/>
    <w:basedOn w:val="Normal"/>
    <w:uiPriority w:val="99"/>
    <w:semiHidden/>
    <w:rsid w:val="002D2C99"/>
    <w:pPr>
      <w:spacing w:after="120"/>
      <w:ind w:left="1415"/>
      <w:contextualSpacing/>
    </w:pPr>
  </w:style>
  <w:style w:type="paragraph" w:styleId="ListNumber">
    <w:name w:val="List Number"/>
    <w:basedOn w:val="Normal"/>
    <w:uiPriority w:val="99"/>
    <w:semiHidden/>
    <w:rsid w:val="002D2C99"/>
    <w:pPr>
      <w:numPr>
        <w:numId w:val="16"/>
      </w:numPr>
      <w:contextualSpacing/>
    </w:pPr>
  </w:style>
  <w:style w:type="paragraph" w:styleId="ListNumber2">
    <w:name w:val="List Number 2"/>
    <w:basedOn w:val="Normal"/>
    <w:uiPriority w:val="99"/>
    <w:semiHidden/>
    <w:rsid w:val="002D2C99"/>
    <w:pPr>
      <w:numPr>
        <w:numId w:val="17"/>
      </w:numPr>
      <w:contextualSpacing/>
    </w:pPr>
  </w:style>
  <w:style w:type="paragraph" w:styleId="ListNumber3">
    <w:name w:val="List Number 3"/>
    <w:basedOn w:val="Normal"/>
    <w:uiPriority w:val="99"/>
    <w:semiHidden/>
    <w:rsid w:val="002D2C99"/>
    <w:pPr>
      <w:numPr>
        <w:numId w:val="18"/>
      </w:numPr>
      <w:contextualSpacing/>
    </w:pPr>
  </w:style>
  <w:style w:type="paragraph" w:styleId="ListNumber4">
    <w:name w:val="List Number 4"/>
    <w:basedOn w:val="Normal"/>
    <w:uiPriority w:val="99"/>
    <w:semiHidden/>
    <w:rsid w:val="002D2C99"/>
    <w:pPr>
      <w:numPr>
        <w:numId w:val="19"/>
      </w:numPr>
      <w:contextualSpacing/>
    </w:pPr>
  </w:style>
  <w:style w:type="paragraph" w:styleId="ListNumber5">
    <w:name w:val="List Number 5"/>
    <w:basedOn w:val="Normal"/>
    <w:uiPriority w:val="99"/>
    <w:semiHidden/>
    <w:rsid w:val="002D2C99"/>
    <w:pPr>
      <w:numPr>
        <w:numId w:val="20"/>
      </w:numPr>
      <w:contextualSpacing/>
    </w:pPr>
  </w:style>
  <w:style w:type="paragraph" w:styleId="MacroText">
    <w:name w:val="macro"/>
    <w:link w:val="MacroTextChar"/>
    <w:uiPriority w:val="99"/>
    <w:semiHidden/>
    <w:rsid w:val="002D2C9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2D2C99"/>
    <w:rPr>
      <w:rFonts w:ascii="Consolas" w:eastAsiaTheme="minorEastAsia" w:hAnsi="Consolas" w:cs="Consolas"/>
      <w:sz w:val="20"/>
      <w:szCs w:val="20"/>
    </w:rPr>
  </w:style>
  <w:style w:type="table" w:styleId="MediumGrid1">
    <w:name w:val="Medium Grid 1"/>
    <w:basedOn w:val="TableNormal"/>
    <w:uiPriority w:val="67"/>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D2C9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D2C9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D2C9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D2C9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D2C9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D2C9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D2C9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D2C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D2C9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2D2C99"/>
    <w:rPr>
      <w:rFonts w:ascii="Times New Roman" w:hAnsi="Times New Roman" w:cs="Times New Roman"/>
      <w:szCs w:val="24"/>
    </w:rPr>
  </w:style>
  <w:style w:type="paragraph" w:styleId="NormalIndent">
    <w:name w:val="Normal Indent"/>
    <w:basedOn w:val="Normal"/>
    <w:uiPriority w:val="99"/>
    <w:semiHidden/>
    <w:rsid w:val="002D2C99"/>
    <w:pPr>
      <w:ind w:left="720"/>
    </w:pPr>
  </w:style>
  <w:style w:type="paragraph" w:styleId="NoteHeading">
    <w:name w:val="Note Heading"/>
    <w:basedOn w:val="Normal"/>
    <w:next w:val="Normal"/>
    <w:link w:val="NoteHeadingChar"/>
    <w:uiPriority w:val="99"/>
    <w:semiHidden/>
    <w:rsid w:val="002D2C99"/>
  </w:style>
  <w:style w:type="character" w:customStyle="1" w:styleId="NoteHeadingChar">
    <w:name w:val="Note Heading Char"/>
    <w:basedOn w:val="DefaultParagraphFont"/>
    <w:link w:val="NoteHeading"/>
    <w:uiPriority w:val="99"/>
    <w:semiHidden/>
    <w:rsid w:val="002D2C99"/>
    <w:rPr>
      <w:rFonts w:eastAsiaTheme="minorEastAsia"/>
      <w:sz w:val="24"/>
    </w:rPr>
  </w:style>
  <w:style w:type="character" w:styleId="PlaceholderText">
    <w:name w:val="Placeholder Text"/>
    <w:basedOn w:val="DefaultParagraphFont"/>
    <w:uiPriority w:val="99"/>
    <w:semiHidden/>
    <w:rsid w:val="00E40F3F"/>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D2C99"/>
    <w:rPr>
      <w:rFonts w:ascii="Consolas" w:hAnsi="Consolas" w:cs="Consolas"/>
      <w:sz w:val="21"/>
      <w:szCs w:val="21"/>
    </w:rPr>
  </w:style>
  <w:style w:type="character" w:customStyle="1" w:styleId="PlainTextChar">
    <w:name w:val="Plain Text Char"/>
    <w:basedOn w:val="DefaultParagraphFont"/>
    <w:link w:val="PlainText"/>
    <w:uiPriority w:val="99"/>
    <w:semiHidden/>
    <w:rsid w:val="002D2C99"/>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2D2C99"/>
  </w:style>
  <w:style w:type="character" w:customStyle="1" w:styleId="SalutationChar">
    <w:name w:val="Salutation Char"/>
    <w:basedOn w:val="DefaultParagraphFont"/>
    <w:link w:val="Salutation"/>
    <w:uiPriority w:val="99"/>
    <w:semiHidden/>
    <w:rsid w:val="002D2C99"/>
    <w:rPr>
      <w:rFonts w:eastAsiaTheme="minorEastAsia"/>
      <w:sz w:val="24"/>
    </w:rPr>
  </w:style>
  <w:style w:type="paragraph" w:styleId="Signature">
    <w:name w:val="Signature"/>
    <w:basedOn w:val="Normal"/>
    <w:link w:val="SignatureChar"/>
    <w:uiPriority w:val="99"/>
    <w:semiHidden/>
    <w:rsid w:val="002D2C99"/>
    <w:pPr>
      <w:ind w:left="4252"/>
    </w:pPr>
  </w:style>
  <w:style w:type="character" w:customStyle="1" w:styleId="SignatureChar">
    <w:name w:val="Signature Char"/>
    <w:basedOn w:val="DefaultParagraphFont"/>
    <w:link w:val="Signature"/>
    <w:uiPriority w:val="99"/>
    <w:semiHidden/>
    <w:rsid w:val="002D2C99"/>
    <w:rPr>
      <w:rFonts w:eastAsiaTheme="minorEastAsia"/>
      <w:sz w:val="24"/>
    </w:rPr>
  </w:style>
  <w:style w:type="table" w:styleId="Table3Deffects1">
    <w:name w:val="Table 3D effects 1"/>
    <w:basedOn w:val="TableNormal"/>
    <w:uiPriority w:val="99"/>
    <w:semiHidden/>
    <w:unhideWhenUsed/>
    <w:rsid w:val="002D2C9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2C9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2C9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2C9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2C9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2C9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2C9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2C9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D2C9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2C9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2C9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2C9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2C9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D2C9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D2C9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2C9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2C9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2C9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2C9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2C9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2C9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2C9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2C9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2C9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D2C99"/>
    <w:pPr>
      <w:ind w:left="240" w:hanging="240"/>
    </w:pPr>
  </w:style>
  <w:style w:type="paragraph" w:styleId="TableofFigures">
    <w:name w:val="table of figures"/>
    <w:basedOn w:val="Normal"/>
    <w:next w:val="Normal"/>
    <w:uiPriority w:val="99"/>
    <w:semiHidden/>
    <w:rsid w:val="002D2C99"/>
  </w:style>
  <w:style w:type="table" w:styleId="TableProfessional">
    <w:name w:val="Table Professional"/>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D2C9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2C9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2C9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2C9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2C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D2C9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2C9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2C9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40F3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40F3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D2C99"/>
    <w:pPr>
      <w:spacing w:after="100"/>
      <w:ind w:left="1680"/>
    </w:pPr>
  </w:style>
  <w:style w:type="paragraph" w:styleId="TOC9">
    <w:name w:val="toc 9"/>
    <w:basedOn w:val="Normal"/>
    <w:next w:val="Normal"/>
    <w:autoRedefine/>
    <w:uiPriority w:val="99"/>
    <w:semiHidden/>
    <w:rsid w:val="002D2C99"/>
    <w:pPr>
      <w:spacing w:after="100"/>
      <w:ind w:left="1920"/>
    </w:pPr>
  </w:style>
  <w:style w:type="paragraph" w:customStyle="1" w:styleId="OpiParaSub">
    <w:name w:val="Opi_Para_Sub"/>
    <w:basedOn w:val="JuParaSub"/>
    <w:uiPriority w:val="47"/>
    <w:qFormat/>
    <w:rsid w:val="00E40F3F"/>
  </w:style>
  <w:style w:type="paragraph" w:customStyle="1" w:styleId="OpiQuot">
    <w:name w:val="Opi_Quot"/>
    <w:basedOn w:val="ECHRParaQuote"/>
    <w:uiPriority w:val="48"/>
    <w:qFormat/>
    <w:rsid w:val="00E40F3F"/>
  </w:style>
  <w:style w:type="paragraph" w:customStyle="1" w:styleId="ECHRFooter">
    <w:name w:val="ECHR_Footer"/>
    <w:aliases w:val="Footer_ECHR"/>
    <w:basedOn w:val="Footer"/>
    <w:uiPriority w:val="57"/>
    <w:semiHidden/>
    <w:rsid w:val="00E40F3F"/>
    <w:pPr>
      <w:jc w:val="left"/>
    </w:pPr>
    <w:rPr>
      <w:sz w:val="8"/>
    </w:rPr>
  </w:style>
  <w:style w:type="paragraph" w:customStyle="1" w:styleId="ECHRFooterLine">
    <w:name w:val="ECHR_Footer_Line"/>
    <w:aliases w:val="Footer_Line"/>
    <w:basedOn w:val="Normal"/>
    <w:next w:val="ECHRFooter"/>
    <w:uiPriority w:val="57"/>
    <w:semiHidden/>
    <w:rsid w:val="00E40F3F"/>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E40F3F"/>
    <w:pPr>
      <w:spacing w:after="240"/>
      <w:jc w:val="center"/>
      <w:outlineLvl w:val="0"/>
    </w:pPr>
    <w:rPr>
      <w:rFonts w:asciiTheme="majorHAnsi" w:hAnsiTheme="majorHAnsi"/>
    </w:rPr>
  </w:style>
  <w:style w:type="paragraph" w:customStyle="1" w:styleId="OpiQuotSub">
    <w:name w:val="Opi_Quot_Sub"/>
    <w:basedOn w:val="JuQuotSub"/>
    <w:uiPriority w:val="49"/>
    <w:qFormat/>
    <w:rsid w:val="00E40F3F"/>
  </w:style>
  <w:style w:type="paragraph" w:customStyle="1" w:styleId="JuHeaderLandscape">
    <w:name w:val="Ju_Header_Landscape"/>
    <w:basedOn w:val="ECHRHeader"/>
    <w:uiPriority w:val="4"/>
    <w:qFormat/>
    <w:rsid w:val="00E40F3F"/>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E40F3F"/>
    <w:pPr>
      <w:jc w:val="center"/>
      <w:outlineLvl w:val="0"/>
    </w:pPr>
    <w:rPr>
      <w:i/>
    </w:rPr>
  </w:style>
  <w:style w:type="character" w:customStyle="1" w:styleId="JuJudgesChar">
    <w:name w:val="Ju_Judges Char"/>
    <w:link w:val="ECHRDecisionBody"/>
    <w:uiPriority w:val="11"/>
    <w:rsid w:val="00DE50E0"/>
    <w:rPr>
      <w:rFonts w:eastAsiaTheme="minorEastAsia"/>
      <w:sz w:val="24"/>
      <w:lang w:val="en-GB"/>
    </w:rPr>
  </w:style>
  <w:style w:type="paragraph" w:customStyle="1" w:styleId="jupara">
    <w:name w:val="jupara"/>
    <w:basedOn w:val="Normal"/>
    <w:rsid w:val="000232C2"/>
    <w:pPr>
      <w:ind w:firstLine="284"/>
    </w:pPr>
    <w:rPr>
      <w:rFonts w:ascii="Times New Roman" w:eastAsia="Times New Roman" w:hAnsi="Times New Roman" w:cs="Times New Roman"/>
      <w:szCs w:val="24"/>
      <w:lang w:eastAsia="en-GB"/>
    </w:rPr>
  </w:style>
  <w:style w:type="paragraph" w:customStyle="1" w:styleId="jucase0">
    <w:name w:val="jucase"/>
    <w:basedOn w:val="Normal"/>
    <w:rsid w:val="000232C2"/>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C0C5D05-60A9-4ABB-B387-2BF2335DA09D}"/>
</file>

<file path=customXml/itemProps2.xml><?xml version="1.0" encoding="utf-8"?>
<ds:datastoreItem xmlns:ds="http://schemas.openxmlformats.org/officeDocument/2006/customXml" ds:itemID="{11EB5E4E-E958-4071-B13F-AEBDA0B45B14}"/>
</file>

<file path=customXml/itemProps3.xml><?xml version="1.0" encoding="utf-8"?>
<ds:datastoreItem xmlns:ds="http://schemas.openxmlformats.org/officeDocument/2006/customXml" ds:itemID="{F0D9D6E7-B6D1-40D7-A5A1-30DE7ADE2675}"/>
</file>

<file path=customXml/itemProps4.xml><?xml version="1.0" encoding="utf-8"?>
<ds:datastoreItem xmlns:ds="http://schemas.openxmlformats.org/officeDocument/2006/customXml" ds:itemID="{A5E04B89-774B-4812-B754-3AD6E5F7B4F5}"/>
</file>

<file path=docProps/app.xml><?xml version="1.0" encoding="utf-8"?>
<Properties xmlns="http://schemas.openxmlformats.org/officeDocument/2006/extended-properties" xmlns:vt="http://schemas.openxmlformats.org/officeDocument/2006/docPropsVTypes">
  <Template>Normal.dotm</Template>
  <TotalTime>0</TotalTime>
  <Pages>1</Pages>
  <Words>3602</Words>
  <Characters>20536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DF2.0a</vt:lpstr>
    </vt:vector>
  </TitlesOfParts>
  <Manager/>
  <Company/>
  <LinksUpToDate>false</LinksUpToDate>
  <CharactersWithSpaces>24090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2019-08-31T11:06:00Z</dcterms:created>
  <dcterms:modified xsi:type="dcterms:W3CDTF">2019-08-31T11:06:00Z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59864/12</vt:lpwstr>
  </property>
  <property fmtid="{D5CDD505-2E9C-101B-9397-08002B2CF9AE}" pid="4" name="CASEID">
    <vt:lpwstr>828518</vt:lpwstr>
  </property>
  <property fmtid="{D5CDD505-2E9C-101B-9397-08002B2CF9AE}" pid="5" name="ContentTypeId">
    <vt:lpwstr>0x010100558EB02BDB9E204AB350EDD385B68E10</vt:lpwstr>
  </property>
</Properties>
</file>