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76C29" w:rsidR="00014566" w:rsidP="00B76C29" w:rsidRDefault="00014566">
      <w:pPr>
        <w:pStyle w:val="ECHRDecisionBody"/>
        <w:jc w:val="center"/>
      </w:pPr>
      <w:bookmarkStart w:name="_GoBack" w:id="0"/>
      <w:bookmarkEnd w:id="0"/>
    </w:p>
    <w:p w:rsidRPr="00B76C29" w:rsidR="00E424F9" w:rsidP="00B76C29" w:rsidRDefault="00E424F9">
      <w:pPr>
        <w:pStyle w:val="ECHRDecisionBody"/>
        <w:jc w:val="center"/>
      </w:pPr>
    </w:p>
    <w:p w:rsidRPr="00B76C29" w:rsidR="00E424F9" w:rsidP="00B76C29" w:rsidRDefault="00E424F9">
      <w:pPr>
        <w:pStyle w:val="ECHRDecisionBody"/>
        <w:jc w:val="center"/>
      </w:pPr>
    </w:p>
    <w:p w:rsidRPr="00B76C29" w:rsidR="00014566" w:rsidP="00B76C29" w:rsidRDefault="00D1077B">
      <w:pPr>
        <w:jc w:val="center"/>
      </w:pPr>
      <w:r w:rsidRPr="00B76C29">
        <w:t>SECOND SECTION</w:t>
      </w:r>
    </w:p>
    <w:p w:rsidRPr="00B76C29" w:rsidR="00014566" w:rsidP="00B76C29" w:rsidRDefault="00014566">
      <w:pPr>
        <w:jc w:val="center"/>
      </w:pPr>
    </w:p>
    <w:p w:rsidRPr="00B76C29" w:rsidR="00E424F9" w:rsidP="00B76C29" w:rsidRDefault="00E424F9">
      <w:pPr>
        <w:jc w:val="center"/>
      </w:pPr>
    </w:p>
    <w:p w:rsidRPr="00B76C29" w:rsidR="00E424F9" w:rsidP="00B76C29" w:rsidRDefault="00E424F9">
      <w:pPr>
        <w:jc w:val="center"/>
      </w:pPr>
    </w:p>
    <w:p w:rsidRPr="00B76C29" w:rsidR="00B76C29" w:rsidP="00B76C29" w:rsidRDefault="00B76C29">
      <w:pPr>
        <w:jc w:val="center"/>
      </w:pPr>
    </w:p>
    <w:p w:rsidRPr="00B76C29" w:rsidR="00E424F9" w:rsidP="00B76C29" w:rsidRDefault="00E424F9">
      <w:pPr>
        <w:jc w:val="center"/>
      </w:pPr>
    </w:p>
    <w:p w:rsidRPr="00B76C29" w:rsidR="00E424F9" w:rsidP="00B76C29" w:rsidRDefault="00E424F9">
      <w:pPr>
        <w:jc w:val="center"/>
      </w:pPr>
    </w:p>
    <w:p w:rsidRPr="00B76C29" w:rsidR="00B76C29" w:rsidP="00B76C29" w:rsidRDefault="00B76C29">
      <w:pPr>
        <w:jc w:val="center"/>
      </w:pPr>
    </w:p>
    <w:p w:rsidRPr="00B76C29" w:rsidR="00B76C29" w:rsidP="00B76C29" w:rsidRDefault="00B76C29">
      <w:pPr>
        <w:jc w:val="center"/>
      </w:pPr>
    </w:p>
    <w:p w:rsidRPr="00B76C29" w:rsidR="00E424F9" w:rsidP="00B76C29" w:rsidRDefault="00E424F9">
      <w:pPr>
        <w:jc w:val="center"/>
      </w:pPr>
    </w:p>
    <w:p w:rsidRPr="00B76C29" w:rsidR="00014566" w:rsidP="00B76C29" w:rsidRDefault="00014566">
      <w:pPr>
        <w:jc w:val="center"/>
        <w:rPr>
          <w:b/>
        </w:rPr>
      </w:pPr>
      <w:bookmarkStart w:name="To" w:id="1"/>
      <w:r w:rsidRPr="00B76C29">
        <w:rPr>
          <w:b/>
        </w:rPr>
        <w:t xml:space="preserve">CASE OF </w:t>
      </w:r>
      <w:bookmarkEnd w:id="1"/>
      <w:r w:rsidRPr="00B76C29" w:rsidR="00D1077B">
        <w:rPr>
          <w:b/>
        </w:rPr>
        <w:t>GOREA v. THE REPUBLIC OF MOLDOVA</w:t>
      </w:r>
    </w:p>
    <w:p w:rsidRPr="00B76C29" w:rsidR="00014566" w:rsidP="00B76C29" w:rsidRDefault="00014566">
      <w:pPr>
        <w:jc w:val="center"/>
      </w:pPr>
    </w:p>
    <w:p w:rsidRPr="00B76C29" w:rsidR="00014566" w:rsidP="00B76C29" w:rsidRDefault="00014566">
      <w:pPr>
        <w:jc w:val="center"/>
        <w:rPr>
          <w:i/>
        </w:rPr>
      </w:pPr>
      <w:r w:rsidRPr="00B76C29">
        <w:rPr>
          <w:i/>
        </w:rPr>
        <w:t>(</w:t>
      </w:r>
      <w:r w:rsidRPr="00B76C29" w:rsidR="00D1077B">
        <w:rPr>
          <w:i/>
        </w:rPr>
        <w:t>Application no. 63507/11</w:t>
      </w:r>
      <w:r w:rsidRPr="00B76C29">
        <w:rPr>
          <w:i/>
        </w:rPr>
        <w:t>)</w:t>
      </w:r>
    </w:p>
    <w:p w:rsidRPr="00B76C29" w:rsidR="00014566" w:rsidP="00B76C29" w:rsidRDefault="00014566">
      <w:pPr>
        <w:jc w:val="center"/>
      </w:pPr>
    </w:p>
    <w:p w:rsidRPr="00B76C29" w:rsidR="00014566" w:rsidP="00B76C29" w:rsidRDefault="00014566">
      <w:pPr>
        <w:jc w:val="center"/>
      </w:pPr>
    </w:p>
    <w:p w:rsidRPr="00B76C29" w:rsidR="00014566" w:rsidP="00B76C29" w:rsidRDefault="00014566">
      <w:pPr>
        <w:jc w:val="center"/>
      </w:pPr>
    </w:p>
    <w:p w:rsidRPr="00B76C29" w:rsidR="00B76C29" w:rsidP="00B76C29" w:rsidRDefault="00B76C29">
      <w:pPr>
        <w:jc w:val="center"/>
      </w:pPr>
    </w:p>
    <w:p w:rsidRPr="00B76C29" w:rsidR="00B76C29" w:rsidP="00B76C29" w:rsidRDefault="00B76C29">
      <w:pPr>
        <w:jc w:val="center"/>
      </w:pPr>
    </w:p>
    <w:p w:rsidRPr="00B76C29" w:rsidR="00014566" w:rsidP="00B76C29" w:rsidRDefault="00014566">
      <w:pPr>
        <w:jc w:val="center"/>
      </w:pPr>
    </w:p>
    <w:p w:rsidRPr="00B76C29" w:rsidR="00014566" w:rsidP="00B76C29" w:rsidRDefault="00014566">
      <w:pPr>
        <w:jc w:val="center"/>
      </w:pPr>
    </w:p>
    <w:p w:rsidRPr="00B76C29" w:rsidR="00014566" w:rsidP="00B76C29" w:rsidRDefault="00014566">
      <w:pPr>
        <w:jc w:val="center"/>
      </w:pPr>
    </w:p>
    <w:p w:rsidRPr="00B76C29" w:rsidR="00014566" w:rsidP="00B76C29" w:rsidRDefault="00E424F9">
      <w:pPr>
        <w:jc w:val="center"/>
        <w:rPr>
          <w:szCs w:val="24"/>
        </w:rPr>
      </w:pPr>
      <w:r w:rsidRPr="00B76C29">
        <w:rPr>
          <w:szCs w:val="24"/>
        </w:rPr>
        <w:t>JUDGMENT</w:t>
      </w:r>
    </w:p>
    <w:p w:rsidRPr="00B76C29" w:rsidR="00014566" w:rsidP="00B76C29" w:rsidRDefault="00014566">
      <w:pPr>
        <w:jc w:val="center"/>
        <w:rPr>
          <w:szCs w:val="24"/>
        </w:rPr>
      </w:pPr>
    </w:p>
    <w:p w:rsidRPr="00B76C29" w:rsidR="00014566" w:rsidP="00B76C29" w:rsidRDefault="00014566">
      <w:pPr>
        <w:jc w:val="center"/>
        <w:rPr>
          <w:szCs w:val="24"/>
        </w:rPr>
      </w:pPr>
    </w:p>
    <w:p w:rsidRPr="00B76C29" w:rsidR="00E424F9" w:rsidP="00B76C29" w:rsidRDefault="00E424F9">
      <w:pPr>
        <w:pStyle w:val="JuCase"/>
        <w:ind w:firstLine="0"/>
        <w:jc w:val="center"/>
        <w:rPr>
          <w:b w:val="0"/>
        </w:rPr>
      </w:pPr>
    </w:p>
    <w:p w:rsidRPr="00B76C29" w:rsidR="00B76C29" w:rsidP="00B76C29" w:rsidRDefault="00B76C29">
      <w:pPr>
        <w:pStyle w:val="ECHRPara"/>
        <w:ind w:firstLine="0"/>
        <w:jc w:val="center"/>
      </w:pPr>
    </w:p>
    <w:p w:rsidRPr="00B76C29" w:rsidR="00B76C29" w:rsidP="00B76C29" w:rsidRDefault="00B76C29">
      <w:pPr>
        <w:pStyle w:val="ECHRPara"/>
        <w:ind w:firstLine="0"/>
        <w:jc w:val="center"/>
      </w:pPr>
    </w:p>
    <w:p w:rsidRPr="00B76C29" w:rsidR="00E424F9" w:rsidP="00B76C29" w:rsidRDefault="00E424F9">
      <w:pPr>
        <w:pStyle w:val="JuCase"/>
        <w:ind w:firstLine="0"/>
        <w:jc w:val="center"/>
        <w:rPr>
          <w:b w:val="0"/>
        </w:rPr>
      </w:pPr>
    </w:p>
    <w:p w:rsidRPr="00B76C29" w:rsidR="00E424F9" w:rsidP="00B76C29" w:rsidRDefault="00E424F9">
      <w:pPr>
        <w:pStyle w:val="JuCase"/>
        <w:ind w:firstLine="0"/>
        <w:jc w:val="center"/>
        <w:rPr>
          <w:b w:val="0"/>
        </w:rPr>
      </w:pPr>
      <w:r w:rsidRPr="00B76C29">
        <w:rPr>
          <w:b w:val="0"/>
        </w:rPr>
        <w:t>STRASBOURG</w:t>
      </w:r>
    </w:p>
    <w:p w:rsidRPr="00B76C29" w:rsidR="00E424F9" w:rsidP="00B76C29" w:rsidRDefault="00E424F9">
      <w:pPr>
        <w:pStyle w:val="JuCase"/>
        <w:ind w:firstLine="0"/>
        <w:jc w:val="center"/>
        <w:rPr>
          <w:b w:val="0"/>
        </w:rPr>
      </w:pPr>
    </w:p>
    <w:p w:rsidRPr="00B76C29" w:rsidR="00E424F9" w:rsidP="00B76C29" w:rsidRDefault="00E424F9">
      <w:pPr>
        <w:pStyle w:val="JuCase"/>
        <w:ind w:firstLine="0"/>
        <w:jc w:val="center"/>
        <w:rPr>
          <w:b w:val="0"/>
        </w:rPr>
      </w:pPr>
      <w:r w:rsidRPr="00B76C29">
        <w:rPr>
          <w:b w:val="0"/>
        </w:rPr>
        <w:t>22 January 2019</w:t>
      </w:r>
    </w:p>
    <w:p w:rsidRPr="00B76C29" w:rsidR="00E424F9" w:rsidP="00B76C29" w:rsidRDefault="00E424F9">
      <w:pPr>
        <w:pStyle w:val="JuCase"/>
        <w:ind w:firstLine="0"/>
        <w:jc w:val="center"/>
        <w:rPr>
          <w:b w:val="0"/>
        </w:rPr>
      </w:pPr>
    </w:p>
    <w:p w:rsidRPr="00B76C29" w:rsidR="00E424F9" w:rsidP="00B76C29" w:rsidRDefault="00E424F9">
      <w:pPr>
        <w:pStyle w:val="JuCase"/>
        <w:ind w:firstLine="0"/>
        <w:jc w:val="center"/>
        <w:rPr>
          <w:b w:val="0"/>
        </w:rPr>
      </w:pPr>
    </w:p>
    <w:p w:rsidRPr="00B76C29" w:rsidR="00E424F9" w:rsidP="00B76C29" w:rsidRDefault="00E424F9">
      <w:pPr>
        <w:pStyle w:val="ECHRPara"/>
        <w:ind w:firstLine="0"/>
        <w:jc w:val="center"/>
      </w:pPr>
    </w:p>
    <w:p w:rsidRPr="00B76C29" w:rsidR="00E424F9" w:rsidP="00B76C29" w:rsidRDefault="00E424F9">
      <w:pPr>
        <w:pStyle w:val="JuCase"/>
        <w:ind w:firstLine="0"/>
        <w:rPr>
          <w:b w:val="0"/>
          <w:i/>
          <w:sz w:val="22"/>
        </w:rPr>
      </w:pPr>
      <w:r w:rsidRPr="00B76C29">
        <w:rPr>
          <w:b w:val="0"/>
          <w:i/>
          <w:sz w:val="22"/>
        </w:rPr>
        <w:t>This judgment is final but it may be subject to editorial revision.</w:t>
      </w:r>
    </w:p>
    <w:p w:rsidRPr="00B76C29" w:rsidR="00E424F9" w:rsidP="00B76C29" w:rsidRDefault="00E424F9">
      <w:pPr>
        <w:pStyle w:val="ECHRPara"/>
        <w:sectPr w:rsidRPr="00B76C29" w:rsidR="00E424F9" w:rsidSect="00E424F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76C29" w:rsidR="00014566" w:rsidP="00B76C29" w:rsidRDefault="00014566">
      <w:pPr>
        <w:pStyle w:val="JuCase"/>
        <w:rPr>
          <w:bCs/>
        </w:rPr>
      </w:pPr>
      <w:r w:rsidRPr="00B76C29">
        <w:t xml:space="preserve">In the case of </w:t>
      </w:r>
      <w:proofErr w:type="spellStart"/>
      <w:r w:rsidRPr="00B76C29" w:rsidR="00D1077B">
        <w:t>Gorea</w:t>
      </w:r>
      <w:proofErr w:type="spellEnd"/>
      <w:r w:rsidRPr="00B76C29" w:rsidR="00D1077B">
        <w:t xml:space="preserve"> v. the Republic of Moldova</w:t>
      </w:r>
      <w:r w:rsidRPr="00B76C29">
        <w:t>,</w:t>
      </w:r>
    </w:p>
    <w:p w:rsidRPr="00B76C29" w:rsidR="00014566" w:rsidP="00B76C29" w:rsidRDefault="00014566">
      <w:pPr>
        <w:pStyle w:val="ECHRPara"/>
      </w:pPr>
      <w:r w:rsidRPr="00B76C29">
        <w:t>The European Court of Human Rights (</w:t>
      </w:r>
      <w:r w:rsidRPr="00B76C29" w:rsidR="00D1077B">
        <w:t>Second Section</w:t>
      </w:r>
      <w:r w:rsidRPr="00B76C29">
        <w:t xml:space="preserve">), sitting as a </w:t>
      </w:r>
      <w:r w:rsidRPr="00B76C29" w:rsidR="00D1077B">
        <w:t>Committee</w:t>
      </w:r>
      <w:r w:rsidRPr="00B76C29">
        <w:t xml:space="preserve"> composed of:</w:t>
      </w:r>
    </w:p>
    <w:p w:rsidRPr="00B76C29" w:rsidR="00014566" w:rsidP="00B76C29" w:rsidRDefault="00E424F9">
      <w:pPr>
        <w:pStyle w:val="ECHRDecisionBody"/>
      </w:pPr>
      <w:r w:rsidRPr="00B76C29">
        <w:tab/>
        <w:t>Paul Lemmens,</w:t>
      </w:r>
      <w:r w:rsidRPr="00B76C29">
        <w:rPr>
          <w:i/>
        </w:rPr>
        <w:t xml:space="preserve"> President,</w:t>
      </w:r>
      <w:r w:rsidRPr="00B76C29">
        <w:rPr>
          <w:i/>
        </w:rPr>
        <w:br/>
      </w:r>
      <w:r w:rsidRPr="00B76C29">
        <w:tab/>
      </w:r>
      <w:proofErr w:type="spellStart"/>
      <w:r w:rsidRPr="00B76C29">
        <w:t>Valeriu</w:t>
      </w:r>
      <w:proofErr w:type="spellEnd"/>
      <w:r w:rsidRPr="00B76C29">
        <w:t xml:space="preserve"> </w:t>
      </w:r>
      <w:proofErr w:type="spellStart"/>
      <w:r w:rsidRPr="00B76C29">
        <w:t>Griţco</w:t>
      </w:r>
      <w:proofErr w:type="spellEnd"/>
      <w:r w:rsidRPr="00B76C29">
        <w:t>,</w:t>
      </w:r>
      <w:r w:rsidRPr="00B76C29">
        <w:rPr>
          <w:i/>
        </w:rPr>
        <w:br/>
      </w:r>
      <w:r w:rsidRPr="00B76C29">
        <w:tab/>
        <w:t xml:space="preserve">Stéphanie </w:t>
      </w:r>
      <w:proofErr w:type="spellStart"/>
      <w:r w:rsidRPr="00B76C29">
        <w:t>Mourou-Vikström</w:t>
      </w:r>
      <w:proofErr w:type="spellEnd"/>
      <w:r w:rsidRPr="00B76C29">
        <w:t>,</w:t>
      </w:r>
      <w:r w:rsidRPr="00B76C29">
        <w:rPr>
          <w:i/>
        </w:rPr>
        <w:t xml:space="preserve"> judges,</w:t>
      </w:r>
      <w:r w:rsidRPr="00B76C29" w:rsidR="00014566">
        <w:rPr>
          <w:szCs w:val="24"/>
        </w:rPr>
        <w:br/>
      </w:r>
      <w:r w:rsidRPr="00B76C29" w:rsidR="00014566">
        <w:t xml:space="preserve">and </w:t>
      </w:r>
      <w:r w:rsidRPr="00B76C29" w:rsidR="00D1077B">
        <w:t>Hasan Bakırcı</w:t>
      </w:r>
      <w:r w:rsidRPr="00B76C29" w:rsidR="00014566">
        <w:t xml:space="preserve">, </w:t>
      </w:r>
      <w:r w:rsidRPr="00B76C29" w:rsidR="00D1077B">
        <w:rPr>
          <w:i/>
        </w:rPr>
        <w:t xml:space="preserve">Deputy Section </w:t>
      </w:r>
      <w:r w:rsidRPr="00B76C29" w:rsidR="00D1077B">
        <w:rPr>
          <w:i/>
          <w:iCs/>
        </w:rPr>
        <w:t>Registrar</w:t>
      </w:r>
      <w:r w:rsidRPr="00B76C29" w:rsidR="00014566">
        <w:rPr>
          <w:i/>
        </w:rPr>
        <w:t>,</w:t>
      </w:r>
    </w:p>
    <w:p w:rsidRPr="00B76C29" w:rsidR="00014566" w:rsidP="00B76C29" w:rsidRDefault="00014566">
      <w:pPr>
        <w:pStyle w:val="ECHRPara"/>
      </w:pPr>
      <w:r w:rsidRPr="00B76C29">
        <w:t xml:space="preserve">Having deliberated in private on </w:t>
      </w:r>
      <w:r w:rsidRPr="00B76C29" w:rsidR="00E424F9">
        <w:t>18 December 2018</w:t>
      </w:r>
      <w:r w:rsidRPr="00B76C29">
        <w:t>,</w:t>
      </w:r>
    </w:p>
    <w:p w:rsidRPr="00B76C29" w:rsidR="00014566" w:rsidP="00B76C29" w:rsidRDefault="00014566">
      <w:pPr>
        <w:pStyle w:val="ECHRPara"/>
      </w:pPr>
      <w:r w:rsidRPr="00B76C29">
        <w:t>Delivers the following judgment, which was adopted on that date:</w:t>
      </w:r>
    </w:p>
    <w:p w:rsidRPr="00B76C29" w:rsidR="00014566" w:rsidP="00B76C29" w:rsidRDefault="00014566">
      <w:pPr>
        <w:pStyle w:val="ECHRTitle1"/>
      </w:pPr>
      <w:r w:rsidRPr="00B76C29">
        <w:t>PROCEDURE</w:t>
      </w:r>
    </w:p>
    <w:p w:rsidRPr="00B76C29" w:rsidR="00014566" w:rsidP="00B76C29" w:rsidRDefault="00D1077B">
      <w:pPr>
        <w:pStyle w:val="ECHRPara"/>
      </w:pPr>
      <w:r w:rsidRPr="00B76C29">
        <w:fldChar w:fldCharType="begin"/>
      </w:r>
      <w:r w:rsidRPr="00B76C29">
        <w:instrText xml:space="preserve"> SEQ level0 \*arabic </w:instrText>
      </w:r>
      <w:r w:rsidRPr="00B76C29">
        <w:fldChar w:fldCharType="separate"/>
      </w:r>
      <w:r w:rsidRPr="00B76C29" w:rsidR="00B76C29">
        <w:rPr>
          <w:noProof/>
        </w:rPr>
        <w:t>1</w:t>
      </w:r>
      <w:r w:rsidRPr="00B76C29">
        <w:fldChar w:fldCharType="end"/>
      </w:r>
      <w:r w:rsidRPr="00B76C29" w:rsidR="00014566">
        <w:t xml:space="preserve">.  The case originated in </w:t>
      </w:r>
      <w:r w:rsidRPr="00B76C29">
        <w:t>an application (no. 63507/11)</w:t>
      </w:r>
      <w:r w:rsidRPr="00B76C29" w:rsidR="00014566">
        <w:t xml:space="preserve"> against </w:t>
      </w:r>
      <w:r w:rsidRPr="00B76C29">
        <w:t>the Republic of Moldova</w:t>
      </w:r>
      <w:r w:rsidRPr="00B76C29" w:rsidR="00014566">
        <w:t xml:space="preserve"> lodged with the </w:t>
      </w:r>
      <w:r w:rsidRPr="00B76C29">
        <w:t>Court under Article 34</w:t>
      </w:r>
      <w:r w:rsidRPr="00B76C29" w:rsidR="00014566">
        <w:t xml:space="preserve"> of the Convention for the Protection of Human Rights and Fundamental Freedoms (“the Convention”) by </w:t>
      </w:r>
      <w:r w:rsidRPr="00B76C29">
        <w:t xml:space="preserve">a Moldovan national, Mr </w:t>
      </w:r>
      <w:proofErr w:type="spellStart"/>
      <w:r w:rsidRPr="00B76C29">
        <w:t>Mihail</w:t>
      </w:r>
      <w:proofErr w:type="spellEnd"/>
      <w:r w:rsidRPr="00B76C29">
        <w:t xml:space="preserve"> </w:t>
      </w:r>
      <w:proofErr w:type="spellStart"/>
      <w:r w:rsidRPr="00B76C29">
        <w:t>Gorea</w:t>
      </w:r>
      <w:proofErr w:type="spellEnd"/>
      <w:r w:rsidRPr="00B76C29">
        <w:t xml:space="preserve"> (“the applicant”), on 1 September 2011</w:t>
      </w:r>
      <w:r w:rsidRPr="00B76C29" w:rsidR="00B47919">
        <w:t>.</w:t>
      </w:r>
    </w:p>
    <w:p w:rsidRPr="00B76C29" w:rsidR="00014566" w:rsidP="00B76C29" w:rsidRDefault="00D1077B">
      <w:pPr>
        <w:pStyle w:val="ECHRPara"/>
      </w:pPr>
      <w:r w:rsidRPr="00B76C29">
        <w:fldChar w:fldCharType="begin"/>
      </w:r>
      <w:r w:rsidRPr="00B76C29">
        <w:instrText xml:space="preserve"> SEQ level0 \*arabic </w:instrText>
      </w:r>
      <w:r w:rsidRPr="00B76C29">
        <w:fldChar w:fldCharType="separate"/>
      </w:r>
      <w:r w:rsidRPr="00B76C29" w:rsidR="00B76C29">
        <w:rPr>
          <w:noProof/>
        </w:rPr>
        <w:t>2</w:t>
      </w:r>
      <w:r w:rsidRPr="00B76C29">
        <w:fldChar w:fldCharType="end"/>
      </w:r>
      <w:r w:rsidRPr="00B76C29" w:rsidR="00014566">
        <w:t>.  </w:t>
      </w:r>
      <w:r w:rsidRPr="00B76C29">
        <w:t xml:space="preserve">The applicant was represented by Mr A. </w:t>
      </w:r>
      <w:proofErr w:type="spellStart"/>
      <w:r w:rsidRPr="00B76C29">
        <w:t>Donică</w:t>
      </w:r>
      <w:proofErr w:type="spellEnd"/>
      <w:r w:rsidRPr="00B76C29">
        <w:t>, a lawyer practising in Chi</w:t>
      </w:r>
      <w:r w:rsidRPr="00B76C29" w:rsidR="00640B74">
        <w:rPr>
          <w:lang w:val="ro-RO"/>
        </w:rPr>
        <w:t>ș</w:t>
      </w:r>
      <w:proofErr w:type="spellStart"/>
      <w:r w:rsidRPr="00B76C29">
        <w:t>in</w:t>
      </w:r>
      <w:r w:rsidRPr="00B76C29" w:rsidR="00640B74">
        <w:t>ă</w:t>
      </w:r>
      <w:r w:rsidRPr="00B76C29">
        <w:t>u</w:t>
      </w:r>
      <w:proofErr w:type="spellEnd"/>
      <w:r w:rsidRPr="00B76C29">
        <w:t xml:space="preserve">. </w:t>
      </w:r>
      <w:r w:rsidRPr="00B76C29" w:rsidR="00014566">
        <w:t xml:space="preserve">The </w:t>
      </w:r>
      <w:r w:rsidRPr="00B76C29">
        <w:t>Moldovan</w:t>
      </w:r>
      <w:r w:rsidRPr="00B76C29" w:rsidR="00014566">
        <w:t xml:space="preserve"> Government (“the Government”) </w:t>
      </w:r>
      <w:proofErr w:type="gramStart"/>
      <w:r w:rsidRPr="00B76C29" w:rsidR="00014566">
        <w:t>were</w:t>
      </w:r>
      <w:proofErr w:type="gramEnd"/>
      <w:r w:rsidRPr="00B76C29" w:rsidR="00014566">
        <w:t xml:space="preserve"> represented by their Agent</w:t>
      </w:r>
      <w:r w:rsidRPr="00B76C29" w:rsidR="00B47919">
        <w:t xml:space="preserve"> at the time</w:t>
      </w:r>
      <w:r w:rsidRPr="00B76C29" w:rsidR="00014566">
        <w:t>, Mr</w:t>
      </w:r>
      <w:r w:rsidRPr="00B76C29" w:rsidR="00B47919">
        <w:t xml:space="preserve"> M. Gurin</w:t>
      </w:r>
      <w:r w:rsidRPr="00B76C29" w:rsidR="00014566">
        <w:t>.</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3</w:t>
      </w:r>
      <w:r w:rsidRPr="00B76C29">
        <w:rPr>
          <w:noProof/>
        </w:rPr>
        <w:fldChar w:fldCharType="end"/>
      </w:r>
      <w:r w:rsidRPr="00B76C29">
        <w:t>.  The applicant alleged, in particular, that he</w:t>
      </w:r>
      <w:r w:rsidRPr="00B76C29" w:rsidR="009471EE">
        <w:t xml:space="preserve"> had been </w:t>
      </w:r>
      <w:r w:rsidRPr="00B76C29">
        <w:t>unlawfully detained.</w:t>
      </w:r>
    </w:p>
    <w:p w:rsidRPr="00B76C29" w:rsidR="00014566"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4</w:t>
      </w:r>
      <w:r w:rsidRPr="00B76C29">
        <w:fldChar w:fldCharType="end"/>
      </w:r>
      <w:r w:rsidRPr="00B76C29">
        <w:t>.  </w:t>
      </w:r>
      <w:r w:rsidRPr="00B76C29" w:rsidR="00D1077B">
        <w:t xml:space="preserve">On </w:t>
      </w:r>
      <w:r w:rsidRPr="00B76C29" w:rsidR="00D1077B">
        <w:rPr>
          <w:szCs w:val="24"/>
        </w:rPr>
        <w:t>1 December 2015</w:t>
      </w:r>
      <w:r w:rsidRPr="00B76C29" w:rsidR="00014566">
        <w:t xml:space="preserve"> the </w:t>
      </w:r>
      <w:r w:rsidRPr="00B76C29" w:rsidR="00D1077B">
        <w:t xml:space="preserve">complaint concerning </w:t>
      </w:r>
      <w:r w:rsidRPr="00B76C29">
        <w:t xml:space="preserve">Article 5 </w:t>
      </w:r>
      <w:r w:rsidRPr="00B76C29">
        <w:rPr>
          <w:rFonts w:cstheme="minorHAnsi"/>
        </w:rPr>
        <w:t>§</w:t>
      </w:r>
      <w:r w:rsidRPr="00B76C29">
        <w:t xml:space="preserve"> 1 of the Convention</w:t>
      </w:r>
      <w:r w:rsidRPr="00B76C29" w:rsidR="00D1077B">
        <w:t xml:space="preserve"> was communicated to the Government and the remainder of the application was declared inadmissible</w:t>
      </w:r>
      <w:r w:rsidRPr="00B76C29" w:rsidR="00D1077B">
        <w:rPr>
          <w:szCs w:val="24"/>
        </w:rPr>
        <w:t xml:space="preserve"> </w:t>
      </w:r>
      <w:r w:rsidRPr="00B76C29" w:rsidR="00D1077B">
        <w:t>pursuant to Rule 54 § 3 of the Rules of Court</w:t>
      </w:r>
      <w:r w:rsidRPr="00B76C29" w:rsidR="007509D5">
        <w:t>.</w:t>
      </w:r>
    </w:p>
    <w:p w:rsidRPr="00B76C29" w:rsidR="00014566" w:rsidP="00B76C29" w:rsidRDefault="00014566">
      <w:pPr>
        <w:pStyle w:val="ECHRTitle1"/>
      </w:pPr>
      <w:r w:rsidRPr="00B76C29">
        <w:t>THE FACTS</w:t>
      </w:r>
    </w:p>
    <w:p w:rsidRPr="00B76C29" w:rsidR="00014566" w:rsidP="00B76C29" w:rsidRDefault="00014566">
      <w:pPr>
        <w:pStyle w:val="ECHRHeading1"/>
      </w:pPr>
      <w:r w:rsidRPr="00B76C29">
        <w:t>I.  THE CIRCUMSTANCES OF THE CASE</w:t>
      </w:r>
    </w:p>
    <w:p w:rsidRPr="00B76C29" w:rsidR="00014566" w:rsidP="00B76C29" w:rsidRDefault="00D1077B">
      <w:pPr>
        <w:pStyle w:val="ECHRPara"/>
      </w:pPr>
      <w:r w:rsidRPr="00B76C29">
        <w:fldChar w:fldCharType="begin"/>
      </w:r>
      <w:r w:rsidRPr="00B76C29">
        <w:instrText xml:space="preserve"> SEQ level0 \*arabic </w:instrText>
      </w:r>
      <w:r w:rsidRPr="00B76C29">
        <w:fldChar w:fldCharType="separate"/>
      </w:r>
      <w:r w:rsidRPr="00B76C29" w:rsidR="00B76C29">
        <w:rPr>
          <w:noProof/>
        </w:rPr>
        <w:t>5</w:t>
      </w:r>
      <w:r w:rsidRPr="00B76C29">
        <w:fldChar w:fldCharType="end"/>
      </w:r>
      <w:r w:rsidRPr="00B76C29" w:rsidR="00014566">
        <w:t xml:space="preserve">.  The </w:t>
      </w:r>
      <w:r w:rsidRPr="00B76C29">
        <w:t>applicant was born in 1962 and lives</w:t>
      </w:r>
      <w:r w:rsidRPr="00B76C29" w:rsidR="00014566">
        <w:t xml:space="preserve"> in </w:t>
      </w:r>
      <w:proofErr w:type="spellStart"/>
      <w:r w:rsidRPr="00B76C29">
        <w:t>Costesti</w:t>
      </w:r>
      <w:proofErr w:type="spellEnd"/>
      <w:r w:rsidRPr="00B76C29" w:rsidR="00014566">
        <w:t>.</w:t>
      </w:r>
    </w:p>
    <w:p w:rsidRPr="00B76C29" w:rsidR="005511A3" w:rsidP="00B76C29" w:rsidRDefault="00D1077B">
      <w:pPr>
        <w:pStyle w:val="ECHRPara"/>
      </w:pPr>
      <w:r w:rsidRPr="00B76C29">
        <w:fldChar w:fldCharType="begin"/>
      </w:r>
      <w:r w:rsidRPr="00B76C29">
        <w:instrText xml:space="preserve"> SEQ level0 \*arabic </w:instrText>
      </w:r>
      <w:r w:rsidRPr="00B76C29">
        <w:fldChar w:fldCharType="separate"/>
      </w:r>
      <w:r w:rsidRPr="00B76C29" w:rsidR="00B76C29">
        <w:rPr>
          <w:noProof/>
        </w:rPr>
        <w:t>6</w:t>
      </w:r>
      <w:r w:rsidRPr="00B76C29">
        <w:fldChar w:fldCharType="end"/>
      </w:r>
      <w:r w:rsidRPr="00B76C29" w:rsidR="00014566">
        <w:t>.  </w:t>
      </w:r>
      <w:r w:rsidRPr="00B76C29">
        <w:t xml:space="preserve">On 16 July 2008 the </w:t>
      </w:r>
      <w:proofErr w:type="spellStart"/>
      <w:r w:rsidRPr="00B76C29">
        <w:t>Ialoveni</w:t>
      </w:r>
      <w:proofErr w:type="spellEnd"/>
      <w:r w:rsidRPr="00B76C29">
        <w:t xml:space="preserve"> District Court found the applicant guilty of disrespectful conduct towards a police officer and sentenced him to five days</w:t>
      </w:r>
      <w:r w:rsidRPr="00B76C29" w:rsidR="00B76C29">
        <w:t>’</w:t>
      </w:r>
      <w:r w:rsidRPr="00B76C29">
        <w:t xml:space="preserve"> administrative arrest. The applicant appealed</w:t>
      </w:r>
      <w:r w:rsidRPr="00B76C29" w:rsidR="005511A3">
        <w:t>.</w:t>
      </w:r>
    </w:p>
    <w:p w:rsidRPr="00B76C29" w:rsidR="00D1077B" w:rsidP="00B76C29" w:rsidRDefault="005511A3">
      <w:pPr>
        <w:pStyle w:val="ECHRPara"/>
      </w:pPr>
      <w:r w:rsidRPr="00B76C29">
        <w:fldChar w:fldCharType="begin"/>
      </w:r>
      <w:r w:rsidRPr="00B76C29">
        <w:instrText xml:space="preserve"> SEQ level0 \*arabic </w:instrText>
      </w:r>
      <w:r w:rsidRPr="00B76C29">
        <w:fldChar w:fldCharType="separate"/>
      </w:r>
      <w:r w:rsidRPr="00B76C29" w:rsidR="00B76C29">
        <w:rPr>
          <w:noProof/>
        </w:rPr>
        <w:t>7</w:t>
      </w:r>
      <w:r w:rsidRPr="00B76C29">
        <w:fldChar w:fldCharType="end"/>
      </w:r>
      <w:r w:rsidRPr="00B76C29">
        <w:t>.  O</w:t>
      </w:r>
      <w:r w:rsidRPr="00B76C29" w:rsidR="00D1077B">
        <w:t xml:space="preserve">n 12 August 2008 the </w:t>
      </w:r>
      <w:proofErr w:type="spellStart"/>
      <w:r w:rsidRPr="00B76C29" w:rsidR="00D1077B">
        <w:t>Chișinău</w:t>
      </w:r>
      <w:proofErr w:type="spellEnd"/>
      <w:r w:rsidRPr="00B76C29" w:rsidR="00D1077B">
        <w:t xml:space="preserve"> Court of Appeal quashed the</w:t>
      </w:r>
      <w:r w:rsidRPr="00B76C29">
        <w:t xml:space="preserve"> </w:t>
      </w:r>
      <w:r w:rsidRPr="00B76C29" w:rsidR="00222391">
        <w:t>above</w:t>
      </w:r>
      <w:r w:rsidRPr="00B76C29" w:rsidR="00222391">
        <w:noBreakHyphen/>
      </w:r>
      <w:r w:rsidRPr="00B76C29">
        <w:t xml:space="preserve">mentioned judgment and </w:t>
      </w:r>
      <w:r w:rsidRPr="00B76C29" w:rsidR="00D1077B">
        <w:t>return</w:t>
      </w:r>
      <w:r w:rsidRPr="00B76C29">
        <w:t>ed</w:t>
      </w:r>
      <w:r w:rsidRPr="00B76C29" w:rsidR="00222391">
        <w:t xml:space="preserve"> the case for a re</w:t>
      </w:r>
      <w:r w:rsidRPr="00B76C29" w:rsidR="00222391">
        <w:noBreakHyphen/>
      </w:r>
      <w:r w:rsidRPr="00B76C29" w:rsidR="00D1077B">
        <w:t>examination on the merits.</w:t>
      </w:r>
    </w:p>
    <w:p w:rsidRPr="00B76C29" w:rsidR="00222391"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8</w:t>
      </w:r>
      <w:r w:rsidRPr="00B76C29">
        <w:fldChar w:fldCharType="end"/>
      </w:r>
      <w:r w:rsidRPr="00B76C29">
        <w:t>.  </w:t>
      </w:r>
      <w:r w:rsidRPr="00B76C29" w:rsidR="00D1077B">
        <w:t xml:space="preserve">On 11 February 2009 the </w:t>
      </w:r>
      <w:proofErr w:type="spellStart"/>
      <w:r w:rsidRPr="00B76C29" w:rsidR="00D1077B">
        <w:t>Ialoveni</w:t>
      </w:r>
      <w:proofErr w:type="spellEnd"/>
      <w:r w:rsidRPr="00B76C29" w:rsidR="00D1077B">
        <w:t xml:space="preserve"> District Court discontinued the </w:t>
      </w:r>
      <w:r w:rsidRPr="00B76C29" w:rsidR="00222391">
        <w:t xml:space="preserve">proceedings against the applicant as a result of the expiry of </w:t>
      </w:r>
      <w:r w:rsidRPr="00B76C29" w:rsidR="00D1077B">
        <w:t xml:space="preserve">the time-limit for applying an administrative sanction. Meanwhile, the applicant had already served his </w:t>
      </w:r>
      <w:r w:rsidRPr="00B76C29" w:rsidR="00222391">
        <w:t>sentence</w:t>
      </w:r>
      <w:r w:rsidRPr="00B76C29" w:rsidR="00D1077B">
        <w:t>. The applicant appealed</w:t>
      </w:r>
      <w:r w:rsidRPr="00B76C29" w:rsidR="00222391">
        <w:t>.</w:t>
      </w:r>
    </w:p>
    <w:p w:rsidRPr="00B76C29" w:rsidR="00D1077B" w:rsidP="00B76C29" w:rsidRDefault="00222391">
      <w:pPr>
        <w:pStyle w:val="ECHRPara"/>
      </w:pPr>
      <w:r w:rsidRPr="00B76C29">
        <w:fldChar w:fldCharType="begin"/>
      </w:r>
      <w:r w:rsidRPr="00B76C29">
        <w:instrText xml:space="preserve"> SEQ level0 \*arabic </w:instrText>
      </w:r>
      <w:r w:rsidRPr="00B76C29">
        <w:fldChar w:fldCharType="separate"/>
      </w:r>
      <w:r w:rsidRPr="00B76C29" w:rsidR="00B76C29">
        <w:rPr>
          <w:noProof/>
        </w:rPr>
        <w:t>9</w:t>
      </w:r>
      <w:r w:rsidRPr="00B76C29">
        <w:fldChar w:fldCharType="end"/>
      </w:r>
      <w:r w:rsidRPr="00B76C29">
        <w:t>.  O</w:t>
      </w:r>
      <w:r w:rsidRPr="00B76C29" w:rsidR="00D1077B">
        <w:t xml:space="preserve">n 13 March 2009 the </w:t>
      </w:r>
      <w:proofErr w:type="spellStart"/>
      <w:r w:rsidRPr="00B76C29" w:rsidR="00D1077B">
        <w:t>Chișinău</w:t>
      </w:r>
      <w:proofErr w:type="spellEnd"/>
      <w:r w:rsidRPr="00B76C29" w:rsidR="00D1077B">
        <w:t xml:space="preserve"> Court of Appeal quashed the </w:t>
      </w:r>
      <w:r w:rsidRPr="00B76C29">
        <w:t>j</w:t>
      </w:r>
      <w:r w:rsidRPr="00B76C29" w:rsidR="00D1077B">
        <w:t xml:space="preserve">udgment of the district court and discontinued the administrative proceedings in respect of the applicant for lack of </w:t>
      </w:r>
      <w:r w:rsidRPr="00B76C29" w:rsidR="00D1077B">
        <w:rPr>
          <w:i/>
        </w:rPr>
        <w:t xml:space="preserve">corpus </w:t>
      </w:r>
      <w:proofErr w:type="spellStart"/>
      <w:r w:rsidRPr="00B76C29" w:rsidR="00D1077B">
        <w:rPr>
          <w:i/>
        </w:rPr>
        <w:t>delicti</w:t>
      </w:r>
      <w:proofErr w:type="spellEnd"/>
      <w:r w:rsidRPr="00B76C29" w:rsidR="00D1077B">
        <w:t>.</w:t>
      </w:r>
    </w:p>
    <w:p w:rsidRPr="00B76C29" w:rsidR="00D1077B" w:rsidP="00B76C29" w:rsidRDefault="003A69DB">
      <w:pPr>
        <w:pStyle w:val="ECHRPara"/>
      </w:pPr>
      <w:r w:rsidRPr="00B76C29">
        <w:fldChar w:fldCharType="begin"/>
      </w:r>
      <w:r w:rsidRPr="00B76C29">
        <w:instrText xml:space="preserve"> SEQ level0 \*arabic </w:instrText>
      </w:r>
      <w:r w:rsidRPr="00B76C29">
        <w:fldChar w:fldCharType="separate"/>
      </w:r>
      <w:r w:rsidRPr="00B76C29" w:rsidR="00B76C29">
        <w:rPr>
          <w:noProof/>
        </w:rPr>
        <w:t>10</w:t>
      </w:r>
      <w:r w:rsidRPr="00B76C29">
        <w:fldChar w:fldCharType="end"/>
      </w:r>
      <w:r w:rsidRPr="00B76C29">
        <w:t>.  </w:t>
      </w:r>
      <w:r w:rsidRPr="00B76C29" w:rsidR="00D1077B">
        <w:t>The applica</w:t>
      </w:r>
      <w:r w:rsidRPr="00B76C29" w:rsidR="00222391">
        <w:t>nt brought an action under Law n</w:t>
      </w:r>
      <w:r w:rsidRPr="00B76C29" w:rsidR="00D1077B">
        <w:t>o. 1545 seeking 300,000 Moldovan lei (MDL) (</w:t>
      </w:r>
      <w:r w:rsidRPr="00B76C29" w:rsidR="00ED727B">
        <w:t xml:space="preserve">the </w:t>
      </w:r>
      <w:r w:rsidRPr="00B76C29" w:rsidR="00D1077B">
        <w:t xml:space="preserve">equivalent </w:t>
      </w:r>
      <w:r w:rsidRPr="00B76C29" w:rsidR="00ED727B">
        <w:t>of</w:t>
      </w:r>
      <w:r w:rsidRPr="00B76C29" w:rsidR="00D1077B">
        <w:t xml:space="preserve"> 18,750 euros (EUR)) in compensation for non-pecuniary damage. On 11 May 2011 the Supreme Court of Justice concluded that the applicant</w:t>
      </w:r>
      <w:r w:rsidRPr="00B76C29" w:rsidR="00B76C29">
        <w:t>’</w:t>
      </w:r>
      <w:r w:rsidRPr="00B76C29" w:rsidR="00D1077B">
        <w:t xml:space="preserve">s administrative arrest had been unlawful and </w:t>
      </w:r>
      <w:r w:rsidRPr="00B76C29" w:rsidR="00222391">
        <w:t xml:space="preserve">thus </w:t>
      </w:r>
      <w:r w:rsidRPr="00B76C29" w:rsidR="00D1077B">
        <w:t>awarded him MDL</w:t>
      </w:r>
      <w:r w:rsidRPr="00B76C29" w:rsidR="004A5403">
        <w:t xml:space="preserve"> </w:t>
      </w:r>
      <w:r w:rsidRPr="00B76C29" w:rsidR="00D1077B">
        <w:t>8,000 (equivalent to EUR 500) as compensation for the damage caused.</w:t>
      </w:r>
    </w:p>
    <w:p w:rsidRPr="00B76C29" w:rsidR="00B47919" w:rsidP="00B76C29" w:rsidRDefault="00B47919">
      <w:pPr>
        <w:pStyle w:val="ECHRTitle1"/>
        <w:keepNext w:val="0"/>
        <w:keepLines w:val="0"/>
      </w:pPr>
      <w:r w:rsidRPr="00B76C29">
        <w:t>THE LAW</w:t>
      </w:r>
    </w:p>
    <w:p w:rsidRPr="00B76C29" w:rsidR="00B47919" w:rsidP="00B76C29" w:rsidRDefault="00B47919">
      <w:pPr>
        <w:pStyle w:val="ECHRHeading1"/>
        <w:keepNext w:val="0"/>
        <w:keepLines w:val="0"/>
      </w:pPr>
      <w:r w:rsidRPr="00B76C29">
        <w:t xml:space="preserve">I.  ALLEGED VIOLATION OF ARTICLE 5 </w:t>
      </w:r>
      <w:r w:rsidRPr="00B76C29">
        <w:rPr>
          <w:rFonts w:cstheme="majorHAnsi"/>
        </w:rPr>
        <w:t>§</w:t>
      </w:r>
      <w:r w:rsidRPr="00B76C29">
        <w:t xml:space="preserve"> 1 OF THE CONVENTION</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11</w:t>
      </w:r>
      <w:r w:rsidRPr="00B76C29">
        <w:rPr>
          <w:noProof/>
        </w:rPr>
        <w:fldChar w:fldCharType="end"/>
      </w:r>
      <w:r w:rsidRPr="00B76C29">
        <w:t xml:space="preserve">.  The applicant complained of a violation of Article 5 § 1 of the Convention as a result of his unlawful detention for five days. The relevant parts of 5 </w:t>
      </w:r>
      <w:r w:rsidRPr="00B76C29">
        <w:rPr>
          <w:rFonts w:cstheme="minorHAnsi"/>
        </w:rPr>
        <w:t>§</w:t>
      </w:r>
      <w:r w:rsidRPr="00B76C29">
        <w:t xml:space="preserve"> 1 read as follows:</w:t>
      </w:r>
    </w:p>
    <w:p w:rsidRPr="00B76C29" w:rsidR="00B47919" w:rsidP="00B76C29" w:rsidRDefault="00B47919">
      <w:pPr>
        <w:pStyle w:val="ECHRTitleCentre3"/>
        <w:keepNext w:val="0"/>
        <w:keepLines w:val="0"/>
      </w:pPr>
      <w:r w:rsidRPr="00B76C29">
        <w:t>Article 5 § 1</w:t>
      </w:r>
    </w:p>
    <w:p w:rsidRPr="00B76C29" w:rsidR="00B47919" w:rsidP="00B76C29" w:rsidRDefault="00B47919">
      <w:pPr>
        <w:pStyle w:val="ECHRParaQuote"/>
      </w:pPr>
      <w:r w:rsidRPr="00B76C29">
        <w:t>“1.</w:t>
      </w:r>
      <w:proofErr w:type="gramStart"/>
      <w:r w:rsidRPr="00B76C29">
        <w:t>  Everyone</w:t>
      </w:r>
      <w:proofErr w:type="gramEnd"/>
      <w:r w:rsidRPr="00B76C29">
        <w:t xml:space="preserve"> has the right to liberty and security of person. No one shall be deprived of his liberty save in the following cases and in accordance with a procedure prescribed by law:</w:t>
      </w:r>
    </w:p>
    <w:p w:rsidRPr="00B76C29" w:rsidR="00B47919" w:rsidP="00B76C29" w:rsidRDefault="00B47919">
      <w:pPr>
        <w:pStyle w:val="ECHRParaQuote"/>
      </w:pPr>
      <w:r w:rsidRPr="00B76C29">
        <w:t>...</w:t>
      </w:r>
    </w:p>
    <w:p w:rsidRPr="00B76C29" w:rsidR="00B47919" w:rsidP="00B76C29" w:rsidRDefault="00B47919">
      <w:pPr>
        <w:pStyle w:val="ECHRParaQuote"/>
      </w:pPr>
      <w:r w:rsidRPr="00B76C29">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76C29" w:rsidR="00B47919" w:rsidP="00B76C29" w:rsidRDefault="00B47919">
      <w:pPr>
        <w:pStyle w:val="ECHRParaQuote"/>
      </w:pPr>
      <w:r w:rsidRPr="00B76C29">
        <w:t>...”</w:t>
      </w:r>
    </w:p>
    <w:p w:rsidRPr="00B76C29" w:rsidR="00B47919" w:rsidP="00B76C29" w:rsidRDefault="00B47919">
      <w:pPr>
        <w:pStyle w:val="ECHRHeading2"/>
      </w:pPr>
      <w:r w:rsidRPr="00B76C29">
        <w:t>A.  Admissibility</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12</w:t>
      </w:r>
      <w:r w:rsidRPr="00B76C29">
        <w:rPr>
          <w:noProof/>
        </w:rPr>
        <w:fldChar w:fldCharType="end"/>
      </w:r>
      <w:r w:rsidRPr="00B76C29">
        <w:t>.  The Government submitted that the applicant had lost his victim status as a result of being compensated in the civil proceedings.</w:t>
      </w:r>
      <w:bookmarkStart w:name="p34" w:id="2"/>
      <w:r w:rsidRPr="00B76C29">
        <w:t xml:space="preserve"> The applicant disagreed and argued that the amount of compensation awarded to him by the domestic courts had been too small.</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13</w:t>
      </w:r>
      <w:r w:rsidRPr="00B76C29">
        <w:rPr>
          <w:noProof/>
        </w:rPr>
        <w:fldChar w:fldCharType="end"/>
      </w:r>
      <w:bookmarkEnd w:id="2"/>
      <w:r w:rsidRPr="00B76C29">
        <w:t xml:space="preserve">.  The Court reiterates that a decision or measure favourable to an applicant is not in principle sufficient to deprive him or her of victim status unless the national authorities have acknowledged, either expressly or in substance, and then afforded redress for the breach of the Convention (see </w:t>
      </w:r>
      <w:proofErr w:type="spellStart"/>
      <w:r w:rsidRPr="00B76C29">
        <w:rPr>
          <w:i/>
        </w:rPr>
        <w:t>Amuur</w:t>
      </w:r>
      <w:proofErr w:type="spellEnd"/>
      <w:r w:rsidRPr="00B76C29">
        <w:rPr>
          <w:i/>
        </w:rPr>
        <w:t xml:space="preserve"> v. France</w:t>
      </w:r>
      <w:r w:rsidRPr="00B76C29">
        <w:t xml:space="preserve">, 25 June 1996, § 36, </w:t>
      </w:r>
      <w:r w:rsidRPr="00B76C29">
        <w:rPr>
          <w:i/>
        </w:rPr>
        <w:t>Reports of Judgments and Decisions</w:t>
      </w:r>
      <w:r w:rsidRPr="00B76C29">
        <w:t xml:space="preserve"> 1996</w:t>
      </w:r>
      <w:r w:rsidRPr="00B76C29">
        <w:noBreakHyphen/>
        <w:t>III).</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14</w:t>
      </w:r>
      <w:r w:rsidRPr="00B76C29">
        <w:rPr>
          <w:noProof/>
        </w:rPr>
        <w:fldChar w:fldCharType="end"/>
      </w:r>
      <w:r w:rsidRPr="00B76C29">
        <w:t>.  In the instant case it is true that the Supreme Court of Justice held that there had been a violation of the applicant</w:t>
      </w:r>
      <w:r w:rsidRPr="00B76C29" w:rsidR="00B76C29">
        <w:t>’</w:t>
      </w:r>
      <w:r w:rsidRPr="00B76C29">
        <w:t>s rights guaranteed by Article 5 of the Convention and that it awarded him compensation. That said</w:t>
      </w:r>
      <w:proofErr w:type="gramStart"/>
      <w:r w:rsidRPr="00B76C29">
        <w:t>,</w:t>
      </w:r>
      <w:proofErr w:type="gramEnd"/>
      <w:r w:rsidRPr="00B76C29">
        <w:t xml:space="preserve"> the Court finds that the question of the applicant</w:t>
      </w:r>
      <w:r w:rsidRPr="00B76C29" w:rsidR="00B76C29">
        <w:t>’</w:t>
      </w:r>
      <w:r w:rsidRPr="00B76C29">
        <w:t>s victim status as regards redress for the violation of his rights is inextricably linked to the merits of the complaints. Therefore, it considers that both questions should be joined and examined together.</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15</w:t>
      </w:r>
      <w:r w:rsidRPr="00B76C29">
        <w:rPr>
          <w:noProof/>
        </w:rPr>
        <w:fldChar w:fldCharType="end"/>
      </w:r>
      <w:r w:rsidRPr="00B76C29">
        <w:t>.  The Court further notes that this complaint is not manifestly ill</w:t>
      </w:r>
      <w:r w:rsidRPr="00B76C29">
        <w:noBreakHyphen/>
        <w:t>founded within the meaning of Article 35 § 3 of the Convention. No other ground for declaring them inadmissible has been established. They must therefore be declared admissible.</w:t>
      </w:r>
    </w:p>
    <w:p w:rsidRPr="00B76C29" w:rsidR="00B47919" w:rsidP="00B76C29" w:rsidRDefault="00B47919">
      <w:pPr>
        <w:pStyle w:val="ECHRHeading2"/>
      </w:pPr>
      <w:r w:rsidRPr="00B76C29">
        <w:t>B.  Merits</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16</w:t>
      </w:r>
      <w:r w:rsidRPr="00B76C29">
        <w:rPr>
          <w:noProof/>
        </w:rPr>
        <w:fldChar w:fldCharType="end"/>
      </w:r>
      <w:r w:rsidRPr="00B76C29">
        <w:t xml:space="preserve">.  The applicant argued that the compensation awarded by the Supreme Court of Justice in respect of the breach of Article 5 of the Convention had not been adequate and proportionate to the severity of the breaches of his rights. In support of this contention the applicant cited cases in which the Court had found breaches of Article 5 of the Convention and the awards </w:t>
      </w:r>
      <w:r w:rsidRPr="00B76C29" w:rsidR="00222391">
        <w:t xml:space="preserve">made </w:t>
      </w:r>
      <w:r w:rsidRPr="00B76C29">
        <w:t xml:space="preserve">had been considerably higher than that </w:t>
      </w:r>
      <w:r w:rsidRPr="00B76C29" w:rsidR="00222391">
        <w:t>of</w:t>
      </w:r>
      <w:r w:rsidRPr="00B76C29">
        <w:t xml:space="preserve"> the Supreme Court of Justice in his case. In his view, as a result of the insufficient amount of compensation awarded by the Supreme Court of Justice, he still had </w:t>
      </w:r>
      <w:r w:rsidRPr="00B76C29" w:rsidR="00222391">
        <w:t xml:space="preserve">the </w:t>
      </w:r>
      <w:r w:rsidRPr="00B76C29">
        <w:t xml:space="preserve">victim status </w:t>
      </w:r>
      <w:r w:rsidRPr="00B76C29" w:rsidR="00222391">
        <w:t>within the meaning of</w:t>
      </w:r>
      <w:r w:rsidRPr="00B76C29">
        <w:t xml:space="preserve"> Article 5 </w:t>
      </w:r>
      <w:r w:rsidRPr="00B76C29">
        <w:rPr>
          <w:rFonts w:cstheme="minorHAnsi"/>
        </w:rPr>
        <w:t>§</w:t>
      </w:r>
      <w:r w:rsidRPr="00B76C29">
        <w:t xml:space="preserve"> 1 of the Convention.</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17</w:t>
      </w:r>
      <w:r w:rsidRPr="00B76C29">
        <w:rPr>
          <w:noProof/>
        </w:rPr>
        <w:fldChar w:fldCharType="end"/>
      </w:r>
      <w:r w:rsidRPr="00B76C29">
        <w:t xml:space="preserve">.  The Government </w:t>
      </w:r>
      <w:r w:rsidRPr="00B76C29" w:rsidR="00C841CC">
        <w:t>expressed a different opinion and argued that the applicant</w:t>
      </w:r>
      <w:r w:rsidRPr="00B76C29">
        <w:t xml:space="preserve"> lost h</w:t>
      </w:r>
      <w:r w:rsidRPr="00B76C29" w:rsidR="00C841CC">
        <w:t>is</w:t>
      </w:r>
      <w:r w:rsidRPr="00B76C29">
        <w:t xml:space="preserve"> victim status.</w:t>
      </w:r>
    </w:p>
    <w:p w:rsidRPr="00B76C29" w:rsidR="00B47919" w:rsidP="00B76C29" w:rsidRDefault="00B47919">
      <w:pPr>
        <w:pStyle w:val="ECHRPara"/>
        <w:rPr>
          <w:snapToGrid w:val="0"/>
        </w:rPr>
      </w:pPr>
      <w:r w:rsidRPr="00B76C29">
        <w:fldChar w:fldCharType="begin"/>
      </w:r>
      <w:r w:rsidRPr="00B76C29">
        <w:instrText xml:space="preserve"> SEQ level0 \*arabic </w:instrText>
      </w:r>
      <w:r w:rsidRPr="00B76C29">
        <w:fldChar w:fldCharType="separate"/>
      </w:r>
      <w:r w:rsidRPr="00B76C29" w:rsidR="00B76C29">
        <w:rPr>
          <w:noProof/>
        </w:rPr>
        <w:t>18</w:t>
      </w:r>
      <w:r w:rsidRPr="00B76C29">
        <w:rPr>
          <w:noProof/>
        </w:rPr>
        <w:fldChar w:fldCharType="end"/>
      </w:r>
      <w:r w:rsidRPr="00B76C29">
        <w:t xml:space="preserve">.  As the Court has stated on many occasions, Article 5 of the Convention is, together with Articles 2, 3 and 4, in the first rank of the fundamental rights that protect the physical security of the individual. Its key purpose is to prevent arbitrary or unjustified deprivations of liberty (see, for example, </w:t>
      </w:r>
      <w:proofErr w:type="spellStart"/>
      <w:r w:rsidRPr="00B76C29">
        <w:rPr>
          <w:i/>
        </w:rPr>
        <w:t>Buzadji</w:t>
      </w:r>
      <w:proofErr w:type="spellEnd"/>
      <w:r w:rsidRPr="00B76C29">
        <w:rPr>
          <w:i/>
        </w:rPr>
        <w:t xml:space="preserve"> v. the Republic of Moldova</w:t>
      </w:r>
      <w:r w:rsidRPr="00B76C29">
        <w:rPr>
          <w:rStyle w:val="CLLItalic"/>
        </w:rPr>
        <w:t xml:space="preserve"> </w:t>
      </w:r>
      <w:r w:rsidRPr="00B76C29">
        <w:t>[GC], no. 23755/07</w:t>
      </w:r>
      <w:r w:rsidRPr="00B76C29">
        <w:rPr>
          <w:snapToGrid w:val="0"/>
        </w:rPr>
        <w:t xml:space="preserve">, § 84, </w:t>
      </w:r>
      <w:r w:rsidRPr="00B76C29">
        <w:t>ECHR</w:t>
      </w:r>
      <w:r w:rsidRPr="00B76C29">
        <w:rPr>
          <w:snapToGrid w:val="0"/>
        </w:rPr>
        <w:t xml:space="preserve"> 2016 </w:t>
      </w:r>
      <w:r w:rsidRPr="00B76C29">
        <w:t>(extracts)).</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19</w:t>
      </w:r>
      <w:r w:rsidRPr="00B76C29">
        <w:rPr>
          <w:noProof/>
        </w:rPr>
        <w:fldChar w:fldCharType="end"/>
      </w:r>
      <w:r w:rsidRPr="00B76C29">
        <w:t>.  There is no doubt</w:t>
      </w:r>
      <w:r w:rsidRPr="00B76C29" w:rsidR="00222391">
        <w:t>, and it is undisputed between</w:t>
      </w:r>
      <w:r w:rsidRPr="00B76C29">
        <w:t xml:space="preserve"> the parties</w:t>
      </w:r>
      <w:r w:rsidRPr="00B76C29" w:rsidR="00222391">
        <w:t>,</w:t>
      </w:r>
      <w:r w:rsidRPr="00B76C29">
        <w:t xml:space="preserve"> that the applicant suffered a breach of h</w:t>
      </w:r>
      <w:r w:rsidRPr="00B76C29" w:rsidR="00C841CC">
        <w:t>is</w:t>
      </w:r>
      <w:r w:rsidRPr="00B76C29">
        <w:t xml:space="preserve"> rights guaranteed by Article 5 </w:t>
      </w:r>
      <w:r w:rsidRPr="00B76C29">
        <w:rPr>
          <w:rFonts w:cstheme="minorHAnsi"/>
        </w:rPr>
        <w:t>§</w:t>
      </w:r>
      <w:r w:rsidRPr="00B76C29">
        <w:t> 1 of the Convention</w:t>
      </w:r>
      <w:r w:rsidRPr="00B76C29">
        <w:rPr>
          <w:color w:val="FF0000"/>
        </w:rPr>
        <w:t xml:space="preserve">. </w:t>
      </w:r>
      <w:r w:rsidRPr="00B76C29">
        <w:t>In this respect</w:t>
      </w:r>
      <w:r w:rsidRPr="00B76C29" w:rsidR="00222391">
        <w:t>,</w:t>
      </w:r>
      <w:r w:rsidRPr="00B76C29">
        <w:t xml:space="preserve"> the Court sees no reason to depart from the conclusion of the national courts, which acknowledged the violation of th</w:t>
      </w:r>
      <w:r w:rsidRPr="00B76C29" w:rsidR="00C841CC">
        <w:t>is Article</w:t>
      </w:r>
      <w:r w:rsidRPr="00B76C29">
        <w:t>. The Court shares this opinion and does not consider it necessary to re-examine the merits of th</w:t>
      </w:r>
      <w:r w:rsidRPr="00B76C29" w:rsidR="00C841CC">
        <w:t>is</w:t>
      </w:r>
      <w:r w:rsidRPr="00B76C29">
        <w:t xml:space="preserve"> complaint. The Court also notes that the domestic courts awarded the applicant compensat</w:t>
      </w:r>
      <w:r w:rsidRPr="00B76C29" w:rsidR="00222391">
        <w:t>ion for non</w:t>
      </w:r>
      <w:r w:rsidRPr="00B76C29" w:rsidR="00222391">
        <w:noBreakHyphen/>
        <w:t>pecuniary damage. It thus</w:t>
      </w:r>
      <w:r w:rsidRPr="00B76C29">
        <w:t xml:space="preserve"> </w:t>
      </w:r>
      <w:r w:rsidRPr="00B76C29" w:rsidR="00222391">
        <w:t>remains to be seen whether</w:t>
      </w:r>
      <w:r w:rsidRPr="00B76C29">
        <w:t xml:space="preserve"> the award </w:t>
      </w:r>
      <w:r w:rsidRPr="00B76C29" w:rsidR="00222391">
        <w:t>in question</w:t>
      </w:r>
      <w:r w:rsidRPr="00B76C29">
        <w:t xml:space="preserve"> was proportionate to the damage the applicant sustained.</w:t>
      </w:r>
    </w:p>
    <w:p w:rsidRPr="00B76C29" w:rsidR="00B47919" w:rsidP="00B76C29" w:rsidRDefault="00B47919">
      <w:pPr>
        <w:pStyle w:val="ECHRPara"/>
        <w:rPr>
          <w:i/>
          <w:szCs w:val="24"/>
        </w:rPr>
      </w:pPr>
      <w:r w:rsidRPr="00B76C29">
        <w:fldChar w:fldCharType="begin"/>
      </w:r>
      <w:r w:rsidRPr="00B76C29">
        <w:instrText xml:space="preserve"> SEQ level0 \*arabic </w:instrText>
      </w:r>
      <w:r w:rsidRPr="00B76C29">
        <w:fldChar w:fldCharType="separate"/>
      </w:r>
      <w:r w:rsidRPr="00B76C29" w:rsidR="00B76C29">
        <w:rPr>
          <w:noProof/>
        </w:rPr>
        <w:t>20</w:t>
      </w:r>
      <w:r w:rsidRPr="00B76C29">
        <w:rPr>
          <w:noProof/>
        </w:rPr>
        <w:fldChar w:fldCharType="end"/>
      </w:r>
      <w:r w:rsidRPr="00B76C29">
        <w:t xml:space="preserve">.  The Court notes that the Supreme Court awarded the applicant the equivalent of EUR </w:t>
      </w:r>
      <w:r w:rsidRPr="00B76C29" w:rsidR="00C841CC">
        <w:t>500</w:t>
      </w:r>
      <w:r w:rsidRPr="00B76C29">
        <w:t xml:space="preserve"> in respect of non-pecuniary damage. </w:t>
      </w:r>
      <w:r w:rsidRPr="00B76C29" w:rsidR="00C841CC">
        <w:t>T</w:t>
      </w:r>
      <w:r w:rsidRPr="00B76C29">
        <w:t>his</w:t>
      </w:r>
      <w:r w:rsidRPr="00B76C29" w:rsidR="00C841CC">
        <w:t xml:space="preserve"> amount</w:t>
      </w:r>
      <w:r w:rsidRPr="00B76C29">
        <w:t xml:space="preserve"> is considerably below </w:t>
      </w:r>
      <w:r w:rsidRPr="00B76C29" w:rsidR="00222391">
        <w:t xml:space="preserve">compared to </w:t>
      </w:r>
      <w:r w:rsidRPr="00B76C29">
        <w:t xml:space="preserve">the amounts awarded by the Court in cases in which it has found a violation of Article </w:t>
      </w:r>
      <w:r w:rsidRPr="00B76C29" w:rsidR="00C841CC">
        <w:t xml:space="preserve">5 </w:t>
      </w:r>
      <w:r w:rsidRPr="00B76C29" w:rsidR="00C841CC">
        <w:rPr>
          <w:rFonts w:cstheme="minorHAnsi"/>
        </w:rPr>
        <w:t>§ 1</w:t>
      </w:r>
      <w:r w:rsidRPr="00B76C29" w:rsidR="00640B74">
        <w:rPr>
          <w:rFonts w:cstheme="minorHAnsi"/>
        </w:rPr>
        <w:t xml:space="preserve"> of the Convention</w:t>
      </w:r>
      <w:r w:rsidRPr="00B76C29">
        <w:t xml:space="preserve"> (see, for a recent example, </w:t>
      </w:r>
      <w:proofErr w:type="spellStart"/>
      <w:r w:rsidRPr="00B76C29" w:rsidR="00C841CC">
        <w:rPr>
          <w:i/>
        </w:rPr>
        <w:t>Ialamov</w:t>
      </w:r>
      <w:proofErr w:type="spellEnd"/>
      <w:r w:rsidRPr="00B76C29" w:rsidR="00C841CC">
        <w:rPr>
          <w:i/>
        </w:rPr>
        <w:t xml:space="preserve"> v.</w:t>
      </w:r>
      <w:r w:rsidRPr="00B76C29" w:rsidR="00640B74">
        <w:rPr>
          <w:i/>
        </w:rPr>
        <w:t> </w:t>
      </w:r>
      <w:r w:rsidRPr="00B76C29" w:rsidR="00F9545D">
        <w:rPr>
          <w:i/>
        </w:rPr>
        <w:t>t</w:t>
      </w:r>
      <w:r w:rsidRPr="00B76C29" w:rsidR="00C841CC">
        <w:rPr>
          <w:i/>
        </w:rPr>
        <w:t>he Republic of Moldov</w:t>
      </w:r>
      <w:r w:rsidRPr="00B76C29" w:rsidR="00F9545D">
        <w:rPr>
          <w:i/>
        </w:rPr>
        <w:t>a</w:t>
      </w:r>
      <w:r w:rsidRPr="00B76C29" w:rsidR="00C841CC">
        <w:t>, no. 65324/09</w:t>
      </w:r>
      <w:r w:rsidRPr="00B76C29">
        <w:rPr>
          <w:snapToGrid w:val="0"/>
        </w:rPr>
        <w:t>,</w:t>
      </w:r>
      <w:r w:rsidRPr="00B76C29" w:rsidR="008D2040">
        <w:rPr>
          <w:snapToGrid w:val="0"/>
        </w:rPr>
        <w:t xml:space="preserve"> 12</w:t>
      </w:r>
      <w:r w:rsidRPr="00B76C29" w:rsidR="004A5403">
        <w:rPr>
          <w:snapToGrid w:val="0"/>
        </w:rPr>
        <w:t> </w:t>
      </w:r>
      <w:r w:rsidRPr="00B76C29" w:rsidR="008D2040">
        <w:rPr>
          <w:snapToGrid w:val="0"/>
        </w:rPr>
        <w:t>December 2017</w:t>
      </w:r>
      <w:r w:rsidRPr="00B76C29">
        <w:rPr>
          <w:snapToGrid w:val="0"/>
        </w:rPr>
        <w:t xml:space="preserve"> where the Court awarded the applicant EUR </w:t>
      </w:r>
      <w:r w:rsidRPr="00B76C29" w:rsidR="008D2040">
        <w:rPr>
          <w:snapToGrid w:val="0"/>
        </w:rPr>
        <w:t>4</w:t>
      </w:r>
      <w:r w:rsidRPr="00B76C29">
        <w:rPr>
          <w:snapToGrid w:val="0"/>
        </w:rPr>
        <w:t>,</w:t>
      </w:r>
      <w:r w:rsidRPr="00B76C29" w:rsidR="008D2040">
        <w:rPr>
          <w:snapToGrid w:val="0"/>
        </w:rPr>
        <w:t>5</w:t>
      </w:r>
      <w:r w:rsidRPr="00B76C29">
        <w:rPr>
          <w:snapToGrid w:val="0"/>
        </w:rPr>
        <w:t xml:space="preserve">00 in respect of </w:t>
      </w:r>
      <w:r w:rsidRPr="00B76C29" w:rsidR="008D2040">
        <w:rPr>
          <w:snapToGrid w:val="0"/>
        </w:rPr>
        <w:t>unlawful detention</w:t>
      </w:r>
      <w:r w:rsidRPr="00B76C29" w:rsidR="00AC3D17">
        <w:rPr>
          <w:snapToGrid w:val="0"/>
        </w:rPr>
        <w:t>)</w:t>
      </w:r>
      <w:r w:rsidRPr="00B76C29">
        <w:t>.</w:t>
      </w:r>
    </w:p>
    <w:p w:rsidRPr="00B76C29" w:rsidR="00B47919"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21</w:t>
      </w:r>
      <w:r w:rsidRPr="00B76C29">
        <w:rPr>
          <w:noProof/>
        </w:rPr>
        <w:fldChar w:fldCharType="end"/>
      </w:r>
      <w:r w:rsidRPr="00B76C29">
        <w:t xml:space="preserve">.  In the light of the foregoing, the Court considers that the applicant can still claim to be a victim of a violation of Article 5 </w:t>
      </w:r>
      <w:r w:rsidRPr="00B76C29">
        <w:rPr>
          <w:rFonts w:cstheme="minorHAnsi"/>
        </w:rPr>
        <w:t>§</w:t>
      </w:r>
      <w:r w:rsidRPr="00B76C29" w:rsidR="008D2040">
        <w:rPr>
          <w:rFonts w:cstheme="minorHAnsi"/>
        </w:rPr>
        <w:t xml:space="preserve"> </w:t>
      </w:r>
      <w:r w:rsidRPr="00B76C29">
        <w:t>1 of the Convention. It therefore dismisses the Government</w:t>
      </w:r>
      <w:r w:rsidRPr="00B76C29" w:rsidR="00B76C29">
        <w:t>’</w:t>
      </w:r>
      <w:r w:rsidRPr="00B76C29">
        <w:t>s objection.</w:t>
      </w:r>
    </w:p>
    <w:p w:rsidRPr="00B76C29" w:rsidR="00014566" w:rsidP="00B76C29" w:rsidRDefault="00B47919">
      <w:pPr>
        <w:pStyle w:val="ECHRPara"/>
      </w:pPr>
      <w:r w:rsidRPr="00B76C29">
        <w:fldChar w:fldCharType="begin"/>
      </w:r>
      <w:r w:rsidRPr="00B76C29">
        <w:instrText xml:space="preserve"> SEQ level0 \*arabic </w:instrText>
      </w:r>
      <w:r w:rsidRPr="00B76C29">
        <w:fldChar w:fldCharType="separate"/>
      </w:r>
      <w:r w:rsidRPr="00B76C29" w:rsidR="00B76C29">
        <w:rPr>
          <w:noProof/>
        </w:rPr>
        <w:t>22</w:t>
      </w:r>
      <w:r w:rsidRPr="00B76C29">
        <w:rPr>
          <w:noProof/>
        </w:rPr>
        <w:fldChar w:fldCharType="end"/>
      </w:r>
      <w:r w:rsidRPr="00B76C29">
        <w:t xml:space="preserve">.  It also finds that there has been a violation of Article 5 </w:t>
      </w:r>
      <w:r w:rsidRPr="00B76C29">
        <w:rPr>
          <w:rFonts w:cstheme="minorHAnsi"/>
        </w:rPr>
        <w:t>§</w:t>
      </w:r>
      <w:r w:rsidRPr="00B76C29">
        <w:t xml:space="preserve"> 1 of the Convention, which arises from the unlawful detention of the applicant </w:t>
      </w:r>
      <w:r w:rsidRPr="00B76C29" w:rsidR="008D2040">
        <w:t>for five days</w:t>
      </w:r>
      <w:r w:rsidRPr="00B76C29">
        <w:t>.</w:t>
      </w:r>
    </w:p>
    <w:p w:rsidRPr="00B76C29" w:rsidR="008D2040" w:rsidP="00B76C29" w:rsidRDefault="008D2040">
      <w:pPr>
        <w:pStyle w:val="ECHRHeading1"/>
      </w:pPr>
      <w:r w:rsidRPr="00B76C29">
        <w:t>II.</w:t>
      </w:r>
      <w:proofErr w:type="gramStart"/>
      <w:r w:rsidRPr="00B76C29" w:rsidR="00E202BD">
        <w:t> </w:t>
      </w:r>
      <w:r w:rsidRPr="00B76C29" w:rsidR="00B76C29">
        <w:t> </w:t>
      </w:r>
      <w:r w:rsidRPr="00B76C29" w:rsidR="00E202BD">
        <w:t>ALLEGED</w:t>
      </w:r>
      <w:proofErr w:type="gramEnd"/>
      <w:r w:rsidRPr="00B76C29">
        <w:t xml:space="preserve"> VIOLATION OF ARTICLES 5 </w:t>
      </w:r>
      <w:r w:rsidRPr="00B76C29">
        <w:rPr>
          <w:rFonts w:cstheme="majorHAnsi"/>
        </w:rPr>
        <w:t>§</w:t>
      </w:r>
      <w:r w:rsidRPr="00B76C29">
        <w:t xml:space="preserve"> 5 OF THE CONVENTION</w:t>
      </w:r>
    </w:p>
    <w:p w:rsidRPr="00B76C29" w:rsidR="008D2040" w:rsidP="00B76C29" w:rsidRDefault="003A69DB">
      <w:pPr>
        <w:pStyle w:val="ECHRPara"/>
      </w:pPr>
      <w:r w:rsidRPr="00B76C29">
        <w:fldChar w:fldCharType="begin"/>
      </w:r>
      <w:r w:rsidRPr="00B76C29">
        <w:instrText xml:space="preserve"> SEQ level0 \*arabic </w:instrText>
      </w:r>
      <w:r w:rsidRPr="00B76C29">
        <w:fldChar w:fldCharType="separate"/>
      </w:r>
      <w:r w:rsidRPr="00B76C29" w:rsidR="00B76C29">
        <w:rPr>
          <w:noProof/>
        </w:rPr>
        <w:t>23</w:t>
      </w:r>
      <w:r w:rsidRPr="00B76C29">
        <w:fldChar w:fldCharType="end"/>
      </w:r>
      <w:r w:rsidRPr="00B76C29">
        <w:t>.  </w:t>
      </w:r>
      <w:r w:rsidRPr="00B76C29" w:rsidR="008D2040">
        <w:t xml:space="preserve">The applicant complained </w:t>
      </w:r>
      <w:r w:rsidRPr="00B76C29">
        <w:t xml:space="preserve">that </w:t>
      </w:r>
      <w:r w:rsidRPr="00B76C29" w:rsidR="008D2040">
        <w:t>he had no effective remedy against the breach of h</w:t>
      </w:r>
      <w:r w:rsidRPr="00B76C29">
        <w:t>is</w:t>
      </w:r>
      <w:r w:rsidRPr="00B76C29" w:rsidR="008D2040">
        <w:t xml:space="preserve"> rights guaranteed by </w:t>
      </w:r>
      <w:r w:rsidRPr="00B76C29">
        <w:t>Article</w:t>
      </w:r>
      <w:r w:rsidRPr="00B76C29" w:rsidR="008D2040">
        <w:t xml:space="preserve"> 5 of the Convention. </w:t>
      </w:r>
      <w:r w:rsidRPr="00B76C29">
        <w:t>H</w:t>
      </w:r>
      <w:r w:rsidRPr="00B76C29" w:rsidR="008D2040">
        <w:t xml:space="preserve">e relied on Articles 5 </w:t>
      </w:r>
      <w:r w:rsidRPr="00B76C29" w:rsidR="008D2040">
        <w:rPr>
          <w:rFonts w:cstheme="minorHAnsi"/>
        </w:rPr>
        <w:t>§</w:t>
      </w:r>
      <w:r w:rsidRPr="00B76C29" w:rsidR="008028CA">
        <w:t xml:space="preserve"> 5 of the Convention, which reads as follows:</w:t>
      </w:r>
    </w:p>
    <w:p w:rsidRPr="00B76C29" w:rsidR="008028CA" w:rsidP="00B76C29" w:rsidRDefault="008028CA">
      <w:pPr>
        <w:pStyle w:val="ECHRParaQuote"/>
      </w:pPr>
      <w:r w:rsidRPr="00B76C29">
        <w:t>“Everyone who has been the victim of arrest or detention in contravention of the provisions of this Article shall have an enforceable right to compensation.”</w:t>
      </w:r>
    </w:p>
    <w:p w:rsidRPr="00B76C29" w:rsidR="008028CA" w:rsidP="00B76C29" w:rsidRDefault="008028CA">
      <w:pPr>
        <w:pStyle w:val="ECHRPara"/>
      </w:pPr>
      <w:r w:rsidRPr="00B76C29">
        <w:fldChar w:fldCharType="begin"/>
      </w:r>
      <w:r w:rsidRPr="00B76C29">
        <w:instrText xml:space="preserve"> SEQ level0 \*arabic </w:instrText>
      </w:r>
      <w:r w:rsidRPr="00B76C29">
        <w:fldChar w:fldCharType="separate"/>
      </w:r>
      <w:r w:rsidRPr="00B76C29" w:rsidR="00B76C29">
        <w:rPr>
          <w:noProof/>
        </w:rPr>
        <w:t>24</w:t>
      </w:r>
      <w:r w:rsidRPr="00B76C29">
        <w:fldChar w:fldCharType="end"/>
      </w:r>
      <w:r w:rsidRPr="00B76C29">
        <w:t xml:space="preserve">.  The Court reiterates that the right to compensation set forth in Article 5 § 5 of the Convention presupposes that a violation of one of the other paragraphs of that Article has been established, either by a domestic authority or by the Convention institutions (see </w:t>
      </w:r>
      <w:r w:rsidRPr="00B76C29">
        <w:rPr>
          <w:i/>
          <w:iCs/>
          <w:lang w:val="es-ES_tradnl"/>
        </w:rPr>
        <w:t xml:space="preserve">N.C. v. </w:t>
      </w:r>
      <w:proofErr w:type="spellStart"/>
      <w:r w:rsidRPr="00B76C29">
        <w:rPr>
          <w:i/>
          <w:iCs/>
          <w:lang w:val="es-ES_tradnl"/>
        </w:rPr>
        <w:t>Italy</w:t>
      </w:r>
      <w:proofErr w:type="spellEnd"/>
      <w:r w:rsidRPr="00B76C29">
        <w:rPr>
          <w:i/>
          <w:iCs/>
          <w:lang w:val="es-ES_tradnl"/>
        </w:rPr>
        <w:t xml:space="preserve"> </w:t>
      </w:r>
      <w:r w:rsidRPr="00B76C29" w:rsidR="00183E07">
        <w:rPr>
          <w:lang w:val="es-ES_tradnl"/>
        </w:rPr>
        <w:t>[GC], no. </w:t>
      </w:r>
      <w:r w:rsidRPr="00B76C29">
        <w:rPr>
          <w:lang w:val="es-ES_tradnl"/>
        </w:rPr>
        <w:t>24952/94, § 49, ECHR 2002</w:t>
      </w:r>
      <w:r w:rsidRPr="00B76C29">
        <w:rPr>
          <w:lang w:val="es-ES_tradnl"/>
        </w:rPr>
        <w:noBreakHyphen/>
      </w:r>
      <w:r w:rsidRPr="00B76C29">
        <w:t xml:space="preserve">X, and </w:t>
      </w:r>
      <w:proofErr w:type="spellStart"/>
      <w:r w:rsidRPr="00B76C29">
        <w:rPr>
          <w:i/>
          <w:iCs/>
        </w:rPr>
        <w:t>Stanev</w:t>
      </w:r>
      <w:proofErr w:type="spellEnd"/>
      <w:r w:rsidRPr="00B76C29">
        <w:rPr>
          <w:i/>
          <w:iCs/>
        </w:rPr>
        <w:t xml:space="preserve"> v. Bulgaria </w:t>
      </w:r>
      <w:r w:rsidRPr="00B76C29" w:rsidR="00183E07">
        <w:t>[GC], no. </w:t>
      </w:r>
      <w:r w:rsidRPr="00B76C29">
        <w:t xml:space="preserve">36760/06, § 182, </w:t>
      </w:r>
      <w:r w:rsidRPr="00B76C29">
        <w:rPr>
          <w:snapToGrid w:val="0"/>
        </w:rPr>
        <w:t>ECHR 2012</w:t>
      </w:r>
      <w:r w:rsidRPr="00B76C29">
        <w:t>).</w:t>
      </w:r>
    </w:p>
    <w:p w:rsidRPr="00B76C29" w:rsidR="008028CA" w:rsidP="00B76C29" w:rsidRDefault="00BE2BB0">
      <w:pPr>
        <w:pStyle w:val="ECHRPara"/>
      </w:pPr>
      <w:r w:rsidRPr="00B76C29">
        <w:fldChar w:fldCharType="begin"/>
      </w:r>
      <w:r w:rsidRPr="00B76C29">
        <w:instrText xml:space="preserve"> SEQ level0 \*arabic </w:instrText>
      </w:r>
      <w:r w:rsidRPr="00B76C29">
        <w:fldChar w:fldCharType="separate"/>
      </w:r>
      <w:r w:rsidRPr="00B76C29" w:rsidR="00B76C29">
        <w:rPr>
          <w:noProof/>
        </w:rPr>
        <w:t>25</w:t>
      </w:r>
      <w:r w:rsidRPr="00B76C29">
        <w:fldChar w:fldCharType="end"/>
      </w:r>
      <w:r w:rsidRPr="00B76C29">
        <w:t>.  </w:t>
      </w:r>
      <w:r w:rsidRPr="00B76C29" w:rsidR="008028CA">
        <w:t xml:space="preserve">The Court notes that an award of </w:t>
      </w:r>
      <w:r w:rsidRPr="00B76C29" w:rsidR="005A2BE8">
        <w:t>MDL 8,000</w:t>
      </w:r>
      <w:r w:rsidRPr="00B76C29" w:rsidR="008028CA">
        <w:t xml:space="preserve"> was made to the applicant by the Supreme Court in respect of the violation it had found. It reiterates that Article 5 § 5 does not confer a right to a particular amount of compensation, provided that the award made is not derisory or wholly disproportionate (see </w:t>
      </w:r>
      <w:r w:rsidRPr="00B76C29" w:rsidR="008028CA">
        <w:rPr>
          <w:i/>
          <w:iCs/>
        </w:rPr>
        <w:t>Cumber v. the United Kingdom</w:t>
      </w:r>
      <w:r w:rsidRPr="00B76C29" w:rsidR="008028CA">
        <w:t xml:space="preserve">, no. 28779/95, Commission decision of 27 November 1996, </w:t>
      </w:r>
      <w:proofErr w:type="spellStart"/>
      <w:r w:rsidRPr="00B76C29" w:rsidR="008028CA">
        <w:rPr>
          <w:i/>
          <w:iCs/>
        </w:rPr>
        <w:t>Attard</w:t>
      </w:r>
      <w:proofErr w:type="spellEnd"/>
      <w:r w:rsidRPr="00B76C29" w:rsidR="008028CA">
        <w:rPr>
          <w:i/>
          <w:iCs/>
        </w:rPr>
        <w:t xml:space="preserve"> v. Malta</w:t>
      </w:r>
      <w:r w:rsidRPr="00B76C29" w:rsidR="00183E07">
        <w:t xml:space="preserve"> (</w:t>
      </w:r>
      <w:proofErr w:type="spellStart"/>
      <w:r w:rsidRPr="00B76C29" w:rsidR="00183E07">
        <w:t>dec.</w:t>
      </w:r>
      <w:proofErr w:type="spellEnd"/>
      <w:r w:rsidRPr="00B76C29" w:rsidR="00183E07">
        <w:t>), no. </w:t>
      </w:r>
      <w:r w:rsidRPr="00B76C29" w:rsidR="008028CA">
        <w:t xml:space="preserve">46750/99, 28 September 2000, </w:t>
      </w:r>
      <w:proofErr w:type="spellStart"/>
      <w:r w:rsidRPr="00B76C29" w:rsidR="008028CA">
        <w:rPr>
          <w:i/>
          <w:iCs/>
        </w:rPr>
        <w:t>Novoselov</w:t>
      </w:r>
      <w:proofErr w:type="spellEnd"/>
      <w:r w:rsidRPr="00B76C29" w:rsidR="008028CA">
        <w:rPr>
          <w:i/>
          <w:iCs/>
        </w:rPr>
        <w:t xml:space="preserve"> v. Russia</w:t>
      </w:r>
      <w:r w:rsidRPr="00B76C29" w:rsidR="00183E07">
        <w:t xml:space="preserve"> (</w:t>
      </w:r>
      <w:proofErr w:type="spellStart"/>
      <w:r w:rsidRPr="00B76C29" w:rsidR="00183E07">
        <w:t>dec.</w:t>
      </w:r>
      <w:proofErr w:type="spellEnd"/>
      <w:r w:rsidRPr="00B76C29" w:rsidR="00183E07">
        <w:t>), no. </w:t>
      </w:r>
      <w:r w:rsidRPr="00B76C29" w:rsidR="00B76C29">
        <w:t>66460/01, 16 </w:t>
      </w:r>
      <w:r w:rsidRPr="00B76C29" w:rsidR="008028CA">
        <w:t xml:space="preserve">October 2003, </w:t>
      </w:r>
      <w:proofErr w:type="spellStart"/>
      <w:r w:rsidRPr="00B76C29" w:rsidR="008028CA">
        <w:rPr>
          <w:i/>
          <w:iCs/>
        </w:rPr>
        <w:t>Shilyayev</w:t>
      </w:r>
      <w:proofErr w:type="spellEnd"/>
      <w:r w:rsidRPr="00B76C29" w:rsidR="008028CA">
        <w:rPr>
          <w:i/>
          <w:iCs/>
        </w:rPr>
        <w:t xml:space="preserve"> v. Russia</w:t>
      </w:r>
      <w:r w:rsidRPr="00B76C29" w:rsidR="00183E07">
        <w:t xml:space="preserve"> (</w:t>
      </w:r>
      <w:proofErr w:type="spellStart"/>
      <w:r w:rsidRPr="00B76C29" w:rsidR="00183E07">
        <w:t>dec.</w:t>
      </w:r>
      <w:proofErr w:type="spellEnd"/>
      <w:r w:rsidRPr="00B76C29" w:rsidR="00183E07">
        <w:t>), no. 9647/02, § </w:t>
      </w:r>
      <w:r w:rsidRPr="00B76C29" w:rsidR="008028CA">
        <w:t xml:space="preserve">21, 6 October 2005, and </w:t>
      </w:r>
      <w:r w:rsidRPr="00B76C29" w:rsidR="008028CA">
        <w:rPr>
          <w:i/>
          <w:iCs/>
        </w:rPr>
        <w:t>Borg v. Malta</w:t>
      </w:r>
      <w:r w:rsidRPr="00B76C29" w:rsidR="008028CA">
        <w:t xml:space="preserve"> (</w:t>
      </w:r>
      <w:proofErr w:type="spellStart"/>
      <w:r w:rsidRPr="00B76C29" w:rsidR="008028CA">
        <w:t>dec.</w:t>
      </w:r>
      <w:proofErr w:type="spellEnd"/>
      <w:r w:rsidRPr="00B76C29" w:rsidR="008028CA">
        <w:t xml:space="preserve">), no. </w:t>
      </w:r>
      <w:r w:rsidRPr="00B76C29" w:rsidR="00AC6AC8">
        <w:t>39783/15</w:t>
      </w:r>
      <w:r w:rsidRPr="00B76C29" w:rsidR="00183E07">
        <w:rPr>
          <w:snapToGrid w:val="0"/>
        </w:rPr>
        <w:t xml:space="preserve">, § 37, </w:t>
      </w:r>
      <w:r w:rsidRPr="00B76C29" w:rsidR="00AC6AC8">
        <w:rPr>
          <w:snapToGrid w:val="0"/>
        </w:rPr>
        <w:t>5 September 2017</w:t>
      </w:r>
      <w:r w:rsidRPr="00B76C29" w:rsidR="008028CA">
        <w:t>), or considerably lower than what the Court would</w:t>
      </w:r>
      <w:r w:rsidRPr="00B76C29" w:rsidR="00F4113E">
        <w:t xml:space="preserve"> have</w:t>
      </w:r>
      <w:r w:rsidRPr="00B76C29" w:rsidR="008028CA">
        <w:t xml:space="preserve"> award</w:t>
      </w:r>
      <w:r w:rsidRPr="00B76C29" w:rsidR="00F4113E">
        <w:t>ed</w:t>
      </w:r>
      <w:r w:rsidRPr="00B76C29" w:rsidR="008028CA">
        <w:t xml:space="preserve"> in the event of </w:t>
      </w:r>
      <w:r w:rsidRPr="00B76C29" w:rsidR="00F4113E">
        <w:t xml:space="preserve">finding of a similar </w:t>
      </w:r>
      <w:r w:rsidRPr="00B76C29" w:rsidR="008028CA">
        <w:t xml:space="preserve">violation (see </w:t>
      </w:r>
      <w:proofErr w:type="spellStart"/>
      <w:r w:rsidRPr="00B76C29" w:rsidR="008028CA">
        <w:rPr>
          <w:i/>
          <w:iCs/>
          <w:lang w:val="es-ES_tradnl"/>
        </w:rPr>
        <w:t>Ganea</w:t>
      </w:r>
      <w:proofErr w:type="spellEnd"/>
      <w:r w:rsidRPr="00B76C29" w:rsidR="008028CA">
        <w:rPr>
          <w:i/>
          <w:iCs/>
          <w:lang w:val="es-ES_tradnl"/>
        </w:rPr>
        <w:t xml:space="preserve"> v.</w:t>
      </w:r>
      <w:r w:rsidRPr="00B76C29" w:rsidR="004A5403">
        <w:rPr>
          <w:i/>
          <w:iCs/>
          <w:lang w:val="es-ES_tradnl"/>
        </w:rPr>
        <w:t> </w:t>
      </w:r>
      <w:proofErr w:type="spellStart"/>
      <w:r w:rsidRPr="00B76C29" w:rsidR="008028CA">
        <w:rPr>
          <w:i/>
          <w:iCs/>
          <w:lang w:val="es-ES_tradnl"/>
        </w:rPr>
        <w:t>Moldova</w:t>
      </w:r>
      <w:proofErr w:type="spellEnd"/>
      <w:r w:rsidRPr="00B76C29" w:rsidR="00B76C29">
        <w:rPr>
          <w:lang w:val="es-ES_tradnl"/>
        </w:rPr>
        <w:t>, no. 2474/06, § 30, 17 </w:t>
      </w:r>
      <w:proofErr w:type="spellStart"/>
      <w:r w:rsidRPr="00B76C29" w:rsidR="008028CA">
        <w:rPr>
          <w:lang w:val="es-ES_tradnl"/>
        </w:rPr>
        <w:t>May</w:t>
      </w:r>
      <w:proofErr w:type="spellEnd"/>
      <w:r w:rsidRPr="00B76C29" w:rsidR="008028CA">
        <w:rPr>
          <w:lang w:val="es-ES_tradnl"/>
        </w:rPr>
        <w:t xml:space="preserve"> 2011</w:t>
      </w:r>
      <w:r w:rsidRPr="00B76C29" w:rsidR="008028CA">
        <w:t xml:space="preserve">, </w:t>
      </w:r>
      <w:r w:rsidRPr="00B76C29" w:rsidR="008028CA">
        <w:rPr>
          <w:i/>
          <w:iCs/>
          <w:lang w:val="it-IT"/>
        </w:rPr>
        <w:t xml:space="preserve">Cristina </w:t>
      </w:r>
      <w:proofErr w:type="spellStart"/>
      <w:r w:rsidRPr="00B76C29" w:rsidR="008028CA">
        <w:rPr>
          <w:i/>
          <w:iCs/>
          <w:lang w:val="it-IT"/>
        </w:rPr>
        <w:t>Boicenco</w:t>
      </w:r>
      <w:proofErr w:type="spellEnd"/>
      <w:r w:rsidRPr="00B76C29" w:rsidR="008028CA">
        <w:rPr>
          <w:i/>
          <w:iCs/>
          <w:lang w:val="it-IT"/>
        </w:rPr>
        <w:t xml:space="preserve"> v. Moldova</w:t>
      </w:r>
      <w:r w:rsidRPr="00B76C29" w:rsidR="00183E07">
        <w:rPr>
          <w:lang w:val="it-IT"/>
        </w:rPr>
        <w:t>, no. 25688/09, § 43, 27 </w:t>
      </w:r>
      <w:proofErr w:type="spellStart"/>
      <w:r w:rsidRPr="00B76C29" w:rsidR="008028CA">
        <w:rPr>
          <w:lang w:val="it-IT"/>
        </w:rPr>
        <w:t>September</w:t>
      </w:r>
      <w:proofErr w:type="spellEnd"/>
      <w:r w:rsidRPr="00B76C29" w:rsidR="008028CA">
        <w:rPr>
          <w:lang w:val="it-IT"/>
        </w:rPr>
        <w:t xml:space="preserve"> 2011</w:t>
      </w:r>
      <w:r w:rsidRPr="00B76C29">
        <w:rPr>
          <w:lang w:val="it-IT"/>
        </w:rPr>
        <w:t>)</w:t>
      </w:r>
      <w:r w:rsidRPr="00B76C29" w:rsidR="008028CA">
        <w:t>.</w:t>
      </w:r>
    </w:p>
    <w:p w:rsidRPr="00B76C29" w:rsidR="008028CA" w:rsidP="00B76C29" w:rsidRDefault="00BE2BB0">
      <w:pPr>
        <w:pStyle w:val="ECHRPara"/>
        <w:rPr>
          <w:lang w:eastAsia="en-GB"/>
        </w:rPr>
      </w:pPr>
      <w:r w:rsidRPr="00B76C29">
        <w:fldChar w:fldCharType="begin"/>
      </w:r>
      <w:r w:rsidRPr="00B76C29">
        <w:instrText xml:space="preserve"> SEQ level0 \*arabic </w:instrText>
      </w:r>
      <w:r w:rsidRPr="00B76C29">
        <w:fldChar w:fldCharType="separate"/>
      </w:r>
      <w:r w:rsidRPr="00B76C29" w:rsidR="00B76C29">
        <w:rPr>
          <w:noProof/>
        </w:rPr>
        <w:t>26</w:t>
      </w:r>
      <w:r w:rsidRPr="00B76C29">
        <w:fldChar w:fldCharType="end"/>
      </w:r>
      <w:r w:rsidRPr="00B76C29">
        <w:t>.  </w:t>
      </w:r>
      <w:r w:rsidRPr="00B76C29" w:rsidR="008028CA">
        <w:t>The Court found that the amount awarded by the Supreme Court is considerably below the amounts awarded by the Court in cases in which it found a violation of Article 5 § 1 of the Convention (see paragraph 18</w:t>
      </w:r>
      <w:r w:rsidRPr="00B76C29" w:rsidR="004A5403">
        <w:t xml:space="preserve"> </w:t>
      </w:r>
      <w:r w:rsidRPr="00B76C29" w:rsidR="008028CA">
        <w:t>above). However, it does not lose sight of the fact that there may be differences in approach between assessing the loss of victim status under Article 5 § 1 on account of the quantum of compensation awarded at national level, on the one hand, and the matter of effectiveness of a right to compensation in terms of Article 5 § 5, on the other hand.</w:t>
      </w:r>
    </w:p>
    <w:p w:rsidRPr="00B76C29" w:rsidR="008028CA" w:rsidP="00B76C29" w:rsidRDefault="00BE2BB0">
      <w:pPr>
        <w:pStyle w:val="ECHRPara"/>
        <w:rPr>
          <w:lang w:val="es-ES_tradnl"/>
        </w:rPr>
      </w:pPr>
      <w:r w:rsidRPr="00B76C29">
        <w:fldChar w:fldCharType="begin"/>
      </w:r>
      <w:r w:rsidRPr="00B76C29">
        <w:instrText xml:space="preserve"> SEQ level0 \*arabic </w:instrText>
      </w:r>
      <w:r w:rsidRPr="00B76C29">
        <w:fldChar w:fldCharType="separate"/>
      </w:r>
      <w:r w:rsidRPr="00B76C29" w:rsidR="00B76C29">
        <w:rPr>
          <w:noProof/>
        </w:rPr>
        <w:t>27</w:t>
      </w:r>
      <w:r w:rsidRPr="00B76C29">
        <w:fldChar w:fldCharType="end"/>
      </w:r>
      <w:r w:rsidRPr="00B76C29">
        <w:t>.  </w:t>
      </w:r>
      <w:r w:rsidRPr="00B76C29" w:rsidR="008028CA">
        <w:t xml:space="preserve">As regards Article 5 § 5, the threshold for a violation to have occurred on account of the quantum of a domestic award is a stringent one. In the present case, the Court considers that </w:t>
      </w:r>
      <w:r w:rsidRPr="00B76C29">
        <w:t>the amount awarded to the applicant</w:t>
      </w:r>
      <w:r w:rsidRPr="00B76C29" w:rsidR="008028CA">
        <w:t xml:space="preserve"> was not so low as to undermine the right to compensation (compare </w:t>
      </w:r>
      <w:r w:rsidRPr="00B76C29" w:rsidR="008028CA">
        <w:rPr>
          <w:i/>
          <w:iCs/>
        </w:rPr>
        <w:t>Borg</w:t>
      </w:r>
      <w:r w:rsidRPr="00B76C29" w:rsidR="008028CA">
        <w:t>, cited above, § 37).</w:t>
      </w:r>
    </w:p>
    <w:p w:rsidRPr="00B76C29" w:rsidR="008D2040" w:rsidP="00B76C29" w:rsidRDefault="00BE2BB0">
      <w:pPr>
        <w:pStyle w:val="ECHRPara"/>
      </w:pPr>
      <w:r w:rsidRPr="00B76C29">
        <w:fldChar w:fldCharType="begin"/>
      </w:r>
      <w:r w:rsidRPr="00B76C29">
        <w:instrText xml:space="preserve"> SEQ level0 \*arabic </w:instrText>
      </w:r>
      <w:r w:rsidRPr="00B76C29">
        <w:fldChar w:fldCharType="separate"/>
      </w:r>
      <w:r w:rsidRPr="00B76C29" w:rsidR="00B76C29">
        <w:rPr>
          <w:noProof/>
        </w:rPr>
        <w:t>28</w:t>
      </w:r>
      <w:r w:rsidRPr="00B76C29">
        <w:fldChar w:fldCharType="end"/>
      </w:r>
      <w:r w:rsidRPr="00B76C29">
        <w:t>.  </w:t>
      </w:r>
      <w:r w:rsidRPr="00B76C29" w:rsidR="008028CA">
        <w:t>It follows that this part of the application is manifestly ill-founded and must be rejected in accordance with Article 35 §§ 3 (a) and 4 of the Convention.</w:t>
      </w:r>
    </w:p>
    <w:p w:rsidRPr="00B76C29" w:rsidR="003A69DB" w:rsidP="00B76C29" w:rsidRDefault="003A69DB">
      <w:pPr>
        <w:pStyle w:val="ECHRHeading1"/>
      </w:pPr>
      <w:r w:rsidRPr="00B76C29">
        <w:t>III.</w:t>
      </w:r>
      <w:proofErr w:type="gramStart"/>
      <w:r w:rsidRPr="00B76C29" w:rsidR="00E202BD">
        <w:t> </w:t>
      </w:r>
      <w:r w:rsidRPr="00B76C29" w:rsidR="004A5403">
        <w:t> </w:t>
      </w:r>
      <w:r w:rsidRPr="00B76C29" w:rsidR="00E202BD">
        <w:t>APPLICATION</w:t>
      </w:r>
      <w:proofErr w:type="gramEnd"/>
      <w:r w:rsidRPr="00B76C29">
        <w:t xml:space="preserve"> OF ARTICLE 41 OF THE CONVENTION</w:t>
      </w:r>
    </w:p>
    <w:p w:rsidRPr="00B76C29" w:rsidR="003A69DB" w:rsidP="00B76C29" w:rsidRDefault="003A69DB">
      <w:pPr>
        <w:pStyle w:val="ECHRPara"/>
      </w:pPr>
      <w:r w:rsidRPr="00B76C29">
        <w:fldChar w:fldCharType="begin"/>
      </w:r>
      <w:r w:rsidRPr="00B76C29">
        <w:instrText xml:space="preserve"> SEQ level0 \*arabic </w:instrText>
      </w:r>
      <w:r w:rsidRPr="00B76C29">
        <w:fldChar w:fldCharType="separate"/>
      </w:r>
      <w:r w:rsidRPr="00B76C29" w:rsidR="00B76C29">
        <w:rPr>
          <w:noProof/>
        </w:rPr>
        <w:t>29</w:t>
      </w:r>
      <w:r w:rsidRPr="00B76C29">
        <w:rPr>
          <w:noProof/>
        </w:rPr>
        <w:fldChar w:fldCharType="end"/>
      </w:r>
      <w:r w:rsidRPr="00B76C29">
        <w:t>.  Article 41 of the Convention provides:</w:t>
      </w:r>
    </w:p>
    <w:p w:rsidRPr="00B76C29" w:rsidR="003A69DB" w:rsidP="00B76C29" w:rsidRDefault="003A69DB">
      <w:pPr>
        <w:pStyle w:val="ECHRParaQuote"/>
        <w:keepNext/>
        <w:keepLines/>
      </w:pPr>
      <w:r w:rsidRPr="00B76C2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76C29" w:rsidR="003A69DB" w:rsidP="00B76C29" w:rsidRDefault="003A69DB">
      <w:pPr>
        <w:pStyle w:val="ECHRPara"/>
      </w:pPr>
      <w:r w:rsidRPr="00B76C29">
        <w:fldChar w:fldCharType="begin"/>
      </w:r>
      <w:r w:rsidRPr="00B76C29">
        <w:instrText xml:space="preserve"> SEQ level0 \*arabic </w:instrText>
      </w:r>
      <w:r w:rsidRPr="00B76C29">
        <w:fldChar w:fldCharType="separate"/>
      </w:r>
      <w:r w:rsidRPr="00B76C29" w:rsidR="00B76C29">
        <w:rPr>
          <w:noProof/>
        </w:rPr>
        <w:t>30</w:t>
      </w:r>
      <w:r w:rsidRPr="00B76C29">
        <w:rPr>
          <w:noProof/>
        </w:rPr>
        <w:fldChar w:fldCharType="end"/>
      </w:r>
      <w:r w:rsidRPr="00B76C29">
        <w:t>.  The applicant considered that he was entitled to compensation in the amount of 8,000 euros (EUR).</w:t>
      </w:r>
    </w:p>
    <w:p w:rsidRPr="00B76C29" w:rsidR="003A69DB" w:rsidP="00B76C29" w:rsidRDefault="003A69DB">
      <w:pPr>
        <w:pStyle w:val="ECHRPara"/>
      </w:pPr>
      <w:r w:rsidRPr="00B76C29">
        <w:fldChar w:fldCharType="begin"/>
      </w:r>
      <w:r w:rsidRPr="00B76C29">
        <w:instrText xml:space="preserve"> SEQ level0 \*arabic </w:instrText>
      </w:r>
      <w:r w:rsidRPr="00B76C29">
        <w:fldChar w:fldCharType="separate"/>
      </w:r>
      <w:r w:rsidRPr="00B76C29" w:rsidR="00B76C29">
        <w:rPr>
          <w:noProof/>
        </w:rPr>
        <w:t>31</w:t>
      </w:r>
      <w:r w:rsidRPr="00B76C29">
        <w:rPr>
          <w:noProof/>
        </w:rPr>
        <w:fldChar w:fldCharType="end"/>
      </w:r>
      <w:r w:rsidRPr="00B76C29">
        <w:t>.  The Government considered that amount to be excessive.</w:t>
      </w:r>
    </w:p>
    <w:p w:rsidRPr="00B76C29" w:rsidR="003A69DB" w:rsidP="00B76C29" w:rsidRDefault="003A69DB">
      <w:pPr>
        <w:pStyle w:val="ECHRPara"/>
      </w:pPr>
      <w:r w:rsidRPr="00B76C29">
        <w:fldChar w:fldCharType="begin"/>
      </w:r>
      <w:r w:rsidRPr="00B76C29">
        <w:instrText xml:space="preserve"> SEQ level0 \*arabic </w:instrText>
      </w:r>
      <w:r w:rsidRPr="00B76C29">
        <w:fldChar w:fldCharType="separate"/>
      </w:r>
      <w:r w:rsidRPr="00B76C29" w:rsidR="00B76C29">
        <w:rPr>
          <w:noProof/>
        </w:rPr>
        <w:t>32</w:t>
      </w:r>
      <w:r w:rsidRPr="00B76C29">
        <w:rPr>
          <w:noProof/>
        </w:rPr>
        <w:fldChar w:fldCharType="end"/>
      </w:r>
      <w:r w:rsidRPr="00B76C29">
        <w:t>.  In the light of all the circumstances, the Court awards the applicant EUR 4,000 in respect of non</w:t>
      </w:r>
      <w:r w:rsidRPr="00B76C29">
        <w:noBreakHyphen/>
        <w:t>pecuniary damage.</w:t>
      </w:r>
    </w:p>
    <w:p w:rsidRPr="00B76C29" w:rsidR="00014566" w:rsidP="00B76C29" w:rsidRDefault="00BB5883">
      <w:pPr>
        <w:pStyle w:val="ECHRTitle1"/>
      </w:pPr>
      <w:r w:rsidRPr="00B76C29">
        <w:t>FOR THESE REASONS, THE COURT</w:t>
      </w:r>
      <w:r w:rsidRPr="00B76C29" w:rsidR="00D1077B">
        <w:t>, UNANIMOUSLY,</w:t>
      </w:r>
    </w:p>
    <w:p w:rsidRPr="00B76C29" w:rsidR="003A69DB" w:rsidP="00B76C29" w:rsidRDefault="003A69DB">
      <w:pPr>
        <w:pStyle w:val="JuList"/>
      </w:pPr>
      <w:r w:rsidRPr="00B76C29">
        <w:t>1.  </w:t>
      </w:r>
      <w:r w:rsidRPr="00B76C29">
        <w:rPr>
          <w:i/>
        </w:rPr>
        <w:t>Joins to the merits</w:t>
      </w:r>
      <w:r w:rsidRPr="00B76C29">
        <w:t xml:space="preserve"> the Government</w:t>
      </w:r>
      <w:r w:rsidRPr="00B76C29" w:rsidR="00B76C29">
        <w:t>’</w:t>
      </w:r>
      <w:r w:rsidRPr="00B76C29">
        <w:t>s preliminary objection concerning the applicants</w:t>
      </w:r>
      <w:r w:rsidRPr="00B76C29" w:rsidR="00B76C29">
        <w:t>’</w:t>
      </w:r>
      <w:r w:rsidRPr="00B76C29">
        <w:t xml:space="preserve"> victim status, </w:t>
      </w:r>
      <w:r w:rsidRPr="00B76C29">
        <w:rPr>
          <w:i/>
        </w:rPr>
        <w:t>rejects it</w:t>
      </w:r>
      <w:r w:rsidRPr="00B76C29">
        <w:t xml:space="preserve"> and </w:t>
      </w:r>
      <w:r w:rsidRPr="00B76C29">
        <w:rPr>
          <w:i/>
        </w:rPr>
        <w:t>declares</w:t>
      </w:r>
      <w:r w:rsidRPr="00B76C29">
        <w:t xml:space="preserve"> admissible the complaint under Article 5 </w:t>
      </w:r>
      <w:r w:rsidRPr="00B76C29">
        <w:rPr>
          <w:rFonts w:cstheme="minorHAnsi"/>
        </w:rPr>
        <w:t>§</w:t>
      </w:r>
      <w:r w:rsidRPr="00B76C29">
        <w:t xml:space="preserve"> 1 of the Convention;</w:t>
      </w:r>
    </w:p>
    <w:p w:rsidRPr="00B76C29" w:rsidR="003A69DB" w:rsidP="00B76C29" w:rsidRDefault="003A69DB">
      <w:pPr>
        <w:pStyle w:val="JuList"/>
      </w:pPr>
    </w:p>
    <w:p w:rsidRPr="00B76C29" w:rsidR="00BE2BB0" w:rsidP="00B76C29" w:rsidRDefault="00BE2BB0">
      <w:pPr>
        <w:pStyle w:val="JuList"/>
      </w:pPr>
      <w:r w:rsidRPr="00B76C29">
        <w:t>2</w:t>
      </w:r>
      <w:r w:rsidRPr="00B76C29" w:rsidR="00506BD9">
        <w:t>.  </w:t>
      </w:r>
      <w:proofErr w:type="gramStart"/>
      <w:r w:rsidRPr="00B76C29">
        <w:rPr>
          <w:i/>
        </w:rPr>
        <w:t>Declares</w:t>
      </w:r>
      <w:proofErr w:type="gramEnd"/>
      <w:r w:rsidRPr="00B76C29">
        <w:t xml:space="preserve"> inadmissible the remainder of the application;</w:t>
      </w:r>
    </w:p>
    <w:p w:rsidRPr="00B76C29" w:rsidR="00BE2BB0" w:rsidP="00B76C29" w:rsidRDefault="00BE2BB0">
      <w:pPr>
        <w:pStyle w:val="JuList"/>
      </w:pPr>
    </w:p>
    <w:p w:rsidRPr="00B76C29" w:rsidR="003A69DB" w:rsidP="00B76C29" w:rsidRDefault="00BE2BB0">
      <w:pPr>
        <w:pStyle w:val="JuList"/>
      </w:pPr>
      <w:r w:rsidRPr="00B76C29">
        <w:t>3</w:t>
      </w:r>
      <w:r w:rsidRPr="00B76C29" w:rsidR="003A69DB">
        <w:t>.  </w:t>
      </w:r>
      <w:r w:rsidRPr="00B76C29" w:rsidR="003A69DB">
        <w:rPr>
          <w:i/>
        </w:rPr>
        <w:t>Holds</w:t>
      </w:r>
      <w:r w:rsidRPr="00B76C29" w:rsidR="003A69DB">
        <w:t xml:space="preserve"> that there has been a violation of Article 5 </w:t>
      </w:r>
      <w:r w:rsidRPr="00B76C29" w:rsidR="003A69DB">
        <w:rPr>
          <w:rFonts w:cstheme="minorHAnsi"/>
        </w:rPr>
        <w:t>§</w:t>
      </w:r>
      <w:r w:rsidRPr="00B76C29" w:rsidR="003A69DB">
        <w:t xml:space="preserve"> 1 of the Convention;</w:t>
      </w:r>
    </w:p>
    <w:p w:rsidRPr="00B76C29" w:rsidR="003A69DB" w:rsidP="00B76C29" w:rsidRDefault="003A69DB">
      <w:pPr>
        <w:pStyle w:val="JuList"/>
      </w:pPr>
    </w:p>
    <w:p w:rsidRPr="00B76C29" w:rsidR="003A69DB" w:rsidP="00B76C29" w:rsidRDefault="00BE2BB0">
      <w:pPr>
        <w:pStyle w:val="JuList"/>
      </w:pPr>
      <w:r w:rsidRPr="00B76C29">
        <w:t>4</w:t>
      </w:r>
      <w:r w:rsidRPr="00B76C29" w:rsidR="003A69DB">
        <w:t>.  </w:t>
      </w:r>
      <w:r w:rsidRPr="00B76C29" w:rsidR="003A69DB">
        <w:rPr>
          <w:i/>
        </w:rPr>
        <w:t>Holds</w:t>
      </w:r>
    </w:p>
    <w:p w:rsidRPr="00B76C29" w:rsidR="003A69DB" w:rsidP="00B76C29" w:rsidRDefault="003A69DB">
      <w:pPr>
        <w:pStyle w:val="JuLista"/>
      </w:pPr>
      <w:r w:rsidRPr="00B76C29">
        <w:t>(a)  that the respondent State is to pay the applicant, within three months from the date on which the judgment becomes final in accordance with Article 44 § 2 of the Convention, the following amounts,</w:t>
      </w:r>
      <w:r w:rsidRPr="00B76C29">
        <w:rPr>
          <w:b/>
        </w:rPr>
        <w:t xml:space="preserve"> </w:t>
      </w:r>
      <w:r w:rsidRPr="00B76C29">
        <w:t xml:space="preserve">to be converted into </w:t>
      </w:r>
      <w:r w:rsidRPr="00B76C29">
        <w:rPr>
          <w:color w:val="000000"/>
        </w:rPr>
        <w:t>the currency of the respondent State</w:t>
      </w:r>
      <w:r w:rsidRPr="00B76C29">
        <w:t xml:space="preserve"> at the rate applicable at the date of settlement EUR 4,000 (four thousand euros), plus any tax that may be chargeable, in respect of non-pecuniary damage;</w:t>
      </w:r>
    </w:p>
    <w:p w:rsidRPr="00B76C29" w:rsidR="00014566" w:rsidP="00B76C29" w:rsidRDefault="003A69DB">
      <w:pPr>
        <w:pStyle w:val="JuLista"/>
      </w:pPr>
      <w:r w:rsidRPr="00B76C29">
        <w:t>(b)  that from the expiry of the above-mentioned three months until settlement simple interest shall be payable on the above amounts at a rate equal to the marginal lending rate of the European Central Bank during the default perio</w:t>
      </w:r>
      <w:r w:rsidRPr="00B76C29" w:rsidR="00653F79">
        <w:t>d, plus three percentage points;</w:t>
      </w:r>
    </w:p>
    <w:p w:rsidRPr="00B76C29" w:rsidR="00653F79" w:rsidP="00B76C29" w:rsidRDefault="00653F79">
      <w:pPr>
        <w:pStyle w:val="JuLista"/>
      </w:pPr>
    </w:p>
    <w:p w:rsidRPr="00B76C29" w:rsidR="00653F79" w:rsidP="00B76C29" w:rsidRDefault="00A94C70">
      <w:pPr>
        <w:pStyle w:val="JuList"/>
      </w:pPr>
      <w:r w:rsidRPr="00B76C29">
        <w:t>5</w:t>
      </w:r>
      <w:r w:rsidRPr="00B76C29" w:rsidR="00653F79">
        <w:t>.  </w:t>
      </w:r>
      <w:r w:rsidRPr="00B76C29" w:rsidR="00653F79">
        <w:rPr>
          <w:i/>
        </w:rPr>
        <w:t>Dismisses</w:t>
      </w:r>
      <w:r w:rsidRPr="00B76C29" w:rsidR="00653F79">
        <w:rPr>
          <w:color w:val="000000"/>
        </w:rPr>
        <w:t xml:space="preserve"> </w:t>
      </w:r>
      <w:r w:rsidRPr="00B76C29" w:rsidR="00653F79">
        <w:t>the remainder of the applicants</w:t>
      </w:r>
      <w:r w:rsidRPr="00B76C29" w:rsidR="00B76C29">
        <w:t>’</w:t>
      </w:r>
      <w:r w:rsidRPr="00B76C29" w:rsidR="00653F79">
        <w:t xml:space="preserve"> claim for just satisfaction.</w:t>
      </w:r>
    </w:p>
    <w:p w:rsidRPr="00B76C29" w:rsidR="00014566" w:rsidP="00B76C29" w:rsidRDefault="00014566">
      <w:pPr>
        <w:pStyle w:val="JuParaLast"/>
      </w:pPr>
      <w:r w:rsidRPr="00B76C29">
        <w:t xml:space="preserve">Done in English, and notified in writing on </w:t>
      </w:r>
      <w:r w:rsidRPr="00B76C29" w:rsidR="00E424F9">
        <w:t>22 January 2019</w:t>
      </w:r>
      <w:r w:rsidRPr="00B76C29" w:rsidR="00C915FB">
        <w:t>, pursuant to Rule </w:t>
      </w:r>
      <w:r w:rsidRPr="00B76C29">
        <w:t>77</w:t>
      </w:r>
      <w:r w:rsidRPr="00B76C29" w:rsidR="00C915FB">
        <w:t> </w:t>
      </w:r>
      <w:r w:rsidRPr="00B76C29">
        <w:t>§§</w:t>
      </w:r>
      <w:r w:rsidRPr="00B76C29" w:rsidR="00C915FB">
        <w:t> </w:t>
      </w:r>
      <w:r w:rsidRPr="00B76C29">
        <w:t>2 and 3 of the Rules of Court.</w:t>
      </w:r>
    </w:p>
    <w:p w:rsidRPr="00B76C29" w:rsidR="00014566" w:rsidP="00B76C29" w:rsidRDefault="00014566">
      <w:pPr>
        <w:pStyle w:val="JuSigned"/>
      </w:pPr>
      <w:r w:rsidRPr="00B76C29">
        <w:tab/>
      </w:r>
      <w:r w:rsidRPr="00B76C29" w:rsidR="00D1077B">
        <w:t>Hasan Bakırcı</w:t>
      </w:r>
      <w:r w:rsidRPr="00B76C29">
        <w:tab/>
      </w:r>
      <w:r w:rsidRPr="00B76C29" w:rsidR="00E424F9">
        <w:t>Paul Lemmens</w:t>
      </w:r>
      <w:r w:rsidRPr="00B76C29" w:rsidR="00E1557C">
        <w:rPr>
          <w:szCs w:val="24"/>
        </w:rPr>
        <w:br/>
      </w:r>
      <w:r w:rsidRPr="00B76C29">
        <w:tab/>
      </w:r>
      <w:r w:rsidRPr="00B76C29" w:rsidR="00D1077B">
        <w:t xml:space="preserve">Deputy </w:t>
      </w:r>
      <w:r w:rsidRPr="00B76C29" w:rsidR="00D1077B">
        <w:rPr>
          <w:iCs/>
        </w:rPr>
        <w:t>Registrar</w:t>
      </w:r>
      <w:r w:rsidRPr="00B76C29">
        <w:tab/>
        <w:t>President</w:t>
      </w:r>
    </w:p>
    <w:p w:rsidRPr="00B76C29" w:rsidR="004D15F3" w:rsidP="00B76C29" w:rsidRDefault="004D15F3"/>
    <w:sectPr w:rsidRPr="00B76C29" w:rsidR="004D15F3" w:rsidSect="00E424F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77B" w:rsidRPr="003152BA" w:rsidRDefault="00D1077B" w:rsidP="00014566">
      <w:r w:rsidRPr="003152BA">
        <w:separator/>
      </w:r>
    </w:p>
  </w:endnote>
  <w:endnote w:type="continuationSeparator" w:id="0">
    <w:p w:rsidR="00D1077B" w:rsidRPr="003152BA" w:rsidRDefault="00D1077B"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4F9" w:rsidRPr="00150BFA" w:rsidRDefault="00E424F9" w:rsidP="0020718E">
    <w:pPr>
      <w:jc w:val="center"/>
    </w:pPr>
    <w:r>
      <w:rPr>
        <w:noProof/>
        <w:lang w:val="en-US" w:eastAsia="ja-JP"/>
      </w:rPr>
      <w:drawing>
        <wp:inline distT="0" distB="0" distL="0" distR="0" wp14:anchorId="0A90733A" wp14:editId="62A12D0B">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424F9" w:rsidRDefault="00E424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77B" w:rsidRPr="003152BA" w:rsidRDefault="00D1077B" w:rsidP="00014566">
      <w:r w:rsidRPr="003152BA">
        <w:separator/>
      </w:r>
    </w:p>
  </w:footnote>
  <w:footnote w:type="continuationSeparator" w:id="0">
    <w:p w:rsidR="00D1077B" w:rsidRPr="003152BA" w:rsidRDefault="00D1077B"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0A7" w:rsidRPr="00E424F9" w:rsidRDefault="007000A7" w:rsidP="00E424F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4F9" w:rsidRPr="00A45145" w:rsidRDefault="00E424F9" w:rsidP="00A45145">
    <w:pPr>
      <w:jc w:val="center"/>
    </w:pPr>
    <w:r>
      <w:rPr>
        <w:noProof/>
        <w:lang w:val="en-US" w:eastAsia="ja-JP"/>
      </w:rPr>
      <w:drawing>
        <wp:inline distT="0" distB="0" distL="0" distR="0" wp14:anchorId="65419FE4" wp14:editId="219FCD37">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1768A" w:rsidRDefault="002176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4F9" w:rsidRPr="003152BA" w:rsidRDefault="00E424F9"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76C29">
      <w:rPr>
        <w:rStyle w:val="PageNumber"/>
        <w:noProof/>
        <w:szCs w:val="18"/>
      </w:rPr>
      <w:t>6</w:t>
    </w:r>
    <w:r>
      <w:rPr>
        <w:rStyle w:val="PageNumber"/>
        <w:szCs w:val="18"/>
      </w:rPr>
      <w:fldChar w:fldCharType="end"/>
    </w:r>
    <w:r w:rsidRPr="003152BA">
      <w:tab/>
    </w:r>
    <w:r>
      <w:t>GOREA v. THE REPUBLIC OF MOLDOVA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4F9" w:rsidRPr="003152BA" w:rsidRDefault="00E424F9" w:rsidP="00D60D87">
    <w:pPr>
      <w:pStyle w:val="ECHRHeader"/>
    </w:pPr>
    <w:r w:rsidRPr="003152BA">
      <w:tab/>
    </w:r>
    <w:r>
      <w:t>GOREA v. THE REPUBLIC OF MOLDOVA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B76C29">
      <w:rPr>
        <w:rStyle w:val="PageNumber"/>
        <w:noProof/>
        <w:szCs w:val="18"/>
      </w:rPr>
      <w:t>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1077B"/>
    <w:rsid w:val="00000067"/>
    <w:rsid w:val="000010ED"/>
    <w:rsid w:val="000041F8"/>
    <w:rsid w:val="000042A8"/>
    <w:rsid w:val="00004308"/>
    <w:rsid w:val="00005BF0"/>
    <w:rsid w:val="00007154"/>
    <w:rsid w:val="000103AE"/>
    <w:rsid w:val="00011D69"/>
    <w:rsid w:val="00012AD3"/>
    <w:rsid w:val="00014566"/>
    <w:rsid w:val="00015C2D"/>
    <w:rsid w:val="00015F00"/>
    <w:rsid w:val="00022C1D"/>
    <w:rsid w:val="00034987"/>
    <w:rsid w:val="000350E3"/>
    <w:rsid w:val="00054FEE"/>
    <w:rsid w:val="000602DF"/>
    <w:rsid w:val="00061B05"/>
    <w:rsid w:val="00062973"/>
    <w:rsid w:val="00062D5D"/>
    <w:rsid w:val="000632D5"/>
    <w:rsid w:val="000644EE"/>
    <w:rsid w:val="00066F84"/>
    <w:rsid w:val="00071ABC"/>
    <w:rsid w:val="000856D7"/>
    <w:rsid w:val="000902AD"/>
    <w:rsid w:val="000925AD"/>
    <w:rsid w:val="000A24EB"/>
    <w:rsid w:val="000B6923"/>
    <w:rsid w:val="000C033C"/>
    <w:rsid w:val="000C5F3C"/>
    <w:rsid w:val="000C6DCC"/>
    <w:rsid w:val="000D47AA"/>
    <w:rsid w:val="000D721F"/>
    <w:rsid w:val="000E069B"/>
    <w:rsid w:val="000E0E82"/>
    <w:rsid w:val="000E1DC5"/>
    <w:rsid w:val="000E223F"/>
    <w:rsid w:val="000E35AC"/>
    <w:rsid w:val="000E7D45"/>
    <w:rsid w:val="000F338C"/>
    <w:rsid w:val="000F7851"/>
    <w:rsid w:val="00104E23"/>
    <w:rsid w:val="00111B0C"/>
    <w:rsid w:val="00120D6C"/>
    <w:rsid w:val="00123B64"/>
    <w:rsid w:val="001257EC"/>
    <w:rsid w:val="00126A7F"/>
    <w:rsid w:val="00132C6A"/>
    <w:rsid w:val="00133D33"/>
    <w:rsid w:val="00134D64"/>
    <w:rsid w:val="00135A30"/>
    <w:rsid w:val="0013612C"/>
    <w:rsid w:val="00137FF6"/>
    <w:rsid w:val="00141650"/>
    <w:rsid w:val="001457D8"/>
    <w:rsid w:val="00162A12"/>
    <w:rsid w:val="00166530"/>
    <w:rsid w:val="001832BD"/>
    <w:rsid w:val="00183E07"/>
    <w:rsid w:val="001943B5"/>
    <w:rsid w:val="00195134"/>
    <w:rsid w:val="001A145B"/>
    <w:rsid w:val="001A617E"/>
    <w:rsid w:val="001A674C"/>
    <w:rsid w:val="001B3B24"/>
    <w:rsid w:val="001C0F98"/>
    <w:rsid w:val="001C2A42"/>
    <w:rsid w:val="001D63ED"/>
    <w:rsid w:val="001D7348"/>
    <w:rsid w:val="001E035B"/>
    <w:rsid w:val="001E0961"/>
    <w:rsid w:val="001E3EAE"/>
    <w:rsid w:val="001E5348"/>
    <w:rsid w:val="001E6F32"/>
    <w:rsid w:val="001F2145"/>
    <w:rsid w:val="001F6262"/>
    <w:rsid w:val="001F67B0"/>
    <w:rsid w:val="001F7B3D"/>
    <w:rsid w:val="00205F9F"/>
    <w:rsid w:val="00210338"/>
    <w:rsid w:val="002115FC"/>
    <w:rsid w:val="002133F8"/>
    <w:rsid w:val="0021423C"/>
    <w:rsid w:val="0021768A"/>
    <w:rsid w:val="00222391"/>
    <w:rsid w:val="00230D00"/>
    <w:rsid w:val="00231DF7"/>
    <w:rsid w:val="00231FD1"/>
    <w:rsid w:val="002339E0"/>
    <w:rsid w:val="00233CF8"/>
    <w:rsid w:val="0023575D"/>
    <w:rsid w:val="00237148"/>
    <w:rsid w:val="0024222D"/>
    <w:rsid w:val="00244B0E"/>
    <w:rsid w:val="00244F6C"/>
    <w:rsid w:val="00247622"/>
    <w:rsid w:val="002532C5"/>
    <w:rsid w:val="00260C03"/>
    <w:rsid w:val="0026540E"/>
    <w:rsid w:val="0027225C"/>
    <w:rsid w:val="00275123"/>
    <w:rsid w:val="00282240"/>
    <w:rsid w:val="0028572A"/>
    <w:rsid w:val="002948AD"/>
    <w:rsid w:val="00294C05"/>
    <w:rsid w:val="00294C92"/>
    <w:rsid w:val="002A01CC"/>
    <w:rsid w:val="002A61B1"/>
    <w:rsid w:val="002A663C"/>
    <w:rsid w:val="002B1E6C"/>
    <w:rsid w:val="002B444B"/>
    <w:rsid w:val="002B5887"/>
    <w:rsid w:val="002C0692"/>
    <w:rsid w:val="002C0E27"/>
    <w:rsid w:val="002C3040"/>
    <w:rsid w:val="002D022D"/>
    <w:rsid w:val="002D24BB"/>
    <w:rsid w:val="002F171B"/>
    <w:rsid w:val="002F2AF7"/>
    <w:rsid w:val="002F7E1C"/>
    <w:rsid w:val="00301A75"/>
    <w:rsid w:val="00302F70"/>
    <w:rsid w:val="0030336F"/>
    <w:rsid w:val="0030375E"/>
    <w:rsid w:val="0031102C"/>
    <w:rsid w:val="00312A30"/>
    <w:rsid w:val="003152BA"/>
    <w:rsid w:val="00320F72"/>
    <w:rsid w:val="0032463E"/>
    <w:rsid w:val="00326224"/>
    <w:rsid w:val="0032676F"/>
    <w:rsid w:val="00331EAC"/>
    <w:rsid w:val="00337EE4"/>
    <w:rsid w:val="00340FFD"/>
    <w:rsid w:val="003506B1"/>
    <w:rsid w:val="00356AC7"/>
    <w:rsid w:val="003609FA"/>
    <w:rsid w:val="003710C8"/>
    <w:rsid w:val="003750BE"/>
    <w:rsid w:val="00387B9D"/>
    <w:rsid w:val="0039364F"/>
    <w:rsid w:val="00396686"/>
    <w:rsid w:val="0039778E"/>
    <w:rsid w:val="003A441D"/>
    <w:rsid w:val="003A69DB"/>
    <w:rsid w:val="003B4941"/>
    <w:rsid w:val="003C5714"/>
    <w:rsid w:val="003C6B9F"/>
    <w:rsid w:val="003C6E2A"/>
    <w:rsid w:val="003D0299"/>
    <w:rsid w:val="003D0AE9"/>
    <w:rsid w:val="003E6D80"/>
    <w:rsid w:val="003F05FA"/>
    <w:rsid w:val="003F244A"/>
    <w:rsid w:val="003F30B8"/>
    <w:rsid w:val="003F4C45"/>
    <w:rsid w:val="003F5949"/>
    <w:rsid w:val="003F5F7B"/>
    <w:rsid w:val="003F7D64"/>
    <w:rsid w:val="00414300"/>
    <w:rsid w:val="00425C67"/>
    <w:rsid w:val="00427E7A"/>
    <w:rsid w:val="00436307"/>
    <w:rsid w:val="00436C49"/>
    <w:rsid w:val="00445366"/>
    <w:rsid w:val="00447F5B"/>
    <w:rsid w:val="00461DB0"/>
    <w:rsid w:val="00463926"/>
    <w:rsid w:val="00464097"/>
    <w:rsid w:val="004646E0"/>
    <w:rsid w:val="00464C9A"/>
    <w:rsid w:val="00474F3D"/>
    <w:rsid w:val="00477E3A"/>
    <w:rsid w:val="00483E5F"/>
    <w:rsid w:val="00485FF9"/>
    <w:rsid w:val="004907F0"/>
    <w:rsid w:val="0049140B"/>
    <w:rsid w:val="004923A5"/>
    <w:rsid w:val="00496BFB"/>
    <w:rsid w:val="004A15C7"/>
    <w:rsid w:val="004A5403"/>
    <w:rsid w:val="004B013B"/>
    <w:rsid w:val="004B112B"/>
    <w:rsid w:val="004C01E4"/>
    <w:rsid w:val="004C086C"/>
    <w:rsid w:val="004C1F56"/>
    <w:rsid w:val="004C27BC"/>
    <w:rsid w:val="004D15F3"/>
    <w:rsid w:val="004D347F"/>
    <w:rsid w:val="004D5311"/>
    <w:rsid w:val="004D5DCC"/>
    <w:rsid w:val="004F10AF"/>
    <w:rsid w:val="004F11A4"/>
    <w:rsid w:val="004F2389"/>
    <w:rsid w:val="004F304D"/>
    <w:rsid w:val="004F61BE"/>
    <w:rsid w:val="004F66B1"/>
    <w:rsid w:val="00502A0D"/>
    <w:rsid w:val="00506BD9"/>
    <w:rsid w:val="00511C07"/>
    <w:rsid w:val="00512D5D"/>
    <w:rsid w:val="005173A6"/>
    <w:rsid w:val="00520BAA"/>
    <w:rsid w:val="00525208"/>
    <w:rsid w:val="005257A5"/>
    <w:rsid w:val="005264C0"/>
    <w:rsid w:val="00526A8A"/>
    <w:rsid w:val="00530586"/>
    <w:rsid w:val="00531DF2"/>
    <w:rsid w:val="00533CF7"/>
    <w:rsid w:val="00535BB8"/>
    <w:rsid w:val="005442EE"/>
    <w:rsid w:val="00547353"/>
    <w:rsid w:val="005474E7"/>
    <w:rsid w:val="005511A3"/>
    <w:rsid w:val="005512A3"/>
    <w:rsid w:val="00556C2C"/>
    <w:rsid w:val="005578CE"/>
    <w:rsid w:val="00562781"/>
    <w:rsid w:val="00563E83"/>
    <w:rsid w:val="0057271C"/>
    <w:rsid w:val="00572845"/>
    <w:rsid w:val="00592772"/>
    <w:rsid w:val="0059574A"/>
    <w:rsid w:val="005A1B9B"/>
    <w:rsid w:val="005A2BE8"/>
    <w:rsid w:val="005A6751"/>
    <w:rsid w:val="005B092E"/>
    <w:rsid w:val="005B152C"/>
    <w:rsid w:val="005B1EE0"/>
    <w:rsid w:val="005B2B24"/>
    <w:rsid w:val="005B4425"/>
    <w:rsid w:val="005B4B94"/>
    <w:rsid w:val="005C3EE8"/>
    <w:rsid w:val="005D34F9"/>
    <w:rsid w:val="005D4190"/>
    <w:rsid w:val="005D67A3"/>
    <w:rsid w:val="005E2988"/>
    <w:rsid w:val="005E2A43"/>
    <w:rsid w:val="005E3085"/>
    <w:rsid w:val="005E438A"/>
    <w:rsid w:val="005F51E1"/>
    <w:rsid w:val="00611C80"/>
    <w:rsid w:val="00620692"/>
    <w:rsid w:val="006242CA"/>
    <w:rsid w:val="00627507"/>
    <w:rsid w:val="00633717"/>
    <w:rsid w:val="00633E63"/>
    <w:rsid w:val="006344E1"/>
    <w:rsid w:val="00640B74"/>
    <w:rsid w:val="00653F79"/>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C7C1E"/>
    <w:rsid w:val="006D3237"/>
    <w:rsid w:val="006E2E37"/>
    <w:rsid w:val="006E3CF1"/>
    <w:rsid w:val="006E7E80"/>
    <w:rsid w:val="006F1DF9"/>
    <w:rsid w:val="006F24DB"/>
    <w:rsid w:val="006F48CA"/>
    <w:rsid w:val="006F64DD"/>
    <w:rsid w:val="007000A7"/>
    <w:rsid w:val="00715127"/>
    <w:rsid w:val="00715E8E"/>
    <w:rsid w:val="00723580"/>
    <w:rsid w:val="00723755"/>
    <w:rsid w:val="0073136C"/>
    <w:rsid w:val="00731F0F"/>
    <w:rsid w:val="00733250"/>
    <w:rsid w:val="00741404"/>
    <w:rsid w:val="007449E5"/>
    <w:rsid w:val="00746C5A"/>
    <w:rsid w:val="00747FF0"/>
    <w:rsid w:val="007509D5"/>
    <w:rsid w:val="00764D4E"/>
    <w:rsid w:val="00765A1F"/>
    <w:rsid w:val="00774A6E"/>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048F"/>
    <w:rsid w:val="00801300"/>
    <w:rsid w:val="008028CA"/>
    <w:rsid w:val="00802C64"/>
    <w:rsid w:val="00805E52"/>
    <w:rsid w:val="008061D0"/>
    <w:rsid w:val="00810B38"/>
    <w:rsid w:val="00811F69"/>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0B07"/>
    <w:rsid w:val="00893576"/>
    <w:rsid w:val="00893E73"/>
    <w:rsid w:val="008A43C4"/>
    <w:rsid w:val="008B02DC"/>
    <w:rsid w:val="008B57CE"/>
    <w:rsid w:val="008B659F"/>
    <w:rsid w:val="008C26DE"/>
    <w:rsid w:val="008D2040"/>
    <w:rsid w:val="008D2225"/>
    <w:rsid w:val="008D4752"/>
    <w:rsid w:val="008D552A"/>
    <w:rsid w:val="008E271C"/>
    <w:rsid w:val="008E418E"/>
    <w:rsid w:val="008E5BC6"/>
    <w:rsid w:val="008E6A25"/>
    <w:rsid w:val="008F5193"/>
    <w:rsid w:val="009013A7"/>
    <w:rsid w:val="009017FB"/>
    <w:rsid w:val="009017FC"/>
    <w:rsid w:val="00903B43"/>
    <w:rsid w:val="0090506B"/>
    <w:rsid w:val="009050C9"/>
    <w:rsid w:val="009066FC"/>
    <w:rsid w:val="009140A3"/>
    <w:rsid w:val="009144A2"/>
    <w:rsid w:val="0091510C"/>
    <w:rsid w:val="009259AC"/>
    <w:rsid w:val="00926F38"/>
    <w:rsid w:val="00934301"/>
    <w:rsid w:val="00936CD1"/>
    <w:rsid w:val="00941747"/>
    <w:rsid w:val="00941EFB"/>
    <w:rsid w:val="009471EE"/>
    <w:rsid w:val="00947AFB"/>
    <w:rsid w:val="00951D7D"/>
    <w:rsid w:val="00952C12"/>
    <w:rsid w:val="009630C7"/>
    <w:rsid w:val="00972B55"/>
    <w:rsid w:val="009743B7"/>
    <w:rsid w:val="0098228B"/>
    <w:rsid w:val="009828DA"/>
    <w:rsid w:val="00985BAB"/>
    <w:rsid w:val="00997F03"/>
    <w:rsid w:val="009A46DF"/>
    <w:rsid w:val="009B1B5F"/>
    <w:rsid w:val="009B2EC2"/>
    <w:rsid w:val="009B6673"/>
    <w:rsid w:val="009C191B"/>
    <w:rsid w:val="009C2AA4"/>
    <w:rsid w:val="009C2BD6"/>
    <w:rsid w:val="009C35B7"/>
    <w:rsid w:val="009E1F32"/>
    <w:rsid w:val="009E5829"/>
    <w:rsid w:val="009E776C"/>
    <w:rsid w:val="009F6BD9"/>
    <w:rsid w:val="00A130B4"/>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94C70"/>
    <w:rsid w:val="00A96ED6"/>
    <w:rsid w:val="00AA227F"/>
    <w:rsid w:val="00AA3BC7"/>
    <w:rsid w:val="00AA754A"/>
    <w:rsid w:val="00AB099E"/>
    <w:rsid w:val="00AB4328"/>
    <w:rsid w:val="00AB57ED"/>
    <w:rsid w:val="00AB5FA0"/>
    <w:rsid w:val="00AC3D17"/>
    <w:rsid w:val="00AC6AC8"/>
    <w:rsid w:val="00AE0A2E"/>
    <w:rsid w:val="00AE354C"/>
    <w:rsid w:val="00AF4B07"/>
    <w:rsid w:val="00AF4B46"/>
    <w:rsid w:val="00AF6186"/>
    <w:rsid w:val="00AF7A3A"/>
    <w:rsid w:val="00B160DB"/>
    <w:rsid w:val="00B20836"/>
    <w:rsid w:val="00B235BB"/>
    <w:rsid w:val="00B27A44"/>
    <w:rsid w:val="00B30BBF"/>
    <w:rsid w:val="00B33C03"/>
    <w:rsid w:val="00B44E56"/>
    <w:rsid w:val="00B46543"/>
    <w:rsid w:val="00B47919"/>
    <w:rsid w:val="00B47D33"/>
    <w:rsid w:val="00B52BE0"/>
    <w:rsid w:val="00B54133"/>
    <w:rsid w:val="00B637B9"/>
    <w:rsid w:val="00B701ED"/>
    <w:rsid w:val="00B76C29"/>
    <w:rsid w:val="00B8086C"/>
    <w:rsid w:val="00B861B4"/>
    <w:rsid w:val="00B86DFE"/>
    <w:rsid w:val="00B90990"/>
    <w:rsid w:val="00B922FF"/>
    <w:rsid w:val="00B92491"/>
    <w:rsid w:val="00B9281E"/>
    <w:rsid w:val="00B93925"/>
    <w:rsid w:val="00B95187"/>
    <w:rsid w:val="00BA2D55"/>
    <w:rsid w:val="00BA71B1"/>
    <w:rsid w:val="00BB0637"/>
    <w:rsid w:val="00BB345F"/>
    <w:rsid w:val="00BB5883"/>
    <w:rsid w:val="00BB68EA"/>
    <w:rsid w:val="00BC1C27"/>
    <w:rsid w:val="00BC6BBF"/>
    <w:rsid w:val="00BD1572"/>
    <w:rsid w:val="00BE14E3"/>
    <w:rsid w:val="00BE2BB0"/>
    <w:rsid w:val="00BE3774"/>
    <w:rsid w:val="00BE41E5"/>
    <w:rsid w:val="00BF0BBB"/>
    <w:rsid w:val="00BF4109"/>
    <w:rsid w:val="00BF4CC3"/>
    <w:rsid w:val="00C054C7"/>
    <w:rsid w:val="00C057B5"/>
    <w:rsid w:val="00C22687"/>
    <w:rsid w:val="00C32E4D"/>
    <w:rsid w:val="00C333A0"/>
    <w:rsid w:val="00C36A81"/>
    <w:rsid w:val="00C41974"/>
    <w:rsid w:val="00C447AD"/>
    <w:rsid w:val="00C53F4A"/>
    <w:rsid w:val="00C54125"/>
    <w:rsid w:val="00C55B54"/>
    <w:rsid w:val="00C6098E"/>
    <w:rsid w:val="00C6152C"/>
    <w:rsid w:val="00C621C2"/>
    <w:rsid w:val="00C62A42"/>
    <w:rsid w:val="00C74810"/>
    <w:rsid w:val="00C841CC"/>
    <w:rsid w:val="00C90D68"/>
    <w:rsid w:val="00C915FB"/>
    <w:rsid w:val="00C939FE"/>
    <w:rsid w:val="00CA4BDA"/>
    <w:rsid w:val="00CB1F66"/>
    <w:rsid w:val="00CB2951"/>
    <w:rsid w:val="00CD282B"/>
    <w:rsid w:val="00CD4C35"/>
    <w:rsid w:val="00CD7369"/>
    <w:rsid w:val="00CE0B0E"/>
    <w:rsid w:val="00CE2F1E"/>
    <w:rsid w:val="00CE3831"/>
    <w:rsid w:val="00D00ABB"/>
    <w:rsid w:val="00D02EEC"/>
    <w:rsid w:val="00D03551"/>
    <w:rsid w:val="00D06A63"/>
    <w:rsid w:val="00D07E0E"/>
    <w:rsid w:val="00D1077B"/>
    <w:rsid w:val="00D11478"/>
    <w:rsid w:val="00D15ED0"/>
    <w:rsid w:val="00D21B3E"/>
    <w:rsid w:val="00D21FED"/>
    <w:rsid w:val="00D24251"/>
    <w:rsid w:val="00D343E2"/>
    <w:rsid w:val="00D361A2"/>
    <w:rsid w:val="00D44C2E"/>
    <w:rsid w:val="00D45414"/>
    <w:rsid w:val="00D53C0F"/>
    <w:rsid w:val="00D566BD"/>
    <w:rsid w:val="00D57A4D"/>
    <w:rsid w:val="00D60AA7"/>
    <w:rsid w:val="00D60D87"/>
    <w:rsid w:val="00D6435F"/>
    <w:rsid w:val="00D75E28"/>
    <w:rsid w:val="00D772C2"/>
    <w:rsid w:val="00D8008E"/>
    <w:rsid w:val="00D82C45"/>
    <w:rsid w:val="00D835EA"/>
    <w:rsid w:val="00D908A8"/>
    <w:rsid w:val="00D977B6"/>
    <w:rsid w:val="00DA4A31"/>
    <w:rsid w:val="00DA61F2"/>
    <w:rsid w:val="00DA7B04"/>
    <w:rsid w:val="00DB36C2"/>
    <w:rsid w:val="00DB7196"/>
    <w:rsid w:val="00DC169B"/>
    <w:rsid w:val="00DC2AB9"/>
    <w:rsid w:val="00DC63F0"/>
    <w:rsid w:val="00DD6EE5"/>
    <w:rsid w:val="00DE1B8E"/>
    <w:rsid w:val="00DE386C"/>
    <w:rsid w:val="00DE4D35"/>
    <w:rsid w:val="00DF0549"/>
    <w:rsid w:val="00DF098B"/>
    <w:rsid w:val="00DF11C4"/>
    <w:rsid w:val="00DF210C"/>
    <w:rsid w:val="00DF4B6A"/>
    <w:rsid w:val="00E02C09"/>
    <w:rsid w:val="00E04D59"/>
    <w:rsid w:val="00E07DA1"/>
    <w:rsid w:val="00E123CB"/>
    <w:rsid w:val="00E1557C"/>
    <w:rsid w:val="00E202BD"/>
    <w:rsid w:val="00E20E13"/>
    <w:rsid w:val="00E21DBC"/>
    <w:rsid w:val="00E22EE5"/>
    <w:rsid w:val="00E275D7"/>
    <w:rsid w:val="00E27DBE"/>
    <w:rsid w:val="00E32257"/>
    <w:rsid w:val="00E32AB1"/>
    <w:rsid w:val="00E36C71"/>
    <w:rsid w:val="00E40404"/>
    <w:rsid w:val="00E4133A"/>
    <w:rsid w:val="00E424F9"/>
    <w:rsid w:val="00E459C6"/>
    <w:rsid w:val="00E47589"/>
    <w:rsid w:val="00E64915"/>
    <w:rsid w:val="00E661D4"/>
    <w:rsid w:val="00E70091"/>
    <w:rsid w:val="00E720F5"/>
    <w:rsid w:val="00E76D47"/>
    <w:rsid w:val="00E849F7"/>
    <w:rsid w:val="00E90302"/>
    <w:rsid w:val="00E9597F"/>
    <w:rsid w:val="00E97396"/>
    <w:rsid w:val="00EA185E"/>
    <w:rsid w:val="00EA592A"/>
    <w:rsid w:val="00EA737F"/>
    <w:rsid w:val="00EB14E4"/>
    <w:rsid w:val="00EB32A5"/>
    <w:rsid w:val="00EB34ED"/>
    <w:rsid w:val="00EB689F"/>
    <w:rsid w:val="00EB7BE0"/>
    <w:rsid w:val="00EC315E"/>
    <w:rsid w:val="00ED077C"/>
    <w:rsid w:val="00ED1190"/>
    <w:rsid w:val="00ED6544"/>
    <w:rsid w:val="00ED727B"/>
    <w:rsid w:val="00EE0277"/>
    <w:rsid w:val="00EE1DA9"/>
    <w:rsid w:val="00EE3E00"/>
    <w:rsid w:val="00EE5DD2"/>
    <w:rsid w:val="00EF0073"/>
    <w:rsid w:val="00EF41F1"/>
    <w:rsid w:val="00EF4F08"/>
    <w:rsid w:val="00EF573B"/>
    <w:rsid w:val="00F00A79"/>
    <w:rsid w:val="00F00E86"/>
    <w:rsid w:val="00F00F8B"/>
    <w:rsid w:val="00F0429B"/>
    <w:rsid w:val="00F07C1E"/>
    <w:rsid w:val="00F105DB"/>
    <w:rsid w:val="00F132BC"/>
    <w:rsid w:val="00F13D80"/>
    <w:rsid w:val="00F16AAA"/>
    <w:rsid w:val="00F21161"/>
    <w:rsid w:val="00F218EF"/>
    <w:rsid w:val="00F21BC7"/>
    <w:rsid w:val="00F266A2"/>
    <w:rsid w:val="00F32269"/>
    <w:rsid w:val="00F4113E"/>
    <w:rsid w:val="00F4457E"/>
    <w:rsid w:val="00F56A6F"/>
    <w:rsid w:val="00F5709C"/>
    <w:rsid w:val="00F64EF1"/>
    <w:rsid w:val="00F74574"/>
    <w:rsid w:val="00F8765F"/>
    <w:rsid w:val="00F90767"/>
    <w:rsid w:val="00F9545D"/>
    <w:rsid w:val="00FA685B"/>
    <w:rsid w:val="00FB0C01"/>
    <w:rsid w:val="00FC18F2"/>
    <w:rsid w:val="00FC39E5"/>
    <w:rsid w:val="00FC3A78"/>
    <w:rsid w:val="00FC5FFE"/>
    <w:rsid w:val="00FD1005"/>
    <w:rsid w:val="00FD3180"/>
    <w:rsid w:val="00FD6C75"/>
    <w:rsid w:val="00FE507F"/>
    <w:rsid w:val="00FE71B3"/>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76C29"/>
    <w:pPr>
      <w:jc w:val="both"/>
    </w:pPr>
    <w:rPr>
      <w:rFonts w:eastAsiaTheme="minorEastAsia"/>
      <w:sz w:val="24"/>
      <w:lang w:val="en-GB"/>
    </w:rPr>
  </w:style>
  <w:style w:type="paragraph" w:styleId="Heading1">
    <w:name w:val="heading 1"/>
    <w:basedOn w:val="Normal"/>
    <w:next w:val="Normal"/>
    <w:link w:val="Heading1Char"/>
    <w:uiPriority w:val="99"/>
    <w:semiHidden/>
    <w:rsid w:val="00B76C2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76C2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76C2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76C2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76C2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76C2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76C2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76C2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76C2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76C29"/>
    <w:rPr>
      <w:rFonts w:ascii="Tahoma" w:hAnsi="Tahoma" w:cs="Tahoma"/>
      <w:sz w:val="16"/>
      <w:szCs w:val="16"/>
    </w:rPr>
  </w:style>
  <w:style w:type="character" w:customStyle="1" w:styleId="BalloonTextChar">
    <w:name w:val="Balloon Text Char"/>
    <w:basedOn w:val="DefaultParagraphFont"/>
    <w:link w:val="BalloonText"/>
    <w:uiPriority w:val="99"/>
    <w:semiHidden/>
    <w:rsid w:val="00B76C29"/>
    <w:rPr>
      <w:rFonts w:ascii="Tahoma" w:eastAsiaTheme="minorEastAsia" w:hAnsi="Tahoma" w:cs="Tahoma"/>
      <w:sz w:val="16"/>
      <w:szCs w:val="16"/>
      <w:lang w:val="en-GB"/>
    </w:rPr>
  </w:style>
  <w:style w:type="character" w:styleId="BookTitle">
    <w:name w:val="Book Title"/>
    <w:uiPriority w:val="99"/>
    <w:semiHidden/>
    <w:qFormat/>
    <w:rsid w:val="00B76C29"/>
    <w:rPr>
      <w:i/>
      <w:iCs/>
      <w:smallCaps/>
      <w:spacing w:val="5"/>
    </w:rPr>
  </w:style>
  <w:style w:type="paragraph" w:customStyle="1" w:styleId="ECHRHeader">
    <w:name w:val="ECHR_Header"/>
    <w:aliases w:val="Ju_Header"/>
    <w:basedOn w:val="Header"/>
    <w:uiPriority w:val="4"/>
    <w:qFormat/>
    <w:rsid w:val="00B76C2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76C29"/>
    <w:pPr>
      <w:jc w:val="left"/>
    </w:pPr>
    <w:rPr>
      <w:sz w:val="8"/>
    </w:rPr>
  </w:style>
  <w:style w:type="character" w:styleId="Strong">
    <w:name w:val="Strong"/>
    <w:uiPriority w:val="99"/>
    <w:semiHidden/>
    <w:qFormat/>
    <w:rsid w:val="00B76C29"/>
    <w:rPr>
      <w:b/>
      <w:bCs/>
    </w:rPr>
  </w:style>
  <w:style w:type="paragraph" w:styleId="NoSpacing">
    <w:name w:val="No Spacing"/>
    <w:basedOn w:val="Normal"/>
    <w:link w:val="NoSpacingChar"/>
    <w:semiHidden/>
    <w:qFormat/>
    <w:rsid w:val="00B76C29"/>
    <w:rPr>
      <w:sz w:val="22"/>
      <w:lang w:val="en-US"/>
    </w:rPr>
  </w:style>
  <w:style w:type="character" w:customStyle="1" w:styleId="NoSpacingChar">
    <w:name w:val="No Spacing Char"/>
    <w:basedOn w:val="DefaultParagraphFont"/>
    <w:link w:val="NoSpacing"/>
    <w:semiHidden/>
    <w:rsid w:val="00B76C29"/>
    <w:rPr>
      <w:rFonts w:eastAsiaTheme="minorEastAsia"/>
    </w:rPr>
  </w:style>
  <w:style w:type="paragraph" w:customStyle="1" w:styleId="ECHRFooterLine">
    <w:name w:val="ECHR_Footer_Line"/>
    <w:aliases w:val="Footer_Line"/>
    <w:basedOn w:val="Normal"/>
    <w:next w:val="ECHRFooter"/>
    <w:uiPriority w:val="57"/>
    <w:semiHidden/>
    <w:rsid w:val="00B76C2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76C29"/>
  </w:style>
  <w:style w:type="paragraph" w:customStyle="1" w:styleId="DecList">
    <w:name w:val="Dec_List"/>
    <w:basedOn w:val="Normal"/>
    <w:uiPriority w:val="9"/>
    <w:semiHidden/>
    <w:qFormat/>
    <w:rsid w:val="00B76C29"/>
    <w:pPr>
      <w:spacing w:before="240"/>
      <w:ind w:left="284"/>
    </w:pPr>
  </w:style>
  <w:style w:type="paragraph" w:customStyle="1" w:styleId="DummyStyle">
    <w:name w:val="Dummy_Style"/>
    <w:basedOn w:val="Normal"/>
    <w:semiHidden/>
    <w:qFormat/>
    <w:rsid w:val="00B76C29"/>
    <w:rPr>
      <w:color w:val="00B050"/>
    </w:rPr>
  </w:style>
  <w:style w:type="paragraph" w:customStyle="1" w:styleId="ECHRTitleCentre3">
    <w:name w:val="ECHR_Title_Centre_3"/>
    <w:aliases w:val="Ju_H_Article"/>
    <w:basedOn w:val="Normal"/>
    <w:next w:val="ECHRParaQuote"/>
    <w:uiPriority w:val="27"/>
    <w:qFormat/>
    <w:rsid w:val="00B76C2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76C2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B76C29"/>
    <w:pPr>
      <w:numPr>
        <w:numId w:val="26"/>
      </w:numPr>
      <w:jc w:val="left"/>
    </w:pPr>
    <w:rPr>
      <w:b/>
    </w:rPr>
  </w:style>
  <w:style w:type="paragraph" w:customStyle="1" w:styleId="JuCourt">
    <w:name w:val="Ju_Court"/>
    <w:basedOn w:val="Normal"/>
    <w:next w:val="Normal"/>
    <w:uiPriority w:val="16"/>
    <w:qFormat/>
    <w:rsid w:val="00B76C29"/>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B76C29"/>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B76C29"/>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B76C29"/>
    <w:pPr>
      <w:ind w:left="794"/>
    </w:pPr>
  </w:style>
  <w:style w:type="paragraph" w:styleId="Title">
    <w:name w:val="Title"/>
    <w:basedOn w:val="Normal"/>
    <w:next w:val="Normal"/>
    <w:link w:val="TitleChar"/>
    <w:uiPriority w:val="99"/>
    <w:semiHidden/>
    <w:qFormat/>
    <w:rsid w:val="00B76C2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76C2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76C2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76C2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76C2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76C2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76C29"/>
    <w:pPr>
      <w:keepNext/>
      <w:keepLines/>
      <w:spacing w:before="240" w:after="120"/>
      <w:ind w:left="1236"/>
    </w:pPr>
    <w:rPr>
      <w:sz w:val="20"/>
      <w:lang w:val="en-GB"/>
    </w:rPr>
  </w:style>
  <w:style w:type="character" w:customStyle="1" w:styleId="JUNAMES">
    <w:name w:val="JU_NAMES"/>
    <w:uiPriority w:val="17"/>
    <w:qFormat/>
    <w:rsid w:val="00B76C29"/>
    <w:rPr>
      <w:caps w:val="0"/>
      <w:smallCaps/>
    </w:rPr>
  </w:style>
  <w:style w:type="paragraph" w:customStyle="1" w:styleId="JuParaSub">
    <w:name w:val="Ju_Para_Sub"/>
    <w:basedOn w:val="ECHRPara"/>
    <w:uiPriority w:val="13"/>
    <w:qFormat/>
    <w:rsid w:val="00B76C29"/>
    <w:pPr>
      <w:ind w:left="284"/>
    </w:pPr>
  </w:style>
  <w:style w:type="paragraph" w:customStyle="1" w:styleId="JuQuotSub">
    <w:name w:val="Ju_Quot_Sub"/>
    <w:basedOn w:val="ECHRParaQuote"/>
    <w:uiPriority w:val="15"/>
    <w:qFormat/>
    <w:rsid w:val="00B76C29"/>
    <w:pPr>
      <w:ind w:left="567"/>
    </w:pPr>
  </w:style>
  <w:style w:type="paragraph" w:styleId="Header">
    <w:name w:val="header"/>
    <w:basedOn w:val="Normal"/>
    <w:link w:val="HeaderChar"/>
    <w:uiPriority w:val="57"/>
    <w:semiHidden/>
    <w:rsid w:val="00B76C2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76C29"/>
    <w:rPr>
      <w:sz w:val="24"/>
      <w:lang w:val="en-GB"/>
    </w:rPr>
  </w:style>
  <w:style w:type="character" w:customStyle="1" w:styleId="Heading1Char">
    <w:name w:val="Heading 1 Char"/>
    <w:basedOn w:val="DefaultParagraphFont"/>
    <w:link w:val="Heading1"/>
    <w:uiPriority w:val="99"/>
    <w:semiHidden/>
    <w:rsid w:val="00B76C2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76C2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76C2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76C29"/>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B76C29"/>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B76C29"/>
    <w:pPr>
      <w:ind w:firstLine="284"/>
    </w:pPr>
    <w:rPr>
      <w:b/>
    </w:rPr>
  </w:style>
  <w:style w:type="character" w:customStyle="1" w:styleId="Heading3Char">
    <w:name w:val="Heading 3 Char"/>
    <w:basedOn w:val="DefaultParagraphFont"/>
    <w:link w:val="Heading3"/>
    <w:uiPriority w:val="99"/>
    <w:semiHidden/>
    <w:rsid w:val="00B76C2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B76C2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76C29"/>
    <w:rPr>
      <w:rFonts w:asciiTheme="majorHAnsi" w:eastAsiaTheme="majorEastAsia" w:hAnsiTheme="majorHAnsi" w:cstheme="majorBidi"/>
      <w:b/>
      <w:bCs/>
      <w:color w:val="808080"/>
    </w:rPr>
  </w:style>
  <w:style w:type="character" w:styleId="SubtleEmphasis">
    <w:name w:val="Subtle Emphasis"/>
    <w:uiPriority w:val="99"/>
    <w:semiHidden/>
    <w:qFormat/>
    <w:rsid w:val="00B76C2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76C29"/>
    <w:pPr>
      <w:keepNext/>
      <w:keepLines/>
      <w:spacing w:before="720" w:after="240"/>
      <w:outlineLvl w:val="0"/>
    </w:pPr>
    <w:rPr>
      <w:rFonts w:asciiTheme="majorHAnsi" w:hAnsiTheme="majorHAnsi"/>
      <w:sz w:val="28"/>
    </w:rPr>
  </w:style>
  <w:style w:type="character" w:styleId="Emphasis">
    <w:name w:val="Emphasis"/>
    <w:uiPriority w:val="99"/>
    <w:semiHidden/>
    <w:qFormat/>
    <w:rsid w:val="00B76C29"/>
    <w:rPr>
      <w:b/>
      <w:bCs/>
      <w:i/>
      <w:iCs/>
      <w:spacing w:val="10"/>
      <w:bdr w:val="none" w:sz="0" w:space="0" w:color="auto"/>
      <w:shd w:val="clear" w:color="auto" w:fill="auto"/>
    </w:rPr>
  </w:style>
  <w:style w:type="paragraph" w:styleId="Footer">
    <w:name w:val="footer"/>
    <w:basedOn w:val="Normal"/>
    <w:link w:val="FooterChar"/>
    <w:uiPriority w:val="57"/>
    <w:semiHidden/>
    <w:rsid w:val="00B76C2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76C29"/>
    <w:rPr>
      <w:sz w:val="24"/>
      <w:lang w:val="en-GB"/>
    </w:rPr>
  </w:style>
  <w:style w:type="character" w:styleId="FootnoteReference">
    <w:name w:val="footnote reference"/>
    <w:basedOn w:val="DefaultParagraphFont"/>
    <w:uiPriority w:val="99"/>
    <w:semiHidden/>
    <w:rsid w:val="00B76C29"/>
    <w:rPr>
      <w:vertAlign w:val="superscript"/>
    </w:rPr>
  </w:style>
  <w:style w:type="paragraph" w:styleId="FootnoteText">
    <w:name w:val="footnote text"/>
    <w:basedOn w:val="Normal"/>
    <w:link w:val="FootnoteTextChar"/>
    <w:uiPriority w:val="99"/>
    <w:semiHidden/>
    <w:rsid w:val="00B76C29"/>
    <w:rPr>
      <w:sz w:val="20"/>
      <w:szCs w:val="20"/>
    </w:rPr>
  </w:style>
  <w:style w:type="character" w:customStyle="1" w:styleId="FootnoteTextChar">
    <w:name w:val="Footnote Text Char"/>
    <w:basedOn w:val="DefaultParagraphFont"/>
    <w:link w:val="FootnoteText"/>
    <w:uiPriority w:val="99"/>
    <w:semiHidden/>
    <w:rsid w:val="00B76C29"/>
    <w:rPr>
      <w:rFonts w:eastAsiaTheme="minorEastAsia"/>
      <w:sz w:val="20"/>
      <w:szCs w:val="20"/>
      <w:lang w:val="en-GB"/>
    </w:rPr>
  </w:style>
  <w:style w:type="character" w:customStyle="1" w:styleId="Heading6Char">
    <w:name w:val="Heading 6 Char"/>
    <w:basedOn w:val="DefaultParagraphFont"/>
    <w:link w:val="Heading6"/>
    <w:uiPriority w:val="99"/>
    <w:semiHidden/>
    <w:rsid w:val="00B76C2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76C2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76C2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76C2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76C29"/>
    <w:rPr>
      <w:color w:val="0072BC" w:themeColor="hyperlink"/>
      <w:u w:val="single"/>
    </w:rPr>
  </w:style>
  <w:style w:type="character" w:styleId="IntenseEmphasis">
    <w:name w:val="Intense Emphasis"/>
    <w:uiPriority w:val="99"/>
    <w:semiHidden/>
    <w:qFormat/>
    <w:rsid w:val="00B76C29"/>
    <w:rPr>
      <w:b/>
      <w:bCs/>
    </w:rPr>
  </w:style>
  <w:style w:type="paragraph" w:styleId="IntenseQuote">
    <w:name w:val="Intense Quote"/>
    <w:basedOn w:val="Normal"/>
    <w:next w:val="Normal"/>
    <w:link w:val="IntenseQuoteChar"/>
    <w:uiPriority w:val="99"/>
    <w:semiHidden/>
    <w:qFormat/>
    <w:rsid w:val="00B76C2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76C29"/>
    <w:rPr>
      <w:rFonts w:eastAsiaTheme="minorEastAsia"/>
      <w:b/>
      <w:bCs/>
      <w:i/>
      <w:iCs/>
      <w:lang w:bidi="en-US"/>
    </w:rPr>
  </w:style>
  <w:style w:type="character" w:styleId="IntenseReference">
    <w:name w:val="Intense Reference"/>
    <w:uiPriority w:val="99"/>
    <w:semiHidden/>
    <w:qFormat/>
    <w:rsid w:val="00B76C29"/>
    <w:rPr>
      <w:smallCaps/>
      <w:spacing w:val="5"/>
      <w:u w:val="single"/>
    </w:rPr>
  </w:style>
  <w:style w:type="paragraph" w:styleId="ListParagraph">
    <w:name w:val="List Paragraph"/>
    <w:basedOn w:val="Normal"/>
    <w:uiPriority w:val="99"/>
    <w:semiHidden/>
    <w:qFormat/>
    <w:rsid w:val="00B76C2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76C2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76C29"/>
    <w:rPr>
      <w:rFonts w:eastAsiaTheme="minorEastAsia"/>
      <w:i/>
      <w:iCs/>
      <w:lang w:bidi="en-US"/>
    </w:rPr>
  </w:style>
  <w:style w:type="character" w:styleId="SubtleReference">
    <w:name w:val="Subtle Reference"/>
    <w:uiPriority w:val="99"/>
    <w:semiHidden/>
    <w:qFormat/>
    <w:rsid w:val="00B76C29"/>
    <w:rPr>
      <w:smallCaps/>
    </w:rPr>
  </w:style>
  <w:style w:type="table" w:styleId="TableGrid">
    <w:name w:val="Table Grid"/>
    <w:basedOn w:val="TableNormal"/>
    <w:uiPriority w:val="59"/>
    <w:semiHidden/>
    <w:rsid w:val="00B76C2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76C2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76C2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76C2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76C2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76C2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76C2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76C2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B76C29"/>
    <w:pPr>
      <w:spacing w:before="120" w:after="120"/>
      <w:ind w:left="425" w:firstLine="142"/>
    </w:pPr>
    <w:rPr>
      <w:sz w:val="20"/>
    </w:rPr>
  </w:style>
  <w:style w:type="paragraph" w:customStyle="1" w:styleId="ECHRPara">
    <w:name w:val="ECHR_Para"/>
    <w:aliases w:val="Ju_Para"/>
    <w:basedOn w:val="Normal"/>
    <w:link w:val="ECHRParaChar"/>
    <w:uiPriority w:val="12"/>
    <w:qFormat/>
    <w:rsid w:val="00B76C2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76C2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76C2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76C29"/>
    <w:pPr>
      <w:ind w:left="340" w:hanging="340"/>
    </w:pPr>
  </w:style>
  <w:style w:type="paragraph" w:customStyle="1" w:styleId="JuSigned">
    <w:name w:val="Ju_Signed"/>
    <w:basedOn w:val="Normal"/>
    <w:next w:val="JuParaLast"/>
    <w:uiPriority w:val="32"/>
    <w:qFormat/>
    <w:rsid w:val="00B76C29"/>
    <w:pPr>
      <w:tabs>
        <w:tab w:val="center" w:pos="851"/>
        <w:tab w:val="center" w:pos="6407"/>
      </w:tabs>
      <w:spacing w:before="720"/>
      <w:jc w:val="left"/>
    </w:pPr>
  </w:style>
  <w:style w:type="paragraph" w:customStyle="1" w:styleId="JuParaLast">
    <w:name w:val="Ju_Para_Last"/>
    <w:basedOn w:val="Normal"/>
    <w:next w:val="ECHRPara"/>
    <w:uiPriority w:val="30"/>
    <w:qFormat/>
    <w:rsid w:val="00B76C29"/>
    <w:pPr>
      <w:keepNext/>
      <w:keepLines/>
      <w:spacing w:before="240"/>
      <w:ind w:firstLine="284"/>
    </w:pPr>
  </w:style>
  <w:style w:type="paragraph" w:customStyle="1" w:styleId="OpiH1">
    <w:name w:val="Opi_H_1"/>
    <w:basedOn w:val="ECHRHeading2"/>
    <w:uiPriority w:val="42"/>
    <w:qFormat/>
    <w:rsid w:val="00B76C29"/>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B76C29"/>
    <w:pPr>
      <w:ind w:left="346" w:firstLine="0"/>
    </w:pPr>
  </w:style>
  <w:style w:type="paragraph" w:customStyle="1" w:styleId="OpiHa">
    <w:name w:val="Opi_H_a"/>
    <w:basedOn w:val="ECHRHeading3"/>
    <w:uiPriority w:val="43"/>
    <w:qFormat/>
    <w:rsid w:val="00B76C29"/>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B76C29"/>
    <w:rPr>
      <w:vertAlign w:val="superscript"/>
    </w:rPr>
  </w:style>
  <w:style w:type="paragraph" w:styleId="EndnoteText">
    <w:name w:val="endnote text"/>
    <w:basedOn w:val="Normal"/>
    <w:link w:val="EndnoteTextChar"/>
    <w:uiPriority w:val="99"/>
    <w:semiHidden/>
    <w:rsid w:val="00B76C29"/>
    <w:rPr>
      <w:sz w:val="20"/>
      <w:szCs w:val="20"/>
    </w:rPr>
  </w:style>
  <w:style w:type="character" w:customStyle="1" w:styleId="EndnoteTextChar">
    <w:name w:val="Endnote Text Char"/>
    <w:basedOn w:val="DefaultParagraphFont"/>
    <w:link w:val="EndnoteText"/>
    <w:uiPriority w:val="99"/>
    <w:semiHidden/>
    <w:rsid w:val="00B76C2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B76C29"/>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B76C2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76C2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76C2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B76C2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76C2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76C2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B76C29"/>
    <w:pPr>
      <w:ind w:left="1037" w:hanging="357"/>
      <w:outlineLvl w:val="4"/>
    </w:pPr>
    <w:rPr>
      <w:b w:val="0"/>
      <w:i/>
    </w:rPr>
  </w:style>
  <w:style w:type="paragraph" w:customStyle="1" w:styleId="OpiPara">
    <w:name w:val="Opi_Para"/>
    <w:basedOn w:val="ECHRPara"/>
    <w:uiPriority w:val="46"/>
    <w:qFormat/>
    <w:rsid w:val="00B76C29"/>
  </w:style>
  <w:style w:type="paragraph" w:customStyle="1" w:styleId="OpiParaSub">
    <w:name w:val="Opi_Para_Sub"/>
    <w:basedOn w:val="JuParaSub"/>
    <w:uiPriority w:val="47"/>
    <w:qFormat/>
    <w:rsid w:val="00B76C29"/>
  </w:style>
  <w:style w:type="paragraph" w:customStyle="1" w:styleId="OpiQuot">
    <w:name w:val="Opi_Quot"/>
    <w:basedOn w:val="ECHRParaQuote"/>
    <w:uiPriority w:val="48"/>
    <w:qFormat/>
    <w:rsid w:val="00B76C29"/>
  </w:style>
  <w:style w:type="paragraph" w:customStyle="1" w:styleId="OpiQuotSub">
    <w:name w:val="Opi_Quot_Sub"/>
    <w:basedOn w:val="JuQuotSub"/>
    <w:uiPriority w:val="49"/>
    <w:qFormat/>
    <w:rsid w:val="00B76C29"/>
  </w:style>
  <w:style w:type="paragraph" w:customStyle="1" w:styleId="OpiTranslation">
    <w:name w:val="Opi_Translation"/>
    <w:basedOn w:val="Normal"/>
    <w:next w:val="OpiPara"/>
    <w:uiPriority w:val="40"/>
    <w:qFormat/>
    <w:rsid w:val="00B76C29"/>
    <w:pPr>
      <w:jc w:val="center"/>
      <w:outlineLvl w:val="0"/>
    </w:pPr>
    <w:rPr>
      <w:i/>
    </w:rPr>
  </w:style>
  <w:style w:type="paragraph" w:customStyle="1" w:styleId="JuHeaderLandscape">
    <w:name w:val="Ju_Header_Landscape"/>
    <w:basedOn w:val="ECHRHeader"/>
    <w:uiPriority w:val="4"/>
    <w:qFormat/>
    <w:rsid w:val="00B76C29"/>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D1077B"/>
    <w:rPr>
      <w:rFonts w:eastAsiaTheme="minorEastAsia"/>
      <w:sz w:val="24"/>
      <w:lang w:val="en-GB"/>
    </w:rPr>
  </w:style>
  <w:style w:type="character" w:customStyle="1" w:styleId="JuQuotChar">
    <w:name w:val="Ju_Quot Char"/>
    <w:basedOn w:val="DefaultParagraphFont"/>
    <w:link w:val="ECHRParaQuote"/>
    <w:uiPriority w:val="14"/>
    <w:rsid w:val="00B47919"/>
    <w:rPr>
      <w:rFonts w:eastAsiaTheme="minorEastAsia"/>
      <w:sz w:val="20"/>
      <w:lang w:val="en-GB"/>
    </w:rPr>
  </w:style>
  <w:style w:type="character" w:customStyle="1" w:styleId="CLLItalic">
    <w:name w:val="CLL_Italic"/>
    <w:basedOn w:val="DefaultParagraphFont"/>
    <w:uiPriority w:val="1"/>
    <w:rsid w:val="00B47919"/>
    <w:rPr>
      <w:i/>
      <w:iCs/>
      <w:color w:val="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207084">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39F46B-1410-4232-AD99-CB93D4DA3077}"/>
</file>

<file path=customXml/itemProps2.xml><?xml version="1.0" encoding="utf-8"?>
<ds:datastoreItem xmlns:ds="http://schemas.openxmlformats.org/officeDocument/2006/customXml" ds:itemID="{52E53CC2-3ABE-4402-AC7A-EA8F311530AC}"/>
</file>

<file path=customXml/itemProps3.xml><?xml version="1.0" encoding="utf-8"?>
<ds:datastoreItem xmlns:ds="http://schemas.openxmlformats.org/officeDocument/2006/customXml" ds:itemID="{C595D77A-4265-4A37-9CB2-B5FC42955006}"/>
</file>

<file path=customXml/itemProps4.xml><?xml version="1.0" encoding="utf-8"?>
<ds:datastoreItem xmlns:ds="http://schemas.openxmlformats.org/officeDocument/2006/customXml" ds:itemID="{1C561A75-744D-4670-A980-C7B16908B6B2}"/>
</file>

<file path=docProps/app.xml><?xml version="1.0" encoding="utf-8"?>
<Properties xmlns="http://schemas.openxmlformats.org/officeDocument/2006/extended-properties" xmlns:vt="http://schemas.openxmlformats.org/officeDocument/2006/docPropsVTypes">
  <Template>Normal.dotm</Template>
  <TotalTime>0</TotalTime>
  <Pages>1</Pages>
  <Words>1932</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2019-08-31T10:29:00Z</dcterms:created>
  <dcterms:modified xsi:type="dcterms:W3CDTF">2019-08-31T10:29:00Z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63507/11</vt:lpwstr>
  </property>
  <property fmtid="{D5CDD505-2E9C-101B-9397-08002B2CF9AE}" pid="4" name="CASEID">
    <vt:lpwstr>753027</vt:lpwstr>
  </property>
  <property fmtid="{D5CDD505-2E9C-101B-9397-08002B2CF9AE}" pid="5" name="ContentTypeId">
    <vt:lpwstr>0x010100558EB02BDB9E204AB350EDD385B68E10</vt:lpwstr>
  </property>
</Properties>
</file>