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A3999" w:rsidR="005C7DEF" w:rsidP="001A3999" w:rsidRDefault="005C7DEF">
      <w:pPr>
        <w:keepNext/>
        <w:keepLines/>
        <w:suppressLineNumbers/>
        <w:jc w:val="center"/>
      </w:pPr>
      <w:bookmarkStart w:name="_GoBack" w:id="0"/>
      <w:bookmarkEnd w:id="0"/>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p>
    <w:p w:rsidRPr="001A3999" w:rsidR="005C7DEF" w:rsidP="001A3999" w:rsidRDefault="005C7DEF">
      <w:pPr>
        <w:keepNext/>
        <w:keepLines/>
        <w:suppressLineNumbers/>
        <w:jc w:val="center"/>
      </w:pPr>
      <w:r w:rsidRPr="001A3999">
        <w:t>FIFTH SECTION</w:t>
      </w:r>
    </w:p>
    <w:p w:rsidRPr="001A3999" w:rsidR="005C7DEF" w:rsidP="001A3999" w:rsidRDefault="005C7DEF">
      <w:pPr>
        <w:keepNext/>
        <w:keepLines/>
        <w:suppressLineNumbers/>
        <w:jc w:val="center"/>
      </w:pP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p>
    <w:p w:rsidRPr="001A3999" w:rsidR="005C7DEF" w:rsidP="001A3999" w:rsidRDefault="005C7DEF">
      <w:pPr>
        <w:keepNext/>
        <w:keepLines/>
        <w:suppressLineNumbers/>
        <w:jc w:val="center"/>
        <w:rPr>
          <w:b/>
        </w:rPr>
      </w:pPr>
      <w:bookmarkStart w:name="To" w:id="1"/>
      <w:r w:rsidRPr="001A3999">
        <w:rPr>
          <w:b/>
        </w:rPr>
        <w:t xml:space="preserve">CASE OF </w:t>
      </w:r>
      <w:bookmarkEnd w:id="1"/>
      <w:r w:rsidRPr="001A3999">
        <w:rPr>
          <w:b/>
        </w:rPr>
        <w:t>BARTAIA v. GEORGIA</w:t>
      </w:r>
    </w:p>
    <w:p w:rsidRPr="001A3999" w:rsidR="005C7DEF" w:rsidP="001A3999" w:rsidRDefault="005C7DEF">
      <w:pPr>
        <w:keepNext/>
        <w:keepLines/>
        <w:suppressLineNumbers/>
        <w:jc w:val="center"/>
      </w:pPr>
    </w:p>
    <w:p w:rsidRPr="001A3999" w:rsidR="005C7DEF" w:rsidP="001A3999" w:rsidRDefault="005C7DEF">
      <w:pPr>
        <w:keepNext/>
        <w:keepLines/>
        <w:suppressLineNumbers/>
        <w:jc w:val="center"/>
        <w:rPr>
          <w:i/>
        </w:rPr>
      </w:pPr>
      <w:r w:rsidRPr="001A3999">
        <w:rPr>
          <w:i/>
        </w:rPr>
        <w:t>(Application no. 10978/06)</w:t>
      </w:r>
    </w:p>
    <w:p w:rsidRPr="001A3999" w:rsidR="005C7DEF" w:rsidP="001A3999" w:rsidRDefault="005C7DEF">
      <w:pPr>
        <w:keepNext/>
        <w:keepLines/>
        <w:suppressLineNumbers/>
        <w:jc w:val="center"/>
      </w:pPr>
    </w:p>
    <w:p w:rsidRPr="001A3999" w:rsidR="005C7DEF" w:rsidP="001A3999" w:rsidRDefault="005C7DEF">
      <w:pPr>
        <w:keepNext/>
        <w:keepLines/>
        <w:suppressLineNumbers/>
        <w:jc w:val="center"/>
      </w:pPr>
    </w:p>
    <w:p w:rsidRPr="001A3999" w:rsidR="00F0751D" w:rsidP="001A3999" w:rsidRDefault="00F0751D">
      <w:pPr>
        <w:keepNext/>
        <w:keepLines/>
        <w:suppressLineNumbers/>
        <w:jc w:val="center"/>
      </w:pPr>
    </w:p>
    <w:p w:rsidRPr="001A3999" w:rsidR="001A3999" w:rsidP="001A3999" w:rsidRDefault="001A3999">
      <w:pPr>
        <w:keepNext/>
        <w:keepLines/>
        <w:suppressLineNumbers/>
        <w:jc w:val="center"/>
      </w:pPr>
    </w:p>
    <w:p w:rsidRPr="001A3999" w:rsidR="00F0751D" w:rsidP="001A3999" w:rsidRDefault="00F0751D">
      <w:pPr>
        <w:keepNext/>
        <w:keepLines/>
        <w:suppressLineNumbers/>
        <w:jc w:val="center"/>
      </w:pPr>
    </w:p>
    <w:p w:rsidRPr="001A3999" w:rsidR="00F0751D" w:rsidP="001A3999" w:rsidRDefault="00F0751D">
      <w:pPr>
        <w:keepNext/>
        <w:keepLines/>
        <w:suppressLineNumbers/>
        <w:jc w:val="center"/>
      </w:pPr>
    </w:p>
    <w:p w:rsidRPr="001A3999" w:rsidR="005C7DEF" w:rsidP="001A3999" w:rsidRDefault="005C7DEF">
      <w:pPr>
        <w:keepNext/>
        <w:keepLines/>
        <w:suppressLineNumbers/>
        <w:jc w:val="center"/>
      </w:pPr>
    </w:p>
    <w:p w:rsidRPr="001A3999" w:rsidR="005C7DEF" w:rsidP="001A3999" w:rsidRDefault="005C7DEF">
      <w:pPr>
        <w:keepNext/>
        <w:keepLines/>
        <w:suppressLineNumbers/>
        <w:jc w:val="center"/>
      </w:pPr>
    </w:p>
    <w:p w:rsidRPr="001A3999" w:rsidR="005C7DEF" w:rsidP="001A3999" w:rsidRDefault="003B2A69">
      <w:pPr>
        <w:keepNext/>
        <w:keepLines/>
        <w:suppressLineNumbers/>
        <w:jc w:val="center"/>
      </w:pPr>
      <w:r w:rsidRPr="001A3999">
        <w:t>JUDGMENT</w:t>
      </w:r>
    </w:p>
    <w:p w:rsidRPr="001A3999" w:rsidR="00B97CD7" w:rsidP="001A3999" w:rsidRDefault="00B97CD7">
      <w:pPr>
        <w:keepNext/>
        <w:keepLines/>
        <w:suppressLineNumbers/>
        <w:jc w:val="center"/>
      </w:pPr>
    </w:p>
    <w:p w:rsidRPr="001A3999" w:rsidR="004F6791" w:rsidP="001A3999" w:rsidRDefault="003646B0">
      <w:pPr>
        <w:keepNext/>
        <w:keepLines/>
        <w:suppressLineNumbers/>
        <w:jc w:val="center"/>
        <w:rPr>
          <w:rFonts w:cstheme="minorHAnsi"/>
          <w:i/>
        </w:rPr>
      </w:pPr>
      <w:r w:rsidRPr="001A3999">
        <w:rPr>
          <w:rFonts w:cstheme="minorHAnsi"/>
          <w:i/>
        </w:rPr>
        <w:t>This version was rectified on 28 August 2018</w:t>
      </w:r>
    </w:p>
    <w:p w:rsidRPr="001A3999" w:rsidR="003B2A69" w:rsidP="001A3999" w:rsidRDefault="003646B0">
      <w:pPr>
        <w:keepNext/>
        <w:keepLines/>
        <w:suppressLineNumbers/>
        <w:jc w:val="center"/>
        <w:rPr>
          <w:rFonts w:cstheme="minorHAnsi"/>
          <w:i/>
        </w:rPr>
      </w:pPr>
      <w:proofErr w:type="gramStart"/>
      <w:r w:rsidRPr="001A3999">
        <w:rPr>
          <w:rFonts w:cstheme="minorHAnsi"/>
          <w:i/>
          <w:iCs/>
          <w:color w:val="000000"/>
          <w:sz w:val="22"/>
        </w:rPr>
        <w:t>under</w:t>
      </w:r>
      <w:proofErr w:type="gramEnd"/>
      <w:r w:rsidRPr="001A3999">
        <w:rPr>
          <w:rFonts w:cstheme="minorHAnsi"/>
          <w:i/>
          <w:iCs/>
          <w:color w:val="000000"/>
          <w:sz w:val="22"/>
        </w:rPr>
        <w:t xml:space="preserve"> Rule 81 of the Rules of Court</w:t>
      </w: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r w:rsidRPr="001A3999">
        <w:t>STRASBOURG</w:t>
      </w:r>
    </w:p>
    <w:p w:rsidRPr="001A3999" w:rsidR="00B97CD7" w:rsidP="001A3999" w:rsidRDefault="00B97CD7">
      <w:pPr>
        <w:keepNext/>
        <w:keepLines/>
        <w:suppressLineNumbers/>
        <w:jc w:val="center"/>
      </w:pPr>
    </w:p>
    <w:p w:rsidRPr="001A3999" w:rsidR="00B97CD7" w:rsidP="001A3999" w:rsidRDefault="00B97CD7">
      <w:pPr>
        <w:keepNext/>
        <w:keepLines/>
        <w:suppressLineNumbers/>
        <w:jc w:val="center"/>
      </w:pPr>
      <w:r w:rsidRPr="001A3999">
        <w:t>2</w:t>
      </w:r>
      <w:r w:rsidRPr="001A3999" w:rsidR="009D1DF0">
        <w:t xml:space="preserve">6 </w:t>
      </w:r>
      <w:r w:rsidRPr="001A3999">
        <w:t>July 2018</w:t>
      </w:r>
    </w:p>
    <w:p w:rsidRPr="001A3999" w:rsidR="001A3999" w:rsidP="001A3999" w:rsidRDefault="001A3999">
      <w:pPr>
        <w:keepNext/>
        <w:keepLines/>
        <w:suppressLineNumbers/>
        <w:jc w:val="center"/>
      </w:pPr>
    </w:p>
    <w:p w:rsidRPr="001A3999" w:rsidR="001A3999" w:rsidP="001A3999" w:rsidRDefault="001A3999">
      <w:pPr>
        <w:keepNext/>
        <w:keepLines/>
        <w:suppressLineNumbers/>
        <w:jc w:val="center"/>
        <w:rPr>
          <w:b/>
          <w:color w:val="FF0000"/>
          <w:sz w:val="28"/>
          <w:szCs w:val="28"/>
          <w:u w:val="single"/>
        </w:rPr>
      </w:pPr>
      <w:r w:rsidRPr="001A3999">
        <w:rPr>
          <w:b/>
          <w:color w:val="FF0000"/>
          <w:sz w:val="28"/>
          <w:szCs w:val="28"/>
          <w:u w:val="single"/>
        </w:rPr>
        <w:t>FINAL</w:t>
      </w:r>
    </w:p>
    <w:p w:rsidRPr="001A3999" w:rsidR="001A3999" w:rsidP="001A3999" w:rsidRDefault="001A3999">
      <w:pPr>
        <w:keepNext/>
        <w:keepLines/>
        <w:suppressLineNumbers/>
        <w:jc w:val="center"/>
        <w:rPr>
          <w:b/>
          <w:color w:val="FF0000"/>
          <w:sz w:val="28"/>
          <w:szCs w:val="28"/>
          <w:u w:val="single"/>
        </w:rPr>
      </w:pPr>
    </w:p>
    <w:p w:rsidRPr="001A3999" w:rsidR="001A3999" w:rsidP="001A3999" w:rsidRDefault="001A3999">
      <w:pPr>
        <w:keepNext/>
        <w:keepLines/>
        <w:suppressLineNumbers/>
        <w:jc w:val="center"/>
      </w:pPr>
      <w:r w:rsidRPr="001A3999">
        <w:rPr>
          <w:color w:val="FF0000"/>
          <w:sz w:val="28"/>
          <w:szCs w:val="28"/>
        </w:rPr>
        <w:t>26/10/2018</w:t>
      </w:r>
    </w:p>
    <w:p w:rsidRPr="001A3999" w:rsidR="00B97CD7" w:rsidP="001A3999" w:rsidRDefault="00B97CD7">
      <w:pPr>
        <w:keepNext/>
        <w:keepLines/>
        <w:suppressLineNumbers/>
        <w:jc w:val="center"/>
      </w:pPr>
    </w:p>
    <w:p w:rsidRPr="001A3999" w:rsidR="001A3999" w:rsidP="001A3999" w:rsidRDefault="001A3999">
      <w:pPr>
        <w:keepNext/>
        <w:keepLines/>
        <w:suppressLineNumbers/>
        <w:jc w:val="center"/>
        <w:rPr>
          <w:i/>
          <w:iCs/>
          <w:sz w:val="22"/>
        </w:rPr>
      </w:pPr>
      <w:r w:rsidRPr="001A3999">
        <w:rPr>
          <w:i/>
          <w:iCs/>
          <w:sz w:val="22"/>
        </w:rPr>
        <w:t>This judgment has become final under Article 44 § 2 of the Convention. It may be subject to editorial revision.</w:t>
      </w:r>
    </w:p>
    <w:p w:rsidRPr="001A3999" w:rsidR="00B97CD7" w:rsidP="001A3999" w:rsidRDefault="00B97CD7">
      <w:pPr>
        <w:pStyle w:val="ECHRPara"/>
        <w:suppressLineNumbers/>
        <w:sectPr w:rsidRPr="001A3999" w:rsidR="00B97CD7" w:rsidSect="00B97CD7">
          <w:headerReference w:type="default" r:id="rId8"/>
          <w:headerReference w:type="first" r:id="rId9"/>
          <w:footerReference w:type="first" r:id="rId10"/>
          <w:footnotePr>
            <w:numRestart w:val="eachSect"/>
          </w:footnotePr>
          <w:pgSz w:w="11906" w:h="16838" w:code="9"/>
          <w:pgMar w:top="2274" w:right="2274" w:bottom="2274" w:left="2274" w:header="1701" w:footer="720" w:gutter="0"/>
          <w:lnNumType w:countBy="1" w:restart="continuous"/>
          <w:pgNumType w:start="1"/>
          <w:cols w:space="720"/>
          <w:titlePg/>
          <w:docGrid w:linePitch="326"/>
        </w:sectPr>
      </w:pPr>
    </w:p>
    <w:p w:rsidRPr="001A3999" w:rsidR="005C7DEF" w:rsidP="001A3999" w:rsidRDefault="005C7DEF">
      <w:pPr>
        <w:pStyle w:val="JuCase"/>
        <w:rPr>
          <w:bCs/>
        </w:rPr>
      </w:pPr>
      <w:r w:rsidRPr="001A3999">
        <w:t>In the case of Bartaia v. Georgia,</w:t>
      </w:r>
    </w:p>
    <w:p w:rsidRPr="001A3999" w:rsidR="005C7DEF" w:rsidP="001A3999" w:rsidRDefault="005C7DEF">
      <w:pPr>
        <w:pStyle w:val="ECHRPara"/>
      </w:pPr>
      <w:r w:rsidRPr="001A3999">
        <w:t>The European Court of Human Rights (Fifth Section), sitting as a Chamber composed of:</w:t>
      </w:r>
    </w:p>
    <w:p w:rsidRPr="001A3999" w:rsidR="005C7DEF" w:rsidP="001A3999" w:rsidRDefault="009D1DF0">
      <w:pPr>
        <w:pStyle w:val="ECHRDecisionBody"/>
      </w:pPr>
      <w:r w:rsidRPr="001A3999">
        <w:tab/>
        <w:t>Angelika Nußberger,</w:t>
      </w:r>
      <w:r w:rsidRPr="001A3999">
        <w:rPr>
          <w:i/>
        </w:rPr>
        <w:t xml:space="preserve"> President,</w:t>
      </w:r>
      <w:r w:rsidRPr="001A3999">
        <w:rPr>
          <w:i/>
        </w:rPr>
        <w:br/>
      </w:r>
      <w:r w:rsidRPr="001A3999">
        <w:tab/>
        <w:t>André Potocki,</w:t>
      </w:r>
      <w:r w:rsidRPr="001A3999">
        <w:rPr>
          <w:i/>
        </w:rPr>
        <w:br/>
      </w:r>
      <w:r w:rsidRPr="001A3999">
        <w:tab/>
        <w:t>Yonko Grozev,</w:t>
      </w:r>
      <w:r w:rsidRPr="001A3999">
        <w:rPr>
          <w:i/>
        </w:rPr>
        <w:br/>
      </w:r>
      <w:r w:rsidRPr="001A3999">
        <w:tab/>
        <w:t>Mārtiņš Mits,</w:t>
      </w:r>
      <w:r w:rsidRPr="001A3999">
        <w:rPr>
          <w:i/>
        </w:rPr>
        <w:br/>
      </w:r>
      <w:r w:rsidRPr="001A3999">
        <w:tab/>
        <w:t>Gabriele Kucsko-Stadlmayer,</w:t>
      </w:r>
      <w:r w:rsidRPr="001A3999">
        <w:rPr>
          <w:i/>
        </w:rPr>
        <w:br/>
      </w:r>
      <w:r w:rsidRPr="001A3999">
        <w:tab/>
        <w:t>Lәtif Hüseynov,</w:t>
      </w:r>
      <w:r w:rsidRPr="001A3999">
        <w:rPr>
          <w:i/>
        </w:rPr>
        <w:br/>
      </w:r>
      <w:r w:rsidRPr="001A3999">
        <w:tab/>
        <w:t>Lado Chanturia,</w:t>
      </w:r>
      <w:r w:rsidRPr="001A3999">
        <w:rPr>
          <w:i/>
        </w:rPr>
        <w:t xml:space="preserve"> judges,</w:t>
      </w:r>
      <w:r w:rsidRPr="001A3999">
        <w:rPr>
          <w:i/>
        </w:rPr>
        <w:br/>
      </w:r>
      <w:r w:rsidRPr="001A3999" w:rsidR="005C7DEF">
        <w:t xml:space="preserve">and Claudia Westerdiek, </w:t>
      </w:r>
      <w:r w:rsidRPr="001A3999" w:rsidR="005C7DEF">
        <w:rPr>
          <w:i/>
        </w:rPr>
        <w:t xml:space="preserve">Section </w:t>
      </w:r>
      <w:r w:rsidRPr="001A3999" w:rsidR="005C7DEF">
        <w:rPr>
          <w:i/>
          <w:iCs/>
        </w:rPr>
        <w:t>Registrar</w:t>
      </w:r>
      <w:r w:rsidRPr="001A3999" w:rsidR="005C7DEF">
        <w:rPr>
          <w:i/>
        </w:rPr>
        <w:t>,</w:t>
      </w:r>
    </w:p>
    <w:p w:rsidRPr="001A3999" w:rsidR="005C7DEF" w:rsidP="001A3999" w:rsidRDefault="005C7DEF">
      <w:pPr>
        <w:pStyle w:val="ECHRPara"/>
      </w:pPr>
      <w:r w:rsidRPr="001A3999">
        <w:t xml:space="preserve">Having deliberated in private on </w:t>
      </w:r>
      <w:r w:rsidRPr="001A3999" w:rsidR="00B97CD7">
        <w:t>3 July 2018</w:t>
      </w:r>
      <w:r w:rsidRPr="001A3999">
        <w:t>,</w:t>
      </w:r>
    </w:p>
    <w:p w:rsidRPr="001A3999" w:rsidR="005C7DEF" w:rsidP="001A3999" w:rsidRDefault="005C7DEF">
      <w:pPr>
        <w:pStyle w:val="ECHRPara"/>
      </w:pPr>
      <w:r w:rsidRPr="001A3999">
        <w:t>Delivers the following judgment, which was adopted on that date:</w:t>
      </w:r>
    </w:p>
    <w:p w:rsidRPr="001A3999" w:rsidR="005C7DEF" w:rsidP="001A3999" w:rsidRDefault="005C7DEF">
      <w:pPr>
        <w:pStyle w:val="ECHRTitle1"/>
      </w:pPr>
      <w:r w:rsidRPr="001A3999">
        <w:t>PROCEDURE</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w:t>
      </w:r>
      <w:r w:rsidRPr="001A3999">
        <w:fldChar w:fldCharType="end"/>
      </w:r>
      <w:r w:rsidRPr="001A3999">
        <w:t>.  The case originated in an application (no. 10978/06) against Georgia lodged with the Court under Article 34 of the Convention for the Protection of Human Rights and Fundamental Freedoms (“the Convention”) by a Georgian national, Mr Alexander Bartaia (“the applicant”), on 16 February 2006.</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w:t>
      </w:r>
      <w:r w:rsidRPr="001A3999">
        <w:fldChar w:fldCharType="end"/>
      </w:r>
      <w:r w:rsidRPr="001A3999">
        <w:t>.  The applicant was represented by Ms M. Bartaia, a lawyer practising in Tbilisi. The Georgian Government (“the Government”) were represented by their Agents, most recently Mr B. Dzamashvili of the Ministry of Justice.</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3</w:t>
      </w:r>
      <w:r w:rsidRPr="001A3999">
        <w:fldChar w:fldCharType="end"/>
      </w:r>
      <w:r w:rsidRPr="001A3999">
        <w:t xml:space="preserve">.  The applicant complained, under Article 6 </w:t>
      </w:r>
      <w:r w:rsidRPr="001A3999">
        <w:rPr>
          <w:rFonts w:cstheme="minorHAnsi"/>
        </w:rPr>
        <w:t>§</w:t>
      </w:r>
      <w:r w:rsidRPr="001A3999">
        <w:t xml:space="preserve"> 1 of the Convention, that a default judgment had been wrongly issued against him</w:t>
      </w:r>
      <w:r w:rsidRPr="001A3999" w:rsidR="006B42C9">
        <w:t xml:space="preserve"> in violation of the principle of equality of arms</w:t>
      </w:r>
      <w:r w:rsidRPr="001A3999">
        <w:t>,</w:t>
      </w:r>
      <w:r w:rsidRPr="001A3999">
        <w:rPr>
          <w:szCs w:val="24"/>
        </w:rPr>
        <w:t xml:space="preserve"> </w:t>
      </w:r>
      <w:r w:rsidRPr="001A3999" w:rsidR="006B42C9">
        <w:rPr>
          <w:szCs w:val="24"/>
        </w:rPr>
        <w:t xml:space="preserve">and that he was </w:t>
      </w:r>
      <w:r w:rsidRPr="001A3999">
        <w:rPr>
          <w:szCs w:val="24"/>
        </w:rPr>
        <w:t>subsequently depriv</w:t>
      </w:r>
      <w:r w:rsidRPr="001A3999" w:rsidR="006B42C9">
        <w:rPr>
          <w:szCs w:val="24"/>
        </w:rPr>
        <w:t>ed</w:t>
      </w:r>
      <w:r w:rsidRPr="001A3999">
        <w:rPr>
          <w:szCs w:val="24"/>
        </w:rPr>
        <w:t xml:space="preserve"> of an opportunity to obtain a fresh examination of his case with his participation.</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w:t>
      </w:r>
      <w:r w:rsidRPr="001A3999">
        <w:fldChar w:fldCharType="end"/>
      </w:r>
      <w:r w:rsidRPr="001A3999">
        <w:t xml:space="preserve">.  On </w:t>
      </w:r>
      <w:r w:rsidRPr="001A3999">
        <w:rPr>
          <w:szCs w:val="24"/>
        </w:rPr>
        <w:t>10 January 2008</w:t>
      </w:r>
      <w:r w:rsidRPr="001A3999">
        <w:t xml:space="preserve"> the </w:t>
      </w:r>
      <w:r w:rsidRPr="001A3999">
        <w:rPr>
          <w:szCs w:val="24"/>
        </w:rPr>
        <w:t>application was communicated to the Government</w:t>
      </w:r>
      <w:r w:rsidRPr="001A3999">
        <w:t>.</w:t>
      </w:r>
    </w:p>
    <w:p w:rsidRPr="001A3999" w:rsidR="005C7DEF" w:rsidP="001A3999" w:rsidRDefault="005C7DEF">
      <w:pPr>
        <w:pStyle w:val="ECHRTitle1"/>
      </w:pPr>
      <w:r w:rsidRPr="001A3999">
        <w:t>THE FACTS</w:t>
      </w:r>
    </w:p>
    <w:p w:rsidRPr="001A3999" w:rsidR="005C7DEF" w:rsidP="001A3999" w:rsidRDefault="005C7DEF">
      <w:pPr>
        <w:pStyle w:val="ECHRHeading1"/>
      </w:pPr>
      <w:r w:rsidRPr="001A3999">
        <w:t>I.  THE CIRCUMSTANCES OF THE CASE</w:t>
      </w:r>
    </w:p>
    <w:p w:rsidRPr="001A3999" w:rsidR="00B97CD7"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5</w:t>
      </w:r>
      <w:r w:rsidRPr="001A3999">
        <w:fldChar w:fldCharType="end"/>
      </w:r>
      <w:r w:rsidRPr="001A3999">
        <w:t>.  The applicant was born in 1938 and lives in Tbilisi.</w:t>
      </w:r>
    </w:p>
    <w:p w:rsidRPr="001A3999" w:rsidR="005C7DEF" w:rsidP="001A3999" w:rsidRDefault="003B2A69">
      <w:pPr>
        <w:pStyle w:val="ECHRHeading2"/>
      </w:pPr>
      <w:r w:rsidRPr="001A3999">
        <w:t>A.  </w:t>
      </w:r>
      <w:r w:rsidRPr="001A3999" w:rsidR="005C7DEF">
        <w:t>Proceedings before the Didube-Chugureti District Court</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6</w:t>
      </w:r>
      <w:r w:rsidRPr="001A3999">
        <w:fldChar w:fldCharType="end"/>
      </w:r>
      <w:r w:rsidRPr="001A3999">
        <w:t>.  On 10 September 2003 the applicant was dismissed from a printing company. He brought proceedings against his employer.</w:t>
      </w:r>
    </w:p>
    <w:bookmarkStart w:name="request_adjournment" w:id="2"/>
    <w:p w:rsidRPr="001A3999" w:rsidR="00533214"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7</w:t>
      </w:r>
      <w:r w:rsidRPr="001A3999">
        <w:fldChar w:fldCharType="end"/>
      </w:r>
      <w:bookmarkEnd w:id="2"/>
      <w:r w:rsidRPr="001A3999">
        <w:t>.  </w:t>
      </w:r>
      <w:r w:rsidRPr="001A3999" w:rsidR="00707D77">
        <w:t>At the preparatory hearing of 26 December 200</w:t>
      </w:r>
      <w:r w:rsidRPr="001A3999" w:rsidR="001D4890">
        <w:t>3</w:t>
      </w:r>
      <w:r w:rsidRPr="001A3999" w:rsidR="00707D77">
        <w:t xml:space="preserve"> t</w:t>
      </w:r>
      <w:r w:rsidRPr="001A3999">
        <w:t>he Didube</w:t>
      </w:r>
      <w:r w:rsidRPr="001A3999" w:rsidR="00B97CD7">
        <w:noBreakHyphen/>
      </w:r>
      <w:r w:rsidRPr="001A3999">
        <w:t>Chugureti District Court in Tbilisi (“the</w:t>
      </w:r>
      <w:r w:rsidRPr="001A3999">
        <w:rPr>
          <w:lang w:val="en"/>
        </w:rPr>
        <w:t xml:space="preserve"> </w:t>
      </w:r>
      <w:r w:rsidRPr="001A3999">
        <w:t xml:space="preserve">District Court”) scheduled the main hearing for 3.30 p.m. on 28 January 2004. </w:t>
      </w:r>
      <w:r w:rsidRPr="001A3999" w:rsidR="00E074CE">
        <w:t xml:space="preserve">The preparatory hearing was attended both by the applicant and his lawyer. </w:t>
      </w:r>
      <w:r w:rsidRPr="001A3999" w:rsidR="001D4890">
        <w:t>On 22 January 2004 t</w:t>
      </w:r>
      <w:r w:rsidRPr="001A3999">
        <w:t>he applicant</w:t>
      </w:r>
      <w:r w:rsidRPr="001A3999" w:rsidR="001A3999">
        <w:t>’</w:t>
      </w:r>
      <w:r w:rsidRPr="001A3999">
        <w:t xml:space="preserve">s lawyer </w:t>
      </w:r>
      <w:r w:rsidRPr="001A3999" w:rsidR="00221F5D">
        <w:t xml:space="preserve">wrote to </w:t>
      </w:r>
      <w:r w:rsidRPr="001A3999">
        <w:t xml:space="preserve">the court </w:t>
      </w:r>
      <w:r w:rsidRPr="001A3999" w:rsidR="00221F5D">
        <w:t xml:space="preserve">informing </w:t>
      </w:r>
      <w:r w:rsidRPr="001A3999">
        <w:t>that he was due to attend a hearing for an appeal on points of law before the Supreme Court of Georgia at 3 p.m. on 28</w:t>
      </w:r>
      <w:r w:rsidRPr="001A3999" w:rsidR="00B97CD7">
        <w:t xml:space="preserve"> </w:t>
      </w:r>
      <w:r w:rsidRPr="001A3999">
        <w:t>January 2004 and therefore could not be present. He requested that the hearing be adjourned.</w:t>
      </w:r>
      <w:r w:rsidRPr="001A3999" w:rsidR="00EF3771">
        <w:t xml:space="preserve"> No reply followed.</w:t>
      </w:r>
    </w:p>
    <w:bookmarkStart w:name="in_hearing_request_adjournment" w:id="3"/>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8</w:t>
      </w:r>
      <w:r w:rsidRPr="001A3999">
        <w:fldChar w:fldCharType="end"/>
      </w:r>
      <w:bookmarkEnd w:id="3"/>
      <w:r w:rsidRPr="001A3999">
        <w:t xml:space="preserve">.  The District Court held the hearing on 28 January 2004 as planned. The applicant appeared and submitted that, as he was not a lawyer, he would be unable to argue his case in the absence of his representative. He requested that the hearing be adjourned so that he could be represented by his lawyer. Counsel for the opposing party objected to the request and asked the first-instance court to issue a default judgment against the applicant. The record of the hearing shows that the judge warned the applicant that, if he refused to take any further part, “the court would give a decision </w:t>
      </w:r>
      <w:r w:rsidRPr="001A3999">
        <w:rPr>
          <w:i/>
        </w:rPr>
        <w:t>in absentia</w:t>
      </w:r>
      <w:r w:rsidRPr="001A3999">
        <w:t>”. The applicant, however, repeated that he would be unable to present his case without his lawyer.</w:t>
      </w:r>
    </w:p>
    <w:bookmarkStart w:name="ignore_adjournment" w:id="4"/>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9</w:t>
      </w:r>
      <w:r w:rsidRPr="001A3999">
        <w:fldChar w:fldCharType="end"/>
      </w:r>
      <w:bookmarkEnd w:id="4"/>
      <w:r w:rsidRPr="001A3999">
        <w:t xml:space="preserve">.  According to the record of the hearing, the </w:t>
      </w:r>
      <w:r w:rsidRPr="001A3999" w:rsidR="00B92BB0">
        <w:t xml:space="preserve">District Court </w:t>
      </w:r>
      <w:r w:rsidRPr="001A3999">
        <w:t>did not consider the applicant</w:t>
      </w:r>
      <w:r w:rsidRPr="001A3999" w:rsidR="001A3999">
        <w:t>’</w:t>
      </w:r>
      <w:r w:rsidRPr="001A3999">
        <w:t>s request for an adjournment. It ruled that his refusal to participate in the hearing equated to a failure to appear in court within the meaning of Article 232 of the Code of Civil Procedure (“the CCP”, see paragraph</w:t>
      </w:r>
      <w:r w:rsidRPr="001A3999" w:rsidR="00B97CD7">
        <w:t xml:space="preserve"> </w:t>
      </w:r>
      <w:r w:rsidRPr="001A3999">
        <w:fldChar w:fldCharType="begin"/>
      </w:r>
      <w:r w:rsidRPr="001A3999">
        <w:instrText xml:space="preserve"> REF CCP \h </w:instrText>
      </w:r>
      <w:r w:rsidRPr="001A3999">
        <w:fldChar w:fldCharType="separate"/>
      </w:r>
      <w:r w:rsidRPr="001A3999" w:rsidR="001A3999">
        <w:rPr>
          <w:noProof/>
        </w:rPr>
        <w:t>20</w:t>
      </w:r>
      <w:r w:rsidRPr="001A3999">
        <w:fldChar w:fldCharType="end"/>
      </w:r>
      <w:r w:rsidRPr="001A3999">
        <w:t xml:space="preserve"> below). In view of the above, and concluding that the applicant had been duly summoned to the hearing in accordance with Articles 70 to 73 of the CCP, the judge issued</w:t>
      </w:r>
      <w:r w:rsidRPr="001A3999" w:rsidR="00F313D0">
        <w:t>, in accordance with Article </w:t>
      </w:r>
      <w:r w:rsidRPr="001A3999">
        <w:t xml:space="preserve">229 </w:t>
      </w:r>
      <w:r w:rsidRPr="001A3999">
        <w:rPr>
          <w:rFonts w:cstheme="minorHAnsi"/>
        </w:rPr>
        <w:t>§</w:t>
      </w:r>
      <w:r w:rsidRPr="001A3999">
        <w:t xml:space="preserve"> 1 of the CCP</w:t>
      </w:r>
      <w:r w:rsidRPr="001A3999" w:rsidR="00533214">
        <w:t xml:space="preserve"> </w:t>
      </w:r>
      <w:r w:rsidRPr="001A3999">
        <w:t>(see paragraph</w:t>
      </w:r>
      <w:r w:rsidRPr="001A3999" w:rsidR="00533214">
        <w:t xml:space="preserve"> </w:t>
      </w:r>
      <w:r w:rsidRPr="001A3999">
        <w:fldChar w:fldCharType="begin"/>
      </w:r>
      <w:r w:rsidRPr="001A3999">
        <w:instrText xml:space="preserve"> REF CCP \h </w:instrText>
      </w:r>
      <w:r w:rsidRPr="001A3999">
        <w:fldChar w:fldCharType="separate"/>
      </w:r>
      <w:r w:rsidRPr="001A3999" w:rsidR="001A3999">
        <w:rPr>
          <w:noProof/>
        </w:rPr>
        <w:t>20</w:t>
      </w:r>
      <w:r w:rsidRPr="001A3999">
        <w:fldChar w:fldCharType="end"/>
      </w:r>
      <w:r w:rsidRPr="001A3999">
        <w:t xml:space="preserve"> below), a default judgment rejecting the applicant</w:t>
      </w:r>
      <w:r w:rsidRPr="001A3999" w:rsidR="001A3999">
        <w:t>’</w:t>
      </w:r>
      <w:r w:rsidRPr="001A3999">
        <w:t>s action without examining it or giving any reasons.</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10</w:t>
      </w:r>
      <w:r w:rsidRPr="001A3999">
        <w:fldChar w:fldCharType="end"/>
      </w:r>
      <w:r w:rsidRPr="001A3999">
        <w:t>.  The decision stated in its operative part that an application to set aside the judgment could be made to the same court within ten days.</w:t>
      </w:r>
    </w:p>
    <w:p w:rsidRPr="001A3999" w:rsidR="005C7DEF" w:rsidP="001A3999" w:rsidRDefault="003B2A69">
      <w:pPr>
        <w:pStyle w:val="ECHRHeading2"/>
      </w:pPr>
      <w:r w:rsidRPr="001A3999">
        <w:t>B.  </w:t>
      </w:r>
      <w:r w:rsidRPr="001A3999" w:rsidR="005C7DEF">
        <w:t>Annulment proceedings</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11</w:t>
      </w:r>
      <w:r w:rsidRPr="001A3999">
        <w:fldChar w:fldCharType="end"/>
      </w:r>
      <w:r w:rsidRPr="001A3999">
        <w:t>.  The applicant</w:t>
      </w:r>
      <w:r w:rsidRPr="001A3999" w:rsidR="001A3999">
        <w:t>’</w:t>
      </w:r>
      <w:r w:rsidRPr="001A3999">
        <w:t xml:space="preserve">s lawyer filed an application to set aside the judgment, enclosing a letter from the Supreme Court dated 5 February 2004 confirming that he had participated in the hearing of </w:t>
      </w:r>
      <w:r w:rsidRPr="001A3999" w:rsidR="00A069FF">
        <w:t>an appeal on points of law at 3</w:t>
      </w:r>
      <w:r w:rsidRPr="001A3999" w:rsidR="00533214">
        <w:t xml:space="preserve"> </w:t>
      </w:r>
      <w:r w:rsidRPr="001A3999">
        <w:t>p.m. on 28 January 2004. He argued that his involvement in the examination of another case was a “valid reason” for his absence</w:t>
      </w:r>
      <w:r w:rsidRPr="001A3999" w:rsidR="00533214">
        <w:rPr>
          <w:rFonts w:ascii="Sylfaen" w:hAnsi="Sylfaen"/>
        </w:rPr>
        <w:t xml:space="preserve"> </w:t>
      </w:r>
      <w:r w:rsidRPr="001A3999">
        <w:t xml:space="preserve">(see Articles 233 and 241 of the CCP as cited in paragraph </w:t>
      </w:r>
      <w:r w:rsidRPr="001A3999">
        <w:fldChar w:fldCharType="begin"/>
      </w:r>
      <w:r w:rsidRPr="001A3999">
        <w:instrText xml:space="preserve"> REF CCP \h </w:instrText>
      </w:r>
      <w:r w:rsidRPr="001A3999">
        <w:fldChar w:fldCharType="separate"/>
      </w:r>
      <w:r w:rsidRPr="001A3999" w:rsidR="001A3999">
        <w:rPr>
          <w:noProof/>
        </w:rPr>
        <w:t>20</w:t>
      </w:r>
      <w:r w:rsidRPr="001A3999">
        <w:fldChar w:fldCharType="end"/>
      </w:r>
      <w:r w:rsidRPr="001A3999">
        <w:t xml:space="preserve"> below).</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12</w:t>
      </w:r>
      <w:r w:rsidRPr="001A3999">
        <w:fldChar w:fldCharType="end"/>
      </w:r>
      <w:r w:rsidRPr="001A3999">
        <w:t>.  On 19 March 2004 the same District Court judge confirmed his own decision of 28 January 2004. He found that the applicant had been summoned to the hearing in accordance with the rules set out in Articles</w:t>
      </w:r>
      <w:r w:rsidRPr="001A3999" w:rsidR="00533214">
        <w:t xml:space="preserve"> </w:t>
      </w:r>
      <w:r w:rsidRPr="001A3999">
        <w:t>70 to 78 of the CCP, and pointed out that there was no legal requirement to also summon a party</w:t>
      </w:r>
      <w:r w:rsidRPr="001A3999" w:rsidR="001A3999">
        <w:t>’</w:t>
      </w:r>
      <w:r w:rsidRPr="001A3999">
        <w:t>s lawyer. When he had appeared before the court, the applicant had stated that he objected to the examination of the case without his lawyer present and had refused to take part in the hearing. As conduct of that sort equated to a failure to appear under Article 232 of the CCP and none of the circumstances provided for by Article 233 of the CCP had been established, the judge decided that Article 241 of the CCP should not be applied to set aside the default judgment.</w:t>
      </w:r>
    </w:p>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13</w:t>
      </w:r>
      <w:r w:rsidRPr="001A3999">
        <w:fldChar w:fldCharType="end"/>
      </w:r>
      <w:r w:rsidRPr="001A3999">
        <w:t xml:space="preserve">.  The applicant appealed against the decision of 19 March 2004. On 16 July 2004 the Tbilisi Regional Court (“the Regional Court”) found that, in breach of Article 72(z) of the CCP, the applicant and his lawyer had not been </w:t>
      </w:r>
      <w:r w:rsidRPr="001A3999" w:rsidR="00EC1550">
        <w:t xml:space="preserve">properly </w:t>
      </w:r>
      <w:r w:rsidRPr="001A3999">
        <w:t xml:space="preserve">warned of the consequences of not appearing before the court. Moreover, at the hearing on 28 January 2004 the District Court had not properly explained to the applicant what a default judgment would mean for him. The Regional Court considered that, as the applicant was not a lawyer, he could not have known that a decision </w:t>
      </w:r>
      <w:r w:rsidRPr="001A3999">
        <w:rPr>
          <w:i/>
        </w:rPr>
        <w:t>in absentia</w:t>
      </w:r>
      <w:r w:rsidRPr="001A3999">
        <w:t xml:space="preserve"> would necessarily be to his detriment. Therefore, as the caution provided for in Articles</w:t>
      </w:r>
      <w:r w:rsidRPr="001A3999" w:rsidR="00533214">
        <w:t xml:space="preserve"> </w:t>
      </w:r>
      <w:r w:rsidRPr="001A3999">
        <w:t>70 to 78 had not been issued in the present case, the Regional Court held that there were grounds, under Articles 233 and 241 of the CCP, for setting aside the decision of 19 March 2004. The applicant</w:t>
      </w:r>
      <w:r w:rsidRPr="001A3999" w:rsidR="001A3999">
        <w:t>’</w:t>
      </w:r>
      <w:r w:rsidRPr="001A3999">
        <w:t>s appeal was thus remitted to the District Court for re-examination.</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14</w:t>
      </w:r>
      <w:r w:rsidRPr="001A3999">
        <w:fldChar w:fldCharType="end"/>
      </w:r>
      <w:r w:rsidRPr="001A3999">
        <w:t>.  The applicant</w:t>
      </w:r>
      <w:r w:rsidRPr="001A3999" w:rsidR="001A3999">
        <w:t>’</w:t>
      </w:r>
      <w:r w:rsidRPr="001A3999">
        <w:t>s former employer lodged an appeal on points of law against the appeal judgment.</w:t>
      </w:r>
    </w:p>
    <w:bookmarkStart w:name="Supreme_Court_2March2005" w:id="5"/>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15</w:t>
      </w:r>
      <w:r w:rsidRPr="001A3999">
        <w:fldChar w:fldCharType="end"/>
      </w:r>
      <w:bookmarkEnd w:id="5"/>
      <w:r w:rsidRPr="001A3999">
        <w:t>.  On 2 March 2005 the Supreme Court of Georgia found that, contrary to the Regional Court</w:t>
      </w:r>
      <w:r w:rsidRPr="001A3999" w:rsidR="001A3999">
        <w:t>’</w:t>
      </w:r>
      <w:r w:rsidRPr="001A3999">
        <w:t>s assertion, the applicant had been informed in the hearing notice of the consequences of a failure to appear. There had therefore been no violation of Article 7</w:t>
      </w:r>
      <w:r w:rsidRPr="001A3999" w:rsidR="0098524E">
        <w:t>2</w:t>
      </w:r>
      <w:r w:rsidRPr="001A3999">
        <w:t>(z) of the CCP.</w:t>
      </w:r>
      <w:r w:rsidRPr="001A3999" w:rsidR="00A069FF">
        <w:t xml:space="preserve"> </w:t>
      </w:r>
      <w:r w:rsidRPr="001A3999">
        <w:t xml:space="preserve">The Supreme Court also found that, according to the record of the hearing of 28 January 2004, the judge had warned the applicant that “in the event of a refusal to take part in the hearing, a decision [would] be given </w:t>
      </w:r>
      <w:r w:rsidRPr="001A3999">
        <w:rPr>
          <w:i/>
        </w:rPr>
        <w:t>in absentia</w:t>
      </w:r>
      <w:r w:rsidRPr="001A3999">
        <w:t xml:space="preserve">”. The applicant had therefore been sufficiently informed of the consequences of his conduct. Lastly, the Supreme Court pointed out that a court could give a decision </w:t>
      </w:r>
      <w:r w:rsidRPr="001A3999">
        <w:rPr>
          <w:i/>
        </w:rPr>
        <w:t>in absentia</w:t>
      </w:r>
      <w:r w:rsidRPr="001A3999">
        <w:t xml:space="preserve"> if a lawyer or a party failed to appear at a hearing, on condition that the party had been summoned in accordance with the rules set out in Articles 70 to 78 of the CCP. Consequently, the Supreme Court set aside the Regional Court</w:t>
      </w:r>
      <w:r w:rsidRPr="001A3999" w:rsidR="001A3999">
        <w:t>’</w:t>
      </w:r>
      <w:r w:rsidRPr="001A3999">
        <w:t>s judgment of 16 July 2004 and remitted the case.</w:t>
      </w:r>
    </w:p>
    <w:bookmarkStart w:name="Regional_court_10May2005" w:id="6"/>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16</w:t>
      </w:r>
      <w:r w:rsidRPr="001A3999">
        <w:fldChar w:fldCharType="end"/>
      </w:r>
      <w:bookmarkEnd w:id="6"/>
      <w:r w:rsidRPr="001A3999">
        <w:t>.  On 10 May 2005 the Regional Court followed the Supreme Court</w:t>
      </w:r>
      <w:r w:rsidRPr="001A3999" w:rsidR="001A3999">
        <w:t>’</w:t>
      </w:r>
      <w:r w:rsidRPr="001A3999">
        <w:t>s reasoning and added that the applicant</w:t>
      </w:r>
      <w:r w:rsidRPr="001A3999" w:rsidR="001A3999">
        <w:t>’</w:t>
      </w:r>
      <w:r w:rsidRPr="001A3999">
        <w:t>s lawyer</w:t>
      </w:r>
      <w:r w:rsidRPr="001A3999" w:rsidR="001A3999">
        <w:t>’</w:t>
      </w:r>
      <w:r w:rsidRPr="001A3999">
        <w:t xml:space="preserve">s involvement in another hearing was not a “valid reason” for setting aside the decision </w:t>
      </w:r>
      <w:r w:rsidRPr="001A3999">
        <w:rPr>
          <w:i/>
        </w:rPr>
        <w:t>in absentia</w:t>
      </w:r>
      <w:r w:rsidRPr="001A3999">
        <w:t>, given that Article 232 of the CCP did not specify on what grounds a party could refuse to take part in a hearing. According to the Regional Court, this meant that any refusal to take part in the hearing was unjustified. It therefore upheld the decision of 19 March 2004.</w:t>
      </w:r>
    </w:p>
    <w:bookmarkStart w:name="Supreme_Court16September2005" w:id="7"/>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17</w:t>
      </w:r>
      <w:r w:rsidRPr="001A3999">
        <w:fldChar w:fldCharType="end"/>
      </w:r>
      <w:bookmarkEnd w:id="7"/>
      <w:r w:rsidRPr="001A3999">
        <w:t>.  An appeal on points of law by th</w:t>
      </w:r>
      <w:r w:rsidRPr="001A3999" w:rsidR="00B97CD7">
        <w:t>e applicant was dismissed on 16 </w:t>
      </w:r>
      <w:r w:rsidRPr="001A3999">
        <w:t>September 2005. The Supreme Court ruled that Article 241 contained an exhaustive list of the grounds on which a default judgment could be set aside. It further concluded, in contrast with the finding of the Regional Court on 16 July 2004, that the applicant had been duly informed of the consequences of his failure to appear at the hearing. Thus, this argument could not have served as a valid basis for a re-examination of the case in accordance with Article 241 of the CCP.</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18</w:t>
      </w:r>
      <w:r w:rsidRPr="001A3999">
        <w:fldChar w:fldCharType="end"/>
      </w:r>
      <w:r w:rsidRPr="001A3999">
        <w:t>.  Nor did the applicant</w:t>
      </w:r>
      <w:r w:rsidRPr="001A3999" w:rsidR="001A3999">
        <w:t>’</w:t>
      </w:r>
      <w:r w:rsidRPr="001A3999">
        <w:t>s refusal to participate in a trial for whatever reason, according to the Supreme Court, merit a re-examination of the case. It emphasised in this connection that the refusal to participate equated to a failure to appear in terms of its legal consequences.</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19</w:t>
      </w:r>
      <w:r w:rsidRPr="001A3999">
        <w:fldChar w:fldCharType="end"/>
      </w:r>
      <w:r w:rsidRPr="001A3999">
        <w:t>.  No appeal lay against the above decision of the Supreme Court.</w:t>
      </w:r>
    </w:p>
    <w:p w:rsidRPr="001A3999" w:rsidR="005C7DEF" w:rsidP="001A3999" w:rsidRDefault="005C7DEF">
      <w:pPr>
        <w:pStyle w:val="ECHRHeading1"/>
      </w:pPr>
      <w:r w:rsidRPr="001A3999">
        <w:t>II.</w:t>
      </w:r>
      <w:proofErr w:type="gramStart"/>
      <w:r w:rsidRPr="001A3999">
        <w:t> </w:t>
      </w:r>
      <w:r w:rsidRPr="001A3999" w:rsidR="00B97CD7">
        <w:t> </w:t>
      </w:r>
      <w:r w:rsidRPr="001A3999">
        <w:t>RELEVANT</w:t>
      </w:r>
      <w:proofErr w:type="gramEnd"/>
      <w:r w:rsidRPr="001A3999">
        <w:t xml:space="preserve"> DOMESTIC LAW</w:t>
      </w:r>
    </w:p>
    <w:bookmarkStart w:name="CCP" w:id="8"/>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20</w:t>
      </w:r>
      <w:r w:rsidRPr="001A3999">
        <w:fldChar w:fldCharType="end"/>
      </w:r>
      <w:bookmarkEnd w:id="8"/>
      <w:r w:rsidRPr="001A3999">
        <w:t>.  The relevant Articles of the CCP, as in force at the material time, read as follows:</w:t>
      </w:r>
    </w:p>
    <w:p w:rsidRPr="001A3999" w:rsidR="005C7DEF" w:rsidP="001A3999" w:rsidRDefault="005C7DEF">
      <w:pPr>
        <w:pStyle w:val="ECHRTitleCentre3"/>
      </w:pPr>
      <w:r w:rsidRPr="001A3999">
        <w:t>Article 72 (z)</w:t>
      </w:r>
    </w:p>
    <w:p w:rsidRPr="001A3999" w:rsidR="005C7DEF" w:rsidP="001A3999" w:rsidRDefault="005C7DEF">
      <w:pPr>
        <w:pStyle w:val="ECHRParaQuote"/>
      </w:pPr>
      <w:r w:rsidRPr="001A3999">
        <w:t>“A summons to a hearing shall include:</w:t>
      </w:r>
    </w:p>
    <w:p w:rsidRPr="001A3999" w:rsidR="005C7DEF" w:rsidP="001A3999" w:rsidRDefault="00A069FF">
      <w:pPr>
        <w:pStyle w:val="ECHRParaQuote"/>
      </w:pPr>
      <w:r w:rsidRPr="001A3999">
        <w:t>...</w:t>
      </w:r>
    </w:p>
    <w:p w:rsidRPr="001A3999" w:rsidR="005C7DEF" w:rsidP="001A3999" w:rsidRDefault="005C7DEF">
      <w:pPr>
        <w:pStyle w:val="ECHRParaQuote"/>
      </w:pPr>
      <w:r w:rsidRPr="001A3999">
        <w:t xml:space="preserve">(z) </w:t>
      </w:r>
      <w:proofErr w:type="gramStart"/>
      <w:r w:rsidRPr="001A3999">
        <w:t>a</w:t>
      </w:r>
      <w:proofErr w:type="gramEnd"/>
      <w:r w:rsidRPr="001A3999">
        <w:t xml:space="preserve"> reminder of the consequences of a failure to appear and of the obligation to inform the court of the reasons for such a failure.”</w:t>
      </w:r>
    </w:p>
    <w:p w:rsidRPr="001A3999" w:rsidR="005C7DEF" w:rsidP="001A3999" w:rsidRDefault="005C7DEF">
      <w:pPr>
        <w:pStyle w:val="ECHRTitleCentre3"/>
      </w:pPr>
      <w:r w:rsidRPr="001A3999">
        <w:t>Article 93</w:t>
      </w:r>
    </w:p>
    <w:p w:rsidRPr="001A3999" w:rsidR="00A069FF" w:rsidP="001A3999" w:rsidRDefault="005C7DEF">
      <w:pPr>
        <w:pStyle w:val="ECHRParaQuote"/>
      </w:pPr>
      <w:r w:rsidRPr="001A3999">
        <w:t xml:space="preserve">“1. An individual may present his or her case before the court in person </w:t>
      </w:r>
      <w:r w:rsidRPr="001A3999" w:rsidR="00A069FF">
        <w:t>...</w:t>
      </w:r>
    </w:p>
    <w:p w:rsidRPr="001A3999" w:rsidR="005C7DEF" w:rsidP="001A3999" w:rsidRDefault="005C7DEF">
      <w:pPr>
        <w:pStyle w:val="ECHRParaQuote"/>
      </w:pPr>
      <w:r w:rsidRPr="001A3999">
        <w:t>2</w:t>
      </w:r>
      <w:r w:rsidRPr="001A3999" w:rsidR="00533214">
        <w:t>.  </w:t>
      </w:r>
      <w:r w:rsidRPr="001A3999">
        <w:t>Parties may also present their case through a representative. This does not, however, prevent them from taking part in the examination of the case.”</w:t>
      </w:r>
    </w:p>
    <w:p w:rsidRPr="001A3999" w:rsidR="005C7DEF" w:rsidP="001A3999" w:rsidRDefault="005C7DEF">
      <w:pPr>
        <w:pStyle w:val="ECHRTitleCentre3"/>
      </w:pPr>
      <w:r w:rsidRPr="001A3999">
        <w:t xml:space="preserve">Article 216 </w:t>
      </w:r>
      <w:r w:rsidRPr="001A3999">
        <w:rPr>
          <w:rFonts w:cstheme="minorHAnsi"/>
        </w:rPr>
        <w:t>§</w:t>
      </w:r>
      <w:r w:rsidRPr="001A3999">
        <w:t xml:space="preserve"> 1</w:t>
      </w:r>
    </w:p>
    <w:p w:rsidRPr="001A3999" w:rsidR="005C7DEF" w:rsidP="001A3999" w:rsidRDefault="005C7DEF">
      <w:pPr>
        <w:pStyle w:val="ECHRParaQuote"/>
      </w:pPr>
      <w:r w:rsidRPr="001A3999">
        <w:t>“The adjournment of a court hearing is only possible in the cases provided for by law.”</w:t>
      </w:r>
    </w:p>
    <w:p w:rsidRPr="001A3999" w:rsidR="005C7DEF" w:rsidP="001A3999" w:rsidRDefault="005C7DEF">
      <w:pPr>
        <w:pStyle w:val="ECHRTitleCentre3"/>
      </w:pPr>
      <w:r w:rsidRPr="001A3999">
        <w:t>Article 229 § 1</w:t>
      </w:r>
    </w:p>
    <w:p w:rsidRPr="001A3999" w:rsidR="005C7DEF" w:rsidP="001A3999" w:rsidRDefault="005C7DEF">
      <w:pPr>
        <w:pStyle w:val="ECHRParaQuote"/>
      </w:pPr>
      <w:r w:rsidRPr="001A3999">
        <w:t xml:space="preserve">“Where a claimant has been summoned in accordance with the rules set out in Articles 70 to 78 of the CCP but fails to appear at the main hearing, the court may, at the request of the respondent party, give a decision </w:t>
      </w:r>
      <w:r w:rsidRPr="001A3999">
        <w:rPr>
          <w:i/>
        </w:rPr>
        <w:t>in absentia</w:t>
      </w:r>
      <w:r w:rsidRPr="001A3999">
        <w:t xml:space="preserve"> dismissing the claimant</w:t>
      </w:r>
      <w:r w:rsidRPr="001A3999" w:rsidR="001A3999">
        <w:t>’</w:t>
      </w:r>
      <w:r w:rsidRPr="001A3999">
        <w:t>s action.”</w:t>
      </w:r>
    </w:p>
    <w:p w:rsidRPr="001A3999" w:rsidR="005C7DEF" w:rsidP="001A3999" w:rsidRDefault="005C7DEF">
      <w:pPr>
        <w:pStyle w:val="ECHRTitleCentre3"/>
      </w:pPr>
      <w:r w:rsidRPr="001A3999">
        <w:t>Article 232</w:t>
      </w:r>
    </w:p>
    <w:p w:rsidRPr="001A3999" w:rsidR="005C7DEF" w:rsidP="001A3999" w:rsidRDefault="005C7DEF">
      <w:pPr>
        <w:pStyle w:val="ECHRParaQuote"/>
      </w:pPr>
      <w:r w:rsidRPr="001A3999">
        <w:t>“A party shall be deemed to have failed to appear if he or she appears at the hearing but refuses to participate therein.”</w:t>
      </w:r>
    </w:p>
    <w:p w:rsidRPr="001A3999" w:rsidR="005C7DEF" w:rsidP="001A3999" w:rsidRDefault="005C7DEF">
      <w:pPr>
        <w:pStyle w:val="ECHRTitleCentre3"/>
      </w:pPr>
      <w:r w:rsidRPr="001A3999">
        <w:t>Article 233 § 1</w:t>
      </w:r>
    </w:p>
    <w:p w:rsidRPr="001A3999" w:rsidR="005C7DEF" w:rsidP="001A3999" w:rsidRDefault="005C7DEF">
      <w:pPr>
        <w:pStyle w:val="ECHRParaQuote"/>
      </w:pPr>
      <w:r w:rsidRPr="001A3999">
        <w:t>“A court shall not issue a default judgment if:</w:t>
      </w:r>
    </w:p>
    <w:p w:rsidRPr="001A3999" w:rsidR="005C7DEF" w:rsidP="001A3999" w:rsidRDefault="005C7DEF">
      <w:pPr>
        <w:pStyle w:val="ECHRParaQuote"/>
      </w:pPr>
      <w:r w:rsidRPr="001A3999">
        <w:t xml:space="preserve">(a) </w:t>
      </w:r>
      <w:proofErr w:type="gramStart"/>
      <w:r w:rsidRPr="001A3999">
        <w:t>the</w:t>
      </w:r>
      <w:proofErr w:type="gramEnd"/>
      <w:r w:rsidRPr="001A3999">
        <w:t xml:space="preserve"> absent party has not been summoned in accordance with the rules set out in Articles 70 to 78 of the present Code;</w:t>
      </w:r>
    </w:p>
    <w:p w:rsidRPr="001A3999" w:rsidR="005C7DEF" w:rsidP="001A3999" w:rsidRDefault="005C7DEF">
      <w:pPr>
        <w:pStyle w:val="ECHRParaQuote"/>
      </w:pPr>
      <w:r w:rsidRPr="001A3999">
        <w:t xml:space="preserve">(b) </w:t>
      </w:r>
      <w:proofErr w:type="gramStart"/>
      <w:r w:rsidRPr="001A3999">
        <w:t>the</w:t>
      </w:r>
      <w:proofErr w:type="gramEnd"/>
      <w:r w:rsidRPr="001A3999">
        <w:t xml:space="preserve"> court has been informed of </w:t>
      </w:r>
      <w:r w:rsidRPr="001A3999">
        <w:rPr>
          <w:i/>
        </w:rPr>
        <w:t xml:space="preserve">force majeure </w:t>
      </w:r>
      <w:r w:rsidRPr="001A3999">
        <w:t xml:space="preserve">or other circumstances which could have prevented the party from appearing in court in time; </w:t>
      </w:r>
      <w:r w:rsidRPr="001A3999" w:rsidR="00A069FF">
        <w:t>...</w:t>
      </w:r>
      <w:r w:rsidRPr="001A3999">
        <w:t>”</w:t>
      </w:r>
    </w:p>
    <w:p w:rsidRPr="001A3999" w:rsidR="005C7DEF" w:rsidP="001A3999" w:rsidRDefault="005C7DEF">
      <w:pPr>
        <w:pStyle w:val="ECHRTitleCentre3"/>
      </w:pPr>
      <w:r w:rsidRPr="001A3999">
        <w:t>Article 234</w:t>
      </w:r>
    </w:p>
    <w:p w:rsidRPr="001A3999" w:rsidR="005C7DEF" w:rsidP="001A3999" w:rsidRDefault="005C7DEF">
      <w:pPr>
        <w:pStyle w:val="ECHRParaQuote"/>
      </w:pPr>
      <w:r w:rsidRPr="001A3999">
        <w:t>“The content of a default judgment must satisfy the conditions laid down in Article 249 of the CCP, excluding the reasoning part.”</w:t>
      </w:r>
    </w:p>
    <w:p w:rsidRPr="001A3999" w:rsidR="005C7DEF" w:rsidP="001A3999" w:rsidRDefault="005C7DEF">
      <w:pPr>
        <w:pStyle w:val="ECHRTitleCentre3"/>
      </w:pPr>
      <w:r w:rsidRPr="001A3999">
        <w:t>Article 236</w:t>
      </w:r>
    </w:p>
    <w:p w:rsidRPr="001A3999" w:rsidR="00A069FF" w:rsidP="001A3999" w:rsidRDefault="005C7DEF">
      <w:pPr>
        <w:pStyle w:val="ECHRParaQuote"/>
      </w:pPr>
      <w:r w:rsidRPr="001A3999">
        <w:t>“A party who has failed to appear at a court hearing, which has led to a default judgment being issued against him or her, can lodge an action with the same court, requesting that the decision be reconsidered and the case re-examined.”</w:t>
      </w:r>
    </w:p>
    <w:p w:rsidRPr="001A3999" w:rsidR="005C7DEF" w:rsidP="001A3999" w:rsidRDefault="005C7DEF">
      <w:pPr>
        <w:pStyle w:val="ECHRTitleCentre3"/>
      </w:pPr>
      <w:r w:rsidRPr="001A3999">
        <w:rPr>
          <w:lang w:val="ka-GE"/>
        </w:rPr>
        <w:t>Article 241</w:t>
      </w:r>
    </w:p>
    <w:p w:rsidRPr="001A3999" w:rsidR="005C7DEF" w:rsidP="001A3999" w:rsidRDefault="005C7DEF">
      <w:pPr>
        <w:pStyle w:val="ECHRParaQuote"/>
      </w:pPr>
      <w:r w:rsidRPr="001A3999">
        <w:t>“A default judgment shall be set aside and the case re-examined if any of the grounds listed in Article 233 are present, or if a party was absent for a valid reason of which he or she could not inform the court at the relevant time.”</w:t>
      </w:r>
    </w:p>
    <w:p w:rsidRPr="001A3999" w:rsidR="005C7DEF" w:rsidP="001A3999" w:rsidRDefault="005C7DEF">
      <w:pPr>
        <w:pStyle w:val="ECHRTitleCentre3"/>
      </w:pPr>
      <w:r w:rsidRPr="001A3999">
        <w:t>Article 366</w:t>
      </w:r>
    </w:p>
    <w:p w:rsidRPr="001A3999" w:rsidR="005C7DEF" w:rsidP="001A3999" w:rsidRDefault="005C7DEF">
      <w:pPr>
        <w:pStyle w:val="ECHRParaQuote"/>
      </w:pPr>
      <w:r w:rsidRPr="001A3999">
        <w:t>“A default judgment is not amenable to appeal [to a higher court] by the party against whom it was issued ...”</w:t>
      </w:r>
    </w:p>
    <w:p w:rsidRPr="001A3999" w:rsidR="005C7DEF" w:rsidP="001A3999" w:rsidRDefault="005C7DEF">
      <w:pPr>
        <w:pStyle w:val="ECHRTitleCentre3"/>
      </w:pPr>
      <w:r w:rsidRPr="001A3999">
        <w:t>Article 249</w:t>
      </w:r>
    </w:p>
    <w:p w:rsidRPr="001A3999" w:rsidR="005C7DEF" w:rsidP="001A3999" w:rsidRDefault="005C7DEF">
      <w:pPr>
        <w:pStyle w:val="ECHRParaQuote"/>
      </w:pPr>
      <w:r w:rsidRPr="001A3999">
        <w:t>“A court decision shall contain an introduction, a statement of the facts, the court</w:t>
      </w:r>
      <w:r w:rsidRPr="001A3999" w:rsidR="001A3999">
        <w:t>’</w:t>
      </w:r>
      <w:r w:rsidRPr="001A3999">
        <w:t>s reasoning and an operative part.”</w:t>
      </w:r>
    </w:p>
    <w:p w:rsidRPr="001A3999" w:rsidR="005C7DEF" w:rsidP="001A3999" w:rsidRDefault="005C7DEF">
      <w:pPr>
        <w:pStyle w:val="ECHRTitle1"/>
      </w:pPr>
      <w:r w:rsidRPr="001A3999">
        <w:t>THE LAW</w:t>
      </w:r>
    </w:p>
    <w:p w:rsidRPr="001A3999" w:rsidR="005C7DEF" w:rsidP="001A3999" w:rsidRDefault="005C7DEF">
      <w:pPr>
        <w:pStyle w:val="ECHRHeading1"/>
      </w:pPr>
      <w:r w:rsidRPr="001A3999">
        <w:t>I.  ALLEGED VIOLATION OF ARTICLE 6 OF THE CONVENTION</w:t>
      </w:r>
    </w:p>
    <w:p w:rsidRPr="001A3999" w:rsidR="00A879F5"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21</w:t>
      </w:r>
      <w:r w:rsidRPr="001A3999">
        <w:fldChar w:fldCharType="end"/>
      </w:r>
      <w:r w:rsidRPr="001A3999">
        <w:t xml:space="preserve">.  The applicant complained that </w:t>
      </w:r>
      <w:r w:rsidRPr="001A3999" w:rsidR="00533214">
        <w:t xml:space="preserve">the default judgment of 28 </w:t>
      </w:r>
      <w:r w:rsidRPr="001A3999">
        <w:t>January 2004 had been wrongly issued against him</w:t>
      </w:r>
      <w:r w:rsidRPr="001A3999" w:rsidR="00622777">
        <w:t xml:space="preserve"> in </w:t>
      </w:r>
      <w:r w:rsidRPr="001A3999" w:rsidR="00A879F5">
        <w:t>violation of the principle of equality of arms</w:t>
      </w:r>
      <w:r w:rsidRPr="001A3999">
        <w:t xml:space="preserve">, </w:t>
      </w:r>
      <w:r w:rsidRPr="001A3999" w:rsidR="00A879F5">
        <w:t>and that he was subsequently</w:t>
      </w:r>
      <w:r w:rsidRPr="001A3999">
        <w:t xml:space="preserve"> depriv</w:t>
      </w:r>
      <w:r w:rsidRPr="001A3999" w:rsidR="00A879F5">
        <w:t>ed of an opportunity to obtain a fresh examination of his case with his participation</w:t>
      </w:r>
      <w:r w:rsidRPr="001A3999">
        <w:t xml:space="preserve">. He relied on Article 6 </w:t>
      </w:r>
      <w:r w:rsidRPr="001A3999">
        <w:rPr>
          <w:rFonts w:cstheme="minorHAnsi"/>
        </w:rPr>
        <w:t>§ 1</w:t>
      </w:r>
      <w:r w:rsidRPr="001A3999">
        <w:t xml:space="preserve"> of the Convention, which in its relevant part reads as follows:</w:t>
      </w:r>
    </w:p>
    <w:p w:rsidRPr="001A3999" w:rsidR="005C7DEF" w:rsidP="001A3999" w:rsidRDefault="005C7DEF">
      <w:pPr>
        <w:pStyle w:val="ECHRParaQuote"/>
      </w:pPr>
      <w:r w:rsidRPr="001A3999">
        <w:t>“In the determination of his civil rights and obligations ... everyone is entitled to a fair ... hearing ... by [a] ... tribunal ...”</w:t>
      </w:r>
    </w:p>
    <w:p w:rsidRPr="001A3999" w:rsidR="005C7DEF" w:rsidP="001A3999" w:rsidRDefault="005C7DEF">
      <w:pPr>
        <w:pStyle w:val="ECHRHeading2"/>
      </w:pPr>
      <w:r w:rsidRPr="001A3999">
        <w:t>A.  Admissibility</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22</w:t>
      </w:r>
      <w:r w:rsidRPr="001A3999">
        <w:fldChar w:fldCharType="end"/>
      </w:r>
      <w:r w:rsidRPr="001A3999">
        <w:t>.  The Court notes that this complaint is not manifestly ill</w:t>
      </w:r>
      <w:r w:rsidRPr="001A3999" w:rsidR="00B97CD7">
        <w:t>-</w:t>
      </w:r>
      <w:r w:rsidRPr="001A3999">
        <w:t>founded within the meaning of Article 35 § 3 (a) of the Convention. It further notes that it is not inadmissible on any other grounds. It must therefore be declared admissible.</w:t>
      </w:r>
    </w:p>
    <w:p w:rsidRPr="001A3999" w:rsidR="005C7DEF" w:rsidP="001A3999" w:rsidRDefault="005C7DEF">
      <w:pPr>
        <w:pStyle w:val="ECHRHeading2"/>
      </w:pPr>
      <w:r w:rsidRPr="001A3999">
        <w:t>B.  Merits</w:t>
      </w:r>
    </w:p>
    <w:p w:rsidRPr="001A3999" w:rsidR="005C7DEF" w:rsidP="001A3999" w:rsidRDefault="005C7DEF">
      <w:pPr>
        <w:pStyle w:val="ECHRHeading3"/>
      </w:pPr>
      <w:r w:rsidRPr="001A3999">
        <w:t>1</w:t>
      </w:r>
      <w:r w:rsidRPr="001A3999" w:rsidR="00533214">
        <w:t>.  </w:t>
      </w:r>
      <w:r w:rsidRPr="001A3999">
        <w:t>The parties</w:t>
      </w:r>
      <w:r w:rsidRPr="001A3999" w:rsidR="001A3999">
        <w:t>’</w:t>
      </w:r>
      <w:r w:rsidRPr="001A3999">
        <w:t xml:space="preserve"> submissions</w:t>
      </w:r>
    </w:p>
    <w:p w:rsidRPr="001A3999" w:rsidR="00B97CD7"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23</w:t>
      </w:r>
      <w:r w:rsidRPr="001A3999">
        <w:fldChar w:fldCharType="end"/>
      </w:r>
      <w:r w:rsidRPr="001A3999">
        <w:t>.  The applicant maintained that he had not acted in violation of any of the domestic procedural rules.</w:t>
      </w:r>
    </w:p>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24</w:t>
      </w:r>
      <w:r w:rsidRPr="001A3999">
        <w:fldChar w:fldCharType="end"/>
      </w:r>
      <w:r w:rsidRPr="001A3999">
        <w:t>.  The Government on their part submitted that the responsibility of the State was not engaged if a claimant had acted in breach of the law of the State. They claimed that the domestic courts had been prevented from examining the applicant</w:t>
      </w:r>
      <w:r w:rsidRPr="001A3999" w:rsidR="001A3999">
        <w:t>’</w:t>
      </w:r>
      <w:r w:rsidRPr="001A3999">
        <w:t>s case as a result of his own actions. Notably, by refusing to participate in the hearing of 28 January 2004 for an unjustifiable reason, the applicant had failed to comply with the relevant procedural requirements. In this connection the Government</w:t>
      </w:r>
      <w:r w:rsidRPr="001A3999" w:rsidR="001A3999">
        <w:t>’</w:t>
      </w:r>
      <w:r w:rsidRPr="001A3999">
        <w:t>s argument, like the reasoning of the domestic courts, was twofold: firstly, for the purposes of Article 232 of the CCP the refusal of a party, physically present in court, to participate in a hearing for whatever reason was equal to the party</w:t>
      </w:r>
      <w:r w:rsidRPr="001A3999" w:rsidR="001A3999">
        <w:t>’</w:t>
      </w:r>
      <w:r w:rsidRPr="001A3999">
        <w:t>s failure to appear in court; and secondly, the applicant and his representative had failed to provide a good reason for their request for an adjournment given that the representative</w:t>
      </w:r>
      <w:r w:rsidRPr="001A3999" w:rsidR="001A3999">
        <w:t>’</w:t>
      </w:r>
      <w:r w:rsidRPr="001A3999">
        <w:t>s inability to appear in court was not a valid one under domestic law.</w:t>
      </w:r>
    </w:p>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25</w:t>
      </w:r>
      <w:r w:rsidRPr="001A3999">
        <w:fldChar w:fldCharType="end"/>
      </w:r>
      <w:r w:rsidRPr="001A3999">
        <w:t>.  The Government further stressed that the applicant had been properly warned of the legal consequences of his refusal to participate in the hearing. Moreover, despite knowing in advance that his lawyer would be absent from the hearing scheduled for 28 January 2004, he had not made any efforts in advance to appoint another lawyer. He had therefore simply attempted to cause an unreasonable delay in the proceedings. Lastly, the applicant had been fully authorised to present his case in the absence of a lawyer.</w:t>
      </w:r>
    </w:p>
    <w:p w:rsidRPr="001A3999" w:rsidR="005C7DEF" w:rsidP="001A3999" w:rsidRDefault="005C7DEF">
      <w:pPr>
        <w:pStyle w:val="ECHRHeading3"/>
      </w:pPr>
      <w:r w:rsidRPr="001A3999">
        <w:t>2.</w:t>
      </w:r>
      <w:r w:rsidRPr="001A3999" w:rsidR="00533214">
        <w:t>  </w:t>
      </w:r>
      <w:r w:rsidRPr="001A3999">
        <w:t>The Court</w:t>
      </w:r>
      <w:r w:rsidRPr="001A3999" w:rsidR="001A3999">
        <w:t>’</w:t>
      </w:r>
      <w:r w:rsidRPr="001A3999">
        <w:t>s assessment</w:t>
      </w:r>
    </w:p>
    <w:p w:rsidRPr="001A3999" w:rsidR="005C7DEF" w:rsidP="001A3999" w:rsidRDefault="003B2A69">
      <w:pPr>
        <w:pStyle w:val="ECHRHeading4"/>
      </w:pPr>
      <w:r w:rsidRPr="001A3999">
        <w:t>(a)  </w:t>
      </w:r>
      <w:r w:rsidRPr="001A3999" w:rsidR="005C7DEF">
        <w:t>General principles</w:t>
      </w:r>
    </w:p>
    <w:p w:rsidRPr="001A3999" w:rsidR="00AE55DC" w:rsidP="001A3999" w:rsidRDefault="005C7DEF">
      <w:pPr>
        <w:pStyle w:val="ECHRPara"/>
      </w:pPr>
      <w:r w:rsidRPr="001A3999">
        <w:rPr>
          <w:rFonts w:cstheme="minorHAnsi"/>
          <w:lang w:val="ka-GE"/>
        </w:rPr>
        <w:fldChar w:fldCharType="begin"/>
      </w:r>
      <w:r w:rsidRPr="001A3999">
        <w:rPr>
          <w:rFonts w:cstheme="minorHAnsi"/>
          <w:lang w:val="ka-GE"/>
        </w:rPr>
        <w:instrText xml:space="preserve"> SEQ level0 \*arabic </w:instrText>
      </w:r>
      <w:r w:rsidRPr="001A3999">
        <w:rPr>
          <w:rFonts w:cstheme="minorHAnsi"/>
          <w:lang w:val="ka-GE"/>
        </w:rPr>
        <w:fldChar w:fldCharType="separate"/>
      </w:r>
      <w:r w:rsidRPr="001A3999" w:rsidR="001A3999">
        <w:rPr>
          <w:rFonts w:cstheme="minorHAnsi"/>
          <w:noProof/>
          <w:lang w:val="ka-GE"/>
        </w:rPr>
        <w:t>26</w:t>
      </w:r>
      <w:r w:rsidRPr="001A3999">
        <w:rPr>
          <w:rFonts w:cstheme="minorHAnsi"/>
          <w:lang w:val="ka-GE"/>
        </w:rPr>
        <w:fldChar w:fldCharType="end"/>
      </w:r>
      <w:r w:rsidRPr="001A3999">
        <w:rPr>
          <w:rFonts w:cstheme="minorHAnsi"/>
          <w:lang w:val="ka-GE"/>
        </w:rPr>
        <w:t>.  </w:t>
      </w:r>
      <w:r w:rsidRPr="001A3999" w:rsidR="0041253C">
        <w:t>The Court observes that the general principles regarding the right to present one</w:t>
      </w:r>
      <w:r w:rsidRPr="001A3999" w:rsidR="001A3999">
        <w:t>’</w:t>
      </w:r>
      <w:r w:rsidRPr="001A3999" w:rsidR="0041253C">
        <w:t xml:space="preserve">s case effectively before the court and to enjoy equality of arms with the opposing side, as guaranteed by Article 6 of the Convention, have been repeatedly stated in its previous judgments (see, among many other authorities, </w:t>
      </w:r>
      <w:r w:rsidRPr="001A3999" w:rsidR="0041253C">
        <w:rPr>
          <w:i/>
        </w:rPr>
        <w:t>Steel and Morris v. the United Kingdom</w:t>
      </w:r>
      <w:r w:rsidRPr="001A3999" w:rsidR="0041253C">
        <w:t>, no. 68416/01, §§</w:t>
      </w:r>
      <w:r w:rsidRPr="001A3999" w:rsidR="00B97CD7">
        <w:t> </w:t>
      </w:r>
      <w:r w:rsidRPr="001A3999" w:rsidR="0041253C">
        <w:t>59</w:t>
      </w:r>
      <w:r w:rsidRPr="001A3999" w:rsidR="00B97CD7">
        <w:noBreakHyphen/>
      </w:r>
      <w:r w:rsidRPr="001A3999" w:rsidR="0041253C">
        <w:t>60, ECHR 2005-II).</w:t>
      </w:r>
      <w:r w:rsidRPr="001A3999" w:rsidR="00686778">
        <w:t xml:space="preserve"> </w:t>
      </w:r>
      <w:r w:rsidRPr="001A3999" w:rsidR="00AE55DC">
        <w:t xml:space="preserve">Article 6 § 1 leaves to the State a free choice of the means to be used in guaranteeing litigants these rights (see </w:t>
      </w:r>
      <w:r w:rsidRPr="001A3999" w:rsidR="00686778">
        <w:rPr>
          <w:i/>
        </w:rPr>
        <w:t>ibid</w:t>
      </w:r>
      <w:r w:rsidRPr="001A3999" w:rsidR="00686778">
        <w:t>.</w:t>
      </w:r>
      <w:r w:rsidRPr="001A3999" w:rsidR="00AE55DC">
        <w:t xml:space="preserve">). Thus, the questions of personal presence, the form of the proceedings – oral or written – and legal representation are interlinked and must be analysed in the broader context of the “fair trial” guarantee of Article 6. The Court should establish whether the applicant, a party to the civil proceedings, </w:t>
      </w:r>
      <w:r w:rsidRPr="001A3999" w:rsidR="004E14F5">
        <w:t>was</w:t>
      </w:r>
      <w:r w:rsidRPr="001A3999" w:rsidR="00AE55DC">
        <w:t xml:space="preserve"> given a reasonable opportunity to have knowledge of and comment on the observations made or evidence adduced by the other party and to present his case under conditions that did not place him at a substantial disadvantage </w:t>
      </w:r>
      <w:r w:rsidRPr="001A3999" w:rsidR="00AE55DC">
        <w:rPr>
          <w:i/>
        </w:rPr>
        <w:t>vis-à-vis</w:t>
      </w:r>
      <w:r w:rsidRPr="001A3999" w:rsidR="00AE55DC">
        <w:t xml:space="preserve"> his opponent (see </w:t>
      </w:r>
      <w:r w:rsidRPr="001A3999" w:rsidR="00AE55DC">
        <w:rPr>
          <w:i/>
        </w:rPr>
        <w:t>Ternovskis v.</w:t>
      </w:r>
      <w:r w:rsidRPr="001A3999" w:rsidR="00B97CD7">
        <w:rPr>
          <w:i/>
        </w:rPr>
        <w:t xml:space="preserve"> </w:t>
      </w:r>
      <w:r w:rsidRPr="001A3999" w:rsidR="00AE55DC">
        <w:rPr>
          <w:i/>
        </w:rPr>
        <w:t>Latvia</w:t>
      </w:r>
      <w:r w:rsidRPr="001A3999" w:rsidR="00AE55DC">
        <w:rPr>
          <w:snapToGrid w:val="0"/>
        </w:rPr>
        <w:t xml:space="preserve">, </w:t>
      </w:r>
      <w:r w:rsidRPr="001A3999" w:rsidR="00746C72">
        <w:t>no. 33637/02, §</w:t>
      </w:r>
      <w:r w:rsidRPr="001A3999" w:rsidR="00AE55DC">
        <w:t xml:space="preserve"> 65, 29</w:t>
      </w:r>
      <w:r w:rsidRPr="001A3999" w:rsidR="00B97CD7">
        <w:t> </w:t>
      </w:r>
      <w:r w:rsidRPr="001A3999" w:rsidR="00AE55DC">
        <w:t xml:space="preserve">April 2014, and </w:t>
      </w:r>
      <w:r w:rsidRPr="001A3999" w:rsidR="00AE55DC">
        <w:rPr>
          <w:i/>
        </w:rPr>
        <w:t>Larin v. Russia</w:t>
      </w:r>
      <w:r w:rsidRPr="001A3999" w:rsidR="00AE55DC">
        <w:t>, no.</w:t>
      </w:r>
      <w:r w:rsidRPr="001A3999" w:rsidR="00B97CD7">
        <w:t xml:space="preserve"> </w:t>
      </w:r>
      <w:r w:rsidRPr="001A3999" w:rsidR="00AE55DC">
        <w:t>15034/02</w:t>
      </w:r>
      <w:r w:rsidRPr="001A3999" w:rsidR="00AE55DC">
        <w:rPr>
          <w:snapToGrid w:val="0"/>
        </w:rPr>
        <w:t xml:space="preserve">, §§ 35-36, </w:t>
      </w:r>
      <w:r w:rsidRPr="001A3999" w:rsidR="00AE55DC">
        <w:t>20</w:t>
      </w:r>
      <w:r w:rsidRPr="001A3999" w:rsidR="00AE55DC">
        <w:rPr>
          <w:snapToGrid w:val="0"/>
        </w:rPr>
        <w:t xml:space="preserve"> May 2010</w:t>
      </w:r>
      <w:r w:rsidRPr="001A3999" w:rsidR="00AE55DC">
        <w:t>).</w:t>
      </w:r>
    </w:p>
    <w:p w:rsidRPr="001A3999" w:rsidR="00AE55DC" w:rsidP="001A3999" w:rsidRDefault="00074001">
      <w:pPr>
        <w:pStyle w:val="ECHRPara"/>
      </w:pPr>
      <w:r w:rsidRPr="001A3999">
        <w:fldChar w:fldCharType="begin"/>
      </w:r>
      <w:r w:rsidRPr="001A3999">
        <w:instrText xml:space="preserve"> SEQ level0 \*arabic </w:instrText>
      </w:r>
      <w:r w:rsidRPr="001A3999">
        <w:fldChar w:fldCharType="separate"/>
      </w:r>
      <w:r w:rsidRPr="001A3999" w:rsidR="001A3999">
        <w:rPr>
          <w:noProof/>
        </w:rPr>
        <w:t>27</w:t>
      </w:r>
      <w:r w:rsidRPr="001A3999">
        <w:fldChar w:fldCharType="end"/>
      </w:r>
      <w:r w:rsidRPr="001A3999">
        <w:t>.  </w:t>
      </w:r>
      <w:r w:rsidRPr="001A3999" w:rsidR="00E84363">
        <w:t>T</w:t>
      </w:r>
      <w:r w:rsidRPr="001A3999">
        <w:t xml:space="preserve">he Court </w:t>
      </w:r>
      <w:r w:rsidRPr="001A3999" w:rsidR="00E84363">
        <w:t>notes</w:t>
      </w:r>
      <w:r w:rsidRPr="001A3999">
        <w:t xml:space="preserve"> that the right to a fair trial comprises, </w:t>
      </w:r>
      <w:r w:rsidRPr="001A3999">
        <w:rPr>
          <w:i/>
        </w:rPr>
        <w:t>inter alia</w:t>
      </w:r>
      <w:r w:rsidRPr="001A3999">
        <w:t>, the right of the parties to the proceedings to present the observations which they regard as pertinent to their case. As the Convention is intended to guarantee not rights that are theoretical or illusory but rights that are practical and effective, this right can be regarded as effective only if the applicant is in fact “heard”, that is, his or her observations are properly examined by the courts</w:t>
      </w:r>
      <w:r w:rsidRPr="001A3999" w:rsidR="00C62C57">
        <w:t xml:space="preserve"> (</w:t>
      </w:r>
      <w:r w:rsidRPr="001A3999" w:rsidR="00686778">
        <w:t xml:space="preserve">see </w:t>
      </w:r>
      <w:r w:rsidRPr="001A3999" w:rsidR="00C62C57">
        <w:rPr>
          <w:i/>
          <w:lang w:val="pt-PT"/>
        </w:rPr>
        <w:t>Ternovskis</w:t>
      </w:r>
      <w:r w:rsidRPr="001A3999" w:rsidR="00E84363">
        <w:rPr>
          <w:i/>
          <w:lang w:val="pt-PT"/>
        </w:rPr>
        <w:t xml:space="preserve">, </w:t>
      </w:r>
      <w:r w:rsidRPr="001A3999" w:rsidR="00E84363">
        <w:rPr>
          <w:lang w:val="pt-PT"/>
        </w:rPr>
        <w:t>cited above,</w:t>
      </w:r>
      <w:r w:rsidRPr="001A3999" w:rsidR="00C62C57">
        <w:rPr>
          <w:lang w:val="pt-PT"/>
        </w:rPr>
        <w:t xml:space="preserve"> § 66)</w:t>
      </w:r>
      <w:r w:rsidRPr="001A3999">
        <w:t>.</w:t>
      </w:r>
      <w:r w:rsidRPr="001A3999" w:rsidR="00C62C57">
        <w:t xml:space="preserve"> </w:t>
      </w:r>
      <w:r w:rsidRPr="001A3999" w:rsidR="00AE55DC">
        <w:t xml:space="preserve">In this connection, </w:t>
      </w:r>
      <w:r w:rsidRPr="001A3999" w:rsidR="00707144">
        <w:rPr>
          <w:rFonts w:cstheme="minorHAnsi"/>
        </w:rPr>
        <w:t>The Court notes that Article 6 requires and allows the States</w:t>
      </w:r>
      <w:r w:rsidRPr="001A3999" w:rsidR="00707144">
        <w:t xml:space="preserve"> to organise their legal systems in a manner which facilitates expeditious and efficient judicial proceedings, including provision for the possibility of issuing default judgments. However, that cannot be done at the expense of other procedural guarantees (see </w:t>
      </w:r>
      <w:r w:rsidRPr="001A3999" w:rsidR="00707144">
        <w:rPr>
          <w:i/>
        </w:rPr>
        <w:t>Aždajić v. Slovenia</w:t>
      </w:r>
      <w:r w:rsidRPr="001A3999" w:rsidR="00707144">
        <w:t>, no. 71872/12, §49, 8</w:t>
      </w:r>
      <w:r w:rsidRPr="001A3999" w:rsidR="00B97CD7">
        <w:t xml:space="preserve"> </w:t>
      </w:r>
      <w:r w:rsidRPr="001A3999" w:rsidR="00707144">
        <w:t xml:space="preserve">October 2015, and </w:t>
      </w:r>
      <w:r w:rsidRPr="001A3999" w:rsidR="00707144">
        <w:rPr>
          <w:i/>
        </w:rPr>
        <w:t>Gankin and Others v. Russia</w:t>
      </w:r>
      <w:r w:rsidRPr="001A3999" w:rsidR="00707144">
        <w:t>, nos.</w:t>
      </w:r>
      <w:r w:rsidRPr="001A3999" w:rsidR="00F313D0">
        <w:t xml:space="preserve"> 2430/06, 1454/08, 11670/10 and </w:t>
      </w:r>
      <w:r w:rsidRPr="001A3999" w:rsidR="00707144">
        <w:t>12938/12, § 26, 31 May 2016).</w:t>
      </w:r>
      <w:r w:rsidRPr="001A3999" w:rsidR="00AE55DC">
        <w:t xml:space="preserve"> In fact, Article 6 § 1 is intended above all to secure the interests of the parties and those of the proper administration of justice (</w:t>
      </w:r>
      <w:r w:rsidRPr="001A3999" w:rsidR="002C03F1">
        <w:t xml:space="preserve">see </w:t>
      </w:r>
      <w:r w:rsidRPr="001A3999" w:rsidR="002C03F1">
        <w:rPr>
          <w:i/>
        </w:rPr>
        <w:t>Nideröst-Huber v. Switzerland</w:t>
      </w:r>
      <w:r w:rsidRPr="001A3999" w:rsidR="002C03F1">
        <w:t>, 18 February 1997, § 30, Reports of Judgments and Decisions 1997</w:t>
      </w:r>
      <w:r w:rsidRPr="001A3999" w:rsidR="002C03F1">
        <w:noBreakHyphen/>
        <w:t>I</w:t>
      </w:r>
      <w:r w:rsidRPr="001A3999" w:rsidR="005B5451">
        <w:t xml:space="preserve">). </w:t>
      </w:r>
      <w:r w:rsidRPr="001A3999" w:rsidR="00AE55DC">
        <w:t>Consequently, it falls within the responsibility of the domestic authorities to ensure that the standards set by Article 6 § 1, and, in particular, the protection of the equality of arms, are respected.</w:t>
      </w:r>
    </w:p>
    <w:p w:rsidRPr="001A3999" w:rsidR="00A00245" w:rsidP="001A3999" w:rsidRDefault="00074001">
      <w:pPr>
        <w:pStyle w:val="ECHRPara"/>
      </w:pPr>
      <w:r w:rsidRPr="001A3999">
        <w:fldChar w:fldCharType="begin"/>
      </w:r>
      <w:r w:rsidRPr="001A3999">
        <w:instrText xml:space="preserve"> SEQ level0 \*arabic </w:instrText>
      </w:r>
      <w:r w:rsidRPr="001A3999">
        <w:fldChar w:fldCharType="separate"/>
      </w:r>
      <w:r w:rsidRPr="001A3999" w:rsidR="001A3999">
        <w:rPr>
          <w:noProof/>
        </w:rPr>
        <w:t>28</w:t>
      </w:r>
      <w:r w:rsidRPr="001A3999">
        <w:fldChar w:fldCharType="end"/>
      </w:r>
      <w:r w:rsidRPr="001A3999">
        <w:t xml:space="preserve">.  The </w:t>
      </w:r>
      <w:r w:rsidRPr="001A3999" w:rsidR="00E84363">
        <w:t xml:space="preserve">Court further notes that the </w:t>
      </w:r>
      <w:r w:rsidRPr="001A3999">
        <w:t>requirements inherent in the concept of “fair hearing” are not necessarily the same in cases concerning the determination of civil rights and obligations as they are in cases concerning the determination of a criminal charge. This is borne out by the absence of detailed provisions such as paragraphs 2 and 3 of Article 6 applying to cases of the former category. Thus, although these provisions have a certain relevance outside the strict confines of criminal law, the Contracting States have greater latitude when dealing with civil cases concerning civil rights and obligations than they have when dealing with criminal cases</w:t>
      </w:r>
      <w:r w:rsidRPr="001A3999" w:rsidR="00A00245">
        <w:t xml:space="preserve"> (see, for example, </w:t>
      </w:r>
      <w:r w:rsidRPr="001A3999" w:rsidR="00822D01">
        <w:rPr>
          <w:i/>
        </w:rPr>
        <w:t>Dombo Beheer B.V. v. the Netherlands</w:t>
      </w:r>
      <w:r w:rsidRPr="001A3999" w:rsidR="00822D01">
        <w:t>, 27 October 1993, §§</w:t>
      </w:r>
      <w:r w:rsidRPr="001A3999" w:rsidR="00B97CD7">
        <w:t> </w:t>
      </w:r>
      <w:r w:rsidRPr="001A3999" w:rsidR="00822D01">
        <w:t>32</w:t>
      </w:r>
      <w:r w:rsidRPr="001A3999" w:rsidR="00B97CD7">
        <w:noBreakHyphen/>
      </w:r>
      <w:r w:rsidRPr="001A3999" w:rsidR="00822D01">
        <w:t>33, Series A no. 274</w:t>
      </w:r>
      <w:r w:rsidRPr="001A3999" w:rsidR="005B3873">
        <w:t>;</w:t>
      </w:r>
      <w:r w:rsidRPr="001A3999" w:rsidR="00A00245">
        <w:t xml:space="preserve"> </w:t>
      </w:r>
      <w:r w:rsidRPr="001A3999" w:rsidR="00A00245">
        <w:rPr>
          <w:i/>
        </w:rPr>
        <w:t>Jokela v. Finland</w:t>
      </w:r>
      <w:r w:rsidRPr="001A3999" w:rsidR="00A00245">
        <w:t>, no.</w:t>
      </w:r>
      <w:r w:rsidRPr="001A3999" w:rsidR="00822D01">
        <w:t xml:space="preserve"> 28856/95</w:t>
      </w:r>
      <w:r w:rsidRPr="001A3999" w:rsidR="00F313D0">
        <w:t>, § 68, ECHR </w:t>
      </w:r>
      <w:r w:rsidRPr="001A3999" w:rsidR="00A00245">
        <w:t>2002</w:t>
      </w:r>
      <w:r w:rsidRPr="001A3999" w:rsidR="00A00245">
        <w:noBreakHyphen/>
        <w:t>IV</w:t>
      </w:r>
      <w:r w:rsidRPr="001A3999" w:rsidR="00ED1F66">
        <w:t xml:space="preserve">; and </w:t>
      </w:r>
      <w:r w:rsidRPr="001A3999" w:rsidR="005B3873">
        <w:rPr>
          <w:i/>
        </w:rPr>
        <w:t>Milovanova v. Ukraine</w:t>
      </w:r>
      <w:r w:rsidRPr="001A3999" w:rsidR="005B3873">
        <w:t xml:space="preserve"> (dec.), no.</w:t>
      </w:r>
      <w:r w:rsidRPr="001A3999" w:rsidR="00612198">
        <w:t xml:space="preserve"> </w:t>
      </w:r>
      <w:r w:rsidRPr="001A3999" w:rsidR="005B3873">
        <w:t>16411/03, 2 October 2007</w:t>
      </w:r>
      <w:r w:rsidRPr="001A3999" w:rsidR="00A00245">
        <w:t>)</w:t>
      </w:r>
      <w:r w:rsidRPr="001A3999">
        <w:t>. Nevertheless, certain principles concerning the notion of a “fair hearing” in cases concerning civil rights and obligations emerge from the Court</w:t>
      </w:r>
      <w:r w:rsidRPr="001A3999" w:rsidR="001A3999">
        <w:t>’</w:t>
      </w:r>
      <w:r w:rsidRPr="001A3999">
        <w:t>s case</w:t>
      </w:r>
      <w:r w:rsidRPr="001A3999" w:rsidR="00B97CD7">
        <w:noBreakHyphen/>
      </w:r>
      <w:r w:rsidRPr="001A3999">
        <w:t xml:space="preserve">law. </w:t>
      </w:r>
      <w:r w:rsidRPr="001A3999" w:rsidR="00746C72">
        <w:t>It</w:t>
      </w:r>
      <w:r w:rsidRPr="001A3999">
        <w:t xml:space="preserve"> is clear that the requirement of “equality of arms”, in the sense of a “fair balance” between the parties, applies in principle to such cases as well as to criminal cases (see </w:t>
      </w:r>
      <w:r w:rsidRPr="001A3999">
        <w:rPr>
          <w:i/>
        </w:rPr>
        <w:t>Dombo Beheer B.V.</w:t>
      </w:r>
      <w:r w:rsidRPr="001A3999" w:rsidR="00822D01">
        <w:t xml:space="preserve">, cited above, </w:t>
      </w:r>
      <w:r w:rsidRPr="001A3999" w:rsidR="00F313D0">
        <w:t>§§ </w:t>
      </w:r>
      <w:r w:rsidRPr="001A3999">
        <w:t>32-33).</w:t>
      </w:r>
      <w:r w:rsidRPr="001A3999" w:rsidR="00576642">
        <w:t xml:space="preserve"> Moreover, </w:t>
      </w:r>
      <w:r w:rsidRPr="001A3999" w:rsidR="00A00245">
        <w:t xml:space="preserve">the Court considers it necessary, when examining proceedings that fall within the civil-law aspect of Article 6, to draw inspiration from its approach to criminal-law matters (see </w:t>
      </w:r>
      <w:r w:rsidRPr="001A3999" w:rsidR="00F313D0">
        <w:rPr>
          <w:i/>
        </w:rPr>
        <w:t>Dilipak and </w:t>
      </w:r>
      <w:r w:rsidRPr="001A3999" w:rsidR="00A00245">
        <w:rPr>
          <w:i/>
        </w:rPr>
        <w:t>Karakaya v. Turkey</w:t>
      </w:r>
      <w:r w:rsidRPr="001A3999" w:rsidR="00A00245">
        <w:t>, nos.</w:t>
      </w:r>
      <w:r w:rsidRPr="001A3999" w:rsidR="005641A2">
        <w:t> </w:t>
      </w:r>
      <w:r w:rsidRPr="001A3999" w:rsidR="006669EF">
        <w:t>7942/05 and 24838/05</w:t>
      </w:r>
      <w:r w:rsidRPr="001A3999" w:rsidR="006669EF">
        <w:rPr>
          <w:snapToGrid w:val="0"/>
        </w:rPr>
        <w:t>,</w:t>
      </w:r>
      <w:r w:rsidRPr="001A3999" w:rsidR="00A00245">
        <w:t xml:space="preserve"> § 80, 4 March 2014</w:t>
      </w:r>
      <w:r w:rsidRPr="001A3999" w:rsidR="00E84363">
        <w:t xml:space="preserve">; see also </w:t>
      </w:r>
      <w:r w:rsidRPr="001A3999" w:rsidR="00E84363">
        <w:rPr>
          <w:i/>
        </w:rPr>
        <w:t>Carmel Saliba v.</w:t>
      </w:r>
      <w:r w:rsidRPr="001A3999" w:rsidR="00B97CD7">
        <w:rPr>
          <w:i/>
        </w:rPr>
        <w:t> </w:t>
      </w:r>
      <w:r w:rsidRPr="001A3999" w:rsidR="00E84363">
        <w:rPr>
          <w:i/>
        </w:rPr>
        <w:t>Malta</w:t>
      </w:r>
      <w:r w:rsidRPr="001A3999" w:rsidR="00E84363">
        <w:t xml:space="preserve">, no. 24221/13, §§ </w:t>
      </w:r>
      <w:r w:rsidRPr="001A3999" w:rsidR="00C150BF">
        <w:t>67, 70, and 73</w:t>
      </w:r>
      <w:r w:rsidRPr="001A3999" w:rsidR="00F313D0">
        <w:t>, 29 </w:t>
      </w:r>
      <w:r w:rsidRPr="001A3999" w:rsidR="00E84363">
        <w:t>November 2016</w:t>
      </w:r>
      <w:r w:rsidRPr="001A3999" w:rsidR="00A00245">
        <w:t>).</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29</w:t>
      </w:r>
      <w:r w:rsidRPr="001A3999">
        <w:fldChar w:fldCharType="end"/>
      </w:r>
      <w:r w:rsidRPr="001A3999">
        <w:t xml:space="preserve">.  In its recent case-law the Court applied </w:t>
      </w:r>
      <w:r w:rsidRPr="001A3999" w:rsidR="0098657B">
        <w:t xml:space="preserve">criminal law standard concerning </w:t>
      </w:r>
      <w:r w:rsidRPr="001A3999" w:rsidR="0098657B">
        <w:rPr>
          <w:i/>
        </w:rPr>
        <w:t xml:space="preserve">in absentia </w:t>
      </w:r>
      <w:r w:rsidRPr="001A3999" w:rsidR="0098657B">
        <w:t>proceedings</w:t>
      </w:r>
      <w:r w:rsidRPr="001A3999">
        <w:t xml:space="preserve"> to complaints concerning civil proceedings. It held that in </w:t>
      </w:r>
      <w:r w:rsidRPr="001A3999" w:rsidR="00231666">
        <w:t xml:space="preserve">civil default proceedings </w:t>
      </w:r>
      <w:r w:rsidRPr="001A3999">
        <w:t>it would verify: (i)</w:t>
      </w:r>
      <w:r w:rsidRPr="001A3999" w:rsidR="00BD0306">
        <w:t> </w:t>
      </w:r>
      <w:r w:rsidRPr="001A3999">
        <w:t>whether the authorities had been diligent in informing the applicants of the proceedings, and whether the applicants could be considered to have waived their right to appear before the courts and</w:t>
      </w:r>
      <w:r w:rsidRPr="001A3999" w:rsidR="00BD0306">
        <w:t xml:space="preserve"> to defend themselves; and (ii) </w:t>
      </w:r>
      <w:r w:rsidRPr="001A3999">
        <w:t xml:space="preserve">whether domestic law provided the applicants with the appropriate means to secure a fresh adversarial hearing, once they had learnt of the default judgments against them (see </w:t>
      </w:r>
      <w:r w:rsidRPr="001A3999">
        <w:rPr>
          <w:i/>
        </w:rPr>
        <w:t>Dilipak and Karakaya</w:t>
      </w:r>
      <w:r w:rsidRPr="001A3999">
        <w:t xml:space="preserve">, </w:t>
      </w:r>
      <w:r w:rsidRPr="001A3999" w:rsidR="00153916">
        <w:t>cited above</w:t>
      </w:r>
      <w:r w:rsidRPr="001A3999">
        <w:rPr>
          <w:snapToGrid w:val="0"/>
        </w:rPr>
        <w:t xml:space="preserve">, </w:t>
      </w:r>
      <w:r w:rsidRPr="001A3999" w:rsidR="00533214">
        <w:rPr>
          <w:noProof/>
        </w:rPr>
        <w:t>§§</w:t>
      </w:r>
      <w:r w:rsidRPr="001A3999" w:rsidR="00153916">
        <w:rPr>
          <w:noProof/>
        </w:rPr>
        <w:t> </w:t>
      </w:r>
      <w:r w:rsidRPr="001A3999">
        <w:rPr>
          <w:noProof/>
        </w:rPr>
        <w:t>78, 80 and 88</w:t>
      </w:r>
      <w:r w:rsidRPr="001A3999">
        <w:rPr>
          <w:snapToGrid w:val="0"/>
        </w:rPr>
        <w:t xml:space="preserve">, 4 March 2014; </w:t>
      </w:r>
      <w:r w:rsidRPr="001A3999">
        <w:rPr>
          <w:i/>
        </w:rPr>
        <w:t xml:space="preserve">Aždajić, </w:t>
      </w:r>
      <w:r w:rsidRPr="001A3999">
        <w:t xml:space="preserve">cited above, </w:t>
      </w:r>
      <w:r w:rsidRPr="001A3999">
        <w:rPr>
          <w:snapToGrid w:val="0"/>
        </w:rPr>
        <w:t xml:space="preserve">§§ 50 and 53; </w:t>
      </w:r>
      <w:r w:rsidRPr="001A3999">
        <w:rPr>
          <w:i/>
        </w:rPr>
        <w:t>Gyuleva v. Bulgaria</w:t>
      </w:r>
      <w:r w:rsidRPr="001A3999">
        <w:t>, no. 38840/08</w:t>
      </w:r>
      <w:r w:rsidRPr="001A3999">
        <w:rPr>
          <w:snapToGrid w:val="0"/>
        </w:rPr>
        <w:t xml:space="preserve">, § 38, 9 June 2016; </w:t>
      </w:r>
      <w:r w:rsidRPr="001A3999">
        <w:t>and</w:t>
      </w:r>
      <w:r w:rsidRPr="001A3999">
        <w:rPr>
          <w:i/>
        </w:rPr>
        <w:t xml:space="preserve"> </w:t>
      </w:r>
      <w:r w:rsidRPr="001A3999" w:rsidR="00B55147">
        <w:rPr>
          <w:i/>
        </w:rPr>
        <w:t>Gakharia v.</w:t>
      </w:r>
      <w:r w:rsidRPr="001A3999" w:rsidR="00B97CD7">
        <w:rPr>
          <w:i/>
        </w:rPr>
        <w:t> </w:t>
      </w:r>
      <w:r w:rsidRPr="001A3999" w:rsidR="00B55147">
        <w:rPr>
          <w:i/>
        </w:rPr>
        <w:t>Georgia</w:t>
      </w:r>
      <w:r w:rsidRPr="001A3999" w:rsidR="00B55147">
        <w:t xml:space="preserve">, no. 30459/13, § </w:t>
      </w:r>
      <w:r w:rsidRPr="001A3999" w:rsidR="00B55147">
        <w:rPr>
          <w:snapToGrid w:val="0"/>
        </w:rPr>
        <w:t>38</w:t>
      </w:r>
      <w:r w:rsidRPr="001A3999" w:rsidR="00B55147">
        <w:t>, 17 January 2017</w:t>
      </w:r>
      <w:r w:rsidRPr="001A3999">
        <w:t>).</w:t>
      </w:r>
    </w:p>
    <w:p w:rsidRPr="001A3999" w:rsidR="005C7DEF" w:rsidP="001A3999" w:rsidRDefault="003B2A69">
      <w:pPr>
        <w:pStyle w:val="ECHRHeading4"/>
      </w:pPr>
      <w:r w:rsidRPr="001A3999">
        <w:t>(b)  </w:t>
      </w:r>
      <w:r w:rsidRPr="001A3999" w:rsidR="005C7DEF">
        <w:t>Application of those principles in the current case</w:t>
      </w:r>
    </w:p>
    <w:p w:rsidRPr="001A3999" w:rsidR="00A069FF" w:rsidP="001A3999" w:rsidRDefault="001F00E8">
      <w:pPr>
        <w:pStyle w:val="ECHRPara"/>
        <w:rPr>
          <w:strike/>
        </w:rPr>
      </w:pPr>
      <w:r w:rsidRPr="001A3999">
        <w:rPr>
          <w:noProof/>
        </w:rPr>
        <w:fldChar w:fldCharType="begin"/>
      </w:r>
      <w:r w:rsidRPr="001A3999">
        <w:rPr>
          <w:noProof/>
        </w:rPr>
        <w:instrText xml:space="preserve"> SEQ level0 \*arabic </w:instrText>
      </w:r>
      <w:r w:rsidRPr="001A3999">
        <w:rPr>
          <w:noProof/>
        </w:rPr>
        <w:fldChar w:fldCharType="separate"/>
      </w:r>
      <w:r w:rsidRPr="001A3999" w:rsidR="001A3999">
        <w:rPr>
          <w:noProof/>
        </w:rPr>
        <w:t>30</w:t>
      </w:r>
      <w:r w:rsidRPr="001A3999">
        <w:rPr>
          <w:noProof/>
        </w:rPr>
        <w:fldChar w:fldCharType="end"/>
      </w:r>
      <w:r w:rsidRPr="001A3999">
        <w:rPr>
          <w:noProof/>
        </w:rPr>
        <w:t>.  </w:t>
      </w:r>
      <w:r w:rsidRPr="001A3999" w:rsidR="005C7DEF">
        <w:rPr>
          <w:noProof/>
        </w:rPr>
        <w:t xml:space="preserve">The applicant does not dispute the fact that he was duly informed of the hearing scheduled for 28 January 2004 and he indeed appeared at that hearing. Therefore, </w:t>
      </w:r>
      <w:r w:rsidRPr="001A3999" w:rsidR="00FE55F2">
        <w:rPr>
          <w:noProof/>
        </w:rPr>
        <w:t xml:space="preserve">what is at stake in the current case </w:t>
      </w:r>
      <w:r w:rsidRPr="001A3999" w:rsidR="005C7DEF">
        <w:rPr>
          <w:noProof/>
        </w:rPr>
        <w:t xml:space="preserve">is whether the applicant </w:t>
      </w:r>
      <w:r w:rsidRPr="001A3999" w:rsidR="00B23D87">
        <w:rPr>
          <w:noProof/>
        </w:rPr>
        <w:t xml:space="preserve">was </w:t>
      </w:r>
      <w:r w:rsidRPr="001A3999" w:rsidR="00FE55F2">
        <w:rPr>
          <w:noProof/>
        </w:rPr>
        <w:t xml:space="preserve">given </w:t>
      </w:r>
      <w:r w:rsidRPr="001A3999" w:rsidR="000C6CE2">
        <w:rPr>
          <w:noProof/>
        </w:rPr>
        <w:t>the</w:t>
      </w:r>
      <w:r w:rsidRPr="001A3999" w:rsidR="00FE55F2">
        <w:rPr>
          <w:noProof/>
        </w:rPr>
        <w:t xml:space="preserve"> possibility</w:t>
      </w:r>
      <w:r w:rsidRPr="001A3999" w:rsidR="00B23D87">
        <w:rPr>
          <w:noProof/>
        </w:rPr>
        <w:t xml:space="preserve"> to effectively participate in the proceedings </w:t>
      </w:r>
      <w:r w:rsidRPr="001A3999" w:rsidR="004F70DC">
        <w:rPr>
          <w:noProof/>
        </w:rPr>
        <w:t>and to enjoy equality of arms with the o</w:t>
      </w:r>
      <w:r w:rsidRPr="001A3999" w:rsidR="00B23D87">
        <w:rPr>
          <w:noProof/>
        </w:rPr>
        <w:t>p</w:t>
      </w:r>
      <w:r w:rsidRPr="001A3999" w:rsidR="00A94218">
        <w:rPr>
          <w:noProof/>
        </w:rPr>
        <w:t>p</w:t>
      </w:r>
      <w:r w:rsidRPr="001A3999" w:rsidR="00B23D87">
        <w:rPr>
          <w:noProof/>
        </w:rPr>
        <w:t>osing party</w:t>
      </w:r>
      <w:r w:rsidRPr="001A3999" w:rsidR="008A3B4F">
        <w:rPr>
          <w:noProof/>
        </w:rPr>
        <w:t>.</w:t>
      </w:r>
    </w:p>
    <w:p w:rsidRPr="001A3999" w:rsidR="00B97CD7" w:rsidP="001A3999" w:rsidRDefault="000C225E">
      <w:pPr>
        <w:pStyle w:val="ECHRPara"/>
      </w:pPr>
      <w:r w:rsidRPr="001A3999">
        <w:rPr>
          <w:rFonts w:asciiTheme="majorHAnsi" w:hAnsiTheme="majorHAnsi" w:eastAsiaTheme="majorEastAsia" w:cstheme="majorBidi"/>
          <w:szCs w:val="26"/>
        </w:rPr>
        <w:fldChar w:fldCharType="begin"/>
      </w:r>
      <w:r w:rsidRPr="001A3999">
        <w:instrText xml:space="preserve"> SEQ level0 \*arabic </w:instrText>
      </w:r>
      <w:r w:rsidRPr="001A3999">
        <w:rPr>
          <w:rFonts w:asciiTheme="majorHAnsi" w:hAnsiTheme="majorHAnsi" w:eastAsiaTheme="majorEastAsia" w:cstheme="majorBidi"/>
          <w:szCs w:val="26"/>
        </w:rPr>
        <w:fldChar w:fldCharType="separate"/>
      </w:r>
      <w:r w:rsidRPr="001A3999" w:rsidR="001A3999">
        <w:rPr>
          <w:noProof/>
        </w:rPr>
        <w:t>31</w:t>
      </w:r>
      <w:r w:rsidRPr="001A3999">
        <w:rPr>
          <w:rFonts w:asciiTheme="majorHAnsi" w:hAnsiTheme="majorHAnsi" w:eastAsiaTheme="majorEastAsia" w:cstheme="majorBidi"/>
          <w:szCs w:val="26"/>
        </w:rPr>
        <w:fldChar w:fldCharType="end"/>
      </w:r>
      <w:r w:rsidRPr="001A3999">
        <w:t>.  </w:t>
      </w:r>
      <w:r w:rsidRPr="001A3999" w:rsidR="005C7DEF">
        <w:t xml:space="preserve">The Court notes </w:t>
      </w:r>
      <w:r w:rsidRPr="001A3999" w:rsidR="001E5933">
        <w:t>that the applicant</w:t>
      </w:r>
      <w:r w:rsidRPr="001A3999" w:rsidR="001A3999">
        <w:t>’</w:t>
      </w:r>
      <w:r w:rsidRPr="001A3999" w:rsidR="001E5933">
        <w:t xml:space="preserve">s lawyer </w:t>
      </w:r>
      <w:r w:rsidRPr="001A3999" w:rsidR="004920ED">
        <w:t>lodged</w:t>
      </w:r>
      <w:r w:rsidRPr="001A3999" w:rsidR="001E5933">
        <w:t xml:space="preserve"> a request for an adjournment six days before the scheduled hearing. In the absence of a reply, the applicant appeared before the District Court</w:t>
      </w:r>
      <w:r w:rsidRPr="001A3999" w:rsidR="00485BB0">
        <w:t xml:space="preserve"> and h</w:t>
      </w:r>
      <w:r w:rsidRPr="001A3999" w:rsidR="001E5933">
        <w:t xml:space="preserve">aving reiterated his request for an adjournment, refused to participate in the hearing </w:t>
      </w:r>
      <w:r w:rsidRPr="001A3999" w:rsidR="00485BB0">
        <w:t>without</w:t>
      </w:r>
      <w:r w:rsidRPr="001A3999" w:rsidR="001E5933">
        <w:t xml:space="preserve"> his lawyer. </w:t>
      </w:r>
      <w:r w:rsidRPr="001A3999" w:rsidR="005C7DEF">
        <w:rPr>
          <w:noProof/>
        </w:rPr>
        <w:t>According to the court record, t</w:t>
      </w:r>
      <w:r w:rsidRPr="001A3999" w:rsidR="005C7DEF">
        <w:t xml:space="preserve">he first-instance judge </w:t>
      </w:r>
      <w:r w:rsidRPr="001A3999" w:rsidR="00273270">
        <w:t>disregarded the request for an adjournment as such</w:t>
      </w:r>
      <w:r w:rsidRPr="001A3999" w:rsidR="009B1383">
        <w:t>, and concluded that the applicant</w:t>
      </w:r>
      <w:r w:rsidRPr="001A3999" w:rsidR="001A3999">
        <w:t>’</w:t>
      </w:r>
      <w:r w:rsidRPr="001A3999" w:rsidR="009B1383">
        <w:t xml:space="preserve">s refusal to participate in the hearing amounted to his absence and issued a default judgment (see paragraph </w:t>
      </w:r>
      <w:r w:rsidRPr="001A3999" w:rsidR="009B1383">
        <w:fldChar w:fldCharType="begin"/>
      </w:r>
      <w:r w:rsidRPr="001A3999" w:rsidR="009B1383">
        <w:instrText xml:space="preserve"> REF ignore_adjournment \h </w:instrText>
      </w:r>
      <w:r w:rsidRPr="001A3999" w:rsidR="00336C4E">
        <w:instrText xml:space="preserve"> \* MERGEFORMAT </w:instrText>
      </w:r>
      <w:r w:rsidRPr="001A3999" w:rsidR="009B1383">
        <w:fldChar w:fldCharType="separate"/>
      </w:r>
      <w:r w:rsidRPr="001A3999" w:rsidR="001A3999">
        <w:rPr>
          <w:noProof/>
        </w:rPr>
        <w:t>9</w:t>
      </w:r>
      <w:r w:rsidRPr="001A3999" w:rsidR="009B1383">
        <w:fldChar w:fldCharType="end"/>
      </w:r>
      <w:r w:rsidRPr="001A3999" w:rsidR="009B1383">
        <w:t xml:space="preserve"> above). </w:t>
      </w:r>
      <w:r w:rsidRPr="001A3999" w:rsidR="00462493">
        <w:t>At this point t</w:t>
      </w:r>
      <w:r w:rsidRPr="001A3999" w:rsidR="009B1383">
        <w:t xml:space="preserve">he Court </w:t>
      </w:r>
      <w:r w:rsidRPr="001A3999" w:rsidR="00462493">
        <w:t xml:space="preserve">considers necessary to </w:t>
      </w:r>
      <w:r w:rsidRPr="001A3999" w:rsidR="00515457">
        <w:t>make the following</w:t>
      </w:r>
      <w:r w:rsidRPr="001A3999" w:rsidR="00E67691">
        <w:t xml:space="preserve"> </w:t>
      </w:r>
      <w:r w:rsidRPr="001A3999" w:rsidR="00515457">
        <w:t>observation.</w:t>
      </w:r>
    </w:p>
    <w:p w:rsidRPr="001A3999" w:rsidR="006C4495" w:rsidP="001A3999" w:rsidRDefault="00B85E8C">
      <w:pPr>
        <w:pStyle w:val="ECHRPara"/>
      </w:pPr>
      <w:r w:rsidRPr="001A3999">
        <w:fldChar w:fldCharType="begin"/>
      </w:r>
      <w:r w:rsidRPr="001A3999">
        <w:instrText xml:space="preserve"> SEQ level0 \*arabic </w:instrText>
      </w:r>
      <w:r w:rsidRPr="001A3999">
        <w:fldChar w:fldCharType="separate"/>
      </w:r>
      <w:r w:rsidRPr="001A3999" w:rsidR="001A3999">
        <w:rPr>
          <w:noProof/>
        </w:rPr>
        <w:t>32</w:t>
      </w:r>
      <w:r w:rsidRPr="001A3999">
        <w:fldChar w:fldCharType="end"/>
      </w:r>
      <w:r w:rsidRPr="001A3999">
        <w:t>.  </w:t>
      </w:r>
      <w:r w:rsidRPr="001A3999" w:rsidR="00E67691">
        <w:t xml:space="preserve">There is no automatic right under the Convention to legal representation in civil proceedings, and in the circumstances of the present case the </w:t>
      </w:r>
      <w:r w:rsidRPr="001A3999" w:rsidR="00515457">
        <w:t>legal representation</w:t>
      </w:r>
      <w:r w:rsidRPr="001A3999" w:rsidR="00E67691">
        <w:t xml:space="preserve"> was not mandatory. </w:t>
      </w:r>
      <w:r w:rsidRPr="001A3999" w:rsidR="006C4495">
        <w:t xml:space="preserve">Nevertheless, when </w:t>
      </w:r>
      <w:r w:rsidRPr="001A3999" w:rsidR="00E15D83">
        <w:t>a party seeks</w:t>
      </w:r>
      <w:r w:rsidRPr="001A3999" w:rsidR="00247E8B">
        <w:t>,</w:t>
      </w:r>
      <w:r w:rsidRPr="001A3999" w:rsidR="00E15D83">
        <w:t xml:space="preserve"> </w:t>
      </w:r>
      <w:r w:rsidRPr="001A3999" w:rsidR="00247E8B">
        <w:t>as in the case</w:t>
      </w:r>
      <w:r w:rsidRPr="001A3999" w:rsidR="008B3F22">
        <w:t xml:space="preserve"> at hand</w:t>
      </w:r>
      <w:r w:rsidRPr="001A3999" w:rsidR="00247E8B">
        <w:t xml:space="preserve">, </w:t>
      </w:r>
      <w:r w:rsidRPr="001A3999" w:rsidR="00E15D83">
        <w:t xml:space="preserve">an adjournment on the basis of </w:t>
      </w:r>
      <w:r w:rsidRPr="001A3999" w:rsidR="00247E8B">
        <w:t xml:space="preserve">his </w:t>
      </w:r>
      <w:r w:rsidRPr="001A3999" w:rsidR="00AF4808">
        <w:t xml:space="preserve">or her </w:t>
      </w:r>
      <w:r w:rsidRPr="001A3999" w:rsidR="00E15D83">
        <w:t>lawyer</w:t>
      </w:r>
      <w:r w:rsidRPr="001A3999" w:rsidR="001A3999">
        <w:t>’</w:t>
      </w:r>
      <w:r w:rsidRPr="001A3999" w:rsidR="00E15D83">
        <w:t>s absence, arguing that th</w:t>
      </w:r>
      <w:r w:rsidRPr="001A3999" w:rsidR="00A55866">
        <w:t>is</w:t>
      </w:r>
      <w:r w:rsidRPr="001A3999" w:rsidR="00E15D83">
        <w:t xml:space="preserve"> constitutes a handicap for the defence, </w:t>
      </w:r>
      <w:r w:rsidRPr="001A3999" w:rsidR="006C4495">
        <w:t>the domestic court</w:t>
      </w:r>
      <w:r w:rsidRPr="001A3999" w:rsidR="00273270">
        <w:t xml:space="preserve"> is</w:t>
      </w:r>
      <w:r w:rsidRPr="001A3999" w:rsidR="006C4495">
        <w:t xml:space="preserve"> expected </w:t>
      </w:r>
      <w:r w:rsidRPr="001A3999" w:rsidR="009C50FE">
        <w:t xml:space="preserve">to examine </w:t>
      </w:r>
      <w:r w:rsidRPr="001A3999">
        <w:t>the request</w:t>
      </w:r>
      <w:r w:rsidRPr="001A3999" w:rsidR="009C50FE">
        <w:t xml:space="preserve"> and answer </w:t>
      </w:r>
      <w:r w:rsidRPr="001A3999">
        <w:t>it</w:t>
      </w:r>
      <w:r w:rsidRPr="001A3999" w:rsidR="009C50FE">
        <w:t>.</w:t>
      </w:r>
      <w:r w:rsidRPr="001A3999" w:rsidR="00E15D83">
        <w:t xml:space="preserve"> A question as to whether the assistance of a lawyer is necessary for a fair trial must be determined on the basis of the specific facts of each case, such as, the importance of what is at stake for the applicant in the proceedings, the complexity of the relevant law and procedure, and the applicant</w:t>
      </w:r>
      <w:r w:rsidRPr="001A3999" w:rsidR="001A3999">
        <w:t>’</w:t>
      </w:r>
      <w:r w:rsidRPr="001A3999" w:rsidR="00E15D83">
        <w:t>s capacity to represent him or herself effectively (see</w:t>
      </w:r>
      <w:r w:rsidRPr="001A3999" w:rsidR="00E804BF">
        <w:t xml:space="preserve">, </w:t>
      </w:r>
      <w:r w:rsidRPr="001A3999" w:rsidR="00E804BF">
        <w:rPr>
          <w:i/>
        </w:rPr>
        <w:t>mutatis mutandis,</w:t>
      </w:r>
      <w:r w:rsidRPr="001A3999" w:rsidR="00E15D83">
        <w:t xml:space="preserve"> </w:t>
      </w:r>
      <w:r w:rsidRPr="001A3999" w:rsidR="00F313D0">
        <w:rPr>
          <w:i/>
        </w:rPr>
        <w:t>Steel and </w:t>
      </w:r>
      <w:r w:rsidRPr="001A3999" w:rsidR="00E15D83">
        <w:rPr>
          <w:i/>
        </w:rPr>
        <w:t>Morris</w:t>
      </w:r>
      <w:r w:rsidRPr="001A3999" w:rsidR="00E15D83">
        <w:t>, cited above, § 61</w:t>
      </w:r>
      <w:r w:rsidRPr="001A3999" w:rsidR="004602D5">
        <w:t xml:space="preserve">, and </w:t>
      </w:r>
      <w:r w:rsidRPr="001A3999" w:rsidR="004602D5">
        <w:rPr>
          <w:i/>
        </w:rPr>
        <w:t>N.J.D.B.</w:t>
      </w:r>
      <w:r w:rsidRPr="001A3999" w:rsidR="004602D5">
        <w:t xml:space="preserve"> </w:t>
      </w:r>
      <w:r w:rsidRPr="001A3999" w:rsidR="004602D5">
        <w:rPr>
          <w:i/>
        </w:rPr>
        <w:t>v. the United Kingdom</w:t>
      </w:r>
      <w:r w:rsidRPr="001A3999" w:rsidR="004602D5">
        <w:t>, no.</w:t>
      </w:r>
      <w:r w:rsidRPr="001A3999" w:rsidR="005641A2">
        <w:t> </w:t>
      </w:r>
      <w:r w:rsidRPr="001A3999" w:rsidR="004602D5">
        <w:t>76760/12</w:t>
      </w:r>
      <w:r w:rsidRPr="001A3999" w:rsidR="004602D5">
        <w:rPr>
          <w:snapToGrid w:val="0"/>
        </w:rPr>
        <w:t>, § 73, 27 October 2015</w:t>
      </w:r>
      <w:r w:rsidRPr="001A3999" w:rsidR="00E15D83">
        <w:t>). In this context, it must be ascertained whether the applicant</w:t>
      </w:r>
      <w:r w:rsidRPr="001A3999" w:rsidR="001A3999">
        <w:t>’</w:t>
      </w:r>
      <w:r w:rsidRPr="001A3999" w:rsidR="00E15D83">
        <w:t>s appearance before the courts without the assistance of a lawyer would be effective, in the sense of whether he or she would be able to present his or her case properly and satisfactorily (see</w:t>
      </w:r>
      <w:r w:rsidRPr="001A3999" w:rsidR="008C48AD">
        <w:t xml:space="preserve">, </w:t>
      </w:r>
      <w:r w:rsidRPr="001A3999" w:rsidR="008C48AD">
        <w:rPr>
          <w:i/>
        </w:rPr>
        <w:t>mutatis mutandis,</w:t>
      </w:r>
      <w:r w:rsidRPr="001A3999" w:rsidR="00E15D83">
        <w:t xml:space="preserve"> </w:t>
      </w:r>
      <w:r w:rsidRPr="001A3999" w:rsidR="00E15D83">
        <w:rPr>
          <w:i/>
        </w:rPr>
        <w:t>Airey v. Ireland</w:t>
      </w:r>
      <w:r w:rsidRPr="001A3999" w:rsidR="00E15D83">
        <w:t>, 9 October 1979, § 24, Series A no.</w:t>
      </w:r>
      <w:r w:rsidRPr="001A3999" w:rsidR="00B97CD7">
        <w:t xml:space="preserve"> </w:t>
      </w:r>
      <w:r w:rsidRPr="001A3999" w:rsidR="00E15D83">
        <w:t>32). Regard must also be had to the overall context and, in particular, the extent to which the applicant has already enjoyed access to court and equality of arms in the proceedings (see</w:t>
      </w:r>
      <w:r w:rsidRPr="001A3999" w:rsidR="00CC482D">
        <w:t xml:space="preserve"> </w:t>
      </w:r>
      <w:r w:rsidRPr="001A3999" w:rsidR="00CC482D">
        <w:rPr>
          <w:i/>
        </w:rPr>
        <w:t>N.J.D.B.</w:t>
      </w:r>
      <w:r w:rsidRPr="001A3999" w:rsidR="00AA7244">
        <w:rPr>
          <w:i/>
        </w:rPr>
        <w:t>,</w:t>
      </w:r>
      <w:r w:rsidRPr="001A3999" w:rsidR="00CC482D">
        <w:t xml:space="preserve"> </w:t>
      </w:r>
      <w:r w:rsidRPr="001A3999" w:rsidR="00AA7244">
        <w:t>cited above</w:t>
      </w:r>
      <w:r w:rsidRPr="001A3999" w:rsidR="00CC482D">
        <w:rPr>
          <w:snapToGrid w:val="0"/>
        </w:rPr>
        <w:t>, § 74</w:t>
      </w:r>
      <w:r w:rsidRPr="001A3999" w:rsidR="00E15D83">
        <w:t>).</w:t>
      </w:r>
    </w:p>
    <w:p w:rsidRPr="001A3999" w:rsidR="009D1DF0" w:rsidP="001A3999" w:rsidRDefault="00E15D83">
      <w:pPr>
        <w:pStyle w:val="ECHRPara"/>
      </w:pPr>
      <w:r w:rsidRPr="001A3999">
        <w:fldChar w:fldCharType="begin"/>
      </w:r>
      <w:r w:rsidRPr="001A3999">
        <w:instrText xml:space="preserve"> SEQ level0 \*arabic </w:instrText>
      </w:r>
      <w:r w:rsidRPr="001A3999">
        <w:fldChar w:fldCharType="separate"/>
      </w:r>
      <w:r w:rsidRPr="001A3999" w:rsidR="001A3999">
        <w:rPr>
          <w:noProof/>
        </w:rPr>
        <w:t>33</w:t>
      </w:r>
      <w:r w:rsidRPr="001A3999">
        <w:fldChar w:fldCharType="end"/>
      </w:r>
      <w:r w:rsidRPr="001A3999">
        <w:t>.  </w:t>
      </w:r>
      <w:r w:rsidRPr="001A3999" w:rsidR="00B85E8C">
        <w:t xml:space="preserve">In the current case </w:t>
      </w:r>
      <w:r w:rsidRPr="001A3999">
        <w:t>the District Court did not examine whether there was evidence that the applicant or his lawyer</w:t>
      </w:r>
      <w:r w:rsidRPr="001A3999" w:rsidR="00E27A78">
        <w:t>, who had invoked a serious and verifiable reason for an adjournment,</w:t>
      </w:r>
      <w:r w:rsidRPr="001A3999" w:rsidR="00B97CD7">
        <w:t xml:space="preserve"> </w:t>
      </w:r>
      <w:r w:rsidRPr="001A3999">
        <w:t>had acted in bad faith or had tried to unnecessarily delay the proceedings. It was their first request for an adjournment</w:t>
      </w:r>
      <w:r w:rsidRPr="001A3999" w:rsidR="007D17F6">
        <w:t xml:space="preserve"> </w:t>
      </w:r>
      <w:r w:rsidRPr="001A3999" w:rsidR="00D4199B">
        <w:t xml:space="preserve">which had been duly lodged with the court both by the applicant and his </w:t>
      </w:r>
      <w:r w:rsidRPr="001A3999" w:rsidR="002D7921">
        <w:t>l</w:t>
      </w:r>
      <w:r w:rsidRPr="001A3999" w:rsidR="00D4199B">
        <w:t>awyer</w:t>
      </w:r>
      <w:r w:rsidRPr="001A3999" w:rsidR="007D17F6">
        <w:t xml:space="preserve"> </w:t>
      </w:r>
      <w:r w:rsidRPr="001A3999" w:rsidR="002D7921">
        <w:t>(see paragraphs</w:t>
      </w:r>
      <w:r w:rsidRPr="001A3999" w:rsidR="00B97CD7">
        <w:t xml:space="preserve"> </w:t>
      </w:r>
      <w:r w:rsidRPr="001A3999" w:rsidR="002D7921">
        <w:fldChar w:fldCharType="begin"/>
      </w:r>
      <w:r w:rsidRPr="001A3999" w:rsidR="002D7921">
        <w:instrText xml:space="preserve"> REF request_adjournment \h </w:instrText>
      </w:r>
      <w:r w:rsidRPr="001A3999" w:rsidR="00336C4E">
        <w:instrText xml:space="preserve"> \* MERGEFORMAT </w:instrText>
      </w:r>
      <w:r w:rsidRPr="001A3999" w:rsidR="002D7921">
        <w:fldChar w:fldCharType="separate"/>
      </w:r>
      <w:r w:rsidRPr="001A3999" w:rsidR="001A3999">
        <w:rPr>
          <w:noProof/>
        </w:rPr>
        <w:t>7</w:t>
      </w:r>
      <w:r w:rsidRPr="001A3999" w:rsidR="002D7921">
        <w:fldChar w:fldCharType="end"/>
      </w:r>
      <w:r w:rsidRPr="001A3999" w:rsidR="002D7921">
        <w:noBreakHyphen/>
      </w:r>
      <w:r w:rsidRPr="001A3999" w:rsidR="002D7921">
        <w:fldChar w:fldCharType="begin"/>
      </w:r>
      <w:r w:rsidRPr="001A3999" w:rsidR="002D7921">
        <w:instrText xml:space="preserve"> REF in_hearing_request_adjournment \h </w:instrText>
      </w:r>
      <w:r w:rsidRPr="001A3999" w:rsidR="00336C4E">
        <w:instrText xml:space="preserve"> \* MERGEFORMAT </w:instrText>
      </w:r>
      <w:r w:rsidRPr="001A3999" w:rsidR="002D7921">
        <w:fldChar w:fldCharType="separate"/>
      </w:r>
      <w:r w:rsidRPr="001A3999" w:rsidR="001A3999">
        <w:rPr>
          <w:noProof/>
        </w:rPr>
        <w:t>8</w:t>
      </w:r>
      <w:r w:rsidRPr="001A3999" w:rsidR="002D7921">
        <w:fldChar w:fldCharType="end"/>
      </w:r>
      <w:r w:rsidRPr="001A3999" w:rsidR="002D7921">
        <w:t xml:space="preserve"> above, and contrast with </w:t>
      </w:r>
      <w:r w:rsidRPr="001A3999" w:rsidR="002D7921">
        <w:rPr>
          <w:i/>
        </w:rPr>
        <w:t>Milovanova</w:t>
      </w:r>
      <w:r w:rsidRPr="001A3999" w:rsidR="00B96B5D">
        <w:rPr>
          <w:i/>
        </w:rPr>
        <w:t xml:space="preserve">, </w:t>
      </w:r>
      <w:r w:rsidRPr="001A3999" w:rsidR="00B96B5D">
        <w:t>cited above</w:t>
      </w:r>
      <w:r w:rsidRPr="001A3999" w:rsidR="002D7921">
        <w:t>)</w:t>
      </w:r>
      <w:r w:rsidRPr="001A3999">
        <w:t xml:space="preserve">. </w:t>
      </w:r>
      <w:r w:rsidRPr="001A3999" w:rsidR="002D7921">
        <w:rPr>
          <w:rFonts w:cstheme="minorHAnsi"/>
        </w:rPr>
        <w:t>Article 93 of the CCP explicitly recognised the applicant</w:t>
      </w:r>
      <w:r w:rsidRPr="001A3999" w:rsidR="001A3999">
        <w:rPr>
          <w:rFonts w:cstheme="minorHAnsi"/>
        </w:rPr>
        <w:t>’</w:t>
      </w:r>
      <w:r w:rsidRPr="001A3999" w:rsidR="002D7921">
        <w:rPr>
          <w:rFonts w:cstheme="minorHAnsi"/>
        </w:rPr>
        <w:t xml:space="preserve">s right to present his case through a lawyer (see paragraph </w:t>
      </w:r>
      <w:r w:rsidRPr="001A3999" w:rsidR="002D7921">
        <w:rPr>
          <w:rFonts w:cstheme="minorHAnsi"/>
        </w:rPr>
        <w:fldChar w:fldCharType="begin"/>
      </w:r>
      <w:r w:rsidRPr="001A3999" w:rsidR="002D7921">
        <w:rPr>
          <w:rFonts w:cstheme="minorHAnsi"/>
        </w:rPr>
        <w:instrText xml:space="preserve"> REF CCP \h </w:instrText>
      </w:r>
      <w:r w:rsidRPr="001A3999" w:rsidR="00336C4E">
        <w:rPr>
          <w:rFonts w:cstheme="minorHAnsi"/>
        </w:rPr>
        <w:instrText xml:space="preserve"> \* MERGEFORMAT </w:instrText>
      </w:r>
      <w:r w:rsidRPr="001A3999" w:rsidR="002D7921">
        <w:rPr>
          <w:rFonts w:cstheme="minorHAnsi"/>
        </w:rPr>
      </w:r>
      <w:r w:rsidRPr="001A3999" w:rsidR="002D7921">
        <w:rPr>
          <w:rFonts w:cstheme="minorHAnsi"/>
        </w:rPr>
        <w:fldChar w:fldCharType="separate"/>
      </w:r>
      <w:r w:rsidRPr="001A3999" w:rsidR="001A3999">
        <w:rPr>
          <w:noProof/>
        </w:rPr>
        <w:t>20</w:t>
      </w:r>
      <w:r w:rsidRPr="001A3999" w:rsidR="002D7921">
        <w:rPr>
          <w:rFonts w:cstheme="minorHAnsi"/>
        </w:rPr>
        <w:fldChar w:fldCharType="end"/>
      </w:r>
      <w:r w:rsidRPr="001A3999" w:rsidR="002D7921">
        <w:rPr>
          <w:rFonts w:cstheme="minorHAnsi"/>
        </w:rPr>
        <w:t xml:space="preserve"> above). </w:t>
      </w:r>
      <w:r w:rsidRPr="001A3999">
        <w:t xml:space="preserve">At the same time, the subject </w:t>
      </w:r>
      <w:r w:rsidRPr="001A3999" w:rsidR="00162765">
        <w:t xml:space="preserve">of the proceedings </w:t>
      </w:r>
      <w:r w:rsidRPr="001A3999">
        <w:t xml:space="preserve">was delicate as it concerned </w:t>
      </w:r>
      <w:r w:rsidRPr="001A3999" w:rsidR="00984BF2">
        <w:t xml:space="preserve">a </w:t>
      </w:r>
      <w:r w:rsidRPr="001A3999">
        <w:t xml:space="preserve">former employer-employee relationship and the opposing party was duly represented by a lawyer. In disregard of all the above factors, without assessing the </w:t>
      </w:r>
      <w:r w:rsidRPr="001A3999" w:rsidR="00DA2CA6">
        <w:t>applicant</w:t>
      </w:r>
      <w:r w:rsidRPr="001A3999" w:rsidR="001A3999">
        <w:t>’</w:t>
      </w:r>
      <w:r w:rsidRPr="001A3999" w:rsidR="00DA2CA6">
        <w:t xml:space="preserve">s specific circumstances </w:t>
      </w:r>
      <w:r w:rsidRPr="001A3999">
        <w:t xml:space="preserve">on the one hand, and interests of good and speedy administration of justice on the other (see in this connection </w:t>
      </w:r>
      <w:r w:rsidRPr="001A3999">
        <w:rPr>
          <w:i/>
        </w:rPr>
        <w:t>Airey</w:t>
      </w:r>
      <w:r w:rsidRPr="001A3999" w:rsidR="001F00E8">
        <w:rPr>
          <w:i/>
        </w:rPr>
        <w:t xml:space="preserve">, </w:t>
      </w:r>
      <w:r w:rsidRPr="001A3999" w:rsidR="001F00E8">
        <w:t>cited above,</w:t>
      </w:r>
      <w:r w:rsidRPr="001A3999">
        <w:t xml:space="preserve"> </w:t>
      </w:r>
      <w:r w:rsidRPr="001A3999">
        <w:rPr>
          <w:rFonts w:cstheme="minorHAnsi"/>
        </w:rPr>
        <w:t>§</w:t>
      </w:r>
      <w:r w:rsidRPr="001A3999" w:rsidR="001F00E8">
        <w:t xml:space="preserve"> 24</w:t>
      </w:r>
      <w:r w:rsidRPr="001A3999">
        <w:t xml:space="preserve">), the court </w:t>
      </w:r>
      <w:r w:rsidRPr="001A3999" w:rsidR="00EB617D">
        <w:t xml:space="preserve">first ignored </w:t>
      </w:r>
      <w:r w:rsidRPr="001A3999" w:rsidR="00F17593">
        <w:t xml:space="preserve">the </w:t>
      </w:r>
      <w:r w:rsidRPr="001A3999" w:rsidR="00AF4808">
        <w:t>lawyer</w:t>
      </w:r>
      <w:r w:rsidRPr="001A3999" w:rsidR="001A3999">
        <w:t>’</w:t>
      </w:r>
      <w:r w:rsidRPr="001A3999" w:rsidR="00AF4808">
        <w:t xml:space="preserve">s written </w:t>
      </w:r>
      <w:r w:rsidRPr="001A3999" w:rsidR="00F17593">
        <w:t xml:space="preserve">request, </w:t>
      </w:r>
      <w:r w:rsidRPr="001A3999" w:rsidR="00EB617D">
        <w:t xml:space="preserve">and then </w:t>
      </w:r>
      <w:r w:rsidRPr="001A3999">
        <w:t xml:space="preserve">without giving any reasons, in essence rejected </w:t>
      </w:r>
      <w:r w:rsidRPr="001A3999" w:rsidR="00AF4808">
        <w:t>the same request lodged by the applicant at the hearing</w:t>
      </w:r>
      <w:r w:rsidRPr="001A3999">
        <w:t>.</w:t>
      </w:r>
    </w:p>
    <w:p w:rsidRPr="001A3999" w:rsidR="00B97CD7" w:rsidP="001A3999" w:rsidRDefault="00E373CF">
      <w:pPr>
        <w:pStyle w:val="ECHRPara"/>
      </w:pPr>
      <w:r w:rsidRPr="001A3999">
        <w:fldChar w:fldCharType="begin"/>
      </w:r>
      <w:r w:rsidRPr="001A3999">
        <w:instrText xml:space="preserve"> SEQ level0 \*arabic </w:instrText>
      </w:r>
      <w:r w:rsidRPr="001A3999">
        <w:fldChar w:fldCharType="separate"/>
      </w:r>
      <w:r w:rsidRPr="001A3999" w:rsidR="001A3999">
        <w:rPr>
          <w:noProof/>
        </w:rPr>
        <w:t>34</w:t>
      </w:r>
      <w:r w:rsidRPr="001A3999">
        <w:fldChar w:fldCharType="end"/>
      </w:r>
      <w:r w:rsidRPr="001A3999">
        <w:t>.  Subsequently, in the context of the annulment proceedings, on 19</w:t>
      </w:r>
      <w:r w:rsidRPr="001A3999" w:rsidR="009D1DF0">
        <w:t> </w:t>
      </w:r>
      <w:r w:rsidRPr="001A3999">
        <w:t>March 2005 the very same judge concluded with reference to Article 233 of the CCP that a lawyer</w:t>
      </w:r>
      <w:r w:rsidRPr="001A3999" w:rsidR="001A3999">
        <w:t>’</w:t>
      </w:r>
      <w:r w:rsidRPr="001A3999">
        <w:t>s absence from a hearing was not an “obstacle” to holding a hearing. In this context the Court finds it difficult to subscribe to the Government</w:t>
      </w:r>
      <w:r w:rsidRPr="001A3999" w:rsidR="001A3999">
        <w:t>’</w:t>
      </w:r>
      <w:r w:rsidRPr="001A3999">
        <w:t xml:space="preserve">s argument that the participation of a lawyer in another hearing </w:t>
      </w:r>
      <w:r w:rsidRPr="001A3999" w:rsidR="00F17593">
        <w:t xml:space="preserve">before the Supreme Court </w:t>
      </w:r>
      <w:r w:rsidRPr="001A3999">
        <w:t>was not a good reason for an adjournment and that the applicant</w:t>
      </w:r>
      <w:r w:rsidRPr="001A3999" w:rsidR="001A3999">
        <w:t>’</w:t>
      </w:r>
      <w:r w:rsidRPr="001A3999">
        <w:t>s request had merely been an attempt to cause a delay in the proceedings. Such an overly formalistic and inflexible approach was at odds with the due diligence principle that the domestic courts must apply so as to secure the genuine and effective enjoyment of the rights guaranteed under Article 6 of the Convention.</w:t>
      </w:r>
    </w:p>
    <w:p w:rsidRPr="001A3999" w:rsidR="00B97CD7" w:rsidP="001A3999" w:rsidRDefault="007B34CD">
      <w:pPr>
        <w:pStyle w:val="ECHRPara"/>
        <w:rPr>
          <w:rFonts w:cs="Calibri"/>
        </w:rPr>
      </w:pPr>
      <w:r w:rsidRPr="001A3999">
        <w:fldChar w:fldCharType="begin"/>
      </w:r>
      <w:r w:rsidRPr="001A3999">
        <w:instrText xml:space="preserve"> SEQ level0 \*arabic </w:instrText>
      </w:r>
      <w:r w:rsidRPr="001A3999">
        <w:fldChar w:fldCharType="separate"/>
      </w:r>
      <w:r w:rsidRPr="001A3999" w:rsidR="001A3999">
        <w:rPr>
          <w:noProof/>
        </w:rPr>
        <w:t>35</w:t>
      </w:r>
      <w:r w:rsidRPr="001A3999">
        <w:fldChar w:fldCharType="end"/>
      </w:r>
      <w:r w:rsidRPr="001A3999">
        <w:t>.  </w:t>
      </w:r>
      <w:r w:rsidRPr="001A3999" w:rsidR="00F27E51">
        <w:rPr>
          <w:noProof/>
        </w:rPr>
        <w:t>The Court further notes that in the current case the applicant</w:t>
      </w:r>
      <w:r w:rsidRPr="001A3999" w:rsidR="001A3999">
        <w:rPr>
          <w:noProof/>
        </w:rPr>
        <w:t>’</w:t>
      </w:r>
      <w:r w:rsidRPr="001A3999" w:rsidR="00F27E51">
        <w:rPr>
          <w:noProof/>
        </w:rPr>
        <w:t xml:space="preserve">s purported refusal to participate in the hearing in the absence of his lawyer was in effect equated by the District Court to a waiver of his right to have his case examined on the merits with his participation. It appears, however, from the case file, that while informing the applicant of the risk of a default judgment, the first-instance judge did not explain to him that firstly, a default judgment implied an automatic rejection of his action without giving any reasons (see Article 229 § 1 cited in paragraph </w:t>
      </w:r>
      <w:r w:rsidRPr="001A3999" w:rsidR="00F27E51">
        <w:rPr>
          <w:noProof/>
        </w:rPr>
        <w:fldChar w:fldCharType="begin"/>
      </w:r>
      <w:r w:rsidRPr="001A3999" w:rsidR="00F27E51">
        <w:rPr>
          <w:noProof/>
        </w:rPr>
        <w:instrText xml:space="preserve"> REF CCP \h  \* MERGEFORMAT </w:instrText>
      </w:r>
      <w:r w:rsidRPr="001A3999" w:rsidR="00F27E51">
        <w:rPr>
          <w:noProof/>
        </w:rPr>
      </w:r>
      <w:r w:rsidRPr="001A3999" w:rsidR="00F27E51">
        <w:rPr>
          <w:noProof/>
        </w:rPr>
        <w:fldChar w:fldCharType="separate"/>
      </w:r>
      <w:r w:rsidRPr="001A3999" w:rsidR="001A3999">
        <w:rPr>
          <w:noProof/>
        </w:rPr>
        <w:t>20</w:t>
      </w:r>
      <w:r w:rsidRPr="001A3999" w:rsidR="00F27E51">
        <w:rPr>
          <w:noProof/>
        </w:rPr>
        <w:fldChar w:fldCharType="end"/>
      </w:r>
      <w:r w:rsidRPr="001A3999" w:rsidR="00F27E51">
        <w:rPr>
          <w:noProof/>
        </w:rPr>
        <w:t xml:space="preserve"> above), and secondly, that no standard appeal procedure applied to a default judgment (see Articles 236, 241, and 366, cited in paragraph </w:t>
      </w:r>
      <w:r w:rsidRPr="001A3999" w:rsidR="00F27E51">
        <w:rPr>
          <w:noProof/>
        </w:rPr>
        <w:fldChar w:fldCharType="begin"/>
      </w:r>
      <w:r w:rsidRPr="001A3999" w:rsidR="00F27E51">
        <w:rPr>
          <w:noProof/>
        </w:rPr>
        <w:instrText xml:space="preserve"> REF CCP \h  \* MERGEFORMAT </w:instrText>
      </w:r>
      <w:r w:rsidRPr="001A3999" w:rsidR="00F27E51">
        <w:rPr>
          <w:noProof/>
        </w:rPr>
      </w:r>
      <w:r w:rsidRPr="001A3999" w:rsidR="00F27E51">
        <w:rPr>
          <w:noProof/>
        </w:rPr>
        <w:fldChar w:fldCharType="separate"/>
      </w:r>
      <w:r w:rsidRPr="001A3999" w:rsidR="001A3999">
        <w:rPr>
          <w:noProof/>
        </w:rPr>
        <w:t>20</w:t>
      </w:r>
      <w:r w:rsidRPr="001A3999" w:rsidR="00F27E51">
        <w:rPr>
          <w:noProof/>
        </w:rPr>
        <w:fldChar w:fldCharType="end"/>
      </w:r>
      <w:r w:rsidRPr="001A3999" w:rsidR="00F27E51">
        <w:rPr>
          <w:noProof/>
        </w:rPr>
        <w:t xml:space="preserve"> above). The appellate and cassation courts in the course of the proceedings to set aside the default judgment concluded that the applicant had been warned of the possible consequences of his actions (see paragraphs </w:t>
      </w:r>
      <w:r w:rsidRPr="001A3999" w:rsidR="00F27E51">
        <w:rPr>
          <w:noProof/>
        </w:rPr>
        <w:fldChar w:fldCharType="begin"/>
      </w:r>
      <w:r w:rsidRPr="001A3999" w:rsidR="00F27E51">
        <w:rPr>
          <w:noProof/>
        </w:rPr>
        <w:instrText xml:space="preserve"> REF Supreme_Court_2March2005 \h  \* MERGEFORMAT </w:instrText>
      </w:r>
      <w:r w:rsidRPr="001A3999" w:rsidR="00F27E51">
        <w:rPr>
          <w:noProof/>
        </w:rPr>
      </w:r>
      <w:r w:rsidRPr="001A3999" w:rsidR="00F27E51">
        <w:rPr>
          <w:noProof/>
        </w:rPr>
        <w:fldChar w:fldCharType="separate"/>
      </w:r>
      <w:r w:rsidRPr="001A3999" w:rsidR="001A3999">
        <w:rPr>
          <w:noProof/>
        </w:rPr>
        <w:t>15</w:t>
      </w:r>
      <w:r w:rsidRPr="001A3999" w:rsidR="00F27E51">
        <w:rPr>
          <w:noProof/>
        </w:rPr>
        <w:fldChar w:fldCharType="end"/>
      </w:r>
      <w:r w:rsidRPr="001A3999" w:rsidR="00F27E51">
        <w:rPr>
          <w:noProof/>
        </w:rPr>
        <w:t>-</w:t>
      </w:r>
      <w:r w:rsidRPr="001A3999" w:rsidR="00F27E51">
        <w:rPr>
          <w:noProof/>
        </w:rPr>
        <w:fldChar w:fldCharType="begin"/>
      </w:r>
      <w:r w:rsidRPr="001A3999" w:rsidR="00F27E51">
        <w:rPr>
          <w:noProof/>
        </w:rPr>
        <w:instrText xml:space="preserve"> REF Supreme_Court16September2005 \h  \* MERGEFORMAT </w:instrText>
      </w:r>
      <w:r w:rsidRPr="001A3999" w:rsidR="00F27E51">
        <w:rPr>
          <w:noProof/>
        </w:rPr>
      </w:r>
      <w:r w:rsidRPr="001A3999" w:rsidR="00F27E51">
        <w:rPr>
          <w:noProof/>
        </w:rPr>
        <w:fldChar w:fldCharType="separate"/>
      </w:r>
      <w:r w:rsidRPr="001A3999" w:rsidR="001A3999">
        <w:rPr>
          <w:noProof/>
        </w:rPr>
        <w:t>17</w:t>
      </w:r>
      <w:r w:rsidRPr="001A3999" w:rsidR="00F27E51">
        <w:rPr>
          <w:noProof/>
        </w:rPr>
        <w:fldChar w:fldCharType="end"/>
      </w:r>
      <w:r w:rsidRPr="001A3999" w:rsidR="00F27E51">
        <w:rPr>
          <w:noProof/>
        </w:rPr>
        <w:t xml:space="preserve"> above). The Court, however, considers that the applicant, while at the hearing in the absence of his lawyer, was not informed in an adequate and understandable manner of the consequences of his actions. </w:t>
      </w:r>
      <w:r w:rsidRPr="001A3999" w:rsidR="00F27E51">
        <w:t xml:space="preserve">In such circumstances it remains to be seen </w:t>
      </w:r>
      <w:r w:rsidRPr="001A3999" w:rsidR="00F27E51">
        <w:rPr>
          <w:rFonts w:cs="Calibri"/>
        </w:rPr>
        <w:t>whether or not domestic law provided the applicant with appropriate means of securing a fresh adversarial hearing with his participation.</w:t>
      </w:r>
    </w:p>
    <w:p w:rsidRPr="001A3999" w:rsidR="00A069FF" w:rsidP="001A3999" w:rsidRDefault="00C379EB">
      <w:pPr>
        <w:pStyle w:val="ECHRPara"/>
      </w:pPr>
      <w:r w:rsidRPr="001A3999">
        <w:rPr>
          <w:rFonts w:cstheme="minorHAnsi"/>
        </w:rPr>
        <w:fldChar w:fldCharType="begin"/>
      </w:r>
      <w:r w:rsidRPr="001A3999">
        <w:rPr>
          <w:rFonts w:cstheme="minorHAnsi"/>
        </w:rPr>
        <w:instrText xml:space="preserve"> SEQ level0 \*arabic </w:instrText>
      </w:r>
      <w:r w:rsidRPr="001A3999">
        <w:rPr>
          <w:rFonts w:cstheme="minorHAnsi"/>
        </w:rPr>
        <w:fldChar w:fldCharType="separate"/>
      </w:r>
      <w:r w:rsidRPr="001A3999" w:rsidR="001A3999">
        <w:rPr>
          <w:rFonts w:cstheme="minorHAnsi"/>
          <w:noProof/>
        </w:rPr>
        <w:t>36</w:t>
      </w:r>
      <w:r w:rsidRPr="001A3999">
        <w:rPr>
          <w:rFonts w:cstheme="minorHAnsi"/>
        </w:rPr>
        <w:fldChar w:fldCharType="end"/>
      </w:r>
      <w:r w:rsidRPr="001A3999">
        <w:rPr>
          <w:rFonts w:cstheme="minorHAnsi"/>
        </w:rPr>
        <w:t xml:space="preserve">.  The Court </w:t>
      </w:r>
      <w:r w:rsidRPr="001A3999" w:rsidR="005C7DEF">
        <w:rPr>
          <w:rFonts w:cstheme="minorHAnsi"/>
        </w:rPr>
        <w:t xml:space="preserve">notes in that regard that no appeal to a higher court as such </w:t>
      </w:r>
      <w:proofErr w:type="gramStart"/>
      <w:r w:rsidRPr="001A3999" w:rsidR="005C7DEF">
        <w:rPr>
          <w:rFonts w:cstheme="minorHAnsi"/>
        </w:rPr>
        <w:t>lay</w:t>
      </w:r>
      <w:proofErr w:type="gramEnd"/>
      <w:r w:rsidRPr="001A3999" w:rsidR="005C7DEF">
        <w:rPr>
          <w:rFonts w:cstheme="minorHAnsi"/>
        </w:rPr>
        <w:t xml:space="preserve"> against th</w:t>
      </w:r>
      <w:r w:rsidRPr="001A3999" w:rsidR="00533214">
        <w:rPr>
          <w:rFonts w:cstheme="minorHAnsi"/>
        </w:rPr>
        <w:t xml:space="preserve">e default decision (see Article </w:t>
      </w:r>
      <w:r w:rsidRPr="001A3999" w:rsidR="005C7DEF">
        <w:rPr>
          <w:rFonts w:cstheme="minorHAnsi"/>
        </w:rPr>
        <w:t xml:space="preserve">366 of the CCP in paragraph </w:t>
      </w:r>
      <w:r w:rsidRPr="001A3999" w:rsidR="005C7DEF">
        <w:rPr>
          <w:rFonts w:cstheme="minorHAnsi"/>
        </w:rPr>
        <w:fldChar w:fldCharType="begin"/>
      </w:r>
      <w:r w:rsidRPr="001A3999" w:rsidR="005C7DEF">
        <w:rPr>
          <w:rFonts w:cstheme="minorHAnsi"/>
        </w:rPr>
        <w:instrText xml:space="preserve"> REF CCP \h </w:instrText>
      </w:r>
      <w:r w:rsidRPr="001A3999" w:rsidR="005C7DEF">
        <w:rPr>
          <w:rFonts w:cstheme="minorHAnsi"/>
        </w:rPr>
      </w:r>
      <w:r w:rsidRPr="001A3999" w:rsidR="005C7DEF">
        <w:rPr>
          <w:rFonts w:cstheme="minorHAnsi"/>
        </w:rPr>
        <w:fldChar w:fldCharType="separate"/>
      </w:r>
      <w:r w:rsidRPr="001A3999" w:rsidR="001A3999">
        <w:rPr>
          <w:noProof/>
        </w:rPr>
        <w:t>20</w:t>
      </w:r>
      <w:r w:rsidRPr="001A3999" w:rsidR="005C7DEF">
        <w:rPr>
          <w:rFonts w:cstheme="minorHAnsi"/>
        </w:rPr>
        <w:fldChar w:fldCharType="end"/>
      </w:r>
      <w:r w:rsidRPr="001A3999" w:rsidR="005C7DEF">
        <w:rPr>
          <w:rFonts w:cstheme="minorHAnsi"/>
        </w:rPr>
        <w:t xml:space="preserve"> above). Articles 236 and 241 of the CCP provided for the procedure for setting aside default decisions</w:t>
      </w:r>
      <w:r w:rsidRPr="001A3999" w:rsidR="00533214">
        <w:rPr>
          <w:rFonts w:cstheme="minorHAnsi"/>
        </w:rPr>
        <w:t xml:space="preserve"> </w:t>
      </w:r>
      <w:r w:rsidRPr="001A3999" w:rsidR="005C7DEF">
        <w:rPr>
          <w:rFonts w:cstheme="minorHAnsi"/>
        </w:rPr>
        <w:t>(see paragraph</w:t>
      </w:r>
      <w:r w:rsidRPr="001A3999" w:rsidR="00533214">
        <w:rPr>
          <w:rFonts w:cstheme="minorHAnsi"/>
        </w:rPr>
        <w:t xml:space="preserve"> </w:t>
      </w:r>
      <w:r w:rsidRPr="001A3999" w:rsidR="005C7DEF">
        <w:rPr>
          <w:rFonts w:cstheme="minorHAnsi"/>
        </w:rPr>
        <w:fldChar w:fldCharType="begin"/>
      </w:r>
      <w:r w:rsidRPr="001A3999" w:rsidR="005C7DEF">
        <w:rPr>
          <w:rFonts w:cstheme="minorHAnsi"/>
        </w:rPr>
        <w:instrText xml:space="preserve"> REF CCP \h </w:instrText>
      </w:r>
      <w:r w:rsidRPr="001A3999" w:rsidR="005C7DEF">
        <w:rPr>
          <w:rFonts w:cstheme="minorHAnsi"/>
        </w:rPr>
      </w:r>
      <w:r w:rsidRPr="001A3999" w:rsidR="005C7DEF">
        <w:rPr>
          <w:rFonts w:cstheme="minorHAnsi"/>
        </w:rPr>
        <w:fldChar w:fldCharType="separate"/>
      </w:r>
      <w:r w:rsidRPr="001A3999" w:rsidR="001A3999">
        <w:rPr>
          <w:noProof/>
        </w:rPr>
        <w:t>20</w:t>
      </w:r>
      <w:r w:rsidRPr="001A3999" w:rsidR="005C7DEF">
        <w:rPr>
          <w:rFonts w:cstheme="minorHAnsi"/>
        </w:rPr>
        <w:fldChar w:fldCharType="end"/>
      </w:r>
      <w:r w:rsidRPr="001A3999" w:rsidR="005C7DEF">
        <w:rPr>
          <w:rFonts w:cstheme="minorHAnsi"/>
        </w:rPr>
        <w:t xml:space="preserve"> above). However, even though those provisions could, in principle, have offered adequate redress to a person against whom a default decision had been issued, they could not do so for the applicant himself. Notably, t</w:t>
      </w:r>
      <w:r w:rsidRPr="001A3999" w:rsidR="005C7DEF">
        <w:t>he appellate and cassation courts in their respective decisions of 10</w:t>
      </w:r>
      <w:r w:rsidRPr="001A3999" w:rsidR="00533214">
        <w:t xml:space="preserve"> </w:t>
      </w:r>
      <w:r w:rsidRPr="001A3999" w:rsidR="005C7DEF">
        <w:t>May and 16</w:t>
      </w:r>
      <w:r w:rsidRPr="001A3999" w:rsidR="009D1DF0">
        <w:t> </w:t>
      </w:r>
      <w:r w:rsidRPr="001A3999" w:rsidR="005C7DEF">
        <w:t xml:space="preserve">September 2005 concluded that the participation of a lawyer in another hearing was not a valid reason for setting aside a decision </w:t>
      </w:r>
      <w:r w:rsidRPr="001A3999" w:rsidR="005C7DEF">
        <w:rPr>
          <w:i/>
        </w:rPr>
        <w:t xml:space="preserve">in absentia </w:t>
      </w:r>
      <w:r w:rsidRPr="001A3999" w:rsidR="005C7DEF">
        <w:t>and that under Article 232 of the CCP any refusal, for whatever reason, to take part in a hearing was unjustified. Thus, it could not fall within the exhaustive list of valid reasons for re</w:t>
      </w:r>
      <w:r w:rsidRPr="001A3999" w:rsidR="00533214">
        <w:noBreakHyphen/>
      </w:r>
      <w:r w:rsidRPr="001A3999" w:rsidR="005C7DEF">
        <w:t>examination listed in Article</w:t>
      </w:r>
      <w:r w:rsidRPr="001A3999" w:rsidR="00533214">
        <w:t xml:space="preserve"> </w:t>
      </w:r>
      <w:r w:rsidRPr="001A3999" w:rsidR="005C7DEF">
        <w:t>233.</w:t>
      </w:r>
      <w:r w:rsidRPr="001A3999" w:rsidR="00BA7C72">
        <w:t xml:space="preserve"> </w:t>
      </w:r>
      <w:r w:rsidRPr="001A3999" w:rsidR="005C7DEF">
        <w:t>In these circumstances, the Court concludes that the applicant, given the domestic courts</w:t>
      </w:r>
      <w:r w:rsidRPr="001A3999" w:rsidR="001A3999">
        <w:t>’</w:t>
      </w:r>
      <w:r w:rsidRPr="001A3999" w:rsidR="005C7DEF">
        <w:t xml:space="preserve"> </w:t>
      </w:r>
      <w:r w:rsidRPr="001A3999" w:rsidR="00EF34BE">
        <w:t xml:space="preserve">application </w:t>
      </w:r>
      <w:r w:rsidRPr="001A3999" w:rsidR="005C7DEF">
        <w:t xml:space="preserve">of the rules on re-examination of </w:t>
      </w:r>
      <w:r w:rsidRPr="001A3999" w:rsidR="005C7DEF">
        <w:rPr>
          <w:i/>
        </w:rPr>
        <w:t xml:space="preserve">in absentia </w:t>
      </w:r>
      <w:r w:rsidRPr="001A3999" w:rsidR="005C7DEF">
        <w:t xml:space="preserve">judgments, had no possibility to </w:t>
      </w:r>
      <w:r w:rsidRPr="001A3999" w:rsidR="00945ECC">
        <w:t xml:space="preserve">obtain </w:t>
      </w:r>
      <w:r w:rsidRPr="001A3999" w:rsidR="005C7DEF">
        <w:t>a re-opening of his case.</w:t>
      </w:r>
    </w:p>
    <w:p w:rsidRPr="001A3999" w:rsidR="00B97CD7"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37</w:t>
      </w:r>
      <w:r w:rsidRPr="001A3999">
        <w:fldChar w:fldCharType="end"/>
      </w:r>
      <w:r w:rsidRPr="001A3999">
        <w:t xml:space="preserve">.  The Court is mindful of the fact </w:t>
      </w:r>
      <w:r w:rsidRPr="001A3999" w:rsidR="00AC48F0">
        <w:t>that the applicant was duly represented by a lawyer of his own choosing from the very beginning and throughout the relevant proceedings</w:t>
      </w:r>
      <w:r w:rsidRPr="001A3999">
        <w:t>.</w:t>
      </w:r>
      <w:r w:rsidRPr="001A3999" w:rsidR="00AC48F0">
        <w:t xml:space="preserve"> This lawyer was responsible for, </w:t>
      </w:r>
      <w:r w:rsidRPr="001A3999" w:rsidR="00AC48F0">
        <w:rPr>
          <w:i/>
        </w:rPr>
        <w:t xml:space="preserve">inter alia, </w:t>
      </w:r>
      <w:r w:rsidRPr="001A3999" w:rsidR="00AC48F0">
        <w:t xml:space="preserve">keeping the applicant informed about the relevant legal procedures and nuances of his case. </w:t>
      </w:r>
      <w:r w:rsidRPr="001A3999" w:rsidR="003B2132">
        <w:t>In the Court</w:t>
      </w:r>
      <w:r w:rsidRPr="001A3999" w:rsidR="001A3999">
        <w:t>’</w:t>
      </w:r>
      <w:r w:rsidRPr="001A3999" w:rsidR="003B2132">
        <w:t>s view, since</w:t>
      </w:r>
      <w:r w:rsidRPr="001A3999" w:rsidR="00AC48F0">
        <w:t xml:space="preserve"> th</w:t>
      </w:r>
      <w:r w:rsidRPr="001A3999" w:rsidR="00556B1C">
        <w:t>e lack of a reply to the adjournment request of 22 January 2004 could have implied a tacit dismissal of that request by the District Court, the lawyer had to act diligently and advice the applicant on all possible legal strategies, including the legal steps he should have undertaken in the former</w:t>
      </w:r>
      <w:r w:rsidRPr="001A3999" w:rsidR="001A3999">
        <w:t>’</w:t>
      </w:r>
      <w:r w:rsidRPr="001A3999" w:rsidR="00556B1C">
        <w:t xml:space="preserve">s absence during the scheduled hearing (see, </w:t>
      </w:r>
      <w:r w:rsidRPr="001A3999" w:rsidR="00556B1C">
        <w:rPr>
          <w:i/>
        </w:rPr>
        <w:t xml:space="preserve">mutatis mutandis, Hermi v. Italy </w:t>
      </w:r>
      <w:r w:rsidRPr="001A3999" w:rsidR="00556B1C">
        <w:t>[GC], no.</w:t>
      </w:r>
      <w:r w:rsidRPr="001A3999" w:rsidR="00B81C8A">
        <w:t> </w:t>
      </w:r>
      <w:r w:rsidRPr="001A3999" w:rsidR="00556B1C">
        <w:t xml:space="preserve">18114/02, </w:t>
      </w:r>
      <w:r w:rsidRPr="001A3999" w:rsidR="00556B1C">
        <w:rPr>
          <w:rFonts w:cstheme="minorHAnsi"/>
        </w:rPr>
        <w:t>§</w:t>
      </w:r>
      <w:r w:rsidRPr="001A3999" w:rsidR="00556B1C">
        <w:t xml:space="preserve"> 79, ECHR 2006-XII).</w:t>
      </w:r>
      <w:r w:rsidRPr="001A3999" w:rsidR="00AC48F0">
        <w:t xml:space="preserve"> </w:t>
      </w:r>
      <w:r w:rsidRPr="001A3999" w:rsidR="00556B1C">
        <w:t xml:space="preserve">However, </w:t>
      </w:r>
      <w:r w:rsidRPr="001A3999">
        <w:t xml:space="preserve">the adverse consequences which the Georgian judicial authorities attributed </w:t>
      </w:r>
      <w:r w:rsidRPr="001A3999" w:rsidR="00652873">
        <w:t>to the applicant</w:t>
      </w:r>
      <w:r w:rsidRPr="001A3999" w:rsidR="001A3999">
        <w:t>’</w:t>
      </w:r>
      <w:r w:rsidRPr="001A3999" w:rsidR="00652873">
        <w:t xml:space="preserve">s conduct and that of his </w:t>
      </w:r>
      <w:proofErr w:type="gramStart"/>
      <w:r w:rsidRPr="001A3999" w:rsidR="00652873">
        <w:t>representative,</w:t>
      </w:r>
      <w:proofErr w:type="gramEnd"/>
      <w:r w:rsidRPr="001A3999">
        <w:t xml:space="preserve"> were</w:t>
      </w:r>
      <w:r w:rsidRPr="001A3999" w:rsidR="00652873">
        <w:t>, in the Court</w:t>
      </w:r>
      <w:r w:rsidRPr="001A3999" w:rsidR="001A3999">
        <w:t>’</w:t>
      </w:r>
      <w:r w:rsidRPr="001A3999" w:rsidR="00652873">
        <w:t>s view,</w:t>
      </w:r>
      <w:r w:rsidRPr="001A3999">
        <w:t xml:space="preserve"> disproportionate.</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38</w:t>
      </w:r>
      <w:r w:rsidRPr="001A3999">
        <w:fldChar w:fldCharType="end"/>
      </w:r>
      <w:r w:rsidRPr="001A3999">
        <w:t>.  In the light of the foregoing considerations, the Court concludes that the applicant</w:t>
      </w:r>
      <w:r w:rsidRPr="001A3999" w:rsidR="001A3999">
        <w:t>’</w:t>
      </w:r>
      <w:r w:rsidRPr="001A3999">
        <w:t>s right</w:t>
      </w:r>
      <w:r w:rsidRPr="001A3999" w:rsidR="00556B1C">
        <w:t xml:space="preserve"> to participate effectively in the proceedings and the right to equality of arms</w:t>
      </w:r>
      <w:r w:rsidRPr="001A3999">
        <w:t xml:space="preserve"> were restricted to an extent incompatible with the principles of a fair hearing established by Article</w:t>
      </w:r>
      <w:r w:rsidRPr="001A3999" w:rsidR="009D1DF0">
        <w:t xml:space="preserve"> </w:t>
      </w:r>
      <w:r w:rsidRPr="001A3999">
        <w:t xml:space="preserve">6 of the Convention. There has accordingly been a </w:t>
      </w:r>
      <w:r w:rsidRPr="001A3999" w:rsidR="00A70B1B">
        <w:t>violation</w:t>
      </w:r>
      <w:r w:rsidRPr="001A3999">
        <w:t xml:space="preserve"> of Article</w:t>
      </w:r>
      <w:r w:rsidRPr="001A3999" w:rsidR="009D1DF0">
        <w:t xml:space="preserve"> </w:t>
      </w:r>
      <w:r w:rsidRPr="001A3999">
        <w:t>6</w:t>
      </w:r>
      <w:r w:rsidRPr="001A3999" w:rsidR="009D1DF0">
        <w:t xml:space="preserve"> </w:t>
      </w:r>
      <w:r w:rsidRPr="001A3999">
        <w:rPr>
          <w:rFonts w:cstheme="minorHAnsi"/>
        </w:rPr>
        <w:t>§</w:t>
      </w:r>
      <w:r w:rsidRPr="001A3999">
        <w:t xml:space="preserve"> 1.</w:t>
      </w:r>
    </w:p>
    <w:p w:rsidRPr="001A3999" w:rsidR="00BC2E18" w:rsidP="001A3999" w:rsidRDefault="00BC2E18">
      <w:pPr>
        <w:pStyle w:val="ECHRHeading1"/>
      </w:pPr>
      <w:r w:rsidRPr="001A3999">
        <w:t>II. APPLICATION OF ARTICLE 41 OF THE CONVENTION</w:t>
      </w:r>
      <w:r w:rsidRPr="001A3999" w:rsidR="00BE692C">
        <w:rPr>
          <w:rStyle w:val="FootnoteReference"/>
        </w:rPr>
        <w:footnoteReference w:id="1"/>
      </w:r>
    </w:p>
    <w:p w:rsidRPr="001A3999" w:rsidR="005C7DEF" w:rsidP="001A3999" w:rsidRDefault="005C7DEF">
      <w:pPr>
        <w:pStyle w:val="ECHRHeading2"/>
      </w:pPr>
      <w:r w:rsidRPr="001A3999">
        <w:t>A.  Damage</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39</w:t>
      </w:r>
      <w:r w:rsidRPr="001A3999">
        <w:fldChar w:fldCharType="end"/>
      </w:r>
      <w:r w:rsidRPr="001A3999">
        <w:t>.  The applicant claimed 20,000 euros (EUR) in respect of pecuniary and EUR 5,000 in respect of non-pecuniary damage.</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40</w:t>
      </w:r>
      <w:r w:rsidRPr="001A3999">
        <w:fldChar w:fldCharType="end"/>
      </w:r>
      <w:r w:rsidRPr="001A3999">
        <w:t xml:space="preserve">.  The Government argued that the claim for non-pecuniary damage was highly excessive. As for his claim in respect of pecuniary damage, they submitted that it was unsupported by any evidence. It was also highly </w:t>
      </w:r>
      <w:proofErr w:type="gramStart"/>
      <w:r w:rsidRPr="001A3999">
        <w:t>disproportionate,</w:t>
      </w:r>
      <w:proofErr w:type="gramEnd"/>
      <w:r w:rsidRPr="001A3999">
        <w:t xml:space="preserve"> given that the applicant</w:t>
      </w:r>
      <w:r w:rsidRPr="001A3999" w:rsidR="001A3999">
        <w:t>’</w:t>
      </w:r>
      <w:r w:rsidRPr="001A3999">
        <w:t>s monthly salary at the relevant time was about EUR 25.</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41</w:t>
      </w:r>
      <w:r w:rsidRPr="001A3999">
        <w:fldChar w:fldCharType="end"/>
      </w:r>
      <w:r w:rsidRPr="001A3999">
        <w:t xml:space="preserve">.  The Court </w:t>
      </w:r>
      <w:r w:rsidRPr="001A3999" w:rsidR="00581413">
        <w:t>cannot speculate about the outcome of the proceedings had they been in conformity with Article 6</w:t>
      </w:r>
      <w:r w:rsidRPr="001A3999">
        <w:t xml:space="preserve">; it therefore rejects this claim. </w:t>
      </w:r>
      <w:r w:rsidRPr="001A3999" w:rsidR="00B26EBC">
        <w:t>However</w:t>
      </w:r>
      <w:r w:rsidRPr="001A3999">
        <w:t>, it awards the applicant EUR 1,500 in respect of non</w:t>
      </w:r>
      <w:r w:rsidRPr="001A3999">
        <w:noBreakHyphen/>
        <w:t>pecuniary damage.</w:t>
      </w:r>
    </w:p>
    <w:p w:rsidRPr="001A3999" w:rsidR="005C7DEF" w:rsidP="001A3999" w:rsidRDefault="005C7DEF">
      <w:pPr>
        <w:pStyle w:val="ECHRHeading2"/>
      </w:pPr>
      <w:r w:rsidRPr="001A3999">
        <w:t>B.  Costs and expenses</w:t>
      </w:r>
    </w:p>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42</w:t>
      </w:r>
      <w:r w:rsidRPr="001A3999">
        <w:fldChar w:fldCharType="end"/>
      </w:r>
      <w:r w:rsidRPr="001A3999">
        <w:t>.  The applicant also claimed EUR 5,500 for legal costs and expenses. In support he submitted an agreement signed by him and his representative, according to which he was due to pay that amount upon completion of the proceedings pending before the Court.</w:t>
      </w:r>
    </w:p>
    <w:p w:rsidRPr="001A3999" w:rsidR="00A069F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43</w:t>
      </w:r>
      <w:r w:rsidRPr="001A3999">
        <w:fldChar w:fldCharType="end"/>
      </w:r>
      <w:r w:rsidRPr="001A3999">
        <w:t>.  The Government claimed that the amount claimed was neither supported by any evidence nor reasonable.</w:t>
      </w:r>
    </w:p>
    <w:p w:rsidRPr="001A3999" w:rsidR="005C7DEF" w:rsidP="001A3999" w:rsidRDefault="005C7DEF">
      <w:pPr>
        <w:pStyle w:val="ECHRPara"/>
        <w:rPr>
          <w:lang w:val="pt-PT"/>
        </w:rPr>
      </w:pPr>
      <w:r w:rsidRPr="001A3999">
        <w:fldChar w:fldCharType="begin"/>
      </w:r>
      <w:r w:rsidRPr="001A3999">
        <w:instrText xml:space="preserve"> SEQ level0 \*arabic </w:instrText>
      </w:r>
      <w:r w:rsidRPr="001A3999">
        <w:fldChar w:fldCharType="separate"/>
      </w:r>
      <w:r w:rsidRPr="001A3999" w:rsidR="001A3999">
        <w:rPr>
          <w:noProof/>
        </w:rPr>
        <w:t>44</w:t>
      </w:r>
      <w:r w:rsidRPr="001A3999">
        <w:fldChar w:fldCharType="end"/>
      </w:r>
      <w:r w:rsidRPr="001A3999">
        <w:t>.  According to the Court</w:t>
      </w:r>
      <w:r w:rsidRPr="001A3999" w:rsidR="001A3999">
        <w:t>’</w:t>
      </w:r>
      <w:r w:rsidRPr="001A3999">
        <w:t>s case</w:t>
      </w:r>
      <w:r w:rsidRPr="001A3999">
        <w:noBreakHyphen/>
        <w:t xml:space="preserve">law, costs and expenses can be awarded under Article 41 only if it is established that they were actually and necessarily incurred and were reasonable as to quantum. </w:t>
      </w:r>
      <w:r w:rsidRPr="001A3999" w:rsidR="00FB0F0E">
        <w:t xml:space="preserve">Furthermore, the Court is not bound by domestic fee scales and practices (see </w:t>
      </w:r>
      <w:r w:rsidRPr="001A3999" w:rsidR="00FB0F0E">
        <w:rPr>
          <w:i/>
          <w:lang w:val="pt-PT"/>
        </w:rPr>
        <w:t>Assanidze v.</w:t>
      </w:r>
      <w:r w:rsidRPr="001A3999" w:rsidR="009D1DF0">
        <w:rPr>
          <w:i/>
          <w:lang w:val="pt-PT"/>
        </w:rPr>
        <w:t> </w:t>
      </w:r>
      <w:r w:rsidRPr="001A3999" w:rsidR="00FB0F0E">
        <w:rPr>
          <w:i/>
          <w:lang w:val="pt-PT"/>
        </w:rPr>
        <w:t>Georgia</w:t>
      </w:r>
      <w:r w:rsidRPr="001A3999" w:rsidR="00FB0F0E">
        <w:rPr>
          <w:lang w:val="pt-PT"/>
        </w:rPr>
        <w:t xml:space="preserve"> [GC], no. 71503/01, § 206, ECHR 2004</w:t>
      </w:r>
      <w:r w:rsidRPr="001A3999" w:rsidR="00FB0F0E">
        <w:rPr>
          <w:lang w:val="pt-PT"/>
        </w:rPr>
        <w:noBreakHyphen/>
        <w:t xml:space="preserve">II). </w:t>
      </w:r>
      <w:r w:rsidRPr="001A3999">
        <w:t xml:space="preserve">In the present case, </w:t>
      </w:r>
      <w:r w:rsidRPr="001A3999" w:rsidR="00FB0F0E">
        <w:t>regard being had to the documents in its possession and the above criteria, and taking into account the complexity of the present case as well as the quality and volume of the legal work carried out, t</w:t>
      </w:r>
      <w:r w:rsidRPr="001A3999">
        <w:t xml:space="preserve">he Court </w:t>
      </w:r>
      <w:r w:rsidRPr="001A3999" w:rsidR="00FB0F0E">
        <w:t>considers it reasonable to award the applicant EUR 1,000 for the proceedings before the Court</w:t>
      </w:r>
      <w:r w:rsidRPr="001A3999">
        <w:t>.</w:t>
      </w:r>
    </w:p>
    <w:p w:rsidRPr="001A3999" w:rsidR="005C7DEF" w:rsidP="001A3999" w:rsidRDefault="005C7DEF">
      <w:pPr>
        <w:pStyle w:val="ECHRHeading2"/>
      </w:pPr>
      <w:r w:rsidRPr="001A3999">
        <w:t>C.  Default interest</w:t>
      </w:r>
    </w:p>
    <w:p w:rsidRPr="001A3999" w:rsidR="005C7DEF" w:rsidP="001A3999" w:rsidRDefault="005C7DEF">
      <w:pPr>
        <w:pStyle w:val="ECHRPara"/>
      </w:pPr>
      <w:r w:rsidRPr="001A3999">
        <w:fldChar w:fldCharType="begin"/>
      </w:r>
      <w:r w:rsidRPr="001A3999">
        <w:instrText xml:space="preserve"> SEQ level0 \*arabic </w:instrText>
      </w:r>
      <w:r w:rsidRPr="001A3999">
        <w:fldChar w:fldCharType="separate"/>
      </w:r>
      <w:r w:rsidRPr="001A3999" w:rsidR="001A3999">
        <w:rPr>
          <w:noProof/>
        </w:rPr>
        <w:t>45</w:t>
      </w:r>
      <w:r w:rsidRPr="001A3999">
        <w:fldChar w:fldCharType="end"/>
      </w:r>
      <w:r w:rsidRPr="001A3999">
        <w:t>.  The Court considers it appropriate that the default interest rate should be based on the marginal lending rate of the European Central Bank, to which should be added three percentage points.</w:t>
      </w:r>
    </w:p>
    <w:p w:rsidRPr="001A3999" w:rsidR="005C7DEF" w:rsidP="001A3999" w:rsidRDefault="005C7DEF">
      <w:pPr>
        <w:pStyle w:val="ECHRTitle1"/>
      </w:pPr>
      <w:r w:rsidRPr="001A3999">
        <w:t>FOR THESE REASONS, THE COURT, UNANIMOUSLY,</w:t>
      </w:r>
    </w:p>
    <w:p w:rsidRPr="001A3999" w:rsidR="005C7DEF" w:rsidP="001A3999" w:rsidRDefault="005C7DEF">
      <w:pPr>
        <w:pStyle w:val="JuList"/>
      </w:pPr>
      <w:r w:rsidRPr="001A3999">
        <w:t>1.  </w:t>
      </w:r>
      <w:r w:rsidRPr="001A3999">
        <w:rPr>
          <w:i/>
        </w:rPr>
        <w:t>Declares</w:t>
      </w:r>
      <w:r w:rsidRPr="001A3999">
        <w:t xml:space="preserve"> the application admissible;</w:t>
      </w:r>
    </w:p>
    <w:p w:rsidRPr="001A3999" w:rsidR="005C7DEF" w:rsidP="001A3999" w:rsidRDefault="005C7DEF">
      <w:pPr>
        <w:pStyle w:val="JuList"/>
        <w:ind w:left="0" w:firstLine="0"/>
      </w:pPr>
    </w:p>
    <w:p w:rsidRPr="001A3999" w:rsidR="005C7DEF" w:rsidP="001A3999" w:rsidRDefault="005C7DEF">
      <w:pPr>
        <w:pStyle w:val="JuList"/>
      </w:pPr>
      <w:r w:rsidRPr="001A3999">
        <w:t>2.  </w:t>
      </w:r>
      <w:r w:rsidRPr="001A3999">
        <w:rPr>
          <w:i/>
        </w:rPr>
        <w:t>Holds</w:t>
      </w:r>
      <w:r w:rsidRPr="001A3999">
        <w:t xml:space="preserve"> that there has been a violation of Article 6 </w:t>
      </w:r>
      <w:r w:rsidRPr="001A3999">
        <w:rPr>
          <w:rFonts w:cstheme="minorHAnsi"/>
        </w:rPr>
        <w:t>§</w:t>
      </w:r>
      <w:r w:rsidRPr="001A3999">
        <w:t xml:space="preserve"> 1 of the Convention;</w:t>
      </w:r>
    </w:p>
    <w:p w:rsidRPr="001A3999" w:rsidR="005C7DEF" w:rsidP="001A3999" w:rsidRDefault="005C7DEF">
      <w:pPr>
        <w:pStyle w:val="JuList"/>
      </w:pPr>
    </w:p>
    <w:p w:rsidRPr="001A3999" w:rsidR="00B97CD7" w:rsidP="001A3999" w:rsidRDefault="005C7DEF">
      <w:pPr>
        <w:pStyle w:val="JuList"/>
      </w:pPr>
      <w:r w:rsidRPr="001A3999">
        <w:t>3.  </w:t>
      </w:r>
      <w:r w:rsidRPr="001A3999">
        <w:rPr>
          <w:i/>
        </w:rPr>
        <w:t>Holds</w:t>
      </w:r>
    </w:p>
    <w:p w:rsidRPr="001A3999" w:rsidR="00DE0DD6" w:rsidP="001A3999" w:rsidRDefault="00DE0DD6">
      <w:pPr>
        <w:pStyle w:val="JuLista"/>
      </w:pPr>
      <w:r w:rsidRPr="001A3999">
        <w:t>(a)  that the respondent State is to pay the applicant, within three months from the date on which the judgment becomes final in accordance with Article 44 § 2 of the Convention, the following amounts,</w:t>
      </w:r>
      <w:r w:rsidRPr="001A3999">
        <w:rPr>
          <w:b/>
          <w:bCs/>
        </w:rPr>
        <w:t xml:space="preserve"> </w:t>
      </w:r>
      <w:r w:rsidRPr="001A3999">
        <w:t>to be converted into the currency of the respondent State at the rate applicable at the date of settlement:</w:t>
      </w:r>
    </w:p>
    <w:p w:rsidRPr="001A3999" w:rsidR="00DE0DD6" w:rsidP="001A3999" w:rsidRDefault="00F313D0">
      <w:pPr>
        <w:pStyle w:val="JuListi"/>
      </w:pPr>
      <w:r w:rsidRPr="001A3999">
        <w:t>(i)  </w:t>
      </w:r>
      <w:r w:rsidRPr="001A3999" w:rsidR="00DE0DD6">
        <w:t>EUR 1,500 (one thousand five hundred euros), plus any tax that may be chargeable, in respect of non-pecuniary damage;</w:t>
      </w:r>
    </w:p>
    <w:p w:rsidRPr="001A3999" w:rsidR="00B97CD7" w:rsidP="001A3999" w:rsidRDefault="005C7DEF">
      <w:pPr>
        <w:pStyle w:val="JuListi"/>
      </w:pPr>
      <w:r w:rsidRPr="001A3999">
        <w:t>(</w:t>
      </w:r>
      <w:r w:rsidRPr="001A3999" w:rsidR="00DE0DD6">
        <w:t>ii</w:t>
      </w:r>
      <w:r w:rsidRPr="001A3999">
        <w:t>)  </w:t>
      </w:r>
      <w:r w:rsidRPr="001A3999" w:rsidR="00DE0DD6">
        <w:t>EUR 1,000 (one thousand euros), plus any tax that may be chargeable</w:t>
      </w:r>
      <w:r w:rsidRPr="001A3999" w:rsidR="00336C4E">
        <w:t xml:space="preserve"> to the applicant</w:t>
      </w:r>
      <w:r w:rsidRPr="001A3999" w:rsidR="00DE0DD6">
        <w:t>, in respect of costs and expenses;</w:t>
      </w:r>
    </w:p>
    <w:p w:rsidRPr="001A3999" w:rsidR="005C7DEF" w:rsidP="001A3999" w:rsidRDefault="00DE0DD6">
      <w:pPr>
        <w:pStyle w:val="JuLista"/>
      </w:pPr>
      <w:r w:rsidRPr="001A3999">
        <w:t>(b)</w:t>
      </w:r>
      <w:r w:rsidRPr="001A3999" w:rsidR="00A908D1">
        <w:t>  </w:t>
      </w:r>
      <w:r w:rsidRPr="001A3999" w:rsidR="005C7DEF">
        <w:t>that from the expiry of the above-mentioned three months until settlement simple interest shall be payable on the above amount</w:t>
      </w:r>
      <w:r w:rsidRPr="001A3999">
        <w:t>s</w:t>
      </w:r>
      <w:r w:rsidRPr="001A3999" w:rsidR="005C7DEF">
        <w:t xml:space="preserve"> at a rate equal to the marginal lending rate of the European Central Bank during the default period plus three percentage points;</w:t>
      </w:r>
    </w:p>
    <w:p w:rsidRPr="001A3999" w:rsidR="005C7DEF" w:rsidP="001A3999" w:rsidRDefault="005C7DEF">
      <w:pPr>
        <w:pStyle w:val="JuList"/>
      </w:pPr>
    </w:p>
    <w:p w:rsidRPr="001A3999" w:rsidR="005C7DEF" w:rsidP="001A3999" w:rsidRDefault="005C7DEF">
      <w:pPr>
        <w:pStyle w:val="JuList"/>
      </w:pPr>
      <w:r w:rsidRPr="001A3999">
        <w:t>4.  </w:t>
      </w:r>
      <w:r w:rsidRPr="001A3999">
        <w:rPr>
          <w:i/>
        </w:rPr>
        <w:t>Dismisses</w:t>
      </w:r>
      <w:r w:rsidRPr="001A3999">
        <w:t xml:space="preserve"> the remainder of the applicant</w:t>
      </w:r>
      <w:r w:rsidRPr="001A3999" w:rsidR="001A3999">
        <w:t>’</w:t>
      </w:r>
      <w:r w:rsidRPr="001A3999">
        <w:t>s claim for just satisfaction.</w:t>
      </w:r>
    </w:p>
    <w:p w:rsidRPr="001A3999" w:rsidR="005C7DEF" w:rsidP="001A3999" w:rsidRDefault="005C7DEF">
      <w:pPr>
        <w:pStyle w:val="JuParaLast"/>
      </w:pPr>
      <w:r w:rsidRPr="001A3999">
        <w:t xml:space="preserve">Done in English, and notified in writing on </w:t>
      </w:r>
      <w:r w:rsidRPr="001A3999" w:rsidR="009D1DF0">
        <w:t>26 July 2018</w:t>
      </w:r>
      <w:r w:rsidRPr="001A3999">
        <w:t>, pursuant to Rule</w:t>
      </w:r>
      <w:r w:rsidRPr="001A3999" w:rsidR="0093004B">
        <w:t xml:space="preserve"> </w:t>
      </w:r>
      <w:r w:rsidRPr="001A3999">
        <w:t>77</w:t>
      </w:r>
      <w:r w:rsidRPr="001A3999" w:rsidR="0093004B">
        <w:t xml:space="preserve"> </w:t>
      </w:r>
      <w:r w:rsidRPr="001A3999">
        <w:t>§§</w:t>
      </w:r>
      <w:r w:rsidRPr="001A3999" w:rsidR="0093004B">
        <w:t xml:space="preserve"> </w:t>
      </w:r>
      <w:r w:rsidRPr="001A3999">
        <w:t>2 and 3 of the Rules of Court.</w:t>
      </w:r>
    </w:p>
    <w:p w:rsidRPr="001A3999" w:rsidR="005C7DEF" w:rsidP="001A3999" w:rsidRDefault="005C7DEF">
      <w:pPr>
        <w:pStyle w:val="JuSigned"/>
        <w:rPr>
          <w:lang w:val="nl-NL"/>
        </w:rPr>
      </w:pPr>
      <w:r w:rsidRPr="001A3999">
        <w:tab/>
      </w:r>
      <w:r w:rsidRPr="001A3999">
        <w:rPr>
          <w:lang w:val="nl-NL"/>
        </w:rPr>
        <w:t>Claudia Westerdiek</w:t>
      </w:r>
      <w:r w:rsidRPr="001A3999">
        <w:rPr>
          <w:lang w:val="nl-NL"/>
        </w:rPr>
        <w:tab/>
      </w:r>
      <w:r w:rsidRPr="001A3999">
        <w:rPr>
          <w:szCs w:val="24"/>
          <w:lang w:val="nl-NL"/>
        </w:rPr>
        <w:t>Angelika Nußberger</w:t>
      </w:r>
      <w:r w:rsidRPr="001A3999">
        <w:rPr>
          <w:szCs w:val="24"/>
          <w:lang w:val="nl-NL"/>
        </w:rPr>
        <w:br/>
      </w:r>
      <w:r w:rsidRPr="001A3999">
        <w:rPr>
          <w:lang w:val="nl-NL"/>
        </w:rPr>
        <w:tab/>
      </w:r>
      <w:r w:rsidRPr="001A3999">
        <w:rPr>
          <w:iCs/>
          <w:lang w:val="nl-NL"/>
        </w:rPr>
        <w:t>Registrar</w:t>
      </w:r>
      <w:r w:rsidRPr="001A3999">
        <w:rPr>
          <w:lang w:val="nl-NL"/>
        </w:rPr>
        <w:tab/>
        <w:t>President</w:t>
      </w:r>
    </w:p>
    <w:sectPr w:rsidRPr="001A3999" w:rsidR="005C7DEF" w:rsidSect="00B97CD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0F2" w:rsidRPr="003152BA" w:rsidRDefault="005B50F2" w:rsidP="00014566">
      <w:r w:rsidRPr="003152BA">
        <w:separator/>
      </w:r>
    </w:p>
  </w:endnote>
  <w:endnote w:type="continuationSeparator" w:id="0">
    <w:p w:rsidR="005B50F2" w:rsidRPr="003152BA" w:rsidRDefault="005B50F2"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CD7" w:rsidRPr="00150BFA" w:rsidRDefault="00B97CD7" w:rsidP="0020718E">
    <w:pPr>
      <w:jc w:val="center"/>
    </w:pPr>
    <w:r>
      <w:rPr>
        <w:noProof/>
        <w:lang w:val="en-US" w:eastAsia="ja-JP"/>
      </w:rPr>
      <w:drawing>
        <wp:inline distT="0" distB="0" distL="0" distR="0" wp14:anchorId="4DE667A0" wp14:editId="1B2248B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7CD7" w:rsidRDefault="00B97C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0F2" w:rsidRPr="003152BA" w:rsidRDefault="005B50F2" w:rsidP="00014566">
      <w:r w:rsidRPr="003152BA">
        <w:separator/>
      </w:r>
    </w:p>
  </w:footnote>
  <w:footnote w:type="continuationSeparator" w:id="0">
    <w:p w:rsidR="005B50F2" w:rsidRPr="003152BA" w:rsidRDefault="005B50F2" w:rsidP="00014566">
      <w:r w:rsidRPr="003152BA">
        <w:continuationSeparator/>
      </w:r>
    </w:p>
  </w:footnote>
  <w:footnote w:id="1">
    <w:p w:rsidR="00BE692C" w:rsidRPr="00BE692C" w:rsidRDefault="00BE692C">
      <w:pPr>
        <w:pStyle w:val="FootnoteText"/>
      </w:pPr>
      <w:r>
        <w:rPr>
          <w:rStyle w:val="FootnoteReference"/>
        </w:rPr>
        <w:footnoteRef/>
      </w:r>
      <w:r>
        <w:t xml:space="preserve"> </w:t>
      </w:r>
      <w:r w:rsidRPr="00BE692C">
        <w:t xml:space="preserve">Rectified on 28 August </w:t>
      </w:r>
      <w:proofErr w:type="gramStart"/>
      <w:r w:rsidRPr="00BE692C">
        <w:t>2018 :</w:t>
      </w:r>
      <w:proofErr w:type="gramEnd"/>
      <w:r w:rsidRPr="00BE692C">
        <w:t xml:space="preserve"> heading added.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0F2" w:rsidRPr="00B97CD7" w:rsidRDefault="005B50F2" w:rsidP="00B97CD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CD7" w:rsidRPr="00A45145" w:rsidRDefault="00B97CD7" w:rsidP="00A45145">
    <w:pPr>
      <w:jc w:val="center"/>
    </w:pPr>
    <w:r>
      <w:rPr>
        <w:noProof/>
        <w:lang w:val="en-US" w:eastAsia="ja-JP"/>
      </w:rPr>
      <w:drawing>
        <wp:inline distT="0" distB="0" distL="0" distR="0" wp14:anchorId="546DE161" wp14:editId="166C257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7CD7" w:rsidRDefault="00B97C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CD7" w:rsidRPr="003152BA" w:rsidRDefault="00B97CD7"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A3999">
      <w:rPr>
        <w:rStyle w:val="PageNumber"/>
        <w:noProof/>
        <w:szCs w:val="18"/>
      </w:rPr>
      <w:t>12</w:t>
    </w:r>
    <w:r>
      <w:rPr>
        <w:rStyle w:val="PageNumber"/>
        <w:szCs w:val="18"/>
      </w:rPr>
      <w:fldChar w:fldCharType="end"/>
    </w:r>
    <w:r w:rsidRPr="003152BA">
      <w:tab/>
    </w:r>
    <w:r>
      <w:t>BARTAIA v. GEORGIA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CD7" w:rsidRPr="003152BA" w:rsidRDefault="00B97CD7" w:rsidP="00D60D87">
    <w:pPr>
      <w:pStyle w:val="ECHRHeader"/>
    </w:pPr>
    <w:r w:rsidRPr="003152BA">
      <w:tab/>
    </w:r>
    <w:r>
      <w:t>BARTAIA v. GEORGIA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A3999">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E6BB7"/>
    <w:rsid w:val="00000067"/>
    <w:rsid w:val="000010ED"/>
    <w:rsid w:val="000039B8"/>
    <w:rsid w:val="000041F8"/>
    <w:rsid w:val="000042A8"/>
    <w:rsid w:val="00004308"/>
    <w:rsid w:val="000056BE"/>
    <w:rsid w:val="00005BF0"/>
    <w:rsid w:val="00006510"/>
    <w:rsid w:val="00007154"/>
    <w:rsid w:val="000103AE"/>
    <w:rsid w:val="00011D69"/>
    <w:rsid w:val="00012009"/>
    <w:rsid w:val="00012AD3"/>
    <w:rsid w:val="00012B2E"/>
    <w:rsid w:val="00013F91"/>
    <w:rsid w:val="0001410D"/>
    <w:rsid w:val="00014566"/>
    <w:rsid w:val="00015C2D"/>
    <w:rsid w:val="00015F00"/>
    <w:rsid w:val="00022123"/>
    <w:rsid w:val="00022330"/>
    <w:rsid w:val="00022C1D"/>
    <w:rsid w:val="00034987"/>
    <w:rsid w:val="000350E3"/>
    <w:rsid w:val="000360B1"/>
    <w:rsid w:val="000400C8"/>
    <w:rsid w:val="00050503"/>
    <w:rsid w:val="000544D8"/>
    <w:rsid w:val="00054FEE"/>
    <w:rsid w:val="00057687"/>
    <w:rsid w:val="000602DF"/>
    <w:rsid w:val="00061B05"/>
    <w:rsid w:val="00062973"/>
    <w:rsid w:val="00062D5D"/>
    <w:rsid w:val="000632D5"/>
    <w:rsid w:val="000644EE"/>
    <w:rsid w:val="00066F84"/>
    <w:rsid w:val="00071ABC"/>
    <w:rsid w:val="00073CBD"/>
    <w:rsid w:val="00074001"/>
    <w:rsid w:val="00074DFB"/>
    <w:rsid w:val="00075654"/>
    <w:rsid w:val="000810CB"/>
    <w:rsid w:val="0008285A"/>
    <w:rsid w:val="000856D7"/>
    <w:rsid w:val="000902AD"/>
    <w:rsid w:val="00090801"/>
    <w:rsid w:val="000925AD"/>
    <w:rsid w:val="00092A74"/>
    <w:rsid w:val="000932FF"/>
    <w:rsid w:val="000937FA"/>
    <w:rsid w:val="000A24EB"/>
    <w:rsid w:val="000B3BD1"/>
    <w:rsid w:val="000B486B"/>
    <w:rsid w:val="000B6923"/>
    <w:rsid w:val="000C033C"/>
    <w:rsid w:val="000C225E"/>
    <w:rsid w:val="000C54FD"/>
    <w:rsid w:val="000C5F3C"/>
    <w:rsid w:val="000C6CE2"/>
    <w:rsid w:val="000C6DCC"/>
    <w:rsid w:val="000D47AA"/>
    <w:rsid w:val="000D721F"/>
    <w:rsid w:val="000E069B"/>
    <w:rsid w:val="000E0E82"/>
    <w:rsid w:val="000E1DC5"/>
    <w:rsid w:val="000E223F"/>
    <w:rsid w:val="000E35AC"/>
    <w:rsid w:val="000E73ED"/>
    <w:rsid w:val="000E7D45"/>
    <w:rsid w:val="000F338C"/>
    <w:rsid w:val="000F7851"/>
    <w:rsid w:val="00104E23"/>
    <w:rsid w:val="00111B0C"/>
    <w:rsid w:val="00120D6C"/>
    <w:rsid w:val="00123B64"/>
    <w:rsid w:val="001257B0"/>
    <w:rsid w:val="001257EC"/>
    <w:rsid w:val="0012679F"/>
    <w:rsid w:val="00126A7F"/>
    <w:rsid w:val="00127816"/>
    <w:rsid w:val="00132C6A"/>
    <w:rsid w:val="00133D33"/>
    <w:rsid w:val="00134D64"/>
    <w:rsid w:val="00135A30"/>
    <w:rsid w:val="00135F33"/>
    <w:rsid w:val="0013612C"/>
    <w:rsid w:val="00137153"/>
    <w:rsid w:val="00137FF6"/>
    <w:rsid w:val="00141650"/>
    <w:rsid w:val="0014432C"/>
    <w:rsid w:val="001449B5"/>
    <w:rsid w:val="00144BF0"/>
    <w:rsid w:val="001457D8"/>
    <w:rsid w:val="00152846"/>
    <w:rsid w:val="00153916"/>
    <w:rsid w:val="00160104"/>
    <w:rsid w:val="00162765"/>
    <w:rsid w:val="00162A12"/>
    <w:rsid w:val="00162F59"/>
    <w:rsid w:val="00166530"/>
    <w:rsid w:val="00167563"/>
    <w:rsid w:val="00173A6C"/>
    <w:rsid w:val="00174CD0"/>
    <w:rsid w:val="001832BD"/>
    <w:rsid w:val="00192607"/>
    <w:rsid w:val="00192D4B"/>
    <w:rsid w:val="001943B5"/>
    <w:rsid w:val="00195134"/>
    <w:rsid w:val="001A145B"/>
    <w:rsid w:val="001A3999"/>
    <w:rsid w:val="001A674C"/>
    <w:rsid w:val="001A7131"/>
    <w:rsid w:val="001B3B24"/>
    <w:rsid w:val="001C0F98"/>
    <w:rsid w:val="001C2A42"/>
    <w:rsid w:val="001C745D"/>
    <w:rsid w:val="001D2890"/>
    <w:rsid w:val="001D4890"/>
    <w:rsid w:val="001D6304"/>
    <w:rsid w:val="001D63ED"/>
    <w:rsid w:val="001D6D81"/>
    <w:rsid w:val="001D7348"/>
    <w:rsid w:val="001E035B"/>
    <w:rsid w:val="001E0961"/>
    <w:rsid w:val="001E34F8"/>
    <w:rsid w:val="001E3EAE"/>
    <w:rsid w:val="001E5348"/>
    <w:rsid w:val="001E5933"/>
    <w:rsid w:val="001E5FFC"/>
    <w:rsid w:val="001E643C"/>
    <w:rsid w:val="001E6F32"/>
    <w:rsid w:val="001E79AC"/>
    <w:rsid w:val="001F00E8"/>
    <w:rsid w:val="001F2145"/>
    <w:rsid w:val="001F6262"/>
    <w:rsid w:val="001F67B0"/>
    <w:rsid w:val="001F7B3D"/>
    <w:rsid w:val="00205241"/>
    <w:rsid w:val="002059D7"/>
    <w:rsid w:val="00205F9F"/>
    <w:rsid w:val="00210210"/>
    <w:rsid w:val="00210338"/>
    <w:rsid w:val="002115FC"/>
    <w:rsid w:val="002133F8"/>
    <w:rsid w:val="00213789"/>
    <w:rsid w:val="002140D9"/>
    <w:rsid w:val="0021423C"/>
    <w:rsid w:val="00214AA4"/>
    <w:rsid w:val="00220659"/>
    <w:rsid w:val="00221F5D"/>
    <w:rsid w:val="002229AC"/>
    <w:rsid w:val="002264DA"/>
    <w:rsid w:val="00230D00"/>
    <w:rsid w:val="00231666"/>
    <w:rsid w:val="00231DF7"/>
    <w:rsid w:val="00231FD1"/>
    <w:rsid w:val="002339E0"/>
    <w:rsid w:val="00233CF8"/>
    <w:rsid w:val="0023575D"/>
    <w:rsid w:val="00237148"/>
    <w:rsid w:val="0024222D"/>
    <w:rsid w:val="00244B0E"/>
    <w:rsid w:val="00244F6C"/>
    <w:rsid w:val="00244FA3"/>
    <w:rsid w:val="00246958"/>
    <w:rsid w:val="00247622"/>
    <w:rsid w:val="00247E8B"/>
    <w:rsid w:val="00251636"/>
    <w:rsid w:val="002532C5"/>
    <w:rsid w:val="00254BF9"/>
    <w:rsid w:val="00256D14"/>
    <w:rsid w:val="002577B7"/>
    <w:rsid w:val="00260C03"/>
    <w:rsid w:val="00264BEF"/>
    <w:rsid w:val="0026540E"/>
    <w:rsid w:val="00266636"/>
    <w:rsid w:val="00270FF7"/>
    <w:rsid w:val="0027225C"/>
    <w:rsid w:val="00273270"/>
    <w:rsid w:val="0027424C"/>
    <w:rsid w:val="0027491F"/>
    <w:rsid w:val="00274997"/>
    <w:rsid w:val="00275123"/>
    <w:rsid w:val="00282240"/>
    <w:rsid w:val="0028572A"/>
    <w:rsid w:val="00287423"/>
    <w:rsid w:val="00290CE6"/>
    <w:rsid w:val="002948AD"/>
    <w:rsid w:val="00294C05"/>
    <w:rsid w:val="00294C92"/>
    <w:rsid w:val="002A01CC"/>
    <w:rsid w:val="002A61B1"/>
    <w:rsid w:val="002A663C"/>
    <w:rsid w:val="002B130A"/>
    <w:rsid w:val="002B1E6C"/>
    <w:rsid w:val="002B444B"/>
    <w:rsid w:val="002B45DB"/>
    <w:rsid w:val="002B5887"/>
    <w:rsid w:val="002B5A14"/>
    <w:rsid w:val="002C03F1"/>
    <w:rsid w:val="002C0692"/>
    <w:rsid w:val="002C0E27"/>
    <w:rsid w:val="002C3040"/>
    <w:rsid w:val="002C70D1"/>
    <w:rsid w:val="002D022D"/>
    <w:rsid w:val="002D24BB"/>
    <w:rsid w:val="002D491E"/>
    <w:rsid w:val="002D7921"/>
    <w:rsid w:val="002E1F01"/>
    <w:rsid w:val="002E31E6"/>
    <w:rsid w:val="002E4E93"/>
    <w:rsid w:val="002E7D15"/>
    <w:rsid w:val="002F171B"/>
    <w:rsid w:val="002F2AF7"/>
    <w:rsid w:val="002F2CAA"/>
    <w:rsid w:val="002F48B0"/>
    <w:rsid w:val="002F7E1C"/>
    <w:rsid w:val="00301A75"/>
    <w:rsid w:val="00302981"/>
    <w:rsid w:val="00302F70"/>
    <w:rsid w:val="0030336F"/>
    <w:rsid w:val="0030375E"/>
    <w:rsid w:val="003046BD"/>
    <w:rsid w:val="0030730A"/>
    <w:rsid w:val="0031102C"/>
    <w:rsid w:val="00312424"/>
    <w:rsid w:val="00312A30"/>
    <w:rsid w:val="003152BA"/>
    <w:rsid w:val="00320F72"/>
    <w:rsid w:val="00321C8C"/>
    <w:rsid w:val="0032463E"/>
    <w:rsid w:val="00326224"/>
    <w:rsid w:val="0032676F"/>
    <w:rsid w:val="00331EAC"/>
    <w:rsid w:val="00333E92"/>
    <w:rsid w:val="00336C4E"/>
    <w:rsid w:val="00337EE4"/>
    <w:rsid w:val="00340FFD"/>
    <w:rsid w:val="003457DA"/>
    <w:rsid w:val="003506B1"/>
    <w:rsid w:val="00356AC7"/>
    <w:rsid w:val="003609FA"/>
    <w:rsid w:val="003646B0"/>
    <w:rsid w:val="00365D2F"/>
    <w:rsid w:val="003710C8"/>
    <w:rsid w:val="003750BE"/>
    <w:rsid w:val="00375FD7"/>
    <w:rsid w:val="00381912"/>
    <w:rsid w:val="0038236C"/>
    <w:rsid w:val="00384173"/>
    <w:rsid w:val="00387B9D"/>
    <w:rsid w:val="0039364F"/>
    <w:rsid w:val="003961E9"/>
    <w:rsid w:val="00396686"/>
    <w:rsid w:val="00396846"/>
    <w:rsid w:val="0039778E"/>
    <w:rsid w:val="003A441D"/>
    <w:rsid w:val="003A5525"/>
    <w:rsid w:val="003B2132"/>
    <w:rsid w:val="003B2A69"/>
    <w:rsid w:val="003B4941"/>
    <w:rsid w:val="003C37A6"/>
    <w:rsid w:val="003C5714"/>
    <w:rsid w:val="003C6B9F"/>
    <w:rsid w:val="003C6CFE"/>
    <w:rsid w:val="003C6E2A"/>
    <w:rsid w:val="003C73D1"/>
    <w:rsid w:val="003D0299"/>
    <w:rsid w:val="003D0AE9"/>
    <w:rsid w:val="003D33B1"/>
    <w:rsid w:val="003E2CF6"/>
    <w:rsid w:val="003E6D80"/>
    <w:rsid w:val="003E709D"/>
    <w:rsid w:val="003F05FA"/>
    <w:rsid w:val="003F19AE"/>
    <w:rsid w:val="003F244A"/>
    <w:rsid w:val="003F30B8"/>
    <w:rsid w:val="003F4C45"/>
    <w:rsid w:val="003F5949"/>
    <w:rsid w:val="003F5F7B"/>
    <w:rsid w:val="003F63BC"/>
    <w:rsid w:val="003F6ED1"/>
    <w:rsid w:val="003F7D64"/>
    <w:rsid w:val="00403BC0"/>
    <w:rsid w:val="004059C5"/>
    <w:rsid w:val="00410801"/>
    <w:rsid w:val="0041253C"/>
    <w:rsid w:val="00414300"/>
    <w:rsid w:val="00421009"/>
    <w:rsid w:val="004244B9"/>
    <w:rsid w:val="00425378"/>
    <w:rsid w:val="00425C67"/>
    <w:rsid w:val="00427842"/>
    <w:rsid w:val="00427E7A"/>
    <w:rsid w:val="0043555F"/>
    <w:rsid w:val="00436307"/>
    <w:rsid w:val="00436B6D"/>
    <w:rsid w:val="00436C49"/>
    <w:rsid w:val="0044056A"/>
    <w:rsid w:val="004420A7"/>
    <w:rsid w:val="00445366"/>
    <w:rsid w:val="00447F5B"/>
    <w:rsid w:val="004602D5"/>
    <w:rsid w:val="00461DB0"/>
    <w:rsid w:val="00462493"/>
    <w:rsid w:val="00463926"/>
    <w:rsid w:val="00464097"/>
    <w:rsid w:val="004646E0"/>
    <w:rsid w:val="00464C9A"/>
    <w:rsid w:val="00474F3D"/>
    <w:rsid w:val="00477E3A"/>
    <w:rsid w:val="00483E5F"/>
    <w:rsid w:val="00485BB0"/>
    <w:rsid w:val="00485FF9"/>
    <w:rsid w:val="004907F0"/>
    <w:rsid w:val="0049140B"/>
    <w:rsid w:val="004914B4"/>
    <w:rsid w:val="004920ED"/>
    <w:rsid w:val="004923A5"/>
    <w:rsid w:val="00496BFB"/>
    <w:rsid w:val="004A15C7"/>
    <w:rsid w:val="004B013B"/>
    <w:rsid w:val="004B07BA"/>
    <w:rsid w:val="004B112B"/>
    <w:rsid w:val="004C01E4"/>
    <w:rsid w:val="004C086C"/>
    <w:rsid w:val="004C1F56"/>
    <w:rsid w:val="004C27BC"/>
    <w:rsid w:val="004C6BA5"/>
    <w:rsid w:val="004C74B8"/>
    <w:rsid w:val="004D05F3"/>
    <w:rsid w:val="004D15F3"/>
    <w:rsid w:val="004D347F"/>
    <w:rsid w:val="004D5311"/>
    <w:rsid w:val="004D58ED"/>
    <w:rsid w:val="004D5DCC"/>
    <w:rsid w:val="004D603F"/>
    <w:rsid w:val="004D72E1"/>
    <w:rsid w:val="004E032E"/>
    <w:rsid w:val="004E14F5"/>
    <w:rsid w:val="004E3680"/>
    <w:rsid w:val="004F08AE"/>
    <w:rsid w:val="004F10AF"/>
    <w:rsid w:val="004F11A4"/>
    <w:rsid w:val="004F2389"/>
    <w:rsid w:val="004F304D"/>
    <w:rsid w:val="004F46C7"/>
    <w:rsid w:val="004F5E26"/>
    <w:rsid w:val="004F61BE"/>
    <w:rsid w:val="004F66B1"/>
    <w:rsid w:val="004F6791"/>
    <w:rsid w:val="004F70DC"/>
    <w:rsid w:val="00502A0D"/>
    <w:rsid w:val="00502E89"/>
    <w:rsid w:val="0050493C"/>
    <w:rsid w:val="00507764"/>
    <w:rsid w:val="00511C07"/>
    <w:rsid w:val="00512D5D"/>
    <w:rsid w:val="00513507"/>
    <w:rsid w:val="00515457"/>
    <w:rsid w:val="00515710"/>
    <w:rsid w:val="005173A6"/>
    <w:rsid w:val="005202E3"/>
    <w:rsid w:val="00520BAA"/>
    <w:rsid w:val="00522DD3"/>
    <w:rsid w:val="00523D9E"/>
    <w:rsid w:val="005243FA"/>
    <w:rsid w:val="005245DF"/>
    <w:rsid w:val="00525208"/>
    <w:rsid w:val="005257A5"/>
    <w:rsid w:val="005264C0"/>
    <w:rsid w:val="00526A8A"/>
    <w:rsid w:val="00526B01"/>
    <w:rsid w:val="005302DF"/>
    <w:rsid w:val="00530586"/>
    <w:rsid w:val="00531DF2"/>
    <w:rsid w:val="00533214"/>
    <w:rsid w:val="00533CF7"/>
    <w:rsid w:val="00535BB8"/>
    <w:rsid w:val="005442EE"/>
    <w:rsid w:val="005456F1"/>
    <w:rsid w:val="00547353"/>
    <w:rsid w:val="005474E7"/>
    <w:rsid w:val="005512A3"/>
    <w:rsid w:val="00553C96"/>
    <w:rsid w:val="00555113"/>
    <w:rsid w:val="00556B1C"/>
    <w:rsid w:val="00556C2C"/>
    <w:rsid w:val="005578CE"/>
    <w:rsid w:val="0056133E"/>
    <w:rsid w:val="00562781"/>
    <w:rsid w:val="00563E83"/>
    <w:rsid w:val="005641A2"/>
    <w:rsid w:val="005644DA"/>
    <w:rsid w:val="0057035D"/>
    <w:rsid w:val="0057271C"/>
    <w:rsid w:val="00572845"/>
    <w:rsid w:val="00574427"/>
    <w:rsid w:val="0057594E"/>
    <w:rsid w:val="00576642"/>
    <w:rsid w:val="00577E3A"/>
    <w:rsid w:val="00581413"/>
    <w:rsid w:val="00581736"/>
    <w:rsid w:val="00583366"/>
    <w:rsid w:val="00592772"/>
    <w:rsid w:val="0059574A"/>
    <w:rsid w:val="005A0D52"/>
    <w:rsid w:val="005A1B9B"/>
    <w:rsid w:val="005A2374"/>
    <w:rsid w:val="005A4982"/>
    <w:rsid w:val="005A5A52"/>
    <w:rsid w:val="005A5C16"/>
    <w:rsid w:val="005A6751"/>
    <w:rsid w:val="005B081A"/>
    <w:rsid w:val="005B092E"/>
    <w:rsid w:val="005B152C"/>
    <w:rsid w:val="005B1EE0"/>
    <w:rsid w:val="005B2B24"/>
    <w:rsid w:val="005B3873"/>
    <w:rsid w:val="005B4425"/>
    <w:rsid w:val="005B4B94"/>
    <w:rsid w:val="005B50F2"/>
    <w:rsid w:val="005B5451"/>
    <w:rsid w:val="005B7E21"/>
    <w:rsid w:val="005C03B7"/>
    <w:rsid w:val="005C3EE8"/>
    <w:rsid w:val="005C7DEF"/>
    <w:rsid w:val="005D01F8"/>
    <w:rsid w:val="005D21B7"/>
    <w:rsid w:val="005D249A"/>
    <w:rsid w:val="005D34F9"/>
    <w:rsid w:val="005D4190"/>
    <w:rsid w:val="005D55BD"/>
    <w:rsid w:val="005D67A3"/>
    <w:rsid w:val="005D71E7"/>
    <w:rsid w:val="005D7CA8"/>
    <w:rsid w:val="005E1024"/>
    <w:rsid w:val="005E2988"/>
    <w:rsid w:val="005E2A43"/>
    <w:rsid w:val="005E3085"/>
    <w:rsid w:val="005E323D"/>
    <w:rsid w:val="005E3A08"/>
    <w:rsid w:val="005E438A"/>
    <w:rsid w:val="005E675A"/>
    <w:rsid w:val="005F127A"/>
    <w:rsid w:val="005F203D"/>
    <w:rsid w:val="005F51E1"/>
    <w:rsid w:val="005F7C24"/>
    <w:rsid w:val="00610C4B"/>
    <w:rsid w:val="00611C80"/>
    <w:rsid w:val="00612198"/>
    <w:rsid w:val="006145FF"/>
    <w:rsid w:val="00614F1C"/>
    <w:rsid w:val="00616683"/>
    <w:rsid w:val="00616B98"/>
    <w:rsid w:val="00620692"/>
    <w:rsid w:val="00620D07"/>
    <w:rsid w:val="00622777"/>
    <w:rsid w:val="00623A9B"/>
    <w:rsid w:val="006242CA"/>
    <w:rsid w:val="00627507"/>
    <w:rsid w:val="00627869"/>
    <w:rsid w:val="00633717"/>
    <w:rsid w:val="00633E63"/>
    <w:rsid w:val="006344E1"/>
    <w:rsid w:val="006371D0"/>
    <w:rsid w:val="00640648"/>
    <w:rsid w:val="006421BA"/>
    <w:rsid w:val="00645ED1"/>
    <w:rsid w:val="00652873"/>
    <w:rsid w:val="006545C4"/>
    <w:rsid w:val="00654B5B"/>
    <w:rsid w:val="00655DC2"/>
    <w:rsid w:val="006569E0"/>
    <w:rsid w:val="00660B88"/>
    <w:rsid w:val="00661971"/>
    <w:rsid w:val="00661BB8"/>
    <w:rsid w:val="00661CE8"/>
    <w:rsid w:val="006623D9"/>
    <w:rsid w:val="0066550C"/>
    <w:rsid w:val="006669EF"/>
    <w:rsid w:val="006716F2"/>
    <w:rsid w:val="00672839"/>
    <w:rsid w:val="00675303"/>
    <w:rsid w:val="00677B68"/>
    <w:rsid w:val="00682BF2"/>
    <w:rsid w:val="00682EBE"/>
    <w:rsid w:val="0068505F"/>
    <w:rsid w:val="006859CE"/>
    <w:rsid w:val="00685BC6"/>
    <w:rsid w:val="00686778"/>
    <w:rsid w:val="00691270"/>
    <w:rsid w:val="00694BA8"/>
    <w:rsid w:val="00696B1C"/>
    <w:rsid w:val="006A037C"/>
    <w:rsid w:val="006A0A0B"/>
    <w:rsid w:val="006A0B33"/>
    <w:rsid w:val="006A36F4"/>
    <w:rsid w:val="006A406F"/>
    <w:rsid w:val="006A57D9"/>
    <w:rsid w:val="006A5D3A"/>
    <w:rsid w:val="006B349F"/>
    <w:rsid w:val="006B3AB7"/>
    <w:rsid w:val="006B42C9"/>
    <w:rsid w:val="006C23D4"/>
    <w:rsid w:val="006C2810"/>
    <w:rsid w:val="006C4495"/>
    <w:rsid w:val="006C5EA0"/>
    <w:rsid w:val="006C7BB0"/>
    <w:rsid w:val="006C7C1E"/>
    <w:rsid w:val="006D3237"/>
    <w:rsid w:val="006D63DC"/>
    <w:rsid w:val="006D65AA"/>
    <w:rsid w:val="006D66A2"/>
    <w:rsid w:val="006E2E37"/>
    <w:rsid w:val="006E3CF1"/>
    <w:rsid w:val="006E61D2"/>
    <w:rsid w:val="006E7E80"/>
    <w:rsid w:val="006F11DD"/>
    <w:rsid w:val="006F1DF9"/>
    <w:rsid w:val="006F24DB"/>
    <w:rsid w:val="006F48CA"/>
    <w:rsid w:val="006F4BFE"/>
    <w:rsid w:val="006F64DD"/>
    <w:rsid w:val="007000A7"/>
    <w:rsid w:val="00707144"/>
    <w:rsid w:val="00707D77"/>
    <w:rsid w:val="00711173"/>
    <w:rsid w:val="007143C4"/>
    <w:rsid w:val="0071468A"/>
    <w:rsid w:val="00715127"/>
    <w:rsid w:val="00715E8E"/>
    <w:rsid w:val="00723580"/>
    <w:rsid w:val="00723755"/>
    <w:rsid w:val="0072710E"/>
    <w:rsid w:val="0073136C"/>
    <w:rsid w:val="00731F0F"/>
    <w:rsid w:val="00733250"/>
    <w:rsid w:val="00741404"/>
    <w:rsid w:val="00743C87"/>
    <w:rsid w:val="007449E5"/>
    <w:rsid w:val="00746C5A"/>
    <w:rsid w:val="00746C72"/>
    <w:rsid w:val="00747FF0"/>
    <w:rsid w:val="007509D5"/>
    <w:rsid w:val="00753651"/>
    <w:rsid w:val="00761462"/>
    <w:rsid w:val="00763D0C"/>
    <w:rsid w:val="00764D4E"/>
    <w:rsid w:val="00765A1F"/>
    <w:rsid w:val="007703D9"/>
    <w:rsid w:val="00773E16"/>
    <w:rsid w:val="00774A6E"/>
    <w:rsid w:val="00775B6D"/>
    <w:rsid w:val="00776D68"/>
    <w:rsid w:val="007850EE"/>
    <w:rsid w:val="00785B95"/>
    <w:rsid w:val="00790E96"/>
    <w:rsid w:val="00791709"/>
    <w:rsid w:val="00793366"/>
    <w:rsid w:val="007A037C"/>
    <w:rsid w:val="007A6AB2"/>
    <w:rsid w:val="007A716F"/>
    <w:rsid w:val="007A7ACA"/>
    <w:rsid w:val="007B16FC"/>
    <w:rsid w:val="007B2072"/>
    <w:rsid w:val="007B270A"/>
    <w:rsid w:val="007B34CD"/>
    <w:rsid w:val="007C0695"/>
    <w:rsid w:val="007C3039"/>
    <w:rsid w:val="007C419A"/>
    <w:rsid w:val="007C470C"/>
    <w:rsid w:val="007C4A20"/>
    <w:rsid w:val="007C4CC8"/>
    <w:rsid w:val="007C5426"/>
    <w:rsid w:val="007C5798"/>
    <w:rsid w:val="007D17F6"/>
    <w:rsid w:val="007D4832"/>
    <w:rsid w:val="007E21B2"/>
    <w:rsid w:val="007E2C4E"/>
    <w:rsid w:val="007F1905"/>
    <w:rsid w:val="007F199F"/>
    <w:rsid w:val="0080048F"/>
    <w:rsid w:val="00801300"/>
    <w:rsid w:val="00802C64"/>
    <w:rsid w:val="00805E52"/>
    <w:rsid w:val="008061D0"/>
    <w:rsid w:val="00806B6D"/>
    <w:rsid w:val="008078C8"/>
    <w:rsid w:val="00810B38"/>
    <w:rsid w:val="00811328"/>
    <w:rsid w:val="008204C7"/>
    <w:rsid w:val="00820992"/>
    <w:rsid w:val="0082246B"/>
    <w:rsid w:val="00822D01"/>
    <w:rsid w:val="00823569"/>
    <w:rsid w:val="00823602"/>
    <w:rsid w:val="008255F5"/>
    <w:rsid w:val="0082585F"/>
    <w:rsid w:val="0083014E"/>
    <w:rsid w:val="00831064"/>
    <w:rsid w:val="0083172A"/>
    <w:rsid w:val="0083214A"/>
    <w:rsid w:val="00834220"/>
    <w:rsid w:val="008354B9"/>
    <w:rsid w:val="00835FD6"/>
    <w:rsid w:val="00841664"/>
    <w:rsid w:val="00845723"/>
    <w:rsid w:val="008461F8"/>
    <w:rsid w:val="008463CD"/>
    <w:rsid w:val="008506A5"/>
    <w:rsid w:val="00851B4B"/>
    <w:rsid w:val="00851EF9"/>
    <w:rsid w:val="008525CE"/>
    <w:rsid w:val="00855644"/>
    <w:rsid w:val="008562E4"/>
    <w:rsid w:val="008577FD"/>
    <w:rsid w:val="00860B03"/>
    <w:rsid w:val="0086497A"/>
    <w:rsid w:val="008713A1"/>
    <w:rsid w:val="00871CC6"/>
    <w:rsid w:val="008754AB"/>
    <w:rsid w:val="0088060C"/>
    <w:rsid w:val="00880B07"/>
    <w:rsid w:val="0088351A"/>
    <w:rsid w:val="00885D48"/>
    <w:rsid w:val="008932AF"/>
    <w:rsid w:val="00893576"/>
    <w:rsid w:val="00893E73"/>
    <w:rsid w:val="00895F19"/>
    <w:rsid w:val="008A00BE"/>
    <w:rsid w:val="008A3B4F"/>
    <w:rsid w:val="008A43C4"/>
    <w:rsid w:val="008A6527"/>
    <w:rsid w:val="008B02DC"/>
    <w:rsid w:val="008B3F22"/>
    <w:rsid w:val="008B41E5"/>
    <w:rsid w:val="008B4F39"/>
    <w:rsid w:val="008B57CE"/>
    <w:rsid w:val="008B659F"/>
    <w:rsid w:val="008C26DE"/>
    <w:rsid w:val="008C270F"/>
    <w:rsid w:val="008C2C9F"/>
    <w:rsid w:val="008C48AD"/>
    <w:rsid w:val="008C4A1D"/>
    <w:rsid w:val="008D2225"/>
    <w:rsid w:val="008D27A7"/>
    <w:rsid w:val="008D4752"/>
    <w:rsid w:val="008D552A"/>
    <w:rsid w:val="008E271C"/>
    <w:rsid w:val="008E418E"/>
    <w:rsid w:val="008E4513"/>
    <w:rsid w:val="008E5BC6"/>
    <w:rsid w:val="008E6A25"/>
    <w:rsid w:val="008E793F"/>
    <w:rsid w:val="008F493F"/>
    <w:rsid w:val="008F5193"/>
    <w:rsid w:val="009013A7"/>
    <w:rsid w:val="009017FB"/>
    <w:rsid w:val="009017FC"/>
    <w:rsid w:val="00903B43"/>
    <w:rsid w:val="0090506B"/>
    <w:rsid w:val="009050C9"/>
    <w:rsid w:val="009066FC"/>
    <w:rsid w:val="0090713E"/>
    <w:rsid w:val="009140A3"/>
    <w:rsid w:val="009144A2"/>
    <w:rsid w:val="009148FE"/>
    <w:rsid w:val="00914D9F"/>
    <w:rsid w:val="0091510C"/>
    <w:rsid w:val="00917E2C"/>
    <w:rsid w:val="0092430D"/>
    <w:rsid w:val="009246A2"/>
    <w:rsid w:val="009259AC"/>
    <w:rsid w:val="00926F38"/>
    <w:rsid w:val="0093004B"/>
    <w:rsid w:val="00934301"/>
    <w:rsid w:val="00934AC0"/>
    <w:rsid w:val="00936CD1"/>
    <w:rsid w:val="00940B07"/>
    <w:rsid w:val="00940C51"/>
    <w:rsid w:val="00940E54"/>
    <w:rsid w:val="00941747"/>
    <w:rsid w:val="00941EFB"/>
    <w:rsid w:val="00945ECC"/>
    <w:rsid w:val="00947AFB"/>
    <w:rsid w:val="00951D7D"/>
    <w:rsid w:val="00952C12"/>
    <w:rsid w:val="009630C7"/>
    <w:rsid w:val="00963A7B"/>
    <w:rsid w:val="00972B55"/>
    <w:rsid w:val="009743B7"/>
    <w:rsid w:val="0098228B"/>
    <w:rsid w:val="009828DA"/>
    <w:rsid w:val="00984BF2"/>
    <w:rsid w:val="0098524E"/>
    <w:rsid w:val="00985BAB"/>
    <w:rsid w:val="0098657B"/>
    <w:rsid w:val="00991988"/>
    <w:rsid w:val="00993909"/>
    <w:rsid w:val="00994E17"/>
    <w:rsid w:val="00996171"/>
    <w:rsid w:val="00997F03"/>
    <w:rsid w:val="009A2CBF"/>
    <w:rsid w:val="009A46DF"/>
    <w:rsid w:val="009A5718"/>
    <w:rsid w:val="009A770E"/>
    <w:rsid w:val="009B1383"/>
    <w:rsid w:val="009B1B5F"/>
    <w:rsid w:val="009B2EC2"/>
    <w:rsid w:val="009B370D"/>
    <w:rsid w:val="009B3748"/>
    <w:rsid w:val="009B4DF1"/>
    <w:rsid w:val="009B5E2C"/>
    <w:rsid w:val="009B6673"/>
    <w:rsid w:val="009C191B"/>
    <w:rsid w:val="009C2BD6"/>
    <w:rsid w:val="009C322D"/>
    <w:rsid w:val="009C35B7"/>
    <w:rsid w:val="009C50FE"/>
    <w:rsid w:val="009C7D35"/>
    <w:rsid w:val="009D1DF0"/>
    <w:rsid w:val="009D662E"/>
    <w:rsid w:val="009E1F32"/>
    <w:rsid w:val="009E5829"/>
    <w:rsid w:val="009E776C"/>
    <w:rsid w:val="009F2E43"/>
    <w:rsid w:val="009F37D9"/>
    <w:rsid w:val="009F5E0F"/>
    <w:rsid w:val="009F6A8A"/>
    <w:rsid w:val="009F6BD9"/>
    <w:rsid w:val="00A00245"/>
    <w:rsid w:val="00A069FF"/>
    <w:rsid w:val="00A077D1"/>
    <w:rsid w:val="00A07D91"/>
    <w:rsid w:val="00A102B2"/>
    <w:rsid w:val="00A130B4"/>
    <w:rsid w:val="00A13B0E"/>
    <w:rsid w:val="00A1726E"/>
    <w:rsid w:val="00A204CF"/>
    <w:rsid w:val="00A23D49"/>
    <w:rsid w:val="00A27004"/>
    <w:rsid w:val="00A30C29"/>
    <w:rsid w:val="00A34DD6"/>
    <w:rsid w:val="00A36819"/>
    <w:rsid w:val="00A36989"/>
    <w:rsid w:val="00A41585"/>
    <w:rsid w:val="00A43628"/>
    <w:rsid w:val="00A46F7E"/>
    <w:rsid w:val="00A507FC"/>
    <w:rsid w:val="00A5267D"/>
    <w:rsid w:val="00A52A12"/>
    <w:rsid w:val="00A54192"/>
    <w:rsid w:val="00A5552F"/>
    <w:rsid w:val="00A55866"/>
    <w:rsid w:val="00A5719D"/>
    <w:rsid w:val="00A57B1E"/>
    <w:rsid w:val="00A6035E"/>
    <w:rsid w:val="00A6144C"/>
    <w:rsid w:val="00A66617"/>
    <w:rsid w:val="00A671F8"/>
    <w:rsid w:val="00A673A4"/>
    <w:rsid w:val="00A70306"/>
    <w:rsid w:val="00A705A8"/>
    <w:rsid w:val="00A70B1B"/>
    <w:rsid w:val="00A70F17"/>
    <w:rsid w:val="00A724AE"/>
    <w:rsid w:val="00A73329"/>
    <w:rsid w:val="00A73380"/>
    <w:rsid w:val="00A7626B"/>
    <w:rsid w:val="00A809A6"/>
    <w:rsid w:val="00A82359"/>
    <w:rsid w:val="00A847D3"/>
    <w:rsid w:val="00A85879"/>
    <w:rsid w:val="00A865D2"/>
    <w:rsid w:val="00A879F5"/>
    <w:rsid w:val="00A908D1"/>
    <w:rsid w:val="00A9114F"/>
    <w:rsid w:val="00A9185A"/>
    <w:rsid w:val="00A94218"/>
    <w:rsid w:val="00A94C20"/>
    <w:rsid w:val="00A96ED6"/>
    <w:rsid w:val="00A97F3E"/>
    <w:rsid w:val="00AA227F"/>
    <w:rsid w:val="00AA3BC7"/>
    <w:rsid w:val="00AA3C5F"/>
    <w:rsid w:val="00AA7244"/>
    <w:rsid w:val="00AA754A"/>
    <w:rsid w:val="00AB0189"/>
    <w:rsid w:val="00AB099E"/>
    <w:rsid w:val="00AB21BC"/>
    <w:rsid w:val="00AB2E13"/>
    <w:rsid w:val="00AB4328"/>
    <w:rsid w:val="00AB57ED"/>
    <w:rsid w:val="00AB5FA0"/>
    <w:rsid w:val="00AB7E75"/>
    <w:rsid w:val="00AC48F0"/>
    <w:rsid w:val="00AC4F41"/>
    <w:rsid w:val="00AC528A"/>
    <w:rsid w:val="00AD0C40"/>
    <w:rsid w:val="00AE0A2E"/>
    <w:rsid w:val="00AE25E6"/>
    <w:rsid w:val="00AE354C"/>
    <w:rsid w:val="00AE4167"/>
    <w:rsid w:val="00AE55DC"/>
    <w:rsid w:val="00AE6BB7"/>
    <w:rsid w:val="00AF4808"/>
    <w:rsid w:val="00AF4A9D"/>
    <w:rsid w:val="00AF4B07"/>
    <w:rsid w:val="00AF6186"/>
    <w:rsid w:val="00AF7A3A"/>
    <w:rsid w:val="00B13BC7"/>
    <w:rsid w:val="00B13FE5"/>
    <w:rsid w:val="00B152B6"/>
    <w:rsid w:val="00B160DB"/>
    <w:rsid w:val="00B17170"/>
    <w:rsid w:val="00B20228"/>
    <w:rsid w:val="00B20836"/>
    <w:rsid w:val="00B235BB"/>
    <w:rsid w:val="00B23D87"/>
    <w:rsid w:val="00B26EBC"/>
    <w:rsid w:val="00B27A44"/>
    <w:rsid w:val="00B30BBF"/>
    <w:rsid w:val="00B31FC5"/>
    <w:rsid w:val="00B33B32"/>
    <w:rsid w:val="00B33C03"/>
    <w:rsid w:val="00B4162F"/>
    <w:rsid w:val="00B44E56"/>
    <w:rsid w:val="00B46543"/>
    <w:rsid w:val="00B47D33"/>
    <w:rsid w:val="00B501FD"/>
    <w:rsid w:val="00B52BE0"/>
    <w:rsid w:val="00B54133"/>
    <w:rsid w:val="00B55147"/>
    <w:rsid w:val="00B55F72"/>
    <w:rsid w:val="00B60AE3"/>
    <w:rsid w:val="00B61226"/>
    <w:rsid w:val="00B62437"/>
    <w:rsid w:val="00B637B9"/>
    <w:rsid w:val="00B65BA0"/>
    <w:rsid w:val="00B701ED"/>
    <w:rsid w:val="00B72531"/>
    <w:rsid w:val="00B8086C"/>
    <w:rsid w:val="00B81C8A"/>
    <w:rsid w:val="00B84A87"/>
    <w:rsid w:val="00B85E8C"/>
    <w:rsid w:val="00B861B4"/>
    <w:rsid w:val="00B86DFE"/>
    <w:rsid w:val="00B90990"/>
    <w:rsid w:val="00B922FF"/>
    <w:rsid w:val="00B92491"/>
    <w:rsid w:val="00B9281E"/>
    <w:rsid w:val="00B92BB0"/>
    <w:rsid w:val="00B92C2D"/>
    <w:rsid w:val="00B93925"/>
    <w:rsid w:val="00B95187"/>
    <w:rsid w:val="00B96B5D"/>
    <w:rsid w:val="00B97CD7"/>
    <w:rsid w:val="00BA2D55"/>
    <w:rsid w:val="00BA71B1"/>
    <w:rsid w:val="00BA7C72"/>
    <w:rsid w:val="00BB0637"/>
    <w:rsid w:val="00BB2A82"/>
    <w:rsid w:val="00BB345F"/>
    <w:rsid w:val="00BB4798"/>
    <w:rsid w:val="00BB4E0A"/>
    <w:rsid w:val="00BB5883"/>
    <w:rsid w:val="00BB68EA"/>
    <w:rsid w:val="00BC13B4"/>
    <w:rsid w:val="00BC1C27"/>
    <w:rsid w:val="00BC2E18"/>
    <w:rsid w:val="00BC4287"/>
    <w:rsid w:val="00BC486D"/>
    <w:rsid w:val="00BC5952"/>
    <w:rsid w:val="00BC6BBF"/>
    <w:rsid w:val="00BC7FAB"/>
    <w:rsid w:val="00BD0306"/>
    <w:rsid w:val="00BD1572"/>
    <w:rsid w:val="00BD43FB"/>
    <w:rsid w:val="00BD5125"/>
    <w:rsid w:val="00BD700C"/>
    <w:rsid w:val="00BE0C6A"/>
    <w:rsid w:val="00BE0F4A"/>
    <w:rsid w:val="00BE14E3"/>
    <w:rsid w:val="00BE3774"/>
    <w:rsid w:val="00BE41E5"/>
    <w:rsid w:val="00BE692C"/>
    <w:rsid w:val="00BF0BBB"/>
    <w:rsid w:val="00BF4109"/>
    <w:rsid w:val="00BF4CC3"/>
    <w:rsid w:val="00C025BE"/>
    <w:rsid w:val="00C054C7"/>
    <w:rsid w:val="00C057B5"/>
    <w:rsid w:val="00C12104"/>
    <w:rsid w:val="00C143B4"/>
    <w:rsid w:val="00C14771"/>
    <w:rsid w:val="00C150BF"/>
    <w:rsid w:val="00C154AC"/>
    <w:rsid w:val="00C15935"/>
    <w:rsid w:val="00C178D8"/>
    <w:rsid w:val="00C221BF"/>
    <w:rsid w:val="00C22687"/>
    <w:rsid w:val="00C2748A"/>
    <w:rsid w:val="00C32E4D"/>
    <w:rsid w:val="00C333A0"/>
    <w:rsid w:val="00C363C4"/>
    <w:rsid w:val="00C36A81"/>
    <w:rsid w:val="00C379EB"/>
    <w:rsid w:val="00C41974"/>
    <w:rsid w:val="00C447AD"/>
    <w:rsid w:val="00C46BFF"/>
    <w:rsid w:val="00C51365"/>
    <w:rsid w:val="00C53F4A"/>
    <w:rsid w:val="00C54125"/>
    <w:rsid w:val="00C55B54"/>
    <w:rsid w:val="00C5689F"/>
    <w:rsid w:val="00C56DD0"/>
    <w:rsid w:val="00C6098E"/>
    <w:rsid w:val="00C6152C"/>
    <w:rsid w:val="00C621C2"/>
    <w:rsid w:val="00C62C57"/>
    <w:rsid w:val="00C636CF"/>
    <w:rsid w:val="00C66804"/>
    <w:rsid w:val="00C67DB2"/>
    <w:rsid w:val="00C74810"/>
    <w:rsid w:val="00C80BA3"/>
    <w:rsid w:val="00C90D68"/>
    <w:rsid w:val="00C915FB"/>
    <w:rsid w:val="00C939FE"/>
    <w:rsid w:val="00C96544"/>
    <w:rsid w:val="00CA2518"/>
    <w:rsid w:val="00CA4BDA"/>
    <w:rsid w:val="00CA50FB"/>
    <w:rsid w:val="00CA7BA1"/>
    <w:rsid w:val="00CB1F66"/>
    <w:rsid w:val="00CB2332"/>
    <w:rsid w:val="00CB2951"/>
    <w:rsid w:val="00CB6DD8"/>
    <w:rsid w:val="00CC331A"/>
    <w:rsid w:val="00CC36BC"/>
    <w:rsid w:val="00CC482D"/>
    <w:rsid w:val="00CC4DA3"/>
    <w:rsid w:val="00CD076D"/>
    <w:rsid w:val="00CD1287"/>
    <w:rsid w:val="00CD162E"/>
    <w:rsid w:val="00CD282B"/>
    <w:rsid w:val="00CD4C35"/>
    <w:rsid w:val="00CD5DC7"/>
    <w:rsid w:val="00CD7369"/>
    <w:rsid w:val="00CE0B0E"/>
    <w:rsid w:val="00CE2F1E"/>
    <w:rsid w:val="00CE3831"/>
    <w:rsid w:val="00CE3C79"/>
    <w:rsid w:val="00CE4645"/>
    <w:rsid w:val="00CF4F70"/>
    <w:rsid w:val="00CF7323"/>
    <w:rsid w:val="00D00ABB"/>
    <w:rsid w:val="00D02EEC"/>
    <w:rsid w:val="00D03551"/>
    <w:rsid w:val="00D06A63"/>
    <w:rsid w:val="00D07E0E"/>
    <w:rsid w:val="00D11478"/>
    <w:rsid w:val="00D15ED0"/>
    <w:rsid w:val="00D21306"/>
    <w:rsid w:val="00D21A1F"/>
    <w:rsid w:val="00D21B3E"/>
    <w:rsid w:val="00D21FED"/>
    <w:rsid w:val="00D24251"/>
    <w:rsid w:val="00D343E2"/>
    <w:rsid w:val="00D34777"/>
    <w:rsid w:val="00D361A2"/>
    <w:rsid w:val="00D4199B"/>
    <w:rsid w:val="00D44C2E"/>
    <w:rsid w:val="00D45414"/>
    <w:rsid w:val="00D51BA8"/>
    <w:rsid w:val="00D53BA0"/>
    <w:rsid w:val="00D53C0F"/>
    <w:rsid w:val="00D54DD2"/>
    <w:rsid w:val="00D566BD"/>
    <w:rsid w:val="00D57A4D"/>
    <w:rsid w:val="00D60AA7"/>
    <w:rsid w:val="00D60D87"/>
    <w:rsid w:val="00D631C8"/>
    <w:rsid w:val="00D6435F"/>
    <w:rsid w:val="00D654D7"/>
    <w:rsid w:val="00D67407"/>
    <w:rsid w:val="00D727EA"/>
    <w:rsid w:val="00D75E28"/>
    <w:rsid w:val="00D772C2"/>
    <w:rsid w:val="00D8008E"/>
    <w:rsid w:val="00D82C45"/>
    <w:rsid w:val="00D835EA"/>
    <w:rsid w:val="00D87288"/>
    <w:rsid w:val="00D87513"/>
    <w:rsid w:val="00D908A8"/>
    <w:rsid w:val="00D91559"/>
    <w:rsid w:val="00D9186E"/>
    <w:rsid w:val="00D91CF6"/>
    <w:rsid w:val="00D977B6"/>
    <w:rsid w:val="00DA225D"/>
    <w:rsid w:val="00DA2CA6"/>
    <w:rsid w:val="00DA4A31"/>
    <w:rsid w:val="00DA52E4"/>
    <w:rsid w:val="00DA61F2"/>
    <w:rsid w:val="00DA667D"/>
    <w:rsid w:val="00DA7B04"/>
    <w:rsid w:val="00DB36C2"/>
    <w:rsid w:val="00DB7196"/>
    <w:rsid w:val="00DB7AE0"/>
    <w:rsid w:val="00DC169B"/>
    <w:rsid w:val="00DC2AB9"/>
    <w:rsid w:val="00DC44C6"/>
    <w:rsid w:val="00DC46EA"/>
    <w:rsid w:val="00DC63F0"/>
    <w:rsid w:val="00DD6EE5"/>
    <w:rsid w:val="00DE0199"/>
    <w:rsid w:val="00DE0DD6"/>
    <w:rsid w:val="00DE1631"/>
    <w:rsid w:val="00DE1B8E"/>
    <w:rsid w:val="00DE386C"/>
    <w:rsid w:val="00DE4D35"/>
    <w:rsid w:val="00DF0549"/>
    <w:rsid w:val="00DF098B"/>
    <w:rsid w:val="00DF11C4"/>
    <w:rsid w:val="00DF210C"/>
    <w:rsid w:val="00DF4B6A"/>
    <w:rsid w:val="00DF53A0"/>
    <w:rsid w:val="00DF77D1"/>
    <w:rsid w:val="00E02C09"/>
    <w:rsid w:val="00E04D59"/>
    <w:rsid w:val="00E074CE"/>
    <w:rsid w:val="00E07DA1"/>
    <w:rsid w:val="00E10962"/>
    <w:rsid w:val="00E123CB"/>
    <w:rsid w:val="00E1557C"/>
    <w:rsid w:val="00E15D83"/>
    <w:rsid w:val="00E20E13"/>
    <w:rsid w:val="00E21DBC"/>
    <w:rsid w:val="00E275D7"/>
    <w:rsid w:val="00E275F2"/>
    <w:rsid w:val="00E27A78"/>
    <w:rsid w:val="00E27DBE"/>
    <w:rsid w:val="00E32AB1"/>
    <w:rsid w:val="00E36C71"/>
    <w:rsid w:val="00E373CF"/>
    <w:rsid w:val="00E40404"/>
    <w:rsid w:val="00E4133A"/>
    <w:rsid w:val="00E43BB6"/>
    <w:rsid w:val="00E44872"/>
    <w:rsid w:val="00E459C6"/>
    <w:rsid w:val="00E47589"/>
    <w:rsid w:val="00E527C0"/>
    <w:rsid w:val="00E54A18"/>
    <w:rsid w:val="00E64915"/>
    <w:rsid w:val="00E65FD1"/>
    <w:rsid w:val="00E661D4"/>
    <w:rsid w:val="00E67691"/>
    <w:rsid w:val="00E70091"/>
    <w:rsid w:val="00E720F5"/>
    <w:rsid w:val="00E76D47"/>
    <w:rsid w:val="00E804BF"/>
    <w:rsid w:val="00E84363"/>
    <w:rsid w:val="00E849F7"/>
    <w:rsid w:val="00E90302"/>
    <w:rsid w:val="00E93063"/>
    <w:rsid w:val="00E9597F"/>
    <w:rsid w:val="00E97396"/>
    <w:rsid w:val="00EA185E"/>
    <w:rsid w:val="00EA4A2E"/>
    <w:rsid w:val="00EA592A"/>
    <w:rsid w:val="00EA737F"/>
    <w:rsid w:val="00EB120C"/>
    <w:rsid w:val="00EB14E4"/>
    <w:rsid w:val="00EB32A5"/>
    <w:rsid w:val="00EB34ED"/>
    <w:rsid w:val="00EB5EC0"/>
    <w:rsid w:val="00EB617D"/>
    <w:rsid w:val="00EB689F"/>
    <w:rsid w:val="00EB752E"/>
    <w:rsid w:val="00EB7BE0"/>
    <w:rsid w:val="00EC0C1E"/>
    <w:rsid w:val="00EC0D2B"/>
    <w:rsid w:val="00EC1550"/>
    <w:rsid w:val="00EC315E"/>
    <w:rsid w:val="00ED077C"/>
    <w:rsid w:val="00ED1190"/>
    <w:rsid w:val="00ED1F66"/>
    <w:rsid w:val="00ED318C"/>
    <w:rsid w:val="00ED6544"/>
    <w:rsid w:val="00ED74E1"/>
    <w:rsid w:val="00EE0277"/>
    <w:rsid w:val="00EE1DA9"/>
    <w:rsid w:val="00EE3E00"/>
    <w:rsid w:val="00EE48E1"/>
    <w:rsid w:val="00EE4E4F"/>
    <w:rsid w:val="00EE4F17"/>
    <w:rsid w:val="00EE5DD2"/>
    <w:rsid w:val="00EF0073"/>
    <w:rsid w:val="00EF34BE"/>
    <w:rsid w:val="00EF3771"/>
    <w:rsid w:val="00EF39BC"/>
    <w:rsid w:val="00EF41F1"/>
    <w:rsid w:val="00EF4F08"/>
    <w:rsid w:val="00EF573B"/>
    <w:rsid w:val="00F00A79"/>
    <w:rsid w:val="00F00E86"/>
    <w:rsid w:val="00F00F8B"/>
    <w:rsid w:val="00F02552"/>
    <w:rsid w:val="00F03DEA"/>
    <w:rsid w:val="00F0429B"/>
    <w:rsid w:val="00F0751D"/>
    <w:rsid w:val="00F07C1E"/>
    <w:rsid w:val="00F07E78"/>
    <w:rsid w:val="00F105DB"/>
    <w:rsid w:val="00F132BC"/>
    <w:rsid w:val="00F13D80"/>
    <w:rsid w:val="00F161CE"/>
    <w:rsid w:val="00F16AAA"/>
    <w:rsid w:val="00F17593"/>
    <w:rsid w:val="00F17820"/>
    <w:rsid w:val="00F21161"/>
    <w:rsid w:val="00F212CB"/>
    <w:rsid w:val="00F218EF"/>
    <w:rsid w:val="00F21BC7"/>
    <w:rsid w:val="00F266A2"/>
    <w:rsid w:val="00F26763"/>
    <w:rsid w:val="00F27E51"/>
    <w:rsid w:val="00F313D0"/>
    <w:rsid w:val="00F31DEC"/>
    <w:rsid w:val="00F32028"/>
    <w:rsid w:val="00F32269"/>
    <w:rsid w:val="00F3529F"/>
    <w:rsid w:val="00F4457E"/>
    <w:rsid w:val="00F52A5C"/>
    <w:rsid w:val="00F540DC"/>
    <w:rsid w:val="00F553F9"/>
    <w:rsid w:val="00F56A6F"/>
    <w:rsid w:val="00F5709C"/>
    <w:rsid w:val="00F6001B"/>
    <w:rsid w:val="00F6141B"/>
    <w:rsid w:val="00F639A2"/>
    <w:rsid w:val="00F64EF1"/>
    <w:rsid w:val="00F67767"/>
    <w:rsid w:val="00F70999"/>
    <w:rsid w:val="00F74284"/>
    <w:rsid w:val="00F74574"/>
    <w:rsid w:val="00F82733"/>
    <w:rsid w:val="00F8765F"/>
    <w:rsid w:val="00F90767"/>
    <w:rsid w:val="00FA2F66"/>
    <w:rsid w:val="00FA53A0"/>
    <w:rsid w:val="00FA685B"/>
    <w:rsid w:val="00FB0C01"/>
    <w:rsid w:val="00FB0D38"/>
    <w:rsid w:val="00FB0F0E"/>
    <w:rsid w:val="00FB3B2B"/>
    <w:rsid w:val="00FB4DB4"/>
    <w:rsid w:val="00FC18F2"/>
    <w:rsid w:val="00FC30BE"/>
    <w:rsid w:val="00FC39E5"/>
    <w:rsid w:val="00FC3A78"/>
    <w:rsid w:val="00FC4CFE"/>
    <w:rsid w:val="00FC5FFE"/>
    <w:rsid w:val="00FC7290"/>
    <w:rsid w:val="00FD1005"/>
    <w:rsid w:val="00FD273E"/>
    <w:rsid w:val="00FD3180"/>
    <w:rsid w:val="00FD6C75"/>
    <w:rsid w:val="00FE2695"/>
    <w:rsid w:val="00FE4CC6"/>
    <w:rsid w:val="00FE55F2"/>
    <w:rsid w:val="00FE71B3"/>
    <w:rsid w:val="00FF2AC9"/>
    <w:rsid w:val="00FF42C5"/>
    <w:rsid w:val="00FF44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0306"/>
    <w:pPr>
      <w:jc w:val="both"/>
    </w:pPr>
    <w:rPr>
      <w:rFonts w:eastAsiaTheme="minorEastAsia"/>
      <w:sz w:val="24"/>
      <w:lang w:val="en-GB"/>
    </w:rPr>
  </w:style>
  <w:style w:type="paragraph" w:styleId="Heading1">
    <w:name w:val="heading 1"/>
    <w:basedOn w:val="Normal"/>
    <w:next w:val="Normal"/>
    <w:link w:val="Heading1Char"/>
    <w:uiPriority w:val="99"/>
    <w:semiHidden/>
    <w:rsid w:val="00BD030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D030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D030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030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D030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D030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D030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D030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D030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D0306"/>
    <w:rPr>
      <w:rFonts w:ascii="Tahoma" w:hAnsi="Tahoma" w:cs="Tahoma"/>
      <w:sz w:val="16"/>
      <w:szCs w:val="16"/>
    </w:rPr>
  </w:style>
  <w:style w:type="character" w:customStyle="1" w:styleId="BalloonTextChar">
    <w:name w:val="Balloon Text Char"/>
    <w:basedOn w:val="DefaultParagraphFont"/>
    <w:link w:val="BalloonText"/>
    <w:uiPriority w:val="99"/>
    <w:semiHidden/>
    <w:rsid w:val="00BD0306"/>
    <w:rPr>
      <w:rFonts w:ascii="Tahoma" w:eastAsiaTheme="minorEastAsia" w:hAnsi="Tahoma" w:cs="Tahoma"/>
      <w:sz w:val="16"/>
      <w:szCs w:val="16"/>
      <w:lang w:val="en-GB"/>
    </w:rPr>
  </w:style>
  <w:style w:type="character" w:styleId="BookTitle">
    <w:name w:val="Book Title"/>
    <w:uiPriority w:val="99"/>
    <w:semiHidden/>
    <w:qFormat/>
    <w:rsid w:val="00BD0306"/>
    <w:rPr>
      <w:i/>
      <w:iCs/>
      <w:smallCaps/>
      <w:spacing w:val="5"/>
    </w:rPr>
  </w:style>
  <w:style w:type="paragraph" w:customStyle="1" w:styleId="ECHRHeader">
    <w:name w:val="ECHR_Header"/>
    <w:aliases w:val="Ju_Header"/>
    <w:basedOn w:val="Header"/>
    <w:uiPriority w:val="4"/>
    <w:qFormat/>
    <w:rsid w:val="00BD030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D0306"/>
    <w:pPr>
      <w:jc w:val="left"/>
    </w:pPr>
    <w:rPr>
      <w:sz w:val="8"/>
    </w:rPr>
  </w:style>
  <w:style w:type="character" w:styleId="Strong">
    <w:name w:val="Strong"/>
    <w:uiPriority w:val="99"/>
    <w:semiHidden/>
    <w:qFormat/>
    <w:rsid w:val="00BD0306"/>
    <w:rPr>
      <w:b/>
      <w:bCs/>
    </w:rPr>
  </w:style>
  <w:style w:type="paragraph" w:styleId="NoSpacing">
    <w:name w:val="No Spacing"/>
    <w:basedOn w:val="Normal"/>
    <w:link w:val="NoSpacingChar"/>
    <w:semiHidden/>
    <w:qFormat/>
    <w:rsid w:val="00BD0306"/>
    <w:rPr>
      <w:sz w:val="22"/>
      <w:lang w:val="en-US"/>
    </w:rPr>
  </w:style>
  <w:style w:type="character" w:customStyle="1" w:styleId="NoSpacingChar">
    <w:name w:val="No Spacing Char"/>
    <w:basedOn w:val="DefaultParagraphFont"/>
    <w:link w:val="NoSpacing"/>
    <w:semiHidden/>
    <w:rsid w:val="00BD0306"/>
    <w:rPr>
      <w:rFonts w:eastAsiaTheme="minorEastAsia"/>
    </w:rPr>
  </w:style>
  <w:style w:type="paragraph" w:customStyle="1" w:styleId="ECHRFooterLine">
    <w:name w:val="ECHR_Footer_Line"/>
    <w:aliases w:val="Footer_Line"/>
    <w:basedOn w:val="Normal"/>
    <w:next w:val="ECHRFooter"/>
    <w:uiPriority w:val="57"/>
    <w:semiHidden/>
    <w:rsid w:val="00BD030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D0306"/>
  </w:style>
  <w:style w:type="paragraph" w:customStyle="1" w:styleId="DecList">
    <w:name w:val="Dec_List"/>
    <w:basedOn w:val="Normal"/>
    <w:uiPriority w:val="9"/>
    <w:semiHidden/>
    <w:qFormat/>
    <w:rsid w:val="00BD0306"/>
    <w:pPr>
      <w:spacing w:before="240"/>
      <w:ind w:left="284"/>
    </w:pPr>
  </w:style>
  <w:style w:type="paragraph" w:customStyle="1" w:styleId="DummyStyle">
    <w:name w:val="Dummy_Style"/>
    <w:basedOn w:val="Normal"/>
    <w:semiHidden/>
    <w:qFormat/>
    <w:rsid w:val="00BD0306"/>
    <w:rPr>
      <w:color w:val="00B050"/>
    </w:rPr>
  </w:style>
  <w:style w:type="paragraph" w:customStyle="1" w:styleId="ECHRTitleCentre3">
    <w:name w:val="ECHR_Title_Centre_3"/>
    <w:aliases w:val="Ju_H_Article"/>
    <w:basedOn w:val="Normal"/>
    <w:next w:val="ECHRParaQuote"/>
    <w:uiPriority w:val="27"/>
    <w:qFormat/>
    <w:rsid w:val="00BD030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D030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D0306"/>
    <w:pPr>
      <w:numPr>
        <w:numId w:val="24"/>
      </w:numPr>
      <w:jc w:val="left"/>
    </w:pPr>
    <w:rPr>
      <w:b/>
    </w:rPr>
  </w:style>
  <w:style w:type="paragraph" w:customStyle="1" w:styleId="JuCase">
    <w:name w:val="Ju_Case"/>
    <w:basedOn w:val="Normal"/>
    <w:next w:val="ECHRPara"/>
    <w:uiPriority w:val="10"/>
    <w:rsid w:val="00BD0306"/>
    <w:pPr>
      <w:ind w:firstLine="284"/>
    </w:pPr>
    <w:rPr>
      <w:b/>
    </w:rPr>
  </w:style>
  <w:style w:type="paragraph" w:customStyle="1" w:styleId="JuCourt">
    <w:name w:val="Ju_Court"/>
    <w:basedOn w:val="Normal"/>
    <w:next w:val="Normal"/>
    <w:uiPriority w:val="16"/>
    <w:qFormat/>
    <w:rsid w:val="00BD0306"/>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BD0306"/>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BD0306"/>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BD030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D030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D030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D030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D030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D030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D0306"/>
    <w:pPr>
      <w:keepNext/>
      <w:keepLines/>
      <w:spacing w:before="240" w:after="120"/>
      <w:ind w:left="1236"/>
    </w:pPr>
    <w:rPr>
      <w:sz w:val="20"/>
      <w:lang w:val="en-GB"/>
    </w:rPr>
  </w:style>
  <w:style w:type="paragraph" w:customStyle="1" w:styleId="JuInitialled">
    <w:name w:val="Ju_Initialled"/>
    <w:basedOn w:val="Normal"/>
    <w:uiPriority w:val="31"/>
    <w:qFormat/>
    <w:rsid w:val="00BD0306"/>
    <w:pPr>
      <w:tabs>
        <w:tab w:val="center" w:pos="6407"/>
      </w:tabs>
      <w:spacing w:before="720"/>
      <w:jc w:val="right"/>
    </w:pPr>
  </w:style>
  <w:style w:type="character" w:customStyle="1" w:styleId="JuITMark">
    <w:name w:val="Ju_ITMark"/>
    <w:basedOn w:val="DefaultParagraphFont"/>
    <w:uiPriority w:val="38"/>
    <w:qFormat/>
    <w:rsid w:val="00BD0306"/>
    <w:rPr>
      <w:vanish w:val="0"/>
      <w:color w:val="auto"/>
      <w:sz w:val="14"/>
      <w:bdr w:val="none" w:sz="0" w:space="0" w:color="auto"/>
      <w:shd w:val="clear" w:color="auto" w:fill="BEE5FF" w:themeFill="background1" w:themeFillTint="33"/>
    </w:rPr>
  </w:style>
  <w:style w:type="paragraph" w:customStyle="1" w:styleId="JuListi">
    <w:name w:val="Ju_List_i"/>
    <w:basedOn w:val="Normal"/>
    <w:next w:val="JuLista"/>
    <w:uiPriority w:val="28"/>
    <w:qFormat/>
    <w:rsid w:val="00BD0306"/>
    <w:pPr>
      <w:ind w:left="794"/>
    </w:pPr>
  </w:style>
  <w:style w:type="paragraph" w:styleId="Header">
    <w:name w:val="header"/>
    <w:basedOn w:val="Normal"/>
    <w:link w:val="HeaderChar"/>
    <w:uiPriority w:val="57"/>
    <w:semiHidden/>
    <w:rsid w:val="00BD030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D0306"/>
    <w:rPr>
      <w:sz w:val="24"/>
      <w:lang w:val="en-GB"/>
    </w:rPr>
  </w:style>
  <w:style w:type="character" w:customStyle="1" w:styleId="Heading1Char">
    <w:name w:val="Heading 1 Char"/>
    <w:basedOn w:val="DefaultParagraphFont"/>
    <w:link w:val="Heading1"/>
    <w:uiPriority w:val="99"/>
    <w:semiHidden/>
    <w:rsid w:val="00BD030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D030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D030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D0306"/>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D0306"/>
    <w:rPr>
      <w:caps w:val="0"/>
      <w:smallCaps/>
    </w:rPr>
  </w:style>
  <w:style w:type="paragraph" w:customStyle="1" w:styleId="JuParaSub">
    <w:name w:val="Ju_Para_Sub"/>
    <w:basedOn w:val="ECHRPara"/>
    <w:uiPriority w:val="13"/>
    <w:qFormat/>
    <w:rsid w:val="00BD0306"/>
    <w:pPr>
      <w:ind w:left="284"/>
    </w:pPr>
  </w:style>
  <w:style w:type="character" w:customStyle="1" w:styleId="Heading3Char">
    <w:name w:val="Heading 3 Char"/>
    <w:basedOn w:val="DefaultParagraphFont"/>
    <w:link w:val="Heading3"/>
    <w:uiPriority w:val="99"/>
    <w:semiHidden/>
    <w:rsid w:val="00BD030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D030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D0306"/>
    <w:rPr>
      <w:rFonts w:asciiTheme="majorHAnsi" w:eastAsiaTheme="majorEastAsia" w:hAnsiTheme="majorHAnsi" w:cstheme="majorBidi"/>
      <w:b/>
      <w:bCs/>
      <w:color w:val="808080"/>
    </w:rPr>
  </w:style>
  <w:style w:type="character" w:styleId="SubtleEmphasis">
    <w:name w:val="Subtle Emphasis"/>
    <w:uiPriority w:val="99"/>
    <w:semiHidden/>
    <w:qFormat/>
    <w:rsid w:val="00BD030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D0306"/>
    <w:pPr>
      <w:keepNext/>
      <w:keepLines/>
      <w:spacing w:before="720" w:after="240"/>
      <w:outlineLvl w:val="0"/>
    </w:pPr>
    <w:rPr>
      <w:rFonts w:asciiTheme="majorHAnsi" w:hAnsiTheme="majorHAnsi"/>
      <w:sz w:val="28"/>
    </w:rPr>
  </w:style>
  <w:style w:type="character" w:styleId="Emphasis">
    <w:name w:val="Emphasis"/>
    <w:uiPriority w:val="99"/>
    <w:semiHidden/>
    <w:qFormat/>
    <w:rsid w:val="00BD0306"/>
    <w:rPr>
      <w:b/>
      <w:bCs/>
      <w:i/>
      <w:iCs/>
      <w:spacing w:val="10"/>
      <w:bdr w:val="none" w:sz="0" w:space="0" w:color="auto"/>
      <w:shd w:val="clear" w:color="auto" w:fill="auto"/>
    </w:rPr>
  </w:style>
  <w:style w:type="paragraph" w:styleId="Footer">
    <w:name w:val="footer"/>
    <w:basedOn w:val="Normal"/>
    <w:link w:val="FooterChar"/>
    <w:uiPriority w:val="57"/>
    <w:semiHidden/>
    <w:rsid w:val="00BD030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D0306"/>
    <w:rPr>
      <w:sz w:val="24"/>
      <w:lang w:val="en-GB"/>
    </w:rPr>
  </w:style>
  <w:style w:type="character" w:styleId="FootnoteReference">
    <w:name w:val="footnote reference"/>
    <w:basedOn w:val="DefaultParagraphFont"/>
    <w:uiPriority w:val="99"/>
    <w:semiHidden/>
    <w:rsid w:val="00BD0306"/>
    <w:rPr>
      <w:vertAlign w:val="superscript"/>
    </w:rPr>
  </w:style>
  <w:style w:type="paragraph" w:styleId="FootnoteText">
    <w:name w:val="footnote text"/>
    <w:basedOn w:val="Normal"/>
    <w:link w:val="FootnoteTextChar"/>
    <w:uiPriority w:val="99"/>
    <w:semiHidden/>
    <w:rsid w:val="00BD0306"/>
    <w:rPr>
      <w:sz w:val="20"/>
      <w:szCs w:val="20"/>
    </w:rPr>
  </w:style>
  <w:style w:type="character" w:customStyle="1" w:styleId="FootnoteTextChar">
    <w:name w:val="Footnote Text Char"/>
    <w:basedOn w:val="DefaultParagraphFont"/>
    <w:link w:val="FootnoteText"/>
    <w:uiPriority w:val="99"/>
    <w:semiHidden/>
    <w:rsid w:val="00BD0306"/>
    <w:rPr>
      <w:rFonts w:eastAsiaTheme="minorEastAsia"/>
      <w:sz w:val="20"/>
      <w:szCs w:val="20"/>
      <w:lang w:val="en-GB"/>
    </w:rPr>
  </w:style>
  <w:style w:type="character" w:customStyle="1" w:styleId="Heading6Char">
    <w:name w:val="Heading 6 Char"/>
    <w:basedOn w:val="DefaultParagraphFont"/>
    <w:link w:val="Heading6"/>
    <w:uiPriority w:val="99"/>
    <w:semiHidden/>
    <w:rsid w:val="00BD030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D030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D030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D030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D0306"/>
    <w:rPr>
      <w:color w:val="0072BC" w:themeColor="hyperlink"/>
      <w:u w:val="single"/>
    </w:rPr>
  </w:style>
  <w:style w:type="character" w:styleId="IntenseEmphasis">
    <w:name w:val="Intense Emphasis"/>
    <w:uiPriority w:val="99"/>
    <w:semiHidden/>
    <w:qFormat/>
    <w:rsid w:val="00BD0306"/>
    <w:rPr>
      <w:b/>
      <w:bCs/>
    </w:rPr>
  </w:style>
  <w:style w:type="paragraph" w:styleId="IntenseQuote">
    <w:name w:val="Intense Quote"/>
    <w:basedOn w:val="Normal"/>
    <w:next w:val="Normal"/>
    <w:link w:val="IntenseQuoteChar"/>
    <w:uiPriority w:val="99"/>
    <w:semiHidden/>
    <w:qFormat/>
    <w:rsid w:val="00BD030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D0306"/>
    <w:rPr>
      <w:rFonts w:eastAsiaTheme="minorEastAsia"/>
      <w:b/>
      <w:bCs/>
      <w:i/>
      <w:iCs/>
      <w:lang w:bidi="en-US"/>
    </w:rPr>
  </w:style>
  <w:style w:type="character" w:styleId="IntenseReference">
    <w:name w:val="Intense Reference"/>
    <w:uiPriority w:val="99"/>
    <w:semiHidden/>
    <w:qFormat/>
    <w:rsid w:val="00BD0306"/>
    <w:rPr>
      <w:smallCaps/>
      <w:spacing w:val="5"/>
      <w:u w:val="single"/>
    </w:rPr>
  </w:style>
  <w:style w:type="paragraph" w:styleId="ListParagraph">
    <w:name w:val="List Paragraph"/>
    <w:basedOn w:val="Normal"/>
    <w:uiPriority w:val="99"/>
    <w:semiHidden/>
    <w:qFormat/>
    <w:rsid w:val="00BD030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D030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D0306"/>
    <w:rPr>
      <w:rFonts w:eastAsiaTheme="minorEastAsia"/>
      <w:i/>
      <w:iCs/>
      <w:lang w:bidi="en-US"/>
    </w:rPr>
  </w:style>
  <w:style w:type="character" w:styleId="SubtleReference">
    <w:name w:val="Subtle Reference"/>
    <w:uiPriority w:val="99"/>
    <w:semiHidden/>
    <w:qFormat/>
    <w:rsid w:val="00BD0306"/>
    <w:rPr>
      <w:smallCaps/>
    </w:rPr>
  </w:style>
  <w:style w:type="table" w:styleId="TableGrid">
    <w:name w:val="Table Grid"/>
    <w:basedOn w:val="TableNormal"/>
    <w:uiPriority w:val="59"/>
    <w:semiHidden/>
    <w:rsid w:val="00BD030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D030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D030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D030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D030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D030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D030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D030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D0306"/>
    <w:pPr>
      <w:spacing w:before="120" w:after="120"/>
      <w:ind w:left="425" w:firstLine="142"/>
    </w:pPr>
    <w:rPr>
      <w:sz w:val="20"/>
    </w:rPr>
  </w:style>
  <w:style w:type="paragraph" w:customStyle="1" w:styleId="ECHRPara">
    <w:name w:val="ECHR_Para"/>
    <w:aliases w:val="Ju_Para"/>
    <w:basedOn w:val="Normal"/>
    <w:link w:val="ECHRParaChar"/>
    <w:uiPriority w:val="12"/>
    <w:qFormat/>
    <w:rsid w:val="00BD030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030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D030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D0306"/>
    <w:pPr>
      <w:ind w:left="340" w:hanging="340"/>
    </w:pPr>
  </w:style>
  <w:style w:type="paragraph" w:customStyle="1" w:styleId="JuSigned">
    <w:name w:val="Ju_Signed"/>
    <w:basedOn w:val="Normal"/>
    <w:next w:val="JuParaLast"/>
    <w:uiPriority w:val="32"/>
    <w:qFormat/>
    <w:rsid w:val="00BD0306"/>
    <w:pPr>
      <w:tabs>
        <w:tab w:val="center" w:pos="851"/>
        <w:tab w:val="center" w:pos="6407"/>
      </w:tabs>
      <w:spacing w:before="720"/>
      <w:jc w:val="left"/>
    </w:pPr>
  </w:style>
  <w:style w:type="paragraph" w:customStyle="1" w:styleId="JuParaLast">
    <w:name w:val="Ju_Para_Last"/>
    <w:basedOn w:val="Normal"/>
    <w:next w:val="ECHRPara"/>
    <w:uiPriority w:val="30"/>
    <w:qFormat/>
    <w:rsid w:val="00BD0306"/>
    <w:pPr>
      <w:keepNext/>
      <w:keepLines/>
      <w:spacing w:before="240"/>
      <w:ind w:firstLine="284"/>
    </w:pPr>
  </w:style>
  <w:style w:type="paragraph" w:customStyle="1" w:styleId="JuQuotSub">
    <w:name w:val="Ju_Quot_Sub"/>
    <w:basedOn w:val="ECHRParaQuote"/>
    <w:uiPriority w:val="15"/>
    <w:qFormat/>
    <w:rsid w:val="00BD0306"/>
    <w:pPr>
      <w:ind w:left="567"/>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D0306"/>
    <w:pPr>
      <w:ind w:left="346" w:firstLine="0"/>
    </w:pPr>
  </w:style>
  <w:style w:type="paragraph" w:customStyle="1" w:styleId="JuTitle">
    <w:name w:val="Ju_Title"/>
    <w:basedOn w:val="Normal"/>
    <w:next w:val="ECHRPara"/>
    <w:uiPriority w:val="3"/>
    <w:semiHidden/>
    <w:qFormat/>
    <w:rsid w:val="00BD0306"/>
    <w:pPr>
      <w:spacing w:before="720" w:after="240"/>
      <w:jc w:val="center"/>
      <w:outlineLvl w:val="0"/>
    </w:pPr>
    <w:rPr>
      <w:rFonts w:asciiTheme="majorHAnsi" w:hAnsiTheme="majorHAnsi"/>
      <w:b/>
      <w:cap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D0306"/>
    <w:rPr>
      <w:vertAlign w:val="superscript"/>
    </w:rPr>
  </w:style>
  <w:style w:type="paragraph" w:styleId="EndnoteText">
    <w:name w:val="endnote text"/>
    <w:basedOn w:val="Normal"/>
    <w:link w:val="EndnoteTextChar"/>
    <w:uiPriority w:val="99"/>
    <w:semiHidden/>
    <w:rsid w:val="00BD0306"/>
    <w:rPr>
      <w:sz w:val="20"/>
      <w:szCs w:val="20"/>
    </w:rPr>
  </w:style>
  <w:style w:type="character" w:customStyle="1" w:styleId="EndnoteTextChar">
    <w:name w:val="Endnote Text Char"/>
    <w:basedOn w:val="DefaultParagraphFont"/>
    <w:link w:val="EndnoteText"/>
    <w:uiPriority w:val="99"/>
    <w:semiHidden/>
    <w:rsid w:val="00BD030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BD0306"/>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BD0306"/>
    <w:pPr>
      <w:ind w:left="833" w:hanging="357"/>
      <w:outlineLvl w:val="3"/>
    </w:pPr>
    <w:rPr>
      <w:b/>
      <w:i w:val="0"/>
      <w:sz w:val="20"/>
    </w:rPr>
  </w:style>
  <w:style w:type="paragraph" w:styleId="Subtitle">
    <w:name w:val="Subtitle"/>
    <w:basedOn w:val="Normal"/>
    <w:next w:val="Normal"/>
    <w:link w:val="SubtitleChar"/>
    <w:uiPriority w:val="99"/>
    <w:semiHidden/>
    <w:qFormat/>
    <w:rsid w:val="00BD030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D030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BD030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D030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D030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BD0306"/>
    <w:pPr>
      <w:tabs>
        <w:tab w:val="clear" w:pos="357"/>
      </w:tabs>
      <w:outlineLvl w:val="1"/>
    </w:pPr>
    <w:rPr>
      <w:b/>
    </w:rPr>
  </w:style>
  <w:style w:type="paragraph" w:customStyle="1" w:styleId="OpiHi">
    <w:name w:val="Opi_H_i"/>
    <w:basedOn w:val="ECHRHeading4"/>
    <w:uiPriority w:val="44"/>
    <w:qFormat/>
    <w:rsid w:val="00BD0306"/>
    <w:pPr>
      <w:ind w:left="1037" w:hanging="357"/>
      <w:outlineLvl w:val="4"/>
    </w:pPr>
    <w:rPr>
      <w:b w:val="0"/>
      <w:i/>
    </w:rPr>
  </w:style>
  <w:style w:type="paragraph" w:customStyle="1" w:styleId="OpiPara">
    <w:name w:val="Opi_Para"/>
    <w:basedOn w:val="ECHRPara"/>
    <w:uiPriority w:val="46"/>
    <w:qFormat/>
    <w:rsid w:val="00BD0306"/>
  </w:style>
  <w:style w:type="paragraph" w:customStyle="1" w:styleId="OpiParaSub">
    <w:name w:val="Opi_Para_Sub"/>
    <w:basedOn w:val="JuParaSub"/>
    <w:uiPriority w:val="47"/>
    <w:qFormat/>
    <w:rsid w:val="00BD0306"/>
  </w:style>
  <w:style w:type="paragraph" w:customStyle="1" w:styleId="OpiQuot">
    <w:name w:val="Opi_Quot"/>
    <w:basedOn w:val="ECHRParaQuote"/>
    <w:uiPriority w:val="48"/>
    <w:qFormat/>
    <w:rsid w:val="00BD0306"/>
  </w:style>
  <w:style w:type="paragraph" w:customStyle="1" w:styleId="OpiQuotSub">
    <w:name w:val="Opi_Quot_Sub"/>
    <w:basedOn w:val="JuQuotSub"/>
    <w:uiPriority w:val="49"/>
    <w:qFormat/>
    <w:rsid w:val="00BD0306"/>
  </w:style>
  <w:style w:type="character" w:customStyle="1" w:styleId="ECHRParaChar">
    <w:name w:val="ECHR_Para Char"/>
    <w:aliases w:val="Ju_Para Char"/>
    <w:basedOn w:val="DefaultParagraphFont"/>
    <w:link w:val="ECHRPara"/>
    <w:uiPriority w:val="12"/>
    <w:rsid w:val="00696B1C"/>
    <w:rPr>
      <w:rFonts w:eastAsiaTheme="minorEastAsia"/>
      <w:sz w:val="24"/>
      <w:lang w:val="en-GB"/>
    </w:rPr>
  </w:style>
  <w:style w:type="paragraph" w:customStyle="1" w:styleId="ECHRParaSpaced">
    <w:name w:val="ECHR_Para_Spaced"/>
    <w:aliases w:val="Para_Spaced"/>
    <w:basedOn w:val="ECHRPara"/>
    <w:uiPriority w:val="4"/>
    <w:rsid w:val="004C74B8"/>
    <w:pPr>
      <w:spacing w:before="120" w:after="120"/>
      <w:ind w:firstLine="0"/>
    </w:pPr>
    <w:rPr>
      <w:rFonts w:eastAsiaTheme="minorHAnsi"/>
      <w:sz w:val="22"/>
    </w:rPr>
  </w:style>
  <w:style w:type="paragraph" w:styleId="Revision">
    <w:name w:val="Revision"/>
    <w:hidden/>
    <w:uiPriority w:val="99"/>
    <w:semiHidden/>
    <w:rsid w:val="009B370D"/>
    <w:rPr>
      <w:rFonts w:eastAsiaTheme="minorEastAsia"/>
      <w:sz w:val="24"/>
    </w:rPr>
  </w:style>
  <w:style w:type="paragraph" w:customStyle="1" w:styleId="OpiTranslation">
    <w:name w:val="Opi_Translation"/>
    <w:basedOn w:val="Normal"/>
    <w:next w:val="OpiPara"/>
    <w:uiPriority w:val="40"/>
    <w:qFormat/>
    <w:rsid w:val="00BD0306"/>
    <w:pPr>
      <w:jc w:val="center"/>
      <w:outlineLvl w:val="0"/>
    </w:pPr>
    <w:rPr>
      <w:i/>
    </w:rPr>
  </w:style>
  <w:style w:type="paragraph" w:customStyle="1" w:styleId="jupara">
    <w:name w:val="jupara"/>
    <w:basedOn w:val="Normal"/>
    <w:rsid w:val="001A3999"/>
    <w:pPr>
      <w:ind w:firstLine="284"/>
    </w:pPr>
    <w:rPr>
      <w:rFonts w:ascii="Times New Roman" w:eastAsia="Times New Roman" w:hAnsi="Times New Roman" w:cs="Times New Roman"/>
      <w:szCs w:val="24"/>
      <w:lang w:eastAsia="en-GB"/>
    </w:rPr>
  </w:style>
  <w:style w:type="paragraph" w:customStyle="1" w:styleId="jucase0">
    <w:name w:val="jucase"/>
    <w:basedOn w:val="Normal"/>
    <w:rsid w:val="001A399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38605">
      <w:bodyDiv w:val="1"/>
      <w:marLeft w:val="0"/>
      <w:marRight w:val="0"/>
      <w:marTop w:val="0"/>
      <w:marBottom w:val="0"/>
      <w:divBdr>
        <w:top w:val="none" w:sz="0" w:space="0" w:color="auto"/>
        <w:left w:val="none" w:sz="0" w:space="0" w:color="auto"/>
        <w:bottom w:val="none" w:sz="0" w:space="0" w:color="auto"/>
        <w:right w:val="none" w:sz="0" w:space="0" w:color="auto"/>
      </w:divBdr>
      <w:divsChild>
        <w:div w:id="1098722327">
          <w:marLeft w:val="0"/>
          <w:marRight w:val="0"/>
          <w:marTop w:val="0"/>
          <w:marBottom w:val="0"/>
          <w:divBdr>
            <w:top w:val="none" w:sz="0" w:space="0" w:color="auto"/>
            <w:left w:val="none" w:sz="0" w:space="0" w:color="auto"/>
            <w:bottom w:val="none" w:sz="0" w:space="0" w:color="auto"/>
            <w:right w:val="none" w:sz="0" w:space="0" w:color="auto"/>
          </w:divBdr>
          <w:divsChild>
            <w:div w:id="181818779">
              <w:marLeft w:val="0"/>
              <w:marRight w:val="0"/>
              <w:marTop w:val="0"/>
              <w:marBottom w:val="0"/>
              <w:divBdr>
                <w:top w:val="none" w:sz="0" w:space="0" w:color="auto"/>
                <w:left w:val="none" w:sz="0" w:space="0" w:color="auto"/>
                <w:bottom w:val="none" w:sz="0" w:space="0" w:color="auto"/>
                <w:right w:val="none" w:sz="0" w:space="0" w:color="auto"/>
              </w:divBdr>
              <w:divsChild>
                <w:div w:id="2124573443">
                  <w:marLeft w:val="0"/>
                  <w:marRight w:val="0"/>
                  <w:marTop w:val="0"/>
                  <w:marBottom w:val="0"/>
                  <w:divBdr>
                    <w:top w:val="none" w:sz="0" w:space="0" w:color="auto"/>
                    <w:left w:val="none" w:sz="0" w:space="0" w:color="auto"/>
                    <w:bottom w:val="none" w:sz="0" w:space="0" w:color="auto"/>
                    <w:right w:val="none" w:sz="0" w:space="0" w:color="auto"/>
                  </w:divBdr>
                  <w:divsChild>
                    <w:div w:id="1819178306">
                      <w:marLeft w:val="0"/>
                      <w:marRight w:val="0"/>
                      <w:marTop w:val="0"/>
                      <w:marBottom w:val="0"/>
                      <w:divBdr>
                        <w:top w:val="none" w:sz="0" w:space="0" w:color="auto"/>
                        <w:left w:val="none" w:sz="0" w:space="0" w:color="auto"/>
                        <w:bottom w:val="none" w:sz="0" w:space="0" w:color="auto"/>
                        <w:right w:val="none" w:sz="0" w:space="0" w:color="auto"/>
                      </w:divBdr>
                      <w:divsChild>
                        <w:div w:id="7297240">
                          <w:marLeft w:val="0"/>
                          <w:marRight w:val="0"/>
                          <w:marTop w:val="0"/>
                          <w:marBottom w:val="0"/>
                          <w:divBdr>
                            <w:top w:val="none" w:sz="0" w:space="0" w:color="auto"/>
                            <w:left w:val="none" w:sz="0" w:space="0" w:color="auto"/>
                            <w:bottom w:val="none" w:sz="0" w:space="0" w:color="auto"/>
                            <w:right w:val="none" w:sz="0" w:space="0" w:color="auto"/>
                          </w:divBdr>
                          <w:divsChild>
                            <w:div w:id="1494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59208">
      <w:bodyDiv w:val="1"/>
      <w:marLeft w:val="0"/>
      <w:marRight w:val="0"/>
      <w:marTop w:val="0"/>
      <w:marBottom w:val="0"/>
      <w:divBdr>
        <w:top w:val="none" w:sz="0" w:space="0" w:color="auto"/>
        <w:left w:val="none" w:sz="0" w:space="0" w:color="auto"/>
        <w:bottom w:val="none" w:sz="0" w:space="0" w:color="auto"/>
        <w:right w:val="none" w:sz="0" w:space="0" w:color="auto"/>
      </w:divBdr>
      <w:divsChild>
        <w:div w:id="1681660893">
          <w:marLeft w:val="0"/>
          <w:marRight w:val="0"/>
          <w:marTop w:val="0"/>
          <w:marBottom w:val="0"/>
          <w:divBdr>
            <w:top w:val="none" w:sz="0" w:space="0" w:color="auto"/>
            <w:left w:val="none" w:sz="0" w:space="0" w:color="auto"/>
            <w:bottom w:val="none" w:sz="0" w:space="0" w:color="auto"/>
            <w:right w:val="none" w:sz="0" w:space="0" w:color="auto"/>
          </w:divBdr>
          <w:divsChild>
            <w:div w:id="839276986">
              <w:marLeft w:val="0"/>
              <w:marRight w:val="0"/>
              <w:marTop w:val="0"/>
              <w:marBottom w:val="0"/>
              <w:divBdr>
                <w:top w:val="none" w:sz="0" w:space="0" w:color="auto"/>
                <w:left w:val="none" w:sz="0" w:space="0" w:color="auto"/>
                <w:bottom w:val="none" w:sz="0" w:space="0" w:color="auto"/>
                <w:right w:val="none" w:sz="0" w:space="0" w:color="auto"/>
              </w:divBdr>
              <w:divsChild>
                <w:div w:id="13968378">
                  <w:marLeft w:val="0"/>
                  <w:marRight w:val="0"/>
                  <w:marTop w:val="0"/>
                  <w:marBottom w:val="0"/>
                  <w:divBdr>
                    <w:top w:val="none" w:sz="0" w:space="0" w:color="auto"/>
                    <w:left w:val="none" w:sz="0" w:space="0" w:color="auto"/>
                    <w:bottom w:val="none" w:sz="0" w:space="0" w:color="auto"/>
                    <w:right w:val="none" w:sz="0" w:space="0" w:color="auto"/>
                  </w:divBdr>
                  <w:divsChild>
                    <w:div w:id="89357154">
                      <w:marLeft w:val="0"/>
                      <w:marRight w:val="0"/>
                      <w:marTop w:val="0"/>
                      <w:marBottom w:val="0"/>
                      <w:divBdr>
                        <w:top w:val="none" w:sz="0" w:space="0" w:color="auto"/>
                        <w:left w:val="none" w:sz="0" w:space="0" w:color="auto"/>
                        <w:bottom w:val="none" w:sz="0" w:space="0" w:color="auto"/>
                        <w:right w:val="none" w:sz="0" w:space="0" w:color="auto"/>
                      </w:divBdr>
                      <w:divsChild>
                        <w:div w:id="1959220724">
                          <w:marLeft w:val="0"/>
                          <w:marRight w:val="0"/>
                          <w:marTop w:val="0"/>
                          <w:marBottom w:val="0"/>
                          <w:divBdr>
                            <w:top w:val="none" w:sz="0" w:space="0" w:color="auto"/>
                            <w:left w:val="none" w:sz="0" w:space="0" w:color="auto"/>
                            <w:bottom w:val="none" w:sz="0" w:space="0" w:color="auto"/>
                            <w:right w:val="none" w:sz="0" w:space="0" w:color="auto"/>
                          </w:divBdr>
                          <w:divsChild>
                            <w:div w:id="4345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60403">
      <w:bodyDiv w:val="1"/>
      <w:marLeft w:val="0"/>
      <w:marRight w:val="0"/>
      <w:marTop w:val="0"/>
      <w:marBottom w:val="0"/>
      <w:divBdr>
        <w:top w:val="none" w:sz="0" w:space="0" w:color="auto"/>
        <w:left w:val="none" w:sz="0" w:space="0" w:color="auto"/>
        <w:bottom w:val="none" w:sz="0" w:space="0" w:color="auto"/>
        <w:right w:val="none" w:sz="0" w:space="0" w:color="auto"/>
      </w:divBdr>
      <w:divsChild>
        <w:div w:id="1877350438">
          <w:marLeft w:val="0"/>
          <w:marRight w:val="0"/>
          <w:marTop w:val="0"/>
          <w:marBottom w:val="0"/>
          <w:divBdr>
            <w:top w:val="none" w:sz="0" w:space="0" w:color="auto"/>
            <w:left w:val="none" w:sz="0" w:space="0" w:color="auto"/>
            <w:bottom w:val="none" w:sz="0" w:space="0" w:color="auto"/>
            <w:right w:val="none" w:sz="0" w:space="0" w:color="auto"/>
          </w:divBdr>
          <w:divsChild>
            <w:div w:id="1143544730">
              <w:marLeft w:val="0"/>
              <w:marRight w:val="0"/>
              <w:marTop w:val="0"/>
              <w:marBottom w:val="0"/>
              <w:divBdr>
                <w:top w:val="none" w:sz="0" w:space="0" w:color="auto"/>
                <w:left w:val="none" w:sz="0" w:space="0" w:color="auto"/>
                <w:bottom w:val="none" w:sz="0" w:space="0" w:color="auto"/>
                <w:right w:val="none" w:sz="0" w:space="0" w:color="auto"/>
              </w:divBdr>
              <w:divsChild>
                <w:div w:id="2068914941">
                  <w:marLeft w:val="0"/>
                  <w:marRight w:val="0"/>
                  <w:marTop w:val="0"/>
                  <w:marBottom w:val="0"/>
                  <w:divBdr>
                    <w:top w:val="none" w:sz="0" w:space="0" w:color="auto"/>
                    <w:left w:val="none" w:sz="0" w:space="0" w:color="auto"/>
                    <w:bottom w:val="none" w:sz="0" w:space="0" w:color="auto"/>
                    <w:right w:val="none" w:sz="0" w:space="0" w:color="auto"/>
                  </w:divBdr>
                  <w:divsChild>
                    <w:div w:id="1831870473">
                      <w:marLeft w:val="0"/>
                      <w:marRight w:val="0"/>
                      <w:marTop w:val="0"/>
                      <w:marBottom w:val="0"/>
                      <w:divBdr>
                        <w:top w:val="none" w:sz="0" w:space="0" w:color="auto"/>
                        <w:left w:val="none" w:sz="0" w:space="0" w:color="auto"/>
                        <w:bottom w:val="none" w:sz="0" w:space="0" w:color="auto"/>
                        <w:right w:val="none" w:sz="0" w:space="0" w:color="auto"/>
                      </w:divBdr>
                      <w:divsChild>
                        <w:div w:id="1218125856">
                          <w:marLeft w:val="0"/>
                          <w:marRight w:val="0"/>
                          <w:marTop w:val="0"/>
                          <w:marBottom w:val="0"/>
                          <w:divBdr>
                            <w:top w:val="none" w:sz="0" w:space="0" w:color="auto"/>
                            <w:left w:val="none" w:sz="0" w:space="0" w:color="auto"/>
                            <w:bottom w:val="none" w:sz="0" w:space="0" w:color="auto"/>
                            <w:right w:val="none" w:sz="0" w:space="0" w:color="auto"/>
                          </w:divBdr>
                          <w:divsChild>
                            <w:div w:id="8660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53205">
      <w:bodyDiv w:val="1"/>
      <w:marLeft w:val="0"/>
      <w:marRight w:val="0"/>
      <w:marTop w:val="0"/>
      <w:marBottom w:val="0"/>
      <w:divBdr>
        <w:top w:val="none" w:sz="0" w:space="0" w:color="auto"/>
        <w:left w:val="none" w:sz="0" w:space="0" w:color="auto"/>
        <w:bottom w:val="none" w:sz="0" w:space="0" w:color="auto"/>
        <w:right w:val="none" w:sz="0" w:space="0" w:color="auto"/>
      </w:divBdr>
      <w:divsChild>
        <w:div w:id="1992371490">
          <w:marLeft w:val="0"/>
          <w:marRight w:val="0"/>
          <w:marTop w:val="0"/>
          <w:marBottom w:val="0"/>
          <w:divBdr>
            <w:top w:val="none" w:sz="0" w:space="0" w:color="auto"/>
            <w:left w:val="none" w:sz="0" w:space="0" w:color="auto"/>
            <w:bottom w:val="none" w:sz="0" w:space="0" w:color="auto"/>
            <w:right w:val="none" w:sz="0" w:space="0" w:color="auto"/>
          </w:divBdr>
          <w:divsChild>
            <w:div w:id="554198927">
              <w:marLeft w:val="-225"/>
              <w:marRight w:val="-225"/>
              <w:marTop w:val="0"/>
              <w:marBottom w:val="0"/>
              <w:divBdr>
                <w:top w:val="none" w:sz="0" w:space="0" w:color="auto"/>
                <w:left w:val="none" w:sz="0" w:space="0" w:color="auto"/>
                <w:bottom w:val="none" w:sz="0" w:space="0" w:color="auto"/>
                <w:right w:val="none" w:sz="0" w:space="0" w:color="auto"/>
              </w:divBdr>
              <w:divsChild>
                <w:div w:id="2115706192">
                  <w:marLeft w:val="0"/>
                  <w:marRight w:val="0"/>
                  <w:marTop w:val="0"/>
                  <w:marBottom w:val="0"/>
                  <w:divBdr>
                    <w:top w:val="none" w:sz="0" w:space="0" w:color="auto"/>
                    <w:left w:val="none" w:sz="0" w:space="0" w:color="auto"/>
                    <w:bottom w:val="none" w:sz="0" w:space="0" w:color="auto"/>
                    <w:right w:val="none" w:sz="0" w:space="0" w:color="auto"/>
                  </w:divBdr>
                  <w:divsChild>
                    <w:div w:id="2037003327">
                      <w:marLeft w:val="0"/>
                      <w:marRight w:val="0"/>
                      <w:marTop w:val="0"/>
                      <w:marBottom w:val="0"/>
                      <w:divBdr>
                        <w:top w:val="none" w:sz="0" w:space="0" w:color="auto"/>
                        <w:left w:val="none" w:sz="0" w:space="0" w:color="auto"/>
                        <w:bottom w:val="none" w:sz="0" w:space="0" w:color="auto"/>
                        <w:right w:val="none" w:sz="0" w:space="0" w:color="auto"/>
                      </w:divBdr>
                      <w:divsChild>
                        <w:div w:id="1883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32330">
      <w:bodyDiv w:val="1"/>
      <w:marLeft w:val="0"/>
      <w:marRight w:val="0"/>
      <w:marTop w:val="0"/>
      <w:marBottom w:val="0"/>
      <w:divBdr>
        <w:top w:val="none" w:sz="0" w:space="0" w:color="auto"/>
        <w:left w:val="none" w:sz="0" w:space="0" w:color="auto"/>
        <w:bottom w:val="none" w:sz="0" w:space="0" w:color="auto"/>
        <w:right w:val="none" w:sz="0" w:space="0" w:color="auto"/>
      </w:divBdr>
    </w:div>
    <w:div w:id="366687540">
      <w:bodyDiv w:val="1"/>
      <w:marLeft w:val="0"/>
      <w:marRight w:val="0"/>
      <w:marTop w:val="0"/>
      <w:marBottom w:val="0"/>
      <w:divBdr>
        <w:top w:val="none" w:sz="0" w:space="0" w:color="auto"/>
        <w:left w:val="none" w:sz="0" w:space="0" w:color="auto"/>
        <w:bottom w:val="none" w:sz="0" w:space="0" w:color="auto"/>
        <w:right w:val="none" w:sz="0" w:space="0" w:color="auto"/>
      </w:divBdr>
      <w:divsChild>
        <w:div w:id="720982155">
          <w:marLeft w:val="0"/>
          <w:marRight w:val="0"/>
          <w:marTop w:val="0"/>
          <w:marBottom w:val="0"/>
          <w:divBdr>
            <w:top w:val="none" w:sz="0" w:space="0" w:color="auto"/>
            <w:left w:val="none" w:sz="0" w:space="0" w:color="auto"/>
            <w:bottom w:val="none" w:sz="0" w:space="0" w:color="auto"/>
            <w:right w:val="none" w:sz="0" w:space="0" w:color="auto"/>
          </w:divBdr>
          <w:divsChild>
            <w:div w:id="2050373210">
              <w:marLeft w:val="0"/>
              <w:marRight w:val="0"/>
              <w:marTop w:val="0"/>
              <w:marBottom w:val="0"/>
              <w:divBdr>
                <w:top w:val="none" w:sz="0" w:space="0" w:color="auto"/>
                <w:left w:val="none" w:sz="0" w:space="0" w:color="auto"/>
                <w:bottom w:val="none" w:sz="0" w:space="0" w:color="auto"/>
                <w:right w:val="none" w:sz="0" w:space="0" w:color="auto"/>
              </w:divBdr>
              <w:divsChild>
                <w:div w:id="620459396">
                  <w:marLeft w:val="0"/>
                  <w:marRight w:val="0"/>
                  <w:marTop w:val="0"/>
                  <w:marBottom w:val="0"/>
                  <w:divBdr>
                    <w:top w:val="none" w:sz="0" w:space="0" w:color="auto"/>
                    <w:left w:val="none" w:sz="0" w:space="0" w:color="auto"/>
                    <w:bottom w:val="none" w:sz="0" w:space="0" w:color="auto"/>
                    <w:right w:val="none" w:sz="0" w:space="0" w:color="auto"/>
                  </w:divBdr>
                  <w:divsChild>
                    <w:div w:id="1366323429">
                      <w:marLeft w:val="0"/>
                      <w:marRight w:val="0"/>
                      <w:marTop w:val="0"/>
                      <w:marBottom w:val="0"/>
                      <w:divBdr>
                        <w:top w:val="none" w:sz="0" w:space="0" w:color="auto"/>
                        <w:left w:val="none" w:sz="0" w:space="0" w:color="auto"/>
                        <w:bottom w:val="none" w:sz="0" w:space="0" w:color="auto"/>
                        <w:right w:val="none" w:sz="0" w:space="0" w:color="auto"/>
                      </w:divBdr>
                      <w:divsChild>
                        <w:div w:id="457064985">
                          <w:marLeft w:val="0"/>
                          <w:marRight w:val="0"/>
                          <w:marTop w:val="0"/>
                          <w:marBottom w:val="0"/>
                          <w:divBdr>
                            <w:top w:val="none" w:sz="0" w:space="0" w:color="auto"/>
                            <w:left w:val="none" w:sz="0" w:space="0" w:color="auto"/>
                            <w:bottom w:val="none" w:sz="0" w:space="0" w:color="auto"/>
                            <w:right w:val="none" w:sz="0" w:space="0" w:color="auto"/>
                          </w:divBdr>
                          <w:divsChild>
                            <w:div w:id="6213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959237">
      <w:bodyDiv w:val="1"/>
      <w:marLeft w:val="0"/>
      <w:marRight w:val="0"/>
      <w:marTop w:val="0"/>
      <w:marBottom w:val="0"/>
      <w:divBdr>
        <w:top w:val="none" w:sz="0" w:space="0" w:color="auto"/>
        <w:left w:val="none" w:sz="0" w:space="0" w:color="auto"/>
        <w:bottom w:val="none" w:sz="0" w:space="0" w:color="auto"/>
        <w:right w:val="none" w:sz="0" w:space="0" w:color="auto"/>
      </w:divBdr>
      <w:divsChild>
        <w:div w:id="1935429465">
          <w:marLeft w:val="0"/>
          <w:marRight w:val="0"/>
          <w:marTop w:val="0"/>
          <w:marBottom w:val="0"/>
          <w:divBdr>
            <w:top w:val="none" w:sz="0" w:space="0" w:color="auto"/>
            <w:left w:val="none" w:sz="0" w:space="0" w:color="auto"/>
            <w:bottom w:val="none" w:sz="0" w:space="0" w:color="auto"/>
            <w:right w:val="none" w:sz="0" w:space="0" w:color="auto"/>
          </w:divBdr>
          <w:divsChild>
            <w:div w:id="180828304">
              <w:marLeft w:val="0"/>
              <w:marRight w:val="0"/>
              <w:marTop w:val="0"/>
              <w:marBottom w:val="0"/>
              <w:divBdr>
                <w:top w:val="none" w:sz="0" w:space="0" w:color="auto"/>
                <w:left w:val="none" w:sz="0" w:space="0" w:color="auto"/>
                <w:bottom w:val="none" w:sz="0" w:space="0" w:color="auto"/>
                <w:right w:val="none" w:sz="0" w:space="0" w:color="auto"/>
              </w:divBdr>
              <w:divsChild>
                <w:div w:id="1723091510">
                  <w:marLeft w:val="0"/>
                  <w:marRight w:val="0"/>
                  <w:marTop w:val="0"/>
                  <w:marBottom w:val="0"/>
                  <w:divBdr>
                    <w:top w:val="none" w:sz="0" w:space="0" w:color="auto"/>
                    <w:left w:val="none" w:sz="0" w:space="0" w:color="auto"/>
                    <w:bottom w:val="none" w:sz="0" w:space="0" w:color="auto"/>
                    <w:right w:val="none" w:sz="0" w:space="0" w:color="auto"/>
                  </w:divBdr>
                  <w:divsChild>
                    <w:div w:id="120805158">
                      <w:marLeft w:val="0"/>
                      <w:marRight w:val="0"/>
                      <w:marTop w:val="0"/>
                      <w:marBottom w:val="0"/>
                      <w:divBdr>
                        <w:top w:val="none" w:sz="0" w:space="0" w:color="auto"/>
                        <w:left w:val="none" w:sz="0" w:space="0" w:color="auto"/>
                        <w:bottom w:val="none" w:sz="0" w:space="0" w:color="auto"/>
                        <w:right w:val="none" w:sz="0" w:space="0" w:color="auto"/>
                      </w:divBdr>
                      <w:divsChild>
                        <w:div w:id="160437823">
                          <w:marLeft w:val="0"/>
                          <w:marRight w:val="0"/>
                          <w:marTop w:val="0"/>
                          <w:marBottom w:val="0"/>
                          <w:divBdr>
                            <w:top w:val="none" w:sz="0" w:space="0" w:color="auto"/>
                            <w:left w:val="none" w:sz="0" w:space="0" w:color="auto"/>
                            <w:bottom w:val="none" w:sz="0" w:space="0" w:color="auto"/>
                            <w:right w:val="none" w:sz="0" w:space="0" w:color="auto"/>
                          </w:divBdr>
                          <w:divsChild>
                            <w:div w:id="19419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683263">
      <w:bodyDiv w:val="1"/>
      <w:marLeft w:val="0"/>
      <w:marRight w:val="0"/>
      <w:marTop w:val="0"/>
      <w:marBottom w:val="0"/>
      <w:divBdr>
        <w:top w:val="none" w:sz="0" w:space="0" w:color="auto"/>
        <w:left w:val="none" w:sz="0" w:space="0" w:color="auto"/>
        <w:bottom w:val="none" w:sz="0" w:space="0" w:color="auto"/>
        <w:right w:val="none" w:sz="0" w:space="0" w:color="auto"/>
      </w:divBdr>
      <w:divsChild>
        <w:div w:id="1418862218">
          <w:marLeft w:val="0"/>
          <w:marRight w:val="0"/>
          <w:marTop w:val="0"/>
          <w:marBottom w:val="0"/>
          <w:divBdr>
            <w:top w:val="none" w:sz="0" w:space="0" w:color="auto"/>
            <w:left w:val="none" w:sz="0" w:space="0" w:color="auto"/>
            <w:bottom w:val="none" w:sz="0" w:space="0" w:color="auto"/>
            <w:right w:val="none" w:sz="0" w:space="0" w:color="auto"/>
          </w:divBdr>
          <w:divsChild>
            <w:div w:id="1865560847">
              <w:marLeft w:val="0"/>
              <w:marRight w:val="0"/>
              <w:marTop w:val="0"/>
              <w:marBottom w:val="0"/>
              <w:divBdr>
                <w:top w:val="none" w:sz="0" w:space="0" w:color="auto"/>
                <w:left w:val="none" w:sz="0" w:space="0" w:color="auto"/>
                <w:bottom w:val="none" w:sz="0" w:space="0" w:color="auto"/>
                <w:right w:val="none" w:sz="0" w:space="0" w:color="auto"/>
              </w:divBdr>
              <w:divsChild>
                <w:div w:id="1189831640">
                  <w:marLeft w:val="0"/>
                  <w:marRight w:val="0"/>
                  <w:marTop w:val="0"/>
                  <w:marBottom w:val="0"/>
                  <w:divBdr>
                    <w:top w:val="none" w:sz="0" w:space="0" w:color="auto"/>
                    <w:left w:val="none" w:sz="0" w:space="0" w:color="auto"/>
                    <w:bottom w:val="none" w:sz="0" w:space="0" w:color="auto"/>
                    <w:right w:val="none" w:sz="0" w:space="0" w:color="auto"/>
                  </w:divBdr>
                  <w:divsChild>
                    <w:div w:id="261455482">
                      <w:marLeft w:val="0"/>
                      <w:marRight w:val="0"/>
                      <w:marTop w:val="0"/>
                      <w:marBottom w:val="0"/>
                      <w:divBdr>
                        <w:top w:val="none" w:sz="0" w:space="0" w:color="auto"/>
                        <w:left w:val="none" w:sz="0" w:space="0" w:color="auto"/>
                        <w:bottom w:val="none" w:sz="0" w:space="0" w:color="auto"/>
                        <w:right w:val="none" w:sz="0" w:space="0" w:color="auto"/>
                      </w:divBdr>
                      <w:divsChild>
                        <w:div w:id="1354921622">
                          <w:marLeft w:val="0"/>
                          <w:marRight w:val="0"/>
                          <w:marTop w:val="0"/>
                          <w:marBottom w:val="0"/>
                          <w:divBdr>
                            <w:top w:val="none" w:sz="0" w:space="0" w:color="auto"/>
                            <w:left w:val="none" w:sz="0" w:space="0" w:color="auto"/>
                            <w:bottom w:val="none" w:sz="0" w:space="0" w:color="auto"/>
                            <w:right w:val="none" w:sz="0" w:space="0" w:color="auto"/>
                          </w:divBdr>
                          <w:divsChild>
                            <w:div w:id="15823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784991">
      <w:bodyDiv w:val="1"/>
      <w:marLeft w:val="0"/>
      <w:marRight w:val="0"/>
      <w:marTop w:val="0"/>
      <w:marBottom w:val="0"/>
      <w:divBdr>
        <w:top w:val="none" w:sz="0" w:space="0" w:color="auto"/>
        <w:left w:val="none" w:sz="0" w:space="0" w:color="auto"/>
        <w:bottom w:val="none" w:sz="0" w:space="0" w:color="auto"/>
        <w:right w:val="none" w:sz="0" w:space="0" w:color="auto"/>
      </w:divBdr>
      <w:divsChild>
        <w:div w:id="1232737933">
          <w:marLeft w:val="0"/>
          <w:marRight w:val="0"/>
          <w:marTop w:val="0"/>
          <w:marBottom w:val="0"/>
          <w:divBdr>
            <w:top w:val="none" w:sz="0" w:space="0" w:color="auto"/>
            <w:left w:val="none" w:sz="0" w:space="0" w:color="auto"/>
            <w:bottom w:val="none" w:sz="0" w:space="0" w:color="auto"/>
            <w:right w:val="none" w:sz="0" w:space="0" w:color="auto"/>
          </w:divBdr>
          <w:divsChild>
            <w:div w:id="1870794658">
              <w:marLeft w:val="0"/>
              <w:marRight w:val="0"/>
              <w:marTop w:val="0"/>
              <w:marBottom w:val="0"/>
              <w:divBdr>
                <w:top w:val="none" w:sz="0" w:space="0" w:color="auto"/>
                <w:left w:val="none" w:sz="0" w:space="0" w:color="auto"/>
                <w:bottom w:val="none" w:sz="0" w:space="0" w:color="auto"/>
                <w:right w:val="none" w:sz="0" w:space="0" w:color="auto"/>
              </w:divBdr>
              <w:divsChild>
                <w:div w:id="1817987126">
                  <w:marLeft w:val="0"/>
                  <w:marRight w:val="0"/>
                  <w:marTop w:val="0"/>
                  <w:marBottom w:val="0"/>
                  <w:divBdr>
                    <w:top w:val="none" w:sz="0" w:space="0" w:color="auto"/>
                    <w:left w:val="none" w:sz="0" w:space="0" w:color="auto"/>
                    <w:bottom w:val="none" w:sz="0" w:space="0" w:color="auto"/>
                    <w:right w:val="none" w:sz="0" w:space="0" w:color="auto"/>
                  </w:divBdr>
                  <w:divsChild>
                    <w:div w:id="1455902541">
                      <w:marLeft w:val="0"/>
                      <w:marRight w:val="0"/>
                      <w:marTop w:val="0"/>
                      <w:marBottom w:val="0"/>
                      <w:divBdr>
                        <w:top w:val="none" w:sz="0" w:space="0" w:color="auto"/>
                        <w:left w:val="none" w:sz="0" w:space="0" w:color="auto"/>
                        <w:bottom w:val="none" w:sz="0" w:space="0" w:color="auto"/>
                        <w:right w:val="none" w:sz="0" w:space="0" w:color="auto"/>
                      </w:divBdr>
                      <w:divsChild>
                        <w:div w:id="2028215000">
                          <w:marLeft w:val="0"/>
                          <w:marRight w:val="0"/>
                          <w:marTop w:val="0"/>
                          <w:marBottom w:val="0"/>
                          <w:divBdr>
                            <w:top w:val="none" w:sz="0" w:space="0" w:color="auto"/>
                            <w:left w:val="none" w:sz="0" w:space="0" w:color="auto"/>
                            <w:bottom w:val="none" w:sz="0" w:space="0" w:color="auto"/>
                            <w:right w:val="none" w:sz="0" w:space="0" w:color="auto"/>
                          </w:divBdr>
                          <w:divsChild>
                            <w:div w:id="39108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88705380">
      <w:bodyDiv w:val="1"/>
      <w:marLeft w:val="0"/>
      <w:marRight w:val="0"/>
      <w:marTop w:val="0"/>
      <w:marBottom w:val="0"/>
      <w:divBdr>
        <w:top w:val="none" w:sz="0" w:space="0" w:color="auto"/>
        <w:left w:val="none" w:sz="0" w:space="0" w:color="auto"/>
        <w:bottom w:val="none" w:sz="0" w:space="0" w:color="auto"/>
        <w:right w:val="none" w:sz="0" w:space="0" w:color="auto"/>
      </w:divBdr>
      <w:divsChild>
        <w:div w:id="782458775">
          <w:marLeft w:val="0"/>
          <w:marRight w:val="0"/>
          <w:marTop w:val="0"/>
          <w:marBottom w:val="0"/>
          <w:divBdr>
            <w:top w:val="none" w:sz="0" w:space="0" w:color="auto"/>
            <w:left w:val="none" w:sz="0" w:space="0" w:color="auto"/>
            <w:bottom w:val="none" w:sz="0" w:space="0" w:color="auto"/>
            <w:right w:val="none" w:sz="0" w:space="0" w:color="auto"/>
          </w:divBdr>
          <w:divsChild>
            <w:div w:id="717820870">
              <w:marLeft w:val="0"/>
              <w:marRight w:val="0"/>
              <w:marTop w:val="0"/>
              <w:marBottom w:val="0"/>
              <w:divBdr>
                <w:top w:val="none" w:sz="0" w:space="0" w:color="auto"/>
                <w:left w:val="none" w:sz="0" w:space="0" w:color="auto"/>
                <w:bottom w:val="none" w:sz="0" w:space="0" w:color="auto"/>
                <w:right w:val="none" w:sz="0" w:space="0" w:color="auto"/>
              </w:divBdr>
              <w:divsChild>
                <w:div w:id="1562793521">
                  <w:marLeft w:val="0"/>
                  <w:marRight w:val="0"/>
                  <w:marTop w:val="0"/>
                  <w:marBottom w:val="0"/>
                  <w:divBdr>
                    <w:top w:val="none" w:sz="0" w:space="0" w:color="auto"/>
                    <w:left w:val="none" w:sz="0" w:space="0" w:color="auto"/>
                    <w:bottom w:val="none" w:sz="0" w:space="0" w:color="auto"/>
                    <w:right w:val="none" w:sz="0" w:space="0" w:color="auto"/>
                  </w:divBdr>
                  <w:divsChild>
                    <w:div w:id="495920923">
                      <w:marLeft w:val="0"/>
                      <w:marRight w:val="0"/>
                      <w:marTop w:val="0"/>
                      <w:marBottom w:val="0"/>
                      <w:divBdr>
                        <w:top w:val="none" w:sz="0" w:space="0" w:color="auto"/>
                        <w:left w:val="none" w:sz="0" w:space="0" w:color="auto"/>
                        <w:bottom w:val="none" w:sz="0" w:space="0" w:color="auto"/>
                        <w:right w:val="none" w:sz="0" w:space="0" w:color="auto"/>
                      </w:divBdr>
                      <w:divsChild>
                        <w:div w:id="1554272452">
                          <w:marLeft w:val="0"/>
                          <w:marRight w:val="0"/>
                          <w:marTop w:val="0"/>
                          <w:marBottom w:val="0"/>
                          <w:divBdr>
                            <w:top w:val="none" w:sz="0" w:space="0" w:color="auto"/>
                            <w:left w:val="none" w:sz="0" w:space="0" w:color="auto"/>
                            <w:bottom w:val="none" w:sz="0" w:space="0" w:color="auto"/>
                            <w:right w:val="none" w:sz="0" w:space="0" w:color="auto"/>
                          </w:divBdr>
                          <w:divsChild>
                            <w:div w:id="713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408781">
      <w:bodyDiv w:val="1"/>
      <w:marLeft w:val="0"/>
      <w:marRight w:val="0"/>
      <w:marTop w:val="0"/>
      <w:marBottom w:val="0"/>
      <w:divBdr>
        <w:top w:val="none" w:sz="0" w:space="0" w:color="auto"/>
        <w:left w:val="none" w:sz="0" w:space="0" w:color="auto"/>
        <w:bottom w:val="none" w:sz="0" w:space="0" w:color="auto"/>
        <w:right w:val="none" w:sz="0" w:space="0" w:color="auto"/>
      </w:divBdr>
      <w:divsChild>
        <w:div w:id="236591938">
          <w:marLeft w:val="0"/>
          <w:marRight w:val="0"/>
          <w:marTop w:val="0"/>
          <w:marBottom w:val="0"/>
          <w:divBdr>
            <w:top w:val="none" w:sz="0" w:space="0" w:color="auto"/>
            <w:left w:val="none" w:sz="0" w:space="0" w:color="auto"/>
            <w:bottom w:val="none" w:sz="0" w:space="0" w:color="auto"/>
            <w:right w:val="none" w:sz="0" w:space="0" w:color="auto"/>
          </w:divBdr>
          <w:divsChild>
            <w:div w:id="2129736971">
              <w:marLeft w:val="0"/>
              <w:marRight w:val="0"/>
              <w:marTop w:val="0"/>
              <w:marBottom w:val="0"/>
              <w:divBdr>
                <w:top w:val="none" w:sz="0" w:space="0" w:color="auto"/>
                <w:left w:val="none" w:sz="0" w:space="0" w:color="auto"/>
                <w:bottom w:val="none" w:sz="0" w:space="0" w:color="auto"/>
                <w:right w:val="none" w:sz="0" w:space="0" w:color="auto"/>
              </w:divBdr>
              <w:divsChild>
                <w:div w:id="1699306666">
                  <w:marLeft w:val="0"/>
                  <w:marRight w:val="0"/>
                  <w:marTop w:val="0"/>
                  <w:marBottom w:val="0"/>
                  <w:divBdr>
                    <w:top w:val="none" w:sz="0" w:space="0" w:color="auto"/>
                    <w:left w:val="none" w:sz="0" w:space="0" w:color="auto"/>
                    <w:bottom w:val="none" w:sz="0" w:space="0" w:color="auto"/>
                    <w:right w:val="none" w:sz="0" w:space="0" w:color="auto"/>
                  </w:divBdr>
                  <w:divsChild>
                    <w:div w:id="525799691">
                      <w:marLeft w:val="0"/>
                      <w:marRight w:val="0"/>
                      <w:marTop w:val="0"/>
                      <w:marBottom w:val="0"/>
                      <w:divBdr>
                        <w:top w:val="none" w:sz="0" w:space="0" w:color="auto"/>
                        <w:left w:val="none" w:sz="0" w:space="0" w:color="auto"/>
                        <w:bottom w:val="none" w:sz="0" w:space="0" w:color="auto"/>
                        <w:right w:val="none" w:sz="0" w:space="0" w:color="auto"/>
                      </w:divBdr>
                      <w:divsChild>
                        <w:div w:id="395129427">
                          <w:marLeft w:val="0"/>
                          <w:marRight w:val="0"/>
                          <w:marTop w:val="0"/>
                          <w:marBottom w:val="0"/>
                          <w:divBdr>
                            <w:top w:val="none" w:sz="0" w:space="0" w:color="auto"/>
                            <w:left w:val="none" w:sz="0" w:space="0" w:color="auto"/>
                            <w:bottom w:val="none" w:sz="0" w:space="0" w:color="auto"/>
                            <w:right w:val="none" w:sz="0" w:space="0" w:color="auto"/>
                          </w:divBdr>
                          <w:divsChild>
                            <w:div w:id="203584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821002">
      <w:bodyDiv w:val="1"/>
      <w:marLeft w:val="0"/>
      <w:marRight w:val="0"/>
      <w:marTop w:val="0"/>
      <w:marBottom w:val="0"/>
      <w:divBdr>
        <w:top w:val="none" w:sz="0" w:space="0" w:color="auto"/>
        <w:left w:val="none" w:sz="0" w:space="0" w:color="auto"/>
        <w:bottom w:val="none" w:sz="0" w:space="0" w:color="auto"/>
        <w:right w:val="none" w:sz="0" w:space="0" w:color="auto"/>
      </w:divBdr>
      <w:divsChild>
        <w:div w:id="2022051316">
          <w:marLeft w:val="0"/>
          <w:marRight w:val="0"/>
          <w:marTop w:val="0"/>
          <w:marBottom w:val="0"/>
          <w:divBdr>
            <w:top w:val="none" w:sz="0" w:space="0" w:color="auto"/>
            <w:left w:val="none" w:sz="0" w:space="0" w:color="auto"/>
            <w:bottom w:val="none" w:sz="0" w:space="0" w:color="auto"/>
            <w:right w:val="none" w:sz="0" w:space="0" w:color="auto"/>
          </w:divBdr>
          <w:divsChild>
            <w:div w:id="2059744536">
              <w:marLeft w:val="-225"/>
              <w:marRight w:val="-225"/>
              <w:marTop w:val="0"/>
              <w:marBottom w:val="0"/>
              <w:divBdr>
                <w:top w:val="none" w:sz="0" w:space="0" w:color="auto"/>
                <w:left w:val="none" w:sz="0" w:space="0" w:color="auto"/>
                <w:bottom w:val="none" w:sz="0" w:space="0" w:color="auto"/>
                <w:right w:val="none" w:sz="0" w:space="0" w:color="auto"/>
              </w:divBdr>
              <w:divsChild>
                <w:div w:id="63063532">
                  <w:marLeft w:val="0"/>
                  <w:marRight w:val="0"/>
                  <w:marTop w:val="0"/>
                  <w:marBottom w:val="0"/>
                  <w:divBdr>
                    <w:top w:val="none" w:sz="0" w:space="0" w:color="auto"/>
                    <w:left w:val="none" w:sz="0" w:space="0" w:color="auto"/>
                    <w:bottom w:val="none" w:sz="0" w:space="0" w:color="auto"/>
                    <w:right w:val="none" w:sz="0" w:space="0" w:color="auto"/>
                  </w:divBdr>
                  <w:divsChild>
                    <w:div w:id="1258638745">
                      <w:marLeft w:val="0"/>
                      <w:marRight w:val="0"/>
                      <w:marTop w:val="0"/>
                      <w:marBottom w:val="0"/>
                      <w:divBdr>
                        <w:top w:val="none" w:sz="0" w:space="0" w:color="auto"/>
                        <w:left w:val="none" w:sz="0" w:space="0" w:color="auto"/>
                        <w:bottom w:val="none" w:sz="0" w:space="0" w:color="auto"/>
                        <w:right w:val="none" w:sz="0" w:space="0" w:color="auto"/>
                      </w:divBdr>
                      <w:divsChild>
                        <w:div w:id="2092195084">
                          <w:marLeft w:val="0"/>
                          <w:marRight w:val="0"/>
                          <w:marTop w:val="0"/>
                          <w:marBottom w:val="0"/>
                          <w:divBdr>
                            <w:top w:val="none" w:sz="0" w:space="0" w:color="auto"/>
                            <w:left w:val="none" w:sz="0" w:space="0" w:color="auto"/>
                            <w:bottom w:val="none" w:sz="0" w:space="0" w:color="auto"/>
                            <w:right w:val="none" w:sz="0" w:space="0" w:color="auto"/>
                          </w:divBdr>
                          <w:divsChild>
                            <w:div w:id="205533991">
                              <w:marLeft w:val="0"/>
                              <w:marRight w:val="0"/>
                              <w:marTop w:val="0"/>
                              <w:marBottom w:val="0"/>
                              <w:divBdr>
                                <w:top w:val="none" w:sz="0" w:space="0" w:color="auto"/>
                                <w:left w:val="none" w:sz="0" w:space="0" w:color="auto"/>
                                <w:bottom w:val="none" w:sz="0" w:space="0" w:color="auto"/>
                                <w:right w:val="none" w:sz="0" w:space="0" w:color="auto"/>
                              </w:divBdr>
                            </w:div>
                            <w:div w:id="56324940">
                              <w:marLeft w:val="0"/>
                              <w:marRight w:val="0"/>
                              <w:marTop w:val="0"/>
                              <w:marBottom w:val="0"/>
                              <w:divBdr>
                                <w:top w:val="none" w:sz="0" w:space="0" w:color="auto"/>
                                <w:left w:val="none" w:sz="0" w:space="0" w:color="auto"/>
                                <w:bottom w:val="none" w:sz="0" w:space="0" w:color="auto"/>
                                <w:right w:val="none" w:sz="0" w:space="0" w:color="auto"/>
                              </w:divBdr>
                            </w:div>
                            <w:div w:id="11054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442050">
      <w:bodyDiv w:val="1"/>
      <w:marLeft w:val="0"/>
      <w:marRight w:val="0"/>
      <w:marTop w:val="0"/>
      <w:marBottom w:val="0"/>
      <w:divBdr>
        <w:top w:val="none" w:sz="0" w:space="0" w:color="auto"/>
        <w:left w:val="none" w:sz="0" w:space="0" w:color="auto"/>
        <w:bottom w:val="none" w:sz="0" w:space="0" w:color="auto"/>
        <w:right w:val="none" w:sz="0" w:space="0" w:color="auto"/>
      </w:divBdr>
      <w:divsChild>
        <w:div w:id="1916669131">
          <w:marLeft w:val="0"/>
          <w:marRight w:val="0"/>
          <w:marTop w:val="0"/>
          <w:marBottom w:val="0"/>
          <w:divBdr>
            <w:top w:val="none" w:sz="0" w:space="0" w:color="auto"/>
            <w:left w:val="none" w:sz="0" w:space="0" w:color="auto"/>
            <w:bottom w:val="none" w:sz="0" w:space="0" w:color="auto"/>
            <w:right w:val="none" w:sz="0" w:space="0" w:color="auto"/>
          </w:divBdr>
          <w:divsChild>
            <w:div w:id="2048292745">
              <w:marLeft w:val="0"/>
              <w:marRight w:val="0"/>
              <w:marTop w:val="0"/>
              <w:marBottom w:val="0"/>
              <w:divBdr>
                <w:top w:val="none" w:sz="0" w:space="0" w:color="auto"/>
                <w:left w:val="none" w:sz="0" w:space="0" w:color="auto"/>
                <w:bottom w:val="none" w:sz="0" w:space="0" w:color="auto"/>
                <w:right w:val="none" w:sz="0" w:space="0" w:color="auto"/>
              </w:divBdr>
              <w:divsChild>
                <w:div w:id="1880167702">
                  <w:marLeft w:val="0"/>
                  <w:marRight w:val="0"/>
                  <w:marTop w:val="0"/>
                  <w:marBottom w:val="0"/>
                  <w:divBdr>
                    <w:top w:val="none" w:sz="0" w:space="0" w:color="auto"/>
                    <w:left w:val="none" w:sz="0" w:space="0" w:color="auto"/>
                    <w:bottom w:val="none" w:sz="0" w:space="0" w:color="auto"/>
                    <w:right w:val="none" w:sz="0" w:space="0" w:color="auto"/>
                  </w:divBdr>
                  <w:divsChild>
                    <w:div w:id="617876250">
                      <w:marLeft w:val="0"/>
                      <w:marRight w:val="0"/>
                      <w:marTop w:val="0"/>
                      <w:marBottom w:val="0"/>
                      <w:divBdr>
                        <w:top w:val="none" w:sz="0" w:space="0" w:color="auto"/>
                        <w:left w:val="none" w:sz="0" w:space="0" w:color="auto"/>
                        <w:bottom w:val="none" w:sz="0" w:space="0" w:color="auto"/>
                        <w:right w:val="none" w:sz="0" w:space="0" w:color="auto"/>
                      </w:divBdr>
                      <w:divsChild>
                        <w:div w:id="1103067532">
                          <w:marLeft w:val="0"/>
                          <w:marRight w:val="0"/>
                          <w:marTop w:val="0"/>
                          <w:marBottom w:val="0"/>
                          <w:divBdr>
                            <w:top w:val="none" w:sz="0" w:space="0" w:color="auto"/>
                            <w:left w:val="none" w:sz="0" w:space="0" w:color="auto"/>
                            <w:bottom w:val="none" w:sz="0" w:space="0" w:color="auto"/>
                            <w:right w:val="none" w:sz="0" w:space="0" w:color="auto"/>
                          </w:divBdr>
                          <w:divsChild>
                            <w:div w:id="172182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3244743">
      <w:bodyDiv w:val="1"/>
      <w:marLeft w:val="0"/>
      <w:marRight w:val="0"/>
      <w:marTop w:val="0"/>
      <w:marBottom w:val="0"/>
      <w:divBdr>
        <w:top w:val="none" w:sz="0" w:space="0" w:color="auto"/>
        <w:left w:val="none" w:sz="0" w:space="0" w:color="auto"/>
        <w:bottom w:val="none" w:sz="0" w:space="0" w:color="auto"/>
        <w:right w:val="none" w:sz="0" w:space="0" w:color="auto"/>
      </w:divBdr>
      <w:divsChild>
        <w:div w:id="769861984">
          <w:marLeft w:val="0"/>
          <w:marRight w:val="0"/>
          <w:marTop w:val="0"/>
          <w:marBottom w:val="0"/>
          <w:divBdr>
            <w:top w:val="none" w:sz="0" w:space="0" w:color="auto"/>
            <w:left w:val="none" w:sz="0" w:space="0" w:color="auto"/>
            <w:bottom w:val="none" w:sz="0" w:space="0" w:color="auto"/>
            <w:right w:val="none" w:sz="0" w:space="0" w:color="auto"/>
          </w:divBdr>
          <w:divsChild>
            <w:div w:id="1176111820">
              <w:marLeft w:val="0"/>
              <w:marRight w:val="0"/>
              <w:marTop w:val="0"/>
              <w:marBottom w:val="0"/>
              <w:divBdr>
                <w:top w:val="none" w:sz="0" w:space="0" w:color="auto"/>
                <w:left w:val="none" w:sz="0" w:space="0" w:color="auto"/>
                <w:bottom w:val="none" w:sz="0" w:space="0" w:color="auto"/>
                <w:right w:val="none" w:sz="0" w:space="0" w:color="auto"/>
              </w:divBdr>
              <w:divsChild>
                <w:div w:id="849758732">
                  <w:marLeft w:val="0"/>
                  <w:marRight w:val="0"/>
                  <w:marTop w:val="0"/>
                  <w:marBottom w:val="0"/>
                  <w:divBdr>
                    <w:top w:val="none" w:sz="0" w:space="0" w:color="auto"/>
                    <w:left w:val="none" w:sz="0" w:space="0" w:color="auto"/>
                    <w:bottom w:val="none" w:sz="0" w:space="0" w:color="auto"/>
                    <w:right w:val="none" w:sz="0" w:space="0" w:color="auto"/>
                  </w:divBdr>
                  <w:divsChild>
                    <w:div w:id="1233659738">
                      <w:marLeft w:val="0"/>
                      <w:marRight w:val="0"/>
                      <w:marTop w:val="0"/>
                      <w:marBottom w:val="0"/>
                      <w:divBdr>
                        <w:top w:val="none" w:sz="0" w:space="0" w:color="auto"/>
                        <w:left w:val="none" w:sz="0" w:space="0" w:color="auto"/>
                        <w:bottom w:val="none" w:sz="0" w:space="0" w:color="auto"/>
                        <w:right w:val="none" w:sz="0" w:space="0" w:color="auto"/>
                      </w:divBdr>
                      <w:divsChild>
                        <w:div w:id="1275793975">
                          <w:marLeft w:val="0"/>
                          <w:marRight w:val="0"/>
                          <w:marTop w:val="0"/>
                          <w:marBottom w:val="0"/>
                          <w:divBdr>
                            <w:top w:val="none" w:sz="0" w:space="0" w:color="auto"/>
                            <w:left w:val="none" w:sz="0" w:space="0" w:color="auto"/>
                            <w:bottom w:val="none" w:sz="0" w:space="0" w:color="auto"/>
                            <w:right w:val="none" w:sz="0" w:space="0" w:color="auto"/>
                          </w:divBdr>
                          <w:divsChild>
                            <w:div w:id="177802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111059">
      <w:bodyDiv w:val="1"/>
      <w:marLeft w:val="0"/>
      <w:marRight w:val="0"/>
      <w:marTop w:val="0"/>
      <w:marBottom w:val="0"/>
      <w:divBdr>
        <w:top w:val="none" w:sz="0" w:space="0" w:color="auto"/>
        <w:left w:val="none" w:sz="0" w:space="0" w:color="auto"/>
        <w:bottom w:val="none" w:sz="0" w:space="0" w:color="auto"/>
        <w:right w:val="none" w:sz="0" w:space="0" w:color="auto"/>
      </w:divBdr>
      <w:divsChild>
        <w:div w:id="38365774">
          <w:marLeft w:val="0"/>
          <w:marRight w:val="0"/>
          <w:marTop w:val="0"/>
          <w:marBottom w:val="0"/>
          <w:divBdr>
            <w:top w:val="none" w:sz="0" w:space="0" w:color="auto"/>
            <w:left w:val="none" w:sz="0" w:space="0" w:color="auto"/>
            <w:bottom w:val="none" w:sz="0" w:space="0" w:color="auto"/>
            <w:right w:val="none" w:sz="0" w:space="0" w:color="auto"/>
          </w:divBdr>
          <w:divsChild>
            <w:div w:id="1288045054">
              <w:marLeft w:val="0"/>
              <w:marRight w:val="0"/>
              <w:marTop w:val="0"/>
              <w:marBottom w:val="0"/>
              <w:divBdr>
                <w:top w:val="none" w:sz="0" w:space="0" w:color="auto"/>
                <w:left w:val="none" w:sz="0" w:space="0" w:color="auto"/>
                <w:bottom w:val="none" w:sz="0" w:space="0" w:color="auto"/>
                <w:right w:val="none" w:sz="0" w:space="0" w:color="auto"/>
              </w:divBdr>
              <w:divsChild>
                <w:div w:id="1678993120">
                  <w:marLeft w:val="0"/>
                  <w:marRight w:val="0"/>
                  <w:marTop w:val="0"/>
                  <w:marBottom w:val="0"/>
                  <w:divBdr>
                    <w:top w:val="none" w:sz="0" w:space="0" w:color="auto"/>
                    <w:left w:val="none" w:sz="0" w:space="0" w:color="auto"/>
                    <w:bottom w:val="none" w:sz="0" w:space="0" w:color="auto"/>
                    <w:right w:val="none" w:sz="0" w:space="0" w:color="auto"/>
                  </w:divBdr>
                  <w:divsChild>
                    <w:div w:id="1633294367">
                      <w:marLeft w:val="0"/>
                      <w:marRight w:val="0"/>
                      <w:marTop w:val="0"/>
                      <w:marBottom w:val="0"/>
                      <w:divBdr>
                        <w:top w:val="none" w:sz="0" w:space="0" w:color="auto"/>
                        <w:left w:val="none" w:sz="0" w:space="0" w:color="auto"/>
                        <w:bottom w:val="none" w:sz="0" w:space="0" w:color="auto"/>
                        <w:right w:val="none" w:sz="0" w:space="0" w:color="auto"/>
                      </w:divBdr>
                      <w:divsChild>
                        <w:div w:id="1743486724">
                          <w:marLeft w:val="0"/>
                          <w:marRight w:val="0"/>
                          <w:marTop w:val="0"/>
                          <w:marBottom w:val="0"/>
                          <w:divBdr>
                            <w:top w:val="none" w:sz="0" w:space="0" w:color="auto"/>
                            <w:left w:val="none" w:sz="0" w:space="0" w:color="auto"/>
                            <w:bottom w:val="none" w:sz="0" w:space="0" w:color="auto"/>
                            <w:right w:val="none" w:sz="0" w:space="0" w:color="auto"/>
                          </w:divBdr>
                          <w:divsChild>
                            <w:div w:id="7633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989569">
      <w:bodyDiv w:val="1"/>
      <w:marLeft w:val="0"/>
      <w:marRight w:val="0"/>
      <w:marTop w:val="0"/>
      <w:marBottom w:val="0"/>
      <w:divBdr>
        <w:top w:val="none" w:sz="0" w:space="0" w:color="auto"/>
        <w:left w:val="none" w:sz="0" w:space="0" w:color="auto"/>
        <w:bottom w:val="none" w:sz="0" w:space="0" w:color="auto"/>
        <w:right w:val="none" w:sz="0" w:space="0" w:color="auto"/>
      </w:divBdr>
      <w:divsChild>
        <w:div w:id="625084716">
          <w:marLeft w:val="0"/>
          <w:marRight w:val="0"/>
          <w:marTop w:val="0"/>
          <w:marBottom w:val="0"/>
          <w:divBdr>
            <w:top w:val="none" w:sz="0" w:space="0" w:color="auto"/>
            <w:left w:val="none" w:sz="0" w:space="0" w:color="auto"/>
            <w:bottom w:val="none" w:sz="0" w:space="0" w:color="auto"/>
            <w:right w:val="none" w:sz="0" w:space="0" w:color="auto"/>
          </w:divBdr>
          <w:divsChild>
            <w:div w:id="977608350">
              <w:marLeft w:val="-225"/>
              <w:marRight w:val="-225"/>
              <w:marTop w:val="0"/>
              <w:marBottom w:val="0"/>
              <w:divBdr>
                <w:top w:val="none" w:sz="0" w:space="0" w:color="auto"/>
                <w:left w:val="none" w:sz="0" w:space="0" w:color="auto"/>
                <w:bottom w:val="none" w:sz="0" w:space="0" w:color="auto"/>
                <w:right w:val="none" w:sz="0" w:space="0" w:color="auto"/>
              </w:divBdr>
              <w:divsChild>
                <w:div w:id="1905954">
                  <w:marLeft w:val="0"/>
                  <w:marRight w:val="0"/>
                  <w:marTop w:val="0"/>
                  <w:marBottom w:val="0"/>
                  <w:divBdr>
                    <w:top w:val="none" w:sz="0" w:space="0" w:color="auto"/>
                    <w:left w:val="none" w:sz="0" w:space="0" w:color="auto"/>
                    <w:bottom w:val="none" w:sz="0" w:space="0" w:color="auto"/>
                    <w:right w:val="none" w:sz="0" w:space="0" w:color="auto"/>
                  </w:divBdr>
                  <w:divsChild>
                    <w:div w:id="688488093">
                      <w:marLeft w:val="0"/>
                      <w:marRight w:val="0"/>
                      <w:marTop w:val="0"/>
                      <w:marBottom w:val="0"/>
                      <w:divBdr>
                        <w:top w:val="none" w:sz="0" w:space="0" w:color="auto"/>
                        <w:left w:val="none" w:sz="0" w:space="0" w:color="auto"/>
                        <w:bottom w:val="none" w:sz="0" w:space="0" w:color="auto"/>
                        <w:right w:val="none" w:sz="0" w:space="0" w:color="auto"/>
                      </w:divBdr>
                      <w:divsChild>
                        <w:div w:id="1599799434">
                          <w:marLeft w:val="0"/>
                          <w:marRight w:val="0"/>
                          <w:marTop w:val="0"/>
                          <w:marBottom w:val="0"/>
                          <w:divBdr>
                            <w:top w:val="none" w:sz="0" w:space="0" w:color="auto"/>
                            <w:left w:val="none" w:sz="0" w:space="0" w:color="auto"/>
                            <w:bottom w:val="none" w:sz="0" w:space="0" w:color="auto"/>
                            <w:right w:val="none" w:sz="0" w:space="0" w:color="auto"/>
                          </w:divBdr>
                          <w:divsChild>
                            <w:div w:id="4241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633461">
      <w:bodyDiv w:val="1"/>
      <w:marLeft w:val="0"/>
      <w:marRight w:val="0"/>
      <w:marTop w:val="0"/>
      <w:marBottom w:val="0"/>
      <w:divBdr>
        <w:top w:val="none" w:sz="0" w:space="0" w:color="auto"/>
        <w:left w:val="none" w:sz="0" w:space="0" w:color="auto"/>
        <w:bottom w:val="none" w:sz="0" w:space="0" w:color="auto"/>
        <w:right w:val="none" w:sz="0" w:space="0" w:color="auto"/>
      </w:divBdr>
      <w:divsChild>
        <w:div w:id="1973366290">
          <w:marLeft w:val="0"/>
          <w:marRight w:val="0"/>
          <w:marTop w:val="0"/>
          <w:marBottom w:val="0"/>
          <w:divBdr>
            <w:top w:val="none" w:sz="0" w:space="0" w:color="auto"/>
            <w:left w:val="none" w:sz="0" w:space="0" w:color="auto"/>
            <w:bottom w:val="none" w:sz="0" w:space="0" w:color="auto"/>
            <w:right w:val="none" w:sz="0" w:space="0" w:color="auto"/>
          </w:divBdr>
          <w:divsChild>
            <w:div w:id="892279506">
              <w:marLeft w:val="-225"/>
              <w:marRight w:val="-225"/>
              <w:marTop w:val="0"/>
              <w:marBottom w:val="0"/>
              <w:divBdr>
                <w:top w:val="none" w:sz="0" w:space="0" w:color="auto"/>
                <w:left w:val="none" w:sz="0" w:space="0" w:color="auto"/>
                <w:bottom w:val="none" w:sz="0" w:space="0" w:color="auto"/>
                <w:right w:val="none" w:sz="0" w:space="0" w:color="auto"/>
              </w:divBdr>
              <w:divsChild>
                <w:div w:id="909463866">
                  <w:marLeft w:val="0"/>
                  <w:marRight w:val="0"/>
                  <w:marTop w:val="0"/>
                  <w:marBottom w:val="0"/>
                  <w:divBdr>
                    <w:top w:val="none" w:sz="0" w:space="0" w:color="auto"/>
                    <w:left w:val="none" w:sz="0" w:space="0" w:color="auto"/>
                    <w:bottom w:val="none" w:sz="0" w:space="0" w:color="auto"/>
                    <w:right w:val="none" w:sz="0" w:space="0" w:color="auto"/>
                  </w:divBdr>
                  <w:divsChild>
                    <w:div w:id="1524633502">
                      <w:marLeft w:val="0"/>
                      <w:marRight w:val="0"/>
                      <w:marTop w:val="0"/>
                      <w:marBottom w:val="0"/>
                      <w:divBdr>
                        <w:top w:val="none" w:sz="0" w:space="0" w:color="auto"/>
                        <w:left w:val="none" w:sz="0" w:space="0" w:color="auto"/>
                        <w:bottom w:val="none" w:sz="0" w:space="0" w:color="auto"/>
                        <w:right w:val="none" w:sz="0" w:space="0" w:color="auto"/>
                      </w:divBdr>
                      <w:divsChild>
                        <w:div w:id="1954291036">
                          <w:marLeft w:val="0"/>
                          <w:marRight w:val="0"/>
                          <w:marTop w:val="0"/>
                          <w:marBottom w:val="0"/>
                          <w:divBdr>
                            <w:top w:val="none" w:sz="0" w:space="0" w:color="auto"/>
                            <w:left w:val="none" w:sz="0" w:space="0" w:color="auto"/>
                            <w:bottom w:val="none" w:sz="0" w:space="0" w:color="auto"/>
                            <w:right w:val="none" w:sz="0" w:space="0" w:color="auto"/>
                          </w:divBdr>
                          <w:divsChild>
                            <w:div w:id="49919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094292">
      <w:bodyDiv w:val="1"/>
      <w:marLeft w:val="0"/>
      <w:marRight w:val="0"/>
      <w:marTop w:val="0"/>
      <w:marBottom w:val="0"/>
      <w:divBdr>
        <w:top w:val="none" w:sz="0" w:space="0" w:color="auto"/>
        <w:left w:val="none" w:sz="0" w:space="0" w:color="auto"/>
        <w:bottom w:val="none" w:sz="0" w:space="0" w:color="auto"/>
        <w:right w:val="none" w:sz="0" w:space="0" w:color="auto"/>
      </w:divBdr>
      <w:divsChild>
        <w:div w:id="1813671326">
          <w:marLeft w:val="0"/>
          <w:marRight w:val="0"/>
          <w:marTop w:val="0"/>
          <w:marBottom w:val="0"/>
          <w:divBdr>
            <w:top w:val="none" w:sz="0" w:space="0" w:color="auto"/>
            <w:left w:val="none" w:sz="0" w:space="0" w:color="auto"/>
            <w:bottom w:val="none" w:sz="0" w:space="0" w:color="auto"/>
            <w:right w:val="none" w:sz="0" w:space="0" w:color="auto"/>
          </w:divBdr>
          <w:divsChild>
            <w:div w:id="526405223">
              <w:marLeft w:val="0"/>
              <w:marRight w:val="0"/>
              <w:marTop w:val="0"/>
              <w:marBottom w:val="0"/>
              <w:divBdr>
                <w:top w:val="none" w:sz="0" w:space="0" w:color="auto"/>
                <w:left w:val="none" w:sz="0" w:space="0" w:color="auto"/>
                <w:bottom w:val="none" w:sz="0" w:space="0" w:color="auto"/>
                <w:right w:val="none" w:sz="0" w:space="0" w:color="auto"/>
              </w:divBdr>
              <w:divsChild>
                <w:div w:id="1854999807">
                  <w:marLeft w:val="0"/>
                  <w:marRight w:val="0"/>
                  <w:marTop w:val="0"/>
                  <w:marBottom w:val="0"/>
                  <w:divBdr>
                    <w:top w:val="none" w:sz="0" w:space="0" w:color="auto"/>
                    <w:left w:val="none" w:sz="0" w:space="0" w:color="auto"/>
                    <w:bottom w:val="none" w:sz="0" w:space="0" w:color="auto"/>
                    <w:right w:val="none" w:sz="0" w:space="0" w:color="auto"/>
                  </w:divBdr>
                  <w:divsChild>
                    <w:div w:id="537819277">
                      <w:marLeft w:val="0"/>
                      <w:marRight w:val="0"/>
                      <w:marTop w:val="0"/>
                      <w:marBottom w:val="0"/>
                      <w:divBdr>
                        <w:top w:val="none" w:sz="0" w:space="0" w:color="auto"/>
                        <w:left w:val="none" w:sz="0" w:space="0" w:color="auto"/>
                        <w:bottom w:val="none" w:sz="0" w:space="0" w:color="auto"/>
                        <w:right w:val="none" w:sz="0" w:space="0" w:color="auto"/>
                      </w:divBdr>
                      <w:divsChild>
                        <w:div w:id="1404109711">
                          <w:marLeft w:val="0"/>
                          <w:marRight w:val="0"/>
                          <w:marTop w:val="0"/>
                          <w:marBottom w:val="0"/>
                          <w:divBdr>
                            <w:top w:val="none" w:sz="0" w:space="0" w:color="auto"/>
                            <w:left w:val="none" w:sz="0" w:space="0" w:color="auto"/>
                            <w:bottom w:val="none" w:sz="0" w:space="0" w:color="auto"/>
                            <w:right w:val="none" w:sz="0" w:space="0" w:color="auto"/>
                          </w:divBdr>
                          <w:divsChild>
                            <w:div w:id="5241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660357">
      <w:bodyDiv w:val="1"/>
      <w:marLeft w:val="0"/>
      <w:marRight w:val="0"/>
      <w:marTop w:val="0"/>
      <w:marBottom w:val="0"/>
      <w:divBdr>
        <w:top w:val="none" w:sz="0" w:space="0" w:color="auto"/>
        <w:left w:val="none" w:sz="0" w:space="0" w:color="auto"/>
        <w:bottom w:val="none" w:sz="0" w:space="0" w:color="auto"/>
        <w:right w:val="none" w:sz="0" w:space="0" w:color="auto"/>
      </w:divBdr>
    </w:div>
    <w:div w:id="2018342771">
      <w:bodyDiv w:val="1"/>
      <w:marLeft w:val="0"/>
      <w:marRight w:val="0"/>
      <w:marTop w:val="0"/>
      <w:marBottom w:val="0"/>
      <w:divBdr>
        <w:top w:val="none" w:sz="0" w:space="0" w:color="auto"/>
        <w:left w:val="none" w:sz="0" w:space="0" w:color="auto"/>
        <w:bottom w:val="none" w:sz="0" w:space="0" w:color="auto"/>
        <w:right w:val="none" w:sz="0" w:space="0" w:color="auto"/>
      </w:divBdr>
      <w:divsChild>
        <w:div w:id="1486776814">
          <w:marLeft w:val="0"/>
          <w:marRight w:val="0"/>
          <w:marTop w:val="0"/>
          <w:marBottom w:val="0"/>
          <w:divBdr>
            <w:top w:val="none" w:sz="0" w:space="0" w:color="auto"/>
            <w:left w:val="none" w:sz="0" w:space="0" w:color="auto"/>
            <w:bottom w:val="none" w:sz="0" w:space="0" w:color="auto"/>
            <w:right w:val="none" w:sz="0" w:space="0" w:color="auto"/>
          </w:divBdr>
          <w:divsChild>
            <w:div w:id="1652909659">
              <w:marLeft w:val="0"/>
              <w:marRight w:val="0"/>
              <w:marTop w:val="0"/>
              <w:marBottom w:val="0"/>
              <w:divBdr>
                <w:top w:val="none" w:sz="0" w:space="0" w:color="auto"/>
                <w:left w:val="none" w:sz="0" w:space="0" w:color="auto"/>
                <w:bottom w:val="none" w:sz="0" w:space="0" w:color="auto"/>
                <w:right w:val="none" w:sz="0" w:space="0" w:color="auto"/>
              </w:divBdr>
              <w:divsChild>
                <w:div w:id="1345398189">
                  <w:marLeft w:val="0"/>
                  <w:marRight w:val="0"/>
                  <w:marTop w:val="0"/>
                  <w:marBottom w:val="0"/>
                  <w:divBdr>
                    <w:top w:val="none" w:sz="0" w:space="0" w:color="auto"/>
                    <w:left w:val="none" w:sz="0" w:space="0" w:color="auto"/>
                    <w:bottom w:val="none" w:sz="0" w:space="0" w:color="auto"/>
                    <w:right w:val="none" w:sz="0" w:space="0" w:color="auto"/>
                  </w:divBdr>
                  <w:divsChild>
                    <w:div w:id="1724865134">
                      <w:marLeft w:val="0"/>
                      <w:marRight w:val="0"/>
                      <w:marTop w:val="0"/>
                      <w:marBottom w:val="0"/>
                      <w:divBdr>
                        <w:top w:val="none" w:sz="0" w:space="0" w:color="auto"/>
                        <w:left w:val="none" w:sz="0" w:space="0" w:color="auto"/>
                        <w:bottom w:val="none" w:sz="0" w:space="0" w:color="auto"/>
                        <w:right w:val="none" w:sz="0" w:space="0" w:color="auto"/>
                      </w:divBdr>
                      <w:divsChild>
                        <w:div w:id="1955862886">
                          <w:marLeft w:val="0"/>
                          <w:marRight w:val="0"/>
                          <w:marTop w:val="0"/>
                          <w:marBottom w:val="0"/>
                          <w:divBdr>
                            <w:top w:val="none" w:sz="0" w:space="0" w:color="auto"/>
                            <w:left w:val="none" w:sz="0" w:space="0" w:color="auto"/>
                            <w:bottom w:val="none" w:sz="0" w:space="0" w:color="auto"/>
                            <w:right w:val="none" w:sz="0" w:space="0" w:color="auto"/>
                          </w:divBdr>
                          <w:divsChild>
                            <w:div w:id="3508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450581">
      <w:bodyDiv w:val="1"/>
      <w:marLeft w:val="0"/>
      <w:marRight w:val="0"/>
      <w:marTop w:val="0"/>
      <w:marBottom w:val="0"/>
      <w:divBdr>
        <w:top w:val="none" w:sz="0" w:space="0" w:color="auto"/>
        <w:left w:val="none" w:sz="0" w:space="0" w:color="auto"/>
        <w:bottom w:val="none" w:sz="0" w:space="0" w:color="auto"/>
        <w:right w:val="none" w:sz="0" w:space="0" w:color="auto"/>
      </w:divBdr>
      <w:divsChild>
        <w:div w:id="702902813">
          <w:marLeft w:val="0"/>
          <w:marRight w:val="0"/>
          <w:marTop w:val="0"/>
          <w:marBottom w:val="0"/>
          <w:divBdr>
            <w:top w:val="none" w:sz="0" w:space="0" w:color="auto"/>
            <w:left w:val="none" w:sz="0" w:space="0" w:color="auto"/>
            <w:bottom w:val="none" w:sz="0" w:space="0" w:color="auto"/>
            <w:right w:val="none" w:sz="0" w:space="0" w:color="auto"/>
          </w:divBdr>
          <w:divsChild>
            <w:div w:id="2037269073">
              <w:marLeft w:val="-225"/>
              <w:marRight w:val="-225"/>
              <w:marTop w:val="0"/>
              <w:marBottom w:val="0"/>
              <w:divBdr>
                <w:top w:val="none" w:sz="0" w:space="0" w:color="auto"/>
                <w:left w:val="none" w:sz="0" w:space="0" w:color="auto"/>
                <w:bottom w:val="none" w:sz="0" w:space="0" w:color="auto"/>
                <w:right w:val="none" w:sz="0" w:space="0" w:color="auto"/>
              </w:divBdr>
              <w:divsChild>
                <w:div w:id="765341802">
                  <w:marLeft w:val="0"/>
                  <w:marRight w:val="0"/>
                  <w:marTop w:val="0"/>
                  <w:marBottom w:val="0"/>
                  <w:divBdr>
                    <w:top w:val="none" w:sz="0" w:space="0" w:color="auto"/>
                    <w:left w:val="none" w:sz="0" w:space="0" w:color="auto"/>
                    <w:bottom w:val="none" w:sz="0" w:space="0" w:color="auto"/>
                    <w:right w:val="none" w:sz="0" w:space="0" w:color="auto"/>
                  </w:divBdr>
                  <w:divsChild>
                    <w:div w:id="276717252">
                      <w:marLeft w:val="0"/>
                      <w:marRight w:val="0"/>
                      <w:marTop w:val="0"/>
                      <w:marBottom w:val="0"/>
                      <w:divBdr>
                        <w:top w:val="none" w:sz="0" w:space="0" w:color="auto"/>
                        <w:left w:val="none" w:sz="0" w:space="0" w:color="auto"/>
                        <w:bottom w:val="none" w:sz="0" w:space="0" w:color="auto"/>
                        <w:right w:val="none" w:sz="0" w:space="0" w:color="auto"/>
                      </w:divBdr>
                      <w:divsChild>
                        <w:div w:id="1931153603">
                          <w:marLeft w:val="0"/>
                          <w:marRight w:val="0"/>
                          <w:marTop w:val="0"/>
                          <w:marBottom w:val="0"/>
                          <w:divBdr>
                            <w:top w:val="none" w:sz="0" w:space="0" w:color="auto"/>
                            <w:left w:val="none" w:sz="0" w:space="0" w:color="auto"/>
                            <w:bottom w:val="none" w:sz="0" w:space="0" w:color="auto"/>
                            <w:right w:val="none" w:sz="0" w:space="0" w:color="auto"/>
                          </w:divBdr>
                          <w:divsChild>
                            <w:div w:id="12621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627408">
      <w:bodyDiv w:val="1"/>
      <w:marLeft w:val="0"/>
      <w:marRight w:val="0"/>
      <w:marTop w:val="0"/>
      <w:marBottom w:val="0"/>
      <w:divBdr>
        <w:top w:val="none" w:sz="0" w:space="0" w:color="auto"/>
        <w:left w:val="none" w:sz="0" w:space="0" w:color="auto"/>
        <w:bottom w:val="none" w:sz="0" w:space="0" w:color="auto"/>
        <w:right w:val="none" w:sz="0" w:space="0" w:color="auto"/>
      </w:divBdr>
      <w:divsChild>
        <w:div w:id="2118212304">
          <w:marLeft w:val="0"/>
          <w:marRight w:val="0"/>
          <w:marTop w:val="0"/>
          <w:marBottom w:val="0"/>
          <w:divBdr>
            <w:top w:val="none" w:sz="0" w:space="0" w:color="auto"/>
            <w:left w:val="none" w:sz="0" w:space="0" w:color="auto"/>
            <w:bottom w:val="none" w:sz="0" w:space="0" w:color="auto"/>
            <w:right w:val="none" w:sz="0" w:space="0" w:color="auto"/>
          </w:divBdr>
          <w:divsChild>
            <w:div w:id="2095734774">
              <w:marLeft w:val="0"/>
              <w:marRight w:val="0"/>
              <w:marTop w:val="0"/>
              <w:marBottom w:val="0"/>
              <w:divBdr>
                <w:top w:val="none" w:sz="0" w:space="0" w:color="auto"/>
                <w:left w:val="none" w:sz="0" w:space="0" w:color="auto"/>
                <w:bottom w:val="none" w:sz="0" w:space="0" w:color="auto"/>
                <w:right w:val="none" w:sz="0" w:space="0" w:color="auto"/>
              </w:divBdr>
              <w:divsChild>
                <w:div w:id="762191377">
                  <w:marLeft w:val="0"/>
                  <w:marRight w:val="0"/>
                  <w:marTop w:val="0"/>
                  <w:marBottom w:val="0"/>
                  <w:divBdr>
                    <w:top w:val="none" w:sz="0" w:space="0" w:color="auto"/>
                    <w:left w:val="none" w:sz="0" w:space="0" w:color="auto"/>
                    <w:bottom w:val="none" w:sz="0" w:space="0" w:color="auto"/>
                    <w:right w:val="none" w:sz="0" w:space="0" w:color="auto"/>
                  </w:divBdr>
                  <w:divsChild>
                    <w:div w:id="1907032078">
                      <w:marLeft w:val="0"/>
                      <w:marRight w:val="0"/>
                      <w:marTop w:val="0"/>
                      <w:marBottom w:val="0"/>
                      <w:divBdr>
                        <w:top w:val="none" w:sz="0" w:space="0" w:color="auto"/>
                        <w:left w:val="none" w:sz="0" w:space="0" w:color="auto"/>
                        <w:bottom w:val="none" w:sz="0" w:space="0" w:color="auto"/>
                        <w:right w:val="none" w:sz="0" w:space="0" w:color="auto"/>
                      </w:divBdr>
                      <w:divsChild>
                        <w:div w:id="286812654">
                          <w:marLeft w:val="0"/>
                          <w:marRight w:val="0"/>
                          <w:marTop w:val="0"/>
                          <w:marBottom w:val="0"/>
                          <w:divBdr>
                            <w:top w:val="none" w:sz="0" w:space="0" w:color="auto"/>
                            <w:left w:val="none" w:sz="0" w:space="0" w:color="auto"/>
                            <w:bottom w:val="none" w:sz="0" w:space="0" w:color="auto"/>
                            <w:right w:val="none" w:sz="0" w:space="0" w:color="auto"/>
                          </w:divBdr>
                          <w:divsChild>
                            <w:div w:id="35901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27454">
      <w:bodyDiv w:val="1"/>
      <w:marLeft w:val="0"/>
      <w:marRight w:val="0"/>
      <w:marTop w:val="0"/>
      <w:marBottom w:val="0"/>
      <w:divBdr>
        <w:top w:val="none" w:sz="0" w:space="0" w:color="auto"/>
        <w:left w:val="none" w:sz="0" w:space="0" w:color="auto"/>
        <w:bottom w:val="none" w:sz="0" w:space="0" w:color="auto"/>
        <w:right w:val="none" w:sz="0" w:space="0" w:color="auto"/>
      </w:divBdr>
      <w:divsChild>
        <w:div w:id="948004354">
          <w:marLeft w:val="0"/>
          <w:marRight w:val="0"/>
          <w:marTop w:val="0"/>
          <w:marBottom w:val="0"/>
          <w:divBdr>
            <w:top w:val="none" w:sz="0" w:space="0" w:color="auto"/>
            <w:left w:val="none" w:sz="0" w:space="0" w:color="auto"/>
            <w:bottom w:val="none" w:sz="0" w:space="0" w:color="auto"/>
            <w:right w:val="none" w:sz="0" w:space="0" w:color="auto"/>
          </w:divBdr>
          <w:divsChild>
            <w:div w:id="745347706">
              <w:marLeft w:val="-225"/>
              <w:marRight w:val="-225"/>
              <w:marTop w:val="0"/>
              <w:marBottom w:val="0"/>
              <w:divBdr>
                <w:top w:val="none" w:sz="0" w:space="0" w:color="auto"/>
                <w:left w:val="none" w:sz="0" w:space="0" w:color="auto"/>
                <w:bottom w:val="none" w:sz="0" w:space="0" w:color="auto"/>
                <w:right w:val="none" w:sz="0" w:space="0" w:color="auto"/>
              </w:divBdr>
              <w:divsChild>
                <w:div w:id="1012412767">
                  <w:marLeft w:val="0"/>
                  <w:marRight w:val="0"/>
                  <w:marTop w:val="0"/>
                  <w:marBottom w:val="0"/>
                  <w:divBdr>
                    <w:top w:val="none" w:sz="0" w:space="0" w:color="auto"/>
                    <w:left w:val="none" w:sz="0" w:space="0" w:color="auto"/>
                    <w:bottom w:val="none" w:sz="0" w:space="0" w:color="auto"/>
                    <w:right w:val="none" w:sz="0" w:space="0" w:color="auto"/>
                  </w:divBdr>
                  <w:divsChild>
                    <w:div w:id="130051818">
                      <w:marLeft w:val="0"/>
                      <w:marRight w:val="0"/>
                      <w:marTop w:val="0"/>
                      <w:marBottom w:val="0"/>
                      <w:divBdr>
                        <w:top w:val="none" w:sz="0" w:space="0" w:color="auto"/>
                        <w:left w:val="none" w:sz="0" w:space="0" w:color="auto"/>
                        <w:bottom w:val="none" w:sz="0" w:space="0" w:color="auto"/>
                        <w:right w:val="none" w:sz="0" w:space="0" w:color="auto"/>
                      </w:divBdr>
                      <w:divsChild>
                        <w:div w:id="354813048">
                          <w:marLeft w:val="0"/>
                          <w:marRight w:val="0"/>
                          <w:marTop w:val="0"/>
                          <w:marBottom w:val="0"/>
                          <w:divBdr>
                            <w:top w:val="none" w:sz="0" w:space="0" w:color="auto"/>
                            <w:left w:val="none" w:sz="0" w:space="0" w:color="auto"/>
                            <w:bottom w:val="none" w:sz="0" w:space="0" w:color="auto"/>
                            <w:right w:val="none" w:sz="0" w:space="0" w:color="auto"/>
                          </w:divBdr>
                          <w:divsChild>
                            <w:div w:id="110646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2E52D0-37DD-4B46-8A15-F94F8A405FF2}"/>
</file>

<file path=customXml/itemProps2.xml><?xml version="1.0" encoding="utf-8"?>
<ds:datastoreItem xmlns:ds="http://schemas.openxmlformats.org/officeDocument/2006/customXml" ds:itemID="{F48EB069-CF7A-4716-A05F-BCD86C14AB6B}"/>
</file>

<file path=customXml/itemProps3.xml><?xml version="1.0" encoding="utf-8"?>
<ds:datastoreItem xmlns:ds="http://schemas.openxmlformats.org/officeDocument/2006/customXml" ds:itemID="{1C63386C-421B-4937-8339-4363AA08EFE9}"/>
</file>

<file path=customXml/itemProps4.xml><?xml version="1.0" encoding="utf-8"?>
<ds:datastoreItem xmlns:ds="http://schemas.openxmlformats.org/officeDocument/2006/customXml" ds:itemID="{5A9B4449-5527-4ACA-B2F3-E41B0D2B0680}"/>
</file>

<file path=docProps/app.xml><?xml version="1.0" encoding="utf-8"?>
<Properties xmlns="http://schemas.openxmlformats.org/officeDocument/2006/extended-properties" xmlns:vt="http://schemas.openxmlformats.org/officeDocument/2006/docPropsVTypes">
  <Template>Normal.dotm</Template>
  <TotalTime>0</TotalTime>
  <Pages>1</Pages>
  <Words>4710</Words>
  <Characters>26847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2018-11-05T09:40:00Z</dcterms:created>
  <dcterms:modified xsi:type="dcterms:W3CDTF">2018-11-05T09:40:00Z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10978/06</vt:lpwstr>
  </property>
  <property fmtid="{D5CDD505-2E9C-101B-9397-08002B2CF9AE}" pid="4" name="CASEID">
    <vt:lpwstr>387150</vt:lpwstr>
  </property>
  <property fmtid="{D5CDD505-2E9C-101B-9397-08002B2CF9AE}" pid="5" name="ContentTypeId">
    <vt:lpwstr>0x010100558EB02BDB9E204AB350EDD385B68E10</vt:lpwstr>
  </property>
</Properties>
</file>