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F60AD" w:rsidR="00CF60AD" w:rsidP="00CF60AD" w:rsidRDefault="00CF60AD">
      <w:pPr>
        <w:pStyle w:val="seed73563"/>
        <w:spacing w:before="0" w:beforeAutospacing="0" w:after="0" w:afterAutospacing="0"/>
        <w:jc w:val="center"/>
        <w:rPr>
          <w:rStyle w:val="s4f807e54"/>
          <w:color w:val="000000"/>
          <w:sz w:val="18"/>
          <w:szCs w:val="18"/>
        </w:rPr>
      </w:pPr>
      <w:bookmarkStart w:name="_GoBack" w:id="0"/>
      <w:bookmarkEnd w:id="0"/>
      <w:r w:rsidRPr="00CF60AD">
        <w:rPr>
          <w:rStyle w:val="s4f807e54"/>
          <w:color w:val="000000"/>
          <w:sz w:val="18"/>
          <w:szCs w:val="18"/>
        </w:rPr>
        <w:t xml:space="preserve">© Перевод предоставлен российским изданием </w:t>
      </w:r>
      <w:r w:rsidRPr="00CF60AD">
        <w:rPr>
          <w:rStyle w:val="s4f807e54"/>
          <w:i/>
          <w:color w:val="000000"/>
          <w:sz w:val="18"/>
          <w:szCs w:val="18"/>
        </w:rPr>
        <w:t xml:space="preserve">«Бюллетень Европейского Суда по правам человека» </w:t>
      </w:r>
      <w:r w:rsidRPr="00CF60AD">
        <w:rPr>
          <w:rStyle w:val="s4f807e54"/>
          <w:color w:val="000000"/>
          <w:sz w:val="18"/>
          <w:szCs w:val="18"/>
        </w:rPr>
        <w:t>(</w:t>
      </w:r>
      <w:hyperlink w:history="1" r:id="rId8">
        <w:r w:rsidRPr="00CF60AD">
          <w:rPr>
            <w:rStyle w:val="Hyperlink"/>
            <w:sz w:val="18"/>
            <w:szCs w:val="18"/>
            <w:lang w:val="en-US"/>
          </w:rPr>
          <w:t>www</w:t>
        </w:r>
        <w:r w:rsidRPr="00CF60AD">
          <w:rPr>
            <w:rStyle w:val="Hyperlink"/>
            <w:sz w:val="18"/>
            <w:szCs w:val="18"/>
          </w:rPr>
          <w:t>.</w:t>
        </w:r>
        <w:r w:rsidRPr="00CF60AD">
          <w:rPr>
            <w:rStyle w:val="Hyperlink"/>
            <w:sz w:val="18"/>
            <w:szCs w:val="18"/>
            <w:lang w:val="en-US"/>
          </w:rPr>
          <w:t>echr</w:t>
        </w:r>
        <w:r w:rsidRPr="00CF60AD">
          <w:rPr>
            <w:rStyle w:val="Hyperlink"/>
            <w:sz w:val="18"/>
            <w:szCs w:val="18"/>
          </w:rPr>
          <w:t>.</w:t>
        </w:r>
        <w:r w:rsidRPr="00CF60AD">
          <w:rPr>
            <w:rStyle w:val="Hyperlink"/>
            <w:sz w:val="18"/>
            <w:szCs w:val="18"/>
            <w:lang w:val="en-US"/>
          </w:rPr>
          <w:t>today</w:t>
        </w:r>
      </w:hyperlink>
      <w:r w:rsidRPr="00CF60AD">
        <w:rPr>
          <w:rStyle w:val="s4f807e54"/>
          <w:color w:val="000000"/>
          <w:sz w:val="18"/>
          <w:szCs w:val="18"/>
        </w:rPr>
        <w:t>). Разрешение на публикацию перевода на русский язык дано исключительно для его включения в базу HUDOC Европейского Суда.</w:t>
      </w:r>
    </w:p>
    <w:p w:rsidRPr="00CF60AD" w:rsidR="00CF60AD" w:rsidP="00CF60AD" w:rsidRDefault="00CF60AD">
      <w:pPr>
        <w:pStyle w:val="seed73563"/>
        <w:spacing w:before="0" w:beforeAutospacing="0" w:after="0" w:afterAutospacing="0"/>
        <w:jc w:val="center"/>
        <w:rPr>
          <w:color w:val="000000"/>
          <w:sz w:val="17"/>
          <w:szCs w:val="17"/>
        </w:rPr>
      </w:pPr>
    </w:p>
    <w:p w:rsidRPr="00CF60AD" w:rsidR="00CF60AD" w:rsidP="00CF60AD" w:rsidRDefault="00CF60AD">
      <w:pPr>
        <w:pStyle w:val="seed73563"/>
        <w:spacing w:before="0" w:beforeAutospacing="0" w:after="0" w:afterAutospacing="0"/>
        <w:jc w:val="center"/>
        <w:rPr>
          <w:color w:val="000000"/>
          <w:sz w:val="17"/>
          <w:szCs w:val="17"/>
          <w:lang w:val="en-US"/>
        </w:rPr>
      </w:pPr>
      <w:r w:rsidRPr="00CF60AD">
        <w:rPr>
          <w:rStyle w:val="s4f807e54"/>
          <w:color w:val="000000"/>
          <w:sz w:val="18"/>
          <w:szCs w:val="18"/>
          <w:lang w:val="en-US"/>
        </w:rPr>
        <w:t>©</w:t>
      </w:r>
      <w:r w:rsidRPr="00CF60AD">
        <w:rPr>
          <w:rStyle w:val="apple-converted-space"/>
          <w:color w:val="000000"/>
          <w:sz w:val="18"/>
          <w:szCs w:val="18"/>
          <w:lang w:val="en-US"/>
        </w:rPr>
        <w:t> </w:t>
      </w:r>
      <w:r w:rsidRPr="00CF60AD">
        <w:rPr>
          <w:rStyle w:val="sb4f89cb6"/>
          <w:color w:val="000000"/>
          <w:sz w:val="18"/>
          <w:szCs w:val="18"/>
          <w:lang w:val="en-US"/>
        </w:rPr>
        <w:t xml:space="preserve">This document was provided by the Russian edition of the </w:t>
      </w:r>
      <w:r w:rsidRPr="00CF60AD">
        <w:rPr>
          <w:rStyle w:val="sb4f89cb6"/>
          <w:i/>
          <w:color w:val="000000"/>
          <w:sz w:val="18"/>
          <w:szCs w:val="18"/>
          <w:lang w:val="en-US"/>
        </w:rPr>
        <w:t>Bulletin of the European Court of Human Rights</w:t>
      </w:r>
      <w:r w:rsidRPr="00CF60AD">
        <w:rPr>
          <w:rStyle w:val="s4f807e54"/>
          <w:color w:val="000000"/>
          <w:sz w:val="18"/>
          <w:szCs w:val="18"/>
          <w:lang w:val="en-US"/>
        </w:rPr>
        <w:t xml:space="preserve"> (</w:t>
      </w:r>
      <w:hyperlink w:history="1" r:id="rId9">
        <w:r w:rsidRPr="00CF60AD">
          <w:rPr>
            <w:rStyle w:val="Hyperlink"/>
            <w:sz w:val="18"/>
            <w:szCs w:val="18"/>
            <w:lang w:val="en-US"/>
          </w:rPr>
          <w:t>www.echr.today</w:t>
        </w:r>
      </w:hyperlink>
      <w:r w:rsidRPr="00CF60AD">
        <w:rPr>
          <w:rStyle w:val="s4f807e54"/>
          <w:color w:val="000000"/>
          <w:sz w:val="18"/>
          <w:szCs w:val="18"/>
          <w:lang w:val="en-US"/>
        </w:rPr>
        <w:t>)</w:t>
      </w:r>
      <w:r w:rsidRPr="00CF60AD">
        <w:rPr>
          <w:rStyle w:val="sb4f89cb6"/>
          <w:color w:val="000000"/>
          <w:sz w:val="18"/>
          <w:szCs w:val="18"/>
          <w:lang w:val="en-US"/>
        </w:rPr>
        <w:t>. Permission to re-publish this translation into Russian has been granted for the sole purpose of its inclusion in the Court’s database HUDOC.</w:t>
      </w:r>
    </w:p>
    <w:p w:rsidRPr="00CF60AD" w:rsidR="00CF60AD" w:rsidP="00CF60AD" w:rsidRDefault="00CF60AD">
      <w:pPr>
        <w:ind w:firstLine="720"/>
        <w:jc w:val="both"/>
        <w:rPr>
          <w:sz w:val="24"/>
          <w:szCs w:val="24"/>
          <w:lang w:val="en-US"/>
        </w:rPr>
      </w:pPr>
    </w:p>
    <w:p w:rsidRPr="00CF60AD" w:rsidR="00CF60AD" w:rsidP="00CF60AD" w:rsidRDefault="00CF60AD">
      <w:pPr>
        <w:pStyle w:val="Heading6"/>
        <w:ind w:firstLine="720"/>
        <w:jc w:val="both"/>
        <w:rPr>
          <w:sz w:val="24"/>
          <w:szCs w:val="24"/>
          <w:lang w:val="ru-RU"/>
        </w:rPr>
      </w:pPr>
      <w:proofErr w:type="spellStart"/>
      <w:r w:rsidRPr="00CF60AD">
        <w:rPr>
          <w:sz w:val="24"/>
          <w:szCs w:val="24"/>
          <w:lang w:val="ru-RU"/>
        </w:rPr>
        <w:t>Тамосиус</w:t>
      </w:r>
      <w:proofErr w:type="spellEnd"/>
      <w:r w:rsidRPr="00CF60AD">
        <w:rPr>
          <w:sz w:val="24"/>
          <w:szCs w:val="24"/>
          <w:lang w:val="ru-RU"/>
        </w:rPr>
        <w:t xml:space="preserve"> против Соединенного Королевства</w:t>
      </w:r>
    </w:p>
    <w:p w:rsidRPr="00CF60AD" w:rsidR="00CF60AD" w:rsidP="00CF60AD" w:rsidRDefault="00CF60AD">
      <w:pPr>
        <w:ind w:firstLine="720"/>
        <w:jc w:val="both"/>
        <w:rPr>
          <w:sz w:val="24"/>
          <w:szCs w:val="24"/>
        </w:rPr>
      </w:pPr>
      <w:proofErr w:type="spellStart"/>
      <w:r w:rsidRPr="00CF60AD">
        <w:rPr>
          <w:b/>
          <w:sz w:val="24"/>
          <w:szCs w:val="24"/>
        </w:rPr>
        <w:t>Tamosius</w:t>
      </w:r>
      <w:proofErr w:type="spellEnd"/>
      <w:r w:rsidRPr="00CF60AD">
        <w:rPr>
          <w:b/>
          <w:sz w:val="24"/>
          <w:szCs w:val="24"/>
        </w:rPr>
        <w:t xml:space="preserve"> – </w:t>
      </w:r>
      <w:proofErr w:type="spellStart"/>
      <w:r w:rsidRPr="00CF60AD">
        <w:rPr>
          <w:b/>
          <w:sz w:val="24"/>
          <w:szCs w:val="24"/>
        </w:rPr>
        <w:t>United</w:t>
      </w:r>
      <w:proofErr w:type="spellEnd"/>
      <w:r w:rsidRPr="00CF60AD">
        <w:rPr>
          <w:b/>
          <w:sz w:val="24"/>
          <w:szCs w:val="24"/>
        </w:rPr>
        <w:t xml:space="preserve"> </w:t>
      </w:r>
      <w:proofErr w:type="spellStart"/>
      <w:r w:rsidRPr="00CF60AD">
        <w:rPr>
          <w:b/>
          <w:sz w:val="24"/>
          <w:szCs w:val="24"/>
        </w:rPr>
        <w:t>Kingdom</w:t>
      </w:r>
      <w:proofErr w:type="spellEnd"/>
      <w:r w:rsidRPr="00CF60AD">
        <w:rPr>
          <w:sz w:val="24"/>
          <w:szCs w:val="24"/>
        </w:rPr>
        <w:t xml:space="preserve"> (№ 62002/00)</w:t>
      </w:r>
    </w:p>
    <w:p w:rsidRPr="00CF60AD" w:rsidR="00CF60AD" w:rsidP="00CF60AD" w:rsidRDefault="00CF60AD">
      <w:pPr>
        <w:ind w:firstLine="720"/>
        <w:jc w:val="both"/>
        <w:rPr>
          <w:sz w:val="24"/>
          <w:szCs w:val="24"/>
        </w:rPr>
      </w:pPr>
    </w:p>
    <w:p w:rsidRPr="00CF60AD" w:rsidR="00CF60AD" w:rsidP="00CF60AD" w:rsidRDefault="00CF60AD">
      <w:pPr>
        <w:ind w:firstLine="720"/>
        <w:jc w:val="both"/>
        <w:rPr>
          <w:sz w:val="24"/>
          <w:szCs w:val="24"/>
        </w:rPr>
      </w:pPr>
      <w:r w:rsidRPr="00CF60AD">
        <w:rPr>
          <w:sz w:val="24"/>
          <w:szCs w:val="24"/>
        </w:rPr>
        <w:t>Решение от 19 сентября 2002 г. [вынесено I Секцией]</w:t>
      </w:r>
    </w:p>
    <w:p w:rsidRPr="00CF60AD" w:rsidR="00CF60AD" w:rsidP="00CF60AD" w:rsidRDefault="00CF60AD">
      <w:pPr>
        <w:ind w:firstLine="720"/>
        <w:jc w:val="both"/>
        <w:rPr>
          <w:sz w:val="24"/>
          <w:szCs w:val="24"/>
        </w:rPr>
      </w:pPr>
    </w:p>
    <w:p w:rsidRPr="00CF60AD" w:rsidR="00CF60AD" w:rsidP="00CF60AD" w:rsidRDefault="00CF60AD">
      <w:pPr>
        <w:ind w:firstLine="720"/>
        <w:jc w:val="both"/>
        <w:rPr>
          <w:sz w:val="24"/>
          <w:szCs w:val="24"/>
        </w:rPr>
      </w:pPr>
      <w:r w:rsidRPr="00CF60AD">
        <w:rPr>
          <w:sz w:val="24"/>
          <w:szCs w:val="24"/>
        </w:rPr>
        <w:t xml:space="preserve">Заявитель является юристом. Налоговые органы, подозревая, что некоторые его клиенты нарушают налоговое законодательство, получили ордер на обыск его рабочих помещений. Ордер был выдан судом без участия заявителя в процессе рассмотрения этого вопроса. Процедура обыска предполагала получение налоговыми органами инструкций от назначенного генеральным атторнеем юридического советника. Обязанности советника состояли в даче сотрудникам налоговых органов разъяснений, какие из материалов, которые они собирались изъять, относятся к категории не подлежащих изъятию как содержащие информацию, составляющую профессиональную адвокатскую тайну. Любой материал такого рода возвращался солиситорам заявителя. В результате проведенного обыска было изъято несколько документов, досье и учетных журналов. Заявитель обжаловал законность выданного ордера, аргументируя свою жалобу тем, что ордер недостаточно конкретно определял материалы, подлежавшие изъятию. Апелляционное присутствие отделения королевской скамьи Высокого суда правосудия подтвердило законность ордера. Что же касается роли независимого юридического советника, </w:t>
      </w:r>
      <w:proofErr w:type="gramStart"/>
      <w:r w:rsidRPr="00CF60AD">
        <w:rPr>
          <w:sz w:val="24"/>
          <w:szCs w:val="24"/>
        </w:rPr>
        <w:t>то</w:t>
      </w:r>
      <w:proofErr w:type="gramEnd"/>
      <w:r w:rsidRPr="00CF60AD">
        <w:rPr>
          <w:sz w:val="24"/>
          <w:szCs w:val="24"/>
        </w:rPr>
        <w:t xml:space="preserve"> по мнению этого суда, его присутствие не влияло каким-либо негативным образом на законность обыска и изъятие материалов. Суд подчеркнул, что только судебные органы могут определить, относился ли материал к категории не подлежащего изъятию как содержащий информацию, составляющую профессиональную адвокатскую тайну. Суды могут запретить сотруднику налогового ведомства изымать защищенные адвокатской тайной материалы, а если должностные лица государства действуют незаконно, то на налоговые органы могут нести материальную ответственность за причиненный ущерб.</w:t>
      </w:r>
    </w:p>
    <w:p w:rsidRPr="00CF60AD" w:rsidR="00CF60AD" w:rsidP="00CF60AD" w:rsidRDefault="00CF60AD">
      <w:pPr>
        <w:ind w:firstLine="720"/>
        <w:jc w:val="both"/>
        <w:rPr>
          <w:sz w:val="24"/>
          <w:szCs w:val="24"/>
        </w:rPr>
      </w:pPr>
    </w:p>
    <w:p w:rsidRPr="00CF60AD" w:rsidR="00CF60AD" w:rsidP="00CF60AD" w:rsidRDefault="00CF60AD">
      <w:pPr>
        <w:ind w:firstLine="720"/>
        <w:jc w:val="both"/>
        <w:rPr>
          <w:sz w:val="24"/>
          <w:szCs w:val="24"/>
        </w:rPr>
      </w:pPr>
      <w:r w:rsidRPr="00CF60AD">
        <w:rPr>
          <w:rFonts w:ascii="Arial" w:hAnsi="Arial"/>
          <w:b/>
          <w:sz w:val="24"/>
          <w:szCs w:val="24"/>
        </w:rPr>
        <w:t>Решение</w:t>
      </w:r>
      <w:r w:rsidRPr="00CF60AD">
        <w:rPr>
          <w:sz w:val="24"/>
          <w:szCs w:val="24"/>
        </w:rPr>
        <w:t xml:space="preserve"> </w:t>
      </w:r>
      <w:r w:rsidRPr="00CF60AD">
        <w:rPr>
          <w:i/>
          <w:sz w:val="24"/>
          <w:szCs w:val="24"/>
        </w:rPr>
        <w:t xml:space="preserve">Жалоба признана неприемлемой, </w:t>
      </w:r>
      <w:r w:rsidRPr="00CF60AD">
        <w:rPr>
          <w:sz w:val="24"/>
          <w:szCs w:val="24"/>
        </w:rPr>
        <w:t xml:space="preserve">что касается Статьи 8 Конвенции. Действительно, было допущено вмешательство государства в реализацию права заявителя, охраняемого данной Статьей. </w:t>
      </w:r>
      <w:proofErr w:type="gramStart"/>
      <w:r w:rsidRPr="00CF60AD">
        <w:rPr>
          <w:sz w:val="24"/>
          <w:szCs w:val="24"/>
        </w:rPr>
        <w:t>Такое вмешательство было осуществлено на основании закона и преследовало законные цели государства, а именно, предотвращение преступлений и беспорядка, а также охрана экономического благосостояния страны</w:t>
      </w:r>
      <w:r w:rsidRPr="00CF60AD">
        <w:rPr>
          <w:rStyle w:val="FootnoteReference"/>
          <w:sz w:val="24"/>
          <w:szCs w:val="24"/>
        </w:rPr>
        <w:footnoteReference w:id="1"/>
      </w:r>
      <w:r w:rsidRPr="00CF60AD">
        <w:rPr>
          <w:sz w:val="24"/>
          <w:szCs w:val="24"/>
        </w:rPr>
        <w:t xml:space="preserve">. Что же касается необходимости подобного вмешательство государства в реализацию этого права в демократическом обществе, то хотя ордер был выдан без участия в процессе заявителя, </w:t>
      </w:r>
      <w:r w:rsidRPr="00CF60AD">
        <w:rPr>
          <w:iCs/>
          <w:sz w:val="24"/>
          <w:szCs w:val="24"/>
        </w:rPr>
        <w:t>тем не менее, возможно существовали обоснованные причины, по которым не было сделано</w:t>
      </w:r>
      <w:proofErr w:type="gramEnd"/>
      <w:r w:rsidRPr="00CF60AD">
        <w:rPr>
          <w:iCs/>
          <w:sz w:val="24"/>
          <w:szCs w:val="24"/>
        </w:rPr>
        <w:t xml:space="preserve"> предупреждение о производстве обыска. Именно поэтому, тщательная судебная проверка наличия оснований для обыска является очень важной гарантией законности. Что же касается вопроса о предположительном отсутствии детального описания предмета или лица, в отношении которых проводится обыск, то Европейский Суд отмечает следующее: Европейскому Суду заявитель не доказал убедительно, что у заявителя в данных обстоятельствах не было достаточного указания со стороны властей о цели производимого обыска, которое позволило бы ему оценить, действовала ли группа обыска законно и не превысила ли она свои полномочия. Что же касается осуществляемого юридическим советником надзора за обыском, то ему были выданы инструкции </w:t>
      </w:r>
      <w:proofErr w:type="gramStart"/>
      <w:r w:rsidRPr="00CF60AD">
        <w:rPr>
          <w:iCs/>
          <w:sz w:val="24"/>
          <w:szCs w:val="24"/>
        </w:rPr>
        <w:t>действовать</w:t>
      </w:r>
      <w:proofErr w:type="gramEnd"/>
      <w:r w:rsidRPr="00CF60AD">
        <w:rPr>
          <w:iCs/>
          <w:sz w:val="24"/>
          <w:szCs w:val="24"/>
        </w:rPr>
        <w:t xml:space="preserve"> независимо от следственной группы и давать независимые советы. Более того, заявитель не утверждал, что этот советник делал ошибочные суждения. Наконец, запрет на изъятие документов, на которые распространяется </w:t>
      </w:r>
      <w:r w:rsidRPr="00CF60AD">
        <w:rPr>
          <w:sz w:val="24"/>
          <w:szCs w:val="24"/>
        </w:rPr>
        <w:t>профессиональная адвокатская тайна,</w:t>
      </w:r>
      <w:r w:rsidRPr="00CF60AD">
        <w:rPr>
          <w:iCs/>
          <w:sz w:val="24"/>
          <w:szCs w:val="24"/>
        </w:rPr>
        <w:t xml:space="preserve"> предоставляет конкретную гарантию против вмешательства государства в профессиональные секреты и процесс отправления правосудия. Особенно, принимая во внимание, что изъятие таких документов может быть оспорено в суде, а убытки, причиненные этими действиями – взысканы. Таким образом, произведенный обыск был государственной мерой, пропорциональной преследуемым государством правомерным целям. </w:t>
      </w:r>
      <w:r w:rsidRPr="00CF60AD">
        <w:rPr>
          <w:sz w:val="24"/>
          <w:szCs w:val="24"/>
        </w:rPr>
        <w:t>Жалоба признана явно необоснованной.</w:t>
      </w:r>
    </w:p>
    <w:p w:rsidRPr="00CF60AD" w:rsidR="00CF60AD" w:rsidP="00CF60AD" w:rsidRDefault="00CF60AD">
      <w:pPr>
        <w:ind w:firstLine="720"/>
        <w:jc w:val="both"/>
        <w:rPr>
          <w:rFonts w:ascii="Arial" w:hAnsi="Arial"/>
          <w:b/>
          <w:sz w:val="24"/>
          <w:szCs w:val="24"/>
        </w:rPr>
      </w:pPr>
    </w:p>
    <w:p w:rsidRPr="00CF60AD" w:rsidR="00CF60AD" w:rsidP="00CF60AD" w:rsidRDefault="00CF60AD">
      <w:pPr>
        <w:ind w:firstLine="720"/>
        <w:jc w:val="both"/>
        <w:rPr>
          <w:sz w:val="24"/>
          <w:szCs w:val="24"/>
        </w:rPr>
      </w:pPr>
      <w:r w:rsidRPr="00CF60AD">
        <w:rPr>
          <w:rFonts w:ascii="Arial" w:hAnsi="Arial"/>
          <w:b/>
          <w:sz w:val="24"/>
          <w:szCs w:val="24"/>
        </w:rPr>
        <w:t>Решение</w:t>
      </w:r>
      <w:r w:rsidRPr="00CF60AD">
        <w:rPr>
          <w:sz w:val="24"/>
          <w:szCs w:val="24"/>
        </w:rPr>
        <w:t xml:space="preserve"> </w:t>
      </w:r>
      <w:r w:rsidRPr="00CF60AD">
        <w:rPr>
          <w:i/>
          <w:sz w:val="24"/>
          <w:szCs w:val="24"/>
        </w:rPr>
        <w:t xml:space="preserve">Жалоба признана неприемлемой, </w:t>
      </w:r>
      <w:r w:rsidRPr="00CF60AD">
        <w:rPr>
          <w:sz w:val="24"/>
          <w:szCs w:val="24"/>
        </w:rPr>
        <w:t>что касается Статьи 13 Конвенции. Жалоба заявителя по поводу предполагаемого нарушения Статьи 8 Конвенции была отклонена как явно необоснованная. Жалоба заявителя не имела оснований для ее рассмотрения в контексте Статьи 13 Конвенции. Жалоба признана явно необоснованной.</w:t>
      </w:r>
    </w:p>
    <w:p w:rsidRPr="00CF60AD" w:rsidR="00D66544" w:rsidP="00CF60AD" w:rsidRDefault="00D66544">
      <w:pPr>
        <w:pStyle w:val="ECHRParaSpaced"/>
      </w:pPr>
    </w:p>
    <w:sectPr w:rsidRPr="00CF60AD" w:rsidR="00D66544" w:rsidSect="00A6035E">
      <w:pgSz w:w="11907" w:h="16840" w:code="9"/>
      <w:pgMar w:top="1440" w:right="1440" w:bottom="1440" w:left="1440" w:header="454" w:footer="34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60AD" w:rsidRDefault="00CF60AD" w:rsidP="00CF60AD">
      <w:r>
        <w:separator/>
      </w:r>
    </w:p>
  </w:endnote>
  <w:endnote w:type="continuationSeparator" w:id="0">
    <w:p w:rsidR="00CF60AD" w:rsidRDefault="00CF60AD" w:rsidP="00CF6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60AD" w:rsidRDefault="00CF60AD" w:rsidP="00CF60AD">
      <w:r>
        <w:separator/>
      </w:r>
    </w:p>
  </w:footnote>
  <w:footnote w:type="continuationSeparator" w:id="0">
    <w:p w:rsidR="00CF60AD" w:rsidRDefault="00CF60AD" w:rsidP="00CF60AD">
      <w:r>
        <w:continuationSeparator/>
      </w:r>
    </w:p>
  </w:footnote>
  <w:footnote w:id="1">
    <w:p w:rsidR="00CF60AD" w:rsidRDefault="00CF60AD" w:rsidP="00CF60AD">
      <w:pPr>
        <w:pStyle w:val="FootnoteText"/>
        <w:ind w:firstLine="720"/>
      </w:pPr>
      <w:r>
        <w:rPr>
          <w:rStyle w:val="FootnoteReference"/>
        </w:rPr>
        <w:footnoteRef/>
      </w:r>
      <w:r>
        <w:t xml:space="preserve"> </w:t>
      </w:r>
      <w:proofErr w:type="spellStart"/>
      <w:proofErr w:type="gramStart"/>
      <w:r>
        <w:t>Здесь</w:t>
      </w:r>
      <w:proofErr w:type="spellEnd"/>
      <w:r>
        <w:t xml:space="preserve"> </w:t>
      </w:r>
      <w:proofErr w:type="spellStart"/>
      <w:r>
        <w:t>перечисляются</w:t>
      </w:r>
      <w:proofErr w:type="spellEnd"/>
      <w:r>
        <w:t xml:space="preserve"> </w:t>
      </w:r>
      <w:proofErr w:type="spellStart"/>
      <w:r>
        <w:t>предусмотренные</w:t>
      </w:r>
      <w:proofErr w:type="spellEnd"/>
      <w:r>
        <w:t xml:space="preserve"> </w:t>
      </w:r>
      <w:proofErr w:type="spellStart"/>
      <w:r>
        <w:t>Статьей</w:t>
      </w:r>
      <w:proofErr w:type="spellEnd"/>
      <w:r>
        <w:t xml:space="preserve"> 8 </w:t>
      </w:r>
      <w:proofErr w:type="spellStart"/>
      <w:r>
        <w:t>Конвенции</w:t>
      </w:r>
      <w:proofErr w:type="spellEnd"/>
      <w:r>
        <w:t xml:space="preserve"> </w:t>
      </w:r>
      <w:proofErr w:type="spellStart"/>
      <w:r>
        <w:t>цели</w:t>
      </w:r>
      <w:proofErr w:type="spellEnd"/>
      <w:r>
        <w:t xml:space="preserve">, </w:t>
      </w:r>
      <w:proofErr w:type="spellStart"/>
      <w:r>
        <w:t>для</w:t>
      </w:r>
      <w:proofErr w:type="spellEnd"/>
      <w:r>
        <w:t xml:space="preserve"> </w:t>
      </w:r>
      <w:proofErr w:type="spellStart"/>
      <w:r>
        <w:t>достижения</w:t>
      </w:r>
      <w:proofErr w:type="spellEnd"/>
      <w:r>
        <w:t xml:space="preserve"> </w:t>
      </w:r>
      <w:proofErr w:type="spellStart"/>
      <w:r>
        <w:t>которых</w:t>
      </w:r>
      <w:proofErr w:type="spellEnd"/>
      <w:r>
        <w:t xml:space="preserve"> – </w:t>
      </w:r>
      <w:proofErr w:type="spellStart"/>
      <w:r>
        <w:t>при</w:t>
      </w:r>
      <w:proofErr w:type="spellEnd"/>
      <w:r>
        <w:t xml:space="preserve"> </w:t>
      </w:r>
      <w:proofErr w:type="spellStart"/>
      <w:r>
        <w:t>наличии</w:t>
      </w:r>
      <w:proofErr w:type="spellEnd"/>
      <w:r>
        <w:t xml:space="preserve"> </w:t>
      </w:r>
      <w:proofErr w:type="spellStart"/>
      <w:r>
        <w:t>законного</w:t>
      </w:r>
      <w:proofErr w:type="spellEnd"/>
      <w:r>
        <w:t xml:space="preserve"> </w:t>
      </w:r>
      <w:proofErr w:type="spellStart"/>
      <w:r>
        <w:t>основания</w:t>
      </w:r>
      <w:proofErr w:type="spellEnd"/>
      <w:r>
        <w:t xml:space="preserve"> и </w:t>
      </w:r>
      <w:proofErr w:type="spellStart"/>
      <w:r>
        <w:t>необходимости</w:t>
      </w:r>
      <w:proofErr w:type="spellEnd"/>
      <w:r>
        <w:t xml:space="preserve"> в </w:t>
      </w:r>
      <w:proofErr w:type="spellStart"/>
      <w:r>
        <w:t>демократическом</w:t>
      </w:r>
      <w:proofErr w:type="spellEnd"/>
      <w:r>
        <w:t xml:space="preserve"> </w:t>
      </w:r>
      <w:proofErr w:type="spellStart"/>
      <w:r>
        <w:t>обществе</w:t>
      </w:r>
      <w:proofErr w:type="spellEnd"/>
      <w:r>
        <w:t xml:space="preserve"> – </w:t>
      </w:r>
      <w:proofErr w:type="spellStart"/>
      <w:r>
        <w:t>государству</w:t>
      </w:r>
      <w:proofErr w:type="spellEnd"/>
      <w:r>
        <w:t xml:space="preserve"> </w:t>
      </w:r>
      <w:proofErr w:type="spellStart"/>
      <w:r>
        <w:t>дозволяется</w:t>
      </w:r>
      <w:proofErr w:type="spellEnd"/>
      <w:r>
        <w:t xml:space="preserve"> </w:t>
      </w:r>
      <w:proofErr w:type="spellStart"/>
      <w:r>
        <w:t>вмешиваться</w:t>
      </w:r>
      <w:proofErr w:type="spellEnd"/>
      <w:r>
        <w:t xml:space="preserve"> в </w:t>
      </w:r>
      <w:proofErr w:type="spellStart"/>
      <w:r>
        <w:t>право</w:t>
      </w:r>
      <w:proofErr w:type="spellEnd"/>
      <w:r>
        <w:t xml:space="preserve"> </w:t>
      </w:r>
      <w:proofErr w:type="spellStart"/>
      <w:r>
        <w:t>на</w:t>
      </w:r>
      <w:proofErr w:type="spellEnd"/>
      <w:r>
        <w:t xml:space="preserve"> </w:t>
      </w:r>
      <w:proofErr w:type="spellStart"/>
      <w:r>
        <w:t>уважение</w:t>
      </w:r>
      <w:proofErr w:type="spellEnd"/>
      <w:r>
        <w:t xml:space="preserve"> </w:t>
      </w:r>
      <w:proofErr w:type="spellStart"/>
      <w:r>
        <w:t>частной</w:t>
      </w:r>
      <w:proofErr w:type="spellEnd"/>
      <w:r>
        <w:t xml:space="preserve"> и </w:t>
      </w:r>
      <w:proofErr w:type="spellStart"/>
      <w:r>
        <w:t>семейной</w:t>
      </w:r>
      <w:proofErr w:type="spellEnd"/>
      <w:r>
        <w:t xml:space="preserve"> </w:t>
      </w:r>
      <w:proofErr w:type="spellStart"/>
      <w:r>
        <w:t>жизни</w:t>
      </w:r>
      <w:proofErr w:type="spellEnd"/>
      <w:r>
        <w:t xml:space="preserve"> (</w:t>
      </w:r>
      <w:proofErr w:type="spellStart"/>
      <w:r w:rsidRPr="00E63BAF">
        <w:rPr>
          <w:i/>
        </w:rPr>
        <w:t>прим</w:t>
      </w:r>
      <w:proofErr w:type="spellEnd"/>
      <w:r w:rsidRPr="00E63BAF">
        <w:rPr>
          <w:i/>
        </w:rPr>
        <w:t xml:space="preserve">. </w:t>
      </w:r>
      <w:proofErr w:type="spellStart"/>
      <w:r w:rsidRPr="00E63BAF">
        <w:rPr>
          <w:i/>
        </w:rPr>
        <w:t>перев</w:t>
      </w:r>
      <w:proofErr w:type="spellEnd"/>
      <w:r>
        <w:t>.).</w:t>
      </w:r>
      <w:proofErr w:type="gramEnd"/>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lvlText w:val="%1."/>
      <w:lvlJc w:val="left"/>
      <w:pPr>
        <w:tabs>
          <w:tab w:val="num" w:pos="1492"/>
        </w:tabs>
        <w:ind w:left="1492" w:hanging="360"/>
      </w:pPr>
    </w:lvl>
  </w:abstractNum>
  <w:abstractNum w:abstractNumId="1">
    <w:nsid w:val="FFFFFF7D"/>
    <w:multiLevelType w:val="singleLevel"/>
    <w:tmpl w:val="23283F32"/>
    <w:lvl w:ilvl="0">
      <w:start w:val="1"/>
      <w:numFmt w:val="decimal"/>
      <w:lvlText w:val="%1."/>
      <w:lvlJc w:val="left"/>
      <w:pPr>
        <w:tabs>
          <w:tab w:val="num" w:pos="1209"/>
        </w:tabs>
        <w:ind w:left="1209" w:hanging="360"/>
      </w:pPr>
    </w:lvl>
  </w:abstractNum>
  <w:abstractNum w:abstractNumId="2">
    <w:nsid w:val="FFFFFF7E"/>
    <w:multiLevelType w:val="singleLevel"/>
    <w:tmpl w:val="2F369A7C"/>
    <w:lvl w:ilvl="0">
      <w:start w:val="1"/>
      <w:numFmt w:val="decimal"/>
      <w:lvlText w:val="%1."/>
      <w:lvlJc w:val="left"/>
      <w:pPr>
        <w:tabs>
          <w:tab w:val="num" w:pos="926"/>
        </w:tabs>
        <w:ind w:left="926" w:hanging="360"/>
      </w:pPr>
    </w:lvl>
  </w:abstractNum>
  <w:abstractNum w:abstractNumId="3">
    <w:nsid w:val="FFFFFF7F"/>
    <w:multiLevelType w:val="singleLevel"/>
    <w:tmpl w:val="3346880A"/>
    <w:lvl w:ilvl="0">
      <w:start w:val="1"/>
      <w:numFmt w:val="decimal"/>
      <w:lvlText w:val="%1."/>
      <w:lvlJc w:val="left"/>
      <w:pPr>
        <w:tabs>
          <w:tab w:val="num" w:pos="643"/>
        </w:tabs>
        <w:ind w:left="643" w:hanging="360"/>
      </w:pPr>
    </w:lvl>
  </w:abstractNum>
  <w:abstractNum w:abstractNumId="4">
    <w:nsid w:val="FFFFFF80"/>
    <w:multiLevelType w:val="singleLevel"/>
    <w:tmpl w:val="552A83E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lvlText w:val="%1."/>
      <w:lvlJc w:val="left"/>
      <w:pPr>
        <w:tabs>
          <w:tab w:val="num" w:pos="360"/>
        </w:tabs>
        <w:ind w:left="360" w:hanging="360"/>
      </w:pPr>
    </w:lvl>
  </w:abstractNum>
  <w:abstractNum w:abstractNumId="9">
    <w:nsid w:val="0227407A"/>
    <w:multiLevelType w:val="multilevel"/>
    <w:tmpl w:val="8D2EA84E"/>
    <w:lvl w:ilvl="0">
      <w:start w:val="1"/>
      <w:numFmt w:val="lowerLetter"/>
      <w:lvlText w:val="%1."/>
      <w:lvlJc w:val="left"/>
      <w:pPr>
        <w:tabs>
          <w:tab w:val="num" w:pos="964"/>
        </w:tabs>
        <w:ind w:left="964" w:hanging="397"/>
      </w:pPr>
      <w:rPr>
        <w:rFonts w:hint="default"/>
      </w:rPr>
    </w:lvl>
    <w:lvl w:ilvl="1">
      <w:start w:val="1"/>
      <w:numFmt w:val="decimal"/>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0CE31721"/>
    <w:multiLevelType w:val="multilevel"/>
    <w:tmpl w:val="EAB0152A"/>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27D5546B"/>
    <w:multiLevelType w:val="multilevel"/>
    <w:tmpl w:val="EAB0152A"/>
    <w:styleLink w:val="ECHRA1StyleList"/>
    <w:lvl w:ilvl="0">
      <w:start w:val="1"/>
      <w:numFmt w:val="decimal"/>
      <w:pStyle w:val="ECHRList1"/>
      <w:lvlText w:val="%1."/>
      <w:lvlJc w:val="left"/>
      <w:pPr>
        <w:tabs>
          <w:tab w:val="num" w:pos="397"/>
        </w:tabs>
        <w:ind w:left="397" w:hanging="397"/>
      </w:pPr>
      <w:rPr>
        <w:rFonts w:hint="default"/>
      </w:rPr>
    </w:lvl>
    <w:lvl w:ilvl="1">
      <w:start w:val="1"/>
      <w:numFmt w:val="lowerLetter"/>
      <w:pStyle w:val="ECHRList2"/>
      <w:lvlText w:val="%2."/>
      <w:lvlJc w:val="left"/>
      <w:pPr>
        <w:tabs>
          <w:tab w:val="num" w:pos="794"/>
        </w:tabs>
        <w:ind w:left="794" w:hanging="397"/>
      </w:pPr>
      <w:rPr>
        <w:rFonts w:hint="default"/>
      </w:rPr>
    </w:lvl>
    <w:lvl w:ilvl="2">
      <w:start w:val="1"/>
      <w:numFmt w:val="lowerRoman"/>
      <w:pStyle w:val="ECHRList3"/>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EAB0152A"/>
    <w:numStyleLink w:val="ECHRA1StyleList"/>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E4C3B66"/>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3EE64282"/>
    <w:multiLevelType w:val="multilevel"/>
    <w:tmpl w:val="8D2EA84E"/>
    <w:lvl w:ilvl="0">
      <w:start w:val="1"/>
      <w:numFmt w:val="lowerLetter"/>
      <w:lvlText w:val="%1."/>
      <w:lvlJc w:val="left"/>
      <w:pPr>
        <w:tabs>
          <w:tab w:val="num" w:pos="964"/>
        </w:tabs>
        <w:ind w:left="964" w:hanging="397"/>
      </w:pPr>
      <w:rPr>
        <w:rFonts w:hint="default"/>
      </w:rPr>
    </w:lvl>
    <w:lvl w:ilvl="1">
      <w:start w:val="1"/>
      <w:numFmt w:val="decimal"/>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416B5801"/>
    <w:multiLevelType w:val="multilevel"/>
    <w:tmpl w:val="79A89570"/>
    <w:lvl w:ilvl="0">
      <w:start w:val="1"/>
      <w:numFmt w:val="none"/>
      <w:suff w:val="nothing"/>
      <w:lvlText w:val=""/>
      <w:lvlJc w:val="left"/>
      <w:pPr>
        <w:ind w:left="0" w:firstLine="0"/>
      </w:pPr>
      <w:rPr>
        <w:rFonts w:hint="default"/>
      </w:rPr>
    </w:lvl>
    <w:lvl w:ilvl="1">
      <w:start w:val="1"/>
      <w:numFmt w:val="upperRoman"/>
      <w:suff w:val="space"/>
      <w:lvlText w:val="%2."/>
      <w:lvlJc w:val="left"/>
      <w:pPr>
        <w:ind w:left="0" w:firstLine="0"/>
      </w:pPr>
      <w:rPr>
        <w:rFonts w:hint="default"/>
      </w:rPr>
    </w:lvl>
    <w:lvl w:ilvl="2">
      <w:start w:val="1"/>
      <w:numFmt w:val="upperLetter"/>
      <w:suff w:val="space"/>
      <w:lvlText w:val="%3."/>
      <w:lvlJc w:val="left"/>
      <w:pPr>
        <w:ind w:left="0" w:firstLine="0"/>
      </w:pPr>
      <w:rPr>
        <w:rFonts w:hint="default"/>
      </w:rPr>
    </w:lvl>
    <w:lvl w:ilvl="3">
      <w:start w:val="1"/>
      <w:numFmt w:val="decimal"/>
      <w:suff w:val="space"/>
      <w:lvlText w:val="%4."/>
      <w:lvlJc w:val="left"/>
      <w:pPr>
        <w:ind w:left="0" w:firstLine="0"/>
      </w:pPr>
      <w:rPr>
        <w:rFonts w:hint="default"/>
      </w:rPr>
    </w:lvl>
    <w:lvl w:ilvl="4">
      <w:start w:val="1"/>
      <w:numFmt w:val="lowerLetter"/>
      <w:suff w:val="space"/>
      <w:lvlText w:val="%5."/>
      <w:lvlJc w:val="left"/>
      <w:pPr>
        <w:ind w:left="0" w:firstLine="0"/>
      </w:pPr>
      <w:rPr>
        <w:rFonts w:hint="default"/>
      </w:rPr>
    </w:lvl>
    <w:lvl w:ilvl="5">
      <w:start w:val="1"/>
      <w:numFmt w:val="lowerRoman"/>
      <w:suff w:val="space"/>
      <w:lvlText w:val="%6."/>
      <w:lvlJc w:val="left"/>
      <w:pPr>
        <w:ind w:left="0" w:firstLine="0"/>
      </w:pPr>
      <w:rPr>
        <w:rFonts w:asciiTheme="minorHAnsi" w:hAnsiTheme="minorHAnsi" w:hint="default"/>
      </w:rPr>
    </w:lvl>
    <w:lvl w:ilvl="6">
      <w:start w:val="1"/>
      <w:numFmt w:val="bullet"/>
      <w:suff w:val="space"/>
      <w:lvlText w:val="‒"/>
      <w:lvlJc w:val="left"/>
      <w:pPr>
        <w:ind w:left="0" w:firstLine="0"/>
      </w:pPr>
      <w:rPr>
        <w:rFonts w:ascii="Calibri" w:hAnsi="Calibri" w:hint="default"/>
        <w:color w:val="auto"/>
      </w:rPr>
    </w:lvl>
    <w:lvl w:ilvl="7">
      <w:start w:val="1"/>
      <w:numFmt w:val="none"/>
      <w:suff w:val="space"/>
      <w:lvlText w:val=""/>
      <w:lvlJc w:val="left"/>
      <w:pPr>
        <w:ind w:left="0" w:firstLine="0"/>
      </w:pPr>
      <w:rPr>
        <w:rFonts w:hint="default"/>
        <w:color w:val="auto"/>
      </w:rPr>
    </w:lvl>
    <w:lvl w:ilvl="8">
      <w:start w:val="1"/>
      <w:numFmt w:val="none"/>
      <w:suff w:val="space"/>
      <w:lvlText w:val=""/>
      <w:lvlJc w:val="left"/>
      <w:pPr>
        <w:ind w:left="0" w:firstLine="0"/>
      </w:pPr>
      <w:rPr>
        <w:rFonts w:hint="default"/>
        <w:color w:val="auto"/>
      </w:rPr>
    </w:lvl>
  </w:abstractNum>
  <w:abstractNum w:abstractNumId="17">
    <w:nsid w:val="4333366E"/>
    <w:multiLevelType w:val="multilevel"/>
    <w:tmpl w:val="886C1D44"/>
    <w:lvl w:ilvl="0">
      <w:start w:val="1"/>
      <w:numFmt w:val="bullet"/>
      <w:lvlText w:val=""/>
      <w:lvlJc w:val="left"/>
      <w:pPr>
        <w:tabs>
          <w:tab w:val="num" w:pos="964"/>
        </w:tabs>
        <w:ind w:left="964" w:hanging="397"/>
      </w:pPr>
      <w:rPr>
        <w:rFonts w:ascii="Wingdings" w:hAnsi="Wingdings" w:hint="default"/>
        <w:color w:val="0072BC" w:themeColor="background1"/>
      </w:rPr>
    </w:lvl>
    <w:lvl w:ilvl="1">
      <w:start w:val="1"/>
      <w:numFmt w:val="bullet"/>
      <w:lvlText w:val=""/>
      <w:lvlJc w:val="left"/>
      <w:pPr>
        <w:tabs>
          <w:tab w:val="num" w:pos="1191"/>
        </w:tabs>
        <w:ind w:left="1191" w:hanging="227"/>
      </w:pPr>
      <w:rPr>
        <w:rFonts w:ascii="Wingdings" w:hAnsi="Wingdings" w:hint="default"/>
        <w:color w:val="0072BC" w:themeColor="background1"/>
      </w:rPr>
    </w:lvl>
    <w:lvl w:ilvl="2">
      <w:start w:val="1"/>
      <w:numFmt w:val="bullet"/>
      <w:lvlText w:val=""/>
      <w:lvlJc w:val="left"/>
      <w:pPr>
        <w:tabs>
          <w:tab w:val="num" w:pos="1588"/>
        </w:tabs>
        <w:ind w:left="1588" w:hanging="397"/>
      </w:pPr>
      <w:rPr>
        <w:rFonts w:ascii="Wingdings" w:hAnsi="Wingdings" w:hint="default"/>
        <w:color w:val="7F7F7F" w:themeColor="text1" w:themeTint="80"/>
      </w:rPr>
    </w:lvl>
    <w:lvl w:ilvl="3">
      <w:start w:val="1"/>
      <w:numFmt w:val="bullet"/>
      <w:lvlText w:val=""/>
      <w:lvlJc w:val="left"/>
      <w:pPr>
        <w:tabs>
          <w:tab w:val="num" w:pos="1985"/>
        </w:tabs>
        <w:ind w:left="1985" w:hanging="397"/>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474B45CC"/>
    <w:multiLevelType w:val="multilevel"/>
    <w:tmpl w:val="886C1D44"/>
    <w:lvl w:ilvl="0">
      <w:start w:val="1"/>
      <w:numFmt w:val="bullet"/>
      <w:lvlText w:val=""/>
      <w:lvlJc w:val="left"/>
      <w:pPr>
        <w:tabs>
          <w:tab w:val="num" w:pos="964"/>
        </w:tabs>
        <w:ind w:left="964" w:hanging="397"/>
      </w:pPr>
      <w:rPr>
        <w:rFonts w:ascii="Wingdings" w:hAnsi="Wingdings" w:hint="default"/>
        <w:color w:val="0072BC" w:themeColor="background1"/>
      </w:rPr>
    </w:lvl>
    <w:lvl w:ilvl="1">
      <w:start w:val="1"/>
      <w:numFmt w:val="bullet"/>
      <w:lvlText w:val=""/>
      <w:lvlJc w:val="left"/>
      <w:pPr>
        <w:tabs>
          <w:tab w:val="num" w:pos="1191"/>
        </w:tabs>
        <w:ind w:left="1191" w:hanging="227"/>
      </w:pPr>
      <w:rPr>
        <w:rFonts w:ascii="Wingdings" w:hAnsi="Wingdings" w:hint="default"/>
        <w:color w:val="0072BC" w:themeColor="background1"/>
      </w:rPr>
    </w:lvl>
    <w:lvl w:ilvl="2">
      <w:start w:val="1"/>
      <w:numFmt w:val="bullet"/>
      <w:lvlText w:val=""/>
      <w:lvlJc w:val="left"/>
      <w:pPr>
        <w:tabs>
          <w:tab w:val="num" w:pos="1588"/>
        </w:tabs>
        <w:ind w:left="1588" w:hanging="397"/>
      </w:pPr>
      <w:rPr>
        <w:rFonts w:ascii="Wingdings" w:hAnsi="Wingdings" w:hint="default"/>
        <w:color w:val="7F7F7F" w:themeColor="text1" w:themeTint="80"/>
      </w:rPr>
    </w:lvl>
    <w:lvl w:ilvl="3">
      <w:start w:val="1"/>
      <w:numFmt w:val="bullet"/>
      <w:lvlText w:val=""/>
      <w:lvlJc w:val="left"/>
      <w:pPr>
        <w:tabs>
          <w:tab w:val="num" w:pos="1985"/>
        </w:tabs>
        <w:ind w:left="1985" w:hanging="397"/>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9">
    <w:nsid w:val="4989571C"/>
    <w:multiLevelType w:val="multilevel"/>
    <w:tmpl w:val="F842BC8C"/>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10746C9"/>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1AA0E85"/>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7FD1241"/>
    <w:multiLevelType w:val="hybridMultilevel"/>
    <w:tmpl w:val="F6D86CC2"/>
    <w:lvl w:ilvl="0" w:tplc="E4205412">
      <w:start w:val="1"/>
      <w:numFmt w:val="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4">
    <w:nsid w:val="73F438C5"/>
    <w:multiLevelType w:val="multilevel"/>
    <w:tmpl w:val="EAB0152A"/>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1"/>
  </w:num>
  <w:num w:numId="2">
    <w:abstractNumId w:val="22"/>
  </w:num>
  <w:num w:numId="3">
    <w:abstractNumId w:val="14"/>
  </w:num>
  <w:num w:numId="4">
    <w:abstractNumId w:val="18"/>
  </w:num>
  <w:num w:numId="5">
    <w:abstractNumId w:val="10"/>
  </w:num>
  <w:num w:numId="6">
    <w:abstractNumId w:val="15"/>
  </w:num>
  <w:num w:numId="7">
    <w:abstractNumId w:val="17"/>
  </w:num>
  <w:num w:numId="8">
    <w:abstractNumId w:val="16"/>
  </w:num>
  <w:num w:numId="9">
    <w:abstractNumId w:val="13"/>
  </w:num>
  <w:num w:numId="10">
    <w:abstractNumId w:val="24"/>
  </w:num>
  <w:num w:numId="11">
    <w:abstractNumId w:val="9"/>
  </w:num>
  <w:num w:numId="12">
    <w:abstractNumId w:val="23"/>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9"/>
  </w:num>
  <w:num w:numId="23">
    <w:abstractNumId w:val="20"/>
  </w:num>
  <w:num w:numId="24">
    <w:abstractNumId w:val="19"/>
  </w:num>
  <w:num w:numId="25">
    <w:abstractNumId w:val="19"/>
  </w:num>
  <w:num w:numId="26">
    <w:abstractNumId w:val="19"/>
  </w:num>
  <w:num w:numId="27">
    <w:abstractNumId w:val="19"/>
  </w:num>
  <w:num w:numId="28">
    <w:abstractNumId w:val="13"/>
  </w:num>
  <w:num w:numId="29">
    <w:abstractNumId w:val="20"/>
  </w:num>
  <w:num w:numId="30">
    <w:abstractNumId w:val="20"/>
  </w:num>
  <w:num w:numId="31">
    <w:abstractNumId w:val="20"/>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num>
  <w:num w:numId="34">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0AD"/>
    <w:rsid w:val="000041F8"/>
    <w:rsid w:val="000042A8"/>
    <w:rsid w:val="00004308"/>
    <w:rsid w:val="00005BF0"/>
    <w:rsid w:val="00007154"/>
    <w:rsid w:val="00007DAD"/>
    <w:rsid w:val="000103AE"/>
    <w:rsid w:val="00011D69"/>
    <w:rsid w:val="00012AD3"/>
    <w:rsid w:val="00013658"/>
    <w:rsid w:val="00015C2D"/>
    <w:rsid w:val="00015F00"/>
    <w:rsid w:val="00022C1D"/>
    <w:rsid w:val="00034987"/>
    <w:rsid w:val="000602DF"/>
    <w:rsid w:val="00061B05"/>
    <w:rsid w:val="000632D5"/>
    <w:rsid w:val="000644EE"/>
    <w:rsid w:val="0006764A"/>
    <w:rsid w:val="00070658"/>
    <w:rsid w:val="000925AD"/>
    <w:rsid w:val="000A24EB"/>
    <w:rsid w:val="000B6923"/>
    <w:rsid w:val="000C5F3C"/>
    <w:rsid w:val="000C6DCC"/>
    <w:rsid w:val="000D47AA"/>
    <w:rsid w:val="000D523D"/>
    <w:rsid w:val="000D721F"/>
    <w:rsid w:val="000E069B"/>
    <w:rsid w:val="000E0E82"/>
    <w:rsid w:val="000E1DC5"/>
    <w:rsid w:val="000E223F"/>
    <w:rsid w:val="000E7484"/>
    <w:rsid w:val="000E7D45"/>
    <w:rsid w:val="000F7851"/>
    <w:rsid w:val="00104E23"/>
    <w:rsid w:val="00111B0C"/>
    <w:rsid w:val="00120A73"/>
    <w:rsid w:val="00120D6C"/>
    <w:rsid w:val="001257EC"/>
    <w:rsid w:val="00133D33"/>
    <w:rsid w:val="00134D64"/>
    <w:rsid w:val="00135A30"/>
    <w:rsid w:val="0013612C"/>
    <w:rsid w:val="00137FF6"/>
    <w:rsid w:val="00141650"/>
    <w:rsid w:val="00143C15"/>
    <w:rsid w:val="00162A12"/>
    <w:rsid w:val="00166530"/>
    <w:rsid w:val="0018068E"/>
    <w:rsid w:val="001832BD"/>
    <w:rsid w:val="001943B5"/>
    <w:rsid w:val="00195134"/>
    <w:rsid w:val="001A145B"/>
    <w:rsid w:val="001A5067"/>
    <w:rsid w:val="001A674C"/>
    <w:rsid w:val="001B3B24"/>
    <w:rsid w:val="001C0F98"/>
    <w:rsid w:val="001C2A42"/>
    <w:rsid w:val="001C477F"/>
    <w:rsid w:val="001C5B98"/>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30D00"/>
    <w:rsid w:val="00231DF7"/>
    <w:rsid w:val="00231FD1"/>
    <w:rsid w:val="002339E0"/>
    <w:rsid w:val="00233CF8"/>
    <w:rsid w:val="0023516A"/>
    <w:rsid w:val="0023575D"/>
    <w:rsid w:val="00237148"/>
    <w:rsid w:val="0024222D"/>
    <w:rsid w:val="00244B0E"/>
    <w:rsid w:val="00244F6C"/>
    <w:rsid w:val="002532C5"/>
    <w:rsid w:val="00260C03"/>
    <w:rsid w:val="0026540E"/>
    <w:rsid w:val="0026599B"/>
    <w:rsid w:val="002670B2"/>
    <w:rsid w:val="00270161"/>
    <w:rsid w:val="00275123"/>
    <w:rsid w:val="002800ED"/>
    <w:rsid w:val="00282240"/>
    <w:rsid w:val="002948AD"/>
    <w:rsid w:val="002A01CC"/>
    <w:rsid w:val="002A61B1"/>
    <w:rsid w:val="002A663C"/>
    <w:rsid w:val="002B444B"/>
    <w:rsid w:val="002B5887"/>
    <w:rsid w:val="002C0692"/>
    <w:rsid w:val="002C0E27"/>
    <w:rsid w:val="002C3040"/>
    <w:rsid w:val="002D022D"/>
    <w:rsid w:val="002D24BB"/>
    <w:rsid w:val="002F2AF7"/>
    <w:rsid w:val="002F7E1C"/>
    <w:rsid w:val="00301A75"/>
    <w:rsid w:val="00302F70"/>
    <w:rsid w:val="0030336F"/>
    <w:rsid w:val="0030375E"/>
    <w:rsid w:val="00312A30"/>
    <w:rsid w:val="00320F72"/>
    <w:rsid w:val="00323475"/>
    <w:rsid w:val="0032463E"/>
    <w:rsid w:val="00326224"/>
    <w:rsid w:val="00337EE4"/>
    <w:rsid w:val="00340FFD"/>
    <w:rsid w:val="003412B5"/>
    <w:rsid w:val="003506B1"/>
    <w:rsid w:val="0035582F"/>
    <w:rsid w:val="00356AC7"/>
    <w:rsid w:val="003609FA"/>
    <w:rsid w:val="003710C8"/>
    <w:rsid w:val="003750BE"/>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854"/>
    <w:rsid w:val="003F7D64"/>
    <w:rsid w:val="00414300"/>
    <w:rsid w:val="00425C67"/>
    <w:rsid w:val="00427E7A"/>
    <w:rsid w:val="00436C49"/>
    <w:rsid w:val="00445366"/>
    <w:rsid w:val="00447F5B"/>
    <w:rsid w:val="004559A8"/>
    <w:rsid w:val="00461DB0"/>
    <w:rsid w:val="00463926"/>
    <w:rsid w:val="00464C9A"/>
    <w:rsid w:val="00467807"/>
    <w:rsid w:val="00471989"/>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C2A91"/>
    <w:rsid w:val="004D15F3"/>
    <w:rsid w:val="004D1CF9"/>
    <w:rsid w:val="004D5311"/>
    <w:rsid w:val="004D5DCC"/>
    <w:rsid w:val="004F10AF"/>
    <w:rsid w:val="004F11A4"/>
    <w:rsid w:val="004F2389"/>
    <w:rsid w:val="004F304D"/>
    <w:rsid w:val="004F61BE"/>
    <w:rsid w:val="004F66B1"/>
    <w:rsid w:val="00511C07"/>
    <w:rsid w:val="005173A6"/>
    <w:rsid w:val="00520605"/>
    <w:rsid w:val="00520BAA"/>
    <w:rsid w:val="00525208"/>
    <w:rsid w:val="005257A5"/>
    <w:rsid w:val="005264C0"/>
    <w:rsid w:val="00526A8A"/>
    <w:rsid w:val="00531DF2"/>
    <w:rsid w:val="005442EE"/>
    <w:rsid w:val="00547353"/>
    <w:rsid w:val="005474E7"/>
    <w:rsid w:val="00550AB9"/>
    <w:rsid w:val="005512A3"/>
    <w:rsid w:val="005578CE"/>
    <w:rsid w:val="00562781"/>
    <w:rsid w:val="0057271C"/>
    <w:rsid w:val="00572845"/>
    <w:rsid w:val="00592772"/>
    <w:rsid w:val="0059574A"/>
    <w:rsid w:val="005A1B9B"/>
    <w:rsid w:val="005A6751"/>
    <w:rsid w:val="005B092E"/>
    <w:rsid w:val="005B152C"/>
    <w:rsid w:val="005B1EE0"/>
    <w:rsid w:val="005B21A0"/>
    <w:rsid w:val="005B2B24"/>
    <w:rsid w:val="005B4425"/>
    <w:rsid w:val="005B4B94"/>
    <w:rsid w:val="005C3EE8"/>
    <w:rsid w:val="005D34F9"/>
    <w:rsid w:val="005D4190"/>
    <w:rsid w:val="005D67A3"/>
    <w:rsid w:val="005E02FC"/>
    <w:rsid w:val="005E2988"/>
    <w:rsid w:val="005E3085"/>
    <w:rsid w:val="005F51E1"/>
    <w:rsid w:val="00604FDA"/>
    <w:rsid w:val="00611C80"/>
    <w:rsid w:val="00620692"/>
    <w:rsid w:val="006242CA"/>
    <w:rsid w:val="00627507"/>
    <w:rsid w:val="00633717"/>
    <w:rsid w:val="006344E1"/>
    <w:rsid w:val="006545C4"/>
    <w:rsid w:val="00660BEE"/>
    <w:rsid w:val="00661971"/>
    <w:rsid w:val="00661CE8"/>
    <w:rsid w:val="006623D9"/>
    <w:rsid w:val="0066550C"/>
    <w:rsid w:val="006716F2"/>
    <w:rsid w:val="00682BF2"/>
    <w:rsid w:val="006859CE"/>
    <w:rsid w:val="0069038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64D4E"/>
    <w:rsid w:val="00765A1F"/>
    <w:rsid w:val="00775B6D"/>
    <w:rsid w:val="00776D68"/>
    <w:rsid w:val="007850EE"/>
    <w:rsid w:val="00785B95"/>
    <w:rsid w:val="00790E96"/>
    <w:rsid w:val="00793366"/>
    <w:rsid w:val="007A716F"/>
    <w:rsid w:val="007B270A"/>
    <w:rsid w:val="007C0695"/>
    <w:rsid w:val="007C0F5C"/>
    <w:rsid w:val="007C419A"/>
    <w:rsid w:val="007C4CC8"/>
    <w:rsid w:val="007C5426"/>
    <w:rsid w:val="007C5798"/>
    <w:rsid w:val="007D4832"/>
    <w:rsid w:val="007E21B2"/>
    <w:rsid w:val="007E2C4E"/>
    <w:rsid w:val="007F1905"/>
    <w:rsid w:val="00800440"/>
    <w:rsid w:val="00801300"/>
    <w:rsid w:val="00801F92"/>
    <w:rsid w:val="008028D4"/>
    <w:rsid w:val="00802C64"/>
    <w:rsid w:val="00805E52"/>
    <w:rsid w:val="008061D0"/>
    <w:rsid w:val="00810B38"/>
    <w:rsid w:val="008204C7"/>
    <w:rsid w:val="00820992"/>
    <w:rsid w:val="00822146"/>
    <w:rsid w:val="00823602"/>
    <w:rsid w:val="008255F5"/>
    <w:rsid w:val="00825894"/>
    <w:rsid w:val="0083014E"/>
    <w:rsid w:val="0083214A"/>
    <w:rsid w:val="00834220"/>
    <w:rsid w:val="00845723"/>
    <w:rsid w:val="00851EF9"/>
    <w:rsid w:val="008577FD"/>
    <w:rsid w:val="00860B03"/>
    <w:rsid w:val="0086497A"/>
    <w:rsid w:val="008713A1"/>
    <w:rsid w:val="008732FF"/>
    <w:rsid w:val="00875139"/>
    <w:rsid w:val="008754AB"/>
    <w:rsid w:val="0088060C"/>
    <w:rsid w:val="00893576"/>
    <w:rsid w:val="00893E73"/>
    <w:rsid w:val="008A0FF7"/>
    <w:rsid w:val="008A322D"/>
    <w:rsid w:val="008B02DC"/>
    <w:rsid w:val="008B57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259AC"/>
    <w:rsid w:val="00925CC4"/>
    <w:rsid w:val="00926F38"/>
    <w:rsid w:val="00934301"/>
    <w:rsid w:val="00936CD1"/>
    <w:rsid w:val="00941747"/>
    <w:rsid w:val="00941EFB"/>
    <w:rsid w:val="00947AFB"/>
    <w:rsid w:val="00951D7D"/>
    <w:rsid w:val="009630C7"/>
    <w:rsid w:val="00972B55"/>
    <w:rsid w:val="009743B7"/>
    <w:rsid w:val="0098228B"/>
    <w:rsid w:val="009828DA"/>
    <w:rsid w:val="00985BAB"/>
    <w:rsid w:val="00990919"/>
    <w:rsid w:val="009A340E"/>
    <w:rsid w:val="009B1B5F"/>
    <w:rsid w:val="009B6673"/>
    <w:rsid w:val="009C191B"/>
    <w:rsid w:val="009C2BD6"/>
    <w:rsid w:val="009C7011"/>
    <w:rsid w:val="009D0118"/>
    <w:rsid w:val="009D611F"/>
    <w:rsid w:val="009E1F32"/>
    <w:rsid w:val="009E776C"/>
    <w:rsid w:val="00A117D4"/>
    <w:rsid w:val="00A14BFB"/>
    <w:rsid w:val="00A1726E"/>
    <w:rsid w:val="00A204CF"/>
    <w:rsid w:val="00A228C9"/>
    <w:rsid w:val="00A23D49"/>
    <w:rsid w:val="00A27004"/>
    <w:rsid w:val="00A30C29"/>
    <w:rsid w:val="00A34DD6"/>
    <w:rsid w:val="00A36819"/>
    <w:rsid w:val="00A36989"/>
    <w:rsid w:val="00A43628"/>
    <w:rsid w:val="00A54192"/>
    <w:rsid w:val="00A54E5B"/>
    <w:rsid w:val="00A6035E"/>
    <w:rsid w:val="00A6144C"/>
    <w:rsid w:val="00A66617"/>
    <w:rsid w:val="00A671F8"/>
    <w:rsid w:val="00A673A4"/>
    <w:rsid w:val="00A724AE"/>
    <w:rsid w:val="00A73329"/>
    <w:rsid w:val="00A75C70"/>
    <w:rsid w:val="00A82359"/>
    <w:rsid w:val="00A865D2"/>
    <w:rsid w:val="00A91944"/>
    <w:rsid w:val="00A94C20"/>
    <w:rsid w:val="00A95F98"/>
    <w:rsid w:val="00AA227F"/>
    <w:rsid w:val="00AA3BC7"/>
    <w:rsid w:val="00AA754A"/>
    <w:rsid w:val="00AB099E"/>
    <w:rsid w:val="00AB4328"/>
    <w:rsid w:val="00AC6A2C"/>
    <w:rsid w:val="00AD20D2"/>
    <w:rsid w:val="00AD2ADF"/>
    <w:rsid w:val="00AE0A1C"/>
    <w:rsid w:val="00AE0A2E"/>
    <w:rsid w:val="00AE354C"/>
    <w:rsid w:val="00AF4B07"/>
    <w:rsid w:val="00AF6186"/>
    <w:rsid w:val="00AF7A3A"/>
    <w:rsid w:val="00B14157"/>
    <w:rsid w:val="00B160DB"/>
    <w:rsid w:val="00B20836"/>
    <w:rsid w:val="00B20D88"/>
    <w:rsid w:val="00B235BB"/>
    <w:rsid w:val="00B27A44"/>
    <w:rsid w:val="00B30BBF"/>
    <w:rsid w:val="00B33C03"/>
    <w:rsid w:val="00B44E56"/>
    <w:rsid w:val="00B46543"/>
    <w:rsid w:val="00B47D33"/>
    <w:rsid w:val="00B52BE0"/>
    <w:rsid w:val="00B54133"/>
    <w:rsid w:val="00B577BB"/>
    <w:rsid w:val="00B701ED"/>
    <w:rsid w:val="00B72ED7"/>
    <w:rsid w:val="00B8086C"/>
    <w:rsid w:val="00B82B76"/>
    <w:rsid w:val="00B861B4"/>
    <w:rsid w:val="00B86DFE"/>
    <w:rsid w:val="00B90990"/>
    <w:rsid w:val="00B922FF"/>
    <w:rsid w:val="00B9281E"/>
    <w:rsid w:val="00B93925"/>
    <w:rsid w:val="00B93A74"/>
    <w:rsid w:val="00B95187"/>
    <w:rsid w:val="00BA2834"/>
    <w:rsid w:val="00BA2D55"/>
    <w:rsid w:val="00BA71B1"/>
    <w:rsid w:val="00BB0637"/>
    <w:rsid w:val="00BB345F"/>
    <w:rsid w:val="00BB34D2"/>
    <w:rsid w:val="00BB68EA"/>
    <w:rsid w:val="00BC1C27"/>
    <w:rsid w:val="00BC1E3B"/>
    <w:rsid w:val="00BC4A86"/>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53F4A"/>
    <w:rsid w:val="00C54125"/>
    <w:rsid w:val="00C55B54"/>
    <w:rsid w:val="00C6098E"/>
    <w:rsid w:val="00C6152C"/>
    <w:rsid w:val="00C74810"/>
    <w:rsid w:val="00C90D68"/>
    <w:rsid w:val="00C939FE"/>
    <w:rsid w:val="00CA4BDA"/>
    <w:rsid w:val="00CB1F66"/>
    <w:rsid w:val="00CB2951"/>
    <w:rsid w:val="00CB443D"/>
    <w:rsid w:val="00CD282B"/>
    <w:rsid w:val="00CD4C35"/>
    <w:rsid w:val="00CD7369"/>
    <w:rsid w:val="00CE0B0E"/>
    <w:rsid w:val="00CE3831"/>
    <w:rsid w:val="00CF60AD"/>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45FA7"/>
    <w:rsid w:val="00D566BD"/>
    <w:rsid w:val="00D57A4D"/>
    <w:rsid w:val="00D60AA7"/>
    <w:rsid w:val="00D6435F"/>
    <w:rsid w:val="00D66544"/>
    <w:rsid w:val="00D71671"/>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0E38"/>
    <w:rsid w:val="00DF11C4"/>
    <w:rsid w:val="00DF18A4"/>
    <w:rsid w:val="00DF210C"/>
    <w:rsid w:val="00DF4B6A"/>
    <w:rsid w:val="00DF6FFA"/>
    <w:rsid w:val="00E02C09"/>
    <w:rsid w:val="00E04D59"/>
    <w:rsid w:val="00E07BC4"/>
    <w:rsid w:val="00E07DA1"/>
    <w:rsid w:val="00E123CB"/>
    <w:rsid w:val="00E13DE7"/>
    <w:rsid w:val="00E20E13"/>
    <w:rsid w:val="00E21DBC"/>
    <w:rsid w:val="00E275D7"/>
    <w:rsid w:val="00E27DBE"/>
    <w:rsid w:val="00E32AB1"/>
    <w:rsid w:val="00E36C71"/>
    <w:rsid w:val="00E40404"/>
    <w:rsid w:val="00E459C6"/>
    <w:rsid w:val="00E47589"/>
    <w:rsid w:val="00E64915"/>
    <w:rsid w:val="00E661D4"/>
    <w:rsid w:val="00E70091"/>
    <w:rsid w:val="00E7091C"/>
    <w:rsid w:val="00E70A73"/>
    <w:rsid w:val="00E720F5"/>
    <w:rsid w:val="00E76D47"/>
    <w:rsid w:val="00E849F7"/>
    <w:rsid w:val="00E84AA5"/>
    <w:rsid w:val="00E90302"/>
    <w:rsid w:val="00E97396"/>
    <w:rsid w:val="00EA185E"/>
    <w:rsid w:val="00EA592A"/>
    <w:rsid w:val="00EB14E4"/>
    <w:rsid w:val="00EB32A5"/>
    <w:rsid w:val="00EB34ED"/>
    <w:rsid w:val="00EB7BE0"/>
    <w:rsid w:val="00EC315E"/>
    <w:rsid w:val="00ED077C"/>
    <w:rsid w:val="00ED1190"/>
    <w:rsid w:val="00ED5DFE"/>
    <w:rsid w:val="00ED6544"/>
    <w:rsid w:val="00EE0277"/>
    <w:rsid w:val="00EE3E00"/>
    <w:rsid w:val="00EE5DD2"/>
    <w:rsid w:val="00F00A79"/>
    <w:rsid w:val="00F00DA7"/>
    <w:rsid w:val="00F00E86"/>
    <w:rsid w:val="00F06F70"/>
    <w:rsid w:val="00F07C1E"/>
    <w:rsid w:val="00F105DB"/>
    <w:rsid w:val="00F132BC"/>
    <w:rsid w:val="00F13D80"/>
    <w:rsid w:val="00F16AAA"/>
    <w:rsid w:val="00F21161"/>
    <w:rsid w:val="00F218EF"/>
    <w:rsid w:val="00F21BC7"/>
    <w:rsid w:val="00F22081"/>
    <w:rsid w:val="00F266A2"/>
    <w:rsid w:val="00F32269"/>
    <w:rsid w:val="00F56A6F"/>
    <w:rsid w:val="00F5709C"/>
    <w:rsid w:val="00F64EF1"/>
    <w:rsid w:val="00F74BED"/>
    <w:rsid w:val="00F7744C"/>
    <w:rsid w:val="00F8765F"/>
    <w:rsid w:val="00F90767"/>
    <w:rsid w:val="00FA685B"/>
    <w:rsid w:val="00FB0C01"/>
    <w:rsid w:val="00FB0E3E"/>
    <w:rsid w:val="00FC18F2"/>
    <w:rsid w:val="00FC2D60"/>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iPriority="52" w:unhideWhenUsed="1"/>
    <w:lsdException w:name="toc 7" w:semiHidden="1" w:uiPriority="52" w:unhideWhenUsed="1"/>
    <w:lsdException w:name="toc 8" w:semiHidden="1" w:uiPriority="52" w:unhideWhenUsed="1"/>
    <w:lsdException w:name="toc 9" w:semiHidden="1" w:uiPriority="52"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48" w:unhideWhenUsed="1"/>
    <w:lsdException w:name="footer" w:semiHidden="1" w:uiPriority="4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8"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60AD"/>
    <w:rPr>
      <w:rFonts w:ascii="Times New Roman" w:eastAsia="Times New Roman" w:hAnsi="Times New Roman" w:cs="Times New Roman"/>
      <w:sz w:val="20"/>
      <w:szCs w:val="20"/>
      <w:lang w:val="ru-RU"/>
    </w:rPr>
  </w:style>
  <w:style w:type="paragraph" w:styleId="Heading1">
    <w:name w:val="heading 1"/>
    <w:basedOn w:val="Normal"/>
    <w:next w:val="Normal"/>
    <w:link w:val="Heading1Char"/>
    <w:uiPriority w:val="99"/>
    <w:semiHidden/>
    <w:rsid w:val="001A5067"/>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9"/>
    <w:semiHidden/>
    <w:rsid w:val="001A5067"/>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9"/>
    <w:semiHidden/>
    <w:rsid w:val="001A5067"/>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9"/>
    <w:semiHidden/>
    <w:rsid w:val="001A5067"/>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9"/>
    <w:semiHidden/>
    <w:qFormat/>
    <w:rsid w:val="001A5067"/>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qFormat/>
    <w:rsid w:val="001A5067"/>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9"/>
    <w:semiHidden/>
    <w:qFormat/>
    <w:rsid w:val="001A5067"/>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9"/>
    <w:semiHidden/>
    <w:qFormat/>
    <w:rsid w:val="001A5067"/>
    <w:pPr>
      <w:outlineLvl w:val="7"/>
    </w:pPr>
    <w:rPr>
      <w:rFonts w:asciiTheme="majorHAnsi" w:eastAsiaTheme="majorEastAsia" w:hAnsiTheme="majorHAnsi" w:cstheme="majorBidi"/>
      <w:lang w:val="en-GB" w:bidi="en-US"/>
    </w:rPr>
  </w:style>
  <w:style w:type="paragraph" w:styleId="Heading9">
    <w:name w:val="heading 9"/>
    <w:basedOn w:val="Normal"/>
    <w:next w:val="Normal"/>
    <w:link w:val="Heading9Char"/>
    <w:uiPriority w:val="99"/>
    <w:semiHidden/>
    <w:qFormat/>
    <w:rsid w:val="001A5067"/>
    <w:pPr>
      <w:outlineLvl w:val="8"/>
    </w:pPr>
    <w:rPr>
      <w:rFonts w:asciiTheme="majorHAnsi" w:eastAsiaTheme="majorEastAsia" w:hAnsiTheme="majorHAnsi" w:cstheme="majorBidi"/>
      <w:i/>
      <w:iCs/>
      <w:spacing w:val="5"/>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A5067"/>
    <w:rPr>
      <w:rFonts w:ascii="Tahoma" w:eastAsiaTheme="minorHAnsi" w:hAnsi="Tahoma" w:cs="Tahoma"/>
      <w:sz w:val="16"/>
      <w:szCs w:val="16"/>
      <w:lang w:val="en-GB"/>
    </w:rPr>
  </w:style>
  <w:style w:type="character" w:customStyle="1" w:styleId="BalloonTextChar">
    <w:name w:val="Balloon Text Char"/>
    <w:basedOn w:val="DefaultParagraphFont"/>
    <w:link w:val="BalloonText"/>
    <w:uiPriority w:val="99"/>
    <w:semiHidden/>
    <w:rsid w:val="000D523D"/>
    <w:rPr>
      <w:rFonts w:ascii="Tahoma" w:hAnsi="Tahoma" w:cs="Tahoma"/>
      <w:sz w:val="16"/>
      <w:szCs w:val="16"/>
    </w:rPr>
  </w:style>
  <w:style w:type="character" w:styleId="BookTitle">
    <w:name w:val="Book Title"/>
    <w:uiPriority w:val="99"/>
    <w:semiHidden/>
    <w:qFormat/>
    <w:rsid w:val="001A5067"/>
    <w:rPr>
      <w:i/>
      <w:iCs/>
      <w:smallCaps/>
      <w:spacing w:val="5"/>
    </w:rPr>
  </w:style>
  <w:style w:type="paragraph" w:customStyle="1" w:styleId="DummyStyle">
    <w:name w:val="Dummy_Style"/>
    <w:basedOn w:val="Normal"/>
    <w:semiHidden/>
    <w:qFormat/>
    <w:rsid w:val="001A5067"/>
    <w:rPr>
      <w:color w:val="00B050"/>
    </w:rPr>
  </w:style>
  <w:style w:type="numbering" w:customStyle="1" w:styleId="ECHRA1StyleBulletedSquare">
    <w:name w:val="ECHR_A1_Style_Bulleted_Square"/>
    <w:basedOn w:val="NoList"/>
    <w:rsid w:val="001A5067"/>
    <w:pPr>
      <w:numPr>
        <w:numId w:val="22"/>
      </w:numPr>
    </w:pPr>
  </w:style>
  <w:style w:type="numbering" w:customStyle="1" w:styleId="ECHRA1StyleNumberedList">
    <w:name w:val="ECHR_A1_Style_Numbered_List"/>
    <w:basedOn w:val="NoList"/>
    <w:rsid w:val="001A5067"/>
    <w:pPr>
      <w:numPr>
        <w:numId w:val="23"/>
      </w:numPr>
    </w:pPr>
  </w:style>
  <w:style w:type="paragraph" w:customStyle="1" w:styleId="NormalJustified">
    <w:name w:val="Normal_Justified"/>
    <w:basedOn w:val="Normal"/>
    <w:semiHidden/>
    <w:rsid w:val="001A5067"/>
    <w:pPr>
      <w:jc w:val="both"/>
    </w:pPr>
    <w:rPr>
      <w:rFonts w:asciiTheme="minorHAnsi" w:eastAsiaTheme="minorHAnsi" w:hAnsiTheme="minorHAnsi" w:cstheme="minorBidi"/>
      <w:sz w:val="22"/>
      <w:szCs w:val="22"/>
      <w:lang w:val="en-GB"/>
    </w:rPr>
  </w:style>
  <w:style w:type="paragraph" w:customStyle="1" w:styleId="ECHRBullet1">
    <w:name w:val="ECHR_Bullet_1"/>
    <w:aliases w:val="Bul_1"/>
    <w:basedOn w:val="NormalJustified"/>
    <w:uiPriority w:val="11"/>
    <w:qFormat/>
    <w:rsid w:val="001A5067"/>
    <w:pPr>
      <w:numPr>
        <w:numId w:val="27"/>
      </w:numPr>
      <w:spacing w:before="60" w:after="60"/>
    </w:pPr>
    <w:rPr>
      <w:rFonts w:eastAsiaTheme="minorEastAsia"/>
    </w:rPr>
  </w:style>
  <w:style w:type="paragraph" w:customStyle="1" w:styleId="ECHRBullet2">
    <w:name w:val="ECHR_Bullet_2"/>
    <w:aliases w:val="Bul_2"/>
    <w:basedOn w:val="ECHRBullet1"/>
    <w:uiPriority w:val="11"/>
    <w:rsid w:val="001A5067"/>
    <w:pPr>
      <w:numPr>
        <w:ilvl w:val="1"/>
      </w:numPr>
    </w:pPr>
  </w:style>
  <w:style w:type="paragraph" w:customStyle="1" w:styleId="ECHRBullet3">
    <w:name w:val="ECHR_Bullet_3"/>
    <w:aliases w:val="Bul_3"/>
    <w:basedOn w:val="ECHRBullet2"/>
    <w:uiPriority w:val="11"/>
    <w:rsid w:val="001A5067"/>
    <w:pPr>
      <w:numPr>
        <w:ilvl w:val="2"/>
      </w:numPr>
    </w:pPr>
  </w:style>
  <w:style w:type="paragraph" w:customStyle="1" w:styleId="ECHRBullet4">
    <w:name w:val="ECHR_Bullet_4"/>
    <w:aliases w:val="Bul_4"/>
    <w:basedOn w:val="ECHRBullet3"/>
    <w:uiPriority w:val="11"/>
    <w:rsid w:val="001A5067"/>
    <w:pPr>
      <w:numPr>
        <w:ilvl w:val="3"/>
      </w:numPr>
    </w:pPr>
  </w:style>
  <w:style w:type="paragraph" w:customStyle="1" w:styleId="ECHRPara">
    <w:name w:val="ECHR_Para"/>
    <w:aliases w:val="Para"/>
    <w:basedOn w:val="NormalJustified"/>
    <w:uiPriority w:val="5"/>
    <w:qFormat/>
    <w:rsid w:val="001A5067"/>
  </w:style>
  <w:style w:type="paragraph" w:customStyle="1" w:styleId="ECHRConfidential">
    <w:name w:val="ECHR_Confidential"/>
    <w:aliases w:val="Confidential"/>
    <w:basedOn w:val="ECHRPara"/>
    <w:next w:val="ECHRPara"/>
    <w:uiPriority w:val="37"/>
    <w:qFormat/>
    <w:rsid w:val="001A5067"/>
    <w:pPr>
      <w:jc w:val="right"/>
    </w:pPr>
    <w:rPr>
      <w:color w:val="C00000"/>
      <w:sz w:val="20"/>
    </w:rPr>
  </w:style>
  <w:style w:type="paragraph" w:customStyle="1" w:styleId="ECHRCoverTitle1">
    <w:name w:val="ECHR_Cover_Title_1"/>
    <w:aliases w:val="Cover_1"/>
    <w:basedOn w:val="Normal"/>
    <w:next w:val="Normal"/>
    <w:uiPriority w:val="33"/>
    <w:qFormat/>
    <w:rsid w:val="001A5067"/>
    <w:pPr>
      <w:spacing w:before="840"/>
      <w:contextualSpacing/>
      <w:jc w:val="center"/>
    </w:pPr>
    <w:rPr>
      <w:rFonts w:asciiTheme="minorHAnsi" w:eastAsiaTheme="minorHAnsi" w:hAnsiTheme="minorHAnsi" w:cstheme="minorBidi"/>
      <w:color w:val="2F2F2F" w:themeColor="accent3" w:themeShade="80"/>
      <w:sz w:val="36"/>
      <w:szCs w:val="22"/>
      <w:lang w:val="en-GB"/>
    </w:rPr>
  </w:style>
  <w:style w:type="paragraph" w:customStyle="1" w:styleId="ECHRCoverTitle2">
    <w:name w:val="ECHR_Cover_Title_2"/>
    <w:aliases w:val="Cover_2"/>
    <w:basedOn w:val="Normal"/>
    <w:next w:val="Normal"/>
    <w:uiPriority w:val="33"/>
    <w:qFormat/>
    <w:rsid w:val="001A5067"/>
    <w:pPr>
      <w:spacing w:before="600"/>
      <w:contextualSpacing/>
      <w:jc w:val="center"/>
    </w:pPr>
    <w:rPr>
      <w:rFonts w:asciiTheme="majorHAnsi" w:eastAsiaTheme="minorHAnsi" w:hAnsiTheme="majorHAnsi" w:cstheme="minorBidi"/>
      <w:color w:val="474747" w:themeColor="accent3" w:themeShade="BF"/>
      <w:sz w:val="28"/>
      <w:szCs w:val="22"/>
      <w:lang w:val="en-GB"/>
    </w:rPr>
  </w:style>
  <w:style w:type="paragraph" w:customStyle="1" w:styleId="ECHRCoverTitle3">
    <w:name w:val="ECHR_Cover_Title_3"/>
    <w:aliases w:val="Cover_3"/>
    <w:basedOn w:val="Normal"/>
    <w:next w:val="ECHRCoverTitle4"/>
    <w:uiPriority w:val="33"/>
    <w:qFormat/>
    <w:rsid w:val="001A5067"/>
    <w:pPr>
      <w:spacing w:before="1080" w:after="1080"/>
      <w:contextualSpacing/>
      <w:jc w:val="center"/>
    </w:pPr>
    <w:rPr>
      <w:rFonts w:asciiTheme="minorHAnsi" w:eastAsiaTheme="minorHAnsi" w:hAnsiTheme="minorHAnsi" w:cstheme="minorBidi"/>
      <w:b/>
      <w:color w:val="474747" w:themeColor="accent3" w:themeShade="BF"/>
      <w:sz w:val="24"/>
      <w:szCs w:val="22"/>
      <w:lang w:val="en-GB"/>
    </w:rPr>
  </w:style>
  <w:style w:type="paragraph" w:customStyle="1" w:styleId="ECHRCoverTitle4">
    <w:name w:val="ECHR_Cover_Title_4"/>
    <w:aliases w:val="Cover_4"/>
    <w:basedOn w:val="Normal"/>
    <w:uiPriority w:val="33"/>
    <w:qFormat/>
    <w:rsid w:val="001A5067"/>
    <w:pPr>
      <w:tabs>
        <w:tab w:val="right" w:pos="7938"/>
      </w:tabs>
      <w:spacing w:before="120" w:after="120"/>
      <w:ind w:left="1134" w:right="1134"/>
    </w:pPr>
    <w:rPr>
      <w:rFonts w:asciiTheme="minorHAnsi" w:eastAsiaTheme="minorHAnsi" w:hAnsiTheme="minorHAnsi" w:cstheme="minorBidi"/>
      <w:color w:val="2F2F2F" w:themeColor="accent3" w:themeShade="80"/>
      <w:sz w:val="22"/>
      <w:szCs w:val="22"/>
      <w:lang w:val="en-GB"/>
    </w:rPr>
  </w:style>
  <w:style w:type="paragraph" w:customStyle="1" w:styleId="ECHRDecisionBody">
    <w:name w:val="ECHR_Decision_Body"/>
    <w:basedOn w:val="NormalJustified"/>
    <w:uiPriority w:val="54"/>
    <w:semiHidden/>
    <w:rsid w:val="001A5067"/>
    <w:pPr>
      <w:tabs>
        <w:tab w:val="left" w:pos="567"/>
        <w:tab w:val="left" w:pos="1134"/>
      </w:tabs>
      <w:spacing w:line="240" w:lineRule="exact"/>
      <w:jc w:val="left"/>
    </w:pPr>
    <w:rPr>
      <w:rFonts w:eastAsiaTheme="minorEastAsia"/>
    </w:rPr>
  </w:style>
  <w:style w:type="paragraph" w:customStyle="1" w:styleId="ECHRDivisionName">
    <w:name w:val="ECHR_DivisionName"/>
    <w:aliases w:val="Div_Name"/>
    <w:basedOn w:val="Normal"/>
    <w:link w:val="ECHRDivisionNameChar"/>
    <w:uiPriority w:val="36"/>
    <w:qFormat/>
    <w:rsid w:val="001A5067"/>
    <w:rPr>
      <w:rFonts w:asciiTheme="minorHAnsi" w:eastAsiaTheme="minorHAnsi" w:hAnsiTheme="minorHAnsi" w:cstheme="minorBidi"/>
      <w:b/>
      <w:color w:val="0072BC" w:themeColor="accent1"/>
      <w:sz w:val="22"/>
      <w:szCs w:val="22"/>
      <w:lang w:val="en-GB"/>
    </w:rPr>
  </w:style>
  <w:style w:type="character" w:customStyle="1" w:styleId="ECHRDivisionNameChar">
    <w:name w:val="ECHR_DivisionName Char"/>
    <w:aliases w:val="Div_Name Char"/>
    <w:basedOn w:val="DefaultParagraphFont"/>
    <w:link w:val="ECHRDivisionName"/>
    <w:uiPriority w:val="36"/>
    <w:rsid w:val="001A5067"/>
    <w:rPr>
      <w:b/>
      <w:color w:val="0072BC" w:themeColor="accent1"/>
    </w:rPr>
  </w:style>
  <w:style w:type="table" w:customStyle="1" w:styleId="ECHRDNTable">
    <w:name w:val="ECHR_DN_Table"/>
    <w:aliases w:val="DN_Table"/>
    <w:basedOn w:val="TableNormal"/>
    <w:uiPriority w:val="99"/>
    <w:rsid w:val="001A5067"/>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Footer">
    <w:name w:val="footer"/>
    <w:basedOn w:val="Normal"/>
    <w:link w:val="FooterChar"/>
    <w:uiPriority w:val="49"/>
    <w:semiHidden/>
    <w:rsid w:val="001A5067"/>
    <w:pPr>
      <w:tabs>
        <w:tab w:val="center" w:pos="4536"/>
        <w:tab w:val="right" w:pos="9696"/>
      </w:tabs>
      <w:ind w:left="-680" w:right="-680"/>
    </w:pPr>
    <w:rPr>
      <w:rFonts w:asciiTheme="minorHAnsi" w:eastAsiaTheme="minorHAnsi" w:hAnsiTheme="minorHAnsi" w:cstheme="minorBidi"/>
      <w:sz w:val="22"/>
      <w:szCs w:val="22"/>
      <w:lang w:val="en-GB"/>
    </w:rPr>
  </w:style>
  <w:style w:type="character" w:customStyle="1" w:styleId="FooterChar">
    <w:name w:val="Footer Char"/>
    <w:basedOn w:val="DefaultParagraphFont"/>
    <w:link w:val="Footer"/>
    <w:uiPriority w:val="49"/>
    <w:semiHidden/>
    <w:rsid w:val="000D523D"/>
  </w:style>
  <w:style w:type="paragraph" w:customStyle="1" w:styleId="ECHRFooter">
    <w:name w:val="ECHR_Footer"/>
    <w:aliases w:val="Footer_ECHR"/>
    <w:basedOn w:val="Footer"/>
    <w:uiPriority w:val="47"/>
    <w:rsid w:val="001A5067"/>
    <w:rPr>
      <w:sz w:val="8"/>
    </w:rPr>
  </w:style>
  <w:style w:type="paragraph" w:customStyle="1" w:styleId="ECHRFooterLine">
    <w:name w:val="ECHR_Footer_Line"/>
    <w:aliases w:val="Footer_Line"/>
    <w:basedOn w:val="Normal"/>
    <w:next w:val="ECHRPara"/>
    <w:uiPriority w:val="48"/>
    <w:rsid w:val="001A5067"/>
    <w:pPr>
      <w:pBdr>
        <w:top w:val="single" w:sz="8" w:space="1" w:color="7F7F7F" w:themeColor="text1" w:themeTint="80"/>
      </w:pBdr>
      <w:tabs>
        <w:tab w:val="center" w:pos="4536"/>
        <w:tab w:val="right" w:pos="9696"/>
      </w:tabs>
      <w:ind w:left="-680" w:right="-680"/>
    </w:pPr>
    <w:rPr>
      <w:color w:val="474747" w:themeColor="accent3" w:themeShade="BF"/>
    </w:rPr>
  </w:style>
  <w:style w:type="paragraph" w:customStyle="1" w:styleId="ECHRFooterLineLandscape">
    <w:name w:val="ECHR_Footer_Line_Landscape"/>
    <w:aliases w:val="Footer_Line_Landscape"/>
    <w:basedOn w:val="ECHRFooterLine"/>
    <w:uiPriority w:val="49"/>
    <w:rsid w:val="001A5067"/>
    <w:pPr>
      <w:tabs>
        <w:tab w:val="clear" w:pos="4536"/>
        <w:tab w:val="clear" w:pos="9696"/>
        <w:tab w:val="center" w:pos="6787"/>
        <w:tab w:val="right" w:pos="14640"/>
      </w:tabs>
    </w:pPr>
  </w:style>
  <w:style w:type="paragraph" w:styleId="Header">
    <w:name w:val="header"/>
    <w:basedOn w:val="Normal"/>
    <w:link w:val="HeaderChar"/>
    <w:uiPriority w:val="48"/>
    <w:semiHidden/>
    <w:rsid w:val="001A5067"/>
    <w:pPr>
      <w:tabs>
        <w:tab w:val="center" w:pos="4536"/>
        <w:tab w:val="right" w:pos="9696"/>
      </w:tabs>
      <w:ind w:left="-680" w:right="-680"/>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48"/>
    <w:semiHidden/>
    <w:rsid w:val="000D523D"/>
  </w:style>
  <w:style w:type="paragraph" w:customStyle="1" w:styleId="ECHRHeader">
    <w:name w:val="ECHR_Header"/>
    <w:aliases w:val="Top_Header"/>
    <w:basedOn w:val="Header"/>
    <w:uiPriority w:val="46"/>
    <w:rsid w:val="001A5067"/>
    <w:rPr>
      <w:sz w:val="8"/>
    </w:rPr>
  </w:style>
  <w:style w:type="paragraph" w:customStyle="1" w:styleId="ECHRHeaderDate">
    <w:name w:val="ECHR_Header_Date"/>
    <w:aliases w:val="Ref_Date"/>
    <w:basedOn w:val="Normal"/>
    <w:uiPriority w:val="39"/>
    <w:qFormat/>
    <w:rsid w:val="001A5067"/>
    <w:pPr>
      <w:jc w:val="right"/>
    </w:pPr>
    <w:rPr>
      <w:rFonts w:asciiTheme="minorHAnsi" w:eastAsiaTheme="minorHAnsi" w:hAnsiTheme="minorHAnsi" w:cstheme="minorBidi"/>
      <w:szCs w:val="22"/>
      <w:lang w:val="en-GB"/>
    </w:rPr>
  </w:style>
  <w:style w:type="paragraph" w:customStyle="1" w:styleId="ECHRHeaderLandscape">
    <w:name w:val="ECHR_Header_Landscape"/>
    <w:aliases w:val="Header_Landscape"/>
    <w:basedOn w:val="Header"/>
    <w:uiPriority w:val="46"/>
    <w:rsid w:val="001A5067"/>
    <w:pPr>
      <w:tabs>
        <w:tab w:val="clear" w:pos="4536"/>
        <w:tab w:val="clear" w:pos="9696"/>
        <w:tab w:val="center" w:pos="6787"/>
        <w:tab w:val="right" w:pos="14640"/>
      </w:tabs>
    </w:pPr>
  </w:style>
  <w:style w:type="character" w:customStyle="1" w:styleId="Heading1Char">
    <w:name w:val="Heading 1 Char"/>
    <w:basedOn w:val="DefaultParagraphFont"/>
    <w:link w:val="Heading1"/>
    <w:uiPriority w:val="99"/>
    <w:semiHidden/>
    <w:rsid w:val="000D523D"/>
    <w:rPr>
      <w:rFonts w:asciiTheme="majorHAnsi" w:eastAsiaTheme="majorEastAsia" w:hAnsiTheme="majorHAnsi" w:cstheme="majorBidi"/>
      <w:b/>
      <w:bCs/>
      <w:color w:val="333333"/>
      <w:sz w:val="28"/>
      <w:szCs w:val="28"/>
    </w:rPr>
  </w:style>
  <w:style w:type="paragraph" w:customStyle="1" w:styleId="ECHRHeaderRefIt">
    <w:name w:val="ECHR_Header_Ref_It"/>
    <w:aliases w:val="Ref_Ital"/>
    <w:basedOn w:val="Normal"/>
    <w:next w:val="ECHRHeaderDate"/>
    <w:uiPriority w:val="38"/>
    <w:qFormat/>
    <w:rsid w:val="001A5067"/>
    <w:pPr>
      <w:jc w:val="right"/>
    </w:pPr>
    <w:rPr>
      <w:rFonts w:asciiTheme="minorHAnsi" w:eastAsiaTheme="minorHAnsi" w:hAnsiTheme="minorHAnsi" w:cstheme="minorBidi"/>
      <w:i/>
      <w:szCs w:val="22"/>
      <w:lang w:val="en-GB"/>
    </w:rPr>
  </w:style>
  <w:style w:type="table" w:customStyle="1" w:styleId="ECHRHeaderTable">
    <w:name w:val="ECHR_Header_Table"/>
    <w:basedOn w:val="TableNormal"/>
    <w:uiPriority w:val="99"/>
    <w:rsid w:val="001A5067"/>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Heading2Char">
    <w:name w:val="Heading 2 Char"/>
    <w:basedOn w:val="DefaultParagraphFont"/>
    <w:link w:val="Heading2"/>
    <w:uiPriority w:val="99"/>
    <w:semiHidden/>
    <w:rsid w:val="000D523D"/>
    <w:rPr>
      <w:rFonts w:asciiTheme="majorHAnsi" w:eastAsiaTheme="majorEastAsia" w:hAnsiTheme="majorHAnsi" w:cstheme="majorBidi"/>
      <w:b/>
      <w:bCs/>
      <w:color w:val="4D4D4D"/>
      <w:sz w:val="26"/>
      <w:szCs w:val="26"/>
    </w:rPr>
  </w:style>
  <w:style w:type="table" w:customStyle="1" w:styleId="ECHRHeaderTableReduced">
    <w:name w:val="ECHR_Header_Table_Reduced"/>
    <w:basedOn w:val="TableNormal"/>
    <w:uiPriority w:val="99"/>
    <w:rsid w:val="001A5067"/>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ECHRHeading1">
    <w:name w:val="ECHR_Heading_1"/>
    <w:aliases w:val="Head_1"/>
    <w:basedOn w:val="Heading1"/>
    <w:next w:val="ECHRParaSpaced"/>
    <w:uiPriority w:val="21"/>
    <w:qFormat/>
    <w:rsid w:val="001A5067"/>
    <w:pPr>
      <w:keepNext/>
      <w:keepLines/>
      <w:pBdr>
        <w:bottom w:val="single" w:sz="12" w:space="1" w:color="949494" w:themeColor="text2" w:themeShade="BF"/>
      </w:pBdr>
      <w:spacing w:before="240"/>
    </w:pPr>
    <w:rPr>
      <w:bCs w:val="0"/>
      <w:color w:val="2F2F2F" w:themeColor="accent3" w:themeShade="80"/>
    </w:rPr>
  </w:style>
  <w:style w:type="character" w:customStyle="1" w:styleId="Heading3Char">
    <w:name w:val="Heading 3 Char"/>
    <w:basedOn w:val="DefaultParagraphFont"/>
    <w:link w:val="Heading3"/>
    <w:uiPriority w:val="99"/>
    <w:semiHidden/>
    <w:rsid w:val="000D523D"/>
    <w:rPr>
      <w:rFonts w:asciiTheme="majorHAnsi" w:eastAsiaTheme="majorEastAsia" w:hAnsiTheme="majorHAnsi" w:cstheme="majorBidi"/>
      <w:b/>
      <w:bCs/>
      <w:color w:val="5F5F5F"/>
    </w:rPr>
  </w:style>
  <w:style w:type="paragraph" w:customStyle="1" w:styleId="ECHRHeading2">
    <w:name w:val="ECHR_Heading_2"/>
    <w:aliases w:val="Head_2"/>
    <w:basedOn w:val="Heading2"/>
    <w:next w:val="ECHRParaSpaced"/>
    <w:uiPriority w:val="21"/>
    <w:qFormat/>
    <w:rsid w:val="001A5067"/>
    <w:pPr>
      <w:keepNext/>
      <w:keepLines/>
      <w:spacing w:before="240"/>
      <w:contextualSpacing/>
    </w:pPr>
    <w:rPr>
      <w:bCs w:val="0"/>
      <w:color w:val="2F2F2F" w:themeColor="accent3" w:themeShade="80"/>
      <w:sz w:val="28"/>
    </w:rPr>
  </w:style>
  <w:style w:type="paragraph" w:customStyle="1" w:styleId="ECHRHeading3">
    <w:name w:val="ECHR_Heading_3"/>
    <w:aliases w:val="Head_3"/>
    <w:basedOn w:val="Heading3"/>
    <w:next w:val="ECHRParaSpaced"/>
    <w:uiPriority w:val="21"/>
    <w:qFormat/>
    <w:rsid w:val="001A5067"/>
    <w:pPr>
      <w:keepNext/>
      <w:keepLines/>
      <w:spacing w:before="240" w:line="240" w:lineRule="auto"/>
      <w:contextualSpacing/>
    </w:pPr>
    <w:rPr>
      <w:bCs w:val="0"/>
      <w:color w:val="2F2F2F" w:themeColor="accent3" w:themeShade="80"/>
      <w:sz w:val="24"/>
    </w:rPr>
  </w:style>
  <w:style w:type="character" w:customStyle="1" w:styleId="Heading4Char">
    <w:name w:val="Heading 4 Char"/>
    <w:basedOn w:val="DefaultParagraphFont"/>
    <w:link w:val="Heading4"/>
    <w:uiPriority w:val="99"/>
    <w:semiHidden/>
    <w:rsid w:val="000D523D"/>
    <w:rPr>
      <w:rFonts w:asciiTheme="majorHAnsi" w:eastAsiaTheme="majorEastAsia" w:hAnsiTheme="majorHAnsi" w:cstheme="majorBidi"/>
      <w:b/>
      <w:bCs/>
      <w:i/>
      <w:iCs/>
      <w:color w:val="777777"/>
    </w:rPr>
  </w:style>
  <w:style w:type="paragraph" w:customStyle="1" w:styleId="ECHRHeading4">
    <w:name w:val="ECHR_Heading_4"/>
    <w:aliases w:val="Head_4"/>
    <w:basedOn w:val="Heading4"/>
    <w:next w:val="ECHRParaSpaced"/>
    <w:uiPriority w:val="21"/>
    <w:qFormat/>
    <w:rsid w:val="001A5067"/>
    <w:pPr>
      <w:keepNext/>
      <w:keepLines/>
      <w:spacing w:before="240"/>
      <w:contextualSpacing/>
    </w:pPr>
    <w:rPr>
      <w:bCs w:val="0"/>
      <w:i w:val="0"/>
      <w:iCs w:val="0"/>
      <w:color w:val="5F5F5F" w:themeColor="accent3"/>
      <w:sz w:val="24"/>
    </w:rPr>
  </w:style>
  <w:style w:type="character" w:customStyle="1" w:styleId="Heading5Char">
    <w:name w:val="Heading 5 Char"/>
    <w:basedOn w:val="DefaultParagraphFont"/>
    <w:link w:val="Heading5"/>
    <w:uiPriority w:val="99"/>
    <w:semiHidden/>
    <w:rsid w:val="000D523D"/>
    <w:rPr>
      <w:rFonts w:asciiTheme="majorHAnsi" w:eastAsiaTheme="majorEastAsia" w:hAnsiTheme="majorHAnsi" w:cstheme="majorBidi"/>
      <w:b/>
      <w:bCs/>
      <w:color w:val="808080"/>
    </w:rPr>
  </w:style>
  <w:style w:type="paragraph" w:customStyle="1" w:styleId="ECHRHeading5">
    <w:name w:val="ECHR_Heading_5"/>
    <w:aliases w:val="Head_5"/>
    <w:basedOn w:val="Heading5"/>
    <w:next w:val="ECHRParaSpaced"/>
    <w:uiPriority w:val="21"/>
    <w:qFormat/>
    <w:rsid w:val="001A5067"/>
    <w:pPr>
      <w:keepNext/>
      <w:keepLines/>
      <w:spacing w:before="240"/>
      <w:contextualSpacing/>
    </w:pPr>
    <w:rPr>
      <w:bCs w:val="0"/>
      <w:color w:val="5F5F5F" w:themeColor="accent3"/>
      <w:u w:val="single"/>
    </w:rPr>
  </w:style>
  <w:style w:type="paragraph" w:customStyle="1" w:styleId="ECHRHeading6">
    <w:name w:val="ECHR_Heading_6"/>
    <w:aliases w:val="Head_6"/>
    <w:basedOn w:val="Heading6"/>
    <w:next w:val="ECHRParaSpaced"/>
    <w:uiPriority w:val="21"/>
    <w:rsid w:val="001A5067"/>
    <w:pPr>
      <w:keepNext/>
      <w:keepLines/>
      <w:spacing w:before="240" w:line="240" w:lineRule="auto"/>
      <w:contextualSpacing/>
    </w:pPr>
    <w:rPr>
      <w:color w:val="474747" w:themeColor="accent3" w:themeShade="BF"/>
      <w:sz w:val="20"/>
    </w:rPr>
  </w:style>
  <w:style w:type="paragraph" w:customStyle="1" w:styleId="ECHRHeading7">
    <w:name w:val="ECHR_Heading_7"/>
    <w:aliases w:val="Head_7"/>
    <w:basedOn w:val="Heading7"/>
    <w:next w:val="ECHRParaSpaced"/>
    <w:uiPriority w:val="21"/>
    <w:rsid w:val="001A5067"/>
    <w:pPr>
      <w:keepNext/>
      <w:keepLines/>
      <w:spacing w:before="240"/>
      <w:contextualSpacing/>
    </w:pPr>
    <w:rPr>
      <w:b/>
      <w:i w:val="0"/>
      <w:color w:val="474747" w:themeColor="accent3" w:themeShade="BF"/>
      <w:sz w:val="20"/>
    </w:rPr>
  </w:style>
  <w:style w:type="paragraph" w:customStyle="1" w:styleId="ECHRLine">
    <w:name w:val="ECHR_Line"/>
    <w:basedOn w:val="NormalJustified"/>
    <w:next w:val="Normal"/>
    <w:uiPriority w:val="22"/>
    <w:rsid w:val="001A5067"/>
    <w:pPr>
      <w:pBdr>
        <w:bottom w:val="single" w:sz="12" w:space="1" w:color="949494" w:themeColor="text2" w:themeShade="BF"/>
      </w:pBdr>
      <w:spacing w:after="120"/>
    </w:pPr>
    <w:rPr>
      <w:sz w:val="12"/>
    </w:rPr>
  </w:style>
  <w:style w:type="table" w:customStyle="1" w:styleId="ECHRListTable">
    <w:name w:val="ECHR_List_Table"/>
    <w:basedOn w:val="TableNormal"/>
    <w:uiPriority w:val="99"/>
    <w:rsid w:val="001A5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ECHRNumberedList1">
    <w:name w:val="ECHR_Numbered_List_1"/>
    <w:aliases w:val="Num_1"/>
    <w:basedOn w:val="Normal"/>
    <w:uiPriority w:val="12"/>
    <w:qFormat/>
    <w:rsid w:val="001A5067"/>
    <w:pPr>
      <w:numPr>
        <w:numId w:val="31"/>
      </w:numPr>
      <w:spacing w:before="60" w:after="60"/>
    </w:pPr>
    <w:rPr>
      <w:rFonts w:asciiTheme="minorHAnsi" w:eastAsiaTheme="minorEastAsia" w:hAnsiTheme="minorHAnsi" w:cstheme="minorBidi"/>
      <w:sz w:val="22"/>
      <w:szCs w:val="22"/>
      <w:lang w:val="en-GB"/>
    </w:rPr>
  </w:style>
  <w:style w:type="paragraph" w:customStyle="1" w:styleId="ECHRNumberedList2">
    <w:name w:val="ECHR_Numbered_List_2"/>
    <w:aliases w:val="Num_2"/>
    <w:basedOn w:val="ECHRNumberedList1"/>
    <w:uiPriority w:val="12"/>
    <w:rsid w:val="001A5067"/>
    <w:pPr>
      <w:numPr>
        <w:ilvl w:val="1"/>
      </w:numPr>
    </w:pPr>
  </w:style>
  <w:style w:type="paragraph" w:customStyle="1" w:styleId="ECHRNumberedList3">
    <w:name w:val="ECHR_Numbered_List_3"/>
    <w:aliases w:val="Num_3"/>
    <w:basedOn w:val="ECHRNumberedList2"/>
    <w:uiPriority w:val="12"/>
    <w:rsid w:val="001A5067"/>
    <w:pPr>
      <w:numPr>
        <w:ilvl w:val="2"/>
      </w:numPr>
    </w:pPr>
  </w:style>
  <w:style w:type="paragraph" w:customStyle="1" w:styleId="ECHRParaSpaced">
    <w:name w:val="ECHR_Para_Spaced"/>
    <w:aliases w:val="Para_Spaced"/>
    <w:basedOn w:val="ECHRPara"/>
    <w:uiPriority w:val="4"/>
    <w:qFormat/>
    <w:rsid w:val="001A5067"/>
    <w:pPr>
      <w:spacing w:before="120" w:after="120"/>
    </w:pPr>
  </w:style>
  <w:style w:type="paragraph" w:customStyle="1" w:styleId="ECHRParaQuote">
    <w:name w:val="ECHR_Para_Quote"/>
    <w:aliases w:val="Para_Quote"/>
    <w:basedOn w:val="ECHRParaSpaced"/>
    <w:next w:val="ECHRParaSpaced"/>
    <w:uiPriority w:val="9"/>
    <w:qFormat/>
    <w:rsid w:val="001A5067"/>
    <w:pPr>
      <w:ind w:left="567"/>
    </w:pPr>
    <w:rPr>
      <w:sz w:val="20"/>
    </w:rPr>
  </w:style>
  <w:style w:type="character" w:customStyle="1" w:styleId="ECHRRed">
    <w:name w:val="ECHR_Red"/>
    <w:aliases w:val="Red"/>
    <w:basedOn w:val="DefaultParagraphFont"/>
    <w:uiPriority w:val="19"/>
    <w:qFormat/>
    <w:rsid w:val="001A5067"/>
    <w:rPr>
      <w:color w:val="C00000" w:themeColor="accent2"/>
    </w:rPr>
  </w:style>
  <w:style w:type="paragraph" w:customStyle="1" w:styleId="ECHRSpacer">
    <w:name w:val="ECHR_Spacer"/>
    <w:basedOn w:val="Normal"/>
    <w:uiPriority w:val="45"/>
    <w:rsid w:val="001A5067"/>
    <w:rPr>
      <w:sz w:val="4"/>
    </w:rPr>
  </w:style>
  <w:style w:type="table" w:customStyle="1" w:styleId="ECHRTable">
    <w:name w:val="ECHR_Table"/>
    <w:basedOn w:val="TableNormal"/>
    <w:rsid w:val="001A5067"/>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A506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customStyle="1" w:styleId="Heading6Char">
    <w:name w:val="Heading 6 Char"/>
    <w:basedOn w:val="DefaultParagraphFont"/>
    <w:link w:val="Heading6"/>
    <w:uiPriority w:val="99"/>
    <w:semiHidden/>
    <w:rsid w:val="000D523D"/>
    <w:rPr>
      <w:rFonts w:asciiTheme="majorHAnsi" w:eastAsiaTheme="majorEastAsia" w:hAnsiTheme="majorHAnsi" w:cstheme="majorBidi"/>
      <w:b/>
      <w:bCs/>
      <w:i/>
      <w:iCs/>
      <w:color w:val="7F7F7F" w:themeColor="text1" w:themeTint="80"/>
      <w:lang w:bidi="en-US"/>
    </w:rPr>
  </w:style>
  <w:style w:type="character" w:customStyle="1" w:styleId="Heading7Char">
    <w:name w:val="Heading 7 Char"/>
    <w:basedOn w:val="DefaultParagraphFont"/>
    <w:link w:val="Heading7"/>
    <w:uiPriority w:val="99"/>
    <w:semiHidden/>
    <w:rsid w:val="000D523D"/>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D523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D523D"/>
    <w:rPr>
      <w:rFonts w:asciiTheme="majorHAnsi" w:eastAsiaTheme="majorEastAsia" w:hAnsiTheme="majorHAnsi" w:cstheme="majorBidi"/>
      <w:i/>
      <w:iCs/>
      <w:spacing w:val="5"/>
      <w:sz w:val="20"/>
      <w:szCs w:val="20"/>
      <w:lang w:bidi="en-US"/>
    </w:rPr>
  </w:style>
  <w:style w:type="table" w:customStyle="1" w:styleId="ECHRTableFax">
    <w:name w:val="ECHR_Table_Fax"/>
    <w:basedOn w:val="TableNormal"/>
    <w:uiPriority w:val="99"/>
    <w:rsid w:val="001A5067"/>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1A506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1A5067"/>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TableNoLines">
    <w:name w:val="ECHR_Table_No_Lines"/>
    <w:basedOn w:val="TableNormal"/>
    <w:uiPriority w:val="99"/>
    <w:rsid w:val="001A5067"/>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OddBanded">
    <w:name w:val="ECHR_Table_Odd_Banded"/>
    <w:basedOn w:val="TableNormal"/>
    <w:uiPriority w:val="99"/>
    <w:rsid w:val="001A5067"/>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TableSimpleBox">
    <w:name w:val="ECHR_Table_Simple_Box"/>
    <w:basedOn w:val="TableNormal"/>
    <w:uiPriority w:val="99"/>
    <w:rsid w:val="001A5067"/>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paragraph" w:customStyle="1" w:styleId="ECHRTitle1">
    <w:name w:val="ECHR_Title_1"/>
    <w:aliases w:val="Title_L_1"/>
    <w:basedOn w:val="Normal"/>
    <w:next w:val="ECHRParaSpaced"/>
    <w:uiPriority w:val="29"/>
    <w:qFormat/>
    <w:rsid w:val="001A5067"/>
    <w:pPr>
      <w:keepNext/>
      <w:keepLines/>
      <w:spacing w:before="240"/>
      <w:contextualSpacing/>
    </w:pPr>
    <w:rPr>
      <w:rFonts w:asciiTheme="majorHAnsi" w:eastAsiaTheme="minorHAnsi" w:hAnsiTheme="majorHAnsi" w:cstheme="minorBidi"/>
      <w:b/>
      <w:color w:val="2F2F2F" w:themeColor="accent3" w:themeShade="80"/>
      <w:sz w:val="32"/>
      <w:szCs w:val="22"/>
      <w:lang w:val="en-GB"/>
    </w:rPr>
  </w:style>
  <w:style w:type="paragraph" w:customStyle="1" w:styleId="ECHRTitle2">
    <w:name w:val="ECHR_Title_2"/>
    <w:aliases w:val="Title_L_2"/>
    <w:basedOn w:val="Normal"/>
    <w:next w:val="ECHRParaSpaced"/>
    <w:uiPriority w:val="29"/>
    <w:qFormat/>
    <w:rsid w:val="001A5067"/>
    <w:pPr>
      <w:keepNext/>
      <w:keepLines/>
      <w:spacing w:before="240"/>
      <w:contextualSpacing/>
    </w:pPr>
    <w:rPr>
      <w:rFonts w:asciiTheme="majorHAnsi" w:eastAsiaTheme="minorHAnsi" w:hAnsiTheme="majorHAnsi" w:cstheme="minorBidi"/>
      <w:b/>
      <w:color w:val="474747" w:themeColor="accent3" w:themeShade="BF"/>
      <w:sz w:val="28"/>
      <w:szCs w:val="22"/>
      <w:lang w:val="en-GB"/>
    </w:rPr>
  </w:style>
  <w:style w:type="paragraph" w:customStyle="1" w:styleId="ECHRTitle3">
    <w:name w:val="ECHR_Title_3"/>
    <w:aliases w:val="Title_L_3"/>
    <w:basedOn w:val="Normal"/>
    <w:next w:val="ECHRParaSpaced"/>
    <w:uiPriority w:val="29"/>
    <w:qFormat/>
    <w:rsid w:val="001A5067"/>
    <w:pPr>
      <w:keepNext/>
      <w:keepLines/>
      <w:spacing w:before="240"/>
      <w:contextualSpacing/>
    </w:pPr>
    <w:rPr>
      <w:rFonts w:asciiTheme="majorHAnsi" w:eastAsiaTheme="minorHAnsi" w:hAnsiTheme="majorHAnsi" w:cstheme="minorBidi"/>
      <w:b/>
      <w:color w:val="474747" w:themeColor="accent3" w:themeShade="BF"/>
      <w:sz w:val="24"/>
      <w:szCs w:val="22"/>
      <w:lang w:val="en-GB"/>
    </w:rPr>
  </w:style>
  <w:style w:type="paragraph" w:customStyle="1" w:styleId="ECHRTitleCentre1">
    <w:name w:val="ECHR_Title_Centre_1"/>
    <w:aliases w:val="Title_C_1"/>
    <w:basedOn w:val="Normal"/>
    <w:next w:val="ECHRParaSpaced"/>
    <w:uiPriority w:val="26"/>
    <w:qFormat/>
    <w:rsid w:val="001A5067"/>
    <w:pPr>
      <w:keepNext/>
      <w:keepLines/>
      <w:spacing w:before="240"/>
      <w:contextualSpacing/>
      <w:jc w:val="center"/>
    </w:pPr>
    <w:rPr>
      <w:rFonts w:asciiTheme="majorHAnsi" w:eastAsiaTheme="minorHAnsi" w:hAnsiTheme="majorHAnsi" w:cstheme="minorBidi"/>
      <w:b/>
      <w:color w:val="2F2F2F" w:themeColor="accent3" w:themeShade="80"/>
      <w:sz w:val="32"/>
      <w:szCs w:val="22"/>
      <w:lang w:val="en-GB"/>
    </w:rPr>
  </w:style>
  <w:style w:type="paragraph" w:customStyle="1" w:styleId="ECHRTitleCentre2">
    <w:name w:val="ECHR_Title_Centre_2"/>
    <w:aliases w:val="Title_C_2"/>
    <w:basedOn w:val="Normal"/>
    <w:next w:val="ECHRParaSpaced"/>
    <w:uiPriority w:val="26"/>
    <w:qFormat/>
    <w:rsid w:val="001A5067"/>
    <w:pPr>
      <w:keepNext/>
      <w:keepLines/>
      <w:spacing w:before="240"/>
      <w:contextualSpacing/>
      <w:jc w:val="center"/>
    </w:pPr>
    <w:rPr>
      <w:rFonts w:asciiTheme="majorHAnsi" w:eastAsiaTheme="minorHAnsi" w:hAnsiTheme="majorHAnsi" w:cstheme="minorBidi"/>
      <w:b/>
      <w:color w:val="474747" w:themeColor="accent3" w:themeShade="BF"/>
      <w:sz w:val="28"/>
      <w:szCs w:val="22"/>
      <w:lang w:val="en-GB"/>
    </w:rPr>
  </w:style>
  <w:style w:type="paragraph" w:customStyle="1" w:styleId="ECHRTitleCentre3">
    <w:name w:val="ECHR_Title_Centre_3"/>
    <w:aliases w:val="Title_C_3"/>
    <w:basedOn w:val="Normal"/>
    <w:next w:val="ECHRParaSpaced"/>
    <w:uiPriority w:val="26"/>
    <w:qFormat/>
    <w:rsid w:val="001A5067"/>
    <w:pPr>
      <w:keepNext/>
      <w:keepLines/>
      <w:spacing w:before="240"/>
      <w:contextualSpacing/>
      <w:jc w:val="center"/>
    </w:pPr>
    <w:rPr>
      <w:rFonts w:asciiTheme="majorHAnsi" w:eastAsiaTheme="minorHAnsi" w:hAnsiTheme="majorHAnsi" w:cstheme="minorBidi"/>
      <w:b/>
      <w:color w:val="474747" w:themeColor="accent3" w:themeShade="BF"/>
      <w:sz w:val="24"/>
      <w:szCs w:val="22"/>
      <w:lang w:val="en-GB"/>
    </w:rPr>
  </w:style>
  <w:style w:type="paragraph" w:customStyle="1" w:styleId="ECHRTitleCentreTOC1">
    <w:name w:val="ECHR_Title_Centre_TOC_1"/>
    <w:aliases w:val="Title_C_TOC"/>
    <w:basedOn w:val="ECHRTitleCentre1"/>
    <w:next w:val="ECHRHeading1"/>
    <w:uiPriority w:val="25"/>
    <w:qFormat/>
    <w:rsid w:val="001A5067"/>
    <w:pPr>
      <w:outlineLvl w:val="0"/>
    </w:pPr>
  </w:style>
  <w:style w:type="paragraph" w:customStyle="1" w:styleId="ECHRTitleTOC1">
    <w:name w:val="ECHR_Title_TOC_1"/>
    <w:aliases w:val="Title_L_TOC"/>
    <w:basedOn w:val="ECHRTitle1"/>
    <w:next w:val="ECHRHeading1"/>
    <w:uiPriority w:val="28"/>
    <w:qFormat/>
    <w:rsid w:val="001A5067"/>
    <w:pPr>
      <w:outlineLvl w:val="0"/>
    </w:pPr>
  </w:style>
  <w:style w:type="character" w:styleId="Emphasis">
    <w:name w:val="Emphasis"/>
    <w:uiPriority w:val="99"/>
    <w:semiHidden/>
    <w:qFormat/>
    <w:rsid w:val="001A5067"/>
    <w:rPr>
      <w:b/>
      <w:bCs/>
      <w:i/>
      <w:iCs/>
      <w:spacing w:val="10"/>
      <w:bdr w:val="none" w:sz="0" w:space="0" w:color="auto"/>
      <w:shd w:val="clear" w:color="auto" w:fill="auto"/>
    </w:rPr>
  </w:style>
  <w:style w:type="character" w:styleId="FootnoteReference">
    <w:name w:val="footnote reference"/>
    <w:basedOn w:val="DefaultParagraphFont"/>
    <w:semiHidden/>
    <w:rsid w:val="001A5067"/>
    <w:rPr>
      <w:vertAlign w:val="superscript"/>
    </w:rPr>
  </w:style>
  <w:style w:type="paragraph" w:styleId="FootnoteText">
    <w:name w:val="footnote text"/>
    <w:basedOn w:val="NormalJustified"/>
    <w:link w:val="FootnoteTextChar"/>
    <w:semiHidden/>
    <w:rsid w:val="001A5067"/>
    <w:rPr>
      <w:sz w:val="20"/>
      <w:szCs w:val="20"/>
    </w:rPr>
  </w:style>
  <w:style w:type="character" w:customStyle="1" w:styleId="FootnoteTextChar">
    <w:name w:val="Footnote Text Char"/>
    <w:basedOn w:val="DefaultParagraphFont"/>
    <w:link w:val="FootnoteText"/>
    <w:uiPriority w:val="99"/>
    <w:semiHidden/>
    <w:rsid w:val="000D523D"/>
    <w:rPr>
      <w:sz w:val="20"/>
      <w:szCs w:val="20"/>
    </w:rPr>
  </w:style>
  <w:style w:type="character" w:styleId="Hyperlink">
    <w:name w:val="Hyperlink"/>
    <w:basedOn w:val="DefaultParagraphFont"/>
    <w:rsid w:val="001A5067"/>
    <w:rPr>
      <w:color w:val="0072BC" w:themeColor="hyperlink"/>
      <w:u w:val="single"/>
    </w:rPr>
  </w:style>
  <w:style w:type="character" w:styleId="IntenseEmphasis">
    <w:name w:val="Intense Emphasis"/>
    <w:uiPriority w:val="99"/>
    <w:semiHidden/>
    <w:qFormat/>
    <w:rsid w:val="001A5067"/>
    <w:rPr>
      <w:b/>
      <w:bCs/>
    </w:rPr>
  </w:style>
  <w:style w:type="paragraph" w:styleId="IntenseQuote">
    <w:name w:val="Intense Quote"/>
    <w:basedOn w:val="Normal"/>
    <w:next w:val="Normal"/>
    <w:link w:val="IntenseQuoteChar"/>
    <w:uiPriority w:val="99"/>
    <w:semiHidden/>
    <w:qFormat/>
    <w:rsid w:val="001A5067"/>
    <w:pPr>
      <w:pBdr>
        <w:bottom w:val="single" w:sz="4" w:space="1" w:color="auto"/>
      </w:pBdr>
      <w:spacing w:before="200" w:after="280"/>
      <w:ind w:left="1008" w:right="1152"/>
    </w:pPr>
    <w:rPr>
      <w:rFonts w:asciiTheme="minorHAnsi" w:eastAsiaTheme="minorHAnsi" w:hAnsiTheme="minorHAnsi" w:cstheme="minorBidi"/>
      <w:b/>
      <w:bCs/>
      <w:i/>
      <w:iCs/>
      <w:sz w:val="22"/>
      <w:szCs w:val="22"/>
      <w:lang w:val="en-GB" w:bidi="en-US"/>
    </w:rPr>
  </w:style>
  <w:style w:type="character" w:customStyle="1" w:styleId="IntenseQuoteChar">
    <w:name w:val="Intense Quote Char"/>
    <w:basedOn w:val="DefaultParagraphFont"/>
    <w:link w:val="IntenseQuote"/>
    <w:uiPriority w:val="99"/>
    <w:semiHidden/>
    <w:rsid w:val="000D523D"/>
    <w:rPr>
      <w:b/>
      <w:bCs/>
      <w:i/>
      <w:iCs/>
      <w:lang w:bidi="en-US"/>
    </w:rPr>
  </w:style>
  <w:style w:type="character" w:styleId="IntenseReference">
    <w:name w:val="Intense Reference"/>
    <w:uiPriority w:val="99"/>
    <w:semiHidden/>
    <w:qFormat/>
    <w:rsid w:val="001A5067"/>
    <w:rPr>
      <w:smallCaps/>
      <w:spacing w:val="5"/>
      <w:u w:val="single"/>
    </w:rPr>
  </w:style>
  <w:style w:type="paragraph" w:styleId="ListParagraph">
    <w:name w:val="List Paragraph"/>
    <w:basedOn w:val="Normal"/>
    <w:uiPriority w:val="99"/>
    <w:semiHidden/>
    <w:qFormat/>
    <w:rsid w:val="001A5067"/>
    <w:pPr>
      <w:ind w:left="720"/>
      <w:contextualSpacing/>
    </w:pPr>
    <w:rPr>
      <w:rFonts w:asciiTheme="minorHAnsi" w:eastAsiaTheme="minorHAnsi" w:hAnsiTheme="minorHAnsi" w:cstheme="minorBidi"/>
      <w:sz w:val="22"/>
      <w:szCs w:val="22"/>
      <w:lang w:val="en-GB"/>
    </w:rPr>
  </w:style>
  <w:style w:type="table" w:customStyle="1" w:styleId="LtrTableAddress">
    <w:name w:val="Ltr_Table_Address"/>
    <w:basedOn w:val="TableNormal"/>
    <w:uiPriority w:val="99"/>
    <w:rsid w:val="001A5067"/>
    <w:tblPr>
      <w:tblInd w:w="5103" w:type="dxa"/>
    </w:tblPr>
  </w:style>
  <w:style w:type="paragraph" w:styleId="NoSpacing">
    <w:name w:val="No Spacing"/>
    <w:basedOn w:val="Normal"/>
    <w:link w:val="NoSpacingChar"/>
    <w:semiHidden/>
    <w:qFormat/>
    <w:rsid w:val="001A5067"/>
    <w:rPr>
      <w:rFonts w:asciiTheme="minorHAnsi" w:eastAsiaTheme="minorHAnsi" w:hAnsiTheme="minorHAnsi" w:cstheme="minorBidi"/>
      <w:sz w:val="22"/>
      <w:szCs w:val="22"/>
      <w:lang w:val="en-GB"/>
    </w:rPr>
  </w:style>
  <w:style w:type="character" w:customStyle="1" w:styleId="NoSpacingChar">
    <w:name w:val="No Spacing Char"/>
    <w:basedOn w:val="DefaultParagraphFont"/>
    <w:link w:val="NoSpacing"/>
    <w:semiHidden/>
    <w:rsid w:val="000D523D"/>
  </w:style>
  <w:style w:type="table" w:customStyle="1" w:styleId="PCFTableStyle">
    <w:name w:val="PCF_Table_Style"/>
    <w:basedOn w:val="TableNormal"/>
    <w:uiPriority w:val="99"/>
    <w:rsid w:val="001A5067"/>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character" w:styleId="PlaceholderText">
    <w:name w:val="Placeholder Text"/>
    <w:basedOn w:val="DefaultParagraphFont"/>
    <w:uiPriority w:val="99"/>
    <w:rsid w:val="001A5067"/>
    <w:rPr>
      <w:color w:val="auto"/>
      <w:bdr w:val="none" w:sz="0" w:space="0" w:color="auto"/>
      <w:shd w:val="clear" w:color="auto" w:fill="BEE5FF" w:themeFill="background1" w:themeFillTint="33"/>
    </w:rPr>
  </w:style>
  <w:style w:type="paragraph" w:styleId="Quote">
    <w:name w:val="Quote"/>
    <w:basedOn w:val="Normal"/>
    <w:next w:val="Normal"/>
    <w:link w:val="QuoteChar"/>
    <w:uiPriority w:val="99"/>
    <w:semiHidden/>
    <w:qFormat/>
    <w:rsid w:val="001A5067"/>
    <w:pPr>
      <w:spacing w:before="200"/>
      <w:ind w:left="360" w:right="360"/>
    </w:pPr>
    <w:rPr>
      <w:rFonts w:asciiTheme="minorHAnsi" w:eastAsiaTheme="minorHAnsi" w:hAnsiTheme="minorHAnsi" w:cstheme="minorBidi"/>
      <w:i/>
      <w:iCs/>
      <w:sz w:val="22"/>
      <w:szCs w:val="22"/>
      <w:lang w:val="en-GB" w:bidi="en-US"/>
    </w:rPr>
  </w:style>
  <w:style w:type="character" w:customStyle="1" w:styleId="QuoteChar">
    <w:name w:val="Quote Char"/>
    <w:basedOn w:val="DefaultParagraphFont"/>
    <w:link w:val="Quote"/>
    <w:uiPriority w:val="99"/>
    <w:semiHidden/>
    <w:rsid w:val="000D523D"/>
    <w:rPr>
      <w:i/>
      <w:iCs/>
      <w:lang w:bidi="en-US"/>
    </w:rPr>
  </w:style>
  <w:style w:type="character" w:styleId="Strong">
    <w:name w:val="Strong"/>
    <w:uiPriority w:val="99"/>
    <w:semiHidden/>
    <w:qFormat/>
    <w:rsid w:val="001A5067"/>
    <w:rPr>
      <w:b/>
      <w:bCs/>
    </w:rPr>
  </w:style>
  <w:style w:type="character" w:styleId="SubtleEmphasis">
    <w:name w:val="Subtle Emphasis"/>
    <w:uiPriority w:val="99"/>
    <w:semiHidden/>
    <w:qFormat/>
    <w:rsid w:val="001A5067"/>
    <w:rPr>
      <w:i/>
      <w:iCs/>
    </w:rPr>
  </w:style>
  <w:style w:type="character" w:styleId="SubtleReference">
    <w:name w:val="Subtle Reference"/>
    <w:uiPriority w:val="99"/>
    <w:semiHidden/>
    <w:qFormat/>
    <w:rsid w:val="001A5067"/>
    <w:rPr>
      <w:smallCaps/>
    </w:rPr>
  </w:style>
  <w:style w:type="table" w:styleId="TableGrid">
    <w:name w:val="Table Grid"/>
    <w:basedOn w:val="TableNormal"/>
    <w:uiPriority w:val="59"/>
    <w:rsid w:val="001A5067"/>
    <w:rPr>
      <w:rFonts w:eastAsiaTheme="minorEastAsia"/>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semiHidden/>
    <w:qFormat/>
    <w:rsid w:val="001A5067"/>
    <w:pPr>
      <w:pBdr>
        <w:bottom w:val="single" w:sz="4" w:space="1" w:color="auto"/>
      </w:pBdr>
      <w:contextualSpacing/>
    </w:pPr>
    <w:rPr>
      <w:rFonts w:asciiTheme="majorHAnsi" w:eastAsiaTheme="majorEastAsia" w:hAnsiTheme="majorHAnsi" w:cstheme="majorBidi"/>
      <w:spacing w:val="5"/>
      <w:sz w:val="52"/>
      <w:szCs w:val="52"/>
      <w:lang w:val="en-GB" w:bidi="en-US"/>
    </w:rPr>
  </w:style>
  <w:style w:type="character" w:customStyle="1" w:styleId="TitleChar">
    <w:name w:val="Title Char"/>
    <w:basedOn w:val="DefaultParagraphFont"/>
    <w:link w:val="Title"/>
    <w:uiPriority w:val="99"/>
    <w:semiHidden/>
    <w:rsid w:val="000D523D"/>
    <w:rPr>
      <w:rFonts w:asciiTheme="majorHAnsi" w:eastAsiaTheme="majorEastAsia" w:hAnsiTheme="majorHAnsi" w:cstheme="majorBidi"/>
      <w:spacing w:val="5"/>
      <w:sz w:val="52"/>
      <w:szCs w:val="52"/>
      <w:lang w:bidi="en-US"/>
    </w:rPr>
  </w:style>
  <w:style w:type="paragraph" w:styleId="TOAHeading">
    <w:name w:val="toa heading"/>
    <w:basedOn w:val="ECHRTitleCentre2"/>
    <w:next w:val="Normal"/>
    <w:uiPriority w:val="99"/>
    <w:semiHidden/>
    <w:rsid w:val="001A5067"/>
    <w:rPr>
      <w:rFonts w:eastAsiaTheme="majorEastAsia" w:cstheme="majorBidi"/>
      <w:bCs/>
      <w:szCs w:val="24"/>
    </w:rPr>
  </w:style>
  <w:style w:type="paragraph" w:styleId="TOC1">
    <w:name w:val="toc 1"/>
    <w:basedOn w:val="Normal"/>
    <w:next w:val="Normal"/>
    <w:autoRedefine/>
    <w:uiPriority w:val="99"/>
    <w:semiHidden/>
    <w:rsid w:val="001A5067"/>
    <w:pPr>
      <w:spacing w:before="120" w:after="60"/>
      <w:ind w:left="340" w:right="340" w:hanging="340"/>
    </w:pPr>
    <w:rPr>
      <w:rFonts w:asciiTheme="minorHAnsi" w:eastAsiaTheme="minorHAnsi" w:hAnsiTheme="minorHAnsi" w:cstheme="minorBidi"/>
      <w:color w:val="0D0D0D" w:themeColor="text1" w:themeTint="F2"/>
      <w:sz w:val="22"/>
      <w:szCs w:val="22"/>
      <w:lang w:val="en-GB"/>
    </w:rPr>
  </w:style>
  <w:style w:type="paragraph" w:styleId="TOC2">
    <w:name w:val="toc 2"/>
    <w:basedOn w:val="Normal"/>
    <w:next w:val="Normal"/>
    <w:autoRedefine/>
    <w:uiPriority w:val="99"/>
    <w:semiHidden/>
    <w:rsid w:val="001A5067"/>
    <w:pPr>
      <w:spacing w:after="60"/>
      <w:ind w:left="680" w:right="340" w:hanging="340"/>
    </w:pPr>
    <w:rPr>
      <w:rFonts w:asciiTheme="minorHAnsi" w:eastAsiaTheme="minorHAnsi" w:hAnsiTheme="minorHAnsi" w:cstheme="minorBidi"/>
      <w:sz w:val="22"/>
      <w:szCs w:val="22"/>
      <w:lang w:val="en-GB"/>
    </w:rPr>
  </w:style>
  <w:style w:type="paragraph" w:styleId="TOC3">
    <w:name w:val="toc 3"/>
    <w:basedOn w:val="Normal"/>
    <w:next w:val="Normal"/>
    <w:autoRedefine/>
    <w:uiPriority w:val="99"/>
    <w:semiHidden/>
    <w:rsid w:val="001A5067"/>
    <w:pPr>
      <w:spacing w:after="60"/>
      <w:ind w:left="1020" w:right="340" w:hanging="340"/>
    </w:pPr>
    <w:rPr>
      <w:rFonts w:asciiTheme="minorHAnsi" w:eastAsiaTheme="minorHAnsi" w:hAnsiTheme="minorHAnsi" w:cstheme="minorBidi"/>
      <w:sz w:val="22"/>
      <w:szCs w:val="22"/>
      <w:lang w:val="en-GB"/>
    </w:rPr>
  </w:style>
  <w:style w:type="paragraph" w:styleId="TOC4">
    <w:name w:val="toc 4"/>
    <w:basedOn w:val="Normal"/>
    <w:next w:val="Normal"/>
    <w:autoRedefine/>
    <w:uiPriority w:val="99"/>
    <w:semiHidden/>
    <w:rsid w:val="001A5067"/>
    <w:pPr>
      <w:tabs>
        <w:tab w:val="right" w:leader="dot" w:pos="9017"/>
      </w:tabs>
      <w:spacing w:after="60"/>
      <w:ind w:left="1361" w:right="340" w:hanging="340"/>
    </w:pPr>
    <w:rPr>
      <w:rFonts w:asciiTheme="minorHAnsi" w:eastAsiaTheme="minorHAnsi" w:hAnsiTheme="minorHAnsi" w:cstheme="minorBidi"/>
      <w:sz w:val="22"/>
      <w:szCs w:val="22"/>
      <w:lang w:val="en-GB"/>
    </w:rPr>
  </w:style>
  <w:style w:type="paragraph" w:styleId="TOC5">
    <w:name w:val="toc 5"/>
    <w:basedOn w:val="Normal"/>
    <w:next w:val="Normal"/>
    <w:autoRedefine/>
    <w:uiPriority w:val="99"/>
    <w:semiHidden/>
    <w:rsid w:val="001A5067"/>
    <w:pPr>
      <w:spacing w:after="60"/>
      <w:ind w:left="1701" w:right="340" w:hanging="340"/>
    </w:pPr>
    <w:rPr>
      <w:rFonts w:asciiTheme="minorHAnsi" w:eastAsiaTheme="minorHAnsi" w:hAnsiTheme="minorHAnsi" w:cstheme="minorBidi"/>
      <w:sz w:val="22"/>
      <w:szCs w:val="22"/>
      <w:lang w:val="en-GB"/>
    </w:rPr>
  </w:style>
  <w:style w:type="paragraph" w:styleId="TOCHeading">
    <w:name w:val="TOC Heading"/>
    <w:basedOn w:val="ECHRTitleCentre2"/>
    <w:next w:val="Normal"/>
    <w:uiPriority w:val="99"/>
    <w:semiHidden/>
    <w:qFormat/>
    <w:rsid w:val="001A5067"/>
  </w:style>
  <w:style w:type="table" w:customStyle="1" w:styleId="UGTable">
    <w:name w:val="UG_Table"/>
    <w:basedOn w:val="TableNormal"/>
    <w:uiPriority w:val="99"/>
    <w:rsid w:val="001A5067"/>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1A5067"/>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araIndent">
    <w:name w:val="ECHR_Para_Indent"/>
    <w:aliases w:val="Para_Indent"/>
    <w:basedOn w:val="ECHRParaSpaced"/>
    <w:uiPriority w:val="7"/>
    <w:qFormat/>
    <w:rsid w:val="00471989"/>
    <w:pPr>
      <w:ind w:left="567"/>
    </w:pPr>
  </w:style>
  <w:style w:type="paragraph" w:customStyle="1" w:styleId="ECHRParaHanging">
    <w:name w:val="ECHR_Para_Hanging"/>
    <w:aliases w:val="Para_Hanging"/>
    <w:basedOn w:val="ECHRPara"/>
    <w:uiPriority w:val="10"/>
    <w:qFormat/>
    <w:rsid w:val="00471989"/>
    <w:pPr>
      <w:ind w:left="567" w:hanging="567"/>
    </w:pPr>
  </w:style>
  <w:style w:type="table" w:customStyle="1" w:styleId="ECHRTableGrey">
    <w:name w:val="ECHR_Table_Grey"/>
    <w:basedOn w:val="TableNormal"/>
    <w:uiPriority w:val="99"/>
    <w:rsid w:val="00471989"/>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numbering" w:customStyle="1" w:styleId="ECHRA1StyleList">
    <w:name w:val="ECHR_A1_Style_List"/>
    <w:basedOn w:val="NoList"/>
    <w:uiPriority w:val="99"/>
    <w:rsid w:val="00471989"/>
    <w:pPr>
      <w:numPr>
        <w:numId w:val="33"/>
      </w:numPr>
    </w:pPr>
  </w:style>
  <w:style w:type="paragraph" w:customStyle="1" w:styleId="ECHRList1">
    <w:name w:val="ECHR_List_1"/>
    <w:aliases w:val="Num_Left_1"/>
    <w:basedOn w:val="NormalJustified"/>
    <w:uiPriority w:val="12"/>
    <w:qFormat/>
    <w:rsid w:val="00471989"/>
    <w:pPr>
      <w:numPr>
        <w:numId w:val="34"/>
      </w:numPr>
      <w:spacing w:before="60" w:after="60"/>
    </w:pPr>
  </w:style>
  <w:style w:type="paragraph" w:customStyle="1" w:styleId="ECHRList2">
    <w:name w:val="ECHR_List_2"/>
    <w:aliases w:val="Num_Left_2"/>
    <w:basedOn w:val="ECHRList1"/>
    <w:uiPriority w:val="12"/>
    <w:rsid w:val="00471989"/>
    <w:pPr>
      <w:numPr>
        <w:ilvl w:val="1"/>
      </w:numPr>
    </w:pPr>
  </w:style>
  <w:style w:type="paragraph" w:customStyle="1" w:styleId="ECHRList3">
    <w:name w:val="ECHR_List_3"/>
    <w:aliases w:val="Num_Left_3"/>
    <w:basedOn w:val="ECHRList2"/>
    <w:uiPriority w:val="12"/>
    <w:rsid w:val="00471989"/>
    <w:pPr>
      <w:numPr>
        <w:ilvl w:val="2"/>
      </w:numPr>
    </w:pPr>
  </w:style>
  <w:style w:type="table" w:customStyle="1" w:styleId="ECHRTable2016">
    <w:name w:val="ECHR_Table_2016"/>
    <w:basedOn w:val="TableNormal"/>
    <w:uiPriority w:val="99"/>
    <w:rsid w:val="00471989"/>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character" w:customStyle="1" w:styleId="s4f807e54">
    <w:name w:val="s4f807e54"/>
    <w:basedOn w:val="DefaultParagraphFont"/>
    <w:rsid w:val="00CF60AD"/>
  </w:style>
  <w:style w:type="paragraph" w:customStyle="1" w:styleId="seed73563">
    <w:name w:val="seed73563"/>
    <w:basedOn w:val="Normal"/>
    <w:rsid w:val="00CF60AD"/>
    <w:pPr>
      <w:spacing w:before="100" w:beforeAutospacing="1" w:after="100" w:afterAutospacing="1"/>
    </w:pPr>
    <w:rPr>
      <w:sz w:val="24"/>
      <w:szCs w:val="24"/>
      <w:lang w:eastAsia="ru-RU"/>
    </w:rPr>
  </w:style>
  <w:style w:type="character" w:customStyle="1" w:styleId="apple-converted-space">
    <w:name w:val="apple-converted-space"/>
    <w:basedOn w:val="DefaultParagraphFont"/>
    <w:rsid w:val="00CF60AD"/>
    <w:rPr>
      <w:rFonts w:cs="Times New Roman"/>
    </w:rPr>
  </w:style>
  <w:style w:type="character" w:customStyle="1" w:styleId="sb4f89cb6">
    <w:name w:val="sb4f89cb6"/>
    <w:basedOn w:val="DefaultParagraphFont"/>
    <w:rsid w:val="00CF60AD"/>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hr.today"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chr.today" TargetMode="External"/><Relationship Id="rId14" Type="http://schemas.openxmlformats.org/officeDocument/2006/relationships/customXml" Target="../customXml/item4.xml"/></Relationships>
</file>

<file path=word/theme/theme1.xml><?xml version="1.0" encoding="utf-8"?>
<a:theme xmlns:a="http://schemas.openxmlformats.org/drawingml/2006/main" name="ECHR_Theme_GREY">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 document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31394F-2FB5-477A-960B-1E6E4D531C75}"/>
</file>

<file path=customXml/itemProps2.xml><?xml version="1.0" encoding="utf-8"?>
<ds:datastoreItem xmlns:ds="http://schemas.openxmlformats.org/officeDocument/2006/customXml" ds:itemID="{528D8131-779F-403F-8BA8-D84B6BF0AAAA}"/>
</file>

<file path=customXml/itemProps3.xml><?xml version="1.0" encoding="utf-8"?>
<ds:datastoreItem xmlns:ds="http://schemas.openxmlformats.org/officeDocument/2006/customXml" ds:itemID="{3B83E975-F4F1-4903-B1AE-CB3ABAC2D647}"/>
</file>

<file path=customXml/itemProps4.xml><?xml version="1.0" encoding="utf-8"?>
<ds:datastoreItem xmlns:ds="http://schemas.openxmlformats.org/officeDocument/2006/customXml" ds:itemID="{5AE13849-660E-403C-BDD9-97A86DCCE2B9}"/>
</file>

<file path=docProps/app.xml><?xml version="1.0" encoding="utf-8"?>
<Properties xmlns="http://schemas.openxmlformats.org/officeDocument/2006/extended-properties" xmlns:vt="http://schemas.openxmlformats.org/officeDocument/2006/docPropsVTypes">
  <Template>Normal.dotm</Template>
  <TotalTime>1</TotalTime>
  <Pages>1</Pages>
  <Words>708</Words>
  <Characters>4041</Characters>
  <Application>Microsoft Office Word</Application>
  <DocSecurity>0</DocSecurity>
  <Lines>33</Lines>
  <Paragraphs>9</Paragraphs>
  <ScaleCrop>false</ScaleCrop>
  <Manager/>
  <Company/>
  <LinksUpToDate>false</LinksUpToDate>
  <CharactersWithSpaces>4740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1</cp:revision>
  <dcterms:created xsi:type="dcterms:W3CDTF">2018-05-18T13:20:00Z</dcterms:created>
  <dcterms:modified xsi:type="dcterms:W3CDTF">2018-05-18T13:20:00Z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