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C3B63" w:rsidR="00014566" w:rsidP="008C3B63" w:rsidRDefault="00014566">
      <w:pPr>
        <w:jc w:val="center"/>
        <w:rPr>
          <w:lang w:val="en-GB"/>
        </w:rPr>
      </w:pPr>
    </w:p>
    <w:p w:rsidRPr="008C3B63" w:rsidR="00926D5F" w:rsidP="008C3B63" w:rsidRDefault="00926D5F">
      <w:pPr>
        <w:jc w:val="center"/>
        <w:rPr>
          <w:lang w:val="en-GB"/>
        </w:rPr>
      </w:pPr>
    </w:p>
    <w:p w:rsidRPr="008C3B63" w:rsidR="009F5CAF" w:rsidP="008C3B63" w:rsidRDefault="009F5CAF">
      <w:pPr>
        <w:jc w:val="center"/>
        <w:rPr>
          <w:lang w:val="en-GB"/>
        </w:rPr>
      </w:pPr>
    </w:p>
    <w:p w:rsidRPr="008C3B63" w:rsidR="00014566" w:rsidP="008C3B63" w:rsidRDefault="007B3535">
      <w:pPr>
        <w:jc w:val="center"/>
        <w:rPr>
          <w:lang w:val="en-GB"/>
        </w:rPr>
      </w:pPr>
      <w:r w:rsidRPr="008C3B63">
        <w:rPr>
          <w:lang w:val="en-GB"/>
        </w:rPr>
        <w:t>FIFTH SECTION</w:t>
      </w:r>
    </w:p>
    <w:p w:rsidRPr="008C3B63" w:rsidR="00014566" w:rsidP="008C3B63" w:rsidRDefault="00014566">
      <w:pPr>
        <w:jc w:val="center"/>
        <w:rPr>
          <w:lang w:val="en-GB"/>
        </w:rPr>
      </w:pPr>
    </w:p>
    <w:p w:rsidRPr="008C3B63" w:rsidR="00926D5F" w:rsidP="008C3B63" w:rsidRDefault="00926D5F">
      <w:pPr>
        <w:jc w:val="center"/>
        <w:rPr>
          <w:lang w:val="en-GB"/>
        </w:rPr>
      </w:pPr>
    </w:p>
    <w:p w:rsidRPr="008C3B63" w:rsidR="00926D5F" w:rsidP="008C3B63" w:rsidRDefault="00926D5F">
      <w:pPr>
        <w:jc w:val="center"/>
        <w:rPr>
          <w:lang w:val="en-GB"/>
        </w:rPr>
      </w:pPr>
    </w:p>
    <w:p w:rsidRPr="008C3B63" w:rsidR="00926D5F" w:rsidP="008C3B63" w:rsidRDefault="00926D5F">
      <w:pPr>
        <w:jc w:val="center"/>
        <w:rPr>
          <w:lang w:val="en-GB"/>
        </w:rPr>
      </w:pPr>
    </w:p>
    <w:p w:rsidRPr="008C3B63" w:rsidR="00926D5F" w:rsidP="008C3B63" w:rsidRDefault="00926D5F">
      <w:pPr>
        <w:jc w:val="center"/>
        <w:rPr>
          <w:lang w:val="en-GB"/>
        </w:rPr>
      </w:pPr>
    </w:p>
    <w:p w:rsidRPr="008C3B63" w:rsidR="00926D5F" w:rsidP="008C3B63" w:rsidRDefault="00926D5F">
      <w:pPr>
        <w:jc w:val="center"/>
        <w:rPr>
          <w:lang w:val="en-GB"/>
        </w:rPr>
      </w:pPr>
    </w:p>
    <w:p w:rsidRPr="008C3B63" w:rsidR="00014566" w:rsidP="008C3B63" w:rsidRDefault="00014566">
      <w:pPr>
        <w:jc w:val="center"/>
        <w:rPr>
          <w:b/>
          <w:lang w:val="en-GB"/>
        </w:rPr>
      </w:pPr>
      <w:bookmarkStart w:name="To" w:id="0"/>
      <w:r w:rsidRPr="008C3B63">
        <w:rPr>
          <w:b/>
          <w:lang w:val="en-GB"/>
        </w:rPr>
        <w:t xml:space="preserve">CASE OF </w:t>
      </w:r>
      <w:bookmarkEnd w:id="0"/>
      <w:r w:rsidRPr="008C3B63" w:rsidR="007B3535">
        <w:rPr>
          <w:b/>
          <w:lang w:val="en-GB"/>
        </w:rPr>
        <w:t>STOLLENWERK v. GERMANY</w:t>
      </w:r>
    </w:p>
    <w:p w:rsidRPr="008C3B63" w:rsidR="00014566" w:rsidP="008C3B63" w:rsidRDefault="00014566">
      <w:pPr>
        <w:jc w:val="center"/>
        <w:rPr>
          <w:lang w:val="en-GB"/>
        </w:rPr>
      </w:pPr>
    </w:p>
    <w:p w:rsidRPr="008C3B63" w:rsidR="00014566" w:rsidP="008C3B63" w:rsidRDefault="00014566">
      <w:pPr>
        <w:jc w:val="center"/>
        <w:rPr>
          <w:i/>
          <w:lang w:val="en-GB"/>
        </w:rPr>
      </w:pPr>
      <w:r w:rsidRPr="008C3B63">
        <w:rPr>
          <w:i/>
          <w:lang w:val="en-GB"/>
        </w:rPr>
        <w:t>(</w:t>
      </w:r>
      <w:r w:rsidRPr="008C3B63" w:rsidR="007B3535">
        <w:rPr>
          <w:i/>
          <w:lang w:val="en-GB"/>
        </w:rPr>
        <w:t>Application no. 8844/12</w:t>
      </w:r>
      <w:r w:rsidRPr="008C3B63">
        <w:rPr>
          <w:i/>
          <w:lang w:val="en-GB"/>
        </w:rPr>
        <w:t>)</w:t>
      </w:r>
    </w:p>
    <w:p w:rsidRPr="008C3B63" w:rsidR="00014566" w:rsidP="008C3B63" w:rsidRDefault="00014566">
      <w:pPr>
        <w:jc w:val="center"/>
        <w:rPr>
          <w:lang w:val="en-GB"/>
        </w:rPr>
      </w:pPr>
    </w:p>
    <w:p w:rsidRPr="008C3B63" w:rsidR="00014566" w:rsidP="008C3B63" w:rsidRDefault="00014566">
      <w:pPr>
        <w:jc w:val="center"/>
        <w:rPr>
          <w:lang w:val="en-GB"/>
        </w:rPr>
      </w:pPr>
    </w:p>
    <w:p w:rsidRPr="008C3B63" w:rsidR="009F5CAF" w:rsidP="008C3B63" w:rsidRDefault="009F5CAF">
      <w:pPr>
        <w:jc w:val="center"/>
        <w:rPr>
          <w:lang w:val="en-GB"/>
        </w:rPr>
      </w:pPr>
    </w:p>
    <w:p w:rsidRPr="008C3B63" w:rsidR="009F5CAF" w:rsidP="008C3B63" w:rsidRDefault="009F5CAF">
      <w:pPr>
        <w:jc w:val="center"/>
        <w:rPr>
          <w:lang w:val="en-GB"/>
        </w:rPr>
      </w:pPr>
    </w:p>
    <w:p w:rsidRPr="008C3B63" w:rsidR="009F5CAF" w:rsidP="008C3B63" w:rsidRDefault="009F5CAF">
      <w:pPr>
        <w:jc w:val="center"/>
        <w:rPr>
          <w:lang w:val="en-GB"/>
        </w:rPr>
      </w:pPr>
    </w:p>
    <w:p w:rsidRPr="008C3B63" w:rsidR="00014566" w:rsidP="008C3B63" w:rsidRDefault="00014566">
      <w:pPr>
        <w:jc w:val="center"/>
        <w:rPr>
          <w:lang w:val="en-GB"/>
        </w:rPr>
      </w:pPr>
    </w:p>
    <w:p w:rsidRPr="008C3B63" w:rsidR="00014566" w:rsidP="008C3B63" w:rsidRDefault="00014566">
      <w:pPr>
        <w:jc w:val="center"/>
        <w:rPr>
          <w:lang w:val="en-GB"/>
        </w:rPr>
      </w:pPr>
    </w:p>
    <w:p w:rsidRPr="008C3B63" w:rsidR="003F6677" w:rsidP="008C3B63" w:rsidRDefault="00926D5F">
      <w:pPr>
        <w:jc w:val="center"/>
        <w:rPr>
          <w:lang w:val="en-GB"/>
        </w:rPr>
      </w:pPr>
      <w:r w:rsidRPr="008C3B63">
        <w:rPr>
          <w:lang w:val="en-GB"/>
        </w:rPr>
        <w:t>JUDGMENT</w:t>
      </w:r>
    </w:p>
    <w:p w:rsidRPr="008C3B63" w:rsidR="0010362F" w:rsidP="008C3B63" w:rsidRDefault="0010362F">
      <w:pPr>
        <w:jc w:val="center"/>
        <w:rPr>
          <w:lang w:val="en-GB"/>
        </w:rPr>
      </w:pPr>
    </w:p>
    <w:p w:rsidRPr="008C3B63" w:rsidR="00926D5F" w:rsidP="008C3B63" w:rsidRDefault="00926D5F">
      <w:pPr>
        <w:jc w:val="center"/>
        <w:rPr>
          <w:szCs w:val="24"/>
          <w:lang w:val="en-GB"/>
        </w:rPr>
      </w:pPr>
    </w:p>
    <w:p w:rsidRPr="008C3B63" w:rsidR="00926D5F" w:rsidP="008C3B63" w:rsidRDefault="00926D5F">
      <w:pPr>
        <w:jc w:val="center"/>
        <w:rPr>
          <w:szCs w:val="24"/>
          <w:lang w:val="en-GB"/>
        </w:rPr>
      </w:pPr>
    </w:p>
    <w:p w:rsidRPr="008C3B63" w:rsidR="00926D5F" w:rsidP="008C3B63" w:rsidRDefault="00926D5F">
      <w:pPr>
        <w:jc w:val="center"/>
        <w:rPr>
          <w:szCs w:val="24"/>
          <w:lang w:val="en-GB"/>
        </w:rPr>
      </w:pPr>
      <w:r w:rsidRPr="008C3B63">
        <w:rPr>
          <w:szCs w:val="24"/>
          <w:lang w:val="en-GB"/>
        </w:rPr>
        <w:t>STRASBOURG</w:t>
      </w:r>
    </w:p>
    <w:p w:rsidRPr="008C3B63" w:rsidR="00926D5F" w:rsidP="008C3B63" w:rsidRDefault="00926D5F">
      <w:pPr>
        <w:jc w:val="center"/>
        <w:rPr>
          <w:szCs w:val="24"/>
          <w:lang w:val="en-GB"/>
        </w:rPr>
      </w:pPr>
    </w:p>
    <w:p w:rsidRPr="008C3B63" w:rsidR="00926D5F" w:rsidP="008C3B63" w:rsidRDefault="00926D5F">
      <w:pPr>
        <w:jc w:val="center"/>
        <w:rPr>
          <w:szCs w:val="24"/>
          <w:lang w:val="en-GB"/>
        </w:rPr>
      </w:pPr>
      <w:r w:rsidRPr="008C3B63">
        <w:rPr>
          <w:szCs w:val="24"/>
          <w:lang w:val="en-GB"/>
        </w:rPr>
        <w:t>7 September 2017</w:t>
      </w:r>
    </w:p>
    <w:p w:rsidRPr="008C3B63" w:rsidR="00926D5F" w:rsidP="008C3B63" w:rsidRDefault="00926D5F">
      <w:pPr>
        <w:jc w:val="center"/>
        <w:rPr>
          <w:szCs w:val="24"/>
          <w:lang w:val="en-GB"/>
        </w:rPr>
      </w:pPr>
    </w:p>
    <w:p w:rsidRPr="008C3B63" w:rsidR="00926D5F" w:rsidP="008C3B63" w:rsidRDefault="00926D5F">
      <w:pPr>
        <w:jc w:val="center"/>
        <w:rPr>
          <w:szCs w:val="24"/>
          <w:lang w:val="en-GB"/>
        </w:rPr>
      </w:pPr>
    </w:p>
    <w:p w:rsidRPr="008C3B63" w:rsidR="00926D5F" w:rsidP="008C3B63" w:rsidRDefault="00926D5F">
      <w:pPr>
        <w:jc w:val="center"/>
        <w:rPr>
          <w:szCs w:val="24"/>
          <w:lang w:val="en-GB"/>
        </w:rPr>
      </w:pPr>
    </w:p>
    <w:p w:rsidRPr="008C3B63" w:rsidR="008C3B63" w:rsidP="008C3B63" w:rsidRDefault="008C3B63">
      <w:pPr>
        <w:pStyle w:val="jucase0"/>
        <w:ind w:firstLine="0"/>
        <w:jc w:val="center"/>
        <w:rPr>
          <w:color w:val="FF0000"/>
          <w:sz w:val="28"/>
          <w:szCs w:val="28"/>
          <w:u w:val="single"/>
        </w:rPr>
      </w:pPr>
      <w:r w:rsidRPr="008C3B63">
        <w:rPr>
          <w:color w:val="FF0000"/>
          <w:sz w:val="28"/>
          <w:szCs w:val="28"/>
          <w:u w:val="single"/>
        </w:rPr>
        <w:t>FINAL</w:t>
      </w:r>
    </w:p>
    <w:p w:rsidRPr="008C3B63" w:rsidR="008C3B63" w:rsidP="008C3B63" w:rsidRDefault="008C3B63">
      <w:pPr>
        <w:pStyle w:val="jupara"/>
        <w:tabs>
          <w:tab w:val="left" w:pos="4650"/>
        </w:tabs>
        <w:ind w:firstLine="0"/>
        <w:jc w:val="center"/>
        <w:rPr>
          <w:color w:val="FF0000"/>
          <w:sz w:val="28"/>
          <w:szCs w:val="28"/>
        </w:rPr>
      </w:pPr>
    </w:p>
    <w:p w:rsidRPr="008C3B63" w:rsidR="008C3B63" w:rsidP="008C3B63" w:rsidRDefault="008C3B63">
      <w:pPr>
        <w:pStyle w:val="jupara"/>
        <w:ind w:firstLine="0"/>
        <w:jc w:val="center"/>
        <w:rPr>
          <w:color w:val="FF0000"/>
          <w:sz w:val="28"/>
          <w:szCs w:val="28"/>
        </w:rPr>
      </w:pPr>
      <w:r w:rsidRPr="008C3B63">
        <w:rPr>
          <w:color w:val="FF0000"/>
          <w:sz w:val="28"/>
          <w:szCs w:val="28"/>
        </w:rPr>
        <w:t>0</w:t>
      </w:r>
      <w:r w:rsidR="00F07F06">
        <w:rPr>
          <w:color w:val="FF0000"/>
          <w:sz w:val="28"/>
          <w:szCs w:val="28"/>
        </w:rPr>
        <w:t>7</w:t>
      </w:r>
      <w:bookmarkStart w:name="_GoBack" w:id="1"/>
      <w:bookmarkEnd w:id="1"/>
      <w:r w:rsidRPr="008C3B63">
        <w:rPr>
          <w:color w:val="FF0000"/>
          <w:sz w:val="28"/>
          <w:szCs w:val="28"/>
        </w:rPr>
        <w:t>/12/2017</w:t>
      </w:r>
    </w:p>
    <w:p w:rsidRPr="008C3B63" w:rsidR="008C3B63" w:rsidP="008C3B63" w:rsidRDefault="008C3B63">
      <w:pPr>
        <w:pStyle w:val="jupara"/>
        <w:ind w:firstLine="0"/>
        <w:jc w:val="center"/>
      </w:pPr>
    </w:p>
    <w:p w:rsidRPr="008C3B63" w:rsidR="00014566" w:rsidP="008C3B63" w:rsidRDefault="008C3B63">
      <w:pPr>
        <w:jc w:val="center"/>
        <w:rPr>
          <w:szCs w:val="24"/>
          <w:lang w:val="en-GB"/>
        </w:rPr>
      </w:pPr>
      <w:r w:rsidRPr="008C3B63">
        <w:rPr>
          <w:i/>
          <w:iCs/>
          <w:sz w:val="22"/>
        </w:rPr>
        <w:t>This judgment has become final under Article 44 § 2 of the Convention. It may be subject to editorial revision.</w:t>
      </w:r>
    </w:p>
    <w:p w:rsidRPr="008C3B63" w:rsidR="00926D5F" w:rsidP="008C3B63" w:rsidRDefault="00926D5F">
      <w:pPr>
        <w:pStyle w:val="JuCase"/>
        <w:rPr>
          <w:lang w:val="en-GB"/>
        </w:rPr>
        <w:sectPr w:rsidRPr="008C3B63" w:rsidR="00926D5F" w:rsidSect="00926D5F">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8C3B63" w:rsidR="00014566" w:rsidP="008C3B63" w:rsidRDefault="00014566">
      <w:pPr>
        <w:pStyle w:val="JuCase"/>
        <w:rPr>
          <w:bCs/>
          <w:lang w:val="en-GB"/>
        </w:rPr>
      </w:pPr>
      <w:r w:rsidRPr="008C3B63">
        <w:rPr>
          <w:lang w:val="en-GB"/>
        </w:rPr>
        <w:t xml:space="preserve">In the case of </w:t>
      </w:r>
      <w:r w:rsidRPr="008C3B63" w:rsidR="007B3535">
        <w:rPr>
          <w:lang w:val="en-GB"/>
        </w:rPr>
        <w:t>Stollenwerk v. Germany</w:t>
      </w:r>
      <w:r w:rsidRPr="008C3B63">
        <w:rPr>
          <w:lang w:val="en-GB"/>
        </w:rPr>
        <w:t>,</w:t>
      </w:r>
    </w:p>
    <w:p w:rsidRPr="008C3B63" w:rsidR="00014566" w:rsidP="008C3B63" w:rsidRDefault="00014566">
      <w:pPr>
        <w:pStyle w:val="ECHRPara"/>
        <w:rPr>
          <w:lang w:val="en-GB"/>
        </w:rPr>
      </w:pPr>
      <w:r w:rsidRPr="008C3B63">
        <w:rPr>
          <w:lang w:val="en-GB"/>
        </w:rPr>
        <w:t>The European Court of Human Rights (</w:t>
      </w:r>
      <w:r w:rsidRPr="008C3B63" w:rsidR="007B3535">
        <w:rPr>
          <w:lang w:val="en-GB"/>
        </w:rPr>
        <w:t>Fifth Section</w:t>
      </w:r>
      <w:r w:rsidRPr="008C3B63">
        <w:rPr>
          <w:lang w:val="en-GB"/>
        </w:rPr>
        <w:t xml:space="preserve">), sitting as a </w:t>
      </w:r>
      <w:r w:rsidRPr="008C3B63" w:rsidR="007B3535">
        <w:rPr>
          <w:lang w:val="en-GB"/>
        </w:rPr>
        <w:t>Chamber</w:t>
      </w:r>
      <w:r w:rsidRPr="008C3B63">
        <w:rPr>
          <w:lang w:val="en-GB"/>
        </w:rPr>
        <w:t xml:space="preserve"> composed of:</w:t>
      </w:r>
    </w:p>
    <w:p w:rsidRPr="008C3B63" w:rsidR="00014566" w:rsidP="008C3B63" w:rsidRDefault="007C6085">
      <w:pPr>
        <w:pStyle w:val="ECHRDecisionBody"/>
        <w:rPr>
          <w:lang w:val="en-GB"/>
        </w:rPr>
      </w:pPr>
      <w:r w:rsidRPr="008C3B63">
        <w:tab/>
        <w:t>Erik Møse,</w:t>
      </w:r>
      <w:r w:rsidRPr="008C3B63">
        <w:rPr>
          <w:i/>
        </w:rPr>
        <w:t xml:space="preserve"> President,</w:t>
      </w:r>
      <w:r w:rsidRPr="008C3B63">
        <w:rPr>
          <w:i/>
        </w:rPr>
        <w:br/>
      </w:r>
      <w:r w:rsidRPr="008C3B63">
        <w:tab/>
        <w:t>Angelika Nußberger,</w:t>
      </w:r>
      <w:r w:rsidRPr="008C3B63">
        <w:rPr>
          <w:i/>
        </w:rPr>
        <w:br/>
      </w:r>
      <w:r w:rsidRPr="008C3B63">
        <w:tab/>
        <w:t>Nona Tsotsoria,</w:t>
      </w:r>
      <w:r w:rsidRPr="008C3B63">
        <w:rPr>
          <w:i/>
        </w:rPr>
        <w:br/>
      </w:r>
      <w:r w:rsidRPr="008C3B63">
        <w:tab/>
        <w:t>Yonko Grozev,</w:t>
      </w:r>
      <w:r w:rsidRPr="008C3B63">
        <w:rPr>
          <w:i/>
        </w:rPr>
        <w:br/>
      </w:r>
      <w:r w:rsidRPr="008C3B63">
        <w:tab/>
        <w:t>Carlo Ranzoni,</w:t>
      </w:r>
      <w:r w:rsidRPr="008C3B63">
        <w:rPr>
          <w:i/>
        </w:rPr>
        <w:br/>
      </w:r>
      <w:r w:rsidRPr="008C3B63">
        <w:tab/>
        <w:t>Mārtiņš Mits,</w:t>
      </w:r>
      <w:r w:rsidRPr="008C3B63">
        <w:rPr>
          <w:i/>
        </w:rPr>
        <w:br/>
      </w:r>
      <w:r w:rsidRPr="008C3B63">
        <w:tab/>
        <w:t>Lәtif Hüseynov,</w:t>
      </w:r>
      <w:r w:rsidRPr="008C3B63">
        <w:rPr>
          <w:i/>
        </w:rPr>
        <w:t xml:space="preserve"> judges,</w:t>
      </w:r>
      <w:r w:rsidRPr="008C3B63" w:rsidR="00014566">
        <w:rPr>
          <w:szCs w:val="24"/>
          <w:lang w:val="en-GB"/>
        </w:rPr>
        <w:br/>
      </w:r>
      <w:r w:rsidRPr="008C3B63" w:rsidR="00014566">
        <w:rPr>
          <w:lang w:val="en-GB"/>
        </w:rPr>
        <w:t xml:space="preserve">and </w:t>
      </w:r>
      <w:r w:rsidRPr="008C3B63" w:rsidR="00EF0D82">
        <w:rPr>
          <w:lang w:val="en-GB"/>
        </w:rPr>
        <w:t>Milan Blaško</w:t>
      </w:r>
      <w:r w:rsidRPr="008C3B63" w:rsidR="00014566">
        <w:rPr>
          <w:lang w:val="en-GB"/>
        </w:rPr>
        <w:t xml:space="preserve">, </w:t>
      </w:r>
      <w:r w:rsidRPr="008C3B63" w:rsidR="00EF0D82">
        <w:rPr>
          <w:i/>
          <w:lang w:val="en-GB"/>
        </w:rPr>
        <w:t>Deputy S</w:t>
      </w:r>
      <w:r w:rsidRPr="008C3B63" w:rsidR="007B3535">
        <w:rPr>
          <w:i/>
          <w:lang w:val="en-GB"/>
        </w:rPr>
        <w:t xml:space="preserve">ection </w:t>
      </w:r>
      <w:r w:rsidRPr="008C3B63" w:rsidR="007B3535">
        <w:rPr>
          <w:i/>
          <w:iCs/>
          <w:lang w:val="en-GB"/>
        </w:rPr>
        <w:t>Registrar</w:t>
      </w:r>
      <w:r w:rsidRPr="008C3B63" w:rsidR="00014566">
        <w:rPr>
          <w:i/>
          <w:lang w:val="en-GB"/>
        </w:rPr>
        <w:t>,</w:t>
      </w:r>
    </w:p>
    <w:p w:rsidRPr="008C3B63" w:rsidR="00014566" w:rsidP="008C3B63" w:rsidRDefault="00014566">
      <w:pPr>
        <w:pStyle w:val="ECHRPara"/>
        <w:rPr>
          <w:lang w:val="en-GB"/>
        </w:rPr>
      </w:pPr>
      <w:r w:rsidRPr="008C3B63">
        <w:rPr>
          <w:lang w:val="en-GB"/>
        </w:rPr>
        <w:t xml:space="preserve">Having deliberated in private on </w:t>
      </w:r>
      <w:r w:rsidRPr="008C3B63" w:rsidR="007C6085">
        <w:rPr>
          <w:lang w:val="en-GB"/>
        </w:rPr>
        <w:t>4 July 2017,</w:t>
      </w:r>
    </w:p>
    <w:p w:rsidRPr="008C3B63" w:rsidR="00014566" w:rsidP="008C3B63" w:rsidRDefault="00014566">
      <w:pPr>
        <w:pStyle w:val="ECHRPara"/>
        <w:rPr>
          <w:lang w:val="en-GB"/>
        </w:rPr>
      </w:pPr>
      <w:r w:rsidRPr="008C3B63">
        <w:rPr>
          <w:lang w:val="en-GB"/>
        </w:rPr>
        <w:t>Delivers the following judgment, which was adopted on that date:</w:t>
      </w:r>
    </w:p>
    <w:p w:rsidRPr="008C3B63" w:rsidR="00014566" w:rsidP="008C3B63" w:rsidRDefault="00014566">
      <w:pPr>
        <w:pStyle w:val="ECHRTitle1"/>
        <w:rPr>
          <w:lang w:val="en-GB"/>
        </w:rPr>
      </w:pPr>
      <w:r w:rsidRPr="008C3B63">
        <w:rPr>
          <w:lang w:val="en-GB"/>
        </w:rPr>
        <w:t>PROCEDURE</w:t>
      </w:r>
    </w:p>
    <w:p w:rsidRPr="008C3B63" w:rsidR="007B3535"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w:t>
      </w:r>
      <w:r w:rsidRPr="008C3B63">
        <w:rPr>
          <w:lang w:val="en-GB"/>
        </w:rPr>
        <w:fldChar w:fldCharType="end"/>
      </w:r>
      <w:r w:rsidRPr="008C3B63" w:rsidR="00014566">
        <w:rPr>
          <w:lang w:val="en-GB"/>
        </w:rPr>
        <w:t xml:space="preserve">.  The case originated in </w:t>
      </w:r>
      <w:r w:rsidRPr="008C3B63">
        <w:rPr>
          <w:lang w:val="en-GB"/>
        </w:rPr>
        <w:t>an application (no. 8844/12)</w:t>
      </w:r>
      <w:r w:rsidRPr="008C3B63" w:rsidR="00014566">
        <w:rPr>
          <w:lang w:val="en-GB"/>
        </w:rPr>
        <w:t xml:space="preserve"> against </w:t>
      </w:r>
      <w:r w:rsidRPr="008C3B63">
        <w:rPr>
          <w:lang w:val="en-GB"/>
        </w:rPr>
        <w:t>the Federal Republic of Germany</w:t>
      </w:r>
      <w:r w:rsidRPr="008C3B63" w:rsidR="00014566">
        <w:rPr>
          <w:lang w:val="en-GB"/>
        </w:rPr>
        <w:t xml:space="preserve"> lodged with the </w:t>
      </w:r>
      <w:r w:rsidRPr="008C3B63">
        <w:rPr>
          <w:lang w:val="en-GB"/>
        </w:rPr>
        <w:t>Court under Article 34</w:t>
      </w:r>
      <w:r w:rsidRPr="008C3B63" w:rsidR="00014566">
        <w:rPr>
          <w:lang w:val="en-GB"/>
        </w:rPr>
        <w:t xml:space="preserve"> of the Convention for the Protection of Human Rights and Fundamental Freedoms (“the Convention”) by </w:t>
      </w:r>
      <w:r w:rsidRPr="008C3B63">
        <w:rPr>
          <w:lang w:val="en-GB"/>
        </w:rPr>
        <w:t>a German national, Mr Christof Stollenwerk (“the applicant”), on 9 February 2012</w:t>
      </w:r>
      <w:r w:rsidRPr="008C3B63" w:rsidR="00014566">
        <w:rPr>
          <w:lang w:val="en-GB"/>
        </w:rPr>
        <w:t>.</w:t>
      </w:r>
    </w:p>
    <w:p w:rsidRPr="008C3B63" w:rsidR="007B3535"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w:t>
      </w:r>
      <w:r w:rsidRPr="008C3B63">
        <w:rPr>
          <w:lang w:val="en-GB"/>
        </w:rPr>
        <w:fldChar w:fldCharType="end"/>
      </w:r>
      <w:r w:rsidRPr="008C3B63" w:rsidR="00014566">
        <w:rPr>
          <w:lang w:val="en-GB"/>
        </w:rPr>
        <w:t>.  </w:t>
      </w:r>
      <w:r w:rsidRPr="008C3B63">
        <w:rPr>
          <w:lang w:val="en-GB"/>
        </w:rPr>
        <w:t>The applicant, who had been granted l</w:t>
      </w:r>
      <w:r w:rsidRPr="008C3B63" w:rsidR="0094503C">
        <w:rPr>
          <w:lang w:val="en-GB"/>
        </w:rPr>
        <w:t>egal aid, was represented by Mr </w:t>
      </w:r>
      <w:r w:rsidRPr="008C3B63" w:rsidR="00BE3DE7">
        <w:rPr>
          <w:lang w:val="en-GB"/>
        </w:rPr>
        <w:t>D.</w:t>
      </w:r>
      <w:r w:rsidRPr="008C3B63" w:rsidR="009F5CAF">
        <w:rPr>
          <w:lang w:val="en-GB"/>
        </w:rPr>
        <w:t> </w:t>
      </w:r>
      <w:r w:rsidRPr="008C3B63">
        <w:rPr>
          <w:lang w:val="en-GB"/>
        </w:rPr>
        <w:t xml:space="preserve">Hagmann, a lawyer practising in Mönchengladbach. </w:t>
      </w:r>
      <w:r w:rsidRPr="008C3B63" w:rsidR="00014566">
        <w:rPr>
          <w:lang w:val="en-GB"/>
        </w:rPr>
        <w:t xml:space="preserve">The </w:t>
      </w:r>
      <w:r w:rsidRPr="008C3B63">
        <w:rPr>
          <w:lang w:val="en-GB"/>
        </w:rPr>
        <w:t>German</w:t>
      </w:r>
      <w:r w:rsidRPr="008C3B63" w:rsidR="00014566">
        <w:rPr>
          <w:lang w:val="en-GB"/>
        </w:rPr>
        <w:t xml:space="preserve"> Government (“the Government”) were represented by </w:t>
      </w:r>
      <w:r w:rsidRPr="008C3B63" w:rsidR="006E554C">
        <w:rPr>
          <w:lang w:val="en-GB"/>
        </w:rPr>
        <w:t xml:space="preserve">one of </w:t>
      </w:r>
      <w:r w:rsidRPr="008C3B63" w:rsidR="00014566">
        <w:rPr>
          <w:lang w:val="en-GB"/>
        </w:rPr>
        <w:t>their Agent</w:t>
      </w:r>
      <w:r w:rsidRPr="008C3B63" w:rsidR="009F5CAF">
        <w:rPr>
          <w:lang w:val="en-GB"/>
        </w:rPr>
        <w:t>s, Mr H.-J. </w:t>
      </w:r>
      <w:r w:rsidRPr="008C3B63" w:rsidR="006E554C">
        <w:rPr>
          <w:lang w:val="en-GB"/>
        </w:rPr>
        <w:t xml:space="preserve">Behrens, </w:t>
      </w:r>
      <w:r w:rsidRPr="008C3B63" w:rsidR="006E554C">
        <w:rPr>
          <w:i/>
          <w:lang w:val="en-GB"/>
        </w:rPr>
        <w:t>Ministerialrat</w:t>
      </w:r>
      <w:r w:rsidRPr="008C3B63" w:rsidR="006E554C">
        <w:rPr>
          <w:lang w:val="en-GB"/>
        </w:rPr>
        <w:t>, of the Federal Ministry of Justice and Consumer Protection</w:t>
      </w:r>
      <w:r w:rsidRPr="008C3B63" w:rsidR="00014566">
        <w:rPr>
          <w:lang w:val="en-GB"/>
        </w:rPr>
        <w:t>.</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w:t>
      </w:r>
      <w:r w:rsidRPr="008C3B63">
        <w:rPr>
          <w:lang w:val="en-GB"/>
        </w:rPr>
        <w:fldChar w:fldCharType="end"/>
      </w:r>
      <w:r w:rsidRPr="008C3B63" w:rsidR="009A1DA0">
        <w:rPr>
          <w:lang w:val="en-GB"/>
        </w:rPr>
        <w:t>.  The applicant alleged</w:t>
      </w:r>
      <w:r w:rsidRPr="008C3B63">
        <w:rPr>
          <w:lang w:val="en-GB"/>
        </w:rPr>
        <w:t xml:space="preserve">, </w:t>
      </w:r>
      <w:r w:rsidRPr="008C3B63" w:rsidR="00114CC7">
        <w:rPr>
          <w:lang w:val="en-GB"/>
        </w:rPr>
        <w:t>relying on Article 5 § 4 of the Convention</w:t>
      </w:r>
      <w:r w:rsidRPr="008C3B63">
        <w:rPr>
          <w:lang w:val="en-GB"/>
        </w:rPr>
        <w:t xml:space="preserve">, </w:t>
      </w:r>
      <w:r w:rsidRPr="008C3B63" w:rsidR="000D60AA">
        <w:rPr>
          <w:lang w:val="en-GB"/>
        </w:rPr>
        <w:t>that</w:t>
      </w:r>
      <w:r w:rsidRPr="008C3B63" w:rsidR="007C5007">
        <w:rPr>
          <w:lang w:val="en-GB"/>
        </w:rPr>
        <w:t xml:space="preserve"> the</w:t>
      </w:r>
      <w:r w:rsidRPr="008C3B63" w:rsidR="000D60AA">
        <w:rPr>
          <w:lang w:val="en-GB"/>
        </w:rPr>
        <w:t xml:space="preserve"> principle of</w:t>
      </w:r>
      <w:r w:rsidRPr="008C3B63" w:rsidR="007C5007">
        <w:rPr>
          <w:lang w:val="en-GB"/>
        </w:rPr>
        <w:t xml:space="preserve"> equality of arms</w:t>
      </w:r>
      <w:r w:rsidRPr="008C3B63" w:rsidR="00114CC7">
        <w:rPr>
          <w:lang w:val="en-GB"/>
        </w:rPr>
        <w:t xml:space="preserve"> had </w:t>
      </w:r>
      <w:r w:rsidRPr="008C3B63" w:rsidR="00540235">
        <w:rPr>
          <w:lang w:val="en-GB"/>
        </w:rPr>
        <w:t xml:space="preserve">been </w:t>
      </w:r>
      <w:r w:rsidRPr="008C3B63" w:rsidR="00AF0A1D">
        <w:rPr>
          <w:lang w:val="en-GB"/>
        </w:rPr>
        <w:t>violated</w:t>
      </w:r>
      <w:r w:rsidRPr="008C3B63" w:rsidR="007C5007">
        <w:rPr>
          <w:lang w:val="en-GB"/>
        </w:rPr>
        <w:t xml:space="preserve"> because the Düsseldorf Court of Appeal </w:t>
      </w:r>
      <w:r w:rsidRPr="008C3B63" w:rsidR="000D60AA">
        <w:rPr>
          <w:lang w:val="en-GB"/>
        </w:rPr>
        <w:t xml:space="preserve">had taken </w:t>
      </w:r>
      <w:r w:rsidRPr="008C3B63" w:rsidR="007C5007">
        <w:rPr>
          <w:lang w:val="en-GB"/>
        </w:rPr>
        <w:t>decision</w:t>
      </w:r>
      <w:r w:rsidRPr="008C3B63" w:rsidR="000D60AA">
        <w:rPr>
          <w:lang w:val="en-GB"/>
        </w:rPr>
        <w:t>s</w:t>
      </w:r>
      <w:r w:rsidRPr="008C3B63" w:rsidR="007C5007">
        <w:rPr>
          <w:lang w:val="en-GB"/>
        </w:rPr>
        <w:t xml:space="preserve"> </w:t>
      </w:r>
      <w:r w:rsidRPr="008C3B63" w:rsidR="00114CC7">
        <w:rPr>
          <w:lang w:val="en-GB"/>
        </w:rPr>
        <w:t xml:space="preserve">on </w:t>
      </w:r>
      <w:r w:rsidRPr="008C3B63" w:rsidR="007C5007">
        <w:rPr>
          <w:lang w:val="en-GB"/>
        </w:rPr>
        <w:t xml:space="preserve">3 </w:t>
      </w:r>
      <w:r w:rsidRPr="008C3B63" w:rsidR="000D60AA">
        <w:rPr>
          <w:lang w:val="en-GB"/>
        </w:rPr>
        <w:t xml:space="preserve">and 25 February </w:t>
      </w:r>
      <w:r w:rsidRPr="008C3B63" w:rsidR="007C5007">
        <w:rPr>
          <w:lang w:val="en-GB"/>
        </w:rPr>
        <w:t xml:space="preserve">2011 relating to the continuation of </w:t>
      </w:r>
      <w:r w:rsidRPr="008C3B63" w:rsidR="000D60AA">
        <w:rPr>
          <w:lang w:val="en-GB"/>
        </w:rPr>
        <w:t>his</w:t>
      </w:r>
      <w:r w:rsidRPr="008C3B63" w:rsidR="007C5007">
        <w:rPr>
          <w:lang w:val="en-GB"/>
        </w:rPr>
        <w:t xml:space="preserve"> detention and his request for a subsequent hearing without giving </w:t>
      </w:r>
      <w:r w:rsidRPr="008C3B63" w:rsidR="000D60AA">
        <w:rPr>
          <w:lang w:val="en-GB"/>
        </w:rPr>
        <w:t>him</w:t>
      </w:r>
      <w:r w:rsidRPr="008C3B63" w:rsidR="007C5007">
        <w:rPr>
          <w:lang w:val="en-GB"/>
        </w:rPr>
        <w:t xml:space="preserve"> the </w:t>
      </w:r>
      <w:r w:rsidRPr="008C3B63" w:rsidR="000D60AA">
        <w:rPr>
          <w:lang w:val="en-GB"/>
        </w:rPr>
        <w:t xml:space="preserve">opportunity </w:t>
      </w:r>
      <w:r w:rsidRPr="008C3B63" w:rsidR="007C5007">
        <w:rPr>
          <w:lang w:val="en-GB"/>
        </w:rPr>
        <w:t>to reply to the written observations of the Düsseldorf</w:t>
      </w:r>
      <w:r w:rsidRPr="008C3B63" w:rsidR="005606BA">
        <w:rPr>
          <w:lang w:val="en-GB"/>
        </w:rPr>
        <w:t xml:space="preserve"> Chief Public Prosecutor</w:t>
      </w:r>
      <w:r w:rsidRPr="008C3B63" w:rsidR="008C3B63">
        <w:rPr>
          <w:lang w:val="en-GB"/>
        </w:rPr>
        <w:t>’</w:t>
      </w:r>
      <w:r w:rsidRPr="008C3B63" w:rsidR="005606BA">
        <w:rPr>
          <w:lang w:val="en-GB"/>
        </w:rPr>
        <w:t>s Office</w:t>
      </w:r>
      <w:r w:rsidRPr="008C3B63" w:rsidR="007C5007">
        <w:rPr>
          <w:lang w:val="en-GB"/>
        </w:rPr>
        <w:t>.</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w:t>
      </w:r>
      <w:r w:rsidRPr="008C3B63">
        <w:rPr>
          <w:lang w:val="en-GB"/>
        </w:rPr>
        <w:fldChar w:fldCharType="end"/>
      </w:r>
      <w:r w:rsidRPr="008C3B63" w:rsidR="00014566">
        <w:rPr>
          <w:lang w:val="en-GB"/>
        </w:rPr>
        <w:t>.  </w:t>
      </w:r>
      <w:r w:rsidRPr="008C3B63">
        <w:rPr>
          <w:lang w:val="en-GB"/>
        </w:rPr>
        <w:t xml:space="preserve">On </w:t>
      </w:r>
      <w:r w:rsidRPr="008C3B63">
        <w:rPr>
          <w:szCs w:val="24"/>
          <w:lang w:val="en-GB"/>
        </w:rPr>
        <w:t>16 March 2016</w:t>
      </w:r>
      <w:r w:rsidRPr="008C3B63" w:rsidR="00014566">
        <w:rPr>
          <w:lang w:val="en-GB"/>
        </w:rPr>
        <w:t xml:space="preserve"> the </w:t>
      </w:r>
      <w:r w:rsidRPr="008C3B63">
        <w:rPr>
          <w:lang w:val="en-GB"/>
        </w:rPr>
        <w:t xml:space="preserve">complaint concerning </w:t>
      </w:r>
      <w:r w:rsidRPr="008C3B63" w:rsidR="007C5007">
        <w:rPr>
          <w:lang w:val="en-GB"/>
        </w:rPr>
        <w:t>Article 5 § 4 of the Convention</w:t>
      </w:r>
      <w:r w:rsidRPr="008C3B63">
        <w:rPr>
          <w:lang w:val="en-GB"/>
        </w:rPr>
        <w:t xml:space="preserve"> was communicated to the Government and the remainder of the application was declared inadmissible</w:t>
      </w:r>
      <w:r w:rsidRPr="008C3B63">
        <w:rPr>
          <w:szCs w:val="24"/>
          <w:lang w:val="en-GB"/>
        </w:rPr>
        <w:t xml:space="preserve"> </w:t>
      </w:r>
      <w:r w:rsidRPr="008C3B63">
        <w:rPr>
          <w:lang w:val="en-GB"/>
        </w:rPr>
        <w:t>pursuant to Rule 54 § 3 of the Rules of Court</w:t>
      </w:r>
      <w:r w:rsidRPr="008C3B63" w:rsidR="00014566">
        <w:rPr>
          <w:lang w:val="en-GB"/>
        </w:rPr>
        <w:t>.</w:t>
      </w:r>
    </w:p>
    <w:p w:rsidRPr="008C3B63" w:rsidR="00014566" w:rsidP="008C3B63" w:rsidRDefault="00014566">
      <w:pPr>
        <w:pStyle w:val="ECHRTitle1"/>
        <w:rPr>
          <w:lang w:val="en-GB"/>
        </w:rPr>
      </w:pPr>
      <w:r w:rsidRPr="008C3B63">
        <w:rPr>
          <w:lang w:val="en-GB"/>
        </w:rPr>
        <w:t>THE FACTS</w:t>
      </w:r>
    </w:p>
    <w:p w:rsidRPr="008C3B63" w:rsidR="00014566" w:rsidP="008C3B63" w:rsidRDefault="00014566">
      <w:pPr>
        <w:pStyle w:val="ECHRHeading1"/>
        <w:rPr>
          <w:lang w:val="en-GB"/>
        </w:rPr>
      </w:pPr>
      <w:r w:rsidRPr="008C3B63">
        <w:rPr>
          <w:lang w:val="en-GB"/>
        </w:rPr>
        <w:t>I.  THE CIRCUMSTANCES OF THE CASE</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5</w:t>
      </w:r>
      <w:r w:rsidRPr="008C3B63">
        <w:rPr>
          <w:lang w:val="en-GB"/>
        </w:rPr>
        <w:fldChar w:fldCharType="end"/>
      </w:r>
      <w:r w:rsidRPr="008C3B63" w:rsidR="00014566">
        <w:rPr>
          <w:lang w:val="en-GB"/>
        </w:rPr>
        <w:t xml:space="preserve">.  The </w:t>
      </w:r>
      <w:r w:rsidRPr="008C3B63">
        <w:rPr>
          <w:lang w:val="en-GB"/>
        </w:rPr>
        <w:t>applicant was born in 1967 and lives</w:t>
      </w:r>
      <w:r w:rsidRPr="008C3B63" w:rsidR="00014566">
        <w:rPr>
          <w:lang w:val="en-GB"/>
        </w:rPr>
        <w:t xml:space="preserve"> in </w:t>
      </w:r>
      <w:r w:rsidRPr="008C3B63">
        <w:rPr>
          <w:lang w:val="en-GB"/>
        </w:rPr>
        <w:t>Düren</w:t>
      </w:r>
      <w:r w:rsidRPr="008C3B63" w:rsidR="00014566">
        <w:rPr>
          <w:lang w:val="en-GB"/>
        </w:rPr>
        <w:t>.</w:t>
      </w:r>
    </w:p>
    <w:p w:rsidRPr="008C3B63" w:rsidR="00BE3DE7"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6</w:t>
      </w:r>
      <w:r w:rsidRPr="008C3B63">
        <w:rPr>
          <w:lang w:val="en-GB"/>
        </w:rPr>
        <w:fldChar w:fldCharType="end"/>
      </w:r>
      <w:r w:rsidRPr="008C3B63">
        <w:rPr>
          <w:lang w:val="en-GB"/>
        </w:rPr>
        <w:t xml:space="preserve">.  On 27 August 2010 the Krefeld District Court issued a warrant </w:t>
      </w:r>
      <w:r w:rsidRPr="008C3B63" w:rsidR="000D60AA">
        <w:rPr>
          <w:lang w:val="en-GB"/>
        </w:rPr>
        <w:t>for his arrest</w:t>
      </w:r>
      <w:r w:rsidRPr="008C3B63">
        <w:rPr>
          <w:lang w:val="en-GB"/>
        </w:rPr>
        <w:t xml:space="preserve"> </w:t>
      </w:r>
      <w:r w:rsidRPr="008C3B63" w:rsidR="000D60AA">
        <w:rPr>
          <w:lang w:val="en-GB"/>
        </w:rPr>
        <w:t>as there</w:t>
      </w:r>
      <w:r w:rsidRPr="008C3B63">
        <w:rPr>
          <w:lang w:val="en-GB"/>
        </w:rPr>
        <w:t xml:space="preserve"> was</w:t>
      </w:r>
      <w:r w:rsidRPr="008C3B63" w:rsidR="000D60AA">
        <w:rPr>
          <w:lang w:val="en-GB"/>
        </w:rPr>
        <w:t xml:space="preserve"> a</w:t>
      </w:r>
      <w:r w:rsidRPr="008C3B63">
        <w:rPr>
          <w:lang w:val="en-GB"/>
        </w:rPr>
        <w:t xml:space="preserve"> strong </w:t>
      </w:r>
      <w:r w:rsidRPr="008C3B63" w:rsidR="000D60AA">
        <w:rPr>
          <w:lang w:val="en-GB"/>
        </w:rPr>
        <w:t xml:space="preserve">suspicion that he had been </w:t>
      </w:r>
      <w:r w:rsidRPr="008C3B63">
        <w:rPr>
          <w:lang w:val="en-GB"/>
        </w:rPr>
        <w:t xml:space="preserve">trafficking drugs. </w:t>
      </w:r>
      <w:r w:rsidRPr="008C3B63" w:rsidR="006C33E5">
        <w:rPr>
          <w:lang w:val="en-GB"/>
        </w:rPr>
        <w:t>Earlier t</w:t>
      </w:r>
      <w:r w:rsidRPr="008C3B63">
        <w:rPr>
          <w:lang w:val="en-GB"/>
        </w:rPr>
        <w:t xml:space="preserve">hat day he had been stopped with 15.8 grams of heroin, which he </w:t>
      </w:r>
      <w:r w:rsidRPr="008C3B63" w:rsidR="006C33E5">
        <w:rPr>
          <w:lang w:val="en-GB"/>
        </w:rPr>
        <w:t xml:space="preserve">had </w:t>
      </w:r>
      <w:r w:rsidRPr="008C3B63">
        <w:rPr>
          <w:lang w:val="en-GB"/>
        </w:rPr>
        <w:t xml:space="preserve">allegedly intended to sell. </w:t>
      </w:r>
      <w:r w:rsidRPr="008C3B63" w:rsidR="00114CC7">
        <w:rPr>
          <w:lang w:val="en-GB"/>
        </w:rPr>
        <w:t>On two previous occasions h</w:t>
      </w:r>
      <w:r w:rsidRPr="008C3B63">
        <w:rPr>
          <w:lang w:val="en-GB"/>
        </w:rPr>
        <w:t xml:space="preserve">e had been stopped at </w:t>
      </w:r>
      <w:r w:rsidRPr="008C3B63" w:rsidR="006C33E5">
        <w:rPr>
          <w:lang w:val="en-GB"/>
        </w:rPr>
        <w:t xml:space="preserve">the </w:t>
      </w:r>
      <w:r w:rsidRPr="008C3B63">
        <w:rPr>
          <w:lang w:val="en-GB"/>
        </w:rPr>
        <w:t xml:space="preserve">German border </w:t>
      </w:r>
      <w:r w:rsidRPr="008C3B63" w:rsidR="00D32041">
        <w:rPr>
          <w:lang w:val="en-GB"/>
        </w:rPr>
        <w:t>with</w:t>
      </w:r>
      <w:r w:rsidRPr="008C3B63">
        <w:rPr>
          <w:lang w:val="en-GB"/>
        </w:rPr>
        <w:t xml:space="preserve"> 11 and 12.5 grams of heroin</w:t>
      </w:r>
      <w:r w:rsidRPr="008C3B63" w:rsidR="00675384">
        <w:rPr>
          <w:lang w:val="en-GB"/>
        </w:rPr>
        <w:t xml:space="preserve"> </w:t>
      </w:r>
      <w:r w:rsidRPr="008C3B63" w:rsidR="006C33E5">
        <w:rPr>
          <w:lang w:val="en-GB"/>
        </w:rPr>
        <w:t>on</w:t>
      </w:r>
      <w:r w:rsidRPr="008C3B63">
        <w:rPr>
          <w:lang w:val="en-GB"/>
        </w:rPr>
        <w:t xml:space="preserve"> him. The arrest warrant was based on the risk of </w:t>
      </w:r>
      <w:r w:rsidRPr="008C3B63" w:rsidR="00275A0F">
        <w:rPr>
          <w:lang w:val="en-GB"/>
        </w:rPr>
        <w:t xml:space="preserve">him </w:t>
      </w:r>
      <w:r w:rsidRPr="008C3B63">
        <w:rPr>
          <w:lang w:val="en-GB"/>
        </w:rPr>
        <w:t xml:space="preserve">absconding as </w:t>
      </w:r>
      <w:r w:rsidRPr="008C3B63" w:rsidR="000F7B4D">
        <w:rPr>
          <w:lang w:val="en-GB"/>
        </w:rPr>
        <w:t>he</w:t>
      </w:r>
      <w:r w:rsidRPr="008C3B63">
        <w:rPr>
          <w:lang w:val="en-GB"/>
        </w:rPr>
        <w:t xml:space="preserve"> could expect a considerable sentence for the offences in question, had no social ties, being unemployed and a drug addict, and had an unstable character. That same day </w:t>
      </w:r>
      <w:r w:rsidRPr="008C3B63" w:rsidR="00275A0F">
        <w:rPr>
          <w:lang w:val="en-GB"/>
        </w:rPr>
        <w:t>he</w:t>
      </w:r>
      <w:r w:rsidRPr="008C3B63">
        <w:rPr>
          <w:lang w:val="en-GB"/>
        </w:rPr>
        <w:t xml:space="preserve"> was detained on remand.</w:t>
      </w:r>
    </w:p>
    <w:p w:rsidRPr="008C3B63" w:rsidR="008030F7"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7</w:t>
      </w:r>
      <w:r w:rsidRPr="008C3B63">
        <w:rPr>
          <w:lang w:val="en-GB"/>
        </w:rPr>
        <w:fldChar w:fldCharType="end"/>
      </w:r>
      <w:r w:rsidRPr="008C3B63">
        <w:rPr>
          <w:lang w:val="en-GB"/>
        </w:rPr>
        <w:t>.  </w:t>
      </w:r>
      <w:r w:rsidRPr="008C3B63" w:rsidR="008030F7">
        <w:rPr>
          <w:lang w:val="en-GB"/>
        </w:rPr>
        <w:t>Between 30 August 2010 and 11 November 2010 the lawfulness of the applicant</w:t>
      </w:r>
      <w:r w:rsidRPr="008C3B63" w:rsidR="008C3B63">
        <w:rPr>
          <w:lang w:val="en-GB"/>
        </w:rPr>
        <w:t>’</w:t>
      </w:r>
      <w:r w:rsidRPr="008C3B63" w:rsidR="008030F7">
        <w:rPr>
          <w:lang w:val="en-GB"/>
        </w:rPr>
        <w:t>s detention on remand was examined eight times by the District Court or Regional Court.</w:t>
      </w:r>
    </w:p>
    <w:p w:rsidRPr="008C3B63" w:rsidR="00926D5F" w:rsidP="008C3B63" w:rsidRDefault="00BE3DE7">
      <w:pPr>
        <w:pStyle w:val="ECHRPara"/>
        <w:rPr>
          <w:color w:val="1F497D"/>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8</w:t>
      </w:r>
      <w:r w:rsidRPr="008C3B63">
        <w:rPr>
          <w:lang w:val="en-GB"/>
        </w:rPr>
        <w:fldChar w:fldCharType="end"/>
      </w:r>
      <w:r w:rsidRPr="008C3B63">
        <w:rPr>
          <w:lang w:val="en-GB"/>
        </w:rPr>
        <w:t>.  </w:t>
      </w:r>
      <w:r w:rsidRPr="008C3B63" w:rsidR="0077020E">
        <w:rPr>
          <w:lang w:val="en-GB"/>
        </w:rPr>
        <w:t>In a judgment of</w:t>
      </w:r>
      <w:r w:rsidRPr="008C3B63">
        <w:rPr>
          <w:lang w:val="en-GB"/>
        </w:rPr>
        <w:t xml:space="preserve"> 6 December 2010 the District Court convicted the applicant of</w:t>
      </w:r>
      <w:r w:rsidRPr="008C3B63" w:rsidR="00926D5F">
        <w:rPr>
          <w:lang w:val="en-GB"/>
        </w:rPr>
        <w:t xml:space="preserve"> </w:t>
      </w:r>
      <w:r w:rsidRPr="008C3B63" w:rsidR="00EF4AB3">
        <w:rPr>
          <w:lang w:val="en-GB"/>
        </w:rPr>
        <w:t xml:space="preserve">three counts of large-scale drug </w:t>
      </w:r>
      <w:r w:rsidRPr="008C3B63">
        <w:rPr>
          <w:lang w:val="en-GB"/>
        </w:rPr>
        <w:t>trafficking</w:t>
      </w:r>
      <w:r w:rsidRPr="008C3B63" w:rsidR="00D32041">
        <w:rPr>
          <w:lang w:val="en-GB"/>
        </w:rPr>
        <w:t xml:space="preserve"> </w:t>
      </w:r>
      <w:r w:rsidRPr="008C3B63" w:rsidR="00EF4AB3">
        <w:rPr>
          <w:lang w:val="en-GB"/>
        </w:rPr>
        <w:t>–</w:t>
      </w:r>
      <w:r w:rsidRPr="008C3B63" w:rsidR="00275A0F">
        <w:rPr>
          <w:lang w:val="en-GB"/>
        </w:rPr>
        <w:t xml:space="preserve"> </w:t>
      </w:r>
      <w:r w:rsidRPr="008C3B63">
        <w:rPr>
          <w:lang w:val="en-GB"/>
        </w:rPr>
        <w:t>two counts</w:t>
      </w:r>
      <w:r w:rsidRPr="008C3B63" w:rsidR="00EF4AB3">
        <w:rPr>
          <w:lang w:val="en-GB"/>
        </w:rPr>
        <w:t xml:space="preserve"> of</w:t>
      </w:r>
      <w:r w:rsidRPr="008C3B63">
        <w:rPr>
          <w:lang w:val="en-GB"/>
        </w:rPr>
        <w:t xml:space="preserve"> smuggling drugs into Germany</w:t>
      </w:r>
      <w:r w:rsidRPr="008C3B63" w:rsidR="00EF4AB3">
        <w:rPr>
          <w:lang w:val="en-GB"/>
        </w:rPr>
        <w:t xml:space="preserve"> and trafficking (</w:t>
      </w:r>
      <w:r w:rsidRPr="008C3B63" w:rsidR="00E17732">
        <w:rPr>
          <w:lang w:val="en-GB"/>
        </w:rPr>
        <w:t>dealt with</w:t>
      </w:r>
      <w:r w:rsidRPr="008C3B63" w:rsidR="00EF4AB3">
        <w:rPr>
          <w:lang w:val="en-GB"/>
        </w:rPr>
        <w:t xml:space="preserve"> as </w:t>
      </w:r>
      <w:r w:rsidRPr="008C3B63" w:rsidR="00D32041">
        <w:rPr>
          <w:lang w:val="en-GB"/>
        </w:rPr>
        <w:t xml:space="preserve">a </w:t>
      </w:r>
      <w:r w:rsidRPr="008C3B63" w:rsidR="00EF4AB3">
        <w:rPr>
          <w:lang w:val="en-GB"/>
        </w:rPr>
        <w:t>single offence instead of two separate offences) and a third count of trafficking only</w:t>
      </w:r>
      <w:r w:rsidRPr="008C3B63" w:rsidR="0077020E">
        <w:rPr>
          <w:lang w:val="en-GB"/>
        </w:rPr>
        <w:t xml:space="preserve"> and</w:t>
      </w:r>
      <w:r w:rsidRPr="008C3B63">
        <w:rPr>
          <w:lang w:val="en-GB"/>
        </w:rPr>
        <w:t xml:space="preserve"> sentenced him to two years and six months</w:t>
      </w:r>
      <w:r w:rsidRPr="008C3B63" w:rsidR="008C3B63">
        <w:rPr>
          <w:lang w:val="en-GB"/>
        </w:rPr>
        <w:t>’</w:t>
      </w:r>
      <w:r w:rsidRPr="008C3B63">
        <w:rPr>
          <w:lang w:val="en-GB"/>
        </w:rPr>
        <w:t xml:space="preserve"> imprisonment</w:t>
      </w:r>
      <w:r w:rsidRPr="008C3B63" w:rsidR="0077020E">
        <w:rPr>
          <w:lang w:val="en-GB"/>
        </w:rPr>
        <w:t xml:space="preserve">. </w:t>
      </w:r>
      <w:r w:rsidRPr="008C3B63" w:rsidR="00645F3A">
        <w:rPr>
          <w:lang w:val="en-GB"/>
        </w:rPr>
        <w:t xml:space="preserve">On the same day, in a separate decision, the District Court </w:t>
      </w:r>
      <w:r w:rsidRPr="008C3B63">
        <w:rPr>
          <w:lang w:val="en-GB"/>
        </w:rPr>
        <w:t xml:space="preserve">ordered the continuation of </w:t>
      </w:r>
      <w:r w:rsidRPr="008C3B63" w:rsidR="00645F3A">
        <w:rPr>
          <w:lang w:val="en-GB"/>
        </w:rPr>
        <w:t>the applicant</w:t>
      </w:r>
      <w:r w:rsidRPr="008C3B63" w:rsidR="008C3B63">
        <w:rPr>
          <w:lang w:val="en-GB"/>
        </w:rPr>
        <w:t>’</w:t>
      </w:r>
      <w:r w:rsidRPr="008C3B63" w:rsidR="00645F3A">
        <w:rPr>
          <w:lang w:val="en-GB"/>
        </w:rPr>
        <w:t xml:space="preserve">s </w:t>
      </w:r>
      <w:r w:rsidRPr="008C3B63">
        <w:rPr>
          <w:lang w:val="en-GB"/>
        </w:rPr>
        <w:t>detention.</w:t>
      </w:r>
    </w:p>
    <w:p w:rsidRPr="008C3B63" w:rsidR="00BE3DE7"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9</w:t>
      </w:r>
      <w:r w:rsidRPr="008C3B63">
        <w:rPr>
          <w:lang w:val="en-GB"/>
        </w:rPr>
        <w:fldChar w:fldCharType="end"/>
      </w:r>
      <w:r w:rsidRPr="008C3B63">
        <w:rPr>
          <w:lang w:val="en-GB"/>
        </w:rPr>
        <w:t>.  On 8 December 2010 the applicant lodged an appeal against that decision</w:t>
      </w:r>
      <w:r w:rsidRPr="008C3B63" w:rsidR="008C73B9">
        <w:rPr>
          <w:lang w:val="en-GB"/>
        </w:rPr>
        <w:t>. In substance he mainly referred to his previous submissions. O</w:t>
      </w:r>
      <w:r w:rsidRPr="008C3B63">
        <w:rPr>
          <w:lang w:val="en-GB"/>
        </w:rPr>
        <w:t xml:space="preserve">n 13 December 2010 </w:t>
      </w:r>
      <w:r w:rsidRPr="008C3B63" w:rsidR="000C2017">
        <w:rPr>
          <w:lang w:val="en-GB"/>
        </w:rPr>
        <w:t>he</w:t>
      </w:r>
      <w:r w:rsidRPr="008C3B63">
        <w:rPr>
          <w:lang w:val="en-GB"/>
        </w:rPr>
        <w:t xml:space="preserve"> lodged an appeal against the judgment.</w:t>
      </w:r>
    </w:p>
    <w:p w:rsidRPr="008C3B63" w:rsidR="00BE3DE7"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10</w:t>
      </w:r>
      <w:r w:rsidRPr="008C3B63">
        <w:rPr>
          <w:lang w:val="en-GB"/>
        </w:rPr>
        <w:fldChar w:fldCharType="end"/>
      </w:r>
      <w:r w:rsidRPr="008C3B63">
        <w:rPr>
          <w:lang w:val="en-GB"/>
        </w:rPr>
        <w:t>.  </w:t>
      </w:r>
      <w:r w:rsidRPr="008C3B63" w:rsidR="00BB5B21">
        <w:rPr>
          <w:lang w:val="en-GB"/>
        </w:rPr>
        <w:t>T</w:t>
      </w:r>
      <w:r w:rsidRPr="008C3B63" w:rsidR="00CA2EE1">
        <w:rPr>
          <w:lang w:val="en-GB"/>
        </w:rPr>
        <w:t xml:space="preserve">he District Court </w:t>
      </w:r>
      <w:r w:rsidRPr="008C3B63" w:rsidR="003803C5">
        <w:rPr>
          <w:lang w:val="en-GB"/>
        </w:rPr>
        <w:t xml:space="preserve">did </w:t>
      </w:r>
      <w:r w:rsidRPr="008C3B63" w:rsidR="00CA2EE1">
        <w:rPr>
          <w:lang w:val="en-GB"/>
        </w:rPr>
        <w:t xml:space="preserve">not </w:t>
      </w:r>
      <w:r w:rsidRPr="008C3B63" w:rsidR="00BB5B21">
        <w:rPr>
          <w:lang w:val="en-GB"/>
        </w:rPr>
        <w:t xml:space="preserve">allow </w:t>
      </w:r>
      <w:r w:rsidRPr="008C3B63" w:rsidR="00CA2EE1">
        <w:rPr>
          <w:lang w:val="en-GB"/>
        </w:rPr>
        <w:t>the appeal of 8 December 2010 relating to the applicant</w:t>
      </w:r>
      <w:r w:rsidRPr="008C3B63" w:rsidR="008C3B63">
        <w:rPr>
          <w:lang w:val="en-GB"/>
        </w:rPr>
        <w:t>’</w:t>
      </w:r>
      <w:r w:rsidRPr="008C3B63" w:rsidR="00CA2EE1">
        <w:rPr>
          <w:lang w:val="en-GB"/>
        </w:rPr>
        <w:t>s detention and refer</w:t>
      </w:r>
      <w:r w:rsidRPr="008C3B63" w:rsidR="00BB5B21">
        <w:rPr>
          <w:lang w:val="en-GB"/>
        </w:rPr>
        <w:t>red</w:t>
      </w:r>
      <w:r w:rsidRPr="008C3B63" w:rsidR="00CA2EE1">
        <w:rPr>
          <w:lang w:val="en-GB"/>
        </w:rPr>
        <w:t xml:space="preserve"> it to the Regional Court, </w:t>
      </w:r>
      <w:r w:rsidRPr="008C3B63" w:rsidR="00EF4AB3">
        <w:rPr>
          <w:lang w:val="en-GB"/>
        </w:rPr>
        <w:t>which</w:t>
      </w:r>
      <w:r w:rsidRPr="008C3B63" w:rsidR="00CA2EE1">
        <w:rPr>
          <w:lang w:val="en-GB"/>
        </w:rPr>
        <w:t xml:space="preserve"> dismissed it o</w:t>
      </w:r>
      <w:r w:rsidRPr="008C3B63">
        <w:rPr>
          <w:lang w:val="en-GB"/>
        </w:rPr>
        <w:t>n 15 D</w:t>
      </w:r>
      <w:r w:rsidRPr="008C3B63" w:rsidR="00CA2EE1">
        <w:rPr>
          <w:lang w:val="en-GB"/>
        </w:rPr>
        <w:t>ecember 2010</w:t>
      </w:r>
      <w:r w:rsidRPr="008C3B63" w:rsidR="00F73D91">
        <w:rPr>
          <w:lang w:val="en-GB"/>
        </w:rPr>
        <w:t>, finding that there continued to be a risk of the applicant absconding</w:t>
      </w:r>
      <w:r w:rsidRPr="008C3B63">
        <w:rPr>
          <w:lang w:val="en-GB"/>
        </w:rPr>
        <w:t>.</w:t>
      </w:r>
    </w:p>
    <w:p w:rsidRPr="008C3B63" w:rsidR="00BE3DE7"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11</w:t>
      </w:r>
      <w:r w:rsidRPr="008C3B63">
        <w:rPr>
          <w:lang w:val="en-GB"/>
        </w:rPr>
        <w:fldChar w:fldCharType="end"/>
      </w:r>
      <w:r w:rsidRPr="008C3B63">
        <w:rPr>
          <w:lang w:val="en-GB"/>
        </w:rPr>
        <w:t>.  On 5 January 2011 the applicant lodged a further appeal against that decision</w:t>
      </w:r>
      <w:r w:rsidRPr="008C3B63" w:rsidR="008C73B9">
        <w:rPr>
          <w:lang w:val="en-GB"/>
        </w:rPr>
        <w:t>. In substance</w:t>
      </w:r>
      <w:r w:rsidRPr="008C3B63" w:rsidR="00707940">
        <w:rPr>
          <w:lang w:val="en-GB"/>
        </w:rPr>
        <w:t>, again,</w:t>
      </w:r>
      <w:r w:rsidRPr="008C3B63" w:rsidR="008C73B9">
        <w:rPr>
          <w:lang w:val="en-GB"/>
        </w:rPr>
        <w:t xml:space="preserve"> he referred to his previous submissions</w:t>
      </w:r>
      <w:r w:rsidRPr="008C3B63">
        <w:rPr>
          <w:lang w:val="en-GB"/>
        </w:rPr>
        <w:t>.</w:t>
      </w:r>
      <w:r w:rsidRPr="008C3B63" w:rsidR="00B637C7">
        <w:t xml:space="preserve"> He </w:t>
      </w:r>
      <w:r w:rsidRPr="008C3B63" w:rsidR="00B637C7">
        <w:rPr>
          <w:lang w:val="en-GB"/>
        </w:rPr>
        <w:t>explicitly asked that the observations of the Chief Public Prosecutor</w:t>
      </w:r>
      <w:r w:rsidRPr="008C3B63" w:rsidR="008C3B63">
        <w:rPr>
          <w:lang w:val="en-GB"/>
        </w:rPr>
        <w:t>’</w:t>
      </w:r>
      <w:r w:rsidRPr="008C3B63" w:rsidR="00B637C7">
        <w:rPr>
          <w:lang w:val="en-GB"/>
        </w:rPr>
        <w:t>s Office be sent to him so as to be able to comment on them.</w:t>
      </w:r>
    </w:p>
    <w:p w:rsidRPr="008C3B63" w:rsidR="00926D5F"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12</w:t>
      </w:r>
      <w:r w:rsidRPr="008C3B63">
        <w:rPr>
          <w:lang w:val="en-GB"/>
        </w:rPr>
        <w:fldChar w:fldCharType="end"/>
      </w:r>
      <w:r w:rsidRPr="008C3B63">
        <w:rPr>
          <w:lang w:val="en-GB"/>
        </w:rPr>
        <w:t xml:space="preserve">.  On 28 January 2011 the Düsseldorf </w:t>
      </w:r>
      <w:r w:rsidRPr="008C3B63" w:rsidR="00AF0A1D">
        <w:rPr>
          <w:lang w:val="en-GB"/>
        </w:rPr>
        <w:t xml:space="preserve">Chief </w:t>
      </w:r>
      <w:r w:rsidRPr="008C3B63" w:rsidR="00AF0A1D">
        <w:t>Public Prosecutor</w:t>
      </w:r>
      <w:r w:rsidRPr="008C3B63" w:rsidR="008C3B63">
        <w:t>’</w:t>
      </w:r>
      <w:r w:rsidRPr="008C3B63" w:rsidR="00AF0A1D">
        <w:t>s Office</w:t>
      </w:r>
      <w:r w:rsidRPr="008C3B63" w:rsidDel="00AF0A1D" w:rsidR="00AF0A1D">
        <w:rPr>
          <w:lang w:val="en-GB"/>
        </w:rPr>
        <w:t xml:space="preserve"> </w:t>
      </w:r>
      <w:r w:rsidRPr="008C3B63">
        <w:rPr>
          <w:lang w:val="en-GB"/>
        </w:rPr>
        <w:t>(</w:t>
      </w:r>
      <w:r w:rsidRPr="008C3B63">
        <w:rPr>
          <w:i/>
          <w:lang w:val="en-GB"/>
        </w:rPr>
        <w:t>Generalstaatsanwaltschaft</w:t>
      </w:r>
      <w:r w:rsidRPr="008C3B63" w:rsidR="00524CC9">
        <w:rPr>
          <w:i/>
          <w:lang w:val="en-GB"/>
        </w:rPr>
        <w:t xml:space="preserve"> </w:t>
      </w:r>
      <w:r w:rsidRPr="008C3B63" w:rsidR="00524CC9">
        <w:rPr>
          <w:rFonts w:cstheme="minorHAnsi"/>
        </w:rPr>
        <w:t>–</w:t>
      </w:r>
      <w:r w:rsidRPr="008C3B63" w:rsidR="002C4187">
        <w:rPr>
          <w:rFonts w:cstheme="minorHAnsi"/>
        </w:rPr>
        <w:t xml:space="preserve"> </w:t>
      </w:r>
      <w:r w:rsidRPr="008C3B63" w:rsidR="00524CC9">
        <w:t>“the prosecution authorities”</w:t>
      </w:r>
      <w:r w:rsidRPr="008C3B63">
        <w:rPr>
          <w:lang w:val="en-GB"/>
        </w:rPr>
        <w:t>) submitted written observations to the Court of Appeal, requesting the dismissal of the applicant</w:t>
      </w:r>
      <w:r w:rsidRPr="008C3B63" w:rsidR="008C3B63">
        <w:rPr>
          <w:lang w:val="en-GB"/>
        </w:rPr>
        <w:t>’</w:t>
      </w:r>
      <w:r w:rsidRPr="008C3B63">
        <w:rPr>
          <w:lang w:val="en-GB"/>
        </w:rPr>
        <w:t>s appeal of 5 January 2011.</w:t>
      </w:r>
    </w:p>
    <w:p w:rsidRPr="008C3B63" w:rsidR="00BE3DE7" w:rsidP="008C3B63" w:rsidRDefault="00BE3DE7">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13</w:t>
      </w:r>
      <w:r w:rsidRPr="008C3B63">
        <w:rPr>
          <w:lang w:val="en-GB"/>
        </w:rPr>
        <w:fldChar w:fldCharType="end"/>
      </w:r>
      <w:r w:rsidRPr="008C3B63">
        <w:rPr>
          <w:lang w:val="en-GB"/>
        </w:rPr>
        <w:t>.  The applicant</w:t>
      </w:r>
      <w:r w:rsidRPr="008C3B63" w:rsidR="008C3B63">
        <w:rPr>
          <w:lang w:val="en-GB"/>
        </w:rPr>
        <w:t>’</w:t>
      </w:r>
      <w:r w:rsidRPr="008C3B63">
        <w:rPr>
          <w:lang w:val="en-GB"/>
        </w:rPr>
        <w:t xml:space="preserve">s counsel received the observations from the </w:t>
      </w:r>
      <w:r w:rsidRPr="008C3B63" w:rsidR="00524CC9">
        <w:rPr>
          <w:lang w:val="en-GB"/>
        </w:rPr>
        <w:t>prosecution authorities</w:t>
      </w:r>
      <w:r w:rsidRPr="008C3B63">
        <w:rPr>
          <w:lang w:val="en-GB"/>
        </w:rPr>
        <w:t xml:space="preserve"> on 3 February 2011 and submitted a reply to the Court of Appeal on 10 February 2011.</w:t>
      </w:r>
    </w:p>
    <w:p w:rsidRPr="008C3B63" w:rsidR="00BE3DE7"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14</w:t>
      </w:r>
      <w:r w:rsidRPr="008C3B63">
        <w:rPr>
          <w:lang w:val="en-GB"/>
        </w:rPr>
        <w:fldChar w:fldCharType="end"/>
      </w:r>
      <w:r w:rsidRPr="008C3B63">
        <w:rPr>
          <w:lang w:val="en-GB"/>
        </w:rPr>
        <w:t>.  </w:t>
      </w:r>
      <w:r w:rsidRPr="008C3B63" w:rsidR="00BE3DE7">
        <w:rPr>
          <w:lang w:val="en-GB"/>
        </w:rPr>
        <w:t xml:space="preserve">Following a telephone </w:t>
      </w:r>
      <w:r w:rsidRPr="008C3B63" w:rsidR="00E13812">
        <w:rPr>
          <w:lang w:val="en-GB"/>
        </w:rPr>
        <w:t>e</w:t>
      </w:r>
      <w:r w:rsidRPr="008C3B63" w:rsidR="00BE3DE7">
        <w:rPr>
          <w:lang w:val="en-GB"/>
        </w:rPr>
        <w:t>nquiry to the Court of Appeal, the applicant</w:t>
      </w:r>
      <w:r w:rsidRPr="008C3B63" w:rsidR="008C3B63">
        <w:rPr>
          <w:lang w:val="en-GB"/>
        </w:rPr>
        <w:t>’</w:t>
      </w:r>
      <w:r w:rsidRPr="008C3B63" w:rsidR="00BE3DE7">
        <w:rPr>
          <w:lang w:val="en-GB"/>
        </w:rPr>
        <w:t>s counsel learned on 10 February 2011 that on 3 February 2011</w:t>
      </w:r>
      <w:r w:rsidRPr="008C3B63" w:rsidR="00E13812">
        <w:rPr>
          <w:lang w:val="en-GB"/>
        </w:rPr>
        <w:t xml:space="preserve"> it had already </w:t>
      </w:r>
      <w:r w:rsidRPr="008C3B63" w:rsidR="00BE3DE7">
        <w:rPr>
          <w:lang w:val="en-GB"/>
        </w:rPr>
        <w:t>decided the applicant</w:t>
      </w:r>
      <w:r w:rsidRPr="008C3B63" w:rsidR="008C3B63">
        <w:rPr>
          <w:lang w:val="en-GB"/>
        </w:rPr>
        <w:t>’</w:t>
      </w:r>
      <w:r w:rsidRPr="008C3B63" w:rsidR="00BE3DE7">
        <w:rPr>
          <w:lang w:val="en-GB"/>
        </w:rPr>
        <w:t>s appeal of 5 January 2011</w:t>
      </w:r>
      <w:r w:rsidRPr="008C3B63" w:rsidR="00EA20FC">
        <w:rPr>
          <w:lang w:val="en-GB"/>
        </w:rPr>
        <w:t xml:space="preserve"> and dismissed it</w:t>
      </w:r>
      <w:r w:rsidRPr="008C3B63" w:rsidR="00BE3DE7">
        <w:rPr>
          <w:lang w:val="en-GB"/>
        </w:rPr>
        <w:t xml:space="preserve">. The applicant </w:t>
      </w:r>
      <w:r w:rsidRPr="008C3B63" w:rsidR="000F7B4D">
        <w:rPr>
          <w:lang w:val="en-GB"/>
        </w:rPr>
        <w:t>had therefore</w:t>
      </w:r>
      <w:r w:rsidRPr="008C3B63" w:rsidR="00BE3DE7">
        <w:rPr>
          <w:lang w:val="en-GB"/>
        </w:rPr>
        <w:t xml:space="preserve"> not</w:t>
      </w:r>
      <w:r w:rsidRPr="008C3B63" w:rsidR="000F7B4D">
        <w:rPr>
          <w:lang w:val="en-GB"/>
        </w:rPr>
        <w:t xml:space="preserve"> been</w:t>
      </w:r>
      <w:r w:rsidRPr="008C3B63" w:rsidR="00BE3DE7">
        <w:rPr>
          <w:lang w:val="en-GB"/>
        </w:rPr>
        <w:t xml:space="preserve"> </w:t>
      </w:r>
      <w:r w:rsidRPr="008C3B63" w:rsidR="00EC5A3C">
        <w:rPr>
          <w:lang w:val="en-GB"/>
        </w:rPr>
        <w:t xml:space="preserve">able </w:t>
      </w:r>
      <w:r w:rsidRPr="008C3B63" w:rsidR="00BE3DE7">
        <w:rPr>
          <w:lang w:val="en-GB"/>
        </w:rPr>
        <w:t xml:space="preserve">to reply to the observations of the </w:t>
      </w:r>
      <w:r w:rsidRPr="008C3B63" w:rsidR="00524CC9">
        <w:rPr>
          <w:lang w:val="en-GB"/>
        </w:rPr>
        <w:t xml:space="preserve">prosecution authorities </w:t>
      </w:r>
      <w:r w:rsidRPr="008C3B63" w:rsidR="00BE3DE7">
        <w:rPr>
          <w:lang w:val="en-GB"/>
        </w:rPr>
        <w:t xml:space="preserve">of 28 January 2011 prior to </w:t>
      </w:r>
      <w:r w:rsidRPr="008C3B63" w:rsidR="00275A0F">
        <w:rPr>
          <w:lang w:val="en-GB"/>
        </w:rPr>
        <w:t xml:space="preserve">the court taking its </w:t>
      </w:r>
      <w:r w:rsidRPr="008C3B63" w:rsidR="00BE3DE7">
        <w:rPr>
          <w:lang w:val="en-GB"/>
        </w:rPr>
        <w:t>decision.</w:t>
      </w:r>
    </w:p>
    <w:p w:rsidRPr="008C3B63" w:rsidR="00BE3DE7"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15</w:t>
      </w:r>
      <w:r w:rsidRPr="008C3B63">
        <w:rPr>
          <w:lang w:val="en-GB"/>
        </w:rPr>
        <w:fldChar w:fldCharType="end"/>
      </w:r>
      <w:r w:rsidRPr="008C3B63">
        <w:rPr>
          <w:lang w:val="en-GB"/>
        </w:rPr>
        <w:t>.  </w:t>
      </w:r>
      <w:proofErr w:type="gramStart"/>
      <w:r w:rsidRPr="008C3B63" w:rsidR="00BE3DE7">
        <w:rPr>
          <w:lang w:val="en-GB"/>
        </w:rPr>
        <w:t>That same day the applicant</w:t>
      </w:r>
      <w:r w:rsidRPr="008C3B63" w:rsidR="008C3B63">
        <w:rPr>
          <w:lang w:val="en-GB"/>
        </w:rPr>
        <w:t>’</w:t>
      </w:r>
      <w:r w:rsidRPr="008C3B63" w:rsidR="00BE3DE7">
        <w:rPr>
          <w:lang w:val="en-GB"/>
        </w:rPr>
        <w:t>s counsel requested a subsequent hearing (</w:t>
      </w:r>
      <w:r w:rsidRPr="008C3B63" w:rsidR="00BE3DE7">
        <w:rPr>
          <w:i/>
          <w:lang w:val="en-GB"/>
        </w:rPr>
        <w:t>Nachholung des rechtlichen Gehörs</w:t>
      </w:r>
      <w:r w:rsidRPr="008C3B63" w:rsidR="00BE3DE7">
        <w:rPr>
          <w:lang w:val="en-GB"/>
        </w:rPr>
        <w:t xml:space="preserve">) </w:t>
      </w:r>
      <w:r w:rsidRPr="008C3B63" w:rsidR="00BB5B21">
        <w:rPr>
          <w:lang w:val="en-GB"/>
        </w:rPr>
        <w:t>under</w:t>
      </w:r>
      <w:r w:rsidRPr="008C3B63" w:rsidR="00BE3DE7">
        <w:rPr>
          <w:lang w:val="en-GB"/>
        </w:rPr>
        <w:t xml:space="preserve"> Article 33a of the Code of Criminal Procedure.</w:t>
      </w:r>
      <w:proofErr w:type="gramEnd"/>
    </w:p>
    <w:p w:rsidRPr="008C3B63" w:rsidR="00BE3DE7"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16</w:t>
      </w:r>
      <w:r w:rsidRPr="008C3B63">
        <w:rPr>
          <w:lang w:val="en-GB"/>
        </w:rPr>
        <w:fldChar w:fldCharType="end"/>
      </w:r>
      <w:r w:rsidRPr="008C3B63">
        <w:rPr>
          <w:lang w:val="en-GB"/>
        </w:rPr>
        <w:t>.  </w:t>
      </w:r>
      <w:r w:rsidRPr="008C3B63" w:rsidR="00BE3DE7">
        <w:rPr>
          <w:lang w:val="en-GB"/>
        </w:rPr>
        <w:t>On 14 February 2011 the Court of Appeal</w:t>
      </w:r>
      <w:r w:rsidRPr="008C3B63" w:rsidR="008C3B63">
        <w:rPr>
          <w:lang w:val="en-GB"/>
        </w:rPr>
        <w:t>’</w:t>
      </w:r>
      <w:r w:rsidRPr="008C3B63" w:rsidR="00BB5B21">
        <w:rPr>
          <w:lang w:val="en-GB"/>
        </w:rPr>
        <w:t>s</w:t>
      </w:r>
      <w:r w:rsidRPr="008C3B63" w:rsidR="00BE3DE7">
        <w:rPr>
          <w:lang w:val="en-GB"/>
        </w:rPr>
        <w:t xml:space="preserve"> </w:t>
      </w:r>
      <w:r w:rsidRPr="008C3B63" w:rsidR="00BB5B21">
        <w:rPr>
          <w:lang w:val="en-GB"/>
        </w:rPr>
        <w:t xml:space="preserve">decision </w:t>
      </w:r>
      <w:r w:rsidRPr="008C3B63" w:rsidR="00BE3DE7">
        <w:rPr>
          <w:lang w:val="en-GB"/>
        </w:rPr>
        <w:t>of 3 February 2011 was served on the applicant.</w:t>
      </w:r>
    </w:p>
    <w:p w:rsidRPr="008C3B63" w:rsidR="00926D5F"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17</w:t>
      </w:r>
      <w:r w:rsidRPr="008C3B63">
        <w:rPr>
          <w:lang w:val="en-GB"/>
        </w:rPr>
        <w:fldChar w:fldCharType="end"/>
      </w:r>
      <w:r w:rsidRPr="008C3B63">
        <w:rPr>
          <w:lang w:val="en-GB"/>
        </w:rPr>
        <w:t>.  </w:t>
      </w:r>
      <w:r w:rsidRPr="008C3B63" w:rsidR="00BE3DE7">
        <w:rPr>
          <w:lang w:val="en-GB"/>
        </w:rPr>
        <w:t xml:space="preserve">On an unspecified date the </w:t>
      </w:r>
      <w:r w:rsidRPr="008C3B63" w:rsidR="00524CC9">
        <w:rPr>
          <w:lang w:val="en-GB"/>
        </w:rPr>
        <w:t xml:space="preserve">prosecution authorities </w:t>
      </w:r>
      <w:r w:rsidRPr="008C3B63" w:rsidR="00BE3DE7">
        <w:rPr>
          <w:lang w:val="en-GB"/>
        </w:rPr>
        <w:t>submitted written observations in relation to the applicant</w:t>
      </w:r>
      <w:r w:rsidRPr="008C3B63" w:rsidR="008C3B63">
        <w:rPr>
          <w:lang w:val="en-GB"/>
        </w:rPr>
        <w:t>’</w:t>
      </w:r>
      <w:r w:rsidRPr="008C3B63" w:rsidR="00BE3DE7">
        <w:rPr>
          <w:lang w:val="en-GB"/>
        </w:rPr>
        <w:t>s request for a subsequent hearing.</w:t>
      </w:r>
    </w:p>
    <w:p w:rsidRPr="008C3B63" w:rsidR="00BE3DE7"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18</w:t>
      </w:r>
      <w:r w:rsidRPr="008C3B63">
        <w:rPr>
          <w:lang w:val="en-GB"/>
        </w:rPr>
        <w:fldChar w:fldCharType="end"/>
      </w:r>
      <w:r w:rsidRPr="008C3B63">
        <w:rPr>
          <w:lang w:val="en-GB"/>
        </w:rPr>
        <w:t>.  </w:t>
      </w:r>
      <w:r w:rsidRPr="008C3B63" w:rsidR="00BE3DE7">
        <w:rPr>
          <w:lang w:val="en-GB"/>
        </w:rPr>
        <w:t>On 25 February 2011 the Court of Appeal dismissed the request for a subsequent hearing</w:t>
      </w:r>
      <w:r w:rsidRPr="008C3B63" w:rsidR="00D463B6">
        <w:rPr>
          <w:lang w:val="en-GB"/>
        </w:rPr>
        <w:t xml:space="preserve"> as inadmissible</w:t>
      </w:r>
      <w:r w:rsidRPr="008C3B63" w:rsidR="00BE3DE7">
        <w:rPr>
          <w:lang w:val="en-GB"/>
        </w:rPr>
        <w:t>, finding that the applicant</w:t>
      </w:r>
      <w:r w:rsidRPr="008C3B63" w:rsidR="008C3B63">
        <w:rPr>
          <w:lang w:val="en-GB"/>
        </w:rPr>
        <w:t>’</w:t>
      </w:r>
      <w:r w:rsidRPr="008C3B63" w:rsidR="00BE3DE7">
        <w:rPr>
          <w:lang w:val="en-GB"/>
        </w:rPr>
        <w:t>s right to be heard had not been violated</w:t>
      </w:r>
      <w:r w:rsidRPr="008C3B63" w:rsidR="000C2017">
        <w:rPr>
          <w:lang w:val="en-GB"/>
        </w:rPr>
        <w:t>, that t</w:t>
      </w:r>
      <w:r w:rsidRPr="008C3B63" w:rsidR="00BE3DE7">
        <w:rPr>
          <w:lang w:val="en-GB"/>
        </w:rPr>
        <w:t xml:space="preserve">he </w:t>
      </w:r>
      <w:r w:rsidRPr="008C3B63" w:rsidR="00524CC9">
        <w:rPr>
          <w:lang w:val="en-GB"/>
        </w:rPr>
        <w:t>p</w:t>
      </w:r>
      <w:r w:rsidRPr="008C3B63" w:rsidR="00BE3DE7">
        <w:rPr>
          <w:lang w:val="en-GB"/>
        </w:rPr>
        <w:t xml:space="preserve">rosecution </w:t>
      </w:r>
      <w:r w:rsidRPr="008C3B63" w:rsidR="00524CC9">
        <w:rPr>
          <w:lang w:val="en-GB"/>
        </w:rPr>
        <w:t>a</w:t>
      </w:r>
      <w:r w:rsidRPr="008C3B63" w:rsidR="00BE3DE7">
        <w:rPr>
          <w:lang w:val="en-GB"/>
        </w:rPr>
        <w:t>uthorities</w:t>
      </w:r>
      <w:r w:rsidRPr="008C3B63" w:rsidR="008C3B63">
        <w:rPr>
          <w:lang w:val="en-GB"/>
        </w:rPr>
        <w:t>’</w:t>
      </w:r>
      <w:r w:rsidRPr="008C3B63" w:rsidR="00BE3DE7">
        <w:rPr>
          <w:lang w:val="en-GB"/>
        </w:rPr>
        <w:t xml:space="preserve"> observations of 28 January 2011 had not contained </w:t>
      </w:r>
      <w:r w:rsidRPr="008C3B63" w:rsidR="003370F9">
        <w:rPr>
          <w:lang w:val="en-GB"/>
        </w:rPr>
        <w:t xml:space="preserve">any </w:t>
      </w:r>
      <w:r w:rsidRPr="008C3B63" w:rsidR="00BE3DE7">
        <w:rPr>
          <w:lang w:val="en-GB"/>
        </w:rPr>
        <w:t xml:space="preserve">facts unknown to </w:t>
      </w:r>
      <w:r w:rsidRPr="008C3B63" w:rsidR="00275A0F">
        <w:rPr>
          <w:lang w:val="en-GB"/>
        </w:rPr>
        <w:t>him</w:t>
      </w:r>
      <w:r w:rsidRPr="008C3B63" w:rsidR="00BE3DE7">
        <w:rPr>
          <w:lang w:val="en-GB"/>
        </w:rPr>
        <w:t xml:space="preserve"> and there </w:t>
      </w:r>
      <w:r w:rsidRPr="008C3B63" w:rsidR="003370F9">
        <w:rPr>
          <w:lang w:val="en-GB"/>
        </w:rPr>
        <w:t>had therefore been</w:t>
      </w:r>
      <w:r w:rsidRPr="008C3B63" w:rsidR="00BE3DE7">
        <w:rPr>
          <w:lang w:val="en-GB"/>
        </w:rPr>
        <w:t xml:space="preserve"> no need to serve </w:t>
      </w:r>
      <w:r w:rsidRPr="008C3B63" w:rsidR="003370F9">
        <w:rPr>
          <w:lang w:val="en-GB"/>
        </w:rPr>
        <w:t>them</w:t>
      </w:r>
      <w:r w:rsidRPr="008C3B63" w:rsidR="00BE3DE7">
        <w:rPr>
          <w:lang w:val="en-GB"/>
        </w:rPr>
        <w:t xml:space="preserve"> on </w:t>
      </w:r>
      <w:r w:rsidRPr="008C3B63" w:rsidR="003370F9">
        <w:rPr>
          <w:lang w:val="en-GB"/>
        </w:rPr>
        <w:t>him</w:t>
      </w:r>
      <w:r w:rsidRPr="008C3B63" w:rsidR="00BE3DE7">
        <w:rPr>
          <w:lang w:val="en-GB"/>
        </w:rPr>
        <w:t>. In</w:t>
      </w:r>
      <w:r w:rsidRPr="008C3B63" w:rsidR="003370F9">
        <w:rPr>
          <w:lang w:val="en-GB"/>
        </w:rPr>
        <w:t xml:space="preserve"> </w:t>
      </w:r>
      <w:r w:rsidRPr="008C3B63" w:rsidR="00BE3DE7">
        <w:rPr>
          <w:lang w:val="en-GB"/>
        </w:rPr>
        <w:t>so</w:t>
      </w:r>
      <w:r w:rsidRPr="008C3B63" w:rsidR="003370F9">
        <w:rPr>
          <w:lang w:val="en-GB"/>
        </w:rPr>
        <w:t xml:space="preserve"> </w:t>
      </w:r>
      <w:r w:rsidRPr="008C3B63" w:rsidR="00BE3DE7">
        <w:rPr>
          <w:lang w:val="en-GB"/>
        </w:rPr>
        <w:t xml:space="preserve">far as </w:t>
      </w:r>
      <w:r w:rsidRPr="008C3B63" w:rsidR="000F7B4D">
        <w:rPr>
          <w:lang w:val="en-GB"/>
        </w:rPr>
        <w:t>his</w:t>
      </w:r>
      <w:r w:rsidRPr="008C3B63" w:rsidR="00BE3DE7">
        <w:rPr>
          <w:lang w:val="en-GB"/>
        </w:rPr>
        <w:t xml:space="preserve"> submission of 10 February 2011 was to be </w:t>
      </w:r>
      <w:r w:rsidRPr="008C3B63" w:rsidR="003370F9">
        <w:rPr>
          <w:lang w:val="en-GB"/>
        </w:rPr>
        <w:t>class</w:t>
      </w:r>
      <w:r w:rsidRPr="008C3B63" w:rsidR="000F7B4D">
        <w:rPr>
          <w:lang w:val="en-GB"/>
        </w:rPr>
        <w:t>ifi</w:t>
      </w:r>
      <w:r w:rsidRPr="008C3B63" w:rsidR="003370F9">
        <w:rPr>
          <w:lang w:val="en-GB"/>
        </w:rPr>
        <w:t xml:space="preserve">ed </w:t>
      </w:r>
      <w:r w:rsidRPr="008C3B63" w:rsidR="00BE3DE7">
        <w:rPr>
          <w:lang w:val="en-GB"/>
        </w:rPr>
        <w:t>as an objection (</w:t>
      </w:r>
      <w:r w:rsidRPr="008C3B63" w:rsidR="00BE3DE7">
        <w:rPr>
          <w:i/>
          <w:lang w:val="en-GB"/>
        </w:rPr>
        <w:t>Gegenvorstellung</w:t>
      </w:r>
      <w:r w:rsidRPr="008C3B63" w:rsidR="00BE3DE7">
        <w:rPr>
          <w:lang w:val="en-GB"/>
        </w:rPr>
        <w:t xml:space="preserve">), the </w:t>
      </w:r>
      <w:r w:rsidRPr="008C3B63" w:rsidR="003370F9">
        <w:rPr>
          <w:lang w:val="en-GB"/>
        </w:rPr>
        <w:t>c</w:t>
      </w:r>
      <w:r w:rsidRPr="008C3B63" w:rsidR="00BE3DE7">
        <w:rPr>
          <w:lang w:val="en-GB"/>
        </w:rPr>
        <w:t xml:space="preserve">ourt rejected it because </w:t>
      </w:r>
      <w:r w:rsidRPr="008C3B63" w:rsidR="003370F9">
        <w:rPr>
          <w:lang w:val="en-GB"/>
        </w:rPr>
        <w:t>its</w:t>
      </w:r>
      <w:r w:rsidRPr="008C3B63" w:rsidR="00BE3DE7">
        <w:rPr>
          <w:lang w:val="en-GB"/>
        </w:rPr>
        <w:t xml:space="preserve"> decision of 3 February 2011 had not been based on incorrect factual or procedural considerations. Prior to th</w:t>
      </w:r>
      <w:r w:rsidRPr="008C3B63" w:rsidR="003370F9">
        <w:rPr>
          <w:lang w:val="en-GB"/>
        </w:rPr>
        <w:t>e</w:t>
      </w:r>
      <w:r w:rsidRPr="008C3B63" w:rsidR="00BE3DE7">
        <w:rPr>
          <w:lang w:val="en-GB"/>
        </w:rPr>
        <w:t xml:space="preserve"> decision of 25 February 2011, the observations of the </w:t>
      </w:r>
      <w:r w:rsidRPr="008C3B63" w:rsidR="00425A62">
        <w:rPr>
          <w:lang w:val="en-GB"/>
        </w:rPr>
        <w:t>p</w:t>
      </w:r>
      <w:r w:rsidRPr="008C3B63" w:rsidR="00BE3DE7">
        <w:rPr>
          <w:lang w:val="en-GB"/>
        </w:rPr>
        <w:t xml:space="preserve">rosecution </w:t>
      </w:r>
      <w:r w:rsidRPr="008C3B63" w:rsidR="00425A62">
        <w:rPr>
          <w:lang w:val="en-GB"/>
        </w:rPr>
        <w:t>a</w:t>
      </w:r>
      <w:r w:rsidRPr="008C3B63" w:rsidR="00BE3DE7">
        <w:rPr>
          <w:lang w:val="en-GB"/>
        </w:rPr>
        <w:t xml:space="preserve">uthorities </w:t>
      </w:r>
      <w:r w:rsidRPr="008C3B63" w:rsidR="002A47AD">
        <w:rPr>
          <w:lang w:val="en-GB"/>
        </w:rPr>
        <w:t xml:space="preserve">relating to the request for a subsequent hearing </w:t>
      </w:r>
      <w:r w:rsidRPr="008C3B63" w:rsidR="00BE3DE7">
        <w:rPr>
          <w:lang w:val="en-GB"/>
        </w:rPr>
        <w:t xml:space="preserve">had not been served on the applicant, who </w:t>
      </w:r>
      <w:r w:rsidRPr="008C3B63" w:rsidR="00762AFA">
        <w:rPr>
          <w:lang w:val="en-GB"/>
        </w:rPr>
        <w:t xml:space="preserve">had </w:t>
      </w:r>
      <w:r w:rsidRPr="008C3B63" w:rsidR="00BE3DE7">
        <w:rPr>
          <w:lang w:val="en-GB"/>
        </w:rPr>
        <w:t xml:space="preserve">thus had no </w:t>
      </w:r>
      <w:r w:rsidRPr="008C3B63" w:rsidR="003370F9">
        <w:rPr>
          <w:lang w:val="en-GB"/>
        </w:rPr>
        <w:t>opportunity</w:t>
      </w:r>
      <w:r w:rsidRPr="008C3B63" w:rsidR="00BE3DE7">
        <w:rPr>
          <w:lang w:val="en-GB"/>
        </w:rPr>
        <w:t xml:space="preserve"> to reply to them.</w:t>
      </w:r>
      <w:r w:rsidRPr="008C3B63" w:rsidR="00EA20FC">
        <w:rPr>
          <w:lang w:val="en-GB"/>
        </w:rPr>
        <w:t xml:space="preserve"> </w:t>
      </w:r>
      <w:r w:rsidRPr="008C3B63" w:rsidR="000F17F9">
        <w:rPr>
          <w:lang w:val="en-GB"/>
        </w:rPr>
        <w:t>T</w:t>
      </w:r>
      <w:r w:rsidRPr="008C3B63" w:rsidR="00EA20FC">
        <w:rPr>
          <w:lang w:val="en-GB"/>
        </w:rPr>
        <w:t xml:space="preserve">he Court of Appeal </w:t>
      </w:r>
      <w:r w:rsidRPr="008C3B63" w:rsidR="00EC508B">
        <w:rPr>
          <w:lang w:val="en-GB"/>
        </w:rPr>
        <w:t xml:space="preserve">nevertheless </w:t>
      </w:r>
      <w:r w:rsidRPr="008C3B63" w:rsidR="00BC22B8">
        <w:rPr>
          <w:lang w:val="en-GB"/>
        </w:rPr>
        <w:t>quoted</w:t>
      </w:r>
      <w:r w:rsidRPr="008C3B63" w:rsidR="00EA20FC">
        <w:rPr>
          <w:lang w:val="en-GB"/>
        </w:rPr>
        <w:t xml:space="preserve"> </w:t>
      </w:r>
      <w:r w:rsidRPr="008C3B63" w:rsidR="00BC22B8">
        <w:rPr>
          <w:lang w:val="en-GB"/>
        </w:rPr>
        <w:t xml:space="preserve">and endorsed </w:t>
      </w:r>
      <w:r w:rsidRPr="008C3B63" w:rsidR="00EA20FC">
        <w:rPr>
          <w:lang w:val="en-GB"/>
        </w:rPr>
        <w:t>th</w:t>
      </w:r>
      <w:r w:rsidRPr="008C3B63" w:rsidR="00D03153">
        <w:rPr>
          <w:lang w:val="en-GB"/>
        </w:rPr>
        <w:t>ose</w:t>
      </w:r>
      <w:r w:rsidRPr="008C3B63" w:rsidR="00EA20FC">
        <w:rPr>
          <w:lang w:val="en-GB"/>
        </w:rPr>
        <w:t xml:space="preserve"> observations</w:t>
      </w:r>
      <w:r w:rsidRPr="008C3B63" w:rsidR="000F17F9">
        <w:rPr>
          <w:lang w:val="en-GB"/>
        </w:rPr>
        <w:t xml:space="preserve"> in its decision</w:t>
      </w:r>
      <w:r w:rsidRPr="008C3B63" w:rsidR="00EA20FC">
        <w:rPr>
          <w:lang w:val="en-GB"/>
        </w:rPr>
        <w:t>.</w:t>
      </w:r>
    </w:p>
    <w:p w:rsidRPr="008C3B63" w:rsidR="00926D5F"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19</w:t>
      </w:r>
      <w:r w:rsidRPr="008C3B63">
        <w:rPr>
          <w:lang w:val="en-GB"/>
        </w:rPr>
        <w:fldChar w:fldCharType="end"/>
      </w:r>
      <w:r w:rsidRPr="008C3B63">
        <w:rPr>
          <w:lang w:val="en-GB"/>
        </w:rPr>
        <w:t>.  </w:t>
      </w:r>
      <w:r w:rsidRPr="008C3B63" w:rsidR="00BE3DE7">
        <w:rPr>
          <w:lang w:val="en-GB"/>
        </w:rPr>
        <w:t>On 7 April 2011 the applicant lodged a complaint with the Federal Constitutional Court. He alleged, in particular, that his right to be heard, as guaranteed by Article 103 § 1 of the Basic Law (</w:t>
      </w:r>
      <w:r w:rsidRPr="008C3B63" w:rsidR="00BE3DE7">
        <w:rPr>
          <w:i/>
          <w:lang w:val="en-GB"/>
        </w:rPr>
        <w:t>Grundgesetz</w:t>
      </w:r>
      <w:r w:rsidRPr="008C3B63" w:rsidR="00BE3DE7">
        <w:rPr>
          <w:lang w:val="en-GB"/>
        </w:rPr>
        <w:t>), had been violated</w:t>
      </w:r>
      <w:r w:rsidRPr="008C3B63" w:rsidR="000C2017">
        <w:rPr>
          <w:lang w:val="en-GB"/>
        </w:rPr>
        <w:t>, because t</w:t>
      </w:r>
      <w:r w:rsidRPr="008C3B63" w:rsidR="00BE3DE7">
        <w:rPr>
          <w:lang w:val="en-GB"/>
        </w:rPr>
        <w:t>he Court of Appeal had</w:t>
      </w:r>
      <w:r w:rsidRPr="008C3B63" w:rsidR="000C2017">
        <w:rPr>
          <w:lang w:val="en-GB"/>
        </w:rPr>
        <w:t xml:space="preserve"> taken</w:t>
      </w:r>
      <w:r w:rsidRPr="008C3B63" w:rsidR="0094503C">
        <w:rPr>
          <w:lang w:val="en-GB"/>
        </w:rPr>
        <w:t xml:space="preserve"> its decisions of 3 and 25 </w:t>
      </w:r>
      <w:r w:rsidRPr="008C3B63" w:rsidR="00BE3DE7">
        <w:rPr>
          <w:lang w:val="en-GB"/>
        </w:rPr>
        <w:t>February 2011</w:t>
      </w:r>
      <w:r w:rsidRPr="008C3B63" w:rsidR="0050595C">
        <w:rPr>
          <w:lang w:val="en-GB"/>
        </w:rPr>
        <w:t xml:space="preserve"> </w:t>
      </w:r>
      <w:r w:rsidRPr="008C3B63" w:rsidR="00BE3DE7">
        <w:rPr>
          <w:lang w:val="en-GB"/>
        </w:rPr>
        <w:t>without giv</w:t>
      </w:r>
      <w:r w:rsidRPr="008C3B63" w:rsidR="003370F9">
        <w:rPr>
          <w:lang w:val="en-GB"/>
        </w:rPr>
        <w:t>ing</w:t>
      </w:r>
      <w:r w:rsidRPr="008C3B63" w:rsidR="00BE3DE7">
        <w:rPr>
          <w:lang w:val="en-GB"/>
        </w:rPr>
        <w:t xml:space="preserve"> him the </w:t>
      </w:r>
      <w:r w:rsidRPr="008C3B63" w:rsidR="003370F9">
        <w:rPr>
          <w:lang w:val="en-GB"/>
        </w:rPr>
        <w:t xml:space="preserve">opportunity </w:t>
      </w:r>
      <w:r w:rsidRPr="008C3B63" w:rsidR="00BE3DE7">
        <w:rPr>
          <w:lang w:val="en-GB"/>
        </w:rPr>
        <w:t xml:space="preserve">to reply to the observations of the </w:t>
      </w:r>
      <w:r w:rsidRPr="008C3B63" w:rsidR="00425A62">
        <w:rPr>
          <w:lang w:val="en-GB"/>
        </w:rPr>
        <w:t>p</w:t>
      </w:r>
      <w:r w:rsidRPr="008C3B63" w:rsidR="00BE3DE7">
        <w:rPr>
          <w:lang w:val="en-GB"/>
        </w:rPr>
        <w:t xml:space="preserve">rosecution </w:t>
      </w:r>
      <w:r w:rsidRPr="008C3B63" w:rsidR="00425A62">
        <w:rPr>
          <w:lang w:val="en-GB"/>
        </w:rPr>
        <w:t>a</w:t>
      </w:r>
      <w:r w:rsidRPr="008C3B63" w:rsidR="00BE3DE7">
        <w:rPr>
          <w:lang w:val="en-GB"/>
        </w:rPr>
        <w:t>uthorities.</w:t>
      </w:r>
    </w:p>
    <w:p w:rsidRPr="008C3B63" w:rsidR="00014566"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20</w:t>
      </w:r>
      <w:r w:rsidRPr="008C3B63">
        <w:rPr>
          <w:lang w:val="en-GB"/>
        </w:rPr>
        <w:fldChar w:fldCharType="end"/>
      </w:r>
      <w:r w:rsidRPr="008C3B63">
        <w:rPr>
          <w:lang w:val="en-GB"/>
        </w:rPr>
        <w:t>.  </w:t>
      </w:r>
      <w:r w:rsidRPr="008C3B63" w:rsidR="00BE3DE7">
        <w:rPr>
          <w:lang w:val="en-GB"/>
        </w:rPr>
        <w:t>On 28 July 2011 the Federal Constitutional Court declined to accept the applicant</w:t>
      </w:r>
      <w:r w:rsidRPr="008C3B63" w:rsidR="008C3B63">
        <w:rPr>
          <w:lang w:val="en-GB"/>
        </w:rPr>
        <w:t>’</w:t>
      </w:r>
      <w:r w:rsidRPr="008C3B63" w:rsidR="00BE3DE7">
        <w:rPr>
          <w:lang w:val="en-GB"/>
        </w:rPr>
        <w:t>s constitutional complaint w</w:t>
      </w:r>
      <w:r w:rsidRPr="008C3B63" w:rsidR="0094503C">
        <w:rPr>
          <w:lang w:val="en-GB"/>
        </w:rPr>
        <w:t>ithout providing reasons (2 BvR </w:t>
      </w:r>
      <w:r w:rsidRPr="008C3B63" w:rsidR="00BE3DE7">
        <w:rPr>
          <w:lang w:val="en-GB"/>
        </w:rPr>
        <w:t xml:space="preserve">805/11). </w:t>
      </w:r>
      <w:r w:rsidRPr="008C3B63" w:rsidR="0021187B">
        <w:rPr>
          <w:lang w:val="en-GB"/>
        </w:rPr>
        <w:t xml:space="preserve">Its </w:t>
      </w:r>
      <w:r w:rsidRPr="008C3B63" w:rsidR="00BE3DE7">
        <w:rPr>
          <w:lang w:val="en-GB"/>
        </w:rPr>
        <w:t xml:space="preserve">decision was served on </w:t>
      </w:r>
      <w:r w:rsidRPr="008C3B63" w:rsidR="00275A0F">
        <w:rPr>
          <w:lang w:val="en-GB"/>
        </w:rPr>
        <w:t>him</w:t>
      </w:r>
      <w:r w:rsidRPr="008C3B63" w:rsidR="00BE3DE7">
        <w:rPr>
          <w:lang w:val="en-GB"/>
        </w:rPr>
        <w:t xml:space="preserve"> on 10 August 2011.</w:t>
      </w:r>
    </w:p>
    <w:p w:rsidRPr="008C3B63" w:rsidR="00014566" w:rsidP="008C3B63" w:rsidRDefault="00014566">
      <w:pPr>
        <w:pStyle w:val="ECHRHeading1"/>
        <w:rPr>
          <w:lang w:val="en-GB"/>
        </w:rPr>
      </w:pPr>
      <w:r w:rsidRPr="008C3B63">
        <w:rPr>
          <w:lang w:val="en-GB"/>
        </w:rPr>
        <w:t>II.</w:t>
      </w:r>
      <w:proofErr w:type="gramStart"/>
      <w:r w:rsidRPr="008C3B63">
        <w:rPr>
          <w:lang w:val="en-GB"/>
        </w:rPr>
        <w:t>  RELEVANT</w:t>
      </w:r>
      <w:proofErr w:type="gramEnd"/>
      <w:r w:rsidRPr="008C3B63">
        <w:rPr>
          <w:lang w:val="en-GB"/>
        </w:rPr>
        <w:t xml:space="preserve"> DOMESTIC LAW AND PRACTICE</w:t>
      </w:r>
    </w:p>
    <w:p w:rsidRPr="008C3B63" w:rsidR="00926D5F" w:rsidP="008C3B63" w:rsidRDefault="007B3535">
      <w:pPr>
        <w:pStyle w:val="ECHRPara"/>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21</w:t>
      </w:r>
      <w:r w:rsidRPr="008C3B63">
        <w:rPr>
          <w:lang w:val="en-GB"/>
        </w:rPr>
        <w:fldChar w:fldCharType="end"/>
      </w:r>
      <w:r w:rsidRPr="008C3B63" w:rsidR="00014566">
        <w:rPr>
          <w:lang w:val="en-GB"/>
        </w:rPr>
        <w:t>.  </w:t>
      </w:r>
      <w:r w:rsidRPr="008C3B63" w:rsidR="00EF2550">
        <w:rPr>
          <w:lang w:val="en-GB"/>
        </w:rPr>
        <w:t xml:space="preserve">Under </w:t>
      </w:r>
      <w:r w:rsidRPr="008C3B63" w:rsidR="00323150">
        <w:rPr>
          <w:lang w:val="en-GB"/>
        </w:rPr>
        <w:t>domestic</w:t>
      </w:r>
      <w:r w:rsidRPr="008C3B63" w:rsidR="00EF2550">
        <w:rPr>
          <w:lang w:val="en-GB"/>
        </w:rPr>
        <w:t xml:space="preserve"> law, </w:t>
      </w:r>
      <w:r w:rsidRPr="008C3B63" w:rsidR="00323150">
        <w:rPr>
          <w:lang w:val="en-GB"/>
        </w:rPr>
        <w:t xml:space="preserve">a person is </w:t>
      </w:r>
      <w:r w:rsidRPr="008C3B63" w:rsidR="00EF2550">
        <w:rPr>
          <w:lang w:val="en-GB"/>
        </w:rPr>
        <w:t>det</w:t>
      </w:r>
      <w:r w:rsidRPr="008C3B63" w:rsidR="00323150">
        <w:rPr>
          <w:lang w:val="en-GB"/>
        </w:rPr>
        <w:t xml:space="preserve">ained on remand, rather than after conviction, </w:t>
      </w:r>
      <w:r w:rsidRPr="008C3B63" w:rsidR="00EF2550">
        <w:rPr>
          <w:lang w:val="en-GB"/>
        </w:rPr>
        <w:t xml:space="preserve">until </w:t>
      </w:r>
      <w:r w:rsidRPr="008C3B63" w:rsidR="00323150">
        <w:rPr>
          <w:lang w:val="en-GB"/>
        </w:rPr>
        <w:t>his or her</w:t>
      </w:r>
      <w:r w:rsidRPr="008C3B63" w:rsidR="00EF2550">
        <w:rPr>
          <w:lang w:val="en-GB"/>
        </w:rPr>
        <w:t xml:space="preserve"> conviction becomes final, including during appeal procedures.</w:t>
      </w:r>
      <w:r w:rsidRPr="008C3B63" w:rsidR="00323150">
        <w:rPr>
          <w:lang w:val="en-GB"/>
        </w:rPr>
        <w:t xml:space="preserve"> R</w:t>
      </w:r>
      <w:r w:rsidRPr="008C3B63" w:rsidR="00BE3DE7">
        <w:rPr>
          <w:lang w:val="en-GB"/>
        </w:rPr>
        <w:t xml:space="preserve">emand prisoners may, under Article 117 § 1 of the Code of Criminal Procedure, at any time </w:t>
      </w:r>
      <w:proofErr w:type="gramStart"/>
      <w:r w:rsidRPr="008C3B63" w:rsidR="00BE3DE7">
        <w:rPr>
          <w:lang w:val="en-GB"/>
        </w:rPr>
        <w:t>seek</w:t>
      </w:r>
      <w:proofErr w:type="gramEnd"/>
      <w:r w:rsidRPr="008C3B63" w:rsidR="00BE3DE7">
        <w:rPr>
          <w:lang w:val="en-GB"/>
        </w:rPr>
        <w:t xml:space="preserve"> </w:t>
      </w:r>
      <w:r w:rsidRPr="008C3B63" w:rsidR="00275A0F">
        <w:rPr>
          <w:lang w:val="en-GB"/>
        </w:rPr>
        <w:t xml:space="preserve">a </w:t>
      </w:r>
      <w:r w:rsidRPr="008C3B63" w:rsidR="00BE3DE7">
        <w:rPr>
          <w:lang w:val="en-GB"/>
        </w:rPr>
        <w:t>review (</w:t>
      </w:r>
      <w:r w:rsidRPr="008C3B63" w:rsidR="00BE3DE7">
        <w:rPr>
          <w:i/>
          <w:lang w:val="en-GB"/>
        </w:rPr>
        <w:t>Haftprüfung</w:t>
      </w:r>
      <w:r w:rsidRPr="008C3B63" w:rsidR="00BE3DE7">
        <w:rPr>
          <w:lang w:val="en-GB"/>
        </w:rPr>
        <w:t xml:space="preserve">) of </w:t>
      </w:r>
      <w:r w:rsidRPr="008C3B63" w:rsidR="00275A0F">
        <w:rPr>
          <w:lang w:val="en-GB"/>
        </w:rPr>
        <w:t>their</w:t>
      </w:r>
      <w:r w:rsidRPr="008C3B63" w:rsidR="00BE3DE7">
        <w:rPr>
          <w:lang w:val="en-GB"/>
        </w:rPr>
        <w:t xml:space="preserve"> detention or ask for </w:t>
      </w:r>
      <w:r w:rsidRPr="008C3B63" w:rsidR="00275A0F">
        <w:rPr>
          <w:lang w:val="en-GB"/>
        </w:rPr>
        <w:t>a stay of execution</w:t>
      </w:r>
      <w:r w:rsidRPr="008C3B63" w:rsidR="00BE3DE7">
        <w:rPr>
          <w:lang w:val="en-GB"/>
        </w:rPr>
        <w:t>. They may lodge an appeal under Article 304 of the Code of Criminal Procedure (</w:t>
      </w:r>
      <w:r w:rsidRPr="008C3B63" w:rsidR="00BE3DE7">
        <w:rPr>
          <w:i/>
          <w:lang w:val="en-GB"/>
        </w:rPr>
        <w:t>Haftbeschwerde</w:t>
      </w:r>
      <w:r w:rsidRPr="008C3B63" w:rsidR="00BE3DE7">
        <w:rPr>
          <w:lang w:val="en-GB"/>
        </w:rPr>
        <w:t xml:space="preserve">) against a decision ordering their (continued) detention </w:t>
      </w:r>
      <w:r w:rsidRPr="008C3B63" w:rsidR="00F1772D">
        <w:rPr>
          <w:lang w:val="en-GB"/>
        </w:rPr>
        <w:t xml:space="preserve">with the court that took </w:t>
      </w:r>
      <w:r w:rsidRPr="008C3B63" w:rsidR="0021187B">
        <w:rPr>
          <w:lang w:val="en-GB"/>
        </w:rPr>
        <w:t>it</w:t>
      </w:r>
      <w:r w:rsidRPr="008C3B63" w:rsidR="00F1772D">
        <w:rPr>
          <w:lang w:val="en-GB"/>
        </w:rPr>
        <w:t xml:space="preserve">. If </w:t>
      </w:r>
      <w:r w:rsidRPr="008C3B63" w:rsidR="0021187B">
        <w:rPr>
          <w:lang w:val="en-GB"/>
        </w:rPr>
        <w:t xml:space="preserve">the </w:t>
      </w:r>
      <w:r w:rsidRPr="008C3B63" w:rsidR="00F1772D">
        <w:rPr>
          <w:lang w:val="en-GB"/>
        </w:rPr>
        <w:t xml:space="preserve">court </w:t>
      </w:r>
      <w:r w:rsidRPr="008C3B63" w:rsidR="003803C5">
        <w:rPr>
          <w:lang w:val="en-GB"/>
        </w:rPr>
        <w:t xml:space="preserve">does </w:t>
      </w:r>
      <w:r w:rsidRPr="008C3B63" w:rsidR="00F1772D">
        <w:rPr>
          <w:lang w:val="en-GB"/>
        </w:rPr>
        <w:t xml:space="preserve">not </w:t>
      </w:r>
      <w:r w:rsidRPr="008C3B63" w:rsidR="0021187B">
        <w:rPr>
          <w:lang w:val="en-GB"/>
        </w:rPr>
        <w:t xml:space="preserve">allow </w:t>
      </w:r>
      <w:r w:rsidRPr="008C3B63" w:rsidR="00F1772D">
        <w:rPr>
          <w:lang w:val="en-GB"/>
        </w:rPr>
        <w:t xml:space="preserve">the appeal, it refers </w:t>
      </w:r>
      <w:r w:rsidRPr="008C3B63" w:rsidR="0021187B">
        <w:rPr>
          <w:lang w:val="en-GB"/>
        </w:rPr>
        <w:t>it</w:t>
      </w:r>
      <w:r w:rsidRPr="008C3B63" w:rsidR="00F1772D">
        <w:rPr>
          <w:lang w:val="en-GB"/>
        </w:rPr>
        <w:t xml:space="preserve"> to </w:t>
      </w:r>
      <w:r w:rsidRPr="008C3B63" w:rsidR="0021187B">
        <w:rPr>
          <w:lang w:val="en-GB"/>
        </w:rPr>
        <w:t xml:space="preserve">a </w:t>
      </w:r>
      <w:r w:rsidRPr="008C3B63" w:rsidR="002C437E">
        <w:rPr>
          <w:lang w:val="en-GB"/>
        </w:rPr>
        <w:t xml:space="preserve">higher </w:t>
      </w:r>
      <w:r w:rsidRPr="008C3B63" w:rsidR="0021187B">
        <w:rPr>
          <w:lang w:val="en-GB"/>
        </w:rPr>
        <w:t>court</w:t>
      </w:r>
      <w:r w:rsidRPr="008C3B63" w:rsidR="00F1772D">
        <w:rPr>
          <w:lang w:val="en-GB"/>
        </w:rPr>
        <w:t xml:space="preserve">. </w:t>
      </w:r>
      <w:r w:rsidRPr="008C3B63" w:rsidR="00E61BA4">
        <w:rPr>
          <w:lang w:val="en-GB"/>
        </w:rPr>
        <w:t xml:space="preserve">A further appeal may be lodged against </w:t>
      </w:r>
      <w:r w:rsidRPr="008C3B63" w:rsidR="00F1772D">
        <w:rPr>
          <w:lang w:val="en-GB"/>
        </w:rPr>
        <w:t>th</w:t>
      </w:r>
      <w:r w:rsidRPr="008C3B63" w:rsidR="0021187B">
        <w:rPr>
          <w:lang w:val="en-GB"/>
        </w:rPr>
        <w:t xml:space="preserve">e </w:t>
      </w:r>
      <w:r w:rsidRPr="008C3B63" w:rsidR="00F1772D">
        <w:rPr>
          <w:lang w:val="en-GB"/>
        </w:rPr>
        <w:t xml:space="preserve">decision of that court </w:t>
      </w:r>
      <w:r w:rsidRPr="008C3B63" w:rsidR="00BE3DE7">
        <w:rPr>
          <w:lang w:val="en-GB"/>
        </w:rPr>
        <w:t>(</w:t>
      </w:r>
      <w:r w:rsidRPr="008C3B63" w:rsidR="00BE3DE7">
        <w:rPr>
          <w:i/>
          <w:lang w:val="en-GB"/>
        </w:rPr>
        <w:t>weitere Beschwerde</w:t>
      </w:r>
      <w:r w:rsidRPr="008C3B63" w:rsidR="00E61BA4">
        <w:rPr>
          <w:lang w:val="en-GB"/>
        </w:rPr>
        <w:t>) under</w:t>
      </w:r>
      <w:r w:rsidRPr="008C3B63" w:rsidR="00F1772D">
        <w:rPr>
          <w:lang w:val="en-GB"/>
        </w:rPr>
        <w:t xml:space="preserve"> </w:t>
      </w:r>
      <w:r w:rsidRPr="008C3B63" w:rsidR="00BE3DE7">
        <w:rPr>
          <w:lang w:val="en-GB"/>
        </w:rPr>
        <w:t>Article 310 § 1 of the Code of Criminal Procedure.</w:t>
      </w:r>
    </w:p>
    <w:p w:rsidRPr="008C3B63" w:rsidR="00926D5F"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22</w:t>
      </w:r>
      <w:r w:rsidRPr="008C3B63">
        <w:rPr>
          <w:lang w:val="en-GB"/>
        </w:rPr>
        <w:fldChar w:fldCharType="end"/>
      </w:r>
      <w:r w:rsidRPr="008C3B63">
        <w:rPr>
          <w:lang w:val="en-GB"/>
        </w:rPr>
        <w:t>.  </w:t>
      </w:r>
      <w:r w:rsidRPr="008C3B63" w:rsidR="00021995">
        <w:rPr>
          <w:lang w:val="en-GB"/>
        </w:rPr>
        <w:t>According to the</w:t>
      </w:r>
      <w:r w:rsidRPr="008C3B63" w:rsidR="00BE3DE7">
        <w:rPr>
          <w:lang w:val="en-GB"/>
        </w:rPr>
        <w:t xml:space="preserve"> case-law of the domestic courts</w:t>
      </w:r>
      <w:r w:rsidRPr="008C3B63" w:rsidR="00E61BA4">
        <w:rPr>
          <w:lang w:val="en-GB"/>
        </w:rPr>
        <w:t>,</w:t>
      </w:r>
      <w:r w:rsidRPr="008C3B63" w:rsidR="00BE3DE7">
        <w:rPr>
          <w:lang w:val="en-GB"/>
        </w:rPr>
        <w:t xml:space="preserve"> only the most recent detention order can be subject to </w:t>
      </w:r>
      <w:r w:rsidRPr="008C3B63" w:rsidR="003803C5">
        <w:rPr>
          <w:lang w:val="en-GB"/>
        </w:rPr>
        <w:t xml:space="preserve">a </w:t>
      </w:r>
      <w:r w:rsidRPr="008C3B63" w:rsidR="00BE3DE7">
        <w:rPr>
          <w:lang w:val="en-GB"/>
        </w:rPr>
        <w:t>review (see, among many other</w:t>
      </w:r>
      <w:r w:rsidRPr="008C3B63" w:rsidR="00E61BA4">
        <w:rPr>
          <w:lang w:val="en-GB"/>
        </w:rPr>
        <w:t xml:space="preserve"> authorities</w:t>
      </w:r>
      <w:r w:rsidRPr="008C3B63" w:rsidR="00BE3DE7">
        <w:rPr>
          <w:lang w:val="en-GB"/>
        </w:rPr>
        <w:t xml:space="preserve">, </w:t>
      </w:r>
      <w:r w:rsidRPr="008C3B63" w:rsidR="006C736D">
        <w:rPr>
          <w:lang w:val="en-GB"/>
        </w:rPr>
        <w:t xml:space="preserve">Federal Constitutional Court, 2 BvR 332/05, decision of 12 May 2005, paragraph 14, and </w:t>
      </w:r>
      <w:r w:rsidRPr="008C3B63" w:rsidR="00BE3DE7">
        <w:rPr>
          <w:lang w:val="en-GB"/>
        </w:rPr>
        <w:t>Düsseldorf Court of Appeal, MDR 1969, 779)</w:t>
      </w:r>
      <w:r w:rsidRPr="008C3B63" w:rsidR="004B7B71">
        <w:rPr>
          <w:lang w:val="en-GB"/>
        </w:rPr>
        <w:t>.</w:t>
      </w:r>
    </w:p>
    <w:p w:rsidRPr="008C3B63" w:rsidR="00926D5F" w:rsidP="008C3B63" w:rsidRDefault="006B341D">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23</w:t>
      </w:r>
      <w:r w:rsidRPr="008C3B63">
        <w:rPr>
          <w:lang w:val="en-GB"/>
        </w:rPr>
        <w:fldChar w:fldCharType="end"/>
      </w:r>
      <w:r w:rsidRPr="008C3B63">
        <w:rPr>
          <w:lang w:val="en-GB"/>
        </w:rPr>
        <w:t>.  </w:t>
      </w:r>
      <w:r w:rsidRPr="008C3B63" w:rsidR="0021187B">
        <w:rPr>
          <w:lang w:val="en-GB"/>
        </w:rPr>
        <w:t xml:space="preserve">Article </w:t>
      </w:r>
      <w:r w:rsidRPr="008C3B63" w:rsidR="00BE3DE7">
        <w:rPr>
          <w:lang w:val="en-GB"/>
        </w:rPr>
        <w:t>33a of the Code of Criminal Procedure, which governs subsequent hearings, provides:</w:t>
      </w:r>
    </w:p>
    <w:p w:rsidRPr="008C3B63" w:rsidR="00014566" w:rsidP="008C3B63" w:rsidRDefault="00BE3DE7">
      <w:pPr>
        <w:pStyle w:val="ECHRParaQuote"/>
        <w:rPr>
          <w:lang w:val="en-GB"/>
        </w:rPr>
      </w:pPr>
      <w:r w:rsidRPr="008C3B63">
        <w:rPr>
          <w:lang w:val="en-GB"/>
        </w:rPr>
        <w:t xml:space="preserve">“If, in a ruling, the court violates the right of a participant to be heard in a manner which might affect the outcome of the case and if </w:t>
      </w:r>
      <w:r w:rsidRPr="008C3B63" w:rsidR="00613BA0">
        <w:rPr>
          <w:lang w:val="en-GB"/>
        </w:rPr>
        <w:t xml:space="preserve">the </w:t>
      </w:r>
      <w:r w:rsidRPr="008C3B63">
        <w:rPr>
          <w:lang w:val="en-GB"/>
        </w:rPr>
        <w:t xml:space="preserve">participant has no right to lodge a complaint or any other legal remedy against </w:t>
      </w:r>
      <w:r w:rsidRPr="008C3B63" w:rsidR="0021187B">
        <w:rPr>
          <w:lang w:val="en-GB"/>
        </w:rPr>
        <w:t xml:space="preserve">the </w:t>
      </w:r>
      <w:r w:rsidRPr="008C3B63">
        <w:rPr>
          <w:lang w:val="en-GB"/>
        </w:rPr>
        <w:t xml:space="preserve">ruling, then as far as the detriment still exists the court shall make an order either </w:t>
      </w:r>
      <w:r w:rsidRPr="008C3B63">
        <w:rPr>
          <w:i/>
          <w:lang w:val="en-GB"/>
        </w:rPr>
        <w:t>proprio motu</w:t>
      </w:r>
      <w:r w:rsidRPr="008C3B63">
        <w:rPr>
          <w:lang w:val="en-GB"/>
        </w:rPr>
        <w:t xml:space="preserve"> or on application reverting the proceedings to the situation before the decision in question was given. </w:t>
      </w:r>
      <w:r w:rsidRPr="008C3B63" w:rsidR="00675384">
        <w:rPr>
          <w:lang w:val="en-GB"/>
        </w:rPr>
        <w:t xml:space="preserve">Article </w:t>
      </w:r>
      <w:r w:rsidRPr="008C3B63">
        <w:rPr>
          <w:lang w:val="en-GB"/>
        </w:rPr>
        <w:t xml:space="preserve">47 shall apply </w:t>
      </w:r>
      <w:r w:rsidRPr="008C3B63">
        <w:rPr>
          <w:i/>
          <w:lang w:val="en-GB"/>
        </w:rPr>
        <w:t>mutatis mutandis</w:t>
      </w:r>
      <w:r w:rsidRPr="008C3B63">
        <w:rPr>
          <w:lang w:val="en-GB"/>
        </w:rPr>
        <w:t>.”</w:t>
      </w:r>
    </w:p>
    <w:p w:rsidRPr="008C3B63" w:rsidR="00014566" w:rsidP="008C3B63" w:rsidRDefault="00014566">
      <w:pPr>
        <w:pStyle w:val="ECHRTitle1"/>
        <w:rPr>
          <w:lang w:val="en-GB"/>
        </w:rPr>
      </w:pPr>
      <w:r w:rsidRPr="008C3B63">
        <w:rPr>
          <w:lang w:val="en-GB"/>
        </w:rPr>
        <w:t>THE LAW</w:t>
      </w:r>
    </w:p>
    <w:p w:rsidRPr="008C3B63" w:rsidR="00014566" w:rsidP="008C3B63" w:rsidRDefault="00014566">
      <w:pPr>
        <w:pStyle w:val="ECHRHeading1"/>
        <w:rPr>
          <w:lang w:val="en-GB"/>
        </w:rPr>
      </w:pPr>
      <w:r w:rsidRPr="008C3B63">
        <w:rPr>
          <w:lang w:val="en-GB"/>
        </w:rPr>
        <w:t xml:space="preserve">I.  ALLEGED VIOLATION OF ARTICLE </w:t>
      </w:r>
      <w:r w:rsidRPr="008C3B63" w:rsidR="006B341D">
        <w:rPr>
          <w:lang w:val="en-GB"/>
        </w:rPr>
        <w:t>5 § 4</w:t>
      </w:r>
      <w:r w:rsidRPr="008C3B63">
        <w:rPr>
          <w:lang w:val="en-GB"/>
        </w:rPr>
        <w:t xml:space="preserve"> OF THE CONVENTION</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24</w:t>
      </w:r>
      <w:r w:rsidRPr="008C3B63">
        <w:rPr>
          <w:lang w:val="en-GB"/>
        </w:rPr>
        <w:fldChar w:fldCharType="end"/>
      </w:r>
      <w:r w:rsidRPr="008C3B63" w:rsidR="00014566">
        <w:rPr>
          <w:lang w:val="en-GB"/>
        </w:rPr>
        <w:t>.  The applicant complained</w:t>
      </w:r>
      <w:r w:rsidRPr="008C3B63" w:rsidR="003803C5">
        <w:rPr>
          <w:lang w:val="en-GB"/>
        </w:rPr>
        <w:t>, under</w:t>
      </w:r>
      <w:r w:rsidRPr="008C3B63" w:rsidR="00014566">
        <w:rPr>
          <w:lang w:val="en-GB"/>
        </w:rPr>
        <w:t xml:space="preserve"> </w:t>
      </w:r>
      <w:r w:rsidRPr="008C3B63" w:rsidR="003803C5">
        <w:rPr>
          <w:lang w:val="en-GB"/>
        </w:rPr>
        <w:t>Article 5 § 4 of the Convention,</w:t>
      </w:r>
      <w:r w:rsidRPr="008C3B63" w:rsidDel="00FE27F8" w:rsidR="003803C5">
        <w:rPr>
          <w:lang w:val="en-GB"/>
        </w:rPr>
        <w:t xml:space="preserve"> </w:t>
      </w:r>
      <w:r w:rsidRPr="008C3B63" w:rsidR="00FE27F8">
        <w:rPr>
          <w:lang w:val="en-GB"/>
        </w:rPr>
        <w:t>that</w:t>
      </w:r>
      <w:r w:rsidRPr="008C3B63" w:rsidR="00BE3DE7">
        <w:rPr>
          <w:lang w:val="en-GB"/>
        </w:rPr>
        <w:t xml:space="preserve"> the</w:t>
      </w:r>
      <w:r w:rsidRPr="008C3B63" w:rsidR="00FE27F8">
        <w:rPr>
          <w:lang w:val="en-GB"/>
        </w:rPr>
        <w:t xml:space="preserve"> principle of</w:t>
      </w:r>
      <w:r w:rsidRPr="008C3B63" w:rsidR="00BE3DE7">
        <w:rPr>
          <w:lang w:val="en-GB"/>
        </w:rPr>
        <w:t xml:space="preserve"> equality of arms</w:t>
      </w:r>
      <w:r w:rsidRPr="008C3B63" w:rsidR="003803C5">
        <w:rPr>
          <w:lang w:val="en-GB"/>
        </w:rPr>
        <w:t xml:space="preserve"> </w:t>
      </w:r>
      <w:r w:rsidRPr="008C3B63" w:rsidR="00FE27F8">
        <w:rPr>
          <w:lang w:val="en-GB"/>
        </w:rPr>
        <w:t xml:space="preserve">had </w:t>
      </w:r>
      <w:r w:rsidRPr="008C3B63" w:rsidR="00540235">
        <w:rPr>
          <w:lang w:val="en-GB"/>
        </w:rPr>
        <w:t xml:space="preserve">been </w:t>
      </w:r>
      <w:r w:rsidRPr="008C3B63" w:rsidR="00AF0A1D">
        <w:rPr>
          <w:lang w:val="en-GB"/>
        </w:rPr>
        <w:t xml:space="preserve">violated </w:t>
      </w:r>
      <w:r w:rsidRPr="008C3B63" w:rsidR="00BE3DE7">
        <w:rPr>
          <w:lang w:val="en-GB"/>
        </w:rPr>
        <w:t xml:space="preserve">because the Court of Appeal </w:t>
      </w:r>
      <w:r w:rsidRPr="008C3B63" w:rsidR="00FE27F8">
        <w:rPr>
          <w:lang w:val="en-GB"/>
        </w:rPr>
        <w:t xml:space="preserve">had taken </w:t>
      </w:r>
      <w:r w:rsidRPr="008C3B63" w:rsidR="00BE3DE7">
        <w:rPr>
          <w:lang w:val="en-GB"/>
        </w:rPr>
        <w:t>its decision</w:t>
      </w:r>
      <w:r w:rsidRPr="008C3B63" w:rsidR="00FE27F8">
        <w:rPr>
          <w:lang w:val="en-GB"/>
        </w:rPr>
        <w:t>s</w:t>
      </w:r>
      <w:r w:rsidRPr="008C3B63" w:rsidR="00BE3DE7">
        <w:rPr>
          <w:lang w:val="en-GB"/>
        </w:rPr>
        <w:t xml:space="preserve"> of 3 </w:t>
      </w:r>
      <w:r w:rsidRPr="008C3B63" w:rsidR="00FE27F8">
        <w:rPr>
          <w:lang w:val="en-GB"/>
        </w:rPr>
        <w:t>and</w:t>
      </w:r>
      <w:r w:rsidRPr="008C3B63" w:rsidR="00BE3DE7">
        <w:rPr>
          <w:lang w:val="en-GB"/>
        </w:rPr>
        <w:t xml:space="preserve"> </w:t>
      </w:r>
      <w:r w:rsidRPr="008C3B63" w:rsidR="00FE27F8">
        <w:rPr>
          <w:lang w:val="en-GB"/>
        </w:rPr>
        <w:t xml:space="preserve">25 February 2011 </w:t>
      </w:r>
      <w:r w:rsidRPr="008C3B63" w:rsidR="00BE3DE7">
        <w:rPr>
          <w:lang w:val="en-GB"/>
        </w:rPr>
        <w:t xml:space="preserve">relating to the continuation of </w:t>
      </w:r>
      <w:r w:rsidRPr="008C3B63" w:rsidR="00FE27F8">
        <w:rPr>
          <w:lang w:val="en-GB"/>
        </w:rPr>
        <w:t>his</w:t>
      </w:r>
      <w:r w:rsidRPr="008C3B63" w:rsidR="00BE3DE7">
        <w:rPr>
          <w:lang w:val="en-GB"/>
        </w:rPr>
        <w:t xml:space="preserve"> detention and his request for a subsequent hearing without giving </w:t>
      </w:r>
      <w:r w:rsidRPr="008C3B63" w:rsidR="00FE27F8">
        <w:rPr>
          <w:lang w:val="en-GB"/>
        </w:rPr>
        <w:t>him</w:t>
      </w:r>
      <w:r w:rsidRPr="008C3B63" w:rsidR="00BE3DE7">
        <w:rPr>
          <w:lang w:val="en-GB"/>
        </w:rPr>
        <w:t xml:space="preserve"> the </w:t>
      </w:r>
      <w:r w:rsidRPr="008C3B63" w:rsidR="00FE27F8">
        <w:rPr>
          <w:lang w:val="en-GB"/>
        </w:rPr>
        <w:t xml:space="preserve">opportunity </w:t>
      </w:r>
      <w:r w:rsidRPr="008C3B63" w:rsidR="00BE3DE7">
        <w:rPr>
          <w:lang w:val="en-GB"/>
        </w:rPr>
        <w:t xml:space="preserve">to reply to the written observations of the </w:t>
      </w:r>
      <w:r w:rsidRPr="008C3B63" w:rsidR="00425A62">
        <w:rPr>
          <w:lang w:val="en-GB"/>
        </w:rPr>
        <w:t>p</w:t>
      </w:r>
      <w:r w:rsidRPr="008C3B63" w:rsidR="00BE3DE7">
        <w:rPr>
          <w:lang w:val="en-GB"/>
        </w:rPr>
        <w:t xml:space="preserve">rosecution </w:t>
      </w:r>
      <w:r w:rsidRPr="008C3B63" w:rsidR="0033474D">
        <w:rPr>
          <w:lang w:val="en-GB"/>
        </w:rPr>
        <w:t>a</w:t>
      </w:r>
      <w:r w:rsidRPr="008C3B63" w:rsidR="00BE3DE7">
        <w:rPr>
          <w:lang w:val="en-GB"/>
        </w:rPr>
        <w:t>uthorities</w:t>
      </w:r>
      <w:r w:rsidRPr="008C3B63" w:rsidR="00951B6D">
        <w:rPr>
          <w:lang w:val="en-GB"/>
        </w:rPr>
        <w:t>.</w:t>
      </w:r>
      <w:r w:rsidRPr="008C3B63" w:rsidR="00014566">
        <w:rPr>
          <w:lang w:val="en-GB"/>
        </w:rPr>
        <w:t xml:space="preserve"> Article </w:t>
      </w:r>
      <w:r w:rsidRPr="008C3B63" w:rsidR="009A1DA0">
        <w:rPr>
          <w:lang w:val="en-GB"/>
        </w:rPr>
        <w:t>5 § 4</w:t>
      </w:r>
      <w:r w:rsidRPr="008C3B63" w:rsidR="00951B6D">
        <w:rPr>
          <w:lang w:val="en-GB"/>
        </w:rPr>
        <w:t xml:space="preserve"> of the Convention</w:t>
      </w:r>
      <w:r w:rsidRPr="008C3B63" w:rsidR="00014566">
        <w:rPr>
          <w:lang w:val="en-GB"/>
        </w:rPr>
        <w:t xml:space="preserve"> </w:t>
      </w:r>
      <w:proofErr w:type="gramStart"/>
      <w:r w:rsidRPr="008C3B63" w:rsidR="00014566">
        <w:rPr>
          <w:lang w:val="en-GB"/>
        </w:rPr>
        <w:t>reads</w:t>
      </w:r>
      <w:proofErr w:type="gramEnd"/>
      <w:r w:rsidRPr="008C3B63" w:rsidR="00014566">
        <w:rPr>
          <w:lang w:val="en-GB"/>
        </w:rPr>
        <w:t xml:space="preserve"> as follows:</w:t>
      </w:r>
    </w:p>
    <w:p w:rsidRPr="008C3B63" w:rsidR="00014566" w:rsidP="008C3B63" w:rsidRDefault="006B341D">
      <w:pPr>
        <w:pStyle w:val="ECHRParaQuote"/>
      </w:pPr>
      <w:r w:rsidRPr="008C3B63">
        <w:t>“4.</w:t>
      </w:r>
      <w:proofErr w:type="gramStart"/>
      <w:r w:rsidRPr="008C3B63">
        <w:t>  Everyone</w:t>
      </w:r>
      <w:proofErr w:type="gramEnd"/>
      <w:r w:rsidRPr="008C3B63">
        <w:t xml:space="preserve"> who is deprived of his liberty by arrest or detention shall be entitled to take proceedings by which the lawfulness of his detention shall be decided speedily by a court and his release ordered if the detention is not lawful.”</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25</w:t>
      </w:r>
      <w:r w:rsidRPr="008C3B63">
        <w:rPr>
          <w:lang w:val="en-GB"/>
        </w:rPr>
        <w:fldChar w:fldCharType="end"/>
      </w:r>
      <w:r w:rsidRPr="008C3B63" w:rsidR="00014566">
        <w:rPr>
          <w:lang w:val="en-GB"/>
        </w:rPr>
        <w:t>.  The Government contested that argument.</w:t>
      </w:r>
    </w:p>
    <w:p w:rsidRPr="008C3B63" w:rsidR="00014566" w:rsidP="008C3B63" w:rsidRDefault="00014566">
      <w:pPr>
        <w:pStyle w:val="ECHRHeading2"/>
        <w:rPr>
          <w:lang w:val="en-GB"/>
        </w:rPr>
      </w:pPr>
      <w:r w:rsidRPr="008C3B63">
        <w:rPr>
          <w:lang w:val="en-GB"/>
        </w:rPr>
        <w:t>A.  Admissibility</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26</w:t>
      </w:r>
      <w:r w:rsidRPr="008C3B63">
        <w:rPr>
          <w:lang w:val="en-GB"/>
        </w:rPr>
        <w:fldChar w:fldCharType="end"/>
      </w:r>
      <w:r w:rsidRPr="008C3B63" w:rsidR="009A1DA0">
        <w:rPr>
          <w:lang w:val="en-GB"/>
        </w:rPr>
        <w:t xml:space="preserve">.  The Court notes that </w:t>
      </w:r>
      <w:r w:rsidRPr="008C3B63" w:rsidR="00014566">
        <w:rPr>
          <w:lang w:val="en-GB"/>
        </w:rPr>
        <w:t>this complaint is not manifestly ill-founded within the meaning of Article 35 § 3 (a) of the Convention. It further notes that it is not inadmissible on any other grounds. It must therefore be declared admissible.</w:t>
      </w:r>
    </w:p>
    <w:p w:rsidRPr="008C3B63" w:rsidR="00014566" w:rsidP="008C3B63" w:rsidRDefault="00014566">
      <w:pPr>
        <w:pStyle w:val="ECHRHeading2"/>
        <w:rPr>
          <w:lang w:val="en-GB"/>
        </w:rPr>
      </w:pPr>
      <w:r w:rsidRPr="008C3B63">
        <w:rPr>
          <w:lang w:val="en-GB"/>
        </w:rPr>
        <w:t>B.  Merits</w:t>
      </w:r>
    </w:p>
    <w:p w:rsidRPr="008C3B63" w:rsidR="001869C7" w:rsidP="008C3B63" w:rsidRDefault="001869C7">
      <w:pPr>
        <w:pStyle w:val="ECHRHeading3"/>
        <w:rPr>
          <w:lang w:val="en-GB"/>
        </w:rPr>
      </w:pPr>
      <w:r w:rsidRPr="008C3B63">
        <w:rPr>
          <w:lang w:val="en-GB"/>
        </w:rPr>
        <w:t>1.</w:t>
      </w:r>
      <w:r w:rsidRPr="008C3B63" w:rsidR="00926D5F">
        <w:rPr>
          <w:lang w:val="en-GB"/>
        </w:rPr>
        <w:t>  </w:t>
      </w:r>
      <w:r w:rsidRPr="008C3B63">
        <w:rPr>
          <w:lang w:val="en-GB"/>
        </w:rPr>
        <w:t>The parties</w:t>
      </w:r>
      <w:r w:rsidRPr="008C3B63" w:rsidR="008C3B63">
        <w:rPr>
          <w:lang w:val="en-GB"/>
        </w:rPr>
        <w:t>’</w:t>
      </w:r>
      <w:r w:rsidRPr="008C3B63">
        <w:rPr>
          <w:lang w:val="en-GB"/>
        </w:rPr>
        <w:t xml:space="preserve"> submissions</w:t>
      </w:r>
    </w:p>
    <w:p w:rsidRPr="008C3B63" w:rsidR="005767F9" w:rsidP="008C3B63" w:rsidRDefault="00926D5F">
      <w:pPr>
        <w:pStyle w:val="ECHRHeading4"/>
      </w:pPr>
      <w:r w:rsidRPr="008C3B63">
        <w:t>(a)  </w:t>
      </w:r>
      <w:r w:rsidRPr="008C3B63" w:rsidR="005767F9">
        <w:t>The applicant</w:t>
      </w:r>
    </w:p>
    <w:p w:rsidRPr="008C3B63" w:rsidR="00103D11" w:rsidP="008C3B63" w:rsidRDefault="00F07F06">
      <w:pPr>
        <w:pStyle w:val="ECHRPara"/>
      </w:pPr>
      <w:fldSimple w:instr=" SEQ level0 \*arabic ">
        <w:r w:rsidRPr="008C3B63" w:rsidR="008C3B63">
          <w:rPr>
            <w:noProof/>
          </w:rPr>
          <w:t>27</w:t>
        </w:r>
      </w:fldSimple>
      <w:r w:rsidRPr="008C3B63" w:rsidR="00014566">
        <w:t xml:space="preserve">.  The applicant </w:t>
      </w:r>
      <w:r w:rsidRPr="008C3B63" w:rsidR="00D76B8B">
        <w:t>submitted that, according to the case-law of the Court, proceedings under Article 5 § 4 of the Convention must be adversarial and always ensure equality of arms between the parties. Re</w:t>
      </w:r>
      <w:r w:rsidRPr="008C3B63" w:rsidR="003803C5">
        <w:t xml:space="preserve">lying on </w:t>
      </w:r>
      <w:r w:rsidRPr="008C3B63" w:rsidR="0094503C">
        <w:rPr>
          <w:i/>
        </w:rPr>
        <w:t>Lanz v. </w:t>
      </w:r>
      <w:r w:rsidRPr="008C3B63" w:rsidR="00103D11">
        <w:rPr>
          <w:i/>
        </w:rPr>
        <w:t>Austria</w:t>
      </w:r>
      <w:r w:rsidRPr="008C3B63" w:rsidR="00103D11">
        <w:t xml:space="preserve"> (no. 24430/94, §§ 40-42, 31 January 2002), he argued that the prosecutor and the detainee must always be given the opportunity to note observations filed by the other party and comment on </w:t>
      </w:r>
      <w:r w:rsidRPr="008C3B63" w:rsidR="00FE27F8">
        <w:t>them</w:t>
      </w:r>
      <w:r w:rsidRPr="008C3B63" w:rsidR="00103D11">
        <w:t>, including on appeal. Where observations were not served on the other party,</w:t>
      </w:r>
      <w:r w:rsidRPr="008C3B63" w:rsidR="00634B5E">
        <w:t xml:space="preserve"> the proceedings were not truly adversarial. In that regard it </w:t>
      </w:r>
      <w:r w:rsidRPr="008C3B63" w:rsidR="00103D11">
        <w:t xml:space="preserve">was irrelevant </w:t>
      </w:r>
      <w:r w:rsidRPr="008C3B63" w:rsidR="00634B5E">
        <w:t xml:space="preserve">that, in the opinion of the courts concerned, the observations </w:t>
      </w:r>
      <w:r w:rsidRPr="008C3B63" w:rsidR="00FE27F8">
        <w:t xml:space="preserve">had </w:t>
      </w:r>
      <w:r w:rsidRPr="008C3B63" w:rsidR="00634B5E">
        <w:t xml:space="preserve">not </w:t>
      </w:r>
      <w:r w:rsidRPr="008C3B63" w:rsidR="00225766">
        <w:t>contain</w:t>
      </w:r>
      <w:r w:rsidRPr="008C3B63" w:rsidR="00FE27F8">
        <w:t>ed</w:t>
      </w:r>
      <w:r w:rsidRPr="008C3B63" w:rsidR="00634B5E">
        <w:t xml:space="preserve"> any new fact</w:t>
      </w:r>
      <w:r w:rsidRPr="008C3B63" w:rsidR="00FE27F8">
        <w:t>s</w:t>
      </w:r>
      <w:r w:rsidRPr="008C3B63" w:rsidR="00634B5E">
        <w:t xml:space="preserve"> or argument</w:t>
      </w:r>
      <w:r w:rsidRPr="008C3B63" w:rsidR="00FE27F8">
        <w:t>s</w:t>
      </w:r>
      <w:r w:rsidRPr="008C3B63" w:rsidR="00634B5E">
        <w:t xml:space="preserve"> and whether the observations </w:t>
      </w:r>
      <w:r w:rsidRPr="008C3B63" w:rsidR="00FE27F8">
        <w:t xml:space="preserve">had </w:t>
      </w:r>
      <w:r w:rsidRPr="008C3B63" w:rsidR="00634B5E">
        <w:t xml:space="preserve">actually had an effect on the decision of the court. It was for the parties to the dispute to decide whether or not to comment on </w:t>
      </w:r>
      <w:r w:rsidRPr="008C3B63" w:rsidR="00FE27F8">
        <w:t xml:space="preserve">the </w:t>
      </w:r>
      <w:r w:rsidRPr="008C3B63" w:rsidR="00634B5E">
        <w:t>submission of the other party.</w:t>
      </w:r>
      <w:r w:rsidRPr="008C3B63" w:rsidR="009C48D3">
        <w:t xml:space="preserve"> The</w:t>
      </w:r>
      <w:r w:rsidRPr="008C3B63" w:rsidR="00EE22AD">
        <w:t xml:space="preserve">refore, </w:t>
      </w:r>
      <w:r w:rsidRPr="008C3B63" w:rsidR="00536D45">
        <w:t xml:space="preserve">in </w:t>
      </w:r>
      <w:r w:rsidRPr="008C3B63" w:rsidR="00EE22AD">
        <w:t>the</w:t>
      </w:r>
      <w:r w:rsidRPr="008C3B63" w:rsidR="009C48D3">
        <w:t xml:space="preserve"> proceedings before the Court of Appeal </w:t>
      </w:r>
      <w:r w:rsidRPr="008C3B63" w:rsidR="00EE22AD">
        <w:t xml:space="preserve">resulting in the decision of 3 February 2011 </w:t>
      </w:r>
      <w:r w:rsidRPr="008C3B63" w:rsidR="0019263A">
        <w:t>the principle of equality of arms required by</w:t>
      </w:r>
      <w:r w:rsidRPr="008C3B63" w:rsidR="00EE22AD">
        <w:t xml:space="preserve"> Article 5 § 4 of the Convention</w:t>
      </w:r>
      <w:r w:rsidRPr="008C3B63" w:rsidR="00FE27F8">
        <w:t xml:space="preserve"> had been </w:t>
      </w:r>
      <w:r w:rsidRPr="008C3B63" w:rsidR="00AF0A1D">
        <w:t>violated</w:t>
      </w:r>
      <w:r w:rsidRPr="008C3B63" w:rsidR="009C48D3">
        <w:t>.</w:t>
      </w:r>
    </w:p>
    <w:p w:rsidRPr="008C3B63" w:rsidR="00926D5F" w:rsidP="008C3B63" w:rsidRDefault="00F07F06">
      <w:pPr>
        <w:pStyle w:val="ECHRPara"/>
        <w:rPr>
          <w:lang w:val="en-GB"/>
        </w:rPr>
      </w:pPr>
      <w:fldSimple w:instr=" SEQ level0 \*arabic ">
        <w:r w:rsidRPr="008C3B63" w:rsidR="008C3B63">
          <w:rPr>
            <w:noProof/>
          </w:rPr>
          <w:t>28</w:t>
        </w:r>
      </w:fldSimple>
      <w:r w:rsidRPr="008C3B63" w:rsidR="00B64B30">
        <w:t>.  </w:t>
      </w:r>
      <w:r w:rsidRPr="008C3B63" w:rsidR="009B41B8">
        <w:rPr>
          <w:lang w:val="en-GB"/>
        </w:rPr>
        <w:t xml:space="preserve">The applicant emphasised that the case-law of the domestic courts provided that only the most recent detention order could be subject to </w:t>
      </w:r>
      <w:r w:rsidRPr="008C3B63" w:rsidR="003803C5">
        <w:rPr>
          <w:lang w:val="en-GB"/>
        </w:rPr>
        <w:t xml:space="preserve">a </w:t>
      </w:r>
      <w:r w:rsidRPr="008C3B63" w:rsidR="009B41B8">
        <w:rPr>
          <w:lang w:val="en-GB"/>
        </w:rPr>
        <w:t xml:space="preserve">review. It was therefore irrelevant that </w:t>
      </w:r>
      <w:r w:rsidRPr="008C3B63" w:rsidR="00A663D7">
        <w:rPr>
          <w:lang w:val="en-GB"/>
        </w:rPr>
        <w:t>the lawfulness</w:t>
      </w:r>
      <w:r w:rsidRPr="008C3B63" w:rsidR="0082108D">
        <w:rPr>
          <w:lang w:val="en-GB"/>
        </w:rPr>
        <w:t xml:space="preserve"> of his detention</w:t>
      </w:r>
      <w:r w:rsidRPr="008C3B63" w:rsidR="00A663D7">
        <w:rPr>
          <w:lang w:val="en-GB"/>
        </w:rPr>
        <w:t xml:space="preserve"> had been reviewed a number of times before the Court of Appeal </w:t>
      </w:r>
      <w:r w:rsidRPr="008C3B63" w:rsidR="00FE27F8">
        <w:rPr>
          <w:lang w:val="en-GB"/>
        </w:rPr>
        <w:t xml:space="preserve">had taken </w:t>
      </w:r>
      <w:r w:rsidRPr="008C3B63" w:rsidR="00A663D7">
        <w:rPr>
          <w:lang w:val="en-GB"/>
        </w:rPr>
        <w:t xml:space="preserve">the decision in question. </w:t>
      </w:r>
      <w:r w:rsidRPr="008C3B63" w:rsidR="00511B9A">
        <w:rPr>
          <w:lang w:val="en-GB"/>
        </w:rPr>
        <w:t xml:space="preserve">The passage of time constituted a relevant element for the assessment of the lawfulness of his detention. </w:t>
      </w:r>
      <w:r w:rsidRPr="008C3B63" w:rsidR="00FC77F8">
        <w:rPr>
          <w:lang w:val="en-GB"/>
        </w:rPr>
        <w:t>Moreover</w:t>
      </w:r>
      <w:r w:rsidRPr="008C3B63" w:rsidR="00A663D7">
        <w:rPr>
          <w:lang w:val="en-GB"/>
        </w:rPr>
        <w:t>,</w:t>
      </w:r>
      <w:r w:rsidRPr="008C3B63" w:rsidR="00FC77F8">
        <w:rPr>
          <w:lang w:val="en-GB"/>
        </w:rPr>
        <w:t xml:space="preserve"> he pointed out that it was the first time that the Court of Appeal, rather than the District Court or Regional Court, </w:t>
      </w:r>
      <w:r w:rsidRPr="008C3B63" w:rsidR="00FE27F8">
        <w:rPr>
          <w:lang w:val="en-GB"/>
        </w:rPr>
        <w:t xml:space="preserve">had </w:t>
      </w:r>
      <w:r w:rsidRPr="008C3B63" w:rsidR="00FC77F8">
        <w:rPr>
          <w:lang w:val="en-GB"/>
        </w:rPr>
        <w:t xml:space="preserve">decided the lawfulness of </w:t>
      </w:r>
      <w:r w:rsidRPr="008C3B63" w:rsidR="00FE27F8">
        <w:rPr>
          <w:lang w:val="en-GB"/>
        </w:rPr>
        <w:t>his</w:t>
      </w:r>
      <w:r w:rsidRPr="008C3B63" w:rsidR="00FC77F8">
        <w:rPr>
          <w:lang w:val="en-GB"/>
        </w:rPr>
        <w:t xml:space="preserve"> detention and the first tim</w:t>
      </w:r>
      <w:r w:rsidRPr="008C3B63" w:rsidR="006372B5">
        <w:rPr>
          <w:lang w:val="en-GB"/>
        </w:rPr>
        <w:t>e that the</w:t>
      </w:r>
      <w:r w:rsidRPr="008C3B63" w:rsidR="000D1169">
        <w:rPr>
          <w:lang w:val="en-GB"/>
        </w:rPr>
        <w:t xml:space="preserve"> Chief Public Prosecutor</w:t>
      </w:r>
      <w:r w:rsidRPr="008C3B63" w:rsidR="008C3B63">
        <w:rPr>
          <w:lang w:val="en-GB"/>
        </w:rPr>
        <w:t>’</w:t>
      </w:r>
      <w:r w:rsidRPr="008C3B63" w:rsidR="000D1169">
        <w:rPr>
          <w:lang w:val="en-GB"/>
        </w:rPr>
        <w:t>s Office</w:t>
      </w:r>
      <w:r w:rsidRPr="008C3B63" w:rsidR="00FC77F8">
        <w:rPr>
          <w:lang w:val="en-GB"/>
        </w:rPr>
        <w:t xml:space="preserve"> </w:t>
      </w:r>
      <w:r w:rsidRPr="008C3B63" w:rsidR="00FE27F8">
        <w:rPr>
          <w:lang w:val="en-GB"/>
        </w:rPr>
        <w:t xml:space="preserve">had been </w:t>
      </w:r>
      <w:r w:rsidRPr="008C3B63" w:rsidR="00FC77F8">
        <w:rPr>
          <w:lang w:val="en-GB"/>
        </w:rPr>
        <w:t xml:space="preserve">part of the proceedings. The applicant could thus not </w:t>
      </w:r>
      <w:r w:rsidRPr="008C3B63" w:rsidR="00BA0566">
        <w:rPr>
          <w:lang w:val="en-GB"/>
        </w:rPr>
        <w:t xml:space="preserve">have </w:t>
      </w:r>
      <w:r w:rsidRPr="008C3B63" w:rsidR="00FC77F8">
        <w:rPr>
          <w:lang w:val="en-GB"/>
        </w:rPr>
        <w:t>know</w:t>
      </w:r>
      <w:r w:rsidRPr="008C3B63" w:rsidR="00BA0566">
        <w:rPr>
          <w:lang w:val="en-GB"/>
        </w:rPr>
        <w:t>n</w:t>
      </w:r>
      <w:r w:rsidRPr="008C3B63" w:rsidR="00FC77F8">
        <w:rPr>
          <w:lang w:val="en-GB"/>
        </w:rPr>
        <w:t xml:space="preserve"> the</w:t>
      </w:r>
      <w:r w:rsidRPr="008C3B63" w:rsidR="00831DE1">
        <w:rPr>
          <w:lang w:val="en-GB"/>
        </w:rPr>
        <w:t>ir</w:t>
      </w:r>
      <w:r w:rsidRPr="008C3B63" w:rsidR="00FC77F8">
        <w:rPr>
          <w:lang w:val="en-GB"/>
        </w:rPr>
        <w:t xml:space="preserve"> position regarding his detention. </w:t>
      </w:r>
      <w:r w:rsidRPr="008C3B63" w:rsidR="00C0132D">
        <w:rPr>
          <w:lang w:val="en-GB"/>
        </w:rPr>
        <w:t>Furthermore, he had e</w:t>
      </w:r>
      <w:r w:rsidRPr="008C3B63" w:rsidR="009F5CAF">
        <w:rPr>
          <w:lang w:val="en-GB"/>
        </w:rPr>
        <w:t xml:space="preserve">xplicitly relied on Article 5 </w:t>
      </w:r>
      <w:r w:rsidRPr="008C3B63" w:rsidR="0094503C">
        <w:rPr>
          <w:lang w:val="en-GB"/>
        </w:rPr>
        <w:t>§ </w:t>
      </w:r>
      <w:r w:rsidRPr="008C3B63" w:rsidR="00C0132D">
        <w:rPr>
          <w:lang w:val="en-GB"/>
        </w:rPr>
        <w:t>4 of the Convention for the first time in his further appeal</w:t>
      </w:r>
      <w:r w:rsidRPr="008C3B63" w:rsidR="00A663D7">
        <w:rPr>
          <w:lang w:val="en-GB"/>
        </w:rPr>
        <w:t xml:space="preserve"> </w:t>
      </w:r>
      <w:r w:rsidRPr="008C3B63" w:rsidR="009B0A68">
        <w:rPr>
          <w:lang w:val="en-GB"/>
        </w:rPr>
        <w:t>of 5 </w:t>
      </w:r>
      <w:r w:rsidRPr="008C3B63" w:rsidR="00C0132D">
        <w:rPr>
          <w:lang w:val="en-GB"/>
        </w:rPr>
        <w:t>January 2011 and had asked that the observati</w:t>
      </w:r>
      <w:r w:rsidRPr="008C3B63" w:rsidR="006372B5">
        <w:rPr>
          <w:lang w:val="en-GB"/>
        </w:rPr>
        <w:t xml:space="preserve">ons of the </w:t>
      </w:r>
      <w:r w:rsidRPr="008C3B63" w:rsidR="000D1169">
        <w:rPr>
          <w:lang w:val="en-GB"/>
        </w:rPr>
        <w:t>Chief Public Prosecutor</w:t>
      </w:r>
      <w:r w:rsidRPr="008C3B63" w:rsidR="008C3B63">
        <w:rPr>
          <w:lang w:val="en-GB"/>
        </w:rPr>
        <w:t>’</w:t>
      </w:r>
      <w:r w:rsidRPr="008C3B63" w:rsidR="000D1169">
        <w:rPr>
          <w:lang w:val="en-GB"/>
        </w:rPr>
        <w:t>s Office</w:t>
      </w:r>
      <w:r w:rsidRPr="008C3B63" w:rsidR="00C0132D">
        <w:rPr>
          <w:lang w:val="en-GB"/>
        </w:rPr>
        <w:t xml:space="preserve"> be sent to him</w:t>
      </w:r>
      <w:r w:rsidRPr="008C3B63" w:rsidR="00F91A9B">
        <w:rPr>
          <w:lang w:val="en-GB"/>
        </w:rPr>
        <w:t xml:space="preserve"> so as to be able to comment on them</w:t>
      </w:r>
      <w:r w:rsidRPr="008C3B63" w:rsidR="00C0132D">
        <w:rPr>
          <w:lang w:val="en-GB"/>
        </w:rPr>
        <w:t>.</w:t>
      </w:r>
    </w:p>
    <w:p w:rsidRPr="008C3B63" w:rsidR="00FC77F8" w:rsidP="008C3B63" w:rsidRDefault="00F07F06">
      <w:pPr>
        <w:pStyle w:val="ECHRPara"/>
        <w:rPr>
          <w:lang w:val="en-GB"/>
        </w:rPr>
      </w:pPr>
      <w:fldSimple w:instr=" SEQ level0 \*arabic ">
        <w:r w:rsidRPr="008C3B63" w:rsidR="008C3B63">
          <w:rPr>
            <w:noProof/>
          </w:rPr>
          <w:t>29</w:t>
        </w:r>
      </w:fldSimple>
      <w:r w:rsidRPr="008C3B63" w:rsidR="00C50A89">
        <w:t>.  He submitted that all of the different guarantees of Article 5 § 4 of the Convention</w:t>
      </w:r>
      <w:r w:rsidRPr="008C3B63" w:rsidR="00AA5848">
        <w:t xml:space="preserve"> </w:t>
      </w:r>
      <w:r w:rsidRPr="008C3B63" w:rsidR="00AA5848">
        <w:sym w:font="Symbol" w:char="F02D"/>
      </w:r>
      <w:r w:rsidRPr="008C3B63" w:rsidR="00C50A89">
        <w:t xml:space="preserve"> notably that the lawfulness of the detention be decided “speedily” and that the respective proceedings be adversarial</w:t>
      </w:r>
      <w:r w:rsidRPr="008C3B63" w:rsidR="00AA5848">
        <w:t xml:space="preserve"> </w:t>
      </w:r>
      <w:r w:rsidRPr="008C3B63" w:rsidR="00AA5848">
        <w:sym w:font="Symbol" w:char="F02D"/>
      </w:r>
      <w:r w:rsidRPr="008C3B63" w:rsidR="00C50A89">
        <w:t xml:space="preserve"> had to be respected. </w:t>
      </w:r>
      <w:r w:rsidRPr="008C3B63" w:rsidR="00C50A89">
        <w:rPr>
          <w:lang w:val="en-GB"/>
        </w:rPr>
        <w:t xml:space="preserve">Considering the overall length of the proceedings concerning the review of the lawfulness of </w:t>
      </w:r>
      <w:r w:rsidRPr="008C3B63" w:rsidR="00AA5848">
        <w:rPr>
          <w:lang w:val="en-GB"/>
        </w:rPr>
        <w:t>his</w:t>
      </w:r>
      <w:r w:rsidRPr="008C3B63" w:rsidR="00C50A89">
        <w:rPr>
          <w:lang w:val="en-GB"/>
        </w:rPr>
        <w:t xml:space="preserve"> detention, </w:t>
      </w:r>
      <w:r w:rsidRPr="008C3B63" w:rsidR="00AA5848">
        <w:rPr>
          <w:lang w:val="en-GB"/>
        </w:rPr>
        <w:t>allowing him</w:t>
      </w:r>
      <w:r w:rsidRPr="008C3B63" w:rsidR="00C50A89">
        <w:rPr>
          <w:lang w:val="en-GB"/>
        </w:rPr>
        <w:t xml:space="preserve"> a few days to comment on the observati</w:t>
      </w:r>
      <w:r w:rsidRPr="008C3B63" w:rsidR="006372B5">
        <w:rPr>
          <w:lang w:val="en-GB"/>
        </w:rPr>
        <w:t>ons of the</w:t>
      </w:r>
      <w:r w:rsidRPr="008C3B63" w:rsidR="000D1169">
        <w:rPr>
          <w:lang w:val="en-GB"/>
        </w:rPr>
        <w:t xml:space="preserve"> </w:t>
      </w:r>
      <w:r w:rsidRPr="008C3B63" w:rsidR="00A34BC0">
        <w:rPr>
          <w:lang w:val="en-GB"/>
        </w:rPr>
        <w:t>prosecution authorities</w:t>
      </w:r>
      <w:r w:rsidRPr="008C3B63" w:rsidR="006372B5">
        <w:rPr>
          <w:lang w:val="en-GB"/>
        </w:rPr>
        <w:t xml:space="preserve"> </w:t>
      </w:r>
      <w:r w:rsidRPr="008C3B63" w:rsidR="00C50A89">
        <w:rPr>
          <w:lang w:val="en-GB"/>
        </w:rPr>
        <w:t>would not have been problematic with regard to the speediness requirement.</w:t>
      </w:r>
      <w:r w:rsidRPr="008C3B63" w:rsidR="00C50A89">
        <w:t xml:space="preserve"> </w:t>
      </w:r>
      <w:r w:rsidRPr="008C3B63" w:rsidR="00C50A89">
        <w:rPr>
          <w:lang w:val="en-GB"/>
        </w:rPr>
        <w:t>The Court of Appeal could, at the very least, have informed hi</w:t>
      </w:r>
      <w:r w:rsidRPr="008C3B63" w:rsidR="006372B5">
        <w:rPr>
          <w:lang w:val="en-GB"/>
        </w:rPr>
        <w:t xml:space="preserve">m that the </w:t>
      </w:r>
      <w:r w:rsidRPr="008C3B63" w:rsidR="00A34BC0">
        <w:rPr>
          <w:lang w:val="en-GB"/>
        </w:rPr>
        <w:t>prosecution authorities</w:t>
      </w:r>
      <w:r w:rsidRPr="008C3B63" w:rsidR="00C50A89">
        <w:rPr>
          <w:lang w:val="en-GB"/>
        </w:rPr>
        <w:t xml:space="preserve"> had submitted observations, which would have enabled </w:t>
      </w:r>
      <w:r w:rsidRPr="008C3B63" w:rsidR="00AA5848">
        <w:rPr>
          <w:lang w:val="en-GB"/>
        </w:rPr>
        <w:t>his</w:t>
      </w:r>
      <w:r w:rsidRPr="008C3B63" w:rsidR="00C50A89">
        <w:rPr>
          <w:lang w:val="en-GB"/>
        </w:rPr>
        <w:t xml:space="preserve"> counsel to obtain a copy and comment on them within a short period of time.</w:t>
      </w:r>
    </w:p>
    <w:p w:rsidRPr="008C3B63" w:rsidR="00F91A9B" w:rsidP="008C3B63" w:rsidRDefault="00F07F06">
      <w:pPr>
        <w:pStyle w:val="ECHRPara"/>
        <w:rPr>
          <w:lang w:val="en-GB"/>
        </w:rPr>
      </w:pPr>
      <w:fldSimple w:instr=" SEQ level0 \*arabic ">
        <w:r w:rsidRPr="008C3B63" w:rsidR="008C3B63">
          <w:rPr>
            <w:noProof/>
          </w:rPr>
          <w:t>30</w:t>
        </w:r>
      </w:fldSimple>
      <w:r w:rsidRPr="008C3B63" w:rsidR="00F91A9B">
        <w:t>.  </w:t>
      </w:r>
      <w:r w:rsidRPr="008C3B63" w:rsidR="00C50A89">
        <w:t>Th</w:t>
      </w:r>
      <w:r w:rsidRPr="008C3B63" w:rsidR="00197F40">
        <w:t xml:space="preserve">e </w:t>
      </w:r>
      <w:r w:rsidRPr="008C3B63" w:rsidR="00C50A89">
        <w:t xml:space="preserve">applicant </w:t>
      </w:r>
      <w:r w:rsidRPr="008C3B63" w:rsidR="00197F40">
        <w:t xml:space="preserve">argued that Article 5 § 4 of the </w:t>
      </w:r>
      <w:r w:rsidRPr="008C3B63" w:rsidR="00C84E21">
        <w:t xml:space="preserve">Convention </w:t>
      </w:r>
      <w:r w:rsidRPr="008C3B63" w:rsidR="00AA5848">
        <w:t xml:space="preserve">had also been </w:t>
      </w:r>
      <w:r w:rsidRPr="008C3B63" w:rsidR="00C84E21">
        <w:t>violated</w:t>
      </w:r>
      <w:r w:rsidRPr="008C3B63" w:rsidR="00197F40">
        <w:t xml:space="preserve"> in </w:t>
      </w:r>
      <w:r w:rsidRPr="008C3B63" w:rsidR="00F91A9B">
        <w:t>the</w:t>
      </w:r>
      <w:r w:rsidRPr="008C3B63" w:rsidR="004826F6">
        <w:t xml:space="preserve"> proceedings concerning</w:t>
      </w:r>
      <w:r w:rsidRPr="008C3B63" w:rsidR="00F91A9B">
        <w:t xml:space="preserve"> his request for a subsequent hearing</w:t>
      </w:r>
      <w:r w:rsidRPr="008C3B63" w:rsidR="00197F40">
        <w:t xml:space="preserve">, </w:t>
      </w:r>
      <w:r w:rsidRPr="008C3B63" w:rsidR="0061784C">
        <w:t xml:space="preserve">as they had been </w:t>
      </w:r>
      <w:r w:rsidRPr="008C3B63" w:rsidR="00197F40">
        <w:t>decided by the Court of Appeal on 25 February 2011</w:t>
      </w:r>
      <w:r w:rsidRPr="008C3B63" w:rsidR="00DE5B60">
        <w:t xml:space="preserve"> without </w:t>
      </w:r>
      <w:r w:rsidRPr="008C3B63" w:rsidR="00AA5848">
        <w:t xml:space="preserve">him </w:t>
      </w:r>
      <w:r w:rsidRPr="008C3B63" w:rsidR="0061784C">
        <w:t xml:space="preserve">having </w:t>
      </w:r>
      <w:r w:rsidRPr="008C3B63" w:rsidR="00DE5B60">
        <w:t xml:space="preserve">the </w:t>
      </w:r>
      <w:r w:rsidRPr="008C3B63" w:rsidR="00AA5848">
        <w:t xml:space="preserve">opportunity </w:t>
      </w:r>
      <w:r w:rsidRPr="008C3B63" w:rsidR="00DE5B60">
        <w:t xml:space="preserve">to reply to the written observations of the </w:t>
      </w:r>
      <w:r w:rsidRPr="008C3B63" w:rsidR="00A34BC0">
        <w:t>prosecution authorities</w:t>
      </w:r>
      <w:r w:rsidRPr="008C3B63" w:rsidR="00197F40">
        <w:t>. He asserted that</w:t>
      </w:r>
      <w:r w:rsidRPr="008C3B63" w:rsidR="00DE5B60">
        <w:t xml:space="preserve"> the observations </w:t>
      </w:r>
      <w:r w:rsidRPr="008C3B63" w:rsidR="003803C5">
        <w:t xml:space="preserve">had been </w:t>
      </w:r>
      <w:r w:rsidRPr="008C3B63" w:rsidR="00DE5B60">
        <w:t>relevant, as evidenced by the fact that</w:t>
      </w:r>
      <w:r w:rsidRPr="008C3B63" w:rsidR="00197F40">
        <w:t xml:space="preserve"> in </w:t>
      </w:r>
      <w:r w:rsidRPr="008C3B63" w:rsidR="00DE5B60">
        <w:t>its</w:t>
      </w:r>
      <w:r w:rsidRPr="008C3B63" w:rsidR="00197F40">
        <w:t xml:space="preserve"> </w:t>
      </w:r>
      <w:r w:rsidRPr="008C3B63" w:rsidR="00AA5848">
        <w:t xml:space="preserve">own </w:t>
      </w:r>
      <w:r w:rsidRPr="008C3B63" w:rsidR="00197F40">
        <w:t xml:space="preserve">decision </w:t>
      </w:r>
      <w:r w:rsidRPr="008C3B63" w:rsidR="00AA5848">
        <w:t xml:space="preserve">the Court of Appeal had </w:t>
      </w:r>
      <w:r w:rsidRPr="008C3B63" w:rsidR="00197F40">
        <w:t>reproduced the</w:t>
      </w:r>
      <w:r w:rsidRPr="008C3B63" w:rsidR="000F04AB">
        <w:t xml:space="preserve">ir </w:t>
      </w:r>
      <w:r w:rsidRPr="008C3B63" w:rsidR="00197F40">
        <w:t>content, which</w:t>
      </w:r>
      <w:r w:rsidRPr="008C3B63" w:rsidR="0061784C">
        <w:t xml:space="preserve"> had</w:t>
      </w:r>
      <w:r w:rsidRPr="008C3B63" w:rsidR="00197F40">
        <w:t xml:space="preserve"> r</w:t>
      </w:r>
      <w:r w:rsidRPr="008C3B63" w:rsidR="0061784C">
        <w:t>u</w:t>
      </w:r>
      <w:r w:rsidRPr="008C3B63" w:rsidR="00197F40">
        <w:t xml:space="preserve">n </w:t>
      </w:r>
      <w:r w:rsidRPr="008C3B63" w:rsidR="00AA5848">
        <w:t xml:space="preserve">to </w:t>
      </w:r>
      <w:r w:rsidRPr="008C3B63" w:rsidR="000F04AB">
        <w:t>more than</w:t>
      </w:r>
      <w:r w:rsidRPr="008C3B63" w:rsidR="00197F40">
        <w:t xml:space="preserve"> a page and </w:t>
      </w:r>
      <w:r w:rsidRPr="008C3B63" w:rsidR="00CA30CF">
        <w:t xml:space="preserve">had </w:t>
      </w:r>
      <w:r w:rsidRPr="008C3B63" w:rsidR="00197F40">
        <w:t>concerned the right to be heard, which had not been the subject of the pr</w:t>
      </w:r>
      <w:r w:rsidRPr="008C3B63" w:rsidR="00DE5B60">
        <w:t>oceedings</w:t>
      </w:r>
      <w:r w:rsidRPr="008C3B63" w:rsidR="00536D45">
        <w:t xml:space="preserve"> up until that point</w:t>
      </w:r>
      <w:r w:rsidRPr="008C3B63" w:rsidR="00DE5B60">
        <w:t>.</w:t>
      </w:r>
    </w:p>
    <w:p w:rsidRPr="008C3B63" w:rsidR="005767F9" w:rsidP="008C3B63" w:rsidRDefault="005767F9">
      <w:pPr>
        <w:pStyle w:val="ECHRHeading4"/>
        <w:rPr>
          <w:lang w:val="en-GB"/>
        </w:rPr>
      </w:pPr>
      <w:r w:rsidRPr="008C3B63">
        <w:rPr>
          <w:lang w:val="en-GB"/>
        </w:rPr>
        <w:t>(b)</w:t>
      </w:r>
      <w:r w:rsidRPr="008C3B63" w:rsidR="00926D5F">
        <w:rPr>
          <w:lang w:val="en-GB"/>
        </w:rPr>
        <w:t>  </w:t>
      </w:r>
      <w:r w:rsidRPr="008C3B63">
        <w:rPr>
          <w:lang w:val="en-GB"/>
        </w:rPr>
        <w:t>The Government</w:t>
      </w:r>
    </w:p>
    <w:p w:rsidRPr="008C3B63" w:rsidR="00926D5F" w:rsidP="008C3B63" w:rsidRDefault="00F07F06">
      <w:pPr>
        <w:pStyle w:val="ECHRPara"/>
        <w:rPr>
          <w:lang w:val="en-GB"/>
        </w:rPr>
      </w:pPr>
      <w:fldSimple w:instr=" SEQ level0 \*arabic ">
        <w:r w:rsidRPr="008C3B63" w:rsidR="008C3B63">
          <w:rPr>
            <w:noProof/>
          </w:rPr>
          <w:t>31</w:t>
        </w:r>
      </w:fldSimple>
      <w:r w:rsidRPr="008C3B63" w:rsidR="00F8234F">
        <w:t>.  </w:t>
      </w:r>
      <w:r w:rsidRPr="008C3B63" w:rsidR="00745AB9">
        <w:t xml:space="preserve">The Government </w:t>
      </w:r>
      <w:r w:rsidRPr="008C3B63" w:rsidR="009F4F26">
        <w:t xml:space="preserve">submitted that the Court had, in the case of </w:t>
      </w:r>
      <w:r w:rsidRPr="008C3B63" w:rsidR="009F4F26">
        <w:rPr>
          <w:i/>
        </w:rPr>
        <w:t>Lanz</w:t>
      </w:r>
      <w:r w:rsidRPr="008C3B63" w:rsidR="009F4F26">
        <w:t xml:space="preserve"> (cited above, § 41), stated that proceedings conducted under Article 5 § 4 of the Convention should “in principle” also meet, “to the largest extent possible” under the circumstances of an ongoing investigation, the basic requirements of a fair trial, such as the right to an adversarial procedure. </w:t>
      </w:r>
      <w:r w:rsidRPr="008C3B63" w:rsidR="00D01771">
        <w:t>I</w:t>
      </w:r>
      <w:r w:rsidRPr="008C3B63" w:rsidR="00A63DCD">
        <w:t>t</w:t>
      </w:r>
      <w:r w:rsidRPr="008C3B63" w:rsidR="00D25266">
        <w:t xml:space="preserve"> wa</w:t>
      </w:r>
      <w:r w:rsidRPr="008C3B63" w:rsidR="00D76B8B">
        <w:t>s not always necessary tha</w:t>
      </w:r>
      <w:r w:rsidRPr="008C3B63" w:rsidR="00634B5E">
        <w:t xml:space="preserve">t </w:t>
      </w:r>
      <w:r w:rsidRPr="008C3B63" w:rsidR="009B41B8">
        <w:t xml:space="preserve">the </w:t>
      </w:r>
      <w:r w:rsidRPr="008C3B63" w:rsidR="00D76B8B">
        <w:t>proceedings under Article 5 § 4 of the Convention</w:t>
      </w:r>
      <w:r w:rsidRPr="008C3B63" w:rsidR="003D623E">
        <w:t xml:space="preserve"> be attended by the same guarantees as those required under Article 6 § 1 of the Convention for criminal or civil litigation</w:t>
      </w:r>
      <w:r w:rsidRPr="008C3B63" w:rsidR="009F4F26">
        <w:t xml:space="preserve">. </w:t>
      </w:r>
      <w:r w:rsidRPr="008C3B63" w:rsidR="00D25266">
        <w:t xml:space="preserve">Emphasising </w:t>
      </w:r>
      <w:r w:rsidRPr="008C3B63" w:rsidR="00940FD2">
        <w:rPr>
          <w:lang w:val="en-GB"/>
        </w:rPr>
        <w:t>that the lawfulness of the applicant</w:t>
      </w:r>
      <w:r w:rsidRPr="008C3B63" w:rsidR="008C3B63">
        <w:rPr>
          <w:lang w:val="en-GB"/>
        </w:rPr>
        <w:t>’</w:t>
      </w:r>
      <w:r w:rsidRPr="008C3B63" w:rsidR="00940FD2">
        <w:rPr>
          <w:lang w:val="en-GB"/>
        </w:rPr>
        <w:t xml:space="preserve">s detention had been reviewed </w:t>
      </w:r>
      <w:r w:rsidRPr="008C3B63" w:rsidR="00F07891">
        <w:rPr>
          <w:lang w:val="en-GB"/>
        </w:rPr>
        <w:t xml:space="preserve">by </w:t>
      </w:r>
      <w:r w:rsidRPr="008C3B63" w:rsidR="00540235">
        <w:rPr>
          <w:lang w:val="en-GB"/>
        </w:rPr>
        <w:t xml:space="preserve">the </w:t>
      </w:r>
      <w:r w:rsidRPr="008C3B63" w:rsidR="00F07891">
        <w:rPr>
          <w:lang w:val="en-GB"/>
        </w:rPr>
        <w:t xml:space="preserve">domestic courts </w:t>
      </w:r>
      <w:r w:rsidRPr="008C3B63" w:rsidR="008549BD">
        <w:rPr>
          <w:lang w:val="en-GB"/>
        </w:rPr>
        <w:t>eleven</w:t>
      </w:r>
      <w:r w:rsidRPr="008C3B63" w:rsidR="00940FD2">
        <w:rPr>
          <w:lang w:val="en-GB"/>
        </w:rPr>
        <w:t xml:space="preserve"> times prior to the Court of Appeal</w:t>
      </w:r>
      <w:r w:rsidRPr="008C3B63" w:rsidR="008C3B63">
        <w:rPr>
          <w:lang w:val="en-GB"/>
        </w:rPr>
        <w:t>’</w:t>
      </w:r>
      <w:r w:rsidRPr="008C3B63" w:rsidR="0094503C">
        <w:rPr>
          <w:lang w:val="en-GB"/>
        </w:rPr>
        <w:t>s decision of 3 </w:t>
      </w:r>
      <w:r w:rsidRPr="008C3B63" w:rsidR="000774AF">
        <w:rPr>
          <w:lang w:val="en-GB"/>
        </w:rPr>
        <w:t xml:space="preserve">February 2011, </w:t>
      </w:r>
      <w:r w:rsidRPr="008C3B63" w:rsidR="001A5330">
        <w:rPr>
          <w:lang w:val="en-GB"/>
        </w:rPr>
        <w:t>including by the District Court and the Regional Court in the</w:t>
      </w:r>
      <w:r w:rsidRPr="008C3B63" w:rsidR="00B135D2">
        <w:rPr>
          <w:lang w:val="en-GB"/>
        </w:rPr>
        <w:t xml:space="preserve"> s</w:t>
      </w:r>
      <w:r w:rsidRPr="008C3B63" w:rsidR="001A5330">
        <w:rPr>
          <w:lang w:val="en-GB"/>
        </w:rPr>
        <w:t>et of proceedings</w:t>
      </w:r>
      <w:r w:rsidRPr="008C3B63" w:rsidR="00B135D2">
        <w:rPr>
          <w:lang w:val="en-GB"/>
        </w:rPr>
        <w:t xml:space="preserve"> at issue</w:t>
      </w:r>
      <w:r w:rsidRPr="008C3B63" w:rsidR="001A5330">
        <w:rPr>
          <w:lang w:val="en-GB"/>
        </w:rPr>
        <w:t xml:space="preserve">, </w:t>
      </w:r>
      <w:r w:rsidRPr="008C3B63" w:rsidR="00D25266">
        <w:rPr>
          <w:lang w:val="en-GB"/>
        </w:rPr>
        <w:t>they submitted that a</w:t>
      </w:r>
      <w:r w:rsidRPr="008C3B63" w:rsidR="00050F2D">
        <w:rPr>
          <w:lang w:val="en-GB"/>
        </w:rPr>
        <w:t xml:space="preserve">ll relevant arguments had been exchanged by the time the Court of Appeal </w:t>
      </w:r>
      <w:r w:rsidRPr="008C3B63" w:rsidR="00540235">
        <w:rPr>
          <w:lang w:val="en-GB"/>
        </w:rPr>
        <w:t xml:space="preserve">had been </w:t>
      </w:r>
      <w:r w:rsidRPr="008C3B63" w:rsidR="00050F2D">
        <w:rPr>
          <w:lang w:val="en-GB"/>
        </w:rPr>
        <w:t>asked to review the lawfulness of the applicant</w:t>
      </w:r>
      <w:r w:rsidRPr="008C3B63" w:rsidR="008C3B63">
        <w:rPr>
          <w:lang w:val="en-GB"/>
        </w:rPr>
        <w:t>’</w:t>
      </w:r>
      <w:r w:rsidRPr="008C3B63" w:rsidR="00050F2D">
        <w:rPr>
          <w:lang w:val="en-GB"/>
        </w:rPr>
        <w:t>s detention. The applicant</w:t>
      </w:r>
      <w:r w:rsidRPr="008C3B63" w:rsidR="00D25266">
        <w:rPr>
          <w:lang w:val="en-GB"/>
        </w:rPr>
        <w:t>, who had initiated the review proceedings,</w:t>
      </w:r>
      <w:r w:rsidRPr="008C3B63" w:rsidR="00050F2D">
        <w:rPr>
          <w:lang w:val="en-GB"/>
        </w:rPr>
        <w:t xml:space="preserve"> had </w:t>
      </w:r>
      <w:r w:rsidRPr="008C3B63" w:rsidR="00540235">
        <w:rPr>
          <w:lang w:val="en-GB"/>
        </w:rPr>
        <w:t xml:space="preserve">had </w:t>
      </w:r>
      <w:r w:rsidRPr="008C3B63" w:rsidR="00050F2D">
        <w:rPr>
          <w:lang w:val="en-GB"/>
        </w:rPr>
        <w:t xml:space="preserve">ample opportunity to make submissions </w:t>
      </w:r>
      <w:r w:rsidRPr="008C3B63" w:rsidR="00540235">
        <w:rPr>
          <w:lang w:val="en-GB"/>
        </w:rPr>
        <w:t xml:space="preserve">about </w:t>
      </w:r>
      <w:r w:rsidRPr="008C3B63" w:rsidR="00050F2D">
        <w:rPr>
          <w:lang w:val="en-GB"/>
        </w:rPr>
        <w:t>why his detention was</w:t>
      </w:r>
      <w:r w:rsidRPr="008C3B63" w:rsidR="00CA30CF">
        <w:rPr>
          <w:lang w:val="en-GB"/>
        </w:rPr>
        <w:t xml:space="preserve"> un</w:t>
      </w:r>
      <w:r w:rsidRPr="008C3B63" w:rsidR="00050F2D">
        <w:rPr>
          <w:lang w:val="en-GB"/>
        </w:rPr>
        <w:t xml:space="preserve">lawful. Since November 2010 </w:t>
      </w:r>
      <w:r w:rsidRPr="008C3B63" w:rsidR="00CA30CF">
        <w:rPr>
          <w:lang w:val="en-GB"/>
        </w:rPr>
        <w:t>he</w:t>
      </w:r>
      <w:r w:rsidRPr="008C3B63" w:rsidR="00050F2D">
        <w:rPr>
          <w:lang w:val="en-GB"/>
        </w:rPr>
        <w:t xml:space="preserve"> had made scarce use of these opportunities, mainly </w:t>
      </w:r>
      <w:r w:rsidRPr="008C3B63" w:rsidR="00CA30CF">
        <w:rPr>
          <w:lang w:val="en-GB"/>
        </w:rPr>
        <w:t xml:space="preserve">relying on </w:t>
      </w:r>
      <w:r w:rsidRPr="008C3B63" w:rsidR="00050F2D">
        <w:rPr>
          <w:lang w:val="en-GB"/>
        </w:rPr>
        <w:t xml:space="preserve">his previous submissions. </w:t>
      </w:r>
      <w:r w:rsidRPr="008C3B63" w:rsidR="0060449C">
        <w:rPr>
          <w:lang w:val="en-GB"/>
        </w:rPr>
        <w:t>He</w:t>
      </w:r>
      <w:r w:rsidRPr="008C3B63" w:rsidR="00050F2D">
        <w:rPr>
          <w:lang w:val="en-GB"/>
        </w:rPr>
        <w:t xml:space="preserve"> </w:t>
      </w:r>
      <w:r w:rsidRPr="008C3B63" w:rsidR="00540235">
        <w:rPr>
          <w:lang w:val="en-GB"/>
        </w:rPr>
        <w:t xml:space="preserve">had been </w:t>
      </w:r>
      <w:r w:rsidRPr="008C3B63" w:rsidR="00050F2D">
        <w:rPr>
          <w:lang w:val="en-GB"/>
        </w:rPr>
        <w:t xml:space="preserve">well aware of the position of the public prosecutor as regards </w:t>
      </w:r>
      <w:r w:rsidRPr="008C3B63" w:rsidR="0061784C">
        <w:rPr>
          <w:lang w:val="en-GB"/>
        </w:rPr>
        <w:t>the</w:t>
      </w:r>
      <w:r w:rsidRPr="008C3B63" w:rsidR="00050F2D">
        <w:rPr>
          <w:lang w:val="en-GB"/>
        </w:rPr>
        <w:t xml:space="preserve"> </w:t>
      </w:r>
      <w:r w:rsidRPr="008C3B63" w:rsidR="0061784C">
        <w:rPr>
          <w:lang w:val="en-GB"/>
        </w:rPr>
        <w:t xml:space="preserve">continuation of </w:t>
      </w:r>
      <w:r w:rsidRPr="008C3B63" w:rsidR="00CE158D">
        <w:rPr>
          <w:lang w:val="en-GB"/>
        </w:rPr>
        <w:t>his</w:t>
      </w:r>
      <w:r w:rsidRPr="008C3B63" w:rsidR="00050F2D">
        <w:rPr>
          <w:lang w:val="en-GB"/>
        </w:rPr>
        <w:t xml:space="preserve"> detention. The statement of the </w:t>
      </w:r>
      <w:r w:rsidRPr="008C3B63" w:rsidR="00A228F9">
        <w:rPr>
          <w:lang w:val="en-GB"/>
        </w:rPr>
        <w:t xml:space="preserve">Chief Public </w:t>
      </w:r>
      <w:r w:rsidRPr="008C3B63" w:rsidR="00050F2D">
        <w:rPr>
          <w:lang w:val="en-GB"/>
        </w:rPr>
        <w:t xml:space="preserve">Prosecutor of 28 January 2011 </w:t>
      </w:r>
      <w:r w:rsidRPr="008C3B63" w:rsidR="00540235">
        <w:rPr>
          <w:lang w:val="en-GB"/>
        </w:rPr>
        <w:t xml:space="preserve">had </w:t>
      </w:r>
      <w:r w:rsidRPr="008C3B63" w:rsidR="00050F2D">
        <w:rPr>
          <w:lang w:val="en-GB"/>
        </w:rPr>
        <w:t>not contain</w:t>
      </w:r>
      <w:r w:rsidRPr="008C3B63" w:rsidR="00540235">
        <w:rPr>
          <w:lang w:val="en-GB"/>
        </w:rPr>
        <w:t>ed</w:t>
      </w:r>
      <w:r w:rsidRPr="008C3B63" w:rsidR="00050F2D">
        <w:rPr>
          <w:lang w:val="en-GB"/>
        </w:rPr>
        <w:t xml:space="preserve"> any new facts or arguments </w:t>
      </w:r>
      <w:r w:rsidRPr="008C3B63" w:rsidR="00540235">
        <w:rPr>
          <w:lang w:val="en-GB"/>
        </w:rPr>
        <w:t>of which he had been</w:t>
      </w:r>
      <w:r w:rsidRPr="008C3B63" w:rsidR="00050F2D">
        <w:rPr>
          <w:lang w:val="en-GB"/>
        </w:rPr>
        <w:t xml:space="preserve"> </w:t>
      </w:r>
      <w:r w:rsidRPr="008C3B63" w:rsidR="00540235">
        <w:rPr>
          <w:lang w:val="en-GB"/>
        </w:rPr>
        <w:t>un</w:t>
      </w:r>
      <w:r w:rsidRPr="008C3B63" w:rsidR="00050F2D">
        <w:rPr>
          <w:lang w:val="en-GB"/>
        </w:rPr>
        <w:t xml:space="preserve">aware. </w:t>
      </w:r>
      <w:r w:rsidRPr="008C3B63" w:rsidR="002878E0">
        <w:rPr>
          <w:lang w:val="en-GB"/>
        </w:rPr>
        <w:t xml:space="preserve">The principle of equality of arms </w:t>
      </w:r>
      <w:r w:rsidRPr="008C3B63" w:rsidR="00540235">
        <w:rPr>
          <w:lang w:val="en-GB"/>
        </w:rPr>
        <w:t xml:space="preserve">had </w:t>
      </w:r>
      <w:r w:rsidRPr="008C3B63" w:rsidR="002878E0">
        <w:rPr>
          <w:lang w:val="en-GB"/>
        </w:rPr>
        <w:t xml:space="preserve">not </w:t>
      </w:r>
      <w:r w:rsidRPr="008C3B63" w:rsidR="00540235">
        <w:rPr>
          <w:lang w:val="en-GB"/>
        </w:rPr>
        <w:t xml:space="preserve">been </w:t>
      </w:r>
      <w:r w:rsidRPr="008C3B63" w:rsidR="002878E0">
        <w:rPr>
          <w:lang w:val="en-GB"/>
        </w:rPr>
        <w:t xml:space="preserve">violated. </w:t>
      </w:r>
      <w:r w:rsidRPr="008C3B63" w:rsidR="00050F2D">
        <w:rPr>
          <w:lang w:val="en-GB"/>
        </w:rPr>
        <w:t>It was telling that the applicant</w:t>
      </w:r>
      <w:r w:rsidRPr="008C3B63" w:rsidR="008C3B63">
        <w:rPr>
          <w:lang w:val="en-GB"/>
        </w:rPr>
        <w:t>’</w:t>
      </w:r>
      <w:r w:rsidRPr="008C3B63" w:rsidR="00050F2D">
        <w:rPr>
          <w:lang w:val="en-GB"/>
        </w:rPr>
        <w:t xml:space="preserve">s submission of 10 February 2011 </w:t>
      </w:r>
      <w:r w:rsidRPr="008C3B63" w:rsidR="00CE158D">
        <w:rPr>
          <w:lang w:val="en-GB"/>
        </w:rPr>
        <w:t xml:space="preserve">had </w:t>
      </w:r>
      <w:r w:rsidRPr="008C3B63" w:rsidR="00050F2D">
        <w:rPr>
          <w:lang w:val="en-GB"/>
        </w:rPr>
        <w:t>not contain</w:t>
      </w:r>
      <w:r w:rsidRPr="008C3B63" w:rsidR="00CE158D">
        <w:rPr>
          <w:lang w:val="en-GB"/>
        </w:rPr>
        <w:t>ed</w:t>
      </w:r>
      <w:r w:rsidRPr="008C3B63" w:rsidR="00050F2D">
        <w:rPr>
          <w:lang w:val="en-GB"/>
        </w:rPr>
        <w:t xml:space="preserve"> any factual or legal arguments that </w:t>
      </w:r>
      <w:r w:rsidRPr="008C3B63" w:rsidR="0061784C">
        <w:rPr>
          <w:lang w:val="en-GB"/>
        </w:rPr>
        <w:t>he</w:t>
      </w:r>
      <w:r w:rsidRPr="008C3B63" w:rsidR="00050F2D">
        <w:rPr>
          <w:lang w:val="en-GB"/>
        </w:rPr>
        <w:t xml:space="preserve"> could not have </w:t>
      </w:r>
      <w:r w:rsidRPr="008C3B63" w:rsidR="00CA30CF">
        <w:rPr>
          <w:lang w:val="en-GB"/>
        </w:rPr>
        <w:t xml:space="preserve">already </w:t>
      </w:r>
      <w:r w:rsidRPr="008C3B63" w:rsidR="00050F2D">
        <w:rPr>
          <w:lang w:val="en-GB"/>
        </w:rPr>
        <w:t>submitted in his app</w:t>
      </w:r>
      <w:r w:rsidRPr="008C3B63" w:rsidR="0094503C">
        <w:rPr>
          <w:lang w:val="en-GB"/>
        </w:rPr>
        <w:t>eal to the Court of Appeal on 5 </w:t>
      </w:r>
      <w:r w:rsidRPr="008C3B63" w:rsidR="00050F2D">
        <w:rPr>
          <w:lang w:val="en-GB"/>
        </w:rPr>
        <w:t>January 2011.</w:t>
      </w:r>
    </w:p>
    <w:p w:rsidRPr="008C3B63" w:rsidR="00791057" w:rsidP="008C3B63" w:rsidRDefault="00F761E9">
      <w:pPr>
        <w:pStyle w:val="ECHRPara"/>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32</w:t>
      </w:r>
      <w:r w:rsidRPr="008C3B63">
        <w:rPr>
          <w:lang w:val="en-GB"/>
        </w:rPr>
        <w:fldChar w:fldCharType="end"/>
      </w:r>
      <w:r w:rsidRPr="008C3B63">
        <w:rPr>
          <w:lang w:val="en-GB"/>
        </w:rPr>
        <w:t>.  </w:t>
      </w:r>
      <w:r w:rsidRPr="008C3B63" w:rsidR="004E4DA7">
        <w:rPr>
          <w:lang w:val="en-GB"/>
        </w:rPr>
        <w:t xml:space="preserve">The present case thus </w:t>
      </w:r>
      <w:r w:rsidRPr="008C3B63" w:rsidR="001076B9">
        <w:rPr>
          <w:lang w:val="en-GB"/>
        </w:rPr>
        <w:t>differed significantly from those</w:t>
      </w:r>
      <w:r w:rsidRPr="008C3B63" w:rsidR="004E4DA7">
        <w:rPr>
          <w:lang w:val="en-GB"/>
        </w:rPr>
        <w:t xml:space="preserve"> of </w:t>
      </w:r>
      <w:r w:rsidRPr="008C3B63" w:rsidR="004E4DA7">
        <w:rPr>
          <w:i/>
          <w:lang w:val="en-GB"/>
        </w:rPr>
        <w:t>Lanz</w:t>
      </w:r>
      <w:r w:rsidRPr="008C3B63" w:rsidR="004E4DA7">
        <w:rPr>
          <w:lang w:val="en-GB"/>
        </w:rPr>
        <w:t xml:space="preserve"> (cited above)</w:t>
      </w:r>
      <w:r w:rsidRPr="008C3B63" w:rsidR="001076B9">
        <w:rPr>
          <w:lang w:val="en-GB"/>
        </w:rPr>
        <w:t xml:space="preserve">, </w:t>
      </w:r>
      <w:r w:rsidRPr="008C3B63" w:rsidR="001076B9">
        <w:rPr>
          <w:i/>
        </w:rPr>
        <w:t>Migón v. Poland</w:t>
      </w:r>
      <w:r w:rsidRPr="008C3B63" w:rsidR="001076B9">
        <w:t xml:space="preserve"> (no. 24244/94, 25 June 2002) and </w:t>
      </w:r>
      <w:r w:rsidRPr="008C3B63" w:rsidR="001076B9">
        <w:rPr>
          <w:i/>
        </w:rPr>
        <w:t>Fodale v. Italy</w:t>
      </w:r>
      <w:r w:rsidRPr="008C3B63" w:rsidR="001076B9">
        <w:t xml:space="preserve"> (no. 70148/01, ECHR 2006-VII), in which violations of Article 5 § 4 of the Convention</w:t>
      </w:r>
      <w:r w:rsidRPr="008C3B63" w:rsidR="003712D5">
        <w:t xml:space="preserve"> </w:t>
      </w:r>
      <w:r w:rsidRPr="008C3B63" w:rsidR="00CE158D">
        <w:t xml:space="preserve">had been </w:t>
      </w:r>
      <w:r w:rsidRPr="008C3B63" w:rsidR="003712D5">
        <w:t>found</w:t>
      </w:r>
      <w:r w:rsidRPr="008C3B63" w:rsidR="001076B9">
        <w:t xml:space="preserve"> due to a failure to meet the requirements of adversarial proceedings and equality of arms in proceedings concerning the review of the lawfulness of detention</w:t>
      </w:r>
      <w:r w:rsidRPr="008C3B63" w:rsidR="003712D5">
        <w:t xml:space="preserve"> because the detainee or his </w:t>
      </w:r>
      <w:r w:rsidRPr="008C3B63" w:rsidR="003E48A1">
        <w:t xml:space="preserve">or her </w:t>
      </w:r>
      <w:r w:rsidRPr="008C3B63" w:rsidR="003712D5">
        <w:t xml:space="preserve">counsel </w:t>
      </w:r>
      <w:r w:rsidRPr="008C3B63" w:rsidR="00CE158D">
        <w:t xml:space="preserve">had </w:t>
      </w:r>
      <w:r w:rsidRPr="008C3B63" w:rsidR="003712D5">
        <w:t>not, or</w:t>
      </w:r>
      <w:r w:rsidRPr="008C3B63" w:rsidR="0061784C">
        <w:t xml:space="preserve"> had</w:t>
      </w:r>
      <w:r w:rsidRPr="008C3B63" w:rsidR="003712D5">
        <w:t xml:space="preserve"> not in time,</w:t>
      </w:r>
      <w:r w:rsidRPr="008C3B63" w:rsidR="001076B9">
        <w:t xml:space="preserve"> </w:t>
      </w:r>
      <w:r w:rsidRPr="008C3B63" w:rsidR="00CE158D">
        <w:t xml:space="preserve">been </w:t>
      </w:r>
      <w:r w:rsidRPr="008C3B63" w:rsidR="00BF6D60">
        <w:t>made aware of ob</w:t>
      </w:r>
      <w:r w:rsidRPr="008C3B63" w:rsidR="00A9560E">
        <w:t xml:space="preserve">servations by the prosecution and </w:t>
      </w:r>
      <w:r w:rsidRPr="008C3B63" w:rsidR="00231AC4">
        <w:t xml:space="preserve">were </w:t>
      </w:r>
      <w:r w:rsidRPr="008C3B63" w:rsidR="00A9560E">
        <w:t xml:space="preserve">unable to respond to </w:t>
      </w:r>
      <w:r w:rsidRPr="008C3B63" w:rsidR="00CE158D">
        <w:t>them</w:t>
      </w:r>
      <w:r w:rsidRPr="008C3B63" w:rsidR="00A9560E">
        <w:t>.</w:t>
      </w:r>
      <w:r w:rsidRPr="008C3B63" w:rsidR="001076B9">
        <w:t xml:space="preserve"> The case of </w:t>
      </w:r>
      <w:r w:rsidRPr="008C3B63" w:rsidR="001076B9">
        <w:rPr>
          <w:i/>
        </w:rPr>
        <w:t>Lanz</w:t>
      </w:r>
      <w:r w:rsidRPr="008C3B63" w:rsidR="001076B9">
        <w:t xml:space="preserve"> (cited above) </w:t>
      </w:r>
      <w:r w:rsidRPr="008C3B63" w:rsidR="006E1BB8">
        <w:t xml:space="preserve">had </w:t>
      </w:r>
      <w:r w:rsidRPr="008C3B63" w:rsidR="001076B9">
        <w:t xml:space="preserve">concerned </w:t>
      </w:r>
      <w:r w:rsidRPr="008C3B63" w:rsidR="004E4DA7">
        <w:rPr>
          <w:lang w:val="en-GB"/>
        </w:rPr>
        <w:t>the first review of the lawfulness of applicant</w:t>
      </w:r>
      <w:r w:rsidRPr="008C3B63" w:rsidR="008C3B63">
        <w:rPr>
          <w:lang w:val="en-GB"/>
        </w:rPr>
        <w:t>’</w:t>
      </w:r>
      <w:r w:rsidRPr="008C3B63" w:rsidR="004E4DA7">
        <w:rPr>
          <w:lang w:val="en-GB"/>
        </w:rPr>
        <w:t xml:space="preserve">s detention by the Court of Appeal and both the applicant and the public prosecutor, who </w:t>
      </w:r>
      <w:r w:rsidRPr="008C3B63" w:rsidR="006E1BB8">
        <w:rPr>
          <w:lang w:val="en-GB"/>
        </w:rPr>
        <w:t xml:space="preserve">had </w:t>
      </w:r>
      <w:r w:rsidRPr="008C3B63" w:rsidR="004E4DA7">
        <w:rPr>
          <w:lang w:val="en-GB"/>
        </w:rPr>
        <w:t xml:space="preserve">sought </w:t>
      </w:r>
      <w:r w:rsidRPr="008C3B63" w:rsidR="004C7E55">
        <w:rPr>
          <w:lang w:val="en-GB"/>
        </w:rPr>
        <w:t xml:space="preserve">recognition of </w:t>
      </w:r>
      <w:r w:rsidRPr="008C3B63" w:rsidR="00103D11">
        <w:rPr>
          <w:lang w:val="en-GB"/>
        </w:rPr>
        <w:t>further</w:t>
      </w:r>
      <w:r w:rsidRPr="008C3B63" w:rsidR="004E4DA7">
        <w:rPr>
          <w:lang w:val="en-GB"/>
        </w:rPr>
        <w:t xml:space="preserve"> ground</w:t>
      </w:r>
      <w:r w:rsidRPr="008C3B63" w:rsidR="004C7E55">
        <w:rPr>
          <w:lang w:val="en-GB"/>
        </w:rPr>
        <w:t>s</w:t>
      </w:r>
      <w:r w:rsidRPr="008C3B63" w:rsidR="004E4DA7">
        <w:rPr>
          <w:lang w:val="en-GB"/>
        </w:rPr>
        <w:t xml:space="preserve"> for detention, had lodged appeals against the Review Chamber</w:t>
      </w:r>
      <w:r w:rsidRPr="008C3B63" w:rsidR="008C3B63">
        <w:rPr>
          <w:lang w:val="en-GB"/>
        </w:rPr>
        <w:t>’</w:t>
      </w:r>
      <w:r w:rsidRPr="008C3B63" w:rsidR="004E4DA7">
        <w:rPr>
          <w:lang w:val="en-GB"/>
        </w:rPr>
        <w:t xml:space="preserve">s decision. </w:t>
      </w:r>
      <w:r w:rsidRPr="008C3B63" w:rsidR="0069290C">
        <w:t xml:space="preserve">In </w:t>
      </w:r>
      <w:r w:rsidRPr="008C3B63" w:rsidR="0069290C">
        <w:rPr>
          <w:i/>
        </w:rPr>
        <w:t xml:space="preserve">Migón </w:t>
      </w:r>
      <w:r w:rsidRPr="008C3B63" w:rsidR="0069290C">
        <w:t>(</w:t>
      </w:r>
      <w:r w:rsidRPr="008C3B63" w:rsidR="001076B9">
        <w:t>cited above)</w:t>
      </w:r>
      <w:r w:rsidRPr="008C3B63" w:rsidR="0069290C">
        <w:t xml:space="preserve">, neither the applicant nor his counsel had been allowed to attend court hearings concerning the </w:t>
      </w:r>
      <w:r w:rsidRPr="008C3B63" w:rsidR="00CA30CF">
        <w:t>continuation</w:t>
      </w:r>
      <w:r w:rsidRPr="008C3B63" w:rsidR="0069290C">
        <w:t xml:space="preserve"> of his detention on remand </w:t>
      </w:r>
      <w:r w:rsidRPr="008C3B63" w:rsidR="00F8234F">
        <w:t xml:space="preserve">and </w:t>
      </w:r>
      <w:r w:rsidRPr="008C3B63" w:rsidR="0069290C">
        <w:t xml:space="preserve">the review of the lawfulness of his detention, whereas the prosecutor had been able to do so and to make submissions in support of the </w:t>
      </w:r>
      <w:r w:rsidRPr="008C3B63" w:rsidR="00CA30CF">
        <w:t xml:space="preserve">extension </w:t>
      </w:r>
      <w:r w:rsidRPr="008C3B63" w:rsidR="0069290C">
        <w:t>of the detention order, while neither the applicant nor his lawyers had</w:t>
      </w:r>
      <w:r w:rsidRPr="008C3B63" w:rsidR="00CE158D">
        <w:t xml:space="preserve"> had</w:t>
      </w:r>
      <w:r w:rsidRPr="008C3B63" w:rsidR="0069290C">
        <w:t xml:space="preserve"> any opportunity to be acquainted with them or formulate any objections, or comment </w:t>
      </w:r>
      <w:r w:rsidRPr="008C3B63" w:rsidR="00CE158D">
        <w:t>thereon</w:t>
      </w:r>
      <w:r w:rsidRPr="008C3B63" w:rsidR="0069290C">
        <w:t xml:space="preserve">. In </w:t>
      </w:r>
      <w:r w:rsidRPr="008C3B63" w:rsidR="0069290C">
        <w:rPr>
          <w:i/>
        </w:rPr>
        <w:t xml:space="preserve">Fodale </w:t>
      </w:r>
      <w:r w:rsidRPr="008C3B63" w:rsidR="0069290C">
        <w:t>(</w:t>
      </w:r>
      <w:r w:rsidRPr="008C3B63" w:rsidR="001076B9">
        <w:t xml:space="preserve">cited above), </w:t>
      </w:r>
      <w:r w:rsidRPr="008C3B63" w:rsidR="00F8234F">
        <w:t xml:space="preserve">the applicant, who </w:t>
      </w:r>
      <w:r w:rsidRPr="008C3B63" w:rsidR="00CE158D">
        <w:t xml:space="preserve">had </w:t>
      </w:r>
      <w:r w:rsidRPr="008C3B63" w:rsidR="00F8234F">
        <w:t xml:space="preserve">not </w:t>
      </w:r>
      <w:r w:rsidRPr="008C3B63" w:rsidR="00CE158D">
        <w:t>been</w:t>
      </w:r>
      <w:r w:rsidRPr="008C3B63" w:rsidR="00F8234F">
        <w:t xml:space="preserve"> in custody at </w:t>
      </w:r>
      <w:r w:rsidRPr="008C3B63" w:rsidR="00CA30CF">
        <w:t xml:space="preserve">the </w:t>
      </w:r>
      <w:r w:rsidRPr="008C3B63" w:rsidR="00F8234F">
        <w:t xml:space="preserve">time, had not been summoned to appear at the hearing before the Court of Cassation, which had been set following </w:t>
      </w:r>
      <w:r w:rsidRPr="008C3B63" w:rsidR="00CA30CF">
        <w:t xml:space="preserve">an </w:t>
      </w:r>
      <w:r w:rsidRPr="008C3B63" w:rsidR="00F8234F">
        <w:t>appeal on points of law by the public prosecutor and which</w:t>
      </w:r>
      <w:r w:rsidRPr="008C3B63" w:rsidR="006E1BB8">
        <w:t xml:space="preserve"> had</w:t>
      </w:r>
      <w:r w:rsidRPr="008C3B63" w:rsidR="00F8234F">
        <w:t xml:space="preserve"> concerned the question </w:t>
      </w:r>
      <w:r w:rsidRPr="008C3B63" w:rsidR="006E1BB8">
        <w:t xml:space="preserve">of </w:t>
      </w:r>
      <w:r w:rsidRPr="008C3B63" w:rsidR="00F8234F">
        <w:t xml:space="preserve">whether his release from detention would become final or whether the decision ordering his release would be quashed. The applicant </w:t>
      </w:r>
      <w:r w:rsidRPr="008C3B63" w:rsidR="00CE158D">
        <w:t xml:space="preserve">had </w:t>
      </w:r>
      <w:r w:rsidRPr="008C3B63" w:rsidR="00F8234F">
        <w:t xml:space="preserve">thus </w:t>
      </w:r>
      <w:r w:rsidRPr="008C3B63" w:rsidR="00CE158D">
        <w:t xml:space="preserve">been </w:t>
      </w:r>
      <w:r w:rsidRPr="008C3B63" w:rsidR="00F8234F">
        <w:t>unable to file p</w:t>
      </w:r>
      <w:r w:rsidRPr="008C3B63" w:rsidR="00791057">
        <w:t>leadings or present oral argument</w:t>
      </w:r>
      <w:r w:rsidRPr="008C3B63" w:rsidR="003E48A1">
        <w:t>s at the hearing</w:t>
      </w:r>
      <w:r w:rsidRPr="008C3B63" w:rsidR="00791057">
        <w:t xml:space="preserve"> in response to the submi</w:t>
      </w:r>
      <w:r w:rsidRPr="008C3B63" w:rsidR="00DC032F">
        <w:t>ssions of the public prosecutor</w:t>
      </w:r>
      <w:r w:rsidRPr="008C3B63" w:rsidR="00791057">
        <w:t>.</w:t>
      </w:r>
    </w:p>
    <w:p w:rsidRPr="008C3B63" w:rsidR="00926D5F" w:rsidP="008C3B63" w:rsidRDefault="00D463B6">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33</w:t>
      </w:r>
      <w:r w:rsidRPr="008C3B63">
        <w:rPr>
          <w:lang w:val="en-GB"/>
        </w:rPr>
        <w:fldChar w:fldCharType="end"/>
      </w:r>
      <w:r w:rsidRPr="008C3B63">
        <w:rPr>
          <w:lang w:val="en-GB"/>
        </w:rPr>
        <w:t>.  </w:t>
      </w:r>
      <w:r w:rsidRPr="008C3B63" w:rsidR="00084D72">
        <w:rPr>
          <w:lang w:val="en-GB"/>
        </w:rPr>
        <w:t xml:space="preserve">The Government further pointed out that the aim of Article 5 § 4 of the Convention </w:t>
      </w:r>
      <w:r w:rsidRPr="008C3B63" w:rsidR="000C2017">
        <w:rPr>
          <w:lang w:val="en-GB"/>
        </w:rPr>
        <w:t xml:space="preserve">were </w:t>
      </w:r>
      <w:r w:rsidRPr="008C3B63" w:rsidR="00084D72">
        <w:rPr>
          <w:lang w:val="en-GB"/>
        </w:rPr>
        <w:t xml:space="preserve">to offer </w:t>
      </w:r>
      <w:r w:rsidRPr="008C3B63" w:rsidR="00566AA8">
        <w:rPr>
          <w:lang w:val="en-GB"/>
        </w:rPr>
        <w:t xml:space="preserve">protection </w:t>
      </w:r>
      <w:r w:rsidRPr="008C3B63" w:rsidR="00084D72">
        <w:rPr>
          <w:lang w:val="en-GB"/>
        </w:rPr>
        <w:t xml:space="preserve">against arbitrary deprivations of liberty by means of speedily reviewing the lawfulness of the detention. The Court of Appeal </w:t>
      </w:r>
      <w:r w:rsidRPr="008C3B63" w:rsidR="00CE158D">
        <w:rPr>
          <w:lang w:val="en-GB"/>
        </w:rPr>
        <w:t xml:space="preserve">had taken </w:t>
      </w:r>
      <w:r w:rsidRPr="008C3B63" w:rsidR="00084D72">
        <w:rPr>
          <w:lang w:val="en-GB"/>
        </w:rPr>
        <w:t>this aim</w:t>
      </w:r>
      <w:r w:rsidRPr="008C3B63" w:rsidR="004C7E55">
        <w:rPr>
          <w:lang w:val="en-GB"/>
        </w:rPr>
        <w:t>, which conflicted with the procedural approach in proceedings falling under Article 6 § 1 of the Convention to send every submission to the other party for comment, thereby prolonging the duration of the proceedings,</w:t>
      </w:r>
      <w:r w:rsidRPr="008C3B63" w:rsidR="00084D72">
        <w:rPr>
          <w:lang w:val="en-GB"/>
        </w:rPr>
        <w:t xml:space="preserve"> into due consideration when </w:t>
      </w:r>
      <w:r w:rsidRPr="008C3B63" w:rsidR="004C7E55">
        <w:rPr>
          <w:lang w:val="en-GB"/>
        </w:rPr>
        <w:t xml:space="preserve">it </w:t>
      </w:r>
      <w:r w:rsidRPr="008C3B63" w:rsidR="00016894">
        <w:rPr>
          <w:lang w:val="en-GB"/>
        </w:rPr>
        <w:t xml:space="preserve">had </w:t>
      </w:r>
      <w:r w:rsidRPr="008C3B63" w:rsidR="00084D72">
        <w:rPr>
          <w:lang w:val="en-GB"/>
        </w:rPr>
        <w:t>decid</w:t>
      </w:r>
      <w:r w:rsidRPr="008C3B63" w:rsidR="004C7E55">
        <w:rPr>
          <w:lang w:val="en-GB"/>
        </w:rPr>
        <w:t>ed</w:t>
      </w:r>
      <w:r w:rsidRPr="008C3B63" w:rsidR="00084D72">
        <w:rPr>
          <w:lang w:val="en-GB"/>
        </w:rPr>
        <w:t xml:space="preserve"> on the lawfulness of the applicant</w:t>
      </w:r>
      <w:r w:rsidRPr="008C3B63" w:rsidR="008C3B63">
        <w:rPr>
          <w:lang w:val="en-GB"/>
        </w:rPr>
        <w:t>’</w:t>
      </w:r>
      <w:r w:rsidRPr="008C3B63" w:rsidR="00084D72">
        <w:rPr>
          <w:lang w:val="en-GB"/>
        </w:rPr>
        <w:t xml:space="preserve">s detention on 3 February 2011. The decision </w:t>
      </w:r>
      <w:r w:rsidRPr="008C3B63" w:rsidR="00016894">
        <w:rPr>
          <w:lang w:val="en-GB"/>
        </w:rPr>
        <w:t xml:space="preserve">had been </w:t>
      </w:r>
      <w:r w:rsidRPr="008C3B63" w:rsidR="00084D72">
        <w:rPr>
          <w:lang w:val="en-GB"/>
        </w:rPr>
        <w:t xml:space="preserve">taken four working days after the </w:t>
      </w:r>
      <w:r w:rsidRPr="008C3B63" w:rsidR="00524CC9">
        <w:rPr>
          <w:lang w:val="en-GB"/>
        </w:rPr>
        <w:t>p</w:t>
      </w:r>
      <w:r w:rsidRPr="008C3B63" w:rsidR="00084D72">
        <w:rPr>
          <w:lang w:val="en-GB"/>
        </w:rPr>
        <w:t xml:space="preserve">rosecution </w:t>
      </w:r>
      <w:r w:rsidRPr="008C3B63" w:rsidR="00524CC9">
        <w:rPr>
          <w:lang w:val="en-GB"/>
        </w:rPr>
        <w:t>a</w:t>
      </w:r>
      <w:r w:rsidRPr="008C3B63" w:rsidR="00084D72">
        <w:rPr>
          <w:lang w:val="en-GB"/>
        </w:rPr>
        <w:t>uthorities had sent their written observations directly to the applicant</w:t>
      </w:r>
      <w:r w:rsidRPr="008C3B63" w:rsidR="008C3B63">
        <w:rPr>
          <w:lang w:val="en-GB"/>
        </w:rPr>
        <w:t>’</w:t>
      </w:r>
      <w:r w:rsidRPr="008C3B63" w:rsidR="00084D72">
        <w:rPr>
          <w:lang w:val="en-GB"/>
        </w:rPr>
        <w:t>s counsel. Considering that th</w:t>
      </w:r>
      <w:r w:rsidRPr="008C3B63" w:rsidR="006E1BB8">
        <w:rPr>
          <w:lang w:val="en-GB"/>
        </w:rPr>
        <w:t xml:space="preserve">ey </w:t>
      </w:r>
      <w:r w:rsidRPr="008C3B63" w:rsidR="00016894">
        <w:rPr>
          <w:lang w:val="en-GB"/>
        </w:rPr>
        <w:t xml:space="preserve">had </w:t>
      </w:r>
      <w:r w:rsidRPr="008C3B63" w:rsidR="00084D72">
        <w:rPr>
          <w:lang w:val="en-GB"/>
        </w:rPr>
        <w:t>not contain</w:t>
      </w:r>
      <w:r w:rsidRPr="008C3B63" w:rsidR="00016894">
        <w:rPr>
          <w:lang w:val="en-GB"/>
        </w:rPr>
        <w:t>ed</w:t>
      </w:r>
      <w:r w:rsidRPr="008C3B63" w:rsidR="00084D72">
        <w:rPr>
          <w:lang w:val="en-GB"/>
        </w:rPr>
        <w:t xml:space="preserve"> any new arguments and that the </w:t>
      </w:r>
      <w:r w:rsidRPr="008C3B63" w:rsidR="004C7E55">
        <w:rPr>
          <w:lang w:val="en-GB"/>
        </w:rPr>
        <w:t>applicant had confined</w:t>
      </w:r>
      <w:r w:rsidRPr="008C3B63" w:rsidR="00084D72">
        <w:rPr>
          <w:lang w:val="en-GB"/>
        </w:rPr>
        <w:t xml:space="preserve"> himself </w:t>
      </w:r>
      <w:r w:rsidRPr="008C3B63" w:rsidR="004C7E55">
        <w:rPr>
          <w:lang w:val="en-GB"/>
        </w:rPr>
        <w:t>on several occasions to simply refer</w:t>
      </w:r>
      <w:r w:rsidRPr="008C3B63" w:rsidR="00566AA8">
        <w:rPr>
          <w:lang w:val="en-GB"/>
        </w:rPr>
        <w:t>ring</w:t>
      </w:r>
      <w:r w:rsidRPr="008C3B63" w:rsidR="004C7E55">
        <w:rPr>
          <w:lang w:val="en-GB"/>
        </w:rPr>
        <w:t xml:space="preserve"> </w:t>
      </w:r>
      <w:r w:rsidRPr="008C3B63" w:rsidR="00084D72">
        <w:rPr>
          <w:lang w:val="en-GB"/>
        </w:rPr>
        <w:t xml:space="preserve">to his previous submissions, the Court of Appeal could legitimately assume that the applicant </w:t>
      </w:r>
      <w:r w:rsidRPr="008C3B63" w:rsidR="005606BA">
        <w:rPr>
          <w:lang w:val="en-GB"/>
        </w:rPr>
        <w:t xml:space="preserve">had </w:t>
      </w:r>
      <w:r w:rsidRPr="008C3B63" w:rsidR="00084D72">
        <w:rPr>
          <w:lang w:val="en-GB"/>
        </w:rPr>
        <w:t xml:space="preserve">already </w:t>
      </w:r>
      <w:r w:rsidRPr="008C3B63" w:rsidR="005606BA">
        <w:rPr>
          <w:lang w:val="en-GB"/>
        </w:rPr>
        <w:t xml:space="preserve">been </w:t>
      </w:r>
      <w:r w:rsidRPr="008C3B63" w:rsidR="00084D72">
        <w:rPr>
          <w:lang w:val="en-GB"/>
        </w:rPr>
        <w:t xml:space="preserve">aware of the observations and </w:t>
      </w:r>
      <w:r w:rsidRPr="008C3B63" w:rsidR="005606BA">
        <w:rPr>
          <w:lang w:val="en-GB"/>
        </w:rPr>
        <w:t xml:space="preserve">had </w:t>
      </w:r>
      <w:r w:rsidRPr="008C3B63" w:rsidR="00084D72">
        <w:rPr>
          <w:lang w:val="en-GB"/>
        </w:rPr>
        <w:t>chose</w:t>
      </w:r>
      <w:r w:rsidRPr="008C3B63" w:rsidR="005606BA">
        <w:rPr>
          <w:lang w:val="en-GB"/>
        </w:rPr>
        <w:t>n</w:t>
      </w:r>
      <w:r w:rsidRPr="008C3B63" w:rsidR="00084D72">
        <w:rPr>
          <w:lang w:val="en-GB"/>
        </w:rPr>
        <w:t xml:space="preserve"> not to respond by the time it </w:t>
      </w:r>
      <w:r w:rsidRPr="008C3B63" w:rsidR="005606BA">
        <w:rPr>
          <w:lang w:val="en-GB"/>
        </w:rPr>
        <w:t xml:space="preserve">had taken </w:t>
      </w:r>
      <w:r w:rsidRPr="008C3B63" w:rsidR="00084D72">
        <w:rPr>
          <w:lang w:val="en-GB"/>
        </w:rPr>
        <w:t>its decision.</w:t>
      </w:r>
    </w:p>
    <w:p w:rsidRPr="008C3B63" w:rsidR="0060449C" w:rsidP="008C3B63" w:rsidRDefault="00D463B6">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34</w:t>
      </w:r>
      <w:r w:rsidRPr="008C3B63">
        <w:rPr>
          <w:lang w:val="en-GB"/>
        </w:rPr>
        <w:fldChar w:fldCharType="end"/>
      </w:r>
      <w:r w:rsidRPr="008C3B63">
        <w:rPr>
          <w:lang w:val="en-GB"/>
        </w:rPr>
        <w:t>.</w:t>
      </w:r>
      <w:r w:rsidRPr="008C3B63" w:rsidR="002D1DA9">
        <w:rPr>
          <w:lang w:val="en-GB"/>
        </w:rPr>
        <w:t>  </w:t>
      </w:r>
      <w:r w:rsidRPr="008C3B63" w:rsidR="004C7E55">
        <w:rPr>
          <w:lang w:val="en-GB"/>
        </w:rPr>
        <w:t>With regard to the applicant</w:t>
      </w:r>
      <w:r w:rsidRPr="008C3B63" w:rsidR="008C3B63">
        <w:rPr>
          <w:lang w:val="en-GB"/>
        </w:rPr>
        <w:t>’</w:t>
      </w:r>
      <w:r w:rsidRPr="008C3B63" w:rsidR="004C7E55">
        <w:rPr>
          <w:lang w:val="en-GB"/>
        </w:rPr>
        <w:t>s request for a subsequent hearing, the Government noted that his submission of 10 February 2011</w:t>
      </w:r>
      <w:r w:rsidRPr="008C3B63" w:rsidR="005606BA">
        <w:rPr>
          <w:lang w:val="en-GB"/>
        </w:rPr>
        <w:t xml:space="preserve"> had</w:t>
      </w:r>
      <w:r w:rsidRPr="008C3B63" w:rsidR="004C7E55">
        <w:rPr>
          <w:lang w:val="en-GB"/>
        </w:rPr>
        <w:t xml:space="preserve"> not contain</w:t>
      </w:r>
      <w:r w:rsidRPr="008C3B63" w:rsidR="005606BA">
        <w:rPr>
          <w:lang w:val="en-GB"/>
        </w:rPr>
        <w:t>ed</w:t>
      </w:r>
      <w:r w:rsidRPr="008C3B63" w:rsidR="004C7E55">
        <w:rPr>
          <w:lang w:val="en-GB"/>
        </w:rPr>
        <w:t xml:space="preserve"> any factual or legal arguments that </w:t>
      </w:r>
      <w:r w:rsidRPr="008C3B63" w:rsidR="006E1BB8">
        <w:rPr>
          <w:lang w:val="en-GB"/>
        </w:rPr>
        <w:t>he</w:t>
      </w:r>
      <w:r w:rsidRPr="008C3B63" w:rsidR="004C7E55">
        <w:rPr>
          <w:lang w:val="en-GB"/>
        </w:rPr>
        <w:t xml:space="preserve"> could not have </w:t>
      </w:r>
      <w:r w:rsidRPr="008C3B63" w:rsidR="00016894">
        <w:rPr>
          <w:lang w:val="en-GB"/>
        </w:rPr>
        <w:t xml:space="preserve">already </w:t>
      </w:r>
      <w:r w:rsidRPr="008C3B63" w:rsidR="004C7E55">
        <w:rPr>
          <w:lang w:val="en-GB"/>
        </w:rPr>
        <w:t xml:space="preserve">submitted in his appeal on 5 January 2011 and that the Court of Appeal, in its decision of 3 February 2011, had not relied on facts </w:t>
      </w:r>
      <w:r w:rsidRPr="008C3B63" w:rsidR="005606BA">
        <w:rPr>
          <w:lang w:val="en-GB"/>
        </w:rPr>
        <w:t>un</w:t>
      </w:r>
      <w:r w:rsidRPr="008C3B63" w:rsidR="004C7E55">
        <w:rPr>
          <w:lang w:val="en-GB"/>
        </w:rPr>
        <w:t xml:space="preserve">known to </w:t>
      </w:r>
      <w:r w:rsidRPr="008C3B63" w:rsidR="006E1BB8">
        <w:rPr>
          <w:lang w:val="en-GB"/>
        </w:rPr>
        <w:t>him</w:t>
      </w:r>
      <w:r w:rsidRPr="008C3B63" w:rsidR="004C7E55">
        <w:rPr>
          <w:lang w:val="en-GB"/>
        </w:rPr>
        <w:t xml:space="preserve">. </w:t>
      </w:r>
      <w:r w:rsidRPr="008C3B63" w:rsidR="006E1BB8">
        <w:rPr>
          <w:lang w:val="en-GB"/>
        </w:rPr>
        <w:t>Its</w:t>
      </w:r>
      <w:r w:rsidRPr="008C3B63" w:rsidR="0060449C">
        <w:rPr>
          <w:lang w:val="en-GB"/>
        </w:rPr>
        <w:t xml:space="preserve"> decision of 25 February 2011 to dismiss the applicant</w:t>
      </w:r>
      <w:r w:rsidRPr="008C3B63" w:rsidR="008C3B63">
        <w:rPr>
          <w:lang w:val="en-GB"/>
        </w:rPr>
        <w:t>’</w:t>
      </w:r>
      <w:r w:rsidRPr="008C3B63" w:rsidR="0060449C">
        <w:rPr>
          <w:lang w:val="en-GB"/>
        </w:rPr>
        <w:t>s request for a subsequent hearing</w:t>
      </w:r>
      <w:r w:rsidRPr="008C3B63" w:rsidR="004C7E55">
        <w:rPr>
          <w:lang w:val="en-GB"/>
        </w:rPr>
        <w:t xml:space="preserve"> </w:t>
      </w:r>
      <w:r w:rsidRPr="008C3B63" w:rsidR="006E1BB8">
        <w:rPr>
          <w:lang w:val="en-GB"/>
        </w:rPr>
        <w:t xml:space="preserve">had </w:t>
      </w:r>
      <w:r w:rsidRPr="008C3B63" w:rsidR="0060449C">
        <w:rPr>
          <w:lang w:val="en-GB"/>
        </w:rPr>
        <w:t xml:space="preserve">not </w:t>
      </w:r>
      <w:r w:rsidRPr="008C3B63" w:rsidR="00CA30CF">
        <w:rPr>
          <w:lang w:val="en-GB"/>
        </w:rPr>
        <w:t xml:space="preserve">therefore </w:t>
      </w:r>
      <w:r w:rsidRPr="008C3B63" w:rsidR="0060449C">
        <w:rPr>
          <w:lang w:val="en-GB"/>
        </w:rPr>
        <w:t>infringe</w:t>
      </w:r>
      <w:r w:rsidRPr="008C3B63" w:rsidR="005606BA">
        <w:rPr>
          <w:lang w:val="en-GB"/>
        </w:rPr>
        <w:t>d</w:t>
      </w:r>
      <w:r w:rsidRPr="008C3B63" w:rsidR="0060449C">
        <w:rPr>
          <w:lang w:val="en-GB"/>
        </w:rPr>
        <w:t xml:space="preserve"> his rights under Article 5 § 4 of the Convention</w:t>
      </w:r>
      <w:r w:rsidRPr="008C3B63" w:rsidR="004C7E55">
        <w:rPr>
          <w:lang w:val="en-GB"/>
        </w:rPr>
        <w:t>.</w:t>
      </w:r>
    </w:p>
    <w:p w:rsidRPr="008C3B63" w:rsidR="001869C7" w:rsidP="008C3B63" w:rsidRDefault="001869C7">
      <w:pPr>
        <w:pStyle w:val="ECHRHeading3"/>
      </w:pPr>
      <w:r w:rsidRPr="008C3B63">
        <w:t>2.</w:t>
      </w:r>
      <w:r w:rsidRPr="008C3B63" w:rsidR="00926D5F">
        <w:t>  </w:t>
      </w:r>
      <w:r w:rsidRPr="008C3B63">
        <w:t>The Court</w:t>
      </w:r>
      <w:r w:rsidRPr="008C3B63" w:rsidR="008C3B63">
        <w:t>’</w:t>
      </w:r>
      <w:r w:rsidRPr="008C3B63">
        <w:t>s assessment</w:t>
      </w:r>
    </w:p>
    <w:p w:rsidRPr="008C3B63" w:rsidR="00B5567B" w:rsidP="008C3B63" w:rsidRDefault="00597F0C">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35</w:t>
      </w:r>
      <w:r w:rsidRPr="008C3B63">
        <w:rPr>
          <w:lang w:val="en-GB"/>
        </w:rPr>
        <w:fldChar w:fldCharType="end"/>
      </w:r>
      <w:r w:rsidRPr="008C3B63">
        <w:rPr>
          <w:lang w:val="en-GB"/>
        </w:rPr>
        <w:t>.  </w:t>
      </w:r>
      <w:r w:rsidRPr="008C3B63" w:rsidR="00C41F2A">
        <w:rPr>
          <w:lang w:val="en-GB"/>
        </w:rPr>
        <w:t>The Court notes that the set of proceedings concerning the lawfulness of the applicant</w:t>
      </w:r>
      <w:r w:rsidRPr="008C3B63" w:rsidR="008C3B63">
        <w:rPr>
          <w:lang w:val="en-GB"/>
        </w:rPr>
        <w:t>’</w:t>
      </w:r>
      <w:r w:rsidRPr="008C3B63" w:rsidR="00C41F2A">
        <w:rPr>
          <w:lang w:val="en-GB"/>
        </w:rPr>
        <w:t>s detention</w:t>
      </w:r>
      <w:r w:rsidRPr="008C3B63" w:rsidR="0008129C">
        <w:rPr>
          <w:lang w:val="en-GB"/>
        </w:rPr>
        <w:t xml:space="preserve"> which led to the Court of Appeal</w:t>
      </w:r>
      <w:r w:rsidRPr="008C3B63" w:rsidR="008C3B63">
        <w:rPr>
          <w:lang w:val="en-GB"/>
        </w:rPr>
        <w:t>’</w:t>
      </w:r>
      <w:r w:rsidRPr="008C3B63" w:rsidR="0008129C">
        <w:rPr>
          <w:lang w:val="en-GB"/>
        </w:rPr>
        <w:t>s decision of 3 February 2011</w:t>
      </w:r>
      <w:r w:rsidRPr="008C3B63" w:rsidR="00C41F2A">
        <w:rPr>
          <w:lang w:val="en-GB"/>
        </w:rPr>
        <w:t xml:space="preserve"> commenced on 8 December 2010 </w:t>
      </w:r>
      <w:r w:rsidRPr="008C3B63" w:rsidR="000C2774">
        <w:rPr>
          <w:lang w:val="en-GB"/>
        </w:rPr>
        <w:t>(see paragraphs 9 to 11 above)</w:t>
      </w:r>
      <w:r w:rsidRPr="008C3B63" w:rsidR="00EF46D3">
        <w:rPr>
          <w:lang w:val="en-GB"/>
        </w:rPr>
        <w:t xml:space="preserve">, that is, </w:t>
      </w:r>
      <w:r w:rsidRPr="008C3B63" w:rsidR="00C41F2A">
        <w:rPr>
          <w:lang w:val="en-GB"/>
        </w:rPr>
        <w:t>after the District Court</w:t>
      </w:r>
      <w:r w:rsidRPr="008C3B63" w:rsidR="008C3B63">
        <w:rPr>
          <w:lang w:val="en-GB"/>
        </w:rPr>
        <w:t>’</w:t>
      </w:r>
      <w:r w:rsidRPr="008C3B63" w:rsidR="00E44F77">
        <w:rPr>
          <w:lang w:val="en-GB"/>
        </w:rPr>
        <w:t>s judgment of 6 </w:t>
      </w:r>
      <w:r w:rsidRPr="008C3B63" w:rsidR="00C41F2A">
        <w:rPr>
          <w:lang w:val="en-GB"/>
        </w:rPr>
        <w:t>December</w:t>
      </w:r>
      <w:r w:rsidRPr="008C3B63" w:rsidR="000C2774">
        <w:rPr>
          <w:lang w:val="en-GB"/>
        </w:rPr>
        <w:t xml:space="preserve"> 2010</w:t>
      </w:r>
      <w:r w:rsidRPr="008C3B63" w:rsidR="00C41F2A">
        <w:rPr>
          <w:lang w:val="en-GB"/>
        </w:rPr>
        <w:t xml:space="preserve"> convicting him</w:t>
      </w:r>
      <w:r w:rsidRPr="008C3B63" w:rsidR="000C2774">
        <w:rPr>
          <w:lang w:val="en-GB"/>
        </w:rPr>
        <w:t xml:space="preserve"> (see paragraph 8 above)</w:t>
      </w:r>
      <w:r w:rsidRPr="008C3B63" w:rsidR="00C41F2A">
        <w:rPr>
          <w:lang w:val="en-GB"/>
        </w:rPr>
        <w:t>. Article 5 § 1 (c) and 5 § 3 of the Convention were thus no longer applicable to the applicant</w:t>
      </w:r>
      <w:r w:rsidRPr="008C3B63" w:rsidR="008C3B63">
        <w:rPr>
          <w:lang w:val="en-GB"/>
        </w:rPr>
        <w:t>’</w:t>
      </w:r>
      <w:r w:rsidRPr="008C3B63" w:rsidR="00C41F2A">
        <w:rPr>
          <w:lang w:val="en-GB"/>
        </w:rPr>
        <w:t>s detention (</w:t>
      </w:r>
      <w:r w:rsidRPr="008C3B63" w:rsidR="00C41F2A">
        <w:rPr>
          <w:i/>
          <w:lang w:val="en-GB"/>
        </w:rPr>
        <w:t>Wemhoff v. Germany</w:t>
      </w:r>
      <w:r w:rsidRPr="008C3B63" w:rsidR="00C41F2A">
        <w:rPr>
          <w:lang w:val="en-GB"/>
        </w:rPr>
        <w:t xml:space="preserve">, </w:t>
      </w:r>
      <w:r w:rsidRPr="008C3B63" w:rsidR="0094503C">
        <w:rPr>
          <w:lang w:val="en-GB"/>
        </w:rPr>
        <w:t>27 June 1968, § 9, Series A no. </w:t>
      </w:r>
      <w:r w:rsidRPr="008C3B63" w:rsidR="00C41F2A">
        <w:rPr>
          <w:lang w:val="en-GB"/>
        </w:rPr>
        <w:t xml:space="preserve">7). </w:t>
      </w:r>
      <w:r w:rsidRPr="008C3B63" w:rsidR="000C2774">
        <w:rPr>
          <w:lang w:val="en-GB"/>
        </w:rPr>
        <w:t>The domestic courts</w:t>
      </w:r>
      <w:r w:rsidRPr="008C3B63" w:rsidR="008C3B63">
        <w:rPr>
          <w:lang w:val="en-GB"/>
        </w:rPr>
        <w:t>’</w:t>
      </w:r>
      <w:r w:rsidRPr="008C3B63" w:rsidR="000C2774">
        <w:rPr>
          <w:lang w:val="en-GB"/>
        </w:rPr>
        <w:t xml:space="preserve"> assessment </w:t>
      </w:r>
      <w:r w:rsidRPr="008C3B63" w:rsidR="00364770">
        <w:rPr>
          <w:lang w:val="en-GB"/>
        </w:rPr>
        <w:t>whether ther</w:t>
      </w:r>
      <w:r w:rsidRPr="008C3B63" w:rsidR="000C2774">
        <w:rPr>
          <w:lang w:val="en-GB"/>
        </w:rPr>
        <w:t xml:space="preserve">e was a risk of the applicant absconding </w:t>
      </w:r>
      <w:r w:rsidRPr="008C3B63" w:rsidR="00364770">
        <w:rPr>
          <w:lang w:val="en-GB"/>
        </w:rPr>
        <w:t>to</w:t>
      </w:r>
      <w:r w:rsidRPr="008C3B63" w:rsidR="000C2774">
        <w:rPr>
          <w:lang w:val="en-GB"/>
        </w:rPr>
        <w:t xml:space="preserve"> justif</w:t>
      </w:r>
      <w:r w:rsidRPr="008C3B63" w:rsidR="00364770">
        <w:rPr>
          <w:lang w:val="en-GB"/>
        </w:rPr>
        <w:t>y</w:t>
      </w:r>
      <w:r w:rsidRPr="008C3B63" w:rsidR="000C2774">
        <w:rPr>
          <w:lang w:val="en-GB"/>
        </w:rPr>
        <w:t xml:space="preserve"> his continued detention </w:t>
      </w:r>
      <w:r w:rsidRPr="008C3B63" w:rsidR="00966775">
        <w:rPr>
          <w:lang w:val="en-GB"/>
        </w:rPr>
        <w:t xml:space="preserve">(see paragraph </w:t>
      </w:r>
      <w:r w:rsidRPr="008C3B63" w:rsidR="0059403B">
        <w:rPr>
          <w:lang w:val="en-GB"/>
        </w:rPr>
        <w:t>10</w:t>
      </w:r>
      <w:r w:rsidRPr="008C3B63" w:rsidR="00966775">
        <w:rPr>
          <w:lang w:val="en-GB"/>
        </w:rPr>
        <w:t xml:space="preserve"> above) </w:t>
      </w:r>
      <w:r w:rsidRPr="008C3B63" w:rsidR="000C2774">
        <w:rPr>
          <w:lang w:val="en-GB"/>
        </w:rPr>
        <w:t>was thus owed to the</w:t>
      </w:r>
      <w:r w:rsidRPr="008C3B63" w:rsidR="000E286D">
        <w:rPr>
          <w:lang w:val="en-GB"/>
        </w:rPr>
        <w:t xml:space="preserve"> fact that the</w:t>
      </w:r>
      <w:r w:rsidRPr="008C3B63" w:rsidR="000C2774">
        <w:rPr>
          <w:lang w:val="en-GB"/>
        </w:rPr>
        <w:t xml:space="preserve"> applicable domestic law provided that a person </w:t>
      </w:r>
      <w:r w:rsidRPr="008C3B63" w:rsidR="000D2494">
        <w:rPr>
          <w:lang w:val="en-GB"/>
        </w:rPr>
        <w:t>wa</w:t>
      </w:r>
      <w:r w:rsidRPr="008C3B63" w:rsidR="000C2774">
        <w:rPr>
          <w:lang w:val="en-GB"/>
        </w:rPr>
        <w:t>s detained on remand, rather than after conviction, until his or her conviction bec</w:t>
      </w:r>
      <w:r w:rsidRPr="008C3B63" w:rsidR="000D2494">
        <w:rPr>
          <w:lang w:val="en-GB"/>
        </w:rPr>
        <w:t>a</w:t>
      </w:r>
      <w:r w:rsidRPr="008C3B63" w:rsidR="000C2774">
        <w:rPr>
          <w:lang w:val="en-GB"/>
        </w:rPr>
        <w:t>me final, including during appeal procedures (see paragraph 21 above). Under the Court</w:t>
      </w:r>
      <w:r w:rsidRPr="008C3B63" w:rsidR="008C3B63">
        <w:rPr>
          <w:lang w:val="en-GB"/>
        </w:rPr>
        <w:t>’</w:t>
      </w:r>
      <w:r w:rsidRPr="008C3B63" w:rsidR="000C2774">
        <w:rPr>
          <w:lang w:val="en-GB"/>
        </w:rPr>
        <w:t>s case-law, no such assessment of a risk of absconding would have been required, as</w:t>
      </w:r>
      <w:r w:rsidRPr="008C3B63" w:rsidR="00167ACF">
        <w:rPr>
          <w:lang w:val="en-GB"/>
        </w:rPr>
        <w:t xml:space="preserve"> the</w:t>
      </w:r>
      <w:r w:rsidRPr="008C3B63" w:rsidR="00364770">
        <w:rPr>
          <w:lang w:val="en-GB"/>
        </w:rPr>
        <w:t xml:space="preserve"> applicant</w:t>
      </w:r>
      <w:r w:rsidRPr="008C3B63" w:rsidR="008C3B63">
        <w:rPr>
          <w:lang w:val="en-GB"/>
        </w:rPr>
        <w:t>’</w:t>
      </w:r>
      <w:r w:rsidRPr="008C3B63" w:rsidR="00364770">
        <w:rPr>
          <w:lang w:val="en-GB"/>
        </w:rPr>
        <w:t xml:space="preserve">s detention was governed by Article 5 § 1 </w:t>
      </w:r>
      <w:r w:rsidRPr="008C3B63" w:rsidR="00807B0F">
        <w:rPr>
          <w:lang w:val="en-GB"/>
        </w:rPr>
        <w:t xml:space="preserve">(a) </w:t>
      </w:r>
      <w:r w:rsidRPr="008C3B63" w:rsidR="00364770">
        <w:rPr>
          <w:lang w:val="en-GB"/>
        </w:rPr>
        <w:t>of the Convention, despite the pending appeal proceedings (</w:t>
      </w:r>
      <w:r w:rsidRPr="008C3B63" w:rsidR="00364770">
        <w:rPr>
          <w:i/>
        </w:rPr>
        <w:t>Belevitskiy v. Russia</w:t>
      </w:r>
      <w:r w:rsidRPr="008C3B63" w:rsidR="00364770">
        <w:t xml:space="preserve">, no. 72967/01, § 99, 1 March 2007). </w:t>
      </w:r>
      <w:r w:rsidRPr="008C3B63" w:rsidR="00364770">
        <w:rPr>
          <w:lang w:val="en-GB"/>
        </w:rPr>
        <w:t>Nothing indicates that the applicant</w:t>
      </w:r>
      <w:r w:rsidRPr="008C3B63" w:rsidR="008C3B63">
        <w:rPr>
          <w:lang w:val="en-GB"/>
        </w:rPr>
        <w:t>’</w:t>
      </w:r>
      <w:r w:rsidRPr="008C3B63" w:rsidR="00364770">
        <w:rPr>
          <w:lang w:val="en-GB"/>
        </w:rPr>
        <w:t>s detention under Article</w:t>
      </w:r>
      <w:r w:rsidRPr="008C3B63" w:rsidR="0094503C">
        <w:rPr>
          <w:lang w:val="en-GB"/>
        </w:rPr>
        <w:t> </w:t>
      </w:r>
      <w:r w:rsidRPr="008C3B63" w:rsidR="00364770">
        <w:rPr>
          <w:lang w:val="en-GB"/>
        </w:rPr>
        <w:t>5</w:t>
      </w:r>
      <w:r w:rsidRPr="008C3B63" w:rsidR="009F5CAF">
        <w:rPr>
          <w:lang w:val="en-GB"/>
        </w:rPr>
        <w:t xml:space="preserve"> </w:t>
      </w:r>
      <w:r w:rsidRPr="008C3B63" w:rsidR="00364770">
        <w:rPr>
          <w:lang w:val="en-GB"/>
        </w:rPr>
        <w:t>§</w:t>
      </w:r>
      <w:r w:rsidRPr="008C3B63" w:rsidR="0094503C">
        <w:rPr>
          <w:lang w:val="en-GB"/>
        </w:rPr>
        <w:t> </w:t>
      </w:r>
      <w:r w:rsidRPr="008C3B63" w:rsidR="00364770">
        <w:rPr>
          <w:lang w:val="en-GB"/>
        </w:rPr>
        <w:t>1</w:t>
      </w:r>
      <w:r w:rsidRPr="008C3B63" w:rsidR="0094503C">
        <w:rPr>
          <w:lang w:val="en-GB"/>
        </w:rPr>
        <w:t> </w:t>
      </w:r>
      <w:r w:rsidRPr="008C3B63" w:rsidR="00364770">
        <w:rPr>
          <w:lang w:val="en-GB"/>
        </w:rPr>
        <w:t xml:space="preserve">(a) of the Convention was </w:t>
      </w:r>
      <w:r w:rsidRPr="008C3B63" w:rsidR="00364770">
        <w:rPr>
          <w:i/>
          <w:lang w:val="en-GB"/>
        </w:rPr>
        <w:t>per se</w:t>
      </w:r>
      <w:r w:rsidRPr="008C3B63" w:rsidR="00364770">
        <w:rPr>
          <w:lang w:val="en-GB"/>
        </w:rPr>
        <w:t xml:space="preserve"> arbitrary.</w:t>
      </w:r>
    </w:p>
    <w:p w:rsidRPr="008C3B63" w:rsidR="004D1420" w:rsidP="008C3B63" w:rsidRDefault="00B95DFF">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36</w:t>
      </w:r>
      <w:r w:rsidRPr="008C3B63">
        <w:rPr>
          <w:lang w:val="en-GB"/>
        </w:rPr>
        <w:fldChar w:fldCharType="end"/>
      </w:r>
      <w:r w:rsidRPr="008C3B63">
        <w:rPr>
          <w:lang w:val="en-GB"/>
        </w:rPr>
        <w:t>.  </w:t>
      </w:r>
      <w:r w:rsidRPr="008C3B63" w:rsidR="00FF7701">
        <w:rPr>
          <w:lang w:val="en-GB"/>
        </w:rPr>
        <w:t xml:space="preserve">The Court reiterates that by virtue of Article 5 § 4, an arrested or detained person is entitled to bring proceedings for review by a court of the procedural and substantive conditions which are essential for the “lawfulness”, in the sense of Article 5 § 1, of his or her deprivation of liberty (see </w:t>
      </w:r>
      <w:r w:rsidRPr="008C3B63" w:rsidR="00FF7701">
        <w:rPr>
          <w:rStyle w:val="CLLItalic"/>
        </w:rPr>
        <w:t>Idalov v. Russia</w:t>
      </w:r>
      <w:r w:rsidRPr="008C3B63" w:rsidR="00FF7701">
        <w:rPr>
          <w:lang w:val="en-GB"/>
        </w:rPr>
        <w:t xml:space="preserve"> [GC], no. 5826/03, § 161, 22 May 2012).</w:t>
      </w:r>
      <w:r w:rsidRPr="008C3B63" w:rsidR="000E7BC8">
        <w:rPr>
          <w:lang w:val="en-GB"/>
        </w:rPr>
        <w:t xml:space="preserve"> </w:t>
      </w:r>
      <w:r w:rsidRPr="008C3B63" w:rsidR="007F35F6">
        <w:rPr>
          <w:lang w:val="en-GB"/>
        </w:rPr>
        <w:t>Article 5 § 4 of the Convention does not normally come into play as regards detention governed by Article 5 § 1 (a) of the Convention, save where the grounds justifying the person</w:t>
      </w:r>
      <w:r w:rsidRPr="008C3B63" w:rsidR="008C3B63">
        <w:rPr>
          <w:lang w:val="en-GB"/>
        </w:rPr>
        <w:t>’</w:t>
      </w:r>
      <w:r w:rsidRPr="008C3B63" w:rsidR="007F35F6">
        <w:rPr>
          <w:lang w:val="en-GB"/>
        </w:rPr>
        <w:t xml:space="preserve">s deprivation of liberty are susceptible to change with the passage of time (see </w:t>
      </w:r>
      <w:r w:rsidRPr="008C3B63" w:rsidR="007F35F6">
        <w:rPr>
          <w:i/>
          <w:lang w:val="en-GB"/>
        </w:rPr>
        <w:t>Kafkaris v. Cyprus</w:t>
      </w:r>
      <w:r w:rsidRPr="008C3B63" w:rsidR="009F5CAF">
        <w:rPr>
          <w:lang w:val="en-GB"/>
        </w:rPr>
        <w:t xml:space="preserve"> (dec.), no. 9644/09, § 58, 21 </w:t>
      </w:r>
      <w:r w:rsidRPr="008C3B63" w:rsidR="007F35F6">
        <w:rPr>
          <w:lang w:val="en-GB"/>
        </w:rPr>
        <w:t xml:space="preserve">June 2011) or where fresh issues affecting the lawfulness of such detention arise (see </w:t>
      </w:r>
      <w:r w:rsidRPr="008C3B63" w:rsidR="007F35F6">
        <w:rPr>
          <w:i/>
        </w:rPr>
        <w:t>Gavril Yosifov v. Bulgaria</w:t>
      </w:r>
      <w:r w:rsidRPr="008C3B63" w:rsidR="007F35F6">
        <w:t>, no. 74012/01, § 57</w:t>
      </w:r>
      <w:r w:rsidRPr="008C3B63" w:rsidR="0094503C">
        <w:t>, 6 </w:t>
      </w:r>
      <w:r w:rsidRPr="008C3B63" w:rsidR="007F35F6">
        <w:t xml:space="preserve">November 2008). </w:t>
      </w:r>
      <w:r w:rsidRPr="008C3B63" w:rsidR="007F35F6">
        <w:rPr>
          <w:lang w:val="en-GB"/>
        </w:rPr>
        <w:t xml:space="preserve">In the present case, Article 5 § 4 of the Convention </w:t>
      </w:r>
      <w:r w:rsidRPr="008C3B63" w:rsidR="00A11608">
        <w:rPr>
          <w:lang w:val="en-GB"/>
        </w:rPr>
        <w:t xml:space="preserve">is applicable </w:t>
      </w:r>
      <w:r w:rsidRPr="008C3B63" w:rsidR="007F35F6">
        <w:rPr>
          <w:lang w:val="en-GB"/>
        </w:rPr>
        <w:t>because domestic law provided that a person is detained on remand until his or her conviction becomes final, including during appeal proceedings, and accorded the same procedural rights to all remand prisoners (see paragraph 21 above). Where the Contracting States provide for procedures which go beyond the requirements of Article 5 § 4 of the Convention, the provision</w:t>
      </w:r>
      <w:r w:rsidRPr="008C3B63" w:rsidR="008C3B63">
        <w:rPr>
          <w:lang w:val="en-GB"/>
        </w:rPr>
        <w:t>’</w:t>
      </w:r>
      <w:r w:rsidRPr="008C3B63" w:rsidR="007F35F6">
        <w:rPr>
          <w:lang w:val="en-GB"/>
        </w:rPr>
        <w:t>s guarantees, nevertheless, have to be respected in these procedures</w:t>
      </w:r>
      <w:r w:rsidRPr="008C3B63" w:rsidR="000D2836">
        <w:t>. The Court</w:t>
      </w:r>
      <w:r w:rsidRPr="008C3B63" w:rsidR="000E7BC8">
        <w:rPr>
          <w:lang w:val="en-GB"/>
        </w:rPr>
        <w:t xml:space="preserve"> </w:t>
      </w:r>
      <w:r w:rsidRPr="008C3B63" w:rsidR="004D1420">
        <w:rPr>
          <w:lang w:val="en-GB"/>
        </w:rPr>
        <w:t>observes that, prior to the Court of Appeal</w:t>
      </w:r>
      <w:r w:rsidRPr="008C3B63" w:rsidR="008C3B63">
        <w:rPr>
          <w:lang w:val="en-GB"/>
        </w:rPr>
        <w:t>’</w:t>
      </w:r>
      <w:r w:rsidRPr="008C3B63" w:rsidR="004D1420">
        <w:rPr>
          <w:lang w:val="en-GB"/>
        </w:rPr>
        <w:t xml:space="preserve">s decision of 3 February </w:t>
      </w:r>
      <w:proofErr w:type="gramStart"/>
      <w:r w:rsidRPr="008C3B63" w:rsidR="004D1420">
        <w:rPr>
          <w:lang w:val="en-GB"/>
        </w:rPr>
        <w:t>2011,</w:t>
      </w:r>
      <w:proofErr w:type="gramEnd"/>
      <w:r w:rsidRPr="008C3B63" w:rsidR="004D1420">
        <w:rPr>
          <w:lang w:val="en-GB"/>
        </w:rPr>
        <w:t xml:space="preserve"> the lawfulness of the applicant</w:t>
      </w:r>
      <w:r w:rsidRPr="008C3B63" w:rsidR="008C3B63">
        <w:rPr>
          <w:lang w:val="en-GB"/>
        </w:rPr>
        <w:t>’</w:t>
      </w:r>
      <w:r w:rsidRPr="008C3B63" w:rsidR="004D1420">
        <w:rPr>
          <w:lang w:val="en-GB"/>
        </w:rPr>
        <w:t>s detention had previously been assessed eleven times by th</w:t>
      </w:r>
      <w:r w:rsidRPr="008C3B63" w:rsidR="0094503C">
        <w:rPr>
          <w:lang w:val="en-GB"/>
        </w:rPr>
        <w:t>e domestic authorities since 27 </w:t>
      </w:r>
      <w:r w:rsidRPr="008C3B63" w:rsidR="004D1420">
        <w:rPr>
          <w:lang w:val="en-GB"/>
        </w:rPr>
        <w:t>August 2010. This frequency of reviews was more than satisfactory in terms of the Convention</w:t>
      </w:r>
      <w:r w:rsidRPr="008C3B63" w:rsidR="008C3B63">
        <w:rPr>
          <w:lang w:val="en-GB"/>
        </w:rPr>
        <w:t>’</w:t>
      </w:r>
      <w:r w:rsidRPr="008C3B63" w:rsidR="004D1420">
        <w:rPr>
          <w:lang w:val="en-GB"/>
        </w:rPr>
        <w:t>s standards.</w:t>
      </w:r>
    </w:p>
    <w:p w:rsidRPr="008C3B63" w:rsidR="00926D5F" w:rsidP="008C3B63" w:rsidRDefault="000E7BC8">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37</w:t>
      </w:r>
      <w:r w:rsidRPr="008C3B63">
        <w:rPr>
          <w:lang w:val="en-GB"/>
        </w:rPr>
        <w:fldChar w:fldCharType="end"/>
      </w:r>
      <w:r w:rsidRPr="008C3B63">
        <w:rPr>
          <w:lang w:val="en-GB"/>
        </w:rPr>
        <w:t>.  </w:t>
      </w:r>
      <w:r w:rsidRPr="008C3B63" w:rsidR="00FF7701">
        <w:rPr>
          <w:lang w:val="en-GB"/>
        </w:rPr>
        <w:t>Although it is not always necessary</w:t>
      </w:r>
      <w:r w:rsidRPr="008C3B63" w:rsidR="00FF7701">
        <w:t xml:space="preserve"> fo</w:t>
      </w:r>
      <w:r w:rsidRPr="008C3B63" w:rsidR="009F5CAF">
        <w:t xml:space="preserve">r the procedure under Article 5 </w:t>
      </w:r>
      <w:r w:rsidRPr="008C3B63" w:rsidR="00FF7701">
        <w:t>§ 4 to be attended by the same guarantees as those required under Article 6 § 1 of the Convention for criminal or civil litigation, it must have a judicial character and provide guarantees appropriate to the kind of deprivation of liberty in question (ibid.).</w:t>
      </w:r>
      <w:r w:rsidRPr="008C3B63" w:rsidR="00F01CC4">
        <w:t xml:space="preserve"> </w:t>
      </w:r>
      <w:r w:rsidRPr="008C3B63" w:rsidR="008E5CD1">
        <w:t xml:space="preserve">The </w:t>
      </w:r>
      <w:r w:rsidRPr="008C3B63" w:rsidR="008E5CD1">
        <w:rPr>
          <w:lang w:val="en-GB"/>
        </w:rPr>
        <w:t>proceedings must be adversarial and must always ensure “equality of arms” between the parties</w:t>
      </w:r>
      <w:r w:rsidRPr="008C3B63" w:rsidR="008609D7">
        <w:rPr>
          <w:lang w:val="en-GB"/>
        </w:rPr>
        <w:t>, that is, the prosecutor and the detainee</w:t>
      </w:r>
      <w:r w:rsidRPr="008C3B63" w:rsidR="008E5CD1">
        <w:rPr>
          <w:lang w:val="en-GB"/>
        </w:rPr>
        <w:t xml:space="preserve"> (</w:t>
      </w:r>
      <w:r w:rsidRPr="008C3B63" w:rsidR="008E5D54">
        <w:rPr>
          <w:lang w:val="en-GB"/>
        </w:rPr>
        <w:t xml:space="preserve">see </w:t>
      </w:r>
      <w:r w:rsidRPr="008C3B63" w:rsidR="00504729">
        <w:rPr>
          <w:rStyle w:val="CLLItalic"/>
        </w:rPr>
        <w:t>Lanz</w:t>
      </w:r>
      <w:r w:rsidRPr="008C3B63" w:rsidR="00504729">
        <w:rPr>
          <w:rStyle w:val="CLLItalic"/>
          <w:i w:val="0"/>
        </w:rPr>
        <w:t>, cited above, § 44</w:t>
      </w:r>
      <w:r w:rsidRPr="008C3B63" w:rsidR="008E5D54">
        <w:rPr>
          <w:rStyle w:val="CLLItalic"/>
          <w:i w:val="0"/>
        </w:rPr>
        <w:t xml:space="preserve">, and </w:t>
      </w:r>
      <w:r w:rsidRPr="008C3B63" w:rsidR="008609D7">
        <w:rPr>
          <w:rStyle w:val="CLLItalic"/>
        </w:rPr>
        <w:t>Graužinis v. Lithuania</w:t>
      </w:r>
      <w:r w:rsidRPr="008C3B63" w:rsidR="008609D7">
        <w:rPr>
          <w:lang w:val="en-GB"/>
        </w:rPr>
        <w:t xml:space="preserve">, no. 37975/97, § 31, 10 October 2000). </w:t>
      </w:r>
      <w:r w:rsidRPr="008C3B63" w:rsidR="000322B5">
        <w:rPr>
          <w:lang w:val="en-GB"/>
        </w:rPr>
        <w:t>A party must be informed whenever observations are filed by another party and must be given a real opportunity to comment thereon (</w:t>
      </w:r>
      <w:r w:rsidRPr="008C3B63" w:rsidR="00FD1C6B">
        <w:rPr>
          <w:lang w:val="en-GB"/>
        </w:rPr>
        <w:t xml:space="preserve">see </w:t>
      </w:r>
      <w:r w:rsidRPr="008C3B63" w:rsidR="000322B5">
        <w:rPr>
          <w:i/>
          <w:lang w:val="en-GB"/>
        </w:rPr>
        <w:t>Lanz</w:t>
      </w:r>
      <w:r w:rsidRPr="008C3B63" w:rsidR="000322B5">
        <w:rPr>
          <w:lang w:val="en-GB"/>
        </w:rPr>
        <w:t>, cited above, § 41).</w:t>
      </w:r>
      <w:r w:rsidRPr="008C3B63" w:rsidR="008E5D54">
        <w:rPr>
          <w:lang w:val="en-GB"/>
        </w:rPr>
        <w:t xml:space="preserve"> Lastly</w:t>
      </w:r>
      <w:r w:rsidRPr="008C3B63" w:rsidR="00667AA2">
        <w:rPr>
          <w:lang w:val="en-GB"/>
        </w:rPr>
        <w:t>, the Court reiterates that, a</w:t>
      </w:r>
      <w:r w:rsidRPr="008C3B63" w:rsidR="00FF7701">
        <w:rPr>
          <w:lang w:val="en-GB"/>
        </w:rPr>
        <w:t>lthough Article 5 § 4 does not compel the Contracting States to set up a second level of jurisdiction for the examination of the lawfulness of detention, a State</w:t>
      </w:r>
      <w:r w:rsidRPr="008C3B63" w:rsidR="00FF7701">
        <w:t xml:space="preserve"> which institutes such a system must in principle accord to the detainees the same guarantees on appeal as at first instance</w:t>
      </w:r>
      <w:r w:rsidRPr="008C3B63" w:rsidR="00F83B9C">
        <w:t xml:space="preserve"> (</w:t>
      </w:r>
      <w:r w:rsidRPr="008C3B63" w:rsidR="00FA0324">
        <w:rPr>
          <w:rStyle w:val="CLLItalic"/>
          <w:i w:val="0"/>
        </w:rPr>
        <w:t>ibid.</w:t>
      </w:r>
      <w:r w:rsidRPr="008C3B63" w:rsidR="009F5CAF">
        <w:rPr>
          <w:rStyle w:val="CLLItalic"/>
          <w:i w:val="0"/>
        </w:rPr>
        <w:t>, § </w:t>
      </w:r>
      <w:r w:rsidRPr="008C3B63" w:rsidR="00DB06E2">
        <w:rPr>
          <w:rStyle w:val="CLLItalic"/>
          <w:i w:val="0"/>
        </w:rPr>
        <w:t>42</w:t>
      </w:r>
      <w:r w:rsidRPr="008C3B63" w:rsidR="00F83B9C">
        <w:rPr>
          <w:lang w:val="en-GB"/>
        </w:rPr>
        <w:t>).</w:t>
      </w:r>
    </w:p>
    <w:p w:rsidRPr="008C3B63" w:rsidR="00926D5F" w:rsidP="008C3B63" w:rsidRDefault="00F07F06">
      <w:pPr>
        <w:pStyle w:val="ECHRPara"/>
        <w:rPr>
          <w:lang w:val="en-GB"/>
        </w:rPr>
      </w:pPr>
      <w:fldSimple w:instr=" SEQ level0 \*arabic ">
        <w:r w:rsidRPr="008C3B63" w:rsidR="008C3B63">
          <w:rPr>
            <w:noProof/>
          </w:rPr>
          <w:t>38</w:t>
        </w:r>
      </w:fldSimple>
      <w:r w:rsidRPr="008C3B63" w:rsidR="00014566">
        <w:t>.  </w:t>
      </w:r>
      <w:r w:rsidRPr="008C3B63" w:rsidR="004D1420">
        <w:rPr>
          <w:lang w:val="en-GB"/>
        </w:rPr>
        <w:t>It</w:t>
      </w:r>
      <w:r w:rsidRPr="008C3B63" w:rsidR="009471DC">
        <w:rPr>
          <w:lang w:val="en-GB"/>
        </w:rPr>
        <w:t xml:space="preserve"> is not disputed that the Court of Appeal took its decisions of 3 and 25 February 2011 relating to the continuation of the applicant</w:t>
      </w:r>
      <w:r w:rsidRPr="008C3B63" w:rsidR="008C3B63">
        <w:rPr>
          <w:lang w:val="en-GB"/>
        </w:rPr>
        <w:t>’</w:t>
      </w:r>
      <w:r w:rsidRPr="008C3B63" w:rsidR="009471DC">
        <w:rPr>
          <w:lang w:val="en-GB"/>
        </w:rPr>
        <w:t>s detention and his request for a subsequent hearing without informing him of the written observations of the prosecution authorities and giving him the opportunity to comment on them.</w:t>
      </w:r>
    </w:p>
    <w:p w:rsidRPr="008C3B63" w:rsidR="00926D5F" w:rsidP="008C3B63" w:rsidRDefault="00F07F06">
      <w:pPr>
        <w:pStyle w:val="ECHRPara"/>
        <w:rPr>
          <w:lang w:val="en-GB"/>
        </w:rPr>
      </w:pPr>
      <w:fldSimple w:instr=" SEQ level0 \*arabic ">
        <w:r w:rsidRPr="008C3B63" w:rsidR="008C3B63">
          <w:rPr>
            <w:noProof/>
          </w:rPr>
          <w:t>39</w:t>
        </w:r>
      </w:fldSimple>
      <w:r w:rsidRPr="008C3B63" w:rsidR="00326F91">
        <w:t>.  </w:t>
      </w:r>
      <w:r w:rsidRPr="008C3B63" w:rsidR="00EC5384">
        <w:t>The Court</w:t>
      </w:r>
      <w:r w:rsidRPr="008C3B63" w:rsidR="009471DC">
        <w:rPr>
          <w:lang w:val="en-GB"/>
        </w:rPr>
        <w:t xml:space="preserve"> further notes that,</w:t>
      </w:r>
      <w:r w:rsidRPr="008C3B63" w:rsidR="00296561">
        <w:rPr>
          <w:lang w:val="en-GB"/>
        </w:rPr>
        <w:t xml:space="preserve"> according to</w:t>
      </w:r>
      <w:r w:rsidRPr="008C3B63" w:rsidR="00117160">
        <w:rPr>
          <w:lang w:val="en-GB"/>
        </w:rPr>
        <w:t xml:space="preserve"> </w:t>
      </w:r>
      <w:r w:rsidRPr="008C3B63" w:rsidR="0089734C">
        <w:rPr>
          <w:lang w:val="en-GB"/>
        </w:rPr>
        <w:t>the case-law</w:t>
      </w:r>
      <w:r w:rsidRPr="008C3B63" w:rsidR="00296561">
        <w:rPr>
          <w:lang w:val="en-GB"/>
        </w:rPr>
        <w:t xml:space="preserve"> of the domestic courts,</w:t>
      </w:r>
      <w:r w:rsidRPr="008C3B63" w:rsidR="0089734C">
        <w:rPr>
          <w:lang w:val="en-GB"/>
        </w:rPr>
        <w:t xml:space="preserve"> only the most recent detention order could be subject to </w:t>
      </w:r>
      <w:r w:rsidRPr="008C3B63" w:rsidR="003803C5">
        <w:rPr>
          <w:lang w:val="en-GB"/>
        </w:rPr>
        <w:t xml:space="preserve">a </w:t>
      </w:r>
      <w:r w:rsidRPr="008C3B63" w:rsidR="0089734C">
        <w:rPr>
          <w:lang w:val="en-GB"/>
        </w:rPr>
        <w:t xml:space="preserve">review (see paragraph </w:t>
      </w:r>
      <w:r w:rsidRPr="008C3B63" w:rsidR="00C1508A">
        <w:rPr>
          <w:lang w:val="en-GB"/>
        </w:rPr>
        <w:t>2</w:t>
      </w:r>
      <w:r w:rsidRPr="008C3B63" w:rsidR="00CC0F33">
        <w:rPr>
          <w:lang w:val="en-GB"/>
        </w:rPr>
        <w:t>2</w:t>
      </w:r>
      <w:r w:rsidRPr="008C3B63" w:rsidR="0089734C">
        <w:rPr>
          <w:lang w:val="en-GB"/>
        </w:rPr>
        <w:t xml:space="preserve"> above)</w:t>
      </w:r>
      <w:r w:rsidRPr="008C3B63" w:rsidR="00AF79E0">
        <w:rPr>
          <w:lang w:val="en-GB"/>
        </w:rPr>
        <w:t xml:space="preserve"> and </w:t>
      </w:r>
      <w:r w:rsidRPr="008C3B63" w:rsidR="00326F91">
        <w:rPr>
          <w:lang w:val="en-GB"/>
        </w:rPr>
        <w:t>that the proceedings at issue were the first proceedings concerning the lawfulness of the applicant</w:t>
      </w:r>
      <w:r w:rsidRPr="008C3B63" w:rsidR="008C3B63">
        <w:rPr>
          <w:lang w:val="en-GB"/>
        </w:rPr>
        <w:t>’</w:t>
      </w:r>
      <w:r w:rsidRPr="008C3B63" w:rsidR="00326F91">
        <w:rPr>
          <w:lang w:val="en-GB"/>
        </w:rPr>
        <w:t>s detention before the Court of Appeal. It was also the first time that the Chief Public Prosecutor</w:t>
      </w:r>
      <w:r w:rsidRPr="008C3B63" w:rsidR="008C3B63">
        <w:rPr>
          <w:lang w:val="en-GB"/>
        </w:rPr>
        <w:t>’</w:t>
      </w:r>
      <w:r w:rsidRPr="008C3B63" w:rsidR="00326F91">
        <w:rPr>
          <w:lang w:val="en-GB"/>
        </w:rPr>
        <w:t xml:space="preserve">s Office </w:t>
      </w:r>
      <w:r w:rsidRPr="008C3B63" w:rsidR="006734E5">
        <w:rPr>
          <w:lang w:val="en-GB"/>
        </w:rPr>
        <w:t>was</w:t>
      </w:r>
      <w:r w:rsidRPr="008C3B63" w:rsidR="00326F91">
        <w:rPr>
          <w:lang w:val="en-GB"/>
        </w:rPr>
        <w:t xml:space="preserve"> part of the proceedings. This constituted a new situation compared to the previous reviews of the applicant</w:t>
      </w:r>
      <w:r w:rsidRPr="008C3B63" w:rsidR="008C3B63">
        <w:rPr>
          <w:lang w:val="en-GB"/>
        </w:rPr>
        <w:t>’</w:t>
      </w:r>
      <w:r w:rsidRPr="008C3B63" w:rsidR="00326F91">
        <w:rPr>
          <w:lang w:val="en-GB"/>
        </w:rPr>
        <w:t xml:space="preserve">s detention by </w:t>
      </w:r>
      <w:r w:rsidRPr="008C3B63" w:rsidR="006734E5">
        <w:rPr>
          <w:lang w:val="en-GB"/>
        </w:rPr>
        <w:t>the District Court or Regional Court. Th</w:t>
      </w:r>
      <w:r w:rsidRPr="008C3B63" w:rsidR="00326F91">
        <w:rPr>
          <w:lang w:val="en-GB"/>
        </w:rPr>
        <w:t>e applicant could not have known the positions of either the Chief Public Prosecutor</w:t>
      </w:r>
      <w:r w:rsidRPr="008C3B63" w:rsidR="008C3B63">
        <w:rPr>
          <w:lang w:val="en-GB"/>
        </w:rPr>
        <w:t>’</w:t>
      </w:r>
      <w:r w:rsidRPr="008C3B63" w:rsidR="00326F91">
        <w:rPr>
          <w:lang w:val="en-GB"/>
        </w:rPr>
        <w:t xml:space="preserve">s Office or the Court of Appeal regarding his detention. </w:t>
      </w:r>
      <w:r w:rsidRPr="008C3B63" w:rsidR="0074711F">
        <w:rPr>
          <w:lang w:val="en-GB"/>
        </w:rPr>
        <w:t>In this regard, it cannot be ignored that the applicant, in his submission of 5 January 2011, had explicitly asked that the observations of the Chief Public Prosecutor</w:t>
      </w:r>
      <w:r w:rsidRPr="008C3B63" w:rsidR="008C3B63">
        <w:rPr>
          <w:lang w:val="en-GB"/>
        </w:rPr>
        <w:t>’</w:t>
      </w:r>
      <w:r w:rsidRPr="008C3B63" w:rsidR="0074711F">
        <w:rPr>
          <w:lang w:val="en-GB"/>
        </w:rPr>
        <w:t>s Office be sent to him so as to be able to comment on them.</w:t>
      </w:r>
    </w:p>
    <w:p w:rsidRPr="008C3B63" w:rsidR="00926D5F" w:rsidP="008C3B63" w:rsidRDefault="00F07F06">
      <w:pPr>
        <w:pStyle w:val="ECHRPara"/>
        <w:rPr>
          <w:lang w:val="en-GB"/>
        </w:rPr>
      </w:pPr>
      <w:fldSimple w:instr=" SEQ level0 \*arabic ">
        <w:r w:rsidRPr="008C3B63" w:rsidR="008C3B63">
          <w:rPr>
            <w:noProof/>
          </w:rPr>
          <w:t>40</w:t>
        </w:r>
      </w:fldSimple>
      <w:r w:rsidRPr="008C3B63" w:rsidR="007F2624">
        <w:t>.  </w:t>
      </w:r>
      <w:r w:rsidRPr="008C3B63" w:rsidR="005477EB">
        <w:t xml:space="preserve">Reiterating that a detainee must </w:t>
      </w:r>
      <w:r w:rsidRPr="008C3B63" w:rsidR="001A7ED0">
        <w:t xml:space="preserve">in principle </w:t>
      </w:r>
      <w:r w:rsidRPr="008C3B63" w:rsidR="005477EB">
        <w:t xml:space="preserve">be accorded the same guarantees on appeal as at first instance (see </w:t>
      </w:r>
      <w:r w:rsidRPr="008C3B63" w:rsidR="005477EB">
        <w:rPr>
          <w:i/>
        </w:rPr>
        <w:t>Lanz</w:t>
      </w:r>
      <w:r w:rsidRPr="008C3B63" w:rsidR="005477EB">
        <w:t>, cited above, § 42), t</w:t>
      </w:r>
      <w:r w:rsidRPr="008C3B63" w:rsidR="007F2624">
        <w:t>he Court considers</w:t>
      </w:r>
      <w:r w:rsidRPr="008C3B63" w:rsidR="00014566">
        <w:rPr>
          <w:lang w:val="en-GB"/>
        </w:rPr>
        <w:t xml:space="preserve"> that</w:t>
      </w:r>
      <w:r w:rsidRPr="008C3B63" w:rsidR="007F2624">
        <w:rPr>
          <w:lang w:val="en-GB"/>
        </w:rPr>
        <w:t xml:space="preserve"> </w:t>
      </w:r>
      <w:r w:rsidRPr="008C3B63" w:rsidR="00CD6EC5">
        <w:rPr>
          <w:lang w:val="en-GB"/>
        </w:rPr>
        <w:t>the requirement that th</w:t>
      </w:r>
      <w:r w:rsidRPr="008C3B63" w:rsidR="009F5CAF">
        <w:rPr>
          <w:lang w:val="en-GB"/>
        </w:rPr>
        <w:t xml:space="preserve">e proceedings under Article 5 </w:t>
      </w:r>
      <w:r w:rsidRPr="008C3B63" w:rsidR="0094503C">
        <w:rPr>
          <w:lang w:val="en-GB"/>
        </w:rPr>
        <w:t>§ </w:t>
      </w:r>
      <w:r w:rsidRPr="008C3B63" w:rsidR="00CD6EC5">
        <w:rPr>
          <w:lang w:val="en-GB"/>
        </w:rPr>
        <w:t>4 of the Convention must be truly adversarial and always ensure equality of arms cannot be modified depending on</w:t>
      </w:r>
      <w:r w:rsidRPr="008C3B63" w:rsidR="007F2624">
        <w:rPr>
          <w:lang w:val="en-GB"/>
        </w:rPr>
        <w:t xml:space="preserve"> </w:t>
      </w:r>
      <w:r w:rsidRPr="008C3B63" w:rsidR="003D650F">
        <w:rPr>
          <w:lang w:val="en-GB"/>
        </w:rPr>
        <w:t>who</w:t>
      </w:r>
      <w:r w:rsidRPr="008C3B63" w:rsidR="008950C3">
        <w:rPr>
          <w:lang w:val="en-GB"/>
        </w:rPr>
        <w:t xml:space="preserve"> initiated</w:t>
      </w:r>
      <w:r w:rsidRPr="008C3B63" w:rsidR="007F2624">
        <w:rPr>
          <w:lang w:val="en-GB"/>
        </w:rPr>
        <w:t xml:space="preserve"> the </w:t>
      </w:r>
      <w:r w:rsidRPr="008C3B63" w:rsidR="004546BA">
        <w:rPr>
          <w:lang w:val="en-GB"/>
        </w:rPr>
        <w:t xml:space="preserve">review </w:t>
      </w:r>
      <w:r w:rsidRPr="008C3B63" w:rsidR="007F2624">
        <w:rPr>
          <w:lang w:val="en-GB"/>
        </w:rPr>
        <w:t>proceedings.</w:t>
      </w:r>
      <w:r w:rsidRPr="008C3B63" w:rsidR="004546BA">
        <w:rPr>
          <w:lang w:val="en-GB"/>
        </w:rPr>
        <w:t xml:space="preserve"> </w:t>
      </w:r>
      <w:r w:rsidRPr="008C3B63" w:rsidR="00096532">
        <w:rPr>
          <w:lang w:val="en-GB"/>
        </w:rPr>
        <w:t>I</w:t>
      </w:r>
      <w:r w:rsidRPr="008C3B63" w:rsidR="00734834">
        <w:rPr>
          <w:lang w:val="en-GB"/>
        </w:rPr>
        <w:t xml:space="preserve">t is true that a </w:t>
      </w:r>
      <w:r w:rsidRPr="008C3B63" w:rsidR="00096532">
        <w:rPr>
          <w:lang w:val="en-GB"/>
        </w:rPr>
        <w:t>detainee who</w:t>
      </w:r>
      <w:r w:rsidRPr="008C3B63" w:rsidR="008E5D54">
        <w:rPr>
          <w:lang w:val="en-GB"/>
        </w:rPr>
        <w:t xml:space="preserve"> has</w:t>
      </w:r>
      <w:r w:rsidRPr="008C3B63" w:rsidR="00096532">
        <w:rPr>
          <w:lang w:val="en-GB"/>
        </w:rPr>
        <w:t xml:space="preserve"> </w:t>
      </w:r>
      <w:r w:rsidRPr="008C3B63" w:rsidR="00F433EC">
        <w:rPr>
          <w:lang w:val="en-GB"/>
        </w:rPr>
        <w:t>brought</w:t>
      </w:r>
      <w:r w:rsidRPr="008C3B63" w:rsidR="00096532">
        <w:rPr>
          <w:lang w:val="en-GB"/>
        </w:rPr>
        <w:t xml:space="preserve"> review </w:t>
      </w:r>
      <w:r w:rsidRPr="008C3B63" w:rsidR="005477EB">
        <w:rPr>
          <w:lang w:val="en-GB"/>
        </w:rPr>
        <w:t>proceedings</w:t>
      </w:r>
      <w:r w:rsidRPr="008C3B63" w:rsidR="00F433EC">
        <w:rPr>
          <w:lang w:val="en-GB"/>
        </w:rPr>
        <w:t xml:space="preserve"> or lodged an appeal</w:t>
      </w:r>
      <w:r w:rsidRPr="008C3B63" w:rsidR="00096532">
        <w:rPr>
          <w:lang w:val="en-GB"/>
        </w:rPr>
        <w:t xml:space="preserve"> </w:t>
      </w:r>
      <w:r w:rsidRPr="008C3B63" w:rsidR="008E5D54">
        <w:rPr>
          <w:lang w:val="en-GB"/>
        </w:rPr>
        <w:t xml:space="preserve">has </w:t>
      </w:r>
      <w:r w:rsidRPr="008C3B63" w:rsidR="00F433EC">
        <w:rPr>
          <w:lang w:val="en-GB"/>
        </w:rPr>
        <w:t xml:space="preserve">an </w:t>
      </w:r>
      <w:r w:rsidRPr="008C3B63" w:rsidR="00096532">
        <w:rPr>
          <w:lang w:val="en-GB"/>
        </w:rPr>
        <w:t xml:space="preserve">opportunity to make a substantive submission </w:t>
      </w:r>
      <w:r w:rsidRPr="008C3B63" w:rsidR="00F433EC">
        <w:rPr>
          <w:lang w:val="en-GB"/>
        </w:rPr>
        <w:t xml:space="preserve">at </w:t>
      </w:r>
      <w:r w:rsidRPr="008C3B63" w:rsidR="008E5D54">
        <w:rPr>
          <w:lang w:val="en-GB"/>
        </w:rPr>
        <w:t xml:space="preserve">that </w:t>
      </w:r>
      <w:r w:rsidRPr="008C3B63" w:rsidR="00F433EC">
        <w:rPr>
          <w:lang w:val="en-GB"/>
        </w:rPr>
        <w:t>stage</w:t>
      </w:r>
      <w:r w:rsidRPr="008C3B63" w:rsidR="00096532">
        <w:rPr>
          <w:lang w:val="en-GB"/>
        </w:rPr>
        <w:t xml:space="preserve">, whereas he or she </w:t>
      </w:r>
      <w:r w:rsidRPr="008C3B63" w:rsidR="008E5D54">
        <w:rPr>
          <w:lang w:val="en-GB"/>
        </w:rPr>
        <w:t xml:space="preserve">does </w:t>
      </w:r>
      <w:r w:rsidRPr="008C3B63" w:rsidR="00096532">
        <w:rPr>
          <w:lang w:val="en-GB"/>
        </w:rPr>
        <w:t>not have an opportunity t</w:t>
      </w:r>
      <w:r w:rsidRPr="008C3B63" w:rsidR="00644AA3">
        <w:rPr>
          <w:lang w:val="en-GB"/>
        </w:rPr>
        <w:t xml:space="preserve">o do so where the proceedings </w:t>
      </w:r>
      <w:r w:rsidRPr="008C3B63" w:rsidR="008E5D54">
        <w:rPr>
          <w:lang w:val="en-GB"/>
        </w:rPr>
        <w:t xml:space="preserve">have been </w:t>
      </w:r>
      <w:r w:rsidRPr="008C3B63" w:rsidR="00F65945">
        <w:rPr>
          <w:lang w:val="en-GB"/>
        </w:rPr>
        <w:t>initiated</w:t>
      </w:r>
      <w:r w:rsidRPr="008C3B63" w:rsidR="00F433EC">
        <w:rPr>
          <w:lang w:val="en-GB"/>
        </w:rPr>
        <w:t xml:space="preserve"> or the appeal </w:t>
      </w:r>
      <w:r w:rsidRPr="008C3B63" w:rsidR="008E5D54">
        <w:rPr>
          <w:lang w:val="en-GB"/>
        </w:rPr>
        <w:t xml:space="preserve">has been </w:t>
      </w:r>
      <w:r w:rsidRPr="008C3B63" w:rsidR="00F433EC">
        <w:rPr>
          <w:lang w:val="en-GB"/>
        </w:rPr>
        <w:t>lodged</w:t>
      </w:r>
      <w:r w:rsidRPr="008C3B63" w:rsidR="00F65945">
        <w:rPr>
          <w:lang w:val="en-GB"/>
        </w:rPr>
        <w:t xml:space="preserve"> by the prosecutor or where the </w:t>
      </w:r>
      <w:r w:rsidRPr="008C3B63" w:rsidR="00096532">
        <w:rPr>
          <w:lang w:val="en-GB"/>
        </w:rPr>
        <w:t xml:space="preserve">review </w:t>
      </w:r>
      <w:r w:rsidRPr="008C3B63" w:rsidR="008E5D54">
        <w:rPr>
          <w:lang w:val="en-GB"/>
        </w:rPr>
        <w:t xml:space="preserve">is </w:t>
      </w:r>
      <w:r w:rsidRPr="008C3B63" w:rsidR="00096532">
        <w:rPr>
          <w:lang w:val="en-GB"/>
        </w:rPr>
        <w:t>periodic. However,</w:t>
      </w:r>
      <w:r w:rsidRPr="008C3B63" w:rsidR="001242CC">
        <w:rPr>
          <w:lang w:val="en-GB"/>
        </w:rPr>
        <w:t xml:space="preserve"> </w:t>
      </w:r>
      <w:r w:rsidRPr="008C3B63" w:rsidR="006134BA">
        <w:rPr>
          <w:lang w:val="en-GB"/>
        </w:rPr>
        <w:t xml:space="preserve">for the review proceedings to be </w:t>
      </w:r>
      <w:r w:rsidRPr="008C3B63" w:rsidR="00644AA3">
        <w:rPr>
          <w:lang w:val="en-GB"/>
        </w:rPr>
        <w:t>“</w:t>
      </w:r>
      <w:r w:rsidRPr="008C3B63" w:rsidR="006134BA">
        <w:rPr>
          <w:lang w:val="en-GB"/>
        </w:rPr>
        <w:t>truly adversarial</w:t>
      </w:r>
      <w:r w:rsidRPr="008C3B63" w:rsidR="00644AA3">
        <w:rPr>
          <w:lang w:val="en-GB"/>
        </w:rPr>
        <w:t>”</w:t>
      </w:r>
      <w:r w:rsidRPr="008C3B63" w:rsidR="006134BA">
        <w:rPr>
          <w:lang w:val="en-GB"/>
        </w:rPr>
        <w:t xml:space="preserve"> and for equality of arms to be ensured, a party must be informed whenever observations are filed by another party and be given a real opportunity to comment (</w:t>
      </w:r>
      <w:r w:rsidRPr="008C3B63" w:rsidR="00FD1C6B">
        <w:rPr>
          <w:lang w:val="en-GB"/>
        </w:rPr>
        <w:t>ibid.,</w:t>
      </w:r>
      <w:r w:rsidRPr="008C3B63" w:rsidR="006134BA">
        <w:rPr>
          <w:lang w:val="en-GB"/>
        </w:rPr>
        <w:t xml:space="preserve"> § 41).</w:t>
      </w:r>
    </w:p>
    <w:p w:rsidRPr="008C3B63" w:rsidR="00926D5F" w:rsidP="008C3B63" w:rsidRDefault="00F07F06">
      <w:pPr>
        <w:pStyle w:val="ECHRPara"/>
        <w:rPr>
          <w:lang w:val="en-GB"/>
        </w:rPr>
      </w:pPr>
      <w:fldSimple w:instr=" SEQ level0 \*arabic ">
        <w:r w:rsidRPr="008C3B63" w:rsidR="008C3B63">
          <w:rPr>
            <w:noProof/>
          </w:rPr>
          <w:t>41</w:t>
        </w:r>
      </w:fldSimple>
      <w:r w:rsidRPr="008C3B63" w:rsidR="00AF79E0">
        <w:t>.  </w:t>
      </w:r>
      <w:r w:rsidRPr="008C3B63" w:rsidR="004A4F2E">
        <w:t>Regarding</w:t>
      </w:r>
      <w:r w:rsidRPr="008C3B63" w:rsidR="00AF79E0">
        <w:t xml:space="preserve"> the Government</w:t>
      </w:r>
      <w:r w:rsidRPr="008C3B63" w:rsidR="008C3B63">
        <w:t>’</w:t>
      </w:r>
      <w:r w:rsidRPr="008C3B63" w:rsidR="00AF79E0">
        <w:t>s submission that the statement of the Chief Public Prosecutor of 28 January 2011 had not contained any new facts or arguments of which the applicant had been unaware, the Court considers that it is neither for the domestic court competent for the proceedings, nor for this Court, to assess the substance of submissions made by e</w:t>
      </w:r>
      <w:r w:rsidRPr="008C3B63" w:rsidR="00CB172F">
        <w:t xml:space="preserve">ither one of the parties </w:t>
      </w:r>
      <w:r w:rsidRPr="008C3B63" w:rsidR="00D60A33">
        <w:t xml:space="preserve">to the proceedings </w:t>
      </w:r>
      <w:r w:rsidRPr="008C3B63" w:rsidR="00CB172F">
        <w:t xml:space="preserve">and to make the exchange of observations </w:t>
      </w:r>
      <w:r w:rsidRPr="008C3B63" w:rsidR="00BF0765">
        <w:t>conditional on</w:t>
      </w:r>
      <w:r w:rsidRPr="008C3B63" w:rsidR="00CB172F">
        <w:t xml:space="preserve"> the outcome of such an assessment. Rather, it </w:t>
      </w:r>
      <w:r w:rsidRPr="008C3B63" w:rsidR="00644AA3">
        <w:rPr>
          <w:lang w:val="en-GB"/>
        </w:rPr>
        <w:t>i</w:t>
      </w:r>
      <w:r w:rsidRPr="008C3B63" w:rsidR="00B561A5">
        <w:rPr>
          <w:lang w:val="en-GB"/>
        </w:rPr>
        <w:t>s</w:t>
      </w:r>
      <w:r w:rsidRPr="008C3B63" w:rsidR="00CF5212">
        <w:rPr>
          <w:lang w:val="en-GB"/>
        </w:rPr>
        <w:t xml:space="preserve"> </w:t>
      </w:r>
      <w:r w:rsidRPr="008C3B63" w:rsidR="00644AA3">
        <w:rPr>
          <w:lang w:val="en-GB"/>
        </w:rPr>
        <w:t xml:space="preserve">a matter </w:t>
      </w:r>
      <w:r w:rsidRPr="008C3B63" w:rsidR="00CF5212">
        <w:rPr>
          <w:lang w:val="en-GB"/>
        </w:rPr>
        <w:t xml:space="preserve">for the detainee, </w:t>
      </w:r>
      <w:r w:rsidRPr="008C3B63" w:rsidR="006E1BB8">
        <w:rPr>
          <w:lang w:val="en-GB"/>
        </w:rPr>
        <w:t>or</w:t>
      </w:r>
      <w:r w:rsidRPr="008C3B63" w:rsidR="00644AA3">
        <w:rPr>
          <w:lang w:val="en-GB"/>
        </w:rPr>
        <w:t xml:space="preserve"> </w:t>
      </w:r>
      <w:r w:rsidRPr="008C3B63" w:rsidR="00CF5212">
        <w:rPr>
          <w:lang w:val="en-GB"/>
        </w:rPr>
        <w:t xml:space="preserve">his or her counsel, to assess </w:t>
      </w:r>
      <w:r w:rsidRPr="008C3B63" w:rsidR="00644AA3">
        <w:rPr>
          <w:lang w:val="en-GB"/>
        </w:rPr>
        <w:t>whether or not a submissio</w:t>
      </w:r>
      <w:r w:rsidRPr="008C3B63" w:rsidR="00F433EC">
        <w:rPr>
          <w:lang w:val="en-GB"/>
        </w:rPr>
        <w:t>n by the prosecutor deserves</w:t>
      </w:r>
      <w:r w:rsidRPr="008C3B63" w:rsidR="00644AA3">
        <w:rPr>
          <w:lang w:val="en-GB"/>
        </w:rPr>
        <w:t xml:space="preserve"> a re</w:t>
      </w:r>
      <w:r w:rsidRPr="008C3B63" w:rsidR="00DC3152">
        <w:rPr>
          <w:lang w:val="en-GB"/>
        </w:rPr>
        <w:t>action (</w:t>
      </w:r>
      <w:proofErr w:type="gramStart"/>
      <w:r w:rsidRPr="008C3B63" w:rsidR="00CF5212">
        <w:rPr>
          <w:lang w:val="en-GB"/>
        </w:rPr>
        <w:t>ibid.,</w:t>
      </w:r>
      <w:proofErr w:type="gramEnd"/>
      <w:r w:rsidRPr="008C3B63" w:rsidR="00CF5212">
        <w:rPr>
          <w:lang w:val="en-GB"/>
        </w:rPr>
        <w:t xml:space="preserve"> § 44)</w:t>
      </w:r>
      <w:r w:rsidRPr="008C3B63" w:rsidR="00CB172F">
        <w:rPr>
          <w:lang w:val="en-GB"/>
        </w:rPr>
        <w:t>.</w:t>
      </w:r>
      <w:r w:rsidRPr="008C3B63" w:rsidR="00B840D1">
        <w:rPr>
          <w:lang w:val="en-GB"/>
        </w:rPr>
        <w:t xml:space="preserve"> </w:t>
      </w:r>
      <w:r w:rsidRPr="008C3B63" w:rsidR="00F433EC">
        <w:rPr>
          <w:lang w:val="en-GB"/>
        </w:rPr>
        <w:t>O</w:t>
      </w:r>
      <w:r w:rsidRPr="008C3B63" w:rsidR="00B840D1">
        <w:rPr>
          <w:lang w:val="en-GB"/>
        </w:rPr>
        <w:t xml:space="preserve">nly </w:t>
      </w:r>
      <w:r w:rsidRPr="008C3B63" w:rsidR="00F433EC">
        <w:rPr>
          <w:lang w:val="en-GB"/>
        </w:rPr>
        <w:t>this</w:t>
      </w:r>
      <w:r w:rsidRPr="008C3B63" w:rsidR="00B840D1">
        <w:rPr>
          <w:lang w:val="en-GB"/>
        </w:rPr>
        <w:t xml:space="preserve"> approach can ensure, with legal certainty, that</w:t>
      </w:r>
      <w:r w:rsidRPr="008C3B63" w:rsidR="00F433EC">
        <w:rPr>
          <w:lang w:val="en-GB"/>
        </w:rPr>
        <w:t xml:space="preserve"> the</w:t>
      </w:r>
      <w:r w:rsidRPr="008C3B63" w:rsidR="00B840D1">
        <w:rPr>
          <w:lang w:val="en-GB"/>
        </w:rPr>
        <w:t xml:space="preserve"> proceedings </w:t>
      </w:r>
      <w:r w:rsidRPr="008C3B63" w:rsidR="00415023">
        <w:rPr>
          <w:lang w:val="en-GB"/>
        </w:rPr>
        <w:t>are truly adversarial and</w:t>
      </w:r>
      <w:r w:rsidRPr="008C3B63" w:rsidR="00F433EC">
        <w:rPr>
          <w:lang w:val="en-GB"/>
        </w:rPr>
        <w:t xml:space="preserve"> guarantee</w:t>
      </w:r>
      <w:r w:rsidRPr="008C3B63" w:rsidR="00415023">
        <w:rPr>
          <w:lang w:val="en-GB"/>
        </w:rPr>
        <w:t xml:space="preserve"> equality of arms.</w:t>
      </w:r>
    </w:p>
    <w:p w:rsidRPr="008C3B63" w:rsidR="001242CC" w:rsidP="008C3B63" w:rsidRDefault="00F07F06">
      <w:pPr>
        <w:pStyle w:val="ECHRPara"/>
        <w:rPr>
          <w:lang w:val="en-GB"/>
        </w:rPr>
      </w:pPr>
      <w:fldSimple w:instr=" SEQ level0 \*arabic ">
        <w:r w:rsidRPr="008C3B63" w:rsidR="008C3B63">
          <w:rPr>
            <w:noProof/>
          </w:rPr>
          <w:t>42</w:t>
        </w:r>
      </w:fldSimple>
      <w:r w:rsidRPr="008C3B63" w:rsidR="00CF5212">
        <w:t>.</w:t>
      </w:r>
      <w:r w:rsidRPr="008C3B63" w:rsidR="00926D5F">
        <w:t>  </w:t>
      </w:r>
      <w:r w:rsidRPr="008C3B63" w:rsidR="00E8149D">
        <w:t>While it is true, as</w:t>
      </w:r>
      <w:r w:rsidRPr="008C3B63" w:rsidR="00CF5212">
        <w:t xml:space="preserve"> the Government </w:t>
      </w:r>
      <w:r w:rsidRPr="008C3B63" w:rsidR="00E8149D">
        <w:t xml:space="preserve">submitted, that </w:t>
      </w:r>
      <w:r w:rsidRPr="008C3B63" w:rsidR="00277AA7">
        <w:t>the Court of Appeal</w:t>
      </w:r>
      <w:r w:rsidRPr="008C3B63" w:rsidR="00CF5212">
        <w:t xml:space="preserve"> </w:t>
      </w:r>
      <w:r w:rsidRPr="008C3B63" w:rsidR="00E8149D">
        <w:t xml:space="preserve">was obliged </w:t>
      </w:r>
      <w:r w:rsidRPr="008C3B63" w:rsidR="00277AA7">
        <w:t>to decide the lawfulness of the applicant</w:t>
      </w:r>
      <w:r w:rsidRPr="008C3B63" w:rsidR="008C3B63">
        <w:t>’</w:t>
      </w:r>
      <w:r w:rsidRPr="008C3B63" w:rsidR="00277AA7">
        <w:t>s detention</w:t>
      </w:r>
      <w:r w:rsidRPr="008C3B63" w:rsidR="008E5D54">
        <w:t xml:space="preserve"> speedily</w:t>
      </w:r>
      <w:r w:rsidRPr="008C3B63" w:rsidR="00E8149D">
        <w:t>, the Court emphasise</w:t>
      </w:r>
      <w:r w:rsidRPr="008C3B63" w:rsidR="00277AA7">
        <w:t xml:space="preserve">s that </w:t>
      </w:r>
      <w:r w:rsidRPr="008C3B63" w:rsidR="00E8149D">
        <w:t xml:space="preserve">all of </w:t>
      </w:r>
      <w:r w:rsidRPr="008C3B63" w:rsidR="00277AA7">
        <w:t xml:space="preserve">the guarantees of Article 5 § 4 of the Convention </w:t>
      </w:r>
      <w:r w:rsidRPr="008C3B63" w:rsidR="00E8149D">
        <w:t xml:space="preserve">must be respected and considers that the obligation to decide the lawfulness </w:t>
      </w:r>
      <w:r w:rsidRPr="008C3B63" w:rsidR="008E5D54">
        <w:t xml:space="preserve">speedily </w:t>
      </w:r>
      <w:r w:rsidRPr="008C3B63" w:rsidR="00415023">
        <w:t>can</w:t>
      </w:r>
      <w:r w:rsidRPr="008C3B63" w:rsidR="00E8149D">
        <w:t xml:space="preserve">not justify a decision </w:t>
      </w:r>
      <w:r w:rsidRPr="008C3B63" w:rsidR="00540235">
        <w:t xml:space="preserve">being taken </w:t>
      </w:r>
      <w:r w:rsidRPr="008C3B63" w:rsidR="00E8149D">
        <w:t xml:space="preserve">without the applicant even being aware that the </w:t>
      </w:r>
      <w:r w:rsidRPr="008C3B63" w:rsidR="00524CC9">
        <w:t>p</w:t>
      </w:r>
      <w:r w:rsidRPr="008C3B63" w:rsidR="00E8149D">
        <w:t xml:space="preserve">rosecution </w:t>
      </w:r>
      <w:r w:rsidRPr="008C3B63" w:rsidR="00524CC9">
        <w:t>a</w:t>
      </w:r>
      <w:r w:rsidRPr="008C3B63" w:rsidR="00E8149D">
        <w:t>uthorities had su</w:t>
      </w:r>
      <w:r w:rsidRPr="008C3B63" w:rsidR="00415023">
        <w:t>bmitted observations, let alone</w:t>
      </w:r>
      <w:r w:rsidRPr="008C3B63" w:rsidR="00E8149D">
        <w:t xml:space="preserve"> having a real opportunity to comment on</w:t>
      </w:r>
      <w:r w:rsidRPr="008C3B63" w:rsidR="00540235">
        <w:t xml:space="preserve"> them</w:t>
      </w:r>
      <w:r w:rsidRPr="008C3B63" w:rsidR="00E8149D">
        <w:t xml:space="preserve">. </w:t>
      </w:r>
      <w:r w:rsidRPr="008C3B63" w:rsidR="002E2BC5">
        <w:t>The applicant</w:t>
      </w:r>
      <w:r w:rsidRPr="008C3B63" w:rsidR="008C3B63">
        <w:t>’</w:t>
      </w:r>
      <w:r w:rsidRPr="008C3B63" w:rsidR="002E2BC5">
        <w:t>s counsel received the observations of the prosecution authorities of 28 January 2011 only on 3 F</w:t>
      </w:r>
      <w:r w:rsidRPr="008C3B63" w:rsidR="009F5CAF">
        <w:t>ebruary 2011 (see paragraphs </w:t>
      </w:r>
      <w:r w:rsidRPr="008C3B63" w:rsidR="0094503C">
        <w:t>12</w:t>
      </w:r>
      <w:r w:rsidRPr="008C3B63" w:rsidR="0094503C">
        <w:noBreakHyphen/>
      </w:r>
      <w:r w:rsidRPr="008C3B63" w:rsidR="002E2BC5">
        <w:t>13 above)</w:t>
      </w:r>
      <w:r w:rsidRPr="008C3B63" w:rsidR="00554F4A">
        <w:t>, that is, the day on which the Court of Appeal took its decision on the applicant</w:t>
      </w:r>
      <w:r w:rsidRPr="008C3B63" w:rsidR="008C3B63">
        <w:t>’</w:t>
      </w:r>
      <w:r w:rsidRPr="008C3B63" w:rsidR="00554F4A">
        <w:t>s appeal of 5 January 2011.</w:t>
      </w:r>
      <w:r w:rsidRPr="008C3B63" w:rsidR="002E2BC5">
        <w:t xml:space="preserve"> </w:t>
      </w:r>
      <w:r w:rsidRPr="008C3B63" w:rsidR="002E4289">
        <w:t>To ensure respect for both the speediness requirement and the</w:t>
      </w:r>
      <w:r w:rsidRPr="008C3B63" w:rsidR="00540235">
        <w:t xml:space="preserve"> principle of</w:t>
      </w:r>
      <w:r w:rsidRPr="008C3B63" w:rsidR="002E4289">
        <w:t xml:space="preserve"> equality of arms, the Court of Appeal could, at the very least, </w:t>
      </w:r>
      <w:r w:rsidRPr="008C3B63" w:rsidR="00415023">
        <w:t xml:space="preserve">have </w:t>
      </w:r>
      <w:r w:rsidRPr="008C3B63" w:rsidR="002E4289">
        <w:t xml:space="preserve">informed the applicant, </w:t>
      </w:r>
      <w:r w:rsidRPr="008C3B63" w:rsidR="006E1BB8">
        <w:t xml:space="preserve">or </w:t>
      </w:r>
      <w:r w:rsidRPr="008C3B63" w:rsidR="002E4289">
        <w:t xml:space="preserve">his counsel, </w:t>
      </w:r>
      <w:r w:rsidRPr="008C3B63" w:rsidR="004109FB">
        <w:t>as soon as it had received the prosecution authorities</w:t>
      </w:r>
      <w:r w:rsidRPr="008C3B63" w:rsidR="008C3B63">
        <w:t>’</w:t>
      </w:r>
      <w:r w:rsidRPr="008C3B63" w:rsidR="004109FB">
        <w:t xml:space="preserve"> observations, about this</w:t>
      </w:r>
      <w:r w:rsidRPr="008C3B63" w:rsidR="002E4289">
        <w:t xml:space="preserve"> submi</w:t>
      </w:r>
      <w:r w:rsidRPr="008C3B63" w:rsidR="004109FB">
        <w:t>ssion</w:t>
      </w:r>
      <w:r w:rsidRPr="008C3B63" w:rsidR="002E4289">
        <w:t xml:space="preserve"> and </w:t>
      </w:r>
      <w:r w:rsidRPr="008C3B63" w:rsidR="00246852">
        <w:t xml:space="preserve">given </w:t>
      </w:r>
      <w:r w:rsidRPr="008C3B63" w:rsidR="002E4289">
        <w:t xml:space="preserve">him </w:t>
      </w:r>
      <w:r w:rsidRPr="008C3B63" w:rsidR="00415023">
        <w:t>sufficient</w:t>
      </w:r>
      <w:r w:rsidRPr="008C3B63" w:rsidR="002E4289">
        <w:t xml:space="preserve"> time to comment on the</w:t>
      </w:r>
      <w:r w:rsidRPr="008C3B63" w:rsidR="00667684">
        <w:t>se</w:t>
      </w:r>
      <w:r w:rsidRPr="008C3B63" w:rsidR="004109FB">
        <w:t xml:space="preserve"> observations</w:t>
      </w:r>
      <w:r w:rsidRPr="008C3B63" w:rsidR="002E4289">
        <w:t>.</w:t>
      </w:r>
    </w:p>
    <w:p w:rsidRPr="008C3B63" w:rsidR="00926D5F"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43</w:t>
      </w:r>
      <w:r w:rsidRPr="008C3B63">
        <w:rPr>
          <w:lang w:val="en-GB"/>
        </w:rPr>
        <w:fldChar w:fldCharType="end"/>
      </w:r>
      <w:r w:rsidRPr="008C3B63" w:rsidR="00014566">
        <w:rPr>
          <w:lang w:val="en-GB"/>
        </w:rPr>
        <w:t>.  </w:t>
      </w:r>
      <w:r w:rsidRPr="008C3B63" w:rsidR="00E2093F">
        <w:rPr>
          <w:lang w:val="en-GB"/>
        </w:rPr>
        <w:t>The Court notes the</w:t>
      </w:r>
      <w:r w:rsidRPr="008C3B63" w:rsidR="007538B2">
        <w:rPr>
          <w:lang w:val="en-GB"/>
        </w:rPr>
        <w:t xml:space="preserve"> diligence displayed by the </w:t>
      </w:r>
      <w:r w:rsidRPr="008C3B63" w:rsidR="004D1420">
        <w:rPr>
          <w:lang w:val="en-GB"/>
        </w:rPr>
        <w:t>District Court and the Regional Court</w:t>
      </w:r>
      <w:r w:rsidRPr="008C3B63" w:rsidR="000E2D96">
        <w:rPr>
          <w:lang w:val="en-GB"/>
        </w:rPr>
        <w:t xml:space="preserve"> </w:t>
      </w:r>
      <w:r w:rsidRPr="008C3B63" w:rsidR="005C58B4">
        <w:rPr>
          <w:lang w:val="en-GB"/>
        </w:rPr>
        <w:t xml:space="preserve">when considering </w:t>
      </w:r>
      <w:r w:rsidRPr="008C3B63" w:rsidR="000E2D96">
        <w:rPr>
          <w:lang w:val="en-GB"/>
        </w:rPr>
        <w:t>the proceedings as a whole, notably by examining the lawfulness of the applicant</w:t>
      </w:r>
      <w:r w:rsidRPr="008C3B63" w:rsidR="008C3B63">
        <w:rPr>
          <w:lang w:val="en-GB"/>
        </w:rPr>
        <w:t>’</w:t>
      </w:r>
      <w:r w:rsidRPr="008C3B63" w:rsidR="000E2D96">
        <w:rPr>
          <w:lang w:val="en-GB"/>
        </w:rPr>
        <w:t>s detention eleven times within a relatively short time span</w:t>
      </w:r>
      <w:r w:rsidRPr="008C3B63" w:rsidR="0069475F">
        <w:rPr>
          <w:lang w:val="en-GB"/>
        </w:rPr>
        <w:t>.</w:t>
      </w:r>
      <w:r w:rsidRPr="008C3B63" w:rsidR="005C58B4">
        <w:rPr>
          <w:lang w:val="en-GB"/>
        </w:rPr>
        <w:t xml:space="preserve"> It also notes </w:t>
      </w:r>
      <w:r w:rsidRPr="008C3B63" w:rsidR="00E2093F">
        <w:rPr>
          <w:lang w:val="en-GB"/>
        </w:rPr>
        <w:t>that the</w:t>
      </w:r>
      <w:r w:rsidRPr="008C3B63" w:rsidR="007C1979">
        <w:rPr>
          <w:lang w:val="en-GB"/>
        </w:rPr>
        <w:t xml:space="preserve"> applicant</w:t>
      </w:r>
      <w:r w:rsidRPr="008C3B63" w:rsidR="008C3B63">
        <w:rPr>
          <w:lang w:val="en-GB"/>
        </w:rPr>
        <w:t>’</w:t>
      </w:r>
      <w:r w:rsidRPr="008C3B63" w:rsidR="007C1979">
        <w:rPr>
          <w:lang w:val="en-GB"/>
        </w:rPr>
        <w:t>s detention was governed by Article 5 § 1 (a) of the Convention and that the</w:t>
      </w:r>
      <w:r w:rsidRPr="008C3B63" w:rsidR="00E2093F">
        <w:rPr>
          <w:lang w:val="en-GB"/>
        </w:rPr>
        <w:t xml:space="preserve">re were no indications that </w:t>
      </w:r>
      <w:r w:rsidRPr="008C3B63" w:rsidR="007C1979">
        <w:rPr>
          <w:lang w:val="en-GB"/>
        </w:rPr>
        <w:t>his</w:t>
      </w:r>
      <w:r w:rsidRPr="008C3B63" w:rsidR="00E2093F">
        <w:rPr>
          <w:lang w:val="en-GB"/>
        </w:rPr>
        <w:t xml:space="preserve"> detention was </w:t>
      </w:r>
      <w:r w:rsidRPr="008C3B63" w:rsidR="00E2093F">
        <w:rPr>
          <w:i/>
          <w:lang w:val="en-GB"/>
        </w:rPr>
        <w:t>per se</w:t>
      </w:r>
      <w:r w:rsidRPr="008C3B63" w:rsidR="00E2093F">
        <w:rPr>
          <w:lang w:val="en-GB"/>
        </w:rPr>
        <w:t xml:space="preserve"> arbitrary</w:t>
      </w:r>
      <w:r w:rsidRPr="008C3B63" w:rsidR="000E2D96">
        <w:rPr>
          <w:lang w:val="en-GB"/>
        </w:rPr>
        <w:t xml:space="preserve">. </w:t>
      </w:r>
      <w:r w:rsidRPr="008C3B63" w:rsidR="00E93145">
        <w:rPr>
          <w:lang w:val="en-GB"/>
        </w:rPr>
        <w:t xml:space="preserve">Nevertheless, the Court cannot speculate as to the outcome of the proceedings before the Court of Appeal and considers that, even in such circumstances as in the present case, the principle of equality of arms, as guaranteed by Article 5 § 4 of the Convention, requires </w:t>
      </w:r>
      <w:r w:rsidRPr="008C3B63" w:rsidR="004B2AAE">
        <w:rPr>
          <w:lang w:val="en-GB"/>
        </w:rPr>
        <w:t xml:space="preserve">that a party must be informed </w:t>
      </w:r>
      <w:r w:rsidRPr="008C3B63" w:rsidR="002738C0">
        <w:rPr>
          <w:lang w:val="en-GB"/>
        </w:rPr>
        <w:t xml:space="preserve">whenever </w:t>
      </w:r>
      <w:r w:rsidRPr="008C3B63" w:rsidR="004B2AAE">
        <w:rPr>
          <w:lang w:val="en-GB"/>
        </w:rPr>
        <w:t>observations are filed by another party and must be given a real opportunity to comment thereon.</w:t>
      </w:r>
    </w:p>
    <w:p w:rsidRPr="008C3B63" w:rsidR="00926D5F" w:rsidP="008C3B63" w:rsidRDefault="00AB0944">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44</w:t>
      </w:r>
      <w:r w:rsidRPr="008C3B63">
        <w:rPr>
          <w:lang w:val="en-GB"/>
        </w:rPr>
        <w:fldChar w:fldCharType="end"/>
      </w:r>
      <w:r w:rsidRPr="008C3B63">
        <w:rPr>
          <w:lang w:val="en-GB"/>
        </w:rPr>
        <w:t>.  The foregoing considerations are sufficient to enable the Court to conclude that the proceedings before the Court of Appeal, which had to decide for the first time on the lawfulness of the applicant</w:t>
      </w:r>
      <w:r w:rsidRPr="008C3B63" w:rsidR="008C3B63">
        <w:rPr>
          <w:lang w:val="en-GB"/>
        </w:rPr>
        <w:t>’</w:t>
      </w:r>
      <w:r w:rsidRPr="008C3B63">
        <w:rPr>
          <w:lang w:val="en-GB"/>
        </w:rPr>
        <w:t>s detention, were not truly adversarial and that the principle of equality of arms was violated. The</w:t>
      </w:r>
      <w:r w:rsidRPr="008C3B63" w:rsidR="002E4289">
        <w:rPr>
          <w:lang w:val="en-GB"/>
        </w:rPr>
        <w:t xml:space="preserve"> applicant did not have the</w:t>
      </w:r>
      <w:r w:rsidRPr="008C3B63" w:rsidR="00540235">
        <w:rPr>
          <w:lang w:val="en-GB"/>
        </w:rPr>
        <w:t xml:space="preserve"> opportunity</w:t>
      </w:r>
      <w:r w:rsidRPr="008C3B63" w:rsidR="002E4289">
        <w:rPr>
          <w:lang w:val="en-GB"/>
        </w:rPr>
        <w:t xml:space="preserve"> to comment on the written observations of the</w:t>
      </w:r>
      <w:r w:rsidRPr="008C3B63">
        <w:rPr>
          <w:lang w:val="en-GB"/>
        </w:rPr>
        <w:t xml:space="preserve"> newly involved Chief Public Prosecutor</w:t>
      </w:r>
      <w:r w:rsidRPr="008C3B63" w:rsidR="008C3B63">
        <w:rPr>
          <w:lang w:val="en-GB"/>
        </w:rPr>
        <w:t>’</w:t>
      </w:r>
      <w:r w:rsidRPr="008C3B63">
        <w:rPr>
          <w:lang w:val="en-GB"/>
        </w:rPr>
        <w:t>s Office</w:t>
      </w:r>
      <w:r w:rsidRPr="008C3B63" w:rsidR="002E4289">
        <w:rPr>
          <w:lang w:val="en-GB"/>
        </w:rPr>
        <w:t xml:space="preserve"> </w:t>
      </w:r>
      <w:r w:rsidRPr="008C3B63" w:rsidR="00607946">
        <w:rPr>
          <w:lang w:val="en-GB"/>
        </w:rPr>
        <w:t>before the Court of Appeal</w:t>
      </w:r>
      <w:r w:rsidRPr="008C3B63" w:rsidR="000E2D96">
        <w:rPr>
          <w:lang w:val="en-GB"/>
        </w:rPr>
        <w:t xml:space="preserve"> prior to </w:t>
      </w:r>
      <w:r w:rsidRPr="008C3B63" w:rsidR="00607946">
        <w:rPr>
          <w:lang w:val="en-GB"/>
        </w:rPr>
        <w:t>that court</w:t>
      </w:r>
      <w:r w:rsidRPr="008C3B63" w:rsidR="008C3B63">
        <w:rPr>
          <w:lang w:val="en-GB"/>
        </w:rPr>
        <w:t>’</w:t>
      </w:r>
      <w:r w:rsidRPr="008C3B63" w:rsidR="00607946">
        <w:rPr>
          <w:lang w:val="en-GB"/>
        </w:rPr>
        <w:t>s</w:t>
      </w:r>
      <w:r w:rsidRPr="008C3B63" w:rsidR="000E2D96">
        <w:rPr>
          <w:lang w:val="en-GB"/>
        </w:rPr>
        <w:t xml:space="preserve"> decision of 3 February 2011 concerning the lawfulness of his detention</w:t>
      </w:r>
      <w:r w:rsidRPr="008C3B63" w:rsidR="00EC5384">
        <w:rPr>
          <w:lang w:val="en-GB"/>
        </w:rPr>
        <w:t xml:space="preserve"> and</w:t>
      </w:r>
      <w:r w:rsidRPr="008C3B63" w:rsidR="000E2D96">
        <w:rPr>
          <w:lang w:val="en-GB"/>
        </w:rPr>
        <w:t xml:space="preserve"> prior to its decision of 25</w:t>
      </w:r>
      <w:r w:rsidRPr="008C3B63" w:rsidR="0094503C">
        <w:rPr>
          <w:lang w:val="en-GB"/>
        </w:rPr>
        <w:t> </w:t>
      </w:r>
      <w:r w:rsidRPr="008C3B63" w:rsidR="000E2D96">
        <w:rPr>
          <w:lang w:val="en-GB"/>
        </w:rPr>
        <w:t xml:space="preserve">February 2011 concerning his request for a subsequent hearing. </w:t>
      </w:r>
      <w:r w:rsidRPr="008C3B63" w:rsidR="00E2093F">
        <w:rPr>
          <w:lang w:val="en-GB"/>
        </w:rPr>
        <w:t xml:space="preserve">In relation to this latter decision, the Court </w:t>
      </w:r>
      <w:r w:rsidRPr="008C3B63">
        <w:rPr>
          <w:lang w:val="en-GB"/>
        </w:rPr>
        <w:t>reiterates</w:t>
      </w:r>
      <w:r w:rsidRPr="008C3B63" w:rsidR="00E2093F">
        <w:rPr>
          <w:lang w:val="en-GB"/>
        </w:rPr>
        <w:t xml:space="preserve"> that the Court of Appeal reproduced and endorsed the content of the </w:t>
      </w:r>
      <w:r w:rsidRPr="008C3B63" w:rsidR="00C61F85">
        <w:rPr>
          <w:lang w:val="en-GB"/>
        </w:rPr>
        <w:t>prosecution authorities</w:t>
      </w:r>
      <w:r w:rsidRPr="008C3B63" w:rsidR="008C3B63">
        <w:rPr>
          <w:lang w:val="en-GB"/>
        </w:rPr>
        <w:t>’</w:t>
      </w:r>
      <w:r w:rsidRPr="008C3B63" w:rsidR="00C61F85">
        <w:rPr>
          <w:lang w:val="en-GB"/>
        </w:rPr>
        <w:t xml:space="preserve"> </w:t>
      </w:r>
      <w:r w:rsidRPr="008C3B63" w:rsidR="00E2093F">
        <w:rPr>
          <w:lang w:val="en-GB"/>
        </w:rPr>
        <w:t xml:space="preserve">observations in its decision, </w:t>
      </w:r>
      <w:r w:rsidRPr="008C3B63" w:rsidR="00A26494">
        <w:rPr>
          <w:lang w:val="en-GB"/>
        </w:rPr>
        <w:t xml:space="preserve">which </w:t>
      </w:r>
      <w:r w:rsidRPr="008C3B63" w:rsidR="00E2093F">
        <w:rPr>
          <w:lang w:val="en-GB"/>
        </w:rPr>
        <w:t>indicat</w:t>
      </w:r>
      <w:r w:rsidRPr="008C3B63" w:rsidR="00A26494">
        <w:rPr>
          <w:lang w:val="en-GB"/>
        </w:rPr>
        <w:t>e</w:t>
      </w:r>
      <w:r w:rsidRPr="008C3B63" w:rsidR="000756D3">
        <w:rPr>
          <w:lang w:val="en-GB"/>
        </w:rPr>
        <w:t>s</w:t>
      </w:r>
      <w:r w:rsidRPr="008C3B63" w:rsidR="00E2093F">
        <w:rPr>
          <w:lang w:val="en-GB"/>
        </w:rPr>
        <w:t xml:space="preserve"> that they were not irrelevant.</w:t>
      </w:r>
    </w:p>
    <w:p w:rsidRPr="008C3B63" w:rsidR="00014566" w:rsidP="008C3B63" w:rsidRDefault="007803A3">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45</w:t>
      </w:r>
      <w:r w:rsidRPr="008C3B63">
        <w:rPr>
          <w:lang w:val="en-GB"/>
        </w:rPr>
        <w:fldChar w:fldCharType="end"/>
      </w:r>
      <w:r w:rsidRPr="008C3B63">
        <w:rPr>
          <w:lang w:val="en-GB"/>
        </w:rPr>
        <w:t>.  </w:t>
      </w:r>
      <w:r w:rsidRPr="008C3B63" w:rsidR="00014566">
        <w:rPr>
          <w:lang w:val="en-GB"/>
        </w:rPr>
        <w:t xml:space="preserve">There has accordingly been a violation of Article </w:t>
      </w:r>
      <w:r w:rsidRPr="008C3B63" w:rsidR="00553FB2">
        <w:rPr>
          <w:lang w:val="en-GB"/>
        </w:rPr>
        <w:t>5 § 4</w:t>
      </w:r>
      <w:r w:rsidRPr="008C3B63" w:rsidR="00014566">
        <w:rPr>
          <w:lang w:val="en-GB"/>
        </w:rPr>
        <w:t xml:space="preserve"> of the Convention.</w:t>
      </w:r>
    </w:p>
    <w:p w:rsidRPr="008C3B63" w:rsidR="00014566" w:rsidP="008C3B63" w:rsidRDefault="00446D15">
      <w:pPr>
        <w:pStyle w:val="ECHRHeading1"/>
        <w:rPr>
          <w:lang w:val="en-GB"/>
        </w:rPr>
      </w:pPr>
      <w:r w:rsidRPr="008C3B63">
        <w:rPr>
          <w:lang w:val="en-GB"/>
        </w:rPr>
        <w:t>II</w:t>
      </w:r>
      <w:r w:rsidRPr="008C3B63" w:rsidR="00014566">
        <w:rPr>
          <w:lang w:val="en-GB"/>
        </w:rPr>
        <w:t>.</w:t>
      </w:r>
      <w:proofErr w:type="gramStart"/>
      <w:r w:rsidRPr="008C3B63" w:rsidR="00014566">
        <w:rPr>
          <w:lang w:val="en-GB"/>
        </w:rPr>
        <w:t>  APPLICATION</w:t>
      </w:r>
      <w:proofErr w:type="gramEnd"/>
      <w:r w:rsidRPr="008C3B63" w:rsidR="00014566">
        <w:rPr>
          <w:lang w:val="en-GB"/>
        </w:rPr>
        <w:t xml:space="preserve"> OF ARTICLE 41 OF THE CONVENTION</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46</w:t>
      </w:r>
      <w:r w:rsidRPr="008C3B63">
        <w:rPr>
          <w:lang w:val="en-GB"/>
        </w:rPr>
        <w:fldChar w:fldCharType="end"/>
      </w:r>
      <w:r w:rsidRPr="008C3B63" w:rsidR="00014566">
        <w:rPr>
          <w:lang w:val="en-GB"/>
        </w:rPr>
        <w:t>.  Article 41 of the Convention provides:</w:t>
      </w:r>
    </w:p>
    <w:p w:rsidRPr="008C3B63" w:rsidR="00014566" w:rsidP="008C3B63" w:rsidRDefault="00014566">
      <w:pPr>
        <w:pStyle w:val="ECHRParaQuote"/>
        <w:keepNext/>
        <w:keepLines/>
        <w:rPr>
          <w:lang w:val="en-GB"/>
        </w:rPr>
      </w:pPr>
      <w:r w:rsidRPr="008C3B6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C3B63" w:rsidR="00014566" w:rsidP="008C3B63" w:rsidRDefault="00014566">
      <w:pPr>
        <w:pStyle w:val="ECHRHeading2"/>
        <w:rPr>
          <w:lang w:val="en-GB"/>
        </w:rPr>
      </w:pPr>
      <w:r w:rsidRPr="008C3B63">
        <w:rPr>
          <w:lang w:val="en-GB"/>
        </w:rPr>
        <w:t>A.  Damage</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47</w:t>
      </w:r>
      <w:r w:rsidRPr="008C3B63">
        <w:rPr>
          <w:lang w:val="en-GB"/>
        </w:rPr>
        <w:fldChar w:fldCharType="end"/>
      </w:r>
      <w:r w:rsidRPr="008C3B63" w:rsidR="00635672">
        <w:rPr>
          <w:lang w:val="en-GB"/>
        </w:rPr>
        <w:t>.  The applicant claimed 15,000</w:t>
      </w:r>
      <w:r w:rsidRPr="008C3B63" w:rsidR="0094503C">
        <w:rPr>
          <w:lang w:val="en-GB"/>
        </w:rPr>
        <w:t xml:space="preserve"> euros (EUR) in respect of non</w:t>
      </w:r>
      <w:r w:rsidRPr="008C3B63" w:rsidR="0094503C">
        <w:rPr>
          <w:lang w:val="en-GB"/>
        </w:rPr>
        <w:noBreakHyphen/>
      </w:r>
      <w:r w:rsidRPr="008C3B63" w:rsidR="00014566">
        <w:rPr>
          <w:lang w:val="en-GB"/>
        </w:rPr>
        <w:t>pecuniary damage.</w:t>
      </w:r>
      <w:r w:rsidRPr="008C3B63" w:rsidR="00544DB7">
        <w:rPr>
          <w:lang w:val="en-GB"/>
        </w:rPr>
        <w:t xml:space="preserve"> He argued that</w:t>
      </w:r>
      <w:r w:rsidRPr="008C3B63" w:rsidR="00FF35C7">
        <w:rPr>
          <w:lang w:val="en-GB"/>
        </w:rPr>
        <w:t xml:space="preserve"> as a consequence of the breaches of the Convention he </w:t>
      </w:r>
      <w:r w:rsidRPr="008C3B63" w:rsidR="008E5D54">
        <w:rPr>
          <w:lang w:val="en-GB"/>
        </w:rPr>
        <w:t xml:space="preserve">had </w:t>
      </w:r>
      <w:r w:rsidRPr="008C3B63" w:rsidR="00FF35C7">
        <w:rPr>
          <w:lang w:val="en-GB"/>
        </w:rPr>
        <w:t xml:space="preserve">suffered pain and distress, </w:t>
      </w:r>
      <w:r w:rsidRPr="008C3B63" w:rsidR="00A911A6">
        <w:rPr>
          <w:lang w:val="en-GB"/>
        </w:rPr>
        <w:t xml:space="preserve">not least because he, a drug addict, </w:t>
      </w:r>
      <w:r w:rsidRPr="008C3B63" w:rsidR="008E5D54">
        <w:rPr>
          <w:lang w:val="en-GB"/>
        </w:rPr>
        <w:t xml:space="preserve">had been </w:t>
      </w:r>
      <w:r w:rsidRPr="008C3B63" w:rsidR="00A911A6">
        <w:rPr>
          <w:lang w:val="en-GB"/>
        </w:rPr>
        <w:t>forced to go “cold turkey”</w:t>
      </w:r>
      <w:r w:rsidRPr="008C3B63" w:rsidR="00FF35C7">
        <w:rPr>
          <w:lang w:val="en-GB"/>
        </w:rPr>
        <w:t xml:space="preserve"> </w:t>
      </w:r>
      <w:r w:rsidRPr="008C3B63" w:rsidR="00A911A6">
        <w:rPr>
          <w:lang w:val="en-GB"/>
        </w:rPr>
        <w:t>in</w:t>
      </w:r>
      <w:r w:rsidRPr="008C3B63" w:rsidR="00FF35C7">
        <w:rPr>
          <w:lang w:val="en-GB"/>
        </w:rPr>
        <w:t xml:space="preserve"> detention.</w:t>
      </w:r>
    </w:p>
    <w:p w:rsidRPr="008C3B63" w:rsidR="00926D5F"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48</w:t>
      </w:r>
      <w:r w:rsidRPr="008C3B63">
        <w:rPr>
          <w:lang w:val="en-GB"/>
        </w:rPr>
        <w:fldChar w:fldCharType="end"/>
      </w:r>
      <w:r w:rsidRPr="008C3B63" w:rsidR="00014566">
        <w:rPr>
          <w:lang w:val="en-GB"/>
        </w:rPr>
        <w:t xml:space="preserve">.  The Government </w:t>
      </w:r>
      <w:r w:rsidRPr="008C3B63" w:rsidR="003834A6">
        <w:rPr>
          <w:lang w:val="en-GB"/>
        </w:rPr>
        <w:t>argued</w:t>
      </w:r>
      <w:r w:rsidRPr="008C3B63" w:rsidR="00204E60">
        <w:rPr>
          <w:lang w:val="en-GB"/>
        </w:rPr>
        <w:t xml:space="preserve"> that </w:t>
      </w:r>
      <w:r w:rsidRPr="008C3B63" w:rsidR="00076426">
        <w:rPr>
          <w:lang w:val="en-GB"/>
        </w:rPr>
        <w:t>it was speculative whether the applicant would have been released from detention if the procedural guarantees of Article 5 § 4 of the Convention had been respected in his case. Consequently, the non-pecuniary damage claimed was adequately compensated by the finding of a violation of this provision. In any event, the applicant</w:t>
      </w:r>
      <w:r w:rsidRPr="008C3B63" w:rsidR="008C3B63">
        <w:rPr>
          <w:lang w:val="en-GB"/>
        </w:rPr>
        <w:t>’</w:t>
      </w:r>
      <w:r w:rsidRPr="008C3B63" w:rsidR="00076426">
        <w:rPr>
          <w:lang w:val="en-GB"/>
        </w:rPr>
        <w:t xml:space="preserve">s claim for the alleged non-pecuniary damage was excessive and his suffering </w:t>
      </w:r>
      <w:r w:rsidRPr="008C3B63" w:rsidR="004D0FC6">
        <w:rPr>
          <w:lang w:val="en-GB"/>
        </w:rPr>
        <w:t xml:space="preserve">related to </w:t>
      </w:r>
      <w:r w:rsidRPr="008C3B63" w:rsidR="008E5D54">
        <w:rPr>
          <w:lang w:val="en-GB"/>
        </w:rPr>
        <w:t>going “</w:t>
      </w:r>
      <w:r w:rsidRPr="008C3B63" w:rsidR="004D0FC6">
        <w:rPr>
          <w:lang w:val="en-GB"/>
        </w:rPr>
        <w:t>cold turkey</w:t>
      </w:r>
      <w:r w:rsidRPr="008C3B63" w:rsidR="008E5D54">
        <w:rPr>
          <w:lang w:val="en-GB"/>
        </w:rPr>
        <w:t>”</w:t>
      </w:r>
      <w:r w:rsidRPr="008C3B63" w:rsidR="004D0FC6">
        <w:rPr>
          <w:lang w:val="en-GB"/>
        </w:rPr>
        <w:t xml:space="preserve"> in detention </w:t>
      </w:r>
      <w:r w:rsidRPr="008C3B63" w:rsidR="008E5D54">
        <w:rPr>
          <w:lang w:val="en-GB"/>
        </w:rPr>
        <w:t xml:space="preserve">had </w:t>
      </w:r>
      <w:r w:rsidRPr="008C3B63" w:rsidR="004D0FC6">
        <w:rPr>
          <w:lang w:val="en-GB"/>
        </w:rPr>
        <w:t xml:space="preserve">not </w:t>
      </w:r>
      <w:r w:rsidRPr="008C3B63" w:rsidR="008E5D54">
        <w:rPr>
          <w:lang w:val="en-GB"/>
        </w:rPr>
        <w:t xml:space="preserve">been </w:t>
      </w:r>
      <w:r w:rsidRPr="008C3B63" w:rsidR="004D0FC6">
        <w:rPr>
          <w:lang w:val="en-GB"/>
        </w:rPr>
        <w:t>directly caused by the violation in question.</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49</w:t>
      </w:r>
      <w:r w:rsidRPr="008C3B63">
        <w:rPr>
          <w:lang w:val="en-GB"/>
        </w:rPr>
        <w:fldChar w:fldCharType="end"/>
      </w:r>
      <w:r w:rsidRPr="008C3B63" w:rsidR="00014566">
        <w:rPr>
          <w:lang w:val="en-GB"/>
        </w:rPr>
        <w:t>. </w:t>
      </w:r>
      <w:r w:rsidRPr="008C3B63" w:rsidR="0094503C">
        <w:rPr>
          <w:lang w:val="en-GB"/>
        </w:rPr>
        <w:t> </w:t>
      </w:r>
      <w:r w:rsidRPr="008C3B63" w:rsidR="000C2017">
        <w:rPr>
          <w:lang w:val="en-GB"/>
        </w:rPr>
        <w:t>The Court considers that, in the circumstances of the present case, the finding of a violation constitutes in itself sufficient just satisfaction.</w:t>
      </w:r>
    </w:p>
    <w:p w:rsidRPr="008C3B63" w:rsidR="00014566" w:rsidP="008C3B63" w:rsidRDefault="00014566">
      <w:pPr>
        <w:pStyle w:val="ECHRHeading2"/>
        <w:rPr>
          <w:lang w:val="en-GB"/>
        </w:rPr>
      </w:pPr>
      <w:r w:rsidRPr="008C3B63">
        <w:rPr>
          <w:lang w:val="en-GB"/>
        </w:rPr>
        <w:t>B.  Costs and expenses</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50</w:t>
      </w:r>
      <w:r w:rsidRPr="008C3B63">
        <w:rPr>
          <w:lang w:val="en-GB"/>
        </w:rPr>
        <w:fldChar w:fldCharType="end"/>
      </w:r>
      <w:r w:rsidRPr="008C3B63" w:rsidR="00014566">
        <w:rPr>
          <w:lang w:val="en-GB"/>
        </w:rPr>
        <w:t xml:space="preserve">.  The applicant also claimed EUR </w:t>
      </w:r>
      <w:r w:rsidRPr="008C3B63" w:rsidR="00FF41C0">
        <w:rPr>
          <w:lang w:val="en-GB"/>
        </w:rPr>
        <w:t>8,925</w:t>
      </w:r>
      <w:r w:rsidRPr="008C3B63" w:rsidR="00014566">
        <w:rPr>
          <w:lang w:val="en-GB"/>
        </w:rPr>
        <w:t xml:space="preserve"> </w:t>
      </w:r>
      <w:r w:rsidRPr="008C3B63" w:rsidR="00D76C3E">
        <w:rPr>
          <w:lang w:val="en-GB"/>
        </w:rPr>
        <w:t xml:space="preserve">(including VAT) </w:t>
      </w:r>
      <w:r w:rsidRPr="008C3B63" w:rsidR="00014566">
        <w:rPr>
          <w:lang w:val="en-GB"/>
        </w:rPr>
        <w:t xml:space="preserve">for costs and expenses incurred before the </w:t>
      </w:r>
      <w:r w:rsidRPr="008C3B63" w:rsidR="00A2125E">
        <w:rPr>
          <w:lang w:val="en-GB"/>
        </w:rPr>
        <w:t>Federal Constitutional Court</w:t>
      </w:r>
      <w:r w:rsidRPr="008C3B63" w:rsidR="0094503C">
        <w:rPr>
          <w:lang w:val="en-GB"/>
        </w:rPr>
        <w:t xml:space="preserve"> and EUR </w:t>
      </w:r>
      <w:r w:rsidRPr="008C3B63" w:rsidR="00FF41C0">
        <w:rPr>
          <w:lang w:val="en-GB"/>
        </w:rPr>
        <w:t>8,925</w:t>
      </w:r>
      <w:r w:rsidRPr="008C3B63" w:rsidR="00014566">
        <w:rPr>
          <w:lang w:val="en-GB"/>
        </w:rPr>
        <w:t xml:space="preserve"> </w:t>
      </w:r>
      <w:r w:rsidRPr="008C3B63" w:rsidR="00D76C3E">
        <w:rPr>
          <w:lang w:val="en-GB"/>
        </w:rPr>
        <w:t xml:space="preserve">(including VAT) </w:t>
      </w:r>
      <w:r w:rsidRPr="008C3B63" w:rsidR="00014566">
        <w:rPr>
          <w:lang w:val="en-GB"/>
        </w:rPr>
        <w:t>for those incurred before the Court.</w:t>
      </w:r>
      <w:r w:rsidRPr="008C3B63" w:rsidR="006317AE">
        <w:t xml:space="preserve"> </w:t>
      </w:r>
      <w:r w:rsidRPr="008C3B63" w:rsidR="00A2125E">
        <w:t>He submitted copies of the fee agreements between him and his lawyer concerning these proceedings.</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51</w:t>
      </w:r>
      <w:r w:rsidRPr="008C3B63">
        <w:rPr>
          <w:lang w:val="en-GB"/>
        </w:rPr>
        <w:fldChar w:fldCharType="end"/>
      </w:r>
      <w:r w:rsidRPr="008C3B63" w:rsidR="00014566">
        <w:rPr>
          <w:lang w:val="en-GB"/>
        </w:rPr>
        <w:t xml:space="preserve">.  The Government </w:t>
      </w:r>
      <w:r w:rsidRPr="008C3B63" w:rsidR="00A2125E">
        <w:rPr>
          <w:lang w:val="en-GB"/>
        </w:rPr>
        <w:t>disputed that the costs and expenses</w:t>
      </w:r>
      <w:r w:rsidRPr="008C3B63" w:rsidR="008E5D54">
        <w:rPr>
          <w:lang w:val="en-GB"/>
        </w:rPr>
        <w:t xml:space="preserve"> had</w:t>
      </w:r>
      <w:r w:rsidRPr="008C3B63" w:rsidR="00A2125E">
        <w:rPr>
          <w:lang w:val="en-GB"/>
        </w:rPr>
        <w:t xml:space="preserve"> actually </w:t>
      </w:r>
      <w:r w:rsidRPr="008C3B63" w:rsidR="008E5D54">
        <w:rPr>
          <w:lang w:val="en-GB"/>
        </w:rPr>
        <w:t xml:space="preserve">been </w:t>
      </w:r>
      <w:r w:rsidRPr="008C3B63" w:rsidR="00A2125E">
        <w:rPr>
          <w:lang w:val="en-GB"/>
        </w:rPr>
        <w:t xml:space="preserve">incurred. They submitted that the copies of the fee agreements </w:t>
      </w:r>
      <w:r w:rsidRPr="008C3B63" w:rsidR="006E1BB8">
        <w:rPr>
          <w:lang w:val="en-GB"/>
        </w:rPr>
        <w:t xml:space="preserve">had been </w:t>
      </w:r>
      <w:r w:rsidRPr="008C3B63" w:rsidR="00A2125E">
        <w:rPr>
          <w:lang w:val="en-GB"/>
        </w:rPr>
        <w:t>signed by the applicant</w:t>
      </w:r>
      <w:r w:rsidRPr="008C3B63" w:rsidR="008E5D54">
        <w:rPr>
          <w:lang w:val="en-GB"/>
        </w:rPr>
        <w:t xml:space="preserve"> but not his lawyer</w:t>
      </w:r>
      <w:r w:rsidRPr="008C3B63" w:rsidR="00A2125E">
        <w:rPr>
          <w:lang w:val="en-GB"/>
        </w:rPr>
        <w:t xml:space="preserve">, </w:t>
      </w:r>
      <w:r w:rsidRPr="008C3B63" w:rsidR="008E5D54">
        <w:rPr>
          <w:lang w:val="en-GB"/>
        </w:rPr>
        <w:t>and did not</w:t>
      </w:r>
      <w:r w:rsidRPr="008C3B63" w:rsidR="00A2125E">
        <w:rPr>
          <w:lang w:val="en-GB"/>
        </w:rPr>
        <w:t xml:space="preserve"> specify</w:t>
      </w:r>
      <w:r w:rsidRPr="008C3B63" w:rsidR="008E5D54">
        <w:rPr>
          <w:lang w:val="en-GB"/>
        </w:rPr>
        <w:t xml:space="preserve"> </w:t>
      </w:r>
      <w:r w:rsidRPr="008C3B63" w:rsidR="00A2125E">
        <w:rPr>
          <w:lang w:val="en-GB"/>
        </w:rPr>
        <w:t>the date and place of signature. In any event, the</w:t>
      </w:r>
      <w:r w:rsidRPr="008C3B63" w:rsidR="00544DB7">
        <w:rPr>
          <w:lang w:val="en-GB"/>
        </w:rPr>
        <w:t xml:space="preserve"> applicant</w:t>
      </w:r>
      <w:r w:rsidRPr="008C3B63" w:rsidR="008C3B63">
        <w:rPr>
          <w:lang w:val="en-GB"/>
        </w:rPr>
        <w:t>’</w:t>
      </w:r>
      <w:r w:rsidRPr="008C3B63" w:rsidR="00544DB7">
        <w:rPr>
          <w:lang w:val="en-GB"/>
        </w:rPr>
        <w:t>s claim was</w:t>
      </w:r>
      <w:r w:rsidRPr="008C3B63" w:rsidR="00A2125E">
        <w:rPr>
          <w:lang w:val="en-GB"/>
        </w:rPr>
        <w:t xml:space="preserve"> excessive</w:t>
      </w:r>
      <w:r w:rsidRPr="008C3B63" w:rsidR="00D76C3E">
        <w:rPr>
          <w:lang w:val="en-GB"/>
        </w:rPr>
        <w:t xml:space="preserve"> as the overall sum was several times higher than the amount of statutory reimbursement.</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52</w:t>
      </w:r>
      <w:r w:rsidRPr="008C3B63">
        <w:rPr>
          <w:lang w:val="en-GB"/>
        </w:rPr>
        <w:fldChar w:fldCharType="end"/>
      </w:r>
      <w:r w:rsidRPr="008C3B63" w:rsidR="00014566">
        <w:rPr>
          <w:lang w:val="en-GB"/>
        </w:rPr>
        <w:t>.  </w:t>
      </w:r>
      <w:r w:rsidRPr="008C3B63">
        <w:rPr>
          <w:lang w:val="en-GB"/>
        </w:rPr>
        <w:t>According to the Court</w:t>
      </w:r>
      <w:r w:rsidRPr="008C3B63" w:rsidR="008C3B63">
        <w:rPr>
          <w:lang w:val="en-GB"/>
        </w:rPr>
        <w:t>’</w:t>
      </w:r>
      <w:r w:rsidRPr="008C3B63">
        <w:rPr>
          <w:lang w:val="en-GB"/>
        </w:rPr>
        <w:t>s case-law, an applicant is entitled to the reimbursement of costs and expenses only in so far as it has been shown that these have been actually and necessarily incurred and are reasonable as to quantum. In the present case, regard</w:t>
      </w:r>
      <w:r w:rsidRPr="008C3B63" w:rsidR="00014566">
        <w:rPr>
          <w:lang w:val="en-GB"/>
        </w:rPr>
        <w:t xml:space="preserve"> being had to the documents in its possession and </w:t>
      </w:r>
      <w:r w:rsidRPr="008C3B63">
        <w:rPr>
          <w:lang w:val="en-GB"/>
        </w:rPr>
        <w:t>the above criteria</w:t>
      </w:r>
      <w:r w:rsidRPr="008C3B63" w:rsidR="00014566">
        <w:rPr>
          <w:lang w:val="en-GB"/>
        </w:rPr>
        <w:t xml:space="preserve">, </w:t>
      </w:r>
      <w:r w:rsidRPr="008C3B63" w:rsidR="006317AE">
        <w:rPr>
          <w:lang w:val="en-GB"/>
        </w:rPr>
        <w:t xml:space="preserve">and </w:t>
      </w:r>
      <w:r w:rsidRPr="008C3B63" w:rsidR="00D76C3E">
        <w:rPr>
          <w:lang w:val="en-GB"/>
        </w:rPr>
        <w:t>to the fact</w:t>
      </w:r>
      <w:r w:rsidRPr="008C3B63" w:rsidR="006317AE">
        <w:rPr>
          <w:lang w:val="en-GB"/>
        </w:rPr>
        <w:t xml:space="preserve"> that the applicant had been granted legal for the Convention proceedings, </w:t>
      </w:r>
      <w:r w:rsidRPr="008C3B63" w:rsidR="00014566">
        <w:rPr>
          <w:lang w:val="en-GB"/>
        </w:rPr>
        <w:t xml:space="preserve">the Court considers it reasonable to award the sum of EUR </w:t>
      </w:r>
      <w:r w:rsidRPr="008C3B63" w:rsidR="00FE13BA">
        <w:rPr>
          <w:lang w:val="en-GB"/>
        </w:rPr>
        <w:t>4,000</w:t>
      </w:r>
      <w:r w:rsidRPr="008C3B63" w:rsidR="00014566">
        <w:rPr>
          <w:lang w:val="en-GB"/>
        </w:rPr>
        <w:t xml:space="preserve"> covering costs under all heads</w:t>
      </w:r>
      <w:r w:rsidRPr="008C3B63" w:rsidR="006317AE">
        <w:rPr>
          <w:lang w:val="en-GB"/>
        </w:rPr>
        <w:t>,</w:t>
      </w:r>
      <w:r w:rsidRPr="008C3B63" w:rsidR="006317AE">
        <w:t xml:space="preserve"> </w:t>
      </w:r>
      <w:r w:rsidRPr="008C3B63" w:rsidR="006317AE">
        <w:rPr>
          <w:lang w:val="en-GB"/>
        </w:rPr>
        <w:t>plus any tax that may be chargeable to the applicant</w:t>
      </w:r>
      <w:r w:rsidRPr="008C3B63" w:rsidR="00014566">
        <w:rPr>
          <w:lang w:val="en-GB"/>
        </w:rPr>
        <w:t>.</w:t>
      </w:r>
    </w:p>
    <w:p w:rsidRPr="008C3B63" w:rsidR="00014566" w:rsidP="008C3B63" w:rsidRDefault="00014566">
      <w:pPr>
        <w:pStyle w:val="ECHRHeading2"/>
        <w:rPr>
          <w:lang w:val="en-GB"/>
        </w:rPr>
      </w:pPr>
      <w:r w:rsidRPr="008C3B63">
        <w:rPr>
          <w:lang w:val="en-GB"/>
        </w:rPr>
        <w:t>C.  Default interest</w:t>
      </w:r>
    </w:p>
    <w:p w:rsidRPr="008C3B63" w:rsidR="00014566" w:rsidP="008C3B63" w:rsidRDefault="007B3535">
      <w:pPr>
        <w:pStyle w:val="ECHRPara"/>
        <w:rPr>
          <w:lang w:val="en-GB"/>
        </w:rPr>
      </w:pPr>
      <w:r w:rsidRPr="008C3B63">
        <w:rPr>
          <w:lang w:val="en-GB"/>
        </w:rPr>
        <w:fldChar w:fldCharType="begin"/>
      </w:r>
      <w:r w:rsidRPr="008C3B63">
        <w:rPr>
          <w:lang w:val="en-GB"/>
        </w:rPr>
        <w:instrText xml:space="preserve"> SEQ level0 \*arabic </w:instrText>
      </w:r>
      <w:r w:rsidRPr="008C3B63">
        <w:rPr>
          <w:lang w:val="en-GB"/>
        </w:rPr>
        <w:fldChar w:fldCharType="separate"/>
      </w:r>
      <w:r w:rsidRPr="008C3B63" w:rsidR="008C3B63">
        <w:rPr>
          <w:noProof/>
          <w:lang w:val="en-GB"/>
        </w:rPr>
        <w:t>53</w:t>
      </w:r>
      <w:r w:rsidRPr="008C3B63">
        <w:rPr>
          <w:lang w:val="en-GB"/>
        </w:rPr>
        <w:fldChar w:fldCharType="end"/>
      </w:r>
      <w:r w:rsidRPr="008C3B63" w:rsidR="00014566">
        <w:rPr>
          <w:lang w:val="en-GB"/>
        </w:rPr>
        <w:t>.  The Court considers it appropriate that the default interest rate should be based on the marginal lending rate of the European Central Bank, to which should be added three percentage points.</w:t>
      </w:r>
    </w:p>
    <w:p w:rsidRPr="008C3B63" w:rsidR="00014566" w:rsidP="008C3B63" w:rsidRDefault="00BB5883">
      <w:pPr>
        <w:pStyle w:val="ECHRTitle1"/>
        <w:rPr>
          <w:lang w:val="en-GB"/>
        </w:rPr>
      </w:pPr>
      <w:r w:rsidRPr="008C3B63">
        <w:rPr>
          <w:lang w:val="en-GB"/>
        </w:rPr>
        <w:t>FOR THESE REASONS, THE COURT</w:t>
      </w:r>
      <w:r w:rsidRPr="008C3B63" w:rsidR="007B3535">
        <w:rPr>
          <w:lang w:val="en-GB"/>
        </w:rPr>
        <w:t>,</w:t>
      </w:r>
    </w:p>
    <w:p w:rsidRPr="008C3B63" w:rsidR="00B637B9" w:rsidP="008C3B63" w:rsidRDefault="00B637B9">
      <w:pPr>
        <w:pStyle w:val="JuList"/>
        <w:rPr>
          <w:lang w:val="en-GB"/>
        </w:rPr>
      </w:pPr>
      <w:r w:rsidRPr="008C3B63">
        <w:rPr>
          <w:lang w:val="en-GB"/>
        </w:rPr>
        <w:t>1.  </w:t>
      </w:r>
      <w:r w:rsidRPr="008C3B63">
        <w:rPr>
          <w:i/>
          <w:lang w:val="en-GB"/>
        </w:rPr>
        <w:t>Declares</w:t>
      </w:r>
      <w:r w:rsidRPr="008C3B63" w:rsidR="007B3535">
        <w:rPr>
          <w:lang w:val="en-GB"/>
        </w:rPr>
        <w:t>, unanimously,</w:t>
      </w:r>
      <w:r w:rsidRPr="008C3B63">
        <w:rPr>
          <w:color w:val="000000"/>
          <w:lang w:val="en-GB"/>
        </w:rPr>
        <w:t xml:space="preserve"> </w:t>
      </w:r>
      <w:r w:rsidRPr="008C3B63" w:rsidR="00DB75B7">
        <w:rPr>
          <w:lang w:val="en-GB"/>
        </w:rPr>
        <w:t xml:space="preserve">the </w:t>
      </w:r>
      <w:r w:rsidRPr="008C3B63" w:rsidR="007B3535">
        <w:rPr>
          <w:lang w:val="en-GB"/>
        </w:rPr>
        <w:t>application</w:t>
      </w:r>
      <w:r w:rsidRPr="008C3B63">
        <w:rPr>
          <w:lang w:val="en-GB"/>
        </w:rPr>
        <w:t xml:space="preserve"> admissible;</w:t>
      </w:r>
    </w:p>
    <w:p w:rsidRPr="008C3B63" w:rsidR="00014566" w:rsidP="008C3B63" w:rsidRDefault="00014566">
      <w:pPr>
        <w:pStyle w:val="JuList"/>
        <w:ind w:left="0" w:firstLine="0"/>
        <w:rPr>
          <w:lang w:val="en-GB"/>
        </w:rPr>
      </w:pPr>
    </w:p>
    <w:p w:rsidRPr="008C3B63" w:rsidR="00014566" w:rsidP="008C3B63" w:rsidRDefault="00452DEC">
      <w:pPr>
        <w:pStyle w:val="JuList"/>
        <w:rPr>
          <w:lang w:val="en-GB"/>
        </w:rPr>
      </w:pPr>
      <w:r w:rsidRPr="008C3B63">
        <w:rPr>
          <w:lang w:val="en-GB"/>
        </w:rPr>
        <w:t>2</w:t>
      </w:r>
      <w:r w:rsidRPr="008C3B63" w:rsidR="00014566">
        <w:rPr>
          <w:lang w:val="en-GB"/>
        </w:rPr>
        <w:t>.  </w:t>
      </w:r>
      <w:r w:rsidRPr="008C3B63" w:rsidR="00014566">
        <w:rPr>
          <w:i/>
          <w:lang w:val="en-GB"/>
        </w:rPr>
        <w:t>Holds</w:t>
      </w:r>
      <w:r w:rsidRPr="008C3B63" w:rsidR="007B3535">
        <w:rPr>
          <w:lang w:val="en-GB"/>
        </w:rPr>
        <w:t xml:space="preserve">, by </w:t>
      </w:r>
      <w:r w:rsidRPr="008C3B63" w:rsidR="009A18BB">
        <w:rPr>
          <w:lang w:val="en-GB"/>
        </w:rPr>
        <w:t>four</w:t>
      </w:r>
      <w:r w:rsidRPr="008C3B63" w:rsidR="007B3535">
        <w:rPr>
          <w:lang w:val="en-GB"/>
        </w:rPr>
        <w:t xml:space="preserve"> votes to </w:t>
      </w:r>
      <w:r w:rsidRPr="008C3B63" w:rsidR="009A18BB">
        <w:rPr>
          <w:lang w:val="en-GB"/>
        </w:rPr>
        <w:t>three</w:t>
      </w:r>
      <w:r w:rsidRPr="008C3B63" w:rsidR="007B3535">
        <w:rPr>
          <w:lang w:val="en-GB"/>
        </w:rPr>
        <w:t>,</w:t>
      </w:r>
      <w:r w:rsidRPr="008C3B63" w:rsidR="00014566">
        <w:rPr>
          <w:color w:val="000000"/>
          <w:lang w:val="en-GB"/>
        </w:rPr>
        <w:t xml:space="preserve"> </w:t>
      </w:r>
      <w:r w:rsidRPr="008C3B63" w:rsidR="00014566">
        <w:rPr>
          <w:lang w:val="en-GB"/>
        </w:rPr>
        <w:t xml:space="preserve">that there </w:t>
      </w:r>
      <w:r w:rsidRPr="008C3B63" w:rsidR="0094503C">
        <w:rPr>
          <w:lang w:val="en-GB"/>
        </w:rPr>
        <w:t>has been a violation of Article 5 </w:t>
      </w:r>
      <w:r w:rsidRPr="008C3B63" w:rsidR="007C5007">
        <w:rPr>
          <w:lang w:val="en-GB"/>
        </w:rPr>
        <w:t>§ 4</w:t>
      </w:r>
      <w:r w:rsidRPr="008C3B63" w:rsidR="00014566">
        <w:rPr>
          <w:lang w:val="en-GB"/>
        </w:rPr>
        <w:t xml:space="preserve"> of the Convention;</w:t>
      </w:r>
    </w:p>
    <w:p w:rsidRPr="008C3B63" w:rsidR="00014566" w:rsidP="008C3B63" w:rsidRDefault="00014566">
      <w:pPr>
        <w:pStyle w:val="JuList"/>
        <w:rPr>
          <w:lang w:val="en-GB"/>
        </w:rPr>
      </w:pPr>
    </w:p>
    <w:p w:rsidRPr="008C3B63" w:rsidR="000C2017" w:rsidP="008C3B63" w:rsidRDefault="000C2017">
      <w:pPr>
        <w:pStyle w:val="JuList"/>
        <w:rPr>
          <w:lang w:val="en-GB"/>
        </w:rPr>
      </w:pPr>
      <w:r w:rsidRPr="008C3B63">
        <w:rPr>
          <w:lang w:val="en-GB"/>
        </w:rPr>
        <w:t>3.  </w:t>
      </w:r>
      <w:r w:rsidRPr="008C3B63">
        <w:rPr>
          <w:i/>
          <w:lang w:val="en-GB"/>
        </w:rPr>
        <w:t>Holds</w:t>
      </w:r>
      <w:r w:rsidRPr="008C3B63">
        <w:rPr>
          <w:lang w:val="en-GB"/>
        </w:rPr>
        <w:t xml:space="preserve">, by </w:t>
      </w:r>
      <w:r w:rsidRPr="008C3B63" w:rsidR="009A18BB">
        <w:rPr>
          <w:lang w:val="en-GB"/>
        </w:rPr>
        <w:t>four</w:t>
      </w:r>
      <w:r w:rsidRPr="008C3B63">
        <w:rPr>
          <w:lang w:val="en-GB"/>
        </w:rPr>
        <w:t xml:space="preserve"> votes to </w:t>
      </w:r>
      <w:r w:rsidRPr="008C3B63" w:rsidR="009A18BB">
        <w:rPr>
          <w:lang w:val="en-GB"/>
        </w:rPr>
        <w:t>three</w:t>
      </w:r>
      <w:r w:rsidRPr="008C3B63">
        <w:rPr>
          <w:lang w:val="en-GB"/>
        </w:rPr>
        <w:t>,</w:t>
      </w:r>
      <w:r w:rsidRPr="008C3B63">
        <w:rPr>
          <w:color w:val="000000"/>
          <w:lang w:val="en-GB"/>
        </w:rPr>
        <w:t xml:space="preserve"> </w:t>
      </w:r>
      <w:r w:rsidRPr="008C3B63">
        <w:rPr>
          <w:lang w:val="en-GB"/>
        </w:rPr>
        <w:t>that the finding of a violation constitutes in itself sufficient just satisfaction for the non-pecuniary damage sustained by the applicant</w:t>
      </w:r>
      <w:r w:rsidRPr="008C3B63" w:rsidR="006C401A">
        <w:rPr>
          <w:lang w:val="en-GB"/>
        </w:rPr>
        <w:t>;</w:t>
      </w:r>
    </w:p>
    <w:p w:rsidRPr="008C3B63" w:rsidR="000C2017" w:rsidP="008C3B63" w:rsidRDefault="000C2017">
      <w:pPr>
        <w:pStyle w:val="JuList"/>
        <w:rPr>
          <w:lang w:val="en-GB"/>
        </w:rPr>
      </w:pPr>
    </w:p>
    <w:p w:rsidRPr="008C3B63" w:rsidR="00014566" w:rsidP="008C3B63" w:rsidRDefault="006C401A">
      <w:pPr>
        <w:pStyle w:val="JuList"/>
        <w:rPr>
          <w:lang w:val="en-GB"/>
        </w:rPr>
      </w:pPr>
      <w:r w:rsidRPr="008C3B63">
        <w:rPr>
          <w:lang w:val="en-GB"/>
        </w:rPr>
        <w:t>4</w:t>
      </w:r>
      <w:r w:rsidRPr="008C3B63" w:rsidR="00014566">
        <w:rPr>
          <w:lang w:val="en-GB"/>
        </w:rPr>
        <w:t>.  </w:t>
      </w:r>
      <w:r w:rsidRPr="008C3B63" w:rsidR="00014566">
        <w:rPr>
          <w:i/>
          <w:lang w:val="en-GB"/>
        </w:rPr>
        <w:t>Holds</w:t>
      </w:r>
      <w:r w:rsidRPr="008C3B63" w:rsidR="007B3535">
        <w:rPr>
          <w:lang w:val="en-GB"/>
        </w:rPr>
        <w:t xml:space="preserve">, by </w:t>
      </w:r>
      <w:r w:rsidRPr="008C3B63" w:rsidR="009A18BB">
        <w:rPr>
          <w:lang w:val="en-GB"/>
        </w:rPr>
        <w:t xml:space="preserve">four </w:t>
      </w:r>
      <w:r w:rsidRPr="008C3B63" w:rsidR="007B3535">
        <w:rPr>
          <w:lang w:val="en-GB"/>
        </w:rPr>
        <w:t xml:space="preserve">votes to </w:t>
      </w:r>
      <w:r w:rsidRPr="008C3B63" w:rsidR="009A18BB">
        <w:rPr>
          <w:lang w:val="en-GB"/>
        </w:rPr>
        <w:t>three,</w:t>
      </w:r>
    </w:p>
    <w:p w:rsidRPr="008C3B63" w:rsidR="00014566" w:rsidP="008C3B63" w:rsidRDefault="00014566">
      <w:pPr>
        <w:pStyle w:val="JuLista"/>
        <w:rPr>
          <w:lang w:val="en-GB"/>
        </w:rPr>
      </w:pPr>
      <w:r w:rsidRPr="008C3B63">
        <w:rPr>
          <w:lang w:val="en-GB"/>
        </w:rPr>
        <w:t>(a)  that the respondent State is to pay the applicant, within three months</w:t>
      </w:r>
      <w:r w:rsidRPr="008C3B63" w:rsidR="007B3535">
        <w:rPr>
          <w:lang w:val="en-GB"/>
        </w:rPr>
        <w:t xml:space="preserve"> from the date on which the judgment becomes final in accordance with Article 44 § 2 of the Convention,</w:t>
      </w:r>
      <w:r w:rsidRPr="008C3B63">
        <w:rPr>
          <w:lang w:val="en-GB"/>
        </w:rPr>
        <w:t xml:space="preserve"> EUR </w:t>
      </w:r>
      <w:r w:rsidRPr="008C3B63" w:rsidR="00D76C3E">
        <w:rPr>
          <w:lang w:val="en-GB"/>
        </w:rPr>
        <w:t>4,000</w:t>
      </w:r>
      <w:r w:rsidRPr="008C3B63">
        <w:rPr>
          <w:lang w:val="en-GB"/>
        </w:rPr>
        <w:t xml:space="preserve"> (</w:t>
      </w:r>
      <w:r w:rsidRPr="008C3B63" w:rsidR="00D76C3E">
        <w:rPr>
          <w:lang w:val="en-GB"/>
        </w:rPr>
        <w:t>four thousand</w:t>
      </w:r>
      <w:r w:rsidRPr="008C3B63">
        <w:rPr>
          <w:lang w:val="en-GB"/>
        </w:rPr>
        <w:t xml:space="preserve"> euros), plus any tax that may be chargeable to the applicant, in respect of costs and expenses;</w:t>
      </w:r>
    </w:p>
    <w:p w:rsidRPr="008C3B63" w:rsidR="00014566" w:rsidP="008C3B63" w:rsidRDefault="00014566">
      <w:pPr>
        <w:pStyle w:val="JuLista"/>
        <w:rPr>
          <w:lang w:val="en-GB"/>
        </w:rPr>
      </w:pPr>
      <w:r w:rsidRPr="008C3B63">
        <w:rPr>
          <w:lang w:val="en-GB"/>
        </w:rPr>
        <w:t>(b)  </w:t>
      </w:r>
      <w:proofErr w:type="gramStart"/>
      <w:r w:rsidRPr="008C3B63">
        <w:rPr>
          <w:lang w:val="en-GB"/>
        </w:rPr>
        <w:t>that</w:t>
      </w:r>
      <w:proofErr w:type="gramEnd"/>
      <w:r w:rsidRPr="008C3B63">
        <w:rPr>
          <w:lang w:val="en-GB"/>
        </w:rPr>
        <w:t xml:space="preserve"> from the expiry of the above-mentioned three months until settlement simple interest shall be payable on the above amounts at a rate equal to the marginal lending rate of the European Central Bank during the default period plus three percentage points</w:t>
      </w:r>
      <w:r w:rsidRPr="008C3B63" w:rsidR="0086397E">
        <w:rPr>
          <w:lang w:val="en-GB"/>
        </w:rPr>
        <w:t>.</w:t>
      </w:r>
    </w:p>
    <w:p w:rsidRPr="008C3B63" w:rsidR="00014566" w:rsidP="008C3B63" w:rsidRDefault="00014566">
      <w:pPr>
        <w:pStyle w:val="JuList"/>
        <w:rPr>
          <w:lang w:val="en-GB"/>
        </w:rPr>
      </w:pPr>
    </w:p>
    <w:p w:rsidRPr="008C3B63" w:rsidR="00014566" w:rsidP="008C3B63" w:rsidRDefault="00014566">
      <w:pPr>
        <w:pStyle w:val="JuParaLast"/>
        <w:rPr>
          <w:lang w:val="en-GB"/>
        </w:rPr>
      </w:pPr>
      <w:r w:rsidRPr="008C3B63">
        <w:rPr>
          <w:lang w:val="en-GB"/>
        </w:rPr>
        <w:t xml:space="preserve">Done in English, and notified in writing on </w:t>
      </w:r>
      <w:r w:rsidRPr="008C3B63" w:rsidR="00E23C12">
        <w:rPr>
          <w:lang w:val="en-GB"/>
        </w:rPr>
        <w:t xml:space="preserve">7 September 2017, </w:t>
      </w:r>
      <w:r w:rsidRPr="008C3B63">
        <w:rPr>
          <w:lang w:val="en-GB"/>
        </w:rPr>
        <w:t>pursuant to Rule 77 §§ 2 and 3 of the Rules of Court.</w:t>
      </w:r>
    </w:p>
    <w:p w:rsidRPr="008C3B63" w:rsidR="004D15F3" w:rsidP="008C3B63" w:rsidRDefault="00014566">
      <w:pPr>
        <w:pStyle w:val="JuSigned"/>
        <w:rPr>
          <w:lang w:val="en-GB"/>
        </w:rPr>
      </w:pPr>
      <w:r w:rsidRPr="008C3B63">
        <w:rPr>
          <w:lang w:val="en-GB"/>
        </w:rPr>
        <w:tab/>
      </w:r>
      <w:r w:rsidRPr="008C3B63" w:rsidR="00EF0D82">
        <w:rPr>
          <w:lang w:val="en-GB"/>
        </w:rPr>
        <w:t>Milan Blaško</w:t>
      </w:r>
      <w:r w:rsidRPr="008C3B63">
        <w:rPr>
          <w:lang w:val="en-GB"/>
        </w:rPr>
        <w:tab/>
      </w:r>
      <w:r w:rsidRPr="008C3B63" w:rsidR="007B3535">
        <w:rPr>
          <w:szCs w:val="24"/>
          <w:lang w:val="en-GB"/>
        </w:rPr>
        <w:t>Erik Møse</w:t>
      </w:r>
      <w:r w:rsidRPr="008C3B63" w:rsidR="00E1557C">
        <w:rPr>
          <w:szCs w:val="24"/>
          <w:lang w:val="en-GB"/>
        </w:rPr>
        <w:br/>
      </w:r>
      <w:r w:rsidRPr="008C3B63">
        <w:rPr>
          <w:lang w:val="en-GB"/>
        </w:rPr>
        <w:tab/>
      </w:r>
      <w:r w:rsidRPr="008C3B63" w:rsidR="00EF0D82">
        <w:rPr>
          <w:lang w:val="en-GB"/>
        </w:rPr>
        <w:t xml:space="preserve">Deputy </w:t>
      </w:r>
      <w:r w:rsidRPr="008C3B63" w:rsidR="007B3535">
        <w:rPr>
          <w:iCs/>
          <w:lang w:val="en-GB"/>
        </w:rPr>
        <w:t>Registrar</w:t>
      </w:r>
      <w:r w:rsidRPr="008C3B63">
        <w:rPr>
          <w:lang w:val="en-GB"/>
        </w:rPr>
        <w:tab/>
        <w:t>President</w:t>
      </w:r>
    </w:p>
    <w:p w:rsidRPr="008C3B63" w:rsidR="0094503C" w:rsidP="008C3B63" w:rsidRDefault="0094503C">
      <w:pPr>
        <w:pStyle w:val="ECHRPara"/>
        <w:rPr>
          <w:lang w:val="en-GB"/>
        </w:rPr>
      </w:pPr>
    </w:p>
    <w:p w:rsidRPr="008C3B63" w:rsidR="00F2724A" w:rsidP="008C3B63" w:rsidRDefault="00F2724A">
      <w:pPr>
        <w:pStyle w:val="JuParaLast"/>
      </w:pPr>
      <w:r w:rsidRPr="008C3B63">
        <w:t xml:space="preserve">In accordance with Article 45 § 2 of the Convention and Rule 74 § 2 of the Rules of Court, the separate opinion of Judges </w:t>
      </w:r>
      <w:r w:rsidRPr="008C3B63">
        <w:rPr>
          <w:lang w:val="en-GB"/>
        </w:rPr>
        <w:t>Nußberger, Møse and Hüseynov</w:t>
      </w:r>
      <w:r w:rsidRPr="008C3B63">
        <w:t xml:space="preserve"> is annexed to this judgment.</w:t>
      </w:r>
    </w:p>
    <w:p w:rsidRPr="008C3B63" w:rsidR="00F2724A" w:rsidP="008C3B63" w:rsidRDefault="00034E83">
      <w:pPr>
        <w:pStyle w:val="JuInitialled"/>
      </w:pPr>
      <w:r w:rsidRPr="008C3B63">
        <w:t>E.M</w:t>
      </w:r>
      <w:proofErr w:type="gramStart"/>
      <w:r w:rsidRPr="008C3B63">
        <w:t>.</w:t>
      </w:r>
      <w:proofErr w:type="gramEnd"/>
      <w:r w:rsidRPr="008C3B63" w:rsidR="00F2724A">
        <w:br/>
      </w:r>
      <w:r w:rsidRPr="008C3B63">
        <w:t>M.B.</w:t>
      </w:r>
    </w:p>
    <w:p w:rsidRPr="008C3B63" w:rsidR="0094503C" w:rsidP="008C3B63" w:rsidRDefault="0094503C">
      <w:pPr>
        <w:pStyle w:val="ECHRPara"/>
        <w:rPr>
          <w:lang w:val="en-GB"/>
        </w:rPr>
      </w:pPr>
    </w:p>
    <w:p w:rsidRPr="008C3B63" w:rsidR="0000586C" w:rsidP="008C3B63" w:rsidRDefault="0000586C">
      <w:pPr>
        <w:pStyle w:val="ECHRPara"/>
        <w:rPr>
          <w:lang w:val="en-GB"/>
        </w:rPr>
        <w:sectPr w:rsidRPr="008C3B63" w:rsidR="0000586C" w:rsidSect="00926D5F">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8C3B63" w:rsidR="00A04C44" w:rsidP="008C3B63" w:rsidRDefault="00A04C44">
      <w:pPr>
        <w:pStyle w:val="ECHRTitleCentre1"/>
        <w:rPr>
          <w:rFonts w:eastAsia="Times New Roman"/>
          <w:lang w:val="en-GB"/>
        </w:rPr>
      </w:pPr>
      <w:r w:rsidRPr="008C3B63">
        <w:rPr>
          <w:rFonts w:eastAsia="Times New Roman"/>
          <w:lang w:val="en-GB"/>
        </w:rPr>
        <w:t>JOINT PARTLY DISSENTING OPINION OF JUDGES NUSSBERGER, MØSE AND HÜSEYNOV</w:t>
      </w:r>
    </w:p>
    <w:p w:rsidRPr="008C3B63" w:rsidR="00A04C44" w:rsidP="008C3B63" w:rsidRDefault="00A04C44">
      <w:pPr>
        <w:pStyle w:val="OpiPara"/>
        <w:rPr>
          <w:rFonts w:eastAsia="Times New Roman"/>
          <w:lang w:val="en-GB"/>
        </w:rPr>
      </w:pPr>
      <w:r w:rsidRPr="008C3B63">
        <w:rPr>
          <w:rFonts w:eastAsia="Times New Roman"/>
          <w:lang w:val="en-GB"/>
        </w:rPr>
        <w:t>We have voted against finding a violation of Ar</w:t>
      </w:r>
      <w:r w:rsidRPr="008C3B63" w:rsidR="005E0F05">
        <w:rPr>
          <w:rFonts w:eastAsia="Times New Roman"/>
          <w:lang w:val="en-GB"/>
        </w:rPr>
        <w:t xml:space="preserve">ticle 5 § 4 of the Convention. </w:t>
      </w:r>
      <w:r w:rsidRPr="008C3B63">
        <w:rPr>
          <w:rFonts w:eastAsia="Times New Roman"/>
          <w:lang w:val="en-GB"/>
        </w:rPr>
        <w:t>In our view the majority have based their reasoning on a formalistic interpretation of the Court</w:t>
      </w:r>
      <w:r w:rsidRPr="008C3B63" w:rsidR="008C3B63">
        <w:rPr>
          <w:rFonts w:eastAsia="Times New Roman"/>
          <w:lang w:val="en-GB"/>
        </w:rPr>
        <w:t>’</w:t>
      </w:r>
      <w:r w:rsidRPr="008C3B63">
        <w:rPr>
          <w:rFonts w:eastAsia="Times New Roman"/>
          <w:lang w:val="en-GB"/>
        </w:rPr>
        <w:t>s case-law and have not sufficiently taken into account the specific circumstances of the present case.</w:t>
      </w:r>
    </w:p>
    <w:p w:rsidRPr="008C3B63" w:rsidR="00A04C44" w:rsidP="008C3B63" w:rsidRDefault="00A04C44">
      <w:pPr>
        <w:pStyle w:val="OpiHA"/>
        <w:rPr>
          <w:rFonts w:eastAsia="Times New Roman"/>
          <w:lang w:val="en-GB"/>
        </w:rPr>
      </w:pPr>
      <w:r w:rsidRPr="008C3B63">
        <w:rPr>
          <w:rFonts w:eastAsia="Times New Roman"/>
          <w:lang w:val="en-GB"/>
        </w:rPr>
        <w:t>I.  Formalistic versus substantive interpretation of Article 5 § 4 of the Convention</w:t>
      </w:r>
    </w:p>
    <w:p w:rsidRPr="008C3B63" w:rsidR="00A04C44" w:rsidP="008C3B63" w:rsidRDefault="00A04C44">
      <w:pPr>
        <w:pStyle w:val="OpiPara"/>
        <w:rPr>
          <w:rFonts w:eastAsia="Times New Roman"/>
          <w:lang w:val="en-GB"/>
        </w:rPr>
      </w:pPr>
      <w:r w:rsidRPr="008C3B63">
        <w:rPr>
          <w:rFonts w:eastAsia="Times New Roman"/>
          <w:lang w:val="en-GB"/>
        </w:rPr>
        <w:t>Article 5 § 4 of the Convention grants a very important right, the right to judicial control of the lawfulness of detention. In the present case two different courts, the District Court and the Regional Court, ruled ten times within four months on the lawfulness of the applicant</w:t>
      </w:r>
      <w:r w:rsidRPr="008C3B63" w:rsidR="008C3B63">
        <w:rPr>
          <w:rFonts w:eastAsia="Times New Roman"/>
          <w:lang w:val="en-GB"/>
        </w:rPr>
        <w:t>’</w:t>
      </w:r>
      <w:r w:rsidRPr="008C3B63">
        <w:rPr>
          <w:rFonts w:eastAsia="Times New Roman"/>
          <w:lang w:val="en-GB"/>
        </w:rPr>
        <w:t>s detention order before and after the first-instance court</w:t>
      </w:r>
      <w:r w:rsidRPr="008C3B63" w:rsidR="008C3B63">
        <w:rPr>
          <w:rFonts w:eastAsia="Times New Roman"/>
          <w:lang w:val="en-GB"/>
        </w:rPr>
        <w:t>’</w:t>
      </w:r>
      <w:r w:rsidRPr="008C3B63">
        <w:rPr>
          <w:rFonts w:eastAsia="Times New Roman"/>
          <w:lang w:val="en-GB"/>
        </w:rPr>
        <w:t xml:space="preserve">s </w:t>
      </w:r>
      <w:r w:rsidRPr="008C3B63">
        <w:t>judgment</w:t>
      </w:r>
      <w:r w:rsidRPr="008C3B63">
        <w:rPr>
          <w:vertAlign w:val="superscript"/>
        </w:rPr>
        <w:footnoteReference w:id="1"/>
      </w:r>
      <w:r w:rsidRPr="008C3B63">
        <w:t xml:space="preserve">, </w:t>
      </w:r>
      <w:r w:rsidRPr="008C3B63">
        <w:rPr>
          <w:rFonts w:eastAsia="Times New Roman"/>
          <w:lang w:val="en-GB"/>
        </w:rPr>
        <w:t xml:space="preserve">and extensively discussed all the relevant arguments. As acknowledged by the majority, “this frequency </w:t>
      </w:r>
      <w:r w:rsidRPr="008C3B63" w:rsidR="007F55C3">
        <w:rPr>
          <w:rFonts w:eastAsia="Times New Roman"/>
          <w:lang w:val="en-GB"/>
        </w:rPr>
        <w:t>...</w:t>
      </w:r>
      <w:r w:rsidRPr="008C3B63">
        <w:rPr>
          <w:rFonts w:eastAsia="Times New Roman"/>
          <w:lang w:val="en-GB"/>
        </w:rPr>
        <w:t xml:space="preserve"> was more than satisfactory in terms of the Convention</w:t>
      </w:r>
      <w:r w:rsidRPr="008C3B63" w:rsidR="008C3B63">
        <w:rPr>
          <w:rFonts w:eastAsia="Times New Roman"/>
          <w:lang w:val="en-GB"/>
        </w:rPr>
        <w:t>’</w:t>
      </w:r>
      <w:r w:rsidRPr="008C3B63">
        <w:rPr>
          <w:rFonts w:eastAsia="Times New Roman"/>
          <w:lang w:val="en-GB"/>
        </w:rPr>
        <w:t>s standards” (see paragraph 36 of the judgment). Nevertheless, the majority found a violation of Article 5 § 4 due to a failure to meet the requirements of adversarial procedure and equality of arms in the eleventh and final round of supervision before the Court of Appeal, even though the applicant did not advance any new arguments at this stage but simply referred to his previous submissions (see paragraph 11 of the judgment). The critique is focused exclusively on the fact that the Court of Appeal</w:t>
      </w:r>
      <w:r w:rsidRPr="008C3B63" w:rsidR="008C3B63">
        <w:rPr>
          <w:rFonts w:eastAsia="Times New Roman"/>
          <w:lang w:val="en-GB"/>
        </w:rPr>
        <w:t>’</w:t>
      </w:r>
      <w:r w:rsidRPr="008C3B63">
        <w:rPr>
          <w:rFonts w:eastAsia="Times New Roman"/>
          <w:lang w:val="en-GB"/>
        </w:rPr>
        <w:t>s decision was taken before the defence had seen the observations of the prosecution, and that the request for a subsequent hearing was dismissed, again without the observations of the prosecution being sent to the defence lawyer.</w:t>
      </w:r>
    </w:p>
    <w:p w:rsidRPr="008C3B63" w:rsidR="00A04C44" w:rsidP="008C3B63" w:rsidRDefault="00A04C44">
      <w:pPr>
        <w:pStyle w:val="OpiPara"/>
        <w:rPr>
          <w:rFonts w:eastAsia="Times New Roman"/>
          <w:lang w:val="en-GB"/>
        </w:rPr>
      </w:pPr>
      <w:r w:rsidRPr="008C3B63">
        <w:rPr>
          <w:rFonts w:eastAsia="Times New Roman"/>
          <w:lang w:val="en-GB"/>
        </w:rPr>
        <w:t>In our view this formalistic interpretation of Article 5 § 4 of the Convention loses sight of the substance of this Convention guarantee. The purpose of Article 5 § 4 of the Convention is to prevent arbitrariness. The idea is not to monitor compliance with the formalities of the review procedure, but to ensure the separation of powers between the executive and the judiciary in ordering detention and to guarantee thorough judicial control of the lawfulness of detention orders. In the present case, there cannot be any doubt that the judicial control was thorough.</w:t>
      </w:r>
    </w:p>
    <w:p w:rsidRPr="008C3B63" w:rsidR="00A04C44" w:rsidP="008C3B63" w:rsidRDefault="00A04C44">
      <w:pPr>
        <w:pStyle w:val="OpiPara"/>
        <w:rPr>
          <w:rFonts w:eastAsia="Times New Roman"/>
          <w:lang w:val="en-GB"/>
        </w:rPr>
      </w:pPr>
      <w:r w:rsidRPr="008C3B63">
        <w:rPr>
          <w:rFonts w:eastAsia="Times New Roman"/>
          <w:lang w:val="en-GB"/>
        </w:rPr>
        <w:t>We accept that there was a formal mistake</w:t>
      </w:r>
      <w:r w:rsidRPr="008C3B63" w:rsidR="00094651">
        <w:rPr>
          <w:rFonts w:eastAsia="Times New Roman"/>
          <w:lang w:val="en-GB"/>
        </w:rPr>
        <w:t xml:space="preserve"> in the present case (see point </w:t>
      </w:r>
      <w:r w:rsidRPr="008C3B63">
        <w:rPr>
          <w:rFonts w:eastAsia="Times New Roman"/>
          <w:lang w:val="en-GB"/>
        </w:rPr>
        <w:t>III (1) below) but argue that this formal mistake did not impact on either the fairness (point III (2)) or the effectiveness (point III (3)) of the review procedure, which has to be seen as a whole (point III (4)). Before discussing these issues we have some comments to make on the Court</w:t>
      </w:r>
      <w:r w:rsidRPr="008C3B63" w:rsidR="008C3B63">
        <w:rPr>
          <w:rFonts w:eastAsia="Times New Roman"/>
          <w:lang w:val="en-GB"/>
        </w:rPr>
        <w:t>’</w:t>
      </w:r>
      <w:r w:rsidRPr="008C3B63">
        <w:rPr>
          <w:rFonts w:eastAsia="Times New Roman"/>
          <w:lang w:val="en-GB"/>
        </w:rPr>
        <w:t>s case-law under Article 5 § 4 (see point II below).</w:t>
      </w:r>
    </w:p>
    <w:p w:rsidRPr="008C3B63" w:rsidR="00A04C44" w:rsidP="008C3B63" w:rsidRDefault="00A04C44">
      <w:pPr>
        <w:pStyle w:val="OpiHA"/>
        <w:rPr>
          <w:rFonts w:eastAsia="Times New Roman"/>
          <w:lang w:val="en-GB"/>
        </w:rPr>
      </w:pPr>
      <w:r w:rsidRPr="008C3B63">
        <w:rPr>
          <w:rFonts w:eastAsia="Times New Roman"/>
          <w:lang w:val="en-GB"/>
        </w:rPr>
        <w:t>II.</w:t>
      </w:r>
      <w:proofErr w:type="gramStart"/>
      <w:r w:rsidRPr="008C3B63">
        <w:rPr>
          <w:rFonts w:eastAsia="Times New Roman"/>
          <w:lang w:val="en-GB"/>
        </w:rPr>
        <w:t>  The</w:t>
      </w:r>
      <w:proofErr w:type="gramEnd"/>
      <w:r w:rsidRPr="008C3B63">
        <w:rPr>
          <w:rFonts w:eastAsia="Times New Roman"/>
          <w:lang w:val="en-GB"/>
        </w:rPr>
        <w:t xml:space="preserve"> Court</w:t>
      </w:r>
      <w:r w:rsidRPr="008C3B63" w:rsidR="008C3B63">
        <w:rPr>
          <w:rFonts w:eastAsia="Times New Roman"/>
          <w:lang w:val="en-GB"/>
        </w:rPr>
        <w:t>’</w:t>
      </w:r>
      <w:r w:rsidRPr="008C3B63">
        <w:rPr>
          <w:rFonts w:eastAsia="Times New Roman"/>
          <w:lang w:val="en-GB"/>
        </w:rPr>
        <w:t>s case-law</w:t>
      </w:r>
    </w:p>
    <w:p w:rsidRPr="008C3B63" w:rsidR="00A04C44" w:rsidP="008C3B63" w:rsidRDefault="00A04C44">
      <w:pPr>
        <w:pStyle w:val="OpiPara"/>
        <w:rPr>
          <w:rFonts w:eastAsia="Times New Roman"/>
          <w:lang w:val="en-GB"/>
        </w:rPr>
      </w:pPr>
      <w:r w:rsidRPr="008C3B63">
        <w:rPr>
          <w:rFonts w:eastAsia="Times New Roman"/>
          <w:lang w:val="en-GB"/>
        </w:rPr>
        <w:t>It is common ground that although it is not always necessary for the procedure under Article 5 § 4 to be attended by the same guarantees as those required under Article 6 § 1 of the Convention for criminal or civil litigation, it must have “a judicial character and provide guarantees appropriate to the kind of deprivation of liber</w:t>
      </w:r>
      <w:r w:rsidRPr="008C3B63" w:rsidR="00094651">
        <w:rPr>
          <w:rFonts w:eastAsia="Times New Roman"/>
          <w:lang w:val="en-GB"/>
        </w:rPr>
        <w:t>ty in question” (see paragraphs </w:t>
      </w:r>
      <w:r w:rsidRPr="008C3B63">
        <w:rPr>
          <w:rFonts w:eastAsia="Times New Roman"/>
          <w:lang w:val="en-GB"/>
        </w:rPr>
        <w:t xml:space="preserve">36 and 37 of the judgment, with reference to </w:t>
      </w:r>
      <w:r w:rsidRPr="008C3B63">
        <w:rPr>
          <w:rFonts w:eastAsia="Times New Roman"/>
          <w:i/>
          <w:lang w:val="en-GB"/>
        </w:rPr>
        <w:t>Idalov v. Russia</w:t>
      </w:r>
      <w:r w:rsidRPr="008C3B63" w:rsidR="00094651">
        <w:rPr>
          <w:rFonts w:eastAsia="Times New Roman"/>
          <w:lang w:val="en-GB"/>
        </w:rPr>
        <w:t xml:space="preserve"> [GC], no. </w:t>
      </w:r>
      <w:r w:rsidRPr="008C3B63">
        <w:rPr>
          <w:rFonts w:eastAsia="Times New Roman"/>
          <w:lang w:val="en-GB"/>
        </w:rPr>
        <w:t>5826/03, § 161, 22 May 2012, which related to the applicant</w:t>
      </w:r>
      <w:r w:rsidRPr="008C3B63" w:rsidR="008C3B63">
        <w:rPr>
          <w:rFonts w:eastAsia="Times New Roman"/>
          <w:lang w:val="en-GB"/>
        </w:rPr>
        <w:t>’</w:t>
      </w:r>
      <w:r w:rsidRPr="008C3B63">
        <w:rPr>
          <w:rFonts w:eastAsia="Times New Roman"/>
          <w:lang w:val="en-GB"/>
        </w:rPr>
        <w:t xml:space="preserve">s absence from appeal hearings). As regards specifically the requirements that the proceedings “must be adversarial and must always ensure equality of arms between the parties”, the majority refer to </w:t>
      </w:r>
      <w:r w:rsidRPr="008C3B63">
        <w:rPr>
          <w:rFonts w:eastAsia="Times New Roman"/>
          <w:i/>
          <w:lang w:val="en-GB"/>
        </w:rPr>
        <w:t>Lanz v. Austria</w:t>
      </w:r>
      <w:r w:rsidRPr="008C3B63" w:rsidR="00094651">
        <w:rPr>
          <w:rFonts w:eastAsia="Times New Roman"/>
          <w:lang w:val="en-GB"/>
        </w:rPr>
        <w:t xml:space="preserve"> (no. 24430/94, 31 </w:t>
      </w:r>
      <w:r w:rsidRPr="008C3B63">
        <w:rPr>
          <w:rFonts w:eastAsia="Times New Roman"/>
          <w:lang w:val="en-GB"/>
        </w:rPr>
        <w:t xml:space="preserve">January 2002), and </w:t>
      </w:r>
      <w:r w:rsidRPr="008C3B63">
        <w:rPr>
          <w:rFonts w:eastAsia="Times New Roman"/>
          <w:i/>
          <w:lang w:val="en-GB"/>
        </w:rPr>
        <w:t>Grauzinis v. Lithuania</w:t>
      </w:r>
      <w:r w:rsidRPr="008C3B63">
        <w:rPr>
          <w:rFonts w:eastAsia="Times New Roman"/>
          <w:lang w:val="en-GB"/>
        </w:rPr>
        <w:t xml:space="preserve"> (</w:t>
      </w:r>
      <w:r w:rsidRPr="008C3B63" w:rsidR="00094651">
        <w:rPr>
          <w:rFonts w:eastAsia="Times New Roman"/>
          <w:lang w:val="en-GB"/>
        </w:rPr>
        <w:t xml:space="preserve">no. </w:t>
      </w:r>
      <w:r w:rsidRPr="008C3B63">
        <w:rPr>
          <w:rFonts w:eastAsia="Times New Roman"/>
          <w:lang w:val="en-GB"/>
        </w:rPr>
        <w:t>37975/97, 10 October 2000).</w:t>
      </w:r>
    </w:p>
    <w:p w:rsidRPr="008C3B63" w:rsidR="00A04C44" w:rsidP="008C3B63" w:rsidRDefault="00A04C44">
      <w:pPr>
        <w:pStyle w:val="OpiPara"/>
        <w:rPr>
          <w:rFonts w:eastAsia="Times New Roman"/>
          <w:lang w:val="en-GB"/>
        </w:rPr>
      </w:pPr>
      <w:r w:rsidRPr="008C3B63">
        <w:rPr>
          <w:rFonts w:eastAsia="Times New Roman"/>
          <w:lang w:val="en-GB"/>
        </w:rPr>
        <w:t xml:space="preserve">In </w:t>
      </w:r>
      <w:r w:rsidRPr="008C3B63">
        <w:rPr>
          <w:rFonts w:eastAsia="Times New Roman"/>
          <w:i/>
          <w:lang w:val="en-GB"/>
        </w:rPr>
        <w:t>Lanz</w:t>
      </w:r>
      <w:r w:rsidRPr="008C3B63">
        <w:rPr>
          <w:rFonts w:eastAsia="Times New Roman"/>
          <w:lang w:val="en-GB"/>
        </w:rPr>
        <w:t xml:space="preserve"> the Chamber explained (§ 41) that these requirements are derived from the right to an adversarial trial as laid down in Article 6 of the Convention. Referring to previous case-law, it stated that Article 6 had “some application to pre-trial proceedings”. In view of the dramatic impact of deprivation of liberty on the fundamental rights of the person concerned, proceedings conducted under Article 5 § 4 of the Convention should “in principle” also meet, to the largest extent possible under the circumstances of an ongoing investigation, the basic requirements of a fair trial, such as the right to an adversarial procedure.</w:t>
      </w:r>
    </w:p>
    <w:p w:rsidRPr="008C3B63" w:rsidR="00A04C44" w:rsidP="008C3B63" w:rsidRDefault="00A04C44">
      <w:pPr>
        <w:pStyle w:val="OpiPara"/>
        <w:rPr>
          <w:rFonts w:eastAsia="Times New Roman"/>
          <w:lang w:val="en-GB"/>
        </w:rPr>
      </w:pPr>
      <w:r w:rsidRPr="008C3B63">
        <w:rPr>
          <w:rFonts w:eastAsia="Times New Roman"/>
          <w:lang w:val="en-GB"/>
        </w:rPr>
        <w:t xml:space="preserve">Besides noting the flexible formulation “in principle”, we would point out that, whereas </w:t>
      </w:r>
      <w:r w:rsidRPr="008C3B63">
        <w:rPr>
          <w:rFonts w:eastAsia="Times New Roman"/>
          <w:i/>
          <w:lang w:val="en-GB"/>
        </w:rPr>
        <w:t>Lanz</w:t>
      </w:r>
      <w:r w:rsidRPr="008C3B63">
        <w:rPr>
          <w:rFonts w:eastAsia="Times New Roman"/>
          <w:lang w:val="en-GB"/>
        </w:rPr>
        <w:t xml:space="preserve"> related to pre-trial detention under Article 5 § 1 (c) of the Convention, the decisions to extend the applicant</w:t>
      </w:r>
      <w:r w:rsidRPr="008C3B63" w:rsidR="008C3B63">
        <w:rPr>
          <w:rFonts w:eastAsia="Times New Roman"/>
          <w:lang w:val="en-GB"/>
        </w:rPr>
        <w:t>’</w:t>
      </w:r>
      <w:r w:rsidRPr="008C3B63">
        <w:rPr>
          <w:rFonts w:eastAsia="Times New Roman"/>
          <w:lang w:val="en-GB"/>
        </w:rPr>
        <w:t>s detention in the present case were made after the applicant</w:t>
      </w:r>
      <w:r w:rsidRPr="008C3B63" w:rsidR="008C3B63">
        <w:rPr>
          <w:rFonts w:eastAsia="Times New Roman"/>
          <w:lang w:val="en-GB"/>
        </w:rPr>
        <w:t>’</w:t>
      </w:r>
      <w:r w:rsidRPr="008C3B63">
        <w:rPr>
          <w:rFonts w:eastAsia="Times New Roman"/>
          <w:lang w:val="en-GB"/>
        </w:rPr>
        <w:t>s conviction and hence under Article 5 § 1 (a).</w:t>
      </w:r>
    </w:p>
    <w:p w:rsidRPr="008C3B63" w:rsidR="00A04C44" w:rsidP="008C3B63" w:rsidRDefault="00A04C44">
      <w:pPr>
        <w:pStyle w:val="OpiPara"/>
        <w:rPr>
          <w:rFonts w:eastAsia="Times New Roman"/>
          <w:lang w:val="en-GB"/>
        </w:rPr>
      </w:pPr>
      <w:r w:rsidRPr="008C3B63">
        <w:rPr>
          <w:rFonts w:eastAsia="Times New Roman"/>
          <w:lang w:val="en-GB"/>
        </w:rPr>
        <w:t xml:space="preserve">The Chamber in </w:t>
      </w:r>
      <w:r w:rsidRPr="008C3B63">
        <w:rPr>
          <w:rFonts w:eastAsia="Times New Roman"/>
          <w:i/>
          <w:lang w:val="en-GB"/>
        </w:rPr>
        <w:t>Lanz</w:t>
      </w:r>
      <w:r w:rsidRPr="008C3B63">
        <w:rPr>
          <w:rFonts w:eastAsia="Times New Roman"/>
          <w:lang w:val="en-GB"/>
        </w:rPr>
        <w:t xml:space="preserve"> further observed (§ 42) that Article 5 § 4 guarantees no right, as such, to appeal against decisions ordering or extending detention. The intervention of one organ satisfies Article 5 § 4, on condition that the procedure followed has a judicial character and gives to the individual concerned guarantees appropriate to the kind of deprivation of liberty in question. Nevertheless, a State which sets up a second level of jurisdiction for the examination of applications for release from detention – as in the present case – must “in principle” accord to the detainee the same guarantees on appeal as at first instance.</w:t>
      </w:r>
    </w:p>
    <w:p w:rsidRPr="008C3B63" w:rsidR="00A04C44" w:rsidP="008C3B63" w:rsidRDefault="00A04C44">
      <w:pPr>
        <w:pStyle w:val="OpiPara"/>
        <w:rPr>
          <w:rFonts w:eastAsia="Times New Roman"/>
          <w:lang w:val="en-GB"/>
        </w:rPr>
      </w:pPr>
      <w:r w:rsidRPr="008C3B63">
        <w:rPr>
          <w:rFonts w:eastAsia="Times New Roman"/>
          <w:lang w:val="en-GB"/>
        </w:rPr>
        <w:t>Again, it is worth noting the flexible formulation “in principle”, not only as regards the extent to which the guarantees developed under Article 6 apply under Article 5 § 4 (see above), but also as to whether they apply fully at the appellate level in detention proceedings, as in the present case.</w:t>
      </w:r>
    </w:p>
    <w:p w:rsidRPr="008C3B63" w:rsidR="00A04C44" w:rsidP="008C3B63" w:rsidRDefault="00A04C44">
      <w:pPr>
        <w:pStyle w:val="OpiPara"/>
        <w:rPr>
          <w:rFonts w:eastAsia="Times New Roman"/>
          <w:lang w:val="en-GB"/>
        </w:rPr>
      </w:pPr>
      <w:r w:rsidRPr="008C3B63">
        <w:rPr>
          <w:rFonts w:eastAsia="Times New Roman"/>
          <w:i/>
          <w:lang w:val="en-GB"/>
        </w:rPr>
        <w:t>Grauzinis</w:t>
      </w:r>
      <w:r w:rsidRPr="008C3B63">
        <w:rPr>
          <w:rFonts w:eastAsia="Times New Roman"/>
          <w:lang w:val="en-GB"/>
        </w:rPr>
        <w:t xml:space="preserve"> too differs from the present case. It related to pre-trial detention and the applicant had, repeatedly, not been brought before a judge. Unsurprisingly, the Court found a violation of Article 5 § 4 because the applicant had not been present during pre-trial remand hearings where his presence was required so that he could give satisfactory information and instructions to his counsel (§§ 28, 33 and 34). Furthermore, we also consider it important that the Court assessed the overall fairness of the proceedings. Before concluding it stated as follows (§ 34):</w:t>
      </w:r>
    </w:p>
    <w:p w:rsidRPr="008C3B63" w:rsidR="00A04C44" w:rsidP="008C3B63" w:rsidRDefault="00A04C44">
      <w:pPr>
        <w:pStyle w:val="OpiQuot"/>
        <w:rPr>
          <w:rFonts w:eastAsia="Times New Roman"/>
          <w:lang w:val="en-GB"/>
        </w:rPr>
      </w:pPr>
      <w:r w:rsidRPr="008C3B63">
        <w:rPr>
          <w:rFonts w:eastAsia="Times New Roman"/>
          <w:lang w:val="en-GB"/>
        </w:rPr>
        <w:t>“Furthermore, viewed as a whole, these and the subsequent proceedings failed to afford the applicant an effective control of the lawfulness of his detention, as required by Article 5 § 4 of the Convention.”</w:t>
      </w:r>
    </w:p>
    <w:p w:rsidRPr="008C3B63" w:rsidR="00A04C44" w:rsidP="008C3B63" w:rsidRDefault="00A04C44">
      <w:pPr>
        <w:pStyle w:val="OpiHA"/>
        <w:rPr>
          <w:rFonts w:eastAsia="Times New Roman"/>
          <w:lang w:val="en-GB"/>
        </w:rPr>
      </w:pPr>
      <w:r w:rsidRPr="008C3B63">
        <w:rPr>
          <w:rFonts w:eastAsia="Times New Roman"/>
          <w:lang w:val="en-GB"/>
        </w:rPr>
        <w:t>III.</w:t>
      </w:r>
      <w:proofErr w:type="gramStart"/>
      <w:r w:rsidRPr="008C3B63">
        <w:rPr>
          <w:rFonts w:eastAsia="Times New Roman"/>
          <w:lang w:val="en-GB"/>
        </w:rPr>
        <w:t>  Fairness</w:t>
      </w:r>
      <w:proofErr w:type="gramEnd"/>
      <w:r w:rsidRPr="008C3B63">
        <w:rPr>
          <w:rFonts w:eastAsia="Times New Roman"/>
          <w:lang w:val="en-GB"/>
        </w:rPr>
        <w:t xml:space="preserve"> and effectiveness of the review procedure in the present case</w:t>
      </w:r>
    </w:p>
    <w:p w:rsidRPr="008C3B63" w:rsidR="00A04C44" w:rsidP="008C3B63" w:rsidRDefault="00A04C44">
      <w:pPr>
        <w:pStyle w:val="OpiPara"/>
        <w:rPr>
          <w:rFonts w:eastAsia="Times New Roman"/>
          <w:lang w:val="en-GB"/>
        </w:rPr>
      </w:pPr>
      <w:r w:rsidRPr="008C3B63">
        <w:rPr>
          <w:rFonts w:eastAsia="Times New Roman"/>
          <w:lang w:val="en-GB"/>
        </w:rPr>
        <w:t>We would accept that there was a formal mistake in the present case (1), but argue that this formal mistake did not impact on either the fairness (2) or the effectiveness (3) of the review procedure, which has to be seen as a whole (4).</w:t>
      </w:r>
    </w:p>
    <w:p w:rsidRPr="008C3B63" w:rsidR="00A04C44" w:rsidP="008C3B63" w:rsidRDefault="00A04C44">
      <w:pPr>
        <w:pStyle w:val="OpiH1"/>
        <w:rPr>
          <w:rFonts w:eastAsia="Times New Roman"/>
          <w:lang w:val="en-GB"/>
        </w:rPr>
      </w:pPr>
      <w:r w:rsidRPr="008C3B63">
        <w:rPr>
          <w:rFonts w:eastAsia="Times New Roman"/>
          <w:lang w:val="en-GB"/>
        </w:rPr>
        <w:t>(1)  Extent of the deficiencies in the procedure</w:t>
      </w:r>
    </w:p>
    <w:p w:rsidRPr="008C3B63" w:rsidR="00A04C44" w:rsidP="008C3B63" w:rsidRDefault="00A04C44">
      <w:pPr>
        <w:pStyle w:val="OpiPara"/>
        <w:rPr>
          <w:rFonts w:eastAsia="Times New Roman"/>
          <w:lang w:val="en-GB"/>
        </w:rPr>
      </w:pPr>
      <w:r w:rsidRPr="008C3B63">
        <w:rPr>
          <w:rFonts w:eastAsia="Times New Roman"/>
          <w:lang w:val="en-GB"/>
        </w:rPr>
        <w:t>It is not disputed that the Court of Appeal took its decision of 3 February 2011 relating to the continuation of the applicant</w:t>
      </w:r>
      <w:r w:rsidRPr="008C3B63" w:rsidR="008C3B63">
        <w:rPr>
          <w:rFonts w:eastAsia="Times New Roman"/>
          <w:lang w:val="en-GB"/>
        </w:rPr>
        <w:t>’</w:t>
      </w:r>
      <w:r w:rsidRPr="008C3B63">
        <w:rPr>
          <w:rFonts w:eastAsia="Times New Roman"/>
          <w:lang w:val="en-GB"/>
        </w:rPr>
        <w:t>s detention without informing the defence of the written observations of the prosecution authorities. The defence had no opportunity to comment on them. This specific part of the proceedings was thus not adversarial; equality of arms was not guaranteed. Nevertheless, the defence had a remedy against this deficiency in the procedure and could request a subsequent hearing. This request was declared inadmissible as the court held that the observations of the prosecution had not contained any new information and the court</w:t>
      </w:r>
      <w:r w:rsidRPr="008C3B63" w:rsidR="008C3B63">
        <w:rPr>
          <w:rFonts w:eastAsia="Times New Roman"/>
          <w:lang w:val="en-GB"/>
        </w:rPr>
        <w:t>’</w:t>
      </w:r>
      <w:r w:rsidRPr="008C3B63">
        <w:rPr>
          <w:rFonts w:eastAsia="Times New Roman"/>
          <w:lang w:val="en-GB"/>
        </w:rPr>
        <w:t>s decision had not been based on any incorrect factual or procedural considerations (see paragraph 18 of the judgment). That means that the national courts analysed the substance of the complaint, that is to say, whether the formal mistake had any negative consequences for the applicant. This second procedure was however also problematic as, again, the observations of the prosecution were not sent to the defence. The applicant did have another remedy, as he was able to bring his complaint before the Constitutional Court (where he was, however, unsuccessful). Thus, the deficiency in the procedure was reviewed in substance, but part of the review procedure was open to criticism as well.</w:t>
      </w:r>
    </w:p>
    <w:p w:rsidRPr="008C3B63" w:rsidR="00A04C44" w:rsidP="008C3B63" w:rsidRDefault="00A04C44">
      <w:pPr>
        <w:pStyle w:val="OpiPara"/>
        <w:rPr>
          <w:rFonts w:eastAsia="Times New Roman"/>
          <w:lang w:val="en-GB"/>
        </w:rPr>
      </w:pPr>
      <w:r w:rsidRPr="008C3B63">
        <w:rPr>
          <w:rFonts w:eastAsia="Times New Roman"/>
          <w:lang w:val="en-GB"/>
        </w:rPr>
        <w:t>Not every formal mistake is, however, a human rights violation.</w:t>
      </w:r>
    </w:p>
    <w:p w:rsidRPr="008C3B63" w:rsidR="00A04C44" w:rsidP="008C3B63" w:rsidRDefault="00A04C44">
      <w:pPr>
        <w:pStyle w:val="OpiH1"/>
        <w:rPr>
          <w:rFonts w:eastAsia="Times New Roman"/>
          <w:lang w:val="en-GB"/>
        </w:rPr>
      </w:pPr>
      <w:r w:rsidRPr="008C3B63">
        <w:rPr>
          <w:rFonts w:eastAsia="Times New Roman"/>
          <w:lang w:val="en-GB"/>
        </w:rPr>
        <w:t>(2)  Fairness of the procedure</w:t>
      </w:r>
    </w:p>
    <w:p w:rsidRPr="008C3B63" w:rsidR="00A04C44" w:rsidP="008C3B63" w:rsidRDefault="00A04C44">
      <w:pPr>
        <w:pStyle w:val="OpiPara"/>
        <w:rPr>
          <w:rFonts w:eastAsia="Times New Roman"/>
          <w:lang w:val="en-GB"/>
        </w:rPr>
      </w:pPr>
      <w:r w:rsidRPr="008C3B63">
        <w:rPr>
          <w:rFonts w:eastAsia="Times New Roman"/>
          <w:lang w:val="en-GB"/>
        </w:rPr>
        <w:t>According to the long-standing case-law of the Court, the control mechanism in respect of the lawfulness of detention as such does not fall under Article 6 § 1 of the Convention as it does not concern “the determination of a criminal charge”. Nevertheless, and rightly so, the Court has transposed the guarantees of a fair trial, especially the right to an adversarial procedure and equality of arms, to proceedings under Article 5 § 4 of the Convention. In this context it seems not to be entirely clear whether the adversarial character of the procedure and equality of arms should be understood as formal or substantive guarantees.</w:t>
      </w:r>
    </w:p>
    <w:p w:rsidRPr="008C3B63" w:rsidR="00A04C44" w:rsidP="008C3B63" w:rsidRDefault="00A04C44">
      <w:pPr>
        <w:pStyle w:val="OpiPara"/>
        <w:rPr>
          <w:rFonts w:eastAsia="Times New Roman"/>
          <w:lang w:val="en-GB"/>
        </w:rPr>
      </w:pPr>
      <w:r w:rsidRPr="008C3B63">
        <w:rPr>
          <w:rFonts w:eastAsia="Times New Roman"/>
          <w:lang w:val="en-GB"/>
        </w:rPr>
        <w:t xml:space="preserve">In the view of the majority these guarantees are purely formal. The majority rely on a narrow reading of </w:t>
      </w:r>
      <w:r w:rsidRPr="008C3B63">
        <w:rPr>
          <w:rFonts w:eastAsia="Times New Roman"/>
          <w:i/>
          <w:lang w:val="en-GB"/>
        </w:rPr>
        <w:t>Lanz</w:t>
      </w:r>
      <w:r w:rsidRPr="008C3B63">
        <w:rPr>
          <w:rFonts w:eastAsia="Times New Roman"/>
          <w:lang w:val="en-GB"/>
        </w:rPr>
        <w:t xml:space="preserve"> and stress legal certainty, stating that “the Court considers that it is neither for the domestic court competent for the proceedings, nor for this Court, to assess the substance of submissions made by either one of the parties to the proceedings and to make the exchange of observations conditional on the outcome of such an assessment” (see paragraph 41</w:t>
      </w:r>
      <w:r w:rsidRPr="008C3B63" w:rsidR="00094651">
        <w:rPr>
          <w:rFonts w:eastAsia="Times New Roman"/>
          <w:lang w:val="en-GB"/>
        </w:rPr>
        <w:t xml:space="preserve"> </w:t>
      </w:r>
      <w:r w:rsidRPr="008C3B63">
        <w:rPr>
          <w:rFonts w:eastAsia="Times New Roman"/>
          <w:lang w:val="en-GB"/>
        </w:rPr>
        <w:t>of the judgment). While we agree with this statement, we think that, if a formal mistake has been made and a review procedure is granted to correct it, it is acceptable for this procedure to focus on the substantive question of real disadvantage. This is in line with the Court</w:t>
      </w:r>
      <w:r w:rsidRPr="008C3B63" w:rsidR="008C3B63">
        <w:rPr>
          <w:rFonts w:eastAsia="Times New Roman"/>
          <w:lang w:val="en-GB"/>
        </w:rPr>
        <w:t>’</w:t>
      </w:r>
      <w:r w:rsidRPr="008C3B63">
        <w:rPr>
          <w:rFonts w:eastAsia="Times New Roman"/>
          <w:lang w:val="en-GB"/>
        </w:rPr>
        <w:t xml:space="preserve">s case-law, which interprets the principle of equality of arms in the light of what is essential in challenging a detention order (see, among other authorities and </w:t>
      </w:r>
      <w:r w:rsidRPr="008C3B63">
        <w:rPr>
          <w:rFonts w:eastAsia="Times New Roman"/>
          <w:i/>
          <w:lang w:val="en-GB"/>
        </w:rPr>
        <w:t>mutatis mutandis</w:t>
      </w:r>
      <w:r w:rsidRPr="008C3B63">
        <w:rPr>
          <w:rFonts w:eastAsia="Times New Roman"/>
          <w:lang w:val="en-GB"/>
        </w:rPr>
        <w:t xml:space="preserve">, </w:t>
      </w:r>
      <w:r w:rsidRPr="008C3B63">
        <w:rPr>
          <w:rFonts w:eastAsia="Times New Roman"/>
          <w:i/>
          <w:lang w:val="en-GB"/>
        </w:rPr>
        <w:t xml:space="preserve">Mooren v. Germany </w:t>
      </w:r>
      <w:r w:rsidRPr="008C3B63" w:rsidR="007F55C3">
        <w:rPr>
          <w:rFonts w:eastAsia="Times New Roman"/>
          <w:lang w:val="en-GB"/>
        </w:rPr>
        <w:t>[GC], no. 11364/03, § </w:t>
      </w:r>
      <w:r w:rsidRPr="008C3B63">
        <w:rPr>
          <w:rFonts w:eastAsia="Times New Roman"/>
          <w:lang w:val="en-GB"/>
        </w:rPr>
        <w:t>124, 9 July 2009).</w:t>
      </w:r>
    </w:p>
    <w:p w:rsidRPr="008C3B63" w:rsidR="00A04C44" w:rsidP="008C3B63" w:rsidRDefault="00A04C44">
      <w:pPr>
        <w:pStyle w:val="OpiPara"/>
        <w:rPr>
          <w:rFonts w:eastAsia="Times New Roman"/>
          <w:lang w:val="en-GB"/>
        </w:rPr>
      </w:pPr>
      <w:r w:rsidRPr="008C3B63">
        <w:rPr>
          <w:rFonts w:eastAsia="Times New Roman"/>
          <w:lang w:val="en-GB"/>
        </w:rPr>
        <w:t>If we consider the substantive aspect of equality of arms, it cannot be said that the applicant was not in a position to effectively challenge the lawfulness of his detention. It is not disputed by the parties that the relevant observations of the prosecution did not contain any new information or argument on this aspect. The observations of 28 January 2011 requested the dismissal of the appeal, nothing more (see paragraph 12 of the judgment). The observations on the request for a subsequent hearing, submitted on an unspecified date (see paragraph 17), did not in any way concern the lawfulness of the applicant</w:t>
      </w:r>
      <w:r w:rsidRPr="008C3B63" w:rsidR="008C3B63">
        <w:rPr>
          <w:rFonts w:eastAsia="Times New Roman"/>
          <w:lang w:val="en-GB"/>
        </w:rPr>
        <w:t>’</w:t>
      </w:r>
      <w:r w:rsidRPr="008C3B63">
        <w:rPr>
          <w:rFonts w:eastAsia="Times New Roman"/>
          <w:lang w:val="en-GB"/>
        </w:rPr>
        <w:t>s detention, but rather the question whether a subsequent hearing should be granted.</w:t>
      </w:r>
    </w:p>
    <w:p w:rsidRPr="008C3B63" w:rsidR="00A04C44" w:rsidP="008C3B63" w:rsidRDefault="00A04C44">
      <w:pPr>
        <w:pStyle w:val="OpiPara"/>
        <w:rPr>
          <w:rFonts w:eastAsia="Times New Roman"/>
          <w:lang w:val="en-GB"/>
        </w:rPr>
      </w:pPr>
      <w:r w:rsidRPr="008C3B63">
        <w:rPr>
          <w:rFonts w:eastAsia="Times New Roman"/>
          <w:lang w:val="en-GB"/>
        </w:rPr>
        <w:t>Thus, while there was a formal violation of equality of arms, it cannot be argued that there was a substantive violation of this guarantee.</w:t>
      </w:r>
    </w:p>
    <w:p w:rsidRPr="008C3B63" w:rsidR="00A04C44" w:rsidP="008C3B63" w:rsidRDefault="00A04C44">
      <w:pPr>
        <w:pStyle w:val="OpiH1"/>
        <w:rPr>
          <w:rFonts w:eastAsia="Times New Roman"/>
          <w:lang w:val="en-GB"/>
        </w:rPr>
      </w:pPr>
      <w:r w:rsidRPr="008C3B63">
        <w:rPr>
          <w:rFonts w:eastAsia="Times New Roman"/>
          <w:lang w:val="en-GB"/>
        </w:rPr>
        <w:t>(3)  Effectiveness of the control</w:t>
      </w:r>
    </w:p>
    <w:p w:rsidRPr="008C3B63" w:rsidR="00A04C44" w:rsidP="008C3B63" w:rsidRDefault="00A04C44">
      <w:pPr>
        <w:pStyle w:val="OpiPara"/>
        <w:rPr>
          <w:rFonts w:eastAsia="Times New Roman"/>
          <w:lang w:val="en-GB"/>
        </w:rPr>
      </w:pPr>
      <w:r w:rsidRPr="008C3B63">
        <w:rPr>
          <w:rFonts w:eastAsia="Times New Roman"/>
          <w:lang w:val="en-GB"/>
        </w:rPr>
        <w:t>While the fairness of the procedure is the core of the Convention guarantee under Article 6 of the Convention, the idea behind Article 5 § 4 is to avoid arbitrariness and guarantee the effectiveness of the procedure to review the lawfulness of detention.</w:t>
      </w:r>
    </w:p>
    <w:p w:rsidRPr="008C3B63" w:rsidR="00A04C44" w:rsidP="008C3B63" w:rsidRDefault="00A04C44">
      <w:pPr>
        <w:pStyle w:val="OpiPara"/>
        <w:rPr>
          <w:rFonts w:eastAsia="Times New Roman"/>
          <w:lang w:val="en-GB"/>
        </w:rPr>
      </w:pPr>
      <w:r w:rsidRPr="008C3B63">
        <w:rPr>
          <w:rFonts w:eastAsia="Times New Roman"/>
          <w:lang w:val="en-GB"/>
        </w:rPr>
        <w:t>In the present case, there can be no doubt that all the applicant</w:t>
      </w:r>
      <w:r w:rsidRPr="008C3B63" w:rsidR="008C3B63">
        <w:rPr>
          <w:rFonts w:eastAsia="Times New Roman"/>
          <w:lang w:val="en-GB"/>
        </w:rPr>
        <w:t>’</w:t>
      </w:r>
      <w:r w:rsidRPr="008C3B63">
        <w:rPr>
          <w:rFonts w:eastAsia="Times New Roman"/>
          <w:lang w:val="en-GB"/>
        </w:rPr>
        <w:t>s arguments were analysed in substance. The review procedure was effective and devoid of arbitrariness.</w:t>
      </w:r>
    </w:p>
    <w:p w:rsidRPr="008C3B63" w:rsidR="00A04C44" w:rsidP="008C3B63" w:rsidRDefault="00A04C44">
      <w:pPr>
        <w:pStyle w:val="OpiH1"/>
        <w:rPr>
          <w:rFonts w:eastAsia="Times New Roman"/>
          <w:lang w:val="en-GB"/>
        </w:rPr>
      </w:pPr>
      <w:r w:rsidRPr="008C3B63">
        <w:rPr>
          <w:rFonts w:eastAsia="Times New Roman"/>
          <w:lang w:val="en-GB"/>
        </w:rPr>
        <w:t>(4)  Analysis of the procedure as a whole</w:t>
      </w:r>
    </w:p>
    <w:p w:rsidRPr="008C3B63" w:rsidR="00A04C44" w:rsidP="008C3B63" w:rsidRDefault="00A04C44">
      <w:pPr>
        <w:pStyle w:val="OpiPara"/>
        <w:rPr>
          <w:rFonts w:eastAsia="Times New Roman"/>
          <w:lang w:val="en-GB"/>
        </w:rPr>
      </w:pPr>
      <w:r w:rsidRPr="008C3B63">
        <w:rPr>
          <w:rFonts w:eastAsia="Times New Roman"/>
          <w:lang w:val="en-GB"/>
        </w:rPr>
        <w:t xml:space="preserve">The majority seem to concentrate their analysis only on the eleventh set of review proceedings before the Court of Appeal (see paragraph 39 of the judgment) and do not consider the fairness and effectiveness of the procedure as a whole. We would argue that, as the principle of a fair trial enshrined in Article 6 of the Convention is transposed to Article 5 § 4 proceedings, this cannot be done without also transposing the holistic view which the Court has developed in its case-law on Article 6 of the Convention, according to which “[c]ompliance with the requirements of a fair trial must be examined in each case having regard to the development of the proceedings as a whole and not on the basis of an isolated consideration of one particular aspect or one particular incident ...” (see </w:t>
      </w:r>
      <w:r w:rsidRPr="008C3B63" w:rsidR="007F55C3">
        <w:rPr>
          <w:rFonts w:eastAsia="Times New Roman"/>
          <w:i/>
          <w:lang w:val="en-GB"/>
        </w:rPr>
        <w:t>Ibrahim and </w:t>
      </w:r>
      <w:r w:rsidRPr="008C3B63">
        <w:rPr>
          <w:rFonts w:eastAsia="Times New Roman"/>
          <w:i/>
          <w:lang w:val="en-GB"/>
        </w:rPr>
        <w:t>Others v. the United Kingdom</w:t>
      </w:r>
      <w:r w:rsidRPr="008C3B63">
        <w:rPr>
          <w:rFonts w:eastAsia="Times New Roman"/>
          <w:lang w:val="en-GB"/>
        </w:rPr>
        <w:t xml:space="preserve"> [GC], nos. 50541/08 and 3 others, § 250, ECHR 2016). As mentioned above (point II), this was done in </w:t>
      </w:r>
      <w:r w:rsidRPr="008C3B63">
        <w:rPr>
          <w:rFonts w:eastAsia="Times New Roman"/>
          <w:i/>
          <w:lang w:val="en-GB"/>
        </w:rPr>
        <w:t>Grauzinis</w:t>
      </w:r>
      <w:r w:rsidRPr="008C3B63">
        <w:rPr>
          <w:rFonts w:eastAsia="Times New Roman"/>
          <w:lang w:val="en-GB"/>
        </w:rPr>
        <w:t xml:space="preserve"> in the context of Article 5 § 4 of the Convention; in that case the Court did transpose the holistic view.</w:t>
      </w:r>
    </w:p>
    <w:p w:rsidRPr="008C3B63" w:rsidR="00A04C44" w:rsidP="008C3B63" w:rsidRDefault="00A04C44">
      <w:pPr>
        <w:pStyle w:val="OpiPara"/>
        <w:rPr>
          <w:rFonts w:eastAsia="Times New Roman"/>
          <w:lang w:val="en-GB"/>
        </w:rPr>
      </w:pPr>
      <w:r w:rsidRPr="008C3B63">
        <w:rPr>
          <w:rFonts w:eastAsia="Times New Roman"/>
          <w:lang w:val="en-GB"/>
        </w:rPr>
        <w:t>Analysed as a whole, the procedure, involving four different courts, four levels of supervision and a comprehensive discussion of all the arguments –all within a period of four months for the ordinary courts or eight months including the Constitutional Court proceedings – cannot be seen as unfair or ineffective.</w:t>
      </w:r>
    </w:p>
    <w:p w:rsidRPr="008C3B63" w:rsidR="00A04C44" w:rsidP="008C3B63" w:rsidRDefault="00A04C44">
      <w:pPr>
        <w:pStyle w:val="OpiPara"/>
        <w:rPr>
          <w:rFonts w:eastAsia="Times New Roman"/>
          <w:lang w:val="en-GB"/>
        </w:rPr>
      </w:pPr>
      <w:r w:rsidRPr="008C3B63">
        <w:rPr>
          <w:rFonts w:eastAsia="Times New Roman"/>
          <w:lang w:val="en-GB"/>
        </w:rPr>
        <w:t>In this context it might be worth mentioning that the guarantees offered by the German Code of Criminal Procedure went beyond the Convention requirements in two important aspects.</w:t>
      </w:r>
    </w:p>
    <w:p w:rsidRPr="008C3B63" w:rsidR="00A04C44" w:rsidP="008C3B63" w:rsidRDefault="00A04C44">
      <w:pPr>
        <w:pStyle w:val="OpiPara"/>
        <w:rPr>
          <w:rFonts w:eastAsia="Times New Roman"/>
          <w:lang w:val="en-GB"/>
        </w:rPr>
      </w:pPr>
      <w:r w:rsidRPr="008C3B63">
        <w:rPr>
          <w:rFonts w:eastAsia="Times New Roman"/>
          <w:lang w:val="en-GB"/>
        </w:rPr>
        <w:t>Firstly, the applicant was already convicted and was therefore lawfully detained on the basis of Article 5 § 1 (a) of the Convention. As the supervision required by Article 5 § 4, according to the Court</w:t>
      </w:r>
      <w:r w:rsidRPr="008C3B63" w:rsidR="008C3B63">
        <w:rPr>
          <w:rFonts w:eastAsia="Times New Roman"/>
          <w:lang w:val="en-GB"/>
        </w:rPr>
        <w:t>’</w:t>
      </w:r>
      <w:r w:rsidRPr="008C3B63">
        <w:rPr>
          <w:rFonts w:eastAsia="Times New Roman"/>
          <w:lang w:val="en-GB"/>
        </w:rPr>
        <w:t>s case-law, is already incorporated in the sentencing court</w:t>
      </w:r>
      <w:r w:rsidRPr="008C3B63" w:rsidR="008C3B63">
        <w:rPr>
          <w:rFonts w:eastAsia="Times New Roman"/>
          <w:lang w:val="en-GB"/>
        </w:rPr>
        <w:t>’</w:t>
      </w:r>
      <w:r w:rsidRPr="008C3B63">
        <w:rPr>
          <w:rFonts w:eastAsia="Times New Roman"/>
          <w:lang w:val="en-GB"/>
        </w:rPr>
        <w:t xml:space="preserve">s decision (see </w:t>
      </w:r>
      <w:r w:rsidRPr="008C3B63">
        <w:rPr>
          <w:rFonts w:eastAsia="Times New Roman"/>
          <w:i/>
          <w:lang w:val="en-GB"/>
        </w:rPr>
        <w:t>De Wilde, Ooms and Versyp v. Belgium</w:t>
      </w:r>
      <w:r w:rsidRPr="008C3B63">
        <w:rPr>
          <w:rFonts w:eastAsia="Times New Roman"/>
          <w:lang w:val="en-GB"/>
        </w:rPr>
        <w:t xml:space="preserve">, 18 June 1971, § 76, Series A no. 12, and </w:t>
      </w:r>
      <w:r w:rsidRPr="008C3B63">
        <w:rPr>
          <w:rFonts w:eastAsia="Times New Roman"/>
          <w:i/>
          <w:lang w:val="en-GB"/>
        </w:rPr>
        <w:t>Wynne v. the United Kingdom</w:t>
      </w:r>
      <w:r w:rsidRPr="008C3B63">
        <w:rPr>
          <w:rFonts w:eastAsia="Times New Roman"/>
          <w:lang w:val="en-GB"/>
        </w:rPr>
        <w:t>, 18 July 1994, § 36, Series A no. 294-A), an assessment of the lawfulness of the applicant</w:t>
      </w:r>
      <w:r w:rsidRPr="008C3B63" w:rsidR="008C3B63">
        <w:rPr>
          <w:rFonts w:eastAsia="Times New Roman"/>
          <w:lang w:val="en-GB"/>
        </w:rPr>
        <w:t>’</w:t>
      </w:r>
      <w:r w:rsidRPr="008C3B63">
        <w:rPr>
          <w:rFonts w:eastAsia="Times New Roman"/>
          <w:lang w:val="en-GB"/>
        </w:rPr>
        <w:t>s detention was no longer required by the Convention. Had the German courts refused to review the detention order after the judgment of 6 December 2010 in which the applicant was sentenced to two years and six months</w:t>
      </w:r>
      <w:r w:rsidRPr="008C3B63" w:rsidR="008C3B63">
        <w:rPr>
          <w:rFonts w:eastAsia="Times New Roman"/>
          <w:lang w:val="en-GB"/>
        </w:rPr>
        <w:t>’</w:t>
      </w:r>
      <w:r w:rsidRPr="008C3B63">
        <w:rPr>
          <w:rFonts w:eastAsia="Times New Roman"/>
          <w:lang w:val="en-GB"/>
        </w:rPr>
        <w:t xml:space="preserve"> imprisonment, there would not have been a violation of the Convention. The majority do not give any reason why they deem it necessary to go beyond the existing case</w:t>
      </w:r>
      <w:r w:rsidRPr="008C3B63">
        <w:rPr>
          <w:rFonts w:eastAsia="Times New Roman"/>
          <w:lang w:val="en-GB"/>
        </w:rPr>
        <w:noBreakHyphen/>
        <w:t>law in this respect (see paragraph 36 of the judgment).</w:t>
      </w:r>
    </w:p>
    <w:p w:rsidRPr="008C3B63" w:rsidR="00A04C44" w:rsidP="008C3B63" w:rsidRDefault="00A04C44">
      <w:pPr>
        <w:pStyle w:val="OpiPara"/>
        <w:rPr>
          <w:rFonts w:eastAsia="Times New Roman"/>
          <w:lang w:val="en-GB"/>
        </w:rPr>
      </w:pPr>
      <w:r w:rsidRPr="008C3B63">
        <w:rPr>
          <w:rFonts w:eastAsia="Times New Roman"/>
          <w:lang w:val="en-GB"/>
        </w:rPr>
        <w:t xml:space="preserve">Secondly, Article 5 § 4 of the Convention </w:t>
      </w:r>
      <w:proofErr w:type="gramStart"/>
      <w:r w:rsidRPr="008C3B63">
        <w:rPr>
          <w:rFonts w:eastAsia="Times New Roman"/>
          <w:lang w:val="en-GB"/>
        </w:rPr>
        <w:t>does</w:t>
      </w:r>
      <w:proofErr w:type="gramEnd"/>
      <w:r w:rsidRPr="008C3B63">
        <w:rPr>
          <w:rFonts w:eastAsia="Times New Roman"/>
          <w:lang w:val="en-GB"/>
        </w:rPr>
        <w:t xml:space="preserve"> not compel the Contracting States to set up a second level of jurisdiction for the examination of the lawfulness of detention. In this respect as well the control standard according to German law was higher than the Convention standard.</w:t>
      </w:r>
    </w:p>
    <w:p w:rsidRPr="008C3B63" w:rsidR="00A04C44" w:rsidP="008C3B63" w:rsidRDefault="00A04C44">
      <w:pPr>
        <w:pStyle w:val="OpiPara"/>
        <w:rPr>
          <w:rFonts w:eastAsia="Times New Roman"/>
          <w:lang w:val="en-GB"/>
        </w:rPr>
      </w:pPr>
      <w:r w:rsidRPr="008C3B63">
        <w:rPr>
          <w:rFonts w:eastAsia="Times New Roman"/>
          <w:lang w:val="en-GB"/>
        </w:rPr>
        <w:t>While, according to the Court</w:t>
      </w:r>
      <w:r w:rsidRPr="008C3B63" w:rsidR="008C3B63">
        <w:rPr>
          <w:rFonts w:eastAsia="Times New Roman"/>
          <w:lang w:val="en-GB"/>
        </w:rPr>
        <w:t>’</w:t>
      </w:r>
      <w:r w:rsidRPr="008C3B63">
        <w:rPr>
          <w:rFonts w:eastAsia="Times New Roman"/>
          <w:lang w:val="en-GB"/>
        </w:rPr>
        <w:t xml:space="preserve">s case-law, a State which sets up a second level of jurisdiction for the examination of applications for release from detention must in principle accord to the detainee the same guarantees on appeal as at first instance (see </w:t>
      </w:r>
      <w:r w:rsidRPr="008C3B63">
        <w:rPr>
          <w:rFonts w:eastAsia="Times New Roman"/>
          <w:i/>
          <w:lang w:val="en-GB"/>
        </w:rPr>
        <w:t>Lanz</w:t>
      </w:r>
      <w:r w:rsidRPr="008C3B63">
        <w:rPr>
          <w:rFonts w:eastAsia="Times New Roman"/>
          <w:lang w:val="en-GB"/>
        </w:rPr>
        <w:t>, cited above, § 42), it is important to note that the case-law in this respect is not rigid, but emphasises that the guarantees have to be applied “in principle” (see point II above).</w:t>
      </w:r>
    </w:p>
    <w:p w:rsidRPr="008C3B63" w:rsidR="00A04C44" w:rsidP="008C3B63" w:rsidRDefault="00A04C44">
      <w:pPr>
        <w:pStyle w:val="OpiPara"/>
        <w:rPr>
          <w:rFonts w:eastAsia="Times New Roman"/>
          <w:lang w:val="en-GB"/>
        </w:rPr>
      </w:pPr>
      <w:r w:rsidRPr="008C3B63">
        <w:rPr>
          <w:rFonts w:eastAsia="Times New Roman"/>
          <w:lang w:val="en-GB"/>
        </w:rPr>
        <w:t>To us it seems difficult to argue that the guarantees were not applied “in principle” in the present case.</w:t>
      </w:r>
    </w:p>
    <w:p w:rsidRPr="008C3B63" w:rsidR="00A04C44" w:rsidP="008C3B63" w:rsidRDefault="00A04C44">
      <w:pPr>
        <w:pStyle w:val="OpiHA"/>
        <w:rPr>
          <w:rFonts w:eastAsia="Times New Roman"/>
          <w:lang w:val="en-GB"/>
        </w:rPr>
      </w:pPr>
      <w:r w:rsidRPr="008C3B63">
        <w:rPr>
          <w:rFonts w:eastAsia="Times New Roman"/>
          <w:lang w:val="en-GB"/>
        </w:rPr>
        <w:t>IV.</w:t>
      </w:r>
      <w:proofErr w:type="gramStart"/>
      <w:r w:rsidRPr="008C3B63">
        <w:rPr>
          <w:rFonts w:eastAsia="Times New Roman"/>
          <w:lang w:val="en-GB"/>
        </w:rPr>
        <w:t>  Concluding</w:t>
      </w:r>
      <w:proofErr w:type="gramEnd"/>
      <w:r w:rsidRPr="008C3B63">
        <w:rPr>
          <w:rFonts w:eastAsia="Times New Roman"/>
          <w:lang w:val="en-GB"/>
        </w:rPr>
        <w:t xml:space="preserve"> remarks</w:t>
      </w:r>
    </w:p>
    <w:p w:rsidRPr="008C3B63" w:rsidR="00A04C44" w:rsidP="008C3B63" w:rsidRDefault="00A04C44">
      <w:pPr>
        <w:pStyle w:val="OpiPara"/>
        <w:rPr>
          <w:rFonts w:eastAsia="Times New Roman"/>
          <w:lang w:val="en-GB"/>
        </w:rPr>
      </w:pPr>
      <w:r w:rsidRPr="008C3B63">
        <w:rPr>
          <w:rFonts w:eastAsia="Times New Roman"/>
          <w:lang w:val="en-GB"/>
        </w:rPr>
        <w:t>This is not a very serious case, as shown by the fact that the majority did not even choose to award compensation. Nevertheless, it raises more far-reaching problems of interpretation of the Convention. Firstly, it seems doubtful what the message should be if the Court finds violations in situations where the human rights guarantees – seen as a whole – clearly exceed the requirements of the Convention. Secondly, while legal certainty is very important, it should not be misunderstood as the reduction of substantive guarantees to formal guarantees. Form and procedure matter, but in human rights protection they are not an end in themselves. The Court should always look behind appearances and focus on the substance. Thirdly, we think that it is very important to interpret the Convention in a consistent manner. The requirements of a fair trial under Article 5 § 4 of the Convention should not exceed what is required under Article 6 of the Convention.</w:t>
      </w:r>
    </w:p>
    <w:p w:rsidRPr="008C3B63" w:rsidR="00A04C44" w:rsidP="008C3B63" w:rsidRDefault="00A04C44">
      <w:pPr>
        <w:pStyle w:val="OpiPara"/>
        <w:rPr>
          <w:rFonts w:eastAsia="Times New Roman"/>
          <w:lang w:val="en-GB"/>
        </w:rPr>
      </w:pPr>
      <w:r w:rsidRPr="008C3B63">
        <w:rPr>
          <w:rFonts w:eastAsia="Times New Roman"/>
          <w:lang w:val="en-GB"/>
        </w:rPr>
        <w:t>Based on all these reasons, we have come to the conclusion that there has been no violation of Article 5 § 4 of the Convention in the present case, as the applicant had ample opportunities to have the lawfulness of his detention reviewed.</w:t>
      </w:r>
    </w:p>
    <w:sectPr w:rsidRPr="008C3B63" w:rsidR="00A04C44" w:rsidSect="0000586C">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169" w:rsidRPr="00512D5D" w:rsidRDefault="000D1169" w:rsidP="00014566">
      <w:pPr>
        <w:rPr>
          <w:lang w:val="en-GB"/>
        </w:rPr>
      </w:pPr>
      <w:r w:rsidRPr="00512D5D">
        <w:rPr>
          <w:lang w:val="en-GB"/>
        </w:rPr>
        <w:separator/>
      </w:r>
    </w:p>
  </w:endnote>
  <w:endnote w:type="continuationSeparator" w:id="0">
    <w:p w:rsidR="000D1169" w:rsidRPr="00512D5D" w:rsidRDefault="000D1169" w:rsidP="00014566">
      <w:pPr>
        <w:rPr>
          <w:lang w:val="en-GB"/>
        </w:rPr>
      </w:pPr>
      <w:r w:rsidRPr="00512D5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D5F" w:rsidRPr="00150BFA" w:rsidRDefault="00926D5F" w:rsidP="0020718E">
    <w:pPr>
      <w:jc w:val="center"/>
    </w:pPr>
    <w:r>
      <w:rPr>
        <w:noProof/>
        <w:lang w:eastAsia="ja-JP"/>
      </w:rPr>
      <w:drawing>
        <wp:inline distT="0" distB="0" distL="0" distR="0" wp14:anchorId="4DF182B7" wp14:editId="45308E7B">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26D5F" w:rsidRDefault="00926D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169" w:rsidRPr="00512D5D" w:rsidRDefault="000D1169" w:rsidP="00014566">
      <w:pPr>
        <w:rPr>
          <w:lang w:val="en-GB"/>
        </w:rPr>
      </w:pPr>
      <w:r w:rsidRPr="00512D5D">
        <w:rPr>
          <w:lang w:val="en-GB"/>
        </w:rPr>
        <w:separator/>
      </w:r>
    </w:p>
  </w:footnote>
  <w:footnote w:type="continuationSeparator" w:id="0">
    <w:p w:rsidR="000D1169" w:rsidRPr="00512D5D" w:rsidRDefault="000D1169" w:rsidP="00014566">
      <w:pPr>
        <w:rPr>
          <w:lang w:val="en-GB"/>
        </w:rPr>
      </w:pPr>
      <w:r w:rsidRPr="00512D5D">
        <w:rPr>
          <w:lang w:val="en-GB"/>
        </w:rPr>
        <w:continuationSeparator/>
      </w:r>
    </w:p>
  </w:footnote>
  <w:footnote w:id="1">
    <w:p w:rsidR="00A04C44" w:rsidRPr="00A3193B" w:rsidRDefault="00A04C44" w:rsidP="00A04C44">
      <w:pPr>
        <w:pStyle w:val="FootnoteText"/>
        <w:rPr>
          <w:rFonts w:ascii="Times New Roman" w:hAnsi="Times New Roman" w:cs="Times New Roman"/>
        </w:rPr>
      </w:pPr>
      <w:r w:rsidRPr="00A3193B">
        <w:rPr>
          <w:rStyle w:val="FootnoteReference"/>
          <w:rFonts w:ascii="Times New Roman" w:hAnsi="Times New Roman" w:cs="Times New Roman"/>
        </w:rPr>
        <w:footnoteRef/>
      </w:r>
      <w:r w:rsidRPr="00A3193B">
        <w:rPr>
          <w:rFonts w:ascii="Times New Roman" w:hAnsi="Times New Roman" w:cs="Times New Roman"/>
        </w:rPr>
        <w:t xml:space="preserve"> Between 30 August 2010 and 11 November 2010 </w:t>
      </w:r>
      <w:r>
        <w:rPr>
          <w:rFonts w:ascii="Times New Roman" w:hAnsi="Times New Roman" w:cs="Times New Roman"/>
        </w:rPr>
        <w:t>the applicant’s detention was examined</w:t>
      </w:r>
      <w:r w:rsidRPr="00A3193B">
        <w:rPr>
          <w:rFonts w:ascii="Times New Roman" w:hAnsi="Times New Roman" w:cs="Times New Roman"/>
        </w:rPr>
        <w:t xml:space="preserve"> eight </w:t>
      </w:r>
      <w:r>
        <w:rPr>
          <w:rFonts w:ascii="Times New Roman" w:hAnsi="Times New Roman" w:cs="Times New Roman"/>
        </w:rPr>
        <w:t>times</w:t>
      </w:r>
      <w:r w:rsidRPr="00A3193B">
        <w:rPr>
          <w:rFonts w:ascii="Times New Roman" w:hAnsi="Times New Roman" w:cs="Times New Roman"/>
        </w:rPr>
        <w:t xml:space="preserve"> (</w:t>
      </w:r>
      <w:r>
        <w:rPr>
          <w:rFonts w:ascii="Times New Roman" w:hAnsi="Times New Roman" w:cs="Times New Roman"/>
        </w:rPr>
        <w:t xml:space="preserve">see </w:t>
      </w:r>
      <w:r w:rsidRPr="00A3193B">
        <w:rPr>
          <w:rFonts w:ascii="Times New Roman" w:hAnsi="Times New Roman" w:cs="Times New Roman"/>
        </w:rPr>
        <w:t>para</w:t>
      </w:r>
      <w:r>
        <w:rPr>
          <w:rFonts w:ascii="Times New Roman" w:hAnsi="Times New Roman" w:cs="Times New Roman"/>
        </w:rPr>
        <w:t xml:space="preserve">graph </w:t>
      </w:r>
      <w:r w:rsidRPr="00A3193B">
        <w:rPr>
          <w:rFonts w:ascii="Times New Roman" w:hAnsi="Times New Roman" w:cs="Times New Roman"/>
        </w:rPr>
        <w:t>7</w:t>
      </w:r>
      <w:r>
        <w:rPr>
          <w:rFonts w:ascii="Times New Roman" w:hAnsi="Times New Roman" w:cs="Times New Roman"/>
        </w:rPr>
        <w:t xml:space="preserve"> of the judgment</w:t>
      </w:r>
      <w:r w:rsidRPr="00A3193B">
        <w:rPr>
          <w:rFonts w:ascii="Times New Roman" w:hAnsi="Times New Roman" w:cs="Times New Roman"/>
        </w:rPr>
        <w:t>). The ninth decision was taken on 6 December 2010, the same day on which the judgment had been adopted (</w:t>
      </w:r>
      <w:r>
        <w:rPr>
          <w:rFonts w:ascii="Times New Roman" w:hAnsi="Times New Roman" w:cs="Times New Roman"/>
        </w:rPr>
        <w:t xml:space="preserve">see </w:t>
      </w:r>
      <w:r w:rsidRPr="00A3193B">
        <w:rPr>
          <w:rFonts w:ascii="Times New Roman" w:hAnsi="Times New Roman" w:cs="Times New Roman"/>
        </w:rPr>
        <w:t>para</w:t>
      </w:r>
      <w:r>
        <w:rPr>
          <w:rFonts w:ascii="Times New Roman" w:hAnsi="Times New Roman" w:cs="Times New Roman"/>
        </w:rPr>
        <w:t xml:space="preserve">graph </w:t>
      </w:r>
      <w:r w:rsidRPr="00A3193B">
        <w:rPr>
          <w:rFonts w:ascii="Times New Roman" w:hAnsi="Times New Roman" w:cs="Times New Roman"/>
        </w:rPr>
        <w:t>8). The tenth decision was taken on 8 December by the District Court</w:t>
      </w:r>
      <w:r>
        <w:rPr>
          <w:rFonts w:ascii="Times New Roman" w:hAnsi="Times New Roman" w:cs="Times New Roman"/>
        </w:rPr>
        <w:t>,</w:t>
      </w:r>
      <w:r w:rsidRPr="00A3193B">
        <w:rPr>
          <w:rFonts w:ascii="Times New Roman" w:hAnsi="Times New Roman" w:cs="Times New Roman"/>
        </w:rPr>
        <w:t xml:space="preserve"> </w:t>
      </w:r>
      <w:r>
        <w:rPr>
          <w:rFonts w:ascii="Times New Roman" w:hAnsi="Times New Roman" w:cs="Times New Roman"/>
        </w:rPr>
        <w:t>which</w:t>
      </w:r>
      <w:r w:rsidRPr="00A3193B">
        <w:rPr>
          <w:rFonts w:ascii="Times New Roman" w:hAnsi="Times New Roman" w:cs="Times New Roman"/>
        </w:rPr>
        <w:t xml:space="preserve"> did not allow the appeal (</w:t>
      </w:r>
      <w:r>
        <w:rPr>
          <w:rFonts w:ascii="Times New Roman" w:hAnsi="Times New Roman" w:cs="Times New Roman"/>
        </w:rPr>
        <w:t xml:space="preserve">see </w:t>
      </w:r>
      <w:r w:rsidRPr="00A3193B">
        <w:rPr>
          <w:rFonts w:ascii="Times New Roman" w:hAnsi="Times New Roman" w:cs="Times New Roman"/>
        </w:rPr>
        <w:t>para</w:t>
      </w:r>
      <w:r>
        <w:rPr>
          <w:rFonts w:ascii="Times New Roman" w:hAnsi="Times New Roman" w:cs="Times New Roman"/>
        </w:rPr>
        <w:t xml:space="preserve">graph </w:t>
      </w:r>
      <w:r w:rsidRPr="00A3193B">
        <w:rPr>
          <w:rFonts w:ascii="Times New Roman" w:hAnsi="Times New Roman" w:cs="Times New Roman"/>
        </w:rPr>
        <w:t>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169" w:rsidRPr="00926D5F" w:rsidRDefault="000D1169" w:rsidP="00926D5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D5F" w:rsidRPr="00A45145" w:rsidRDefault="00926D5F" w:rsidP="00A45145">
    <w:pPr>
      <w:jc w:val="center"/>
    </w:pPr>
    <w:r>
      <w:rPr>
        <w:noProof/>
        <w:lang w:eastAsia="ja-JP"/>
      </w:rPr>
      <w:drawing>
        <wp:inline distT="0" distB="0" distL="0" distR="0" wp14:anchorId="56EE7D80" wp14:editId="16517490">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26D5F" w:rsidRDefault="00926D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D5F" w:rsidRPr="00512D5D" w:rsidRDefault="00926D5F"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F07F06">
      <w:rPr>
        <w:rStyle w:val="PageNumber"/>
        <w:noProof/>
        <w:szCs w:val="18"/>
        <w:lang w:val="en-GB"/>
      </w:rPr>
      <w:t>12</w:t>
    </w:r>
    <w:r>
      <w:rPr>
        <w:rStyle w:val="PageNumber"/>
        <w:szCs w:val="18"/>
        <w:lang w:val="en-GB"/>
      </w:rPr>
      <w:fldChar w:fldCharType="end"/>
    </w:r>
    <w:r w:rsidRPr="00512D5D">
      <w:rPr>
        <w:lang w:val="en-GB"/>
      </w:rPr>
      <w:tab/>
    </w:r>
    <w:r>
      <w:rPr>
        <w:lang w:val="en-GB"/>
      </w:rPr>
      <w:t>STOLLENWERK v. GERMANY</w:t>
    </w:r>
    <w:r w:rsidRPr="00512D5D">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D5F" w:rsidRPr="00512D5D" w:rsidRDefault="00926D5F" w:rsidP="00D60D87">
    <w:pPr>
      <w:pStyle w:val="ECHRHeader"/>
      <w:rPr>
        <w:lang w:val="en-GB"/>
      </w:rPr>
    </w:pPr>
    <w:r w:rsidRPr="00512D5D">
      <w:rPr>
        <w:lang w:val="en-GB"/>
      </w:rPr>
      <w:tab/>
    </w:r>
    <w:r>
      <w:rPr>
        <w:lang w:val="en-GB"/>
      </w:rPr>
      <w:t>STOLLENWERK v. GERMANY</w:t>
    </w:r>
    <w:r w:rsidRPr="00512D5D">
      <w:rPr>
        <w:lang w:val="en-GB"/>
      </w:rPr>
      <w:t xml:space="preserve"> </w:t>
    </w:r>
    <w:r>
      <w:rPr>
        <w:lang w:val="en-GB"/>
      </w:rPr>
      <w:t>JUDGMENT</w:t>
    </w:r>
    <w:r w:rsidRPr="00512D5D">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F07F06">
      <w:rPr>
        <w:rStyle w:val="PageNumber"/>
        <w:noProof/>
        <w:szCs w:val="18"/>
        <w:lang w:val="en-GB"/>
      </w:rPr>
      <w:t>13</w:t>
    </w:r>
    <w:r>
      <w:rPr>
        <w:rStyle w:val="PageNumber"/>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86C" w:rsidRPr="00512D5D" w:rsidRDefault="0000586C"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F07F06">
      <w:rPr>
        <w:rStyle w:val="PageNumber"/>
        <w:noProof/>
        <w:szCs w:val="18"/>
        <w:lang w:val="en-GB"/>
      </w:rPr>
      <w:t>18</w:t>
    </w:r>
    <w:r>
      <w:rPr>
        <w:rStyle w:val="PageNumber"/>
        <w:szCs w:val="18"/>
        <w:lang w:val="en-GB"/>
      </w:rPr>
      <w:fldChar w:fldCharType="end"/>
    </w:r>
    <w:r w:rsidRPr="00512D5D">
      <w:rPr>
        <w:lang w:val="en-GB"/>
      </w:rPr>
      <w:tab/>
    </w:r>
    <w:r>
      <w:rPr>
        <w:lang w:val="en-GB"/>
      </w:rPr>
      <w:t>STOLLENWERK v. GERMANY</w:t>
    </w:r>
    <w:r w:rsidRPr="00512D5D">
      <w:rPr>
        <w:lang w:val="en-GB"/>
      </w:rPr>
      <w:t xml:space="preserve"> </w:t>
    </w:r>
    <w:r w:rsidR="008457B2">
      <w:rPr>
        <w:lang w:val="en-GB"/>
      </w:rPr>
      <w:t xml:space="preserve">JUDGMENT </w:t>
    </w:r>
    <w:r w:rsidRPr="0000586C">
      <w:rPr>
        <w:lang w:val="en-GB"/>
      </w:rPr>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86C" w:rsidRPr="00512D5D" w:rsidRDefault="0000586C" w:rsidP="00D60D87">
    <w:pPr>
      <w:pStyle w:val="ECHRHeader"/>
      <w:rPr>
        <w:lang w:val="en-GB"/>
      </w:rPr>
    </w:pPr>
    <w:r w:rsidRPr="00512D5D">
      <w:rPr>
        <w:lang w:val="en-GB"/>
      </w:rPr>
      <w:tab/>
    </w:r>
    <w:r>
      <w:rPr>
        <w:lang w:val="en-GB"/>
      </w:rPr>
      <w:t>STOLLENWERK v. GERMANY</w:t>
    </w:r>
    <w:r w:rsidR="008457B2">
      <w:rPr>
        <w:lang w:val="en-GB"/>
      </w:rPr>
      <w:t xml:space="preserve"> JUDGMENT</w:t>
    </w:r>
    <w:r>
      <w:rPr>
        <w:lang w:val="en-GB"/>
      </w:rPr>
      <w:t xml:space="preserve"> </w:t>
    </w:r>
    <w:r w:rsidRPr="0000586C">
      <w:rPr>
        <w:lang w:val="en-GB"/>
      </w:rPr>
      <w:t>– SEPARATE OPINION</w:t>
    </w:r>
    <w:r w:rsidRPr="00512D5D">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F07F06">
      <w:rPr>
        <w:rStyle w:val="PageNumber"/>
        <w:noProof/>
        <w:szCs w:val="18"/>
        <w:lang w:val="en-GB"/>
      </w:rPr>
      <w:t>19</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B3535"/>
    <w:rsid w:val="00000067"/>
    <w:rsid w:val="000010ED"/>
    <w:rsid w:val="000041F8"/>
    <w:rsid w:val="000042A8"/>
    <w:rsid w:val="00004308"/>
    <w:rsid w:val="0000586C"/>
    <w:rsid w:val="00005BF0"/>
    <w:rsid w:val="00007154"/>
    <w:rsid w:val="000103AE"/>
    <w:rsid w:val="00011D69"/>
    <w:rsid w:val="00012AD3"/>
    <w:rsid w:val="00014566"/>
    <w:rsid w:val="00015C2D"/>
    <w:rsid w:val="00015F00"/>
    <w:rsid w:val="00016894"/>
    <w:rsid w:val="00021995"/>
    <w:rsid w:val="00022C1D"/>
    <w:rsid w:val="000316EF"/>
    <w:rsid w:val="000322B5"/>
    <w:rsid w:val="00034987"/>
    <w:rsid w:val="00034E83"/>
    <w:rsid w:val="000350E3"/>
    <w:rsid w:val="000436F5"/>
    <w:rsid w:val="00050F2D"/>
    <w:rsid w:val="0005750D"/>
    <w:rsid w:val="000602DF"/>
    <w:rsid w:val="000605C3"/>
    <w:rsid w:val="00061B05"/>
    <w:rsid w:val="00062973"/>
    <w:rsid w:val="00062D5D"/>
    <w:rsid w:val="000632D5"/>
    <w:rsid w:val="000644EE"/>
    <w:rsid w:val="00071ABC"/>
    <w:rsid w:val="000756D3"/>
    <w:rsid w:val="00076426"/>
    <w:rsid w:val="000774AF"/>
    <w:rsid w:val="00080149"/>
    <w:rsid w:val="0008129C"/>
    <w:rsid w:val="00084D72"/>
    <w:rsid w:val="000856D7"/>
    <w:rsid w:val="00085D5C"/>
    <w:rsid w:val="000925AD"/>
    <w:rsid w:val="00094651"/>
    <w:rsid w:val="00096532"/>
    <w:rsid w:val="000A24EB"/>
    <w:rsid w:val="000A6945"/>
    <w:rsid w:val="000B6923"/>
    <w:rsid w:val="000C033C"/>
    <w:rsid w:val="000C0B6B"/>
    <w:rsid w:val="000C2017"/>
    <w:rsid w:val="000C2774"/>
    <w:rsid w:val="000C5F3C"/>
    <w:rsid w:val="000C6DCC"/>
    <w:rsid w:val="000D1169"/>
    <w:rsid w:val="000D2494"/>
    <w:rsid w:val="000D2836"/>
    <w:rsid w:val="000D47AA"/>
    <w:rsid w:val="000D60AA"/>
    <w:rsid w:val="000D721F"/>
    <w:rsid w:val="000E069B"/>
    <w:rsid w:val="000E0E82"/>
    <w:rsid w:val="000E1DC5"/>
    <w:rsid w:val="000E223F"/>
    <w:rsid w:val="000E286D"/>
    <w:rsid w:val="000E2D96"/>
    <w:rsid w:val="000E35AC"/>
    <w:rsid w:val="000E5312"/>
    <w:rsid w:val="000E7BC8"/>
    <w:rsid w:val="000E7D45"/>
    <w:rsid w:val="000F04AB"/>
    <w:rsid w:val="000F17F9"/>
    <w:rsid w:val="000F1B17"/>
    <w:rsid w:val="000F271B"/>
    <w:rsid w:val="000F3095"/>
    <w:rsid w:val="000F7851"/>
    <w:rsid w:val="000F7B4D"/>
    <w:rsid w:val="0010362F"/>
    <w:rsid w:val="00103D11"/>
    <w:rsid w:val="00104CC1"/>
    <w:rsid w:val="00104E23"/>
    <w:rsid w:val="001076B9"/>
    <w:rsid w:val="00111B0C"/>
    <w:rsid w:val="00114CC7"/>
    <w:rsid w:val="00117160"/>
    <w:rsid w:val="00120D6C"/>
    <w:rsid w:val="001242CC"/>
    <w:rsid w:val="001257EC"/>
    <w:rsid w:val="00132C6A"/>
    <w:rsid w:val="00133D33"/>
    <w:rsid w:val="00134D64"/>
    <w:rsid w:val="00135A30"/>
    <w:rsid w:val="0013612C"/>
    <w:rsid w:val="00137FF6"/>
    <w:rsid w:val="00141650"/>
    <w:rsid w:val="001465B8"/>
    <w:rsid w:val="00157E83"/>
    <w:rsid w:val="00162A12"/>
    <w:rsid w:val="00166530"/>
    <w:rsid w:val="00167ACF"/>
    <w:rsid w:val="00174D3A"/>
    <w:rsid w:val="00181411"/>
    <w:rsid w:val="001832BD"/>
    <w:rsid w:val="001852FE"/>
    <w:rsid w:val="001869C7"/>
    <w:rsid w:val="0019263A"/>
    <w:rsid w:val="001943B5"/>
    <w:rsid w:val="00195134"/>
    <w:rsid w:val="00196483"/>
    <w:rsid w:val="00197F40"/>
    <w:rsid w:val="001A145B"/>
    <w:rsid w:val="001A1C98"/>
    <w:rsid w:val="001A5330"/>
    <w:rsid w:val="001A674C"/>
    <w:rsid w:val="001A7ED0"/>
    <w:rsid w:val="001B3B24"/>
    <w:rsid w:val="001B5700"/>
    <w:rsid w:val="001C0F98"/>
    <w:rsid w:val="001C2576"/>
    <w:rsid w:val="001C2A42"/>
    <w:rsid w:val="001D63ED"/>
    <w:rsid w:val="001D7348"/>
    <w:rsid w:val="001D74E3"/>
    <w:rsid w:val="001E035B"/>
    <w:rsid w:val="001E0961"/>
    <w:rsid w:val="001E3EAE"/>
    <w:rsid w:val="001E5348"/>
    <w:rsid w:val="001E6F32"/>
    <w:rsid w:val="001F077E"/>
    <w:rsid w:val="001F2145"/>
    <w:rsid w:val="001F367C"/>
    <w:rsid w:val="001F4F88"/>
    <w:rsid w:val="001F6262"/>
    <w:rsid w:val="001F67B0"/>
    <w:rsid w:val="001F7B3D"/>
    <w:rsid w:val="00204E60"/>
    <w:rsid w:val="00205F9F"/>
    <w:rsid w:val="00210338"/>
    <w:rsid w:val="002115FC"/>
    <w:rsid w:val="0021187B"/>
    <w:rsid w:val="002133E1"/>
    <w:rsid w:val="002133F8"/>
    <w:rsid w:val="0021423C"/>
    <w:rsid w:val="00225766"/>
    <w:rsid w:val="00230D00"/>
    <w:rsid w:val="00231AC4"/>
    <w:rsid w:val="00231DF7"/>
    <w:rsid w:val="00231FD1"/>
    <w:rsid w:val="002339E0"/>
    <w:rsid w:val="00233CF8"/>
    <w:rsid w:val="00234ACB"/>
    <w:rsid w:val="0023575D"/>
    <w:rsid w:val="00235C20"/>
    <w:rsid w:val="00237148"/>
    <w:rsid w:val="0024222D"/>
    <w:rsid w:val="00244B0E"/>
    <w:rsid w:val="00244F69"/>
    <w:rsid w:val="00244F6C"/>
    <w:rsid w:val="00246852"/>
    <w:rsid w:val="00247622"/>
    <w:rsid w:val="002532C5"/>
    <w:rsid w:val="00260C03"/>
    <w:rsid w:val="0026540E"/>
    <w:rsid w:val="002715D8"/>
    <w:rsid w:val="0027225C"/>
    <w:rsid w:val="002738C0"/>
    <w:rsid w:val="00275123"/>
    <w:rsid w:val="00275A0F"/>
    <w:rsid w:val="00277AA7"/>
    <w:rsid w:val="00282240"/>
    <w:rsid w:val="0028572A"/>
    <w:rsid w:val="002878E0"/>
    <w:rsid w:val="002948AD"/>
    <w:rsid w:val="00294C05"/>
    <w:rsid w:val="00294C92"/>
    <w:rsid w:val="00296561"/>
    <w:rsid w:val="002A01CC"/>
    <w:rsid w:val="002A1221"/>
    <w:rsid w:val="002A47AD"/>
    <w:rsid w:val="002A61B1"/>
    <w:rsid w:val="002A663C"/>
    <w:rsid w:val="002A72AD"/>
    <w:rsid w:val="002B1E6C"/>
    <w:rsid w:val="002B444B"/>
    <w:rsid w:val="002B5887"/>
    <w:rsid w:val="002B68CB"/>
    <w:rsid w:val="002B6A28"/>
    <w:rsid w:val="002B6A5F"/>
    <w:rsid w:val="002C0692"/>
    <w:rsid w:val="002C0E27"/>
    <w:rsid w:val="002C1F1B"/>
    <w:rsid w:val="002C3040"/>
    <w:rsid w:val="002C4187"/>
    <w:rsid w:val="002C437E"/>
    <w:rsid w:val="002D022D"/>
    <w:rsid w:val="002D1DA9"/>
    <w:rsid w:val="002D24BB"/>
    <w:rsid w:val="002D6CB4"/>
    <w:rsid w:val="002E135B"/>
    <w:rsid w:val="002E2BC5"/>
    <w:rsid w:val="002E4289"/>
    <w:rsid w:val="002F2AF7"/>
    <w:rsid w:val="002F7E1C"/>
    <w:rsid w:val="00301A75"/>
    <w:rsid w:val="00302F70"/>
    <w:rsid w:val="0030336F"/>
    <w:rsid w:val="0030375E"/>
    <w:rsid w:val="00312A30"/>
    <w:rsid w:val="003134BA"/>
    <w:rsid w:val="00320F72"/>
    <w:rsid w:val="00323150"/>
    <w:rsid w:val="003242D6"/>
    <w:rsid w:val="0032463E"/>
    <w:rsid w:val="0032474F"/>
    <w:rsid w:val="00326224"/>
    <w:rsid w:val="0032676F"/>
    <w:rsid w:val="00326F91"/>
    <w:rsid w:val="0033474D"/>
    <w:rsid w:val="003357FE"/>
    <w:rsid w:val="003370F9"/>
    <w:rsid w:val="00337EE4"/>
    <w:rsid w:val="00340FFD"/>
    <w:rsid w:val="003506B1"/>
    <w:rsid w:val="00356AC7"/>
    <w:rsid w:val="003609FA"/>
    <w:rsid w:val="00364770"/>
    <w:rsid w:val="003666AF"/>
    <w:rsid w:val="00370CF3"/>
    <w:rsid w:val="003710C8"/>
    <w:rsid w:val="003712D5"/>
    <w:rsid w:val="00374C55"/>
    <w:rsid w:val="003750BE"/>
    <w:rsid w:val="003803C5"/>
    <w:rsid w:val="003834A6"/>
    <w:rsid w:val="00386965"/>
    <w:rsid w:val="00387B9D"/>
    <w:rsid w:val="0039364F"/>
    <w:rsid w:val="00395638"/>
    <w:rsid w:val="00396686"/>
    <w:rsid w:val="0039778E"/>
    <w:rsid w:val="003A3DC8"/>
    <w:rsid w:val="003A441D"/>
    <w:rsid w:val="003B0DB9"/>
    <w:rsid w:val="003B437C"/>
    <w:rsid w:val="003B4941"/>
    <w:rsid w:val="003C2AED"/>
    <w:rsid w:val="003C47EA"/>
    <w:rsid w:val="003C5714"/>
    <w:rsid w:val="003C6B9F"/>
    <w:rsid w:val="003C6E2A"/>
    <w:rsid w:val="003D0299"/>
    <w:rsid w:val="003D623E"/>
    <w:rsid w:val="003D650F"/>
    <w:rsid w:val="003E48A1"/>
    <w:rsid w:val="003E6D80"/>
    <w:rsid w:val="003F05FA"/>
    <w:rsid w:val="003F244A"/>
    <w:rsid w:val="003F30B8"/>
    <w:rsid w:val="003F4C45"/>
    <w:rsid w:val="003F5F42"/>
    <w:rsid w:val="003F5F7B"/>
    <w:rsid w:val="003F60BB"/>
    <w:rsid w:val="003F6677"/>
    <w:rsid w:val="003F6982"/>
    <w:rsid w:val="003F7D64"/>
    <w:rsid w:val="004109FB"/>
    <w:rsid w:val="00414300"/>
    <w:rsid w:val="00415023"/>
    <w:rsid w:val="00424AE1"/>
    <w:rsid w:val="00425A62"/>
    <w:rsid w:val="00425C67"/>
    <w:rsid w:val="00427E7A"/>
    <w:rsid w:val="004335B8"/>
    <w:rsid w:val="00436307"/>
    <w:rsid w:val="00436C49"/>
    <w:rsid w:val="00445366"/>
    <w:rsid w:val="004457AB"/>
    <w:rsid w:val="00446D15"/>
    <w:rsid w:val="00447935"/>
    <w:rsid w:val="00447F5B"/>
    <w:rsid w:val="00452DEC"/>
    <w:rsid w:val="004546BA"/>
    <w:rsid w:val="00457584"/>
    <w:rsid w:val="00461006"/>
    <w:rsid w:val="00461DB0"/>
    <w:rsid w:val="00463926"/>
    <w:rsid w:val="00463C29"/>
    <w:rsid w:val="00464097"/>
    <w:rsid w:val="004646E0"/>
    <w:rsid w:val="00464C9A"/>
    <w:rsid w:val="0046548E"/>
    <w:rsid w:val="00467C65"/>
    <w:rsid w:val="00470ECB"/>
    <w:rsid w:val="00471697"/>
    <w:rsid w:val="00474F3D"/>
    <w:rsid w:val="00477E3A"/>
    <w:rsid w:val="004826F6"/>
    <w:rsid w:val="00483E5F"/>
    <w:rsid w:val="00485FF9"/>
    <w:rsid w:val="004907F0"/>
    <w:rsid w:val="0049140B"/>
    <w:rsid w:val="004923A5"/>
    <w:rsid w:val="00496BFB"/>
    <w:rsid w:val="004A0011"/>
    <w:rsid w:val="004A15C7"/>
    <w:rsid w:val="004A4F2E"/>
    <w:rsid w:val="004A6950"/>
    <w:rsid w:val="004A6CD6"/>
    <w:rsid w:val="004B013B"/>
    <w:rsid w:val="004B112B"/>
    <w:rsid w:val="004B2AAE"/>
    <w:rsid w:val="004B5762"/>
    <w:rsid w:val="004B6361"/>
    <w:rsid w:val="004B7B71"/>
    <w:rsid w:val="004C01E4"/>
    <w:rsid w:val="004C086C"/>
    <w:rsid w:val="004C1F56"/>
    <w:rsid w:val="004C27BC"/>
    <w:rsid w:val="004C34F3"/>
    <w:rsid w:val="004C7E55"/>
    <w:rsid w:val="004D0FC6"/>
    <w:rsid w:val="004D1420"/>
    <w:rsid w:val="004D15F3"/>
    <w:rsid w:val="004D17AB"/>
    <w:rsid w:val="004D3497"/>
    <w:rsid w:val="004D5311"/>
    <w:rsid w:val="004D5DCC"/>
    <w:rsid w:val="004D6DB5"/>
    <w:rsid w:val="004E4DA7"/>
    <w:rsid w:val="004E51EF"/>
    <w:rsid w:val="004E7835"/>
    <w:rsid w:val="004E7D75"/>
    <w:rsid w:val="004F10AF"/>
    <w:rsid w:val="004F11A4"/>
    <w:rsid w:val="004F22AA"/>
    <w:rsid w:val="004F2389"/>
    <w:rsid w:val="004F304D"/>
    <w:rsid w:val="004F61BE"/>
    <w:rsid w:val="004F66B1"/>
    <w:rsid w:val="00504729"/>
    <w:rsid w:val="0050481E"/>
    <w:rsid w:val="00504B84"/>
    <w:rsid w:val="0050595C"/>
    <w:rsid w:val="00506E6F"/>
    <w:rsid w:val="0050797E"/>
    <w:rsid w:val="00511B9A"/>
    <w:rsid w:val="00511C07"/>
    <w:rsid w:val="00512CDD"/>
    <w:rsid w:val="00512D5D"/>
    <w:rsid w:val="005173A6"/>
    <w:rsid w:val="00520BAA"/>
    <w:rsid w:val="00524CC9"/>
    <w:rsid w:val="00525208"/>
    <w:rsid w:val="005257A5"/>
    <w:rsid w:val="005264C0"/>
    <w:rsid w:val="00526A8A"/>
    <w:rsid w:val="00526B42"/>
    <w:rsid w:val="005278D5"/>
    <w:rsid w:val="00531DF2"/>
    <w:rsid w:val="00535BB8"/>
    <w:rsid w:val="00536C61"/>
    <w:rsid w:val="00536D45"/>
    <w:rsid w:val="00540235"/>
    <w:rsid w:val="005442EE"/>
    <w:rsid w:val="00544DB7"/>
    <w:rsid w:val="00547353"/>
    <w:rsid w:val="005474E7"/>
    <w:rsid w:val="005477EB"/>
    <w:rsid w:val="005512A3"/>
    <w:rsid w:val="00553FB2"/>
    <w:rsid w:val="0055437D"/>
    <w:rsid w:val="00554F4A"/>
    <w:rsid w:val="005578CE"/>
    <w:rsid w:val="005606BA"/>
    <w:rsid w:val="00561971"/>
    <w:rsid w:val="00562781"/>
    <w:rsid w:val="00563E83"/>
    <w:rsid w:val="00565D6B"/>
    <w:rsid w:val="00566AA8"/>
    <w:rsid w:val="0057271C"/>
    <w:rsid w:val="00572845"/>
    <w:rsid w:val="00572F41"/>
    <w:rsid w:val="005767F9"/>
    <w:rsid w:val="00582C4F"/>
    <w:rsid w:val="00586C7A"/>
    <w:rsid w:val="00592772"/>
    <w:rsid w:val="00593659"/>
    <w:rsid w:val="0059403B"/>
    <w:rsid w:val="0059574A"/>
    <w:rsid w:val="005959C4"/>
    <w:rsid w:val="005967BA"/>
    <w:rsid w:val="00597F0C"/>
    <w:rsid w:val="005A0818"/>
    <w:rsid w:val="005A1B9B"/>
    <w:rsid w:val="005A6751"/>
    <w:rsid w:val="005B092E"/>
    <w:rsid w:val="005B152C"/>
    <w:rsid w:val="005B1EE0"/>
    <w:rsid w:val="005B2B24"/>
    <w:rsid w:val="005B2EC4"/>
    <w:rsid w:val="005B4425"/>
    <w:rsid w:val="005B4B94"/>
    <w:rsid w:val="005C3EE8"/>
    <w:rsid w:val="005C58B4"/>
    <w:rsid w:val="005D34F9"/>
    <w:rsid w:val="005D4190"/>
    <w:rsid w:val="005D67A3"/>
    <w:rsid w:val="005D715B"/>
    <w:rsid w:val="005E0F05"/>
    <w:rsid w:val="005E2988"/>
    <w:rsid w:val="005E2A43"/>
    <w:rsid w:val="005E3085"/>
    <w:rsid w:val="005E438A"/>
    <w:rsid w:val="005F51E1"/>
    <w:rsid w:val="0060449C"/>
    <w:rsid w:val="00607946"/>
    <w:rsid w:val="00607B46"/>
    <w:rsid w:val="00611C80"/>
    <w:rsid w:val="006134BA"/>
    <w:rsid w:val="00613BA0"/>
    <w:rsid w:val="0061784C"/>
    <w:rsid w:val="00620692"/>
    <w:rsid w:val="006242CA"/>
    <w:rsid w:val="00627507"/>
    <w:rsid w:val="006317AE"/>
    <w:rsid w:val="00633717"/>
    <w:rsid w:val="00633E63"/>
    <w:rsid w:val="006344E1"/>
    <w:rsid w:val="00634B5E"/>
    <w:rsid w:val="00635672"/>
    <w:rsid w:val="006372B5"/>
    <w:rsid w:val="00644AA3"/>
    <w:rsid w:val="00645B88"/>
    <w:rsid w:val="00645F3A"/>
    <w:rsid w:val="006508D5"/>
    <w:rsid w:val="006545C4"/>
    <w:rsid w:val="00661971"/>
    <w:rsid w:val="00661CE8"/>
    <w:rsid w:val="006623D9"/>
    <w:rsid w:val="0066550C"/>
    <w:rsid w:val="006667C4"/>
    <w:rsid w:val="00667684"/>
    <w:rsid w:val="00667AA2"/>
    <w:rsid w:val="006716F2"/>
    <w:rsid w:val="00671AEF"/>
    <w:rsid w:val="006734E5"/>
    <w:rsid w:val="00675384"/>
    <w:rsid w:val="0068188F"/>
    <w:rsid w:val="00682BF2"/>
    <w:rsid w:val="00685305"/>
    <w:rsid w:val="006859CE"/>
    <w:rsid w:val="00687713"/>
    <w:rsid w:val="00691166"/>
    <w:rsid w:val="00691270"/>
    <w:rsid w:val="0069290C"/>
    <w:rsid w:val="0069475F"/>
    <w:rsid w:val="00694BA8"/>
    <w:rsid w:val="006A037C"/>
    <w:rsid w:val="006A36F4"/>
    <w:rsid w:val="006A406F"/>
    <w:rsid w:val="006A5D3A"/>
    <w:rsid w:val="006A642F"/>
    <w:rsid w:val="006B341D"/>
    <w:rsid w:val="006C1043"/>
    <w:rsid w:val="006C23D4"/>
    <w:rsid w:val="006C33E5"/>
    <w:rsid w:val="006C401A"/>
    <w:rsid w:val="006C736D"/>
    <w:rsid w:val="006C7BB0"/>
    <w:rsid w:val="006D3237"/>
    <w:rsid w:val="006E1BB8"/>
    <w:rsid w:val="006E2E37"/>
    <w:rsid w:val="006E3CF1"/>
    <w:rsid w:val="006E554C"/>
    <w:rsid w:val="006E7E80"/>
    <w:rsid w:val="006F1DF9"/>
    <w:rsid w:val="006F24DB"/>
    <w:rsid w:val="006F48CA"/>
    <w:rsid w:val="006F64DD"/>
    <w:rsid w:val="00706266"/>
    <w:rsid w:val="00707940"/>
    <w:rsid w:val="0071440C"/>
    <w:rsid w:val="00715127"/>
    <w:rsid w:val="00715E8E"/>
    <w:rsid w:val="00720616"/>
    <w:rsid w:val="00723580"/>
    <w:rsid w:val="00723755"/>
    <w:rsid w:val="00725576"/>
    <w:rsid w:val="0073136C"/>
    <w:rsid w:val="00731F0F"/>
    <w:rsid w:val="00733250"/>
    <w:rsid w:val="00734834"/>
    <w:rsid w:val="00735C88"/>
    <w:rsid w:val="007402F3"/>
    <w:rsid w:val="00740E76"/>
    <w:rsid w:val="00741404"/>
    <w:rsid w:val="00742346"/>
    <w:rsid w:val="007449E5"/>
    <w:rsid w:val="00745AB9"/>
    <w:rsid w:val="00746C5A"/>
    <w:rsid w:val="0074711F"/>
    <w:rsid w:val="00747FF0"/>
    <w:rsid w:val="007538B2"/>
    <w:rsid w:val="0075663C"/>
    <w:rsid w:val="00762AFA"/>
    <w:rsid w:val="00764935"/>
    <w:rsid w:val="00764D4E"/>
    <w:rsid w:val="00765A1F"/>
    <w:rsid w:val="0077020E"/>
    <w:rsid w:val="00775B6D"/>
    <w:rsid w:val="00776D68"/>
    <w:rsid w:val="007803A3"/>
    <w:rsid w:val="007809EF"/>
    <w:rsid w:val="007850EE"/>
    <w:rsid w:val="00785B95"/>
    <w:rsid w:val="00790E96"/>
    <w:rsid w:val="00791057"/>
    <w:rsid w:val="007913C6"/>
    <w:rsid w:val="00793366"/>
    <w:rsid w:val="007A13B9"/>
    <w:rsid w:val="007A716F"/>
    <w:rsid w:val="007B270A"/>
    <w:rsid w:val="007B3535"/>
    <w:rsid w:val="007C0695"/>
    <w:rsid w:val="007C1979"/>
    <w:rsid w:val="007C419A"/>
    <w:rsid w:val="007C4CC8"/>
    <w:rsid w:val="007C5007"/>
    <w:rsid w:val="007C5426"/>
    <w:rsid w:val="007C5798"/>
    <w:rsid w:val="007C6085"/>
    <w:rsid w:val="007D2762"/>
    <w:rsid w:val="007D4832"/>
    <w:rsid w:val="007E21B2"/>
    <w:rsid w:val="007E2C4E"/>
    <w:rsid w:val="007F1905"/>
    <w:rsid w:val="007F1BF1"/>
    <w:rsid w:val="007F2624"/>
    <w:rsid w:val="007F35F6"/>
    <w:rsid w:val="007F55C3"/>
    <w:rsid w:val="0080048F"/>
    <w:rsid w:val="00801300"/>
    <w:rsid w:val="00802C64"/>
    <w:rsid w:val="008030F7"/>
    <w:rsid w:val="00805E52"/>
    <w:rsid w:val="008061D0"/>
    <w:rsid w:val="00807B0F"/>
    <w:rsid w:val="00810B38"/>
    <w:rsid w:val="00810FDF"/>
    <w:rsid w:val="008204C7"/>
    <w:rsid w:val="00820992"/>
    <w:rsid w:val="0082108D"/>
    <w:rsid w:val="00823602"/>
    <w:rsid w:val="008255F5"/>
    <w:rsid w:val="0083014E"/>
    <w:rsid w:val="0083068E"/>
    <w:rsid w:val="00831DE1"/>
    <w:rsid w:val="0083214A"/>
    <w:rsid w:val="0083356D"/>
    <w:rsid w:val="00834220"/>
    <w:rsid w:val="008373D0"/>
    <w:rsid w:val="00843C1A"/>
    <w:rsid w:val="00845723"/>
    <w:rsid w:val="008457B2"/>
    <w:rsid w:val="00851EF9"/>
    <w:rsid w:val="008549BD"/>
    <w:rsid w:val="008577FD"/>
    <w:rsid w:val="008609D7"/>
    <w:rsid w:val="00860B03"/>
    <w:rsid w:val="0086397E"/>
    <w:rsid w:val="0086497A"/>
    <w:rsid w:val="008713A1"/>
    <w:rsid w:val="00874B52"/>
    <w:rsid w:val="008754AB"/>
    <w:rsid w:val="008774D6"/>
    <w:rsid w:val="0088060C"/>
    <w:rsid w:val="00884FC6"/>
    <w:rsid w:val="00893576"/>
    <w:rsid w:val="00893E73"/>
    <w:rsid w:val="008950C3"/>
    <w:rsid w:val="008956D4"/>
    <w:rsid w:val="0089734C"/>
    <w:rsid w:val="00897D06"/>
    <w:rsid w:val="008A43C4"/>
    <w:rsid w:val="008B02DC"/>
    <w:rsid w:val="008B57CE"/>
    <w:rsid w:val="008B659F"/>
    <w:rsid w:val="008C26DE"/>
    <w:rsid w:val="008C379E"/>
    <w:rsid w:val="008C3B63"/>
    <w:rsid w:val="008C73B9"/>
    <w:rsid w:val="008D2225"/>
    <w:rsid w:val="008D4752"/>
    <w:rsid w:val="008D552A"/>
    <w:rsid w:val="008E271C"/>
    <w:rsid w:val="008E418E"/>
    <w:rsid w:val="008E5BC6"/>
    <w:rsid w:val="008E5CD1"/>
    <w:rsid w:val="008E5D54"/>
    <w:rsid w:val="008E6A25"/>
    <w:rsid w:val="008F5193"/>
    <w:rsid w:val="009013A7"/>
    <w:rsid w:val="009017FB"/>
    <w:rsid w:val="009017FC"/>
    <w:rsid w:val="00903B43"/>
    <w:rsid w:val="0090506B"/>
    <w:rsid w:val="009050C9"/>
    <w:rsid w:val="009066FC"/>
    <w:rsid w:val="009140A3"/>
    <w:rsid w:val="009144A2"/>
    <w:rsid w:val="0091510C"/>
    <w:rsid w:val="009259AC"/>
    <w:rsid w:val="00926D5F"/>
    <w:rsid w:val="00926F38"/>
    <w:rsid w:val="00931C7D"/>
    <w:rsid w:val="00931FB3"/>
    <w:rsid w:val="00934301"/>
    <w:rsid w:val="009369D6"/>
    <w:rsid w:val="00936CD1"/>
    <w:rsid w:val="009379F6"/>
    <w:rsid w:val="00940FD2"/>
    <w:rsid w:val="00941747"/>
    <w:rsid w:val="00941EFB"/>
    <w:rsid w:val="0094503C"/>
    <w:rsid w:val="009471DC"/>
    <w:rsid w:val="00947AFB"/>
    <w:rsid w:val="00951B6D"/>
    <w:rsid w:val="00951D7D"/>
    <w:rsid w:val="00952C12"/>
    <w:rsid w:val="00954A12"/>
    <w:rsid w:val="00957024"/>
    <w:rsid w:val="009630C7"/>
    <w:rsid w:val="00966775"/>
    <w:rsid w:val="009679D5"/>
    <w:rsid w:val="00972B55"/>
    <w:rsid w:val="009743B7"/>
    <w:rsid w:val="0098228B"/>
    <w:rsid w:val="009828DA"/>
    <w:rsid w:val="00985BAB"/>
    <w:rsid w:val="0099350F"/>
    <w:rsid w:val="00997E47"/>
    <w:rsid w:val="00997F03"/>
    <w:rsid w:val="009A008C"/>
    <w:rsid w:val="009A18BB"/>
    <w:rsid w:val="009A1DA0"/>
    <w:rsid w:val="009A42FB"/>
    <w:rsid w:val="009A46DF"/>
    <w:rsid w:val="009A4AD4"/>
    <w:rsid w:val="009B0A68"/>
    <w:rsid w:val="009B1B5F"/>
    <w:rsid w:val="009B2EC2"/>
    <w:rsid w:val="009B41B8"/>
    <w:rsid w:val="009B6673"/>
    <w:rsid w:val="009C191B"/>
    <w:rsid w:val="009C2BD6"/>
    <w:rsid w:val="009C48D3"/>
    <w:rsid w:val="009C7798"/>
    <w:rsid w:val="009D320B"/>
    <w:rsid w:val="009D3681"/>
    <w:rsid w:val="009E1F32"/>
    <w:rsid w:val="009E5829"/>
    <w:rsid w:val="009E776C"/>
    <w:rsid w:val="009F3FCA"/>
    <w:rsid w:val="009F4F26"/>
    <w:rsid w:val="009F5CAF"/>
    <w:rsid w:val="00A01320"/>
    <w:rsid w:val="00A04C44"/>
    <w:rsid w:val="00A11608"/>
    <w:rsid w:val="00A1654F"/>
    <w:rsid w:val="00A1726E"/>
    <w:rsid w:val="00A204CF"/>
    <w:rsid w:val="00A2125E"/>
    <w:rsid w:val="00A228F9"/>
    <w:rsid w:val="00A23D49"/>
    <w:rsid w:val="00A23F3B"/>
    <w:rsid w:val="00A26494"/>
    <w:rsid w:val="00A27004"/>
    <w:rsid w:val="00A30397"/>
    <w:rsid w:val="00A30C29"/>
    <w:rsid w:val="00A34BC0"/>
    <w:rsid w:val="00A34DD6"/>
    <w:rsid w:val="00A36819"/>
    <w:rsid w:val="00A36989"/>
    <w:rsid w:val="00A43628"/>
    <w:rsid w:val="00A52657"/>
    <w:rsid w:val="00A54192"/>
    <w:rsid w:val="00A6035E"/>
    <w:rsid w:val="00A6144C"/>
    <w:rsid w:val="00A63857"/>
    <w:rsid w:val="00A63DCD"/>
    <w:rsid w:val="00A661D7"/>
    <w:rsid w:val="00A663D7"/>
    <w:rsid w:val="00A66617"/>
    <w:rsid w:val="00A671F8"/>
    <w:rsid w:val="00A673A4"/>
    <w:rsid w:val="00A7065E"/>
    <w:rsid w:val="00A712D1"/>
    <w:rsid w:val="00A724AE"/>
    <w:rsid w:val="00A73329"/>
    <w:rsid w:val="00A82359"/>
    <w:rsid w:val="00A865D2"/>
    <w:rsid w:val="00A911A6"/>
    <w:rsid w:val="00A94C20"/>
    <w:rsid w:val="00A9560E"/>
    <w:rsid w:val="00A96ED6"/>
    <w:rsid w:val="00AA227F"/>
    <w:rsid w:val="00AA3BC7"/>
    <w:rsid w:val="00AA5848"/>
    <w:rsid w:val="00AA754A"/>
    <w:rsid w:val="00AB0626"/>
    <w:rsid w:val="00AB0944"/>
    <w:rsid w:val="00AB099E"/>
    <w:rsid w:val="00AB4328"/>
    <w:rsid w:val="00AB5FA0"/>
    <w:rsid w:val="00AC3681"/>
    <w:rsid w:val="00AC5E42"/>
    <w:rsid w:val="00AE0A2E"/>
    <w:rsid w:val="00AE354C"/>
    <w:rsid w:val="00AF0A1D"/>
    <w:rsid w:val="00AF4B07"/>
    <w:rsid w:val="00AF6186"/>
    <w:rsid w:val="00AF79E0"/>
    <w:rsid w:val="00AF7A3A"/>
    <w:rsid w:val="00B135D2"/>
    <w:rsid w:val="00B160DB"/>
    <w:rsid w:val="00B20836"/>
    <w:rsid w:val="00B21C45"/>
    <w:rsid w:val="00B235BB"/>
    <w:rsid w:val="00B27A44"/>
    <w:rsid w:val="00B27CB1"/>
    <w:rsid w:val="00B30868"/>
    <w:rsid w:val="00B30BBF"/>
    <w:rsid w:val="00B316AA"/>
    <w:rsid w:val="00B33C03"/>
    <w:rsid w:val="00B44E56"/>
    <w:rsid w:val="00B46543"/>
    <w:rsid w:val="00B47D33"/>
    <w:rsid w:val="00B52BE0"/>
    <w:rsid w:val="00B54133"/>
    <w:rsid w:val="00B5567B"/>
    <w:rsid w:val="00B561A5"/>
    <w:rsid w:val="00B637B9"/>
    <w:rsid w:val="00B637C7"/>
    <w:rsid w:val="00B64B30"/>
    <w:rsid w:val="00B701ED"/>
    <w:rsid w:val="00B71D1D"/>
    <w:rsid w:val="00B75E7E"/>
    <w:rsid w:val="00B8086C"/>
    <w:rsid w:val="00B840D1"/>
    <w:rsid w:val="00B861B4"/>
    <w:rsid w:val="00B86DFE"/>
    <w:rsid w:val="00B90990"/>
    <w:rsid w:val="00B922FF"/>
    <w:rsid w:val="00B9281E"/>
    <w:rsid w:val="00B93925"/>
    <w:rsid w:val="00B95187"/>
    <w:rsid w:val="00B95DFF"/>
    <w:rsid w:val="00BA0566"/>
    <w:rsid w:val="00BA284F"/>
    <w:rsid w:val="00BA2D55"/>
    <w:rsid w:val="00BA3DEB"/>
    <w:rsid w:val="00BA6909"/>
    <w:rsid w:val="00BA71B1"/>
    <w:rsid w:val="00BB05B9"/>
    <w:rsid w:val="00BB0637"/>
    <w:rsid w:val="00BB345F"/>
    <w:rsid w:val="00BB5883"/>
    <w:rsid w:val="00BB5B21"/>
    <w:rsid w:val="00BB6275"/>
    <w:rsid w:val="00BB68EA"/>
    <w:rsid w:val="00BC0168"/>
    <w:rsid w:val="00BC1C27"/>
    <w:rsid w:val="00BC22B8"/>
    <w:rsid w:val="00BC5614"/>
    <w:rsid w:val="00BC6BBF"/>
    <w:rsid w:val="00BD1572"/>
    <w:rsid w:val="00BD1A2C"/>
    <w:rsid w:val="00BD7DBE"/>
    <w:rsid w:val="00BE0DF8"/>
    <w:rsid w:val="00BE14E3"/>
    <w:rsid w:val="00BE3774"/>
    <w:rsid w:val="00BE3DE7"/>
    <w:rsid w:val="00BE41E5"/>
    <w:rsid w:val="00BE71AC"/>
    <w:rsid w:val="00BF0765"/>
    <w:rsid w:val="00BF0BBB"/>
    <w:rsid w:val="00BF4109"/>
    <w:rsid w:val="00BF4CC3"/>
    <w:rsid w:val="00BF6D60"/>
    <w:rsid w:val="00BF6F7B"/>
    <w:rsid w:val="00C0132D"/>
    <w:rsid w:val="00C0347C"/>
    <w:rsid w:val="00C054C7"/>
    <w:rsid w:val="00C057B5"/>
    <w:rsid w:val="00C1508A"/>
    <w:rsid w:val="00C22687"/>
    <w:rsid w:val="00C23373"/>
    <w:rsid w:val="00C32E4D"/>
    <w:rsid w:val="00C333A0"/>
    <w:rsid w:val="00C36A81"/>
    <w:rsid w:val="00C41974"/>
    <w:rsid w:val="00C41F2A"/>
    <w:rsid w:val="00C447AD"/>
    <w:rsid w:val="00C50A89"/>
    <w:rsid w:val="00C5128A"/>
    <w:rsid w:val="00C53F4A"/>
    <w:rsid w:val="00C54125"/>
    <w:rsid w:val="00C54E00"/>
    <w:rsid w:val="00C55B54"/>
    <w:rsid w:val="00C6098E"/>
    <w:rsid w:val="00C6152C"/>
    <w:rsid w:val="00C61F85"/>
    <w:rsid w:val="00C621C2"/>
    <w:rsid w:val="00C74810"/>
    <w:rsid w:val="00C74C7C"/>
    <w:rsid w:val="00C84E21"/>
    <w:rsid w:val="00C87C70"/>
    <w:rsid w:val="00C90D68"/>
    <w:rsid w:val="00C939FE"/>
    <w:rsid w:val="00C979E3"/>
    <w:rsid w:val="00CA2EE1"/>
    <w:rsid w:val="00CA30CF"/>
    <w:rsid w:val="00CA31F0"/>
    <w:rsid w:val="00CA4BDA"/>
    <w:rsid w:val="00CA670C"/>
    <w:rsid w:val="00CB172F"/>
    <w:rsid w:val="00CB1F66"/>
    <w:rsid w:val="00CB2951"/>
    <w:rsid w:val="00CB5FA4"/>
    <w:rsid w:val="00CB7FE7"/>
    <w:rsid w:val="00CC0F33"/>
    <w:rsid w:val="00CD1748"/>
    <w:rsid w:val="00CD1914"/>
    <w:rsid w:val="00CD282B"/>
    <w:rsid w:val="00CD4C35"/>
    <w:rsid w:val="00CD6EC5"/>
    <w:rsid w:val="00CD7369"/>
    <w:rsid w:val="00CE0B0E"/>
    <w:rsid w:val="00CE158D"/>
    <w:rsid w:val="00CE3831"/>
    <w:rsid w:val="00CF5212"/>
    <w:rsid w:val="00D00ABB"/>
    <w:rsid w:val="00D01771"/>
    <w:rsid w:val="00D02EEC"/>
    <w:rsid w:val="00D03153"/>
    <w:rsid w:val="00D03551"/>
    <w:rsid w:val="00D06A63"/>
    <w:rsid w:val="00D07E0E"/>
    <w:rsid w:val="00D11478"/>
    <w:rsid w:val="00D12668"/>
    <w:rsid w:val="00D15ED0"/>
    <w:rsid w:val="00D210EF"/>
    <w:rsid w:val="00D21B3E"/>
    <w:rsid w:val="00D21FED"/>
    <w:rsid w:val="00D2355D"/>
    <w:rsid w:val="00D24251"/>
    <w:rsid w:val="00D25266"/>
    <w:rsid w:val="00D26888"/>
    <w:rsid w:val="00D32041"/>
    <w:rsid w:val="00D343E2"/>
    <w:rsid w:val="00D361A2"/>
    <w:rsid w:val="00D44C2E"/>
    <w:rsid w:val="00D45414"/>
    <w:rsid w:val="00D463B6"/>
    <w:rsid w:val="00D50ECA"/>
    <w:rsid w:val="00D53C0F"/>
    <w:rsid w:val="00D564BA"/>
    <w:rsid w:val="00D566BD"/>
    <w:rsid w:val="00D57A4D"/>
    <w:rsid w:val="00D60A33"/>
    <w:rsid w:val="00D60AA7"/>
    <w:rsid w:val="00D60D87"/>
    <w:rsid w:val="00D6435F"/>
    <w:rsid w:val="00D70095"/>
    <w:rsid w:val="00D71387"/>
    <w:rsid w:val="00D75E28"/>
    <w:rsid w:val="00D76B8B"/>
    <w:rsid w:val="00D76C3E"/>
    <w:rsid w:val="00D772C2"/>
    <w:rsid w:val="00D8008E"/>
    <w:rsid w:val="00D82B9E"/>
    <w:rsid w:val="00D82C45"/>
    <w:rsid w:val="00D835EA"/>
    <w:rsid w:val="00D8690B"/>
    <w:rsid w:val="00D908A8"/>
    <w:rsid w:val="00D9542F"/>
    <w:rsid w:val="00D977B6"/>
    <w:rsid w:val="00DA4A31"/>
    <w:rsid w:val="00DA61F2"/>
    <w:rsid w:val="00DA7B04"/>
    <w:rsid w:val="00DB06E2"/>
    <w:rsid w:val="00DB36C2"/>
    <w:rsid w:val="00DB7196"/>
    <w:rsid w:val="00DB75B7"/>
    <w:rsid w:val="00DC032F"/>
    <w:rsid w:val="00DC169B"/>
    <w:rsid w:val="00DC2AB9"/>
    <w:rsid w:val="00DC3152"/>
    <w:rsid w:val="00DC63F0"/>
    <w:rsid w:val="00DD6EE5"/>
    <w:rsid w:val="00DE1B8E"/>
    <w:rsid w:val="00DE386C"/>
    <w:rsid w:val="00DE4D35"/>
    <w:rsid w:val="00DE5B60"/>
    <w:rsid w:val="00DF01FE"/>
    <w:rsid w:val="00DF0549"/>
    <w:rsid w:val="00DF098B"/>
    <w:rsid w:val="00DF11C4"/>
    <w:rsid w:val="00DF210C"/>
    <w:rsid w:val="00DF4B6A"/>
    <w:rsid w:val="00E02C09"/>
    <w:rsid w:val="00E04D59"/>
    <w:rsid w:val="00E07DA1"/>
    <w:rsid w:val="00E123CB"/>
    <w:rsid w:val="00E13812"/>
    <w:rsid w:val="00E1557C"/>
    <w:rsid w:val="00E17732"/>
    <w:rsid w:val="00E2093F"/>
    <w:rsid w:val="00E20E13"/>
    <w:rsid w:val="00E21DBC"/>
    <w:rsid w:val="00E23C12"/>
    <w:rsid w:val="00E25B50"/>
    <w:rsid w:val="00E275D7"/>
    <w:rsid w:val="00E27DBE"/>
    <w:rsid w:val="00E312B7"/>
    <w:rsid w:val="00E32AB1"/>
    <w:rsid w:val="00E35604"/>
    <w:rsid w:val="00E36C71"/>
    <w:rsid w:val="00E40404"/>
    <w:rsid w:val="00E421EE"/>
    <w:rsid w:val="00E44F77"/>
    <w:rsid w:val="00E459C6"/>
    <w:rsid w:val="00E47369"/>
    <w:rsid w:val="00E47589"/>
    <w:rsid w:val="00E61275"/>
    <w:rsid w:val="00E61BA4"/>
    <w:rsid w:val="00E62223"/>
    <w:rsid w:val="00E63427"/>
    <w:rsid w:val="00E64915"/>
    <w:rsid w:val="00E661D4"/>
    <w:rsid w:val="00E70091"/>
    <w:rsid w:val="00E720F5"/>
    <w:rsid w:val="00E76D47"/>
    <w:rsid w:val="00E77167"/>
    <w:rsid w:val="00E801D3"/>
    <w:rsid w:val="00E8149D"/>
    <w:rsid w:val="00E849F7"/>
    <w:rsid w:val="00E90302"/>
    <w:rsid w:val="00E93145"/>
    <w:rsid w:val="00E9597F"/>
    <w:rsid w:val="00E97396"/>
    <w:rsid w:val="00EA185E"/>
    <w:rsid w:val="00EA20FC"/>
    <w:rsid w:val="00EA3E3D"/>
    <w:rsid w:val="00EA4ACF"/>
    <w:rsid w:val="00EA592A"/>
    <w:rsid w:val="00EA63A4"/>
    <w:rsid w:val="00EB14E4"/>
    <w:rsid w:val="00EB2A08"/>
    <w:rsid w:val="00EB32A5"/>
    <w:rsid w:val="00EB34ED"/>
    <w:rsid w:val="00EB7BE0"/>
    <w:rsid w:val="00EC315E"/>
    <w:rsid w:val="00EC508B"/>
    <w:rsid w:val="00EC5384"/>
    <w:rsid w:val="00EC5A3C"/>
    <w:rsid w:val="00EC7EBB"/>
    <w:rsid w:val="00ED077C"/>
    <w:rsid w:val="00ED1190"/>
    <w:rsid w:val="00ED3F18"/>
    <w:rsid w:val="00ED6544"/>
    <w:rsid w:val="00EE0277"/>
    <w:rsid w:val="00EE1DA9"/>
    <w:rsid w:val="00EE22AD"/>
    <w:rsid w:val="00EE3E00"/>
    <w:rsid w:val="00EE5DD2"/>
    <w:rsid w:val="00EF0D82"/>
    <w:rsid w:val="00EF2550"/>
    <w:rsid w:val="00EF41F1"/>
    <w:rsid w:val="00EF46D3"/>
    <w:rsid w:val="00EF4AB3"/>
    <w:rsid w:val="00EF4F08"/>
    <w:rsid w:val="00EF573B"/>
    <w:rsid w:val="00F00A79"/>
    <w:rsid w:val="00F00C19"/>
    <w:rsid w:val="00F00E86"/>
    <w:rsid w:val="00F00F8B"/>
    <w:rsid w:val="00F017EE"/>
    <w:rsid w:val="00F01CC4"/>
    <w:rsid w:val="00F07891"/>
    <w:rsid w:val="00F07C1E"/>
    <w:rsid w:val="00F07F06"/>
    <w:rsid w:val="00F105DB"/>
    <w:rsid w:val="00F132BC"/>
    <w:rsid w:val="00F13D80"/>
    <w:rsid w:val="00F16AAA"/>
    <w:rsid w:val="00F1772D"/>
    <w:rsid w:val="00F209EB"/>
    <w:rsid w:val="00F21161"/>
    <w:rsid w:val="00F218EF"/>
    <w:rsid w:val="00F21BC7"/>
    <w:rsid w:val="00F266A2"/>
    <w:rsid w:val="00F2724A"/>
    <w:rsid w:val="00F32269"/>
    <w:rsid w:val="00F35222"/>
    <w:rsid w:val="00F433EC"/>
    <w:rsid w:val="00F4457E"/>
    <w:rsid w:val="00F56A6F"/>
    <w:rsid w:val="00F5709C"/>
    <w:rsid w:val="00F61AAD"/>
    <w:rsid w:val="00F64EF1"/>
    <w:rsid w:val="00F65945"/>
    <w:rsid w:val="00F73D91"/>
    <w:rsid w:val="00F761E9"/>
    <w:rsid w:val="00F771B3"/>
    <w:rsid w:val="00F8234F"/>
    <w:rsid w:val="00F83B9C"/>
    <w:rsid w:val="00F8765F"/>
    <w:rsid w:val="00F90767"/>
    <w:rsid w:val="00F91A9B"/>
    <w:rsid w:val="00FA0324"/>
    <w:rsid w:val="00FA685B"/>
    <w:rsid w:val="00FB0C01"/>
    <w:rsid w:val="00FB1C33"/>
    <w:rsid w:val="00FB7DED"/>
    <w:rsid w:val="00FC0E37"/>
    <w:rsid w:val="00FC18F2"/>
    <w:rsid w:val="00FC39E5"/>
    <w:rsid w:val="00FC3A78"/>
    <w:rsid w:val="00FC5FFE"/>
    <w:rsid w:val="00FC77F8"/>
    <w:rsid w:val="00FD05EF"/>
    <w:rsid w:val="00FD1005"/>
    <w:rsid w:val="00FD1C6B"/>
    <w:rsid w:val="00FD3180"/>
    <w:rsid w:val="00FD6C75"/>
    <w:rsid w:val="00FE13BA"/>
    <w:rsid w:val="00FE27F8"/>
    <w:rsid w:val="00FE71B3"/>
    <w:rsid w:val="00FF35C7"/>
    <w:rsid w:val="00FF41C0"/>
    <w:rsid w:val="00FF42C5"/>
    <w:rsid w:val="00FF77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B7DED"/>
    <w:pPr>
      <w:jc w:val="both"/>
    </w:pPr>
    <w:rPr>
      <w:rFonts w:eastAsiaTheme="minorEastAsia"/>
      <w:sz w:val="24"/>
    </w:rPr>
  </w:style>
  <w:style w:type="paragraph" w:styleId="Heading1">
    <w:name w:val="heading 1"/>
    <w:basedOn w:val="Normal"/>
    <w:next w:val="Normal"/>
    <w:link w:val="Heading1Char"/>
    <w:uiPriority w:val="99"/>
    <w:semiHidden/>
    <w:rsid w:val="00FB7DE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B7DE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B7DE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B7DE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4503C"/>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B7DE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4503C"/>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4503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4503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B7DED"/>
    <w:rPr>
      <w:rFonts w:ascii="Tahoma" w:hAnsi="Tahoma" w:cs="Tahoma"/>
      <w:sz w:val="16"/>
      <w:szCs w:val="16"/>
    </w:rPr>
  </w:style>
  <w:style w:type="character" w:customStyle="1" w:styleId="BalloonTextChar">
    <w:name w:val="Balloon Text Char"/>
    <w:basedOn w:val="DefaultParagraphFont"/>
    <w:link w:val="BalloonText"/>
    <w:uiPriority w:val="99"/>
    <w:semiHidden/>
    <w:rsid w:val="00FB7DED"/>
    <w:rPr>
      <w:rFonts w:ascii="Tahoma" w:eastAsiaTheme="minorEastAsia" w:hAnsi="Tahoma" w:cs="Tahoma"/>
      <w:sz w:val="16"/>
      <w:szCs w:val="16"/>
    </w:rPr>
  </w:style>
  <w:style w:type="character" w:styleId="BookTitle">
    <w:name w:val="Book Title"/>
    <w:uiPriority w:val="99"/>
    <w:semiHidden/>
    <w:qFormat/>
    <w:rsid w:val="0094503C"/>
    <w:rPr>
      <w:i/>
      <w:iCs/>
      <w:smallCaps/>
      <w:spacing w:val="5"/>
    </w:rPr>
  </w:style>
  <w:style w:type="paragraph" w:customStyle="1" w:styleId="ECHRHeader">
    <w:name w:val="ECHR_Header"/>
    <w:aliases w:val="Ju_Header"/>
    <w:basedOn w:val="Header"/>
    <w:uiPriority w:val="4"/>
    <w:qFormat/>
    <w:rsid w:val="0094503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B7DED"/>
    <w:pPr>
      <w:jc w:val="left"/>
    </w:pPr>
    <w:rPr>
      <w:sz w:val="8"/>
    </w:rPr>
  </w:style>
  <w:style w:type="character" w:styleId="Strong">
    <w:name w:val="Strong"/>
    <w:uiPriority w:val="99"/>
    <w:semiHidden/>
    <w:qFormat/>
    <w:rsid w:val="0094503C"/>
    <w:rPr>
      <w:b/>
      <w:bCs/>
    </w:rPr>
  </w:style>
  <w:style w:type="paragraph" w:styleId="NoSpacing">
    <w:name w:val="No Spacing"/>
    <w:basedOn w:val="Normal"/>
    <w:link w:val="NoSpacingChar"/>
    <w:semiHidden/>
    <w:qFormat/>
    <w:rsid w:val="0094503C"/>
    <w:rPr>
      <w:sz w:val="22"/>
    </w:rPr>
  </w:style>
  <w:style w:type="character" w:customStyle="1" w:styleId="NoSpacingChar">
    <w:name w:val="No Spacing Char"/>
    <w:basedOn w:val="DefaultParagraphFont"/>
    <w:link w:val="NoSpacing"/>
    <w:semiHidden/>
    <w:rsid w:val="0094503C"/>
    <w:rPr>
      <w:rFonts w:eastAsiaTheme="minorEastAsia"/>
    </w:rPr>
  </w:style>
  <w:style w:type="paragraph" w:customStyle="1" w:styleId="ECHRFooterLine">
    <w:name w:val="ECHR_Footer_Line"/>
    <w:aliases w:val="Footer_Line"/>
    <w:basedOn w:val="Normal"/>
    <w:next w:val="ECHRFooter"/>
    <w:uiPriority w:val="57"/>
    <w:semiHidden/>
    <w:rsid w:val="00FB7DE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94503C"/>
    <w:pPr>
      <w:numPr>
        <w:numId w:val="22"/>
      </w:numPr>
      <w:jc w:val="left"/>
    </w:pPr>
    <w:rPr>
      <w:b/>
    </w:rPr>
  </w:style>
  <w:style w:type="paragraph" w:customStyle="1" w:styleId="OpiPara">
    <w:name w:val="Opi_Para"/>
    <w:basedOn w:val="ECHRPara"/>
    <w:uiPriority w:val="46"/>
    <w:qFormat/>
    <w:rsid w:val="0094503C"/>
  </w:style>
  <w:style w:type="paragraph" w:customStyle="1" w:styleId="JuParaSub">
    <w:name w:val="Ju_Para_Sub"/>
    <w:basedOn w:val="ECHRPara"/>
    <w:uiPriority w:val="13"/>
    <w:qFormat/>
    <w:rsid w:val="0094503C"/>
    <w:pPr>
      <w:ind w:left="284"/>
    </w:pPr>
  </w:style>
  <w:style w:type="paragraph" w:customStyle="1" w:styleId="ECHRTitleCentre3">
    <w:name w:val="ECHR_Title_Centre_3"/>
    <w:aliases w:val="Ju_H_Article"/>
    <w:basedOn w:val="Normal"/>
    <w:next w:val="ECHRParaQuote"/>
    <w:uiPriority w:val="27"/>
    <w:qFormat/>
    <w:rsid w:val="0094503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4503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94503C"/>
  </w:style>
  <w:style w:type="paragraph" w:customStyle="1" w:styleId="OpiQuot">
    <w:name w:val="Opi_Quot"/>
    <w:basedOn w:val="ECHRParaQuote"/>
    <w:uiPriority w:val="48"/>
    <w:qFormat/>
    <w:rsid w:val="0094503C"/>
  </w:style>
  <w:style w:type="paragraph" w:customStyle="1" w:styleId="OpiQuotSub">
    <w:name w:val="Opi_Quot_Sub"/>
    <w:basedOn w:val="JuQuotSub"/>
    <w:uiPriority w:val="49"/>
    <w:qFormat/>
    <w:rsid w:val="0094503C"/>
  </w:style>
  <w:style w:type="paragraph" w:customStyle="1" w:styleId="ECHRTitleCentre2">
    <w:name w:val="ECHR_Title_Centre_2"/>
    <w:aliases w:val="Dec_H_Case"/>
    <w:basedOn w:val="Normal"/>
    <w:next w:val="ECHRPara"/>
    <w:uiPriority w:val="8"/>
    <w:qFormat/>
    <w:rsid w:val="0094503C"/>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94503C"/>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94503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4503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94503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94503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4503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94503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94503C"/>
    <w:pPr>
      <w:keepNext/>
      <w:keepLines/>
      <w:spacing w:before="240" w:after="120"/>
      <w:ind w:left="1236"/>
    </w:pPr>
    <w:rPr>
      <w:sz w:val="20"/>
    </w:rPr>
  </w:style>
  <w:style w:type="paragraph" w:customStyle="1" w:styleId="JuQuotSub">
    <w:name w:val="Ju_Quot_Sub"/>
    <w:basedOn w:val="ECHRParaQuote"/>
    <w:uiPriority w:val="15"/>
    <w:qFormat/>
    <w:rsid w:val="0094503C"/>
    <w:pPr>
      <w:ind w:left="567"/>
    </w:pPr>
  </w:style>
  <w:style w:type="paragraph" w:customStyle="1" w:styleId="JuInitialled">
    <w:name w:val="Ju_Initialled"/>
    <w:basedOn w:val="Normal"/>
    <w:qFormat/>
    <w:rsid w:val="0094503C"/>
    <w:pPr>
      <w:tabs>
        <w:tab w:val="center" w:pos="6407"/>
      </w:tabs>
      <w:spacing w:before="720"/>
      <w:jc w:val="right"/>
    </w:pPr>
  </w:style>
  <w:style w:type="paragraph" w:customStyle="1" w:styleId="OpiHA">
    <w:name w:val="Opi_H_A"/>
    <w:basedOn w:val="ECHRHeading1"/>
    <w:next w:val="OpiPara"/>
    <w:uiPriority w:val="41"/>
    <w:qFormat/>
    <w:rsid w:val="0094503C"/>
    <w:pPr>
      <w:tabs>
        <w:tab w:val="clear" w:pos="357"/>
      </w:tabs>
      <w:outlineLvl w:val="1"/>
    </w:pPr>
    <w:rPr>
      <w:b/>
    </w:rPr>
  </w:style>
  <w:style w:type="paragraph" w:styleId="Header">
    <w:name w:val="header"/>
    <w:basedOn w:val="Normal"/>
    <w:link w:val="HeaderChar"/>
    <w:uiPriority w:val="57"/>
    <w:semiHidden/>
    <w:rsid w:val="00FB7DE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B7DED"/>
    <w:rPr>
      <w:sz w:val="24"/>
    </w:rPr>
  </w:style>
  <w:style w:type="character" w:customStyle="1" w:styleId="Heading1Char">
    <w:name w:val="Heading 1 Char"/>
    <w:basedOn w:val="DefaultParagraphFont"/>
    <w:link w:val="Heading1"/>
    <w:uiPriority w:val="99"/>
    <w:semiHidden/>
    <w:rsid w:val="00FB7DE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94503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4503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B7DED"/>
    <w:rPr>
      <w:rFonts w:asciiTheme="majorHAnsi" w:eastAsiaTheme="majorEastAsia" w:hAnsiTheme="majorHAnsi" w:cstheme="majorBidi"/>
      <w:b/>
      <w:bCs/>
      <w:color w:val="4D4D4D"/>
      <w:sz w:val="26"/>
      <w:szCs w:val="26"/>
    </w:rPr>
  </w:style>
  <w:style w:type="character" w:customStyle="1" w:styleId="JUNAMES">
    <w:name w:val="JU_NAMES"/>
    <w:uiPriority w:val="17"/>
    <w:qFormat/>
    <w:rsid w:val="0094503C"/>
    <w:rPr>
      <w:caps w:val="0"/>
      <w:smallCaps/>
    </w:rPr>
  </w:style>
  <w:style w:type="paragraph" w:customStyle="1" w:styleId="JuCase">
    <w:name w:val="Ju_Case"/>
    <w:basedOn w:val="Normal"/>
    <w:next w:val="ECHRPara"/>
    <w:uiPriority w:val="10"/>
    <w:rsid w:val="00FB7DED"/>
    <w:pPr>
      <w:ind w:firstLine="284"/>
    </w:pPr>
    <w:rPr>
      <w:b/>
    </w:rPr>
  </w:style>
  <w:style w:type="character" w:customStyle="1" w:styleId="Heading3Char">
    <w:name w:val="Heading 3 Char"/>
    <w:basedOn w:val="DefaultParagraphFont"/>
    <w:link w:val="Heading3"/>
    <w:uiPriority w:val="99"/>
    <w:semiHidden/>
    <w:rsid w:val="00FB7DED"/>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FB7DED"/>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94503C"/>
    <w:rPr>
      <w:rFonts w:asciiTheme="majorHAnsi" w:eastAsiaTheme="majorEastAsia" w:hAnsiTheme="majorHAnsi" w:cstheme="majorBidi"/>
      <w:b/>
      <w:bCs/>
      <w:color w:val="808080"/>
    </w:rPr>
  </w:style>
  <w:style w:type="character" w:styleId="SubtleEmphasis">
    <w:name w:val="Subtle Emphasis"/>
    <w:uiPriority w:val="99"/>
    <w:semiHidden/>
    <w:qFormat/>
    <w:rsid w:val="0094503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94503C"/>
    <w:pPr>
      <w:keepNext/>
      <w:keepLines/>
      <w:spacing w:before="720" w:after="240"/>
      <w:outlineLvl w:val="0"/>
    </w:pPr>
    <w:rPr>
      <w:rFonts w:asciiTheme="majorHAnsi" w:hAnsiTheme="majorHAnsi"/>
      <w:sz w:val="28"/>
    </w:rPr>
  </w:style>
  <w:style w:type="character" w:styleId="Emphasis">
    <w:name w:val="Emphasis"/>
    <w:uiPriority w:val="99"/>
    <w:semiHidden/>
    <w:qFormat/>
    <w:rsid w:val="0094503C"/>
    <w:rPr>
      <w:b/>
      <w:bCs/>
      <w:i/>
      <w:iCs/>
      <w:spacing w:val="10"/>
      <w:bdr w:val="none" w:sz="0" w:space="0" w:color="auto"/>
      <w:shd w:val="clear" w:color="auto" w:fill="auto"/>
    </w:rPr>
  </w:style>
  <w:style w:type="paragraph" w:styleId="Footer">
    <w:name w:val="footer"/>
    <w:basedOn w:val="Normal"/>
    <w:link w:val="FooterChar"/>
    <w:uiPriority w:val="57"/>
    <w:semiHidden/>
    <w:rsid w:val="00FB7DE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B7DED"/>
    <w:rPr>
      <w:sz w:val="24"/>
    </w:rPr>
  </w:style>
  <w:style w:type="character" w:styleId="FootnoteReference">
    <w:name w:val="footnote reference"/>
    <w:basedOn w:val="DefaultParagraphFont"/>
    <w:uiPriority w:val="99"/>
    <w:semiHidden/>
    <w:rsid w:val="00FB7DED"/>
    <w:rPr>
      <w:vertAlign w:val="superscript"/>
    </w:rPr>
  </w:style>
  <w:style w:type="paragraph" w:styleId="FootnoteText">
    <w:name w:val="footnote text"/>
    <w:basedOn w:val="Normal"/>
    <w:link w:val="FootnoteTextChar"/>
    <w:uiPriority w:val="99"/>
    <w:semiHidden/>
    <w:rsid w:val="00FB7DED"/>
    <w:rPr>
      <w:sz w:val="20"/>
      <w:szCs w:val="20"/>
    </w:rPr>
  </w:style>
  <w:style w:type="character" w:customStyle="1" w:styleId="FootnoteTextChar">
    <w:name w:val="Footnote Text Char"/>
    <w:basedOn w:val="DefaultParagraphFont"/>
    <w:link w:val="FootnoteText"/>
    <w:uiPriority w:val="99"/>
    <w:semiHidden/>
    <w:rsid w:val="00FB7DED"/>
    <w:rPr>
      <w:rFonts w:eastAsiaTheme="minorEastAsia"/>
      <w:sz w:val="20"/>
      <w:szCs w:val="20"/>
    </w:rPr>
  </w:style>
  <w:style w:type="character" w:customStyle="1" w:styleId="Heading6Char">
    <w:name w:val="Heading 6 Char"/>
    <w:basedOn w:val="DefaultParagraphFont"/>
    <w:link w:val="Heading6"/>
    <w:uiPriority w:val="99"/>
    <w:semiHidden/>
    <w:rsid w:val="00FB7DE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94503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4503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4503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B7DED"/>
    <w:rPr>
      <w:color w:val="0072BC" w:themeColor="hyperlink"/>
      <w:u w:val="single"/>
    </w:rPr>
  </w:style>
  <w:style w:type="character" w:styleId="IntenseEmphasis">
    <w:name w:val="Intense Emphasis"/>
    <w:uiPriority w:val="99"/>
    <w:semiHidden/>
    <w:qFormat/>
    <w:rsid w:val="0094503C"/>
    <w:rPr>
      <w:b/>
      <w:bCs/>
    </w:rPr>
  </w:style>
  <w:style w:type="paragraph" w:styleId="IntenseQuote">
    <w:name w:val="Intense Quote"/>
    <w:basedOn w:val="Normal"/>
    <w:next w:val="Normal"/>
    <w:link w:val="IntenseQuoteChar"/>
    <w:uiPriority w:val="99"/>
    <w:semiHidden/>
    <w:qFormat/>
    <w:rsid w:val="0094503C"/>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94503C"/>
    <w:rPr>
      <w:rFonts w:eastAsiaTheme="minorEastAsia"/>
      <w:b/>
      <w:bCs/>
      <w:i/>
      <w:iCs/>
      <w:lang w:bidi="en-US"/>
    </w:rPr>
  </w:style>
  <w:style w:type="character" w:styleId="IntenseReference">
    <w:name w:val="Intense Reference"/>
    <w:uiPriority w:val="99"/>
    <w:semiHidden/>
    <w:qFormat/>
    <w:rsid w:val="0094503C"/>
    <w:rPr>
      <w:smallCaps/>
      <w:spacing w:val="5"/>
      <w:u w:val="single"/>
    </w:rPr>
  </w:style>
  <w:style w:type="paragraph" w:styleId="ListParagraph">
    <w:name w:val="List Paragraph"/>
    <w:basedOn w:val="Normal"/>
    <w:uiPriority w:val="99"/>
    <w:semiHidden/>
    <w:qFormat/>
    <w:rsid w:val="0094503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4503C"/>
    <w:pPr>
      <w:spacing w:before="200"/>
      <w:ind w:left="360" w:right="360"/>
    </w:pPr>
    <w:rPr>
      <w:i/>
      <w:iCs/>
      <w:sz w:val="22"/>
      <w:lang w:bidi="en-US"/>
    </w:rPr>
  </w:style>
  <w:style w:type="character" w:customStyle="1" w:styleId="QuoteChar">
    <w:name w:val="Quote Char"/>
    <w:basedOn w:val="DefaultParagraphFont"/>
    <w:link w:val="Quote"/>
    <w:uiPriority w:val="99"/>
    <w:semiHidden/>
    <w:rsid w:val="0094503C"/>
    <w:rPr>
      <w:rFonts w:eastAsiaTheme="minorEastAsia"/>
      <w:i/>
      <w:iCs/>
      <w:lang w:bidi="en-US"/>
    </w:rPr>
  </w:style>
  <w:style w:type="character" w:styleId="SubtleReference">
    <w:name w:val="Subtle Reference"/>
    <w:uiPriority w:val="99"/>
    <w:semiHidden/>
    <w:qFormat/>
    <w:rsid w:val="0094503C"/>
    <w:rPr>
      <w:smallCaps/>
    </w:rPr>
  </w:style>
  <w:style w:type="table" w:styleId="TableGrid">
    <w:name w:val="Table Grid"/>
    <w:basedOn w:val="TableNormal"/>
    <w:uiPriority w:val="59"/>
    <w:semiHidden/>
    <w:rsid w:val="00FB7DE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B7DE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B7DE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B7DE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B7DE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B7DE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4503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B7DE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94503C"/>
    <w:pPr>
      <w:spacing w:before="120" w:after="120"/>
      <w:ind w:left="425" w:firstLine="142"/>
    </w:pPr>
    <w:rPr>
      <w:sz w:val="20"/>
    </w:rPr>
  </w:style>
  <w:style w:type="paragraph" w:customStyle="1" w:styleId="ECHRPara">
    <w:name w:val="ECHR_Para"/>
    <w:aliases w:val="Ju_Para"/>
    <w:basedOn w:val="Normal"/>
    <w:link w:val="ECHRParaChar"/>
    <w:qFormat/>
    <w:rsid w:val="0094503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B7DE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94503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94503C"/>
    <w:pPr>
      <w:ind w:left="340" w:hanging="340"/>
    </w:pPr>
  </w:style>
  <w:style w:type="paragraph" w:customStyle="1" w:styleId="JuSigned">
    <w:name w:val="Ju_Signed"/>
    <w:basedOn w:val="Normal"/>
    <w:next w:val="JuParaLast"/>
    <w:uiPriority w:val="32"/>
    <w:qFormat/>
    <w:rsid w:val="0094503C"/>
    <w:pPr>
      <w:tabs>
        <w:tab w:val="center" w:pos="851"/>
        <w:tab w:val="center" w:pos="6407"/>
      </w:tabs>
      <w:spacing w:before="720"/>
      <w:jc w:val="left"/>
    </w:pPr>
  </w:style>
  <w:style w:type="paragraph" w:customStyle="1" w:styleId="JuParaLast">
    <w:name w:val="Ju_Para_Last"/>
    <w:basedOn w:val="Normal"/>
    <w:next w:val="ECHRPara"/>
    <w:qFormat/>
    <w:rsid w:val="0094503C"/>
    <w:pPr>
      <w:keepNext/>
      <w:keepLines/>
      <w:spacing w:before="240"/>
      <w:ind w:firstLine="284"/>
    </w:pPr>
  </w:style>
  <w:style w:type="character" w:customStyle="1" w:styleId="JuITMark">
    <w:name w:val="Ju_ITMark"/>
    <w:basedOn w:val="DefaultParagraphFont"/>
    <w:uiPriority w:val="38"/>
    <w:qFormat/>
    <w:rsid w:val="0094503C"/>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94503C"/>
    <w:pPr>
      <w:ind w:left="346" w:firstLine="0"/>
    </w:pPr>
  </w:style>
  <w:style w:type="paragraph" w:customStyle="1" w:styleId="OpiTranslation">
    <w:name w:val="Opi_Translation"/>
    <w:basedOn w:val="Normal"/>
    <w:next w:val="OpiPara"/>
    <w:uiPriority w:val="40"/>
    <w:qFormat/>
    <w:rsid w:val="0094503C"/>
    <w:pPr>
      <w:jc w:val="center"/>
      <w:outlineLvl w:val="0"/>
    </w:pPr>
    <w:rPr>
      <w:i/>
    </w:r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94503C"/>
  </w:style>
  <w:style w:type="paragraph" w:styleId="ListBullet">
    <w:name w:val="List Bullet"/>
    <w:basedOn w:val="Normal"/>
    <w:uiPriority w:val="99"/>
    <w:semiHidden/>
    <w:rsid w:val="00014566"/>
    <w:pPr>
      <w:numPr>
        <w:numId w:val="1"/>
      </w:numPr>
    </w:pPr>
  </w:style>
  <w:style w:type="paragraph" w:customStyle="1" w:styleId="JuCourt">
    <w:name w:val="Ju_Court"/>
    <w:basedOn w:val="Normal"/>
    <w:next w:val="Normal"/>
    <w:uiPriority w:val="16"/>
    <w:qFormat/>
    <w:rsid w:val="0094503C"/>
    <w:pPr>
      <w:tabs>
        <w:tab w:val="left" w:pos="907"/>
        <w:tab w:val="left" w:pos="1701"/>
        <w:tab w:val="right" w:pos="7371"/>
      </w:tabs>
      <w:spacing w:before="240"/>
      <w:ind w:left="397" w:hanging="397"/>
      <w:jc w:val="left"/>
    </w:pPr>
    <w:rPr>
      <w:lang w:bidi="en-US"/>
    </w:rPr>
  </w:style>
  <w:style w:type="paragraph" w:styleId="Subtitle">
    <w:name w:val="Subtitle"/>
    <w:basedOn w:val="Normal"/>
    <w:next w:val="Normal"/>
    <w:link w:val="SubtitleChar"/>
    <w:uiPriority w:val="99"/>
    <w:semiHidden/>
    <w:qFormat/>
    <w:rsid w:val="0094503C"/>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4503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B7DE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B7DE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B7DE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DecList">
    <w:name w:val="Dec_List"/>
    <w:basedOn w:val="Normal"/>
    <w:uiPriority w:val="9"/>
    <w:semiHidden/>
    <w:qFormat/>
    <w:rsid w:val="0094503C"/>
    <w:pPr>
      <w:spacing w:before="240"/>
      <w:ind w:left="284"/>
    </w:pPr>
  </w:style>
  <w:style w:type="paragraph" w:customStyle="1" w:styleId="JuListi">
    <w:name w:val="Ju_List_i"/>
    <w:basedOn w:val="Normal"/>
    <w:next w:val="JuLista"/>
    <w:uiPriority w:val="28"/>
    <w:qFormat/>
    <w:rsid w:val="0094503C"/>
    <w:pPr>
      <w:ind w:left="794"/>
    </w:pPr>
  </w:style>
  <w:style w:type="paragraph" w:customStyle="1" w:styleId="OpiH1">
    <w:name w:val="Opi_H_1"/>
    <w:basedOn w:val="ECHRHeading2"/>
    <w:uiPriority w:val="42"/>
    <w:qFormat/>
    <w:rsid w:val="0094503C"/>
    <w:pPr>
      <w:ind w:left="635" w:hanging="357"/>
      <w:outlineLvl w:val="2"/>
    </w:pPr>
  </w:style>
  <w:style w:type="paragraph" w:customStyle="1" w:styleId="OpiHa0">
    <w:name w:val="Opi_H_a"/>
    <w:basedOn w:val="ECHRHeading3"/>
    <w:uiPriority w:val="43"/>
    <w:qFormat/>
    <w:rsid w:val="0094503C"/>
    <w:pPr>
      <w:ind w:left="833" w:hanging="357"/>
      <w:outlineLvl w:val="3"/>
    </w:pPr>
    <w:rPr>
      <w:b/>
      <w:i w:val="0"/>
      <w:sz w:val="20"/>
    </w:rPr>
  </w:style>
  <w:style w:type="paragraph" w:customStyle="1" w:styleId="OpiHi">
    <w:name w:val="Opi_H_i"/>
    <w:basedOn w:val="ECHRHeading4"/>
    <w:uiPriority w:val="44"/>
    <w:qFormat/>
    <w:rsid w:val="0094503C"/>
    <w:pPr>
      <w:ind w:left="1037" w:hanging="357"/>
      <w:outlineLvl w:val="4"/>
    </w:pPr>
    <w:rPr>
      <w:b w:val="0"/>
      <w:i/>
    </w:rPr>
  </w:style>
  <w:style w:type="paragraph" w:customStyle="1" w:styleId="DummyStyle">
    <w:name w:val="Dummy_Style"/>
    <w:basedOn w:val="Normal"/>
    <w:semiHidden/>
    <w:qFormat/>
    <w:rsid w:val="0094503C"/>
    <w:rPr>
      <w:color w:val="00B050"/>
    </w:rPr>
  </w:style>
  <w:style w:type="paragraph" w:customStyle="1" w:styleId="JuHeaderLandscape">
    <w:name w:val="Ju_Header_Landscape"/>
    <w:basedOn w:val="ECHRHeader"/>
    <w:uiPriority w:val="4"/>
    <w:qFormat/>
    <w:rsid w:val="0094503C"/>
    <w:pPr>
      <w:tabs>
        <w:tab w:val="clear" w:pos="3686"/>
        <w:tab w:val="clear" w:pos="7371"/>
        <w:tab w:val="center" w:pos="6146"/>
        <w:tab w:val="right" w:pos="12293"/>
      </w:tabs>
    </w:pPr>
  </w:style>
  <w:style w:type="paragraph" w:styleId="Revision">
    <w:name w:val="Revision"/>
    <w:hidden/>
    <w:uiPriority w:val="99"/>
    <w:semiHidden/>
    <w:rsid w:val="002D1DA9"/>
    <w:rPr>
      <w:rFonts w:eastAsiaTheme="minorEastAsia"/>
      <w:sz w:val="24"/>
    </w:rPr>
  </w:style>
  <w:style w:type="character" w:customStyle="1" w:styleId="ECHRParaChar">
    <w:name w:val="ECHR_Para Char"/>
    <w:aliases w:val="Ju_Para Char"/>
    <w:link w:val="ECHRPara"/>
    <w:uiPriority w:val="12"/>
    <w:rsid w:val="00D82B9E"/>
    <w:rPr>
      <w:rFonts w:eastAsiaTheme="minorEastAsia"/>
      <w:sz w:val="24"/>
    </w:rPr>
  </w:style>
  <w:style w:type="character" w:customStyle="1" w:styleId="CLLItalic">
    <w:name w:val="CLL_Italic"/>
    <w:basedOn w:val="DefaultParagraphFont"/>
    <w:uiPriority w:val="1"/>
    <w:rsid w:val="006C1043"/>
    <w:rPr>
      <w:i/>
      <w:iCs/>
      <w:color w:val="auto"/>
      <w:lang w:val="en-GB"/>
    </w:rPr>
  </w:style>
  <w:style w:type="paragraph" w:customStyle="1" w:styleId="jupara">
    <w:name w:val="jupara"/>
    <w:basedOn w:val="Normal"/>
    <w:rsid w:val="008C3B63"/>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8C3B63"/>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473667">
      <w:bodyDiv w:val="1"/>
      <w:marLeft w:val="0"/>
      <w:marRight w:val="0"/>
      <w:marTop w:val="0"/>
      <w:marBottom w:val="0"/>
      <w:divBdr>
        <w:top w:val="none" w:sz="0" w:space="0" w:color="auto"/>
        <w:left w:val="none" w:sz="0" w:space="0" w:color="auto"/>
        <w:bottom w:val="none" w:sz="0" w:space="0" w:color="auto"/>
        <w:right w:val="none" w:sz="0" w:space="0" w:color="auto"/>
      </w:divBdr>
    </w:div>
    <w:div w:id="539586053">
      <w:bodyDiv w:val="1"/>
      <w:marLeft w:val="0"/>
      <w:marRight w:val="0"/>
      <w:marTop w:val="0"/>
      <w:marBottom w:val="0"/>
      <w:divBdr>
        <w:top w:val="none" w:sz="0" w:space="0" w:color="auto"/>
        <w:left w:val="none" w:sz="0" w:space="0" w:color="auto"/>
        <w:bottom w:val="none" w:sz="0" w:space="0" w:color="auto"/>
        <w:right w:val="none" w:sz="0" w:space="0" w:color="auto"/>
      </w:divBdr>
    </w:div>
    <w:div w:id="892232380">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250192698">
      <w:bodyDiv w:val="1"/>
      <w:marLeft w:val="0"/>
      <w:marRight w:val="0"/>
      <w:marTop w:val="0"/>
      <w:marBottom w:val="0"/>
      <w:divBdr>
        <w:top w:val="none" w:sz="0" w:space="0" w:color="auto"/>
        <w:left w:val="none" w:sz="0" w:space="0" w:color="auto"/>
        <w:bottom w:val="none" w:sz="0" w:space="0" w:color="auto"/>
        <w:right w:val="none" w:sz="0" w:space="0" w:color="auto"/>
      </w:divBdr>
    </w:div>
    <w:div w:id="133853178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C084C-8A5B-4425-9B50-A51E7431349B}"/>
</file>

<file path=customXml/itemProps2.xml><?xml version="1.0" encoding="utf-8"?>
<ds:datastoreItem xmlns:ds="http://schemas.openxmlformats.org/officeDocument/2006/customXml" ds:itemID="{E69563B3-0FB6-4457-AA8E-AD0DF21F8D75}"/>
</file>

<file path=customXml/itemProps3.xml><?xml version="1.0" encoding="utf-8"?>
<ds:datastoreItem xmlns:ds="http://schemas.openxmlformats.org/officeDocument/2006/customXml" ds:itemID="{A2107C3E-1F8A-4452-B54E-02D0D1FD1FA3}"/>
</file>

<file path=customXml/itemProps4.xml><?xml version="1.0" encoding="utf-8"?>
<ds:datastoreItem xmlns:ds="http://schemas.openxmlformats.org/officeDocument/2006/customXml" ds:itemID="{73696FF2-31F9-4F3D-B31E-6824C6A2E9CF}"/>
</file>

<file path=docProps/app.xml><?xml version="1.0" encoding="utf-8"?>
<Properties xmlns="http://schemas.openxmlformats.org/officeDocument/2006/extended-properties" xmlns:vt="http://schemas.openxmlformats.org/officeDocument/2006/docPropsVTypes">
  <Template>Normal.dotm</Template>
  <TotalTime>0</TotalTime>
  <Pages>1</Pages>
  <Words>7324</Words>
  <Characters>41749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2020-06-26T08:31:00Z</dcterms:created>
  <dcterms:modified xsi:type="dcterms:W3CDTF">2020-06-26T08:31:00Z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8844/12</vt:lpwstr>
  </property>
  <property fmtid="{D5CDD505-2E9C-101B-9397-08002B2CF9AE}" pid="4" name="CASEID">
    <vt:lpwstr>777528</vt:lpwstr>
  </property>
  <property fmtid="{D5CDD505-2E9C-101B-9397-08002B2CF9AE}" pid="5" name="ContentTypeId">
    <vt:lpwstr>0x010100558EB02BDB9E204AB350EDD385B68E10</vt:lpwstr>
  </property>
</Properties>
</file>