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E51E9" w:rsidR="00014566" w:rsidP="00BE51E9" w:rsidRDefault="00014566">
      <w:pPr>
        <w:pStyle w:val="ECHRDecisionBody"/>
        <w:rPr>
          <w:lang w:val="en-GB"/>
        </w:rPr>
      </w:pPr>
      <w:bookmarkStart w:name="_GoBack" w:id="0"/>
      <w:bookmarkEnd w:id="0"/>
    </w:p>
    <w:p w:rsidRPr="00BE51E9" w:rsidR="0059377C" w:rsidP="00BE51E9" w:rsidRDefault="0059377C">
      <w:pPr>
        <w:pStyle w:val="ECHRDecisionBody"/>
        <w:rPr>
          <w:lang w:val="en-GB"/>
        </w:rPr>
      </w:pPr>
    </w:p>
    <w:p w:rsidRPr="00BE51E9" w:rsidR="0059377C" w:rsidP="00BE51E9" w:rsidRDefault="0059377C">
      <w:pPr>
        <w:pStyle w:val="ECHRDecisionBody"/>
        <w:rPr>
          <w:lang w:val="en-GB"/>
        </w:rPr>
      </w:pPr>
    </w:p>
    <w:p w:rsidRPr="00BE51E9" w:rsidR="00014566" w:rsidP="00BE51E9" w:rsidRDefault="00EA19CD">
      <w:pPr>
        <w:jc w:val="center"/>
        <w:rPr>
          <w:lang w:val="en-GB"/>
        </w:rPr>
      </w:pPr>
      <w:r w:rsidRPr="00BE51E9">
        <w:rPr>
          <w:lang w:val="en-GB"/>
        </w:rPr>
        <w:t>SECOND SECTION</w:t>
      </w:r>
    </w:p>
    <w:p w:rsidRPr="00BE51E9" w:rsidR="00014566" w:rsidP="00BE51E9" w:rsidRDefault="00014566">
      <w:pPr>
        <w:jc w:val="center"/>
        <w:rPr>
          <w:lang w:val="en-GB"/>
        </w:rPr>
      </w:pPr>
    </w:p>
    <w:p w:rsidRPr="00BE51E9" w:rsidR="0059377C" w:rsidP="00BE51E9" w:rsidRDefault="0059377C">
      <w:pPr>
        <w:jc w:val="center"/>
        <w:rPr>
          <w:lang w:val="en-GB"/>
        </w:rPr>
      </w:pPr>
    </w:p>
    <w:p w:rsidRPr="00BE51E9" w:rsidR="0059377C" w:rsidP="00BE51E9" w:rsidRDefault="0059377C">
      <w:pPr>
        <w:jc w:val="center"/>
        <w:rPr>
          <w:lang w:val="en-GB"/>
        </w:rPr>
      </w:pPr>
    </w:p>
    <w:p w:rsidRPr="00BE51E9" w:rsidR="0059377C" w:rsidP="00BE51E9" w:rsidRDefault="0059377C">
      <w:pPr>
        <w:jc w:val="center"/>
        <w:rPr>
          <w:lang w:val="en-GB"/>
        </w:rPr>
      </w:pPr>
    </w:p>
    <w:p w:rsidRPr="00BE51E9" w:rsidR="0059377C" w:rsidP="00BE51E9" w:rsidRDefault="0059377C">
      <w:pPr>
        <w:jc w:val="center"/>
        <w:rPr>
          <w:lang w:val="en-GB"/>
        </w:rPr>
      </w:pPr>
    </w:p>
    <w:p w:rsidRPr="00BE51E9" w:rsidR="009F6579" w:rsidP="00BE51E9" w:rsidRDefault="009F6579">
      <w:pPr>
        <w:jc w:val="center"/>
        <w:rPr>
          <w:lang w:val="en-GB"/>
        </w:rPr>
      </w:pPr>
    </w:p>
    <w:p w:rsidRPr="00BE51E9" w:rsidR="0059377C" w:rsidP="00BE51E9" w:rsidRDefault="0059377C">
      <w:pPr>
        <w:jc w:val="center"/>
        <w:rPr>
          <w:lang w:val="en-GB"/>
        </w:rPr>
      </w:pPr>
    </w:p>
    <w:p w:rsidRPr="00BE51E9" w:rsidR="00014566" w:rsidP="00BE51E9" w:rsidRDefault="00014566">
      <w:pPr>
        <w:jc w:val="center"/>
        <w:rPr>
          <w:b/>
          <w:lang w:val="en-GB"/>
        </w:rPr>
      </w:pPr>
      <w:bookmarkStart w:name="To" w:id="1"/>
      <w:r w:rsidRPr="00BE51E9">
        <w:rPr>
          <w:b/>
          <w:lang w:val="en-GB"/>
        </w:rPr>
        <w:t xml:space="preserve">CASE OF </w:t>
      </w:r>
      <w:bookmarkEnd w:id="1"/>
      <w:r w:rsidRPr="00BE51E9" w:rsidR="00EA19CD">
        <w:rPr>
          <w:b/>
          <w:lang w:val="en-GB"/>
        </w:rPr>
        <w:t>Ž.B. v. CROATIA</w:t>
      </w:r>
    </w:p>
    <w:p w:rsidRPr="00BE51E9" w:rsidR="00014566" w:rsidP="00BE51E9" w:rsidRDefault="00014566">
      <w:pPr>
        <w:jc w:val="center"/>
        <w:rPr>
          <w:lang w:val="en-GB"/>
        </w:rPr>
      </w:pPr>
    </w:p>
    <w:p w:rsidRPr="00BE51E9" w:rsidR="00014566" w:rsidP="00BE51E9" w:rsidRDefault="00014566">
      <w:pPr>
        <w:jc w:val="center"/>
        <w:rPr>
          <w:i/>
          <w:lang w:val="en-GB"/>
        </w:rPr>
      </w:pPr>
      <w:r w:rsidRPr="00BE51E9">
        <w:rPr>
          <w:i/>
          <w:lang w:val="en-GB"/>
        </w:rPr>
        <w:t>(</w:t>
      </w:r>
      <w:r w:rsidRPr="00BE51E9" w:rsidR="00EA19CD">
        <w:rPr>
          <w:i/>
          <w:lang w:val="en-GB"/>
        </w:rPr>
        <w:t>Application no. 47666/13</w:t>
      </w:r>
      <w:r w:rsidRPr="00BE51E9">
        <w:rPr>
          <w:i/>
          <w:lang w:val="en-GB"/>
        </w:rPr>
        <w:t>)</w:t>
      </w:r>
    </w:p>
    <w:p w:rsidRPr="00BE51E9" w:rsidR="00014566" w:rsidP="00BE51E9" w:rsidRDefault="00014566">
      <w:pPr>
        <w:jc w:val="center"/>
        <w:rPr>
          <w:lang w:val="en-GB"/>
        </w:rPr>
      </w:pPr>
    </w:p>
    <w:p w:rsidRPr="00BE51E9" w:rsidR="00014566" w:rsidP="00BE51E9" w:rsidRDefault="00014566">
      <w:pPr>
        <w:jc w:val="center"/>
        <w:rPr>
          <w:lang w:val="en-GB"/>
        </w:rPr>
      </w:pPr>
    </w:p>
    <w:p w:rsidRPr="00BE51E9" w:rsidR="00014566" w:rsidP="00BE51E9" w:rsidRDefault="00014566">
      <w:pPr>
        <w:jc w:val="center"/>
        <w:rPr>
          <w:lang w:val="en-GB"/>
        </w:rPr>
      </w:pPr>
    </w:p>
    <w:p w:rsidRPr="00BE51E9" w:rsidR="00014566" w:rsidP="00BE51E9" w:rsidRDefault="00014566">
      <w:pPr>
        <w:jc w:val="center"/>
        <w:rPr>
          <w:lang w:val="en-GB"/>
        </w:rPr>
      </w:pPr>
    </w:p>
    <w:p w:rsidRPr="00BE51E9" w:rsidR="00014566" w:rsidP="00BE51E9" w:rsidRDefault="00014566">
      <w:pPr>
        <w:jc w:val="center"/>
        <w:rPr>
          <w:lang w:val="en-GB"/>
        </w:rPr>
      </w:pPr>
    </w:p>
    <w:p w:rsidRPr="00BE51E9" w:rsidR="007B3008" w:rsidP="00BE51E9" w:rsidRDefault="007B3008">
      <w:pPr>
        <w:jc w:val="center"/>
        <w:rPr>
          <w:lang w:val="en-GB"/>
        </w:rPr>
      </w:pPr>
    </w:p>
    <w:p w:rsidRPr="00BE51E9" w:rsidR="00471646" w:rsidP="00BE51E9" w:rsidRDefault="0059377C">
      <w:pPr>
        <w:ind w:firstLine="284"/>
        <w:jc w:val="center"/>
        <w:rPr>
          <w:szCs w:val="24"/>
          <w:lang w:val="en-GB"/>
        </w:rPr>
      </w:pPr>
      <w:r w:rsidRPr="00BE51E9">
        <w:rPr>
          <w:szCs w:val="24"/>
          <w:lang w:val="en-GB"/>
        </w:rPr>
        <w:t>JUDGMENT</w:t>
      </w:r>
    </w:p>
    <w:p w:rsidRPr="00BE51E9" w:rsidR="00E6309A" w:rsidP="00BE51E9" w:rsidRDefault="00E6309A">
      <w:pPr>
        <w:ind w:firstLine="284"/>
        <w:jc w:val="center"/>
        <w:rPr>
          <w:lang w:val="en-GB"/>
        </w:rPr>
      </w:pPr>
    </w:p>
    <w:p w:rsidRPr="00BE51E9" w:rsidR="00471646" w:rsidP="00BE51E9" w:rsidRDefault="00471646">
      <w:pPr>
        <w:ind w:firstLine="284"/>
        <w:rPr>
          <w:szCs w:val="24"/>
          <w:lang w:val="en-GB"/>
        </w:rPr>
      </w:pPr>
    </w:p>
    <w:p w:rsidRPr="00BE51E9" w:rsidR="0059377C" w:rsidP="00BE51E9" w:rsidRDefault="0059377C">
      <w:pPr>
        <w:pStyle w:val="JuCase"/>
        <w:ind w:firstLine="0"/>
        <w:jc w:val="center"/>
        <w:rPr>
          <w:b w:val="0"/>
          <w:lang w:val="en-GB"/>
        </w:rPr>
      </w:pPr>
    </w:p>
    <w:p w:rsidRPr="00BE51E9" w:rsidR="0059377C" w:rsidP="00BE51E9" w:rsidRDefault="0059377C">
      <w:pPr>
        <w:pStyle w:val="JuCase"/>
        <w:ind w:firstLine="0"/>
        <w:jc w:val="center"/>
        <w:rPr>
          <w:b w:val="0"/>
          <w:lang w:val="en-GB"/>
        </w:rPr>
      </w:pPr>
    </w:p>
    <w:p w:rsidRPr="00BE51E9" w:rsidR="0059377C" w:rsidP="00BE51E9" w:rsidRDefault="0059377C">
      <w:pPr>
        <w:pStyle w:val="JuCase"/>
        <w:ind w:firstLine="0"/>
        <w:jc w:val="center"/>
        <w:rPr>
          <w:b w:val="0"/>
          <w:lang w:val="en-GB"/>
        </w:rPr>
      </w:pPr>
      <w:r w:rsidRPr="00BE51E9">
        <w:rPr>
          <w:b w:val="0"/>
          <w:lang w:val="en-GB"/>
        </w:rPr>
        <w:t>STRASBOURG</w:t>
      </w:r>
    </w:p>
    <w:p w:rsidRPr="00BE51E9" w:rsidR="007B3008" w:rsidP="00BE51E9" w:rsidRDefault="007B3008">
      <w:pPr>
        <w:pStyle w:val="ECHRPara"/>
        <w:rPr>
          <w:lang w:val="en-GB"/>
        </w:rPr>
      </w:pPr>
    </w:p>
    <w:p w:rsidRPr="00BE51E9" w:rsidR="0059377C" w:rsidP="00BE51E9" w:rsidRDefault="00DD137E">
      <w:pPr>
        <w:pStyle w:val="JuCase"/>
        <w:ind w:firstLine="0"/>
        <w:jc w:val="center"/>
        <w:rPr>
          <w:b w:val="0"/>
          <w:lang w:val="en-GB"/>
        </w:rPr>
      </w:pPr>
      <w:r w:rsidRPr="00BE51E9">
        <w:rPr>
          <w:b w:val="0"/>
          <w:lang w:val="en-GB"/>
        </w:rPr>
        <w:t>11 July 2017</w:t>
      </w:r>
    </w:p>
    <w:p w:rsidRPr="00BE51E9" w:rsidR="007B3008" w:rsidP="00BE51E9" w:rsidRDefault="007B3008">
      <w:pPr>
        <w:pStyle w:val="ECHRPara"/>
        <w:rPr>
          <w:lang w:val="en-GB"/>
        </w:rPr>
      </w:pPr>
    </w:p>
    <w:p w:rsidRPr="00BE51E9" w:rsidR="007B3008" w:rsidP="00BE51E9" w:rsidRDefault="007B3008">
      <w:pPr>
        <w:pStyle w:val="ECHRPara"/>
        <w:rPr>
          <w:lang w:val="en-GB"/>
        </w:rPr>
      </w:pPr>
    </w:p>
    <w:p w:rsidRPr="00BE51E9" w:rsidR="00BE51E9" w:rsidP="00BE51E9" w:rsidRDefault="00BE51E9">
      <w:pPr>
        <w:pStyle w:val="jucase0"/>
        <w:ind w:firstLine="0"/>
        <w:jc w:val="center"/>
        <w:rPr>
          <w:color w:val="FF0000"/>
          <w:sz w:val="28"/>
          <w:szCs w:val="28"/>
          <w:u w:val="single"/>
        </w:rPr>
      </w:pPr>
      <w:r w:rsidRPr="00BE51E9">
        <w:rPr>
          <w:color w:val="FF0000"/>
          <w:sz w:val="28"/>
          <w:szCs w:val="28"/>
          <w:u w:val="single"/>
        </w:rPr>
        <w:t>FINAL</w:t>
      </w:r>
    </w:p>
    <w:p w:rsidRPr="00BE51E9" w:rsidR="00BE51E9" w:rsidP="00BE51E9" w:rsidRDefault="00BE51E9">
      <w:pPr>
        <w:pStyle w:val="jupara"/>
        <w:tabs>
          <w:tab w:val="left" w:pos="4650"/>
        </w:tabs>
        <w:ind w:firstLine="0"/>
        <w:jc w:val="center"/>
        <w:rPr>
          <w:color w:val="FF0000"/>
          <w:sz w:val="28"/>
          <w:szCs w:val="28"/>
        </w:rPr>
      </w:pPr>
    </w:p>
    <w:p w:rsidRPr="00BE51E9" w:rsidR="00BE51E9" w:rsidP="00BE51E9" w:rsidRDefault="00BE51E9">
      <w:pPr>
        <w:pStyle w:val="jupara"/>
        <w:ind w:firstLine="0"/>
        <w:jc w:val="center"/>
        <w:rPr>
          <w:color w:val="FF0000"/>
          <w:sz w:val="28"/>
          <w:szCs w:val="28"/>
        </w:rPr>
      </w:pPr>
      <w:r w:rsidRPr="00BE51E9">
        <w:rPr>
          <w:color w:val="FF0000"/>
          <w:sz w:val="28"/>
          <w:szCs w:val="28"/>
        </w:rPr>
        <w:t>11/10/2017</w:t>
      </w:r>
    </w:p>
    <w:p w:rsidRPr="00BE51E9" w:rsidR="00BE51E9" w:rsidP="00BE51E9" w:rsidRDefault="00BE51E9">
      <w:pPr>
        <w:pStyle w:val="jupara"/>
        <w:ind w:firstLine="0"/>
        <w:jc w:val="center"/>
      </w:pPr>
    </w:p>
    <w:p w:rsidRPr="00BE51E9" w:rsidR="00BE51E9" w:rsidP="00BE51E9" w:rsidRDefault="00BE51E9">
      <w:pPr>
        <w:jc w:val="center"/>
        <w:rPr>
          <w:i/>
          <w:iCs/>
          <w:sz w:val="22"/>
        </w:rPr>
      </w:pPr>
      <w:r w:rsidRPr="00BE51E9">
        <w:rPr>
          <w:i/>
          <w:iCs/>
          <w:sz w:val="22"/>
        </w:rPr>
        <w:t>This judgment has become final under Article 44 § 2 of the Convention. It may be subject to editorial revision.</w:t>
      </w:r>
    </w:p>
    <w:p w:rsidRPr="00BE51E9" w:rsidR="0059377C" w:rsidP="00BE51E9" w:rsidRDefault="0059377C">
      <w:pPr>
        <w:pStyle w:val="JuCase"/>
        <w:ind w:firstLine="0"/>
        <w:rPr>
          <w:b w:val="0"/>
        </w:rPr>
      </w:pPr>
    </w:p>
    <w:p w:rsidRPr="00BE51E9" w:rsidR="00144362" w:rsidP="00BE51E9" w:rsidRDefault="00144362">
      <w:pPr>
        <w:pStyle w:val="ECHRPara"/>
        <w:rPr>
          <w:lang w:val="en-GB"/>
        </w:rPr>
        <w:sectPr w:rsidRPr="00BE51E9" w:rsidR="00144362" w:rsidSect="0059377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BE51E9" w:rsidR="00014566" w:rsidP="00BE51E9" w:rsidRDefault="00014566">
      <w:pPr>
        <w:pStyle w:val="JuCase"/>
        <w:rPr>
          <w:bCs/>
          <w:lang w:val="en-GB"/>
        </w:rPr>
      </w:pPr>
      <w:r w:rsidRPr="00BE51E9">
        <w:rPr>
          <w:lang w:val="en-GB"/>
        </w:rPr>
        <w:t xml:space="preserve">In the case of </w:t>
      </w:r>
      <w:r w:rsidRPr="00BE51E9" w:rsidR="00EA19CD">
        <w:rPr>
          <w:lang w:val="en-GB"/>
        </w:rPr>
        <w:t>Ž.B. v. Croatia</w:t>
      </w:r>
      <w:r w:rsidRPr="00BE51E9">
        <w:rPr>
          <w:lang w:val="en-GB"/>
        </w:rPr>
        <w:t>,</w:t>
      </w:r>
    </w:p>
    <w:p w:rsidRPr="00BE51E9" w:rsidR="00014566" w:rsidP="00BE51E9" w:rsidRDefault="00014566">
      <w:pPr>
        <w:pStyle w:val="ECHRPara"/>
        <w:rPr>
          <w:lang w:val="en-GB"/>
        </w:rPr>
      </w:pPr>
      <w:r w:rsidRPr="00BE51E9">
        <w:rPr>
          <w:lang w:val="en-GB"/>
        </w:rPr>
        <w:t>The European Court of Human Rights (</w:t>
      </w:r>
      <w:r w:rsidRPr="00BE51E9" w:rsidR="00EA19CD">
        <w:rPr>
          <w:lang w:val="en-GB"/>
        </w:rPr>
        <w:t>Second Section</w:t>
      </w:r>
      <w:r w:rsidRPr="00BE51E9">
        <w:rPr>
          <w:lang w:val="en-GB"/>
        </w:rPr>
        <w:t xml:space="preserve">), sitting as a </w:t>
      </w:r>
      <w:r w:rsidRPr="00BE51E9" w:rsidR="00EA19CD">
        <w:rPr>
          <w:lang w:val="en-GB"/>
        </w:rPr>
        <w:t>Chamber</w:t>
      </w:r>
      <w:r w:rsidRPr="00BE51E9">
        <w:rPr>
          <w:lang w:val="en-GB"/>
        </w:rPr>
        <w:t xml:space="preserve"> composed of:</w:t>
      </w:r>
    </w:p>
    <w:p w:rsidRPr="00BE51E9" w:rsidR="00014566" w:rsidP="00BE51E9" w:rsidRDefault="0059377C">
      <w:pPr>
        <w:pStyle w:val="ECHRDecisionBody"/>
        <w:rPr>
          <w:lang w:val="en-GB"/>
        </w:rPr>
      </w:pPr>
      <w:r w:rsidRPr="00BE51E9">
        <w:tab/>
        <w:t>Robert Spano,</w:t>
      </w:r>
      <w:r w:rsidRPr="00BE51E9">
        <w:rPr>
          <w:i/>
        </w:rPr>
        <w:t xml:space="preserve"> President,</w:t>
      </w:r>
      <w:r w:rsidRPr="00BE51E9">
        <w:rPr>
          <w:i/>
        </w:rPr>
        <w:br/>
      </w:r>
      <w:r w:rsidRPr="00BE51E9">
        <w:tab/>
        <w:t>Julia Laffranque,</w:t>
      </w:r>
      <w:r w:rsidRPr="00BE51E9">
        <w:rPr>
          <w:i/>
        </w:rPr>
        <w:br/>
      </w:r>
      <w:r w:rsidRPr="00BE51E9">
        <w:tab/>
        <w:t>Ledi Bianku,</w:t>
      </w:r>
      <w:r w:rsidRPr="00BE51E9">
        <w:rPr>
          <w:i/>
        </w:rPr>
        <w:br/>
      </w:r>
      <w:r w:rsidRPr="00BE51E9">
        <w:tab/>
        <w:t>Nebojša Vučinić,</w:t>
      </w:r>
      <w:r w:rsidRPr="00BE51E9">
        <w:rPr>
          <w:i/>
        </w:rPr>
        <w:br/>
      </w:r>
      <w:r w:rsidRPr="00BE51E9">
        <w:tab/>
        <w:t>Paul Lemmens,</w:t>
      </w:r>
      <w:r w:rsidRPr="00BE51E9">
        <w:rPr>
          <w:i/>
        </w:rPr>
        <w:br/>
      </w:r>
      <w:r w:rsidRPr="00BE51E9">
        <w:tab/>
        <w:t>Valeriu Griţco,</w:t>
      </w:r>
      <w:r w:rsidRPr="00BE51E9">
        <w:rPr>
          <w:i/>
        </w:rPr>
        <w:br/>
      </w:r>
      <w:r w:rsidRPr="00BE51E9">
        <w:tab/>
        <w:t>Stéphanie Mourou-Vikström,</w:t>
      </w:r>
      <w:r w:rsidRPr="00BE51E9">
        <w:rPr>
          <w:i/>
        </w:rPr>
        <w:t xml:space="preserve"> judges,</w:t>
      </w:r>
      <w:r w:rsidRPr="00BE51E9" w:rsidR="00014566">
        <w:rPr>
          <w:szCs w:val="24"/>
          <w:lang w:val="en-GB"/>
        </w:rPr>
        <w:br/>
      </w:r>
      <w:r w:rsidRPr="00BE51E9" w:rsidR="00014566">
        <w:rPr>
          <w:lang w:val="en-GB"/>
        </w:rPr>
        <w:t xml:space="preserve">and </w:t>
      </w:r>
      <w:r w:rsidRPr="00BE51E9" w:rsidR="00EA19CD">
        <w:rPr>
          <w:lang w:val="en-GB"/>
        </w:rPr>
        <w:t>Stanley Naismith</w:t>
      </w:r>
      <w:r w:rsidRPr="00BE51E9" w:rsidR="00014566">
        <w:rPr>
          <w:lang w:val="en-GB"/>
        </w:rPr>
        <w:t xml:space="preserve">, </w:t>
      </w:r>
      <w:r w:rsidRPr="00BE51E9" w:rsidR="00EA19CD">
        <w:rPr>
          <w:i/>
          <w:lang w:val="en-GB"/>
        </w:rPr>
        <w:t xml:space="preserve">Section </w:t>
      </w:r>
      <w:r w:rsidRPr="00BE51E9" w:rsidR="00EA19CD">
        <w:rPr>
          <w:i/>
          <w:iCs/>
          <w:lang w:val="en-GB"/>
        </w:rPr>
        <w:t>Registrar</w:t>
      </w:r>
      <w:r w:rsidRPr="00BE51E9" w:rsidR="00014566">
        <w:rPr>
          <w:i/>
          <w:lang w:val="en-GB"/>
        </w:rPr>
        <w:t>,</w:t>
      </w:r>
    </w:p>
    <w:p w:rsidRPr="00BE51E9" w:rsidR="00014566" w:rsidP="00BE51E9" w:rsidRDefault="00014566">
      <w:pPr>
        <w:pStyle w:val="ECHRPara"/>
        <w:rPr>
          <w:lang w:val="en-GB"/>
        </w:rPr>
      </w:pPr>
      <w:r w:rsidRPr="00BE51E9">
        <w:rPr>
          <w:lang w:val="en-GB"/>
        </w:rPr>
        <w:t xml:space="preserve">Having deliberated in private on </w:t>
      </w:r>
      <w:r w:rsidRPr="00BE51E9" w:rsidR="0059377C">
        <w:rPr>
          <w:lang w:val="en-GB"/>
        </w:rPr>
        <w:t>20 June 2017</w:t>
      </w:r>
      <w:r w:rsidRPr="00BE51E9">
        <w:rPr>
          <w:lang w:val="en-GB"/>
        </w:rPr>
        <w:t>,</w:t>
      </w:r>
    </w:p>
    <w:p w:rsidRPr="00BE51E9" w:rsidR="00014566" w:rsidP="00BE51E9" w:rsidRDefault="00014566">
      <w:pPr>
        <w:pStyle w:val="ECHRPara"/>
        <w:rPr>
          <w:lang w:val="en-GB"/>
        </w:rPr>
      </w:pPr>
      <w:r w:rsidRPr="00BE51E9">
        <w:rPr>
          <w:lang w:val="en-GB"/>
        </w:rPr>
        <w:t>Delivers the following judgment, which was adopted on that date:</w:t>
      </w:r>
    </w:p>
    <w:p w:rsidRPr="00BE51E9" w:rsidR="00014566" w:rsidP="00BE51E9" w:rsidRDefault="00014566">
      <w:pPr>
        <w:pStyle w:val="ECHRTitle1"/>
        <w:rPr>
          <w:lang w:val="en-GB"/>
        </w:rPr>
      </w:pPr>
      <w:r w:rsidRPr="00BE51E9">
        <w:rPr>
          <w:lang w:val="en-GB"/>
        </w:rPr>
        <w:t>PROCEDURE</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w:t>
      </w:r>
      <w:r w:rsidRPr="00BE51E9">
        <w:rPr>
          <w:lang w:val="en-GB"/>
        </w:rPr>
        <w:fldChar w:fldCharType="end"/>
      </w:r>
      <w:r w:rsidRPr="00BE51E9" w:rsidR="00014566">
        <w:rPr>
          <w:lang w:val="en-GB"/>
        </w:rPr>
        <w:t xml:space="preserve">.  The case originated in </w:t>
      </w:r>
      <w:r w:rsidRPr="00BE51E9">
        <w:rPr>
          <w:lang w:val="en-GB"/>
        </w:rPr>
        <w:t>an application (no. 47666/13)</w:t>
      </w:r>
      <w:r w:rsidRPr="00BE51E9" w:rsidR="00014566">
        <w:rPr>
          <w:lang w:val="en-GB"/>
        </w:rPr>
        <w:t xml:space="preserve"> against </w:t>
      </w:r>
      <w:r w:rsidRPr="00BE51E9">
        <w:rPr>
          <w:lang w:val="en-GB"/>
        </w:rPr>
        <w:t>the Republic of Croatia</w:t>
      </w:r>
      <w:r w:rsidRPr="00BE51E9" w:rsidR="00014566">
        <w:rPr>
          <w:lang w:val="en-GB"/>
        </w:rPr>
        <w:t xml:space="preserve"> lodged with the </w:t>
      </w:r>
      <w:r w:rsidRPr="00BE51E9">
        <w:rPr>
          <w:lang w:val="en-GB"/>
        </w:rPr>
        <w:t>Court under Article 34</w:t>
      </w:r>
      <w:r w:rsidRPr="00BE51E9" w:rsidR="00014566">
        <w:rPr>
          <w:lang w:val="en-GB"/>
        </w:rPr>
        <w:t xml:space="preserve"> of the Convention for the Protection of Human Rights and Fundamental Freedoms (“the Convention”) by </w:t>
      </w:r>
      <w:r w:rsidRPr="00BE51E9">
        <w:rPr>
          <w:lang w:val="en-GB"/>
        </w:rPr>
        <w:t>a Croatian national, Ms Ž.B. (“the applicant”), on</w:t>
      </w:r>
      <w:r w:rsidRPr="00BE51E9" w:rsidR="0059377C">
        <w:rPr>
          <w:lang w:val="en-GB"/>
        </w:rPr>
        <w:t> </w:t>
      </w:r>
      <w:r w:rsidRPr="00BE51E9" w:rsidR="00A95086">
        <w:rPr>
          <w:lang w:val="en-GB"/>
        </w:rPr>
        <w:t>16 </w:t>
      </w:r>
      <w:r w:rsidRPr="00BE51E9">
        <w:rPr>
          <w:lang w:val="en-GB"/>
        </w:rPr>
        <w:t>July 2013</w:t>
      </w:r>
      <w:r w:rsidRPr="00BE51E9" w:rsidR="00014566">
        <w:rPr>
          <w:lang w:val="en-GB"/>
        </w:rPr>
        <w:t xml:space="preserve">. </w:t>
      </w:r>
      <w:r w:rsidRPr="00BE51E9">
        <w:rPr>
          <w:lang w:val="en-GB"/>
        </w:rPr>
        <w:t>The President of the Section</w:t>
      </w:r>
      <w:r w:rsidRPr="00BE51E9" w:rsidR="00052CE3">
        <w:rPr>
          <w:lang w:val="en-GB"/>
        </w:rPr>
        <w:t xml:space="preserve"> decided that the applicant</w:t>
      </w:r>
      <w:r w:rsidRPr="00BE51E9" w:rsidR="00BE51E9">
        <w:rPr>
          <w:lang w:val="en-GB"/>
        </w:rPr>
        <w:t>’</w:t>
      </w:r>
      <w:r w:rsidRPr="00BE51E9" w:rsidR="00052CE3">
        <w:rPr>
          <w:lang w:val="en-GB"/>
        </w:rPr>
        <w:t xml:space="preserve">s name would not be disclosed </w:t>
      </w:r>
      <w:r w:rsidRPr="00BE51E9">
        <w:rPr>
          <w:lang w:val="en-GB"/>
        </w:rPr>
        <w:t>(Rule 47 § 4 of the Rules of Court).</w:t>
      </w:r>
    </w:p>
    <w:p w:rsidRPr="00BE51E9" w:rsidR="0088462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w:t>
      </w:r>
      <w:r w:rsidRPr="00BE51E9">
        <w:rPr>
          <w:lang w:val="en-GB"/>
        </w:rPr>
        <w:fldChar w:fldCharType="end"/>
      </w:r>
      <w:r w:rsidRPr="00BE51E9" w:rsidR="00014566">
        <w:rPr>
          <w:lang w:val="en-GB"/>
        </w:rPr>
        <w:t>.  </w:t>
      </w:r>
      <w:r w:rsidRPr="00BE51E9">
        <w:rPr>
          <w:lang w:val="en-GB"/>
        </w:rPr>
        <w:t>The applicant, who had been granted legal aid, was represented by Ms</w:t>
      </w:r>
      <w:r w:rsidRPr="00BE51E9" w:rsidR="00DD137E">
        <w:rPr>
          <w:lang w:val="en-GB"/>
        </w:rPr>
        <w:t> </w:t>
      </w:r>
      <w:r w:rsidRPr="00BE51E9">
        <w:rPr>
          <w:lang w:val="en-GB"/>
        </w:rPr>
        <w:t xml:space="preserve">I. Bojić, a lawyer practising in Zagreb. </w:t>
      </w:r>
      <w:r w:rsidRPr="00BE51E9" w:rsidR="00014566">
        <w:rPr>
          <w:lang w:val="en-GB"/>
        </w:rPr>
        <w:t xml:space="preserve">The </w:t>
      </w:r>
      <w:r w:rsidRPr="00BE51E9">
        <w:rPr>
          <w:lang w:val="en-GB"/>
        </w:rPr>
        <w:t>Croatian</w:t>
      </w:r>
      <w:r w:rsidRPr="00BE51E9" w:rsidR="00014566">
        <w:rPr>
          <w:lang w:val="en-GB"/>
        </w:rPr>
        <w:t xml:space="preserve"> Government (“the Government”) wer</w:t>
      </w:r>
      <w:r w:rsidRPr="00BE51E9" w:rsidR="00884626">
        <w:rPr>
          <w:lang w:val="en-GB"/>
        </w:rPr>
        <w:t>e represented by their Agent, M</w:t>
      </w:r>
      <w:r w:rsidRPr="00BE51E9" w:rsidR="00014566">
        <w:rPr>
          <w:lang w:val="en-GB"/>
        </w:rPr>
        <w:t xml:space="preserve">s </w:t>
      </w:r>
      <w:r w:rsidRPr="00BE51E9" w:rsidR="00884626">
        <w:rPr>
          <w:rFonts w:cstheme="minorHAnsi"/>
          <w:lang w:val="en-GB"/>
        </w:rPr>
        <w:t>Š</w:t>
      </w:r>
      <w:r w:rsidRPr="00BE51E9" w:rsidR="00884626">
        <w:rPr>
          <w:lang w:val="en-GB"/>
        </w:rPr>
        <w:t>. Sta</w:t>
      </w:r>
      <w:r w:rsidRPr="00BE51E9" w:rsidR="00884626">
        <w:rPr>
          <w:rFonts w:cstheme="minorHAnsi"/>
          <w:lang w:val="en-GB"/>
        </w:rPr>
        <w:t>ž</w:t>
      </w:r>
      <w:r w:rsidRPr="00BE51E9" w:rsidR="00884626">
        <w:rPr>
          <w:lang w:val="en-GB"/>
        </w:rPr>
        <w:t>nik.</w:t>
      </w:r>
    </w:p>
    <w:p w:rsidRPr="00BE51E9" w:rsidR="00E05A8A"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w:t>
      </w:r>
      <w:r w:rsidRPr="00BE51E9">
        <w:rPr>
          <w:lang w:val="en-GB"/>
        </w:rPr>
        <w:fldChar w:fldCharType="end"/>
      </w:r>
      <w:r w:rsidRPr="00BE51E9">
        <w:rPr>
          <w:lang w:val="en-GB"/>
        </w:rPr>
        <w:t>.  </w:t>
      </w:r>
      <w:r w:rsidRPr="00BE51E9" w:rsidR="00E05A8A">
        <w:rPr>
          <w:lang w:val="en-GB"/>
        </w:rPr>
        <w:t>Ksenija Turković, the judge elected in respect of Croatia, withdrew from sitting in the case (Rule 28 of the Rules of Court). The President of the Chamber decided to appoint Neboj</w:t>
      </w:r>
      <w:r w:rsidRPr="00BE51E9" w:rsidR="00E05A8A">
        <w:rPr>
          <w:rFonts w:cstheme="minorHAnsi"/>
          <w:lang w:val="en-GB"/>
        </w:rPr>
        <w:t>š</w:t>
      </w:r>
      <w:r w:rsidRPr="00BE51E9" w:rsidR="00E05A8A">
        <w:rPr>
          <w:lang w:val="en-GB"/>
        </w:rPr>
        <w:t>a Vu</w:t>
      </w:r>
      <w:r w:rsidRPr="00BE51E9" w:rsidR="00E05A8A">
        <w:rPr>
          <w:rFonts w:cstheme="minorHAnsi"/>
          <w:lang w:val="en-GB"/>
        </w:rPr>
        <w:t>č</w:t>
      </w:r>
      <w:r w:rsidRPr="00BE51E9" w:rsidR="00E05A8A">
        <w:rPr>
          <w:lang w:val="en-GB"/>
        </w:rPr>
        <w:t>ini</w:t>
      </w:r>
      <w:r w:rsidRPr="00BE51E9" w:rsidR="00E05A8A">
        <w:rPr>
          <w:rFonts w:cstheme="minorHAnsi"/>
          <w:lang w:val="en-GB"/>
        </w:rPr>
        <w:t>ć</w:t>
      </w:r>
      <w:r w:rsidRPr="00BE51E9" w:rsidR="00E05A8A">
        <w:rPr>
          <w:lang w:val="en-GB"/>
        </w:rPr>
        <w:t xml:space="preserve">, the judge elected in respect of Montenegro, to sit as an </w:t>
      </w:r>
      <w:r w:rsidRPr="00BE51E9" w:rsidR="00E05A8A">
        <w:rPr>
          <w:i/>
          <w:lang w:val="en-GB"/>
        </w:rPr>
        <w:t>ad hoc</w:t>
      </w:r>
      <w:r w:rsidRPr="00BE51E9" w:rsidR="00E05A8A">
        <w:rPr>
          <w:lang w:val="en-GB"/>
        </w:rPr>
        <w:t xml:space="preserve"> judge (Rule 29 § 2(a)).</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w:t>
      </w:r>
      <w:r w:rsidRPr="00BE51E9">
        <w:rPr>
          <w:lang w:val="en-GB"/>
        </w:rPr>
        <w:fldChar w:fldCharType="end"/>
      </w:r>
      <w:r w:rsidRPr="00BE51E9" w:rsidR="00014566">
        <w:rPr>
          <w:lang w:val="en-GB"/>
        </w:rPr>
        <w:t>.  </w:t>
      </w:r>
      <w:r w:rsidRPr="00BE51E9" w:rsidR="00E05A8A">
        <w:rPr>
          <w:lang w:val="en-GB"/>
        </w:rPr>
        <w:t xml:space="preserve">The applicant alleged that the domestic authorities had failed effectively to discharge their positive obligations in relation to acts of domestic violence against her, as required under Articles 3 and 8 of the Convention. </w:t>
      </w:r>
      <w:r w:rsidRPr="00BE51E9">
        <w:rPr>
          <w:lang w:val="en-GB"/>
        </w:rPr>
        <w:t xml:space="preserve">On </w:t>
      </w:r>
      <w:r w:rsidRPr="00BE51E9">
        <w:rPr>
          <w:szCs w:val="24"/>
          <w:lang w:val="en-GB"/>
        </w:rPr>
        <w:t>8 September 2014</w:t>
      </w:r>
      <w:r w:rsidRPr="00BE51E9" w:rsidR="00014566">
        <w:rPr>
          <w:lang w:val="en-GB"/>
        </w:rPr>
        <w:t xml:space="preserve"> the </w:t>
      </w:r>
      <w:r w:rsidRPr="00BE51E9">
        <w:rPr>
          <w:lang w:val="en-GB"/>
        </w:rPr>
        <w:t>application was communicated to the Government</w:t>
      </w:r>
      <w:r w:rsidRPr="00BE51E9" w:rsidR="00014566">
        <w:rPr>
          <w:lang w:val="en-GB"/>
        </w:rPr>
        <w:t>.</w:t>
      </w:r>
    </w:p>
    <w:p w:rsidRPr="00BE51E9" w:rsidR="00014566" w:rsidP="00BE51E9" w:rsidRDefault="00014566">
      <w:pPr>
        <w:pStyle w:val="ECHRTitle1"/>
        <w:rPr>
          <w:lang w:val="en-GB"/>
        </w:rPr>
      </w:pPr>
      <w:r w:rsidRPr="00BE51E9">
        <w:rPr>
          <w:lang w:val="en-GB"/>
        </w:rPr>
        <w:t>THE FACTS</w:t>
      </w:r>
    </w:p>
    <w:p w:rsidRPr="00BE51E9" w:rsidR="00014566" w:rsidP="00BE51E9" w:rsidRDefault="00014566">
      <w:pPr>
        <w:pStyle w:val="ECHRHeading1"/>
        <w:rPr>
          <w:lang w:val="en-GB"/>
        </w:rPr>
      </w:pPr>
      <w:r w:rsidRPr="00BE51E9">
        <w:rPr>
          <w:lang w:val="en-GB"/>
        </w:rPr>
        <w:t>I.  THE CIRCUMSTANCES OF THE CASE</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5</w:t>
      </w:r>
      <w:r w:rsidRPr="00BE51E9">
        <w:rPr>
          <w:lang w:val="en-GB"/>
        </w:rPr>
        <w:fldChar w:fldCharType="end"/>
      </w:r>
      <w:r w:rsidRPr="00BE51E9" w:rsidR="00014566">
        <w:rPr>
          <w:lang w:val="en-GB"/>
        </w:rPr>
        <w:t xml:space="preserve">.  The </w:t>
      </w:r>
      <w:r w:rsidRPr="00BE51E9">
        <w:rPr>
          <w:lang w:val="en-GB"/>
        </w:rPr>
        <w:t>applicant was born in 1981</w:t>
      </w:r>
      <w:r w:rsidRPr="00BE51E9" w:rsidR="00052CE3">
        <w:rPr>
          <w:lang w:val="en-GB"/>
        </w:rPr>
        <w:t>.</w:t>
      </w:r>
    </w:p>
    <w:p w:rsidRPr="00BE51E9" w:rsidR="007C070E" w:rsidP="00BE51E9" w:rsidRDefault="00052CE3">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w:t>
      </w:r>
      <w:r w:rsidRPr="00BE51E9">
        <w:rPr>
          <w:lang w:val="en-GB"/>
        </w:rPr>
        <w:fldChar w:fldCharType="end"/>
      </w:r>
      <w:r w:rsidRPr="00BE51E9">
        <w:rPr>
          <w:lang w:val="en-GB"/>
        </w:rPr>
        <w:t>.  </w:t>
      </w:r>
      <w:r w:rsidRPr="00BE51E9" w:rsidR="007C070E">
        <w:rPr>
          <w:lang w:val="en-GB"/>
        </w:rPr>
        <w:t>On 3 May 2007 the applicant lodged a criminal complaint with the police alleging that in the past two years she had been a victim of multiple acts of domestic violence by her husband</w:t>
      </w:r>
      <w:r w:rsidRPr="00BE51E9" w:rsidR="006D48CA">
        <w:rPr>
          <w:lang w:val="en-GB"/>
        </w:rPr>
        <w:t>,</w:t>
      </w:r>
      <w:r w:rsidRPr="00BE51E9" w:rsidR="007C070E">
        <w:rPr>
          <w:lang w:val="en-GB"/>
        </w:rPr>
        <w:t xml:space="preserve"> B.B.</w:t>
      </w:r>
    </w:p>
    <w:p w:rsidRPr="00BE51E9" w:rsidR="00B65199" w:rsidP="00BE51E9" w:rsidRDefault="007C070E">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7</w:t>
      </w:r>
      <w:r w:rsidRPr="00BE51E9">
        <w:rPr>
          <w:lang w:val="en-GB"/>
        </w:rPr>
        <w:fldChar w:fldCharType="end"/>
      </w:r>
      <w:r w:rsidRPr="00BE51E9">
        <w:rPr>
          <w:lang w:val="en-GB"/>
        </w:rPr>
        <w:t xml:space="preserve">.  A preliminary police investigation showed that there was a suspicion that the applicant had been </w:t>
      </w:r>
      <w:r w:rsidRPr="00BE51E9" w:rsidR="00104B42">
        <w:rPr>
          <w:lang w:val="en-GB"/>
        </w:rPr>
        <w:t xml:space="preserve">the </w:t>
      </w:r>
      <w:r w:rsidRPr="00BE51E9">
        <w:rPr>
          <w:lang w:val="en-GB"/>
        </w:rPr>
        <w:t xml:space="preserve">victim of psychological and physical violence by B.B. </w:t>
      </w:r>
      <w:r w:rsidRPr="00BE51E9" w:rsidR="00104B42">
        <w:rPr>
          <w:lang w:val="en-GB"/>
        </w:rPr>
        <w:t xml:space="preserve">during </w:t>
      </w:r>
      <w:r w:rsidRPr="00BE51E9">
        <w:rPr>
          <w:lang w:val="en-GB"/>
        </w:rPr>
        <w:t>the period at issue. On the basis of th</w:t>
      </w:r>
      <w:r w:rsidRPr="00BE51E9" w:rsidR="00104B42">
        <w:rPr>
          <w:lang w:val="en-GB"/>
        </w:rPr>
        <w:t>o</w:t>
      </w:r>
      <w:r w:rsidRPr="00BE51E9">
        <w:rPr>
          <w:lang w:val="en-GB"/>
        </w:rPr>
        <w:t>se findings, the police forwarded the applicant</w:t>
      </w:r>
      <w:r w:rsidRPr="00BE51E9" w:rsidR="00BE51E9">
        <w:rPr>
          <w:lang w:val="en-GB"/>
        </w:rPr>
        <w:t>’</w:t>
      </w:r>
      <w:r w:rsidRPr="00BE51E9">
        <w:rPr>
          <w:lang w:val="en-GB"/>
        </w:rPr>
        <w:t>s criminal complaint to the relevant State Attorney</w:t>
      </w:r>
      <w:r w:rsidRPr="00BE51E9" w:rsidR="00BE51E9">
        <w:rPr>
          <w:lang w:val="en-GB"/>
        </w:rPr>
        <w:t>’</w:t>
      </w:r>
      <w:r w:rsidRPr="00BE51E9">
        <w:rPr>
          <w:lang w:val="en-GB"/>
        </w:rPr>
        <w:t>s Office.</w:t>
      </w:r>
      <w:r w:rsidRPr="00BE51E9" w:rsidR="00B65199">
        <w:rPr>
          <w:lang w:val="en-GB"/>
        </w:rPr>
        <w:t xml:space="preserve"> The police also forwarded the applicant</w:t>
      </w:r>
      <w:r w:rsidRPr="00BE51E9" w:rsidR="00BE51E9">
        <w:rPr>
          <w:lang w:val="en-GB"/>
        </w:rPr>
        <w:t>’</w:t>
      </w:r>
      <w:r w:rsidRPr="00BE51E9" w:rsidR="00B65199">
        <w:rPr>
          <w:lang w:val="en-GB"/>
        </w:rPr>
        <w:t xml:space="preserve">s medical records showing that in April 2007 she had sustained a contusion </w:t>
      </w:r>
      <w:r w:rsidRPr="00BE51E9" w:rsidR="00104B42">
        <w:rPr>
          <w:lang w:val="en-GB"/>
        </w:rPr>
        <w:t xml:space="preserve">on </w:t>
      </w:r>
      <w:r w:rsidRPr="00BE51E9" w:rsidR="00B65199">
        <w:rPr>
          <w:lang w:val="en-GB"/>
        </w:rPr>
        <w:t>her back after being pushed from a chair by B.B.</w:t>
      </w:r>
    </w:p>
    <w:p w:rsidRPr="00BE51E9" w:rsidR="007C070E" w:rsidP="00BE51E9" w:rsidRDefault="007C070E">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8</w:t>
      </w:r>
      <w:r w:rsidRPr="00BE51E9">
        <w:rPr>
          <w:lang w:val="en-GB"/>
        </w:rPr>
        <w:fldChar w:fldCharType="end"/>
      </w:r>
      <w:r w:rsidRPr="00BE51E9">
        <w:rPr>
          <w:lang w:val="en-GB"/>
        </w:rPr>
        <w:t>.  On 3 July 2007 the P. Municipal State Attorney</w:t>
      </w:r>
      <w:r w:rsidRPr="00BE51E9" w:rsidR="00BE51E9">
        <w:rPr>
          <w:lang w:val="en-GB"/>
        </w:rPr>
        <w:t>’</w:t>
      </w:r>
      <w:r w:rsidRPr="00BE51E9">
        <w:rPr>
          <w:lang w:val="en-GB"/>
        </w:rPr>
        <w:t>s Office (</w:t>
      </w:r>
      <w:r w:rsidRPr="00BE51E9">
        <w:rPr>
          <w:i/>
          <w:lang w:val="en-GB"/>
        </w:rPr>
        <w:t>Općinsko državno odvjetništvo u P.</w:t>
      </w:r>
      <w:r w:rsidRPr="00BE51E9">
        <w:rPr>
          <w:lang w:val="en-GB"/>
        </w:rPr>
        <w:t>)</w:t>
      </w:r>
      <w:r w:rsidRPr="00BE51E9" w:rsidR="00144362">
        <w:rPr>
          <w:lang w:val="en-GB"/>
        </w:rPr>
        <w:t xml:space="preserve"> </w:t>
      </w:r>
      <w:r w:rsidRPr="00BE51E9">
        <w:rPr>
          <w:lang w:val="en-GB"/>
        </w:rPr>
        <w:t>asked an investigating judge of the S. County Court (</w:t>
      </w:r>
      <w:r w:rsidRPr="00BE51E9">
        <w:rPr>
          <w:rFonts w:cstheme="minorHAnsi"/>
          <w:i/>
          <w:lang w:val="en-GB"/>
        </w:rPr>
        <w:t>Ž</w:t>
      </w:r>
      <w:r w:rsidRPr="00BE51E9">
        <w:rPr>
          <w:i/>
          <w:lang w:val="en-GB"/>
        </w:rPr>
        <w:t>upanijski sud u S.</w:t>
      </w:r>
      <w:r w:rsidRPr="00BE51E9">
        <w:rPr>
          <w:lang w:val="en-GB"/>
        </w:rPr>
        <w:t xml:space="preserve">) </w:t>
      </w:r>
      <w:r w:rsidRPr="00BE51E9" w:rsidR="00B65199">
        <w:rPr>
          <w:lang w:val="en-GB"/>
        </w:rPr>
        <w:t>to open an investigation into the matter.</w:t>
      </w:r>
    </w:p>
    <w:p w:rsidRPr="00BE51E9" w:rsidR="00B65199" w:rsidP="00BE51E9" w:rsidRDefault="00B65199">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9</w:t>
      </w:r>
      <w:r w:rsidRPr="00BE51E9">
        <w:rPr>
          <w:lang w:val="en-GB"/>
        </w:rPr>
        <w:fldChar w:fldCharType="end"/>
      </w:r>
      <w:r w:rsidRPr="00BE51E9">
        <w:rPr>
          <w:lang w:val="en-GB"/>
        </w:rPr>
        <w:t xml:space="preserve">.  In the course of the investigation, the investigating judge heard the applicant and B.B. </w:t>
      </w:r>
      <w:r w:rsidRPr="00BE51E9" w:rsidR="00104B42">
        <w:rPr>
          <w:lang w:val="en-GB"/>
        </w:rPr>
        <w:t xml:space="preserve">The latter </w:t>
      </w:r>
      <w:r w:rsidRPr="00BE51E9">
        <w:rPr>
          <w:lang w:val="en-GB"/>
        </w:rPr>
        <w:t>denied the allegations of domestic violence</w:t>
      </w:r>
      <w:r w:rsidRPr="00BE51E9" w:rsidR="00BC359B">
        <w:rPr>
          <w:lang w:val="en-GB"/>
        </w:rPr>
        <w:t xml:space="preserve">. The judge also heard another witness, V.K., who confirmed that the applicant had often complained of emotional and physical harassment by her husband and had twice </w:t>
      </w:r>
      <w:r w:rsidRPr="00BE51E9" w:rsidR="00104B42">
        <w:rPr>
          <w:lang w:val="en-GB"/>
        </w:rPr>
        <w:t xml:space="preserve">sustained </w:t>
      </w:r>
      <w:r w:rsidRPr="00BE51E9" w:rsidR="00BC359B">
        <w:rPr>
          <w:lang w:val="en-GB"/>
        </w:rPr>
        <w:t>injuries as a result of the alleged harassment.</w:t>
      </w:r>
    </w:p>
    <w:p w:rsidRPr="00BE51E9" w:rsidR="00BC359B" w:rsidP="00BE51E9" w:rsidRDefault="00BC359B">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10</w:t>
      </w:r>
      <w:r w:rsidRPr="00BE51E9">
        <w:rPr>
          <w:lang w:val="en-GB"/>
        </w:rPr>
        <w:fldChar w:fldCharType="end"/>
      </w:r>
      <w:r w:rsidRPr="00BE51E9">
        <w:rPr>
          <w:lang w:val="en-GB"/>
        </w:rPr>
        <w:t>.  </w:t>
      </w:r>
      <w:r w:rsidRPr="00BE51E9" w:rsidR="00052CE3">
        <w:rPr>
          <w:lang w:val="en-GB"/>
        </w:rPr>
        <w:t xml:space="preserve">On </w:t>
      </w:r>
      <w:r w:rsidRPr="00BE51E9">
        <w:rPr>
          <w:lang w:val="en-GB"/>
        </w:rPr>
        <w:t>the basis of the</w:t>
      </w:r>
      <w:r w:rsidRPr="00BE51E9" w:rsidR="000202C9">
        <w:rPr>
          <w:lang w:val="en-GB"/>
        </w:rPr>
        <w:t xml:space="preserve"> results of the</w:t>
      </w:r>
      <w:r w:rsidRPr="00BE51E9">
        <w:rPr>
          <w:lang w:val="en-GB"/>
        </w:rPr>
        <w:t xml:space="preserve"> investigation, on </w:t>
      </w:r>
      <w:r w:rsidRPr="00BE51E9" w:rsidR="00052CE3">
        <w:rPr>
          <w:lang w:val="en-GB"/>
        </w:rPr>
        <w:t>29 January 2008 the State Attorney</w:t>
      </w:r>
      <w:r w:rsidRPr="00BE51E9" w:rsidR="00BE51E9">
        <w:rPr>
          <w:lang w:val="en-GB"/>
        </w:rPr>
        <w:t>’</w:t>
      </w:r>
      <w:r w:rsidRPr="00BE51E9" w:rsidR="00052CE3">
        <w:rPr>
          <w:lang w:val="en-GB"/>
        </w:rPr>
        <w:t xml:space="preserve">s Office </w:t>
      </w:r>
      <w:r w:rsidRPr="00BE51E9">
        <w:rPr>
          <w:lang w:val="en-GB"/>
        </w:rPr>
        <w:t>indicted B.B. in the P.</w:t>
      </w:r>
      <w:r w:rsidRPr="00BE51E9" w:rsidR="00052CE3">
        <w:rPr>
          <w:lang w:val="en-GB"/>
        </w:rPr>
        <w:t xml:space="preserve"> M</w:t>
      </w:r>
      <w:r w:rsidRPr="00BE51E9">
        <w:rPr>
          <w:lang w:val="en-GB"/>
        </w:rPr>
        <w:t>unicipal Court (</w:t>
      </w:r>
      <w:r w:rsidRPr="00BE51E9">
        <w:rPr>
          <w:i/>
          <w:lang w:val="en-GB"/>
        </w:rPr>
        <w:t>Općinski sud u P</w:t>
      </w:r>
      <w:r w:rsidRPr="00BE51E9" w:rsidR="00052CE3">
        <w:rPr>
          <w:i/>
          <w:lang w:val="en-GB"/>
        </w:rPr>
        <w:t>.</w:t>
      </w:r>
      <w:r w:rsidRPr="00BE51E9">
        <w:rPr>
          <w:lang w:val="en-GB"/>
        </w:rPr>
        <w:t>) on charges of domestic</w:t>
      </w:r>
      <w:r w:rsidRPr="00BE51E9" w:rsidR="00052CE3">
        <w:rPr>
          <w:lang w:val="en-GB"/>
        </w:rPr>
        <w:t xml:space="preserve"> violence punishable under Article 215a </w:t>
      </w:r>
      <w:r w:rsidRPr="00BE51E9">
        <w:rPr>
          <w:lang w:val="en-GB"/>
        </w:rPr>
        <w:t>of the</w:t>
      </w:r>
      <w:r w:rsidRPr="00BE51E9" w:rsidR="00D84121">
        <w:rPr>
          <w:lang w:val="en-GB"/>
        </w:rPr>
        <w:t xml:space="preserve"> Criminal Code (see paragraph 20</w:t>
      </w:r>
      <w:r w:rsidRPr="00BE51E9">
        <w:rPr>
          <w:lang w:val="en-GB"/>
        </w:rPr>
        <w:t xml:space="preserve"> below). The relevant part of the indictment reads:</w:t>
      </w:r>
    </w:p>
    <w:p w:rsidRPr="00BE51E9" w:rsidR="000202C9" w:rsidP="00BE51E9" w:rsidRDefault="00BC359B">
      <w:pPr>
        <w:pStyle w:val="ECHRParaQuote"/>
      </w:pPr>
      <w:r w:rsidRPr="00BE51E9">
        <w:t>“</w:t>
      </w:r>
      <w:r w:rsidRPr="00BE51E9" w:rsidR="000202C9">
        <w:t>In the period between 1 January 2004 and 26 April 2007 in P</w:t>
      </w:r>
      <w:r w:rsidRPr="00BE51E9" w:rsidR="00E34115">
        <w:t>.</w:t>
      </w:r>
      <w:r w:rsidRPr="00BE51E9" w:rsidR="000202C9">
        <w:t xml:space="preserve">, </w:t>
      </w:r>
      <w:r w:rsidRPr="00BE51E9" w:rsidR="0059377C">
        <w:t>...</w:t>
      </w:r>
      <w:r w:rsidRPr="00BE51E9" w:rsidR="000202C9">
        <w:t xml:space="preserve"> [B.B.] attacked his wife Ž.B. </w:t>
      </w:r>
      <w:r w:rsidRPr="00BE51E9" w:rsidR="00E34115">
        <w:t>several times</w:t>
      </w:r>
      <w:r w:rsidRPr="00BE51E9" w:rsidR="00A37EA6">
        <w:t xml:space="preserve">, </w:t>
      </w:r>
      <w:r w:rsidRPr="00BE51E9" w:rsidR="000202C9">
        <w:rPr>
          <w:lang w:val="en-GB"/>
        </w:rPr>
        <w:t xml:space="preserve">telling </w:t>
      </w:r>
      <w:r w:rsidRPr="00BE51E9" w:rsidR="000202C9">
        <w:t xml:space="preserve">her to </w:t>
      </w:r>
      <w:r w:rsidRPr="00BE51E9" w:rsidR="00BE51E9">
        <w:t>‘</w:t>
      </w:r>
      <w:r w:rsidRPr="00BE51E9" w:rsidR="000202C9">
        <w:t>go back to her scumbags in the dump from which she had come</w:t>
      </w:r>
      <w:r w:rsidRPr="00BE51E9" w:rsidR="00BE51E9">
        <w:t>’</w:t>
      </w:r>
      <w:r w:rsidRPr="00BE51E9" w:rsidR="00E34115">
        <w:t xml:space="preserve"> and</w:t>
      </w:r>
      <w:r w:rsidRPr="00BE51E9" w:rsidR="000202C9">
        <w:t xml:space="preserve"> that she was worthless</w:t>
      </w:r>
      <w:r w:rsidRPr="00BE51E9" w:rsidR="00E34115">
        <w:t>.</w:t>
      </w:r>
      <w:r w:rsidRPr="00BE51E9" w:rsidR="000202C9">
        <w:t xml:space="preserve"> </w:t>
      </w:r>
      <w:r w:rsidRPr="00BE51E9" w:rsidR="00E34115">
        <w:t xml:space="preserve">He raised </w:t>
      </w:r>
      <w:r w:rsidRPr="00BE51E9" w:rsidR="000202C9">
        <w:t>his hand</w:t>
      </w:r>
      <w:r w:rsidRPr="00BE51E9" w:rsidR="00F27426">
        <w:t xml:space="preserve"> [threatening]</w:t>
      </w:r>
      <w:r w:rsidRPr="00BE51E9" w:rsidR="000202C9">
        <w:t xml:space="preserve"> to hit her, </w:t>
      </w:r>
      <w:r w:rsidRPr="00BE51E9" w:rsidR="00E34115">
        <w:t xml:space="preserve">punched </w:t>
      </w:r>
      <w:r w:rsidRPr="00BE51E9" w:rsidR="000202C9">
        <w:t xml:space="preserve">her in the face and body, </w:t>
      </w:r>
      <w:r w:rsidRPr="00BE51E9" w:rsidR="00E34115">
        <w:t xml:space="preserve">and </w:t>
      </w:r>
      <w:r w:rsidRPr="00BE51E9" w:rsidR="000202C9">
        <w:t>ordered her to go to the corner</w:t>
      </w:r>
      <w:r w:rsidRPr="00BE51E9" w:rsidR="00E34115">
        <w:t xml:space="preserve"> of the room.</w:t>
      </w:r>
      <w:r w:rsidRPr="00BE51E9" w:rsidR="000202C9">
        <w:t xml:space="preserve"> </w:t>
      </w:r>
      <w:r w:rsidRPr="00BE51E9" w:rsidR="00E34115">
        <w:t>I</w:t>
      </w:r>
      <w:r w:rsidRPr="00BE51E9" w:rsidR="000202C9">
        <w:t xml:space="preserve">n December 2004 he grabbed her head and banged it against the bathroom wall and on 27 April 2007 </w:t>
      </w:r>
      <w:r w:rsidRPr="00BE51E9" w:rsidR="006D48CA">
        <w:t xml:space="preserve">he </w:t>
      </w:r>
      <w:r w:rsidRPr="00BE51E9" w:rsidR="000202C9">
        <w:t xml:space="preserve">pushed her from </w:t>
      </w:r>
      <w:r w:rsidRPr="00BE51E9" w:rsidR="00E34115">
        <w:t xml:space="preserve">a </w:t>
      </w:r>
      <w:r w:rsidRPr="00BE51E9" w:rsidR="000202C9">
        <w:t>chair</w:t>
      </w:r>
      <w:r w:rsidRPr="00BE51E9" w:rsidR="00E34115">
        <w:t>,</w:t>
      </w:r>
      <w:r w:rsidRPr="00BE51E9" w:rsidR="000202C9">
        <w:t xml:space="preserve"> as a result of which she fell to the ground</w:t>
      </w:r>
      <w:r w:rsidRPr="00BE51E9" w:rsidR="00E34115">
        <w:t>.</w:t>
      </w:r>
      <w:r w:rsidRPr="00BE51E9" w:rsidR="000202C9">
        <w:t xml:space="preserve"> </w:t>
      </w:r>
      <w:r w:rsidRPr="00BE51E9" w:rsidR="00E34115">
        <w:t>I</w:t>
      </w:r>
      <w:r w:rsidRPr="00BE51E9" w:rsidR="000202C9">
        <w:t xml:space="preserve">n </w:t>
      </w:r>
      <w:r w:rsidRPr="00BE51E9" w:rsidR="00E34115">
        <w:t xml:space="preserve">this </w:t>
      </w:r>
      <w:r w:rsidRPr="00BE51E9" w:rsidR="000202C9">
        <w:t xml:space="preserve">manner he </w:t>
      </w:r>
      <w:r w:rsidRPr="00BE51E9" w:rsidR="00E34115">
        <w:t xml:space="preserve">reduced </w:t>
      </w:r>
      <w:r w:rsidRPr="00BE51E9" w:rsidR="000202C9">
        <w:t xml:space="preserve">Ž.B. </w:t>
      </w:r>
      <w:r w:rsidRPr="00BE51E9" w:rsidR="00E34115">
        <w:t xml:space="preserve">to a </w:t>
      </w:r>
      <w:r w:rsidRPr="00BE51E9" w:rsidR="000202C9">
        <w:t xml:space="preserve">position of helplessness and debasement </w:t>
      </w:r>
      <w:r w:rsidRPr="00BE51E9" w:rsidR="0059377C">
        <w:t>...</w:t>
      </w:r>
      <w:r w:rsidRPr="00BE51E9" w:rsidR="000202C9">
        <w:t>”</w:t>
      </w:r>
    </w:p>
    <w:p w:rsidRPr="00BE51E9" w:rsidR="002333CB" w:rsidP="00BE51E9" w:rsidRDefault="00052CE3">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11</w:t>
      </w:r>
      <w:r w:rsidRPr="00BE51E9">
        <w:rPr>
          <w:lang w:val="en-GB"/>
        </w:rPr>
        <w:fldChar w:fldCharType="end"/>
      </w:r>
      <w:r w:rsidRPr="00BE51E9">
        <w:rPr>
          <w:lang w:val="en-GB"/>
        </w:rPr>
        <w:t>.  </w:t>
      </w:r>
      <w:r w:rsidRPr="00BE51E9" w:rsidR="002333CB">
        <w:rPr>
          <w:lang w:val="en-GB"/>
        </w:rPr>
        <w:t>During the proceedings, the trial court heard the applicant, B.B</w:t>
      </w:r>
      <w:r w:rsidRPr="00BE51E9" w:rsidR="00E34115">
        <w:rPr>
          <w:lang w:val="en-GB"/>
        </w:rPr>
        <w:t>.</w:t>
      </w:r>
      <w:r w:rsidRPr="00BE51E9" w:rsidR="002333CB">
        <w:rPr>
          <w:lang w:val="en-GB"/>
        </w:rPr>
        <w:t>, and several witnesses. On 21 April 2009 it found B.B. guilty as charged and sentenced him to seven months</w:t>
      </w:r>
      <w:r w:rsidRPr="00BE51E9" w:rsidR="00BE51E9">
        <w:rPr>
          <w:lang w:val="en-GB"/>
        </w:rPr>
        <w:t>’</w:t>
      </w:r>
      <w:r w:rsidRPr="00BE51E9" w:rsidR="002333CB">
        <w:rPr>
          <w:lang w:val="en-GB"/>
        </w:rPr>
        <w:t xml:space="preserve"> imprisonment</w:t>
      </w:r>
      <w:r w:rsidRPr="00BE51E9" w:rsidR="00E34115">
        <w:rPr>
          <w:lang w:val="en-GB"/>
        </w:rPr>
        <w:t>,</w:t>
      </w:r>
      <w:r w:rsidRPr="00BE51E9" w:rsidR="002333CB">
        <w:rPr>
          <w:lang w:val="en-GB"/>
        </w:rPr>
        <w:t xml:space="preserve"> suspended for two years.</w:t>
      </w:r>
    </w:p>
    <w:p w:rsidRPr="00BE51E9" w:rsidR="002333CB" w:rsidP="00BE51E9" w:rsidRDefault="002333CB">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12</w:t>
      </w:r>
      <w:r w:rsidRPr="00BE51E9">
        <w:rPr>
          <w:lang w:val="en-GB"/>
        </w:rPr>
        <w:fldChar w:fldCharType="end"/>
      </w:r>
      <w:r w:rsidRPr="00BE51E9">
        <w:rPr>
          <w:lang w:val="en-GB"/>
        </w:rPr>
        <w:t xml:space="preserve">.  On 2 March 2010, </w:t>
      </w:r>
      <w:r w:rsidRPr="00BE51E9" w:rsidR="00E34115">
        <w:rPr>
          <w:lang w:val="en-GB"/>
        </w:rPr>
        <w:t xml:space="preserve">following an appeal lodged by </w:t>
      </w:r>
      <w:r w:rsidRPr="00BE51E9">
        <w:rPr>
          <w:lang w:val="en-GB"/>
        </w:rPr>
        <w:t>B.B., the S.</w:t>
      </w:r>
      <w:r w:rsidRPr="00BE51E9" w:rsidR="0059377C">
        <w:rPr>
          <w:lang w:val="en-GB"/>
        </w:rPr>
        <w:t> </w:t>
      </w:r>
      <w:r w:rsidRPr="00BE51E9">
        <w:rPr>
          <w:lang w:val="en-GB"/>
        </w:rPr>
        <w:t>County Court quashed the first-instance judgment and remitted the case to the Municipal Court on the grounds that all the relevant facts of the case had not been established.</w:t>
      </w:r>
    </w:p>
    <w:p w:rsidRPr="00BE51E9" w:rsidR="0096020A" w:rsidP="00BE51E9" w:rsidRDefault="002333CB">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13</w:t>
      </w:r>
      <w:r w:rsidRPr="00BE51E9">
        <w:rPr>
          <w:lang w:val="en-GB"/>
        </w:rPr>
        <w:fldChar w:fldCharType="end"/>
      </w:r>
      <w:r w:rsidRPr="00BE51E9">
        <w:rPr>
          <w:lang w:val="en-GB"/>
        </w:rPr>
        <w:t>.  In the resumed proceedings, the Municipal Court again heard the applicant</w:t>
      </w:r>
      <w:r w:rsidRPr="00BE51E9" w:rsidR="00E34115">
        <w:rPr>
          <w:lang w:val="en-GB"/>
        </w:rPr>
        <w:t>,</w:t>
      </w:r>
      <w:r w:rsidRPr="00BE51E9">
        <w:rPr>
          <w:lang w:val="en-GB"/>
        </w:rPr>
        <w:t xml:space="preserve"> B.B. and a number of witnesses. It also examined further documents </w:t>
      </w:r>
      <w:r w:rsidRPr="00BE51E9" w:rsidR="0096020A">
        <w:rPr>
          <w:lang w:val="en-GB"/>
        </w:rPr>
        <w:t xml:space="preserve">from other relevant State bodies concerning conflicts </w:t>
      </w:r>
      <w:r w:rsidRPr="00BE51E9" w:rsidR="00E34115">
        <w:rPr>
          <w:lang w:val="en-GB"/>
        </w:rPr>
        <w:t>with</w:t>
      </w:r>
      <w:r w:rsidRPr="00BE51E9" w:rsidR="0096020A">
        <w:rPr>
          <w:lang w:val="en-GB"/>
        </w:rPr>
        <w:t>in the applicant</w:t>
      </w:r>
      <w:r w:rsidRPr="00BE51E9" w:rsidR="00BE51E9">
        <w:rPr>
          <w:lang w:val="en-GB"/>
        </w:rPr>
        <w:t>’</w:t>
      </w:r>
      <w:r w:rsidRPr="00BE51E9" w:rsidR="0096020A">
        <w:rPr>
          <w:lang w:val="en-GB"/>
        </w:rPr>
        <w:t>s family.</w:t>
      </w:r>
    </w:p>
    <w:p w:rsidRPr="00BE51E9" w:rsidR="002333CB" w:rsidP="00BE51E9" w:rsidRDefault="0096020A">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14</w:t>
      </w:r>
      <w:r w:rsidRPr="00BE51E9">
        <w:rPr>
          <w:lang w:val="en-GB"/>
        </w:rPr>
        <w:fldChar w:fldCharType="end"/>
      </w:r>
      <w:r w:rsidRPr="00BE51E9">
        <w:rPr>
          <w:lang w:val="en-GB"/>
        </w:rPr>
        <w:t>.  On 2 December 2010 the Municipal Court found B.B. guilty as charged and sentenced him to seven months</w:t>
      </w:r>
      <w:r w:rsidRPr="00BE51E9" w:rsidR="00BE51E9">
        <w:rPr>
          <w:lang w:val="en-GB"/>
        </w:rPr>
        <w:t>’</w:t>
      </w:r>
      <w:r w:rsidRPr="00BE51E9">
        <w:rPr>
          <w:lang w:val="en-GB"/>
        </w:rPr>
        <w:t xml:space="preserve"> imprisonment</w:t>
      </w:r>
      <w:r w:rsidRPr="00BE51E9" w:rsidR="00E34115">
        <w:rPr>
          <w:lang w:val="en-GB"/>
        </w:rPr>
        <w:t>,</w:t>
      </w:r>
      <w:r w:rsidRPr="00BE51E9">
        <w:rPr>
          <w:lang w:val="en-GB"/>
        </w:rPr>
        <w:t xml:space="preserve"> suspended for two years.</w:t>
      </w:r>
    </w:p>
    <w:p w:rsidRPr="00BE51E9" w:rsidR="002333CB" w:rsidP="00BE51E9" w:rsidRDefault="00250BB4">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15</w:t>
      </w:r>
      <w:r w:rsidRPr="00BE51E9">
        <w:rPr>
          <w:lang w:val="en-GB"/>
        </w:rPr>
        <w:fldChar w:fldCharType="end"/>
      </w:r>
      <w:r w:rsidRPr="00BE51E9">
        <w:rPr>
          <w:lang w:val="en-GB"/>
        </w:rPr>
        <w:t>.  </w:t>
      </w:r>
      <w:r w:rsidRPr="00BE51E9" w:rsidR="0096020A">
        <w:rPr>
          <w:lang w:val="en-GB"/>
        </w:rPr>
        <w:t>B.B. challenged that judgment before the S. County Court</w:t>
      </w:r>
      <w:r w:rsidRPr="00BE51E9" w:rsidR="00A95086">
        <w:rPr>
          <w:lang w:val="en-GB"/>
        </w:rPr>
        <w:t>. On</w:t>
      </w:r>
      <w:r w:rsidRPr="00BE51E9" w:rsidR="0059377C">
        <w:rPr>
          <w:lang w:val="en-GB"/>
        </w:rPr>
        <w:t> </w:t>
      </w:r>
      <w:r w:rsidRPr="00BE51E9" w:rsidR="00A95086">
        <w:rPr>
          <w:lang w:val="en-GB"/>
        </w:rPr>
        <w:t>14 </w:t>
      </w:r>
      <w:r w:rsidRPr="00BE51E9" w:rsidR="0096020A">
        <w:rPr>
          <w:lang w:val="en-GB"/>
        </w:rPr>
        <w:t xml:space="preserve">October 2011 the S. County Court quashed </w:t>
      </w:r>
      <w:r w:rsidRPr="00BE51E9" w:rsidR="00E34115">
        <w:rPr>
          <w:lang w:val="en-GB"/>
        </w:rPr>
        <w:t>the judgment</w:t>
      </w:r>
      <w:r w:rsidRPr="00BE51E9" w:rsidR="0096020A">
        <w:rPr>
          <w:lang w:val="en-GB"/>
        </w:rPr>
        <w:t xml:space="preserve"> and remitted the case for further examination on the grounds that some relevant facts still needed to be established.</w:t>
      </w:r>
    </w:p>
    <w:p w:rsidRPr="00BE51E9" w:rsidR="00250BB4" w:rsidP="00BE51E9" w:rsidRDefault="0096020A">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16</w:t>
      </w:r>
      <w:r w:rsidRPr="00BE51E9">
        <w:rPr>
          <w:lang w:val="en-GB"/>
        </w:rPr>
        <w:fldChar w:fldCharType="end"/>
      </w:r>
      <w:r w:rsidRPr="00BE51E9">
        <w:rPr>
          <w:lang w:val="en-GB"/>
        </w:rPr>
        <w:t>.  In the resumed proceedings, on 16 January 2013 the Municipal Court discontinued the proceedings on the grounds that the 2011</w:t>
      </w:r>
      <w:r w:rsidRPr="00BE51E9" w:rsidR="00D84121">
        <w:rPr>
          <w:lang w:val="en-GB"/>
        </w:rPr>
        <w:t xml:space="preserve"> Criminal Code (see paragraph 21-22</w:t>
      </w:r>
      <w:r w:rsidRPr="00BE51E9">
        <w:rPr>
          <w:lang w:val="en-GB"/>
        </w:rPr>
        <w:t xml:space="preserve"> below)</w:t>
      </w:r>
      <w:r w:rsidRPr="00BE51E9" w:rsidR="007B6D53">
        <w:rPr>
          <w:lang w:val="en-GB"/>
        </w:rPr>
        <w:t xml:space="preserve"> had abolished</w:t>
      </w:r>
      <w:r w:rsidRPr="00BE51E9">
        <w:rPr>
          <w:lang w:val="en-GB"/>
        </w:rPr>
        <w:t xml:space="preserve"> the criminal offence of domestic violence under Article 215a of the 1997 Criminal Code</w:t>
      </w:r>
      <w:r w:rsidRPr="00BE51E9" w:rsidR="00250BB4">
        <w:rPr>
          <w:lang w:val="en-GB"/>
        </w:rPr>
        <w:t xml:space="preserve">, </w:t>
      </w:r>
      <w:r w:rsidRPr="00BE51E9" w:rsidR="006D48CA">
        <w:rPr>
          <w:lang w:val="en-GB"/>
        </w:rPr>
        <w:t xml:space="preserve">and that </w:t>
      </w:r>
      <w:r w:rsidRPr="00BE51E9" w:rsidR="00250BB4">
        <w:rPr>
          <w:lang w:val="en-GB"/>
        </w:rPr>
        <w:t>further proceedings against B.B.</w:t>
      </w:r>
      <w:r w:rsidRPr="00BE51E9" w:rsidR="006D48CA">
        <w:rPr>
          <w:lang w:val="en-GB"/>
        </w:rPr>
        <w:t xml:space="preserve"> were therefore barred.</w:t>
      </w:r>
    </w:p>
    <w:p w:rsidRPr="00BE51E9" w:rsidR="0096020A" w:rsidP="00BE51E9" w:rsidRDefault="00250BB4">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17</w:t>
      </w:r>
      <w:r w:rsidRPr="00BE51E9">
        <w:rPr>
          <w:lang w:val="en-GB"/>
        </w:rPr>
        <w:fldChar w:fldCharType="end"/>
      </w:r>
      <w:r w:rsidRPr="00BE51E9">
        <w:rPr>
          <w:lang w:val="en-GB"/>
        </w:rPr>
        <w:t>.  The State Attorney</w:t>
      </w:r>
      <w:r w:rsidRPr="00BE51E9" w:rsidR="00BE51E9">
        <w:rPr>
          <w:lang w:val="en-GB"/>
        </w:rPr>
        <w:t>’</w:t>
      </w:r>
      <w:r w:rsidRPr="00BE51E9">
        <w:rPr>
          <w:lang w:val="en-GB"/>
        </w:rPr>
        <w:t>s Office did not challenge that decision but the applicant lodged an appeal with the S. County Court.</w:t>
      </w:r>
    </w:p>
    <w:p w:rsidRPr="00BE51E9" w:rsidR="00052CE3" w:rsidP="00BE51E9" w:rsidRDefault="00250BB4">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18</w:t>
      </w:r>
      <w:r w:rsidRPr="00BE51E9">
        <w:rPr>
          <w:lang w:val="en-GB"/>
        </w:rPr>
        <w:fldChar w:fldCharType="end"/>
      </w:r>
      <w:r w:rsidRPr="00BE51E9">
        <w:rPr>
          <w:lang w:val="en-GB"/>
        </w:rPr>
        <w:t>.  On</w:t>
      </w:r>
      <w:r w:rsidRPr="00BE51E9" w:rsidR="00052CE3">
        <w:rPr>
          <w:lang w:val="en-GB"/>
        </w:rPr>
        <w:t xml:space="preserve"> 28 February 2013 the S. County Court decl</w:t>
      </w:r>
      <w:r w:rsidRPr="00BE51E9">
        <w:rPr>
          <w:lang w:val="en-GB"/>
        </w:rPr>
        <w:t>ared the applicant</w:t>
      </w:r>
      <w:r w:rsidRPr="00BE51E9" w:rsidR="00BE51E9">
        <w:rPr>
          <w:lang w:val="en-GB"/>
        </w:rPr>
        <w:t>’</w:t>
      </w:r>
      <w:r w:rsidRPr="00BE51E9">
        <w:rPr>
          <w:lang w:val="en-GB"/>
        </w:rPr>
        <w:t>s</w:t>
      </w:r>
      <w:r w:rsidRPr="00BE51E9" w:rsidR="00052CE3">
        <w:rPr>
          <w:lang w:val="en-GB"/>
        </w:rPr>
        <w:t xml:space="preserve"> appeal inadmissible on the grounds that she did not have legal standing to challenge the decision on the discontinuation of the criminal proceedings.</w:t>
      </w:r>
    </w:p>
    <w:p w:rsidRPr="00BE51E9" w:rsidR="00014566" w:rsidP="00BE51E9" w:rsidRDefault="00014566">
      <w:pPr>
        <w:pStyle w:val="ECHRHeading1"/>
        <w:rPr>
          <w:lang w:val="en-GB"/>
        </w:rPr>
      </w:pPr>
      <w:r w:rsidRPr="00BE51E9">
        <w:rPr>
          <w:lang w:val="en-GB"/>
        </w:rPr>
        <w:t>II.</w:t>
      </w:r>
      <w:r w:rsidRPr="00BE51E9" w:rsidR="00D07E67">
        <w:rPr>
          <w:lang w:val="en-GB"/>
        </w:rPr>
        <w:t xml:space="preserve"> </w:t>
      </w:r>
      <w:r w:rsidRPr="00BE51E9">
        <w:rPr>
          <w:lang w:val="en-GB"/>
        </w:rPr>
        <w:t> RE</w:t>
      </w:r>
      <w:r w:rsidRPr="00BE51E9" w:rsidR="00981F4C">
        <w:rPr>
          <w:lang w:val="en-GB"/>
        </w:rPr>
        <w:t>LEVANT DOMESTIC LAW</w:t>
      </w:r>
    </w:p>
    <w:p w:rsidRPr="00BE51E9" w:rsidR="00052CE3" w:rsidP="00BE51E9" w:rsidRDefault="00052CE3">
      <w:pPr>
        <w:pStyle w:val="ECHRHeading2"/>
        <w:rPr>
          <w:rFonts w:eastAsia="Times New Roman"/>
          <w:lang w:val="en-GB" w:eastAsia="fr-FR"/>
        </w:rPr>
      </w:pPr>
      <w:r w:rsidRPr="00BE51E9">
        <w:rPr>
          <w:rFonts w:eastAsia="Times New Roman"/>
          <w:lang w:val="en-GB" w:eastAsia="fr-FR"/>
        </w:rPr>
        <w:t>A.  Relevant domestic law</w:t>
      </w:r>
    </w:p>
    <w:p w:rsidRPr="00BE51E9" w:rsidR="00052CE3" w:rsidP="00BE51E9" w:rsidRDefault="00052CE3">
      <w:pPr>
        <w:pStyle w:val="ECHRHeading3"/>
        <w:rPr>
          <w:rFonts w:eastAsia="Times New Roman"/>
          <w:lang w:val="en-GB"/>
        </w:rPr>
      </w:pPr>
      <w:r w:rsidRPr="00BE51E9">
        <w:rPr>
          <w:rFonts w:eastAsia="Times New Roman"/>
          <w:lang w:val="en-GB"/>
        </w:rPr>
        <w:t>1.  Constitution</w:t>
      </w:r>
    </w:p>
    <w:p w:rsidRPr="00BE51E9" w:rsidR="00052CE3" w:rsidP="00BE51E9" w:rsidRDefault="00052CE3">
      <w:pPr>
        <w:pStyle w:val="ECHRPara"/>
        <w:rPr>
          <w:rFonts w:eastAsia="Times New Roman"/>
          <w:szCs w:val="24"/>
          <w:lang w:val="en-GB" w:eastAsia="fr-FR"/>
        </w:rPr>
      </w:pPr>
      <w:r w:rsidRPr="00BE51E9">
        <w:rPr>
          <w:rFonts w:eastAsia="Times New Roman"/>
          <w:lang w:val="en-GB" w:eastAsia="fr-FR"/>
        </w:rPr>
        <w:fldChar w:fldCharType="begin"/>
      </w:r>
      <w:r w:rsidRPr="00BE51E9">
        <w:rPr>
          <w:rFonts w:eastAsia="Times New Roman"/>
          <w:lang w:val="en-GB" w:eastAsia="fr-FR"/>
        </w:rPr>
        <w:instrText xml:space="preserve"> SEQ level0 \*arabic </w:instrText>
      </w:r>
      <w:r w:rsidRPr="00BE51E9">
        <w:rPr>
          <w:rFonts w:eastAsia="Times New Roman"/>
          <w:lang w:val="en-GB" w:eastAsia="fr-FR"/>
        </w:rPr>
        <w:fldChar w:fldCharType="separate"/>
      </w:r>
      <w:r w:rsidRPr="00BE51E9" w:rsidR="00BE51E9">
        <w:rPr>
          <w:rFonts w:eastAsia="Times New Roman"/>
          <w:noProof/>
          <w:lang w:val="en-GB" w:eastAsia="fr-FR"/>
        </w:rPr>
        <w:t>19</w:t>
      </w:r>
      <w:r w:rsidRPr="00BE51E9">
        <w:rPr>
          <w:rFonts w:eastAsia="Times New Roman"/>
          <w:lang w:val="en-GB" w:eastAsia="fr-FR"/>
        </w:rPr>
        <w:fldChar w:fldCharType="end"/>
      </w:r>
      <w:r w:rsidRPr="00BE51E9">
        <w:rPr>
          <w:rFonts w:eastAsia="Times New Roman"/>
          <w:lang w:val="en-GB" w:eastAsia="fr-FR"/>
        </w:rPr>
        <w:t xml:space="preserve">.  The relevant provisions of the </w:t>
      </w:r>
      <w:r w:rsidRPr="00BE51E9">
        <w:rPr>
          <w:rFonts w:ascii="Times New (W1)" w:hAnsi="Times New (W1)" w:eastAsia="Times New Roman"/>
          <w:lang w:val="en-GB" w:eastAsia="fr-FR"/>
        </w:rPr>
        <w:t>Constitution of the Republic of Croatia (</w:t>
      </w:r>
      <w:r w:rsidRPr="00BE51E9">
        <w:rPr>
          <w:rFonts w:ascii="Times New (W1)" w:hAnsi="Times New (W1)" w:eastAsia="Times New Roman"/>
          <w:i/>
          <w:lang w:val="en-GB" w:eastAsia="fr-FR"/>
        </w:rPr>
        <w:t>Ustav Republike Hrvatske</w:t>
      </w:r>
      <w:r w:rsidRPr="00BE51E9">
        <w:rPr>
          <w:rFonts w:ascii="Times New (W1)" w:hAnsi="Times New (W1)" w:eastAsia="Times New Roman"/>
          <w:lang w:val="en-GB" w:eastAsia="fr-FR"/>
        </w:rPr>
        <w:t xml:space="preserve">, Official Gazette nos. </w:t>
      </w:r>
      <w:r w:rsidRPr="00BE51E9">
        <w:rPr>
          <w:rFonts w:eastAsia="Times New Roman"/>
          <w:szCs w:val="24"/>
          <w:lang w:val="en-GB" w:eastAsia="fr-FR"/>
        </w:rPr>
        <w:t>56/1990, 135/1997, 8/1998, 113/2000, 124/2000, 28/2001, 41/2001, 55/2001, 76/2010, 85/2010 and 5/2014) read as follows:</w:t>
      </w:r>
    </w:p>
    <w:p w:rsidRPr="00BE51E9" w:rsidR="00052CE3" w:rsidP="00BE51E9" w:rsidRDefault="00052CE3">
      <w:pPr>
        <w:pStyle w:val="ECHRTitleCentre3"/>
        <w:rPr>
          <w:rFonts w:eastAsia="Times New Roman"/>
          <w:lang w:val="en-GB" w:eastAsia="fr-FR"/>
        </w:rPr>
      </w:pPr>
      <w:r w:rsidRPr="00BE51E9">
        <w:rPr>
          <w:rFonts w:eastAsia="Times New Roman"/>
          <w:lang w:val="en-GB" w:eastAsia="fr-FR"/>
        </w:rPr>
        <w:t>Article 23</w:t>
      </w:r>
    </w:p>
    <w:p w:rsidRPr="00BE51E9" w:rsidR="00052CE3" w:rsidP="00BE51E9" w:rsidRDefault="00052CE3">
      <w:pPr>
        <w:pStyle w:val="ECHRParaQuote"/>
        <w:rPr>
          <w:rFonts w:eastAsia="Times New Roman"/>
          <w:lang w:val="en-GB" w:eastAsia="fr-FR"/>
        </w:rPr>
      </w:pPr>
      <w:r w:rsidRPr="00BE51E9">
        <w:rPr>
          <w:rFonts w:eastAsia="Times New Roman"/>
          <w:lang w:val="en-GB" w:eastAsia="fr-FR"/>
        </w:rPr>
        <w:t>“No one shall be subjected to any form of ill-treatment ...”</w:t>
      </w:r>
    </w:p>
    <w:p w:rsidRPr="00BE51E9" w:rsidR="00052CE3" w:rsidP="00BE51E9" w:rsidRDefault="00052CE3">
      <w:pPr>
        <w:pStyle w:val="ECHRTitleCentre3"/>
      </w:pPr>
      <w:r w:rsidRPr="00BE51E9">
        <w:t>Article 35</w:t>
      </w:r>
    </w:p>
    <w:p w:rsidRPr="00BE51E9" w:rsidR="00052CE3" w:rsidP="00BE51E9" w:rsidRDefault="00052CE3">
      <w:pPr>
        <w:pStyle w:val="ECHRParaQuote"/>
        <w:rPr>
          <w:lang w:val="en-GB"/>
        </w:rPr>
      </w:pPr>
      <w:r w:rsidRPr="00BE51E9">
        <w:rPr>
          <w:lang w:val="en-GB"/>
        </w:rPr>
        <w:t xml:space="preserve">“Everyone has the right to respect for and legal protection of his or her private </w:t>
      </w:r>
      <w:r w:rsidRPr="00BE51E9" w:rsidR="0059377C">
        <w:rPr>
          <w:lang w:val="en-GB"/>
        </w:rPr>
        <w:t>...</w:t>
      </w:r>
      <w:r w:rsidRPr="00BE51E9" w:rsidR="000338BD">
        <w:rPr>
          <w:lang w:val="en-GB"/>
        </w:rPr>
        <w:t xml:space="preserve"> life .. </w:t>
      </w:r>
      <w:r w:rsidRPr="00BE51E9">
        <w:rPr>
          <w:lang w:val="en-GB"/>
        </w:rPr>
        <w:t>”</w:t>
      </w:r>
    </w:p>
    <w:p w:rsidRPr="00BE51E9" w:rsidR="00F27426" w:rsidP="00BE51E9" w:rsidRDefault="00F27426">
      <w:pPr>
        <w:pStyle w:val="ECHRHeading3"/>
        <w:rPr>
          <w:rFonts w:eastAsia="Times New Roman"/>
          <w:lang w:val="en-GB"/>
        </w:rPr>
      </w:pPr>
      <w:r w:rsidRPr="00BE51E9">
        <w:rPr>
          <w:rFonts w:eastAsia="Times New Roman"/>
          <w:lang w:val="en-GB"/>
        </w:rPr>
        <w:t>2.  1997 Criminal Code</w:t>
      </w:r>
    </w:p>
    <w:p w:rsidRPr="00BE51E9" w:rsidR="00F27426" w:rsidP="00BE51E9" w:rsidRDefault="00F2742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20</w:t>
      </w:r>
      <w:r w:rsidRPr="00BE51E9">
        <w:rPr>
          <w:lang w:val="en-GB"/>
        </w:rPr>
        <w:fldChar w:fldCharType="end"/>
      </w:r>
      <w:r w:rsidRPr="00BE51E9">
        <w:rPr>
          <w:lang w:val="en-GB"/>
        </w:rPr>
        <w:t>.  The relevant provision of the 1997 Criminal Code (</w:t>
      </w:r>
      <w:r w:rsidRPr="00BE51E9" w:rsidR="00DD0FC3">
        <w:rPr>
          <w:lang w:val="en-GB"/>
        </w:rPr>
        <w:t>Official Gazette no</w:t>
      </w:r>
      <w:r w:rsidRPr="00BE51E9">
        <w:rPr>
          <w:lang w:val="en-GB"/>
        </w:rPr>
        <w:t>. 110/1997, with further amendments), applicable at the relevant time, provided:</w:t>
      </w:r>
    </w:p>
    <w:p w:rsidRPr="00BE51E9" w:rsidR="00F27426" w:rsidP="00BE51E9" w:rsidRDefault="00F27426">
      <w:pPr>
        <w:pStyle w:val="ECHRTitleCentre3"/>
        <w:rPr>
          <w:lang w:val="en-GB"/>
        </w:rPr>
      </w:pPr>
      <w:r w:rsidRPr="00BE51E9">
        <w:rPr>
          <w:lang w:val="en-GB"/>
        </w:rPr>
        <w:t>Domestic violence</w:t>
      </w:r>
    </w:p>
    <w:p w:rsidRPr="00BE51E9" w:rsidR="00F27426" w:rsidP="00BE51E9" w:rsidRDefault="00F27426">
      <w:pPr>
        <w:pStyle w:val="ECHRTitleCentre3"/>
        <w:rPr>
          <w:lang w:val="en-GB"/>
        </w:rPr>
      </w:pPr>
      <w:r w:rsidRPr="00BE51E9">
        <w:rPr>
          <w:lang w:val="en-GB"/>
        </w:rPr>
        <w:t>Article 215a</w:t>
      </w:r>
    </w:p>
    <w:p w:rsidRPr="00BE51E9" w:rsidR="00F27426" w:rsidP="00BE51E9" w:rsidRDefault="00F27426">
      <w:pPr>
        <w:pStyle w:val="ECHRParaQuote"/>
        <w:rPr>
          <w:lang w:val="en-GB"/>
        </w:rPr>
      </w:pPr>
      <w:r w:rsidRPr="00BE51E9">
        <w:rPr>
          <w:lang w:val="en-GB"/>
        </w:rPr>
        <w:t>“A family member who by an act of violence, ill-treatment or particularly contemptuous behaviour places another family member in a humiliating position shall be sentenced to imprisonment for a term of between six months and five years.”</w:t>
      </w:r>
    </w:p>
    <w:p w:rsidRPr="00BE51E9" w:rsidR="00DD0FC3" w:rsidP="00BE51E9" w:rsidRDefault="00DD0FC3">
      <w:pPr>
        <w:pStyle w:val="ECHRHeading3"/>
        <w:rPr>
          <w:rFonts w:eastAsia="Times New Roman"/>
          <w:lang w:val="en-GB"/>
        </w:rPr>
      </w:pPr>
      <w:r w:rsidRPr="00BE51E9">
        <w:rPr>
          <w:rFonts w:eastAsia="Times New Roman"/>
          <w:lang w:val="en-GB"/>
        </w:rPr>
        <w:t>3.  2011 Criminal Code</w:t>
      </w:r>
    </w:p>
    <w:p w:rsidRPr="00BE51E9" w:rsidR="00144362" w:rsidP="00BE51E9" w:rsidRDefault="00DD0FC3">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21</w:t>
      </w:r>
      <w:r w:rsidRPr="00BE51E9">
        <w:rPr>
          <w:lang w:val="en-GB"/>
        </w:rPr>
        <w:fldChar w:fldCharType="end"/>
      </w:r>
      <w:r w:rsidRPr="00BE51E9">
        <w:rPr>
          <w:lang w:val="en-GB"/>
        </w:rPr>
        <w:t>.  The 2011 Criminal Code (Official Gazette nos. 1</w:t>
      </w:r>
      <w:r w:rsidRPr="00BE51E9" w:rsidR="006E6AD4">
        <w:rPr>
          <w:lang w:val="en-GB"/>
        </w:rPr>
        <w:t>25/2011 and 144/2012), replacing</w:t>
      </w:r>
      <w:r w:rsidRPr="00BE51E9">
        <w:rPr>
          <w:lang w:val="en-GB"/>
        </w:rPr>
        <w:t xml:space="preserve"> the 1997 Criminal Code, came into force</w:t>
      </w:r>
      <w:r w:rsidRPr="00BE51E9">
        <w:t xml:space="preserve"> </w:t>
      </w:r>
      <w:r w:rsidRPr="00BE51E9">
        <w:rPr>
          <w:lang w:val="en-GB"/>
        </w:rPr>
        <w:t>on 1 January 2013.</w:t>
      </w:r>
    </w:p>
    <w:p w:rsidRPr="00BE51E9" w:rsidR="002E76EA" w:rsidP="00BE51E9" w:rsidRDefault="00DD0FC3">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22</w:t>
      </w:r>
      <w:r w:rsidRPr="00BE51E9">
        <w:rPr>
          <w:lang w:val="en-GB"/>
        </w:rPr>
        <w:fldChar w:fldCharType="end"/>
      </w:r>
      <w:r w:rsidRPr="00BE51E9">
        <w:rPr>
          <w:lang w:val="en-GB"/>
        </w:rPr>
        <w:t xml:space="preserve">.  The 2011 Criminal Code abolished the </w:t>
      </w:r>
      <w:r w:rsidRPr="00BE51E9" w:rsidR="006D48CA">
        <w:rPr>
          <w:lang w:val="en-GB"/>
        </w:rPr>
        <w:t xml:space="preserve">separate </w:t>
      </w:r>
      <w:r w:rsidRPr="00BE51E9">
        <w:rPr>
          <w:lang w:val="en-GB"/>
        </w:rPr>
        <w:t xml:space="preserve">criminal offence of domestic violence </w:t>
      </w:r>
      <w:r w:rsidRPr="00BE51E9" w:rsidR="002E76EA">
        <w:rPr>
          <w:lang w:val="en-GB"/>
        </w:rPr>
        <w:t>(see paragraph 20 above)</w:t>
      </w:r>
      <w:r w:rsidRPr="00BE51E9">
        <w:rPr>
          <w:lang w:val="en-GB"/>
        </w:rPr>
        <w:t xml:space="preserve"> and </w:t>
      </w:r>
      <w:r w:rsidRPr="00BE51E9" w:rsidR="005101E3">
        <w:rPr>
          <w:lang w:val="en-GB"/>
        </w:rPr>
        <w:t xml:space="preserve">provided that </w:t>
      </w:r>
      <w:r w:rsidRPr="00BE51E9">
        <w:rPr>
          <w:lang w:val="en-GB"/>
        </w:rPr>
        <w:t xml:space="preserve">instances of violence within a family </w:t>
      </w:r>
      <w:r w:rsidRPr="00BE51E9" w:rsidR="005101E3">
        <w:rPr>
          <w:lang w:val="en-GB"/>
        </w:rPr>
        <w:t xml:space="preserve">constituted </w:t>
      </w:r>
      <w:r w:rsidRPr="00BE51E9">
        <w:rPr>
          <w:lang w:val="en-GB"/>
        </w:rPr>
        <w:t>an aggravating form of</w:t>
      </w:r>
      <w:r w:rsidRPr="00BE51E9" w:rsidR="00E311A7">
        <w:rPr>
          <w:lang w:val="en-GB"/>
        </w:rPr>
        <w:t xml:space="preserve"> a number of</w:t>
      </w:r>
      <w:r w:rsidRPr="00BE51E9">
        <w:rPr>
          <w:lang w:val="en-GB"/>
        </w:rPr>
        <w:t xml:space="preserve"> other offences</w:t>
      </w:r>
      <w:r w:rsidRPr="00BE51E9" w:rsidR="002E76EA">
        <w:rPr>
          <w:lang w:val="en-GB"/>
        </w:rPr>
        <w:t xml:space="preserve">, </w:t>
      </w:r>
      <w:r w:rsidRPr="00BE51E9" w:rsidR="00E311A7">
        <w:rPr>
          <w:lang w:val="en-GB"/>
        </w:rPr>
        <w:t xml:space="preserve">subjecting them to public prosecution. </w:t>
      </w:r>
      <w:r w:rsidRPr="00BE51E9" w:rsidR="002E76EA">
        <w:rPr>
          <w:lang w:val="en-GB"/>
        </w:rPr>
        <w:t>The provisions</w:t>
      </w:r>
      <w:r w:rsidRPr="00BE51E9" w:rsidR="00E311A7">
        <w:rPr>
          <w:lang w:val="en-GB"/>
        </w:rPr>
        <w:t xml:space="preserve"> </w:t>
      </w:r>
      <w:r w:rsidRPr="00BE51E9" w:rsidR="005101E3">
        <w:rPr>
          <w:lang w:val="en-GB"/>
        </w:rPr>
        <w:t xml:space="preserve">relevant to </w:t>
      </w:r>
      <w:r w:rsidRPr="00BE51E9" w:rsidR="00E311A7">
        <w:rPr>
          <w:lang w:val="en-GB"/>
        </w:rPr>
        <w:t>the present case</w:t>
      </w:r>
      <w:r w:rsidRPr="00BE51E9" w:rsidR="002E76EA">
        <w:rPr>
          <w:lang w:val="en-GB"/>
        </w:rPr>
        <w:t xml:space="preserve"> read as follows:</w:t>
      </w:r>
    </w:p>
    <w:p w:rsidRPr="00BE51E9" w:rsidR="00A0746C" w:rsidP="00BE51E9" w:rsidRDefault="00A0746C">
      <w:pPr>
        <w:pStyle w:val="ECHRTitleCentre3"/>
        <w:rPr>
          <w:lang w:val="en-GB"/>
        </w:rPr>
      </w:pPr>
      <w:r w:rsidRPr="00BE51E9">
        <w:rPr>
          <w:lang w:val="en-GB"/>
        </w:rPr>
        <w:t xml:space="preserve">Bodily </w:t>
      </w:r>
      <w:r w:rsidRPr="00BE51E9" w:rsidR="006D48CA">
        <w:rPr>
          <w:lang w:val="en-GB"/>
        </w:rPr>
        <w:t>harm</w:t>
      </w:r>
    </w:p>
    <w:p w:rsidRPr="00BE51E9" w:rsidR="00A0746C" w:rsidP="00BE51E9" w:rsidRDefault="00A0746C">
      <w:pPr>
        <w:pStyle w:val="ECHRTitleCentre3"/>
        <w:rPr>
          <w:lang w:val="en-GB"/>
        </w:rPr>
      </w:pPr>
      <w:r w:rsidRPr="00BE51E9">
        <w:rPr>
          <w:lang w:val="en-GB"/>
        </w:rPr>
        <w:t>Article 117</w:t>
      </w:r>
    </w:p>
    <w:p w:rsidRPr="00BE51E9" w:rsidR="00A0746C" w:rsidP="00BE51E9" w:rsidRDefault="00A0746C">
      <w:pPr>
        <w:pStyle w:val="ECHRParaQuote"/>
        <w:rPr>
          <w:lang w:val="en-GB"/>
        </w:rPr>
      </w:pPr>
      <w:r w:rsidRPr="00BE51E9">
        <w:rPr>
          <w:lang w:val="en-GB"/>
        </w:rPr>
        <w:t xml:space="preserve">“(1) Whoever inflicts bodily </w:t>
      </w:r>
      <w:r w:rsidRPr="00BE51E9" w:rsidR="006D48CA">
        <w:rPr>
          <w:lang w:val="en-GB"/>
        </w:rPr>
        <w:t xml:space="preserve">harm </w:t>
      </w:r>
      <w:r w:rsidRPr="00BE51E9">
        <w:rPr>
          <w:lang w:val="en-GB"/>
        </w:rPr>
        <w:t xml:space="preserve">on another </w:t>
      </w:r>
      <w:r w:rsidRPr="00BE51E9" w:rsidR="006D48CA">
        <w:rPr>
          <w:lang w:val="en-GB"/>
        </w:rPr>
        <w:t xml:space="preserve">person </w:t>
      </w:r>
      <w:r w:rsidRPr="00BE51E9">
        <w:rPr>
          <w:lang w:val="en-GB"/>
        </w:rPr>
        <w:t>or impairs his or her health shall be punished by imprisonment</w:t>
      </w:r>
      <w:r w:rsidRPr="00BE51E9" w:rsidR="005101E3">
        <w:rPr>
          <w:lang w:val="en-GB"/>
        </w:rPr>
        <w:t xml:space="preserve"> </w:t>
      </w:r>
      <w:r w:rsidRPr="00BE51E9" w:rsidR="006D48CA">
        <w:rPr>
          <w:lang w:val="en-GB"/>
        </w:rPr>
        <w:t xml:space="preserve">for a term </w:t>
      </w:r>
      <w:r w:rsidRPr="00BE51E9" w:rsidR="005101E3">
        <w:rPr>
          <w:lang w:val="en-GB"/>
        </w:rPr>
        <w:t>of</w:t>
      </w:r>
      <w:r w:rsidRPr="00BE51E9">
        <w:rPr>
          <w:lang w:val="en-GB"/>
        </w:rPr>
        <w:t xml:space="preserve"> up to one year.</w:t>
      </w:r>
    </w:p>
    <w:p w:rsidRPr="00BE51E9" w:rsidR="00A0746C" w:rsidP="00BE51E9" w:rsidRDefault="00A0746C">
      <w:pPr>
        <w:pStyle w:val="ECHRParaQuote"/>
        <w:rPr>
          <w:lang w:val="en-GB"/>
        </w:rPr>
      </w:pPr>
      <w:r w:rsidRPr="00BE51E9">
        <w:rPr>
          <w:lang w:val="en-GB"/>
        </w:rPr>
        <w:t xml:space="preserve">(2) Whoever commits the act referred to in paragraph </w:t>
      </w:r>
      <w:r w:rsidRPr="00BE51E9" w:rsidR="006D48CA">
        <w:rPr>
          <w:lang w:val="en-GB"/>
        </w:rPr>
        <w:t>(</w:t>
      </w:r>
      <w:r w:rsidRPr="00BE51E9">
        <w:rPr>
          <w:lang w:val="en-GB"/>
        </w:rPr>
        <w:t>1</w:t>
      </w:r>
      <w:r w:rsidRPr="00BE51E9" w:rsidR="006D48CA">
        <w:rPr>
          <w:lang w:val="en-GB"/>
        </w:rPr>
        <w:t>)</w:t>
      </w:r>
      <w:r w:rsidRPr="00BE51E9">
        <w:rPr>
          <w:lang w:val="en-GB"/>
        </w:rPr>
        <w:t xml:space="preserve"> towards a family member </w:t>
      </w:r>
      <w:r w:rsidRPr="00BE51E9" w:rsidR="0059377C">
        <w:rPr>
          <w:lang w:val="en-GB"/>
        </w:rPr>
        <w:t>...</w:t>
      </w:r>
      <w:r w:rsidRPr="00BE51E9">
        <w:rPr>
          <w:lang w:val="en-GB"/>
        </w:rPr>
        <w:t xml:space="preserve"> shall be punished by imprisonment </w:t>
      </w:r>
      <w:r w:rsidRPr="00BE51E9" w:rsidR="006D48CA">
        <w:rPr>
          <w:lang w:val="en-GB"/>
        </w:rPr>
        <w:t xml:space="preserve">for a term </w:t>
      </w:r>
      <w:r w:rsidRPr="00BE51E9" w:rsidR="005101E3">
        <w:rPr>
          <w:lang w:val="en-GB"/>
        </w:rPr>
        <w:t xml:space="preserve">of </w:t>
      </w:r>
      <w:r w:rsidRPr="00BE51E9">
        <w:rPr>
          <w:lang w:val="en-GB"/>
        </w:rPr>
        <w:t>up to three years.</w:t>
      </w:r>
    </w:p>
    <w:p w:rsidRPr="00BE51E9" w:rsidR="00A0746C" w:rsidP="00BE51E9" w:rsidRDefault="00A0746C">
      <w:pPr>
        <w:pStyle w:val="ECHRParaQuote"/>
        <w:rPr>
          <w:lang w:val="en-GB"/>
        </w:rPr>
      </w:pPr>
      <w:r w:rsidRPr="00BE51E9">
        <w:rPr>
          <w:lang w:val="en-GB"/>
        </w:rPr>
        <w:t xml:space="preserve">(3) The criminal offence referred to in paragraph </w:t>
      </w:r>
      <w:r w:rsidRPr="00BE51E9" w:rsidR="006D48CA">
        <w:rPr>
          <w:lang w:val="en-GB"/>
        </w:rPr>
        <w:t>(</w:t>
      </w:r>
      <w:r w:rsidRPr="00BE51E9">
        <w:rPr>
          <w:lang w:val="en-GB"/>
        </w:rPr>
        <w:t>1</w:t>
      </w:r>
      <w:r w:rsidRPr="00BE51E9" w:rsidR="006D48CA">
        <w:rPr>
          <w:lang w:val="en-GB"/>
        </w:rPr>
        <w:t>)</w:t>
      </w:r>
      <w:r w:rsidRPr="00BE51E9">
        <w:rPr>
          <w:lang w:val="en-GB"/>
        </w:rPr>
        <w:t xml:space="preserve"> shall be </w:t>
      </w:r>
      <w:r w:rsidRPr="00BE51E9" w:rsidR="006D48CA">
        <w:rPr>
          <w:lang w:val="en-GB"/>
        </w:rPr>
        <w:t xml:space="preserve">subject to </w:t>
      </w:r>
      <w:r w:rsidRPr="00BE51E9">
        <w:rPr>
          <w:lang w:val="en-GB"/>
        </w:rPr>
        <w:t>private prosecution.”</w:t>
      </w:r>
    </w:p>
    <w:p w:rsidRPr="00BE51E9" w:rsidR="00A0746C" w:rsidP="00BE51E9" w:rsidRDefault="002E76EA">
      <w:pPr>
        <w:pStyle w:val="ECHRTitleCentre3"/>
        <w:rPr>
          <w:lang w:val="en-GB"/>
        </w:rPr>
      </w:pPr>
      <w:r w:rsidRPr="00BE51E9">
        <w:rPr>
          <w:lang w:val="en-GB"/>
        </w:rPr>
        <w:t xml:space="preserve"> </w:t>
      </w:r>
      <w:r w:rsidRPr="00BE51E9" w:rsidR="00A0746C">
        <w:rPr>
          <w:lang w:val="en-GB"/>
        </w:rPr>
        <w:t>Threat</w:t>
      </w:r>
    </w:p>
    <w:p w:rsidRPr="00BE51E9" w:rsidR="00A0746C" w:rsidP="00BE51E9" w:rsidRDefault="00A0746C">
      <w:pPr>
        <w:pStyle w:val="ECHRTitleCentre3"/>
        <w:rPr>
          <w:lang w:val="en-GB"/>
        </w:rPr>
      </w:pPr>
      <w:r w:rsidRPr="00BE51E9">
        <w:rPr>
          <w:lang w:val="en-GB"/>
        </w:rPr>
        <w:t>Article 139</w:t>
      </w:r>
    </w:p>
    <w:p w:rsidRPr="00BE51E9" w:rsidR="002E76EA" w:rsidP="00BE51E9" w:rsidRDefault="00A0746C">
      <w:pPr>
        <w:pStyle w:val="ECHRParaQuote"/>
        <w:rPr>
          <w:lang w:val="en-GB"/>
        </w:rPr>
      </w:pPr>
      <w:r w:rsidRPr="00BE51E9">
        <w:rPr>
          <w:lang w:val="en-GB"/>
        </w:rPr>
        <w:t xml:space="preserve">“(2) Whoever seriously threatens to kill or to inflict serious bodily </w:t>
      </w:r>
      <w:r w:rsidRPr="00BE51E9" w:rsidR="005101E3">
        <w:rPr>
          <w:lang w:val="en-GB"/>
        </w:rPr>
        <w:t xml:space="preserve">harm </w:t>
      </w:r>
      <w:r w:rsidRPr="00BE51E9">
        <w:rPr>
          <w:lang w:val="en-GB"/>
        </w:rPr>
        <w:t>on another or a person close to him or her, or to kidnap or deprive a person of his or her liberty, or inflict harm by setting fire, causing an explosion by using ioni</w:t>
      </w:r>
      <w:r w:rsidRPr="00BE51E9" w:rsidR="006D48CA">
        <w:rPr>
          <w:lang w:val="en-GB"/>
        </w:rPr>
        <w:t>s</w:t>
      </w:r>
      <w:r w:rsidRPr="00BE51E9">
        <w:rPr>
          <w:lang w:val="en-GB"/>
        </w:rPr>
        <w:t>ing radiation, weapons, dangerous tools or by other dangerous means</w:t>
      </w:r>
      <w:r w:rsidRPr="00BE51E9" w:rsidR="008337D7">
        <w:rPr>
          <w:lang w:val="en-GB"/>
        </w:rPr>
        <w:t xml:space="preserve"> or to destroy a person</w:t>
      </w:r>
      <w:r w:rsidRPr="00BE51E9" w:rsidR="00BE51E9">
        <w:rPr>
          <w:lang w:val="en-GB"/>
        </w:rPr>
        <w:t>’</w:t>
      </w:r>
      <w:r w:rsidRPr="00BE51E9" w:rsidR="008337D7">
        <w:rPr>
          <w:lang w:val="en-GB"/>
        </w:rPr>
        <w:t>s</w:t>
      </w:r>
      <w:r w:rsidRPr="00BE51E9">
        <w:rPr>
          <w:lang w:val="en-GB"/>
        </w:rPr>
        <w:t xml:space="preserve"> social status or material existence, shall be punished by imprisonment </w:t>
      </w:r>
      <w:r w:rsidRPr="00BE51E9" w:rsidR="006D48CA">
        <w:rPr>
          <w:lang w:val="en-GB"/>
        </w:rPr>
        <w:t xml:space="preserve">for a term </w:t>
      </w:r>
      <w:r w:rsidRPr="00BE51E9" w:rsidR="005101E3">
        <w:rPr>
          <w:lang w:val="en-GB"/>
        </w:rPr>
        <w:t xml:space="preserve">of </w:t>
      </w:r>
      <w:r w:rsidRPr="00BE51E9" w:rsidR="008337D7">
        <w:rPr>
          <w:lang w:val="en-GB"/>
        </w:rPr>
        <w:t xml:space="preserve">up to three </w:t>
      </w:r>
      <w:r w:rsidRPr="00BE51E9">
        <w:rPr>
          <w:lang w:val="en-GB"/>
        </w:rPr>
        <w:t>years.</w:t>
      </w:r>
    </w:p>
    <w:p w:rsidRPr="00BE51E9" w:rsidR="008337D7" w:rsidP="00BE51E9" w:rsidRDefault="0059377C">
      <w:pPr>
        <w:pStyle w:val="ECHRParaQuote"/>
        <w:rPr>
          <w:lang w:val="en-GB"/>
        </w:rPr>
      </w:pPr>
      <w:r w:rsidRPr="00BE51E9">
        <w:rPr>
          <w:lang w:val="en-GB"/>
        </w:rPr>
        <w:t>...</w:t>
      </w:r>
    </w:p>
    <w:p w:rsidRPr="00BE51E9" w:rsidR="002E76EA" w:rsidP="00BE51E9" w:rsidRDefault="008337D7">
      <w:pPr>
        <w:pStyle w:val="ECHRParaQuote"/>
        <w:rPr>
          <w:lang w:val="en-GB"/>
        </w:rPr>
      </w:pPr>
      <w:r w:rsidRPr="00BE51E9">
        <w:rPr>
          <w:lang w:val="en-GB"/>
        </w:rPr>
        <w:t xml:space="preserve">(4) </w:t>
      </w:r>
      <w:r w:rsidRPr="00BE51E9" w:rsidR="0059377C">
        <w:rPr>
          <w:lang w:val="en-GB"/>
        </w:rPr>
        <w:t>...</w:t>
      </w:r>
      <w:r w:rsidRPr="00BE51E9">
        <w:rPr>
          <w:lang w:val="en-GB"/>
        </w:rPr>
        <w:t xml:space="preserve"> [T]he criminal offence referred to in </w:t>
      </w:r>
      <w:r w:rsidRPr="00BE51E9" w:rsidR="005101E3">
        <w:rPr>
          <w:lang w:val="en-GB"/>
        </w:rPr>
        <w:t xml:space="preserve">paragraph </w:t>
      </w:r>
      <w:r w:rsidRPr="00BE51E9" w:rsidR="006D48CA">
        <w:rPr>
          <w:lang w:val="en-GB"/>
        </w:rPr>
        <w:t>(</w:t>
      </w:r>
      <w:r w:rsidRPr="00BE51E9">
        <w:rPr>
          <w:lang w:val="en-GB"/>
        </w:rPr>
        <w:t>2</w:t>
      </w:r>
      <w:r w:rsidRPr="00BE51E9" w:rsidR="006D48CA">
        <w:rPr>
          <w:lang w:val="en-GB"/>
        </w:rPr>
        <w:t>)</w:t>
      </w:r>
      <w:r w:rsidRPr="00BE51E9">
        <w:rPr>
          <w:lang w:val="en-GB"/>
        </w:rPr>
        <w:t xml:space="preserve"> of this Article shall be prosecuted </w:t>
      </w:r>
      <w:r w:rsidRPr="00BE51E9" w:rsidR="005101E3">
        <w:rPr>
          <w:lang w:val="en-GB"/>
        </w:rPr>
        <w:t xml:space="preserve">at the </w:t>
      </w:r>
      <w:r w:rsidRPr="00BE51E9">
        <w:rPr>
          <w:lang w:val="en-GB"/>
        </w:rPr>
        <w:t>request [</w:t>
      </w:r>
      <w:r w:rsidRPr="00BE51E9" w:rsidR="005101E3">
        <w:rPr>
          <w:lang w:val="en-GB"/>
        </w:rPr>
        <w:t>of</w:t>
      </w:r>
      <w:r w:rsidRPr="00BE51E9">
        <w:rPr>
          <w:lang w:val="en-GB"/>
        </w:rPr>
        <w:t xml:space="preserve"> the victim], save for </w:t>
      </w:r>
      <w:r w:rsidRPr="00BE51E9" w:rsidR="006D48CA">
        <w:rPr>
          <w:lang w:val="en-GB"/>
        </w:rPr>
        <w:t xml:space="preserve">an </w:t>
      </w:r>
      <w:r w:rsidRPr="00BE51E9">
        <w:rPr>
          <w:lang w:val="en-GB"/>
        </w:rPr>
        <w:t xml:space="preserve">offence </w:t>
      </w:r>
      <w:r w:rsidRPr="00BE51E9" w:rsidR="0059377C">
        <w:rPr>
          <w:lang w:val="en-GB"/>
        </w:rPr>
        <w:t>...</w:t>
      </w:r>
      <w:r w:rsidRPr="00BE51E9">
        <w:rPr>
          <w:lang w:val="en-GB"/>
        </w:rPr>
        <w:t xml:space="preserve"> committed </w:t>
      </w:r>
      <w:r w:rsidRPr="00BE51E9" w:rsidR="0059377C">
        <w:rPr>
          <w:lang w:val="en-GB"/>
        </w:rPr>
        <w:t>...</w:t>
      </w:r>
      <w:r w:rsidRPr="00BE51E9">
        <w:rPr>
          <w:lang w:val="en-GB"/>
        </w:rPr>
        <w:t xml:space="preserve"> against </w:t>
      </w:r>
      <w:r w:rsidRPr="00BE51E9" w:rsidR="0059377C">
        <w:rPr>
          <w:lang w:val="en-GB"/>
        </w:rPr>
        <w:t>...</w:t>
      </w:r>
      <w:r w:rsidRPr="00BE51E9">
        <w:rPr>
          <w:lang w:val="en-GB"/>
        </w:rPr>
        <w:t xml:space="preserve"> a close person [which shall be prosecuted </w:t>
      </w:r>
      <w:r w:rsidRPr="00BE51E9">
        <w:rPr>
          <w:i/>
          <w:lang w:val="en-GB"/>
        </w:rPr>
        <w:t>ex officio</w:t>
      </w:r>
      <w:r w:rsidRPr="00BE51E9">
        <w:rPr>
          <w:lang w:val="en-GB"/>
        </w:rPr>
        <w:t>].”</w:t>
      </w:r>
    </w:p>
    <w:p w:rsidRPr="00BE51E9" w:rsidR="00144362" w:rsidP="00BE51E9" w:rsidRDefault="00A0746C">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23</w:t>
      </w:r>
      <w:r w:rsidRPr="00BE51E9">
        <w:rPr>
          <w:lang w:val="en-GB"/>
        </w:rPr>
        <w:fldChar w:fldCharType="end"/>
      </w:r>
      <w:r w:rsidRPr="00BE51E9">
        <w:rPr>
          <w:lang w:val="en-GB"/>
        </w:rPr>
        <w:t>.  </w:t>
      </w:r>
      <w:r w:rsidRPr="00BE51E9" w:rsidR="002E76EA">
        <w:rPr>
          <w:lang w:val="en-GB"/>
        </w:rPr>
        <w:t>According to the annotated final draft of the</w:t>
      </w:r>
      <w:r w:rsidRPr="00BE51E9" w:rsidR="001F13E4">
        <w:rPr>
          <w:lang w:val="en-GB"/>
        </w:rPr>
        <w:t xml:space="preserve"> 2011</w:t>
      </w:r>
      <w:r w:rsidRPr="00BE51E9" w:rsidR="002E76EA">
        <w:rPr>
          <w:lang w:val="en-GB"/>
        </w:rPr>
        <w:t xml:space="preserve"> Criminal Code, the reason for </w:t>
      </w:r>
      <w:r w:rsidRPr="00BE51E9" w:rsidR="003B7E97">
        <w:rPr>
          <w:lang w:val="en-GB"/>
        </w:rPr>
        <w:t xml:space="preserve">abolishing </w:t>
      </w:r>
      <w:r w:rsidRPr="00BE51E9" w:rsidR="002E76EA">
        <w:rPr>
          <w:lang w:val="en-GB"/>
        </w:rPr>
        <w:t>domestic violence as a</w:t>
      </w:r>
      <w:r w:rsidRPr="00BE51E9" w:rsidR="003B7E97">
        <w:rPr>
          <w:lang w:val="en-GB"/>
        </w:rPr>
        <w:t xml:space="preserve"> separate offence</w:t>
      </w:r>
      <w:r w:rsidRPr="00BE51E9" w:rsidR="002E76EA">
        <w:rPr>
          <w:lang w:val="en-GB"/>
        </w:rPr>
        <w:t xml:space="preserve">, </w:t>
      </w:r>
      <w:r w:rsidRPr="00BE51E9" w:rsidR="00956F16">
        <w:rPr>
          <w:lang w:val="en-GB"/>
        </w:rPr>
        <w:t xml:space="preserve">as </w:t>
      </w:r>
      <w:r w:rsidRPr="00BE51E9" w:rsidR="002E76EA">
        <w:rPr>
          <w:lang w:val="en-GB"/>
        </w:rPr>
        <w:t>previously provided</w:t>
      </w:r>
      <w:r w:rsidRPr="00BE51E9" w:rsidR="008337D7">
        <w:rPr>
          <w:lang w:val="en-GB"/>
        </w:rPr>
        <w:t xml:space="preserve"> for</w:t>
      </w:r>
      <w:r w:rsidRPr="00BE51E9" w:rsidR="002E76EA">
        <w:rPr>
          <w:lang w:val="en-GB"/>
        </w:rPr>
        <w:t xml:space="preserve"> under Article 215a of the 1997 Criminal Code, was the vagueness of the </w:t>
      </w:r>
      <w:r w:rsidRPr="00BE51E9" w:rsidR="003B7E97">
        <w:rPr>
          <w:lang w:val="en-GB"/>
        </w:rPr>
        <w:t xml:space="preserve">offence </w:t>
      </w:r>
      <w:r w:rsidRPr="00BE51E9" w:rsidR="002E76EA">
        <w:rPr>
          <w:lang w:val="en-GB"/>
        </w:rPr>
        <w:t xml:space="preserve">and </w:t>
      </w:r>
      <w:r w:rsidRPr="00BE51E9" w:rsidR="003B7E97">
        <w:rPr>
          <w:lang w:val="en-GB"/>
        </w:rPr>
        <w:t xml:space="preserve">the fact that it overlapped </w:t>
      </w:r>
      <w:r w:rsidRPr="00BE51E9" w:rsidR="002E76EA">
        <w:rPr>
          <w:lang w:val="en-GB"/>
        </w:rPr>
        <w:t xml:space="preserve">with the provisions concerning protection from domestic violence </w:t>
      </w:r>
      <w:r w:rsidRPr="00BE51E9" w:rsidR="005F6AE1">
        <w:rPr>
          <w:lang w:val="en-GB"/>
        </w:rPr>
        <w:t>in</w:t>
      </w:r>
      <w:r w:rsidRPr="00BE51E9" w:rsidR="002E76EA">
        <w:rPr>
          <w:lang w:val="en-GB"/>
        </w:rPr>
        <w:t xml:space="preserve"> the </w:t>
      </w:r>
      <w:r w:rsidRPr="00BE51E9" w:rsidR="001F13E4">
        <w:rPr>
          <w:lang w:val="en-GB"/>
        </w:rPr>
        <w:t>minor offences law</w:t>
      </w:r>
      <w:r w:rsidRPr="00BE51E9">
        <w:rPr>
          <w:lang w:val="en-GB"/>
        </w:rPr>
        <w:t>.</w:t>
      </w:r>
    </w:p>
    <w:p w:rsidRPr="00BE51E9" w:rsidR="008337D7" w:rsidP="00BE51E9" w:rsidRDefault="008337D7">
      <w:pPr>
        <w:pStyle w:val="ECHRHeading3"/>
        <w:rPr>
          <w:rFonts w:eastAsia="Times New Roman"/>
          <w:lang w:val="en-GB"/>
        </w:rPr>
      </w:pPr>
      <w:r w:rsidRPr="00BE51E9">
        <w:rPr>
          <w:rFonts w:eastAsia="Times New Roman"/>
          <w:lang w:val="en-GB"/>
        </w:rPr>
        <w:t>4.  Amendments to the 2011 Criminal Code</w:t>
      </w:r>
    </w:p>
    <w:p w:rsidRPr="00BE51E9" w:rsidR="003E6EE7" w:rsidP="00BE51E9" w:rsidRDefault="008337D7">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24</w:t>
      </w:r>
      <w:r w:rsidRPr="00BE51E9">
        <w:rPr>
          <w:lang w:val="en-GB"/>
        </w:rPr>
        <w:fldChar w:fldCharType="end"/>
      </w:r>
      <w:r w:rsidRPr="00BE51E9">
        <w:rPr>
          <w:lang w:val="en-GB"/>
        </w:rPr>
        <w:t xml:space="preserve">.  Further amendments to the 2011 Criminal Code were introduced in 2015 (Official Gazette, nos. 56/2015 and 61/2015). </w:t>
      </w:r>
      <w:r w:rsidRPr="00BE51E9" w:rsidR="003B7E97">
        <w:rPr>
          <w:lang w:val="en-GB"/>
        </w:rPr>
        <w:t>They re</w:t>
      </w:r>
      <w:r w:rsidRPr="00BE51E9">
        <w:rPr>
          <w:lang w:val="en-GB"/>
        </w:rPr>
        <w:t>introduced domestic violence as a</w:t>
      </w:r>
      <w:r w:rsidRPr="00BE51E9" w:rsidR="003B7E97">
        <w:rPr>
          <w:lang w:val="en-GB"/>
        </w:rPr>
        <w:t xml:space="preserve"> separate offence</w:t>
      </w:r>
      <w:r w:rsidRPr="00BE51E9">
        <w:rPr>
          <w:lang w:val="en-GB"/>
        </w:rPr>
        <w:t xml:space="preserve">. According to the annotated final draft of the amendments, the reason for </w:t>
      </w:r>
      <w:r w:rsidRPr="00BE51E9" w:rsidR="003B7E97">
        <w:rPr>
          <w:lang w:val="en-GB"/>
        </w:rPr>
        <w:t xml:space="preserve">doing so </w:t>
      </w:r>
      <w:r w:rsidRPr="00BE51E9" w:rsidR="003E6EE7">
        <w:rPr>
          <w:lang w:val="en-GB"/>
        </w:rPr>
        <w:t xml:space="preserve">was </w:t>
      </w:r>
      <w:r w:rsidRPr="00BE51E9" w:rsidR="003B7E97">
        <w:rPr>
          <w:lang w:val="en-GB"/>
        </w:rPr>
        <w:t xml:space="preserve">that </w:t>
      </w:r>
      <w:r w:rsidRPr="00BE51E9" w:rsidR="003E6EE7">
        <w:rPr>
          <w:lang w:val="en-GB"/>
        </w:rPr>
        <w:t xml:space="preserve">the solutions provided for under the 2011 Criminal Code </w:t>
      </w:r>
      <w:r w:rsidRPr="00BE51E9" w:rsidR="004D1B16">
        <w:rPr>
          <w:lang w:val="en-GB"/>
        </w:rPr>
        <w:t>were i</w:t>
      </w:r>
      <w:r w:rsidRPr="00BE51E9" w:rsidR="003B7E97">
        <w:rPr>
          <w:lang w:val="en-GB"/>
        </w:rPr>
        <w:t xml:space="preserve">ncapable of addressing </w:t>
      </w:r>
      <w:r w:rsidRPr="00BE51E9" w:rsidR="003E6EE7">
        <w:rPr>
          <w:lang w:val="en-GB"/>
        </w:rPr>
        <w:t>all the instances of domestic violence occurring in practice, which diminished the protection previously offered to victims of domestic violence under the Criminal Code.</w:t>
      </w:r>
    </w:p>
    <w:p w:rsidRPr="00BE51E9" w:rsidR="008337D7" w:rsidP="00BE51E9" w:rsidRDefault="003E6EE7">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25</w:t>
      </w:r>
      <w:r w:rsidRPr="00BE51E9">
        <w:rPr>
          <w:lang w:val="en-GB"/>
        </w:rPr>
        <w:fldChar w:fldCharType="end"/>
      </w:r>
      <w:r w:rsidRPr="00BE51E9">
        <w:rPr>
          <w:lang w:val="en-GB"/>
        </w:rPr>
        <w:t>.  The relevant provision of the amended 2011 Criminal Code read:</w:t>
      </w:r>
    </w:p>
    <w:p w:rsidRPr="00BE51E9" w:rsidR="003E6EE7" w:rsidP="00BE51E9" w:rsidRDefault="003E6EE7">
      <w:pPr>
        <w:pStyle w:val="ECHRTitleCentre3"/>
        <w:rPr>
          <w:lang w:val="en-GB"/>
        </w:rPr>
      </w:pPr>
      <w:r w:rsidRPr="00BE51E9">
        <w:rPr>
          <w:lang w:val="en-GB"/>
        </w:rPr>
        <w:t>Domestic violence</w:t>
      </w:r>
    </w:p>
    <w:p w:rsidRPr="00BE51E9" w:rsidR="003E6EE7" w:rsidP="00BE51E9" w:rsidRDefault="003E6EE7">
      <w:pPr>
        <w:pStyle w:val="ECHRTitleCentre3"/>
        <w:rPr>
          <w:lang w:val="en-GB"/>
        </w:rPr>
      </w:pPr>
      <w:r w:rsidRPr="00BE51E9">
        <w:rPr>
          <w:lang w:val="en-GB"/>
        </w:rPr>
        <w:t>179a</w:t>
      </w:r>
    </w:p>
    <w:p w:rsidRPr="00BE51E9" w:rsidR="00144362" w:rsidP="00BE51E9" w:rsidRDefault="003E6EE7">
      <w:pPr>
        <w:pStyle w:val="ECHRParaQuote"/>
        <w:rPr>
          <w:lang w:val="en-GB"/>
        </w:rPr>
      </w:pPr>
      <w:r w:rsidRPr="00BE51E9">
        <w:rPr>
          <w:lang w:val="en-GB"/>
        </w:rPr>
        <w:t xml:space="preserve">“Whoever seriously breaches the provisions on protection from domestic violence and thereby </w:t>
      </w:r>
      <w:r w:rsidRPr="00BE51E9" w:rsidR="00956F16">
        <w:rPr>
          <w:lang w:val="en-GB"/>
        </w:rPr>
        <w:t xml:space="preserve">instils fear </w:t>
      </w:r>
      <w:r w:rsidRPr="00BE51E9">
        <w:rPr>
          <w:lang w:val="en-GB"/>
        </w:rPr>
        <w:t>in his or her family member or a person close to him or her</w:t>
      </w:r>
      <w:r w:rsidRPr="00BE51E9" w:rsidR="00956F16">
        <w:rPr>
          <w:lang w:val="en-GB"/>
        </w:rPr>
        <w:t>,</w:t>
      </w:r>
      <w:r w:rsidRPr="00BE51E9">
        <w:rPr>
          <w:lang w:val="en-GB"/>
        </w:rPr>
        <w:t xml:space="preserve"> </w:t>
      </w:r>
      <w:r w:rsidRPr="00BE51E9" w:rsidR="00956F16">
        <w:rPr>
          <w:lang w:val="en-GB"/>
        </w:rPr>
        <w:t xml:space="preserve">or </w:t>
      </w:r>
      <w:r w:rsidRPr="00BE51E9">
        <w:rPr>
          <w:lang w:val="en-GB"/>
        </w:rPr>
        <w:t>causes fear for that person</w:t>
      </w:r>
      <w:r w:rsidRPr="00BE51E9" w:rsidR="00BE51E9">
        <w:rPr>
          <w:lang w:val="en-GB"/>
        </w:rPr>
        <w:t>’</w:t>
      </w:r>
      <w:r w:rsidRPr="00BE51E9">
        <w:rPr>
          <w:lang w:val="en-GB"/>
        </w:rPr>
        <w:t xml:space="preserve">s safety or </w:t>
      </w:r>
      <w:r w:rsidRPr="00BE51E9" w:rsidR="00956F16">
        <w:rPr>
          <w:lang w:val="en-GB"/>
        </w:rPr>
        <w:t xml:space="preserve">the </w:t>
      </w:r>
      <w:r w:rsidRPr="00BE51E9">
        <w:rPr>
          <w:lang w:val="en-GB"/>
        </w:rPr>
        <w:t xml:space="preserve">safety of another person close to him or her, or places the person in a humiliating position, which does not amount to a more serious criminal offence, shall be punished by imprisonment </w:t>
      </w:r>
      <w:r w:rsidRPr="00BE51E9" w:rsidR="00956F16">
        <w:rPr>
          <w:lang w:val="en-GB"/>
        </w:rPr>
        <w:t xml:space="preserve">for a term </w:t>
      </w:r>
      <w:r w:rsidRPr="00BE51E9" w:rsidR="004D1B16">
        <w:rPr>
          <w:lang w:val="en-GB"/>
        </w:rPr>
        <w:t xml:space="preserve">of </w:t>
      </w:r>
      <w:r w:rsidRPr="00BE51E9">
        <w:rPr>
          <w:lang w:val="en-GB"/>
        </w:rPr>
        <w:t>up to three years.”</w:t>
      </w:r>
    </w:p>
    <w:p w:rsidRPr="00BE51E9" w:rsidR="00384A4A" w:rsidP="00BE51E9" w:rsidRDefault="00384A4A">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26</w:t>
      </w:r>
      <w:r w:rsidRPr="00BE51E9">
        <w:rPr>
          <w:lang w:val="en-GB"/>
        </w:rPr>
        <w:fldChar w:fldCharType="end"/>
      </w:r>
      <w:r w:rsidRPr="00BE51E9">
        <w:rPr>
          <w:lang w:val="en-GB"/>
        </w:rPr>
        <w:t>.  Article 3 of the Criminal Code</w:t>
      </w:r>
      <w:r w:rsidRPr="00BE51E9" w:rsidR="0092539E">
        <w:rPr>
          <w:lang w:val="en-GB"/>
        </w:rPr>
        <w:t xml:space="preserve"> (temporal application of criminal legislation)</w:t>
      </w:r>
      <w:r w:rsidRPr="00BE51E9">
        <w:rPr>
          <w:lang w:val="en-GB"/>
        </w:rPr>
        <w:t>, as amended in 2011 and retained in</w:t>
      </w:r>
      <w:r w:rsidRPr="00BE51E9" w:rsidR="0092539E">
        <w:rPr>
          <w:lang w:val="en-GB"/>
        </w:rPr>
        <w:t xml:space="preserve"> further amendments</w:t>
      </w:r>
      <w:r w:rsidRPr="00BE51E9">
        <w:rPr>
          <w:lang w:val="en-GB"/>
        </w:rPr>
        <w:t>, provides:</w:t>
      </w:r>
    </w:p>
    <w:p w:rsidRPr="00BE51E9" w:rsidR="0092539E" w:rsidP="00BE51E9" w:rsidRDefault="0092539E">
      <w:pPr>
        <w:pStyle w:val="ECHRParaQuote"/>
        <w:rPr>
          <w:lang w:val="en-GB"/>
        </w:rPr>
      </w:pPr>
      <w:r w:rsidRPr="00BE51E9">
        <w:rPr>
          <w:lang w:val="en-GB"/>
        </w:rPr>
        <w:t>“(2) If after the commission of the offence, and before the adoption of the final judgment, the law has changed once or se</w:t>
      </w:r>
      <w:r w:rsidRPr="00BE51E9" w:rsidR="00312348">
        <w:rPr>
          <w:lang w:val="en-GB"/>
        </w:rPr>
        <w:t>veral times, the most lenient law for</w:t>
      </w:r>
      <w:r w:rsidRPr="00BE51E9">
        <w:rPr>
          <w:lang w:val="en-GB"/>
        </w:rPr>
        <w:t xml:space="preserve"> the perpetrator shall be applicable.</w:t>
      </w:r>
    </w:p>
    <w:p w:rsidRPr="00BE51E9" w:rsidR="00EF60C1" w:rsidP="00BE51E9" w:rsidRDefault="0092539E">
      <w:pPr>
        <w:pStyle w:val="ECHRParaQuote"/>
        <w:rPr>
          <w:lang w:val="en-GB"/>
        </w:rPr>
      </w:pPr>
      <w:r w:rsidRPr="00BE51E9">
        <w:rPr>
          <w:lang w:val="en-GB"/>
        </w:rPr>
        <w:t>(3) If, in cases referred to in paragraph 2 of this Article, the title or description of the offence has changed, the court shall examine whether there is a legal continuity so as to consider the facts of the case under the constituent element</w:t>
      </w:r>
      <w:r w:rsidRPr="00BE51E9" w:rsidR="00312348">
        <w:rPr>
          <w:lang w:val="en-GB"/>
        </w:rPr>
        <w:t xml:space="preserve"> of a relevant offence</w:t>
      </w:r>
      <w:r w:rsidRPr="00BE51E9">
        <w:rPr>
          <w:lang w:val="en-GB"/>
        </w:rPr>
        <w:t xml:space="preserve"> under the new law</w:t>
      </w:r>
      <w:r w:rsidRPr="00BE51E9" w:rsidR="00312348">
        <w:rPr>
          <w:lang w:val="en-GB"/>
        </w:rPr>
        <w:t xml:space="preserve"> and if it finds that there is [continuity] it shall apply the law which is more lenient for the perpetrator. There is no criminal offence if there is no legal continuity.”</w:t>
      </w:r>
    </w:p>
    <w:p w:rsidRPr="00BE51E9" w:rsidR="003728C6" w:rsidP="00BE51E9" w:rsidRDefault="003728C6">
      <w:pPr>
        <w:pStyle w:val="ECHRHeading3"/>
        <w:rPr>
          <w:lang w:val="en-GB"/>
        </w:rPr>
      </w:pPr>
      <w:r w:rsidRPr="00BE51E9">
        <w:rPr>
          <w:lang w:val="en-GB"/>
        </w:rPr>
        <w:t>5.  Code of Criminal Procedure</w:t>
      </w:r>
    </w:p>
    <w:p w:rsidRPr="00BE51E9" w:rsidR="003728C6" w:rsidP="00BE51E9" w:rsidRDefault="003728C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27</w:t>
      </w:r>
      <w:r w:rsidRPr="00BE51E9">
        <w:rPr>
          <w:lang w:val="en-GB"/>
        </w:rPr>
        <w:fldChar w:fldCharType="end"/>
      </w:r>
      <w:r w:rsidRPr="00BE51E9">
        <w:rPr>
          <w:lang w:val="en-GB"/>
        </w:rPr>
        <w:t>.  The relevant provisions of the Code of Criminal Procedure (</w:t>
      </w:r>
      <w:r w:rsidRPr="00BE51E9">
        <w:rPr>
          <w:i/>
          <w:lang w:val="en-GB"/>
        </w:rPr>
        <w:t>Zakon o kaznenom postupku</w:t>
      </w:r>
      <w:r w:rsidRPr="00BE51E9">
        <w:rPr>
          <w:lang w:val="en-GB"/>
        </w:rPr>
        <w:t>, Official Gazette nos. 110/1997, 27/1998, 58/1999, 112/1999, 58/2002 and 62/2003) provided:</w:t>
      </w:r>
    </w:p>
    <w:p w:rsidRPr="00BE51E9" w:rsidR="003728C6" w:rsidP="00BE51E9" w:rsidRDefault="003728C6">
      <w:pPr>
        <w:pStyle w:val="ECHRTitleCentre3"/>
        <w:rPr>
          <w:lang w:val="en-GB"/>
        </w:rPr>
      </w:pPr>
      <w:r w:rsidRPr="00BE51E9">
        <w:rPr>
          <w:lang w:val="en-GB"/>
        </w:rPr>
        <w:t>Article 2</w:t>
      </w:r>
    </w:p>
    <w:p w:rsidRPr="00BE51E9" w:rsidR="003728C6" w:rsidP="00BE51E9" w:rsidRDefault="003728C6">
      <w:pPr>
        <w:pStyle w:val="ECHRParaQuote"/>
        <w:rPr>
          <w:lang w:val="en-GB"/>
        </w:rPr>
      </w:pPr>
      <w:r w:rsidRPr="00BE51E9">
        <w:rPr>
          <w:lang w:val="en-GB"/>
        </w:rPr>
        <w:t xml:space="preserve">“(1)  Criminal proceedings shall be instituted and conducted </w:t>
      </w:r>
      <w:r w:rsidRPr="00BE51E9" w:rsidR="00956F16">
        <w:rPr>
          <w:lang w:val="en-GB"/>
        </w:rPr>
        <w:t xml:space="preserve">only at the request of </w:t>
      </w:r>
      <w:r w:rsidRPr="00BE51E9">
        <w:rPr>
          <w:lang w:val="en-GB"/>
        </w:rPr>
        <w:t xml:space="preserve">a </w:t>
      </w:r>
      <w:r w:rsidRPr="00BE51E9" w:rsidR="00956F16">
        <w:rPr>
          <w:lang w:val="en-GB"/>
        </w:rPr>
        <w:t xml:space="preserve">competent </w:t>
      </w:r>
      <w:r w:rsidRPr="00BE51E9">
        <w:rPr>
          <w:lang w:val="en-GB"/>
        </w:rPr>
        <w:t>prosecutor. ...</w:t>
      </w:r>
    </w:p>
    <w:p w:rsidRPr="00BE51E9" w:rsidR="003728C6" w:rsidP="00BE51E9" w:rsidRDefault="003728C6">
      <w:pPr>
        <w:pStyle w:val="ECHRParaQuote"/>
        <w:rPr>
          <w:lang w:val="en-GB"/>
        </w:rPr>
      </w:pPr>
      <w:r w:rsidRPr="00BE51E9">
        <w:rPr>
          <w:lang w:val="en-GB"/>
        </w:rPr>
        <w:t>(2)  In respect of criminal offences subject to public prosecution</w:t>
      </w:r>
      <w:r w:rsidRPr="00BE51E9" w:rsidR="00AC5FB3">
        <w:rPr>
          <w:lang w:val="en-GB"/>
        </w:rPr>
        <w:t>,</w:t>
      </w:r>
      <w:r w:rsidRPr="00BE51E9">
        <w:rPr>
          <w:lang w:val="en-GB"/>
        </w:rPr>
        <w:t xml:space="preserve"> the </w:t>
      </w:r>
      <w:r w:rsidRPr="00BE51E9" w:rsidR="00956F16">
        <w:rPr>
          <w:lang w:val="en-GB"/>
        </w:rPr>
        <w:t xml:space="preserve">competent </w:t>
      </w:r>
      <w:r w:rsidRPr="00BE51E9">
        <w:rPr>
          <w:lang w:val="en-GB"/>
        </w:rPr>
        <w:t xml:space="preserve">prosecutor shall </w:t>
      </w:r>
      <w:r w:rsidRPr="00BE51E9" w:rsidR="00AC5FB3">
        <w:rPr>
          <w:lang w:val="en-GB"/>
        </w:rPr>
        <w:t xml:space="preserve">act as </w:t>
      </w:r>
      <w:r w:rsidRPr="00BE51E9">
        <w:rPr>
          <w:lang w:val="en-GB"/>
        </w:rPr>
        <w:t>State Attorney</w:t>
      </w:r>
      <w:r w:rsidRPr="00BE51E9" w:rsidR="00956F16">
        <w:rPr>
          <w:lang w:val="en-GB"/>
        </w:rPr>
        <w:t>,</w:t>
      </w:r>
      <w:r w:rsidRPr="00BE51E9">
        <w:rPr>
          <w:lang w:val="en-GB"/>
        </w:rPr>
        <w:t xml:space="preserve"> and in respect of criminal offences that may be prosecuted privately</w:t>
      </w:r>
      <w:r w:rsidRPr="00BE51E9" w:rsidR="00956F16">
        <w:rPr>
          <w:lang w:val="en-GB"/>
        </w:rPr>
        <w:t>,</w:t>
      </w:r>
      <w:r w:rsidRPr="00BE51E9">
        <w:rPr>
          <w:lang w:val="en-GB"/>
        </w:rPr>
        <w:t xml:space="preserve"> the </w:t>
      </w:r>
      <w:r w:rsidRPr="00BE51E9" w:rsidR="00956F16">
        <w:rPr>
          <w:lang w:val="en-GB"/>
        </w:rPr>
        <w:t xml:space="preserve">competent </w:t>
      </w:r>
      <w:r w:rsidRPr="00BE51E9">
        <w:rPr>
          <w:lang w:val="en-GB"/>
        </w:rPr>
        <w:t>prosecutor shall be a private prosecutor.</w:t>
      </w:r>
    </w:p>
    <w:p w:rsidRPr="00BE51E9" w:rsidR="003728C6" w:rsidP="00BE51E9" w:rsidRDefault="003728C6">
      <w:pPr>
        <w:pStyle w:val="ECHRParaQuote"/>
        <w:rPr>
          <w:lang w:val="en-GB"/>
        </w:rPr>
      </w:pPr>
      <w:r w:rsidRPr="00BE51E9">
        <w:rPr>
          <w:lang w:val="en-GB"/>
        </w:rPr>
        <w:t xml:space="preserve">(3)  Unless otherwise provided </w:t>
      </w:r>
      <w:r w:rsidRPr="00BE51E9" w:rsidR="00AC5FB3">
        <w:rPr>
          <w:lang w:val="en-GB"/>
        </w:rPr>
        <w:t xml:space="preserve">for </w:t>
      </w:r>
      <w:r w:rsidRPr="00BE51E9">
        <w:rPr>
          <w:lang w:val="en-GB"/>
        </w:rPr>
        <w:t>by law, the State Attorney shall undertake a criminal prosecution where there is a reasonable suspicion that an identified person has committed a criminal offence subject to public prosecution and where there are no legal impediments to the prosecution of that person.</w:t>
      </w:r>
    </w:p>
    <w:p w:rsidRPr="00BE51E9" w:rsidR="003728C6" w:rsidP="00BE51E9" w:rsidRDefault="003728C6">
      <w:pPr>
        <w:pStyle w:val="ECHRParaQuote"/>
        <w:rPr>
          <w:lang w:val="en-GB"/>
        </w:rPr>
      </w:pPr>
      <w:r w:rsidRPr="00BE51E9">
        <w:rPr>
          <w:lang w:val="en-GB"/>
        </w:rPr>
        <w:t>(4)  Where the State Attorney finds that there are no grounds to institute or conduct criminal proceedings, the injured party may take his place as a subsidiary prosecutor under the conditions prescribed by this Act.”</w:t>
      </w:r>
    </w:p>
    <w:p w:rsidRPr="00BE51E9" w:rsidR="003728C6" w:rsidP="00BE51E9" w:rsidRDefault="003728C6">
      <w:pPr>
        <w:pStyle w:val="ECHRTitleCentre3"/>
        <w:rPr>
          <w:lang w:val="en-GB"/>
        </w:rPr>
      </w:pPr>
      <w:r w:rsidRPr="00BE51E9">
        <w:rPr>
          <w:lang w:val="en-GB"/>
        </w:rPr>
        <w:t>Article 11</w:t>
      </w:r>
    </w:p>
    <w:p w:rsidRPr="00BE51E9" w:rsidR="00144362" w:rsidP="00BE51E9" w:rsidRDefault="003728C6">
      <w:pPr>
        <w:pStyle w:val="ECHRParaQuote"/>
        <w:rPr>
          <w:lang w:val="en-GB" w:bidi="en-US"/>
        </w:rPr>
      </w:pPr>
      <w:r w:rsidRPr="00BE51E9">
        <w:rPr>
          <w:lang w:val="en-GB" w:bidi="en-US"/>
        </w:rPr>
        <w:t xml:space="preserve">“Nobody can be tried twice for </w:t>
      </w:r>
      <w:r w:rsidRPr="00BE51E9" w:rsidR="00956F16">
        <w:rPr>
          <w:lang w:val="en-GB" w:bidi="en-US"/>
        </w:rPr>
        <w:t xml:space="preserve">the same offence, </w:t>
      </w:r>
      <w:r w:rsidRPr="00BE51E9">
        <w:rPr>
          <w:lang w:val="en-GB" w:bidi="en-US"/>
        </w:rPr>
        <w:t>in respect of which a final court decision has been adopted.”</w:t>
      </w:r>
    </w:p>
    <w:p w:rsidRPr="00BE51E9" w:rsidR="00144362" w:rsidP="00BE51E9" w:rsidRDefault="003728C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28</w:t>
      </w:r>
      <w:r w:rsidRPr="00BE51E9">
        <w:rPr>
          <w:lang w:val="en-GB"/>
        </w:rPr>
        <w:fldChar w:fldCharType="end"/>
      </w:r>
      <w:r w:rsidRPr="00BE51E9">
        <w:rPr>
          <w:lang w:val="en-GB"/>
        </w:rPr>
        <w:t>.  Articles 47 to 61 regulated the rights and duties of private prosecutors and of injured parties acting as subsidiary prosecutors. A private prosecutor (</w:t>
      </w:r>
      <w:r w:rsidRPr="00BE51E9">
        <w:rPr>
          <w:i/>
          <w:lang w:val="en-GB"/>
        </w:rPr>
        <w:t>privatni tužitelj</w:t>
      </w:r>
      <w:r w:rsidRPr="00BE51E9">
        <w:rPr>
          <w:lang w:val="en-GB"/>
        </w:rPr>
        <w:t>) was an injured party who brought a private prosecution in respect of criminal offences for which such a prosecution was expressly allowed by the Criminal Code (</w:t>
      </w:r>
      <w:r w:rsidRPr="00BE51E9" w:rsidR="00956F16">
        <w:rPr>
          <w:lang w:val="en-GB"/>
        </w:rPr>
        <w:t xml:space="preserve">namely, </w:t>
      </w:r>
      <w:r w:rsidRPr="00BE51E9">
        <w:rPr>
          <w:lang w:val="en-GB"/>
        </w:rPr>
        <w:t>offences of a lesser degree). An injured party acting as a subsidiary prosecutor (</w:t>
      </w:r>
      <w:r w:rsidRPr="00BE51E9">
        <w:rPr>
          <w:i/>
          <w:lang w:val="en-GB"/>
        </w:rPr>
        <w:t>oštećeni kao tužitelj</w:t>
      </w:r>
      <w:r w:rsidRPr="00BE51E9">
        <w:rPr>
          <w:lang w:val="en-GB"/>
        </w:rPr>
        <w:t xml:space="preserve">) </w:t>
      </w:r>
      <w:r w:rsidRPr="00BE51E9" w:rsidR="00956F16">
        <w:rPr>
          <w:lang w:val="en-GB"/>
        </w:rPr>
        <w:t xml:space="preserve">could take </w:t>
      </w:r>
      <w:r w:rsidRPr="00BE51E9">
        <w:rPr>
          <w:lang w:val="en-GB"/>
        </w:rPr>
        <w:t xml:space="preserve">over criminal proceedings in respect of criminal offences subject to public prosecution where the relevant prosecuting authorities, for whatever reason, had decided not to prosecute (Article 55). When acting as a subsidiary prosecutor, the victim had </w:t>
      </w:r>
      <w:r w:rsidRPr="00BE51E9" w:rsidR="003B624A">
        <w:rPr>
          <w:lang w:val="en-GB"/>
        </w:rPr>
        <w:t xml:space="preserve">the same procedural </w:t>
      </w:r>
      <w:r w:rsidRPr="00BE51E9">
        <w:rPr>
          <w:lang w:val="en-GB"/>
        </w:rPr>
        <w:t xml:space="preserve">rights </w:t>
      </w:r>
      <w:r w:rsidRPr="00BE51E9" w:rsidR="003B624A">
        <w:rPr>
          <w:lang w:val="en-GB"/>
        </w:rPr>
        <w:t xml:space="preserve">as </w:t>
      </w:r>
      <w:r w:rsidRPr="00BE51E9">
        <w:rPr>
          <w:lang w:val="en-GB"/>
        </w:rPr>
        <w:t>the State Attorney</w:t>
      </w:r>
      <w:r w:rsidRPr="00BE51E9" w:rsidR="00BE51E9">
        <w:rPr>
          <w:lang w:val="en-GB"/>
        </w:rPr>
        <w:t>’</w:t>
      </w:r>
      <w:r w:rsidRPr="00BE51E9" w:rsidR="00AC5FB3">
        <w:rPr>
          <w:lang w:val="en-GB"/>
        </w:rPr>
        <w:t>s</w:t>
      </w:r>
      <w:r w:rsidRPr="00BE51E9">
        <w:rPr>
          <w:lang w:val="en-GB"/>
        </w:rPr>
        <w:t xml:space="preserve"> Office would have had as public prosecuting authority, save for those vested in the State Attorney</w:t>
      </w:r>
      <w:r w:rsidRPr="00BE51E9" w:rsidR="00BE51E9">
        <w:rPr>
          <w:lang w:val="en-GB"/>
        </w:rPr>
        <w:t>’</w:t>
      </w:r>
      <w:r w:rsidRPr="00BE51E9">
        <w:rPr>
          <w:lang w:val="en-GB"/>
        </w:rPr>
        <w:t xml:space="preserve">s Office as a </w:t>
      </w:r>
      <w:r w:rsidRPr="00BE51E9" w:rsidR="00AC5FB3">
        <w:rPr>
          <w:lang w:val="en-GB"/>
        </w:rPr>
        <w:t>S</w:t>
      </w:r>
      <w:r w:rsidRPr="00BE51E9">
        <w:rPr>
          <w:lang w:val="en-GB"/>
        </w:rPr>
        <w:t xml:space="preserve">tate body. </w:t>
      </w:r>
      <w:r w:rsidRPr="00BE51E9" w:rsidR="00753A40">
        <w:rPr>
          <w:lang w:val="en-GB"/>
        </w:rPr>
        <w:t xml:space="preserve">Under </w:t>
      </w:r>
      <w:r w:rsidRPr="00BE51E9">
        <w:rPr>
          <w:lang w:val="en-GB"/>
        </w:rPr>
        <w:t>Article 58, the State Attorney</w:t>
      </w:r>
      <w:r w:rsidRPr="00BE51E9" w:rsidR="00BE51E9">
        <w:rPr>
          <w:lang w:val="en-GB"/>
        </w:rPr>
        <w:t>’</w:t>
      </w:r>
      <w:r w:rsidRPr="00BE51E9">
        <w:rPr>
          <w:lang w:val="en-GB"/>
        </w:rPr>
        <w:t>s Office was authorised, on a discretionary basis, to take over a prosecution from a subsidiary prosecutor at any point before the end of the trial.</w:t>
      </w:r>
    </w:p>
    <w:p w:rsidRPr="00BE51E9" w:rsidR="003728C6" w:rsidP="00BE51E9" w:rsidRDefault="001C1E9F">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29</w:t>
      </w:r>
      <w:r w:rsidRPr="00BE51E9">
        <w:rPr>
          <w:lang w:val="en-GB"/>
        </w:rPr>
        <w:fldChar w:fldCharType="end"/>
      </w:r>
      <w:r w:rsidRPr="00BE51E9">
        <w:rPr>
          <w:lang w:val="en-GB"/>
        </w:rPr>
        <w:t>.  </w:t>
      </w:r>
      <w:r w:rsidRPr="00BE51E9" w:rsidR="006E760B">
        <w:rPr>
          <w:lang w:val="en-GB"/>
        </w:rPr>
        <w:t>Under Article 341 the competent prosecutor was authorised to amend or to submit a new indictment during the trial and the defence was guaranteed the right to have sufficient time to prepare for such an amended or new indictment. Article 350 provided that the competent court is not bound by the legal qualification of an offence by the prosecutor.</w:t>
      </w:r>
    </w:p>
    <w:p w:rsidRPr="00BE51E9" w:rsidR="003728C6" w:rsidP="00BE51E9" w:rsidRDefault="00FB2FF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30</w:t>
      </w:r>
      <w:r w:rsidRPr="00BE51E9">
        <w:rPr>
          <w:lang w:val="en-GB"/>
        </w:rPr>
        <w:fldChar w:fldCharType="end"/>
      </w:r>
      <w:r w:rsidRPr="00BE51E9">
        <w:rPr>
          <w:lang w:val="en-GB"/>
        </w:rPr>
        <w:t>.  </w:t>
      </w:r>
      <w:r w:rsidRPr="00BE51E9" w:rsidR="003728C6">
        <w:rPr>
          <w:lang w:val="en-GB"/>
        </w:rPr>
        <w:t xml:space="preserve">On 18 December 2008 a new Code of Criminal Procedure was enacted (Official Gazette, nos. 152/2008, with further amendments). The new Code of Criminal Procedure </w:t>
      </w:r>
      <w:r w:rsidRPr="00BE51E9" w:rsidR="00753A40">
        <w:rPr>
          <w:lang w:val="en-GB"/>
        </w:rPr>
        <w:t xml:space="preserve">came </w:t>
      </w:r>
      <w:r w:rsidRPr="00BE51E9" w:rsidR="003728C6">
        <w:rPr>
          <w:lang w:val="en-GB"/>
        </w:rPr>
        <w:t>fully into force on 1 September 2011, but did not apply to criminal proceedings instituted under the 1997 Code of Criminal Procedure (</w:t>
      </w:r>
      <w:r w:rsidRPr="00BE51E9" w:rsidR="00E91FAE">
        <w:rPr>
          <w:lang w:val="en-GB"/>
        </w:rPr>
        <w:t>see paragraphs 27-29</w:t>
      </w:r>
      <w:r w:rsidRPr="00BE51E9" w:rsidR="003728C6">
        <w:rPr>
          <w:lang w:val="en-GB"/>
        </w:rPr>
        <w:t xml:space="preserve"> above), for which that Code remained applicable. In so far as relevant for the case at issue, the new Code of Criminal Procedure did not bring substantial changes to the system of private and public criminal prosecutions.</w:t>
      </w:r>
    </w:p>
    <w:p w:rsidRPr="00BE51E9" w:rsidR="00706303" w:rsidP="00BE51E9" w:rsidRDefault="00706303">
      <w:pPr>
        <w:pStyle w:val="ECHRHeading3"/>
      </w:pPr>
      <w:r w:rsidRPr="00BE51E9">
        <w:t>6.  Civil Obligations Act</w:t>
      </w:r>
    </w:p>
    <w:p w:rsidRPr="00BE51E9" w:rsidR="00706303" w:rsidP="00BE51E9" w:rsidRDefault="00706303">
      <w:pPr>
        <w:pStyle w:val="ECHRPara"/>
        <w:rPr>
          <w:rFonts w:eastAsia="Times New Roman"/>
        </w:rPr>
      </w:pPr>
      <w:r w:rsidRPr="00BE51E9">
        <w:rPr>
          <w:rFonts w:eastAsia="Times New Roman"/>
        </w:rPr>
        <w:fldChar w:fldCharType="begin"/>
      </w:r>
      <w:r w:rsidRPr="00BE51E9">
        <w:rPr>
          <w:rFonts w:eastAsia="Times New Roman"/>
        </w:rPr>
        <w:instrText xml:space="preserve"> SEQ level0 \*arabic </w:instrText>
      </w:r>
      <w:r w:rsidRPr="00BE51E9">
        <w:rPr>
          <w:rFonts w:eastAsia="Times New Roman"/>
        </w:rPr>
        <w:fldChar w:fldCharType="separate"/>
      </w:r>
      <w:r w:rsidRPr="00BE51E9" w:rsidR="00BE51E9">
        <w:rPr>
          <w:rFonts w:eastAsia="Times New Roman"/>
          <w:noProof/>
        </w:rPr>
        <w:t>31</w:t>
      </w:r>
      <w:r w:rsidRPr="00BE51E9">
        <w:rPr>
          <w:rFonts w:eastAsia="Times New Roman"/>
        </w:rPr>
        <w:fldChar w:fldCharType="end"/>
      </w:r>
      <w:r w:rsidRPr="00BE51E9">
        <w:rPr>
          <w:rFonts w:eastAsia="Times New Roman"/>
        </w:rPr>
        <w:t xml:space="preserve">.  The relevant part of the Civil Obligations Act </w:t>
      </w:r>
      <w:r w:rsidRPr="00BE51E9">
        <w:rPr>
          <w:rFonts w:eastAsia="Times New Roman"/>
          <w:iCs/>
        </w:rPr>
        <w:t>(</w:t>
      </w:r>
      <w:r w:rsidRPr="00BE51E9">
        <w:rPr>
          <w:rFonts w:eastAsia="Times New Roman"/>
          <w:i/>
          <w:iCs/>
        </w:rPr>
        <w:t>Zakon o obveznim odnosima</w:t>
      </w:r>
      <w:r w:rsidRPr="00BE51E9">
        <w:rPr>
          <w:rFonts w:eastAsia="Times New Roman"/>
        </w:rPr>
        <w:t>, Official Gazette nos. 35/2005, with further amendments), read as follows:</w:t>
      </w:r>
    </w:p>
    <w:p w:rsidRPr="00BE51E9" w:rsidR="00706303" w:rsidP="00BE51E9" w:rsidRDefault="00706303">
      <w:pPr>
        <w:pStyle w:val="ECHRTitleCentre3"/>
        <w:rPr>
          <w:rFonts w:eastAsia="Times New Roman"/>
          <w:lang w:val="en-GB" w:eastAsia="fr-FR"/>
        </w:rPr>
      </w:pPr>
      <w:r w:rsidRPr="00BE51E9">
        <w:rPr>
          <w:rFonts w:eastAsia="Times New Roman"/>
          <w:lang w:val="en-GB" w:eastAsia="fr-FR"/>
        </w:rPr>
        <w:t>Rights of personality</w:t>
      </w:r>
      <w:r w:rsidRPr="00BE51E9">
        <w:rPr>
          <w:rFonts w:eastAsia="Times New Roman"/>
          <w:lang w:val="en-GB" w:eastAsia="fr-FR"/>
        </w:rPr>
        <w:br/>
        <w:t>Section 19</w:t>
      </w:r>
    </w:p>
    <w:p w:rsidRPr="00BE51E9" w:rsidR="00706303" w:rsidP="00BE51E9" w:rsidRDefault="00706303">
      <w:pPr>
        <w:pStyle w:val="ECHRParaQuote"/>
        <w:rPr>
          <w:rFonts w:eastAsia="Times New Roman"/>
          <w:lang w:val="en-GB" w:eastAsia="fr-FR"/>
        </w:rPr>
      </w:pPr>
      <w:r w:rsidRPr="00BE51E9">
        <w:rPr>
          <w:rFonts w:eastAsia="Times New Roman"/>
          <w:lang w:val="en-GB" w:eastAsia="fr-FR"/>
        </w:rPr>
        <w:t>“(1)  All natural persons or legal entities are entitled to protection of their rights of personality [</w:t>
      </w:r>
      <w:r w:rsidRPr="00BE51E9">
        <w:rPr>
          <w:rFonts w:eastAsia="Times New Roman"/>
          <w:i/>
          <w:lang w:val="en-GB" w:eastAsia="fr-FR"/>
        </w:rPr>
        <w:t>prava osobnosti</w:t>
      </w:r>
      <w:r w:rsidRPr="00BE51E9">
        <w:rPr>
          <w:rFonts w:eastAsia="Times New Roman"/>
          <w:lang w:val="en-GB" w:eastAsia="fr-FR"/>
        </w:rPr>
        <w:t>] under the conditions provided</w:t>
      </w:r>
      <w:r w:rsidRPr="00BE51E9" w:rsidR="00753A40">
        <w:rPr>
          <w:rFonts w:eastAsia="Times New Roman"/>
          <w:lang w:val="en-GB" w:eastAsia="fr-FR"/>
        </w:rPr>
        <w:t xml:space="preserve"> for</w:t>
      </w:r>
      <w:r w:rsidRPr="00BE51E9">
        <w:rPr>
          <w:rFonts w:eastAsia="Times New Roman"/>
          <w:lang w:val="en-GB" w:eastAsia="fr-FR"/>
        </w:rPr>
        <w:t xml:space="preserve"> by law.</w:t>
      </w:r>
    </w:p>
    <w:p w:rsidRPr="00BE51E9" w:rsidR="00706303" w:rsidP="00BE51E9" w:rsidRDefault="00706303">
      <w:pPr>
        <w:pStyle w:val="ECHRParaQuote"/>
        <w:rPr>
          <w:rFonts w:eastAsia="Times New Roman"/>
          <w:lang w:val="en-GB" w:eastAsia="fr-FR"/>
        </w:rPr>
      </w:pPr>
      <w:r w:rsidRPr="00BE51E9">
        <w:rPr>
          <w:rFonts w:eastAsia="Times New Roman"/>
          <w:lang w:val="en-GB" w:eastAsia="fr-FR"/>
        </w:rPr>
        <w:t>(2)  Rights of personality within the meaning of this Act are the right to life, to physical and mental health, reputation, honour, dignity, name, privacy of personal and family life, liberty, etc.”</w:t>
      </w:r>
    </w:p>
    <w:p w:rsidRPr="00BE51E9" w:rsidR="00706303" w:rsidP="00BE51E9" w:rsidRDefault="00706303">
      <w:pPr>
        <w:pStyle w:val="ECHRTitleCentre3"/>
        <w:rPr>
          <w:rFonts w:eastAsia="Times New Roman"/>
          <w:lang w:val="en-GB" w:eastAsia="fr-FR"/>
        </w:rPr>
      </w:pPr>
      <w:r w:rsidRPr="00BE51E9">
        <w:rPr>
          <w:rFonts w:eastAsia="Times New Roman"/>
          <w:lang w:val="en-GB" w:eastAsia="fr-FR"/>
        </w:rPr>
        <w:t>Section 1046</w:t>
      </w:r>
    </w:p>
    <w:p w:rsidRPr="00BE51E9" w:rsidR="00706303" w:rsidP="00BE51E9" w:rsidRDefault="00706303">
      <w:pPr>
        <w:pStyle w:val="ECHRParaQuote"/>
        <w:rPr>
          <w:rFonts w:eastAsia="Times New Roman"/>
          <w:lang w:val="en-GB" w:eastAsia="fr-FR"/>
        </w:rPr>
      </w:pPr>
      <w:r w:rsidRPr="00BE51E9">
        <w:rPr>
          <w:rFonts w:eastAsia="Times New Roman"/>
          <w:lang w:val="en-GB" w:eastAsia="fr-FR"/>
        </w:rPr>
        <w:t>“Damage may result from ... an infringement of rights of personality (non-pecuniary damage).”</w:t>
      </w:r>
    </w:p>
    <w:p w:rsidRPr="00BE51E9" w:rsidR="0068041B" w:rsidP="00BE51E9" w:rsidRDefault="00706303">
      <w:pPr>
        <w:pStyle w:val="ECHRTitleCentre3"/>
        <w:spacing w:before="0" w:after="0"/>
        <w:rPr>
          <w:rFonts w:eastAsia="Times New Roman"/>
          <w:lang w:val="en-GB" w:eastAsia="fr-FR"/>
        </w:rPr>
      </w:pPr>
      <w:r w:rsidRPr="00BE51E9">
        <w:rPr>
          <w:rFonts w:eastAsia="Times New Roman"/>
          <w:lang w:val="en-GB" w:eastAsia="fr-FR"/>
        </w:rPr>
        <w:t xml:space="preserve">Request for </w:t>
      </w:r>
      <w:r w:rsidRPr="00BE51E9" w:rsidR="003B624A">
        <w:rPr>
          <w:rFonts w:eastAsia="Times New Roman"/>
          <w:lang w:val="en-GB" w:eastAsia="fr-FR"/>
        </w:rPr>
        <w:t>e</w:t>
      </w:r>
      <w:r w:rsidRPr="00BE51E9">
        <w:rPr>
          <w:rFonts w:eastAsia="Times New Roman"/>
          <w:lang w:val="en-GB" w:eastAsia="fr-FR"/>
        </w:rPr>
        <w:t xml:space="preserve">limination of </w:t>
      </w:r>
      <w:r w:rsidRPr="00BE51E9" w:rsidR="003B624A">
        <w:rPr>
          <w:rFonts w:eastAsia="Times New Roman"/>
          <w:lang w:val="en-GB" w:eastAsia="fr-FR"/>
        </w:rPr>
        <w:t>r</w:t>
      </w:r>
      <w:r w:rsidRPr="00BE51E9">
        <w:rPr>
          <w:rFonts w:eastAsia="Times New Roman"/>
          <w:lang w:val="en-GB" w:eastAsia="fr-FR"/>
        </w:rPr>
        <w:t xml:space="preserve">isk of </w:t>
      </w:r>
      <w:r w:rsidRPr="00BE51E9" w:rsidR="003B624A">
        <w:rPr>
          <w:rFonts w:eastAsia="Times New Roman"/>
          <w:lang w:val="en-GB" w:eastAsia="fr-FR"/>
        </w:rPr>
        <w:t>d</w:t>
      </w:r>
      <w:r w:rsidRPr="00BE51E9">
        <w:rPr>
          <w:rFonts w:eastAsia="Times New Roman"/>
          <w:lang w:val="en-GB" w:eastAsia="fr-FR"/>
        </w:rPr>
        <w:t>amage</w:t>
      </w:r>
    </w:p>
    <w:p w:rsidRPr="00BE51E9" w:rsidR="00706303" w:rsidP="00BE51E9" w:rsidRDefault="00753A40">
      <w:pPr>
        <w:pStyle w:val="ECHRTitleCentre3"/>
        <w:spacing w:before="0" w:after="0"/>
        <w:rPr>
          <w:rFonts w:eastAsia="Times New Roman"/>
          <w:lang w:val="en-GB" w:eastAsia="fr-FR"/>
        </w:rPr>
      </w:pPr>
      <w:r w:rsidRPr="00BE51E9">
        <w:rPr>
          <w:rFonts w:eastAsia="Times New Roman"/>
          <w:lang w:val="en-GB" w:eastAsia="fr-FR"/>
        </w:rPr>
        <w:t xml:space="preserve">Section </w:t>
      </w:r>
      <w:r w:rsidRPr="00BE51E9" w:rsidR="00706303">
        <w:rPr>
          <w:rFonts w:eastAsia="Times New Roman"/>
          <w:lang w:val="en-GB" w:eastAsia="fr-FR"/>
        </w:rPr>
        <w:t>1047</w:t>
      </w:r>
    </w:p>
    <w:p w:rsidRPr="00BE51E9" w:rsidR="00706303" w:rsidP="00BE51E9" w:rsidRDefault="00706303">
      <w:pPr>
        <w:pStyle w:val="ECHRParaQuote"/>
        <w:rPr>
          <w:lang w:val="en-GB" w:eastAsia="fr-FR"/>
        </w:rPr>
      </w:pPr>
      <w:r w:rsidRPr="00BE51E9">
        <w:rPr>
          <w:lang w:val="en-GB" w:eastAsia="fr-FR"/>
        </w:rPr>
        <w:t xml:space="preserve">“(1) Any person may request </w:t>
      </w:r>
      <w:r w:rsidRPr="00BE51E9" w:rsidR="003B624A">
        <w:rPr>
          <w:lang w:val="en-GB" w:eastAsia="fr-FR"/>
        </w:rPr>
        <w:t xml:space="preserve">the elimination of </w:t>
      </w:r>
      <w:r w:rsidRPr="00BE51E9">
        <w:rPr>
          <w:lang w:val="en-GB" w:eastAsia="fr-FR"/>
        </w:rPr>
        <w:t xml:space="preserve">a major source of danger for him or her or for another person, as well as </w:t>
      </w:r>
      <w:r w:rsidRPr="00BE51E9" w:rsidR="003B624A">
        <w:rPr>
          <w:lang w:val="en-GB" w:eastAsia="fr-FR"/>
        </w:rPr>
        <w:t xml:space="preserve">the cessation of </w:t>
      </w:r>
      <w:r w:rsidRPr="00BE51E9">
        <w:rPr>
          <w:lang w:val="en-GB" w:eastAsia="fr-FR"/>
        </w:rPr>
        <w:t>activities causing disturbance or a risk of damage if such disturbance or damage cannot be prevented by applying the appropriate measures.</w:t>
      </w:r>
    </w:p>
    <w:p w:rsidRPr="00BE51E9" w:rsidR="00706303" w:rsidP="00BE51E9" w:rsidRDefault="00706303">
      <w:pPr>
        <w:pStyle w:val="ECHRParaQuote"/>
        <w:rPr>
          <w:lang w:val="en-GB" w:eastAsia="fr-FR"/>
        </w:rPr>
      </w:pPr>
      <w:r w:rsidRPr="00BE51E9">
        <w:rPr>
          <w:lang w:val="en-GB" w:eastAsia="fr-FR"/>
        </w:rPr>
        <w:t>(2) The court shall order, at the request of an interested party, the taking of appropriate action to prevent the occurrence of damage or disturbance, or to eliminate a source of danger, at the expense of the possessor of such a source of danger, if the latter fails to do so himself or herself. ”</w:t>
      </w:r>
    </w:p>
    <w:p w:rsidRPr="00BE51E9" w:rsidR="00706303" w:rsidP="00BE51E9" w:rsidRDefault="00706303">
      <w:pPr>
        <w:pStyle w:val="ECHRTitleCentre3"/>
        <w:rPr>
          <w:rFonts w:eastAsia="Times New Roman"/>
          <w:lang w:val="en-GB" w:eastAsia="fr-FR"/>
        </w:rPr>
      </w:pPr>
      <w:r w:rsidRPr="00BE51E9">
        <w:rPr>
          <w:rFonts w:eastAsia="Times New Roman"/>
          <w:lang w:val="en-GB" w:eastAsia="fr-FR"/>
        </w:rPr>
        <w:t>Request to desist from violating rights of personality</w:t>
      </w:r>
      <w:r w:rsidRPr="00BE51E9">
        <w:rPr>
          <w:rFonts w:eastAsia="Times New Roman"/>
          <w:lang w:val="en-GB" w:eastAsia="fr-FR"/>
        </w:rPr>
        <w:br/>
        <w:t>Section 1048</w:t>
      </w:r>
    </w:p>
    <w:p w:rsidRPr="00BE51E9" w:rsidR="00706303" w:rsidP="00BE51E9" w:rsidRDefault="00706303">
      <w:pPr>
        <w:pStyle w:val="ECHRParaQuote"/>
        <w:rPr>
          <w:rFonts w:eastAsia="Times New Roman"/>
          <w:lang w:val="en-GB" w:eastAsia="fr-FR"/>
        </w:rPr>
      </w:pPr>
      <w:r w:rsidRPr="00BE51E9">
        <w:rPr>
          <w:rFonts w:eastAsia="Times New Roman"/>
          <w:lang w:val="en-GB" w:eastAsia="fr-FR"/>
        </w:rPr>
        <w:t>“Anyone may request a court or other competent authority to order the cessation of an activity which violates his or her rights of personality and the elimination of its consequences.”</w:t>
      </w:r>
    </w:p>
    <w:p w:rsidRPr="00BE51E9" w:rsidR="00144362" w:rsidP="00BE51E9" w:rsidRDefault="00981F4C">
      <w:pPr>
        <w:pStyle w:val="ECHRHeading2"/>
        <w:rPr>
          <w:rFonts w:eastAsia="Times New Roman"/>
          <w:lang w:val="en-GB" w:eastAsia="fr-FR"/>
        </w:rPr>
      </w:pPr>
      <w:r w:rsidRPr="00BE51E9">
        <w:rPr>
          <w:rFonts w:eastAsia="Times New Roman"/>
          <w:lang w:val="en-GB" w:eastAsia="fr-FR"/>
        </w:rPr>
        <w:t>B.  Other relevant</w:t>
      </w:r>
      <w:r w:rsidRPr="00BE51E9" w:rsidR="003728C6">
        <w:rPr>
          <w:rFonts w:eastAsia="Times New Roman"/>
          <w:lang w:val="en-GB" w:eastAsia="fr-FR"/>
        </w:rPr>
        <w:t xml:space="preserve"> domestic law and</w:t>
      </w:r>
      <w:r w:rsidRPr="00BE51E9">
        <w:rPr>
          <w:rFonts w:eastAsia="Times New Roman"/>
          <w:lang w:val="en-GB" w:eastAsia="fr-FR"/>
        </w:rPr>
        <w:t xml:space="preserve"> materials concerni</w:t>
      </w:r>
      <w:r w:rsidRPr="00BE51E9" w:rsidR="003728C6">
        <w:rPr>
          <w:rFonts w:eastAsia="Times New Roman"/>
          <w:lang w:val="en-GB" w:eastAsia="fr-FR"/>
        </w:rPr>
        <w:t>ng domestic violence</w:t>
      </w:r>
    </w:p>
    <w:p w:rsidRPr="00BE51E9" w:rsidR="003728C6" w:rsidP="00BE51E9" w:rsidRDefault="003728C6">
      <w:pPr>
        <w:pStyle w:val="ECHRHeading3"/>
        <w:rPr>
          <w:lang w:val="en-GB"/>
        </w:rPr>
      </w:pPr>
      <w:r w:rsidRPr="00BE51E9">
        <w:rPr>
          <w:lang w:val="en-GB"/>
        </w:rPr>
        <w:t>1.  </w:t>
      </w:r>
      <w:r w:rsidRPr="00BE51E9" w:rsidR="00123D1D">
        <w:rPr>
          <w:lang w:val="en-GB"/>
        </w:rPr>
        <w:t>R</w:t>
      </w:r>
      <w:r w:rsidRPr="00BE51E9">
        <w:rPr>
          <w:lang w:val="en-GB"/>
        </w:rPr>
        <w:t>elevant minor offences law</w:t>
      </w:r>
    </w:p>
    <w:p w:rsidRPr="00BE51E9" w:rsidR="006208C5" w:rsidP="00BE51E9" w:rsidRDefault="003728C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32</w:t>
      </w:r>
      <w:r w:rsidRPr="00BE51E9">
        <w:rPr>
          <w:lang w:val="en-GB"/>
        </w:rPr>
        <w:fldChar w:fldCharType="end"/>
      </w:r>
      <w:r w:rsidRPr="00BE51E9">
        <w:rPr>
          <w:lang w:val="en-GB"/>
        </w:rPr>
        <w:t>.  </w:t>
      </w:r>
      <w:r w:rsidRPr="00BE51E9" w:rsidR="00753A40">
        <w:rPr>
          <w:lang w:val="en-GB"/>
        </w:rPr>
        <w:t>I</w:t>
      </w:r>
      <w:r w:rsidRPr="00BE51E9">
        <w:rPr>
          <w:lang w:val="en-GB"/>
        </w:rPr>
        <w:t xml:space="preserve">n Croatian law </w:t>
      </w:r>
      <w:r w:rsidRPr="00BE51E9" w:rsidR="00753A40">
        <w:rPr>
          <w:lang w:val="en-GB"/>
        </w:rPr>
        <w:t xml:space="preserve">“minor offences” </w:t>
      </w:r>
      <w:r w:rsidRPr="00BE51E9" w:rsidR="006208C5">
        <w:rPr>
          <w:lang w:val="en-GB"/>
        </w:rPr>
        <w:t>are “acts which breach public order, social discipline or other social values guaranteed under the Constitution, international [and domestic] law, which cannot be protected other</w:t>
      </w:r>
      <w:r w:rsidRPr="00BE51E9" w:rsidR="003B624A">
        <w:rPr>
          <w:lang w:val="en-GB"/>
        </w:rPr>
        <w:t xml:space="preserve"> than</w:t>
      </w:r>
      <w:r w:rsidRPr="00BE51E9" w:rsidR="006208C5">
        <w:rPr>
          <w:lang w:val="en-GB"/>
        </w:rPr>
        <w:t xml:space="preserve"> through the minor offences law and which are not protected through criminal repression” (</w:t>
      </w:r>
      <w:r w:rsidRPr="00BE51E9" w:rsidR="00123D1D">
        <w:rPr>
          <w:lang w:val="en-GB"/>
        </w:rPr>
        <w:t>s</w:t>
      </w:r>
      <w:r w:rsidRPr="00BE51E9" w:rsidR="006208C5">
        <w:rPr>
          <w:lang w:val="en-GB"/>
        </w:rPr>
        <w:t>ection 1 of the Minor Offences Act</w:t>
      </w:r>
      <w:r w:rsidRPr="00BE51E9" w:rsidR="00272C45">
        <w:rPr>
          <w:lang w:val="en-GB"/>
        </w:rPr>
        <w:t>,</w:t>
      </w:r>
      <w:r w:rsidRPr="00BE51E9" w:rsidR="006208C5">
        <w:rPr>
          <w:lang w:val="en-GB"/>
        </w:rPr>
        <w:t xml:space="preserve"> </w:t>
      </w:r>
      <w:r w:rsidRPr="00BE51E9" w:rsidR="006208C5">
        <w:rPr>
          <w:i/>
          <w:lang w:val="en-GB"/>
        </w:rPr>
        <w:t>Prekr</w:t>
      </w:r>
      <w:r w:rsidRPr="00BE51E9" w:rsidR="006208C5">
        <w:rPr>
          <w:rFonts w:cstheme="minorHAnsi"/>
          <w:i/>
          <w:lang w:val="en-GB"/>
        </w:rPr>
        <w:t>š</w:t>
      </w:r>
      <w:r w:rsidRPr="00BE51E9" w:rsidR="006208C5">
        <w:rPr>
          <w:i/>
          <w:lang w:val="en-GB"/>
        </w:rPr>
        <w:t>ajni zakon</w:t>
      </w:r>
      <w:r w:rsidRPr="00BE51E9" w:rsidR="006208C5">
        <w:rPr>
          <w:lang w:val="en-GB"/>
        </w:rPr>
        <w:t>, Official Gazette nos. 107/2007, 39/2013, 157/2013 and 110/2015)</w:t>
      </w:r>
      <w:r w:rsidRPr="00BE51E9" w:rsidR="00272C45">
        <w:rPr>
          <w:lang w:val="en-GB"/>
        </w:rPr>
        <w:t>.</w:t>
      </w:r>
    </w:p>
    <w:p w:rsidRPr="00BE51E9" w:rsidR="00123D1D" w:rsidP="00BE51E9" w:rsidRDefault="00272C45">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33</w:t>
      </w:r>
      <w:r w:rsidRPr="00BE51E9">
        <w:rPr>
          <w:lang w:val="en-GB"/>
        </w:rPr>
        <w:fldChar w:fldCharType="end"/>
      </w:r>
      <w:r w:rsidRPr="00BE51E9">
        <w:rPr>
          <w:lang w:val="en-GB"/>
        </w:rPr>
        <w:t>.  </w:t>
      </w:r>
      <w:r w:rsidRPr="00BE51E9" w:rsidR="00E05A8A">
        <w:rPr>
          <w:lang w:val="en-GB"/>
        </w:rPr>
        <w:t>M</w:t>
      </w:r>
      <w:r w:rsidRPr="00BE51E9">
        <w:rPr>
          <w:lang w:val="en-GB"/>
        </w:rPr>
        <w:t>easures of protection from domestic violence</w:t>
      </w:r>
      <w:r w:rsidRPr="00BE51E9" w:rsidR="00E05A8A">
        <w:rPr>
          <w:lang w:val="en-GB"/>
        </w:rPr>
        <w:t xml:space="preserve"> in the minor offences legislation</w:t>
      </w:r>
      <w:r w:rsidRPr="00BE51E9">
        <w:rPr>
          <w:lang w:val="en-GB"/>
        </w:rPr>
        <w:t xml:space="preserve"> are </w:t>
      </w:r>
      <w:r w:rsidRPr="00BE51E9" w:rsidR="00753A40">
        <w:rPr>
          <w:lang w:val="en-GB"/>
        </w:rPr>
        <w:t xml:space="preserve">provided for </w:t>
      </w:r>
      <w:r w:rsidRPr="00BE51E9">
        <w:rPr>
          <w:lang w:val="en-GB"/>
        </w:rPr>
        <w:t xml:space="preserve">in the </w:t>
      </w:r>
      <w:r w:rsidRPr="00BE51E9" w:rsidR="00292405">
        <w:rPr>
          <w:lang w:val="en-GB"/>
        </w:rPr>
        <w:t>Protection against Domestic Violence Act (</w:t>
      </w:r>
      <w:r w:rsidRPr="00BE51E9" w:rsidR="00292405">
        <w:rPr>
          <w:i/>
          <w:lang w:val="en-GB"/>
        </w:rPr>
        <w:t>Zakon o zaštiti of nasilja u obitelji</w:t>
      </w:r>
      <w:r w:rsidRPr="00BE51E9" w:rsidR="00292405">
        <w:rPr>
          <w:lang w:val="en-GB"/>
        </w:rPr>
        <w:t>, Official Gazette no. 137/2009, with further amendments).</w:t>
      </w:r>
      <w:r w:rsidRPr="00BE51E9" w:rsidR="001F13E4">
        <w:rPr>
          <w:lang w:val="en-GB"/>
        </w:rPr>
        <w:t xml:space="preserve"> </w:t>
      </w:r>
      <w:r w:rsidRPr="00BE51E9" w:rsidR="00123D1D">
        <w:rPr>
          <w:lang w:val="en-GB"/>
        </w:rPr>
        <w:t>The</w:t>
      </w:r>
      <w:r w:rsidRPr="00BE51E9" w:rsidR="00312348">
        <w:rPr>
          <w:lang w:val="en-GB"/>
        </w:rPr>
        <w:t xml:space="preserve"> domestic violence is defined as any form of physical, mental, sexual or economic violence (section 4). The </w:t>
      </w:r>
      <w:r w:rsidRPr="00BE51E9" w:rsidR="00123D1D">
        <w:rPr>
          <w:lang w:val="en-GB"/>
        </w:rPr>
        <w:t xml:space="preserve">Act </w:t>
      </w:r>
      <w:r w:rsidRPr="00BE51E9" w:rsidR="00753A40">
        <w:rPr>
          <w:lang w:val="en-GB"/>
        </w:rPr>
        <w:t xml:space="preserve">provides </w:t>
      </w:r>
      <w:r w:rsidRPr="00BE51E9" w:rsidR="00123D1D">
        <w:rPr>
          <w:lang w:val="en-GB"/>
        </w:rPr>
        <w:t xml:space="preserve">that proceedings concerning domestic violence </w:t>
      </w:r>
      <w:r w:rsidRPr="00BE51E9" w:rsidR="00753A40">
        <w:rPr>
          <w:lang w:val="en-GB"/>
        </w:rPr>
        <w:t xml:space="preserve">must </w:t>
      </w:r>
      <w:r w:rsidRPr="00BE51E9" w:rsidR="00123D1D">
        <w:rPr>
          <w:lang w:val="en-GB"/>
        </w:rPr>
        <w:t xml:space="preserve">be conducted with urgency (section 5). It provides for a number of protective measures </w:t>
      </w:r>
      <w:r w:rsidRPr="00BE51E9" w:rsidR="00753A40">
        <w:rPr>
          <w:lang w:val="en-GB"/>
        </w:rPr>
        <w:t xml:space="preserve">for </w:t>
      </w:r>
      <w:r w:rsidRPr="00BE51E9" w:rsidR="00123D1D">
        <w:rPr>
          <w:lang w:val="en-GB"/>
        </w:rPr>
        <w:t>the victims and the possibility of the imposition of fines and imprisonment for a period of up to ninety days for acts of domestic violence (sections 10-23).</w:t>
      </w:r>
    </w:p>
    <w:p w:rsidRPr="00BE51E9" w:rsidR="00123D1D" w:rsidP="00BE51E9" w:rsidRDefault="00123D1D">
      <w:pPr>
        <w:pStyle w:val="ECHRHeading3"/>
        <w:rPr>
          <w:lang w:val="en-GB"/>
        </w:rPr>
      </w:pPr>
      <w:r w:rsidRPr="00BE51E9">
        <w:rPr>
          <w:lang w:val="en-GB"/>
        </w:rPr>
        <w:t>2.  Rules</w:t>
      </w:r>
      <w:r w:rsidRPr="00BE51E9" w:rsidR="001F13E4">
        <w:rPr>
          <w:lang w:val="en-GB"/>
        </w:rPr>
        <w:t xml:space="preserve"> of Conduct in Cases of Domestic</w:t>
      </w:r>
      <w:r w:rsidRPr="00BE51E9">
        <w:rPr>
          <w:lang w:val="en-GB"/>
        </w:rPr>
        <w:t xml:space="preserve"> Violence</w:t>
      </w:r>
    </w:p>
    <w:p w:rsidRPr="00BE51E9" w:rsidR="00144362" w:rsidP="00BE51E9" w:rsidRDefault="001F13E4">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34</w:t>
      </w:r>
      <w:r w:rsidRPr="00BE51E9">
        <w:rPr>
          <w:lang w:val="en-GB"/>
        </w:rPr>
        <w:fldChar w:fldCharType="end"/>
      </w:r>
      <w:r w:rsidRPr="00BE51E9">
        <w:rPr>
          <w:lang w:val="en-GB"/>
        </w:rPr>
        <w:t xml:space="preserve">.  In 2008 the Ministry in charge of the protection of </w:t>
      </w:r>
      <w:r w:rsidRPr="00BE51E9" w:rsidR="009A648C">
        <w:rPr>
          <w:lang w:val="en-GB"/>
        </w:rPr>
        <w:t xml:space="preserve">the </w:t>
      </w:r>
      <w:r w:rsidRPr="00BE51E9">
        <w:rPr>
          <w:lang w:val="en-GB"/>
        </w:rPr>
        <w:t>family (</w:t>
      </w:r>
      <w:r w:rsidRPr="00BE51E9">
        <w:rPr>
          <w:i/>
          <w:lang w:val="en-GB"/>
        </w:rPr>
        <w:t>Ministarstvo obitelji, branitelja i me</w:t>
      </w:r>
      <w:r w:rsidRPr="00BE51E9">
        <w:rPr>
          <w:rFonts w:cstheme="minorHAnsi"/>
          <w:i/>
          <w:lang w:val="en-GB"/>
        </w:rPr>
        <w:t>đ</w:t>
      </w:r>
      <w:r w:rsidRPr="00BE51E9">
        <w:rPr>
          <w:i/>
          <w:lang w:val="en-GB"/>
        </w:rPr>
        <w:t>ugeneracijske solidarnosti</w:t>
      </w:r>
      <w:r w:rsidRPr="00BE51E9">
        <w:rPr>
          <w:lang w:val="en-GB"/>
        </w:rPr>
        <w:t>) issued the Rules of Conduct in Cases of Domestic Violence (</w:t>
      </w:r>
      <w:r w:rsidRPr="00BE51E9">
        <w:rPr>
          <w:i/>
          <w:lang w:val="en-GB"/>
        </w:rPr>
        <w:t>Protokol o postupanju u slučaju nasilja u obitelji</w:t>
      </w:r>
      <w:r w:rsidRPr="00BE51E9">
        <w:rPr>
          <w:lang w:val="en-GB"/>
        </w:rPr>
        <w:t>), which sets out instructions to State bodies with regard to their duties in cases of domestic violence and provides a framework for their mutual cooperation.</w:t>
      </w:r>
    </w:p>
    <w:p w:rsidRPr="00BE51E9" w:rsidR="00981F4C" w:rsidP="00BE51E9" w:rsidRDefault="00981F4C">
      <w:pPr>
        <w:pStyle w:val="ECHRHeading1"/>
        <w:rPr>
          <w:lang w:val="en-GB"/>
        </w:rPr>
      </w:pPr>
      <w:r w:rsidRPr="00BE51E9">
        <w:rPr>
          <w:lang w:val="en-GB"/>
        </w:rPr>
        <w:t>III. </w:t>
      </w:r>
      <w:r w:rsidRPr="00BE51E9" w:rsidR="00EF60C1">
        <w:rPr>
          <w:lang w:val="en-GB"/>
        </w:rPr>
        <w:t> </w:t>
      </w:r>
      <w:r w:rsidRPr="00BE51E9">
        <w:rPr>
          <w:lang w:val="en-GB"/>
        </w:rPr>
        <w:t>RELEVANT INTERNATIONAL MATERIAL</w:t>
      </w:r>
    </w:p>
    <w:p w:rsidRPr="00BE51E9" w:rsidR="00411975" w:rsidP="00BE51E9" w:rsidRDefault="00D84121">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35</w:t>
      </w:r>
      <w:r w:rsidRPr="00BE51E9">
        <w:rPr>
          <w:lang w:val="en-GB"/>
        </w:rPr>
        <w:fldChar w:fldCharType="end"/>
      </w:r>
      <w:r w:rsidRPr="00BE51E9">
        <w:rPr>
          <w:lang w:val="en-GB"/>
        </w:rPr>
        <w:t>.  </w:t>
      </w:r>
      <w:r w:rsidRPr="00BE51E9" w:rsidR="00981F4C">
        <w:rPr>
          <w:lang w:val="en-GB"/>
        </w:rPr>
        <w:t>The relevant international</w:t>
      </w:r>
      <w:r w:rsidRPr="00BE51E9" w:rsidR="006C72F4">
        <w:rPr>
          <w:lang w:val="en-GB"/>
        </w:rPr>
        <w:t xml:space="preserve"> and comparative</w:t>
      </w:r>
      <w:r w:rsidRPr="00BE51E9" w:rsidR="00981F4C">
        <w:rPr>
          <w:lang w:val="en-GB"/>
        </w:rPr>
        <w:t xml:space="preserve"> material concerning domestic violence</w:t>
      </w:r>
      <w:r w:rsidRPr="00BE51E9" w:rsidR="006C72F4">
        <w:rPr>
          <w:lang w:val="en-GB"/>
        </w:rPr>
        <w:t xml:space="preserve"> </w:t>
      </w:r>
      <w:r w:rsidRPr="00BE51E9" w:rsidR="009A648C">
        <w:rPr>
          <w:lang w:val="en-GB"/>
        </w:rPr>
        <w:t xml:space="preserve">is </w:t>
      </w:r>
      <w:r w:rsidRPr="00BE51E9" w:rsidR="006C72F4">
        <w:rPr>
          <w:lang w:val="en-GB"/>
        </w:rPr>
        <w:t xml:space="preserve">comprehensively set out in the case of </w:t>
      </w:r>
      <w:r w:rsidRPr="00BE51E9" w:rsidR="006C72F4">
        <w:rPr>
          <w:i/>
          <w:lang w:val="en-GB"/>
        </w:rPr>
        <w:t>Opuz v. Turkey</w:t>
      </w:r>
      <w:r w:rsidRPr="00BE51E9" w:rsidR="00411975">
        <w:rPr>
          <w:lang w:val="en-GB"/>
        </w:rPr>
        <w:t xml:space="preserve"> (no. 33401/02, §§ 72-90</w:t>
      </w:r>
      <w:r w:rsidRPr="00BE51E9" w:rsidR="006C72F4">
        <w:rPr>
          <w:lang w:val="en-GB"/>
        </w:rPr>
        <w:t>, ECHR 2009</w:t>
      </w:r>
      <w:r w:rsidRPr="00BE51E9" w:rsidR="00411975">
        <w:rPr>
          <w:lang w:val="en-GB"/>
        </w:rPr>
        <w:t>).</w:t>
      </w:r>
    </w:p>
    <w:p w:rsidRPr="00BE51E9" w:rsidR="00052CE3" w:rsidP="00BE51E9" w:rsidRDefault="00411975">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36</w:t>
      </w:r>
      <w:r w:rsidRPr="00BE51E9">
        <w:rPr>
          <w:lang w:val="en-GB"/>
        </w:rPr>
        <w:fldChar w:fldCharType="end"/>
      </w:r>
      <w:r w:rsidRPr="00BE51E9">
        <w:rPr>
          <w:lang w:val="en-GB"/>
        </w:rPr>
        <w:t xml:space="preserve">.  On 7 April 2011 the Council of Europe Committee of Ministers adopted the Convention on preventing and combating violence against women and domestic violence (Istanbul Convention), CETS No. 210, </w:t>
      </w:r>
      <w:r w:rsidRPr="00BE51E9" w:rsidR="009A648C">
        <w:rPr>
          <w:lang w:val="en-GB"/>
        </w:rPr>
        <w:t xml:space="preserve">the relevant part of </w:t>
      </w:r>
      <w:r w:rsidRPr="00BE51E9">
        <w:rPr>
          <w:lang w:val="en-GB"/>
        </w:rPr>
        <w:t>which provides as follows:</w:t>
      </w:r>
    </w:p>
    <w:p w:rsidRPr="00BE51E9" w:rsidR="00411975" w:rsidP="00BE51E9" w:rsidRDefault="00411975">
      <w:pPr>
        <w:pStyle w:val="ECHRParaQuote"/>
        <w:rPr>
          <w:lang w:val="fr-FR"/>
        </w:rPr>
      </w:pPr>
      <w:r w:rsidRPr="00BE51E9">
        <w:rPr>
          <w:lang w:val="fr-FR"/>
        </w:rPr>
        <w:t>“Chapter V – Substantive law</w:t>
      </w:r>
    </w:p>
    <w:p w:rsidRPr="00BE51E9" w:rsidR="00411975" w:rsidP="00BE51E9" w:rsidRDefault="0059377C">
      <w:pPr>
        <w:pStyle w:val="ECHRParaQuote"/>
        <w:rPr>
          <w:lang w:val="fr-FR"/>
        </w:rPr>
      </w:pPr>
      <w:r w:rsidRPr="00BE51E9">
        <w:rPr>
          <w:lang w:val="fr-FR"/>
        </w:rPr>
        <w:t>...</w:t>
      </w:r>
    </w:p>
    <w:p w:rsidRPr="00BE51E9" w:rsidR="00411975" w:rsidP="00BE51E9" w:rsidRDefault="00411975">
      <w:pPr>
        <w:pStyle w:val="ECHRParaQuote"/>
        <w:rPr>
          <w:lang w:val="fr-FR"/>
        </w:rPr>
      </w:pPr>
      <w:r w:rsidRPr="00BE51E9">
        <w:rPr>
          <w:lang w:val="fr-FR"/>
        </w:rPr>
        <w:t>Article 33 – Psychological violence</w:t>
      </w:r>
    </w:p>
    <w:p w:rsidRPr="00BE51E9" w:rsidR="00411975" w:rsidP="00BE51E9" w:rsidRDefault="00411975">
      <w:pPr>
        <w:pStyle w:val="ECHRParaQuote"/>
        <w:rPr>
          <w:lang w:val="en-GB"/>
        </w:rPr>
      </w:pPr>
      <w:r w:rsidRPr="00BE51E9">
        <w:rPr>
          <w:lang w:val="en-GB"/>
        </w:rPr>
        <w:t>Parties shall take the necessary legislative or other measures to ensure that the intentional conduct of seriously impairing a person</w:t>
      </w:r>
      <w:r w:rsidRPr="00BE51E9" w:rsidR="00BE51E9">
        <w:rPr>
          <w:lang w:val="en-GB"/>
        </w:rPr>
        <w:t>’</w:t>
      </w:r>
      <w:r w:rsidRPr="00BE51E9">
        <w:rPr>
          <w:lang w:val="en-GB"/>
        </w:rPr>
        <w:t>s psychological integrity through coercion or threats is criminalised.</w:t>
      </w:r>
    </w:p>
    <w:p w:rsidRPr="00BE51E9" w:rsidR="00411975" w:rsidP="00BE51E9" w:rsidRDefault="0059377C">
      <w:pPr>
        <w:pStyle w:val="ECHRParaQuote"/>
        <w:rPr>
          <w:lang w:val="en-GB"/>
        </w:rPr>
      </w:pPr>
      <w:r w:rsidRPr="00BE51E9">
        <w:rPr>
          <w:lang w:val="en-GB"/>
        </w:rPr>
        <w:t>...</w:t>
      </w:r>
    </w:p>
    <w:p w:rsidRPr="00BE51E9" w:rsidR="00411975" w:rsidP="00BE51E9" w:rsidRDefault="00411975">
      <w:pPr>
        <w:pStyle w:val="ECHRParaQuote"/>
        <w:rPr>
          <w:lang w:val="en-GB"/>
        </w:rPr>
      </w:pPr>
      <w:r w:rsidRPr="00BE51E9">
        <w:rPr>
          <w:lang w:val="en-GB"/>
        </w:rPr>
        <w:t>Article 35 – Physical violence</w:t>
      </w:r>
    </w:p>
    <w:p w:rsidRPr="00BE51E9" w:rsidR="00411975" w:rsidP="00BE51E9" w:rsidRDefault="00411975">
      <w:pPr>
        <w:pStyle w:val="ECHRParaQuote"/>
        <w:rPr>
          <w:lang w:val="en-GB"/>
        </w:rPr>
      </w:pPr>
      <w:r w:rsidRPr="00BE51E9">
        <w:rPr>
          <w:lang w:val="en-GB"/>
        </w:rPr>
        <w:t>Parties shall take the necessary legislative or other measures to ensure that the intentional conduct of committing acts of physical violence against another person is criminalised.</w:t>
      </w:r>
    </w:p>
    <w:p w:rsidRPr="00BE51E9" w:rsidR="00411975" w:rsidP="00BE51E9" w:rsidRDefault="0059377C">
      <w:pPr>
        <w:pStyle w:val="ECHRParaQuote"/>
        <w:rPr>
          <w:lang w:val="en-GB"/>
        </w:rPr>
      </w:pPr>
      <w:r w:rsidRPr="00BE51E9">
        <w:rPr>
          <w:lang w:val="en-GB"/>
        </w:rPr>
        <w:t>...</w:t>
      </w:r>
    </w:p>
    <w:p w:rsidRPr="00BE51E9" w:rsidR="00411975" w:rsidP="00BE51E9" w:rsidRDefault="00411975">
      <w:pPr>
        <w:pStyle w:val="ECHRParaQuote"/>
        <w:rPr>
          <w:lang w:val="en-GB"/>
        </w:rPr>
      </w:pPr>
      <w:r w:rsidRPr="00BE51E9">
        <w:rPr>
          <w:lang w:val="en-GB"/>
        </w:rPr>
        <w:t>Article 45 – Sanctions and measures</w:t>
      </w:r>
    </w:p>
    <w:p w:rsidRPr="00BE51E9" w:rsidR="00411975" w:rsidP="00BE51E9" w:rsidRDefault="00411975">
      <w:pPr>
        <w:pStyle w:val="ECHRParaQuote"/>
        <w:rPr>
          <w:lang w:val="en-GB"/>
        </w:rPr>
      </w:pPr>
      <w:r w:rsidRPr="00BE51E9">
        <w:rPr>
          <w:lang w:val="en-GB"/>
        </w:rPr>
        <w:t>1</w:t>
      </w:r>
      <w:r w:rsidRPr="00BE51E9" w:rsidR="00555CA6">
        <w:rPr>
          <w:lang w:val="en-GB"/>
        </w:rPr>
        <w:t>.</w:t>
      </w:r>
      <w:r w:rsidRPr="00BE51E9" w:rsidR="00144362">
        <w:rPr>
          <w:lang w:val="en-GB"/>
        </w:rPr>
        <w:t>  </w:t>
      </w:r>
      <w:r w:rsidRPr="00BE51E9">
        <w:rPr>
          <w:lang w:val="en-GB"/>
        </w:rPr>
        <w:t>Parties shall take the necessary legislative or other measures to ensur</w:t>
      </w:r>
      <w:r w:rsidRPr="00BE51E9" w:rsidR="00555CA6">
        <w:rPr>
          <w:lang w:val="en-GB"/>
        </w:rPr>
        <w:t xml:space="preserve">e that the offences </w:t>
      </w:r>
      <w:r w:rsidRPr="00BE51E9">
        <w:rPr>
          <w:lang w:val="en-GB"/>
        </w:rPr>
        <w:t xml:space="preserve">established in accordance with this Convention are punishable </w:t>
      </w:r>
      <w:r w:rsidRPr="00BE51E9" w:rsidR="00555CA6">
        <w:rPr>
          <w:lang w:val="en-GB"/>
        </w:rPr>
        <w:t xml:space="preserve">by effective, proportionate and </w:t>
      </w:r>
      <w:r w:rsidRPr="00BE51E9">
        <w:rPr>
          <w:lang w:val="en-GB"/>
        </w:rPr>
        <w:t>dissuasive sanctions, taking into account their seriousness.</w:t>
      </w:r>
      <w:r w:rsidRPr="00BE51E9" w:rsidR="00555CA6">
        <w:rPr>
          <w:lang w:val="en-GB"/>
        </w:rPr>
        <w:t xml:space="preserve"> These sanctions shall include, </w:t>
      </w:r>
      <w:r w:rsidRPr="00BE51E9">
        <w:rPr>
          <w:lang w:val="en-GB"/>
        </w:rPr>
        <w:t>where appropriate, sentences involving the deprivation of</w:t>
      </w:r>
      <w:r w:rsidRPr="00BE51E9" w:rsidR="00555CA6">
        <w:rPr>
          <w:lang w:val="en-GB"/>
        </w:rPr>
        <w:t xml:space="preserve"> liberty which can give rise to </w:t>
      </w:r>
      <w:r w:rsidRPr="00BE51E9">
        <w:rPr>
          <w:lang w:val="en-GB"/>
        </w:rPr>
        <w:t>extradition.</w:t>
      </w:r>
    </w:p>
    <w:p w:rsidRPr="00BE51E9" w:rsidR="00555CA6" w:rsidP="00BE51E9" w:rsidRDefault="0059377C">
      <w:pPr>
        <w:pStyle w:val="ECHRParaQuote"/>
        <w:rPr>
          <w:lang w:val="en-GB"/>
        </w:rPr>
      </w:pPr>
      <w:r w:rsidRPr="00BE51E9">
        <w:rPr>
          <w:lang w:val="en-GB"/>
        </w:rPr>
        <w:t>...</w:t>
      </w:r>
    </w:p>
    <w:p w:rsidRPr="00BE51E9" w:rsidR="00555CA6" w:rsidP="00BE51E9" w:rsidRDefault="00555CA6">
      <w:pPr>
        <w:pStyle w:val="ECHRParaQuote"/>
        <w:rPr>
          <w:lang w:val="en-GB"/>
        </w:rPr>
      </w:pPr>
      <w:r w:rsidRPr="00BE51E9">
        <w:rPr>
          <w:lang w:val="en-GB"/>
        </w:rPr>
        <w:t>Article 46 – Aggravating circumstances</w:t>
      </w:r>
    </w:p>
    <w:p w:rsidRPr="00BE51E9" w:rsidR="00555CA6" w:rsidP="00BE51E9" w:rsidRDefault="00555CA6">
      <w:pPr>
        <w:pStyle w:val="ECHRParaQuote"/>
        <w:rPr>
          <w:lang w:val="en-GB"/>
        </w:rPr>
      </w:pPr>
      <w:r w:rsidRPr="00BE51E9">
        <w:rPr>
          <w:lang w:val="en-GB"/>
        </w:rPr>
        <w:t>Parties shall take the necessary legislative or other measures to ensure that the following circumstances, insofar as they do not already form part of the constituent elements of the offence, may, in conformity with the relevant provisions of internal law, be taken into consideration as aggravating circumstances in the determination of the sentence in relation to the offences established in accordance with this Convention:</w:t>
      </w:r>
    </w:p>
    <w:p w:rsidRPr="00BE51E9" w:rsidR="00555CA6" w:rsidP="00BE51E9" w:rsidRDefault="00555CA6">
      <w:pPr>
        <w:pStyle w:val="ECHRParaQuote"/>
        <w:rPr>
          <w:lang w:val="en-GB"/>
        </w:rPr>
      </w:pPr>
      <w:r w:rsidRPr="00BE51E9">
        <w:rPr>
          <w:lang w:val="en-GB"/>
        </w:rPr>
        <w:t>a. the offence was committed against a former or current spouse or partner as recognised by internal law, by a member of the family, a person cohabiting with the victim or a person having abused her or his authority;</w:t>
      </w:r>
    </w:p>
    <w:p w:rsidRPr="00BE51E9" w:rsidR="00555CA6" w:rsidP="00BE51E9" w:rsidRDefault="00555CA6">
      <w:pPr>
        <w:pStyle w:val="ECHRParaQuote"/>
        <w:rPr>
          <w:lang w:val="en-GB"/>
        </w:rPr>
      </w:pPr>
      <w:r w:rsidRPr="00BE51E9">
        <w:rPr>
          <w:lang w:val="en-GB"/>
        </w:rPr>
        <w:t>b. the offence, or related offences, were committed repeatedly;</w:t>
      </w:r>
    </w:p>
    <w:p w:rsidRPr="00BE51E9" w:rsidR="00555CA6" w:rsidP="00BE51E9" w:rsidRDefault="00555CA6">
      <w:pPr>
        <w:pStyle w:val="ECHRParaQuote"/>
        <w:rPr>
          <w:lang w:val="en-GB"/>
        </w:rPr>
      </w:pPr>
      <w:r w:rsidRPr="00BE51E9">
        <w:rPr>
          <w:lang w:val="en-GB"/>
        </w:rPr>
        <w:t>c. the offence was committed against a person made vulnerable by particular circumstances;</w:t>
      </w:r>
    </w:p>
    <w:p w:rsidRPr="00BE51E9" w:rsidR="00555CA6" w:rsidP="00BE51E9" w:rsidRDefault="00555CA6">
      <w:pPr>
        <w:pStyle w:val="ECHRParaQuote"/>
        <w:rPr>
          <w:lang w:val="en-GB"/>
        </w:rPr>
      </w:pPr>
      <w:r w:rsidRPr="00BE51E9">
        <w:rPr>
          <w:lang w:val="en-GB"/>
        </w:rPr>
        <w:t>d. the offence was committed against or in the presence of a child;</w:t>
      </w:r>
    </w:p>
    <w:p w:rsidRPr="00BE51E9" w:rsidR="00555CA6" w:rsidP="00BE51E9" w:rsidRDefault="00555CA6">
      <w:pPr>
        <w:pStyle w:val="ECHRParaQuote"/>
        <w:rPr>
          <w:lang w:val="en-GB"/>
        </w:rPr>
      </w:pPr>
      <w:r w:rsidRPr="00BE51E9">
        <w:rPr>
          <w:lang w:val="en-GB"/>
        </w:rPr>
        <w:t>e. the offence was committed by two or more people acting together;</w:t>
      </w:r>
    </w:p>
    <w:p w:rsidRPr="00BE51E9" w:rsidR="00555CA6" w:rsidP="00BE51E9" w:rsidRDefault="00555CA6">
      <w:pPr>
        <w:pStyle w:val="ECHRParaQuote"/>
        <w:rPr>
          <w:lang w:val="en-GB"/>
        </w:rPr>
      </w:pPr>
      <w:r w:rsidRPr="00BE51E9">
        <w:rPr>
          <w:lang w:val="en-GB"/>
        </w:rPr>
        <w:t>f. the offence was preceded or accompanied by extreme levels of violence;</w:t>
      </w:r>
    </w:p>
    <w:p w:rsidRPr="00BE51E9" w:rsidR="00555CA6" w:rsidP="00BE51E9" w:rsidRDefault="00555CA6">
      <w:pPr>
        <w:pStyle w:val="ECHRParaQuote"/>
        <w:rPr>
          <w:lang w:val="en-GB"/>
        </w:rPr>
      </w:pPr>
      <w:r w:rsidRPr="00BE51E9">
        <w:rPr>
          <w:lang w:val="en-GB"/>
        </w:rPr>
        <w:t>g. the offence was committed with the use or threat of a weapon;</w:t>
      </w:r>
    </w:p>
    <w:p w:rsidRPr="00BE51E9" w:rsidR="00555CA6" w:rsidP="00BE51E9" w:rsidRDefault="00555CA6">
      <w:pPr>
        <w:pStyle w:val="ECHRParaQuote"/>
        <w:rPr>
          <w:lang w:val="en-GB"/>
        </w:rPr>
      </w:pPr>
      <w:r w:rsidRPr="00BE51E9">
        <w:rPr>
          <w:lang w:val="en-GB"/>
        </w:rPr>
        <w:t>h. the offence resulted in severe physical or psychological harm for the victim;</w:t>
      </w:r>
    </w:p>
    <w:p w:rsidRPr="00BE51E9" w:rsidR="00411975" w:rsidP="00BE51E9" w:rsidRDefault="00555CA6">
      <w:pPr>
        <w:pStyle w:val="ECHRParaQuote"/>
        <w:rPr>
          <w:lang w:val="en-GB"/>
        </w:rPr>
      </w:pPr>
      <w:r w:rsidRPr="00BE51E9">
        <w:rPr>
          <w:lang w:val="en-GB"/>
        </w:rPr>
        <w:t>i. the perpetrator had previously been convicted of offences of a similar nature.</w:t>
      </w:r>
    </w:p>
    <w:p w:rsidRPr="00BE51E9" w:rsidR="00555CA6" w:rsidP="00BE51E9" w:rsidRDefault="0059377C">
      <w:pPr>
        <w:pStyle w:val="ECHRParaQuote"/>
        <w:rPr>
          <w:lang w:val="en-GB"/>
        </w:rPr>
      </w:pPr>
      <w:r w:rsidRPr="00BE51E9">
        <w:rPr>
          <w:lang w:val="en-GB"/>
        </w:rPr>
        <w:t>...</w:t>
      </w:r>
    </w:p>
    <w:p w:rsidRPr="00BE51E9" w:rsidR="00555CA6" w:rsidP="00BE51E9" w:rsidRDefault="00555CA6">
      <w:pPr>
        <w:pStyle w:val="ECHRParaQuote"/>
        <w:rPr>
          <w:lang w:val="en-GB"/>
        </w:rPr>
      </w:pPr>
      <w:r w:rsidRPr="00BE51E9">
        <w:rPr>
          <w:lang w:val="en-GB"/>
        </w:rPr>
        <w:t>Chapter VI – Investigation, prosecution, procedural law and protective measures</w:t>
      </w:r>
    </w:p>
    <w:p w:rsidRPr="00BE51E9" w:rsidR="00555CA6" w:rsidP="00BE51E9" w:rsidRDefault="00555CA6">
      <w:pPr>
        <w:pStyle w:val="ECHRParaQuote"/>
        <w:rPr>
          <w:lang w:val="en-GB"/>
        </w:rPr>
      </w:pPr>
      <w:r w:rsidRPr="00BE51E9">
        <w:rPr>
          <w:lang w:val="en-GB"/>
        </w:rPr>
        <w:t>Article 49 – General obligations</w:t>
      </w:r>
    </w:p>
    <w:p w:rsidRPr="00BE51E9" w:rsidR="00411975" w:rsidP="00BE51E9" w:rsidRDefault="00555CA6">
      <w:pPr>
        <w:pStyle w:val="ECHRParaQuote"/>
        <w:rPr>
          <w:lang w:val="en-GB"/>
        </w:rPr>
      </w:pPr>
      <w:r w:rsidRPr="00BE51E9">
        <w:rPr>
          <w:lang w:val="en-GB"/>
        </w:rPr>
        <w:t>1</w:t>
      </w:r>
      <w:r w:rsidRPr="00BE51E9" w:rsidR="00144362">
        <w:rPr>
          <w:lang w:val="en-GB"/>
        </w:rPr>
        <w:t>.  </w:t>
      </w:r>
      <w:r w:rsidRPr="00BE51E9">
        <w:rPr>
          <w:lang w:val="en-GB"/>
        </w:rPr>
        <w:t xml:space="preserve">Parties shall take the necessary legislative or other measures to ensure that investigations and judicial proceedings in relation to all forms of violence covered by the scope of this Convention are carried out without undue delay while taking into consideration the rights of the victim during all stages of the criminal proceedings. </w:t>
      </w:r>
      <w:r w:rsidRPr="00BE51E9" w:rsidR="0059377C">
        <w:rPr>
          <w:lang w:val="en-GB"/>
        </w:rPr>
        <w:t>...</w:t>
      </w:r>
      <w:r w:rsidRPr="00BE51E9">
        <w:rPr>
          <w:lang w:val="en-GB"/>
        </w:rPr>
        <w:t>”</w:t>
      </w:r>
    </w:p>
    <w:p w:rsidRPr="00BE51E9" w:rsidR="00555CA6" w:rsidP="00BE51E9" w:rsidRDefault="00555CA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37</w:t>
      </w:r>
      <w:r w:rsidRPr="00BE51E9">
        <w:rPr>
          <w:lang w:val="en-GB"/>
        </w:rPr>
        <w:fldChar w:fldCharType="end"/>
      </w:r>
      <w:r w:rsidRPr="00BE51E9">
        <w:rPr>
          <w:lang w:val="en-GB"/>
        </w:rPr>
        <w:t xml:space="preserve">.  The </w:t>
      </w:r>
      <w:r w:rsidRPr="00BE51E9" w:rsidR="009A648C">
        <w:rPr>
          <w:lang w:val="en-GB"/>
        </w:rPr>
        <w:t>e</w:t>
      </w:r>
      <w:r w:rsidRPr="00BE51E9">
        <w:rPr>
          <w:lang w:val="en-GB"/>
        </w:rPr>
        <w:t xml:space="preserve">xplanatory </w:t>
      </w:r>
      <w:r w:rsidRPr="00BE51E9" w:rsidR="009A648C">
        <w:rPr>
          <w:lang w:val="en-GB"/>
        </w:rPr>
        <w:t xml:space="preserve">note </w:t>
      </w:r>
      <w:r w:rsidRPr="00BE51E9">
        <w:rPr>
          <w:lang w:val="en-GB"/>
        </w:rPr>
        <w:t xml:space="preserve">to the Istanbul Convention </w:t>
      </w:r>
      <w:r w:rsidRPr="00BE51E9" w:rsidR="00DD0472">
        <w:rPr>
          <w:lang w:val="en-GB"/>
        </w:rPr>
        <w:t xml:space="preserve">explains that the obligations contained in Articles 33 to 39 require parties to the Convention to ensure that particular intentional conduct is criminalised. However, the Istanbul Convention does not oblige </w:t>
      </w:r>
      <w:r w:rsidRPr="00BE51E9" w:rsidR="006F5458">
        <w:rPr>
          <w:lang w:val="en-GB"/>
        </w:rPr>
        <w:t xml:space="preserve">States </w:t>
      </w:r>
      <w:r w:rsidRPr="00BE51E9" w:rsidR="00DD0472">
        <w:rPr>
          <w:lang w:val="en-GB"/>
        </w:rPr>
        <w:t xml:space="preserve">to introduce specific provisions criminalising the conduct described </w:t>
      </w:r>
      <w:r w:rsidRPr="00BE51E9" w:rsidR="006F5458">
        <w:rPr>
          <w:lang w:val="en-GB"/>
        </w:rPr>
        <w:t>by that</w:t>
      </w:r>
      <w:r w:rsidRPr="00BE51E9" w:rsidR="00853427">
        <w:rPr>
          <w:lang w:val="en-GB"/>
        </w:rPr>
        <w:t xml:space="preserve"> Convention </w:t>
      </w:r>
      <w:r w:rsidRPr="00BE51E9" w:rsidR="00DD0472">
        <w:rPr>
          <w:lang w:val="en-GB"/>
        </w:rPr>
        <w:t>(paragraph 155).</w:t>
      </w:r>
      <w:r w:rsidRPr="00BE51E9" w:rsidR="00853427">
        <w:rPr>
          <w:lang w:val="en-GB"/>
        </w:rPr>
        <w:t xml:space="preserve"> Furthermore, </w:t>
      </w:r>
      <w:r w:rsidRPr="00BE51E9">
        <w:rPr>
          <w:lang w:val="en-GB"/>
        </w:rPr>
        <w:t xml:space="preserve">Article 46 requires the State Parties to ensure that the circumstances mentioned in that provision be taken into consideration as aggravating circumstances in the determination of </w:t>
      </w:r>
      <w:r w:rsidRPr="00BE51E9" w:rsidR="009A648C">
        <w:rPr>
          <w:lang w:val="en-GB"/>
        </w:rPr>
        <w:t xml:space="preserve">the </w:t>
      </w:r>
      <w:r w:rsidRPr="00BE51E9">
        <w:rPr>
          <w:lang w:val="en-GB"/>
        </w:rPr>
        <w:t xml:space="preserve">penalty for the offences established in the Convention. </w:t>
      </w:r>
      <w:r w:rsidRPr="00BE51E9" w:rsidR="009A648C">
        <w:rPr>
          <w:lang w:val="en-GB"/>
        </w:rPr>
        <w:t>H</w:t>
      </w:r>
      <w:r w:rsidRPr="00BE51E9">
        <w:rPr>
          <w:lang w:val="en-GB"/>
        </w:rPr>
        <w:t xml:space="preserve">owever, </w:t>
      </w:r>
      <w:r w:rsidRPr="00BE51E9" w:rsidR="009A648C">
        <w:rPr>
          <w:lang w:val="en-GB"/>
        </w:rPr>
        <w:t xml:space="preserve">that is </w:t>
      </w:r>
      <w:r w:rsidRPr="00BE51E9">
        <w:rPr>
          <w:lang w:val="en-GB"/>
        </w:rPr>
        <w:t>relevant only if th</w:t>
      </w:r>
      <w:r w:rsidRPr="00BE51E9" w:rsidR="009A648C">
        <w:rPr>
          <w:lang w:val="en-GB"/>
        </w:rPr>
        <w:t>o</w:t>
      </w:r>
      <w:r w:rsidRPr="00BE51E9">
        <w:rPr>
          <w:lang w:val="en-GB"/>
        </w:rPr>
        <w:t xml:space="preserve">se aggravating circumstances are not already part of the constituent elements of the offence </w:t>
      </w:r>
      <w:r w:rsidRPr="00BE51E9" w:rsidR="009A648C">
        <w:rPr>
          <w:lang w:val="en-GB"/>
        </w:rPr>
        <w:t xml:space="preserve">under </w:t>
      </w:r>
      <w:r w:rsidRPr="00BE51E9">
        <w:rPr>
          <w:lang w:val="en-GB"/>
        </w:rPr>
        <w:t>national law</w:t>
      </w:r>
      <w:r w:rsidRPr="00BE51E9" w:rsidR="00853427">
        <w:rPr>
          <w:lang w:val="en-GB"/>
        </w:rPr>
        <w:t xml:space="preserve"> (paragraph 234)</w:t>
      </w:r>
      <w:r w:rsidRPr="00BE51E9">
        <w:rPr>
          <w:lang w:val="en-GB"/>
        </w:rPr>
        <w:t>.</w:t>
      </w:r>
    </w:p>
    <w:p w:rsidRPr="00BE51E9" w:rsidR="00B21FE7" w:rsidP="00BE51E9" w:rsidRDefault="00555CA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38</w:t>
      </w:r>
      <w:r w:rsidRPr="00BE51E9">
        <w:rPr>
          <w:lang w:val="en-GB"/>
        </w:rPr>
        <w:fldChar w:fldCharType="end"/>
      </w:r>
      <w:r w:rsidRPr="00BE51E9">
        <w:rPr>
          <w:lang w:val="en-GB"/>
        </w:rPr>
        <w:t>.  </w:t>
      </w:r>
      <w:r w:rsidRPr="00BE51E9" w:rsidR="009A648C">
        <w:rPr>
          <w:lang w:val="en-GB"/>
        </w:rPr>
        <w:t>I</w:t>
      </w:r>
      <w:r w:rsidRPr="00BE51E9">
        <w:rPr>
          <w:lang w:val="en-GB"/>
        </w:rPr>
        <w:t xml:space="preserve">n its Analytical </w:t>
      </w:r>
      <w:r w:rsidRPr="00BE51E9" w:rsidR="009A648C">
        <w:rPr>
          <w:lang w:val="en-GB"/>
        </w:rPr>
        <w:t>S</w:t>
      </w:r>
      <w:r w:rsidRPr="00BE51E9">
        <w:rPr>
          <w:lang w:val="en-GB"/>
        </w:rPr>
        <w:t xml:space="preserve">tudy of the results of the Fourth Round of Monitoring the Implementation of Recommendation Rec(2002)5 on the Protection of Women against Violence in Council of Europe member </w:t>
      </w:r>
      <w:r w:rsidRPr="00BE51E9" w:rsidR="009A648C">
        <w:rPr>
          <w:lang w:val="en-GB"/>
        </w:rPr>
        <w:t>S</w:t>
      </w:r>
      <w:r w:rsidRPr="00BE51E9">
        <w:rPr>
          <w:lang w:val="en-GB"/>
        </w:rPr>
        <w:t>tates</w:t>
      </w:r>
      <w:r w:rsidRPr="00BE51E9" w:rsidR="00AC6DAF">
        <w:rPr>
          <w:lang w:val="en-GB"/>
        </w:rPr>
        <w:t xml:space="preserve"> (2013) (available at </w:t>
      </w:r>
      <w:hyperlink w:history="1" r:id="rId14">
        <w:r w:rsidRPr="00BE51E9" w:rsidR="00AC6DAF">
          <w:rPr>
            <w:rStyle w:val="Hyperlink"/>
            <w:lang w:val="en-GB"/>
          </w:rPr>
          <w:t>www.coe.int/conventionviolence</w:t>
        </w:r>
      </w:hyperlink>
      <w:r w:rsidRPr="00BE51E9" w:rsidR="00AC6DAF">
        <w:rPr>
          <w:lang w:val="en-GB"/>
        </w:rPr>
        <w:t>)</w:t>
      </w:r>
      <w:r w:rsidRPr="00BE51E9" w:rsidR="009A648C">
        <w:rPr>
          <w:lang w:val="en-GB"/>
        </w:rPr>
        <w:t>,</w:t>
      </w:r>
      <w:r w:rsidRPr="00BE51E9" w:rsidR="006E6AD4">
        <w:rPr>
          <w:lang w:val="en-GB"/>
        </w:rPr>
        <w:t xml:space="preserve"> as a comparative analysis of developments since the setting up of a monitoring framework on the matter in 2005, </w:t>
      </w:r>
      <w:r w:rsidRPr="00BE51E9" w:rsidR="009A648C">
        <w:rPr>
          <w:lang w:val="en-GB"/>
        </w:rPr>
        <w:t>the Council of Europe</w:t>
      </w:r>
      <w:r w:rsidRPr="00BE51E9" w:rsidR="00AC6DAF">
        <w:rPr>
          <w:lang w:val="en-GB"/>
        </w:rPr>
        <w:t xml:space="preserve"> indicated that criminalisation, as called for in the Istanbul Convention, </w:t>
      </w:r>
      <w:r w:rsidRPr="00BE51E9" w:rsidR="009A648C">
        <w:rPr>
          <w:lang w:val="en-GB"/>
        </w:rPr>
        <w:t xml:space="preserve">did </w:t>
      </w:r>
      <w:r w:rsidRPr="00BE51E9" w:rsidR="00AC6DAF">
        <w:rPr>
          <w:lang w:val="en-GB"/>
        </w:rPr>
        <w:t xml:space="preserve">not necessarily mean that the act in question </w:t>
      </w:r>
      <w:r w:rsidRPr="00BE51E9" w:rsidR="009A648C">
        <w:rPr>
          <w:lang w:val="en-GB"/>
        </w:rPr>
        <w:t xml:space="preserve">should appear </w:t>
      </w:r>
      <w:r w:rsidRPr="00BE51E9" w:rsidR="00AC6DAF">
        <w:rPr>
          <w:lang w:val="en-GB"/>
        </w:rPr>
        <w:t xml:space="preserve">as a specific named offence in the Criminal Code. In this connection, it referred to </w:t>
      </w:r>
      <w:r w:rsidRPr="00BE51E9" w:rsidR="00B21FE7">
        <w:rPr>
          <w:lang w:val="en-GB"/>
        </w:rPr>
        <w:t>a 2010</w:t>
      </w:r>
      <w:r w:rsidRPr="00BE51E9" w:rsidR="00AC6DAF">
        <w:rPr>
          <w:lang w:val="en-GB"/>
        </w:rPr>
        <w:t xml:space="preserve"> Europ</w:t>
      </w:r>
      <w:r w:rsidRPr="00BE51E9" w:rsidR="00B21FE7">
        <w:rPr>
          <w:lang w:val="en-GB"/>
        </w:rPr>
        <w:t xml:space="preserve">ean Union study showing that only ten of the then European Union member </w:t>
      </w:r>
      <w:r w:rsidRPr="00BE51E9" w:rsidR="009A648C">
        <w:rPr>
          <w:lang w:val="en-GB"/>
        </w:rPr>
        <w:t>S</w:t>
      </w:r>
      <w:r w:rsidRPr="00BE51E9" w:rsidR="00B21FE7">
        <w:rPr>
          <w:lang w:val="en-GB"/>
        </w:rPr>
        <w:t>tates defined domestic violence as a specific criminal offence. Of th</w:t>
      </w:r>
      <w:r w:rsidRPr="00BE51E9" w:rsidR="009A648C">
        <w:rPr>
          <w:lang w:val="en-GB"/>
        </w:rPr>
        <w:t>o</w:t>
      </w:r>
      <w:r w:rsidRPr="00BE51E9" w:rsidR="00B21FE7">
        <w:rPr>
          <w:lang w:val="en-GB"/>
        </w:rPr>
        <w:t>se, only four defined the offence with reference to an intimate partner relationship, while the others referred to any person with whom there was a family or household relationship. It also explained that different measures for an effective criminalisation of the particular acts of domestic violence may be required (</w:t>
      </w:r>
      <w:r w:rsidRPr="00BE51E9" w:rsidR="00302986">
        <w:rPr>
          <w:lang w:val="en-GB"/>
        </w:rPr>
        <w:t>pages</w:t>
      </w:r>
      <w:r w:rsidRPr="00BE51E9" w:rsidR="00B21FE7">
        <w:rPr>
          <w:lang w:val="en-GB"/>
        </w:rPr>
        <w:t xml:space="preserve"> 14-17).</w:t>
      </w:r>
    </w:p>
    <w:p w:rsidRPr="00BE51E9" w:rsidR="00B21FE7" w:rsidP="00BE51E9" w:rsidRDefault="00716ED1">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39</w:t>
      </w:r>
      <w:r w:rsidRPr="00BE51E9">
        <w:rPr>
          <w:lang w:val="en-GB"/>
        </w:rPr>
        <w:fldChar w:fldCharType="end"/>
      </w:r>
      <w:r w:rsidRPr="00BE51E9">
        <w:rPr>
          <w:lang w:val="en-GB"/>
        </w:rPr>
        <w:t xml:space="preserve">.  A 2014 study of the European Union Agency for Fundamental Rights </w:t>
      </w:r>
      <w:r w:rsidRPr="00BE51E9" w:rsidR="00302986">
        <w:rPr>
          <w:lang w:val="en-GB"/>
        </w:rPr>
        <w:t>en</w:t>
      </w:r>
      <w:r w:rsidRPr="00BE51E9">
        <w:rPr>
          <w:lang w:val="en-GB"/>
        </w:rPr>
        <w:t>titled “Violence against women: an EU-wide survey”</w:t>
      </w:r>
      <w:r w:rsidRPr="00BE51E9" w:rsidR="00EF3E67">
        <w:rPr>
          <w:lang w:val="en-GB"/>
        </w:rPr>
        <w:t xml:space="preserve"> (available at</w:t>
      </w:r>
      <w:r w:rsidRPr="00BE51E9" w:rsidR="00EF3E67">
        <w:t xml:space="preserve"> </w:t>
      </w:r>
      <w:hyperlink w:history="1" r:id="rId15">
        <w:r w:rsidRPr="00BE51E9" w:rsidR="00EF3E67">
          <w:rPr>
            <w:rStyle w:val="Hyperlink"/>
            <w:lang w:val="en-GB"/>
          </w:rPr>
          <w:t>www.fra.europa.eu</w:t>
        </w:r>
      </w:hyperlink>
      <w:r w:rsidRPr="00BE51E9" w:rsidR="00EF3E67">
        <w:rPr>
          <w:lang w:val="en-GB"/>
        </w:rPr>
        <w:t>) shows that there is an increasing trend of</w:t>
      </w:r>
      <w:r w:rsidRPr="00BE51E9">
        <w:rPr>
          <w:lang w:val="en-GB"/>
        </w:rPr>
        <w:t xml:space="preserve"> </w:t>
      </w:r>
      <w:r w:rsidRPr="00BE51E9" w:rsidR="00302986">
        <w:rPr>
          <w:lang w:val="en-GB"/>
        </w:rPr>
        <w:t xml:space="preserve">criminalising </w:t>
      </w:r>
      <w:r w:rsidRPr="00BE51E9">
        <w:rPr>
          <w:lang w:val="en-GB"/>
        </w:rPr>
        <w:t xml:space="preserve">different forms of violence against women </w:t>
      </w:r>
      <w:r w:rsidRPr="00BE51E9" w:rsidR="00EF3E67">
        <w:rPr>
          <w:lang w:val="en-GB"/>
        </w:rPr>
        <w:t xml:space="preserve">and </w:t>
      </w:r>
      <w:r w:rsidRPr="00BE51E9" w:rsidR="00302986">
        <w:rPr>
          <w:lang w:val="en-GB"/>
        </w:rPr>
        <w:t xml:space="preserve">recognising </w:t>
      </w:r>
      <w:r w:rsidRPr="00BE51E9">
        <w:rPr>
          <w:lang w:val="en-GB"/>
        </w:rPr>
        <w:t>violence</w:t>
      </w:r>
      <w:r w:rsidRPr="00BE51E9" w:rsidR="00EF3E67">
        <w:rPr>
          <w:lang w:val="en-GB"/>
        </w:rPr>
        <w:t xml:space="preserve"> </w:t>
      </w:r>
      <w:r w:rsidRPr="00BE51E9">
        <w:rPr>
          <w:lang w:val="en-GB"/>
        </w:rPr>
        <w:t>against women as a human rights violation</w:t>
      </w:r>
      <w:r w:rsidRPr="00BE51E9" w:rsidR="00EF3E67">
        <w:rPr>
          <w:lang w:val="en-GB"/>
        </w:rPr>
        <w:t xml:space="preserve">. The study also observes that European Union member </w:t>
      </w:r>
      <w:r w:rsidRPr="00BE51E9" w:rsidR="00302986">
        <w:rPr>
          <w:lang w:val="en-GB"/>
        </w:rPr>
        <w:t>S</w:t>
      </w:r>
      <w:r w:rsidRPr="00BE51E9" w:rsidR="00EF3E67">
        <w:rPr>
          <w:lang w:val="en-GB"/>
        </w:rPr>
        <w:t>tates have different approaches to the criminalisation of domestic violence in their legal systems (</w:t>
      </w:r>
      <w:r w:rsidRPr="00BE51E9" w:rsidR="00302986">
        <w:rPr>
          <w:lang w:val="en-GB"/>
        </w:rPr>
        <w:t>pages</w:t>
      </w:r>
      <w:r w:rsidRPr="00BE51E9" w:rsidR="00EF3E67">
        <w:rPr>
          <w:lang w:val="en-GB"/>
        </w:rPr>
        <w:t xml:space="preserve"> 10-12).</w:t>
      </w:r>
    </w:p>
    <w:p w:rsidRPr="00BE51E9" w:rsidR="00014566" w:rsidP="00BE51E9" w:rsidRDefault="00014566">
      <w:pPr>
        <w:pStyle w:val="ECHRTitle1"/>
        <w:rPr>
          <w:lang w:val="en-GB"/>
        </w:rPr>
      </w:pPr>
      <w:r w:rsidRPr="00BE51E9">
        <w:rPr>
          <w:lang w:val="en-GB"/>
        </w:rPr>
        <w:t>THE LAW</w:t>
      </w:r>
    </w:p>
    <w:p w:rsidRPr="00BE51E9" w:rsidR="00014566" w:rsidP="00BE51E9" w:rsidRDefault="00014566">
      <w:pPr>
        <w:pStyle w:val="ECHRHeading1"/>
        <w:rPr>
          <w:lang w:val="en-GB"/>
        </w:rPr>
      </w:pPr>
      <w:r w:rsidRPr="00BE51E9">
        <w:rPr>
          <w:lang w:val="en-GB"/>
        </w:rPr>
        <w:t>I.  ALLEGED VIOLATION OF ARTICLE</w:t>
      </w:r>
      <w:r w:rsidRPr="00BE51E9" w:rsidR="00981F4C">
        <w:rPr>
          <w:lang w:val="en-GB"/>
        </w:rPr>
        <w:t>S</w:t>
      </w:r>
      <w:r w:rsidRPr="00BE51E9">
        <w:rPr>
          <w:lang w:val="en-GB"/>
        </w:rPr>
        <w:t xml:space="preserve"> </w:t>
      </w:r>
      <w:r w:rsidRPr="00BE51E9" w:rsidR="00981F4C">
        <w:rPr>
          <w:lang w:val="en-GB"/>
        </w:rPr>
        <w:t>3 AND 8</w:t>
      </w:r>
      <w:r w:rsidRPr="00BE51E9">
        <w:rPr>
          <w:lang w:val="en-GB"/>
        </w:rPr>
        <w:t xml:space="preserve"> OF THE CONVENTION</w:t>
      </w:r>
    </w:p>
    <w:p w:rsidRPr="00BE51E9" w:rsidR="00AB490F"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40</w:t>
      </w:r>
      <w:r w:rsidRPr="00BE51E9">
        <w:rPr>
          <w:lang w:val="en-GB"/>
        </w:rPr>
        <w:fldChar w:fldCharType="end"/>
      </w:r>
      <w:r w:rsidRPr="00BE51E9" w:rsidR="00014566">
        <w:rPr>
          <w:lang w:val="en-GB"/>
        </w:rPr>
        <w:t>.  The applicant complained</w:t>
      </w:r>
      <w:r w:rsidRPr="00BE51E9" w:rsidR="00AB490F">
        <w:rPr>
          <w:lang w:val="en-GB"/>
        </w:rPr>
        <w:t xml:space="preserve"> of a failure of the domestic authorities to effectively discharge their positive obligations in relation to the acts of domestic violence </w:t>
      </w:r>
      <w:r w:rsidRPr="00BE51E9" w:rsidR="003B624A">
        <w:rPr>
          <w:lang w:val="en-GB"/>
        </w:rPr>
        <w:t xml:space="preserve">perpetrated </w:t>
      </w:r>
      <w:r w:rsidRPr="00BE51E9" w:rsidR="00AB490F">
        <w:rPr>
          <w:lang w:val="en-GB"/>
        </w:rPr>
        <w:t>against her. She relied on Articles 3 and 8 of the Convention, which, in so far as relevant, provide:</w:t>
      </w:r>
    </w:p>
    <w:p w:rsidRPr="00BE51E9" w:rsidR="00AB490F" w:rsidP="00BE51E9" w:rsidRDefault="00AB490F">
      <w:pPr>
        <w:pStyle w:val="ECHRTitleCentre3"/>
        <w:rPr>
          <w:lang w:val="en-GB"/>
        </w:rPr>
      </w:pPr>
      <w:r w:rsidRPr="00BE51E9">
        <w:rPr>
          <w:lang w:val="en-GB"/>
        </w:rPr>
        <w:t>Article 3</w:t>
      </w:r>
    </w:p>
    <w:p w:rsidRPr="00BE51E9" w:rsidR="00AB490F" w:rsidP="00BE51E9" w:rsidRDefault="00AB490F">
      <w:pPr>
        <w:pStyle w:val="ECHRParaQuote"/>
        <w:rPr>
          <w:lang w:val="en-GB" w:bidi="en-US"/>
        </w:rPr>
      </w:pPr>
      <w:r w:rsidRPr="00BE51E9">
        <w:t>“No one shall be subjected to torture or to inhuman or degrading treatment or punishment.”</w:t>
      </w:r>
    </w:p>
    <w:p w:rsidRPr="00BE51E9" w:rsidR="00AB490F" w:rsidP="00BE51E9" w:rsidRDefault="00AB490F">
      <w:pPr>
        <w:pStyle w:val="ECHRTitleCentre3"/>
        <w:rPr>
          <w:lang w:val="en-GB"/>
        </w:rPr>
      </w:pPr>
      <w:r w:rsidRPr="00BE51E9">
        <w:rPr>
          <w:lang w:val="en-GB"/>
        </w:rPr>
        <w:t>Article 8</w:t>
      </w:r>
    </w:p>
    <w:p w:rsidRPr="00BE51E9" w:rsidR="00144362" w:rsidP="00BE51E9" w:rsidRDefault="00AB490F">
      <w:pPr>
        <w:pStyle w:val="ECHRParaQuote"/>
        <w:rPr>
          <w:lang w:val="en-GB"/>
        </w:rPr>
      </w:pPr>
      <w:r w:rsidRPr="00BE51E9">
        <w:t xml:space="preserve">“1.  Everyone has the right to respect for his private </w:t>
      </w:r>
      <w:r w:rsidRPr="00BE51E9" w:rsidR="0059377C">
        <w:t>...</w:t>
      </w:r>
      <w:r w:rsidRPr="00BE51E9">
        <w:t xml:space="preserve"> life”</w:t>
      </w:r>
      <w:r w:rsidRPr="00BE51E9" w:rsidR="00302986">
        <w:t>.</w:t>
      </w:r>
    </w:p>
    <w:p w:rsidRPr="00BE51E9" w:rsidR="00014566" w:rsidP="00BE51E9" w:rsidRDefault="00014566">
      <w:pPr>
        <w:pStyle w:val="ECHRHeading2"/>
        <w:rPr>
          <w:lang w:val="en-GB"/>
        </w:rPr>
      </w:pPr>
      <w:r w:rsidRPr="00BE51E9">
        <w:rPr>
          <w:lang w:val="en-GB"/>
        </w:rPr>
        <w:t>A.  Admissibility</w:t>
      </w:r>
    </w:p>
    <w:p w:rsidRPr="00BE51E9" w:rsidR="00AB490F" w:rsidP="00BE51E9" w:rsidRDefault="00AB490F">
      <w:pPr>
        <w:pStyle w:val="ECHRHeading3"/>
        <w:rPr>
          <w:rFonts w:eastAsia="Times New Roman"/>
          <w:lang w:val="en-GB" w:eastAsia="fr-FR"/>
        </w:rPr>
      </w:pPr>
      <w:r w:rsidRPr="00BE51E9">
        <w:rPr>
          <w:rFonts w:eastAsia="Times New Roman"/>
          <w:lang w:val="en-GB" w:eastAsia="fr-FR"/>
        </w:rPr>
        <w:t>1.  The parties</w:t>
      </w:r>
      <w:r w:rsidRPr="00BE51E9" w:rsidR="00BE51E9">
        <w:rPr>
          <w:rFonts w:eastAsia="Times New Roman"/>
          <w:lang w:val="en-GB" w:eastAsia="fr-FR"/>
        </w:rPr>
        <w:t>’</w:t>
      </w:r>
      <w:r w:rsidRPr="00BE51E9">
        <w:rPr>
          <w:rFonts w:eastAsia="Times New Roman"/>
          <w:lang w:val="en-GB" w:eastAsia="fr-FR"/>
        </w:rPr>
        <w:t xml:space="preserve"> arguments</w:t>
      </w:r>
    </w:p>
    <w:p w:rsidRPr="00BE51E9" w:rsidR="00221F36" w:rsidP="00BE51E9" w:rsidRDefault="002617D8">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41</w:t>
      </w:r>
      <w:r w:rsidRPr="00BE51E9">
        <w:rPr>
          <w:lang w:val="en-GB"/>
        </w:rPr>
        <w:fldChar w:fldCharType="end"/>
      </w:r>
      <w:r w:rsidRPr="00BE51E9">
        <w:rPr>
          <w:lang w:val="en-GB"/>
        </w:rPr>
        <w:t>.  </w:t>
      </w:r>
      <w:r w:rsidRPr="00BE51E9" w:rsidR="00AB490F">
        <w:rPr>
          <w:lang w:val="en-GB"/>
        </w:rPr>
        <w:t xml:space="preserve">The Government submitted </w:t>
      </w:r>
      <w:r w:rsidRPr="00BE51E9" w:rsidR="00221F36">
        <w:rPr>
          <w:lang w:val="en-GB"/>
        </w:rPr>
        <w:t xml:space="preserve">that following the adoption of the 2011 Criminal Code, the applicant had failed to pursue </w:t>
      </w:r>
      <w:r w:rsidRPr="00BE51E9" w:rsidR="003B624A">
        <w:rPr>
          <w:lang w:val="en-GB"/>
        </w:rPr>
        <w:t xml:space="preserve">the </w:t>
      </w:r>
      <w:r w:rsidRPr="00BE51E9" w:rsidR="00221F36">
        <w:rPr>
          <w:lang w:val="en-GB"/>
        </w:rPr>
        <w:t xml:space="preserve">private prosecution </w:t>
      </w:r>
      <w:r w:rsidRPr="00BE51E9" w:rsidR="003B624A">
        <w:rPr>
          <w:lang w:val="en-GB"/>
        </w:rPr>
        <w:t xml:space="preserve">of </w:t>
      </w:r>
      <w:r w:rsidRPr="00BE51E9" w:rsidR="00221F36">
        <w:rPr>
          <w:lang w:val="en-GB"/>
        </w:rPr>
        <w:t xml:space="preserve">B.B. for the particular acts of violence and harassment </w:t>
      </w:r>
      <w:r w:rsidRPr="00BE51E9" w:rsidR="003B624A">
        <w:rPr>
          <w:lang w:val="en-GB"/>
        </w:rPr>
        <w:t xml:space="preserve">perpetrated </w:t>
      </w:r>
      <w:r w:rsidRPr="00BE51E9" w:rsidR="00221F36">
        <w:rPr>
          <w:lang w:val="en-GB"/>
        </w:rPr>
        <w:t xml:space="preserve">against her, as provided </w:t>
      </w:r>
      <w:r w:rsidRPr="00BE51E9" w:rsidR="00302986">
        <w:rPr>
          <w:lang w:val="en-GB"/>
        </w:rPr>
        <w:t xml:space="preserve">for </w:t>
      </w:r>
      <w:r w:rsidRPr="00BE51E9" w:rsidR="00221F36">
        <w:rPr>
          <w:lang w:val="en-GB"/>
        </w:rPr>
        <w:t>under the 2011 Criminal Code. In the Government</w:t>
      </w:r>
      <w:r w:rsidRPr="00BE51E9" w:rsidR="00BE51E9">
        <w:rPr>
          <w:lang w:val="en-GB"/>
        </w:rPr>
        <w:t>’</w:t>
      </w:r>
      <w:r w:rsidRPr="00BE51E9" w:rsidR="00221F36">
        <w:rPr>
          <w:lang w:val="en-GB"/>
        </w:rPr>
        <w:t xml:space="preserve">s view, this would have provided her </w:t>
      </w:r>
      <w:r w:rsidRPr="00BE51E9" w:rsidR="00302986">
        <w:rPr>
          <w:lang w:val="en-GB"/>
        </w:rPr>
        <w:t xml:space="preserve">with </w:t>
      </w:r>
      <w:r w:rsidRPr="00BE51E9" w:rsidR="00221F36">
        <w:rPr>
          <w:lang w:val="en-GB"/>
        </w:rPr>
        <w:t xml:space="preserve">effective protection against the domestic violence to which she had allegedly </w:t>
      </w:r>
      <w:r w:rsidRPr="00BE51E9" w:rsidR="00302986">
        <w:rPr>
          <w:lang w:val="en-GB"/>
        </w:rPr>
        <w:t xml:space="preserve">been </w:t>
      </w:r>
      <w:r w:rsidRPr="00BE51E9" w:rsidR="00221F36">
        <w:rPr>
          <w:lang w:val="en-GB"/>
        </w:rPr>
        <w:t>subjected by B.B.</w:t>
      </w:r>
      <w:r w:rsidRPr="00BE51E9" w:rsidR="00E05A8A">
        <w:rPr>
          <w:lang w:val="en-GB"/>
        </w:rPr>
        <w:t xml:space="preserve"> The Government therefore considered that the applicant had failed to exhaust the domestic remedies.</w:t>
      </w:r>
    </w:p>
    <w:p w:rsidRPr="00BE51E9" w:rsidR="00144362" w:rsidP="00BE51E9" w:rsidRDefault="00B15ACB">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42</w:t>
      </w:r>
      <w:r w:rsidRPr="00BE51E9">
        <w:rPr>
          <w:lang w:val="en-GB"/>
        </w:rPr>
        <w:fldChar w:fldCharType="end"/>
      </w:r>
      <w:r w:rsidRPr="00BE51E9">
        <w:rPr>
          <w:lang w:val="en-GB"/>
        </w:rPr>
        <w:t>.  The applicant argued</w:t>
      </w:r>
      <w:r w:rsidRPr="00BE51E9" w:rsidR="00310020">
        <w:rPr>
          <w:lang w:val="en-GB"/>
        </w:rPr>
        <w:t xml:space="preserve"> that due to the deficient domestic </w:t>
      </w:r>
      <w:r w:rsidRPr="00BE51E9" w:rsidR="003B624A">
        <w:rPr>
          <w:lang w:val="en-GB"/>
        </w:rPr>
        <w:t xml:space="preserve">legislative </w:t>
      </w:r>
      <w:r w:rsidRPr="00BE51E9" w:rsidR="00310020">
        <w:rPr>
          <w:lang w:val="en-GB"/>
        </w:rPr>
        <w:t>framework concerning the offence of domestic violence under the 2011 Criminal Code</w:t>
      </w:r>
      <w:r w:rsidRPr="00BE51E9" w:rsidR="00302986">
        <w:rPr>
          <w:lang w:val="en-GB"/>
        </w:rPr>
        <w:t>,</w:t>
      </w:r>
      <w:r w:rsidRPr="00BE51E9" w:rsidR="00310020">
        <w:rPr>
          <w:lang w:val="en-GB"/>
        </w:rPr>
        <w:t xml:space="preserve"> she had not had an effective remedy at her disposal. In this connection</w:t>
      </w:r>
      <w:r w:rsidRPr="00BE51E9" w:rsidR="00302986">
        <w:rPr>
          <w:lang w:val="en-GB"/>
        </w:rPr>
        <w:t>,</w:t>
      </w:r>
      <w:r w:rsidRPr="00BE51E9" w:rsidR="00310020">
        <w:rPr>
          <w:lang w:val="en-GB"/>
        </w:rPr>
        <w:t xml:space="preserve"> she stressed that it was the duty of the State authorities to effectively prosecute the acts of domestic violence </w:t>
      </w:r>
      <w:r w:rsidRPr="00BE51E9" w:rsidR="00302986">
        <w:rPr>
          <w:lang w:val="en-GB"/>
        </w:rPr>
        <w:t xml:space="preserve">perpetrated </w:t>
      </w:r>
      <w:r w:rsidRPr="00BE51E9" w:rsidR="00310020">
        <w:rPr>
          <w:lang w:val="en-GB"/>
        </w:rPr>
        <w:t>against her. In her view, it was unacceptable</w:t>
      </w:r>
      <w:r w:rsidRPr="00BE51E9" w:rsidR="003B624A">
        <w:rPr>
          <w:lang w:val="en-GB"/>
        </w:rPr>
        <w:t>,</w:t>
      </w:r>
      <w:r w:rsidRPr="00BE51E9" w:rsidR="00310020">
        <w:rPr>
          <w:lang w:val="en-GB"/>
        </w:rPr>
        <w:t xml:space="preserve"> from the perspective of the State</w:t>
      </w:r>
      <w:r w:rsidRPr="00BE51E9" w:rsidR="00BE51E9">
        <w:rPr>
          <w:lang w:val="en-GB"/>
        </w:rPr>
        <w:t>’</w:t>
      </w:r>
      <w:r w:rsidRPr="00BE51E9" w:rsidR="00310020">
        <w:rPr>
          <w:lang w:val="en-GB"/>
        </w:rPr>
        <w:t>s positive obligations</w:t>
      </w:r>
      <w:r w:rsidRPr="00BE51E9" w:rsidR="003B624A">
        <w:rPr>
          <w:lang w:val="en-GB"/>
        </w:rPr>
        <w:t>,</w:t>
      </w:r>
      <w:r w:rsidRPr="00BE51E9" w:rsidR="00310020">
        <w:rPr>
          <w:lang w:val="en-GB"/>
        </w:rPr>
        <w:t xml:space="preserve"> to leave victim</w:t>
      </w:r>
      <w:r w:rsidRPr="00BE51E9" w:rsidR="005F6AE1">
        <w:rPr>
          <w:lang w:val="en-GB"/>
        </w:rPr>
        <w:t>s</w:t>
      </w:r>
      <w:r w:rsidRPr="00BE51E9" w:rsidR="00310020">
        <w:rPr>
          <w:lang w:val="en-GB"/>
        </w:rPr>
        <w:t xml:space="preserve"> of domestic violence to pursue the prosecution of the perpetrator on their own initiative, without any assistance </w:t>
      </w:r>
      <w:r w:rsidRPr="00BE51E9" w:rsidR="00302986">
        <w:rPr>
          <w:lang w:val="en-GB"/>
        </w:rPr>
        <w:t xml:space="preserve">from </w:t>
      </w:r>
      <w:r w:rsidRPr="00BE51E9" w:rsidR="00310020">
        <w:rPr>
          <w:lang w:val="en-GB"/>
        </w:rPr>
        <w:t>the State.</w:t>
      </w:r>
    </w:p>
    <w:p w:rsidRPr="00BE51E9" w:rsidR="00AB490F" w:rsidP="00BE51E9" w:rsidRDefault="00AB490F">
      <w:pPr>
        <w:pStyle w:val="ECHRHeading3"/>
        <w:rPr>
          <w:rFonts w:eastAsia="Times New Roman"/>
          <w:lang w:val="en-GB" w:eastAsia="fr-FR"/>
        </w:rPr>
      </w:pPr>
      <w:r w:rsidRPr="00BE51E9">
        <w:rPr>
          <w:rFonts w:eastAsia="Times New Roman"/>
          <w:lang w:val="en-GB" w:eastAsia="fr-FR"/>
        </w:rPr>
        <w:t>2.  The Court</w:t>
      </w:r>
      <w:r w:rsidRPr="00BE51E9" w:rsidR="00BE51E9">
        <w:rPr>
          <w:rFonts w:eastAsia="Times New Roman"/>
          <w:lang w:val="en-GB" w:eastAsia="fr-FR"/>
        </w:rPr>
        <w:t>’</w:t>
      </w:r>
      <w:r w:rsidRPr="00BE51E9">
        <w:rPr>
          <w:rFonts w:eastAsia="Times New Roman"/>
          <w:lang w:val="en-GB" w:eastAsia="fr-FR"/>
        </w:rPr>
        <w:t>s assessment</w:t>
      </w:r>
    </w:p>
    <w:p w:rsidRPr="00BE51E9" w:rsidR="00144362" w:rsidP="00BE51E9" w:rsidRDefault="00AB490F">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43</w:t>
      </w:r>
      <w:r w:rsidRPr="00BE51E9">
        <w:rPr>
          <w:lang w:val="en-GB"/>
        </w:rPr>
        <w:fldChar w:fldCharType="end"/>
      </w:r>
      <w:r w:rsidRPr="00BE51E9">
        <w:rPr>
          <w:lang w:val="en-GB"/>
        </w:rPr>
        <w:t xml:space="preserve">.  The Court considers that the </w:t>
      </w:r>
      <w:r w:rsidRPr="00BE51E9" w:rsidR="00B15ACB">
        <w:rPr>
          <w:lang w:val="en-GB"/>
        </w:rPr>
        <w:t xml:space="preserve">question of </w:t>
      </w:r>
      <w:r w:rsidRPr="00BE51E9" w:rsidR="00302986">
        <w:rPr>
          <w:lang w:val="en-GB"/>
        </w:rPr>
        <w:t xml:space="preserve">the </w:t>
      </w:r>
      <w:r w:rsidRPr="00BE51E9" w:rsidR="00B15ACB">
        <w:rPr>
          <w:lang w:val="en-GB"/>
        </w:rPr>
        <w:t>effectiveness of</w:t>
      </w:r>
      <w:r w:rsidRPr="00BE51E9">
        <w:rPr>
          <w:lang w:val="en-GB"/>
        </w:rPr>
        <w:t xml:space="preserve"> private prosecution for the acts of domestic violence </w:t>
      </w:r>
      <w:r w:rsidRPr="00BE51E9" w:rsidR="00302986">
        <w:rPr>
          <w:lang w:val="en-GB"/>
        </w:rPr>
        <w:t xml:space="preserve">perpetrated </w:t>
      </w:r>
      <w:r w:rsidRPr="00BE51E9">
        <w:rPr>
          <w:lang w:val="en-GB"/>
        </w:rPr>
        <w:t>against the applicant</w:t>
      </w:r>
      <w:r w:rsidRPr="00BE51E9" w:rsidR="00B15ACB">
        <w:rPr>
          <w:lang w:val="en-GB"/>
        </w:rPr>
        <w:t xml:space="preserve"> is closely linked to the substance of the applicant</w:t>
      </w:r>
      <w:r w:rsidRPr="00BE51E9" w:rsidR="00BE51E9">
        <w:rPr>
          <w:lang w:val="en-GB"/>
        </w:rPr>
        <w:t>’</w:t>
      </w:r>
      <w:r w:rsidRPr="00BE51E9" w:rsidR="00B15ACB">
        <w:rPr>
          <w:lang w:val="en-GB"/>
        </w:rPr>
        <w:t xml:space="preserve">s complaint </w:t>
      </w:r>
      <w:r w:rsidRPr="00BE51E9" w:rsidR="00302986">
        <w:rPr>
          <w:lang w:val="en-GB"/>
        </w:rPr>
        <w:t xml:space="preserve">that </w:t>
      </w:r>
      <w:r w:rsidRPr="00BE51E9" w:rsidR="00B15ACB">
        <w:rPr>
          <w:lang w:val="en-GB"/>
        </w:rPr>
        <w:t xml:space="preserve">the domestic authorities </w:t>
      </w:r>
      <w:r w:rsidRPr="00BE51E9" w:rsidR="00302986">
        <w:rPr>
          <w:lang w:val="en-GB"/>
        </w:rPr>
        <w:t xml:space="preserve">failed </w:t>
      </w:r>
      <w:r w:rsidRPr="00BE51E9" w:rsidR="00B15ACB">
        <w:rPr>
          <w:lang w:val="en-GB"/>
        </w:rPr>
        <w:t>to effectively discharge their positive obligations under the Convention. The Court therefore finds that</w:t>
      </w:r>
      <w:r w:rsidRPr="00BE51E9" w:rsidR="00B15ACB">
        <w:t xml:space="preserve"> </w:t>
      </w:r>
      <w:r w:rsidRPr="00BE51E9" w:rsidR="00B15ACB">
        <w:rPr>
          <w:lang w:val="en-GB"/>
        </w:rPr>
        <w:t>the Government</w:t>
      </w:r>
      <w:r w:rsidRPr="00BE51E9" w:rsidR="00BE51E9">
        <w:rPr>
          <w:lang w:val="en-GB"/>
        </w:rPr>
        <w:t>’</w:t>
      </w:r>
      <w:r w:rsidRPr="00BE51E9" w:rsidR="00B15ACB">
        <w:rPr>
          <w:lang w:val="en-GB"/>
        </w:rPr>
        <w:t>s objection</w:t>
      </w:r>
      <w:r w:rsidRPr="00BE51E9" w:rsidR="00E05A8A">
        <w:rPr>
          <w:lang w:val="en-GB"/>
        </w:rPr>
        <w:t xml:space="preserve"> as to the exhaustion of domestic remedies</w:t>
      </w:r>
      <w:r w:rsidRPr="00BE51E9" w:rsidR="00B15ACB">
        <w:rPr>
          <w:lang w:val="en-GB"/>
        </w:rPr>
        <w:t xml:space="preserve"> should be joined to the merits.</w:t>
      </w:r>
    </w:p>
    <w:p w:rsidRPr="00BE51E9" w:rsidR="00014566" w:rsidP="00BE51E9" w:rsidRDefault="00B15ACB">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44</w:t>
      </w:r>
      <w:r w:rsidRPr="00BE51E9">
        <w:rPr>
          <w:lang w:val="en-GB"/>
        </w:rPr>
        <w:fldChar w:fldCharType="end"/>
      </w:r>
      <w:r w:rsidRPr="00BE51E9">
        <w:rPr>
          <w:lang w:val="en-GB"/>
        </w:rPr>
        <w:t xml:space="preserve">.  The Court </w:t>
      </w:r>
      <w:r w:rsidRPr="00BE51E9" w:rsidR="00014566">
        <w:rPr>
          <w:lang w:val="en-GB"/>
        </w:rPr>
        <w:t>notes that the application is not manifestly ill-founded within the meaning of Article 35 § 3 (a) of the Convention. It further notes that it is not inadmissible on any other grounds. It must therefore be declared admissible.</w:t>
      </w:r>
    </w:p>
    <w:p w:rsidRPr="00BE51E9" w:rsidR="00014566" w:rsidP="00BE51E9" w:rsidRDefault="00014566">
      <w:pPr>
        <w:pStyle w:val="ECHRHeading2"/>
        <w:rPr>
          <w:lang w:val="en-GB"/>
        </w:rPr>
      </w:pPr>
      <w:r w:rsidRPr="00BE51E9">
        <w:rPr>
          <w:lang w:val="en-GB"/>
        </w:rPr>
        <w:t>B.  Merits</w:t>
      </w:r>
    </w:p>
    <w:p w:rsidRPr="00BE51E9" w:rsidR="00213E40" w:rsidP="00BE51E9" w:rsidRDefault="00213E40">
      <w:pPr>
        <w:pStyle w:val="ECHRHeading3"/>
        <w:rPr>
          <w:rFonts w:eastAsia="Times New Roman"/>
          <w:lang w:val="en-GB" w:eastAsia="fr-FR"/>
        </w:rPr>
      </w:pPr>
      <w:r w:rsidRPr="00BE51E9">
        <w:rPr>
          <w:rFonts w:eastAsia="Times New Roman"/>
          <w:lang w:val="en-GB" w:eastAsia="fr-FR"/>
        </w:rPr>
        <w:t>1.  The parties</w:t>
      </w:r>
      <w:r w:rsidRPr="00BE51E9" w:rsidR="00BE51E9">
        <w:rPr>
          <w:rFonts w:eastAsia="Times New Roman"/>
          <w:lang w:val="en-GB" w:eastAsia="fr-FR"/>
        </w:rPr>
        <w:t>’</w:t>
      </w:r>
      <w:r w:rsidRPr="00BE51E9">
        <w:rPr>
          <w:rFonts w:eastAsia="Times New Roman"/>
          <w:lang w:val="en-GB" w:eastAsia="fr-FR"/>
        </w:rPr>
        <w:t xml:space="preserve"> arguments</w:t>
      </w:r>
    </w:p>
    <w:p w:rsidRPr="00BE51E9" w:rsidR="00EF60C1" w:rsidP="00BE51E9" w:rsidRDefault="00213E40">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45</w:t>
      </w:r>
      <w:r w:rsidRPr="00BE51E9">
        <w:rPr>
          <w:lang w:val="en-GB"/>
        </w:rPr>
        <w:fldChar w:fldCharType="end"/>
      </w:r>
      <w:r w:rsidRPr="00BE51E9">
        <w:rPr>
          <w:lang w:val="en-GB"/>
        </w:rPr>
        <w:t>.  The applicant contended</w:t>
      </w:r>
      <w:r w:rsidRPr="00BE51E9" w:rsidR="00DC7256">
        <w:rPr>
          <w:lang w:val="en-GB"/>
        </w:rPr>
        <w:t xml:space="preserve"> that it had been incumbent on the State authorities to put in place effective procedures allowing for the prosecution and punishment of the acts of domestic violence </w:t>
      </w:r>
      <w:r w:rsidRPr="00BE51E9" w:rsidR="00302986">
        <w:rPr>
          <w:lang w:val="en-GB"/>
        </w:rPr>
        <w:t xml:space="preserve">perpetrated </w:t>
      </w:r>
      <w:r w:rsidRPr="00BE51E9" w:rsidR="00DC7256">
        <w:rPr>
          <w:lang w:val="en-GB"/>
        </w:rPr>
        <w:t xml:space="preserve">against her. She pointed out that there was no doubt that the acts to which she had been subjected by B.B. amounted to a criminal offence. However, further criminal prosecution had been discontinued due to the deficient domestic framework which, </w:t>
      </w:r>
      <w:r w:rsidRPr="00BE51E9" w:rsidR="00302986">
        <w:rPr>
          <w:lang w:val="en-GB"/>
        </w:rPr>
        <w:t xml:space="preserve">after the entry </w:t>
      </w:r>
      <w:r w:rsidRPr="00BE51E9" w:rsidR="00DC7256">
        <w:rPr>
          <w:lang w:val="en-GB"/>
        </w:rPr>
        <w:t>into force of the 2011 Criminal Code, no longer provided for a criminal offence of domestic violence. In her view, this had resulted in the trivialisation of acts of domestic violence</w:t>
      </w:r>
      <w:r w:rsidRPr="00BE51E9" w:rsidR="00302986">
        <w:rPr>
          <w:lang w:val="en-GB"/>
        </w:rPr>
        <w:t>,</w:t>
      </w:r>
      <w:r w:rsidRPr="00BE51E9" w:rsidR="00DC7256">
        <w:rPr>
          <w:lang w:val="en-GB"/>
        </w:rPr>
        <w:t xml:space="preserve"> allowing </w:t>
      </w:r>
      <w:r w:rsidRPr="00BE51E9" w:rsidR="00302986">
        <w:rPr>
          <w:lang w:val="en-GB"/>
        </w:rPr>
        <w:t xml:space="preserve">their prosecution </w:t>
      </w:r>
      <w:r w:rsidRPr="00BE51E9" w:rsidR="00DC7256">
        <w:rPr>
          <w:lang w:val="en-GB"/>
        </w:rPr>
        <w:t>only in the context of the minor offences law.</w:t>
      </w:r>
      <w:r w:rsidRPr="00BE51E9" w:rsidR="004913CC">
        <w:rPr>
          <w:lang w:val="en-GB"/>
        </w:rPr>
        <w:t xml:space="preserve"> Moreover, the applicant considered that the State had failed to </w:t>
      </w:r>
      <w:r w:rsidRPr="00BE51E9" w:rsidR="00302986">
        <w:rPr>
          <w:lang w:val="en-GB"/>
        </w:rPr>
        <w:t xml:space="preserve">ensure </w:t>
      </w:r>
      <w:r w:rsidRPr="00BE51E9" w:rsidR="004913CC">
        <w:rPr>
          <w:lang w:val="en-GB"/>
        </w:rPr>
        <w:t>an adequate transition to the new criminal</w:t>
      </w:r>
      <w:r w:rsidRPr="00BE51E9" w:rsidR="003B624A">
        <w:rPr>
          <w:lang w:val="en-GB"/>
        </w:rPr>
        <w:t>-</w:t>
      </w:r>
      <w:r w:rsidRPr="00BE51E9" w:rsidR="004913CC">
        <w:rPr>
          <w:lang w:val="en-GB"/>
        </w:rPr>
        <w:t xml:space="preserve">justice framework concerning domestic violence so as to allow the completion of pending criminal cases of domestic violence. As a consequence, she </w:t>
      </w:r>
      <w:r w:rsidRPr="00BE51E9" w:rsidR="00302986">
        <w:rPr>
          <w:lang w:val="en-GB"/>
        </w:rPr>
        <w:t xml:space="preserve">had </w:t>
      </w:r>
      <w:r w:rsidRPr="00BE51E9" w:rsidR="004913CC">
        <w:rPr>
          <w:lang w:val="en-GB"/>
        </w:rPr>
        <w:t xml:space="preserve">not even </w:t>
      </w:r>
      <w:r w:rsidRPr="00BE51E9" w:rsidR="00302986">
        <w:rPr>
          <w:lang w:val="en-GB"/>
        </w:rPr>
        <w:t xml:space="preserve">been </w:t>
      </w:r>
      <w:r w:rsidRPr="00BE51E9" w:rsidR="004913CC">
        <w:rPr>
          <w:lang w:val="en-GB"/>
        </w:rPr>
        <w:t>in a position to institute minor offences proceedings</w:t>
      </w:r>
      <w:r w:rsidRPr="00BE51E9" w:rsidR="00302986">
        <w:rPr>
          <w:lang w:val="en-GB"/>
        </w:rPr>
        <w:t>,</w:t>
      </w:r>
      <w:r w:rsidRPr="00BE51E9" w:rsidR="004913CC">
        <w:rPr>
          <w:lang w:val="en-GB"/>
        </w:rPr>
        <w:t xml:space="preserve"> as all the relevant statutory limitation periods had expired. She had therefore been denied any form of legal protection from the acts of domestic violence to which she had been subjected.</w:t>
      </w:r>
    </w:p>
    <w:p w:rsidRPr="00BE51E9" w:rsidR="00EF60C1" w:rsidP="00BE51E9" w:rsidRDefault="004913CC">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46</w:t>
      </w:r>
      <w:r w:rsidRPr="00BE51E9">
        <w:rPr>
          <w:lang w:val="en-GB"/>
        </w:rPr>
        <w:fldChar w:fldCharType="end"/>
      </w:r>
      <w:r w:rsidRPr="00BE51E9">
        <w:rPr>
          <w:lang w:val="en-GB"/>
        </w:rPr>
        <w:t>.  </w:t>
      </w:r>
      <w:r w:rsidRPr="00BE51E9" w:rsidR="00213E40">
        <w:rPr>
          <w:lang w:val="en-GB"/>
        </w:rPr>
        <w:t>The Government submitted</w:t>
      </w:r>
      <w:r w:rsidRPr="00BE51E9">
        <w:rPr>
          <w:lang w:val="en-GB"/>
        </w:rPr>
        <w:t xml:space="preserve"> that there had been a pressing need for reforms to the </w:t>
      </w:r>
      <w:r w:rsidRPr="00BE51E9" w:rsidR="003B624A">
        <w:rPr>
          <w:lang w:val="en-GB"/>
        </w:rPr>
        <w:t xml:space="preserve">prosecution </w:t>
      </w:r>
      <w:r w:rsidRPr="00BE51E9">
        <w:rPr>
          <w:lang w:val="en-GB"/>
        </w:rPr>
        <w:t xml:space="preserve">of domestic violence as provided </w:t>
      </w:r>
      <w:r w:rsidRPr="00BE51E9" w:rsidR="00302986">
        <w:rPr>
          <w:lang w:val="en-GB"/>
        </w:rPr>
        <w:t xml:space="preserve">for under </w:t>
      </w:r>
      <w:r w:rsidRPr="00BE51E9">
        <w:rPr>
          <w:lang w:val="en-GB"/>
        </w:rPr>
        <w:t>the 1997 Criminal Code</w:t>
      </w:r>
      <w:r w:rsidRPr="00BE51E9" w:rsidR="008F3B88">
        <w:rPr>
          <w:lang w:val="en-GB"/>
        </w:rPr>
        <w:t>. In particular, Article 215a of the 1997 Criminal Code had been vague and ambiguous</w:t>
      </w:r>
      <w:r w:rsidRPr="00BE51E9" w:rsidR="003B624A">
        <w:rPr>
          <w:lang w:val="en-GB"/>
        </w:rPr>
        <w:t>,</w:t>
      </w:r>
      <w:r w:rsidRPr="00BE51E9" w:rsidR="008F3B88">
        <w:rPr>
          <w:lang w:val="en-GB"/>
        </w:rPr>
        <w:t xml:space="preserve"> and had therefore raised an issue of legal certainty in its application. Moreover, it had opened </w:t>
      </w:r>
      <w:r w:rsidRPr="00BE51E9" w:rsidR="00302986">
        <w:rPr>
          <w:lang w:val="en-GB"/>
        </w:rPr>
        <w:t xml:space="preserve">the </w:t>
      </w:r>
      <w:r w:rsidRPr="00BE51E9" w:rsidR="008F3B88">
        <w:rPr>
          <w:lang w:val="en-GB"/>
        </w:rPr>
        <w:t>possibility of duplication of criminal and minor offences proceedings for the same acts of domestic violence</w:t>
      </w:r>
      <w:r w:rsidRPr="00BE51E9" w:rsidR="00D63197">
        <w:rPr>
          <w:lang w:val="en-GB"/>
        </w:rPr>
        <w:t xml:space="preserve">, which had raised an issue from the perspective of the </w:t>
      </w:r>
      <w:r w:rsidRPr="00BE51E9" w:rsidR="008F3B88">
        <w:rPr>
          <w:i/>
          <w:lang w:val="en-GB"/>
        </w:rPr>
        <w:t>ne bis in idem</w:t>
      </w:r>
      <w:r w:rsidRPr="00BE51E9" w:rsidR="008F3B88">
        <w:rPr>
          <w:lang w:val="en-GB"/>
        </w:rPr>
        <w:t xml:space="preserve"> principle as defined in the Court</w:t>
      </w:r>
      <w:r w:rsidRPr="00BE51E9" w:rsidR="00BE51E9">
        <w:rPr>
          <w:lang w:val="en-GB"/>
        </w:rPr>
        <w:t>’</w:t>
      </w:r>
      <w:r w:rsidRPr="00BE51E9" w:rsidR="008F3B88">
        <w:rPr>
          <w:lang w:val="en-GB"/>
        </w:rPr>
        <w:t>s case-law.</w:t>
      </w:r>
      <w:r w:rsidRPr="00BE51E9" w:rsidR="00742859">
        <w:rPr>
          <w:lang w:val="en-GB"/>
        </w:rPr>
        <w:t xml:space="preserve"> T</w:t>
      </w:r>
      <w:r w:rsidRPr="00BE51E9" w:rsidR="00D63197">
        <w:rPr>
          <w:lang w:val="en-GB"/>
        </w:rPr>
        <w:t>he Government</w:t>
      </w:r>
      <w:r w:rsidRPr="00BE51E9" w:rsidR="00742859">
        <w:rPr>
          <w:lang w:val="en-GB"/>
        </w:rPr>
        <w:t xml:space="preserve"> further</w:t>
      </w:r>
      <w:r w:rsidRPr="00BE51E9" w:rsidR="00D63197">
        <w:rPr>
          <w:lang w:val="en-GB"/>
        </w:rPr>
        <w:t xml:space="preserve"> stressed that although the 2011 Criminal Code </w:t>
      </w:r>
      <w:r w:rsidRPr="00BE51E9" w:rsidR="0068041B">
        <w:rPr>
          <w:lang w:val="en-GB"/>
        </w:rPr>
        <w:t xml:space="preserve">had </w:t>
      </w:r>
      <w:r w:rsidRPr="00BE51E9" w:rsidR="00D63197">
        <w:rPr>
          <w:lang w:val="en-GB"/>
        </w:rPr>
        <w:t xml:space="preserve">abolished the </w:t>
      </w:r>
      <w:r w:rsidRPr="00BE51E9" w:rsidR="003B624A">
        <w:rPr>
          <w:lang w:val="en-GB"/>
        </w:rPr>
        <w:t xml:space="preserve">separate criminal </w:t>
      </w:r>
      <w:r w:rsidRPr="00BE51E9" w:rsidR="00D63197">
        <w:rPr>
          <w:lang w:val="en-GB"/>
        </w:rPr>
        <w:t>offence of domestic violence</w:t>
      </w:r>
      <w:r w:rsidRPr="00BE51E9" w:rsidR="003B624A">
        <w:rPr>
          <w:lang w:val="en-GB"/>
        </w:rPr>
        <w:t>,</w:t>
      </w:r>
      <w:r w:rsidRPr="00BE51E9" w:rsidR="00144362">
        <w:rPr>
          <w:lang w:val="en-GB"/>
        </w:rPr>
        <w:t xml:space="preserve"> </w:t>
      </w:r>
      <w:r w:rsidRPr="00BE51E9" w:rsidR="00D63197">
        <w:rPr>
          <w:lang w:val="en-GB"/>
        </w:rPr>
        <w:t>continuity of criminal responsibility had been secured through the criminalisation of acts of domestic violence</w:t>
      </w:r>
      <w:r w:rsidRPr="00BE51E9" w:rsidR="008F3B88">
        <w:rPr>
          <w:lang w:val="en-GB"/>
        </w:rPr>
        <w:t xml:space="preserve"> </w:t>
      </w:r>
      <w:r w:rsidRPr="00BE51E9" w:rsidR="00D63197">
        <w:rPr>
          <w:lang w:val="en-GB"/>
        </w:rPr>
        <w:t>as aggravating forms of other criminal offences, most of which had been subject to public prosecution.</w:t>
      </w:r>
      <w:r w:rsidRPr="00BE51E9" w:rsidR="00742859">
        <w:rPr>
          <w:lang w:val="en-GB"/>
        </w:rPr>
        <w:t xml:space="preserve"> In the Government</w:t>
      </w:r>
      <w:r w:rsidRPr="00BE51E9" w:rsidR="00BE51E9">
        <w:rPr>
          <w:lang w:val="en-GB"/>
        </w:rPr>
        <w:t>’</w:t>
      </w:r>
      <w:r w:rsidRPr="00BE51E9" w:rsidR="00742859">
        <w:rPr>
          <w:lang w:val="en-GB"/>
        </w:rPr>
        <w:t xml:space="preserve">s view, in the case at issue the applicant had been provided with an effective opportunity to pursue private criminal </w:t>
      </w:r>
      <w:r w:rsidRPr="00BE51E9" w:rsidR="00CC5EEE">
        <w:rPr>
          <w:lang w:val="en-GB"/>
        </w:rPr>
        <w:t xml:space="preserve">proceedings </w:t>
      </w:r>
      <w:r w:rsidRPr="00BE51E9" w:rsidR="00742859">
        <w:rPr>
          <w:lang w:val="en-GB"/>
        </w:rPr>
        <w:t>against B.B. but she had failed to avail herself of that opportunity. The Government therefore considered that there had been nothing suggesting inadequacy of the domestic legal framework for the protection of victims of domestic violence</w:t>
      </w:r>
      <w:r w:rsidRPr="00BE51E9" w:rsidR="00C1123E">
        <w:rPr>
          <w:lang w:val="en-GB"/>
        </w:rPr>
        <w:t xml:space="preserve"> from the perspective of the State</w:t>
      </w:r>
      <w:r w:rsidRPr="00BE51E9" w:rsidR="00BE51E9">
        <w:rPr>
          <w:lang w:val="en-GB"/>
        </w:rPr>
        <w:t>’</w:t>
      </w:r>
      <w:r w:rsidRPr="00BE51E9" w:rsidR="00C1123E">
        <w:rPr>
          <w:lang w:val="en-GB"/>
        </w:rPr>
        <w:t>s positive obligations under the Convention.</w:t>
      </w:r>
    </w:p>
    <w:p w:rsidRPr="00BE51E9" w:rsidR="00213E40" w:rsidP="00BE51E9" w:rsidRDefault="00213E40">
      <w:pPr>
        <w:pStyle w:val="ECHRHeading3"/>
        <w:rPr>
          <w:rFonts w:eastAsia="Times New Roman"/>
          <w:lang w:val="en-GB" w:eastAsia="fr-FR"/>
        </w:rPr>
      </w:pPr>
      <w:r w:rsidRPr="00BE51E9">
        <w:rPr>
          <w:rFonts w:eastAsia="Times New Roman"/>
          <w:lang w:val="en-GB" w:eastAsia="fr-FR"/>
        </w:rPr>
        <w:t>2.  The Court</w:t>
      </w:r>
      <w:r w:rsidRPr="00BE51E9" w:rsidR="00BE51E9">
        <w:rPr>
          <w:rFonts w:eastAsia="Times New Roman"/>
          <w:lang w:val="en-GB" w:eastAsia="fr-FR"/>
        </w:rPr>
        <w:t>’</w:t>
      </w:r>
      <w:r w:rsidRPr="00BE51E9">
        <w:rPr>
          <w:rFonts w:eastAsia="Times New Roman"/>
          <w:lang w:val="en-GB" w:eastAsia="fr-FR"/>
        </w:rPr>
        <w:t>s assessment</w:t>
      </w:r>
    </w:p>
    <w:p w:rsidRPr="00BE51E9" w:rsidR="00144362" w:rsidP="00BE51E9" w:rsidRDefault="002617D8">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47</w:t>
      </w:r>
      <w:r w:rsidRPr="00BE51E9">
        <w:rPr>
          <w:lang w:val="en-GB"/>
        </w:rPr>
        <w:fldChar w:fldCharType="end"/>
      </w:r>
      <w:r w:rsidRPr="00BE51E9" w:rsidR="005F6AE1">
        <w:rPr>
          <w:lang w:val="en-GB"/>
        </w:rPr>
        <w:t>.  As a preliminary point, the Court notes</w:t>
      </w:r>
      <w:r w:rsidRPr="00BE51E9">
        <w:rPr>
          <w:lang w:val="en-GB"/>
        </w:rPr>
        <w:t xml:space="preserve"> that the applicant made credible assertions that over a period of several years B.B. </w:t>
      </w:r>
      <w:r w:rsidRPr="00BE51E9" w:rsidR="003B624A">
        <w:rPr>
          <w:lang w:val="en-GB"/>
        </w:rPr>
        <w:t xml:space="preserve">had </w:t>
      </w:r>
      <w:r w:rsidRPr="00BE51E9">
        <w:rPr>
          <w:lang w:val="en-GB"/>
        </w:rPr>
        <w:t>presented a threat to her physical integrity</w:t>
      </w:r>
      <w:r w:rsidRPr="00BE51E9" w:rsidR="001F1E73">
        <w:rPr>
          <w:lang w:val="en-GB"/>
        </w:rPr>
        <w:t xml:space="preserve"> </w:t>
      </w:r>
      <w:r w:rsidRPr="00BE51E9" w:rsidR="001F1E73">
        <w:t xml:space="preserve">and well-being </w:t>
      </w:r>
      <w:r w:rsidRPr="00BE51E9">
        <w:rPr>
          <w:lang w:val="en-GB"/>
        </w:rPr>
        <w:t>and had actually attacked her on several occasions (see paragraph 10 above).</w:t>
      </w:r>
      <w:r w:rsidRPr="00BE51E9" w:rsidR="00221F36">
        <w:rPr>
          <w:lang w:val="en-GB"/>
        </w:rPr>
        <w:t xml:space="preserve"> </w:t>
      </w:r>
      <w:r w:rsidRPr="00BE51E9">
        <w:rPr>
          <w:lang w:val="en-GB"/>
        </w:rPr>
        <w:t xml:space="preserve">In view of </w:t>
      </w:r>
      <w:r w:rsidRPr="00BE51E9" w:rsidR="001F1E73">
        <w:rPr>
          <w:lang w:val="en-GB"/>
        </w:rPr>
        <w:t>th</w:t>
      </w:r>
      <w:r w:rsidRPr="00BE51E9" w:rsidR="00CC5EEE">
        <w:rPr>
          <w:lang w:val="en-GB"/>
        </w:rPr>
        <w:t>o</w:t>
      </w:r>
      <w:r w:rsidRPr="00BE51E9" w:rsidR="001F1E73">
        <w:rPr>
          <w:lang w:val="en-GB"/>
        </w:rPr>
        <w:t>se facts, the Court finds</w:t>
      </w:r>
      <w:r w:rsidRPr="00BE51E9">
        <w:rPr>
          <w:lang w:val="en-GB"/>
        </w:rPr>
        <w:t xml:space="preserve"> that the State authorities</w:t>
      </w:r>
      <w:r w:rsidRPr="00BE51E9" w:rsidR="00BE51E9">
        <w:rPr>
          <w:lang w:val="en-GB"/>
        </w:rPr>
        <w:t>’</w:t>
      </w:r>
      <w:r w:rsidRPr="00BE51E9">
        <w:rPr>
          <w:lang w:val="en-GB"/>
        </w:rPr>
        <w:t xml:space="preserve"> positive obligation</w:t>
      </w:r>
      <w:r w:rsidRPr="00BE51E9" w:rsidR="001F1E73">
        <w:rPr>
          <w:lang w:val="en-GB"/>
        </w:rPr>
        <w:t xml:space="preserve">s to adequately respond to the allegations of domestic violence against the applicant </w:t>
      </w:r>
      <w:r w:rsidRPr="00BE51E9" w:rsidR="005F6AE1">
        <w:rPr>
          <w:lang w:val="en-GB"/>
        </w:rPr>
        <w:t>might arise under the two</w:t>
      </w:r>
      <w:r w:rsidRPr="00BE51E9" w:rsidR="001F1E73">
        <w:rPr>
          <w:lang w:val="en-GB"/>
        </w:rPr>
        <w:t xml:space="preserve"> Articles of the Convention relied upon, namely Articles</w:t>
      </w:r>
      <w:r w:rsidRPr="00BE51E9" w:rsidR="00A95086">
        <w:rPr>
          <w:lang w:val="en-GB"/>
        </w:rPr>
        <w:t> </w:t>
      </w:r>
      <w:r w:rsidRPr="00BE51E9" w:rsidR="001F1E73">
        <w:rPr>
          <w:lang w:val="en-GB"/>
        </w:rPr>
        <w:t>3 and 8. However,</w:t>
      </w:r>
      <w:r w:rsidRPr="00BE51E9" w:rsidR="00624234">
        <w:t xml:space="preserve"> </w:t>
      </w:r>
      <w:r w:rsidRPr="00BE51E9" w:rsidR="001F1E73">
        <w:rPr>
          <w:lang w:val="en-GB"/>
        </w:rPr>
        <w:t>in view of its case-law on the matter (see</w:t>
      </w:r>
      <w:r w:rsidRPr="00BE51E9" w:rsidR="00C346A9">
        <w:rPr>
          <w:lang w:val="en-GB"/>
        </w:rPr>
        <w:t> </w:t>
      </w:r>
      <w:r w:rsidRPr="00BE51E9" w:rsidR="001F1E73">
        <w:rPr>
          <w:i/>
          <w:lang w:val="en-GB"/>
        </w:rPr>
        <w:t>Bevacqua and S. v. Bulgaria</w:t>
      </w:r>
      <w:r w:rsidRPr="00BE51E9" w:rsidR="001F1E73">
        <w:rPr>
          <w:lang w:val="en-GB"/>
        </w:rPr>
        <w:t>, no. 71127/01, § 79, 12 June 2008</w:t>
      </w:r>
      <w:r w:rsidRPr="00BE51E9" w:rsidR="00CC5EEE">
        <w:rPr>
          <w:lang w:val="en-GB"/>
        </w:rPr>
        <w:t>,</w:t>
      </w:r>
      <w:r w:rsidRPr="00BE51E9" w:rsidR="001F1E73">
        <w:rPr>
          <w:lang w:val="en-GB"/>
        </w:rPr>
        <w:t xml:space="preserve"> and </w:t>
      </w:r>
      <w:r w:rsidRPr="00BE51E9" w:rsidR="00A95086">
        <w:rPr>
          <w:i/>
          <w:lang w:val="en-GB"/>
        </w:rPr>
        <w:t>A</w:t>
      </w:r>
      <w:r w:rsidRPr="00BE51E9" w:rsidR="00C346A9">
        <w:rPr>
          <w:i/>
          <w:lang w:val="en-GB"/>
        </w:rPr>
        <w:t> </w:t>
      </w:r>
      <w:r w:rsidRPr="00BE51E9" w:rsidR="00A95086">
        <w:rPr>
          <w:i/>
          <w:lang w:val="en-GB"/>
        </w:rPr>
        <w:t>v. </w:t>
      </w:r>
      <w:r w:rsidRPr="00BE51E9" w:rsidR="001F1E73">
        <w:rPr>
          <w:i/>
          <w:lang w:val="en-GB"/>
        </w:rPr>
        <w:t>Croatia</w:t>
      </w:r>
      <w:r w:rsidRPr="00BE51E9" w:rsidR="001F1E73">
        <w:rPr>
          <w:lang w:val="en-GB"/>
        </w:rPr>
        <w:t xml:space="preserve">, no. 55164/08, § 57, 14 October 2010), the Court considers that </w:t>
      </w:r>
      <w:r w:rsidRPr="00BE51E9" w:rsidR="00CC5EEE">
        <w:rPr>
          <w:lang w:val="en-GB"/>
        </w:rPr>
        <w:t>the</w:t>
      </w:r>
      <w:r w:rsidRPr="00BE51E9" w:rsidR="00624234">
        <w:rPr>
          <w:lang w:val="en-GB"/>
        </w:rPr>
        <w:t xml:space="preserve"> applicant</w:t>
      </w:r>
      <w:r w:rsidRPr="00BE51E9" w:rsidR="00BE51E9">
        <w:rPr>
          <w:lang w:val="en-GB"/>
        </w:rPr>
        <w:t>’</w:t>
      </w:r>
      <w:r w:rsidRPr="00BE51E9" w:rsidR="00624234">
        <w:rPr>
          <w:lang w:val="en-GB"/>
        </w:rPr>
        <w:t>s complaint should be examined under Article 8 of the Convention.</w:t>
      </w:r>
    </w:p>
    <w:p w:rsidRPr="00BE51E9" w:rsidR="00213E40" w:rsidP="00BE51E9" w:rsidRDefault="00213E40">
      <w:pPr>
        <w:pStyle w:val="ECHRHeading4"/>
        <w:rPr>
          <w:rFonts w:eastAsia="Times New Roman"/>
          <w:lang w:val="en-GB" w:eastAsia="fr-FR"/>
        </w:rPr>
      </w:pPr>
      <w:r w:rsidRPr="00BE51E9">
        <w:rPr>
          <w:rFonts w:eastAsia="Times New Roman"/>
          <w:lang w:val="en-GB" w:eastAsia="fr-FR"/>
        </w:rPr>
        <w:t>(a)  General principles</w:t>
      </w:r>
    </w:p>
    <w:p w:rsidRPr="00BE51E9" w:rsidR="00AF6501" w:rsidP="00BE51E9" w:rsidRDefault="00AF6501">
      <w:pPr>
        <w:pStyle w:val="ECHRPara"/>
        <w:rPr>
          <w:rFonts w:ascii="Times New Roman" w:hAnsi="Times New Roman" w:eastAsia="Times New Roman" w:cs="Times New Roman"/>
          <w:szCs w:val="20"/>
          <w:lang w:val="en-GB" w:eastAsia="fr-FR"/>
        </w:rPr>
      </w:pPr>
      <w:r w:rsidRPr="00BE51E9">
        <w:rPr>
          <w:rFonts w:ascii="Times New Roman" w:hAnsi="Times New Roman" w:eastAsia="Times New Roman" w:cs="Times New Roman"/>
          <w:szCs w:val="20"/>
          <w:lang w:val="en-GB" w:eastAsia="fr-FR"/>
        </w:rPr>
        <w:fldChar w:fldCharType="begin"/>
      </w:r>
      <w:r w:rsidRPr="00BE51E9">
        <w:rPr>
          <w:rFonts w:ascii="Times New Roman" w:hAnsi="Times New Roman" w:eastAsia="Times New Roman" w:cs="Times New Roman"/>
          <w:szCs w:val="20"/>
          <w:lang w:val="en-GB" w:eastAsia="fr-FR"/>
        </w:rPr>
        <w:instrText xml:space="preserve"> SEQ level0 \*arabic </w:instrText>
      </w:r>
      <w:r w:rsidRPr="00BE51E9">
        <w:rPr>
          <w:rFonts w:ascii="Times New Roman" w:hAnsi="Times New Roman" w:eastAsia="Times New Roman" w:cs="Times New Roman"/>
          <w:szCs w:val="20"/>
          <w:lang w:val="en-GB" w:eastAsia="fr-FR"/>
        </w:rPr>
        <w:fldChar w:fldCharType="separate"/>
      </w:r>
      <w:r w:rsidRPr="00BE51E9" w:rsidR="00BE51E9">
        <w:rPr>
          <w:rFonts w:ascii="Times New Roman" w:hAnsi="Times New Roman" w:eastAsia="Times New Roman" w:cs="Times New Roman"/>
          <w:noProof/>
          <w:szCs w:val="20"/>
          <w:lang w:val="en-GB" w:eastAsia="fr-FR"/>
        </w:rPr>
        <w:t>48</w:t>
      </w:r>
      <w:r w:rsidRPr="00BE51E9">
        <w:rPr>
          <w:rFonts w:ascii="Times New Roman" w:hAnsi="Times New Roman" w:eastAsia="Times New Roman" w:cs="Times New Roman"/>
          <w:szCs w:val="20"/>
          <w:lang w:val="en-GB" w:eastAsia="fr-FR"/>
        </w:rPr>
        <w:fldChar w:fldCharType="end"/>
      </w:r>
      <w:r w:rsidRPr="00BE51E9">
        <w:rPr>
          <w:rFonts w:ascii="Times New Roman" w:hAnsi="Times New Roman" w:eastAsia="Times New Roman" w:cs="Times New Roman"/>
          <w:szCs w:val="20"/>
          <w:lang w:val="en-GB" w:eastAsia="fr-FR"/>
        </w:rPr>
        <w:t xml:space="preserve">.  The Court has, on a number of occasions, been required to assess whether the response of domestic authorities to domestic violence </w:t>
      </w:r>
      <w:r w:rsidRPr="00BE51E9" w:rsidR="0068041B">
        <w:rPr>
          <w:rFonts w:ascii="Times New Roman" w:hAnsi="Times New Roman" w:eastAsia="Times New Roman" w:cs="Times New Roman"/>
          <w:szCs w:val="20"/>
          <w:lang w:val="en-GB" w:eastAsia="fr-FR"/>
        </w:rPr>
        <w:t>w</w:t>
      </w:r>
      <w:r w:rsidRPr="00BE51E9">
        <w:rPr>
          <w:rFonts w:ascii="Times New Roman" w:hAnsi="Times New Roman" w:eastAsia="Times New Roman" w:cs="Times New Roman"/>
          <w:szCs w:val="20"/>
          <w:lang w:val="en-GB" w:eastAsia="fr-FR"/>
        </w:rPr>
        <w:t>as compatible with their positive obligations under Article 8 of the Convention towards the applicant/victim of that violence. The relevant principles which guide that assessment were</w:t>
      </w:r>
      <w:r w:rsidRPr="00BE51E9" w:rsidR="005D06BC">
        <w:rPr>
          <w:rFonts w:ascii="Times New Roman" w:hAnsi="Times New Roman" w:eastAsia="Times New Roman" w:cs="Times New Roman"/>
          <w:szCs w:val="20"/>
          <w:lang w:val="en-GB" w:eastAsia="fr-FR"/>
        </w:rPr>
        <w:t xml:space="preserve"> comprehensively</w:t>
      </w:r>
      <w:r w:rsidRPr="00BE51E9">
        <w:rPr>
          <w:rFonts w:ascii="Times New Roman" w:hAnsi="Times New Roman" w:eastAsia="Times New Roman" w:cs="Times New Roman"/>
          <w:szCs w:val="20"/>
          <w:lang w:val="en-GB" w:eastAsia="fr-FR"/>
        </w:rPr>
        <w:t xml:space="preserve"> set out in </w:t>
      </w:r>
      <w:r w:rsidRPr="00BE51E9" w:rsidR="005D06BC">
        <w:rPr>
          <w:rFonts w:ascii="Times New Roman" w:hAnsi="Times New Roman" w:eastAsia="Times New Roman" w:cs="Times New Roman"/>
          <w:i/>
          <w:szCs w:val="20"/>
          <w:lang w:val="en-GB" w:eastAsia="fr-FR"/>
        </w:rPr>
        <w:t>Irene Wilson v. the United Kingdom</w:t>
      </w:r>
      <w:r w:rsidRPr="00BE51E9" w:rsidR="005D06BC">
        <w:rPr>
          <w:rFonts w:ascii="Times New Roman" w:hAnsi="Times New Roman" w:eastAsia="Times New Roman" w:cs="Times New Roman"/>
          <w:szCs w:val="20"/>
          <w:lang w:val="en-GB" w:eastAsia="fr-FR"/>
        </w:rPr>
        <w:t xml:space="preserve"> </w:t>
      </w:r>
      <w:r w:rsidRPr="00BE51E9" w:rsidR="00CC5EEE">
        <w:rPr>
          <w:rFonts w:ascii="Times New Roman" w:hAnsi="Times New Roman" w:eastAsia="Times New Roman" w:cs="Times New Roman"/>
          <w:szCs w:val="20"/>
          <w:lang w:val="en-GB" w:eastAsia="fr-FR"/>
        </w:rPr>
        <w:t>(</w:t>
      </w:r>
      <w:r w:rsidRPr="00BE51E9" w:rsidR="005D06BC">
        <w:rPr>
          <w:rFonts w:ascii="Times New Roman" w:hAnsi="Times New Roman" w:eastAsia="Times New Roman" w:cs="Times New Roman"/>
          <w:szCs w:val="20"/>
          <w:lang w:val="en-GB" w:eastAsia="fr-FR"/>
        </w:rPr>
        <w:t>(dec.), no. 10601/09, § 37, 23 October 2012</w:t>
      </w:r>
      <w:r w:rsidRPr="00BE51E9" w:rsidR="00EA21BA">
        <w:rPr>
          <w:rFonts w:ascii="Times New Roman" w:hAnsi="Times New Roman" w:eastAsia="Times New Roman" w:cs="Times New Roman"/>
          <w:szCs w:val="20"/>
          <w:lang w:val="en-GB" w:eastAsia="fr-FR"/>
        </w:rPr>
        <w:t xml:space="preserve">, </w:t>
      </w:r>
      <w:r w:rsidRPr="00BE51E9" w:rsidR="00FB5954">
        <w:rPr>
          <w:rFonts w:ascii="Times New Roman" w:hAnsi="Times New Roman" w:eastAsia="Times New Roman" w:cs="Times New Roman"/>
          <w:szCs w:val="20"/>
          <w:lang w:val="en-GB" w:eastAsia="fr-FR"/>
        </w:rPr>
        <w:t>with</w:t>
      </w:r>
      <w:r w:rsidRPr="00BE51E9" w:rsidR="00EA21BA">
        <w:rPr>
          <w:rFonts w:ascii="Times New Roman" w:hAnsi="Times New Roman" w:eastAsia="Times New Roman" w:cs="Times New Roman"/>
          <w:szCs w:val="20"/>
          <w:lang w:val="en-GB" w:eastAsia="fr-FR"/>
        </w:rPr>
        <w:t xml:space="preserve"> further references in §§ 39-46</w:t>
      </w:r>
      <w:r w:rsidRPr="00BE51E9" w:rsidR="00CC5EEE">
        <w:rPr>
          <w:rFonts w:ascii="Times New Roman" w:hAnsi="Times New Roman" w:eastAsia="Times New Roman" w:cs="Times New Roman"/>
          <w:szCs w:val="20"/>
          <w:lang w:val="en-GB" w:eastAsia="fr-FR"/>
        </w:rPr>
        <w:t>)</w:t>
      </w:r>
      <w:r w:rsidRPr="00BE51E9" w:rsidR="005D06BC">
        <w:rPr>
          <w:rFonts w:ascii="Times New Roman" w:hAnsi="Times New Roman" w:eastAsia="Times New Roman" w:cs="Times New Roman"/>
          <w:szCs w:val="20"/>
          <w:lang w:val="en-GB" w:eastAsia="fr-FR"/>
        </w:rPr>
        <w:t xml:space="preserve">. </w:t>
      </w:r>
      <w:r w:rsidRPr="00BE51E9">
        <w:rPr>
          <w:rFonts w:ascii="Times New Roman" w:hAnsi="Times New Roman" w:eastAsia="Times New Roman" w:cs="Times New Roman"/>
          <w:snapToGrid w:val="0"/>
          <w:szCs w:val="24"/>
          <w:lang w:val="en-GB"/>
        </w:rPr>
        <w:t>Those principles are:</w:t>
      </w:r>
    </w:p>
    <w:p w:rsidRPr="00BE51E9" w:rsidR="00AF6501" w:rsidP="00BE51E9" w:rsidRDefault="00144362">
      <w:pPr>
        <w:pStyle w:val="ECHRParaQuote"/>
        <w:rPr>
          <w:rFonts w:eastAsia="Times New Roman"/>
          <w:lang w:val="en-GB"/>
        </w:rPr>
      </w:pPr>
      <w:r w:rsidRPr="00BE51E9">
        <w:rPr>
          <w:rFonts w:eastAsia="Times New Roman"/>
          <w:lang w:val="en-GB" w:eastAsia="fr-FR"/>
        </w:rPr>
        <w:t>“-  </w:t>
      </w:r>
      <w:r w:rsidRPr="00BE51E9" w:rsidR="00AF6501">
        <w:rPr>
          <w:rFonts w:eastAsia="Times New Roman"/>
          <w:lang w:val="en-GB"/>
        </w:rPr>
        <w:t>While the essential object of Article 8 of the Convention is to protect the individual against arbitrary action by public authorities, there may in addition be positive obligations inherent in effective “respect” for private and family life</w:t>
      </w:r>
      <w:r w:rsidRPr="00BE51E9" w:rsidR="003B624A">
        <w:rPr>
          <w:rFonts w:eastAsia="Times New Roman"/>
          <w:lang w:val="en-GB"/>
        </w:rPr>
        <w:t>.</w:t>
      </w:r>
      <w:r w:rsidRPr="00BE51E9" w:rsidR="00AF6501">
        <w:rPr>
          <w:rFonts w:eastAsia="Times New Roman"/>
          <w:lang w:val="en-GB"/>
        </w:rPr>
        <w:t xml:space="preserve"> </w:t>
      </w:r>
      <w:r w:rsidRPr="00BE51E9" w:rsidR="003B624A">
        <w:rPr>
          <w:rFonts w:eastAsia="Times New Roman"/>
          <w:lang w:val="en-GB"/>
        </w:rPr>
        <w:t>T</w:t>
      </w:r>
      <w:r w:rsidRPr="00BE51E9" w:rsidR="00AF6501">
        <w:rPr>
          <w:rFonts w:eastAsia="Times New Roman"/>
          <w:lang w:val="en-GB"/>
        </w:rPr>
        <w:t>h</w:t>
      </w:r>
      <w:r w:rsidRPr="00BE51E9" w:rsidR="003B624A">
        <w:rPr>
          <w:rFonts w:eastAsia="Times New Roman"/>
          <w:lang w:val="en-GB"/>
        </w:rPr>
        <w:t>o</w:t>
      </w:r>
      <w:r w:rsidRPr="00BE51E9" w:rsidR="00AF6501">
        <w:rPr>
          <w:rFonts w:eastAsia="Times New Roman"/>
          <w:lang w:val="en-GB"/>
        </w:rPr>
        <w:t>se obligations may involve the adoption of measures in the sphere of the relations between individuals. Children and other vulnerable individuals, in particular, are entitled to effective protection.</w:t>
      </w:r>
    </w:p>
    <w:p w:rsidRPr="00BE51E9" w:rsidR="00AF6501" w:rsidP="00BE51E9" w:rsidRDefault="005D06BC">
      <w:pPr>
        <w:pStyle w:val="ECHRParaQuote"/>
        <w:rPr>
          <w:rFonts w:eastAsia="Times New Roman"/>
          <w:lang w:val="en-GB"/>
        </w:rPr>
      </w:pPr>
      <w:r w:rsidRPr="00BE51E9">
        <w:rPr>
          <w:rFonts w:eastAsia="Times New Roman"/>
          <w:lang w:val="en-GB"/>
        </w:rPr>
        <w:t>-</w:t>
      </w:r>
      <w:r w:rsidRPr="00BE51E9">
        <w:rPr>
          <w:rFonts w:eastAsia="Times New Roman"/>
          <w:lang w:val="en-GB" w:eastAsia="fr-FR"/>
        </w:rPr>
        <w:t>  </w:t>
      </w:r>
      <w:r w:rsidRPr="00BE51E9" w:rsidR="00AF6501">
        <w:rPr>
          <w:rFonts w:eastAsia="Times New Roman"/>
          <w:lang w:val="en-GB"/>
        </w:rPr>
        <w:t>The concept of private life includes a person</w:t>
      </w:r>
      <w:r w:rsidRPr="00BE51E9" w:rsidR="00BE51E9">
        <w:rPr>
          <w:rFonts w:eastAsia="Times New Roman"/>
          <w:lang w:val="en-GB"/>
        </w:rPr>
        <w:t>’</w:t>
      </w:r>
      <w:r w:rsidRPr="00BE51E9" w:rsidR="00AF6501">
        <w:rPr>
          <w:rFonts w:eastAsia="Times New Roman"/>
          <w:lang w:val="en-GB"/>
        </w:rPr>
        <w:t xml:space="preserve">s physical and psychological integrity. Under Article 8 States have a duty to protect the physical and </w:t>
      </w:r>
      <w:r w:rsidRPr="00BE51E9" w:rsidR="00CC5EEE">
        <w:rPr>
          <w:rFonts w:eastAsia="Times New Roman"/>
          <w:lang w:val="en-GB"/>
        </w:rPr>
        <w:t xml:space="preserve">psychological </w:t>
      </w:r>
      <w:r w:rsidRPr="00BE51E9" w:rsidR="00AF6501">
        <w:rPr>
          <w:rFonts w:eastAsia="Times New Roman"/>
          <w:lang w:val="en-GB"/>
        </w:rPr>
        <w:t>integrity of an individual from other persons. To that end</w:t>
      </w:r>
      <w:r w:rsidRPr="00BE51E9" w:rsidR="00922098">
        <w:rPr>
          <w:rFonts w:eastAsia="Times New Roman"/>
          <w:lang w:val="en-GB"/>
        </w:rPr>
        <w:t>,</w:t>
      </w:r>
      <w:r w:rsidRPr="00BE51E9" w:rsidR="00AF6501">
        <w:rPr>
          <w:rFonts w:eastAsia="Times New Roman"/>
          <w:lang w:val="en-GB"/>
        </w:rPr>
        <w:t xml:space="preserve"> they are to maintain and apply in practice an adequate legal framework affording protection against acts of violence by private individuals.</w:t>
      </w:r>
    </w:p>
    <w:p w:rsidRPr="00BE51E9" w:rsidR="00AF6501" w:rsidP="00BE51E9" w:rsidRDefault="005D06BC">
      <w:pPr>
        <w:pStyle w:val="ECHRParaQuote"/>
        <w:rPr>
          <w:rFonts w:eastAsia="Times New Roman"/>
          <w:lang w:val="en-GB"/>
        </w:rPr>
      </w:pPr>
      <w:r w:rsidRPr="00BE51E9">
        <w:rPr>
          <w:rFonts w:eastAsia="Times New Roman"/>
          <w:lang w:val="en-GB"/>
        </w:rPr>
        <w:t>-</w:t>
      </w:r>
      <w:r w:rsidRPr="00BE51E9">
        <w:rPr>
          <w:rFonts w:eastAsia="Times New Roman"/>
          <w:lang w:val="en-GB" w:eastAsia="fr-FR"/>
        </w:rPr>
        <w:t>  </w:t>
      </w:r>
      <w:r w:rsidRPr="00BE51E9" w:rsidR="00AF6501">
        <w:rPr>
          <w:rFonts w:eastAsia="Times New Roman"/>
          <w:lang w:val="en-GB"/>
        </w:rPr>
        <w:t xml:space="preserve">Victims of domestic violence are </w:t>
      </w:r>
      <w:r w:rsidRPr="00BE51E9" w:rsidR="00CC5EEE">
        <w:rPr>
          <w:rFonts w:eastAsia="Times New Roman"/>
          <w:lang w:val="en-GB"/>
        </w:rPr>
        <w:t xml:space="preserve">particularly vulnerable </w:t>
      </w:r>
      <w:r w:rsidRPr="00BE51E9" w:rsidR="00AF6501">
        <w:rPr>
          <w:rFonts w:eastAsia="Times New Roman"/>
          <w:lang w:val="en-GB"/>
        </w:rPr>
        <w:t>and the need for active State involvement in their protection has been emphasised in a number of international instruments (</w:t>
      </w:r>
      <w:r w:rsidRPr="00BE51E9" w:rsidR="00FB5954">
        <w:rPr>
          <w:rFonts w:eastAsia="Times New Roman"/>
          <w:lang w:val="en-GB"/>
        </w:rPr>
        <w:t>see p</w:t>
      </w:r>
      <w:r w:rsidRPr="00BE51E9" w:rsidR="005E0B8B">
        <w:rPr>
          <w:rFonts w:eastAsia="Times New Roman"/>
          <w:lang w:val="en-GB"/>
        </w:rPr>
        <w:t>aragraphs 35-36</w:t>
      </w:r>
      <w:r w:rsidRPr="00BE51E9" w:rsidR="00FB5954">
        <w:rPr>
          <w:rFonts w:eastAsia="Times New Roman"/>
          <w:lang w:val="en-GB"/>
        </w:rPr>
        <w:t xml:space="preserve"> above</w:t>
      </w:r>
      <w:r w:rsidRPr="00BE51E9" w:rsidR="00AF6501">
        <w:rPr>
          <w:rFonts w:eastAsia="Times New Roman"/>
          <w:snapToGrid w:val="0"/>
          <w:szCs w:val="24"/>
          <w:lang w:val="en-GB"/>
        </w:rPr>
        <w:t>)</w:t>
      </w:r>
      <w:r w:rsidRPr="00BE51E9" w:rsidR="00AF6501">
        <w:rPr>
          <w:rFonts w:eastAsia="Times New Roman"/>
          <w:lang w:val="en-GB"/>
        </w:rPr>
        <w:t>.</w:t>
      </w:r>
    </w:p>
    <w:p w:rsidRPr="00BE51E9" w:rsidR="00221F36" w:rsidP="00BE51E9" w:rsidRDefault="005D06BC">
      <w:pPr>
        <w:pStyle w:val="ECHRParaQuote"/>
        <w:rPr>
          <w:rFonts w:eastAsia="Times New Roman"/>
          <w:lang w:val="en-GB"/>
        </w:rPr>
      </w:pPr>
      <w:r w:rsidRPr="00BE51E9">
        <w:rPr>
          <w:rFonts w:eastAsia="Times New Roman"/>
          <w:lang w:val="en-GB"/>
        </w:rPr>
        <w:t>-</w:t>
      </w:r>
      <w:r w:rsidRPr="00BE51E9">
        <w:rPr>
          <w:rFonts w:eastAsia="Times New Roman"/>
          <w:lang w:val="en-GB" w:eastAsia="fr-FR"/>
        </w:rPr>
        <w:t>  </w:t>
      </w:r>
      <w:r w:rsidRPr="00BE51E9" w:rsidR="00AF6501">
        <w:rPr>
          <w:rFonts w:eastAsia="Times New Roman"/>
          <w:lang w:val="en-GB"/>
        </w:rPr>
        <w:t>The Court</w:t>
      </w:r>
      <w:r w:rsidRPr="00BE51E9" w:rsidR="00BE51E9">
        <w:rPr>
          <w:rFonts w:eastAsia="Times New Roman"/>
          <w:lang w:val="en-GB"/>
        </w:rPr>
        <w:t>’</w:t>
      </w:r>
      <w:r w:rsidRPr="00BE51E9" w:rsidR="00AF6501">
        <w:rPr>
          <w:rFonts w:eastAsia="Times New Roman"/>
          <w:lang w:val="en-GB"/>
        </w:rPr>
        <w:t xml:space="preserve">s task is not to substitute itself for the competent domestic authorities in determining the most appropriate methods for protecting individuals from attacks on their personal integrity, but rather to review under the Convention the decisions that those authorities have taken in the exercise of their </w:t>
      </w:r>
      <w:r w:rsidRPr="00BE51E9" w:rsidR="00CC5EEE">
        <w:rPr>
          <w:rFonts w:eastAsia="Times New Roman"/>
          <w:lang w:val="en-GB"/>
        </w:rPr>
        <w:t xml:space="preserve">discretionary </w:t>
      </w:r>
      <w:r w:rsidRPr="00BE51E9" w:rsidR="00AF6501">
        <w:rPr>
          <w:rFonts w:eastAsia="Times New Roman"/>
          <w:lang w:val="en-GB"/>
        </w:rPr>
        <w:t>power</w:t>
      </w:r>
      <w:r w:rsidRPr="00BE51E9" w:rsidR="00CC5EEE">
        <w:rPr>
          <w:rFonts w:eastAsia="Times New Roman"/>
          <w:lang w:val="en-GB"/>
        </w:rPr>
        <w:t>s</w:t>
      </w:r>
      <w:r w:rsidRPr="00BE51E9" w:rsidR="00AF6501">
        <w:rPr>
          <w:rFonts w:eastAsia="Times New Roman"/>
          <w:lang w:val="en-GB"/>
        </w:rPr>
        <w:t>.</w:t>
      </w:r>
      <w:r w:rsidRPr="00BE51E9" w:rsidR="00144362">
        <w:rPr>
          <w:rFonts w:eastAsia="Times New Roman"/>
          <w:lang w:val="en-GB"/>
        </w:rPr>
        <w:t>”</w:t>
      </w:r>
    </w:p>
    <w:p w:rsidRPr="00BE51E9" w:rsidR="00213E40" w:rsidP="00BE51E9" w:rsidRDefault="00213E40">
      <w:pPr>
        <w:pStyle w:val="ECHRHeading4"/>
        <w:rPr>
          <w:rFonts w:eastAsia="Times New Roman"/>
          <w:lang w:val="en-GB" w:eastAsia="fr-FR"/>
        </w:rPr>
      </w:pPr>
      <w:r w:rsidRPr="00BE51E9">
        <w:rPr>
          <w:rFonts w:eastAsia="Times New Roman"/>
          <w:lang w:val="en-GB" w:eastAsia="fr-FR"/>
        </w:rPr>
        <w:t>(b)  Application of these principles to the present case</w:t>
      </w:r>
    </w:p>
    <w:p w:rsidRPr="00BE51E9" w:rsidR="00B61314" w:rsidP="00BE51E9" w:rsidRDefault="00213E40">
      <w:pPr>
        <w:pStyle w:val="ECHRPara"/>
        <w:rPr>
          <w:snapToGrid w:val="0"/>
          <w:lang w:val="en-GB"/>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49</w:t>
      </w:r>
      <w:r w:rsidRPr="00BE51E9">
        <w:rPr>
          <w:lang w:val="en-GB" w:eastAsia="fr-FR"/>
        </w:rPr>
        <w:fldChar w:fldCharType="end"/>
      </w:r>
      <w:r w:rsidRPr="00BE51E9" w:rsidR="00B61314">
        <w:rPr>
          <w:lang w:val="en-GB" w:eastAsia="fr-FR"/>
        </w:rPr>
        <w:t>.  In view of the above-</w:t>
      </w:r>
      <w:r w:rsidRPr="00BE51E9" w:rsidR="00CC5EEE">
        <w:rPr>
          <w:lang w:val="en-GB" w:eastAsia="fr-FR"/>
        </w:rPr>
        <w:t>mentioned</w:t>
      </w:r>
      <w:r w:rsidRPr="00BE51E9" w:rsidR="00B61314">
        <w:rPr>
          <w:lang w:val="en-GB" w:eastAsia="fr-FR"/>
        </w:rPr>
        <w:t xml:space="preserve"> </w:t>
      </w:r>
      <w:r w:rsidRPr="00BE51E9" w:rsidR="00166D20">
        <w:rPr>
          <w:lang w:val="en-GB" w:eastAsia="fr-FR"/>
        </w:rPr>
        <w:t>duty</w:t>
      </w:r>
      <w:r w:rsidRPr="00BE51E9" w:rsidR="00B61314">
        <w:rPr>
          <w:lang w:val="en-GB" w:eastAsia="fr-FR"/>
        </w:rPr>
        <w:t xml:space="preserve"> </w:t>
      </w:r>
      <w:r w:rsidRPr="00BE51E9" w:rsidR="00CC5EEE">
        <w:rPr>
          <w:lang w:val="en-GB" w:eastAsia="fr-FR"/>
        </w:rPr>
        <w:t xml:space="preserve">of the State </w:t>
      </w:r>
      <w:r w:rsidRPr="00BE51E9" w:rsidR="00B61314">
        <w:rPr>
          <w:lang w:val="en-GB" w:eastAsia="fr-FR"/>
        </w:rPr>
        <w:t>under Article 8 to maintain and apply in practice an adequate legal framework affording protection against acts of dom</w:t>
      </w:r>
      <w:r w:rsidRPr="00BE51E9" w:rsidR="00646B65">
        <w:rPr>
          <w:lang w:val="en-GB" w:eastAsia="fr-FR"/>
        </w:rPr>
        <w:t>estic violence, the Court must</w:t>
      </w:r>
      <w:r w:rsidRPr="00BE51E9" w:rsidR="00FA19E3">
        <w:rPr>
          <w:lang w:val="en-GB" w:eastAsia="fr-FR"/>
        </w:rPr>
        <w:t xml:space="preserve"> </w:t>
      </w:r>
      <w:r w:rsidRPr="00BE51E9" w:rsidR="00B61314">
        <w:rPr>
          <w:lang w:val="en-GB" w:eastAsia="fr-FR"/>
        </w:rPr>
        <w:t xml:space="preserve">examine </w:t>
      </w:r>
      <w:r w:rsidRPr="00BE51E9" w:rsidR="00CC5EEE">
        <w:rPr>
          <w:lang w:val="en-GB" w:eastAsia="fr-FR"/>
        </w:rPr>
        <w:t xml:space="preserve">first </w:t>
      </w:r>
      <w:r w:rsidRPr="00BE51E9" w:rsidR="00B61314">
        <w:rPr>
          <w:lang w:val="en-GB" w:eastAsia="fr-FR"/>
        </w:rPr>
        <w:t xml:space="preserve">the existence and adequacy of legal </w:t>
      </w:r>
      <w:r w:rsidRPr="00BE51E9" w:rsidR="00573799">
        <w:rPr>
          <w:lang w:val="en-GB" w:eastAsia="fr-FR"/>
        </w:rPr>
        <w:t>mechanisms for protection from</w:t>
      </w:r>
      <w:r w:rsidRPr="00BE51E9" w:rsidR="00B61314">
        <w:rPr>
          <w:lang w:val="en-GB" w:eastAsia="fr-FR"/>
        </w:rPr>
        <w:t xml:space="preserve"> domestic violence in the domestic legal order and</w:t>
      </w:r>
      <w:r w:rsidRPr="00BE51E9" w:rsidR="00FA19E3">
        <w:rPr>
          <w:lang w:val="en-GB" w:eastAsia="fr-FR"/>
        </w:rPr>
        <w:t xml:space="preserve"> then</w:t>
      </w:r>
      <w:r w:rsidRPr="00BE51E9" w:rsidR="00B61314">
        <w:rPr>
          <w:lang w:val="en-GB" w:eastAsia="fr-FR"/>
        </w:rPr>
        <w:t xml:space="preserve"> the manner of their application in practice (see, </w:t>
      </w:r>
      <w:r w:rsidRPr="00BE51E9" w:rsidR="00B61314">
        <w:rPr>
          <w:i/>
          <w:lang w:val="en-GB" w:eastAsia="fr-FR"/>
        </w:rPr>
        <w:t>mutatis mutandis</w:t>
      </w:r>
      <w:r w:rsidRPr="00BE51E9" w:rsidR="00B61314">
        <w:rPr>
          <w:lang w:val="en-GB" w:eastAsia="fr-FR"/>
        </w:rPr>
        <w:t xml:space="preserve">, </w:t>
      </w:r>
      <w:r w:rsidRPr="00BE51E9" w:rsidR="00B61314">
        <w:rPr>
          <w:i/>
          <w:lang w:val="en-GB"/>
        </w:rPr>
        <w:t>Eremia v. the Republic of Moldova</w:t>
      </w:r>
      <w:r w:rsidRPr="00BE51E9" w:rsidR="00B61314">
        <w:rPr>
          <w:lang w:val="en-GB"/>
        </w:rPr>
        <w:t>, no. 3564/11</w:t>
      </w:r>
      <w:r w:rsidRPr="00BE51E9" w:rsidR="00B61314">
        <w:rPr>
          <w:snapToGrid w:val="0"/>
          <w:lang w:val="en-GB"/>
        </w:rPr>
        <w:t>, § 56, 28 May 2013).</w:t>
      </w:r>
    </w:p>
    <w:p w:rsidRPr="00BE51E9" w:rsidR="00853427" w:rsidP="00BE51E9" w:rsidRDefault="00646B65">
      <w:pPr>
        <w:pStyle w:val="ECHRPara"/>
        <w:rPr>
          <w:i/>
          <w:lang w:val="en-GB"/>
        </w:rPr>
      </w:pPr>
      <w:r w:rsidRPr="00BE51E9">
        <w:rPr>
          <w:snapToGrid w:val="0"/>
          <w:lang w:val="en-GB"/>
        </w:rPr>
        <w:fldChar w:fldCharType="begin"/>
      </w:r>
      <w:r w:rsidRPr="00BE51E9">
        <w:rPr>
          <w:snapToGrid w:val="0"/>
          <w:lang w:val="en-GB"/>
        </w:rPr>
        <w:instrText xml:space="preserve"> SEQ level0 \*arabic </w:instrText>
      </w:r>
      <w:r w:rsidRPr="00BE51E9">
        <w:rPr>
          <w:snapToGrid w:val="0"/>
          <w:lang w:val="en-GB"/>
        </w:rPr>
        <w:fldChar w:fldCharType="separate"/>
      </w:r>
      <w:r w:rsidRPr="00BE51E9" w:rsidR="00BE51E9">
        <w:rPr>
          <w:noProof/>
          <w:snapToGrid w:val="0"/>
          <w:lang w:val="en-GB"/>
        </w:rPr>
        <w:t>50</w:t>
      </w:r>
      <w:r w:rsidRPr="00BE51E9">
        <w:rPr>
          <w:snapToGrid w:val="0"/>
          <w:lang w:val="en-GB"/>
        </w:rPr>
        <w:fldChar w:fldCharType="end"/>
      </w:r>
      <w:r w:rsidRPr="00BE51E9">
        <w:rPr>
          <w:snapToGrid w:val="0"/>
          <w:lang w:val="en-GB"/>
        </w:rPr>
        <w:t>.  </w:t>
      </w:r>
      <w:r w:rsidRPr="00BE51E9" w:rsidR="005B169F">
        <w:rPr>
          <w:snapToGrid w:val="0"/>
          <w:lang w:val="en-GB"/>
        </w:rPr>
        <w:t xml:space="preserve">With regard to the adequacy of </w:t>
      </w:r>
      <w:r w:rsidRPr="00BE51E9" w:rsidR="00EC704F">
        <w:rPr>
          <w:snapToGrid w:val="0"/>
          <w:lang w:val="en-GB"/>
        </w:rPr>
        <w:t xml:space="preserve">the </w:t>
      </w:r>
      <w:r w:rsidRPr="00BE51E9" w:rsidR="005B169F">
        <w:rPr>
          <w:snapToGrid w:val="0"/>
          <w:lang w:val="en-GB"/>
        </w:rPr>
        <w:t>legal framework for the protection f</w:t>
      </w:r>
      <w:r w:rsidRPr="00BE51E9" w:rsidR="0068041B">
        <w:rPr>
          <w:snapToGrid w:val="0"/>
          <w:lang w:val="en-GB"/>
        </w:rPr>
        <w:t>rom</w:t>
      </w:r>
      <w:r w:rsidRPr="00BE51E9" w:rsidR="005B169F">
        <w:rPr>
          <w:snapToGrid w:val="0"/>
          <w:lang w:val="en-GB"/>
        </w:rPr>
        <w:t xml:space="preserve"> domestic violence, the Court notes that there is a common understanding in the relevant international material </w:t>
      </w:r>
      <w:r w:rsidRPr="00BE51E9" w:rsidR="00DD0472">
        <w:rPr>
          <w:snapToGrid w:val="0"/>
          <w:lang w:val="en-GB"/>
        </w:rPr>
        <w:t xml:space="preserve">that comprehensive </w:t>
      </w:r>
      <w:r w:rsidRPr="00BE51E9" w:rsidR="00DD0472">
        <w:rPr>
          <w:lang w:val="en-GB" w:eastAsia="fr-FR"/>
        </w:rPr>
        <w:t>legal and other measures are necessary to provide victims of domestic violence</w:t>
      </w:r>
      <w:r w:rsidRPr="00BE51E9" w:rsidR="00853427">
        <w:rPr>
          <w:lang w:val="en-GB" w:eastAsia="fr-FR"/>
        </w:rPr>
        <w:t xml:space="preserve"> </w:t>
      </w:r>
      <w:r w:rsidRPr="00BE51E9" w:rsidR="00EC704F">
        <w:rPr>
          <w:lang w:val="en-GB" w:eastAsia="fr-FR"/>
        </w:rPr>
        <w:t xml:space="preserve">with effective protection </w:t>
      </w:r>
      <w:r w:rsidRPr="00BE51E9" w:rsidR="00853427">
        <w:rPr>
          <w:lang w:val="en-GB" w:eastAsia="fr-FR"/>
        </w:rPr>
        <w:t xml:space="preserve">(see the relevant material referred to in </w:t>
      </w:r>
      <w:r w:rsidRPr="00BE51E9" w:rsidR="00853427">
        <w:rPr>
          <w:i/>
          <w:lang w:val="en-GB" w:eastAsia="fr-FR"/>
        </w:rPr>
        <w:t>Opuz</w:t>
      </w:r>
      <w:r w:rsidRPr="00BE51E9" w:rsidR="00853427">
        <w:rPr>
          <w:lang w:val="en-GB" w:eastAsia="fr-FR"/>
        </w:rPr>
        <w:t>, cited above, §§ 72-86)</w:t>
      </w:r>
      <w:r w:rsidRPr="00BE51E9" w:rsidR="00DD0472">
        <w:rPr>
          <w:lang w:val="en-GB" w:eastAsia="fr-FR"/>
        </w:rPr>
        <w:t xml:space="preserve">. These measures include, in particular, the </w:t>
      </w:r>
      <w:r w:rsidRPr="00BE51E9" w:rsidR="00EC704F">
        <w:rPr>
          <w:lang w:val="en-GB" w:eastAsia="fr-FR"/>
        </w:rPr>
        <w:t xml:space="preserve">criminalisation of </w:t>
      </w:r>
      <w:r w:rsidRPr="00BE51E9" w:rsidR="00DD0472">
        <w:rPr>
          <w:lang w:val="en-GB" w:eastAsia="fr-FR"/>
        </w:rPr>
        <w:t xml:space="preserve">acts of violence within </w:t>
      </w:r>
      <w:r w:rsidRPr="00BE51E9" w:rsidR="00EC704F">
        <w:rPr>
          <w:lang w:val="en-GB" w:eastAsia="fr-FR"/>
        </w:rPr>
        <w:t xml:space="preserve">the </w:t>
      </w:r>
      <w:r w:rsidRPr="00BE51E9" w:rsidR="00DD0472">
        <w:rPr>
          <w:lang w:val="en-GB" w:eastAsia="fr-FR"/>
        </w:rPr>
        <w:t xml:space="preserve">family </w:t>
      </w:r>
      <w:r w:rsidRPr="00BE51E9" w:rsidR="00853427">
        <w:rPr>
          <w:lang w:val="en-GB" w:eastAsia="fr-FR"/>
        </w:rPr>
        <w:t>by providing effective, proportionate and dissuas</w:t>
      </w:r>
      <w:r w:rsidRPr="00BE51E9" w:rsidR="00E01152">
        <w:rPr>
          <w:lang w:val="en-GB" w:eastAsia="fr-FR"/>
        </w:rPr>
        <w:t>ive sanct</w:t>
      </w:r>
      <w:r w:rsidRPr="00BE51E9" w:rsidR="005E0B8B">
        <w:rPr>
          <w:lang w:val="en-GB" w:eastAsia="fr-FR"/>
        </w:rPr>
        <w:t>ions (see paragraphs 35-36</w:t>
      </w:r>
      <w:r w:rsidRPr="00BE51E9" w:rsidR="00853427">
        <w:rPr>
          <w:lang w:val="en-GB" w:eastAsia="fr-FR"/>
        </w:rPr>
        <w:t xml:space="preserve"> above).</w:t>
      </w:r>
    </w:p>
    <w:p w:rsidRPr="00BE51E9" w:rsidR="00DD0472" w:rsidP="00BE51E9" w:rsidRDefault="00853427">
      <w:pPr>
        <w:pStyle w:val="ECHRPara"/>
        <w:rPr>
          <w:snapToGrid w:val="0"/>
          <w:lang w:val="en-GB"/>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51</w:t>
      </w:r>
      <w:r w:rsidRPr="00BE51E9">
        <w:rPr>
          <w:lang w:val="en-GB" w:eastAsia="fr-FR"/>
        </w:rPr>
        <w:fldChar w:fldCharType="end"/>
      </w:r>
      <w:r w:rsidRPr="00BE51E9">
        <w:rPr>
          <w:lang w:val="en-GB" w:eastAsia="fr-FR"/>
        </w:rPr>
        <w:t>.  The Court has</w:t>
      </w:r>
      <w:r w:rsidRPr="00BE51E9" w:rsidR="002640D7">
        <w:rPr>
          <w:lang w:val="en-GB" w:eastAsia="fr-FR"/>
        </w:rPr>
        <w:t xml:space="preserve"> </w:t>
      </w:r>
      <w:r w:rsidRPr="00BE51E9">
        <w:rPr>
          <w:lang w:val="en-GB" w:eastAsia="fr-FR"/>
        </w:rPr>
        <w:t xml:space="preserve">already held that the obligation on the State in cases involving acts of domestic violence would usually require the State to adopt adequate positive measures in the sphere of criminal-law protection. Bringing </w:t>
      </w:r>
      <w:r w:rsidRPr="00BE51E9" w:rsidR="00EC704F">
        <w:rPr>
          <w:lang w:val="en-GB" w:eastAsia="fr-FR"/>
        </w:rPr>
        <w:t xml:space="preserve">the </w:t>
      </w:r>
      <w:r w:rsidRPr="00BE51E9">
        <w:rPr>
          <w:lang w:val="en-GB" w:eastAsia="fr-FR"/>
        </w:rPr>
        <w:t xml:space="preserve">perpetrators of violent acts </w:t>
      </w:r>
      <w:r w:rsidRPr="00BE51E9" w:rsidR="00EC704F">
        <w:rPr>
          <w:lang w:val="en-GB" w:eastAsia="fr-FR"/>
        </w:rPr>
        <w:t xml:space="preserve">to justice </w:t>
      </w:r>
      <w:r w:rsidRPr="00BE51E9">
        <w:rPr>
          <w:lang w:val="en-GB" w:eastAsia="fr-FR"/>
        </w:rPr>
        <w:t xml:space="preserve">serves mainly to ensure that such acts do not remain ignored by the relevant authorities and to provide effective protection against them (see </w:t>
      </w:r>
      <w:r w:rsidRPr="00BE51E9">
        <w:rPr>
          <w:i/>
          <w:lang w:val="en-GB" w:eastAsia="fr-FR"/>
        </w:rPr>
        <w:t>A</w:t>
      </w:r>
      <w:r w:rsidRPr="00BE51E9" w:rsidR="001A1CD4">
        <w:rPr>
          <w:i/>
          <w:lang w:val="en-GB" w:eastAsia="fr-FR"/>
        </w:rPr>
        <w:t>.</w:t>
      </w:r>
      <w:r w:rsidRPr="00BE51E9">
        <w:rPr>
          <w:i/>
          <w:lang w:val="en-GB" w:eastAsia="fr-FR"/>
        </w:rPr>
        <w:t xml:space="preserve"> v. Croatia</w:t>
      </w:r>
      <w:r w:rsidRPr="00BE51E9">
        <w:rPr>
          <w:lang w:val="en-GB" w:eastAsia="fr-FR"/>
        </w:rPr>
        <w:t>,</w:t>
      </w:r>
      <w:r w:rsidRPr="00BE51E9" w:rsidR="002C1E0E">
        <w:rPr>
          <w:lang w:val="en-GB" w:eastAsia="fr-FR"/>
        </w:rPr>
        <w:t xml:space="preserve"> cited above,</w:t>
      </w:r>
      <w:r w:rsidRPr="00BE51E9" w:rsidR="00A95086">
        <w:rPr>
          <w:lang w:val="en-GB" w:eastAsia="fr-FR"/>
        </w:rPr>
        <w:t xml:space="preserve"> § </w:t>
      </w:r>
      <w:r w:rsidRPr="00BE51E9">
        <w:rPr>
          <w:lang w:val="en-GB" w:eastAsia="fr-FR"/>
        </w:rPr>
        <w:t>67</w:t>
      </w:r>
      <w:r w:rsidRPr="00BE51E9" w:rsidR="002C1E0E">
        <w:rPr>
          <w:lang w:val="en-GB" w:eastAsia="fr-FR"/>
        </w:rPr>
        <w:t xml:space="preserve">; </w:t>
      </w:r>
      <w:r w:rsidRPr="00BE51E9" w:rsidR="002C1E0E">
        <w:rPr>
          <w:i/>
          <w:iCs/>
          <w:lang w:val="en-GB"/>
        </w:rPr>
        <w:t>Valiulienė v. Lithuania</w:t>
      </w:r>
      <w:r w:rsidRPr="00BE51E9" w:rsidR="002C1E0E">
        <w:rPr>
          <w:lang w:val="en-GB"/>
        </w:rPr>
        <w:t>, no. 33234/07</w:t>
      </w:r>
      <w:r w:rsidRPr="00BE51E9" w:rsidR="002C1E0E">
        <w:rPr>
          <w:snapToGrid w:val="0"/>
          <w:lang w:val="en-GB"/>
        </w:rPr>
        <w:t>, § 71, 26 March 2013;</w:t>
      </w:r>
      <w:r w:rsidRPr="00BE51E9" w:rsidR="00EC704F">
        <w:rPr>
          <w:snapToGrid w:val="0"/>
          <w:lang w:val="en-GB"/>
        </w:rPr>
        <w:t xml:space="preserve"> and</w:t>
      </w:r>
      <w:r w:rsidRPr="00BE51E9" w:rsidR="002C1E0E">
        <w:rPr>
          <w:snapToGrid w:val="0"/>
          <w:lang w:val="en-GB"/>
        </w:rPr>
        <w:t xml:space="preserve"> </w:t>
      </w:r>
      <w:r w:rsidRPr="00BE51E9" w:rsidR="002C1E0E">
        <w:rPr>
          <w:i/>
          <w:snapToGrid w:val="0"/>
          <w:lang w:val="en-GB"/>
        </w:rPr>
        <w:t>Eremia</w:t>
      </w:r>
      <w:r w:rsidRPr="00BE51E9" w:rsidR="002C1E0E">
        <w:rPr>
          <w:snapToGrid w:val="0"/>
          <w:lang w:val="en-GB"/>
        </w:rPr>
        <w:t>, cited above, § 57).</w:t>
      </w:r>
    </w:p>
    <w:p w:rsidRPr="00BE51E9" w:rsidR="00B3615E" w:rsidP="00BE51E9" w:rsidRDefault="00BE3D31">
      <w:pPr>
        <w:pStyle w:val="ECHRPara"/>
        <w:rPr>
          <w:lang w:val="en-GB" w:eastAsia="fr-FR"/>
        </w:rPr>
      </w:pPr>
      <w:r w:rsidRPr="00BE51E9">
        <w:rPr>
          <w:snapToGrid w:val="0"/>
          <w:lang w:val="en-GB"/>
        </w:rPr>
        <w:fldChar w:fldCharType="begin"/>
      </w:r>
      <w:r w:rsidRPr="00BE51E9">
        <w:rPr>
          <w:snapToGrid w:val="0"/>
          <w:lang w:val="en-GB"/>
        </w:rPr>
        <w:instrText xml:space="preserve"> SEQ level0 \*arabic </w:instrText>
      </w:r>
      <w:r w:rsidRPr="00BE51E9">
        <w:rPr>
          <w:snapToGrid w:val="0"/>
          <w:lang w:val="en-GB"/>
        </w:rPr>
        <w:fldChar w:fldCharType="separate"/>
      </w:r>
      <w:r w:rsidRPr="00BE51E9" w:rsidR="00BE51E9">
        <w:rPr>
          <w:noProof/>
          <w:snapToGrid w:val="0"/>
          <w:lang w:val="en-GB"/>
        </w:rPr>
        <w:t>52</w:t>
      </w:r>
      <w:r w:rsidRPr="00BE51E9">
        <w:rPr>
          <w:snapToGrid w:val="0"/>
          <w:lang w:val="en-GB"/>
        </w:rPr>
        <w:fldChar w:fldCharType="end"/>
      </w:r>
      <w:r w:rsidRPr="00BE51E9">
        <w:rPr>
          <w:snapToGrid w:val="0"/>
          <w:lang w:val="en-GB"/>
        </w:rPr>
        <w:t>.  </w:t>
      </w:r>
      <w:r w:rsidRPr="00BE51E9" w:rsidR="002640D7">
        <w:rPr>
          <w:snapToGrid w:val="0"/>
          <w:lang w:val="en-GB"/>
        </w:rPr>
        <w:t>In the case at issue, t</w:t>
      </w:r>
      <w:r w:rsidRPr="00BE51E9">
        <w:rPr>
          <w:snapToGrid w:val="0"/>
          <w:lang w:val="en-GB"/>
        </w:rPr>
        <w:t xml:space="preserve">he </w:t>
      </w:r>
      <w:r w:rsidRPr="00BE51E9" w:rsidR="002640D7">
        <w:rPr>
          <w:snapToGrid w:val="0"/>
          <w:lang w:val="en-GB"/>
        </w:rPr>
        <w:t>applicant</w:t>
      </w:r>
      <w:r w:rsidRPr="00BE51E9" w:rsidR="00BE51E9">
        <w:rPr>
          <w:snapToGrid w:val="0"/>
          <w:lang w:val="en-GB"/>
        </w:rPr>
        <w:t>’</w:t>
      </w:r>
      <w:r w:rsidRPr="00BE51E9" w:rsidR="002640D7">
        <w:rPr>
          <w:snapToGrid w:val="0"/>
          <w:lang w:val="en-GB"/>
        </w:rPr>
        <w:t>s</w:t>
      </w:r>
      <w:r w:rsidRPr="00BE51E9">
        <w:rPr>
          <w:snapToGrid w:val="0"/>
          <w:lang w:val="en-GB"/>
        </w:rPr>
        <w:t xml:space="preserve"> allegations of</w:t>
      </w:r>
      <w:r w:rsidRPr="00BE51E9" w:rsidR="002640D7">
        <w:rPr>
          <w:snapToGrid w:val="0"/>
          <w:lang w:val="en-GB"/>
        </w:rPr>
        <w:t xml:space="preserve"> </w:t>
      </w:r>
      <w:r w:rsidRPr="00BE51E9" w:rsidR="00EC704F">
        <w:rPr>
          <w:snapToGrid w:val="0"/>
          <w:lang w:val="en-GB"/>
        </w:rPr>
        <w:t xml:space="preserve">the </w:t>
      </w:r>
      <w:r w:rsidRPr="00BE51E9" w:rsidR="002640D7">
        <w:rPr>
          <w:snapToGrid w:val="0"/>
          <w:lang w:val="en-GB"/>
        </w:rPr>
        <w:t>inadequacy of the Croatian legal framework for the protection f</w:t>
      </w:r>
      <w:r w:rsidRPr="00BE51E9" w:rsidR="0068041B">
        <w:rPr>
          <w:snapToGrid w:val="0"/>
          <w:lang w:val="en-GB"/>
        </w:rPr>
        <w:t>rom</w:t>
      </w:r>
      <w:r w:rsidRPr="00BE51E9" w:rsidR="002640D7">
        <w:rPr>
          <w:snapToGrid w:val="0"/>
          <w:lang w:val="en-GB"/>
        </w:rPr>
        <w:t xml:space="preserve"> domestic violence concern the fact that the 2011 Criminal Code</w:t>
      </w:r>
      <w:r w:rsidRPr="00BE51E9" w:rsidR="00100C0A">
        <w:rPr>
          <w:snapToGrid w:val="0"/>
          <w:lang w:val="en-GB"/>
        </w:rPr>
        <w:t xml:space="preserve"> </w:t>
      </w:r>
      <w:r w:rsidRPr="00BE51E9" w:rsidR="002640D7">
        <w:rPr>
          <w:snapToGrid w:val="0"/>
          <w:lang w:val="en-GB"/>
        </w:rPr>
        <w:t xml:space="preserve">abolished the </w:t>
      </w:r>
      <w:r w:rsidRPr="00BE51E9" w:rsidR="00922098">
        <w:rPr>
          <w:snapToGrid w:val="0"/>
          <w:lang w:val="en-GB"/>
        </w:rPr>
        <w:t xml:space="preserve">prosecution </w:t>
      </w:r>
      <w:r w:rsidRPr="00BE51E9" w:rsidR="002640D7">
        <w:rPr>
          <w:snapToGrid w:val="0"/>
          <w:lang w:val="en-GB"/>
        </w:rPr>
        <w:t>of domestic violence as a</w:t>
      </w:r>
      <w:r w:rsidRPr="00BE51E9" w:rsidR="00C936CA">
        <w:rPr>
          <w:snapToGrid w:val="0"/>
          <w:lang w:val="en-GB"/>
        </w:rPr>
        <w:t xml:space="preserve"> separate offence </w:t>
      </w:r>
      <w:r w:rsidRPr="00BE51E9" w:rsidR="00D20DCC">
        <w:rPr>
          <w:lang w:val="en-GB" w:eastAsia="fr-FR"/>
        </w:rPr>
        <w:t>(see paragraph 22 above)</w:t>
      </w:r>
      <w:r w:rsidRPr="00BE51E9" w:rsidR="00DB3966">
        <w:rPr>
          <w:lang w:val="en-GB" w:eastAsia="fr-FR"/>
        </w:rPr>
        <w:t>.</w:t>
      </w:r>
      <w:r w:rsidRPr="00BE51E9" w:rsidR="00C936CA">
        <w:rPr>
          <w:lang w:val="en-GB" w:eastAsia="fr-FR"/>
        </w:rPr>
        <w:t xml:space="preserve"> </w:t>
      </w:r>
      <w:r w:rsidRPr="00BE51E9" w:rsidR="00DB3966">
        <w:rPr>
          <w:lang w:val="en-GB" w:eastAsia="fr-FR"/>
        </w:rPr>
        <w:t xml:space="preserve">That </w:t>
      </w:r>
      <w:r w:rsidRPr="00BE51E9" w:rsidR="00100C0A">
        <w:rPr>
          <w:lang w:val="en-GB" w:eastAsia="fr-FR"/>
        </w:rPr>
        <w:t xml:space="preserve">brought about the discontinuation of the criminal proceedings </w:t>
      </w:r>
      <w:r w:rsidRPr="00BE51E9" w:rsidR="00083D08">
        <w:rPr>
          <w:lang w:val="en-GB" w:eastAsia="fr-FR"/>
        </w:rPr>
        <w:t xml:space="preserve">against B.B., fostering </w:t>
      </w:r>
      <w:r w:rsidRPr="00BE51E9" w:rsidR="00DB3966">
        <w:rPr>
          <w:lang w:val="en-GB" w:eastAsia="fr-FR"/>
        </w:rPr>
        <w:t xml:space="preserve">in the applicant a </w:t>
      </w:r>
      <w:r w:rsidRPr="00BE51E9" w:rsidR="0068041B">
        <w:rPr>
          <w:lang w:val="en-GB" w:eastAsia="fr-FR"/>
        </w:rPr>
        <w:t>perception</w:t>
      </w:r>
      <w:r w:rsidRPr="00BE51E9" w:rsidR="00083D08">
        <w:rPr>
          <w:lang w:val="en-GB" w:eastAsia="fr-FR"/>
        </w:rPr>
        <w:t xml:space="preserve"> of impunity </w:t>
      </w:r>
      <w:r w:rsidRPr="00BE51E9" w:rsidR="00DB3966">
        <w:rPr>
          <w:i/>
          <w:lang w:val="en-GB" w:eastAsia="fr-FR"/>
        </w:rPr>
        <w:t>vis-à-vis</w:t>
      </w:r>
      <w:r w:rsidRPr="00BE51E9" w:rsidR="00DB3966">
        <w:rPr>
          <w:lang w:val="en-GB" w:eastAsia="fr-FR"/>
        </w:rPr>
        <w:t xml:space="preserve"> her </w:t>
      </w:r>
      <w:r w:rsidRPr="00BE51E9" w:rsidR="00100C0A">
        <w:rPr>
          <w:lang w:val="en-GB" w:eastAsia="fr-FR"/>
        </w:rPr>
        <w:t>a</w:t>
      </w:r>
      <w:r w:rsidRPr="00BE51E9" w:rsidR="00083D08">
        <w:rPr>
          <w:lang w:val="en-GB" w:eastAsia="fr-FR"/>
        </w:rPr>
        <w:t xml:space="preserve">llegations of domestic violence </w:t>
      </w:r>
      <w:r w:rsidRPr="00BE51E9" w:rsidR="00100C0A">
        <w:rPr>
          <w:lang w:val="en-GB" w:eastAsia="fr-FR"/>
        </w:rPr>
        <w:t xml:space="preserve">(see paragraph </w:t>
      </w:r>
      <w:r w:rsidRPr="00BE51E9" w:rsidR="00B3615E">
        <w:rPr>
          <w:lang w:val="en-GB" w:eastAsia="fr-FR"/>
        </w:rPr>
        <w:t>16 above).</w:t>
      </w:r>
    </w:p>
    <w:p w:rsidRPr="00BE51E9" w:rsidR="00646B65" w:rsidP="00BE51E9" w:rsidRDefault="00B3615E">
      <w:pPr>
        <w:pStyle w:val="ECHRPara"/>
        <w:rPr>
          <w:lang w:val="en-GB" w:eastAsia="fr-FR"/>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53</w:t>
      </w:r>
      <w:r w:rsidRPr="00BE51E9">
        <w:rPr>
          <w:lang w:val="en-GB" w:eastAsia="fr-FR"/>
        </w:rPr>
        <w:fldChar w:fldCharType="end"/>
      </w:r>
      <w:r w:rsidRPr="00BE51E9">
        <w:rPr>
          <w:lang w:val="en-GB" w:eastAsia="fr-FR"/>
        </w:rPr>
        <w:t>.  </w:t>
      </w:r>
      <w:r w:rsidRPr="00BE51E9" w:rsidR="00D20DCC">
        <w:rPr>
          <w:lang w:val="en-GB" w:eastAsia="fr-FR"/>
        </w:rPr>
        <w:t>T</w:t>
      </w:r>
      <w:r w:rsidRPr="00BE51E9">
        <w:rPr>
          <w:lang w:val="en-GB" w:eastAsia="fr-FR"/>
        </w:rPr>
        <w:t>he Court notes that the</w:t>
      </w:r>
      <w:r w:rsidRPr="00BE51E9" w:rsidR="00100C0A">
        <w:rPr>
          <w:lang w:val="en-GB" w:eastAsia="fr-FR"/>
        </w:rPr>
        <w:t xml:space="preserve"> l</w:t>
      </w:r>
      <w:r w:rsidRPr="00BE51E9" w:rsidR="00083D08">
        <w:rPr>
          <w:lang w:val="en-GB" w:eastAsia="fr-FR"/>
        </w:rPr>
        <w:t>egislative amendments</w:t>
      </w:r>
      <w:r w:rsidRPr="00BE51E9">
        <w:rPr>
          <w:lang w:val="en-GB" w:eastAsia="fr-FR"/>
        </w:rPr>
        <w:t xml:space="preserve"> introduced </w:t>
      </w:r>
      <w:r w:rsidRPr="00BE51E9" w:rsidR="00D20DCC">
        <w:rPr>
          <w:lang w:val="en-GB" w:eastAsia="fr-FR"/>
        </w:rPr>
        <w:t>with the 2011 C</w:t>
      </w:r>
      <w:r w:rsidRPr="00BE51E9">
        <w:rPr>
          <w:lang w:val="en-GB" w:eastAsia="fr-FR"/>
        </w:rPr>
        <w:t>riminal Code</w:t>
      </w:r>
      <w:r w:rsidRPr="00BE51E9" w:rsidR="00083D08">
        <w:rPr>
          <w:lang w:val="en-GB" w:eastAsia="fr-FR"/>
        </w:rPr>
        <w:t xml:space="preserve"> were</w:t>
      </w:r>
      <w:r w:rsidRPr="00BE51E9" w:rsidR="00C936CA">
        <w:rPr>
          <w:lang w:val="en-GB" w:eastAsia="fr-FR"/>
        </w:rPr>
        <w:t xml:space="preserve"> only </w:t>
      </w:r>
      <w:r w:rsidRPr="00BE51E9" w:rsidR="00830CCE">
        <w:rPr>
          <w:lang w:val="en-GB" w:eastAsia="fr-FR"/>
        </w:rPr>
        <w:t xml:space="preserve">applicable until the </w:t>
      </w:r>
      <w:r w:rsidRPr="00BE51E9">
        <w:rPr>
          <w:lang w:val="en-GB" w:eastAsia="fr-FR"/>
        </w:rPr>
        <w:t>2015 amendments to the Criminal Code</w:t>
      </w:r>
      <w:r w:rsidRPr="00BE51E9" w:rsidR="00FA19E3">
        <w:rPr>
          <w:lang w:val="en-GB" w:eastAsia="fr-FR"/>
        </w:rPr>
        <w:t xml:space="preserve"> re</w:t>
      </w:r>
      <w:r w:rsidRPr="00BE51E9">
        <w:rPr>
          <w:lang w:val="en-GB" w:eastAsia="fr-FR"/>
        </w:rPr>
        <w:t xml:space="preserve">introduced a </w:t>
      </w:r>
      <w:r w:rsidRPr="00BE51E9" w:rsidR="00DB3966">
        <w:rPr>
          <w:lang w:val="en-GB" w:eastAsia="fr-FR"/>
        </w:rPr>
        <w:t xml:space="preserve">separate offence </w:t>
      </w:r>
      <w:r w:rsidRPr="00BE51E9">
        <w:rPr>
          <w:lang w:val="en-GB" w:eastAsia="fr-FR"/>
        </w:rPr>
        <w:t>of domestic violence</w:t>
      </w:r>
      <w:r w:rsidRPr="00BE51E9" w:rsidR="00083D08">
        <w:rPr>
          <w:lang w:val="en-GB" w:eastAsia="fr-FR"/>
        </w:rPr>
        <w:t xml:space="preserve">, </w:t>
      </w:r>
      <w:r w:rsidRPr="00BE51E9" w:rsidR="00D20DCC">
        <w:rPr>
          <w:lang w:val="en-GB" w:eastAsia="fr-FR"/>
        </w:rPr>
        <w:t>which</w:t>
      </w:r>
      <w:r w:rsidRPr="00BE51E9" w:rsidR="00083D08">
        <w:rPr>
          <w:lang w:val="en-GB" w:eastAsia="fr-FR"/>
        </w:rPr>
        <w:t xml:space="preserve"> </w:t>
      </w:r>
      <w:r w:rsidRPr="00BE51E9" w:rsidR="00DB3966">
        <w:rPr>
          <w:lang w:val="en-GB" w:eastAsia="fr-FR"/>
        </w:rPr>
        <w:t xml:space="preserve">had </w:t>
      </w:r>
      <w:r w:rsidRPr="00BE51E9" w:rsidR="00083D08">
        <w:rPr>
          <w:lang w:val="en-GB" w:eastAsia="fr-FR"/>
        </w:rPr>
        <w:t>initially existed under</w:t>
      </w:r>
      <w:r w:rsidRPr="00BE51E9">
        <w:rPr>
          <w:lang w:val="en-GB" w:eastAsia="fr-FR"/>
        </w:rPr>
        <w:t xml:space="preserve"> the 1997 Criminal Code (see paragraphs 2</w:t>
      </w:r>
      <w:r w:rsidRPr="00BE51E9" w:rsidR="00D84121">
        <w:rPr>
          <w:lang w:val="en-GB" w:eastAsia="fr-FR"/>
        </w:rPr>
        <w:t>0</w:t>
      </w:r>
      <w:r w:rsidRPr="00BE51E9">
        <w:rPr>
          <w:lang w:val="en-GB" w:eastAsia="fr-FR"/>
        </w:rPr>
        <w:t>, 24-25 above).</w:t>
      </w:r>
      <w:r w:rsidRPr="00BE51E9" w:rsidR="00083D08">
        <w:rPr>
          <w:lang w:val="en-GB" w:eastAsia="fr-FR"/>
        </w:rPr>
        <w:t xml:space="preserve"> </w:t>
      </w:r>
      <w:r w:rsidRPr="00BE51E9" w:rsidR="00D20DCC">
        <w:rPr>
          <w:lang w:val="en-GB" w:eastAsia="fr-FR"/>
        </w:rPr>
        <w:t>In these circumstances, the Court would reiterate that, w</w:t>
      </w:r>
      <w:r w:rsidRPr="00BE51E9" w:rsidR="00646B65">
        <w:rPr>
          <w:lang w:val="en-GB" w:eastAsia="fr-FR"/>
        </w:rPr>
        <w:t>ithout losing sight of the general context of the case, in proceedings originati</w:t>
      </w:r>
      <w:r w:rsidRPr="00BE51E9" w:rsidR="00D20DCC">
        <w:rPr>
          <w:lang w:val="en-GB" w:eastAsia="fr-FR"/>
        </w:rPr>
        <w:t>ng in an individual application,</w:t>
      </w:r>
      <w:r w:rsidRPr="00BE51E9" w:rsidR="00646B65">
        <w:rPr>
          <w:lang w:val="en-GB" w:eastAsia="fr-FR"/>
        </w:rPr>
        <w:t xml:space="preserve"> it has to confine its attention, as far as possible, to the issues raised by the concrete case before it (see, for instance, </w:t>
      </w:r>
      <w:r w:rsidRPr="00BE51E9" w:rsidR="00646B65">
        <w:rPr>
          <w:i/>
          <w:lang w:val="en-GB"/>
        </w:rPr>
        <w:t>Guzzardi v. Italy</w:t>
      </w:r>
      <w:r w:rsidRPr="00BE51E9" w:rsidR="00646B65">
        <w:rPr>
          <w:lang w:val="en-GB"/>
        </w:rPr>
        <w:t>, 6 November 1980, § 88,</w:t>
      </w:r>
      <w:r w:rsidRPr="00BE51E9" w:rsidR="00A95086">
        <w:rPr>
          <w:lang w:val="en-GB"/>
        </w:rPr>
        <w:t xml:space="preserve"> Series A no. </w:t>
      </w:r>
      <w:r w:rsidRPr="00BE51E9" w:rsidR="00646B65">
        <w:rPr>
          <w:lang w:val="en-GB"/>
        </w:rPr>
        <w:t>39).</w:t>
      </w:r>
      <w:r w:rsidRPr="00BE51E9" w:rsidR="00D20DCC">
        <w:rPr>
          <w:lang w:val="en-GB" w:eastAsia="fr-FR"/>
        </w:rPr>
        <w:t xml:space="preserve"> </w:t>
      </w:r>
      <w:r w:rsidRPr="00BE51E9" w:rsidR="00646B65">
        <w:rPr>
          <w:lang w:val="en-GB" w:eastAsia="fr-FR"/>
        </w:rPr>
        <w:t>Accordingly, the Court</w:t>
      </w:r>
      <w:r w:rsidRPr="00BE51E9" w:rsidR="00BE51E9">
        <w:rPr>
          <w:lang w:val="en-GB" w:eastAsia="fr-FR"/>
        </w:rPr>
        <w:t>’</w:t>
      </w:r>
      <w:r w:rsidRPr="00BE51E9" w:rsidR="00646B65">
        <w:rPr>
          <w:lang w:val="en-GB" w:eastAsia="fr-FR"/>
        </w:rPr>
        <w:t xml:space="preserve">s task is to review under the Convention the existence and adequacy of legal mechanisms for protection </w:t>
      </w:r>
      <w:r w:rsidRPr="00BE51E9" w:rsidR="00922098">
        <w:rPr>
          <w:lang w:val="en-GB" w:eastAsia="fr-FR"/>
        </w:rPr>
        <w:t xml:space="preserve">from </w:t>
      </w:r>
      <w:r w:rsidRPr="00BE51E9" w:rsidR="00646B65">
        <w:rPr>
          <w:lang w:val="en-GB" w:eastAsia="fr-FR"/>
        </w:rPr>
        <w:t>domestic violence relevant for the applicant</w:t>
      </w:r>
      <w:r w:rsidRPr="00BE51E9" w:rsidR="00BE51E9">
        <w:rPr>
          <w:lang w:val="en-GB" w:eastAsia="fr-FR"/>
        </w:rPr>
        <w:t>’</w:t>
      </w:r>
      <w:r w:rsidRPr="00BE51E9" w:rsidR="00646B65">
        <w:rPr>
          <w:lang w:val="en-GB" w:eastAsia="fr-FR"/>
        </w:rPr>
        <w:t>s case.</w:t>
      </w:r>
    </w:p>
    <w:p w:rsidRPr="00BE51E9" w:rsidR="00144362" w:rsidP="00BE51E9" w:rsidRDefault="00D20DCC">
      <w:pPr>
        <w:pStyle w:val="ECHRPara"/>
        <w:rPr>
          <w:lang w:val="en-GB" w:eastAsia="fr-FR"/>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54</w:t>
      </w:r>
      <w:r w:rsidRPr="00BE51E9">
        <w:rPr>
          <w:lang w:val="en-GB" w:eastAsia="fr-FR"/>
        </w:rPr>
        <w:fldChar w:fldCharType="end"/>
      </w:r>
      <w:r w:rsidRPr="00BE51E9">
        <w:rPr>
          <w:lang w:val="en-GB" w:eastAsia="fr-FR"/>
        </w:rPr>
        <w:t>.  In this connection</w:t>
      </w:r>
      <w:r w:rsidRPr="00BE51E9" w:rsidR="00DB3966">
        <w:rPr>
          <w:lang w:val="en-GB" w:eastAsia="fr-FR"/>
        </w:rPr>
        <w:t>,</w:t>
      </w:r>
      <w:r w:rsidRPr="00BE51E9">
        <w:rPr>
          <w:lang w:val="en-GB" w:eastAsia="fr-FR"/>
        </w:rPr>
        <w:t xml:space="preserve"> the Court notes that although</w:t>
      </w:r>
      <w:r w:rsidRPr="00BE51E9" w:rsidR="00144362">
        <w:rPr>
          <w:lang w:val="en-GB" w:eastAsia="fr-FR"/>
        </w:rPr>
        <w:t xml:space="preserve"> </w:t>
      </w:r>
      <w:r w:rsidRPr="00BE51E9" w:rsidR="00DB3966">
        <w:rPr>
          <w:lang w:val="en-GB" w:eastAsia="fr-FR"/>
        </w:rPr>
        <w:t>the 2011 Criminal Code</w:t>
      </w:r>
      <w:r w:rsidRPr="00BE51E9">
        <w:rPr>
          <w:lang w:val="en-GB" w:eastAsia="fr-FR"/>
        </w:rPr>
        <w:t xml:space="preserve"> abolished the</w:t>
      </w:r>
      <w:r w:rsidRPr="00BE51E9">
        <w:rPr>
          <w:snapToGrid w:val="0"/>
          <w:lang w:val="en-GB"/>
        </w:rPr>
        <w:t xml:space="preserve"> </w:t>
      </w:r>
      <w:r w:rsidRPr="00BE51E9" w:rsidR="00922098">
        <w:rPr>
          <w:lang w:val="en-GB" w:eastAsia="fr-FR"/>
        </w:rPr>
        <w:t xml:space="preserve">separate criminal offence </w:t>
      </w:r>
      <w:r w:rsidRPr="00BE51E9">
        <w:rPr>
          <w:lang w:val="en-GB" w:eastAsia="fr-FR"/>
        </w:rPr>
        <w:t xml:space="preserve">of domestic violence, </w:t>
      </w:r>
      <w:r w:rsidRPr="00BE51E9" w:rsidR="00DB3966">
        <w:rPr>
          <w:lang w:val="en-GB" w:eastAsia="fr-FR"/>
        </w:rPr>
        <w:t xml:space="preserve">it provided that </w:t>
      </w:r>
      <w:r w:rsidRPr="00BE51E9">
        <w:rPr>
          <w:lang w:val="en-GB" w:eastAsia="fr-FR"/>
        </w:rPr>
        <w:t xml:space="preserve">instances of violence within a family </w:t>
      </w:r>
      <w:r w:rsidRPr="00BE51E9" w:rsidR="00DB3966">
        <w:rPr>
          <w:lang w:val="en-GB" w:eastAsia="fr-FR"/>
        </w:rPr>
        <w:t xml:space="preserve">constituted </w:t>
      </w:r>
      <w:r w:rsidRPr="00BE51E9">
        <w:rPr>
          <w:lang w:val="en-GB" w:eastAsia="fr-FR"/>
        </w:rPr>
        <w:t>an aggravating form of other offences, which it subjected to public prosecution. In particular, as relevant for the case at hand, it criminalised threatening behaviour and causing bodily injuries within a family or against a close person as aggravating form</w:t>
      </w:r>
      <w:r w:rsidRPr="00BE51E9" w:rsidR="00FB2FF6">
        <w:rPr>
          <w:lang w:val="en-GB" w:eastAsia="fr-FR"/>
        </w:rPr>
        <w:t>s</w:t>
      </w:r>
      <w:r w:rsidRPr="00BE51E9">
        <w:rPr>
          <w:lang w:val="en-GB" w:eastAsia="fr-FR"/>
        </w:rPr>
        <w:t xml:space="preserve"> of the general offences of threatening behaviour and causing bodily injuries</w:t>
      </w:r>
      <w:r w:rsidRPr="00BE51E9" w:rsidR="00FB2FF6">
        <w:rPr>
          <w:lang w:val="en-GB" w:eastAsia="fr-FR"/>
        </w:rPr>
        <w:t xml:space="preserve"> under Articles 117 and 139</w:t>
      </w:r>
      <w:r w:rsidRPr="00BE51E9" w:rsidR="00FA19E3">
        <w:rPr>
          <w:lang w:val="en-GB" w:eastAsia="fr-FR"/>
        </w:rPr>
        <w:t xml:space="preserve">, </w:t>
      </w:r>
      <w:r w:rsidRPr="00BE51E9" w:rsidR="005258A9">
        <w:rPr>
          <w:lang w:val="en-GB" w:eastAsia="fr-FR"/>
        </w:rPr>
        <w:t xml:space="preserve">making </w:t>
      </w:r>
      <w:r w:rsidRPr="00BE51E9" w:rsidR="00FA19E3">
        <w:rPr>
          <w:lang w:val="en-GB" w:eastAsia="fr-FR"/>
        </w:rPr>
        <w:t xml:space="preserve">them </w:t>
      </w:r>
      <w:r w:rsidRPr="00BE51E9" w:rsidR="005258A9">
        <w:rPr>
          <w:lang w:val="en-GB" w:eastAsia="fr-FR"/>
        </w:rPr>
        <w:t xml:space="preserve">liable </w:t>
      </w:r>
      <w:r w:rsidRPr="00BE51E9" w:rsidR="00FA19E3">
        <w:rPr>
          <w:lang w:val="en-GB" w:eastAsia="fr-FR"/>
        </w:rPr>
        <w:t>to public criminal prosecution</w:t>
      </w:r>
      <w:r w:rsidRPr="00BE51E9">
        <w:rPr>
          <w:lang w:val="en-GB" w:eastAsia="fr-FR"/>
        </w:rPr>
        <w:t xml:space="preserve"> (see paragraphs 21 and 22 above)</w:t>
      </w:r>
      <w:r w:rsidRPr="00BE51E9" w:rsidR="00FB2FF6">
        <w:rPr>
          <w:lang w:val="en-GB" w:eastAsia="fr-FR"/>
        </w:rPr>
        <w:t>.</w:t>
      </w:r>
    </w:p>
    <w:p w:rsidRPr="00BE51E9" w:rsidR="00D20DCC" w:rsidP="00BE51E9" w:rsidRDefault="00706303">
      <w:pPr>
        <w:pStyle w:val="ECHRPara"/>
        <w:rPr>
          <w:lang w:val="en-GB" w:eastAsia="fr-FR"/>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55</w:t>
      </w:r>
      <w:r w:rsidRPr="00BE51E9">
        <w:rPr>
          <w:lang w:val="en-GB" w:eastAsia="fr-FR"/>
        </w:rPr>
        <w:fldChar w:fldCharType="end"/>
      </w:r>
      <w:r w:rsidRPr="00BE51E9">
        <w:rPr>
          <w:lang w:val="en-GB" w:eastAsia="fr-FR"/>
        </w:rPr>
        <w:t>.  The 2011 Criminal Code</w:t>
      </w:r>
      <w:r w:rsidRPr="00BE51E9" w:rsidR="00D20DCC">
        <w:rPr>
          <w:lang w:val="en-GB" w:eastAsia="fr-FR"/>
        </w:rPr>
        <w:t xml:space="preserve"> thereby provided for a possibility</w:t>
      </w:r>
      <w:r w:rsidRPr="00BE51E9" w:rsidR="00FB2FF6">
        <w:rPr>
          <w:lang w:val="en-GB" w:eastAsia="fr-FR"/>
        </w:rPr>
        <w:t xml:space="preserve"> of effective prosecution</w:t>
      </w:r>
      <w:r w:rsidRPr="00BE51E9" w:rsidR="00D20DCC">
        <w:rPr>
          <w:lang w:val="en-GB" w:eastAsia="fr-FR"/>
        </w:rPr>
        <w:t xml:space="preserve"> and, if appropriate, punish</w:t>
      </w:r>
      <w:r w:rsidRPr="00BE51E9" w:rsidR="00FB2FF6">
        <w:rPr>
          <w:lang w:val="en-GB" w:eastAsia="fr-FR"/>
        </w:rPr>
        <w:t>ment of</w:t>
      </w:r>
      <w:r w:rsidRPr="00BE51E9" w:rsidR="00D20DCC">
        <w:rPr>
          <w:lang w:val="en-GB" w:eastAsia="fr-FR"/>
        </w:rPr>
        <w:t xml:space="preserve"> such acts of</w:t>
      </w:r>
      <w:r w:rsidRPr="00BE51E9" w:rsidR="00E311A7">
        <w:rPr>
          <w:lang w:val="en-GB" w:eastAsia="fr-FR"/>
        </w:rPr>
        <w:t xml:space="preserve"> violence against the applicant by</w:t>
      </w:r>
      <w:r w:rsidRPr="00BE51E9" w:rsidR="000338BD">
        <w:rPr>
          <w:lang w:val="en-GB" w:eastAsia="fr-FR"/>
        </w:rPr>
        <w:t xml:space="preserve"> creating a continuity of criminal proscription </w:t>
      </w:r>
      <w:r w:rsidRPr="00BE51E9" w:rsidR="00E311A7">
        <w:rPr>
          <w:lang w:val="en-GB" w:eastAsia="fr-FR"/>
        </w:rPr>
        <w:t>previously provided</w:t>
      </w:r>
      <w:r w:rsidRPr="00BE51E9" w:rsidR="006F5458">
        <w:rPr>
          <w:lang w:val="en-GB" w:eastAsia="fr-FR"/>
        </w:rPr>
        <w:t xml:space="preserve"> for</w:t>
      </w:r>
      <w:r w:rsidRPr="00BE51E9" w:rsidR="00E311A7">
        <w:rPr>
          <w:lang w:val="en-GB" w:eastAsia="fr-FR"/>
        </w:rPr>
        <w:t xml:space="preserve"> under Article 215a of the 1997 Criminal Code (see paragraph 20 above).</w:t>
      </w:r>
      <w:r w:rsidRPr="00BE51E9" w:rsidR="006F5458">
        <w:rPr>
          <w:lang w:val="en-GB" w:eastAsia="fr-FR"/>
        </w:rPr>
        <w:t xml:space="preserve"> </w:t>
      </w:r>
      <w:r w:rsidRPr="00BE51E9" w:rsidR="00FA19E3">
        <w:rPr>
          <w:lang w:val="en-GB" w:eastAsia="fr-FR"/>
        </w:rPr>
        <w:t xml:space="preserve">Moreover, </w:t>
      </w:r>
      <w:r w:rsidRPr="00BE51E9">
        <w:rPr>
          <w:lang w:val="en-GB" w:eastAsia="fr-FR"/>
        </w:rPr>
        <w:t>such a criminal</w:t>
      </w:r>
      <w:r w:rsidRPr="00BE51E9" w:rsidR="005258A9">
        <w:rPr>
          <w:lang w:val="en-GB" w:eastAsia="fr-FR"/>
        </w:rPr>
        <w:t>-</w:t>
      </w:r>
      <w:r w:rsidRPr="00BE51E9">
        <w:rPr>
          <w:lang w:val="en-GB" w:eastAsia="fr-FR"/>
        </w:rPr>
        <w:t>law framework was complemented by the</w:t>
      </w:r>
      <w:r w:rsidRPr="00BE51E9" w:rsidR="00FA19E3">
        <w:rPr>
          <w:lang w:val="en-GB" w:eastAsia="fr-FR"/>
        </w:rPr>
        <w:t xml:space="preserve"> comprehensive</w:t>
      </w:r>
      <w:r w:rsidRPr="00BE51E9">
        <w:rPr>
          <w:lang w:val="en-GB" w:eastAsia="fr-FR"/>
        </w:rPr>
        <w:t xml:space="preserve"> mechanisms of</w:t>
      </w:r>
      <w:r w:rsidRPr="00BE51E9" w:rsidR="00FA19E3">
        <w:rPr>
          <w:lang w:val="en-GB" w:eastAsia="fr-FR"/>
        </w:rPr>
        <w:t xml:space="preserve"> protection of victims of domestic violence </w:t>
      </w:r>
      <w:r w:rsidRPr="00BE51E9">
        <w:rPr>
          <w:lang w:val="en-GB" w:eastAsia="fr-FR"/>
        </w:rPr>
        <w:t>existing in</w:t>
      </w:r>
      <w:r w:rsidRPr="00BE51E9" w:rsidR="00FA19E3">
        <w:rPr>
          <w:lang w:val="en-GB" w:eastAsia="fr-FR"/>
        </w:rPr>
        <w:t xml:space="preserve"> the minor offences law, civil law and </w:t>
      </w:r>
      <w:r w:rsidRPr="00BE51E9">
        <w:rPr>
          <w:lang w:val="en-GB" w:eastAsia="fr-FR"/>
        </w:rPr>
        <w:t xml:space="preserve">other </w:t>
      </w:r>
      <w:r w:rsidRPr="00BE51E9" w:rsidR="00FA19E3">
        <w:rPr>
          <w:lang w:val="en-GB" w:eastAsia="fr-FR"/>
        </w:rPr>
        <w:t xml:space="preserve">Government policies (see paragraphs </w:t>
      </w:r>
      <w:r w:rsidRPr="00BE51E9" w:rsidR="005E0B8B">
        <w:rPr>
          <w:lang w:val="en-GB" w:eastAsia="fr-FR"/>
        </w:rPr>
        <w:t>31-34</w:t>
      </w:r>
      <w:r w:rsidRPr="00BE51E9">
        <w:rPr>
          <w:lang w:val="en-GB" w:eastAsia="fr-FR"/>
        </w:rPr>
        <w:t xml:space="preserve"> above; and compare </w:t>
      </w:r>
      <w:r w:rsidRPr="00BE51E9">
        <w:rPr>
          <w:i/>
          <w:lang w:val="en-GB"/>
        </w:rPr>
        <w:t>Bevacqua and S.</w:t>
      </w:r>
      <w:r w:rsidRPr="00BE51E9" w:rsidR="001E73CA">
        <w:rPr>
          <w:lang w:val="en-GB"/>
        </w:rPr>
        <w:t>, cited above</w:t>
      </w:r>
      <w:r w:rsidRPr="00BE51E9">
        <w:rPr>
          <w:lang w:val="en-GB"/>
        </w:rPr>
        <w:t>, § 81).</w:t>
      </w:r>
    </w:p>
    <w:p w:rsidRPr="00BE51E9" w:rsidR="00646B65" w:rsidP="00BE51E9" w:rsidRDefault="00D20DCC">
      <w:pPr>
        <w:pStyle w:val="ECHRPara"/>
        <w:rPr>
          <w:lang w:val="en-GB" w:eastAsia="fr-FR"/>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56</w:t>
      </w:r>
      <w:r w:rsidRPr="00BE51E9">
        <w:rPr>
          <w:lang w:val="en-GB" w:eastAsia="fr-FR"/>
        </w:rPr>
        <w:fldChar w:fldCharType="end"/>
      </w:r>
      <w:r w:rsidRPr="00BE51E9">
        <w:rPr>
          <w:lang w:val="en-GB" w:eastAsia="fr-FR"/>
        </w:rPr>
        <w:t>.  </w:t>
      </w:r>
      <w:r w:rsidRPr="00BE51E9" w:rsidR="00706303">
        <w:rPr>
          <w:lang w:val="en-GB" w:eastAsia="fr-FR"/>
        </w:rPr>
        <w:t>The Court notes that the</w:t>
      </w:r>
      <w:r w:rsidRPr="00BE51E9" w:rsidR="00FB2FF6">
        <w:rPr>
          <w:lang w:val="en-GB" w:eastAsia="fr-FR"/>
        </w:rPr>
        <w:t xml:space="preserve"> legislative solution </w:t>
      </w:r>
      <w:r w:rsidRPr="00BE51E9" w:rsidR="00922098">
        <w:rPr>
          <w:lang w:val="en-GB" w:eastAsia="fr-FR"/>
        </w:rPr>
        <w:t xml:space="preserve">provided for </w:t>
      </w:r>
      <w:r w:rsidRPr="00BE51E9" w:rsidR="00FB2FF6">
        <w:rPr>
          <w:lang w:val="en-GB" w:eastAsia="fr-FR"/>
        </w:rPr>
        <w:t>under the 2011 Criminal Code does not appear to be contrary to the relevant interna</w:t>
      </w:r>
      <w:r w:rsidRPr="00BE51E9" w:rsidR="00214244">
        <w:rPr>
          <w:lang w:val="en-GB" w:eastAsia="fr-FR"/>
        </w:rPr>
        <w:t>tional standards. For instance,</w:t>
      </w:r>
      <w:r w:rsidRPr="00BE51E9" w:rsidR="005258A9">
        <w:rPr>
          <w:lang w:val="en-GB" w:eastAsia="fr-FR"/>
        </w:rPr>
        <w:t xml:space="preserve"> </w:t>
      </w:r>
      <w:r w:rsidRPr="00BE51E9" w:rsidR="00FB2FF6">
        <w:rPr>
          <w:lang w:val="en-GB" w:eastAsia="fr-FR"/>
        </w:rPr>
        <w:t xml:space="preserve">the Istanbul Convention requires that intentional conduct of violence within a family </w:t>
      </w:r>
      <w:r w:rsidRPr="00BE51E9" w:rsidR="00922098">
        <w:rPr>
          <w:lang w:val="en-GB" w:eastAsia="fr-FR"/>
        </w:rPr>
        <w:t xml:space="preserve">be </w:t>
      </w:r>
      <w:r w:rsidRPr="00BE51E9" w:rsidR="00FB2FF6">
        <w:rPr>
          <w:lang w:val="en-GB" w:eastAsia="fr-FR"/>
        </w:rPr>
        <w:t>criminalised</w:t>
      </w:r>
      <w:r w:rsidRPr="00BE51E9" w:rsidR="00214244">
        <w:rPr>
          <w:lang w:val="en-GB" w:eastAsia="fr-FR"/>
        </w:rPr>
        <w:t xml:space="preserve"> but</w:t>
      </w:r>
      <w:r w:rsidRPr="00BE51E9" w:rsidR="006F5458">
        <w:rPr>
          <w:lang w:val="en-GB" w:eastAsia="fr-FR"/>
        </w:rPr>
        <w:t xml:space="preserve"> </w:t>
      </w:r>
      <w:r w:rsidRPr="00BE51E9" w:rsidR="005258A9">
        <w:rPr>
          <w:lang w:val="en-GB" w:eastAsia="fr-FR"/>
        </w:rPr>
        <w:t xml:space="preserve">it </w:t>
      </w:r>
      <w:r w:rsidRPr="00BE51E9" w:rsidR="006F5458">
        <w:rPr>
          <w:lang w:val="en-GB" w:eastAsia="fr-FR"/>
        </w:rPr>
        <w:t>does not oblige States</w:t>
      </w:r>
      <w:r w:rsidRPr="00BE51E9" w:rsidR="00FB2FF6">
        <w:rPr>
          <w:lang w:val="en-GB" w:eastAsia="fr-FR"/>
        </w:rPr>
        <w:t xml:space="preserve"> to introduce specific provisions criminalising the conduct described by that Convention (</w:t>
      </w:r>
      <w:r w:rsidRPr="00BE51E9" w:rsidR="00E311A7">
        <w:rPr>
          <w:lang w:val="en-GB" w:eastAsia="fr-FR"/>
        </w:rPr>
        <w:t xml:space="preserve">see </w:t>
      </w:r>
      <w:r w:rsidRPr="00BE51E9" w:rsidR="005E0B8B">
        <w:rPr>
          <w:lang w:val="en-GB" w:eastAsia="fr-FR"/>
        </w:rPr>
        <w:t>paragraph 37</w:t>
      </w:r>
      <w:r w:rsidRPr="00BE51E9" w:rsidR="00FB2FF6">
        <w:rPr>
          <w:lang w:val="en-GB" w:eastAsia="fr-FR"/>
        </w:rPr>
        <w:t xml:space="preserve"> above). </w:t>
      </w:r>
      <w:r w:rsidRPr="00BE51E9" w:rsidR="00E311A7">
        <w:rPr>
          <w:lang w:val="en-GB" w:eastAsia="fr-FR"/>
        </w:rPr>
        <w:t xml:space="preserve">It requires, however, that certain </w:t>
      </w:r>
      <w:r w:rsidRPr="00BE51E9" w:rsidR="005258A9">
        <w:rPr>
          <w:lang w:val="en-GB" w:eastAsia="fr-FR"/>
        </w:rPr>
        <w:t xml:space="preserve">forms </w:t>
      </w:r>
      <w:r w:rsidRPr="00BE51E9" w:rsidR="00E311A7">
        <w:rPr>
          <w:lang w:val="en-GB" w:eastAsia="fr-FR"/>
        </w:rPr>
        <w:t xml:space="preserve">of domestic violence be provided </w:t>
      </w:r>
      <w:r w:rsidRPr="00BE51E9" w:rsidR="005258A9">
        <w:rPr>
          <w:lang w:val="en-GB" w:eastAsia="fr-FR"/>
        </w:rPr>
        <w:t xml:space="preserve">for either </w:t>
      </w:r>
      <w:r w:rsidRPr="00BE51E9" w:rsidR="00E311A7">
        <w:rPr>
          <w:lang w:val="en-GB" w:eastAsia="fr-FR"/>
        </w:rPr>
        <w:t>as a constituent element of a particular offence or as</w:t>
      </w:r>
      <w:r w:rsidRPr="00BE51E9" w:rsidR="00ED2C74">
        <w:rPr>
          <w:lang w:val="en-GB" w:eastAsia="fr-FR"/>
        </w:rPr>
        <w:t xml:space="preserve"> an</w:t>
      </w:r>
      <w:r w:rsidRPr="00BE51E9" w:rsidR="00E311A7">
        <w:rPr>
          <w:lang w:val="en-GB" w:eastAsia="fr-FR"/>
        </w:rPr>
        <w:t xml:space="preserve"> aggravating circumstance in the determination of </w:t>
      </w:r>
      <w:r w:rsidRPr="00BE51E9" w:rsidR="005258A9">
        <w:rPr>
          <w:lang w:val="en-GB" w:eastAsia="fr-FR"/>
        </w:rPr>
        <w:t xml:space="preserve">a </w:t>
      </w:r>
      <w:r w:rsidRPr="00BE51E9" w:rsidR="00E311A7">
        <w:rPr>
          <w:lang w:val="en-GB" w:eastAsia="fr-FR"/>
        </w:rPr>
        <w:t>penalty for other offences established by t</w:t>
      </w:r>
      <w:r w:rsidRPr="00BE51E9" w:rsidR="005E0B8B">
        <w:rPr>
          <w:lang w:val="en-GB" w:eastAsia="fr-FR"/>
        </w:rPr>
        <w:t>he Convention (see paragraphs 36-37</w:t>
      </w:r>
      <w:r w:rsidRPr="00BE51E9" w:rsidR="00E311A7">
        <w:rPr>
          <w:lang w:val="en-GB" w:eastAsia="fr-FR"/>
        </w:rPr>
        <w:t xml:space="preserve"> above). </w:t>
      </w:r>
      <w:r w:rsidRPr="00BE51E9" w:rsidR="00FB2FF6">
        <w:rPr>
          <w:lang w:val="en-GB" w:eastAsia="fr-FR"/>
        </w:rPr>
        <w:t>In this connection</w:t>
      </w:r>
      <w:r w:rsidRPr="00BE51E9" w:rsidR="005258A9">
        <w:rPr>
          <w:lang w:val="en-GB" w:eastAsia="fr-FR"/>
        </w:rPr>
        <w:t>,</w:t>
      </w:r>
      <w:r w:rsidRPr="00BE51E9" w:rsidR="00FB2FF6">
        <w:rPr>
          <w:lang w:val="en-GB" w:eastAsia="fr-FR"/>
        </w:rPr>
        <w:t xml:space="preserve"> it should also </w:t>
      </w:r>
      <w:r w:rsidRPr="00BE51E9" w:rsidR="005258A9">
        <w:rPr>
          <w:lang w:val="en-GB" w:eastAsia="fr-FR"/>
        </w:rPr>
        <w:t xml:space="preserve">be </w:t>
      </w:r>
      <w:r w:rsidRPr="00BE51E9" w:rsidR="00FB2FF6">
        <w:rPr>
          <w:lang w:val="en-GB" w:eastAsia="fr-FR"/>
        </w:rPr>
        <w:t xml:space="preserve">noted that </w:t>
      </w:r>
      <w:r w:rsidRPr="00BE51E9" w:rsidR="006E6AD4">
        <w:rPr>
          <w:lang w:val="en-GB" w:eastAsia="fr-FR"/>
        </w:rPr>
        <w:t>relevant domestic</w:t>
      </w:r>
      <w:r w:rsidRPr="00BE51E9" w:rsidR="00FB2FF6">
        <w:rPr>
          <w:lang w:val="en-GB" w:eastAsia="fr-FR"/>
        </w:rPr>
        <w:t xml:space="preserve"> practices differ and that States have different approaches to the criminalisation of domestic violence in their </w:t>
      </w:r>
      <w:r w:rsidRPr="00BE51E9" w:rsidR="005E0B8B">
        <w:rPr>
          <w:lang w:val="en-GB" w:eastAsia="fr-FR"/>
        </w:rPr>
        <w:t>legal systems (see paragraphs 38-39</w:t>
      </w:r>
      <w:r w:rsidRPr="00BE51E9" w:rsidR="00FB2FF6">
        <w:rPr>
          <w:lang w:val="en-GB" w:eastAsia="fr-FR"/>
        </w:rPr>
        <w:t xml:space="preserve"> above).</w:t>
      </w:r>
    </w:p>
    <w:p w:rsidRPr="00BE51E9" w:rsidR="004F1CF6" w:rsidP="00BE51E9" w:rsidRDefault="00202042">
      <w:pPr>
        <w:pStyle w:val="ECHRPara"/>
        <w:rPr>
          <w:iCs/>
          <w:lang w:val="en-GB"/>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57</w:t>
      </w:r>
      <w:r w:rsidRPr="00BE51E9">
        <w:rPr>
          <w:lang w:val="en-GB" w:eastAsia="fr-FR"/>
        </w:rPr>
        <w:fldChar w:fldCharType="end"/>
      </w:r>
      <w:r w:rsidRPr="00BE51E9">
        <w:rPr>
          <w:lang w:val="en-GB" w:eastAsia="fr-FR"/>
        </w:rPr>
        <w:t xml:space="preserve">.  The Court has </w:t>
      </w:r>
      <w:r w:rsidRPr="00BE51E9" w:rsidR="006F5458">
        <w:rPr>
          <w:lang w:val="en-GB" w:eastAsia="fr-FR"/>
        </w:rPr>
        <w:t xml:space="preserve">also </w:t>
      </w:r>
      <w:r w:rsidRPr="00BE51E9">
        <w:rPr>
          <w:lang w:val="en-GB" w:eastAsia="fr-FR"/>
        </w:rPr>
        <w:t xml:space="preserve">already accepted in its case-law </w:t>
      </w:r>
      <w:r w:rsidRPr="00BE51E9" w:rsidR="00ED2C74">
        <w:rPr>
          <w:lang w:val="en-GB" w:eastAsia="fr-FR"/>
        </w:rPr>
        <w:t xml:space="preserve">that </w:t>
      </w:r>
      <w:r w:rsidRPr="00BE51E9">
        <w:rPr>
          <w:lang w:val="en-GB" w:eastAsia="fr-FR"/>
        </w:rPr>
        <w:t>different legislative solutions</w:t>
      </w:r>
      <w:r w:rsidRPr="00BE51E9" w:rsidR="00ED2C74">
        <w:rPr>
          <w:lang w:val="en-GB" w:eastAsia="fr-FR"/>
        </w:rPr>
        <w:t xml:space="preserve"> could satisfy the requirement of adequacy of legal mechanisms for protection </w:t>
      </w:r>
      <w:r w:rsidRPr="00BE51E9" w:rsidR="005258A9">
        <w:rPr>
          <w:lang w:val="en-GB" w:eastAsia="fr-FR"/>
        </w:rPr>
        <w:t xml:space="preserve">against </w:t>
      </w:r>
      <w:r w:rsidRPr="00BE51E9" w:rsidR="00ED2C74">
        <w:rPr>
          <w:lang w:val="en-GB" w:eastAsia="fr-FR"/>
        </w:rPr>
        <w:t xml:space="preserve">domestic violence in the sphere of criminal law, in so far </w:t>
      </w:r>
      <w:r w:rsidRPr="00BE51E9">
        <w:rPr>
          <w:lang w:val="en-GB" w:eastAsia="fr-FR"/>
        </w:rPr>
        <w:t xml:space="preserve">as they provided for effective protection </w:t>
      </w:r>
      <w:r w:rsidRPr="00BE51E9" w:rsidR="005258A9">
        <w:rPr>
          <w:lang w:val="en-GB" w:eastAsia="fr-FR"/>
        </w:rPr>
        <w:t xml:space="preserve">from </w:t>
      </w:r>
      <w:r w:rsidRPr="00BE51E9" w:rsidR="00ED2C74">
        <w:rPr>
          <w:lang w:val="en-GB" w:eastAsia="fr-FR"/>
        </w:rPr>
        <w:t>acts of domestic violence. In particular, it considered that the Moldovan authorities had put in place a legislative framework allowing them to take measures a</w:t>
      </w:r>
      <w:r w:rsidRPr="00BE51E9" w:rsidR="00FA19E3">
        <w:rPr>
          <w:lang w:val="en-GB" w:eastAsia="fr-FR"/>
        </w:rPr>
        <w:t>gainst persons accused of domestic</w:t>
      </w:r>
      <w:r w:rsidRPr="00BE51E9" w:rsidR="00ED2C74">
        <w:rPr>
          <w:lang w:val="en-GB" w:eastAsia="fr-FR"/>
        </w:rPr>
        <w:t xml:space="preserve"> violence by providing for </w:t>
      </w:r>
      <w:r w:rsidRPr="00BE51E9" w:rsidR="00FA19E3">
        <w:rPr>
          <w:lang w:val="en-GB" w:eastAsia="fr-FR"/>
        </w:rPr>
        <w:t xml:space="preserve">specific </w:t>
      </w:r>
      <w:r w:rsidRPr="00BE51E9" w:rsidR="005258A9">
        <w:rPr>
          <w:lang w:val="en-GB" w:eastAsia="fr-FR"/>
        </w:rPr>
        <w:t xml:space="preserve">offences </w:t>
      </w:r>
      <w:r w:rsidRPr="00BE51E9" w:rsidR="00FA19E3">
        <w:rPr>
          <w:lang w:val="en-GB" w:eastAsia="fr-FR"/>
        </w:rPr>
        <w:t xml:space="preserve">for </w:t>
      </w:r>
      <w:r w:rsidRPr="00BE51E9" w:rsidR="00ED2C74">
        <w:rPr>
          <w:lang w:val="en-GB" w:eastAsia="fr-FR"/>
        </w:rPr>
        <w:t>acts of violence against members of one</w:t>
      </w:r>
      <w:r w:rsidRPr="00BE51E9" w:rsidR="00BE51E9">
        <w:rPr>
          <w:lang w:val="en-GB" w:eastAsia="fr-FR"/>
        </w:rPr>
        <w:t>’</w:t>
      </w:r>
      <w:r w:rsidRPr="00BE51E9" w:rsidR="00ED2C74">
        <w:rPr>
          <w:lang w:val="en-GB" w:eastAsia="fr-FR"/>
        </w:rPr>
        <w:t>s own family (see</w:t>
      </w:r>
      <w:r w:rsidRPr="00BE51E9" w:rsidR="00C346A9">
        <w:rPr>
          <w:lang w:val="en-GB" w:eastAsia="fr-FR"/>
        </w:rPr>
        <w:t> </w:t>
      </w:r>
      <w:r w:rsidRPr="00BE51E9" w:rsidR="00ED2C74">
        <w:rPr>
          <w:i/>
          <w:lang w:val="en-GB" w:eastAsia="fr-FR"/>
        </w:rPr>
        <w:t>Eremia</w:t>
      </w:r>
      <w:r w:rsidRPr="00BE51E9" w:rsidR="00ED2C74">
        <w:rPr>
          <w:lang w:val="en-GB" w:eastAsia="fr-FR"/>
        </w:rPr>
        <w:t>, cited above, §57</w:t>
      </w:r>
      <w:r w:rsidRPr="00BE51E9" w:rsidR="005258A9">
        <w:rPr>
          <w:lang w:val="en-GB" w:eastAsia="fr-FR"/>
        </w:rPr>
        <w:t>,</w:t>
      </w:r>
      <w:r w:rsidRPr="00BE51E9" w:rsidR="00ED2C74">
        <w:rPr>
          <w:lang w:val="en-GB" w:eastAsia="fr-FR"/>
        </w:rPr>
        <w:t xml:space="preserve"> and </w:t>
      </w:r>
      <w:r w:rsidRPr="00BE51E9" w:rsidR="00ED2C74">
        <w:rPr>
          <w:i/>
          <w:snapToGrid w:val="0"/>
          <w:lang w:val="en-GB"/>
        </w:rPr>
        <w:t>Mudric v. the Republic of Moldova</w:t>
      </w:r>
      <w:r w:rsidRPr="00BE51E9" w:rsidR="00A95086">
        <w:rPr>
          <w:snapToGrid w:val="0"/>
          <w:lang w:val="en-GB"/>
        </w:rPr>
        <w:t>, no. </w:t>
      </w:r>
      <w:r w:rsidRPr="00BE51E9" w:rsidR="00ED2C74">
        <w:rPr>
          <w:snapToGrid w:val="0"/>
          <w:lang w:val="en-GB"/>
        </w:rPr>
        <w:t>74839/10, § 48, 16 July 2013). However,</w:t>
      </w:r>
      <w:r w:rsidRPr="00BE51E9" w:rsidR="006E6AD4">
        <w:rPr>
          <w:snapToGrid w:val="0"/>
          <w:lang w:val="en-GB"/>
        </w:rPr>
        <w:t xml:space="preserve"> with respect to Romania and Lithuania,</w:t>
      </w:r>
      <w:r w:rsidRPr="00BE51E9" w:rsidR="00ED2C74">
        <w:rPr>
          <w:snapToGrid w:val="0"/>
          <w:lang w:val="en-GB"/>
        </w:rPr>
        <w:t xml:space="preserve"> it also considered that </w:t>
      </w:r>
      <w:r w:rsidRPr="00BE51E9" w:rsidR="002902BD">
        <w:rPr>
          <w:snapToGrid w:val="0"/>
          <w:lang w:val="en-GB"/>
        </w:rPr>
        <w:t xml:space="preserve">by criminalising </w:t>
      </w:r>
      <w:r w:rsidRPr="00BE51E9" w:rsidR="00FA19E3">
        <w:rPr>
          <w:snapToGrid w:val="0"/>
          <w:lang w:val="en-GB"/>
        </w:rPr>
        <w:t xml:space="preserve">domestic violence as </w:t>
      </w:r>
      <w:r w:rsidRPr="00BE51E9" w:rsidR="002902BD">
        <w:rPr>
          <w:snapToGrid w:val="0"/>
          <w:lang w:val="en-GB"/>
        </w:rPr>
        <w:t xml:space="preserve">an </w:t>
      </w:r>
      <w:r w:rsidRPr="00BE51E9" w:rsidR="00FA19E3">
        <w:rPr>
          <w:snapToGrid w:val="0"/>
          <w:lang w:val="en-GB"/>
        </w:rPr>
        <w:t>aggravating form of other offences of a violent nature</w:t>
      </w:r>
      <w:r w:rsidRPr="00BE51E9" w:rsidR="002902BD">
        <w:rPr>
          <w:snapToGrid w:val="0"/>
          <w:lang w:val="en-GB"/>
        </w:rPr>
        <w:t>,</w:t>
      </w:r>
      <w:r w:rsidRPr="00BE51E9" w:rsidR="00FA19E3">
        <w:rPr>
          <w:snapToGrid w:val="0"/>
          <w:lang w:val="en-GB"/>
        </w:rPr>
        <w:t xml:space="preserve"> the domestic legal framework </w:t>
      </w:r>
      <w:r w:rsidRPr="00BE51E9" w:rsidR="002902BD">
        <w:rPr>
          <w:snapToGrid w:val="0"/>
          <w:lang w:val="en-GB"/>
        </w:rPr>
        <w:t xml:space="preserve">offered adequate </w:t>
      </w:r>
      <w:r w:rsidRPr="00BE51E9" w:rsidR="00FA19E3">
        <w:rPr>
          <w:snapToGrid w:val="0"/>
          <w:lang w:val="en-GB"/>
        </w:rPr>
        <w:t xml:space="preserve">protection </w:t>
      </w:r>
      <w:r w:rsidRPr="00BE51E9" w:rsidR="002902BD">
        <w:rPr>
          <w:snapToGrid w:val="0"/>
          <w:lang w:val="en-GB"/>
        </w:rPr>
        <w:t xml:space="preserve">against </w:t>
      </w:r>
      <w:r w:rsidRPr="00BE51E9" w:rsidR="00FA19E3">
        <w:rPr>
          <w:snapToGrid w:val="0"/>
          <w:lang w:val="en-GB"/>
        </w:rPr>
        <w:t xml:space="preserve">domestic violence (see </w:t>
      </w:r>
      <w:r w:rsidRPr="00BE51E9" w:rsidR="00FA19E3">
        <w:rPr>
          <w:i/>
          <w:lang w:val="en-GB"/>
        </w:rPr>
        <w:t>E.M. v. Romania</w:t>
      </w:r>
      <w:r w:rsidRPr="00BE51E9" w:rsidR="00FA19E3">
        <w:rPr>
          <w:lang w:val="en-GB"/>
        </w:rPr>
        <w:t>, no. 43994/05</w:t>
      </w:r>
      <w:r w:rsidRPr="00BE51E9" w:rsidR="00A95086">
        <w:rPr>
          <w:snapToGrid w:val="0"/>
          <w:lang w:val="en-GB"/>
        </w:rPr>
        <w:t>, § 62, 30 </w:t>
      </w:r>
      <w:r w:rsidRPr="00BE51E9" w:rsidR="00FA19E3">
        <w:rPr>
          <w:snapToGrid w:val="0"/>
          <w:lang w:val="en-GB"/>
        </w:rPr>
        <w:t>October 2012</w:t>
      </w:r>
      <w:r w:rsidRPr="00BE51E9" w:rsidR="002902BD">
        <w:rPr>
          <w:snapToGrid w:val="0"/>
          <w:lang w:val="en-GB"/>
        </w:rPr>
        <w:t>,</w:t>
      </w:r>
      <w:r w:rsidRPr="00BE51E9" w:rsidR="00FA19E3">
        <w:rPr>
          <w:snapToGrid w:val="0"/>
          <w:lang w:val="en-GB"/>
        </w:rPr>
        <w:t xml:space="preserve"> and </w:t>
      </w:r>
      <w:r w:rsidRPr="00BE51E9" w:rsidR="00FA19E3">
        <w:rPr>
          <w:i/>
          <w:iCs/>
          <w:lang w:val="en-GB"/>
        </w:rPr>
        <w:t>Valiulienė</w:t>
      </w:r>
      <w:r w:rsidRPr="00BE51E9" w:rsidR="00FA19E3">
        <w:rPr>
          <w:iCs/>
          <w:lang w:val="en-GB"/>
        </w:rPr>
        <w:t>, cited above, § 78).</w:t>
      </w:r>
    </w:p>
    <w:p w:rsidRPr="00BE51E9" w:rsidR="00913A6B" w:rsidP="00BE51E9" w:rsidRDefault="004F1CF6">
      <w:pPr>
        <w:pStyle w:val="ECHRPara"/>
        <w:rPr>
          <w:lang w:val="en-GB" w:eastAsia="fr-FR"/>
        </w:rPr>
      </w:pPr>
      <w:r w:rsidRPr="00BE51E9">
        <w:rPr>
          <w:iCs/>
          <w:lang w:val="en-GB"/>
        </w:rPr>
        <w:fldChar w:fldCharType="begin"/>
      </w:r>
      <w:r w:rsidRPr="00BE51E9">
        <w:rPr>
          <w:iCs/>
          <w:lang w:val="en-GB"/>
        </w:rPr>
        <w:instrText xml:space="preserve"> SEQ level0 \*arabic </w:instrText>
      </w:r>
      <w:r w:rsidRPr="00BE51E9">
        <w:rPr>
          <w:iCs/>
          <w:lang w:val="en-GB"/>
        </w:rPr>
        <w:fldChar w:fldCharType="separate"/>
      </w:r>
      <w:r w:rsidRPr="00BE51E9" w:rsidR="00BE51E9">
        <w:rPr>
          <w:iCs/>
          <w:noProof/>
          <w:lang w:val="en-GB"/>
        </w:rPr>
        <w:t>58</w:t>
      </w:r>
      <w:r w:rsidRPr="00BE51E9">
        <w:rPr>
          <w:iCs/>
          <w:lang w:val="en-GB"/>
        </w:rPr>
        <w:fldChar w:fldCharType="end"/>
      </w:r>
      <w:r w:rsidRPr="00BE51E9">
        <w:rPr>
          <w:iCs/>
          <w:lang w:val="en-GB"/>
        </w:rPr>
        <w:t>.  </w:t>
      </w:r>
      <w:r w:rsidRPr="00BE51E9" w:rsidR="002902BD">
        <w:rPr>
          <w:iCs/>
          <w:lang w:val="en-GB"/>
        </w:rPr>
        <w:t>T</w:t>
      </w:r>
      <w:r w:rsidRPr="00BE51E9">
        <w:rPr>
          <w:iCs/>
          <w:lang w:val="en-GB"/>
        </w:rPr>
        <w:t>he</w:t>
      </w:r>
      <w:r w:rsidRPr="00BE51E9" w:rsidR="00E94A76">
        <w:rPr>
          <w:iCs/>
          <w:lang w:val="en-GB"/>
        </w:rPr>
        <w:t xml:space="preserve"> above findings are consistent with the</w:t>
      </w:r>
      <w:r w:rsidRPr="00BE51E9">
        <w:rPr>
          <w:iCs/>
          <w:lang w:val="en-GB"/>
        </w:rPr>
        <w:t xml:space="preserve"> Court</w:t>
      </w:r>
      <w:r w:rsidRPr="00BE51E9" w:rsidR="00BE51E9">
        <w:rPr>
          <w:iCs/>
          <w:lang w:val="en-GB"/>
        </w:rPr>
        <w:t>’</w:t>
      </w:r>
      <w:r w:rsidRPr="00BE51E9" w:rsidR="00E94A76">
        <w:rPr>
          <w:iCs/>
          <w:lang w:val="en-GB"/>
        </w:rPr>
        <w:t>s well-established position that</w:t>
      </w:r>
      <w:r w:rsidRPr="00BE51E9">
        <w:rPr>
          <w:iCs/>
          <w:lang w:val="en-GB"/>
        </w:rPr>
        <w:t xml:space="preserve"> </w:t>
      </w:r>
      <w:r w:rsidRPr="00BE51E9">
        <w:rPr>
          <w:lang w:val="en-GB" w:eastAsia="fr-FR"/>
        </w:rPr>
        <w:t xml:space="preserve">it is not its role to replace the national authorities and to choose in their stead from among the wide range of possible measures that could be taken to secure compliance with their positive obligations under the Convention. </w:t>
      </w:r>
      <w:r w:rsidRPr="00BE51E9" w:rsidR="00913A6B">
        <w:rPr>
          <w:lang w:val="en-GB" w:eastAsia="fr-FR"/>
        </w:rPr>
        <w:t>Accordingly, in view of the above considerations, the Court finds that</w:t>
      </w:r>
      <w:r w:rsidRPr="00BE51E9" w:rsidR="00913A6B">
        <w:t xml:space="preserve"> </w:t>
      </w:r>
      <w:r w:rsidRPr="00BE51E9" w:rsidR="00913A6B">
        <w:rPr>
          <w:lang w:val="en-GB" w:eastAsia="fr-FR"/>
        </w:rPr>
        <w:t>the 2011 Criminal Code, complemented by other comprehensive measures of protection from domestic violence (see paragraphs 54-55 above), provided for an adequate legislative framework in Croatian law securing effective criminal-law mechanisms for protection from domestic violence at the relevant time.</w:t>
      </w:r>
    </w:p>
    <w:p w:rsidRPr="00BE51E9" w:rsidR="007B2426" w:rsidP="00BE51E9" w:rsidRDefault="004F1CF6">
      <w:pPr>
        <w:pStyle w:val="ECHRPara"/>
        <w:rPr>
          <w:i/>
          <w:lang w:val="en-GB"/>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59</w:t>
      </w:r>
      <w:r w:rsidRPr="00BE51E9">
        <w:rPr>
          <w:lang w:val="en-GB" w:eastAsia="fr-FR"/>
        </w:rPr>
        <w:fldChar w:fldCharType="end"/>
      </w:r>
      <w:r w:rsidRPr="00BE51E9">
        <w:rPr>
          <w:lang w:val="en-GB" w:eastAsia="fr-FR"/>
        </w:rPr>
        <w:t>.  </w:t>
      </w:r>
      <w:r w:rsidRPr="00BE51E9" w:rsidR="0020086F">
        <w:rPr>
          <w:lang w:val="en-GB" w:eastAsia="fr-FR"/>
        </w:rPr>
        <w:t>However, under Article 19 of the Convention and under the principle that the Convention is intended to guarantee not theoretical or illusory, but practical and effective rights, the Court has to ensure that a State</w:t>
      </w:r>
      <w:r w:rsidRPr="00BE51E9" w:rsidR="00BE51E9">
        <w:rPr>
          <w:lang w:val="en-GB" w:eastAsia="fr-FR"/>
        </w:rPr>
        <w:t>’</w:t>
      </w:r>
      <w:r w:rsidRPr="00BE51E9" w:rsidR="0020086F">
        <w:rPr>
          <w:lang w:val="en-GB" w:eastAsia="fr-FR"/>
        </w:rPr>
        <w:t xml:space="preserve">s obligation to protect the rights of those under its jurisdiction is adequately discharged in practice (see, for instance, </w:t>
      </w:r>
      <w:r w:rsidRPr="00BE51E9" w:rsidR="0020086F">
        <w:rPr>
          <w:i/>
          <w:lang w:val="en-GB" w:eastAsia="fr-FR"/>
        </w:rPr>
        <w:t>Opuz</w:t>
      </w:r>
      <w:r w:rsidRPr="00BE51E9" w:rsidR="0020086F">
        <w:rPr>
          <w:lang w:val="en-GB" w:eastAsia="fr-FR"/>
        </w:rPr>
        <w:t>, cited above, §</w:t>
      </w:r>
      <w:r w:rsidRPr="00BE51E9" w:rsidR="00C346A9">
        <w:rPr>
          <w:lang w:val="en-GB" w:eastAsia="fr-FR"/>
        </w:rPr>
        <w:t> </w:t>
      </w:r>
      <w:r w:rsidRPr="00BE51E9" w:rsidR="0020086F">
        <w:rPr>
          <w:lang w:val="en-GB" w:eastAsia="fr-FR"/>
        </w:rPr>
        <w:t xml:space="preserve">165; </w:t>
      </w:r>
      <w:r w:rsidRPr="00BE51E9" w:rsidR="0020086F">
        <w:rPr>
          <w:i/>
          <w:lang w:val="en-GB"/>
        </w:rPr>
        <w:t>Hajduová v. Slovakia</w:t>
      </w:r>
      <w:r w:rsidRPr="00BE51E9" w:rsidR="0020086F">
        <w:rPr>
          <w:lang w:val="en-GB"/>
        </w:rPr>
        <w:t>, no. 2660/03</w:t>
      </w:r>
      <w:r w:rsidRPr="00BE51E9" w:rsidR="0020086F">
        <w:rPr>
          <w:snapToGrid w:val="0"/>
          <w:szCs w:val="24"/>
          <w:lang w:val="en-GB"/>
        </w:rPr>
        <w:t xml:space="preserve">, § 47, </w:t>
      </w:r>
      <w:r w:rsidRPr="00BE51E9" w:rsidR="0020086F">
        <w:rPr>
          <w:szCs w:val="24"/>
          <w:lang w:val="en-GB"/>
        </w:rPr>
        <w:t>30</w:t>
      </w:r>
      <w:r w:rsidRPr="00BE51E9" w:rsidR="0020086F">
        <w:rPr>
          <w:snapToGrid w:val="0"/>
          <w:szCs w:val="24"/>
          <w:lang w:val="en-GB"/>
        </w:rPr>
        <w:t xml:space="preserve"> November 2010, and</w:t>
      </w:r>
      <w:r w:rsidRPr="00BE51E9" w:rsidR="0020086F">
        <w:rPr>
          <w:lang w:val="en-GB" w:eastAsia="fr-FR"/>
        </w:rPr>
        <w:t xml:space="preserve"> </w:t>
      </w:r>
      <w:r w:rsidRPr="00BE51E9" w:rsidR="0020086F">
        <w:rPr>
          <w:i/>
          <w:lang w:val="en-GB"/>
        </w:rPr>
        <w:t xml:space="preserve">Rumor </w:t>
      </w:r>
      <w:r w:rsidRPr="00BE51E9" w:rsidR="0020086F">
        <w:rPr>
          <w:i/>
          <w:snapToGrid w:val="0"/>
          <w:lang w:val="en-GB"/>
        </w:rPr>
        <w:t>v. Italy</w:t>
      </w:r>
      <w:r w:rsidRPr="00BE51E9" w:rsidR="0020086F">
        <w:rPr>
          <w:snapToGrid w:val="0"/>
          <w:lang w:val="en-GB"/>
        </w:rPr>
        <w:t xml:space="preserve">, </w:t>
      </w:r>
      <w:r w:rsidRPr="00BE51E9" w:rsidR="0020086F">
        <w:rPr>
          <w:lang w:val="en-GB"/>
        </w:rPr>
        <w:t>no. 72964/10</w:t>
      </w:r>
      <w:r w:rsidRPr="00BE51E9" w:rsidR="0020086F">
        <w:rPr>
          <w:snapToGrid w:val="0"/>
          <w:color w:val="000000"/>
          <w:lang w:val="en-GB"/>
        </w:rPr>
        <w:t>, § 59, 27 May 2014).</w:t>
      </w:r>
      <w:r w:rsidRPr="00BE51E9" w:rsidR="0020086F">
        <w:rPr>
          <w:i/>
          <w:lang w:val="en-GB"/>
        </w:rPr>
        <w:t xml:space="preserve"> </w:t>
      </w:r>
      <w:r w:rsidRPr="00BE51E9" w:rsidR="007B2426">
        <w:rPr>
          <w:lang w:val="en-GB" w:eastAsia="fr-FR"/>
        </w:rPr>
        <w:t>The Court will</w:t>
      </w:r>
      <w:r w:rsidRPr="00BE51E9" w:rsidR="0020086F">
        <w:rPr>
          <w:lang w:val="en-GB" w:eastAsia="fr-FR"/>
        </w:rPr>
        <w:t xml:space="preserve"> thus</w:t>
      </w:r>
      <w:r w:rsidRPr="00BE51E9" w:rsidR="007B2426">
        <w:rPr>
          <w:lang w:val="en-GB" w:eastAsia="fr-FR"/>
        </w:rPr>
        <w:t xml:space="preserve"> </w:t>
      </w:r>
      <w:r w:rsidRPr="00BE51E9" w:rsidR="00876C02">
        <w:rPr>
          <w:lang w:val="en-GB" w:eastAsia="fr-FR"/>
        </w:rPr>
        <w:t xml:space="preserve">now </w:t>
      </w:r>
      <w:r w:rsidRPr="00BE51E9" w:rsidR="007B2426">
        <w:rPr>
          <w:lang w:val="en-GB" w:eastAsia="fr-FR"/>
        </w:rPr>
        <w:t>examine whether the manner in which the criminal-law mechanisms were implemented in the instant case were defective to the point of constituting a violation of the respondent State</w:t>
      </w:r>
      <w:r w:rsidRPr="00BE51E9" w:rsidR="00BE51E9">
        <w:rPr>
          <w:lang w:val="en-GB" w:eastAsia="fr-FR"/>
        </w:rPr>
        <w:t>’</w:t>
      </w:r>
      <w:r w:rsidRPr="00BE51E9" w:rsidR="007B2426">
        <w:rPr>
          <w:lang w:val="en-GB" w:eastAsia="fr-FR"/>
        </w:rPr>
        <w:t>s positive obligations under Article 8 of the Convention</w:t>
      </w:r>
      <w:r w:rsidRPr="00BE51E9" w:rsidR="005E0B8B">
        <w:rPr>
          <w:lang w:val="en-GB" w:eastAsia="fr-FR"/>
        </w:rPr>
        <w:t xml:space="preserve"> (see paragraph 49</w:t>
      </w:r>
      <w:r w:rsidRPr="00BE51E9" w:rsidR="00876C02">
        <w:rPr>
          <w:lang w:val="en-GB" w:eastAsia="fr-FR"/>
        </w:rPr>
        <w:t xml:space="preserve"> above; see also </w:t>
      </w:r>
      <w:r w:rsidRPr="00BE51E9" w:rsidR="00876C02">
        <w:rPr>
          <w:i/>
          <w:iCs/>
          <w:lang w:val="en-GB"/>
        </w:rPr>
        <w:t>Valiulienė</w:t>
      </w:r>
      <w:r w:rsidRPr="00BE51E9" w:rsidR="00876C02">
        <w:rPr>
          <w:iCs/>
          <w:lang w:val="en-GB"/>
        </w:rPr>
        <w:t>, cited above, §</w:t>
      </w:r>
      <w:r w:rsidRPr="00BE51E9" w:rsidR="00C346A9">
        <w:rPr>
          <w:iCs/>
          <w:lang w:val="en-GB"/>
        </w:rPr>
        <w:t> </w:t>
      </w:r>
      <w:r w:rsidRPr="00BE51E9" w:rsidR="00876C02">
        <w:rPr>
          <w:iCs/>
          <w:lang w:val="en-GB"/>
        </w:rPr>
        <w:t>79).</w:t>
      </w:r>
    </w:p>
    <w:p w:rsidRPr="00BE51E9" w:rsidR="001C1E9F" w:rsidP="00BE51E9" w:rsidRDefault="0020086F">
      <w:pPr>
        <w:pStyle w:val="ECHRPara"/>
        <w:rPr>
          <w:lang w:val="en-GB" w:eastAsia="fr-FR"/>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60</w:t>
      </w:r>
      <w:r w:rsidRPr="00BE51E9">
        <w:rPr>
          <w:lang w:val="en-GB" w:eastAsia="fr-FR"/>
        </w:rPr>
        <w:fldChar w:fldCharType="end"/>
      </w:r>
      <w:r w:rsidRPr="00BE51E9">
        <w:rPr>
          <w:lang w:val="en-GB" w:eastAsia="fr-FR"/>
        </w:rPr>
        <w:t xml:space="preserve">.  The Court notes at the outset that </w:t>
      </w:r>
      <w:r w:rsidRPr="00BE51E9" w:rsidR="003074B0">
        <w:rPr>
          <w:lang w:val="en-GB" w:eastAsia="fr-FR"/>
        </w:rPr>
        <w:t xml:space="preserve">in the circumstances of the instant case, where the domestic law </w:t>
      </w:r>
      <w:r w:rsidRPr="00BE51E9" w:rsidR="00FE7C85">
        <w:rPr>
          <w:lang w:val="en-GB" w:eastAsia="fr-FR"/>
        </w:rPr>
        <w:t xml:space="preserve">provided for </w:t>
      </w:r>
      <w:r w:rsidRPr="00BE51E9" w:rsidR="003074B0">
        <w:rPr>
          <w:lang w:val="en-GB" w:eastAsia="fr-FR"/>
        </w:rPr>
        <w:t>public criminal prosecut</w:t>
      </w:r>
      <w:r w:rsidRPr="00BE51E9" w:rsidR="00E3590C">
        <w:rPr>
          <w:lang w:val="en-GB" w:eastAsia="fr-FR"/>
        </w:rPr>
        <w:t>ion, it is not for the Court to speculate</w:t>
      </w:r>
      <w:r w:rsidRPr="00BE51E9" w:rsidR="0068041B">
        <w:rPr>
          <w:lang w:val="en-GB" w:eastAsia="fr-FR"/>
        </w:rPr>
        <w:t xml:space="preserve"> on</w:t>
      </w:r>
      <w:r w:rsidRPr="00BE51E9" w:rsidR="00E3590C">
        <w:rPr>
          <w:lang w:val="en-GB" w:eastAsia="fr-FR"/>
        </w:rPr>
        <w:t xml:space="preserve"> whether the applicant</w:t>
      </w:r>
      <w:r w:rsidRPr="00BE51E9" w:rsidR="00BE51E9">
        <w:rPr>
          <w:lang w:val="en-GB" w:eastAsia="fr-FR"/>
        </w:rPr>
        <w:t>’</w:t>
      </w:r>
      <w:r w:rsidRPr="00BE51E9" w:rsidR="00E3590C">
        <w:rPr>
          <w:lang w:val="en-GB" w:eastAsia="fr-FR"/>
        </w:rPr>
        <w:t>s criminal complaint should have been pursued by way of private prosecution</w:t>
      </w:r>
      <w:r w:rsidRPr="00BE51E9" w:rsidR="00B1375F">
        <w:rPr>
          <w:lang w:val="en-GB" w:eastAsia="fr-FR"/>
        </w:rPr>
        <w:t xml:space="preserve"> (compare </w:t>
      </w:r>
      <w:r w:rsidRPr="00BE51E9" w:rsidR="00B1375F">
        <w:rPr>
          <w:i/>
          <w:iCs/>
          <w:lang w:val="en-GB"/>
        </w:rPr>
        <w:t>Valiulienė</w:t>
      </w:r>
      <w:r w:rsidRPr="00BE51E9" w:rsidR="00B1375F">
        <w:rPr>
          <w:iCs/>
          <w:lang w:val="en-GB"/>
        </w:rPr>
        <w:t>, cited above, § 85).</w:t>
      </w:r>
      <w:r w:rsidRPr="00BE51E9">
        <w:rPr>
          <w:iCs/>
          <w:lang w:val="en-GB"/>
        </w:rPr>
        <w:t xml:space="preserve"> The Court therefore rejects the Government</w:t>
      </w:r>
      <w:r w:rsidRPr="00BE51E9" w:rsidR="00BE51E9">
        <w:rPr>
          <w:iCs/>
          <w:lang w:val="en-GB"/>
        </w:rPr>
        <w:t>’</w:t>
      </w:r>
      <w:r w:rsidRPr="00BE51E9">
        <w:rPr>
          <w:iCs/>
          <w:lang w:val="en-GB"/>
        </w:rPr>
        <w:t>s objection it has previously joined to the merits (see paragraph 43 above).</w:t>
      </w:r>
      <w:r w:rsidRPr="00BE51E9" w:rsidR="00B1375F">
        <w:rPr>
          <w:lang w:val="en-GB" w:eastAsia="fr-FR"/>
        </w:rPr>
        <w:t xml:space="preserve"> It </w:t>
      </w:r>
      <w:r w:rsidRPr="00BE51E9">
        <w:rPr>
          <w:lang w:val="en-GB" w:eastAsia="fr-FR"/>
        </w:rPr>
        <w:t xml:space="preserve">consequently </w:t>
      </w:r>
      <w:r w:rsidRPr="00BE51E9" w:rsidR="00E3590C">
        <w:rPr>
          <w:lang w:val="en-GB" w:eastAsia="fr-FR"/>
        </w:rPr>
        <w:t>confine</w:t>
      </w:r>
      <w:r w:rsidRPr="00BE51E9" w:rsidR="00B1375F">
        <w:rPr>
          <w:lang w:val="en-GB" w:eastAsia="fr-FR"/>
        </w:rPr>
        <w:t>s</w:t>
      </w:r>
      <w:r w:rsidRPr="00BE51E9" w:rsidR="00E3590C">
        <w:rPr>
          <w:lang w:val="en-GB" w:eastAsia="fr-FR"/>
        </w:rPr>
        <w:t xml:space="preserve"> itself to </w:t>
      </w:r>
      <w:r w:rsidRPr="00BE51E9" w:rsidR="00B1375F">
        <w:rPr>
          <w:lang w:val="en-GB" w:eastAsia="fr-FR"/>
        </w:rPr>
        <w:t>noting that the competent State Attorney</w:t>
      </w:r>
      <w:r w:rsidRPr="00BE51E9" w:rsidR="00BE51E9">
        <w:rPr>
          <w:lang w:val="en-GB" w:eastAsia="fr-FR"/>
        </w:rPr>
        <w:t>’</w:t>
      </w:r>
      <w:r w:rsidRPr="00BE51E9" w:rsidR="00B1375F">
        <w:rPr>
          <w:lang w:val="en-GB" w:eastAsia="fr-FR"/>
        </w:rPr>
        <w:t>s Office failed to</w:t>
      </w:r>
      <w:r w:rsidRPr="00BE51E9" w:rsidR="001C1E9F">
        <w:rPr>
          <w:lang w:val="en-GB" w:eastAsia="fr-FR"/>
        </w:rPr>
        <w:t xml:space="preserve"> consider</w:t>
      </w:r>
      <w:r w:rsidRPr="00BE51E9" w:rsidR="00B1375F">
        <w:rPr>
          <w:lang w:val="en-GB" w:eastAsia="fr-FR"/>
        </w:rPr>
        <w:t xml:space="preserve"> </w:t>
      </w:r>
      <w:r w:rsidRPr="00BE51E9" w:rsidR="001A1CD4">
        <w:rPr>
          <w:lang w:val="en-GB" w:eastAsia="fr-FR"/>
        </w:rPr>
        <w:t>reclassify</w:t>
      </w:r>
      <w:r w:rsidRPr="00BE51E9" w:rsidR="001C1E9F">
        <w:rPr>
          <w:lang w:val="en-GB" w:eastAsia="fr-FR"/>
        </w:rPr>
        <w:t>ing</w:t>
      </w:r>
      <w:r w:rsidRPr="00BE51E9" w:rsidR="001A1CD4">
        <w:rPr>
          <w:lang w:val="en-GB" w:eastAsia="fr-FR"/>
        </w:rPr>
        <w:t xml:space="preserve"> </w:t>
      </w:r>
      <w:r w:rsidRPr="00BE51E9" w:rsidR="00B1375F">
        <w:rPr>
          <w:lang w:val="en-GB" w:eastAsia="fr-FR"/>
        </w:rPr>
        <w:t xml:space="preserve">the charges against B.B. as offences of making serious threats and causing bodily </w:t>
      </w:r>
      <w:r w:rsidRPr="00BE51E9" w:rsidR="001A1CD4">
        <w:rPr>
          <w:lang w:val="en-GB" w:eastAsia="fr-FR"/>
        </w:rPr>
        <w:t xml:space="preserve">harm </w:t>
      </w:r>
      <w:r w:rsidRPr="00BE51E9" w:rsidR="00B1375F">
        <w:rPr>
          <w:lang w:val="en-GB" w:eastAsia="fr-FR"/>
        </w:rPr>
        <w:t>to a family member under Articles 117 and 139 of the 2011 Criminal Code</w:t>
      </w:r>
      <w:r w:rsidRPr="00BE51E9" w:rsidR="005E0B8B">
        <w:rPr>
          <w:lang w:val="en-GB" w:eastAsia="fr-FR"/>
        </w:rPr>
        <w:t xml:space="preserve"> (see paragraphs 22 and 29</w:t>
      </w:r>
      <w:r w:rsidRPr="00BE51E9" w:rsidR="006E760B">
        <w:rPr>
          <w:lang w:val="en-GB" w:eastAsia="fr-FR"/>
        </w:rPr>
        <w:t xml:space="preserve"> above)</w:t>
      </w:r>
      <w:r w:rsidRPr="00BE51E9" w:rsidR="001A1CD4">
        <w:rPr>
          <w:lang w:val="en-GB" w:eastAsia="fr-FR"/>
        </w:rPr>
        <w:t>.</w:t>
      </w:r>
      <w:r w:rsidRPr="00BE51E9" w:rsidR="00B1375F">
        <w:rPr>
          <w:lang w:val="en-GB" w:eastAsia="fr-FR"/>
        </w:rPr>
        <w:t xml:space="preserve"> </w:t>
      </w:r>
      <w:r w:rsidRPr="00BE51E9" w:rsidR="001A1CD4">
        <w:rPr>
          <w:lang w:val="en-GB" w:eastAsia="fr-FR"/>
        </w:rPr>
        <w:t xml:space="preserve">It also notes </w:t>
      </w:r>
      <w:r w:rsidRPr="00BE51E9" w:rsidR="00B1375F">
        <w:rPr>
          <w:lang w:val="en-GB" w:eastAsia="fr-FR"/>
        </w:rPr>
        <w:t xml:space="preserve">that the competent criminal court discontinued the proceedings against him on charges of domestic violence under Article 215a of the 1997 Criminal Code without examining the </w:t>
      </w:r>
      <w:r w:rsidRPr="00BE51E9" w:rsidR="001A1CD4">
        <w:rPr>
          <w:lang w:val="en-GB" w:eastAsia="fr-FR"/>
        </w:rPr>
        <w:t xml:space="preserve">possibility of continuing </w:t>
      </w:r>
      <w:r w:rsidRPr="00BE51E9" w:rsidR="00B1375F">
        <w:rPr>
          <w:lang w:val="en-GB" w:eastAsia="fr-FR"/>
        </w:rPr>
        <w:t xml:space="preserve">the </w:t>
      </w:r>
      <w:r w:rsidRPr="00BE51E9" w:rsidR="001A1CD4">
        <w:rPr>
          <w:lang w:val="en-GB" w:eastAsia="fr-FR"/>
        </w:rPr>
        <w:t xml:space="preserve">proceedings </w:t>
      </w:r>
      <w:r w:rsidRPr="00BE51E9" w:rsidR="00B1375F">
        <w:rPr>
          <w:lang w:val="en-GB" w:eastAsia="fr-FR"/>
        </w:rPr>
        <w:t>under the 2011 Code of Criminal Procedur</w:t>
      </w:r>
      <w:r w:rsidRPr="00BE51E9" w:rsidR="0030205F">
        <w:rPr>
          <w:lang w:val="en-GB" w:eastAsia="fr-FR"/>
        </w:rPr>
        <w:t>e by establishing the continuity of incrimination under the</w:t>
      </w:r>
      <w:r w:rsidRPr="00BE51E9" w:rsidR="001C1E9F">
        <w:rPr>
          <w:lang w:val="en-GB" w:eastAsia="fr-FR"/>
        </w:rPr>
        <w:t xml:space="preserve"> new provisions of criminal law</w:t>
      </w:r>
      <w:r w:rsidRPr="00BE51E9" w:rsidR="00830CCE">
        <w:rPr>
          <w:lang w:val="en-GB" w:eastAsia="fr-FR"/>
        </w:rPr>
        <w:t xml:space="preserve"> as required under the relevant domestic law (see paragraphs 26 and 29 above) and taking into account the requirements of Article 7 of the Convention </w:t>
      </w:r>
      <w:r w:rsidRPr="00BE51E9" w:rsidR="001C1E9F">
        <w:rPr>
          <w:lang w:val="en-GB" w:eastAsia="fr-FR"/>
        </w:rPr>
        <w:t xml:space="preserve">(see </w:t>
      </w:r>
      <w:r w:rsidRPr="00BE51E9" w:rsidR="001C1E9F">
        <w:rPr>
          <w:i/>
          <w:snapToGrid w:val="0"/>
          <w:lang w:val="en-GB"/>
        </w:rPr>
        <w:t xml:space="preserve">Rohlena v. the Czech Republic </w:t>
      </w:r>
      <w:r w:rsidRPr="00BE51E9" w:rsidR="001C1E9F">
        <w:rPr>
          <w:snapToGrid w:val="0"/>
          <w:lang w:val="en-GB"/>
        </w:rPr>
        <w:t>[GC], no. 59552/08, §§</w:t>
      </w:r>
      <w:r w:rsidRPr="00BE51E9" w:rsidR="00830CCE">
        <w:rPr>
          <w:snapToGrid w:val="0"/>
          <w:lang w:val="en-GB"/>
        </w:rPr>
        <w:t xml:space="preserve"> 62,</w:t>
      </w:r>
      <w:r w:rsidRPr="00BE51E9" w:rsidR="001C1E9F">
        <w:rPr>
          <w:snapToGrid w:val="0"/>
          <w:lang w:val="en-GB"/>
        </w:rPr>
        <w:t xml:space="preserve"> 70-72, ECHR 2015).</w:t>
      </w:r>
    </w:p>
    <w:p w:rsidRPr="00BE51E9" w:rsidR="00144362" w:rsidP="00BE51E9" w:rsidRDefault="00B1375F">
      <w:pPr>
        <w:pStyle w:val="ECHRPara"/>
        <w:rPr>
          <w:lang w:eastAsia="fr-FR"/>
        </w:rPr>
      </w:pPr>
      <w:r w:rsidRPr="00BE51E9">
        <w:rPr>
          <w:lang w:val="en-GB" w:eastAsia="fr-FR"/>
        </w:rPr>
        <w:fldChar w:fldCharType="begin"/>
      </w:r>
      <w:r w:rsidRPr="00BE51E9">
        <w:rPr>
          <w:lang w:val="en-GB" w:eastAsia="fr-FR"/>
        </w:rPr>
        <w:instrText xml:space="preserve"> SEQ level0 \*arabic </w:instrText>
      </w:r>
      <w:r w:rsidRPr="00BE51E9">
        <w:rPr>
          <w:lang w:val="en-GB" w:eastAsia="fr-FR"/>
        </w:rPr>
        <w:fldChar w:fldCharType="separate"/>
      </w:r>
      <w:r w:rsidRPr="00BE51E9" w:rsidR="00BE51E9">
        <w:rPr>
          <w:noProof/>
          <w:lang w:val="en-GB" w:eastAsia="fr-FR"/>
        </w:rPr>
        <w:t>61</w:t>
      </w:r>
      <w:r w:rsidRPr="00BE51E9">
        <w:rPr>
          <w:lang w:val="en-GB" w:eastAsia="fr-FR"/>
        </w:rPr>
        <w:fldChar w:fldCharType="end"/>
      </w:r>
      <w:r w:rsidRPr="00BE51E9">
        <w:rPr>
          <w:lang w:val="en-GB" w:eastAsia="fr-FR"/>
        </w:rPr>
        <w:t xml:space="preserve">.  The domestic authorities thereby brought about </w:t>
      </w:r>
      <w:r w:rsidRPr="00BE51E9" w:rsidR="00922098">
        <w:rPr>
          <w:lang w:val="en-GB" w:eastAsia="fr-FR"/>
        </w:rPr>
        <w:t xml:space="preserve">a </w:t>
      </w:r>
      <w:r w:rsidRPr="00BE51E9">
        <w:rPr>
          <w:lang w:val="en-GB" w:eastAsia="fr-FR"/>
        </w:rPr>
        <w:t xml:space="preserve">situation </w:t>
      </w:r>
      <w:r w:rsidRPr="00BE51E9" w:rsidR="00922098">
        <w:rPr>
          <w:lang w:val="en-GB" w:eastAsia="fr-FR"/>
        </w:rPr>
        <w:t xml:space="preserve">in which </w:t>
      </w:r>
      <w:r w:rsidRPr="00BE51E9">
        <w:rPr>
          <w:lang w:val="en-GB" w:eastAsia="fr-FR"/>
        </w:rPr>
        <w:t xml:space="preserve">the </w:t>
      </w:r>
      <w:r w:rsidRPr="00BE51E9">
        <w:rPr>
          <w:lang w:eastAsia="fr-FR"/>
        </w:rPr>
        <w:t>circumstances of the alleged domestic violence against the applicant were never finally established by a competent court of law, resulting in B.B.</w:t>
      </w:r>
      <w:r w:rsidRPr="00BE51E9" w:rsidR="00BE51E9">
        <w:rPr>
          <w:lang w:eastAsia="fr-FR"/>
        </w:rPr>
        <w:t>’</w:t>
      </w:r>
      <w:r w:rsidRPr="00BE51E9">
        <w:rPr>
          <w:lang w:eastAsia="fr-FR"/>
        </w:rPr>
        <w:t>s virtual impunity</w:t>
      </w:r>
      <w:r w:rsidRPr="00BE51E9" w:rsidR="00471646">
        <w:rPr>
          <w:lang w:eastAsia="fr-FR"/>
        </w:rPr>
        <w:t>.</w:t>
      </w:r>
    </w:p>
    <w:p w:rsidRPr="00BE51E9" w:rsidR="00471646" w:rsidP="00BE51E9" w:rsidRDefault="00471646">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62</w:t>
      </w:r>
      <w:r w:rsidRPr="00BE51E9">
        <w:rPr>
          <w:lang w:val="en-GB"/>
        </w:rPr>
        <w:fldChar w:fldCharType="end"/>
      </w:r>
      <w:r w:rsidRPr="00BE51E9">
        <w:rPr>
          <w:lang w:val="en-GB"/>
        </w:rPr>
        <w:t>.  In the Court</w:t>
      </w:r>
      <w:r w:rsidRPr="00BE51E9" w:rsidR="00BE51E9">
        <w:rPr>
          <w:lang w:val="en-GB"/>
        </w:rPr>
        <w:t>’</w:t>
      </w:r>
      <w:r w:rsidRPr="00BE51E9">
        <w:rPr>
          <w:lang w:val="en-GB"/>
        </w:rPr>
        <w:t xml:space="preserve">s view, the </w:t>
      </w:r>
      <w:r w:rsidRPr="00BE51E9" w:rsidR="00830CCE">
        <w:rPr>
          <w:lang w:val="en-GB"/>
        </w:rPr>
        <w:t xml:space="preserve">conduct of the domestic authorities </w:t>
      </w:r>
      <w:r w:rsidRPr="00BE51E9">
        <w:rPr>
          <w:lang w:val="en-GB"/>
        </w:rPr>
        <w:t xml:space="preserve">in the present case, together with the manner in which the criminal-law mechanisms were implemented, were defective to the point of constituting a </w:t>
      </w:r>
      <w:r w:rsidRPr="00BE51E9" w:rsidR="0068041B">
        <w:rPr>
          <w:lang w:val="en-GB"/>
        </w:rPr>
        <w:t>breach</w:t>
      </w:r>
      <w:r w:rsidRPr="00BE51E9">
        <w:rPr>
          <w:lang w:val="en-GB"/>
        </w:rPr>
        <w:t xml:space="preserve"> of the respondent State</w:t>
      </w:r>
      <w:r w:rsidRPr="00BE51E9" w:rsidR="00BE51E9">
        <w:rPr>
          <w:lang w:val="en-GB"/>
        </w:rPr>
        <w:t>’</w:t>
      </w:r>
      <w:r w:rsidRPr="00BE51E9">
        <w:rPr>
          <w:lang w:val="en-GB"/>
        </w:rPr>
        <w:t>s positive obligations under the Convention concerning the applicant</w:t>
      </w:r>
      <w:r w:rsidRPr="00BE51E9" w:rsidR="00BE51E9">
        <w:rPr>
          <w:lang w:val="en-GB"/>
        </w:rPr>
        <w:t>’</w:t>
      </w:r>
      <w:r w:rsidRPr="00BE51E9">
        <w:rPr>
          <w:lang w:val="en-GB"/>
        </w:rPr>
        <w:t>s allegations of domestic violence.</w:t>
      </w:r>
    </w:p>
    <w:p w:rsidRPr="00BE51E9" w:rsidR="00014566" w:rsidP="00BE51E9" w:rsidRDefault="00624234">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63</w:t>
      </w:r>
      <w:r w:rsidRPr="00BE51E9">
        <w:rPr>
          <w:lang w:val="en-GB"/>
        </w:rPr>
        <w:fldChar w:fldCharType="end"/>
      </w:r>
      <w:r w:rsidRPr="00BE51E9">
        <w:rPr>
          <w:lang w:val="en-GB"/>
        </w:rPr>
        <w:t>.  </w:t>
      </w:r>
      <w:r w:rsidRPr="00BE51E9" w:rsidR="00471646">
        <w:rPr>
          <w:lang w:val="en-GB"/>
        </w:rPr>
        <w:t xml:space="preserve">The Court therefore finds that there has been a violation of </w:t>
      </w:r>
      <w:r w:rsidRPr="00BE51E9" w:rsidR="00014566">
        <w:rPr>
          <w:lang w:val="en-GB"/>
        </w:rPr>
        <w:t xml:space="preserve">Article </w:t>
      </w:r>
      <w:r w:rsidRPr="00BE51E9" w:rsidR="00B23E6F">
        <w:rPr>
          <w:lang w:val="en-GB"/>
        </w:rPr>
        <w:t>8</w:t>
      </w:r>
      <w:r w:rsidRPr="00BE51E9" w:rsidR="00014566">
        <w:rPr>
          <w:lang w:val="en-GB"/>
        </w:rPr>
        <w:t xml:space="preserve"> of the Convention.</w:t>
      </w:r>
    </w:p>
    <w:p w:rsidRPr="00BE51E9" w:rsidR="00014566" w:rsidP="00BE51E9" w:rsidRDefault="00213E40">
      <w:pPr>
        <w:pStyle w:val="ECHRHeading1"/>
        <w:rPr>
          <w:lang w:val="en-GB"/>
        </w:rPr>
      </w:pPr>
      <w:r w:rsidRPr="00BE51E9">
        <w:rPr>
          <w:lang w:val="en-GB"/>
        </w:rPr>
        <w:t>II</w:t>
      </w:r>
      <w:r w:rsidRPr="00BE51E9" w:rsidR="00014566">
        <w:rPr>
          <w:lang w:val="en-GB"/>
        </w:rPr>
        <w:t>.  APPLICATION OF ARTICLE 41 OF THE CONVENTION</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64</w:t>
      </w:r>
      <w:r w:rsidRPr="00BE51E9">
        <w:rPr>
          <w:lang w:val="en-GB"/>
        </w:rPr>
        <w:fldChar w:fldCharType="end"/>
      </w:r>
      <w:r w:rsidRPr="00BE51E9" w:rsidR="00014566">
        <w:rPr>
          <w:lang w:val="en-GB"/>
        </w:rPr>
        <w:t>.  Article 41 of the Convention provides:</w:t>
      </w:r>
    </w:p>
    <w:p w:rsidRPr="00BE51E9" w:rsidR="00014566" w:rsidP="00BE51E9" w:rsidRDefault="00014566">
      <w:pPr>
        <w:pStyle w:val="ECHRParaQuote"/>
        <w:keepNext/>
        <w:keepLines/>
        <w:rPr>
          <w:lang w:val="en-GB"/>
        </w:rPr>
      </w:pPr>
      <w:r w:rsidRPr="00BE51E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E51E9" w:rsidR="00014566" w:rsidP="00BE51E9" w:rsidRDefault="00014566">
      <w:pPr>
        <w:pStyle w:val="ECHRHeading2"/>
        <w:rPr>
          <w:lang w:val="en-GB"/>
        </w:rPr>
      </w:pPr>
      <w:r w:rsidRPr="00BE51E9">
        <w:rPr>
          <w:lang w:val="en-GB"/>
        </w:rPr>
        <w:t>A.  Damage</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65</w:t>
      </w:r>
      <w:r w:rsidRPr="00BE51E9">
        <w:rPr>
          <w:lang w:val="en-GB"/>
        </w:rPr>
        <w:fldChar w:fldCharType="end"/>
      </w:r>
      <w:r w:rsidRPr="00BE51E9" w:rsidR="00014566">
        <w:rPr>
          <w:lang w:val="en-GB"/>
        </w:rPr>
        <w:t xml:space="preserve">.  The applicant claimed </w:t>
      </w:r>
      <w:r w:rsidRPr="00BE51E9" w:rsidR="00213E40">
        <w:rPr>
          <w:lang w:val="en-GB"/>
        </w:rPr>
        <w:t>10,000 euros (EUR) in respect of</w:t>
      </w:r>
      <w:r w:rsidRPr="00BE51E9" w:rsidR="00014566">
        <w:rPr>
          <w:lang w:val="en-GB"/>
        </w:rPr>
        <w:t xml:space="preserve"> non-pecuniary damage.</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66</w:t>
      </w:r>
      <w:r w:rsidRPr="00BE51E9">
        <w:rPr>
          <w:lang w:val="en-GB"/>
        </w:rPr>
        <w:fldChar w:fldCharType="end"/>
      </w:r>
      <w:r w:rsidRPr="00BE51E9" w:rsidR="00014566">
        <w:rPr>
          <w:lang w:val="en-GB"/>
        </w:rPr>
        <w:t xml:space="preserve">.  The Government </w:t>
      </w:r>
      <w:r w:rsidRPr="00BE51E9" w:rsidR="00213E40">
        <w:rPr>
          <w:lang w:val="en-GB"/>
        </w:rPr>
        <w:t>considered the applicant</w:t>
      </w:r>
      <w:r w:rsidRPr="00BE51E9" w:rsidR="00BE51E9">
        <w:rPr>
          <w:lang w:val="en-GB"/>
        </w:rPr>
        <w:t>’</w:t>
      </w:r>
      <w:r w:rsidRPr="00BE51E9" w:rsidR="00213E40">
        <w:rPr>
          <w:lang w:val="en-GB"/>
        </w:rPr>
        <w:t>s claim excessive, unfounded and unsubstantiated.</w:t>
      </w:r>
    </w:p>
    <w:p w:rsidRPr="00BE51E9" w:rsidR="00213E40"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67</w:t>
      </w:r>
      <w:r w:rsidRPr="00BE51E9">
        <w:rPr>
          <w:lang w:val="en-GB"/>
        </w:rPr>
        <w:fldChar w:fldCharType="end"/>
      </w:r>
      <w:r w:rsidRPr="00BE51E9" w:rsidR="00014566">
        <w:rPr>
          <w:lang w:val="en-GB"/>
        </w:rPr>
        <w:t>.  </w:t>
      </w:r>
      <w:r w:rsidRPr="00BE51E9" w:rsidR="00213E40">
        <w:rPr>
          <w:lang w:val="en-GB"/>
        </w:rPr>
        <w:t>Having regard to all the circumstances of the present case, the Court accepts that the applicant has suffered non-pecuniary damage which cannot be compensated for solely by the finding of a violation. Making its assessment on an equitable basis, the Court awards the applicant</w:t>
      </w:r>
      <w:r w:rsidRPr="00BE51E9" w:rsidR="008A240F">
        <w:rPr>
          <w:lang w:val="en-GB"/>
        </w:rPr>
        <w:t xml:space="preserve"> </w:t>
      </w:r>
      <w:r w:rsidRPr="00BE51E9" w:rsidR="00A95086">
        <w:rPr>
          <w:lang w:val="en-GB"/>
        </w:rPr>
        <w:t>EUR </w:t>
      </w:r>
      <w:r w:rsidRPr="00BE51E9" w:rsidR="008A240F">
        <w:rPr>
          <w:lang w:val="en-GB"/>
        </w:rPr>
        <w:t>7,500</w:t>
      </w:r>
      <w:r w:rsidRPr="00BE51E9" w:rsidR="00213E40">
        <w:rPr>
          <w:lang w:val="en-GB"/>
        </w:rPr>
        <w:t xml:space="preserve"> in respect of non-pecuniary damage.</w:t>
      </w:r>
    </w:p>
    <w:p w:rsidRPr="00BE51E9" w:rsidR="00014566" w:rsidP="00BE51E9" w:rsidRDefault="00014566">
      <w:pPr>
        <w:pStyle w:val="ECHRHeading2"/>
        <w:rPr>
          <w:lang w:val="en-GB"/>
        </w:rPr>
      </w:pPr>
      <w:r w:rsidRPr="00BE51E9">
        <w:rPr>
          <w:lang w:val="en-GB"/>
        </w:rPr>
        <w:t>B.  Costs and expenses</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68</w:t>
      </w:r>
      <w:r w:rsidRPr="00BE51E9">
        <w:rPr>
          <w:lang w:val="en-GB"/>
        </w:rPr>
        <w:fldChar w:fldCharType="end"/>
      </w:r>
      <w:r w:rsidRPr="00BE51E9" w:rsidR="00014566">
        <w:rPr>
          <w:lang w:val="en-GB"/>
        </w:rPr>
        <w:t>.  The applicant als</w:t>
      </w:r>
      <w:r w:rsidRPr="00BE51E9" w:rsidR="008312A7">
        <w:rPr>
          <w:lang w:val="en-GB"/>
        </w:rPr>
        <w:t>o claimed 16,625 Croatian kunas (HRK)</w:t>
      </w:r>
      <w:r w:rsidRPr="00BE51E9" w:rsidR="00014566">
        <w:rPr>
          <w:lang w:val="en-GB"/>
        </w:rPr>
        <w:t xml:space="preserve"> for the cos</w:t>
      </w:r>
      <w:r w:rsidRPr="00BE51E9" w:rsidR="008312A7">
        <w:rPr>
          <w:lang w:val="en-GB"/>
        </w:rPr>
        <w:t>ts and expenses incurred before</w:t>
      </w:r>
      <w:r w:rsidRPr="00BE51E9" w:rsidR="00014566">
        <w:rPr>
          <w:lang w:val="en-GB"/>
        </w:rPr>
        <w:t xml:space="preserve"> the Court.</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69</w:t>
      </w:r>
      <w:r w:rsidRPr="00BE51E9">
        <w:rPr>
          <w:lang w:val="en-GB"/>
        </w:rPr>
        <w:fldChar w:fldCharType="end"/>
      </w:r>
      <w:r w:rsidRPr="00BE51E9" w:rsidR="00014566">
        <w:rPr>
          <w:lang w:val="en-GB"/>
        </w:rPr>
        <w:t xml:space="preserve">.  The Government </w:t>
      </w:r>
      <w:r w:rsidRPr="00BE51E9" w:rsidR="0099373B">
        <w:rPr>
          <w:lang w:val="en-GB"/>
        </w:rPr>
        <w:t>considered the applicant</w:t>
      </w:r>
      <w:r w:rsidRPr="00BE51E9" w:rsidR="00BE51E9">
        <w:rPr>
          <w:lang w:val="en-GB"/>
        </w:rPr>
        <w:t>’</w:t>
      </w:r>
      <w:r w:rsidRPr="00BE51E9" w:rsidR="0099373B">
        <w:rPr>
          <w:lang w:val="en-GB"/>
        </w:rPr>
        <w:t>s claim unsubstantiated and excessive.</w:t>
      </w:r>
    </w:p>
    <w:p w:rsidRPr="00BE51E9" w:rsidR="0099373B"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70</w:t>
      </w:r>
      <w:r w:rsidRPr="00BE51E9">
        <w:rPr>
          <w:lang w:val="en-GB"/>
        </w:rPr>
        <w:fldChar w:fldCharType="end"/>
      </w:r>
      <w:r w:rsidRPr="00BE51E9" w:rsidR="00014566">
        <w:rPr>
          <w:lang w:val="en-GB"/>
        </w:rPr>
        <w:t>.  </w:t>
      </w:r>
      <w:r w:rsidRPr="00BE51E9" w:rsidR="0099373B">
        <w:rPr>
          <w:lang w:val="en-GB"/>
        </w:rPr>
        <w:t>According to the Court</w:t>
      </w:r>
      <w:r w:rsidRPr="00BE51E9" w:rsidR="00BE51E9">
        <w:rPr>
          <w:lang w:val="en-GB"/>
        </w:rPr>
        <w:t>’</w:t>
      </w:r>
      <w:r w:rsidRPr="00BE51E9" w:rsidR="0099373B">
        <w:rPr>
          <w:lang w:val="en-GB"/>
        </w:rPr>
        <w:t>s case-law, an applicant is entitled to the reimbursement of costs and expenses only in so far as it has been shown that these have been actually and necessarily incurred and are reasonable as to quantum. Regard being had to the documents in its possession and the above criteria, as well as the sum to which the applicant</w:t>
      </w:r>
      <w:r w:rsidRPr="00BE51E9" w:rsidR="00BE51E9">
        <w:rPr>
          <w:lang w:val="en-GB"/>
        </w:rPr>
        <w:t>’</w:t>
      </w:r>
      <w:r w:rsidRPr="00BE51E9" w:rsidR="0099373B">
        <w:rPr>
          <w:lang w:val="en-GB"/>
        </w:rPr>
        <w:t xml:space="preserve">s lawyer is entitled on account of the legal aid </w:t>
      </w:r>
      <w:r w:rsidRPr="00BE51E9" w:rsidR="001A1CD4">
        <w:rPr>
          <w:lang w:val="en-GB"/>
        </w:rPr>
        <w:t xml:space="preserve">granted </w:t>
      </w:r>
      <w:r w:rsidRPr="00BE51E9" w:rsidR="0099373B">
        <w:rPr>
          <w:lang w:val="en-GB"/>
        </w:rPr>
        <w:t>(EUR</w:t>
      </w:r>
      <w:r w:rsidRPr="00BE51E9" w:rsidR="00560F22">
        <w:rPr>
          <w:lang w:val="en-GB"/>
        </w:rPr>
        <w:t xml:space="preserve"> 850</w:t>
      </w:r>
      <w:r w:rsidRPr="00BE51E9" w:rsidR="0099373B">
        <w:rPr>
          <w:lang w:val="en-GB"/>
        </w:rPr>
        <w:t>), the Court considers it reasonable to award the sum of EUR</w:t>
      </w:r>
      <w:r w:rsidRPr="00BE51E9" w:rsidR="00560F22">
        <w:rPr>
          <w:lang w:val="en-GB"/>
        </w:rPr>
        <w:t xml:space="preserve"> 115</w:t>
      </w:r>
      <w:r w:rsidRPr="00BE51E9" w:rsidR="0099373B">
        <w:rPr>
          <w:lang w:val="en-GB"/>
        </w:rPr>
        <w:t>, plus any tax that may be chargeable to the applicant, in respect of h</w:t>
      </w:r>
      <w:r w:rsidRPr="00BE51E9" w:rsidR="0068041B">
        <w:rPr>
          <w:lang w:val="en-GB"/>
        </w:rPr>
        <w:t>er</w:t>
      </w:r>
      <w:r w:rsidRPr="00BE51E9" w:rsidR="0099373B">
        <w:rPr>
          <w:lang w:val="en-GB"/>
        </w:rPr>
        <w:t xml:space="preserve"> costs and expenses before the Court.</w:t>
      </w:r>
    </w:p>
    <w:p w:rsidRPr="00BE51E9" w:rsidR="00014566" w:rsidP="00BE51E9" w:rsidRDefault="00014566">
      <w:pPr>
        <w:pStyle w:val="ECHRHeading2"/>
        <w:rPr>
          <w:lang w:val="en-GB"/>
        </w:rPr>
      </w:pPr>
      <w:r w:rsidRPr="00BE51E9">
        <w:rPr>
          <w:lang w:val="en-GB"/>
        </w:rPr>
        <w:t>C.  Default interest</w:t>
      </w:r>
    </w:p>
    <w:p w:rsidRPr="00BE51E9" w:rsidR="00014566" w:rsidP="00BE51E9" w:rsidRDefault="00EA19CD">
      <w:pPr>
        <w:pStyle w:val="ECHRPara"/>
        <w:rPr>
          <w:lang w:val="en-GB"/>
        </w:rPr>
      </w:pPr>
      <w:r w:rsidRPr="00BE51E9">
        <w:rPr>
          <w:lang w:val="en-GB"/>
        </w:rPr>
        <w:fldChar w:fldCharType="begin"/>
      </w:r>
      <w:r w:rsidRPr="00BE51E9">
        <w:rPr>
          <w:lang w:val="en-GB"/>
        </w:rPr>
        <w:instrText xml:space="preserve"> SEQ level0 \*arabic </w:instrText>
      </w:r>
      <w:r w:rsidRPr="00BE51E9">
        <w:rPr>
          <w:lang w:val="en-GB"/>
        </w:rPr>
        <w:fldChar w:fldCharType="separate"/>
      </w:r>
      <w:r w:rsidRPr="00BE51E9" w:rsidR="00BE51E9">
        <w:rPr>
          <w:noProof/>
          <w:lang w:val="en-GB"/>
        </w:rPr>
        <w:t>71</w:t>
      </w:r>
      <w:r w:rsidRPr="00BE51E9">
        <w:rPr>
          <w:lang w:val="en-GB"/>
        </w:rPr>
        <w:fldChar w:fldCharType="end"/>
      </w:r>
      <w:r w:rsidRPr="00BE51E9" w:rsidR="00014566">
        <w:rPr>
          <w:lang w:val="en-GB"/>
        </w:rPr>
        <w:t>.  The Court considers it appropriate that the default interest rate should be based on the marginal lending rate of the European Central Bank, to which should be added three percentage points.</w:t>
      </w:r>
    </w:p>
    <w:p w:rsidRPr="00BE51E9" w:rsidR="00014566" w:rsidP="00BE51E9" w:rsidRDefault="00BB5883">
      <w:pPr>
        <w:pStyle w:val="ECHRTitle1"/>
        <w:rPr>
          <w:lang w:val="en-GB"/>
        </w:rPr>
      </w:pPr>
      <w:r w:rsidRPr="00BE51E9">
        <w:rPr>
          <w:lang w:val="en-GB"/>
        </w:rPr>
        <w:t>FOR THESE REASONS, THE COURT</w:t>
      </w:r>
      <w:r w:rsidRPr="00BE51E9" w:rsidR="00EA19CD">
        <w:rPr>
          <w:lang w:val="en-GB"/>
        </w:rPr>
        <w:t>, UNANIMOUSLY,</w:t>
      </w:r>
    </w:p>
    <w:p w:rsidRPr="00BE51E9" w:rsidR="00560F22" w:rsidP="00BE51E9" w:rsidRDefault="00B637B9">
      <w:pPr>
        <w:pStyle w:val="JuList"/>
      </w:pPr>
      <w:r w:rsidRPr="00BE51E9">
        <w:rPr>
          <w:lang w:val="en-GB"/>
        </w:rPr>
        <w:t>1.  </w:t>
      </w:r>
      <w:r w:rsidRPr="00BE51E9" w:rsidR="00560F22">
        <w:rPr>
          <w:i/>
        </w:rPr>
        <w:t>Joins</w:t>
      </w:r>
      <w:r w:rsidRPr="00BE51E9" w:rsidR="00560F22">
        <w:t xml:space="preserve"> to the merits the Government</w:t>
      </w:r>
      <w:r w:rsidRPr="00BE51E9" w:rsidR="00BE51E9">
        <w:t>’</w:t>
      </w:r>
      <w:r w:rsidRPr="00BE51E9" w:rsidR="00560F22">
        <w:t>s objection concerning the exhaustion of domestic remedies and dismisses it;</w:t>
      </w:r>
    </w:p>
    <w:p w:rsidRPr="00BE51E9" w:rsidR="00560F22" w:rsidP="00BE51E9" w:rsidRDefault="00560F22">
      <w:pPr>
        <w:pStyle w:val="JuList"/>
      </w:pPr>
    </w:p>
    <w:p w:rsidRPr="00BE51E9" w:rsidR="00560F22" w:rsidP="00BE51E9" w:rsidRDefault="00560F22">
      <w:pPr>
        <w:pStyle w:val="JuList"/>
        <w:rPr>
          <w:lang w:val="en-GB"/>
        </w:rPr>
      </w:pPr>
      <w:r w:rsidRPr="00BE51E9">
        <w:rPr>
          <w:lang w:val="en-GB"/>
        </w:rPr>
        <w:t>2</w:t>
      </w:r>
      <w:r w:rsidRPr="00BE51E9" w:rsidR="00B637B9">
        <w:rPr>
          <w:lang w:val="en-GB"/>
        </w:rPr>
        <w:t>.  </w:t>
      </w:r>
      <w:r w:rsidRPr="00BE51E9" w:rsidR="00B637B9">
        <w:rPr>
          <w:i/>
          <w:lang w:val="en-GB"/>
        </w:rPr>
        <w:t>Declares</w:t>
      </w:r>
      <w:r w:rsidRPr="00BE51E9" w:rsidR="00EA19CD">
        <w:rPr>
          <w:lang w:val="en-GB"/>
        </w:rPr>
        <w:t xml:space="preserve"> </w:t>
      </w:r>
      <w:r w:rsidRPr="00BE51E9" w:rsidR="00B637B9">
        <w:rPr>
          <w:lang w:val="en-GB"/>
        </w:rPr>
        <w:t xml:space="preserve">the </w:t>
      </w:r>
      <w:r w:rsidRPr="00BE51E9">
        <w:rPr>
          <w:lang w:val="en-GB"/>
        </w:rPr>
        <w:t>application admissible;</w:t>
      </w:r>
    </w:p>
    <w:p w:rsidRPr="00BE51E9" w:rsidR="00014566" w:rsidP="00BE51E9" w:rsidRDefault="00014566">
      <w:pPr>
        <w:pStyle w:val="JuList"/>
        <w:ind w:left="0" w:firstLine="0"/>
        <w:rPr>
          <w:lang w:val="en-GB"/>
        </w:rPr>
      </w:pPr>
    </w:p>
    <w:p w:rsidRPr="00BE51E9" w:rsidR="00014566" w:rsidP="00BE51E9" w:rsidRDefault="00560F22">
      <w:pPr>
        <w:pStyle w:val="JuList"/>
        <w:rPr>
          <w:lang w:val="en-GB"/>
        </w:rPr>
      </w:pPr>
      <w:r w:rsidRPr="00BE51E9">
        <w:rPr>
          <w:lang w:val="en-GB"/>
        </w:rPr>
        <w:t>3</w:t>
      </w:r>
      <w:r w:rsidRPr="00BE51E9" w:rsidR="00014566">
        <w:rPr>
          <w:lang w:val="en-GB"/>
        </w:rPr>
        <w:t>.  </w:t>
      </w:r>
      <w:r w:rsidRPr="00BE51E9" w:rsidR="00014566">
        <w:rPr>
          <w:i/>
          <w:lang w:val="en-GB"/>
        </w:rPr>
        <w:t>Holds</w:t>
      </w:r>
      <w:r w:rsidRPr="00BE51E9" w:rsidR="00EA19CD">
        <w:rPr>
          <w:lang w:val="en-GB"/>
        </w:rPr>
        <w:t xml:space="preserve"> </w:t>
      </w:r>
      <w:r w:rsidRPr="00BE51E9" w:rsidR="00014566">
        <w:rPr>
          <w:lang w:val="en-GB"/>
        </w:rPr>
        <w:t xml:space="preserve">that there has been a violation of Article </w:t>
      </w:r>
      <w:r w:rsidRPr="00BE51E9" w:rsidR="00B23E6F">
        <w:rPr>
          <w:lang w:val="en-GB"/>
        </w:rPr>
        <w:t>8</w:t>
      </w:r>
      <w:r w:rsidRPr="00BE51E9" w:rsidR="00014566">
        <w:rPr>
          <w:lang w:val="en-GB"/>
        </w:rPr>
        <w:t xml:space="preserve"> of the Convention;</w:t>
      </w:r>
    </w:p>
    <w:p w:rsidRPr="00BE51E9" w:rsidR="00014566" w:rsidP="00BE51E9" w:rsidRDefault="00014566">
      <w:pPr>
        <w:pStyle w:val="JuList"/>
        <w:ind w:left="0" w:firstLine="0"/>
        <w:rPr>
          <w:lang w:val="en-GB"/>
        </w:rPr>
      </w:pPr>
    </w:p>
    <w:p w:rsidRPr="00BE51E9" w:rsidR="00144362" w:rsidP="00BE51E9" w:rsidRDefault="00624234">
      <w:pPr>
        <w:pStyle w:val="JuList"/>
        <w:rPr>
          <w:lang w:val="en-GB"/>
        </w:rPr>
      </w:pPr>
      <w:r w:rsidRPr="00BE51E9">
        <w:rPr>
          <w:lang w:val="en-GB"/>
        </w:rPr>
        <w:t>4</w:t>
      </w:r>
      <w:r w:rsidRPr="00BE51E9" w:rsidR="00014566">
        <w:rPr>
          <w:lang w:val="en-GB"/>
        </w:rPr>
        <w:t>.  </w:t>
      </w:r>
      <w:r w:rsidRPr="00BE51E9" w:rsidR="00014566">
        <w:rPr>
          <w:i/>
          <w:lang w:val="en-GB"/>
        </w:rPr>
        <w:t>Holds</w:t>
      </w:r>
      <w:r w:rsidRPr="00BE51E9" w:rsidR="00EA19CD">
        <w:rPr>
          <w:lang w:val="en-GB"/>
        </w:rPr>
        <w:t>,</w:t>
      </w:r>
    </w:p>
    <w:p w:rsidRPr="00BE51E9" w:rsidR="00014566" w:rsidP="00BE51E9" w:rsidRDefault="00014566">
      <w:pPr>
        <w:pStyle w:val="JuLista"/>
        <w:rPr>
          <w:lang w:val="en-GB"/>
        </w:rPr>
      </w:pPr>
      <w:r w:rsidRPr="00BE51E9">
        <w:rPr>
          <w:lang w:val="en-GB"/>
        </w:rPr>
        <w:t>(a)  that the respondent State is to pay the applicant, within three months</w:t>
      </w:r>
      <w:r w:rsidRPr="00BE51E9" w:rsidR="00EA19CD">
        <w:rPr>
          <w:lang w:val="en-GB"/>
        </w:rPr>
        <w:t xml:space="preserve"> from the date on which the judgment becomes final in accordance with Article 44 § 2 of the Convention,</w:t>
      </w:r>
      <w:r w:rsidRPr="00BE51E9">
        <w:rPr>
          <w:lang w:val="en-GB"/>
        </w:rPr>
        <w:t xml:space="preserve"> the following amounts,</w:t>
      </w:r>
      <w:r w:rsidRPr="00BE51E9">
        <w:rPr>
          <w:b/>
          <w:lang w:val="en-GB"/>
        </w:rPr>
        <w:t xml:space="preserve"> </w:t>
      </w:r>
      <w:r w:rsidRPr="00BE51E9">
        <w:rPr>
          <w:lang w:val="en-GB"/>
        </w:rPr>
        <w:t>to be converted into</w:t>
      </w:r>
      <w:r w:rsidRPr="00BE51E9" w:rsidR="00560F22">
        <w:rPr>
          <w:lang w:val="en-GB"/>
        </w:rPr>
        <w:t xml:space="preserve"> Croatian kunas</w:t>
      </w:r>
      <w:r w:rsidRPr="00BE51E9">
        <w:rPr>
          <w:b/>
          <w:color w:val="000000"/>
          <w:lang w:val="en-GB"/>
        </w:rPr>
        <w:t xml:space="preserve"> </w:t>
      </w:r>
      <w:r w:rsidRPr="00BE51E9">
        <w:rPr>
          <w:lang w:val="en-GB"/>
        </w:rPr>
        <w:t>at the rate applicable at the date of settlement:</w:t>
      </w:r>
    </w:p>
    <w:p w:rsidRPr="00BE51E9" w:rsidR="00014566" w:rsidP="00BE51E9" w:rsidRDefault="00560F22">
      <w:pPr>
        <w:pStyle w:val="JuListi"/>
        <w:rPr>
          <w:lang w:val="en-GB"/>
        </w:rPr>
      </w:pPr>
      <w:r w:rsidRPr="00BE51E9">
        <w:rPr>
          <w:lang w:val="en-GB"/>
        </w:rPr>
        <w:t>(i</w:t>
      </w:r>
      <w:r w:rsidRPr="00BE51E9" w:rsidR="00014566">
        <w:rPr>
          <w:lang w:val="en-GB"/>
        </w:rPr>
        <w:t xml:space="preserve">)  EUR </w:t>
      </w:r>
      <w:r w:rsidRPr="00BE51E9" w:rsidR="008A240F">
        <w:rPr>
          <w:lang w:val="en-GB"/>
        </w:rPr>
        <w:t>7,5</w:t>
      </w:r>
      <w:r w:rsidRPr="00BE51E9">
        <w:rPr>
          <w:lang w:val="en-GB"/>
        </w:rPr>
        <w:t>00</w:t>
      </w:r>
      <w:r w:rsidRPr="00BE51E9" w:rsidR="00014566">
        <w:rPr>
          <w:lang w:val="en-GB"/>
        </w:rPr>
        <w:t xml:space="preserve"> (</w:t>
      </w:r>
      <w:r w:rsidRPr="00BE51E9" w:rsidR="008A240F">
        <w:rPr>
          <w:lang w:val="en-GB"/>
        </w:rPr>
        <w:t>seven</w:t>
      </w:r>
      <w:r w:rsidRPr="00BE51E9">
        <w:rPr>
          <w:lang w:val="en-GB"/>
        </w:rPr>
        <w:t xml:space="preserve"> thousand</w:t>
      </w:r>
      <w:r w:rsidRPr="00BE51E9" w:rsidR="008A240F">
        <w:rPr>
          <w:lang w:val="en-GB"/>
        </w:rPr>
        <w:t xml:space="preserve"> five hundred</w:t>
      </w:r>
      <w:r w:rsidRPr="00BE51E9" w:rsidR="00014566">
        <w:rPr>
          <w:lang w:val="en-GB"/>
        </w:rPr>
        <w:t xml:space="preserve"> euros), plus any tax that may be chargeable, in respect of non-pecuniary damage;</w:t>
      </w:r>
    </w:p>
    <w:p w:rsidRPr="00BE51E9" w:rsidR="00014566" w:rsidP="00BE51E9" w:rsidRDefault="00560F22">
      <w:pPr>
        <w:pStyle w:val="JuListi"/>
        <w:rPr>
          <w:lang w:val="en-GB"/>
        </w:rPr>
      </w:pPr>
      <w:r w:rsidRPr="00BE51E9">
        <w:rPr>
          <w:lang w:val="en-GB"/>
        </w:rPr>
        <w:t>(ii</w:t>
      </w:r>
      <w:r w:rsidRPr="00BE51E9" w:rsidR="00014566">
        <w:rPr>
          <w:lang w:val="en-GB"/>
        </w:rPr>
        <w:t xml:space="preserve">)  EUR </w:t>
      </w:r>
      <w:r w:rsidRPr="00BE51E9">
        <w:rPr>
          <w:lang w:val="en-GB"/>
        </w:rPr>
        <w:t>115</w:t>
      </w:r>
      <w:r w:rsidRPr="00BE51E9" w:rsidR="00014566">
        <w:rPr>
          <w:lang w:val="en-GB"/>
        </w:rPr>
        <w:t xml:space="preserve"> (</w:t>
      </w:r>
      <w:r w:rsidRPr="00BE51E9">
        <w:rPr>
          <w:lang w:val="en-GB"/>
        </w:rPr>
        <w:t>one hundred and fifteen</w:t>
      </w:r>
      <w:r w:rsidRPr="00BE51E9" w:rsidR="00014566">
        <w:rPr>
          <w:lang w:val="en-GB"/>
        </w:rPr>
        <w:t xml:space="preserve"> euros), plus any tax that may be chargeable to the applicant, in respect of costs and expenses;</w:t>
      </w:r>
    </w:p>
    <w:p w:rsidRPr="00BE51E9" w:rsidR="00014566" w:rsidP="00BE51E9" w:rsidRDefault="00014566">
      <w:pPr>
        <w:pStyle w:val="JuLista"/>
        <w:rPr>
          <w:lang w:val="en-GB"/>
        </w:rPr>
      </w:pPr>
      <w:r w:rsidRPr="00BE51E9">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E51E9" w:rsidR="00014566" w:rsidP="00BE51E9" w:rsidRDefault="00014566">
      <w:pPr>
        <w:pStyle w:val="JuList"/>
        <w:rPr>
          <w:lang w:val="en-GB"/>
        </w:rPr>
      </w:pPr>
    </w:p>
    <w:p w:rsidRPr="00BE51E9" w:rsidR="00014566" w:rsidP="00BE51E9" w:rsidRDefault="00624234">
      <w:pPr>
        <w:pStyle w:val="JuList"/>
        <w:rPr>
          <w:lang w:val="en-GB"/>
        </w:rPr>
      </w:pPr>
      <w:r w:rsidRPr="00BE51E9">
        <w:rPr>
          <w:lang w:val="en-GB"/>
        </w:rPr>
        <w:t>5</w:t>
      </w:r>
      <w:r w:rsidRPr="00BE51E9" w:rsidR="00014566">
        <w:rPr>
          <w:lang w:val="en-GB"/>
        </w:rPr>
        <w:t>.  </w:t>
      </w:r>
      <w:r w:rsidRPr="00BE51E9" w:rsidR="00014566">
        <w:rPr>
          <w:i/>
          <w:lang w:val="en-GB"/>
        </w:rPr>
        <w:t>Dismisses</w:t>
      </w:r>
      <w:r w:rsidRPr="00BE51E9" w:rsidR="00EA19CD">
        <w:rPr>
          <w:lang w:val="en-GB"/>
        </w:rPr>
        <w:t xml:space="preserve"> </w:t>
      </w:r>
      <w:r w:rsidRPr="00BE51E9" w:rsidR="00014566">
        <w:rPr>
          <w:lang w:val="en-GB"/>
        </w:rPr>
        <w:t>the remainder of the applicant</w:t>
      </w:r>
      <w:r w:rsidRPr="00BE51E9" w:rsidR="00BE51E9">
        <w:rPr>
          <w:lang w:val="en-GB"/>
        </w:rPr>
        <w:t>’</w:t>
      </w:r>
      <w:r w:rsidRPr="00BE51E9" w:rsidR="00EA19CD">
        <w:rPr>
          <w:lang w:val="en-GB"/>
        </w:rPr>
        <w:t>s</w:t>
      </w:r>
      <w:r w:rsidRPr="00BE51E9" w:rsidR="00014566">
        <w:rPr>
          <w:lang w:val="en-GB"/>
        </w:rPr>
        <w:t xml:space="preserve"> claim for just satisfaction.</w:t>
      </w:r>
    </w:p>
    <w:p w:rsidRPr="00BE51E9" w:rsidR="00014566" w:rsidP="00BE51E9" w:rsidRDefault="00014566">
      <w:pPr>
        <w:pStyle w:val="JuParaLast"/>
        <w:spacing w:before="360"/>
        <w:rPr>
          <w:lang w:val="en-GB"/>
        </w:rPr>
      </w:pPr>
      <w:r w:rsidRPr="00BE51E9">
        <w:rPr>
          <w:lang w:val="en-GB"/>
        </w:rPr>
        <w:t xml:space="preserve">Done in English, and notified in writing on </w:t>
      </w:r>
      <w:r w:rsidRPr="00BE51E9" w:rsidR="00C346A9">
        <w:rPr>
          <w:lang w:val="en-GB"/>
        </w:rPr>
        <w:t>11 July 2017</w:t>
      </w:r>
      <w:r w:rsidRPr="00BE51E9">
        <w:rPr>
          <w:lang w:val="en-GB"/>
        </w:rPr>
        <w:t>, pursuant to Rule 77 §§ 2 and 3 of the Rules of Court.</w:t>
      </w:r>
    </w:p>
    <w:p w:rsidRPr="00BE51E9" w:rsidR="00014566" w:rsidP="00BE51E9" w:rsidRDefault="00014566">
      <w:pPr>
        <w:pStyle w:val="JuSigned"/>
        <w:rPr>
          <w:lang w:val="en-GB"/>
        </w:rPr>
      </w:pPr>
      <w:r w:rsidRPr="00BE51E9">
        <w:rPr>
          <w:lang w:val="en-GB"/>
        </w:rPr>
        <w:tab/>
      </w:r>
      <w:r w:rsidRPr="00BE51E9" w:rsidR="00EA19CD">
        <w:rPr>
          <w:lang w:val="en-GB"/>
        </w:rPr>
        <w:t>Stanley Naismith</w:t>
      </w:r>
      <w:r w:rsidRPr="00BE51E9">
        <w:rPr>
          <w:lang w:val="en-GB"/>
        </w:rPr>
        <w:tab/>
      </w:r>
      <w:r w:rsidRPr="00BE51E9" w:rsidR="004A661E">
        <w:rPr>
          <w:szCs w:val="24"/>
          <w:lang w:val="en-GB"/>
        </w:rPr>
        <w:t>Robert Spano</w:t>
      </w:r>
      <w:r w:rsidRPr="00BE51E9" w:rsidR="00E1557C">
        <w:rPr>
          <w:szCs w:val="24"/>
          <w:lang w:val="en-GB"/>
        </w:rPr>
        <w:br/>
      </w:r>
      <w:r w:rsidRPr="00BE51E9">
        <w:rPr>
          <w:lang w:val="en-GB"/>
        </w:rPr>
        <w:tab/>
      </w:r>
      <w:r w:rsidRPr="00BE51E9" w:rsidR="00EA19CD">
        <w:rPr>
          <w:iCs/>
          <w:lang w:val="en-GB"/>
        </w:rPr>
        <w:t>Registrar</w:t>
      </w:r>
      <w:r w:rsidRPr="00BE51E9">
        <w:rPr>
          <w:lang w:val="en-GB"/>
        </w:rPr>
        <w:tab/>
        <w:t>President</w:t>
      </w:r>
    </w:p>
    <w:p w:rsidRPr="00BE51E9" w:rsidR="00EF60C1" w:rsidP="00BE51E9" w:rsidRDefault="00EF60C1">
      <w:pPr>
        <w:pStyle w:val="JuParaLast"/>
        <w:rPr>
          <w:lang w:val="en-GB"/>
        </w:rPr>
      </w:pPr>
    </w:p>
    <w:sectPr w:rsidRPr="00BE51E9" w:rsidR="00EF60C1" w:rsidSect="0059377C">
      <w:headerReference w:type="even" r:id="rId16"/>
      <w:head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77C" w:rsidRPr="00535BB8" w:rsidRDefault="0059377C" w:rsidP="00014566">
      <w:pPr>
        <w:rPr>
          <w:lang w:val="en-GB"/>
        </w:rPr>
      </w:pPr>
      <w:r w:rsidRPr="00535BB8">
        <w:rPr>
          <w:lang w:val="en-GB"/>
        </w:rPr>
        <w:separator/>
      </w:r>
    </w:p>
  </w:endnote>
  <w:endnote w:type="continuationSeparator" w:id="0">
    <w:p w:rsidR="0059377C" w:rsidRPr="00535BB8" w:rsidRDefault="0059377C" w:rsidP="00014566">
      <w:pPr>
        <w:rPr>
          <w:lang w:val="en-GB"/>
        </w:rPr>
      </w:pPr>
      <w:r w:rsidRPr="00535BB8">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Default="005937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Default="005937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Pr="00150BFA" w:rsidRDefault="0059377C" w:rsidP="0059377C">
    <w:pPr>
      <w:jc w:val="center"/>
    </w:pPr>
    <w:r>
      <w:rPr>
        <w:noProof/>
        <w:lang w:eastAsia="ja-JP"/>
      </w:rPr>
      <w:drawing>
        <wp:inline distT="0" distB="0" distL="0" distR="0" wp14:anchorId="36C2C374" wp14:editId="68D11B1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9377C" w:rsidRDefault="00593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77C" w:rsidRPr="00535BB8" w:rsidRDefault="0059377C" w:rsidP="00014566">
      <w:pPr>
        <w:rPr>
          <w:lang w:val="en-GB"/>
        </w:rPr>
      </w:pPr>
      <w:r w:rsidRPr="00535BB8">
        <w:rPr>
          <w:lang w:val="en-GB"/>
        </w:rPr>
        <w:separator/>
      </w:r>
    </w:p>
  </w:footnote>
  <w:footnote w:type="continuationSeparator" w:id="0">
    <w:p w:rsidR="0059377C" w:rsidRPr="00535BB8" w:rsidRDefault="0059377C" w:rsidP="00014566">
      <w:pPr>
        <w:rPr>
          <w:lang w:val="en-GB"/>
        </w:rPr>
      </w:pPr>
      <w:r w:rsidRPr="00535BB8">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Default="00593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Pr="0059377C" w:rsidRDefault="0059377C" w:rsidP="0059377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Pr="00A45145" w:rsidRDefault="0059377C" w:rsidP="0059377C">
    <w:pPr>
      <w:jc w:val="center"/>
    </w:pPr>
    <w:r>
      <w:rPr>
        <w:noProof/>
        <w:lang w:eastAsia="ja-JP"/>
      </w:rPr>
      <w:drawing>
        <wp:inline distT="0" distB="0" distL="0" distR="0" wp14:anchorId="1036906D" wp14:editId="184F56D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9377C" w:rsidRDefault="005937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Pr="00535BB8" w:rsidRDefault="0059377C"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E51E9">
      <w:rPr>
        <w:rStyle w:val="PageNumber"/>
        <w:noProof/>
        <w:szCs w:val="18"/>
        <w:lang w:val="en-GB"/>
      </w:rPr>
      <w:t>10</w:t>
    </w:r>
    <w:r>
      <w:rPr>
        <w:rStyle w:val="PageNumber"/>
        <w:szCs w:val="18"/>
        <w:lang w:val="en-GB"/>
      </w:rPr>
      <w:fldChar w:fldCharType="end"/>
    </w:r>
    <w:r w:rsidRPr="00535BB8">
      <w:rPr>
        <w:lang w:val="en-GB"/>
      </w:rPr>
      <w:tab/>
    </w:r>
    <w:r>
      <w:rPr>
        <w:lang w:val="en-GB"/>
      </w:rPr>
      <w:t>Ž.B. v. CROATIA</w:t>
    </w:r>
    <w:r w:rsidRPr="00535BB8">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77C" w:rsidRPr="00535BB8" w:rsidRDefault="0059377C" w:rsidP="00D60D87">
    <w:pPr>
      <w:pStyle w:val="ECHRHeader"/>
      <w:rPr>
        <w:lang w:val="en-GB"/>
      </w:rPr>
    </w:pPr>
    <w:r w:rsidRPr="00535BB8">
      <w:rPr>
        <w:lang w:val="en-GB"/>
      </w:rPr>
      <w:tab/>
    </w:r>
    <w:r>
      <w:rPr>
        <w:lang w:val="en-GB"/>
      </w:rPr>
      <w:t>Ž.B. v. CROATIA</w:t>
    </w:r>
    <w:r w:rsidRPr="00535BB8">
      <w:rPr>
        <w:lang w:val="en-GB"/>
      </w:rPr>
      <w:t xml:space="preserve"> </w:t>
    </w:r>
    <w:r>
      <w:rPr>
        <w:lang w:val="en-GB"/>
      </w:rPr>
      <w:t>JUDGMENT</w:t>
    </w:r>
    <w:r w:rsidRPr="00535BB8">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E51E9">
      <w:rPr>
        <w:rStyle w:val="PageNumber"/>
        <w:noProof/>
        <w:szCs w:val="18"/>
        <w:lang w:val="en-GB"/>
      </w:rPr>
      <w:t>11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EA19CD"/>
    <w:rsid w:val="00000067"/>
    <w:rsid w:val="000010ED"/>
    <w:rsid w:val="00001394"/>
    <w:rsid w:val="000041F8"/>
    <w:rsid w:val="000042A8"/>
    <w:rsid w:val="00004308"/>
    <w:rsid w:val="00005BF0"/>
    <w:rsid w:val="00007154"/>
    <w:rsid w:val="000103AE"/>
    <w:rsid w:val="00011D69"/>
    <w:rsid w:val="00012AD3"/>
    <w:rsid w:val="00014566"/>
    <w:rsid w:val="00015C2D"/>
    <w:rsid w:val="00015F00"/>
    <w:rsid w:val="000202C9"/>
    <w:rsid w:val="00022C1D"/>
    <w:rsid w:val="000338BD"/>
    <w:rsid w:val="00034987"/>
    <w:rsid w:val="000350E3"/>
    <w:rsid w:val="00052CE3"/>
    <w:rsid w:val="000602DF"/>
    <w:rsid w:val="00061B05"/>
    <w:rsid w:val="00062973"/>
    <w:rsid w:val="00062D5D"/>
    <w:rsid w:val="000632D5"/>
    <w:rsid w:val="000644EE"/>
    <w:rsid w:val="00071ABC"/>
    <w:rsid w:val="00083D08"/>
    <w:rsid w:val="000856D7"/>
    <w:rsid w:val="000925AD"/>
    <w:rsid w:val="000A24EB"/>
    <w:rsid w:val="000A2FD9"/>
    <w:rsid w:val="000B6923"/>
    <w:rsid w:val="000C033C"/>
    <w:rsid w:val="000C5F3C"/>
    <w:rsid w:val="000C6DCC"/>
    <w:rsid w:val="000D0889"/>
    <w:rsid w:val="000D47AA"/>
    <w:rsid w:val="000D721F"/>
    <w:rsid w:val="000E069B"/>
    <w:rsid w:val="000E0E82"/>
    <w:rsid w:val="000E1DC5"/>
    <w:rsid w:val="000E223F"/>
    <w:rsid w:val="000E35AC"/>
    <w:rsid w:val="000E7D45"/>
    <w:rsid w:val="000F7851"/>
    <w:rsid w:val="00100C0A"/>
    <w:rsid w:val="00104B42"/>
    <w:rsid w:val="00104E23"/>
    <w:rsid w:val="00111B0C"/>
    <w:rsid w:val="00120D6C"/>
    <w:rsid w:val="00123D1D"/>
    <w:rsid w:val="001257EC"/>
    <w:rsid w:val="00132C6A"/>
    <w:rsid w:val="00133D33"/>
    <w:rsid w:val="00134D64"/>
    <w:rsid w:val="00135A30"/>
    <w:rsid w:val="0013612C"/>
    <w:rsid w:val="00137FF6"/>
    <w:rsid w:val="00141650"/>
    <w:rsid w:val="00144362"/>
    <w:rsid w:val="00150DD9"/>
    <w:rsid w:val="00162A12"/>
    <w:rsid w:val="00166530"/>
    <w:rsid w:val="00166D20"/>
    <w:rsid w:val="001832BD"/>
    <w:rsid w:val="001943B5"/>
    <w:rsid w:val="00195134"/>
    <w:rsid w:val="001A145B"/>
    <w:rsid w:val="001A1CD4"/>
    <w:rsid w:val="001A674C"/>
    <w:rsid w:val="001B3B24"/>
    <w:rsid w:val="001C0F98"/>
    <w:rsid w:val="001C1E9F"/>
    <w:rsid w:val="001C2A42"/>
    <w:rsid w:val="001D63ED"/>
    <w:rsid w:val="001D7348"/>
    <w:rsid w:val="001E035B"/>
    <w:rsid w:val="001E0961"/>
    <w:rsid w:val="001E3EAE"/>
    <w:rsid w:val="001E5348"/>
    <w:rsid w:val="001E6F32"/>
    <w:rsid w:val="001E73CA"/>
    <w:rsid w:val="001F13E4"/>
    <w:rsid w:val="001F1E73"/>
    <w:rsid w:val="001F2145"/>
    <w:rsid w:val="001F6262"/>
    <w:rsid w:val="001F67B0"/>
    <w:rsid w:val="001F7B3D"/>
    <w:rsid w:val="0020086F"/>
    <w:rsid w:val="00202042"/>
    <w:rsid w:val="00205F9F"/>
    <w:rsid w:val="00210338"/>
    <w:rsid w:val="002115FC"/>
    <w:rsid w:val="002133F8"/>
    <w:rsid w:val="00213E40"/>
    <w:rsid w:val="0021423C"/>
    <w:rsid w:val="00214244"/>
    <w:rsid w:val="00221F36"/>
    <w:rsid w:val="00230D00"/>
    <w:rsid w:val="00231DF7"/>
    <w:rsid w:val="00231FD1"/>
    <w:rsid w:val="002333CB"/>
    <w:rsid w:val="002339E0"/>
    <w:rsid w:val="00233CF8"/>
    <w:rsid w:val="0023575D"/>
    <w:rsid w:val="00237148"/>
    <w:rsid w:val="0024222D"/>
    <w:rsid w:val="00244B0E"/>
    <w:rsid w:val="00244F6C"/>
    <w:rsid w:val="00247622"/>
    <w:rsid w:val="00250BB4"/>
    <w:rsid w:val="002532C5"/>
    <w:rsid w:val="00260C03"/>
    <w:rsid w:val="002617D8"/>
    <w:rsid w:val="002640D7"/>
    <w:rsid w:val="0026540E"/>
    <w:rsid w:val="0027225C"/>
    <w:rsid w:val="00272C45"/>
    <w:rsid w:val="00275123"/>
    <w:rsid w:val="00282240"/>
    <w:rsid w:val="0028572A"/>
    <w:rsid w:val="002902BD"/>
    <w:rsid w:val="00292405"/>
    <w:rsid w:val="002948AD"/>
    <w:rsid w:val="00294C05"/>
    <w:rsid w:val="00294C92"/>
    <w:rsid w:val="002A01CC"/>
    <w:rsid w:val="002A61B1"/>
    <w:rsid w:val="002A663C"/>
    <w:rsid w:val="002B1E6C"/>
    <w:rsid w:val="002B444B"/>
    <w:rsid w:val="002B5887"/>
    <w:rsid w:val="002C0692"/>
    <w:rsid w:val="002C0E27"/>
    <w:rsid w:val="002C1E0E"/>
    <w:rsid w:val="002C3040"/>
    <w:rsid w:val="002D022D"/>
    <w:rsid w:val="002D24BB"/>
    <w:rsid w:val="002D6099"/>
    <w:rsid w:val="002E76EA"/>
    <w:rsid w:val="002F2AF7"/>
    <w:rsid w:val="002F7E1C"/>
    <w:rsid w:val="00301A75"/>
    <w:rsid w:val="0030205F"/>
    <w:rsid w:val="00302986"/>
    <w:rsid w:val="00302F70"/>
    <w:rsid w:val="0030336F"/>
    <w:rsid w:val="0030375E"/>
    <w:rsid w:val="003074B0"/>
    <w:rsid w:val="00310020"/>
    <w:rsid w:val="00312348"/>
    <w:rsid w:val="00312A30"/>
    <w:rsid w:val="00320F72"/>
    <w:rsid w:val="00321FB3"/>
    <w:rsid w:val="0032463E"/>
    <w:rsid w:val="00326224"/>
    <w:rsid w:val="0032676F"/>
    <w:rsid w:val="00337EE4"/>
    <w:rsid w:val="00340FFD"/>
    <w:rsid w:val="003506B1"/>
    <w:rsid w:val="00356AC7"/>
    <w:rsid w:val="003609FA"/>
    <w:rsid w:val="003710C8"/>
    <w:rsid w:val="00371B13"/>
    <w:rsid w:val="003728C6"/>
    <w:rsid w:val="003750BE"/>
    <w:rsid w:val="00384A4A"/>
    <w:rsid w:val="00387B9D"/>
    <w:rsid w:val="0039364F"/>
    <w:rsid w:val="00396686"/>
    <w:rsid w:val="0039778E"/>
    <w:rsid w:val="003A441D"/>
    <w:rsid w:val="003B4941"/>
    <w:rsid w:val="003B624A"/>
    <w:rsid w:val="003B7E97"/>
    <w:rsid w:val="003C5714"/>
    <w:rsid w:val="003C6B9F"/>
    <w:rsid w:val="003C6E2A"/>
    <w:rsid w:val="003D0299"/>
    <w:rsid w:val="003E6D80"/>
    <w:rsid w:val="003E6EE7"/>
    <w:rsid w:val="003F05FA"/>
    <w:rsid w:val="003F244A"/>
    <w:rsid w:val="003F30B8"/>
    <w:rsid w:val="003F4C45"/>
    <w:rsid w:val="003F5F7B"/>
    <w:rsid w:val="003F7D64"/>
    <w:rsid w:val="00406EC6"/>
    <w:rsid w:val="00411975"/>
    <w:rsid w:val="00414300"/>
    <w:rsid w:val="00425C67"/>
    <w:rsid w:val="00427E7A"/>
    <w:rsid w:val="00436307"/>
    <w:rsid w:val="00436C49"/>
    <w:rsid w:val="00445366"/>
    <w:rsid w:val="00447F5B"/>
    <w:rsid w:val="00461DB0"/>
    <w:rsid w:val="00463926"/>
    <w:rsid w:val="004646E0"/>
    <w:rsid w:val="00464C9A"/>
    <w:rsid w:val="00471646"/>
    <w:rsid w:val="00474F3D"/>
    <w:rsid w:val="00477E3A"/>
    <w:rsid w:val="00483E5F"/>
    <w:rsid w:val="00485FF9"/>
    <w:rsid w:val="004907F0"/>
    <w:rsid w:val="004913CC"/>
    <w:rsid w:val="0049140B"/>
    <w:rsid w:val="004923A5"/>
    <w:rsid w:val="00496BFB"/>
    <w:rsid w:val="004A15C7"/>
    <w:rsid w:val="004A661E"/>
    <w:rsid w:val="004B013B"/>
    <w:rsid w:val="004B112B"/>
    <w:rsid w:val="004C01E4"/>
    <w:rsid w:val="004C086C"/>
    <w:rsid w:val="004C1F56"/>
    <w:rsid w:val="004C27BC"/>
    <w:rsid w:val="004D15F3"/>
    <w:rsid w:val="004D1B16"/>
    <w:rsid w:val="004D5311"/>
    <w:rsid w:val="004D5DCC"/>
    <w:rsid w:val="004F10AF"/>
    <w:rsid w:val="004F11A4"/>
    <w:rsid w:val="004F1CF6"/>
    <w:rsid w:val="004F2389"/>
    <w:rsid w:val="004F304D"/>
    <w:rsid w:val="004F5EEF"/>
    <w:rsid w:val="004F61BE"/>
    <w:rsid w:val="004F66B1"/>
    <w:rsid w:val="005101E3"/>
    <w:rsid w:val="00511C07"/>
    <w:rsid w:val="005173A6"/>
    <w:rsid w:val="00520BAA"/>
    <w:rsid w:val="00523E08"/>
    <w:rsid w:val="00525208"/>
    <w:rsid w:val="005257A5"/>
    <w:rsid w:val="005258A9"/>
    <w:rsid w:val="005264C0"/>
    <w:rsid w:val="00526A8A"/>
    <w:rsid w:val="00531DF2"/>
    <w:rsid w:val="00535BB8"/>
    <w:rsid w:val="005442EE"/>
    <w:rsid w:val="00547353"/>
    <w:rsid w:val="005474E7"/>
    <w:rsid w:val="005512A3"/>
    <w:rsid w:val="00555CA6"/>
    <w:rsid w:val="005578CE"/>
    <w:rsid w:val="00560F22"/>
    <w:rsid w:val="00562781"/>
    <w:rsid w:val="00563E83"/>
    <w:rsid w:val="0057271C"/>
    <w:rsid w:val="00572845"/>
    <w:rsid w:val="00573799"/>
    <w:rsid w:val="00592772"/>
    <w:rsid w:val="0059377C"/>
    <w:rsid w:val="0059574A"/>
    <w:rsid w:val="005A1B9B"/>
    <w:rsid w:val="005A6751"/>
    <w:rsid w:val="005B092E"/>
    <w:rsid w:val="005B152C"/>
    <w:rsid w:val="005B169F"/>
    <w:rsid w:val="005B1EE0"/>
    <w:rsid w:val="005B2B24"/>
    <w:rsid w:val="005B4425"/>
    <w:rsid w:val="005B4B94"/>
    <w:rsid w:val="005C3EE8"/>
    <w:rsid w:val="005D06BC"/>
    <w:rsid w:val="005D34F9"/>
    <w:rsid w:val="005D4190"/>
    <w:rsid w:val="005D67A3"/>
    <w:rsid w:val="005E0B8B"/>
    <w:rsid w:val="005E23D8"/>
    <w:rsid w:val="005E2988"/>
    <w:rsid w:val="005E2A43"/>
    <w:rsid w:val="005E3085"/>
    <w:rsid w:val="005E438A"/>
    <w:rsid w:val="005F51E1"/>
    <w:rsid w:val="005F6AE1"/>
    <w:rsid w:val="00611C80"/>
    <w:rsid w:val="00620692"/>
    <w:rsid w:val="006208C5"/>
    <w:rsid w:val="00624234"/>
    <w:rsid w:val="006242CA"/>
    <w:rsid w:val="00627507"/>
    <w:rsid w:val="006279B5"/>
    <w:rsid w:val="00633717"/>
    <w:rsid w:val="00633C9D"/>
    <w:rsid w:val="00633E63"/>
    <w:rsid w:val="006344E1"/>
    <w:rsid w:val="00646B65"/>
    <w:rsid w:val="006545C4"/>
    <w:rsid w:val="00661971"/>
    <w:rsid w:val="00661CE8"/>
    <w:rsid w:val="006623D9"/>
    <w:rsid w:val="0066550C"/>
    <w:rsid w:val="006716F2"/>
    <w:rsid w:val="0068041B"/>
    <w:rsid w:val="00681F45"/>
    <w:rsid w:val="00682BF2"/>
    <w:rsid w:val="006859CE"/>
    <w:rsid w:val="00691270"/>
    <w:rsid w:val="00694BA8"/>
    <w:rsid w:val="006A037C"/>
    <w:rsid w:val="006A36F4"/>
    <w:rsid w:val="006A406F"/>
    <w:rsid w:val="006A5D3A"/>
    <w:rsid w:val="006C23D4"/>
    <w:rsid w:val="006C72F4"/>
    <w:rsid w:val="006C7BB0"/>
    <w:rsid w:val="006D3237"/>
    <w:rsid w:val="006D48CA"/>
    <w:rsid w:val="006E2E37"/>
    <w:rsid w:val="006E3CF1"/>
    <w:rsid w:val="006E6AD4"/>
    <w:rsid w:val="006E760B"/>
    <w:rsid w:val="006E7E80"/>
    <w:rsid w:val="006F1DF9"/>
    <w:rsid w:val="006F24DB"/>
    <w:rsid w:val="006F48CA"/>
    <w:rsid w:val="006F5458"/>
    <w:rsid w:val="006F64DD"/>
    <w:rsid w:val="00706303"/>
    <w:rsid w:val="007132A2"/>
    <w:rsid w:val="00715127"/>
    <w:rsid w:val="00715E8E"/>
    <w:rsid w:val="00716ED1"/>
    <w:rsid w:val="00723580"/>
    <w:rsid w:val="00723755"/>
    <w:rsid w:val="0073136C"/>
    <w:rsid w:val="00731F0F"/>
    <w:rsid w:val="00733250"/>
    <w:rsid w:val="00741404"/>
    <w:rsid w:val="00742859"/>
    <w:rsid w:val="007449E5"/>
    <w:rsid w:val="00746C5A"/>
    <w:rsid w:val="00747FF0"/>
    <w:rsid w:val="00753A40"/>
    <w:rsid w:val="00764D4E"/>
    <w:rsid w:val="00765A1F"/>
    <w:rsid w:val="00775B6D"/>
    <w:rsid w:val="00776D68"/>
    <w:rsid w:val="007850EE"/>
    <w:rsid w:val="00785B95"/>
    <w:rsid w:val="00790E96"/>
    <w:rsid w:val="00793366"/>
    <w:rsid w:val="007A716F"/>
    <w:rsid w:val="007B2426"/>
    <w:rsid w:val="007B270A"/>
    <w:rsid w:val="007B3008"/>
    <w:rsid w:val="007B6D53"/>
    <w:rsid w:val="007B76FC"/>
    <w:rsid w:val="007C0695"/>
    <w:rsid w:val="007C070E"/>
    <w:rsid w:val="007C419A"/>
    <w:rsid w:val="007C4CC8"/>
    <w:rsid w:val="007C5426"/>
    <w:rsid w:val="007C5798"/>
    <w:rsid w:val="007D4832"/>
    <w:rsid w:val="007E21B2"/>
    <w:rsid w:val="007E2C4E"/>
    <w:rsid w:val="007F1905"/>
    <w:rsid w:val="0080048F"/>
    <w:rsid w:val="00801300"/>
    <w:rsid w:val="00802C64"/>
    <w:rsid w:val="00805E52"/>
    <w:rsid w:val="008061D0"/>
    <w:rsid w:val="00810B38"/>
    <w:rsid w:val="00812324"/>
    <w:rsid w:val="008204C7"/>
    <w:rsid w:val="00820992"/>
    <w:rsid w:val="00823602"/>
    <w:rsid w:val="008255F5"/>
    <w:rsid w:val="0083014E"/>
    <w:rsid w:val="00830CCE"/>
    <w:rsid w:val="008312A7"/>
    <w:rsid w:val="0083214A"/>
    <w:rsid w:val="008337D7"/>
    <w:rsid w:val="00834220"/>
    <w:rsid w:val="00845723"/>
    <w:rsid w:val="00851EF9"/>
    <w:rsid w:val="00853427"/>
    <w:rsid w:val="008577FD"/>
    <w:rsid w:val="00860B03"/>
    <w:rsid w:val="0086497A"/>
    <w:rsid w:val="008713A1"/>
    <w:rsid w:val="008754AB"/>
    <w:rsid w:val="00876C02"/>
    <w:rsid w:val="0088060C"/>
    <w:rsid w:val="00884626"/>
    <w:rsid w:val="00893576"/>
    <w:rsid w:val="00893E73"/>
    <w:rsid w:val="008A240F"/>
    <w:rsid w:val="008A43C4"/>
    <w:rsid w:val="008B02DC"/>
    <w:rsid w:val="008B57CE"/>
    <w:rsid w:val="008B659F"/>
    <w:rsid w:val="008C26DE"/>
    <w:rsid w:val="008D2225"/>
    <w:rsid w:val="008D4752"/>
    <w:rsid w:val="008D552A"/>
    <w:rsid w:val="008E271C"/>
    <w:rsid w:val="008E418E"/>
    <w:rsid w:val="008E5BC6"/>
    <w:rsid w:val="008E6A25"/>
    <w:rsid w:val="008F3B88"/>
    <w:rsid w:val="008F5193"/>
    <w:rsid w:val="009013A7"/>
    <w:rsid w:val="009017FB"/>
    <w:rsid w:val="009017FC"/>
    <w:rsid w:val="00903B43"/>
    <w:rsid w:val="0090506B"/>
    <w:rsid w:val="009050C9"/>
    <w:rsid w:val="009066FC"/>
    <w:rsid w:val="00913A6B"/>
    <w:rsid w:val="009140A3"/>
    <w:rsid w:val="009144A2"/>
    <w:rsid w:val="0091510C"/>
    <w:rsid w:val="00922098"/>
    <w:rsid w:val="0092539E"/>
    <w:rsid w:val="009259AC"/>
    <w:rsid w:val="00926F38"/>
    <w:rsid w:val="00934301"/>
    <w:rsid w:val="00936CD1"/>
    <w:rsid w:val="00941747"/>
    <w:rsid w:val="00941EFB"/>
    <w:rsid w:val="00947AFB"/>
    <w:rsid w:val="00951D7D"/>
    <w:rsid w:val="00952C12"/>
    <w:rsid w:val="00956F16"/>
    <w:rsid w:val="0096020A"/>
    <w:rsid w:val="009630C7"/>
    <w:rsid w:val="00972B55"/>
    <w:rsid w:val="009743B7"/>
    <w:rsid w:val="00981F4C"/>
    <w:rsid w:val="0098228B"/>
    <w:rsid w:val="009828DA"/>
    <w:rsid w:val="00985BAB"/>
    <w:rsid w:val="0099373B"/>
    <w:rsid w:val="00997F03"/>
    <w:rsid w:val="009A46DF"/>
    <w:rsid w:val="009A648C"/>
    <w:rsid w:val="009B1B5F"/>
    <w:rsid w:val="009B2EC2"/>
    <w:rsid w:val="009B6673"/>
    <w:rsid w:val="009C191B"/>
    <w:rsid w:val="009C2BD6"/>
    <w:rsid w:val="009E1F32"/>
    <w:rsid w:val="009E295A"/>
    <w:rsid w:val="009E5829"/>
    <w:rsid w:val="009E776C"/>
    <w:rsid w:val="009F6579"/>
    <w:rsid w:val="00A0746C"/>
    <w:rsid w:val="00A1726E"/>
    <w:rsid w:val="00A204CF"/>
    <w:rsid w:val="00A23D49"/>
    <w:rsid w:val="00A27004"/>
    <w:rsid w:val="00A30C29"/>
    <w:rsid w:val="00A34DD6"/>
    <w:rsid w:val="00A36819"/>
    <w:rsid w:val="00A36989"/>
    <w:rsid w:val="00A37EA6"/>
    <w:rsid w:val="00A43628"/>
    <w:rsid w:val="00A54192"/>
    <w:rsid w:val="00A6035E"/>
    <w:rsid w:val="00A6144C"/>
    <w:rsid w:val="00A61962"/>
    <w:rsid w:val="00A66617"/>
    <w:rsid w:val="00A671F8"/>
    <w:rsid w:val="00A673A4"/>
    <w:rsid w:val="00A724AE"/>
    <w:rsid w:val="00A73329"/>
    <w:rsid w:val="00A82359"/>
    <w:rsid w:val="00A865D2"/>
    <w:rsid w:val="00A94C20"/>
    <w:rsid w:val="00A95086"/>
    <w:rsid w:val="00A96ED6"/>
    <w:rsid w:val="00AA227F"/>
    <w:rsid w:val="00AA3BC7"/>
    <w:rsid w:val="00AA754A"/>
    <w:rsid w:val="00AB099E"/>
    <w:rsid w:val="00AB4328"/>
    <w:rsid w:val="00AB490F"/>
    <w:rsid w:val="00AB5FA0"/>
    <w:rsid w:val="00AC5FB3"/>
    <w:rsid w:val="00AC6DAF"/>
    <w:rsid w:val="00AE0A2E"/>
    <w:rsid w:val="00AE354C"/>
    <w:rsid w:val="00AF4B07"/>
    <w:rsid w:val="00AF6186"/>
    <w:rsid w:val="00AF6501"/>
    <w:rsid w:val="00AF7A3A"/>
    <w:rsid w:val="00B1375F"/>
    <w:rsid w:val="00B15ACB"/>
    <w:rsid w:val="00B160DB"/>
    <w:rsid w:val="00B20836"/>
    <w:rsid w:val="00B21FE7"/>
    <w:rsid w:val="00B235BB"/>
    <w:rsid w:val="00B23E6F"/>
    <w:rsid w:val="00B27A44"/>
    <w:rsid w:val="00B30BBF"/>
    <w:rsid w:val="00B33C03"/>
    <w:rsid w:val="00B3615E"/>
    <w:rsid w:val="00B44E56"/>
    <w:rsid w:val="00B46543"/>
    <w:rsid w:val="00B47D33"/>
    <w:rsid w:val="00B52BE0"/>
    <w:rsid w:val="00B54133"/>
    <w:rsid w:val="00B61314"/>
    <w:rsid w:val="00B637B9"/>
    <w:rsid w:val="00B65199"/>
    <w:rsid w:val="00B701ED"/>
    <w:rsid w:val="00B8086C"/>
    <w:rsid w:val="00B861B4"/>
    <w:rsid w:val="00B86DFE"/>
    <w:rsid w:val="00B90990"/>
    <w:rsid w:val="00B922FF"/>
    <w:rsid w:val="00B9281E"/>
    <w:rsid w:val="00B93925"/>
    <w:rsid w:val="00B95187"/>
    <w:rsid w:val="00B9625D"/>
    <w:rsid w:val="00BA2D55"/>
    <w:rsid w:val="00BA71B1"/>
    <w:rsid w:val="00BB0637"/>
    <w:rsid w:val="00BB345F"/>
    <w:rsid w:val="00BB5883"/>
    <w:rsid w:val="00BB68EA"/>
    <w:rsid w:val="00BC1C27"/>
    <w:rsid w:val="00BC359B"/>
    <w:rsid w:val="00BC6BBF"/>
    <w:rsid w:val="00BD1572"/>
    <w:rsid w:val="00BE14E3"/>
    <w:rsid w:val="00BE3774"/>
    <w:rsid w:val="00BE3D31"/>
    <w:rsid w:val="00BE41E5"/>
    <w:rsid w:val="00BE51E9"/>
    <w:rsid w:val="00BF0BBB"/>
    <w:rsid w:val="00BF4109"/>
    <w:rsid w:val="00BF4CC3"/>
    <w:rsid w:val="00C054C7"/>
    <w:rsid w:val="00C057B5"/>
    <w:rsid w:val="00C1123E"/>
    <w:rsid w:val="00C22687"/>
    <w:rsid w:val="00C32E4D"/>
    <w:rsid w:val="00C333A0"/>
    <w:rsid w:val="00C346A9"/>
    <w:rsid w:val="00C36A81"/>
    <w:rsid w:val="00C41974"/>
    <w:rsid w:val="00C447AD"/>
    <w:rsid w:val="00C53F4A"/>
    <w:rsid w:val="00C54125"/>
    <w:rsid w:val="00C55B54"/>
    <w:rsid w:val="00C56329"/>
    <w:rsid w:val="00C6098E"/>
    <w:rsid w:val="00C6152C"/>
    <w:rsid w:val="00C621C2"/>
    <w:rsid w:val="00C74810"/>
    <w:rsid w:val="00C90D68"/>
    <w:rsid w:val="00C936CA"/>
    <w:rsid w:val="00C939FE"/>
    <w:rsid w:val="00CA4BDA"/>
    <w:rsid w:val="00CB1F66"/>
    <w:rsid w:val="00CB2951"/>
    <w:rsid w:val="00CC5EEE"/>
    <w:rsid w:val="00CD282B"/>
    <w:rsid w:val="00CD4C35"/>
    <w:rsid w:val="00CD7369"/>
    <w:rsid w:val="00CE0B0E"/>
    <w:rsid w:val="00CE3831"/>
    <w:rsid w:val="00D00ABB"/>
    <w:rsid w:val="00D02EEC"/>
    <w:rsid w:val="00D03551"/>
    <w:rsid w:val="00D06A63"/>
    <w:rsid w:val="00D07E0E"/>
    <w:rsid w:val="00D07E67"/>
    <w:rsid w:val="00D11478"/>
    <w:rsid w:val="00D15ED0"/>
    <w:rsid w:val="00D20DCC"/>
    <w:rsid w:val="00D21B3E"/>
    <w:rsid w:val="00D21FED"/>
    <w:rsid w:val="00D24251"/>
    <w:rsid w:val="00D30595"/>
    <w:rsid w:val="00D343E2"/>
    <w:rsid w:val="00D361A2"/>
    <w:rsid w:val="00D44C2E"/>
    <w:rsid w:val="00D45414"/>
    <w:rsid w:val="00D53C0F"/>
    <w:rsid w:val="00D566BD"/>
    <w:rsid w:val="00D57A4D"/>
    <w:rsid w:val="00D60AA7"/>
    <w:rsid w:val="00D60D87"/>
    <w:rsid w:val="00D63197"/>
    <w:rsid w:val="00D6435F"/>
    <w:rsid w:val="00D75E28"/>
    <w:rsid w:val="00D772C2"/>
    <w:rsid w:val="00D8008E"/>
    <w:rsid w:val="00D82C45"/>
    <w:rsid w:val="00D835EA"/>
    <w:rsid w:val="00D84121"/>
    <w:rsid w:val="00D908A8"/>
    <w:rsid w:val="00D977B6"/>
    <w:rsid w:val="00DA4A31"/>
    <w:rsid w:val="00DA61F2"/>
    <w:rsid w:val="00DA7B04"/>
    <w:rsid w:val="00DB36C2"/>
    <w:rsid w:val="00DB3966"/>
    <w:rsid w:val="00DB7196"/>
    <w:rsid w:val="00DC169B"/>
    <w:rsid w:val="00DC2AB9"/>
    <w:rsid w:val="00DC63F0"/>
    <w:rsid w:val="00DC7256"/>
    <w:rsid w:val="00DD0472"/>
    <w:rsid w:val="00DD0FC3"/>
    <w:rsid w:val="00DD137E"/>
    <w:rsid w:val="00DD2E8F"/>
    <w:rsid w:val="00DD6EE5"/>
    <w:rsid w:val="00DD70EA"/>
    <w:rsid w:val="00DE1B8E"/>
    <w:rsid w:val="00DE386C"/>
    <w:rsid w:val="00DE4D35"/>
    <w:rsid w:val="00DF0549"/>
    <w:rsid w:val="00DF098B"/>
    <w:rsid w:val="00DF11C4"/>
    <w:rsid w:val="00DF210C"/>
    <w:rsid w:val="00DF30F9"/>
    <w:rsid w:val="00DF4B6A"/>
    <w:rsid w:val="00E01152"/>
    <w:rsid w:val="00E02C09"/>
    <w:rsid w:val="00E03FDE"/>
    <w:rsid w:val="00E04D59"/>
    <w:rsid w:val="00E05A8A"/>
    <w:rsid w:val="00E07DA1"/>
    <w:rsid w:val="00E123CB"/>
    <w:rsid w:val="00E1557C"/>
    <w:rsid w:val="00E20E13"/>
    <w:rsid w:val="00E21DBC"/>
    <w:rsid w:val="00E275D7"/>
    <w:rsid w:val="00E27DBE"/>
    <w:rsid w:val="00E311A7"/>
    <w:rsid w:val="00E32AB1"/>
    <w:rsid w:val="00E34115"/>
    <w:rsid w:val="00E3590C"/>
    <w:rsid w:val="00E36C71"/>
    <w:rsid w:val="00E40404"/>
    <w:rsid w:val="00E459C6"/>
    <w:rsid w:val="00E47589"/>
    <w:rsid w:val="00E6309A"/>
    <w:rsid w:val="00E64915"/>
    <w:rsid w:val="00E661D4"/>
    <w:rsid w:val="00E70091"/>
    <w:rsid w:val="00E720F5"/>
    <w:rsid w:val="00E76D47"/>
    <w:rsid w:val="00E849F7"/>
    <w:rsid w:val="00E90302"/>
    <w:rsid w:val="00E91FAE"/>
    <w:rsid w:val="00E94A76"/>
    <w:rsid w:val="00E9597F"/>
    <w:rsid w:val="00E97396"/>
    <w:rsid w:val="00EA185E"/>
    <w:rsid w:val="00EA19CD"/>
    <w:rsid w:val="00EA21BA"/>
    <w:rsid w:val="00EA592A"/>
    <w:rsid w:val="00EB14E4"/>
    <w:rsid w:val="00EB32A5"/>
    <w:rsid w:val="00EB34ED"/>
    <w:rsid w:val="00EB7BE0"/>
    <w:rsid w:val="00EC315E"/>
    <w:rsid w:val="00EC704F"/>
    <w:rsid w:val="00ED077C"/>
    <w:rsid w:val="00ED1190"/>
    <w:rsid w:val="00ED2C74"/>
    <w:rsid w:val="00ED6544"/>
    <w:rsid w:val="00EE0277"/>
    <w:rsid w:val="00EE1DA9"/>
    <w:rsid w:val="00EE3E00"/>
    <w:rsid w:val="00EE5DD2"/>
    <w:rsid w:val="00EF3E67"/>
    <w:rsid w:val="00EF41F1"/>
    <w:rsid w:val="00EF4F08"/>
    <w:rsid w:val="00EF573B"/>
    <w:rsid w:val="00EF60C1"/>
    <w:rsid w:val="00F00A79"/>
    <w:rsid w:val="00F00E86"/>
    <w:rsid w:val="00F00F8B"/>
    <w:rsid w:val="00F07C1E"/>
    <w:rsid w:val="00F105DB"/>
    <w:rsid w:val="00F132BC"/>
    <w:rsid w:val="00F13D80"/>
    <w:rsid w:val="00F16AAA"/>
    <w:rsid w:val="00F20881"/>
    <w:rsid w:val="00F21161"/>
    <w:rsid w:val="00F218EF"/>
    <w:rsid w:val="00F21BC7"/>
    <w:rsid w:val="00F266A2"/>
    <w:rsid w:val="00F27426"/>
    <w:rsid w:val="00F32269"/>
    <w:rsid w:val="00F4457E"/>
    <w:rsid w:val="00F56A6F"/>
    <w:rsid w:val="00F5709C"/>
    <w:rsid w:val="00F64EF1"/>
    <w:rsid w:val="00F6540E"/>
    <w:rsid w:val="00F8765F"/>
    <w:rsid w:val="00F90767"/>
    <w:rsid w:val="00FA19E3"/>
    <w:rsid w:val="00FA603D"/>
    <w:rsid w:val="00FA685B"/>
    <w:rsid w:val="00FB0C01"/>
    <w:rsid w:val="00FB2FF6"/>
    <w:rsid w:val="00FB5954"/>
    <w:rsid w:val="00FC18F2"/>
    <w:rsid w:val="00FC39E5"/>
    <w:rsid w:val="00FC3A78"/>
    <w:rsid w:val="00FC5FFE"/>
    <w:rsid w:val="00FD1005"/>
    <w:rsid w:val="00FD3180"/>
    <w:rsid w:val="00FD6C75"/>
    <w:rsid w:val="00FE71B3"/>
    <w:rsid w:val="00FE7C85"/>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0881"/>
    <w:pPr>
      <w:jc w:val="both"/>
    </w:pPr>
    <w:rPr>
      <w:rFonts w:eastAsiaTheme="minorEastAsia"/>
      <w:sz w:val="24"/>
    </w:rPr>
  </w:style>
  <w:style w:type="paragraph" w:styleId="Heading1">
    <w:name w:val="heading 1"/>
    <w:basedOn w:val="Normal"/>
    <w:next w:val="Normal"/>
    <w:link w:val="Heading1Char"/>
    <w:uiPriority w:val="99"/>
    <w:semiHidden/>
    <w:rsid w:val="00F2088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2088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2088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2088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4436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2088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4436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4436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4436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20881"/>
    <w:rPr>
      <w:rFonts w:ascii="Tahoma" w:hAnsi="Tahoma" w:cs="Tahoma"/>
      <w:sz w:val="16"/>
      <w:szCs w:val="16"/>
    </w:rPr>
  </w:style>
  <w:style w:type="character" w:customStyle="1" w:styleId="BalloonTextChar">
    <w:name w:val="Balloon Text Char"/>
    <w:basedOn w:val="DefaultParagraphFont"/>
    <w:link w:val="BalloonText"/>
    <w:uiPriority w:val="99"/>
    <w:semiHidden/>
    <w:rsid w:val="00F20881"/>
    <w:rPr>
      <w:rFonts w:ascii="Tahoma" w:eastAsiaTheme="minorEastAsia" w:hAnsi="Tahoma" w:cs="Tahoma"/>
      <w:sz w:val="16"/>
      <w:szCs w:val="16"/>
    </w:rPr>
  </w:style>
  <w:style w:type="character" w:styleId="BookTitle">
    <w:name w:val="Book Title"/>
    <w:uiPriority w:val="99"/>
    <w:semiHidden/>
    <w:qFormat/>
    <w:rsid w:val="00144362"/>
    <w:rPr>
      <w:i/>
      <w:iCs/>
      <w:smallCaps/>
      <w:spacing w:val="5"/>
    </w:rPr>
  </w:style>
  <w:style w:type="paragraph" w:customStyle="1" w:styleId="ECHRHeader">
    <w:name w:val="ECHR_Header"/>
    <w:aliases w:val="Ju_Header"/>
    <w:basedOn w:val="Header"/>
    <w:uiPriority w:val="4"/>
    <w:qFormat/>
    <w:rsid w:val="0014436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20881"/>
    <w:pPr>
      <w:jc w:val="left"/>
    </w:pPr>
    <w:rPr>
      <w:sz w:val="8"/>
    </w:rPr>
  </w:style>
  <w:style w:type="character" w:styleId="Strong">
    <w:name w:val="Strong"/>
    <w:uiPriority w:val="99"/>
    <w:semiHidden/>
    <w:qFormat/>
    <w:rsid w:val="00144362"/>
    <w:rPr>
      <w:b/>
      <w:bCs/>
    </w:rPr>
  </w:style>
  <w:style w:type="paragraph" w:styleId="NoSpacing">
    <w:name w:val="No Spacing"/>
    <w:basedOn w:val="Normal"/>
    <w:link w:val="NoSpacingChar"/>
    <w:semiHidden/>
    <w:qFormat/>
    <w:rsid w:val="00144362"/>
    <w:rPr>
      <w:sz w:val="22"/>
    </w:rPr>
  </w:style>
  <w:style w:type="character" w:customStyle="1" w:styleId="NoSpacingChar">
    <w:name w:val="No Spacing Char"/>
    <w:basedOn w:val="DefaultParagraphFont"/>
    <w:link w:val="NoSpacing"/>
    <w:semiHidden/>
    <w:rsid w:val="00144362"/>
    <w:rPr>
      <w:rFonts w:eastAsiaTheme="minorEastAsia"/>
    </w:rPr>
  </w:style>
  <w:style w:type="paragraph" w:customStyle="1" w:styleId="ECHRFooterLine">
    <w:name w:val="ECHR_Footer_Line"/>
    <w:aliases w:val="Footer_Line"/>
    <w:basedOn w:val="Normal"/>
    <w:next w:val="ECHRFooter"/>
    <w:uiPriority w:val="57"/>
    <w:semiHidden/>
    <w:rsid w:val="00F2088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144362"/>
    <w:pPr>
      <w:numPr>
        <w:numId w:val="20"/>
      </w:numPr>
      <w:jc w:val="left"/>
    </w:pPr>
    <w:rPr>
      <w:b/>
    </w:rPr>
  </w:style>
  <w:style w:type="paragraph" w:customStyle="1" w:styleId="OpiPara">
    <w:name w:val="Opi_Para"/>
    <w:basedOn w:val="ECHRPara"/>
    <w:uiPriority w:val="46"/>
    <w:qFormat/>
    <w:rsid w:val="00144362"/>
  </w:style>
  <w:style w:type="paragraph" w:customStyle="1" w:styleId="JuParaSub">
    <w:name w:val="Ju_Para_Sub"/>
    <w:basedOn w:val="ECHRPara"/>
    <w:uiPriority w:val="13"/>
    <w:qFormat/>
    <w:rsid w:val="00144362"/>
    <w:pPr>
      <w:ind w:left="284"/>
    </w:pPr>
  </w:style>
  <w:style w:type="paragraph" w:customStyle="1" w:styleId="ECHRTitleCentre3">
    <w:name w:val="ECHR_Title_Centre_3"/>
    <w:aliases w:val="Ju_H_Article"/>
    <w:basedOn w:val="Normal"/>
    <w:next w:val="ECHRParaQuote"/>
    <w:link w:val="JuHArticleChar"/>
    <w:uiPriority w:val="27"/>
    <w:qFormat/>
    <w:rsid w:val="0014436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44362"/>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144362"/>
  </w:style>
  <w:style w:type="paragraph" w:customStyle="1" w:styleId="OpiQuot">
    <w:name w:val="Opi_Quot"/>
    <w:basedOn w:val="ECHRParaQuote"/>
    <w:uiPriority w:val="48"/>
    <w:qFormat/>
    <w:rsid w:val="00144362"/>
  </w:style>
  <w:style w:type="paragraph" w:customStyle="1" w:styleId="OpiQuotSub">
    <w:name w:val="Opi_Quot_Sub"/>
    <w:basedOn w:val="JuQuotSub"/>
    <w:uiPriority w:val="49"/>
    <w:qFormat/>
    <w:rsid w:val="00144362"/>
  </w:style>
  <w:style w:type="paragraph" w:customStyle="1" w:styleId="ECHRTitleCentre2">
    <w:name w:val="ECHR_Title_Centre_2"/>
    <w:aliases w:val="Dec_H_Case"/>
    <w:basedOn w:val="Normal"/>
    <w:next w:val="ECHRPara"/>
    <w:uiPriority w:val="8"/>
    <w:qFormat/>
    <w:rsid w:val="00144362"/>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144362"/>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14436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4436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14436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4436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4436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144362"/>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144362"/>
    <w:pPr>
      <w:keepNext/>
      <w:keepLines/>
      <w:spacing w:before="240" w:after="120"/>
      <w:ind w:left="1236"/>
    </w:pPr>
    <w:rPr>
      <w:sz w:val="20"/>
    </w:rPr>
  </w:style>
  <w:style w:type="paragraph" w:customStyle="1" w:styleId="JuQuotSub">
    <w:name w:val="Ju_Quot_Sub"/>
    <w:basedOn w:val="ECHRParaQuote"/>
    <w:uiPriority w:val="15"/>
    <w:qFormat/>
    <w:rsid w:val="00144362"/>
    <w:pPr>
      <w:ind w:left="567"/>
    </w:pPr>
  </w:style>
  <w:style w:type="paragraph" w:customStyle="1" w:styleId="JuInitialled">
    <w:name w:val="Ju_Initialled"/>
    <w:basedOn w:val="Normal"/>
    <w:uiPriority w:val="31"/>
    <w:qFormat/>
    <w:rsid w:val="00144362"/>
    <w:pPr>
      <w:tabs>
        <w:tab w:val="center" w:pos="6407"/>
      </w:tabs>
      <w:spacing w:before="720"/>
      <w:jc w:val="right"/>
    </w:pPr>
  </w:style>
  <w:style w:type="paragraph" w:customStyle="1" w:styleId="OpiHA">
    <w:name w:val="Opi_H_A"/>
    <w:basedOn w:val="ECHRHeading1"/>
    <w:next w:val="OpiPara"/>
    <w:uiPriority w:val="41"/>
    <w:qFormat/>
    <w:rsid w:val="00144362"/>
    <w:pPr>
      <w:tabs>
        <w:tab w:val="clear" w:pos="357"/>
      </w:tabs>
      <w:outlineLvl w:val="1"/>
    </w:pPr>
    <w:rPr>
      <w:b/>
    </w:rPr>
  </w:style>
  <w:style w:type="paragraph" w:styleId="Header">
    <w:name w:val="header"/>
    <w:basedOn w:val="Normal"/>
    <w:link w:val="HeaderChar"/>
    <w:uiPriority w:val="57"/>
    <w:semiHidden/>
    <w:rsid w:val="00F2088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20881"/>
    <w:rPr>
      <w:sz w:val="24"/>
    </w:rPr>
  </w:style>
  <w:style w:type="character" w:customStyle="1" w:styleId="Heading1Char">
    <w:name w:val="Heading 1 Char"/>
    <w:basedOn w:val="DefaultParagraphFont"/>
    <w:link w:val="Heading1"/>
    <w:uiPriority w:val="99"/>
    <w:semiHidden/>
    <w:rsid w:val="00F2088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4436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4436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20881"/>
    <w:rPr>
      <w:rFonts w:asciiTheme="majorHAnsi" w:eastAsiaTheme="majorEastAsia" w:hAnsiTheme="majorHAnsi" w:cstheme="majorBidi"/>
      <w:b/>
      <w:bCs/>
      <w:color w:val="4D4D4D"/>
      <w:sz w:val="26"/>
      <w:szCs w:val="26"/>
    </w:rPr>
  </w:style>
  <w:style w:type="character" w:customStyle="1" w:styleId="JUNAMES">
    <w:name w:val="JU_NAMES"/>
    <w:uiPriority w:val="17"/>
    <w:qFormat/>
    <w:rsid w:val="00144362"/>
    <w:rPr>
      <w:caps w:val="0"/>
      <w:smallCaps/>
    </w:rPr>
  </w:style>
  <w:style w:type="paragraph" w:customStyle="1" w:styleId="JuCase">
    <w:name w:val="Ju_Case"/>
    <w:basedOn w:val="Normal"/>
    <w:next w:val="ECHRPara"/>
    <w:uiPriority w:val="10"/>
    <w:rsid w:val="00F20881"/>
    <w:pPr>
      <w:ind w:firstLine="284"/>
    </w:pPr>
    <w:rPr>
      <w:b/>
    </w:rPr>
  </w:style>
  <w:style w:type="character" w:customStyle="1" w:styleId="Heading3Char">
    <w:name w:val="Heading 3 Char"/>
    <w:basedOn w:val="DefaultParagraphFont"/>
    <w:link w:val="Heading3"/>
    <w:uiPriority w:val="99"/>
    <w:semiHidden/>
    <w:rsid w:val="00F20881"/>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20881"/>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44362"/>
    <w:rPr>
      <w:rFonts w:asciiTheme="majorHAnsi" w:eastAsiaTheme="majorEastAsia" w:hAnsiTheme="majorHAnsi" w:cstheme="majorBidi"/>
      <w:b/>
      <w:bCs/>
      <w:color w:val="808080"/>
    </w:rPr>
  </w:style>
  <w:style w:type="character" w:styleId="SubtleEmphasis">
    <w:name w:val="Subtle Emphasis"/>
    <w:uiPriority w:val="99"/>
    <w:semiHidden/>
    <w:qFormat/>
    <w:rsid w:val="0014436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44362"/>
    <w:pPr>
      <w:keepNext/>
      <w:keepLines/>
      <w:spacing w:before="720" w:after="240"/>
      <w:outlineLvl w:val="0"/>
    </w:pPr>
    <w:rPr>
      <w:rFonts w:asciiTheme="majorHAnsi" w:hAnsiTheme="majorHAnsi"/>
      <w:sz w:val="28"/>
    </w:rPr>
  </w:style>
  <w:style w:type="character" w:styleId="Emphasis">
    <w:name w:val="Emphasis"/>
    <w:uiPriority w:val="99"/>
    <w:semiHidden/>
    <w:qFormat/>
    <w:rsid w:val="00144362"/>
    <w:rPr>
      <w:b/>
      <w:bCs/>
      <w:i/>
      <w:iCs/>
      <w:spacing w:val="10"/>
      <w:bdr w:val="none" w:sz="0" w:space="0" w:color="auto"/>
      <w:shd w:val="clear" w:color="auto" w:fill="auto"/>
    </w:rPr>
  </w:style>
  <w:style w:type="paragraph" w:styleId="Footer">
    <w:name w:val="footer"/>
    <w:basedOn w:val="Normal"/>
    <w:link w:val="FooterChar"/>
    <w:uiPriority w:val="57"/>
    <w:semiHidden/>
    <w:rsid w:val="00F2088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20881"/>
    <w:rPr>
      <w:sz w:val="24"/>
    </w:rPr>
  </w:style>
  <w:style w:type="character" w:styleId="FootnoteReference">
    <w:name w:val="footnote reference"/>
    <w:basedOn w:val="DefaultParagraphFont"/>
    <w:uiPriority w:val="99"/>
    <w:semiHidden/>
    <w:rsid w:val="00F20881"/>
    <w:rPr>
      <w:vertAlign w:val="superscript"/>
    </w:rPr>
  </w:style>
  <w:style w:type="paragraph" w:styleId="FootnoteText">
    <w:name w:val="footnote text"/>
    <w:basedOn w:val="Normal"/>
    <w:link w:val="FootnoteTextChar"/>
    <w:uiPriority w:val="99"/>
    <w:semiHidden/>
    <w:rsid w:val="00F20881"/>
    <w:rPr>
      <w:sz w:val="20"/>
      <w:szCs w:val="20"/>
    </w:rPr>
  </w:style>
  <w:style w:type="character" w:customStyle="1" w:styleId="FootnoteTextChar">
    <w:name w:val="Footnote Text Char"/>
    <w:basedOn w:val="DefaultParagraphFont"/>
    <w:link w:val="FootnoteText"/>
    <w:uiPriority w:val="99"/>
    <w:semiHidden/>
    <w:rsid w:val="00F20881"/>
    <w:rPr>
      <w:rFonts w:eastAsiaTheme="minorEastAsia"/>
      <w:sz w:val="20"/>
      <w:szCs w:val="20"/>
    </w:rPr>
  </w:style>
  <w:style w:type="character" w:customStyle="1" w:styleId="Heading6Char">
    <w:name w:val="Heading 6 Char"/>
    <w:basedOn w:val="DefaultParagraphFont"/>
    <w:link w:val="Heading6"/>
    <w:uiPriority w:val="99"/>
    <w:semiHidden/>
    <w:rsid w:val="00F2088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4436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4436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4436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20881"/>
    <w:rPr>
      <w:color w:val="0072BC" w:themeColor="hyperlink"/>
      <w:u w:val="single"/>
    </w:rPr>
  </w:style>
  <w:style w:type="character" w:styleId="IntenseEmphasis">
    <w:name w:val="Intense Emphasis"/>
    <w:uiPriority w:val="99"/>
    <w:semiHidden/>
    <w:qFormat/>
    <w:rsid w:val="00144362"/>
    <w:rPr>
      <w:b/>
      <w:bCs/>
    </w:rPr>
  </w:style>
  <w:style w:type="paragraph" w:styleId="IntenseQuote">
    <w:name w:val="Intense Quote"/>
    <w:basedOn w:val="Normal"/>
    <w:next w:val="Normal"/>
    <w:link w:val="IntenseQuoteChar"/>
    <w:uiPriority w:val="99"/>
    <w:semiHidden/>
    <w:qFormat/>
    <w:rsid w:val="00144362"/>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44362"/>
    <w:rPr>
      <w:rFonts w:eastAsiaTheme="minorEastAsia"/>
      <w:b/>
      <w:bCs/>
      <w:i/>
      <w:iCs/>
      <w:lang w:bidi="en-US"/>
    </w:rPr>
  </w:style>
  <w:style w:type="character" w:styleId="IntenseReference">
    <w:name w:val="Intense Reference"/>
    <w:uiPriority w:val="99"/>
    <w:semiHidden/>
    <w:qFormat/>
    <w:rsid w:val="00144362"/>
    <w:rPr>
      <w:smallCaps/>
      <w:spacing w:val="5"/>
      <w:u w:val="single"/>
    </w:rPr>
  </w:style>
  <w:style w:type="paragraph" w:styleId="ListParagraph">
    <w:name w:val="List Paragraph"/>
    <w:basedOn w:val="Normal"/>
    <w:uiPriority w:val="99"/>
    <w:semiHidden/>
    <w:qFormat/>
    <w:rsid w:val="0014436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44362"/>
    <w:pPr>
      <w:spacing w:before="200"/>
      <w:ind w:left="360" w:right="360"/>
    </w:pPr>
    <w:rPr>
      <w:i/>
      <w:iCs/>
      <w:sz w:val="22"/>
      <w:lang w:bidi="en-US"/>
    </w:rPr>
  </w:style>
  <w:style w:type="character" w:customStyle="1" w:styleId="QuoteChar">
    <w:name w:val="Quote Char"/>
    <w:basedOn w:val="DefaultParagraphFont"/>
    <w:link w:val="Quote"/>
    <w:uiPriority w:val="99"/>
    <w:semiHidden/>
    <w:rsid w:val="00144362"/>
    <w:rPr>
      <w:rFonts w:eastAsiaTheme="minorEastAsia"/>
      <w:i/>
      <w:iCs/>
      <w:lang w:bidi="en-US"/>
    </w:rPr>
  </w:style>
  <w:style w:type="character" w:styleId="SubtleReference">
    <w:name w:val="Subtle Reference"/>
    <w:uiPriority w:val="99"/>
    <w:semiHidden/>
    <w:qFormat/>
    <w:rsid w:val="00144362"/>
    <w:rPr>
      <w:smallCaps/>
    </w:rPr>
  </w:style>
  <w:style w:type="table" w:styleId="TableGrid">
    <w:name w:val="Table Grid"/>
    <w:basedOn w:val="TableNormal"/>
    <w:uiPriority w:val="59"/>
    <w:semiHidden/>
    <w:rsid w:val="00F208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2088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2088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2088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2088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2088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4436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2088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44362"/>
    <w:pPr>
      <w:spacing w:before="120" w:after="120"/>
      <w:ind w:left="425" w:firstLine="142"/>
    </w:pPr>
    <w:rPr>
      <w:sz w:val="20"/>
    </w:rPr>
  </w:style>
  <w:style w:type="paragraph" w:customStyle="1" w:styleId="ECHRPara">
    <w:name w:val="ECHR_Para"/>
    <w:aliases w:val="Ju_Para"/>
    <w:basedOn w:val="Normal"/>
    <w:link w:val="ECHRParaChar"/>
    <w:uiPriority w:val="12"/>
    <w:qFormat/>
    <w:rsid w:val="0014436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088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4436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44362"/>
    <w:pPr>
      <w:ind w:left="340" w:hanging="340"/>
    </w:pPr>
  </w:style>
  <w:style w:type="paragraph" w:customStyle="1" w:styleId="JuSigned">
    <w:name w:val="Ju_Signed"/>
    <w:basedOn w:val="Normal"/>
    <w:next w:val="JuParaLast"/>
    <w:uiPriority w:val="32"/>
    <w:qFormat/>
    <w:rsid w:val="00144362"/>
    <w:pPr>
      <w:tabs>
        <w:tab w:val="center" w:pos="851"/>
        <w:tab w:val="center" w:pos="6407"/>
      </w:tabs>
      <w:spacing w:before="720"/>
      <w:jc w:val="left"/>
    </w:pPr>
  </w:style>
  <w:style w:type="paragraph" w:customStyle="1" w:styleId="JuParaLast">
    <w:name w:val="Ju_Para_Last"/>
    <w:basedOn w:val="Normal"/>
    <w:next w:val="ECHRPara"/>
    <w:uiPriority w:val="30"/>
    <w:qFormat/>
    <w:rsid w:val="00144362"/>
    <w:pPr>
      <w:keepNext/>
      <w:keepLines/>
      <w:spacing w:before="240"/>
      <w:ind w:firstLine="284"/>
    </w:pPr>
  </w:style>
  <w:style w:type="character" w:customStyle="1" w:styleId="JuITMark">
    <w:name w:val="Ju_ITMark"/>
    <w:basedOn w:val="DefaultParagraphFont"/>
    <w:uiPriority w:val="38"/>
    <w:qFormat/>
    <w:rsid w:val="00144362"/>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44362"/>
    <w:pPr>
      <w:ind w:left="346" w:firstLine="0"/>
    </w:pPr>
  </w:style>
  <w:style w:type="paragraph" w:customStyle="1" w:styleId="JuListi">
    <w:name w:val="Ju_List_i"/>
    <w:basedOn w:val="Normal"/>
    <w:next w:val="JuLista"/>
    <w:uiPriority w:val="28"/>
    <w:qFormat/>
    <w:rsid w:val="0014436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144362"/>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semiHidden/>
    <w:qFormat/>
    <w:rsid w:val="00144362"/>
  </w:style>
  <w:style w:type="paragraph" w:styleId="Subtitle">
    <w:name w:val="Subtitle"/>
    <w:basedOn w:val="Normal"/>
    <w:next w:val="Normal"/>
    <w:link w:val="SubtitleChar"/>
    <w:uiPriority w:val="99"/>
    <w:semiHidden/>
    <w:qFormat/>
    <w:rsid w:val="0014436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4436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F2088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2088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2088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144362"/>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144362"/>
    <w:pPr>
      <w:spacing w:before="240"/>
      <w:ind w:left="284"/>
    </w:pPr>
  </w:style>
  <w:style w:type="paragraph" w:customStyle="1" w:styleId="OpiH1">
    <w:name w:val="Opi_H_1"/>
    <w:basedOn w:val="ECHRHeading2"/>
    <w:uiPriority w:val="42"/>
    <w:qFormat/>
    <w:rsid w:val="00144362"/>
    <w:pPr>
      <w:ind w:left="635" w:hanging="357"/>
      <w:outlineLvl w:val="2"/>
    </w:pPr>
  </w:style>
  <w:style w:type="paragraph" w:customStyle="1" w:styleId="OpiHa0">
    <w:name w:val="Opi_H_a"/>
    <w:basedOn w:val="ECHRHeading3"/>
    <w:uiPriority w:val="43"/>
    <w:qFormat/>
    <w:rsid w:val="00144362"/>
    <w:pPr>
      <w:ind w:left="833" w:hanging="357"/>
      <w:outlineLvl w:val="3"/>
    </w:pPr>
    <w:rPr>
      <w:b/>
      <w:i w:val="0"/>
      <w:sz w:val="20"/>
    </w:rPr>
  </w:style>
  <w:style w:type="paragraph" w:customStyle="1" w:styleId="OpiHi">
    <w:name w:val="Opi_H_i"/>
    <w:basedOn w:val="ECHRHeading4"/>
    <w:uiPriority w:val="44"/>
    <w:qFormat/>
    <w:rsid w:val="00144362"/>
    <w:pPr>
      <w:ind w:left="1037" w:hanging="357"/>
      <w:outlineLvl w:val="4"/>
    </w:pPr>
    <w:rPr>
      <w:b w:val="0"/>
      <w:i/>
    </w:rPr>
  </w:style>
  <w:style w:type="paragraph" w:customStyle="1" w:styleId="DummyStyle">
    <w:name w:val="Dummy_Style"/>
    <w:basedOn w:val="Normal"/>
    <w:semiHidden/>
    <w:qFormat/>
    <w:rsid w:val="00144362"/>
    <w:rPr>
      <w:color w:val="00B050"/>
    </w:rPr>
  </w:style>
  <w:style w:type="paragraph" w:customStyle="1" w:styleId="JuHeaderLandscape">
    <w:name w:val="Ju_Header_Landscape"/>
    <w:basedOn w:val="ECHRHeader"/>
    <w:uiPriority w:val="4"/>
    <w:qFormat/>
    <w:rsid w:val="00144362"/>
    <w:pPr>
      <w:tabs>
        <w:tab w:val="clear" w:pos="3686"/>
        <w:tab w:val="clear" w:pos="7371"/>
        <w:tab w:val="center" w:pos="6146"/>
        <w:tab w:val="right" w:pos="12293"/>
      </w:tabs>
    </w:pPr>
  </w:style>
  <w:style w:type="character" w:customStyle="1" w:styleId="JuH1Char">
    <w:name w:val="Ju_H_1. Char"/>
    <w:link w:val="ECHRHeading3"/>
    <w:uiPriority w:val="21"/>
    <w:rsid w:val="00052CE3"/>
    <w:rPr>
      <w:rFonts w:asciiTheme="majorHAnsi" w:eastAsiaTheme="majorEastAsia" w:hAnsiTheme="majorHAnsi" w:cstheme="majorBidi"/>
      <w:bCs/>
      <w:i/>
      <w:sz w:val="24"/>
    </w:rPr>
  </w:style>
  <w:style w:type="character" w:customStyle="1" w:styleId="JuHArticleChar">
    <w:name w:val="Ju_H_Article Char"/>
    <w:link w:val="ECHRTitleCentre3"/>
    <w:uiPriority w:val="27"/>
    <w:rsid w:val="00052CE3"/>
    <w:rPr>
      <w:rFonts w:asciiTheme="majorHAnsi" w:eastAsiaTheme="minorEastAsia" w:hAnsiTheme="majorHAnsi"/>
      <w:b/>
      <w:sz w:val="20"/>
      <w:lang w:bidi="en-US"/>
    </w:rPr>
  </w:style>
  <w:style w:type="character" w:customStyle="1" w:styleId="ECHRParaChar">
    <w:name w:val="ECHR_Para Char"/>
    <w:aliases w:val="Ju_Para Char"/>
    <w:link w:val="ECHRPara"/>
    <w:uiPriority w:val="12"/>
    <w:rsid w:val="00981F4C"/>
    <w:rPr>
      <w:rFonts w:eastAsiaTheme="minorEastAsia"/>
      <w:sz w:val="24"/>
    </w:rPr>
  </w:style>
  <w:style w:type="paragraph" w:styleId="Revision">
    <w:name w:val="Revision"/>
    <w:hidden/>
    <w:uiPriority w:val="99"/>
    <w:semiHidden/>
    <w:rsid w:val="007B6D53"/>
    <w:rPr>
      <w:rFonts w:eastAsiaTheme="minorEastAsia"/>
      <w:sz w:val="24"/>
    </w:rPr>
  </w:style>
  <w:style w:type="paragraph" w:customStyle="1" w:styleId="jupara">
    <w:name w:val="jupara"/>
    <w:basedOn w:val="Normal"/>
    <w:rsid w:val="00BE51E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BE51E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9781">
      <w:bodyDiv w:val="1"/>
      <w:marLeft w:val="0"/>
      <w:marRight w:val="0"/>
      <w:marTop w:val="0"/>
      <w:marBottom w:val="0"/>
      <w:divBdr>
        <w:top w:val="none" w:sz="0" w:space="0" w:color="auto"/>
        <w:left w:val="none" w:sz="0" w:space="0" w:color="auto"/>
        <w:bottom w:val="none" w:sz="0" w:space="0" w:color="auto"/>
        <w:right w:val="none" w:sz="0" w:space="0" w:color="auto"/>
      </w:divBdr>
      <w:divsChild>
        <w:div w:id="1827865327">
          <w:marLeft w:val="0"/>
          <w:marRight w:val="0"/>
          <w:marTop w:val="0"/>
          <w:marBottom w:val="0"/>
          <w:divBdr>
            <w:top w:val="none" w:sz="0" w:space="0" w:color="auto"/>
            <w:left w:val="none" w:sz="0" w:space="0" w:color="auto"/>
            <w:bottom w:val="none" w:sz="0" w:space="0" w:color="auto"/>
            <w:right w:val="none" w:sz="0" w:space="0" w:color="auto"/>
          </w:divBdr>
          <w:divsChild>
            <w:div w:id="378015821">
              <w:marLeft w:val="0"/>
              <w:marRight w:val="0"/>
              <w:marTop w:val="0"/>
              <w:marBottom w:val="0"/>
              <w:divBdr>
                <w:top w:val="none" w:sz="0" w:space="0" w:color="auto"/>
                <w:left w:val="none" w:sz="0" w:space="0" w:color="auto"/>
                <w:bottom w:val="none" w:sz="0" w:space="0" w:color="auto"/>
                <w:right w:val="none" w:sz="0" w:space="0" w:color="auto"/>
              </w:divBdr>
              <w:divsChild>
                <w:div w:id="408770917">
                  <w:marLeft w:val="0"/>
                  <w:marRight w:val="0"/>
                  <w:marTop w:val="0"/>
                  <w:marBottom w:val="0"/>
                  <w:divBdr>
                    <w:top w:val="none" w:sz="0" w:space="0" w:color="auto"/>
                    <w:left w:val="none" w:sz="0" w:space="0" w:color="auto"/>
                    <w:bottom w:val="none" w:sz="0" w:space="0" w:color="auto"/>
                    <w:right w:val="none" w:sz="0" w:space="0" w:color="auto"/>
                  </w:divBdr>
                  <w:divsChild>
                    <w:div w:id="373386398">
                      <w:marLeft w:val="0"/>
                      <w:marRight w:val="0"/>
                      <w:marTop w:val="0"/>
                      <w:marBottom w:val="0"/>
                      <w:divBdr>
                        <w:top w:val="none" w:sz="0" w:space="0" w:color="auto"/>
                        <w:left w:val="none" w:sz="0" w:space="0" w:color="auto"/>
                        <w:bottom w:val="none" w:sz="0" w:space="0" w:color="auto"/>
                        <w:right w:val="none" w:sz="0" w:space="0" w:color="auto"/>
                      </w:divBdr>
                      <w:divsChild>
                        <w:div w:id="1440023236">
                          <w:marLeft w:val="0"/>
                          <w:marRight w:val="0"/>
                          <w:marTop w:val="0"/>
                          <w:marBottom w:val="0"/>
                          <w:divBdr>
                            <w:top w:val="none" w:sz="0" w:space="0" w:color="auto"/>
                            <w:left w:val="none" w:sz="0" w:space="0" w:color="auto"/>
                            <w:bottom w:val="none" w:sz="0" w:space="0" w:color="auto"/>
                            <w:right w:val="none" w:sz="0" w:space="0" w:color="auto"/>
                          </w:divBdr>
                          <w:divsChild>
                            <w:div w:id="83310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fra.europa.e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coe.int/conventionviolence" TargetMode="Externa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1D2B8E-5BC6-44C3-A495-00A09BD2CF92}"/>
</file>

<file path=customXml/itemProps2.xml><?xml version="1.0" encoding="utf-8"?>
<ds:datastoreItem xmlns:ds="http://schemas.openxmlformats.org/officeDocument/2006/customXml" ds:itemID="{4CB0F605-6F7A-4C1E-8727-E396E3E75932}"/>
</file>

<file path=customXml/itemProps3.xml><?xml version="1.0" encoding="utf-8"?>
<ds:datastoreItem xmlns:ds="http://schemas.openxmlformats.org/officeDocument/2006/customXml" ds:itemID="{9D3D6B7B-39C5-4BBC-87CD-83996D9EAE29}"/>
</file>

<file path=customXml/itemProps4.xml><?xml version="1.0" encoding="utf-8"?>
<ds:datastoreItem xmlns:ds="http://schemas.openxmlformats.org/officeDocument/2006/customXml" ds:itemID="{012E2DFD-2D96-4114-8E33-5D27DD8A5EF5}"/>
</file>

<file path=docProps/app.xml><?xml version="1.0" encoding="utf-8"?>
<Properties xmlns="http://schemas.openxmlformats.org/officeDocument/2006/extended-properties" xmlns:vt="http://schemas.openxmlformats.org/officeDocument/2006/docPropsVTypes">
  <Template>Normal.dotm</Template>
  <TotalTime>0</TotalTime>
  <Pages>1</Pages>
  <Words>6759</Words>
  <Characters>38528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2017-10-16T09:29:00Z</dcterms:created>
  <dcterms:modified xsi:type="dcterms:W3CDTF">2017-10-16T09:29:00Z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47666/13</vt:lpwstr>
  </property>
  <property fmtid="{D5CDD505-2E9C-101B-9397-08002B2CF9AE}" pid="4" name="CASEID">
    <vt:lpwstr>898330</vt:lpwstr>
  </property>
  <property fmtid="{D5CDD505-2E9C-101B-9397-08002B2CF9AE}" pid="5" name="ContentTypeId">
    <vt:lpwstr>0x010100558EB02BDB9E204AB350EDD385B68E10</vt:lpwstr>
  </property>
</Properties>
</file>