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0C0E58" w:rsidR="009A601C" w:rsidP="000C0E58">
      <w:pPr>
        <w:rPr>
          <w:rFonts w:ascii="Times New Roman" w:hAnsi="Times New Roman" w:cs="Times New Roman"/>
          <w:lang w:val="en-GB"/>
        </w:rPr>
      </w:pPr>
    </w:p>
    <w:p w:rsidRPr="000C0E58" w:rsidR="00C1646D" w:rsidP="000C0E58">
      <w:pPr>
        <w:rPr>
          <w:lang w:val="en-GB"/>
        </w:rPr>
      </w:pPr>
    </w:p>
    <w:p w:rsidRPr="000C0E58" w:rsidR="00C1646D" w:rsidP="000C0E58">
      <w:pPr>
        <w:pStyle w:val="ECHRDecisionBody"/>
        <w:rPr>
          <w:lang w:val="en-GB"/>
        </w:rPr>
      </w:pPr>
    </w:p>
    <w:p w:rsidRPr="000C0E58" w:rsidR="00C1646D" w:rsidP="000C0E58">
      <w:pPr>
        <w:jc w:val="center"/>
        <w:rPr>
          <w:lang w:val="en-GB"/>
        </w:rPr>
      </w:pPr>
      <w:r w:rsidRPr="000C0E58">
        <w:rPr>
          <w:lang w:val="en-GB"/>
        </w:rPr>
        <w:t>GRAND CHAMBER</w:t>
      </w:r>
    </w:p>
    <w:p w:rsidRPr="000C0E58" w:rsidR="00C1646D" w:rsidP="000C0E58">
      <w:pPr>
        <w:jc w:val="center"/>
        <w:rPr>
          <w:lang w:val="en-GB"/>
        </w:rPr>
      </w:pPr>
    </w:p>
    <w:p w:rsidRPr="000C0E58" w:rsidR="00C1646D" w:rsidP="000C0E58">
      <w:pPr>
        <w:jc w:val="center"/>
        <w:rPr>
          <w:lang w:val="en-GB"/>
        </w:rPr>
      </w:pPr>
    </w:p>
    <w:p w:rsidRPr="000C0E58" w:rsidR="00C1646D" w:rsidP="000C0E58">
      <w:pPr>
        <w:jc w:val="center"/>
        <w:rPr>
          <w:lang w:val="en-GB"/>
        </w:rPr>
      </w:pPr>
    </w:p>
    <w:p w:rsidRPr="000C0E58" w:rsidR="00C1646D" w:rsidP="000C0E58">
      <w:pPr>
        <w:jc w:val="center"/>
        <w:rPr>
          <w:lang w:val="en-GB"/>
        </w:rPr>
      </w:pPr>
    </w:p>
    <w:p w:rsidRPr="000C0E58" w:rsidR="00253B9D" w:rsidP="000C0E58">
      <w:pPr>
        <w:jc w:val="center"/>
        <w:rPr>
          <w:lang w:val="en-GB"/>
        </w:rPr>
      </w:pPr>
    </w:p>
    <w:p w:rsidRPr="000C0E58" w:rsidR="00900B3F" w:rsidP="000C0E58">
      <w:pPr>
        <w:jc w:val="center"/>
        <w:rPr>
          <w:lang w:val="en-GB"/>
        </w:rPr>
      </w:pPr>
    </w:p>
    <w:p w:rsidRPr="000C0E58" w:rsidR="00900B3F" w:rsidP="000C0E58">
      <w:pPr>
        <w:jc w:val="center"/>
        <w:rPr>
          <w:lang w:val="en-GB"/>
        </w:rPr>
      </w:pPr>
    </w:p>
    <w:p w:rsidRPr="000C0E58" w:rsidR="001B094E" w:rsidP="000C0E58">
      <w:pPr>
        <w:jc w:val="center"/>
        <w:rPr>
          <w:b/>
          <w:lang w:val="en-GB"/>
        </w:rPr>
      </w:pPr>
      <w:bookmarkStart w:name="To" w:id="0"/>
      <w:r w:rsidRPr="000C0E58">
        <w:rPr>
          <w:b/>
          <w:lang w:val="en-GB"/>
        </w:rPr>
        <w:t xml:space="preserve">CASE OF </w:t>
      </w:r>
      <w:bookmarkEnd w:id="0"/>
      <w:r w:rsidRPr="000C0E58">
        <w:rPr>
          <w:b/>
          <w:lang w:val="en-GB"/>
        </w:rPr>
        <w:t>BÉLÁNÉ NAGY v. HUNGARY</w:t>
      </w:r>
    </w:p>
    <w:p w:rsidRPr="000C0E58" w:rsidR="00C1646D" w:rsidP="000C0E58">
      <w:pPr>
        <w:jc w:val="center"/>
        <w:rPr>
          <w:lang w:val="en-GB"/>
        </w:rPr>
      </w:pPr>
    </w:p>
    <w:p w:rsidRPr="000C0E58" w:rsidR="00C1646D" w:rsidP="000C0E58">
      <w:pPr>
        <w:jc w:val="center"/>
        <w:rPr>
          <w:i/>
          <w:lang w:val="en-GB"/>
        </w:rPr>
      </w:pPr>
      <w:r w:rsidRPr="000C0E58">
        <w:rPr>
          <w:i/>
          <w:lang w:val="en-GB"/>
        </w:rPr>
        <w:t>(Application no. 53080/13)</w:t>
      </w:r>
    </w:p>
    <w:p w:rsidRPr="000C0E58" w:rsidR="00C1646D" w:rsidP="000C0E58">
      <w:pPr>
        <w:jc w:val="center"/>
        <w:rPr>
          <w:lang w:val="en-GB"/>
        </w:rPr>
      </w:pPr>
    </w:p>
    <w:p w:rsidRPr="000C0E58" w:rsidR="00C1646D" w:rsidP="000C0E58">
      <w:pPr>
        <w:jc w:val="center"/>
        <w:rPr>
          <w:lang w:val="en-GB"/>
        </w:rPr>
      </w:pPr>
    </w:p>
    <w:p w:rsidRPr="000C0E58" w:rsidR="00900B3F" w:rsidP="000C0E58">
      <w:pPr>
        <w:jc w:val="center"/>
        <w:rPr>
          <w:lang w:val="en-GB"/>
        </w:rPr>
      </w:pPr>
    </w:p>
    <w:p w:rsidRPr="000C0E58" w:rsidR="00900B3F" w:rsidP="000C0E58">
      <w:pPr>
        <w:jc w:val="center"/>
        <w:rPr>
          <w:lang w:val="en-GB"/>
        </w:rPr>
      </w:pPr>
    </w:p>
    <w:p w:rsidRPr="000C0E58" w:rsidR="00900B3F" w:rsidP="000C0E58">
      <w:pPr>
        <w:jc w:val="center"/>
        <w:rPr>
          <w:lang w:val="en-GB"/>
        </w:rPr>
      </w:pPr>
    </w:p>
    <w:p w:rsidRPr="000C0E58" w:rsidR="00900B3F" w:rsidP="000C0E58">
      <w:pPr>
        <w:jc w:val="center"/>
        <w:rPr>
          <w:lang w:val="en-GB"/>
        </w:rPr>
      </w:pPr>
    </w:p>
    <w:p w:rsidRPr="000C0E58" w:rsidR="00900B3F" w:rsidP="000C0E58">
      <w:pPr>
        <w:jc w:val="center"/>
        <w:rPr>
          <w:lang w:val="en-GB"/>
        </w:rPr>
      </w:pPr>
    </w:p>
    <w:p w:rsidRPr="000C0E58" w:rsidR="00900B3F" w:rsidP="000C0E58">
      <w:pPr>
        <w:jc w:val="center"/>
        <w:rPr>
          <w:lang w:val="en-GB"/>
        </w:rPr>
      </w:pPr>
    </w:p>
    <w:p w:rsidRPr="000C0E58" w:rsidR="00C1646D" w:rsidP="000C0E58">
      <w:pPr>
        <w:jc w:val="center"/>
        <w:rPr>
          <w:szCs w:val="24"/>
          <w:lang w:val="en-GB"/>
        </w:rPr>
      </w:pPr>
      <w:r w:rsidRPr="000C0E58">
        <w:rPr>
          <w:szCs w:val="24"/>
          <w:lang w:val="en-GB"/>
        </w:rPr>
        <w:t>JUDGMENT</w:t>
      </w:r>
    </w:p>
    <w:p w:rsidRPr="000C0E58" w:rsidR="00900B3F" w:rsidP="000C0E58">
      <w:pPr>
        <w:jc w:val="center"/>
        <w:rPr>
          <w:lang w:val="en-GB"/>
        </w:rPr>
      </w:pPr>
    </w:p>
    <w:p w:rsidRPr="000C0E58" w:rsidR="00D97B1A" w:rsidP="000C0E58">
      <w:pPr>
        <w:jc w:val="center"/>
        <w:rPr>
          <w:lang w:val="en-GB"/>
        </w:rPr>
      </w:pPr>
    </w:p>
    <w:p w:rsidRPr="000C0E58" w:rsidR="00D97B1A" w:rsidP="000C0E58">
      <w:pPr>
        <w:jc w:val="center"/>
        <w:rPr>
          <w:lang w:val="en-GB"/>
        </w:rPr>
      </w:pPr>
      <w:r w:rsidRPr="000C0E58">
        <w:rPr>
          <w:lang w:val="en-GB"/>
        </w:rPr>
        <w:t>STRASBOURG</w:t>
      </w:r>
    </w:p>
    <w:p w:rsidRPr="000C0E58" w:rsidR="00D97B1A" w:rsidP="000C0E58">
      <w:pPr>
        <w:jc w:val="center"/>
        <w:rPr>
          <w:lang w:val="en-GB"/>
        </w:rPr>
      </w:pPr>
    </w:p>
    <w:p w:rsidRPr="000C0E58" w:rsidR="00D97B1A" w:rsidP="000C0E58">
      <w:pPr>
        <w:jc w:val="center"/>
        <w:rPr>
          <w:lang w:val="en-GB"/>
        </w:rPr>
      </w:pPr>
      <w:r w:rsidRPr="000C0E58">
        <w:rPr>
          <w:lang w:val="en-GB"/>
        </w:rPr>
        <w:t>13 December 2016</w:t>
      </w:r>
    </w:p>
    <w:p w:rsidRPr="000C0E58" w:rsidR="00900B3F" w:rsidP="000C0E58">
      <w:pPr>
        <w:rPr>
          <w:lang w:val="en-GB"/>
        </w:rPr>
      </w:pPr>
    </w:p>
    <w:p w:rsidRPr="000C0E58" w:rsidR="00900B3F" w:rsidP="000C0E58">
      <w:pPr>
        <w:jc w:val="center"/>
        <w:rPr>
          <w:lang w:val="en-GB"/>
        </w:rPr>
      </w:pPr>
    </w:p>
    <w:p w:rsidRPr="000C0E58" w:rsidR="00785231" w:rsidP="000C0E58">
      <w:pPr>
        <w:jc w:val="center"/>
        <w:rPr>
          <w:lang w:val="en-GB"/>
        </w:rPr>
      </w:pPr>
    </w:p>
    <w:p w:rsidRPr="000C0E58" w:rsidR="00785231" w:rsidP="000C0E58">
      <w:pPr>
        <w:jc w:val="center"/>
        <w:rPr>
          <w:lang w:val="en-GB"/>
        </w:rPr>
      </w:pPr>
    </w:p>
    <w:p w:rsidRPr="000C0E58" w:rsidR="00253B9D" w:rsidP="000C0E58">
      <w:pPr>
        <w:jc w:val="center"/>
        <w:rPr>
          <w:lang w:val="en-GB"/>
        </w:rPr>
      </w:pPr>
    </w:p>
    <w:p w:rsidRPr="000C0E58" w:rsidR="00785231" w:rsidP="000C0E58">
      <w:pPr>
        <w:jc w:val="center"/>
        <w:rPr>
          <w:lang w:val="en-GB"/>
        </w:rPr>
      </w:pPr>
    </w:p>
    <w:p w:rsidRPr="000C0E58" w:rsidR="00D97B1A" w:rsidP="000C0E58">
      <w:pPr>
        <w:jc w:val="left"/>
        <w:rPr>
          <w:i/>
          <w:sz w:val="22"/>
          <w:lang w:val="en-GB"/>
        </w:rPr>
      </w:pPr>
      <w:r w:rsidRPr="000C0E58">
        <w:rPr>
          <w:i/>
          <w:sz w:val="22"/>
          <w:lang w:val="en-GB"/>
        </w:rPr>
        <w:t xml:space="preserve">This judgment is final but it may be </w:t>
      </w:r>
      <w:r w:rsidRPr="000C0E58" w:rsidR="00E203F8">
        <w:rPr>
          <w:i/>
          <w:sz w:val="22"/>
          <w:lang w:val="en-GB"/>
        </w:rPr>
        <w:t>subject to editorial revision.</w:t>
      </w:r>
    </w:p>
    <w:p w:rsidRPr="000C0E58" w:rsidR="00253B9D" w:rsidP="000C0E58">
      <w:pPr>
        <w:jc w:val="left"/>
        <w:rPr>
          <w:lang w:val="en-GB"/>
        </w:rPr>
        <w:sectPr w:rsidSect="00D97B1A">
          <w:headerReference w:type="even" r:id="rId6"/>
          <w:headerReference w:type="default" r:id="rId7"/>
          <w:footerReference w:type="even" r:id="rId8"/>
          <w:footerReference w:type="default" r:id="rId9"/>
          <w:headerReference w:type="first" r:id="rId10"/>
          <w:footerReference w:type="first" r:id="rId11"/>
          <w:footnotePr>
            <w:numRestart w:val="eachSect"/>
          </w:footnotePr>
          <w:pgSz w:w="11906" w:h="16838" w:code="9"/>
          <w:pgMar w:top="2274" w:right="2274" w:bottom="2274" w:left="2274" w:header="1701" w:footer="720" w:gutter="0"/>
          <w:pgNumType w:start="1"/>
          <w:cols w:space="720"/>
          <w:titlePg/>
          <w:docGrid w:linePitch="326"/>
        </w:sectPr>
      </w:pPr>
    </w:p>
    <w:p w:rsidRPr="000C0E58" w:rsidR="00C1646D" w:rsidP="000C0E58">
      <w:pPr>
        <w:pStyle w:val="JuCase"/>
        <w:rPr>
          <w:bCs/>
          <w:lang w:val="en-GB"/>
        </w:rPr>
      </w:pPr>
      <w:r w:rsidRPr="000C0E58">
        <w:rPr>
          <w:lang w:val="en-GB"/>
        </w:rPr>
        <w:t>In the case of Béláné Nagy v. Hungary,</w:t>
      </w:r>
    </w:p>
    <w:p w:rsidRPr="000C0E58" w:rsidR="00C1646D" w:rsidP="000C0E58">
      <w:pPr>
        <w:pStyle w:val="ECHRPara"/>
        <w:rPr>
          <w:lang w:val="en-GB"/>
        </w:rPr>
      </w:pPr>
      <w:r w:rsidRPr="000C0E58">
        <w:rPr>
          <w:lang w:val="en-GB"/>
        </w:rPr>
        <w:t>The European Court of Human Rights, sitting as a Grand Chamber composed of:</w:t>
      </w:r>
    </w:p>
    <w:p w:rsidRPr="000C0E58" w:rsidR="00C1646D" w:rsidP="000C0E58">
      <w:pPr>
        <w:pStyle w:val="ECHRDecisionBody"/>
        <w:rPr>
          <w:lang w:val="en-GB"/>
        </w:rPr>
      </w:pPr>
      <w:r w:rsidRPr="000C0E58">
        <w:rPr>
          <w:lang w:val="en-GB"/>
        </w:rPr>
        <w:tab/>
        <w:t>Guido Raimondi,</w:t>
      </w:r>
      <w:r w:rsidRPr="000C0E58">
        <w:rPr>
          <w:i/>
          <w:lang w:val="en-GB"/>
        </w:rPr>
        <w:t xml:space="preserve"> President,</w:t>
      </w:r>
      <w:r w:rsidRPr="000C0E58">
        <w:rPr>
          <w:i/>
          <w:lang w:val="en-GB"/>
        </w:rPr>
        <w:br/>
      </w:r>
      <w:r w:rsidRPr="000C0E58">
        <w:rPr>
          <w:lang w:val="en-GB"/>
        </w:rPr>
        <w:tab/>
        <w:t>András Sajó,</w:t>
      </w:r>
      <w:r w:rsidRPr="000C0E58">
        <w:rPr>
          <w:i/>
          <w:lang w:val="en-GB"/>
        </w:rPr>
        <w:br/>
      </w:r>
      <w:r w:rsidRPr="000C0E58">
        <w:rPr>
          <w:lang w:val="en-GB"/>
        </w:rPr>
        <w:tab/>
        <w:t>Luis López Guerra,</w:t>
      </w:r>
      <w:r w:rsidRPr="000C0E58">
        <w:rPr>
          <w:i/>
          <w:lang w:val="en-GB"/>
        </w:rPr>
        <w:br/>
      </w:r>
      <w:r w:rsidRPr="000C0E58">
        <w:rPr>
          <w:lang w:val="en-GB"/>
        </w:rPr>
        <w:tab/>
        <w:t>Mirjana Lazarova Trajkovska,</w:t>
      </w:r>
      <w:r w:rsidRPr="000C0E58">
        <w:rPr>
          <w:i/>
          <w:lang w:val="en-GB"/>
        </w:rPr>
        <w:br/>
      </w:r>
      <w:r w:rsidRPr="000C0E58">
        <w:rPr>
          <w:lang w:val="en-GB"/>
        </w:rPr>
        <w:tab/>
        <w:t>Angelika Nußberger,</w:t>
      </w:r>
      <w:r w:rsidRPr="000C0E58">
        <w:rPr>
          <w:i/>
          <w:lang w:val="en-GB"/>
        </w:rPr>
        <w:br/>
      </w:r>
      <w:r w:rsidRPr="000C0E58">
        <w:rPr>
          <w:lang w:val="en-GB"/>
        </w:rPr>
        <w:tab/>
        <w:t>Julia Laffranque,</w:t>
      </w:r>
      <w:r w:rsidRPr="000C0E58">
        <w:rPr>
          <w:i/>
          <w:lang w:val="en-GB"/>
        </w:rPr>
        <w:br/>
      </w:r>
      <w:r w:rsidRPr="000C0E58">
        <w:rPr>
          <w:lang w:val="en-GB"/>
        </w:rPr>
        <w:tab/>
        <w:t>Päivi Hirvelä,</w:t>
      </w:r>
      <w:r w:rsidRPr="000C0E58">
        <w:rPr>
          <w:i/>
          <w:lang w:val="en-GB"/>
        </w:rPr>
        <w:br/>
      </w:r>
      <w:r w:rsidRPr="000C0E58">
        <w:rPr>
          <w:lang w:val="en-GB"/>
        </w:rPr>
        <w:tab/>
        <w:t>George Nicolaou,</w:t>
      </w:r>
      <w:r w:rsidRPr="000C0E58">
        <w:rPr>
          <w:i/>
          <w:lang w:val="en-GB"/>
        </w:rPr>
        <w:br/>
      </w:r>
      <w:r w:rsidRPr="000C0E58">
        <w:rPr>
          <w:lang w:val="en-GB"/>
        </w:rPr>
        <w:tab/>
        <w:t>Ledi Bianku,</w:t>
      </w:r>
      <w:r w:rsidRPr="000C0E58">
        <w:rPr>
          <w:i/>
          <w:lang w:val="en-GB"/>
        </w:rPr>
        <w:br/>
      </w:r>
      <w:r w:rsidRPr="000C0E58">
        <w:rPr>
          <w:lang w:val="en-GB"/>
        </w:rPr>
        <w:tab/>
        <w:t>Nona Tsotsoria,</w:t>
      </w:r>
      <w:r w:rsidRPr="000C0E58">
        <w:rPr>
          <w:i/>
          <w:lang w:val="en-GB"/>
        </w:rPr>
        <w:br/>
      </w:r>
      <w:r w:rsidRPr="000C0E58">
        <w:rPr>
          <w:lang w:val="en-GB"/>
        </w:rPr>
        <w:tab/>
        <w:t>Ganna Yudkivska,</w:t>
      </w:r>
      <w:r w:rsidRPr="000C0E58">
        <w:rPr>
          <w:i/>
          <w:lang w:val="en-GB"/>
        </w:rPr>
        <w:br/>
      </w:r>
      <w:r w:rsidRPr="000C0E58">
        <w:rPr>
          <w:lang w:val="en-GB"/>
        </w:rPr>
        <w:tab/>
        <w:t>Erik Møse,</w:t>
      </w:r>
      <w:r w:rsidRPr="000C0E58">
        <w:rPr>
          <w:i/>
          <w:lang w:val="en-GB"/>
        </w:rPr>
        <w:br/>
      </w:r>
      <w:r w:rsidRPr="000C0E58">
        <w:rPr>
          <w:lang w:val="en-GB"/>
        </w:rPr>
        <w:tab/>
        <w:t>André Potocki,</w:t>
      </w:r>
      <w:r w:rsidRPr="000C0E58">
        <w:rPr>
          <w:i/>
          <w:lang w:val="en-GB"/>
        </w:rPr>
        <w:br/>
      </w:r>
      <w:r w:rsidRPr="000C0E58">
        <w:rPr>
          <w:lang w:val="en-GB"/>
        </w:rPr>
        <w:tab/>
        <w:t>Paul Lemmens,</w:t>
      </w:r>
      <w:r w:rsidRPr="000C0E58">
        <w:rPr>
          <w:i/>
          <w:lang w:val="en-GB"/>
        </w:rPr>
        <w:br/>
      </w:r>
      <w:r w:rsidRPr="000C0E58">
        <w:rPr>
          <w:lang w:val="en-GB"/>
        </w:rPr>
        <w:tab/>
        <w:t>Krzysztof Wojtyczek,</w:t>
      </w:r>
      <w:r w:rsidRPr="000C0E58">
        <w:rPr>
          <w:i/>
          <w:lang w:val="en-GB"/>
        </w:rPr>
        <w:br/>
      </w:r>
      <w:r w:rsidRPr="000C0E58">
        <w:rPr>
          <w:lang w:val="en-GB"/>
        </w:rPr>
        <w:tab/>
        <w:t>Branko Lubarda,</w:t>
      </w:r>
      <w:r w:rsidRPr="000C0E58">
        <w:rPr>
          <w:i/>
          <w:lang w:val="en-GB"/>
        </w:rPr>
        <w:br/>
      </w:r>
      <w:r w:rsidRPr="000C0E58">
        <w:rPr>
          <w:lang w:val="en-GB"/>
        </w:rPr>
        <w:tab/>
        <w:t>Síofra O</w:t>
      </w:r>
      <w:r w:rsidRPr="000C0E58" w:rsidR="000C0E58">
        <w:rPr>
          <w:lang w:val="en-GB"/>
        </w:rPr>
        <w:t>’</w:t>
      </w:r>
      <w:r w:rsidRPr="000C0E58">
        <w:rPr>
          <w:lang w:val="en-GB"/>
        </w:rPr>
        <w:t>Leary,</w:t>
      </w:r>
      <w:r w:rsidRPr="000C0E58">
        <w:rPr>
          <w:i/>
          <w:lang w:val="en-GB"/>
        </w:rPr>
        <w:t xml:space="preserve"> judges,</w:t>
      </w:r>
      <w:r w:rsidRPr="000C0E58">
        <w:rPr>
          <w:i/>
          <w:lang w:val="en-GB"/>
        </w:rPr>
        <w:br/>
      </w:r>
      <w:r w:rsidRPr="000C0E58">
        <w:rPr>
          <w:lang w:val="en-GB"/>
        </w:rPr>
        <w:t>and S</w:t>
      </w:r>
      <w:r w:rsidRPr="000C0E58">
        <w:rPr>
          <w:rFonts w:cstheme="minorHAnsi"/>
          <w:lang w:val="en-GB"/>
        </w:rPr>
        <w:t>ø</w:t>
      </w:r>
      <w:r w:rsidRPr="000C0E58">
        <w:rPr>
          <w:lang w:val="en-GB"/>
        </w:rPr>
        <w:t xml:space="preserve">ren Prebensen, </w:t>
      </w:r>
      <w:r w:rsidRPr="000C0E58">
        <w:rPr>
          <w:i/>
          <w:lang w:val="en-GB"/>
        </w:rPr>
        <w:t>Deputy Grand Chamber</w:t>
      </w:r>
      <w:r w:rsidRPr="000C0E58">
        <w:rPr>
          <w:lang w:val="en-GB"/>
        </w:rPr>
        <w:t xml:space="preserve"> </w:t>
      </w:r>
      <w:r w:rsidRPr="000C0E58">
        <w:rPr>
          <w:i/>
          <w:iCs/>
          <w:lang w:val="en-GB"/>
        </w:rPr>
        <w:t>Registrar</w:t>
      </w:r>
      <w:r w:rsidRPr="000C0E58">
        <w:rPr>
          <w:i/>
          <w:lang w:val="en-GB"/>
        </w:rPr>
        <w:t>,</w:t>
      </w:r>
    </w:p>
    <w:p w:rsidRPr="000C0E58" w:rsidR="00C1646D" w:rsidP="000C0E58">
      <w:pPr>
        <w:pStyle w:val="ECHRPara"/>
        <w:rPr>
          <w:lang w:val="en-GB"/>
        </w:rPr>
      </w:pPr>
      <w:r w:rsidRPr="000C0E58">
        <w:rPr>
          <w:lang w:val="en-GB"/>
        </w:rPr>
        <w:t xml:space="preserve">Having deliberated in private on 16 December 2015 and </w:t>
      </w:r>
      <w:r w:rsidRPr="000C0E58" w:rsidR="007266A9">
        <w:rPr>
          <w:lang w:val="en-GB"/>
        </w:rPr>
        <w:t>10 October</w:t>
      </w:r>
      <w:r w:rsidRPr="000C0E58" w:rsidR="006E3FA4">
        <w:rPr>
          <w:lang w:val="en-GB"/>
        </w:rPr>
        <w:t xml:space="preserve"> 2016</w:t>
      </w:r>
      <w:r w:rsidRPr="000C0E58">
        <w:rPr>
          <w:lang w:val="en-GB"/>
        </w:rPr>
        <w:t>,</w:t>
      </w:r>
    </w:p>
    <w:p w:rsidRPr="000C0E58" w:rsidR="00C1646D" w:rsidP="000C0E58">
      <w:pPr>
        <w:pStyle w:val="ECHRPara"/>
        <w:rPr>
          <w:lang w:val="en-GB"/>
        </w:rPr>
      </w:pPr>
      <w:r w:rsidRPr="000C0E58">
        <w:rPr>
          <w:lang w:val="en-GB"/>
        </w:rPr>
        <w:t>Delivers the following judgment, which was adopted on the last-mentioned date:</w:t>
      </w:r>
    </w:p>
    <w:p w:rsidRPr="000C0E58" w:rsidR="00C1646D" w:rsidP="000C0E58">
      <w:pPr>
        <w:pStyle w:val="ECHRTitle1"/>
        <w:rPr>
          <w:lang w:val="en-GB"/>
        </w:rPr>
      </w:pPr>
      <w:r w:rsidRPr="000C0E58">
        <w:rPr>
          <w:lang w:val="en-GB"/>
        </w:rPr>
        <w:t>PROCEDURE</w:t>
      </w:r>
    </w:p>
    <w:p w:rsidRPr="000C0E58" w:rsidR="00C1646D"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1</w:t>
      </w:r>
      <w:r w:rsidRPr="000C0E58">
        <w:rPr>
          <w:lang w:val="en-GB"/>
        </w:rPr>
        <w:fldChar w:fldCharType="end"/>
      </w:r>
      <w:r w:rsidRPr="000C0E58">
        <w:rPr>
          <w:lang w:val="en-GB"/>
        </w:rPr>
        <w:t>.  The case originated in an application (no. 53080/13) against Hungary lodged with the Court under Article 34 of the Convention for the Protection of Human Rights and Fundamental Freedoms (“the Convention”) by a Hungarian national, Ms Béláné Nagy (“the applicant”), on 12 August 2013.</w:t>
      </w:r>
    </w:p>
    <w:p w:rsidRPr="000C0E58" w:rsidR="00C1646D"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2</w:t>
      </w:r>
      <w:r w:rsidRPr="000C0E58">
        <w:rPr>
          <w:lang w:val="en-GB"/>
        </w:rPr>
        <w:fldChar w:fldCharType="end"/>
      </w:r>
      <w:r w:rsidRPr="000C0E58">
        <w:rPr>
          <w:lang w:val="en-GB"/>
        </w:rPr>
        <w:t xml:space="preserve">.  The applicant, who had been granted legal aid, was represented by Mr A. Cech, a lawyer practising in Budapest. The Hungarian Government (“the Government”) were represented by Mr Z. Tallódi, </w:t>
      </w:r>
      <w:r w:rsidRPr="000C0E58" w:rsidR="006E3FA4">
        <w:rPr>
          <w:lang w:val="en-GB"/>
        </w:rPr>
        <w:t xml:space="preserve">Agent, </w:t>
      </w:r>
      <w:r w:rsidRPr="000C0E58">
        <w:rPr>
          <w:lang w:val="en-GB"/>
        </w:rPr>
        <w:t>Ministry</w:t>
      </w:r>
      <w:r w:rsidRPr="000C0E58">
        <w:rPr>
          <w:lang w:val="en-GB"/>
        </w:rPr>
        <w:t xml:space="preserve"> of Justice.</w:t>
      </w:r>
    </w:p>
    <w:p w:rsidRPr="000C0E58" w:rsidR="00C1646D"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3</w:t>
      </w:r>
      <w:r w:rsidRPr="000C0E58">
        <w:rPr>
          <w:lang w:val="en-GB"/>
        </w:rPr>
        <w:fldChar w:fldCharType="end"/>
      </w:r>
      <w:r w:rsidRPr="000C0E58">
        <w:rPr>
          <w:lang w:val="en-GB"/>
        </w:rPr>
        <w:t xml:space="preserve">.  The applicant alleged that she had lost her </w:t>
      </w:r>
      <w:r w:rsidRPr="000C0E58" w:rsidR="001F4943">
        <w:rPr>
          <w:lang w:val="en-GB"/>
        </w:rPr>
        <w:t>means of support</w:t>
      </w:r>
      <w:r w:rsidRPr="000C0E58">
        <w:rPr>
          <w:lang w:val="en-GB"/>
        </w:rPr>
        <w:t xml:space="preserve">, guaranteed </w:t>
      </w:r>
      <w:r w:rsidRPr="000C0E58" w:rsidR="00431DB2">
        <w:rPr>
          <w:lang w:val="en-GB"/>
        </w:rPr>
        <w:t xml:space="preserve">only </w:t>
      </w:r>
      <w:r w:rsidRPr="000C0E58">
        <w:rPr>
          <w:lang w:val="en-GB"/>
        </w:rPr>
        <w:t xml:space="preserve">by a disability allowance, as a result of </w:t>
      </w:r>
      <w:r w:rsidRPr="000C0E58" w:rsidR="00431DB2">
        <w:rPr>
          <w:lang w:val="en-GB"/>
        </w:rPr>
        <w:t>legisl</w:t>
      </w:r>
      <w:r w:rsidRPr="000C0E58" w:rsidR="001F4943">
        <w:rPr>
          <w:lang w:val="en-GB"/>
        </w:rPr>
        <w:t xml:space="preserve">ative </w:t>
      </w:r>
      <w:r w:rsidRPr="000C0E58">
        <w:rPr>
          <w:lang w:val="en-GB"/>
        </w:rPr>
        <w:t xml:space="preserve">changes applied by the authorities without equity, </w:t>
      </w:r>
      <w:r w:rsidRPr="000C0E58" w:rsidR="001F4943">
        <w:rPr>
          <w:lang w:val="en-GB"/>
        </w:rPr>
        <w:t xml:space="preserve">in spite of the fact that there had been no improvement in </w:t>
      </w:r>
      <w:r w:rsidRPr="000C0E58">
        <w:rPr>
          <w:lang w:val="en-GB"/>
        </w:rPr>
        <w:t>her health.</w:t>
      </w:r>
    </w:p>
    <w:p w:rsidRPr="000C0E58" w:rsidR="00C1646D" w:rsidP="000C0E58">
      <w:pPr>
        <w:pStyle w:val="ECHRPara"/>
        <w:rPr>
          <w:rStyle w:val="JuParaCa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4</w:t>
      </w:r>
      <w:r w:rsidRPr="000C0E58">
        <w:rPr>
          <w:lang w:val="en-GB"/>
        </w:rPr>
        <w:fldChar w:fldCharType="end"/>
      </w:r>
      <w:r w:rsidRPr="000C0E58">
        <w:rPr>
          <w:lang w:val="en-GB"/>
        </w:rPr>
        <w:t xml:space="preserve">.  The application was allocated to the Second Section of the Court (Rule 52 § 1 of the Rules of Court). The Government were given notice of </w:t>
      </w:r>
      <w:r w:rsidRPr="000C0E58">
        <w:rPr>
          <w:lang w:val="en-GB"/>
        </w:rPr>
        <w:t xml:space="preserve">the application on 21 January 2014. </w:t>
      </w:r>
      <w:r w:rsidRPr="000C0E58">
        <w:rPr>
          <w:rStyle w:val="JuParaCar"/>
          <w:lang w:val="en-GB"/>
        </w:rPr>
        <w:t>On 10</w:t>
      </w:r>
      <w:r w:rsidRPr="000C0E58">
        <w:rPr>
          <w:lang w:val="en-GB"/>
        </w:rPr>
        <w:t xml:space="preserve"> February 2015 </w:t>
      </w:r>
      <w:r w:rsidRPr="000C0E58">
        <w:rPr>
          <w:rStyle w:val="JuParaCar"/>
          <w:lang w:val="en-GB"/>
        </w:rPr>
        <w:t xml:space="preserve">a Chamber composed of </w:t>
      </w:r>
      <w:r w:rsidRPr="000C0E58">
        <w:rPr>
          <w:lang w:val="en-GB"/>
        </w:rPr>
        <w:t>Işıl Karakaş, President, András Sajó, Nebojša Vučinić, Helen Keller, Egidijus Kūris, Robert Spano, Jon Fridrik Kjølbro, judges, and also of Stanley Naismith, Section Registrar, delivered its judgment. It declared the application admissible and held, by fou</w:t>
      </w:r>
      <w:r w:rsidRPr="000C0E58" w:rsidR="006E3FA4">
        <w:rPr>
          <w:lang w:val="en-GB"/>
        </w:rPr>
        <w:t>r votes to three, that there had</w:t>
      </w:r>
      <w:r w:rsidRPr="000C0E58">
        <w:rPr>
          <w:lang w:val="en-GB"/>
        </w:rPr>
        <w:t xml:space="preserve"> been a violation of Article 1 of Protocol No. 1</w:t>
      </w:r>
      <w:r w:rsidRPr="000C0E58" w:rsidR="00BB7D91">
        <w:rPr>
          <w:lang w:val="en-GB"/>
        </w:rPr>
        <w:t xml:space="preserve"> to the Convention</w:t>
      </w:r>
      <w:r w:rsidRPr="000C0E58">
        <w:rPr>
          <w:lang w:val="en-GB"/>
        </w:rPr>
        <w:t>. The joint dissenting opinion of Judges Keller, Spano and Kjølbro was annexed to the judgment.</w:t>
      </w:r>
    </w:p>
    <w:p w:rsidRPr="000C0E58" w:rsidR="00E80B88"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5</w:t>
      </w:r>
      <w:r w:rsidRPr="000C0E58">
        <w:rPr>
          <w:lang w:val="en-GB"/>
        </w:rPr>
        <w:fldChar w:fldCharType="end"/>
      </w:r>
      <w:r w:rsidRPr="000C0E58">
        <w:rPr>
          <w:lang w:val="en-GB"/>
        </w:rPr>
        <w:t>.  On 24 April 2015 the Government requested that the case be referred to the Grand Chamber in accordance with Article 43 of the Convention</w:t>
      </w:r>
      <w:r w:rsidRPr="000C0E58" w:rsidR="006E3FA4">
        <w:rPr>
          <w:lang w:val="en-GB"/>
        </w:rPr>
        <w:t>. T</w:t>
      </w:r>
      <w:r w:rsidRPr="000C0E58">
        <w:rPr>
          <w:lang w:val="en-GB"/>
        </w:rPr>
        <w:t>he panel of the Grand Chamber accepted the request on 1 June 2015.</w:t>
      </w:r>
    </w:p>
    <w:p w:rsidRPr="000C0E58" w:rsidR="00C1646D"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6</w:t>
      </w:r>
      <w:r w:rsidRPr="000C0E58">
        <w:rPr>
          <w:lang w:val="en-GB"/>
        </w:rPr>
        <w:fldChar w:fldCharType="end"/>
      </w:r>
      <w:r w:rsidRPr="000C0E58">
        <w:rPr>
          <w:lang w:val="en-GB"/>
        </w:rPr>
        <w:t>.  The composition of the Grand Chamber was determined according to the provisions of Article 26 §§ 4 and 5 of the Convention and Rule 24 of the Rules of Court.</w:t>
      </w:r>
    </w:p>
    <w:p w:rsidRPr="000C0E58" w:rsidR="00C1646D"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7</w:t>
      </w:r>
      <w:r w:rsidRPr="000C0E58">
        <w:rPr>
          <w:lang w:val="en-GB"/>
        </w:rPr>
        <w:fldChar w:fldCharType="end"/>
      </w:r>
      <w:r w:rsidRPr="000C0E58">
        <w:rPr>
          <w:lang w:val="en-GB"/>
        </w:rPr>
        <w:t>.  The applicant and the Government each filed a memorial (Rule</w:t>
      </w:r>
      <w:r w:rsidRPr="000C0E58" w:rsidR="00BB7D91">
        <w:rPr>
          <w:lang w:val="en-GB"/>
        </w:rPr>
        <w:t> </w:t>
      </w:r>
      <w:r w:rsidRPr="000C0E58">
        <w:rPr>
          <w:lang w:val="en-GB"/>
        </w:rPr>
        <w:t>59</w:t>
      </w:r>
      <w:r w:rsidRPr="000C0E58" w:rsidR="00BB7D91">
        <w:rPr>
          <w:lang w:val="en-GB"/>
        </w:rPr>
        <w:t> </w:t>
      </w:r>
      <w:r w:rsidRPr="000C0E58">
        <w:rPr>
          <w:lang w:val="en-GB"/>
        </w:rPr>
        <w:t>§</w:t>
      </w:r>
      <w:r w:rsidRPr="000C0E58" w:rsidR="006E3FA4">
        <w:rPr>
          <w:lang w:val="en-GB"/>
        </w:rPr>
        <w:t> </w:t>
      </w:r>
      <w:r w:rsidRPr="000C0E58">
        <w:rPr>
          <w:lang w:val="en-GB"/>
        </w:rPr>
        <w:t>1) on the merits. In addition, third-party comments were received from the European Trade Union Confederation, which had been granted leave by the President of the Grand Chamber to intervene in the written procedure (Article 36 § 2 of the Convention and Rule 44 § 3).</w:t>
      </w:r>
    </w:p>
    <w:p w:rsidRPr="000C0E58" w:rsidR="00C1646D"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8</w:t>
      </w:r>
      <w:r w:rsidRPr="000C0E58">
        <w:rPr>
          <w:lang w:val="en-GB"/>
        </w:rPr>
        <w:fldChar w:fldCharType="end"/>
      </w:r>
      <w:r w:rsidRPr="000C0E58">
        <w:rPr>
          <w:lang w:val="en-GB"/>
        </w:rPr>
        <w:t>.  A hearing took place in public in the Human Rights Building, Strasbourg, on 16 December 2015 (Rule 59 § 3).</w:t>
      </w:r>
    </w:p>
    <w:p w:rsidRPr="000C0E58" w:rsidR="00C1646D" w:rsidP="000C0E58">
      <w:pPr>
        <w:pStyle w:val="ECHRPara"/>
        <w:rPr>
          <w:lang w:val="en-GB"/>
        </w:rPr>
      </w:pPr>
      <w:r w:rsidRPr="000C0E58">
        <w:rPr>
          <w:lang w:val="en-GB"/>
        </w:rPr>
        <w:t>There appeared before the Court:</w:t>
      </w:r>
    </w:p>
    <w:p w:rsidRPr="000C0E58" w:rsidR="00C1646D" w:rsidP="000C0E58">
      <w:pPr>
        <w:pStyle w:val="JuCourt"/>
        <w:rPr>
          <w:lang w:val="en-GB"/>
        </w:rPr>
      </w:pPr>
      <w:r w:rsidRPr="000C0E58">
        <w:rPr>
          <w:lang w:val="en-GB"/>
        </w:rPr>
        <w:t>(a)  </w:t>
      </w:r>
      <w:r w:rsidRPr="000C0E58">
        <w:rPr>
          <w:i/>
          <w:lang w:val="en-GB"/>
        </w:rPr>
        <w:t>for</w:t>
      </w:r>
      <w:r w:rsidRPr="000C0E58">
        <w:rPr>
          <w:i/>
          <w:lang w:val="en-GB"/>
        </w:rPr>
        <w:t xml:space="preserve"> the Government</w:t>
      </w:r>
      <w:r w:rsidRPr="000C0E58">
        <w:rPr>
          <w:lang w:val="en-GB"/>
        </w:rPr>
        <w:br/>
        <w:t>Mr</w:t>
      </w:r>
      <w:r w:rsidRPr="000C0E58">
        <w:rPr>
          <w:lang w:val="en-GB"/>
        </w:rPr>
        <w:tab/>
        <w:t xml:space="preserve">Z. </w:t>
      </w:r>
      <w:r w:rsidRPr="000C0E58">
        <w:rPr>
          <w:rStyle w:val="JuNames0"/>
          <w:lang w:val="en-GB"/>
        </w:rPr>
        <w:t>Tallódi</w:t>
      </w:r>
      <w:r w:rsidRPr="000C0E58">
        <w:rPr>
          <w:lang w:val="en-GB"/>
        </w:rPr>
        <w:t>,</w:t>
      </w:r>
      <w:r w:rsidRPr="000C0E58">
        <w:rPr>
          <w:lang w:val="en-GB"/>
        </w:rPr>
        <w:tab/>
      </w:r>
      <w:r w:rsidRPr="000C0E58">
        <w:rPr>
          <w:i/>
          <w:lang w:val="en-GB"/>
        </w:rPr>
        <w:t>Agent</w:t>
      </w:r>
      <w:r w:rsidRPr="000C0E58">
        <w:rPr>
          <w:lang w:val="en-GB"/>
        </w:rPr>
        <w:t>,</w:t>
      </w:r>
      <w:r w:rsidRPr="000C0E58">
        <w:rPr>
          <w:lang w:val="en-GB"/>
        </w:rPr>
        <w:br/>
        <w:t>Ms</w:t>
      </w:r>
      <w:r w:rsidRPr="000C0E58">
        <w:rPr>
          <w:lang w:val="en-GB"/>
        </w:rPr>
        <w:tab/>
        <w:t xml:space="preserve">M. </w:t>
      </w:r>
      <w:r w:rsidRPr="000C0E58">
        <w:rPr>
          <w:rStyle w:val="JuNames0"/>
          <w:lang w:val="en-GB"/>
        </w:rPr>
        <w:t>Lévai</w:t>
      </w:r>
      <w:r w:rsidRPr="000C0E58">
        <w:rPr>
          <w:lang w:val="en-GB"/>
        </w:rPr>
        <w:t>,</w:t>
      </w:r>
      <w:r w:rsidRPr="000C0E58">
        <w:rPr>
          <w:lang w:val="en-GB"/>
        </w:rPr>
        <w:tab/>
      </w:r>
      <w:r w:rsidRPr="000C0E58">
        <w:rPr>
          <w:i/>
          <w:lang w:val="en-GB"/>
        </w:rPr>
        <w:t>Adviser</w:t>
      </w:r>
      <w:r w:rsidRPr="000C0E58">
        <w:rPr>
          <w:lang w:val="en-GB"/>
        </w:rPr>
        <w:t>;</w:t>
      </w:r>
    </w:p>
    <w:p w:rsidRPr="000C0E58" w:rsidR="00C1646D" w:rsidP="000C0E58">
      <w:pPr>
        <w:pStyle w:val="JuCourt"/>
        <w:rPr>
          <w:lang w:val="en-GB"/>
        </w:rPr>
      </w:pPr>
      <w:r w:rsidRPr="000C0E58">
        <w:rPr>
          <w:lang w:val="en-GB"/>
        </w:rPr>
        <w:t>(b)  </w:t>
      </w:r>
      <w:r w:rsidRPr="000C0E58">
        <w:rPr>
          <w:lang w:val="en-GB"/>
        </w:rPr>
        <w:t>for</w:t>
      </w:r>
      <w:r w:rsidRPr="000C0E58">
        <w:rPr>
          <w:lang w:val="en-GB"/>
        </w:rPr>
        <w:t xml:space="preserve"> the applicant</w:t>
      </w:r>
      <w:r w:rsidRPr="000C0E58">
        <w:rPr>
          <w:lang w:val="en-GB"/>
        </w:rPr>
        <w:br/>
        <w:t>Mr</w:t>
      </w:r>
      <w:r w:rsidRPr="000C0E58">
        <w:rPr>
          <w:lang w:val="en-GB"/>
        </w:rPr>
        <w:tab/>
      </w:r>
      <w:r w:rsidRPr="000C0E58">
        <w:rPr>
          <w:rStyle w:val="JuNames0"/>
          <w:lang w:val="en-GB"/>
        </w:rPr>
        <w:t>A. Cech</w:t>
      </w:r>
      <w:r w:rsidRPr="000C0E58">
        <w:rPr>
          <w:lang w:val="en-GB"/>
        </w:rPr>
        <w:t>,</w:t>
      </w:r>
      <w:r w:rsidRPr="000C0E58">
        <w:rPr>
          <w:lang w:val="en-GB"/>
        </w:rPr>
        <w:tab/>
      </w:r>
      <w:r w:rsidRPr="000C0E58">
        <w:rPr>
          <w:i/>
          <w:lang w:val="en-GB"/>
        </w:rPr>
        <w:t>Counsel</w:t>
      </w:r>
      <w:r w:rsidRPr="000C0E58">
        <w:rPr>
          <w:lang w:val="en-GB"/>
        </w:rPr>
        <w:t>,</w:t>
      </w:r>
      <w:r w:rsidRPr="000C0E58">
        <w:rPr>
          <w:lang w:val="en-GB"/>
        </w:rPr>
        <w:br/>
        <w:t>Mr</w:t>
      </w:r>
      <w:r w:rsidRPr="000C0E58">
        <w:rPr>
          <w:lang w:val="en-GB"/>
        </w:rPr>
        <w:tab/>
      </w:r>
      <w:r w:rsidRPr="000C0E58">
        <w:rPr>
          <w:rStyle w:val="JuNames0"/>
          <w:lang w:val="en-GB"/>
        </w:rPr>
        <w:t>E. Látrányi</w:t>
      </w:r>
      <w:r w:rsidRPr="000C0E58" w:rsidR="006E3FA4">
        <w:rPr>
          <w:lang w:val="en-GB"/>
        </w:rPr>
        <w:t>,</w:t>
      </w:r>
      <w:r w:rsidRPr="000C0E58">
        <w:rPr>
          <w:lang w:val="en-GB"/>
        </w:rPr>
        <w:br/>
        <w:t>Mr</w:t>
      </w:r>
      <w:r w:rsidRPr="000C0E58">
        <w:rPr>
          <w:lang w:val="en-GB"/>
        </w:rPr>
        <w:tab/>
      </w:r>
      <w:r w:rsidRPr="000C0E58">
        <w:rPr>
          <w:rStyle w:val="JuNames0"/>
          <w:lang w:val="en-GB"/>
        </w:rPr>
        <w:t>B. Várhalmy</w:t>
      </w:r>
      <w:r w:rsidRPr="000C0E58">
        <w:rPr>
          <w:lang w:val="en-GB"/>
        </w:rPr>
        <w:t>,</w:t>
      </w:r>
      <w:r w:rsidRPr="000C0E58">
        <w:rPr>
          <w:lang w:val="en-GB"/>
        </w:rPr>
        <w:tab/>
      </w:r>
      <w:r w:rsidRPr="000C0E58">
        <w:rPr>
          <w:i/>
          <w:lang w:val="en-GB"/>
        </w:rPr>
        <w:t>Advisers</w:t>
      </w:r>
      <w:r w:rsidRPr="000C0E58">
        <w:rPr>
          <w:lang w:val="en-GB"/>
        </w:rPr>
        <w:t>.</w:t>
      </w:r>
    </w:p>
    <w:p w:rsidRPr="000C0E58" w:rsidR="00C1646D" w:rsidP="000C0E58">
      <w:pPr>
        <w:pStyle w:val="ECHRPara"/>
        <w:rPr>
          <w:lang w:val="en-GB"/>
        </w:rPr>
      </w:pPr>
    </w:p>
    <w:p w:rsidRPr="000C0E58" w:rsidR="00C1646D" w:rsidP="000C0E58">
      <w:pPr>
        <w:pStyle w:val="ECHRPara"/>
        <w:rPr>
          <w:lang w:val="en-GB"/>
        </w:rPr>
      </w:pPr>
      <w:r w:rsidRPr="000C0E58">
        <w:rPr>
          <w:lang w:val="en-GB"/>
        </w:rPr>
        <w:t>The Court heard addresses by M</w:t>
      </w:r>
      <w:r w:rsidRPr="000C0E58" w:rsidR="001F4943">
        <w:rPr>
          <w:lang w:val="en-GB"/>
        </w:rPr>
        <w:t xml:space="preserve">r </w:t>
      </w:r>
      <w:r w:rsidRPr="000C0E58">
        <w:rPr>
          <w:lang w:val="en-GB"/>
        </w:rPr>
        <w:t xml:space="preserve">Cech and </w:t>
      </w:r>
      <w:r w:rsidRPr="000C0E58" w:rsidR="001F4943">
        <w:rPr>
          <w:lang w:val="en-GB"/>
        </w:rPr>
        <w:t xml:space="preserve">Mr </w:t>
      </w:r>
      <w:r w:rsidRPr="000C0E58">
        <w:rPr>
          <w:lang w:val="en-GB"/>
        </w:rPr>
        <w:t xml:space="preserve">Tallódi, and replies </w:t>
      </w:r>
      <w:r w:rsidRPr="000C0E58" w:rsidR="001F4943">
        <w:rPr>
          <w:lang w:val="en-GB"/>
        </w:rPr>
        <w:t xml:space="preserve">by them and by Ms Lévai </w:t>
      </w:r>
      <w:r w:rsidRPr="000C0E58">
        <w:rPr>
          <w:lang w:val="en-GB"/>
        </w:rPr>
        <w:t xml:space="preserve">to questions put by </w:t>
      </w:r>
      <w:r w:rsidRPr="000C0E58" w:rsidR="001F4943">
        <w:rPr>
          <w:lang w:val="en-GB"/>
        </w:rPr>
        <w:t xml:space="preserve">the </w:t>
      </w:r>
      <w:r w:rsidRPr="000C0E58">
        <w:rPr>
          <w:lang w:val="en-GB"/>
        </w:rPr>
        <w:t>judges.</w:t>
      </w:r>
    </w:p>
    <w:p w:rsidRPr="000C0E58" w:rsidR="00C1646D" w:rsidP="000C0E58">
      <w:pPr>
        <w:pStyle w:val="ECHRTitle1"/>
        <w:rPr>
          <w:lang w:val="en-GB"/>
        </w:rPr>
      </w:pPr>
      <w:r w:rsidRPr="000C0E58">
        <w:rPr>
          <w:lang w:val="en-GB"/>
        </w:rPr>
        <w:t>THE FACTS</w:t>
      </w:r>
    </w:p>
    <w:p w:rsidRPr="000C0E58" w:rsidR="00C1646D" w:rsidP="000C0E58">
      <w:pPr>
        <w:pStyle w:val="ECHRHeading1"/>
        <w:rPr>
          <w:lang w:val="en-GB"/>
        </w:rPr>
      </w:pPr>
      <w:r w:rsidRPr="000C0E58">
        <w:rPr>
          <w:lang w:val="en-GB"/>
        </w:rPr>
        <w:t>I.  THE CIRCUMSTANCES OF THE CASE</w:t>
      </w:r>
    </w:p>
    <w:p w:rsidRPr="000C0E58" w:rsidR="00C1646D"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9</w:t>
      </w:r>
      <w:r w:rsidRPr="000C0E58">
        <w:rPr>
          <w:lang w:val="en-GB"/>
        </w:rPr>
        <w:fldChar w:fldCharType="end"/>
      </w:r>
      <w:r w:rsidRPr="000C0E58">
        <w:rPr>
          <w:lang w:val="en-GB"/>
        </w:rPr>
        <w:t>.  The applicant was born in 1959 and lives in Baktalórántháza.</w:t>
      </w:r>
    </w:p>
    <w:p w:rsidRPr="000C0E58" w:rsidR="00C1646D" w:rsidP="000C0E58">
      <w:pPr>
        <w:pStyle w:val="ECHRPara"/>
        <w:rPr>
          <w:rFonts w:ascii="Times New Roman" w:hAnsi="Times New Roman" w:cs="Times New Roman"/>
          <w:szCs w:val="24"/>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10</w:t>
      </w:r>
      <w:r w:rsidRPr="000C0E58">
        <w:rPr>
          <w:lang w:val="en-GB"/>
        </w:rPr>
        <w:fldChar w:fldCharType="end"/>
      </w:r>
      <w:r w:rsidRPr="000C0E58">
        <w:rPr>
          <w:lang w:val="en-GB"/>
        </w:rPr>
        <w:t>.  Between</w:t>
      </w:r>
      <w:r w:rsidRPr="000C0E58">
        <w:rPr>
          <w:rFonts w:ascii="Times New Roman" w:hAnsi="Times New Roman" w:cs="Times New Roman"/>
          <w:szCs w:val="24"/>
          <w:lang w:val="en-GB"/>
        </w:rPr>
        <w:t xml:space="preserve"> 1 May 1975 and 14 July 1997 the applicant was employed and made the statutory contributions to the social</w:t>
      </w:r>
      <w:r w:rsidRPr="000C0E58" w:rsidR="001F4943">
        <w:rPr>
          <w:rFonts w:ascii="Times New Roman" w:hAnsi="Times New Roman" w:cs="Times New Roman"/>
          <w:szCs w:val="24"/>
          <w:lang w:val="en-GB"/>
        </w:rPr>
        <w:t>-</w:t>
      </w:r>
      <w:r w:rsidRPr="000C0E58">
        <w:rPr>
          <w:rFonts w:ascii="Times New Roman" w:hAnsi="Times New Roman" w:cs="Times New Roman"/>
          <w:szCs w:val="24"/>
          <w:lang w:val="en-GB"/>
        </w:rPr>
        <w:t xml:space="preserve">security scheme. </w:t>
      </w:r>
      <w:r w:rsidRPr="000C0E58">
        <w:rPr>
          <w:rFonts w:ascii="Times New Roman" w:hAnsi="Times New Roman" w:cs="Times New Roman"/>
          <w:szCs w:val="24"/>
          <w:lang w:val="en-GB"/>
        </w:rPr>
        <w:t xml:space="preserve">Subsequently, she was in receipt of unemployment </w:t>
      </w:r>
      <w:r w:rsidRPr="000C0E58" w:rsidR="006D4ADC">
        <w:rPr>
          <w:rFonts w:ascii="Times New Roman" w:hAnsi="Times New Roman" w:cs="Times New Roman"/>
          <w:szCs w:val="24"/>
          <w:lang w:val="en-GB"/>
        </w:rPr>
        <w:t xml:space="preserve">benefit </w:t>
      </w:r>
      <w:r w:rsidRPr="000C0E58">
        <w:rPr>
          <w:rFonts w:ascii="Times New Roman" w:hAnsi="Times New Roman" w:cs="Times New Roman"/>
          <w:szCs w:val="24"/>
          <w:lang w:val="en-GB"/>
        </w:rPr>
        <w:t>from 15</w:t>
      </w:r>
      <w:r w:rsidRPr="000C0E58" w:rsidR="006D4ADC">
        <w:rPr>
          <w:rFonts w:ascii="Times New Roman" w:hAnsi="Times New Roman" w:cs="Times New Roman"/>
          <w:szCs w:val="24"/>
          <w:lang w:val="en-GB"/>
        </w:rPr>
        <w:t> </w:t>
      </w:r>
      <w:r w:rsidRPr="000C0E58">
        <w:rPr>
          <w:rFonts w:ascii="Times New Roman" w:hAnsi="Times New Roman" w:cs="Times New Roman"/>
          <w:szCs w:val="24"/>
          <w:lang w:val="en-GB"/>
        </w:rPr>
        <w:t>September 1997 until 9 September 1998.</w:t>
      </w:r>
    </w:p>
    <w:p w:rsidRPr="000C0E58" w:rsidR="00C1646D"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11</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xml:space="preserve">.  In </w:t>
      </w:r>
      <w:r w:rsidRPr="000C0E58" w:rsidR="007F3D62">
        <w:rPr>
          <w:rFonts w:ascii="Times New Roman" w:hAnsi="Times New Roman" w:cs="Times New Roman"/>
          <w:szCs w:val="24"/>
          <w:lang w:val="en-GB"/>
        </w:rPr>
        <w:t xml:space="preserve">response to </w:t>
      </w:r>
      <w:r w:rsidRPr="000C0E58">
        <w:rPr>
          <w:rFonts w:ascii="Times New Roman" w:hAnsi="Times New Roman" w:cs="Times New Roman"/>
          <w:szCs w:val="24"/>
          <w:lang w:val="en-GB"/>
        </w:rPr>
        <w:t xml:space="preserve">a request lodged on 16 October 2001, the applicant was granted a disability pension </w:t>
      </w:r>
      <w:r w:rsidRPr="000C0E58" w:rsidR="00DF422F">
        <w:rPr>
          <w:rFonts w:ascii="Times New Roman" w:hAnsi="Times New Roman" w:cs="Times New Roman"/>
          <w:szCs w:val="24"/>
          <w:lang w:val="en-GB"/>
        </w:rPr>
        <w:t>(</w:t>
      </w:r>
      <w:r w:rsidRPr="000C0E58" w:rsidR="00DF422F">
        <w:rPr>
          <w:i/>
          <w:lang w:val="en-GB"/>
        </w:rPr>
        <w:t>rokkantsági nyugdíj</w:t>
      </w:r>
      <w:r w:rsidRPr="000C0E58" w:rsidR="00DF422F">
        <w:rPr>
          <w:lang w:val="en-GB"/>
        </w:rPr>
        <w:t xml:space="preserve">) </w:t>
      </w:r>
      <w:r w:rsidRPr="000C0E58" w:rsidR="006D4ADC">
        <w:rPr>
          <w:rFonts w:ascii="Times New Roman" w:hAnsi="Times New Roman" w:cs="Times New Roman"/>
          <w:szCs w:val="24"/>
          <w:lang w:val="en-GB"/>
        </w:rPr>
        <w:t xml:space="preserve">later that same year on the basis of a retrospective finding </w:t>
      </w:r>
      <w:r w:rsidRPr="000C0E58">
        <w:rPr>
          <w:rFonts w:ascii="Times New Roman" w:hAnsi="Times New Roman" w:cs="Times New Roman"/>
          <w:szCs w:val="24"/>
          <w:lang w:val="en-GB"/>
        </w:rPr>
        <w:t>that she had lost</w:t>
      </w:r>
      <w:r w:rsidRPr="000C0E58" w:rsidR="006D4ADC">
        <w:rPr>
          <w:rFonts w:ascii="Times New Roman" w:hAnsi="Times New Roman" w:cs="Times New Roman"/>
          <w:szCs w:val="24"/>
          <w:lang w:val="en-GB"/>
        </w:rPr>
        <w:t>, as of 1 April 2001</w:t>
      </w:r>
      <w:r w:rsidRPr="000C0E58">
        <w:rPr>
          <w:rFonts w:ascii="Times New Roman" w:hAnsi="Times New Roman" w:cs="Times New Roman"/>
          <w:szCs w:val="24"/>
          <w:lang w:val="en-GB"/>
        </w:rPr>
        <w:t xml:space="preserve">, </w:t>
      </w:r>
      <w:r w:rsidRPr="000C0E58" w:rsidR="006D4ADC">
        <w:rPr>
          <w:rFonts w:ascii="Times New Roman" w:hAnsi="Times New Roman" w:cs="Times New Roman"/>
          <w:szCs w:val="24"/>
          <w:lang w:val="en-GB"/>
        </w:rPr>
        <w:t xml:space="preserve">67% of her capacity to work </w:t>
      </w:r>
      <w:r w:rsidRPr="000C0E58">
        <w:rPr>
          <w:rFonts w:ascii="Times New Roman" w:hAnsi="Times New Roman" w:cs="Times New Roman"/>
          <w:szCs w:val="24"/>
          <w:lang w:val="en-GB"/>
        </w:rPr>
        <w:t>on account of various ailments. This assessment was maintained in 2003, 2006 and 2007.</w:t>
      </w:r>
    </w:p>
    <w:p w:rsidRPr="000C0E58" w:rsidR="00C1646D"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12</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xml:space="preserve">.  As of 2008 the </w:t>
      </w:r>
      <w:r w:rsidRPr="000C0E58" w:rsidR="00D774BC">
        <w:rPr>
          <w:rFonts w:ascii="Times New Roman" w:hAnsi="Times New Roman" w:cs="Times New Roman"/>
          <w:szCs w:val="24"/>
          <w:lang w:val="en-GB"/>
        </w:rPr>
        <w:t xml:space="preserve">legislation on the </w:t>
      </w:r>
      <w:r w:rsidRPr="000C0E58">
        <w:rPr>
          <w:rFonts w:ascii="Times New Roman" w:hAnsi="Times New Roman" w:cs="Times New Roman"/>
          <w:szCs w:val="24"/>
          <w:lang w:val="en-GB"/>
        </w:rPr>
        <w:t>methodology used to assess health impairment in occupational context</w:t>
      </w:r>
      <w:r w:rsidRPr="000C0E58" w:rsidR="006D4ADC">
        <w:rPr>
          <w:rFonts w:ascii="Times New Roman" w:hAnsi="Times New Roman" w:cs="Times New Roman"/>
          <w:szCs w:val="24"/>
          <w:lang w:val="en-GB"/>
        </w:rPr>
        <w:t>s</w:t>
      </w:r>
      <w:r w:rsidRPr="000C0E58">
        <w:rPr>
          <w:rFonts w:ascii="Times New Roman" w:hAnsi="Times New Roman" w:cs="Times New Roman"/>
          <w:szCs w:val="24"/>
          <w:lang w:val="en-GB"/>
        </w:rPr>
        <w:t xml:space="preserve"> changed. In application of the new methodology, the applicant</w:t>
      </w:r>
      <w:r w:rsidRPr="000C0E58" w:rsidR="000C0E58">
        <w:rPr>
          <w:rFonts w:ascii="Times New Roman" w:hAnsi="Times New Roman" w:cs="Times New Roman"/>
          <w:szCs w:val="24"/>
          <w:lang w:val="en-GB"/>
        </w:rPr>
        <w:t>’</w:t>
      </w:r>
      <w:r w:rsidRPr="000C0E58">
        <w:rPr>
          <w:rFonts w:ascii="Times New Roman" w:hAnsi="Times New Roman" w:cs="Times New Roman"/>
          <w:szCs w:val="24"/>
          <w:lang w:val="en-GB"/>
        </w:rPr>
        <w:t xml:space="preserve">s disability was assessed </w:t>
      </w:r>
      <w:r w:rsidRPr="000C0E58" w:rsidR="006D4ADC">
        <w:rPr>
          <w:rFonts w:ascii="Times New Roman" w:hAnsi="Times New Roman" w:cs="Times New Roman"/>
          <w:szCs w:val="24"/>
          <w:lang w:val="en-GB"/>
        </w:rPr>
        <w:t xml:space="preserve">by an expert </w:t>
      </w:r>
      <w:r w:rsidRPr="000C0E58">
        <w:rPr>
          <w:rFonts w:ascii="Times New Roman" w:hAnsi="Times New Roman" w:cs="Times New Roman"/>
          <w:szCs w:val="24"/>
          <w:lang w:val="en-GB"/>
        </w:rPr>
        <w:t>at 40</w:t>
      </w:r>
      <w:r w:rsidRPr="000C0E58" w:rsidR="006D4ADC">
        <w:rPr>
          <w:rFonts w:ascii="Times New Roman" w:hAnsi="Times New Roman" w:cs="Times New Roman"/>
          <w:szCs w:val="24"/>
          <w:lang w:val="en-GB"/>
        </w:rPr>
        <w:t>%</w:t>
      </w:r>
      <w:r w:rsidRPr="000C0E58" w:rsidR="00FD709A">
        <w:rPr>
          <w:rFonts w:ascii="Times New Roman" w:hAnsi="Times New Roman" w:cs="Times New Roman"/>
          <w:szCs w:val="24"/>
          <w:lang w:val="en-GB"/>
        </w:rPr>
        <w:t xml:space="preserve"> on 1 </w:t>
      </w:r>
      <w:r w:rsidRPr="000C0E58">
        <w:rPr>
          <w:rFonts w:ascii="Times New Roman" w:hAnsi="Times New Roman" w:cs="Times New Roman"/>
          <w:szCs w:val="24"/>
          <w:lang w:val="en-GB"/>
        </w:rPr>
        <w:t xml:space="preserve">December 2009. Without envisaging </w:t>
      </w:r>
      <w:r w:rsidRPr="000C0E58" w:rsidR="006D4ADC">
        <w:rPr>
          <w:rFonts w:ascii="Times New Roman" w:hAnsi="Times New Roman" w:cs="Times New Roman"/>
          <w:szCs w:val="24"/>
          <w:lang w:val="en-GB"/>
        </w:rPr>
        <w:t xml:space="preserve">any procedure for </w:t>
      </w:r>
      <w:r w:rsidRPr="000C0E58">
        <w:rPr>
          <w:rFonts w:ascii="Times New Roman" w:hAnsi="Times New Roman" w:cs="Times New Roman"/>
          <w:szCs w:val="24"/>
          <w:lang w:val="en-GB"/>
        </w:rPr>
        <w:t>rehabilitation, the assessment panel scheduled the next check-up of her medical status for 2012.</w:t>
      </w:r>
    </w:p>
    <w:p w:rsidRPr="000C0E58" w:rsidR="00C1646D"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13</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xml:space="preserve">.  The Government submitted that, </w:t>
      </w:r>
      <w:r w:rsidRPr="000C0E58" w:rsidR="006D4ADC">
        <w:rPr>
          <w:rFonts w:ascii="Times New Roman" w:hAnsi="Times New Roman" w:cs="Times New Roman"/>
          <w:szCs w:val="24"/>
          <w:lang w:val="en-GB"/>
        </w:rPr>
        <w:t xml:space="preserve">under </w:t>
      </w:r>
      <w:r w:rsidRPr="000C0E58">
        <w:rPr>
          <w:rFonts w:ascii="Times New Roman" w:hAnsi="Times New Roman" w:cs="Times New Roman"/>
          <w:szCs w:val="24"/>
          <w:lang w:val="en-GB"/>
        </w:rPr>
        <w:t>the new methodology, the applicant</w:t>
      </w:r>
      <w:r w:rsidRPr="000C0E58" w:rsidR="000C0E58">
        <w:rPr>
          <w:rFonts w:ascii="Times New Roman" w:hAnsi="Times New Roman" w:cs="Times New Roman"/>
          <w:szCs w:val="24"/>
          <w:lang w:val="en-GB"/>
        </w:rPr>
        <w:t>’</w:t>
      </w:r>
      <w:r w:rsidRPr="000C0E58">
        <w:rPr>
          <w:rFonts w:ascii="Times New Roman" w:hAnsi="Times New Roman" w:cs="Times New Roman"/>
          <w:szCs w:val="24"/>
          <w:lang w:val="en-GB"/>
        </w:rPr>
        <w:t>s previous condition of 67</w:t>
      </w:r>
      <w:r w:rsidRPr="000C0E58" w:rsidR="006D4ADC">
        <w:rPr>
          <w:rFonts w:ascii="Times New Roman" w:hAnsi="Times New Roman" w:cs="Times New Roman"/>
          <w:szCs w:val="24"/>
          <w:lang w:val="en-GB"/>
        </w:rPr>
        <w:t>%</w:t>
      </w:r>
      <w:r w:rsidRPr="000C0E58">
        <w:rPr>
          <w:rFonts w:ascii="Times New Roman" w:hAnsi="Times New Roman" w:cs="Times New Roman"/>
          <w:szCs w:val="24"/>
          <w:lang w:val="en-GB"/>
        </w:rPr>
        <w:t xml:space="preserve"> loss of working capacity would have corresponded to 54</w:t>
      </w:r>
      <w:r w:rsidRPr="000C0E58" w:rsidR="006D4ADC">
        <w:rPr>
          <w:rFonts w:ascii="Times New Roman" w:hAnsi="Times New Roman" w:cs="Times New Roman"/>
          <w:szCs w:val="24"/>
          <w:lang w:val="en-GB"/>
        </w:rPr>
        <w:t>%</w:t>
      </w:r>
      <w:r w:rsidRPr="000C0E58">
        <w:rPr>
          <w:rFonts w:ascii="Times New Roman" w:hAnsi="Times New Roman" w:cs="Times New Roman"/>
          <w:szCs w:val="24"/>
          <w:lang w:val="en-GB"/>
        </w:rPr>
        <w:t xml:space="preserve"> overall health impairment. Since, however, she was found to have only 40</w:t>
      </w:r>
      <w:r w:rsidRPr="000C0E58" w:rsidR="006D4ADC">
        <w:rPr>
          <w:rFonts w:ascii="Times New Roman" w:hAnsi="Times New Roman" w:cs="Times New Roman"/>
          <w:szCs w:val="24"/>
          <w:lang w:val="en-GB"/>
        </w:rPr>
        <w:t>%</w:t>
      </w:r>
      <w:r w:rsidRPr="000C0E58">
        <w:rPr>
          <w:rFonts w:ascii="Times New Roman" w:hAnsi="Times New Roman" w:cs="Times New Roman"/>
          <w:szCs w:val="24"/>
          <w:lang w:val="en-GB"/>
        </w:rPr>
        <w:t xml:space="preserve"> health impairment, her condition </w:t>
      </w:r>
      <w:r w:rsidRPr="000C0E58" w:rsidR="007F3D62">
        <w:rPr>
          <w:rFonts w:ascii="Times New Roman" w:hAnsi="Times New Roman" w:cs="Times New Roman"/>
          <w:szCs w:val="24"/>
          <w:lang w:val="en-GB"/>
        </w:rPr>
        <w:t xml:space="preserve">had to </w:t>
      </w:r>
      <w:r w:rsidRPr="000C0E58">
        <w:rPr>
          <w:rFonts w:ascii="Times New Roman" w:hAnsi="Times New Roman" w:cs="Times New Roman"/>
          <w:szCs w:val="24"/>
          <w:lang w:val="en-GB"/>
        </w:rPr>
        <w:t>be deemed to have improved</w:t>
      </w:r>
      <w:r w:rsidRPr="000C0E58" w:rsidR="007F3D62">
        <w:rPr>
          <w:rFonts w:ascii="Times New Roman" w:hAnsi="Times New Roman" w:cs="Times New Roman"/>
          <w:szCs w:val="24"/>
          <w:lang w:val="en-GB"/>
        </w:rPr>
        <w:t xml:space="preserve"> in the intervening period</w:t>
      </w:r>
      <w:r w:rsidRPr="000C0E58">
        <w:rPr>
          <w:rFonts w:ascii="Times New Roman" w:hAnsi="Times New Roman" w:cs="Times New Roman"/>
          <w:szCs w:val="24"/>
          <w:lang w:val="en-GB"/>
        </w:rPr>
        <w:t>.</w:t>
      </w:r>
    </w:p>
    <w:p w:rsidRPr="000C0E58" w:rsidR="00C1646D"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t>The applicant submitted that the connection suggested by the Government between the scores of 67</w:t>
      </w:r>
      <w:r w:rsidRPr="000C0E58" w:rsidR="006D4ADC">
        <w:rPr>
          <w:rFonts w:ascii="Times New Roman" w:hAnsi="Times New Roman" w:cs="Times New Roman"/>
          <w:szCs w:val="24"/>
          <w:lang w:val="en-GB"/>
        </w:rPr>
        <w:t>%</w:t>
      </w:r>
      <w:r w:rsidRPr="000C0E58">
        <w:rPr>
          <w:rFonts w:ascii="Times New Roman" w:hAnsi="Times New Roman" w:cs="Times New Roman"/>
          <w:szCs w:val="24"/>
          <w:lang w:val="en-GB"/>
        </w:rPr>
        <w:t xml:space="preserve"> in the old</w:t>
      </w:r>
      <w:r w:rsidRPr="000C0E58" w:rsidR="006D4ADC">
        <w:rPr>
          <w:rFonts w:ascii="Times New Roman" w:hAnsi="Times New Roman" w:cs="Times New Roman"/>
          <w:szCs w:val="24"/>
          <w:lang w:val="en-GB"/>
        </w:rPr>
        <w:t xml:space="preserve"> system</w:t>
      </w:r>
      <w:r w:rsidRPr="000C0E58">
        <w:rPr>
          <w:rFonts w:ascii="Times New Roman" w:hAnsi="Times New Roman" w:cs="Times New Roman"/>
          <w:szCs w:val="24"/>
          <w:lang w:val="en-GB"/>
        </w:rPr>
        <w:t xml:space="preserve"> and 54</w:t>
      </w:r>
      <w:r w:rsidRPr="000C0E58" w:rsidR="006D4ADC">
        <w:rPr>
          <w:rFonts w:ascii="Times New Roman" w:hAnsi="Times New Roman" w:cs="Times New Roman"/>
          <w:szCs w:val="24"/>
          <w:lang w:val="en-GB"/>
        </w:rPr>
        <w:t xml:space="preserve">% </w:t>
      </w:r>
      <w:r w:rsidRPr="000C0E58">
        <w:rPr>
          <w:rFonts w:ascii="Times New Roman" w:hAnsi="Times New Roman" w:cs="Times New Roman"/>
          <w:szCs w:val="24"/>
          <w:lang w:val="en-GB"/>
        </w:rPr>
        <w:t>in the new system was not based on any legal text. In her submission, her condition had not improved</w:t>
      </w:r>
      <w:r w:rsidRPr="000C0E58" w:rsidR="006D4ADC">
        <w:rPr>
          <w:rFonts w:ascii="Times New Roman" w:hAnsi="Times New Roman" w:cs="Times New Roman"/>
          <w:szCs w:val="24"/>
          <w:lang w:val="en-GB"/>
        </w:rPr>
        <w:t xml:space="preserve"> at all</w:t>
      </w:r>
      <w:r w:rsidRPr="000C0E58">
        <w:rPr>
          <w:rFonts w:ascii="Times New Roman" w:hAnsi="Times New Roman" w:cs="Times New Roman"/>
          <w:szCs w:val="24"/>
          <w:lang w:val="en-GB"/>
        </w:rPr>
        <w:t xml:space="preserve">; the difference in scores was </w:t>
      </w:r>
      <w:r w:rsidRPr="000C0E58" w:rsidR="006D4ADC">
        <w:rPr>
          <w:rFonts w:ascii="Times New Roman" w:hAnsi="Times New Roman" w:cs="Times New Roman"/>
          <w:szCs w:val="24"/>
          <w:lang w:val="en-GB"/>
        </w:rPr>
        <w:t xml:space="preserve">solely a </w:t>
      </w:r>
      <w:r w:rsidRPr="000C0E58">
        <w:rPr>
          <w:rFonts w:ascii="Times New Roman" w:hAnsi="Times New Roman" w:cs="Times New Roman"/>
          <w:szCs w:val="24"/>
          <w:lang w:val="en-GB"/>
        </w:rPr>
        <w:t xml:space="preserve">consequence of </w:t>
      </w:r>
      <w:r w:rsidRPr="000C0E58" w:rsidR="006D4ADC">
        <w:rPr>
          <w:rFonts w:ascii="Times New Roman" w:hAnsi="Times New Roman" w:cs="Times New Roman"/>
          <w:szCs w:val="24"/>
          <w:lang w:val="en-GB"/>
        </w:rPr>
        <w:t xml:space="preserve">changing </w:t>
      </w:r>
      <w:r w:rsidRPr="000C0E58">
        <w:rPr>
          <w:rFonts w:ascii="Times New Roman" w:hAnsi="Times New Roman" w:cs="Times New Roman"/>
          <w:szCs w:val="24"/>
          <w:lang w:val="en-GB"/>
        </w:rPr>
        <w:t>the methodology</w:t>
      </w:r>
      <w:r w:rsidRPr="000C0E58" w:rsidR="006D4ADC">
        <w:rPr>
          <w:rFonts w:ascii="Times New Roman" w:hAnsi="Times New Roman" w:cs="Times New Roman"/>
          <w:szCs w:val="24"/>
          <w:lang w:val="en-GB"/>
        </w:rPr>
        <w:t xml:space="preserve"> used</w:t>
      </w:r>
      <w:r w:rsidRPr="000C0E58">
        <w:rPr>
          <w:rFonts w:ascii="Times New Roman" w:hAnsi="Times New Roman" w:cs="Times New Roman"/>
          <w:szCs w:val="24"/>
          <w:lang w:val="en-GB"/>
        </w:rPr>
        <w:t>.</w:t>
      </w:r>
    </w:p>
    <w:p w:rsidRPr="000C0E58" w:rsidR="00C1646D"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14</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xml:space="preserve">.  As a consequence of </w:t>
      </w:r>
      <w:r w:rsidRPr="000C0E58" w:rsidR="006D4ADC">
        <w:rPr>
          <w:rFonts w:ascii="Times New Roman" w:hAnsi="Times New Roman" w:cs="Times New Roman"/>
          <w:szCs w:val="24"/>
          <w:lang w:val="en-GB"/>
        </w:rPr>
        <w:t>the applicant</w:t>
      </w:r>
      <w:r w:rsidRPr="000C0E58" w:rsidR="000C0E58">
        <w:rPr>
          <w:rFonts w:ascii="Times New Roman" w:hAnsi="Times New Roman" w:cs="Times New Roman"/>
          <w:szCs w:val="24"/>
          <w:lang w:val="en-GB"/>
        </w:rPr>
        <w:t>’</w:t>
      </w:r>
      <w:r w:rsidRPr="000C0E58" w:rsidR="006D4ADC">
        <w:rPr>
          <w:rFonts w:ascii="Times New Roman" w:hAnsi="Times New Roman" w:cs="Times New Roman"/>
          <w:szCs w:val="24"/>
          <w:lang w:val="en-GB"/>
        </w:rPr>
        <w:t xml:space="preserve">s newly assessed </w:t>
      </w:r>
      <w:r w:rsidRPr="000C0E58">
        <w:rPr>
          <w:rFonts w:ascii="Times New Roman" w:hAnsi="Times New Roman" w:cs="Times New Roman"/>
          <w:szCs w:val="24"/>
          <w:lang w:val="en-GB"/>
        </w:rPr>
        <w:t>40</w:t>
      </w:r>
      <w:r w:rsidRPr="000C0E58" w:rsidR="006D4ADC">
        <w:rPr>
          <w:rFonts w:ascii="Times New Roman" w:hAnsi="Times New Roman" w:cs="Times New Roman"/>
          <w:szCs w:val="24"/>
          <w:lang w:val="en-GB"/>
        </w:rPr>
        <w:t>%</w:t>
      </w:r>
      <w:r w:rsidRPr="000C0E58">
        <w:rPr>
          <w:rFonts w:ascii="Times New Roman" w:hAnsi="Times New Roman" w:cs="Times New Roman"/>
          <w:szCs w:val="24"/>
          <w:lang w:val="en-GB"/>
        </w:rPr>
        <w:t xml:space="preserve"> level of disability, </w:t>
      </w:r>
      <w:r w:rsidRPr="000C0E58" w:rsidR="00AA15C5">
        <w:rPr>
          <w:rFonts w:ascii="Times New Roman" w:hAnsi="Times New Roman" w:cs="Times New Roman"/>
          <w:szCs w:val="24"/>
          <w:lang w:val="en-GB"/>
        </w:rPr>
        <w:t xml:space="preserve">on 1 February 2010 the </w:t>
      </w:r>
      <w:r w:rsidRPr="000C0E58" w:rsidR="007F3D62">
        <w:rPr>
          <w:rFonts w:ascii="Times New Roman" w:hAnsi="Times New Roman" w:cs="Times New Roman"/>
          <w:szCs w:val="24"/>
          <w:lang w:val="en-GB"/>
        </w:rPr>
        <w:t xml:space="preserve">relevant </w:t>
      </w:r>
      <w:r w:rsidRPr="000C0E58" w:rsidR="00AA15C5">
        <w:rPr>
          <w:rFonts w:ascii="Times New Roman" w:hAnsi="Times New Roman" w:cs="Times New Roman"/>
          <w:szCs w:val="24"/>
          <w:lang w:val="en-GB"/>
        </w:rPr>
        <w:t xml:space="preserve">pension insurance directorate withdrew </w:t>
      </w:r>
      <w:r w:rsidRPr="000C0E58">
        <w:rPr>
          <w:rFonts w:ascii="Times New Roman" w:hAnsi="Times New Roman" w:cs="Times New Roman"/>
          <w:szCs w:val="24"/>
          <w:lang w:val="en-GB"/>
        </w:rPr>
        <w:t>her entitlement to the disability pension.</w:t>
      </w:r>
      <w:r w:rsidRPr="000C0E58" w:rsidR="00AA15C5">
        <w:rPr>
          <w:rFonts w:ascii="Times New Roman" w:hAnsi="Times New Roman" w:cs="Times New Roman"/>
          <w:szCs w:val="24"/>
          <w:lang w:val="en-GB"/>
        </w:rPr>
        <w:t xml:space="preserve"> The applicant appealed against th</w:t>
      </w:r>
      <w:r w:rsidRPr="000C0E58" w:rsidR="007F3D62">
        <w:rPr>
          <w:rFonts w:ascii="Times New Roman" w:hAnsi="Times New Roman" w:cs="Times New Roman"/>
          <w:szCs w:val="24"/>
          <w:lang w:val="en-GB"/>
        </w:rPr>
        <w:t xml:space="preserve">at </w:t>
      </w:r>
      <w:r w:rsidRPr="000C0E58" w:rsidR="00AA15C5">
        <w:rPr>
          <w:rFonts w:ascii="Times New Roman" w:hAnsi="Times New Roman" w:cs="Times New Roman"/>
          <w:szCs w:val="24"/>
          <w:lang w:val="en-GB"/>
        </w:rPr>
        <w:t>decision. On an unspecified date, the decision was upheld by the second-instance pension insurance authority.</w:t>
      </w:r>
    </w:p>
    <w:p w:rsidRPr="000C0E58" w:rsidR="00C1646D"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t>At th</w:t>
      </w:r>
      <w:r w:rsidRPr="000C0E58" w:rsidR="006D4ADC">
        <w:rPr>
          <w:rFonts w:ascii="Times New Roman" w:hAnsi="Times New Roman" w:cs="Times New Roman"/>
          <w:szCs w:val="24"/>
          <w:lang w:val="en-GB"/>
        </w:rPr>
        <w:t xml:space="preserve">e relevant </w:t>
      </w:r>
      <w:r w:rsidRPr="000C0E58">
        <w:rPr>
          <w:rFonts w:ascii="Times New Roman" w:hAnsi="Times New Roman" w:cs="Times New Roman"/>
          <w:szCs w:val="24"/>
          <w:lang w:val="en-GB"/>
        </w:rPr>
        <w:t xml:space="preserve">time the </w:t>
      </w:r>
      <w:r w:rsidRPr="000C0E58" w:rsidR="006E41FC">
        <w:rPr>
          <w:rFonts w:ascii="Times New Roman" w:hAnsi="Times New Roman" w:cs="Times New Roman"/>
          <w:szCs w:val="24"/>
          <w:lang w:val="en-GB"/>
        </w:rPr>
        <w:t xml:space="preserve">monthly </w:t>
      </w:r>
      <w:r w:rsidRPr="000C0E58">
        <w:rPr>
          <w:rFonts w:ascii="Times New Roman" w:hAnsi="Times New Roman" w:cs="Times New Roman"/>
          <w:szCs w:val="24"/>
          <w:lang w:val="en-GB"/>
        </w:rPr>
        <w:t>amount of the applicant</w:t>
      </w:r>
      <w:r w:rsidRPr="000C0E58" w:rsidR="000C0E58">
        <w:rPr>
          <w:rFonts w:ascii="Times New Roman" w:hAnsi="Times New Roman" w:cs="Times New Roman"/>
          <w:szCs w:val="24"/>
          <w:lang w:val="en-GB"/>
        </w:rPr>
        <w:t>’</w:t>
      </w:r>
      <w:r w:rsidRPr="000C0E58">
        <w:rPr>
          <w:rFonts w:ascii="Times New Roman" w:hAnsi="Times New Roman" w:cs="Times New Roman"/>
          <w:szCs w:val="24"/>
          <w:lang w:val="en-GB"/>
        </w:rPr>
        <w:t>s disability pension was 60,975</w:t>
      </w:r>
      <w:r w:rsidRPr="000C0E58" w:rsidR="006D4ADC">
        <w:rPr>
          <w:rFonts w:ascii="Times New Roman" w:hAnsi="Times New Roman" w:cs="Times New Roman"/>
          <w:szCs w:val="24"/>
          <w:lang w:val="en-GB"/>
        </w:rPr>
        <w:t> </w:t>
      </w:r>
      <w:r w:rsidRPr="000C0E58">
        <w:rPr>
          <w:rFonts w:ascii="Times New Roman" w:hAnsi="Times New Roman" w:cs="Times New Roman"/>
          <w:szCs w:val="24"/>
          <w:lang w:val="en-GB"/>
        </w:rPr>
        <w:t>Hungarian forints (HUF), approximately 2</w:t>
      </w:r>
      <w:r w:rsidRPr="000C0E58" w:rsidR="00E51D39">
        <w:rPr>
          <w:rFonts w:ascii="Times New Roman" w:hAnsi="Times New Roman" w:cs="Times New Roman"/>
          <w:szCs w:val="24"/>
          <w:lang w:val="en-GB"/>
        </w:rPr>
        <w:t>00</w:t>
      </w:r>
      <w:r w:rsidRPr="000C0E58">
        <w:rPr>
          <w:rFonts w:ascii="Times New Roman" w:hAnsi="Times New Roman" w:cs="Times New Roman"/>
          <w:szCs w:val="24"/>
          <w:lang w:val="en-GB"/>
        </w:rPr>
        <w:t xml:space="preserve"> euros (EUR).</w:t>
      </w:r>
    </w:p>
    <w:p w:rsidRPr="000C0E58" w:rsidR="00AA15C5"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t>On 25 March 2010 the applicant brought an action before the Nyíregyháza Labour Court, challenging the administrative decision.</w:t>
      </w:r>
    </w:p>
    <w:p w:rsidRPr="000C0E58" w:rsidR="00C1646D"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15</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xml:space="preserve">.  The Nyíregyháza Labour Court heard the case, </w:t>
      </w:r>
      <w:r w:rsidRPr="000C0E58" w:rsidR="006D4ADC">
        <w:rPr>
          <w:rFonts w:ascii="Times New Roman" w:hAnsi="Times New Roman" w:cs="Times New Roman"/>
          <w:szCs w:val="24"/>
          <w:lang w:val="en-GB"/>
        </w:rPr>
        <w:t xml:space="preserve">and </w:t>
      </w:r>
      <w:r w:rsidRPr="000C0E58">
        <w:rPr>
          <w:rFonts w:ascii="Times New Roman" w:hAnsi="Times New Roman" w:cs="Times New Roman"/>
          <w:szCs w:val="24"/>
          <w:lang w:val="en-GB"/>
        </w:rPr>
        <w:t>appoint</w:t>
      </w:r>
      <w:r w:rsidRPr="000C0E58" w:rsidR="006D4ADC">
        <w:rPr>
          <w:rFonts w:ascii="Times New Roman" w:hAnsi="Times New Roman" w:cs="Times New Roman"/>
          <w:szCs w:val="24"/>
          <w:lang w:val="en-GB"/>
        </w:rPr>
        <w:t xml:space="preserve">ed </w:t>
      </w:r>
      <w:r w:rsidRPr="000C0E58" w:rsidR="00AA15C5">
        <w:rPr>
          <w:rFonts w:ascii="Times New Roman" w:hAnsi="Times New Roman" w:cs="Times New Roman"/>
          <w:szCs w:val="24"/>
          <w:lang w:val="en-GB"/>
        </w:rPr>
        <w:t>an</w:t>
      </w:r>
      <w:r w:rsidRPr="000C0E58">
        <w:rPr>
          <w:rFonts w:ascii="Times New Roman" w:hAnsi="Times New Roman" w:cs="Times New Roman"/>
          <w:szCs w:val="24"/>
          <w:lang w:val="en-GB"/>
        </w:rPr>
        <w:t xml:space="preserve"> expert with a view to obtaining an opinion as to the reasons for the </w:t>
      </w:r>
      <w:r w:rsidRPr="000C0E58" w:rsidR="008C1AC7">
        <w:rPr>
          <w:rFonts w:ascii="Times New Roman" w:hAnsi="Times New Roman" w:cs="Times New Roman"/>
          <w:szCs w:val="24"/>
          <w:lang w:val="en-GB"/>
        </w:rPr>
        <w:t xml:space="preserve">difference </w:t>
      </w:r>
      <w:r w:rsidRPr="000C0E58">
        <w:rPr>
          <w:rFonts w:ascii="Times New Roman" w:hAnsi="Times New Roman" w:cs="Times New Roman"/>
          <w:szCs w:val="24"/>
          <w:lang w:val="en-GB"/>
        </w:rPr>
        <w:t xml:space="preserve">in the scores. </w:t>
      </w:r>
      <w:r w:rsidRPr="000C0E58" w:rsidR="00AA15C5">
        <w:rPr>
          <w:rFonts w:ascii="Times New Roman" w:hAnsi="Times New Roman" w:cs="Times New Roman"/>
          <w:szCs w:val="24"/>
          <w:lang w:val="en-GB"/>
        </w:rPr>
        <w:t>In an opinion of 16 February 2011, t</w:t>
      </w:r>
      <w:r w:rsidRPr="000C0E58">
        <w:rPr>
          <w:rFonts w:ascii="Times New Roman" w:hAnsi="Times New Roman" w:cs="Times New Roman"/>
          <w:szCs w:val="24"/>
          <w:lang w:val="en-GB"/>
        </w:rPr>
        <w:t>he expert submitted that the old score of 67</w:t>
      </w:r>
      <w:r w:rsidRPr="000C0E58" w:rsidR="008C1AC7">
        <w:rPr>
          <w:rFonts w:ascii="Times New Roman" w:hAnsi="Times New Roman" w:cs="Times New Roman"/>
          <w:szCs w:val="24"/>
          <w:lang w:val="en-GB"/>
        </w:rPr>
        <w:t>%,</w:t>
      </w:r>
      <w:r w:rsidRPr="000C0E58">
        <w:rPr>
          <w:rFonts w:ascii="Times New Roman" w:hAnsi="Times New Roman" w:cs="Times New Roman"/>
          <w:szCs w:val="24"/>
          <w:lang w:val="en-GB"/>
        </w:rPr>
        <w:t xml:space="preserve"> as well as the new one of 40</w:t>
      </w:r>
      <w:r w:rsidRPr="000C0E58" w:rsidR="008C1AC7">
        <w:rPr>
          <w:rFonts w:ascii="Times New Roman" w:hAnsi="Times New Roman" w:cs="Times New Roman"/>
          <w:szCs w:val="24"/>
          <w:lang w:val="en-GB"/>
        </w:rPr>
        <w:t>%,</w:t>
      </w:r>
      <w:r w:rsidRPr="000C0E58">
        <w:rPr>
          <w:rFonts w:ascii="Times New Roman" w:hAnsi="Times New Roman" w:cs="Times New Roman"/>
          <w:szCs w:val="24"/>
          <w:lang w:val="en-GB"/>
        </w:rPr>
        <w:t xml:space="preserve"> were correct under the respective methodologies</w:t>
      </w:r>
      <w:r w:rsidRPr="000C0E58" w:rsidR="00AA15C5">
        <w:rPr>
          <w:rFonts w:ascii="Times New Roman" w:hAnsi="Times New Roman" w:cs="Times New Roman"/>
          <w:szCs w:val="24"/>
          <w:lang w:val="en-GB"/>
        </w:rPr>
        <w:t>; a</w:t>
      </w:r>
      <w:r w:rsidRPr="000C0E58">
        <w:rPr>
          <w:rFonts w:ascii="Times New Roman" w:hAnsi="Times New Roman" w:cs="Times New Roman"/>
          <w:szCs w:val="24"/>
          <w:lang w:val="en-GB"/>
        </w:rPr>
        <w:t>t any rate, the applicant</w:t>
      </w:r>
      <w:r w:rsidRPr="000C0E58" w:rsidR="000C0E58">
        <w:rPr>
          <w:rFonts w:ascii="Times New Roman" w:hAnsi="Times New Roman" w:cs="Times New Roman"/>
          <w:szCs w:val="24"/>
          <w:lang w:val="en-GB"/>
        </w:rPr>
        <w:t>’</w:t>
      </w:r>
      <w:r w:rsidRPr="000C0E58">
        <w:rPr>
          <w:rFonts w:ascii="Times New Roman" w:hAnsi="Times New Roman" w:cs="Times New Roman"/>
          <w:szCs w:val="24"/>
          <w:lang w:val="en-GB"/>
        </w:rPr>
        <w:t>s condition had not significantly improved since 2007.</w:t>
      </w:r>
    </w:p>
    <w:p w:rsidRPr="000C0E58" w:rsidR="00C1646D"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16</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w:t>
      </w:r>
      <w:r w:rsidRPr="000C0E58" w:rsidR="00D67F9F">
        <w:rPr>
          <w:rFonts w:ascii="Times New Roman" w:hAnsi="Times New Roman" w:cs="Times New Roman"/>
          <w:szCs w:val="24"/>
          <w:lang w:val="en-GB"/>
        </w:rPr>
        <w:t>Observing that the applicant had ac</w:t>
      </w:r>
      <w:r w:rsidRPr="000C0E58" w:rsidR="007F3D62">
        <w:rPr>
          <w:rFonts w:ascii="Times New Roman" w:hAnsi="Times New Roman" w:cs="Times New Roman"/>
          <w:szCs w:val="24"/>
          <w:lang w:val="en-GB"/>
        </w:rPr>
        <w:t xml:space="preserve">cumulated </w:t>
      </w:r>
      <w:r w:rsidRPr="000C0E58" w:rsidR="00D67F9F">
        <w:rPr>
          <w:rFonts w:ascii="Times New Roman" w:hAnsi="Times New Roman" w:cs="Times New Roman"/>
          <w:szCs w:val="24"/>
          <w:lang w:val="en-GB"/>
        </w:rPr>
        <w:t>23 years and 71 days of service time, t</w:t>
      </w:r>
      <w:r w:rsidRPr="000C0E58">
        <w:rPr>
          <w:rFonts w:ascii="Times New Roman" w:hAnsi="Times New Roman" w:cs="Times New Roman"/>
          <w:szCs w:val="24"/>
          <w:lang w:val="en-GB"/>
        </w:rPr>
        <w:t xml:space="preserve">he court retained the </w:t>
      </w:r>
      <w:r w:rsidRPr="000C0E58" w:rsidR="00D67F9F">
        <w:rPr>
          <w:rFonts w:ascii="Times New Roman" w:hAnsi="Times New Roman" w:cs="Times New Roman"/>
          <w:szCs w:val="24"/>
          <w:lang w:val="en-GB"/>
        </w:rPr>
        <w:t xml:space="preserve">disability </w:t>
      </w:r>
      <w:r w:rsidRPr="000C0E58">
        <w:rPr>
          <w:rFonts w:ascii="Times New Roman" w:hAnsi="Times New Roman" w:cs="Times New Roman"/>
          <w:szCs w:val="24"/>
          <w:lang w:val="en-GB"/>
        </w:rPr>
        <w:t>score of 40</w:t>
      </w:r>
      <w:r w:rsidRPr="000C0E58" w:rsidR="008C1AC7">
        <w:rPr>
          <w:rFonts w:ascii="Times New Roman" w:hAnsi="Times New Roman" w:cs="Times New Roman"/>
          <w:szCs w:val="24"/>
          <w:lang w:val="en-GB"/>
        </w:rPr>
        <w:t>%</w:t>
      </w:r>
      <w:r w:rsidRPr="000C0E58">
        <w:rPr>
          <w:rFonts w:ascii="Times New Roman" w:hAnsi="Times New Roman" w:cs="Times New Roman"/>
          <w:szCs w:val="24"/>
          <w:lang w:val="en-GB"/>
        </w:rPr>
        <w:t xml:space="preserve"> and dismissed </w:t>
      </w:r>
      <w:r w:rsidRPr="000C0E58" w:rsidR="00D67F9F">
        <w:rPr>
          <w:rFonts w:ascii="Times New Roman" w:hAnsi="Times New Roman" w:cs="Times New Roman"/>
          <w:szCs w:val="24"/>
          <w:lang w:val="en-GB"/>
        </w:rPr>
        <w:t>her</w:t>
      </w:r>
      <w:r w:rsidRPr="000C0E58">
        <w:rPr>
          <w:rFonts w:ascii="Times New Roman" w:hAnsi="Times New Roman" w:cs="Times New Roman"/>
          <w:szCs w:val="24"/>
          <w:lang w:val="en-GB"/>
        </w:rPr>
        <w:t xml:space="preserve"> action on 1 April 2011. The applicant was </w:t>
      </w:r>
      <w:r w:rsidRPr="000C0E58" w:rsidR="00AA15C5">
        <w:rPr>
          <w:rFonts w:ascii="Times New Roman" w:hAnsi="Times New Roman" w:cs="Times New Roman"/>
          <w:szCs w:val="24"/>
          <w:lang w:val="en-GB"/>
        </w:rPr>
        <w:t>ordered</w:t>
      </w:r>
      <w:r w:rsidRPr="000C0E58">
        <w:rPr>
          <w:rFonts w:ascii="Times New Roman" w:hAnsi="Times New Roman" w:cs="Times New Roman"/>
          <w:szCs w:val="24"/>
          <w:lang w:val="en-GB"/>
        </w:rPr>
        <w:t xml:space="preserve"> to reimburse the amounts received after 1 February 2010.</w:t>
      </w:r>
      <w:r w:rsidRPr="000C0E58" w:rsidR="00D67F9F">
        <w:rPr>
          <w:rFonts w:ascii="Times New Roman" w:hAnsi="Times New Roman" w:cs="Times New Roman"/>
          <w:szCs w:val="24"/>
          <w:lang w:val="en-GB"/>
        </w:rPr>
        <w:t xml:space="preserve"> The court noted that the applicant</w:t>
      </w:r>
      <w:r w:rsidRPr="000C0E58" w:rsidR="000C0E58">
        <w:rPr>
          <w:rFonts w:ascii="Times New Roman" w:hAnsi="Times New Roman" w:cs="Times New Roman"/>
          <w:szCs w:val="24"/>
          <w:lang w:val="en-GB"/>
        </w:rPr>
        <w:t>’</w:t>
      </w:r>
      <w:r w:rsidRPr="000C0E58" w:rsidR="00D67F9F">
        <w:rPr>
          <w:rFonts w:ascii="Times New Roman" w:hAnsi="Times New Roman" w:cs="Times New Roman"/>
          <w:szCs w:val="24"/>
          <w:lang w:val="en-GB"/>
        </w:rPr>
        <w:t>s next medical assessment was due in 2012</w:t>
      </w:r>
      <w:r w:rsidRPr="000C0E58" w:rsidR="00FC43B5">
        <w:rPr>
          <w:rFonts w:ascii="Times New Roman" w:hAnsi="Times New Roman" w:cs="Times New Roman"/>
          <w:szCs w:val="24"/>
          <w:lang w:val="en-GB"/>
        </w:rPr>
        <w:t>.</w:t>
      </w:r>
      <w:r w:rsidRPr="000C0E58" w:rsidR="00D67F9F">
        <w:rPr>
          <w:rFonts w:ascii="Times New Roman" w:hAnsi="Times New Roman" w:cs="Times New Roman"/>
          <w:szCs w:val="24"/>
          <w:lang w:val="en-GB"/>
        </w:rPr>
        <w:t xml:space="preserve"> It drew her attention to the </w:t>
      </w:r>
      <w:r w:rsidRPr="000C0E58" w:rsidR="00D67F9F">
        <w:rPr>
          <w:rFonts w:ascii="Times New Roman" w:hAnsi="Times New Roman" w:cs="Times New Roman"/>
          <w:szCs w:val="24"/>
          <w:lang w:val="en-GB"/>
        </w:rPr>
        <w:t>possibility of making a</w:t>
      </w:r>
      <w:r w:rsidRPr="000C0E58" w:rsidR="00B35FC0">
        <w:rPr>
          <w:rFonts w:ascii="Times New Roman" w:hAnsi="Times New Roman" w:cs="Times New Roman"/>
          <w:szCs w:val="24"/>
          <w:lang w:val="en-GB"/>
        </w:rPr>
        <w:t xml:space="preserve"> </w:t>
      </w:r>
      <w:r w:rsidRPr="000C0E58" w:rsidR="00D67F9F">
        <w:rPr>
          <w:rFonts w:ascii="Times New Roman" w:hAnsi="Times New Roman" w:cs="Times New Roman"/>
          <w:szCs w:val="24"/>
          <w:lang w:val="en-GB"/>
        </w:rPr>
        <w:t>renewed application for disability pension should her health deteriorate.</w:t>
      </w:r>
    </w:p>
    <w:p w:rsidRPr="000C0E58" w:rsidR="008716EA"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17</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w:t>
      </w:r>
      <w:r w:rsidRPr="000C0E58" w:rsidR="00C1646D">
        <w:rPr>
          <w:rFonts w:ascii="Times New Roman" w:hAnsi="Times New Roman" w:cs="Times New Roman"/>
          <w:szCs w:val="24"/>
          <w:lang w:val="en-GB"/>
        </w:rPr>
        <w:t xml:space="preserve">In </w:t>
      </w:r>
      <w:r w:rsidRPr="000C0E58">
        <w:rPr>
          <w:rFonts w:ascii="Times New Roman" w:hAnsi="Times New Roman" w:cs="Times New Roman"/>
          <w:szCs w:val="24"/>
          <w:lang w:val="en-GB"/>
        </w:rPr>
        <w:t>2011 the applicant requested another assessment of her disability. On 5 September 2011 the first-instance authority assessed it at 45</w:t>
      </w:r>
      <w:r w:rsidRPr="000C0E58" w:rsidR="008C1AC7">
        <w:rPr>
          <w:rFonts w:ascii="Times New Roman" w:hAnsi="Times New Roman" w:cs="Times New Roman"/>
          <w:szCs w:val="24"/>
          <w:lang w:val="en-GB"/>
        </w:rPr>
        <w:t>%</w:t>
      </w:r>
      <w:r w:rsidRPr="000C0E58">
        <w:rPr>
          <w:rFonts w:ascii="Times New Roman" w:hAnsi="Times New Roman" w:cs="Times New Roman"/>
          <w:szCs w:val="24"/>
          <w:lang w:val="en-GB"/>
        </w:rPr>
        <w:t>, scheduling the next assessment for September 2014. The second-instance authority changed this score to 50</w:t>
      </w:r>
      <w:r w:rsidRPr="000C0E58" w:rsidR="008C1AC7">
        <w:rPr>
          <w:rFonts w:ascii="Times New Roman" w:hAnsi="Times New Roman" w:cs="Times New Roman"/>
          <w:szCs w:val="24"/>
          <w:lang w:val="en-GB"/>
        </w:rPr>
        <w:t>%</w:t>
      </w:r>
      <w:r w:rsidRPr="000C0E58">
        <w:rPr>
          <w:rFonts w:ascii="Times New Roman" w:hAnsi="Times New Roman" w:cs="Times New Roman"/>
          <w:szCs w:val="24"/>
          <w:lang w:val="en-GB"/>
        </w:rPr>
        <w:t xml:space="preserve"> on 13 December 2011, with a reassessment due in March 2015. Such a level would have entitled her to disability pension had rehabilitation not been possible. However, this time the assessment </w:t>
      </w:r>
      <w:r w:rsidRPr="000C0E58" w:rsidR="008C1AC7">
        <w:rPr>
          <w:rFonts w:ascii="Times New Roman" w:hAnsi="Times New Roman" w:cs="Times New Roman"/>
          <w:szCs w:val="24"/>
          <w:lang w:val="en-GB"/>
        </w:rPr>
        <w:t xml:space="preserve">panel </w:t>
      </w:r>
      <w:r w:rsidRPr="000C0E58">
        <w:rPr>
          <w:rFonts w:ascii="Times New Roman" w:hAnsi="Times New Roman" w:cs="Times New Roman"/>
          <w:szCs w:val="24"/>
          <w:lang w:val="en-GB"/>
        </w:rPr>
        <w:t>envisaged the applicant</w:t>
      </w:r>
      <w:r w:rsidRPr="000C0E58" w:rsidR="000C0E58">
        <w:rPr>
          <w:rFonts w:ascii="Times New Roman" w:hAnsi="Times New Roman" w:cs="Times New Roman"/>
          <w:szCs w:val="24"/>
          <w:lang w:val="en-GB"/>
        </w:rPr>
        <w:t>’</w:t>
      </w:r>
      <w:r w:rsidRPr="000C0E58">
        <w:rPr>
          <w:rFonts w:ascii="Times New Roman" w:hAnsi="Times New Roman" w:cs="Times New Roman"/>
          <w:szCs w:val="24"/>
          <w:lang w:val="en-GB"/>
        </w:rPr>
        <w:t xml:space="preserve">s </w:t>
      </w:r>
      <w:r w:rsidRPr="000C0E58" w:rsidR="00BF2B45">
        <w:rPr>
          <w:rFonts w:ascii="Times New Roman" w:hAnsi="Times New Roman" w:cs="Times New Roman"/>
          <w:szCs w:val="24"/>
          <w:lang w:val="en-GB"/>
        </w:rPr>
        <w:t xml:space="preserve">complex </w:t>
      </w:r>
      <w:r w:rsidRPr="000C0E58">
        <w:rPr>
          <w:rFonts w:ascii="Times New Roman" w:hAnsi="Times New Roman" w:cs="Times New Roman"/>
          <w:szCs w:val="24"/>
          <w:lang w:val="en-GB"/>
        </w:rPr>
        <w:t xml:space="preserve">rehabilitation </w:t>
      </w:r>
      <w:r w:rsidRPr="000C0E58" w:rsidR="008C1AC7">
        <w:rPr>
          <w:rFonts w:ascii="Times New Roman" w:hAnsi="Times New Roman" w:cs="Times New Roman"/>
          <w:szCs w:val="24"/>
          <w:lang w:val="en-GB"/>
        </w:rPr>
        <w:t xml:space="preserve">within </w:t>
      </w:r>
      <w:r w:rsidRPr="000C0E58">
        <w:rPr>
          <w:rFonts w:ascii="Times New Roman" w:hAnsi="Times New Roman" w:cs="Times New Roman"/>
          <w:szCs w:val="24"/>
          <w:lang w:val="en-GB"/>
        </w:rPr>
        <w:t xml:space="preserve">a </w:t>
      </w:r>
      <w:r w:rsidRPr="000C0E58" w:rsidR="008C1AC7">
        <w:rPr>
          <w:rFonts w:ascii="Times New Roman" w:hAnsi="Times New Roman" w:cs="Times New Roman"/>
          <w:szCs w:val="24"/>
          <w:lang w:val="en-GB"/>
        </w:rPr>
        <w:t xml:space="preserve">36-month </w:t>
      </w:r>
      <w:r w:rsidRPr="000C0E58">
        <w:rPr>
          <w:rFonts w:ascii="Times New Roman" w:hAnsi="Times New Roman" w:cs="Times New Roman"/>
          <w:szCs w:val="24"/>
          <w:lang w:val="en-GB"/>
        </w:rPr>
        <w:t>time-frame</w:t>
      </w:r>
      <w:r w:rsidRPr="000C0E58" w:rsidR="008C1AC7">
        <w:rPr>
          <w:rFonts w:ascii="Times New Roman" w:hAnsi="Times New Roman" w:cs="Times New Roman"/>
          <w:szCs w:val="24"/>
          <w:lang w:val="en-GB"/>
        </w:rPr>
        <w:t xml:space="preserve">, and recommended that she </w:t>
      </w:r>
      <w:r w:rsidRPr="000C0E58" w:rsidR="00BF2B45">
        <w:rPr>
          <w:rFonts w:ascii="Times New Roman" w:hAnsi="Times New Roman" w:cs="Times New Roman"/>
          <w:szCs w:val="24"/>
          <w:lang w:val="en-GB"/>
        </w:rPr>
        <w:t xml:space="preserve">be entitled to </w:t>
      </w:r>
      <w:r w:rsidRPr="000C0E58">
        <w:rPr>
          <w:rFonts w:ascii="Times New Roman" w:hAnsi="Times New Roman" w:cs="Times New Roman"/>
          <w:szCs w:val="24"/>
          <w:lang w:val="en-GB"/>
        </w:rPr>
        <w:t>rehabilitation allowance</w:t>
      </w:r>
      <w:r w:rsidRPr="000C0E58" w:rsidR="008C1AC7">
        <w:rPr>
          <w:rFonts w:ascii="Times New Roman" w:hAnsi="Times New Roman" w:cs="Times New Roman"/>
          <w:szCs w:val="24"/>
          <w:lang w:val="en-GB"/>
        </w:rPr>
        <w:t xml:space="preserve"> </w:t>
      </w:r>
      <w:r w:rsidRPr="000C0E58" w:rsidR="00DF422F">
        <w:rPr>
          <w:rFonts w:ascii="Times New Roman" w:hAnsi="Times New Roman" w:cs="Times New Roman"/>
          <w:szCs w:val="24"/>
          <w:lang w:val="en-GB"/>
        </w:rPr>
        <w:t>(</w:t>
      </w:r>
      <w:r w:rsidRPr="000C0E58" w:rsidR="00DF422F">
        <w:rPr>
          <w:rFonts w:ascii="Times New Roman" w:hAnsi="Times New Roman" w:cs="Times New Roman"/>
          <w:i/>
          <w:szCs w:val="24"/>
          <w:lang w:val="en-GB"/>
        </w:rPr>
        <w:t xml:space="preserve">rehabilitációs </w:t>
      </w:r>
      <w:r w:rsidRPr="000C0E58" w:rsidR="00BF2B45">
        <w:rPr>
          <w:rFonts w:ascii="Times New Roman" w:hAnsi="Times New Roman" w:cs="Times New Roman"/>
          <w:i/>
          <w:szCs w:val="24"/>
          <w:lang w:val="en-GB"/>
        </w:rPr>
        <w:t>járadék</w:t>
      </w:r>
      <w:r w:rsidRPr="000C0E58" w:rsidR="00DF422F">
        <w:rPr>
          <w:rFonts w:ascii="Times New Roman" w:hAnsi="Times New Roman" w:cs="Times New Roman"/>
          <w:szCs w:val="24"/>
          <w:lang w:val="en-GB"/>
        </w:rPr>
        <w:t>)</w:t>
      </w:r>
      <w:r w:rsidRPr="000C0E58">
        <w:rPr>
          <w:rFonts w:ascii="Times New Roman" w:hAnsi="Times New Roman" w:cs="Times New Roman"/>
          <w:szCs w:val="24"/>
          <w:lang w:val="en-GB"/>
        </w:rPr>
        <w:t>.</w:t>
      </w:r>
      <w:r w:rsidRPr="000C0E58" w:rsidR="00D774BC">
        <w:rPr>
          <w:rFonts w:ascii="Times New Roman" w:hAnsi="Times New Roman" w:cs="Times New Roman"/>
          <w:szCs w:val="24"/>
          <w:lang w:val="en-GB"/>
        </w:rPr>
        <w:t xml:space="preserve"> Nevertheless, </w:t>
      </w:r>
      <w:r w:rsidRPr="000C0E58" w:rsidR="007F3D62">
        <w:rPr>
          <w:rFonts w:ascii="Times New Roman" w:hAnsi="Times New Roman" w:cs="Times New Roman"/>
          <w:szCs w:val="24"/>
          <w:lang w:val="en-GB"/>
        </w:rPr>
        <w:t xml:space="preserve">no </w:t>
      </w:r>
      <w:r w:rsidRPr="000C0E58" w:rsidR="00D774BC">
        <w:rPr>
          <w:rFonts w:ascii="Times New Roman" w:hAnsi="Times New Roman" w:cs="Times New Roman"/>
          <w:szCs w:val="24"/>
          <w:lang w:val="en-GB"/>
        </w:rPr>
        <w:t>such rehabilitation t</w:t>
      </w:r>
      <w:r w:rsidRPr="000C0E58" w:rsidR="007F3D62">
        <w:rPr>
          <w:rFonts w:ascii="Times New Roman" w:hAnsi="Times New Roman" w:cs="Times New Roman"/>
          <w:szCs w:val="24"/>
          <w:lang w:val="en-GB"/>
        </w:rPr>
        <w:t xml:space="preserve">ook </w:t>
      </w:r>
      <w:r w:rsidRPr="000C0E58" w:rsidR="00D774BC">
        <w:rPr>
          <w:rFonts w:ascii="Times New Roman" w:hAnsi="Times New Roman" w:cs="Times New Roman"/>
          <w:szCs w:val="24"/>
          <w:lang w:val="en-GB"/>
        </w:rPr>
        <w:t>place</w:t>
      </w:r>
      <w:r w:rsidRPr="000C0E58" w:rsidR="007F3D62">
        <w:rPr>
          <w:rFonts w:ascii="Times New Roman" w:hAnsi="Times New Roman" w:cs="Times New Roman"/>
          <w:szCs w:val="24"/>
          <w:lang w:val="en-GB"/>
        </w:rPr>
        <w:t xml:space="preserve">, </w:t>
      </w:r>
      <w:r w:rsidRPr="000C0E58" w:rsidR="00BF2B45">
        <w:rPr>
          <w:rFonts w:ascii="Times New Roman" w:hAnsi="Times New Roman" w:cs="Times New Roman"/>
          <w:szCs w:val="24"/>
          <w:lang w:val="en-GB"/>
        </w:rPr>
        <w:t>and the applicant did not receive rehabilitation allowance.</w:t>
      </w:r>
    </w:p>
    <w:p w:rsidRPr="000C0E58" w:rsidR="00C1646D"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18</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xml:space="preserve">.  As of 1 January 2012, a new law on disability </w:t>
      </w:r>
      <w:r w:rsidRPr="000C0E58" w:rsidR="00BF2B45">
        <w:rPr>
          <w:rFonts w:ascii="Times New Roman" w:hAnsi="Times New Roman" w:cs="Times New Roman"/>
          <w:szCs w:val="24"/>
          <w:lang w:val="en-GB"/>
        </w:rPr>
        <w:t>and related benefits</w:t>
      </w:r>
      <w:r w:rsidRPr="000C0E58">
        <w:rPr>
          <w:rFonts w:ascii="Times New Roman" w:hAnsi="Times New Roman" w:cs="Times New Roman"/>
          <w:szCs w:val="24"/>
          <w:lang w:val="en-GB"/>
        </w:rPr>
        <w:t xml:space="preserve"> (Act no.</w:t>
      </w:r>
      <w:r w:rsidRPr="000C0E58" w:rsidR="008C1AC7">
        <w:rPr>
          <w:rFonts w:ascii="Times New Roman" w:hAnsi="Times New Roman" w:cs="Times New Roman"/>
          <w:szCs w:val="24"/>
          <w:lang w:val="en-GB"/>
        </w:rPr>
        <w:t> </w:t>
      </w:r>
      <w:r w:rsidRPr="000C0E58">
        <w:rPr>
          <w:rFonts w:ascii="Times New Roman" w:hAnsi="Times New Roman" w:cs="Times New Roman"/>
          <w:szCs w:val="24"/>
          <w:lang w:val="en-GB"/>
        </w:rPr>
        <w:t xml:space="preserve">CXCI of 2011) entered into force. It introduced additional </w:t>
      </w:r>
      <w:r w:rsidRPr="000C0E58" w:rsidR="00807701">
        <w:rPr>
          <w:rFonts w:ascii="Times New Roman" w:hAnsi="Times New Roman" w:cs="Times New Roman"/>
          <w:szCs w:val="24"/>
          <w:lang w:val="en-GB"/>
        </w:rPr>
        <w:t>eligibility</w:t>
      </w:r>
      <w:r w:rsidRPr="000C0E58">
        <w:rPr>
          <w:rFonts w:ascii="Times New Roman" w:hAnsi="Times New Roman" w:cs="Times New Roman"/>
          <w:szCs w:val="24"/>
          <w:lang w:val="en-GB"/>
        </w:rPr>
        <w:t xml:space="preserve"> criteria. </w:t>
      </w:r>
      <w:r w:rsidRPr="000C0E58" w:rsidR="008C1AC7">
        <w:rPr>
          <w:rFonts w:ascii="Times New Roman" w:hAnsi="Times New Roman" w:cs="Times New Roman"/>
          <w:szCs w:val="24"/>
          <w:lang w:val="en-GB"/>
        </w:rPr>
        <w:t xml:space="preserve">In particular, </w:t>
      </w:r>
      <w:r w:rsidRPr="000C0E58">
        <w:rPr>
          <w:rFonts w:ascii="Times New Roman" w:hAnsi="Times New Roman" w:cs="Times New Roman"/>
          <w:szCs w:val="24"/>
          <w:lang w:val="en-GB"/>
        </w:rPr>
        <w:t xml:space="preserve">instead of fulfilling </w:t>
      </w:r>
      <w:r w:rsidRPr="000C0E58" w:rsidR="00AA15C5">
        <w:rPr>
          <w:rFonts w:ascii="Times New Roman" w:hAnsi="Times New Roman" w:cs="Times New Roman"/>
          <w:szCs w:val="24"/>
          <w:lang w:val="en-GB"/>
        </w:rPr>
        <w:t>a</w:t>
      </w:r>
      <w:r w:rsidRPr="000C0E58">
        <w:rPr>
          <w:rFonts w:ascii="Times New Roman" w:hAnsi="Times New Roman" w:cs="Times New Roman"/>
          <w:szCs w:val="24"/>
          <w:lang w:val="en-GB"/>
        </w:rPr>
        <w:t xml:space="preserve"> service period </w:t>
      </w:r>
      <w:r w:rsidRPr="000C0E58" w:rsidR="00AA15C5">
        <w:rPr>
          <w:rFonts w:ascii="Times New Roman" w:hAnsi="Times New Roman" w:cs="Times New Roman"/>
          <w:szCs w:val="24"/>
          <w:lang w:val="en-GB"/>
        </w:rPr>
        <w:t xml:space="preserve">as </w:t>
      </w:r>
      <w:r w:rsidRPr="000C0E58">
        <w:rPr>
          <w:rFonts w:ascii="Times New Roman" w:hAnsi="Times New Roman" w:cs="Times New Roman"/>
          <w:szCs w:val="24"/>
          <w:lang w:val="en-GB"/>
        </w:rPr>
        <w:t xml:space="preserve">required by the former legislation, </w:t>
      </w:r>
      <w:r w:rsidRPr="000C0E58" w:rsidR="00BF2B45">
        <w:rPr>
          <w:rFonts w:ascii="Times New Roman" w:hAnsi="Times New Roman" w:cs="Times New Roman"/>
          <w:szCs w:val="24"/>
          <w:lang w:val="en-GB"/>
        </w:rPr>
        <w:t>the</w:t>
      </w:r>
      <w:r w:rsidRPr="000C0E58">
        <w:rPr>
          <w:rFonts w:ascii="Times New Roman" w:hAnsi="Times New Roman" w:cs="Times New Roman"/>
          <w:szCs w:val="24"/>
          <w:lang w:val="en-GB"/>
        </w:rPr>
        <w:t xml:space="preserve"> person</w:t>
      </w:r>
      <w:r w:rsidRPr="000C0E58" w:rsidR="008C1AC7">
        <w:rPr>
          <w:rFonts w:ascii="Times New Roman" w:hAnsi="Times New Roman" w:cs="Times New Roman"/>
          <w:szCs w:val="24"/>
          <w:lang w:val="en-GB"/>
        </w:rPr>
        <w:t>s</w:t>
      </w:r>
      <w:r w:rsidRPr="000C0E58">
        <w:rPr>
          <w:rFonts w:ascii="Times New Roman" w:hAnsi="Times New Roman" w:cs="Times New Roman"/>
          <w:szCs w:val="24"/>
          <w:lang w:val="en-GB"/>
        </w:rPr>
        <w:t xml:space="preserve"> </w:t>
      </w:r>
      <w:r w:rsidRPr="000C0E58" w:rsidR="00BF2B45">
        <w:rPr>
          <w:rFonts w:ascii="Times New Roman" w:hAnsi="Times New Roman" w:cs="Times New Roman"/>
          <w:szCs w:val="24"/>
          <w:lang w:val="en-GB"/>
        </w:rPr>
        <w:t xml:space="preserve">concerned </w:t>
      </w:r>
      <w:r w:rsidRPr="000C0E58" w:rsidR="007F3D62">
        <w:rPr>
          <w:rFonts w:ascii="Times New Roman" w:hAnsi="Times New Roman" w:cs="Times New Roman"/>
          <w:szCs w:val="24"/>
          <w:lang w:val="en-GB"/>
        </w:rPr>
        <w:t xml:space="preserve">had to </w:t>
      </w:r>
      <w:r w:rsidRPr="000C0E58">
        <w:rPr>
          <w:rFonts w:ascii="Times New Roman" w:hAnsi="Times New Roman" w:cs="Times New Roman"/>
          <w:szCs w:val="24"/>
          <w:lang w:val="en-GB"/>
        </w:rPr>
        <w:t xml:space="preserve">have at least 1,095 days covered by social security in the five years preceding the submission of </w:t>
      </w:r>
      <w:r w:rsidRPr="000C0E58" w:rsidR="008C1AC7">
        <w:rPr>
          <w:rFonts w:ascii="Times New Roman" w:hAnsi="Times New Roman" w:cs="Times New Roman"/>
          <w:szCs w:val="24"/>
          <w:lang w:val="en-GB"/>
        </w:rPr>
        <w:t xml:space="preserve">their </w:t>
      </w:r>
      <w:r w:rsidRPr="000C0E58">
        <w:rPr>
          <w:rFonts w:ascii="Times New Roman" w:hAnsi="Times New Roman" w:cs="Times New Roman"/>
          <w:szCs w:val="24"/>
          <w:lang w:val="en-GB"/>
        </w:rPr>
        <w:t>request</w:t>
      </w:r>
      <w:r w:rsidRPr="000C0E58" w:rsidR="00BF2B45">
        <w:rPr>
          <w:rFonts w:ascii="Times New Roman" w:hAnsi="Times New Roman" w:cs="Times New Roman"/>
          <w:szCs w:val="24"/>
          <w:lang w:val="en-GB"/>
        </w:rPr>
        <w:t>s</w:t>
      </w:r>
      <w:r w:rsidRPr="000C0E58">
        <w:rPr>
          <w:rFonts w:ascii="Times New Roman" w:hAnsi="Times New Roman" w:cs="Times New Roman"/>
          <w:szCs w:val="24"/>
          <w:lang w:val="en-GB"/>
        </w:rPr>
        <w:t xml:space="preserve">. </w:t>
      </w:r>
      <w:r w:rsidRPr="000C0E58" w:rsidR="00BF2B45">
        <w:rPr>
          <w:rFonts w:ascii="Times New Roman" w:hAnsi="Times New Roman" w:cs="Times New Roman"/>
          <w:szCs w:val="24"/>
          <w:lang w:val="en-GB"/>
        </w:rPr>
        <w:t>Individuals</w:t>
      </w:r>
      <w:r w:rsidRPr="000C0E58">
        <w:rPr>
          <w:rFonts w:ascii="Times New Roman" w:hAnsi="Times New Roman" w:cs="Times New Roman"/>
          <w:szCs w:val="24"/>
          <w:lang w:val="en-GB"/>
        </w:rPr>
        <w:t xml:space="preserve"> who d</w:t>
      </w:r>
      <w:r w:rsidRPr="000C0E58" w:rsidR="007F3D62">
        <w:rPr>
          <w:rFonts w:ascii="Times New Roman" w:hAnsi="Times New Roman" w:cs="Times New Roman"/>
          <w:szCs w:val="24"/>
          <w:lang w:val="en-GB"/>
        </w:rPr>
        <w:t xml:space="preserve">id </w:t>
      </w:r>
      <w:r w:rsidRPr="000C0E58">
        <w:rPr>
          <w:rFonts w:ascii="Times New Roman" w:hAnsi="Times New Roman" w:cs="Times New Roman"/>
          <w:szCs w:val="24"/>
          <w:lang w:val="en-GB"/>
        </w:rPr>
        <w:t xml:space="preserve">not meet this requirement </w:t>
      </w:r>
      <w:r w:rsidRPr="000C0E58" w:rsidR="007F3D62">
        <w:rPr>
          <w:rFonts w:ascii="Times New Roman" w:hAnsi="Times New Roman" w:cs="Times New Roman"/>
          <w:szCs w:val="24"/>
          <w:lang w:val="en-GB"/>
        </w:rPr>
        <w:t xml:space="preserve">could </w:t>
      </w:r>
      <w:r w:rsidRPr="000C0E58">
        <w:rPr>
          <w:rFonts w:ascii="Times New Roman" w:hAnsi="Times New Roman" w:cs="Times New Roman"/>
          <w:szCs w:val="24"/>
          <w:lang w:val="en-GB"/>
        </w:rPr>
        <w:t xml:space="preserve">nevertheless qualify if they had no interruption of social cover </w:t>
      </w:r>
      <w:r w:rsidRPr="000C0E58" w:rsidR="008C1AC7">
        <w:rPr>
          <w:rFonts w:ascii="Times New Roman" w:hAnsi="Times New Roman" w:cs="Times New Roman"/>
          <w:szCs w:val="24"/>
          <w:lang w:val="en-GB"/>
        </w:rPr>
        <w:t xml:space="preserve">exceeding </w:t>
      </w:r>
      <w:r w:rsidRPr="000C0E58">
        <w:rPr>
          <w:rFonts w:ascii="Times New Roman" w:hAnsi="Times New Roman" w:cs="Times New Roman"/>
          <w:szCs w:val="24"/>
          <w:lang w:val="en-GB"/>
        </w:rPr>
        <w:t>30 days throughout their career</w:t>
      </w:r>
      <w:r w:rsidRPr="000C0E58" w:rsidR="00BF2B45">
        <w:rPr>
          <w:rFonts w:ascii="Times New Roman" w:hAnsi="Times New Roman" w:cs="Times New Roman"/>
          <w:szCs w:val="24"/>
          <w:lang w:val="en-GB"/>
        </w:rPr>
        <w:t>s</w:t>
      </w:r>
      <w:r w:rsidRPr="000C0E58">
        <w:rPr>
          <w:rFonts w:ascii="Times New Roman" w:hAnsi="Times New Roman" w:cs="Times New Roman"/>
          <w:szCs w:val="24"/>
          <w:lang w:val="en-GB"/>
        </w:rPr>
        <w:t xml:space="preserve">, or if they were in receipt of a disability pension </w:t>
      </w:r>
      <w:r w:rsidRPr="000C0E58" w:rsidR="00BF2B45">
        <w:rPr>
          <w:rFonts w:ascii="Times New Roman" w:hAnsi="Times New Roman" w:cs="Times New Roman"/>
          <w:szCs w:val="24"/>
          <w:lang w:val="en-GB"/>
        </w:rPr>
        <w:t>or rehabilitati</w:t>
      </w:r>
      <w:r w:rsidRPr="000C0E58">
        <w:rPr>
          <w:rFonts w:ascii="Times New Roman" w:hAnsi="Times New Roman" w:cs="Times New Roman"/>
          <w:szCs w:val="24"/>
          <w:lang w:val="en-GB"/>
        </w:rPr>
        <w:t xml:space="preserve">on </w:t>
      </w:r>
      <w:r w:rsidRPr="000C0E58" w:rsidR="00BF2B45">
        <w:rPr>
          <w:rFonts w:ascii="Times New Roman" w:hAnsi="Times New Roman" w:cs="Times New Roman"/>
          <w:szCs w:val="24"/>
          <w:lang w:val="en-GB"/>
        </w:rPr>
        <w:t xml:space="preserve">allowance on </w:t>
      </w:r>
      <w:r w:rsidRPr="000C0E58">
        <w:rPr>
          <w:rFonts w:ascii="Times New Roman" w:hAnsi="Times New Roman" w:cs="Times New Roman"/>
          <w:szCs w:val="24"/>
          <w:lang w:val="en-GB"/>
        </w:rPr>
        <w:t>31 December 2011.</w:t>
      </w:r>
    </w:p>
    <w:p w:rsidRPr="000C0E58" w:rsidR="00C1646D" w:rsidP="000C0E58">
      <w:pPr>
        <w:pStyle w:val="ECHRPara"/>
        <w:rPr>
          <w:rFonts w:ascii="Times New Roman" w:hAnsi="Times New Roman" w:cs="Times New Roman"/>
          <w:szCs w:val="24"/>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19</w:t>
      </w:r>
      <w:r w:rsidRPr="000C0E58">
        <w:rPr>
          <w:lang w:val="en-GB"/>
        </w:rPr>
        <w:fldChar w:fldCharType="end"/>
      </w:r>
      <w:r w:rsidRPr="000C0E58">
        <w:rPr>
          <w:lang w:val="en-GB"/>
        </w:rPr>
        <w:t>.  </w:t>
      </w:r>
      <w:r w:rsidRPr="000C0E58" w:rsidR="00AA15C5">
        <w:rPr>
          <w:rFonts w:ascii="Times New Roman" w:hAnsi="Times New Roman" w:cs="Times New Roman"/>
          <w:szCs w:val="24"/>
          <w:lang w:val="en-GB"/>
        </w:rPr>
        <w:t>On 20</w:t>
      </w:r>
      <w:r w:rsidRPr="000C0E58">
        <w:rPr>
          <w:rFonts w:ascii="Times New Roman" w:hAnsi="Times New Roman" w:cs="Times New Roman"/>
          <w:szCs w:val="24"/>
          <w:lang w:val="en-GB"/>
        </w:rPr>
        <w:t xml:space="preserve"> February 2012 the applicant submitted another request for disability allowance</w:t>
      </w:r>
      <w:r w:rsidRPr="000C0E58" w:rsidR="00DF422F">
        <w:rPr>
          <w:rFonts w:ascii="Times New Roman" w:hAnsi="Times New Roman" w:cs="Times New Roman"/>
          <w:szCs w:val="24"/>
          <w:lang w:val="en-GB"/>
        </w:rPr>
        <w:t xml:space="preserve"> (</w:t>
      </w:r>
      <w:r w:rsidRPr="000C0E58" w:rsidR="00DF422F">
        <w:rPr>
          <w:rFonts w:ascii="Times New Roman" w:hAnsi="Times New Roman" w:cs="Times New Roman"/>
          <w:i/>
          <w:szCs w:val="24"/>
          <w:lang w:val="en-GB"/>
        </w:rPr>
        <w:t>rokkantsági ellátás</w:t>
      </w:r>
      <w:r w:rsidRPr="000C0E58" w:rsidR="00DF422F">
        <w:rPr>
          <w:rFonts w:ascii="Times New Roman" w:hAnsi="Times New Roman" w:cs="Times New Roman"/>
          <w:szCs w:val="24"/>
          <w:lang w:val="en-GB"/>
        </w:rPr>
        <w:t>)</w:t>
      </w:r>
      <w:r w:rsidRPr="000C0E58">
        <w:rPr>
          <w:rFonts w:ascii="Times New Roman" w:hAnsi="Times New Roman" w:cs="Times New Roman"/>
          <w:szCs w:val="24"/>
          <w:lang w:val="en-GB"/>
        </w:rPr>
        <w:t>. Her condition was assessed in April 2012, leading to the finding of 50</w:t>
      </w:r>
      <w:r w:rsidRPr="000C0E58" w:rsidR="008C1AC7">
        <w:rPr>
          <w:rFonts w:ascii="Times New Roman" w:hAnsi="Times New Roman" w:cs="Times New Roman"/>
          <w:szCs w:val="24"/>
          <w:lang w:val="en-GB"/>
        </w:rPr>
        <w:t>%</w:t>
      </w:r>
      <w:r w:rsidRPr="000C0E58">
        <w:rPr>
          <w:rFonts w:ascii="Times New Roman" w:hAnsi="Times New Roman" w:cs="Times New Roman"/>
          <w:szCs w:val="24"/>
          <w:lang w:val="en-GB"/>
        </w:rPr>
        <w:t xml:space="preserve"> disability. On 5 June 2012 her request was dismissed because she did not have the requisite period of social cover. Rehabilitation was not envisaged. The next assessment was scheduled for April 2014.</w:t>
      </w:r>
    </w:p>
    <w:p w:rsidRPr="000C0E58" w:rsidR="007741CE"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20</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xml:space="preserve">.  Between 1 July and 7 August 2012 the applicant was employed by </w:t>
      </w:r>
      <w:r w:rsidRPr="000C0E58" w:rsidR="004739A3">
        <w:rPr>
          <w:rFonts w:ascii="Times New Roman" w:hAnsi="Times New Roman" w:cs="Times New Roman"/>
          <w:szCs w:val="24"/>
          <w:lang w:val="en-GB"/>
        </w:rPr>
        <w:t xml:space="preserve">the </w:t>
      </w:r>
      <w:r w:rsidRPr="000C0E58">
        <w:rPr>
          <w:rFonts w:ascii="Times New Roman" w:hAnsi="Times New Roman" w:cs="Times New Roman"/>
          <w:szCs w:val="24"/>
          <w:lang w:val="en-GB"/>
        </w:rPr>
        <w:t>Mayor</w:t>
      </w:r>
      <w:r w:rsidRPr="000C0E58" w:rsidR="000C0E58">
        <w:rPr>
          <w:rFonts w:ascii="Times New Roman" w:hAnsi="Times New Roman" w:cs="Times New Roman"/>
          <w:szCs w:val="24"/>
          <w:lang w:val="en-GB"/>
        </w:rPr>
        <w:t>’</w:t>
      </w:r>
      <w:r w:rsidRPr="000C0E58">
        <w:rPr>
          <w:rFonts w:ascii="Times New Roman" w:hAnsi="Times New Roman" w:cs="Times New Roman"/>
          <w:szCs w:val="24"/>
          <w:lang w:val="en-GB"/>
        </w:rPr>
        <w:t xml:space="preserve">s Office </w:t>
      </w:r>
      <w:r w:rsidRPr="000C0E58" w:rsidR="004739A3">
        <w:rPr>
          <w:rFonts w:ascii="Times New Roman" w:hAnsi="Times New Roman" w:cs="Times New Roman"/>
          <w:szCs w:val="24"/>
          <w:lang w:val="en-GB"/>
        </w:rPr>
        <w:t xml:space="preserve">in </w:t>
      </w:r>
      <w:r w:rsidRPr="000C0E58">
        <w:rPr>
          <w:rFonts w:ascii="Times New Roman" w:hAnsi="Times New Roman" w:cs="Times New Roman"/>
          <w:szCs w:val="24"/>
          <w:lang w:val="en-GB"/>
        </w:rPr>
        <w:t>Baktalórántháza.</w:t>
      </w:r>
    </w:p>
    <w:p w:rsidRPr="000C0E58" w:rsidR="00105F40" w:rsidP="000C0E58">
      <w:pPr>
        <w:pStyle w:val="ECHRPara"/>
        <w:rPr>
          <w:rFonts w:ascii="Times New Roman" w:hAnsi="Times New Roman" w:cs="Times New Roman"/>
          <w:szCs w:val="24"/>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21</w:t>
      </w:r>
      <w:r w:rsidRPr="000C0E58">
        <w:rPr>
          <w:lang w:val="en-GB"/>
        </w:rPr>
        <w:fldChar w:fldCharType="end"/>
      </w:r>
      <w:r w:rsidRPr="000C0E58">
        <w:rPr>
          <w:lang w:val="en-GB"/>
        </w:rPr>
        <w:t>.  </w:t>
      </w:r>
      <w:r w:rsidRPr="000C0E58">
        <w:rPr>
          <w:rFonts w:ascii="Times New Roman" w:hAnsi="Times New Roman" w:cs="Times New Roman"/>
          <w:szCs w:val="24"/>
          <w:lang w:val="en-GB"/>
        </w:rPr>
        <w:t xml:space="preserve">On </w:t>
      </w:r>
      <w:r w:rsidRPr="000C0E58" w:rsidR="00AA15C5">
        <w:rPr>
          <w:rFonts w:ascii="Times New Roman" w:hAnsi="Times New Roman" w:cs="Times New Roman"/>
          <w:szCs w:val="24"/>
          <w:lang w:val="en-GB"/>
        </w:rPr>
        <w:t>15</w:t>
      </w:r>
      <w:r w:rsidRPr="000C0E58">
        <w:rPr>
          <w:rFonts w:ascii="Times New Roman" w:hAnsi="Times New Roman" w:cs="Times New Roman"/>
          <w:szCs w:val="24"/>
          <w:lang w:val="en-GB"/>
        </w:rPr>
        <w:t xml:space="preserve"> August 2012 the applicant submitted a fresh request for disability pension under the new law</w:t>
      </w:r>
      <w:r w:rsidRPr="000C0E58" w:rsidR="00AA15C5">
        <w:rPr>
          <w:rFonts w:ascii="Times New Roman" w:hAnsi="Times New Roman" w:cs="Times New Roman"/>
          <w:szCs w:val="24"/>
          <w:lang w:val="en-GB"/>
        </w:rPr>
        <w:t xml:space="preserve">. She </w:t>
      </w:r>
      <w:r w:rsidRPr="000C0E58">
        <w:rPr>
          <w:rFonts w:ascii="Times New Roman" w:hAnsi="Times New Roman" w:cs="Times New Roman"/>
          <w:szCs w:val="24"/>
          <w:lang w:val="en-GB"/>
        </w:rPr>
        <w:t>underwent another assessment</w:t>
      </w:r>
      <w:r w:rsidRPr="000C0E58" w:rsidR="004739A3">
        <w:rPr>
          <w:rFonts w:ascii="Times New Roman" w:hAnsi="Times New Roman" w:cs="Times New Roman"/>
          <w:szCs w:val="24"/>
          <w:lang w:val="en-GB"/>
        </w:rPr>
        <w:t xml:space="preserve">, during </w:t>
      </w:r>
      <w:r w:rsidRPr="000C0E58">
        <w:rPr>
          <w:rFonts w:ascii="Times New Roman" w:hAnsi="Times New Roman" w:cs="Times New Roman"/>
          <w:szCs w:val="24"/>
          <w:lang w:val="en-GB"/>
        </w:rPr>
        <w:t xml:space="preserve">which </w:t>
      </w:r>
      <w:r w:rsidRPr="000C0E58" w:rsidR="004739A3">
        <w:rPr>
          <w:rFonts w:ascii="Times New Roman" w:hAnsi="Times New Roman" w:cs="Times New Roman"/>
          <w:szCs w:val="24"/>
          <w:lang w:val="en-GB"/>
        </w:rPr>
        <w:t xml:space="preserve">her degree of </w:t>
      </w:r>
      <w:r w:rsidRPr="000C0E58">
        <w:rPr>
          <w:rFonts w:ascii="Times New Roman" w:hAnsi="Times New Roman" w:cs="Times New Roman"/>
          <w:szCs w:val="24"/>
          <w:lang w:val="en-GB"/>
        </w:rPr>
        <w:t>disability was again established at 50</w:t>
      </w:r>
      <w:r w:rsidRPr="000C0E58" w:rsidR="004739A3">
        <w:rPr>
          <w:rFonts w:ascii="Times New Roman" w:hAnsi="Times New Roman" w:cs="Times New Roman"/>
          <w:szCs w:val="24"/>
          <w:lang w:val="en-GB"/>
        </w:rPr>
        <w:t>%</w:t>
      </w:r>
      <w:r w:rsidRPr="000C0E58">
        <w:rPr>
          <w:rFonts w:ascii="Times New Roman" w:hAnsi="Times New Roman" w:cs="Times New Roman"/>
          <w:szCs w:val="24"/>
          <w:lang w:val="en-GB"/>
        </w:rPr>
        <w:t>. Rehabilitation was not envisaged.</w:t>
      </w:r>
    </w:p>
    <w:p w:rsidRPr="000C0E58" w:rsidR="0067693E"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22</w:t>
      </w:r>
      <w:r w:rsidRPr="000C0E58">
        <w:rPr>
          <w:lang w:val="en-GB"/>
        </w:rPr>
        <w:fldChar w:fldCharType="end"/>
      </w:r>
      <w:r w:rsidRPr="000C0E58">
        <w:rPr>
          <w:lang w:val="en-GB"/>
        </w:rPr>
        <w:t>.  </w:t>
      </w:r>
      <w:r w:rsidRPr="000C0E58">
        <w:rPr>
          <w:rFonts w:ascii="Times New Roman" w:hAnsi="Times New Roman" w:cs="Times New Roman"/>
          <w:szCs w:val="24"/>
          <w:lang w:val="en-GB"/>
        </w:rPr>
        <w:t xml:space="preserve">In principle, such a level of disability would </w:t>
      </w:r>
      <w:r w:rsidRPr="000C0E58" w:rsidR="00E43686">
        <w:rPr>
          <w:rFonts w:ascii="Times New Roman" w:hAnsi="Times New Roman" w:cs="Times New Roman"/>
          <w:szCs w:val="24"/>
          <w:lang w:val="en-GB"/>
        </w:rPr>
        <w:t xml:space="preserve">have </w:t>
      </w:r>
      <w:r w:rsidRPr="000C0E58">
        <w:rPr>
          <w:rFonts w:ascii="Times New Roman" w:hAnsi="Times New Roman" w:cs="Times New Roman"/>
          <w:szCs w:val="24"/>
          <w:lang w:val="en-GB"/>
        </w:rPr>
        <w:t>entitle</w:t>
      </w:r>
      <w:r w:rsidRPr="000C0E58" w:rsidR="00E43686">
        <w:rPr>
          <w:rFonts w:ascii="Times New Roman" w:hAnsi="Times New Roman" w:cs="Times New Roman"/>
          <w:szCs w:val="24"/>
          <w:lang w:val="en-GB"/>
        </w:rPr>
        <w:t>d</w:t>
      </w:r>
      <w:r w:rsidRPr="000C0E58">
        <w:rPr>
          <w:rFonts w:ascii="Times New Roman" w:hAnsi="Times New Roman" w:cs="Times New Roman"/>
          <w:szCs w:val="24"/>
          <w:lang w:val="en-GB"/>
        </w:rPr>
        <w:t xml:space="preserve"> the applicant to a disability </w:t>
      </w:r>
      <w:r w:rsidRPr="000C0E58" w:rsidR="00BF2B45">
        <w:rPr>
          <w:rFonts w:ascii="Times New Roman" w:hAnsi="Times New Roman" w:cs="Times New Roman"/>
          <w:szCs w:val="24"/>
          <w:lang w:val="en-GB"/>
        </w:rPr>
        <w:t>allowance</w:t>
      </w:r>
      <w:r w:rsidRPr="000C0E58">
        <w:rPr>
          <w:rFonts w:ascii="Times New Roman" w:hAnsi="Times New Roman" w:cs="Times New Roman"/>
          <w:szCs w:val="24"/>
          <w:lang w:val="en-GB"/>
        </w:rPr>
        <w:t xml:space="preserve"> under the new system. However, since her disability pension had been terminated in February 2010 (that is, she was not in receipt of a disability pension </w:t>
      </w:r>
      <w:r w:rsidRPr="000C0E58" w:rsidR="00BF2B45">
        <w:rPr>
          <w:rFonts w:ascii="Times New Roman" w:hAnsi="Times New Roman" w:cs="Times New Roman"/>
          <w:szCs w:val="24"/>
          <w:lang w:val="en-GB"/>
        </w:rPr>
        <w:t xml:space="preserve">or a rehabilitation allowance </w:t>
      </w:r>
      <w:r w:rsidRPr="000C0E58">
        <w:rPr>
          <w:rFonts w:ascii="Times New Roman" w:hAnsi="Times New Roman" w:cs="Times New Roman"/>
          <w:szCs w:val="24"/>
          <w:lang w:val="en-GB"/>
        </w:rPr>
        <w:t>on 31</w:t>
      </w:r>
      <w:r w:rsidRPr="000C0E58" w:rsidR="00BF2B45">
        <w:rPr>
          <w:rFonts w:ascii="Times New Roman" w:hAnsi="Times New Roman" w:cs="Times New Roman"/>
          <w:szCs w:val="24"/>
          <w:lang w:val="en-GB"/>
        </w:rPr>
        <w:t> </w:t>
      </w:r>
      <w:r w:rsidRPr="000C0E58">
        <w:rPr>
          <w:rFonts w:ascii="Times New Roman" w:hAnsi="Times New Roman" w:cs="Times New Roman"/>
          <w:szCs w:val="24"/>
          <w:lang w:val="en-GB"/>
        </w:rPr>
        <w:t xml:space="preserve">December 2011) and, moreover, she </w:t>
      </w:r>
      <w:r w:rsidRPr="000C0E58" w:rsidR="00752581">
        <w:rPr>
          <w:rFonts w:ascii="Times New Roman" w:hAnsi="Times New Roman" w:cs="Times New Roman"/>
          <w:szCs w:val="24"/>
          <w:lang w:val="en-GB"/>
        </w:rPr>
        <w:t xml:space="preserve">had not </w:t>
      </w:r>
      <w:r w:rsidRPr="000C0E58">
        <w:rPr>
          <w:rFonts w:ascii="Times New Roman" w:hAnsi="Times New Roman" w:cs="Times New Roman"/>
          <w:szCs w:val="24"/>
          <w:lang w:val="en-GB"/>
        </w:rPr>
        <w:t>accumulate</w:t>
      </w:r>
      <w:r w:rsidRPr="000C0E58" w:rsidR="00752581">
        <w:rPr>
          <w:rFonts w:ascii="Times New Roman" w:hAnsi="Times New Roman" w:cs="Times New Roman"/>
          <w:szCs w:val="24"/>
          <w:lang w:val="en-GB"/>
        </w:rPr>
        <w:t>d</w:t>
      </w:r>
      <w:r w:rsidRPr="000C0E58">
        <w:rPr>
          <w:rFonts w:ascii="Times New Roman" w:hAnsi="Times New Roman" w:cs="Times New Roman"/>
          <w:szCs w:val="24"/>
          <w:lang w:val="en-GB"/>
        </w:rPr>
        <w:t xml:space="preserve"> the requisite number of days</w:t>
      </w:r>
      <w:r w:rsidRPr="000C0E58" w:rsidR="004739A3">
        <w:rPr>
          <w:rFonts w:ascii="Times New Roman" w:hAnsi="Times New Roman" w:cs="Times New Roman"/>
          <w:szCs w:val="24"/>
          <w:lang w:val="en-GB"/>
        </w:rPr>
        <w:t xml:space="preserve"> of </w:t>
      </w:r>
      <w:r w:rsidRPr="000C0E58">
        <w:rPr>
          <w:rFonts w:ascii="Times New Roman" w:hAnsi="Times New Roman" w:cs="Times New Roman"/>
          <w:szCs w:val="24"/>
          <w:lang w:val="en-GB"/>
        </w:rPr>
        <w:t>social</w:t>
      </w:r>
      <w:r w:rsidRPr="000C0E58" w:rsidR="004739A3">
        <w:rPr>
          <w:rFonts w:ascii="Times New Roman" w:hAnsi="Times New Roman" w:cs="Times New Roman"/>
          <w:szCs w:val="24"/>
          <w:lang w:val="en-GB"/>
        </w:rPr>
        <w:t>-</w:t>
      </w:r>
      <w:r w:rsidRPr="000C0E58">
        <w:rPr>
          <w:rFonts w:ascii="Times New Roman" w:hAnsi="Times New Roman" w:cs="Times New Roman"/>
          <w:szCs w:val="24"/>
          <w:lang w:val="en-GB"/>
        </w:rPr>
        <w:t xml:space="preserve">security </w:t>
      </w:r>
      <w:r w:rsidRPr="000C0E58" w:rsidR="004739A3">
        <w:rPr>
          <w:rFonts w:ascii="Times New Roman" w:hAnsi="Times New Roman" w:cs="Times New Roman"/>
          <w:szCs w:val="24"/>
          <w:lang w:val="en-GB"/>
        </w:rPr>
        <w:t xml:space="preserve">cover </w:t>
      </w:r>
      <w:r w:rsidRPr="000C0E58">
        <w:rPr>
          <w:rFonts w:ascii="Times New Roman" w:hAnsi="Times New Roman" w:cs="Times New Roman"/>
          <w:szCs w:val="24"/>
          <w:lang w:val="en-GB"/>
        </w:rPr>
        <w:t>or demonstrate</w:t>
      </w:r>
      <w:r w:rsidRPr="000C0E58" w:rsidR="00752581">
        <w:rPr>
          <w:rFonts w:ascii="Times New Roman" w:hAnsi="Times New Roman" w:cs="Times New Roman"/>
          <w:szCs w:val="24"/>
          <w:lang w:val="en-GB"/>
        </w:rPr>
        <w:t>d</w:t>
      </w:r>
      <w:r w:rsidRPr="000C0E58">
        <w:rPr>
          <w:rFonts w:ascii="Times New Roman" w:hAnsi="Times New Roman" w:cs="Times New Roman"/>
          <w:szCs w:val="24"/>
          <w:lang w:val="en-GB"/>
        </w:rPr>
        <w:t xml:space="preserve"> uninterrupted social cover, she was not eligible, under any title, for a disability allowance under the new system. Instead of the requisite 1,095 days covered by social security</w:t>
      </w:r>
      <w:r w:rsidRPr="000C0E58" w:rsidR="00D67F9F">
        <w:rPr>
          <w:rFonts w:ascii="Times New Roman" w:hAnsi="Times New Roman" w:cs="Times New Roman"/>
          <w:szCs w:val="24"/>
          <w:lang w:val="en-GB"/>
        </w:rPr>
        <w:t xml:space="preserve"> in the five preceding years</w:t>
      </w:r>
      <w:r w:rsidRPr="000C0E58">
        <w:rPr>
          <w:rFonts w:ascii="Times New Roman" w:hAnsi="Times New Roman" w:cs="Times New Roman"/>
          <w:szCs w:val="24"/>
          <w:lang w:val="en-GB"/>
        </w:rPr>
        <w:t xml:space="preserve">, the applicant had </w:t>
      </w:r>
      <w:r w:rsidRPr="000C0E58" w:rsidR="007F3D62">
        <w:rPr>
          <w:rFonts w:ascii="Times New Roman" w:hAnsi="Times New Roman" w:cs="Times New Roman"/>
          <w:szCs w:val="24"/>
          <w:lang w:val="en-GB"/>
        </w:rPr>
        <w:t>been covered for </w:t>
      </w:r>
      <w:r w:rsidRPr="000C0E58">
        <w:rPr>
          <w:rFonts w:ascii="Times New Roman" w:hAnsi="Times New Roman" w:cs="Times New Roman"/>
          <w:szCs w:val="24"/>
          <w:lang w:val="en-GB"/>
        </w:rPr>
        <w:t>947</w:t>
      </w:r>
      <w:r w:rsidRPr="000C0E58" w:rsidR="007F3D62">
        <w:rPr>
          <w:rFonts w:ascii="Times New Roman" w:hAnsi="Times New Roman" w:cs="Times New Roman"/>
          <w:szCs w:val="24"/>
          <w:lang w:val="en-GB"/>
        </w:rPr>
        <w:t> days</w:t>
      </w:r>
      <w:r w:rsidRPr="000C0E58">
        <w:rPr>
          <w:rFonts w:ascii="Times New Roman" w:hAnsi="Times New Roman" w:cs="Times New Roman"/>
          <w:szCs w:val="24"/>
          <w:lang w:val="en-GB"/>
        </w:rPr>
        <w:t>.</w:t>
      </w:r>
      <w:r w:rsidRPr="000C0E58">
        <w:rPr>
          <w:lang w:val="en-GB"/>
        </w:rPr>
        <w:t xml:space="preserve"> According to the Government, had the law not been so </w:t>
      </w:r>
      <w:r w:rsidRPr="000C0E58">
        <w:rPr>
          <w:lang w:val="en-GB"/>
        </w:rPr>
        <w:t>amended, the applicant would again have become eligible for a disability pension</w:t>
      </w:r>
      <w:r w:rsidRPr="000C0E58" w:rsidR="007F3D62">
        <w:rPr>
          <w:lang w:val="en-GB"/>
        </w:rPr>
        <w:t>,</w:t>
      </w:r>
      <w:r w:rsidRPr="000C0E58">
        <w:rPr>
          <w:lang w:val="en-GB"/>
        </w:rPr>
        <w:t xml:space="preserve"> since her health impairment was again assessed as exceeding the relevant threshold in 2012.</w:t>
      </w:r>
    </w:p>
    <w:p w:rsidRPr="000C0E58" w:rsidR="00C1646D"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23</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w:t>
      </w:r>
      <w:r w:rsidRPr="000C0E58" w:rsidR="00AA15C5">
        <w:rPr>
          <w:rFonts w:ascii="Times New Roman" w:hAnsi="Times New Roman" w:cs="Times New Roman"/>
          <w:szCs w:val="24"/>
          <w:lang w:val="en-GB"/>
        </w:rPr>
        <w:t>T</w:t>
      </w:r>
      <w:r w:rsidRPr="000C0E58">
        <w:rPr>
          <w:rFonts w:ascii="Times New Roman" w:hAnsi="Times New Roman" w:cs="Times New Roman"/>
          <w:szCs w:val="24"/>
          <w:lang w:val="en-GB"/>
        </w:rPr>
        <w:t>he applicant</w:t>
      </w:r>
      <w:r w:rsidRPr="000C0E58" w:rsidR="000C0E58">
        <w:rPr>
          <w:rFonts w:ascii="Times New Roman" w:hAnsi="Times New Roman" w:cs="Times New Roman"/>
          <w:szCs w:val="24"/>
          <w:lang w:val="en-GB"/>
        </w:rPr>
        <w:t>’</w:t>
      </w:r>
      <w:r w:rsidRPr="000C0E58">
        <w:rPr>
          <w:rFonts w:ascii="Times New Roman" w:hAnsi="Times New Roman" w:cs="Times New Roman"/>
          <w:szCs w:val="24"/>
          <w:lang w:val="en-GB"/>
        </w:rPr>
        <w:t xml:space="preserve">s </w:t>
      </w:r>
      <w:r w:rsidRPr="000C0E58" w:rsidR="00BF2B45">
        <w:rPr>
          <w:rFonts w:ascii="Times New Roman" w:hAnsi="Times New Roman" w:cs="Times New Roman"/>
          <w:szCs w:val="24"/>
          <w:lang w:val="en-GB"/>
        </w:rPr>
        <w:t>request</w:t>
      </w:r>
      <w:r w:rsidRPr="000C0E58">
        <w:rPr>
          <w:rFonts w:ascii="Times New Roman" w:hAnsi="Times New Roman" w:cs="Times New Roman"/>
          <w:szCs w:val="24"/>
          <w:lang w:val="en-GB"/>
        </w:rPr>
        <w:t xml:space="preserve"> was refused </w:t>
      </w:r>
      <w:r w:rsidRPr="000C0E58" w:rsidR="00AA757F">
        <w:rPr>
          <w:lang w:val="en-GB"/>
        </w:rPr>
        <w:t>by the</w:t>
      </w:r>
      <w:r w:rsidRPr="000C0E58" w:rsidR="007F3D62">
        <w:rPr>
          <w:lang w:val="en-GB"/>
        </w:rPr>
        <w:t xml:space="preserve"> relevant </w:t>
      </w:r>
      <w:r w:rsidRPr="000C0E58" w:rsidR="00AA757F">
        <w:rPr>
          <w:lang w:val="en-GB"/>
        </w:rPr>
        <w:t>a</w:t>
      </w:r>
      <w:r w:rsidRPr="000C0E58" w:rsidR="00AA15C5">
        <w:rPr>
          <w:lang w:val="en-GB"/>
        </w:rPr>
        <w:t>uthority of Szabolcs-Szatmár-Bereg County on 23 November 2012 and, on appeal, by the National Rehabilitation and Social Welfare Authority on 27 F</w:t>
      </w:r>
      <w:r w:rsidRPr="000C0E58" w:rsidR="00AA757F">
        <w:rPr>
          <w:lang w:val="en-GB"/>
        </w:rPr>
        <w:t xml:space="preserve">ebruary 2013. On 27 March 2013 </w:t>
      </w:r>
      <w:r w:rsidRPr="000C0E58" w:rsidR="00AA15C5">
        <w:rPr>
          <w:lang w:val="en-GB"/>
        </w:rPr>
        <w:t>the applicant filed an action with the Nyíregyháza Administrative and Labour Court, challenging the</w:t>
      </w:r>
      <w:r w:rsidRPr="000C0E58" w:rsidR="0051550C">
        <w:rPr>
          <w:lang w:val="en-GB"/>
        </w:rPr>
        <w:t>se</w:t>
      </w:r>
      <w:r w:rsidRPr="000C0E58" w:rsidR="00AA15C5">
        <w:rPr>
          <w:lang w:val="en-GB"/>
        </w:rPr>
        <w:t xml:space="preserve"> administrative decision</w:t>
      </w:r>
      <w:r w:rsidRPr="000C0E58" w:rsidR="0051550C">
        <w:rPr>
          <w:lang w:val="en-GB"/>
        </w:rPr>
        <w:t>s</w:t>
      </w:r>
      <w:r w:rsidRPr="000C0E58" w:rsidR="00AA15C5">
        <w:rPr>
          <w:lang w:val="en-GB"/>
        </w:rPr>
        <w:t>. On 20 June 2013 the court dismissed her case. This judgment was not subject to appeal</w:t>
      </w:r>
      <w:r w:rsidRPr="000C0E58" w:rsidR="00AA757F">
        <w:rPr>
          <w:lang w:val="en-GB"/>
        </w:rPr>
        <w:t>.</w:t>
      </w:r>
    </w:p>
    <w:p w:rsidRPr="000C0E58" w:rsidR="00C1646D"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24</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w:t>
      </w:r>
      <w:r w:rsidRPr="000C0E58" w:rsidR="004739A3">
        <w:rPr>
          <w:rFonts w:ascii="Times New Roman" w:hAnsi="Times New Roman" w:cs="Times New Roman"/>
          <w:szCs w:val="24"/>
          <w:lang w:val="en-GB"/>
        </w:rPr>
        <w:t xml:space="preserve">From </w:t>
      </w:r>
      <w:r w:rsidRPr="000C0E58">
        <w:rPr>
          <w:rFonts w:ascii="Times New Roman" w:hAnsi="Times New Roman" w:cs="Times New Roman"/>
          <w:szCs w:val="24"/>
          <w:lang w:val="en-GB"/>
        </w:rPr>
        <w:t xml:space="preserve">1 January 2014 the impugned legislative criteria </w:t>
      </w:r>
      <w:r w:rsidRPr="000C0E58" w:rsidR="004739A3">
        <w:rPr>
          <w:rFonts w:ascii="Times New Roman" w:hAnsi="Times New Roman" w:cs="Times New Roman"/>
          <w:szCs w:val="24"/>
          <w:lang w:val="en-GB"/>
        </w:rPr>
        <w:t xml:space="preserve">were </w:t>
      </w:r>
      <w:r w:rsidRPr="000C0E58">
        <w:rPr>
          <w:rFonts w:ascii="Times New Roman" w:hAnsi="Times New Roman" w:cs="Times New Roman"/>
          <w:szCs w:val="24"/>
          <w:lang w:val="en-GB"/>
        </w:rPr>
        <w:t xml:space="preserve">amended with a view to extending eligibility to those who have accumulated either 2,555 days </w:t>
      </w:r>
      <w:r w:rsidRPr="000C0E58" w:rsidR="004739A3">
        <w:rPr>
          <w:rFonts w:ascii="Times New Roman" w:hAnsi="Times New Roman" w:cs="Times New Roman"/>
          <w:szCs w:val="24"/>
          <w:lang w:val="en-GB"/>
        </w:rPr>
        <w:t xml:space="preserve">of social-security </w:t>
      </w:r>
      <w:r w:rsidRPr="000C0E58">
        <w:rPr>
          <w:rFonts w:ascii="Times New Roman" w:hAnsi="Times New Roman" w:cs="Times New Roman"/>
          <w:szCs w:val="24"/>
          <w:lang w:val="en-GB"/>
        </w:rPr>
        <w:t>cover</w:t>
      </w:r>
      <w:r w:rsidRPr="000C0E58" w:rsidR="004739A3">
        <w:rPr>
          <w:rFonts w:ascii="Times New Roman" w:hAnsi="Times New Roman" w:cs="Times New Roman"/>
          <w:szCs w:val="24"/>
          <w:lang w:val="en-GB"/>
        </w:rPr>
        <w:t xml:space="preserve"> </w:t>
      </w:r>
      <w:r w:rsidRPr="000C0E58" w:rsidR="0051550C">
        <w:rPr>
          <w:rFonts w:ascii="Times New Roman" w:hAnsi="Times New Roman" w:cs="Times New Roman"/>
          <w:szCs w:val="24"/>
          <w:lang w:val="en-GB"/>
        </w:rPr>
        <w:t xml:space="preserve">over </w:t>
      </w:r>
      <w:r w:rsidRPr="000C0E58">
        <w:rPr>
          <w:rFonts w:ascii="Times New Roman" w:hAnsi="Times New Roman" w:cs="Times New Roman"/>
          <w:szCs w:val="24"/>
          <w:lang w:val="en-GB"/>
        </w:rPr>
        <w:t>ten years or 3,650</w:t>
      </w:r>
      <w:r w:rsidRPr="000C0E58" w:rsidR="0051550C">
        <w:rPr>
          <w:rFonts w:ascii="Times New Roman" w:hAnsi="Times New Roman" w:cs="Times New Roman"/>
          <w:szCs w:val="24"/>
          <w:lang w:val="en-GB"/>
        </w:rPr>
        <w:t> </w:t>
      </w:r>
      <w:r w:rsidRPr="000C0E58">
        <w:rPr>
          <w:rFonts w:ascii="Times New Roman" w:hAnsi="Times New Roman" w:cs="Times New Roman"/>
          <w:szCs w:val="24"/>
          <w:lang w:val="en-GB"/>
        </w:rPr>
        <w:t xml:space="preserve">days </w:t>
      </w:r>
      <w:r w:rsidRPr="000C0E58" w:rsidR="0051550C">
        <w:rPr>
          <w:rFonts w:ascii="Times New Roman" w:hAnsi="Times New Roman" w:cs="Times New Roman"/>
          <w:szCs w:val="24"/>
          <w:lang w:val="en-GB"/>
        </w:rPr>
        <w:t xml:space="preserve">over </w:t>
      </w:r>
      <w:r w:rsidRPr="000C0E58">
        <w:rPr>
          <w:rFonts w:ascii="Times New Roman" w:hAnsi="Times New Roman" w:cs="Times New Roman"/>
          <w:szCs w:val="24"/>
          <w:lang w:val="en-GB"/>
        </w:rPr>
        <w:t xml:space="preserve">fifteen years. However, the applicant </w:t>
      </w:r>
      <w:r w:rsidRPr="000C0E58" w:rsidR="004739A3">
        <w:rPr>
          <w:rFonts w:ascii="Times New Roman" w:hAnsi="Times New Roman" w:cs="Times New Roman"/>
          <w:szCs w:val="24"/>
          <w:lang w:val="en-GB"/>
        </w:rPr>
        <w:t xml:space="preserve">does </w:t>
      </w:r>
      <w:r w:rsidRPr="000C0E58">
        <w:rPr>
          <w:rFonts w:ascii="Times New Roman" w:hAnsi="Times New Roman" w:cs="Times New Roman"/>
          <w:szCs w:val="24"/>
          <w:lang w:val="en-GB"/>
        </w:rPr>
        <w:t>not meet these criteria either.</w:t>
      </w:r>
    </w:p>
    <w:p w:rsidRPr="000C0E58" w:rsidR="00C1646D"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25</w:t>
      </w:r>
      <w:r w:rsidRPr="000C0E58">
        <w:rPr>
          <w:lang w:val="en-GB"/>
        </w:rPr>
        <w:fldChar w:fldCharType="end"/>
      </w:r>
      <w:r w:rsidRPr="000C0E58">
        <w:rPr>
          <w:lang w:val="en-GB"/>
        </w:rPr>
        <w:t>.  </w:t>
      </w:r>
      <w:r w:rsidRPr="000C0E58">
        <w:rPr>
          <w:lang w:val="en-GB"/>
        </w:rPr>
        <w:t xml:space="preserve">In 2011 and 2012 the applicant received a monthly </w:t>
      </w:r>
      <w:r w:rsidRPr="000C0E58" w:rsidR="004739A3">
        <w:rPr>
          <w:lang w:val="en-GB"/>
        </w:rPr>
        <w:t xml:space="preserve">housing </w:t>
      </w:r>
      <w:r w:rsidRPr="000C0E58">
        <w:rPr>
          <w:lang w:val="en-GB"/>
        </w:rPr>
        <w:t xml:space="preserve">allowance from the local municipality, in </w:t>
      </w:r>
      <w:r w:rsidRPr="000C0E58" w:rsidR="000C3597">
        <w:rPr>
          <w:lang w:val="en-GB"/>
        </w:rPr>
        <w:t>the</w:t>
      </w:r>
      <w:r w:rsidRPr="000C0E58" w:rsidR="008A6298">
        <w:rPr>
          <w:lang w:val="en-GB"/>
        </w:rPr>
        <w:t xml:space="preserve"> amount of HUF </w:t>
      </w:r>
      <w:r w:rsidRPr="000C0E58">
        <w:rPr>
          <w:lang w:val="en-GB"/>
        </w:rPr>
        <w:t>4,100 (EUR</w:t>
      </w:r>
      <w:r w:rsidRPr="000C0E58" w:rsidR="00E51D39">
        <w:rPr>
          <w:lang w:val="en-GB"/>
        </w:rPr>
        <w:t> </w:t>
      </w:r>
      <w:r w:rsidRPr="000C0E58">
        <w:rPr>
          <w:lang w:val="en-GB"/>
        </w:rPr>
        <w:t>1</w:t>
      </w:r>
      <w:r w:rsidRPr="000C0E58" w:rsidR="00E51D39">
        <w:rPr>
          <w:lang w:val="en-GB"/>
        </w:rPr>
        <w:t>4</w:t>
      </w:r>
      <w:r w:rsidRPr="000C0E58">
        <w:rPr>
          <w:lang w:val="en-GB"/>
        </w:rPr>
        <w:t>) in 2011 and HUF 5,400 (EUR 1</w:t>
      </w:r>
      <w:r w:rsidRPr="000C0E58" w:rsidR="00E51D39">
        <w:rPr>
          <w:lang w:val="en-GB"/>
        </w:rPr>
        <w:t>8</w:t>
      </w:r>
      <w:r w:rsidRPr="000C0E58">
        <w:rPr>
          <w:lang w:val="en-GB"/>
        </w:rPr>
        <w:t xml:space="preserve">) in 2012. The applicant also applied for </w:t>
      </w:r>
      <w:r w:rsidRPr="000C0E58" w:rsidR="00400FE4">
        <w:rPr>
          <w:lang w:val="en-GB"/>
        </w:rPr>
        <w:t xml:space="preserve">the basic welfare </w:t>
      </w:r>
      <w:r w:rsidRPr="000C0E58">
        <w:rPr>
          <w:lang w:val="en-GB"/>
        </w:rPr>
        <w:t>allowance</w:t>
      </w:r>
      <w:r w:rsidRPr="000C0E58" w:rsidR="00DF422F">
        <w:rPr>
          <w:lang w:val="en-GB"/>
        </w:rPr>
        <w:t xml:space="preserve"> (</w:t>
      </w:r>
      <w:r w:rsidRPr="000C0E58" w:rsidR="00DF422F">
        <w:rPr>
          <w:i/>
          <w:lang w:val="en-GB"/>
        </w:rPr>
        <w:t>rendszeres szociális segély</w:t>
      </w:r>
      <w:r w:rsidRPr="000C0E58" w:rsidR="00DF422F">
        <w:rPr>
          <w:lang w:val="en-GB"/>
        </w:rPr>
        <w:t>)</w:t>
      </w:r>
      <w:r w:rsidRPr="000C0E58">
        <w:rPr>
          <w:lang w:val="en-GB"/>
        </w:rPr>
        <w:t xml:space="preserve">, but her request was denied because </w:t>
      </w:r>
      <w:r w:rsidRPr="000C0E58" w:rsidR="000C3597">
        <w:rPr>
          <w:lang w:val="en-GB"/>
        </w:rPr>
        <w:t>she did not meet the statutory requirements</w:t>
      </w:r>
      <w:r w:rsidRPr="000C0E58">
        <w:rPr>
          <w:lang w:val="en-GB"/>
        </w:rPr>
        <w:t>.</w:t>
      </w:r>
    </w:p>
    <w:p w:rsidRPr="000C0E58" w:rsidR="00C1646D" w:rsidP="000C0E58">
      <w:pPr>
        <w:pStyle w:val="ECHRHeading1"/>
        <w:rPr>
          <w:lang w:val="en-GB"/>
        </w:rPr>
      </w:pPr>
      <w:r w:rsidRPr="000C0E58">
        <w:rPr>
          <w:lang w:val="en-GB"/>
        </w:rPr>
        <w:t>II.</w:t>
      </w:r>
      <w:r w:rsidRPr="000C0E58">
        <w:rPr>
          <w:lang w:val="en-GB"/>
        </w:rPr>
        <w:t>  RELEVANT</w:t>
      </w:r>
      <w:r w:rsidRPr="000C0E58">
        <w:rPr>
          <w:lang w:val="en-GB"/>
        </w:rPr>
        <w:t xml:space="preserve"> DOMESTIC LAW AND PRACTICE</w:t>
      </w:r>
    </w:p>
    <w:p w:rsidRPr="000C0E58" w:rsidR="00C1646D" w:rsidP="000C0E58">
      <w:pPr>
        <w:pStyle w:val="ECHRPara"/>
        <w:rPr>
          <w:rFonts w:ascii="Times New Roman" w:hAnsi="Times New Roman" w:cs="Times New Roman"/>
          <w:szCs w:val="24"/>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26</w:t>
      </w:r>
      <w:r w:rsidRPr="000C0E58">
        <w:rPr>
          <w:lang w:val="en-GB"/>
        </w:rPr>
        <w:fldChar w:fldCharType="end"/>
      </w:r>
      <w:r w:rsidRPr="000C0E58">
        <w:rPr>
          <w:lang w:val="en-GB"/>
        </w:rPr>
        <w:t>.  </w:t>
      </w:r>
      <w:r w:rsidRPr="000C0E58">
        <w:rPr>
          <w:rFonts w:ascii="Times New Roman" w:hAnsi="Times New Roman" w:cs="Times New Roman"/>
          <w:szCs w:val="24"/>
          <w:lang w:val="en-GB"/>
        </w:rPr>
        <w:t>Act no. XX of 1949 on the Constitution, as in force at the relevant time and until 31 December 2011, contained the following provisions:</w:t>
      </w:r>
    </w:p>
    <w:p w:rsidRPr="000C0E58" w:rsidR="00C1646D" w:rsidP="000C0E58">
      <w:pPr>
        <w:pStyle w:val="ECHRTitleCentre3"/>
        <w:rPr>
          <w:lang w:val="en-GB"/>
        </w:rPr>
      </w:pPr>
      <w:r w:rsidRPr="000C0E58">
        <w:rPr>
          <w:lang w:val="en-GB"/>
        </w:rPr>
        <w:t>Article 17</w:t>
      </w:r>
    </w:p>
    <w:p w:rsidRPr="000C0E58" w:rsidR="00C1646D" w:rsidP="000C0E58">
      <w:pPr>
        <w:pStyle w:val="ECHRParaQuote"/>
        <w:rPr>
          <w:rFonts w:ascii="Times New Roman" w:hAnsi="Times New Roman" w:cs="Times New Roman"/>
          <w:lang w:val="en-GB" w:bidi="en-US"/>
        </w:rPr>
      </w:pPr>
      <w:r w:rsidRPr="000C0E58">
        <w:rPr>
          <w:rFonts w:ascii="Times New Roman" w:hAnsi="Times New Roman" w:cs="Times New Roman"/>
          <w:lang w:val="en-GB" w:bidi="en-US"/>
        </w:rPr>
        <w:t>“The Republic of Hungary shall provide support for those in need through a wide range of social measures.”</w:t>
      </w:r>
    </w:p>
    <w:p w:rsidRPr="000C0E58" w:rsidR="00C1646D" w:rsidP="000C0E58">
      <w:pPr>
        <w:pStyle w:val="ECHRTitleCentre3"/>
        <w:rPr>
          <w:rFonts w:ascii="Times New Roman" w:hAnsi="Times New Roman" w:cs="Times New Roman"/>
          <w:lang w:val="en-GB"/>
        </w:rPr>
      </w:pPr>
      <w:r w:rsidRPr="000C0E58">
        <w:rPr>
          <w:rFonts w:ascii="Times New Roman" w:hAnsi="Times New Roman" w:cs="Times New Roman"/>
          <w:lang w:val="en-GB"/>
        </w:rPr>
        <w:t>Article 54 (1)</w:t>
      </w:r>
    </w:p>
    <w:p w:rsidRPr="000C0E58" w:rsidR="00C1646D" w:rsidP="000C0E58">
      <w:pPr>
        <w:pStyle w:val="ECHRParaQuote"/>
        <w:rPr>
          <w:rFonts w:ascii="Times New Roman" w:hAnsi="Times New Roman" w:cs="Times New Roman"/>
          <w:lang w:val="en-GB" w:bidi="en-US"/>
        </w:rPr>
      </w:pPr>
      <w:r w:rsidRPr="000C0E58">
        <w:rPr>
          <w:rFonts w:ascii="Times New Roman" w:hAnsi="Times New Roman" w:cs="Times New Roman"/>
          <w:lang w:val="en-GB" w:bidi="en-US"/>
        </w:rPr>
        <w:t xml:space="preserve">“In the Republic of Hungary everyone has the inherent right to life and to human dignity. No one shall be arbitrarily </w:t>
      </w:r>
      <w:r w:rsidRPr="000C0E58" w:rsidR="0051550C">
        <w:rPr>
          <w:rFonts w:ascii="Times New Roman" w:hAnsi="Times New Roman" w:cs="Times New Roman"/>
          <w:lang w:val="en-GB" w:bidi="en-US"/>
        </w:rPr>
        <w:t xml:space="preserve">stripped </w:t>
      </w:r>
      <w:r w:rsidRPr="000C0E58">
        <w:rPr>
          <w:rFonts w:ascii="Times New Roman" w:hAnsi="Times New Roman" w:cs="Times New Roman"/>
          <w:lang w:val="en-GB" w:bidi="en-US"/>
        </w:rPr>
        <w:t>of these rights.”</w:t>
      </w:r>
    </w:p>
    <w:p w:rsidRPr="000C0E58" w:rsidR="00C1646D" w:rsidP="000C0E58">
      <w:pPr>
        <w:pStyle w:val="ECHRTitleCentre3"/>
        <w:rPr>
          <w:rFonts w:ascii="Times New Roman" w:hAnsi="Times New Roman" w:cs="Times New Roman"/>
          <w:lang w:val="en-GB"/>
        </w:rPr>
      </w:pPr>
      <w:r w:rsidRPr="000C0E58">
        <w:rPr>
          <w:rFonts w:ascii="Times New Roman" w:hAnsi="Times New Roman" w:cs="Times New Roman"/>
          <w:lang w:val="en-GB"/>
        </w:rPr>
        <w:t>Article 70/E</w:t>
      </w:r>
    </w:p>
    <w:p w:rsidRPr="000C0E58" w:rsidR="00C1646D" w:rsidP="000C0E58">
      <w:pPr>
        <w:pStyle w:val="ECHRParaQuote"/>
        <w:rPr>
          <w:rFonts w:ascii="Times New Roman" w:hAnsi="Times New Roman" w:cs="Times New Roman"/>
          <w:lang w:val="en-GB" w:bidi="en-US"/>
        </w:rPr>
      </w:pPr>
      <w:r w:rsidRPr="000C0E58">
        <w:rPr>
          <w:rFonts w:ascii="Times New Roman" w:hAnsi="Times New Roman" w:cs="Times New Roman"/>
          <w:lang w:val="en-GB" w:bidi="en-US"/>
        </w:rPr>
        <w:t>“(1)</w:t>
      </w:r>
      <w:r w:rsidRPr="000C0E58">
        <w:rPr>
          <w:rFonts w:ascii="Times New Roman" w:hAnsi="Times New Roman" w:cs="Times New Roman"/>
          <w:lang w:val="en-GB" w:bidi="en-US"/>
        </w:rPr>
        <w:t>  </w:t>
      </w:r>
      <w:r w:rsidRPr="000C0E58">
        <w:rPr>
          <w:rFonts w:ascii="Times New Roman" w:hAnsi="Times New Roman" w:cs="Times New Roman"/>
          <w:lang w:val="en-GB" w:bidi="en-US"/>
        </w:rPr>
        <w:t>Citizens</w:t>
      </w:r>
      <w:r w:rsidRPr="000C0E58">
        <w:rPr>
          <w:rFonts w:ascii="Times New Roman" w:hAnsi="Times New Roman" w:cs="Times New Roman"/>
          <w:lang w:val="en-GB" w:bidi="en-US"/>
        </w:rPr>
        <w:t xml:space="preserve"> of the Republic of Hungary have the right to social security; they are entitled to the support required to live in old age, and in case</w:t>
      </w:r>
      <w:r w:rsidRPr="000C0E58" w:rsidR="007F3D62">
        <w:rPr>
          <w:rFonts w:ascii="Times New Roman" w:hAnsi="Times New Roman" w:cs="Times New Roman"/>
          <w:lang w:val="en-GB" w:bidi="en-US"/>
        </w:rPr>
        <w:t>s</w:t>
      </w:r>
      <w:r w:rsidRPr="000C0E58">
        <w:rPr>
          <w:rFonts w:ascii="Times New Roman" w:hAnsi="Times New Roman" w:cs="Times New Roman"/>
          <w:lang w:val="en-GB" w:bidi="en-US"/>
        </w:rPr>
        <w:t xml:space="preserve"> of sickness, disability, </w:t>
      </w:r>
      <w:r w:rsidRPr="000C0E58" w:rsidR="007F3D62">
        <w:rPr>
          <w:rFonts w:ascii="Times New Roman" w:hAnsi="Times New Roman" w:cs="Times New Roman"/>
          <w:lang w:val="en-GB" w:bidi="en-US"/>
        </w:rPr>
        <w:t xml:space="preserve">or </w:t>
      </w:r>
      <w:r w:rsidRPr="000C0E58">
        <w:rPr>
          <w:rFonts w:ascii="Times New Roman" w:hAnsi="Times New Roman" w:cs="Times New Roman"/>
          <w:lang w:val="en-GB" w:bidi="en-US"/>
        </w:rPr>
        <w:t>being widowed or orphaned</w:t>
      </w:r>
      <w:r w:rsidRPr="000C0E58" w:rsidR="007F3D62">
        <w:rPr>
          <w:rFonts w:ascii="Times New Roman" w:hAnsi="Times New Roman" w:cs="Times New Roman"/>
          <w:lang w:val="en-GB" w:bidi="en-US"/>
        </w:rPr>
        <w:t>,</w:t>
      </w:r>
      <w:r w:rsidRPr="000C0E58">
        <w:rPr>
          <w:rFonts w:ascii="Times New Roman" w:hAnsi="Times New Roman" w:cs="Times New Roman"/>
          <w:lang w:val="en-GB" w:bidi="en-US"/>
        </w:rPr>
        <w:t xml:space="preserve"> and in the case of unemployment through no fault of their own.</w:t>
      </w:r>
    </w:p>
    <w:p w:rsidRPr="000C0E58" w:rsidR="00C1646D" w:rsidP="000C0E58">
      <w:pPr>
        <w:pStyle w:val="ECHRParaQuote"/>
        <w:rPr>
          <w:rFonts w:ascii="Times New Roman" w:hAnsi="Times New Roman" w:cs="Times New Roman"/>
          <w:lang w:val="en-GB" w:bidi="en-US"/>
        </w:rPr>
      </w:pPr>
      <w:r w:rsidRPr="000C0E58">
        <w:rPr>
          <w:rFonts w:ascii="Times New Roman" w:hAnsi="Times New Roman" w:cs="Times New Roman"/>
          <w:lang w:val="en-GB" w:bidi="en-US"/>
        </w:rPr>
        <w:t>(2)  </w:t>
      </w:r>
      <w:r w:rsidRPr="000C0E58">
        <w:rPr>
          <w:rFonts w:ascii="Times New Roman" w:hAnsi="Times New Roman" w:cs="Times New Roman"/>
          <w:lang w:val="en-GB" w:bidi="en-US"/>
        </w:rPr>
        <w:t>The Republic of Hungary shall implement the right to social support through the social</w:t>
      </w:r>
      <w:r w:rsidRPr="000C0E58" w:rsidR="00AA062F">
        <w:rPr>
          <w:rFonts w:ascii="Times New Roman" w:hAnsi="Times New Roman" w:cs="Times New Roman"/>
          <w:lang w:val="en-GB" w:bidi="en-US"/>
        </w:rPr>
        <w:t>-</w:t>
      </w:r>
      <w:r w:rsidRPr="000C0E58">
        <w:rPr>
          <w:rFonts w:ascii="Times New Roman" w:hAnsi="Times New Roman" w:cs="Times New Roman"/>
          <w:lang w:val="en-GB" w:bidi="en-US"/>
        </w:rPr>
        <w:t>security system and the system of social institutions.</w:t>
      </w:r>
    </w:p>
    <w:p w:rsidRPr="000C0E58" w:rsidR="00C1646D" w:rsidP="000C0E58">
      <w:pPr>
        <w:pStyle w:val="ECHRParaQuote"/>
        <w:rPr>
          <w:rFonts w:ascii="Times New Roman" w:hAnsi="Times New Roman" w:cs="Times New Roman"/>
          <w:lang w:val="en-GB" w:bidi="en-US"/>
        </w:rPr>
      </w:pPr>
      <w:r w:rsidRPr="000C0E58">
        <w:rPr>
          <w:rFonts w:ascii="Times New Roman" w:hAnsi="Times New Roman" w:cs="Times New Roman"/>
          <w:lang w:val="en-GB" w:bidi="en-US"/>
        </w:rPr>
        <w:t>(3)</w:t>
      </w:r>
      <w:r>
        <w:rPr>
          <w:rStyle w:val="FootnoteReference"/>
          <w:rFonts w:ascii="Times New Roman" w:hAnsi="Times New Roman" w:cs="Times New Roman"/>
          <w:lang w:val="en-GB" w:bidi="en-US"/>
        </w:rPr>
        <w:footnoteReference w:id="2"/>
      </w:r>
      <w:r w:rsidRPr="000C0E58">
        <w:rPr>
          <w:rFonts w:ascii="Times New Roman" w:hAnsi="Times New Roman" w:cs="Times New Roman"/>
          <w:lang w:val="en-GB" w:bidi="en-US"/>
        </w:rPr>
        <w:t xml:space="preserve"> The right to social support in respect of pension benefits applies to persons </w:t>
      </w:r>
      <w:r w:rsidRPr="000C0E58" w:rsidR="004739A3">
        <w:rPr>
          <w:rFonts w:ascii="Times New Roman" w:hAnsi="Times New Roman" w:cs="Times New Roman"/>
          <w:lang w:val="en-GB" w:bidi="en-US"/>
        </w:rPr>
        <w:t xml:space="preserve">who </w:t>
      </w:r>
      <w:r w:rsidRPr="000C0E58">
        <w:rPr>
          <w:rFonts w:ascii="Times New Roman" w:hAnsi="Times New Roman" w:cs="Times New Roman"/>
          <w:lang w:val="en-GB" w:bidi="en-US"/>
        </w:rPr>
        <w:t xml:space="preserve">have reached the statutory retirement age for old-age pension. Pension benefits may </w:t>
      </w:r>
      <w:r w:rsidRPr="000C0E58">
        <w:rPr>
          <w:rFonts w:ascii="Times New Roman" w:hAnsi="Times New Roman" w:cs="Times New Roman"/>
          <w:lang w:val="en-GB" w:bidi="en-US"/>
        </w:rPr>
        <w:t xml:space="preserve">also be granted to persons below the aforementioned age by way of an act. Pension benefits provided before the statutory retirement age for </w:t>
      </w:r>
      <w:r w:rsidRPr="000C0E58" w:rsidR="007F3D62">
        <w:rPr>
          <w:rFonts w:ascii="Times New Roman" w:hAnsi="Times New Roman" w:cs="Times New Roman"/>
          <w:lang w:val="en-GB" w:bidi="en-US"/>
        </w:rPr>
        <w:t xml:space="preserve">an </w:t>
      </w:r>
      <w:r w:rsidRPr="000C0E58">
        <w:rPr>
          <w:rFonts w:ascii="Times New Roman" w:hAnsi="Times New Roman" w:cs="Times New Roman"/>
          <w:lang w:val="en-GB" w:bidi="en-US"/>
        </w:rPr>
        <w:t xml:space="preserve">old-age pension may be reduced on the </w:t>
      </w:r>
      <w:r w:rsidRPr="000C0E58" w:rsidR="00331B94">
        <w:rPr>
          <w:rFonts w:ascii="Times New Roman" w:hAnsi="Times New Roman" w:cs="Times New Roman"/>
          <w:lang w:val="en-GB" w:bidi="en-US"/>
        </w:rPr>
        <w:t>basis of statute</w:t>
      </w:r>
      <w:r w:rsidRPr="000C0E58">
        <w:rPr>
          <w:rFonts w:ascii="Times New Roman" w:hAnsi="Times New Roman" w:cs="Times New Roman"/>
          <w:lang w:val="en-GB" w:bidi="en-US"/>
        </w:rPr>
        <w:t>, and may subsequently be provided in the form of social</w:t>
      </w:r>
      <w:r w:rsidRPr="000C0E58" w:rsidR="00D25BF9">
        <w:rPr>
          <w:rFonts w:ascii="Times New Roman" w:hAnsi="Times New Roman" w:cs="Times New Roman"/>
          <w:lang w:val="en-GB" w:bidi="en-US"/>
        </w:rPr>
        <w:t>-</w:t>
      </w:r>
      <w:r w:rsidRPr="000C0E58">
        <w:rPr>
          <w:rFonts w:ascii="Times New Roman" w:hAnsi="Times New Roman" w:cs="Times New Roman"/>
          <w:lang w:val="en-GB" w:bidi="en-US"/>
        </w:rPr>
        <w:t>welfare benefits, or may be terminated if the beneficiary is able to work.”</w:t>
      </w:r>
    </w:p>
    <w:p w:rsidRPr="000C0E58" w:rsidR="006C0CE7" w:rsidP="000C0E58">
      <w:pPr>
        <w:pStyle w:val="ECHRPara"/>
        <w:rPr>
          <w:lang w:val="en-GB" w:bidi="en-US"/>
        </w:rPr>
      </w:pPr>
      <w:r w:rsidRPr="000C0E58">
        <w:rPr>
          <w:lang w:val="en-GB" w:bidi="en-US"/>
        </w:rPr>
        <w:fldChar w:fldCharType="begin"/>
      </w:r>
      <w:r w:rsidRPr="000C0E58">
        <w:rPr>
          <w:lang w:val="en-GB" w:bidi="en-US"/>
        </w:rPr>
        <w:instrText xml:space="preserve"> SEQ level0 \*arabic </w:instrText>
      </w:r>
      <w:r w:rsidRPr="000C0E58">
        <w:rPr>
          <w:lang w:val="en-GB" w:bidi="en-US"/>
        </w:rPr>
        <w:fldChar w:fldCharType="separate"/>
      </w:r>
      <w:r w:rsidRPr="000C0E58" w:rsidR="000C0E58">
        <w:rPr>
          <w:noProof/>
          <w:lang w:val="en-GB" w:bidi="en-US"/>
        </w:rPr>
        <w:t>27</w:t>
      </w:r>
      <w:r w:rsidRPr="000C0E58">
        <w:rPr>
          <w:lang w:val="en-GB" w:bidi="en-US"/>
        </w:rPr>
        <w:fldChar w:fldCharType="end"/>
      </w:r>
      <w:r w:rsidRPr="000C0E58">
        <w:rPr>
          <w:lang w:val="en-GB" w:bidi="en-US"/>
        </w:rPr>
        <w:t>.  Article XIX of the Fundamental Law, as in force since 1 January 2012, provides:</w:t>
      </w:r>
    </w:p>
    <w:p w:rsidRPr="000C0E58" w:rsidR="006C0CE7" w:rsidP="000C0E58">
      <w:pPr>
        <w:pStyle w:val="ECHRParaQuote"/>
        <w:rPr>
          <w:lang w:val="en-GB" w:bidi="en-US"/>
        </w:rPr>
      </w:pPr>
      <w:r w:rsidRPr="000C0E58">
        <w:rPr>
          <w:lang w:val="en-GB"/>
        </w:rPr>
        <w:t>“</w:t>
      </w:r>
      <w:r w:rsidRPr="000C0E58" w:rsidR="00F4238C">
        <w:rPr>
          <w:lang w:val="en-GB" w:bidi="en-US"/>
        </w:rPr>
        <w:t>(1)</w:t>
      </w:r>
      <w:r w:rsidRPr="000C0E58" w:rsidR="00F4238C">
        <w:rPr>
          <w:lang w:val="en-GB" w:bidi="en-US"/>
        </w:rPr>
        <w:t>  </w:t>
      </w:r>
      <w:r w:rsidRPr="000C0E58">
        <w:rPr>
          <w:lang w:val="en-GB" w:bidi="en-US"/>
        </w:rPr>
        <w:t>Hungary</w:t>
      </w:r>
      <w:r w:rsidRPr="000C0E58">
        <w:rPr>
          <w:lang w:val="en-GB" w:bidi="en-US"/>
        </w:rPr>
        <w:t xml:space="preserve"> shall strive to provide social security to all of its citizens. Every Hungarian citizen shall be entitled to assistance in case of maternity, illness, disability, handicap, widowhood, orphanage and unemployment for reasons outside of his or her control, as provided for by statute.</w:t>
      </w:r>
    </w:p>
    <w:p w:rsidRPr="000C0E58" w:rsidR="006C0CE7" w:rsidP="000C0E58">
      <w:pPr>
        <w:pStyle w:val="ECHRParaQuote"/>
        <w:rPr>
          <w:lang w:val="en-GB" w:bidi="en-US"/>
        </w:rPr>
      </w:pPr>
      <w:r w:rsidRPr="000C0E58">
        <w:rPr>
          <w:lang w:val="en-GB" w:bidi="en-US"/>
        </w:rPr>
        <w:t>(2)  </w:t>
      </w:r>
      <w:r w:rsidRPr="000C0E58">
        <w:rPr>
          <w:lang w:val="en-GB" w:bidi="en-US"/>
        </w:rPr>
        <w:t>Hungary shall implement social security for the persons referred to in paragraph (1) and for other persons in need through a system of social institutions and measures.</w:t>
      </w:r>
    </w:p>
    <w:p w:rsidRPr="000C0E58" w:rsidR="006C0CE7" w:rsidP="000C0E58">
      <w:pPr>
        <w:pStyle w:val="ECHRParaQuote"/>
        <w:rPr>
          <w:lang w:val="en-GB" w:bidi="en-US"/>
        </w:rPr>
      </w:pPr>
      <w:r w:rsidRPr="000C0E58">
        <w:rPr>
          <w:lang w:val="en-GB" w:bidi="en-US"/>
        </w:rPr>
        <w:t>(3)  </w:t>
      </w:r>
      <w:r w:rsidRPr="000C0E58">
        <w:rPr>
          <w:lang w:val="en-GB" w:bidi="en-US"/>
        </w:rPr>
        <w:t>The nature and extent of social measures may as well be determined, in statute, in accordance with the usefulness to the community of the beneficiary</w:t>
      </w:r>
      <w:r w:rsidRPr="000C0E58" w:rsidR="000C0E58">
        <w:rPr>
          <w:lang w:val="en-GB" w:bidi="en-US"/>
        </w:rPr>
        <w:t>’</w:t>
      </w:r>
      <w:r w:rsidRPr="000C0E58">
        <w:rPr>
          <w:lang w:val="en-GB" w:bidi="en-US"/>
        </w:rPr>
        <w:t>s activity.</w:t>
      </w:r>
    </w:p>
    <w:p w:rsidRPr="000C0E58" w:rsidR="006C0CE7" w:rsidP="000C0E58">
      <w:pPr>
        <w:pStyle w:val="ECHRParaQuote"/>
        <w:rPr>
          <w:lang w:val="en-GB"/>
        </w:rPr>
      </w:pPr>
      <w:r w:rsidRPr="000C0E58">
        <w:rPr>
          <w:lang w:val="en-GB" w:bidi="en-US"/>
        </w:rPr>
        <w:t>(4)  </w:t>
      </w:r>
      <w:r w:rsidRPr="000C0E58">
        <w:rPr>
          <w:lang w:val="en-GB" w:bidi="en-US"/>
        </w:rPr>
        <w:t xml:space="preserve">Hungary shall facilitate the ensuring </w:t>
      </w:r>
      <w:r w:rsidRPr="000C0E58" w:rsidR="00AE641C">
        <w:rPr>
          <w:lang w:val="en-GB" w:bidi="en-US"/>
        </w:rPr>
        <w:t xml:space="preserve">of </w:t>
      </w:r>
      <w:r w:rsidRPr="000C0E58">
        <w:rPr>
          <w:lang w:val="en-GB" w:bidi="en-US"/>
        </w:rPr>
        <w:t xml:space="preserve">the livelihood </w:t>
      </w:r>
      <w:r w:rsidRPr="000C0E58" w:rsidR="00AE641C">
        <w:rPr>
          <w:lang w:val="en-GB" w:bidi="en-US"/>
        </w:rPr>
        <w:t>of</w:t>
      </w:r>
      <w:r w:rsidRPr="000C0E58">
        <w:rPr>
          <w:lang w:val="en-GB" w:bidi="en-US"/>
        </w:rPr>
        <w:t xml:space="preserve"> the elderly by maintaining a general state pension system based on social solidarity and by allowing for the operation of voluntarily established social institutions. The conditions of entitlement to state pension may </w:t>
      </w:r>
      <w:r w:rsidRPr="000C0E58" w:rsidR="00AE641C">
        <w:rPr>
          <w:lang w:val="en-GB" w:bidi="en-US"/>
        </w:rPr>
        <w:t xml:space="preserve">as well </w:t>
      </w:r>
      <w:r w:rsidRPr="000C0E58">
        <w:rPr>
          <w:lang w:val="en-GB" w:bidi="en-US"/>
        </w:rPr>
        <w:t xml:space="preserve">be laid down in </w:t>
      </w:r>
      <w:r w:rsidRPr="000C0E58" w:rsidR="00AE641C">
        <w:rPr>
          <w:lang w:val="en-GB" w:bidi="en-US"/>
        </w:rPr>
        <w:t>statute</w:t>
      </w:r>
      <w:r w:rsidRPr="000C0E58">
        <w:rPr>
          <w:lang w:val="en-GB" w:bidi="en-US"/>
        </w:rPr>
        <w:t xml:space="preserve"> with regard to the requirement </w:t>
      </w:r>
      <w:r w:rsidRPr="000C0E58" w:rsidR="00AE641C">
        <w:rPr>
          <w:lang w:val="en-GB" w:bidi="en-US"/>
        </w:rPr>
        <w:t>of</w:t>
      </w:r>
      <w:r w:rsidRPr="000C0E58">
        <w:rPr>
          <w:lang w:val="en-GB" w:bidi="en-US"/>
        </w:rPr>
        <w:t xml:space="preserve"> stronger protection for women.”</w:t>
      </w:r>
    </w:p>
    <w:p w:rsidRPr="000C0E58" w:rsidR="00C1646D" w:rsidP="000C0E58">
      <w:pPr>
        <w:pStyle w:val="ECHRPara"/>
        <w:rPr>
          <w:rFonts w:ascii="Times New Roman" w:hAnsi="Times New Roman" w:cs="Times New Roman"/>
          <w:szCs w:val="24"/>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28</w:t>
      </w:r>
      <w:r w:rsidRPr="000C0E58">
        <w:rPr>
          <w:lang w:val="en-GB"/>
        </w:rPr>
        <w:fldChar w:fldCharType="end"/>
      </w:r>
      <w:r w:rsidRPr="000C0E58">
        <w:rPr>
          <w:lang w:val="en-GB"/>
        </w:rPr>
        <w:t>.  </w:t>
      </w:r>
      <w:r w:rsidRPr="000C0E58">
        <w:rPr>
          <w:rFonts w:ascii="Times New Roman" w:hAnsi="Times New Roman" w:cs="Times New Roman"/>
          <w:szCs w:val="24"/>
          <w:lang w:val="en-GB"/>
        </w:rPr>
        <w:t>The relevant provisions of Act no. LXXXI of 1997 on Social</w:t>
      </w:r>
      <w:r w:rsidRPr="000C0E58" w:rsidR="004739A3">
        <w:rPr>
          <w:rFonts w:ascii="Times New Roman" w:hAnsi="Times New Roman" w:cs="Times New Roman"/>
          <w:szCs w:val="24"/>
          <w:lang w:val="en-GB"/>
        </w:rPr>
        <w:t>-</w:t>
      </w:r>
      <w:r w:rsidRPr="000C0E58">
        <w:rPr>
          <w:rFonts w:ascii="Times New Roman" w:hAnsi="Times New Roman" w:cs="Times New Roman"/>
          <w:szCs w:val="24"/>
          <w:lang w:val="en-GB"/>
        </w:rPr>
        <w:t>Security Pension</w:t>
      </w:r>
      <w:r w:rsidRPr="000C0E58" w:rsidR="004739A3">
        <w:rPr>
          <w:rFonts w:ascii="Times New Roman" w:hAnsi="Times New Roman" w:cs="Times New Roman"/>
          <w:szCs w:val="24"/>
          <w:lang w:val="en-GB"/>
        </w:rPr>
        <w:t>s</w:t>
      </w:r>
      <w:r>
        <w:rPr>
          <w:rStyle w:val="FootnoteReference"/>
          <w:rFonts w:ascii="Times New Roman" w:hAnsi="Times New Roman" w:cs="Times New Roman"/>
          <w:szCs w:val="24"/>
          <w:lang w:val="en-GB"/>
        </w:rPr>
        <w:footnoteReference w:id="3"/>
      </w:r>
      <w:r w:rsidRPr="000C0E58">
        <w:rPr>
          <w:rFonts w:ascii="Times New Roman" w:hAnsi="Times New Roman" w:cs="Times New Roman"/>
          <w:szCs w:val="24"/>
          <w:lang w:val="en-GB"/>
        </w:rPr>
        <w:t xml:space="preserve">, as in force until 31 December 2011, </w:t>
      </w:r>
      <w:r w:rsidRPr="000C0E58" w:rsidR="007F3D62">
        <w:rPr>
          <w:rFonts w:ascii="Times New Roman" w:hAnsi="Times New Roman" w:cs="Times New Roman"/>
          <w:szCs w:val="24"/>
          <w:lang w:val="en-GB"/>
        </w:rPr>
        <w:t>stated</w:t>
      </w:r>
      <w:r w:rsidRPr="000C0E58">
        <w:rPr>
          <w:rFonts w:ascii="Times New Roman" w:hAnsi="Times New Roman" w:cs="Times New Roman"/>
          <w:szCs w:val="24"/>
          <w:lang w:val="en-GB"/>
        </w:rPr>
        <w:t>:</w:t>
      </w:r>
    </w:p>
    <w:p w:rsidRPr="000C0E58" w:rsidR="00C1646D" w:rsidP="000C0E58">
      <w:pPr>
        <w:pStyle w:val="ECHRTitleCentre3"/>
        <w:rPr>
          <w:rFonts w:ascii="Times New Roman" w:hAnsi="Times New Roman" w:cs="Times New Roman"/>
          <w:lang w:val="en-GB"/>
        </w:rPr>
      </w:pPr>
      <w:r w:rsidRPr="000C0E58">
        <w:rPr>
          <w:rFonts w:ascii="Times New Roman" w:hAnsi="Times New Roman" w:cs="Times New Roman"/>
          <w:lang w:val="en-GB"/>
        </w:rPr>
        <w:t xml:space="preserve">Section 4 (1) </w:t>
      </w:r>
      <w:r w:rsidRPr="000C0E58" w:rsidR="004739A3">
        <w:rPr>
          <w:rFonts w:ascii="Times New Roman" w:hAnsi="Times New Roman" w:cs="Times New Roman"/>
          <w:lang w:val="en-GB"/>
        </w:rPr>
        <w:t>(</w:t>
      </w:r>
      <w:r w:rsidRPr="000C0E58">
        <w:rPr>
          <w:rFonts w:ascii="Times New Roman" w:hAnsi="Times New Roman" w:cs="Times New Roman"/>
          <w:lang w:val="en-GB"/>
        </w:rPr>
        <w:t>c)</w:t>
      </w:r>
    </w:p>
    <w:p w:rsidRPr="000C0E58" w:rsidR="00C1646D" w:rsidP="000C0E58">
      <w:pPr>
        <w:pStyle w:val="ECHRParaQuote"/>
        <w:rPr>
          <w:rFonts w:ascii="Times New Roman" w:hAnsi="Times New Roman" w:cs="Times New Roman"/>
          <w:lang w:val="en-GB" w:bidi="en-US"/>
        </w:rPr>
      </w:pPr>
      <w:r w:rsidRPr="000C0E58">
        <w:rPr>
          <w:rFonts w:ascii="Times New Roman" w:hAnsi="Times New Roman" w:cs="Times New Roman"/>
          <w:lang w:val="en-GB" w:bidi="en-US"/>
        </w:rPr>
        <w:t>“[Under the terms of this law]</w:t>
      </w:r>
      <w:r w:rsidRPr="000C0E58" w:rsidR="004739A3">
        <w:rPr>
          <w:rFonts w:ascii="Times New Roman" w:hAnsi="Times New Roman" w:cs="Times New Roman"/>
          <w:lang w:val="en-GB" w:bidi="en-US"/>
        </w:rPr>
        <w:t>,</w:t>
      </w:r>
      <w:r w:rsidRPr="000C0E58">
        <w:rPr>
          <w:rFonts w:ascii="Times New Roman" w:hAnsi="Times New Roman" w:cs="Times New Roman"/>
          <w:lang w:val="en-GB" w:bidi="en-US"/>
        </w:rPr>
        <w:t xml:space="preserve"> disability pension [means]: pension to be disbursed in </w:t>
      </w:r>
      <w:r w:rsidRPr="000C0E58" w:rsidR="004739A3">
        <w:rPr>
          <w:rFonts w:ascii="Times New Roman" w:hAnsi="Times New Roman" w:cs="Times New Roman"/>
          <w:lang w:val="en-GB" w:bidi="en-US"/>
        </w:rPr>
        <w:t xml:space="preserve">the event </w:t>
      </w:r>
      <w:r w:rsidRPr="000C0E58">
        <w:rPr>
          <w:rFonts w:ascii="Times New Roman" w:hAnsi="Times New Roman" w:cs="Times New Roman"/>
          <w:lang w:val="en-GB" w:bidi="en-US"/>
        </w:rPr>
        <w:t xml:space="preserve">of disability, on condition that the requisite </w:t>
      </w:r>
      <w:r w:rsidRPr="000C0E58" w:rsidR="00116877">
        <w:rPr>
          <w:rFonts w:ascii="Times New Roman" w:hAnsi="Times New Roman" w:cs="Times New Roman"/>
          <w:lang w:val="en-GB" w:bidi="en-US"/>
        </w:rPr>
        <w:t xml:space="preserve">length of service </w:t>
      </w:r>
      <w:r w:rsidRPr="000C0E58">
        <w:rPr>
          <w:rFonts w:ascii="Times New Roman" w:hAnsi="Times New Roman" w:cs="Times New Roman"/>
          <w:lang w:val="en-GB" w:bidi="en-US"/>
        </w:rPr>
        <w:t>has been accumulated.”</w:t>
      </w:r>
    </w:p>
    <w:p w:rsidRPr="000C0E58" w:rsidR="00E26E8B" w:rsidP="000C0E58">
      <w:pPr>
        <w:pStyle w:val="ECHRTitleCentre3"/>
        <w:rPr>
          <w:lang w:val="en-GB"/>
        </w:rPr>
      </w:pPr>
      <w:r w:rsidRPr="000C0E58">
        <w:rPr>
          <w:lang w:val="en-GB"/>
        </w:rPr>
        <w:t>Section 6</w:t>
      </w:r>
    </w:p>
    <w:p w:rsidRPr="000C0E58" w:rsidR="00E26E8B" w:rsidP="000C0E58">
      <w:pPr>
        <w:pStyle w:val="ECHRParaQuote"/>
        <w:rPr>
          <w:rFonts w:ascii="Times New Roman" w:hAnsi="Times New Roman" w:cs="Times New Roman"/>
          <w:lang w:val="en-GB" w:bidi="en-US"/>
        </w:rPr>
      </w:pPr>
      <w:r w:rsidRPr="000C0E58">
        <w:rPr>
          <w:rFonts w:ascii="Times New Roman" w:hAnsi="Times New Roman" w:cs="Times New Roman"/>
          <w:lang w:val="en-GB" w:bidi="en-US"/>
        </w:rPr>
        <w:t>“(1)</w:t>
      </w:r>
      <w:r w:rsidRPr="000C0E58" w:rsidR="00F4238C">
        <w:rPr>
          <w:rFonts w:ascii="Times New Roman" w:hAnsi="Times New Roman" w:cs="Times New Roman"/>
          <w:lang w:val="en-GB" w:bidi="en-US"/>
        </w:rPr>
        <w:t>  </w:t>
      </w:r>
      <w:r w:rsidRPr="000C0E58" w:rsidR="007165A8">
        <w:rPr>
          <w:rFonts w:ascii="Times New Roman" w:hAnsi="Times New Roman" w:cs="Times New Roman"/>
          <w:lang w:val="en-GB" w:bidi="en-US"/>
        </w:rPr>
        <w:t>The</w:t>
      </w:r>
      <w:r w:rsidRPr="000C0E58" w:rsidR="007165A8">
        <w:rPr>
          <w:rFonts w:ascii="Times New Roman" w:hAnsi="Times New Roman" w:cs="Times New Roman"/>
          <w:lang w:val="en-GB" w:bidi="en-US"/>
        </w:rPr>
        <w:t xml:space="preserve"> p</w:t>
      </w:r>
      <w:r w:rsidRPr="000C0E58">
        <w:rPr>
          <w:rFonts w:ascii="Times New Roman" w:hAnsi="Times New Roman" w:cs="Times New Roman"/>
          <w:lang w:val="en-GB" w:bidi="en-US"/>
        </w:rPr>
        <w:t xml:space="preserve">ensions </w:t>
      </w:r>
      <w:r w:rsidRPr="000C0E58" w:rsidR="007165A8">
        <w:rPr>
          <w:rFonts w:ascii="Times New Roman" w:hAnsi="Times New Roman" w:cs="Times New Roman"/>
          <w:lang w:val="en-GB" w:bidi="en-US"/>
        </w:rPr>
        <w:t>that may be</w:t>
      </w:r>
      <w:r w:rsidRPr="000C0E58">
        <w:rPr>
          <w:rFonts w:ascii="Times New Roman" w:hAnsi="Times New Roman" w:cs="Times New Roman"/>
          <w:lang w:val="en-GB" w:bidi="en-US"/>
        </w:rPr>
        <w:t xml:space="preserve"> granted within the framework of the social-security pension system to the insured person in his or her own right are as follows:</w:t>
      </w:r>
    </w:p>
    <w:p w:rsidRPr="000C0E58" w:rsidR="001B094E" w:rsidP="000C0E58">
      <w:pPr>
        <w:pStyle w:val="JuQuotSub"/>
        <w:rPr>
          <w:lang w:val="en-GB" w:bidi="en-US"/>
        </w:rPr>
      </w:pPr>
      <w:r w:rsidRPr="000C0E58">
        <w:rPr>
          <w:lang w:val="en-GB" w:bidi="en-US"/>
        </w:rPr>
        <w:t>(</w:t>
      </w:r>
      <w:r w:rsidRPr="000C0E58" w:rsidR="00F4238C">
        <w:rPr>
          <w:lang w:val="en-GB" w:bidi="en-US"/>
        </w:rPr>
        <w:t>a)  </w:t>
      </w:r>
      <w:r w:rsidRPr="000C0E58" w:rsidR="007165A8">
        <w:rPr>
          <w:lang w:val="en-GB" w:bidi="en-US"/>
        </w:rPr>
        <w:t>the</w:t>
      </w:r>
      <w:r w:rsidRPr="000C0E58" w:rsidR="007165A8">
        <w:rPr>
          <w:lang w:val="en-GB" w:bidi="en-US"/>
        </w:rPr>
        <w:t xml:space="preserve"> </w:t>
      </w:r>
      <w:r w:rsidRPr="000C0E58" w:rsidR="00E26E8B">
        <w:rPr>
          <w:lang w:val="en-GB" w:bidi="en-US"/>
        </w:rPr>
        <w:t>old-age pension,</w:t>
      </w:r>
    </w:p>
    <w:p w:rsidRPr="000C0E58" w:rsidR="00E26E8B" w:rsidP="000C0E58">
      <w:pPr>
        <w:pStyle w:val="JuQuotSub"/>
        <w:rPr>
          <w:lang w:val="en-GB" w:bidi="en-US"/>
        </w:rPr>
      </w:pPr>
      <w:r w:rsidRPr="000C0E58">
        <w:rPr>
          <w:lang w:val="en-GB" w:bidi="en-US"/>
        </w:rPr>
        <w:t>(</w:t>
      </w:r>
      <w:r w:rsidRPr="000C0E58" w:rsidR="00F4238C">
        <w:rPr>
          <w:lang w:val="en-GB" w:bidi="en-US"/>
        </w:rPr>
        <w:t>b)  </w:t>
      </w:r>
      <w:r w:rsidRPr="000C0E58" w:rsidR="007165A8">
        <w:rPr>
          <w:lang w:val="en-GB" w:bidi="en-US"/>
        </w:rPr>
        <w:t>the</w:t>
      </w:r>
      <w:r w:rsidRPr="000C0E58" w:rsidR="007165A8">
        <w:rPr>
          <w:lang w:val="en-GB" w:bidi="en-US"/>
        </w:rPr>
        <w:t xml:space="preserve"> </w:t>
      </w:r>
      <w:r w:rsidRPr="000C0E58">
        <w:rPr>
          <w:lang w:val="en-GB" w:bidi="en-US"/>
        </w:rPr>
        <w:t>disability pension,</w:t>
      </w:r>
    </w:p>
    <w:p w:rsidRPr="000C0E58" w:rsidR="00E26E8B" w:rsidP="000C0E58">
      <w:pPr>
        <w:pStyle w:val="JuQuotSub"/>
        <w:rPr>
          <w:lang w:val="en-GB" w:bidi="en-US"/>
        </w:rPr>
      </w:pPr>
      <w:r w:rsidRPr="000C0E58">
        <w:rPr>
          <w:lang w:val="en-GB" w:bidi="en-US"/>
        </w:rPr>
        <w:t>...</w:t>
      </w:r>
    </w:p>
    <w:p w:rsidRPr="000C0E58" w:rsidR="00E26E8B" w:rsidP="000C0E58">
      <w:pPr>
        <w:pStyle w:val="JuQuotSub"/>
        <w:rPr>
          <w:lang w:val="en-GB" w:bidi="en-US"/>
        </w:rPr>
      </w:pPr>
      <w:r w:rsidRPr="000C0E58">
        <w:rPr>
          <w:lang w:val="en-GB" w:bidi="en-US"/>
        </w:rPr>
        <w:t>(</w:t>
      </w:r>
      <w:r w:rsidRPr="000C0E58">
        <w:rPr>
          <w:lang w:val="en-GB" w:bidi="en-US"/>
        </w:rPr>
        <w:t>d)</w:t>
      </w:r>
      <w:r w:rsidRPr="000C0E58" w:rsidR="00F4238C">
        <w:rPr>
          <w:lang w:val="en-GB" w:bidi="en-US"/>
        </w:rPr>
        <w:t>  </w:t>
      </w:r>
      <w:r w:rsidRPr="000C0E58" w:rsidR="007165A8">
        <w:rPr>
          <w:lang w:val="en-GB" w:bidi="en-US"/>
        </w:rPr>
        <w:t>the</w:t>
      </w:r>
      <w:r w:rsidRPr="000C0E58" w:rsidR="007165A8">
        <w:rPr>
          <w:lang w:val="en-GB" w:bidi="en-US"/>
        </w:rPr>
        <w:t xml:space="preserve"> rehabilitation allowance</w:t>
      </w:r>
      <w:r w:rsidRPr="000C0E58">
        <w:rPr>
          <w:lang w:val="en-GB" w:bidi="en-US"/>
        </w:rPr>
        <w:t>,</w:t>
      </w:r>
      <w:r w:rsidRPr="000C0E58" w:rsidR="007165A8">
        <w:rPr>
          <w:lang w:val="en-GB" w:bidi="en-US"/>
        </w:rPr>
        <w:t xml:space="preserve"> to be granted under a separate statute</w:t>
      </w:r>
      <w:r>
        <w:rPr>
          <w:rStyle w:val="FootnoteReference"/>
          <w:rFonts w:ascii="Times New Roman" w:hAnsi="Times New Roman" w:cs="Times New Roman"/>
          <w:lang w:val="en-GB" w:bidi="en-US"/>
        </w:rPr>
        <w:footnoteReference w:id="4"/>
      </w:r>
      <w:r w:rsidRPr="000C0E58" w:rsidR="007165A8">
        <w:rPr>
          <w:lang w:val="en-GB" w:bidi="en-US"/>
        </w:rPr>
        <w:t>.”</w:t>
      </w:r>
    </w:p>
    <w:p w:rsidRPr="000C0E58" w:rsidR="00C1646D" w:rsidP="000C0E58">
      <w:pPr>
        <w:pStyle w:val="ECHRTitleCentre3"/>
        <w:rPr>
          <w:rFonts w:ascii="Times New Roman" w:hAnsi="Times New Roman" w:cs="Times New Roman"/>
          <w:lang w:val="en-GB"/>
        </w:rPr>
      </w:pPr>
      <w:r w:rsidRPr="000C0E58">
        <w:rPr>
          <w:rFonts w:ascii="Times New Roman" w:hAnsi="Times New Roman" w:cs="Times New Roman"/>
          <w:lang w:val="en-GB"/>
        </w:rPr>
        <w:t>Section 23 (1)</w:t>
      </w:r>
    </w:p>
    <w:p w:rsidRPr="000C0E58" w:rsidR="00C1646D" w:rsidP="000C0E58">
      <w:pPr>
        <w:pStyle w:val="ECHRParaQuote"/>
        <w:rPr>
          <w:rFonts w:ascii="Times New Roman" w:hAnsi="Times New Roman" w:cs="Times New Roman"/>
          <w:lang w:val="en-GB" w:bidi="en-US"/>
        </w:rPr>
      </w:pPr>
      <w:r w:rsidRPr="000C0E58">
        <w:rPr>
          <w:rFonts w:ascii="Times New Roman" w:hAnsi="Times New Roman" w:cs="Times New Roman"/>
          <w:lang w:val="en-GB" w:bidi="en-US"/>
        </w:rPr>
        <w:t xml:space="preserve">“Disability pension </w:t>
      </w:r>
      <w:r w:rsidRPr="000C0E58" w:rsidR="007F3D62">
        <w:rPr>
          <w:rFonts w:ascii="Times New Roman" w:hAnsi="Times New Roman" w:cs="Times New Roman"/>
          <w:lang w:val="en-GB" w:bidi="en-US"/>
        </w:rPr>
        <w:t xml:space="preserve">shall be </w:t>
      </w:r>
      <w:r w:rsidRPr="000C0E58">
        <w:rPr>
          <w:rFonts w:ascii="Times New Roman" w:hAnsi="Times New Roman" w:cs="Times New Roman"/>
          <w:lang w:val="en-GB" w:bidi="en-US"/>
        </w:rPr>
        <w:t>due to a person who:</w:t>
      </w:r>
    </w:p>
    <w:p w:rsidRPr="000C0E58" w:rsidR="00C1646D" w:rsidP="000C0E58">
      <w:pPr>
        <w:pStyle w:val="JuQuotSub"/>
        <w:rPr>
          <w:lang w:val="en-GB" w:bidi="en-US"/>
        </w:rPr>
      </w:pPr>
      <w:r w:rsidRPr="000C0E58">
        <w:rPr>
          <w:lang w:val="en-GB" w:bidi="en-US"/>
        </w:rPr>
        <w:t>(a)  </w:t>
      </w:r>
      <w:r w:rsidRPr="000C0E58">
        <w:rPr>
          <w:lang w:val="en-GB" w:bidi="en-US"/>
        </w:rPr>
        <w:t>has suffered 67</w:t>
      </w:r>
      <w:r w:rsidRPr="000C0E58" w:rsidR="004739A3">
        <w:rPr>
          <w:lang w:val="en-GB" w:bidi="en-US"/>
        </w:rPr>
        <w:t>%</w:t>
      </w:r>
      <w:r w:rsidRPr="000C0E58">
        <w:rPr>
          <w:lang w:val="en-GB" w:bidi="en-US"/>
        </w:rPr>
        <w:t xml:space="preserve"> loss of capacity to work due to health problems, physical or mental impairments, without any perspective of </w:t>
      </w:r>
      <w:r w:rsidRPr="000C0E58" w:rsidR="007F3D62">
        <w:rPr>
          <w:lang w:val="en-GB" w:bidi="en-US"/>
        </w:rPr>
        <w:t xml:space="preserve">improvement over </w:t>
      </w:r>
      <w:r w:rsidRPr="000C0E58">
        <w:rPr>
          <w:lang w:val="en-GB" w:bidi="en-US"/>
        </w:rPr>
        <w:t xml:space="preserve">the </w:t>
      </w:r>
      <w:r w:rsidRPr="000C0E58" w:rsidR="007F3D62">
        <w:rPr>
          <w:lang w:val="en-GB" w:bidi="en-US"/>
        </w:rPr>
        <w:t xml:space="preserve">coming </w:t>
      </w:r>
      <w:r w:rsidRPr="000C0E58">
        <w:rPr>
          <w:lang w:val="en-GB" w:bidi="en-US"/>
        </w:rPr>
        <w:t>year...</w:t>
      </w:r>
      <w:r w:rsidRPr="000C0E58" w:rsidR="00E13085">
        <w:rPr>
          <w:lang w:val="en-GB" w:bidi="en-US"/>
        </w:rPr>
        <w:t>;</w:t>
      </w:r>
      <w:r w:rsidRPr="000C0E58">
        <w:rPr>
          <w:lang w:val="en-GB" w:bidi="en-US"/>
        </w:rPr>
        <w:t xml:space="preserve"> [and]</w:t>
      </w:r>
    </w:p>
    <w:p w:rsidRPr="000C0E58" w:rsidR="00C1646D" w:rsidP="000C0E58">
      <w:pPr>
        <w:pStyle w:val="JuQuotSub"/>
        <w:rPr>
          <w:lang w:val="en-GB" w:bidi="en-US"/>
        </w:rPr>
      </w:pPr>
      <w:r w:rsidRPr="000C0E58">
        <w:rPr>
          <w:lang w:val="en-GB" w:bidi="en-US"/>
        </w:rPr>
        <w:t>(b)  </w:t>
      </w:r>
      <w:r w:rsidRPr="000C0E58">
        <w:rPr>
          <w:lang w:val="en-GB" w:bidi="en-US"/>
        </w:rPr>
        <w:t>has</w:t>
      </w:r>
      <w:r w:rsidRPr="000C0E58">
        <w:rPr>
          <w:lang w:val="en-GB" w:bidi="en-US"/>
        </w:rPr>
        <w:t xml:space="preserve"> accumulated the necessary </w:t>
      </w:r>
      <w:r w:rsidRPr="000C0E58" w:rsidR="008545CB">
        <w:rPr>
          <w:lang w:val="en-GB" w:bidi="en-US"/>
        </w:rPr>
        <w:t xml:space="preserve">length of </w:t>
      </w:r>
      <w:r w:rsidRPr="000C0E58">
        <w:rPr>
          <w:lang w:val="en-GB" w:bidi="en-US"/>
        </w:rPr>
        <w:t>service [a function of age, as outlined in the law]</w:t>
      </w:r>
      <w:r w:rsidRPr="000C0E58" w:rsidR="00E13085">
        <w:rPr>
          <w:lang w:val="en-GB" w:bidi="en-US"/>
        </w:rPr>
        <w:t>;</w:t>
      </w:r>
      <w:r w:rsidRPr="000C0E58">
        <w:rPr>
          <w:lang w:val="en-GB" w:bidi="en-US"/>
        </w:rPr>
        <w:t xml:space="preserve"> [and]</w:t>
      </w:r>
    </w:p>
    <w:p w:rsidRPr="000C0E58" w:rsidR="00C1646D" w:rsidP="000C0E58">
      <w:pPr>
        <w:pStyle w:val="JuQuotSub"/>
        <w:rPr>
          <w:lang w:val="en-GB" w:bidi="en-US"/>
        </w:rPr>
      </w:pPr>
      <w:r w:rsidRPr="000C0E58">
        <w:rPr>
          <w:lang w:val="en-GB" w:bidi="en-US"/>
        </w:rPr>
        <w:t>(</w:t>
      </w:r>
      <w:r w:rsidRPr="000C0E58">
        <w:rPr>
          <w:lang w:val="en-GB" w:bidi="en-US"/>
        </w:rPr>
        <w:t>c</w:t>
      </w:r>
      <w:r w:rsidRPr="000C0E58">
        <w:rPr>
          <w:lang w:val="en-GB" w:bidi="en-US"/>
        </w:rPr>
        <w:t>)  </w:t>
      </w:r>
      <w:r w:rsidRPr="000C0E58">
        <w:rPr>
          <w:lang w:val="en-GB" w:bidi="en-US"/>
        </w:rPr>
        <w:t xml:space="preserve">does not work regularly or earns considerably less than </w:t>
      </w:r>
      <w:r w:rsidRPr="000C0E58" w:rsidR="007F3D62">
        <w:rPr>
          <w:lang w:val="en-GB" w:bidi="en-US"/>
        </w:rPr>
        <w:t xml:space="preserve">he or she did prior to </w:t>
      </w:r>
      <w:r w:rsidRPr="000C0E58">
        <w:rPr>
          <w:lang w:val="en-GB" w:bidi="en-US"/>
        </w:rPr>
        <w:t>become disabled.”</w:t>
      </w:r>
    </w:p>
    <w:p w:rsidRPr="000C0E58" w:rsidR="00C1646D" w:rsidP="000C0E58">
      <w:pPr>
        <w:pStyle w:val="ECHRTitleCentre3"/>
        <w:rPr>
          <w:rFonts w:ascii="Times New Roman" w:hAnsi="Times New Roman" w:cs="Times New Roman"/>
          <w:lang w:val="en-GB"/>
        </w:rPr>
      </w:pPr>
      <w:r w:rsidRPr="000C0E58">
        <w:rPr>
          <w:rFonts w:ascii="Times New Roman" w:hAnsi="Times New Roman" w:cs="Times New Roman"/>
          <w:lang w:val="en-GB"/>
        </w:rPr>
        <w:t>Section 24 (1)</w:t>
      </w:r>
    </w:p>
    <w:p w:rsidRPr="000C0E58" w:rsidR="00C1646D" w:rsidP="000C0E58">
      <w:pPr>
        <w:pStyle w:val="ECHRParaQuote"/>
        <w:rPr>
          <w:rFonts w:ascii="Times New Roman" w:hAnsi="Times New Roman" w:cs="Times New Roman"/>
          <w:lang w:val="en-GB" w:bidi="en-US"/>
        </w:rPr>
      </w:pPr>
      <w:r w:rsidRPr="000C0E58">
        <w:rPr>
          <w:rFonts w:ascii="Times New Roman" w:hAnsi="Times New Roman" w:cs="Times New Roman"/>
          <w:lang w:val="en-GB" w:bidi="en-US"/>
        </w:rPr>
        <w:t xml:space="preserve">“The </w:t>
      </w:r>
      <w:r w:rsidRPr="000C0E58" w:rsidR="008545CB">
        <w:rPr>
          <w:rFonts w:ascii="Times New Roman" w:hAnsi="Times New Roman" w:cs="Times New Roman"/>
          <w:lang w:val="en-GB" w:bidi="en-US"/>
        </w:rPr>
        <w:t xml:space="preserve">length of </w:t>
      </w:r>
      <w:r w:rsidRPr="000C0E58">
        <w:rPr>
          <w:rFonts w:ascii="Times New Roman" w:hAnsi="Times New Roman" w:cs="Times New Roman"/>
          <w:lang w:val="en-GB" w:bidi="en-US"/>
        </w:rPr>
        <w:t>service necessary for the disability pension is as follows: ...</w:t>
      </w:r>
    </w:p>
    <w:p w:rsidRPr="000C0E58" w:rsidR="00C1646D" w:rsidP="000C0E58">
      <w:pPr>
        <w:pStyle w:val="ECHRParaQuote"/>
        <w:rPr>
          <w:rFonts w:ascii="Times New Roman" w:hAnsi="Times New Roman" w:cs="Times New Roman"/>
          <w:lang w:val="en-GB" w:bidi="en-US"/>
        </w:rPr>
      </w:pPr>
      <w:r w:rsidRPr="000C0E58">
        <w:rPr>
          <w:rFonts w:ascii="Times New Roman" w:hAnsi="Times New Roman" w:cs="Times New Roman"/>
          <w:lang w:val="en-GB" w:bidi="en-US"/>
        </w:rPr>
        <w:t>at</w:t>
      </w:r>
      <w:r w:rsidRPr="000C0E58">
        <w:rPr>
          <w:rFonts w:ascii="Times New Roman" w:hAnsi="Times New Roman" w:cs="Times New Roman"/>
          <w:lang w:val="en-GB" w:bidi="en-US"/>
        </w:rPr>
        <w:t xml:space="preserve"> the age of 35 to 44 years: 10 years ...”</w:t>
      </w:r>
    </w:p>
    <w:p w:rsidRPr="000C0E58" w:rsidR="00C1646D" w:rsidP="000C0E58">
      <w:pPr>
        <w:pStyle w:val="ECHRTitleCentre3"/>
        <w:rPr>
          <w:rFonts w:ascii="Times New Roman" w:hAnsi="Times New Roman" w:cs="Times New Roman"/>
          <w:lang w:val="en-GB"/>
        </w:rPr>
      </w:pPr>
      <w:r w:rsidRPr="000C0E58">
        <w:rPr>
          <w:rFonts w:ascii="Times New Roman" w:hAnsi="Times New Roman" w:cs="Times New Roman"/>
          <w:lang w:val="en-GB"/>
        </w:rPr>
        <w:t>Section 26</w:t>
      </w:r>
    </w:p>
    <w:p w:rsidRPr="000C0E58" w:rsidR="00C1646D" w:rsidP="000C0E58">
      <w:pPr>
        <w:pStyle w:val="ECHRParaQuote"/>
        <w:rPr>
          <w:rFonts w:ascii="Times New Roman" w:hAnsi="Times New Roman" w:cs="Times New Roman"/>
          <w:lang w:val="en-GB" w:bidi="en-US"/>
        </w:rPr>
      </w:pPr>
      <w:r w:rsidRPr="000C0E58">
        <w:rPr>
          <w:rFonts w:ascii="Times New Roman" w:hAnsi="Times New Roman" w:cs="Times New Roman"/>
          <w:lang w:val="en-GB" w:bidi="en-US"/>
        </w:rPr>
        <w:t>“(1)</w:t>
      </w:r>
      <w:r w:rsidRPr="000C0E58">
        <w:rPr>
          <w:rFonts w:ascii="Times New Roman" w:hAnsi="Times New Roman" w:cs="Times New Roman"/>
          <w:lang w:val="en-GB" w:bidi="en-US"/>
        </w:rPr>
        <w:t>  </w:t>
      </w:r>
      <w:r w:rsidRPr="000C0E58">
        <w:rPr>
          <w:rFonts w:ascii="Times New Roman" w:hAnsi="Times New Roman" w:cs="Times New Roman"/>
          <w:lang w:val="en-GB" w:bidi="en-US"/>
        </w:rPr>
        <w:t>The</w:t>
      </w:r>
      <w:r w:rsidRPr="000C0E58">
        <w:rPr>
          <w:rFonts w:ascii="Times New Roman" w:hAnsi="Times New Roman" w:cs="Times New Roman"/>
          <w:lang w:val="en-GB" w:bidi="en-US"/>
        </w:rPr>
        <w:t xml:space="preserve"> right to disability pension shall be effective as of the </w:t>
      </w:r>
      <w:r w:rsidRPr="000C0E58" w:rsidR="00D25BF9">
        <w:rPr>
          <w:rFonts w:ascii="Times New Roman" w:hAnsi="Times New Roman" w:cs="Times New Roman"/>
          <w:lang w:val="en-GB" w:bidi="en-US"/>
        </w:rPr>
        <w:t xml:space="preserve">date on which </w:t>
      </w:r>
      <w:r w:rsidRPr="000C0E58">
        <w:rPr>
          <w:rFonts w:ascii="Times New Roman" w:hAnsi="Times New Roman" w:cs="Times New Roman"/>
          <w:lang w:val="en-GB" w:bidi="en-US"/>
        </w:rPr>
        <w:t xml:space="preserve">the disability was found to be present, </w:t>
      </w:r>
      <w:r w:rsidRPr="000C0E58" w:rsidR="00D25BF9">
        <w:rPr>
          <w:rFonts w:ascii="Times New Roman" w:hAnsi="Times New Roman" w:cs="Times New Roman"/>
          <w:lang w:val="en-GB" w:bidi="en-US"/>
        </w:rPr>
        <w:t xml:space="preserve">based on </w:t>
      </w:r>
      <w:r w:rsidRPr="000C0E58">
        <w:rPr>
          <w:rFonts w:ascii="Times New Roman" w:hAnsi="Times New Roman" w:cs="Times New Roman"/>
          <w:lang w:val="en-GB" w:bidi="en-US"/>
        </w:rPr>
        <w:t xml:space="preserve">the opinion of the medical commission. If the medical commission did not take a stance about the </w:t>
      </w:r>
      <w:r w:rsidRPr="000C0E58" w:rsidR="00D25BF9">
        <w:rPr>
          <w:rFonts w:ascii="Times New Roman" w:hAnsi="Times New Roman" w:cs="Times New Roman"/>
          <w:lang w:val="en-GB" w:bidi="en-US"/>
        </w:rPr>
        <w:t>point at which the</w:t>
      </w:r>
      <w:r w:rsidRPr="000C0E58">
        <w:rPr>
          <w:rFonts w:ascii="Times New Roman" w:hAnsi="Times New Roman" w:cs="Times New Roman"/>
          <w:lang w:val="en-GB" w:bidi="en-US"/>
        </w:rPr>
        <w:t xml:space="preserve"> disability</w:t>
      </w:r>
      <w:r w:rsidRPr="000C0E58" w:rsidR="00D25BF9">
        <w:rPr>
          <w:rFonts w:ascii="Times New Roman" w:hAnsi="Times New Roman" w:cs="Times New Roman"/>
          <w:lang w:val="en-GB" w:bidi="en-US"/>
        </w:rPr>
        <w:t xml:space="preserve"> began</w:t>
      </w:r>
      <w:r w:rsidRPr="000C0E58">
        <w:rPr>
          <w:rFonts w:ascii="Times New Roman" w:hAnsi="Times New Roman" w:cs="Times New Roman"/>
          <w:lang w:val="en-GB" w:bidi="en-US"/>
        </w:rPr>
        <w:t xml:space="preserve">, the date to be taken in account shall be the date </w:t>
      </w:r>
      <w:r w:rsidRPr="000C0E58" w:rsidR="00D25BF9">
        <w:rPr>
          <w:rFonts w:ascii="Times New Roman" w:hAnsi="Times New Roman" w:cs="Times New Roman"/>
          <w:lang w:val="en-GB" w:bidi="en-US"/>
        </w:rPr>
        <w:t xml:space="preserve">on which the </w:t>
      </w:r>
      <w:r w:rsidRPr="000C0E58">
        <w:rPr>
          <w:rFonts w:ascii="Times New Roman" w:hAnsi="Times New Roman" w:cs="Times New Roman"/>
          <w:lang w:val="en-GB" w:bidi="en-US"/>
        </w:rPr>
        <w:t>disability pension</w:t>
      </w:r>
      <w:r w:rsidRPr="000C0E58" w:rsidR="00D25BF9">
        <w:rPr>
          <w:rFonts w:ascii="Times New Roman" w:hAnsi="Times New Roman" w:cs="Times New Roman"/>
          <w:lang w:val="en-GB" w:bidi="en-US"/>
        </w:rPr>
        <w:t xml:space="preserve"> was requested</w:t>
      </w:r>
      <w:r w:rsidRPr="000C0E58">
        <w:rPr>
          <w:rFonts w:ascii="Times New Roman" w:hAnsi="Times New Roman" w:cs="Times New Roman"/>
          <w:lang w:val="en-GB" w:bidi="en-US"/>
        </w:rPr>
        <w:t>.</w:t>
      </w:r>
    </w:p>
    <w:p w:rsidRPr="000C0E58" w:rsidR="00C1646D" w:rsidP="000C0E58">
      <w:pPr>
        <w:pStyle w:val="ECHRParaQuote"/>
        <w:rPr>
          <w:rFonts w:ascii="Times New Roman" w:hAnsi="Times New Roman" w:cs="Times New Roman"/>
          <w:lang w:val="en-GB" w:bidi="en-US"/>
        </w:rPr>
      </w:pPr>
      <w:r w:rsidRPr="000C0E58">
        <w:rPr>
          <w:rFonts w:ascii="Times New Roman" w:hAnsi="Times New Roman" w:cs="Times New Roman"/>
          <w:lang w:val="en-GB" w:bidi="en-US"/>
        </w:rPr>
        <w:t>(2)</w:t>
      </w:r>
      <w:r w:rsidRPr="000C0E58">
        <w:rPr>
          <w:rFonts w:ascii="Times New Roman" w:hAnsi="Times New Roman" w:cs="Times New Roman"/>
          <w:lang w:val="en-GB" w:bidi="en-US"/>
        </w:rPr>
        <w:t>  </w:t>
      </w:r>
      <w:r w:rsidRPr="000C0E58">
        <w:rPr>
          <w:rFonts w:ascii="Times New Roman" w:hAnsi="Times New Roman" w:cs="Times New Roman"/>
          <w:lang w:val="en-GB" w:bidi="en-US"/>
        </w:rPr>
        <w:t>If</w:t>
      </w:r>
      <w:r w:rsidRPr="000C0E58">
        <w:rPr>
          <w:rFonts w:ascii="Times New Roman" w:hAnsi="Times New Roman" w:cs="Times New Roman"/>
          <w:lang w:val="en-GB" w:bidi="en-US"/>
        </w:rPr>
        <w:t xml:space="preserve"> the claimant had not accumulated the necessary service period by the time </w:t>
      </w:r>
      <w:r w:rsidRPr="000C0E58" w:rsidR="007F3D62">
        <w:rPr>
          <w:rFonts w:ascii="Times New Roman" w:hAnsi="Times New Roman" w:cs="Times New Roman"/>
          <w:lang w:val="en-GB" w:bidi="en-US"/>
        </w:rPr>
        <w:t xml:space="preserve">set out </w:t>
      </w:r>
      <w:r w:rsidRPr="000C0E58">
        <w:rPr>
          <w:rFonts w:ascii="Times New Roman" w:hAnsi="Times New Roman" w:cs="Times New Roman"/>
          <w:lang w:val="en-GB" w:bidi="en-US"/>
        </w:rPr>
        <w:t xml:space="preserve">in paragraph (1) above, </w:t>
      </w:r>
      <w:r w:rsidRPr="000C0E58" w:rsidR="00D25BF9">
        <w:rPr>
          <w:rFonts w:ascii="Times New Roman" w:hAnsi="Times New Roman" w:cs="Times New Roman"/>
          <w:lang w:val="en-GB" w:bidi="en-US"/>
        </w:rPr>
        <w:t xml:space="preserve">eligibility for a </w:t>
      </w:r>
      <w:r w:rsidRPr="000C0E58">
        <w:rPr>
          <w:rFonts w:ascii="Times New Roman" w:hAnsi="Times New Roman" w:cs="Times New Roman"/>
          <w:lang w:val="en-GB" w:bidi="en-US"/>
        </w:rPr>
        <w:t xml:space="preserve">disability pension shall be effective as of the day following the accumulation of the necessary </w:t>
      </w:r>
      <w:r w:rsidRPr="000C0E58" w:rsidR="008545CB">
        <w:rPr>
          <w:rFonts w:ascii="Times New Roman" w:hAnsi="Times New Roman" w:cs="Times New Roman"/>
          <w:lang w:val="en-GB" w:bidi="en-US"/>
        </w:rPr>
        <w:t xml:space="preserve">length of </w:t>
      </w:r>
      <w:r w:rsidRPr="000C0E58">
        <w:rPr>
          <w:rFonts w:ascii="Times New Roman" w:hAnsi="Times New Roman" w:cs="Times New Roman"/>
          <w:lang w:val="en-GB" w:bidi="en-US"/>
        </w:rPr>
        <w:t>service.”</w:t>
      </w:r>
    </w:p>
    <w:p w:rsidRPr="000C0E58" w:rsidR="00C1646D" w:rsidP="000C0E58">
      <w:pPr>
        <w:pStyle w:val="ECHRTitleCentre3"/>
        <w:rPr>
          <w:rFonts w:ascii="Times New Roman" w:hAnsi="Times New Roman" w:cs="Times New Roman"/>
          <w:bCs/>
          <w:lang w:val="en-GB"/>
        </w:rPr>
      </w:pPr>
      <w:r w:rsidRPr="000C0E58">
        <w:rPr>
          <w:rFonts w:ascii="Times New Roman" w:hAnsi="Times New Roman" w:cs="Times New Roman"/>
          <w:lang w:val="en-GB"/>
        </w:rPr>
        <w:t xml:space="preserve">Section </w:t>
      </w:r>
      <w:r w:rsidRPr="000C0E58">
        <w:rPr>
          <w:rFonts w:ascii="Times New Roman" w:hAnsi="Times New Roman" w:cs="Times New Roman"/>
          <w:bCs/>
          <w:lang w:val="en-GB"/>
        </w:rPr>
        <w:t>29</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“(1)</w:t>
      </w:r>
      <w:r w:rsidRPr="000C0E58">
        <w:rPr>
          <w:rFonts w:ascii="Times New Roman" w:hAnsi="Times New Roman" w:cs="Times New Roman"/>
          <w:lang w:val="en-GB"/>
        </w:rPr>
        <w:t>  </w:t>
      </w:r>
      <w:r w:rsidRPr="000C0E58">
        <w:rPr>
          <w:rFonts w:ascii="Times New Roman" w:hAnsi="Times New Roman" w:cs="Times New Roman"/>
          <w:lang w:val="en-GB"/>
        </w:rPr>
        <w:t>The</w:t>
      </w:r>
      <w:r w:rsidRPr="000C0E58">
        <w:rPr>
          <w:rFonts w:ascii="Times New Roman" w:hAnsi="Times New Roman" w:cs="Times New Roman"/>
          <w:lang w:val="en-GB"/>
        </w:rPr>
        <w:t xml:space="preserve"> amount of disability pension is </w:t>
      </w:r>
      <w:r w:rsidRPr="000C0E58" w:rsidR="00D25BF9">
        <w:rPr>
          <w:rFonts w:ascii="Times New Roman" w:hAnsi="Times New Roman" w:cs="Times New Roman"/>
          <w:lang w:val="en-GB"/>
        </w:rPr>
        <w:t xml:space="preserve">dependent on </w:t>
      </w:r>
      <w:r w:rsidRPr="000C0E58">
        <w:rPr>
          <w:rFonts w:ascii="Times New Roman" w:hAnsi="Times New Roman" w:cs="Times New Roman"/>
          <w:lang w:val="en-GB"/>
        </w:rPr>
        <w:t>the person</w:t>
      </w:r>
      <w:r w:rsidRPr="000C0E58" w:rsidR="000C0E58">
        <w:rPr>
          <w:rFonts w:ascii="Times New Roman" w:hAnsi="Times New Roman" w:cs="Times New Roman"/>
          <w:lang w:val="en-GB"/>
        </w:rPr>
        <w:t>’</w:t>
      </w:r>
      <w:r w:rsidRPr="000C0E58">
        <w:rPr>
          <w:rFonts w:ascii="Times New Roman" w:hAnsi="Times New Roman" w:cs="Times New Roman"/>
          <w:lang w:val="en-GB"/>
        </w:rPr>
        <w:t xml:space="preserve">s age when </w:t>
      </w:r>
      <w:r w:rsidRPr="000C0E58" w:rsidR="00D25BF9">
        <w:rPr>
          <w:rFonts w:ascii="Times New Roman" w:hAnsi="Times New Roman" w:cs="Times New Roman"/>
          <w:lang w:val="en-GB"/>
        </w:rPr>
        <w:t xml:space="preserve">he or she </w:t>
      </w:r>
      <w:r w:rsidRPr="000C0E58">
        <w:rPr>
          <w:rFonts w:ascii="Times New Roman" w:hAnsi="Times New Roman" w:cs="Times New Roman"/>
          <w:lang w:val="en-GB"/>
        </w:rPr>
        <w:t>becom</w:t>
      </w:r>
      <w:r w:rsidRPr="000C0E58" w:rsidR="00D25BF9">
        <w:rPr>
          <w:rFonts w:ascii="Times New Roman" w:hAnsi="Times New Roman" w:cs="Times New Roman"/>
          <w:lang w:val="en-GB"/>
        </w:rPr>
        <w:t xml:space="preserve">es </w:t>
      </w:r>
      <w:r w:rsidRPr="000C0E58">
        <w:rPr>
          <w:rFonts w:ascii="Times New Roman" w:hAnsi="Times New Roman" w:cs="Times New Roman"/>
          <w:lang w:val="en-GB"/>
        </w:rPr>
        <w:t xml:space="preserve">disabled, the </w:t>
      </w:r>
      <w:r w:rsidRPr="000C0E58" w:rsidR="008545CB">
        <w:rPr>
          <w:rFonts w:ascii="Times New Roman" w:hAnsi="Times New Roman" w:cs="Times New Roman"/>
          <w:lang w:val="en-GB"/>
        </w:rPr>
        <w:t xml:space="preserve">length </w:t>
      </w:r>
      <w:r w:rsidRPr="000C0E58">
        <w:rPr>
          <w:rFonts w:ascii="Times New Roman" w:hAnsi="Times New Roman" w:cs="Times New Roman"/>
          <w:lang w:val="en-GB"/>
        </w:rPr>
        <w:t xml:space="preserve">of service </w:t>
      </w:r>
      <w:r w:rsidRPr="000C0E58" w:rsidR="008545CB">
        <w:rPr>
          <w:rFonts w:ascii="Times New Roman" w:hAnsi="Times New Roman" w:cs="Times New Roman"/>
          <w:lang w:val="en-GB"/>
        </w:rPr>
        <w:t xml:space="preserve">accumulated </w:t>
      </w:r>
      <w:r w:rsidRPr="000C0E58" w:rsidR="00D25BF9">
        <w:rPr>
          <w:rFonts w:ascii="Times New Roman" w:hAnsi="Times New Roman" w:cs="Times New Roman"/>
          <w:lang w:val="en-GB"/>
        </w:rPr>
        <w:t xml:space="preserve">prior to </w:t>
      </w:r>
      <w:r w:rsidRPr="000C0E58">
        <w:rPr>
          <w:rFonts w:ascii="Times New Roman" w:hAnsi="Times New Roman" w:cs="Times New Roman"/>
          <w:lang w:val="en-GB"/>
        </w:rPr>
        <w:t>the granting of the disability pension and the degree of disability.”</w:t>
      </w:r>
    </w:p>
    <w:p w:rsidRPr="000C0E58" w:rsidR="00E26E8B" w:rsidP="000C0E58">
      <w:pPr>
        <w:pStyle w:val="ECHRPara"/>
        <w:rPr>
          <w:rFonts w:ascii="Times New Roman" w:hAnsi="Times New Roman" w:cs="Times New Roman"/>
          <w:szCs w:val="24"/>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29</w:t>
      </w:r>
      <w:r w:rsidRPr="000C0E58">
        <w:rPr>
          <w:lang w:val="en-GB"/>
        </w:rPr>
        <w:fldChar w:fldCharType="end"/>
      </w:r>
      <w:r w:rsidRPr="000C0E58">
        <w:rPr>
          <w:lang w:val="en-GB"/>
        </w:rPr>
        <w:t>.  </w:t>
      </w:r>
      <w:r w:rsidRPr="000C0E58">
        <w:rPr>
          <w:rFonts w:ascii="Times New Roman" w:hAnsi="Times New Roman" w:cs="Times New Roman"/>
          <w:szCs w:val="24"/>
          <w:lang w:val="en-GB"/>
        </w:rPr>
        <w:t>Concerning disability pensions to be granted after 31 December 2007, the same Act, as in force between 12 March and 31 December 2011, provided as follows</w:t>
      </w:r>
      <w:r w:rsidRPr="000C0E58">
        <w:rPr>
          <w:rFonts w:ascii="Times New Roman" w:hAnsi="Times New Roman" w:cs="Times New Roman"/>
          <w:szCs w:val="24"/>
          <w:lang w:val="en-GB"/>
        </w:rPr>
        <w:t>:</w:t>
      </w:r>
    </w:p>
    <w:p w:rsidRPr="000C0E58" w:rsidR="00C1646D" w:rsidP="000C0E58">
      <w:pPr>
        <w:pStyle w:val="ECHRTitleCentre3"/>
        <w:rPr>
          <w:rFonts w:ascii="Times New Roman" w:hAnsi="Times New Roman" w:cs="Times New Roman"/>
          <w:lang w:val="en-GB"/>
        </w:rPr>
      </w:pPr>
      <w:r w:rsidRPr="000C0E58">
        <w:rPr>
          <w:rFonts w:ascii="Times New Roman" w:hAnsi="Times New Roman" w:cs="Times New Roman"/>
          <w:lang w:val="en-GB"/>
        </w:rPr>
        <w:t>Section 36/A</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“(1)</w:t>
      </w:r>
      <w:r w:rsidRPr="000C0E58">
        <w:rPr>
          <w:rFonts w:ascii="Times New Roman" w:hAnsi="Times New Roman" w:cs="Times New Roman"/>
          <w:lang w:val="en-GB"/>
        </w:rPr>
        <w:t>  </w:t>
      </w:r>
      <w:r w:rsidRPr="000C0E58">
        <w:rPr>
          <w:rFonts w:ascii="Times New Roman" w:hAnsi="Times New Roman" w:cs="Times New Roman"/>
          <w:lang w:val="en-GB"/>
        </w:rPr>
        <w:t>Disability</w:t>
      </w:r>
      <w:r w:rsidRPr="000C0E58">
        <w:rPr>
          <w:rFonts w:ascii="Times New Roman" w:hAnsi="Times New Roman" w:cs="Times New Roman"/>
          <w:lang w:val="en-GB"/>
        </w:rPr>
        <w:t xml:space="preserve"> pension shall be due to a person who:</w:t>
      </w:r>
    </w:p>
    <w:p w:rsidRPr="000C0E58" w:rsidR="00C1646D" w:rsidP="000C0E58">
      <w:pPr>
        <w:pStyle w:val="JuQuotSub"/>
        <w:rPr>
          <w:lang w:val="en-GB"/>
        </w:rPr>
      </w:pPr>
      <w:r w:rsidRPr="000C0E58">
        <w:rPr>
          <w:lang w:val="en-GB"/>
        </w:rPr>
        <w:t>(</w:t>
      </w:r>
      <w:r w:rsidRPr="000C0E58">
        <w:rPr>
          <w:lang w:val="en-GB"/>
        </w:rPr>
        <w:t>a)</w:t>
      </w:r>
      <w:r w:rsidRPr="000C0E58" w:rsidR="00F4238C">
        <w:rPr>
          <w:lang w:val="en-GB"/>
        </w:rPr>
        <w:t>  </w:t>
      </w:r>
      <w:r w:rsidRPr="000C0E58">
        <w:rPr>
          <w:lang w:val="en-GB"/>
        </w:rPr>
        <w:t>has</w:t>
      </w:r>
      <w:r w:rsidRPr="000C0E58">
        <w:rPr>
          <w:lang w:val="en-GB"/>
        </w:rPr>
        <w:t xml:space="preserve"> </w:t>
      </w:r>
      <w:r w:rsidRPr="000C0E58">
        <w:rPr>
          <w:lang w:val="en-GB"/>
        </w:rPr>
        <w:t>suffered [at least 79</w:t>
      </w:r>
      <w:r w:rsidRPr="000C0E58">
        <w:rPr>
          <w:lang w:val="en-GB"/>
        </w:rPr>
        <w:t>%</w:t>
      </w:r>
      <w:r w:rsidRPr="000C0E58">
        <w:rPr>
          <w:lang w:val="en-GB"/>
        </w:rPr>
        <w:t xml:space="preserve"> loss of capacity to work, or between 50 and 79</w:t>
      </w:r>
      <w:r w:rsidRPr="000C0E58">
        <w:rPr>
          <w:lang w:val="en-GB"/>
        </w:rPr>
        <w:t xml:space="preserve">% </w:t>
      </w:r>
      <w:r w:rsidRPr="000C0E58" w:rsidR="00331B94">
        <w:rPr>
          <w:lang w:val="en-GB"/>
        </w:rPr>
        <w:t xml:space="preserve">loss of capacity </w:t>
      </w:r>
      <w:r w:rsidRPr="000C0E58">
        <w:rPr>
          <w:lang w:val="en-GB"/>
        </w:rPr>
        <w:t>if rehabilitation is not feasible], and</w:t>
      </w:r>
    </w:p>
    <w:p w:rsidRPr="000C0E58" w:rsidR="00C1646D" w:rsidP="000C0E58">
      <w:pPr>
        <w:pStyle w:val="JuQuotSub"/>
        <w:rPr>
          <w:lang w:val="en-GB"/>
        </w:rPr>
      </w:pPr>
      <w:r w:rsidRPr="000C0E58">
        <w:rPr>
          <w:lang w:val="en-GB"/>
        </w:rPr>
        <w:t>(</w:t>
      </w:r>
      <w:r w:rsidRPr="000C0E58" w:rsidR="00F4238C">
        <w:rPr>
          <w:lang w:val="en-GB"/>
        </w:rPr>
        <w:t>b)  </w:t>
      </w:r>
      <w:r w:rsidRPr="000C0E58">
        <w:rPr>
          <w:lang w:val="en-GB"/>
        </w:rPr>
        <w:t>accumulated</w:t>
      </w:r>
      <w:r w:rsidRPr="000C0E58">
        <w:rPr>
          <w:lang w:val="en-GB"/>
        </w:rPr>
        <w:t xml:space="preserve"> the </w:t>
      </w:r>
      <w:r w:rsidRPr="000C0E58" w:rsidR="00331B94">
        <w:rPr>
          <w:lang w:val="en-GB"/>
        </w:rPr>
        <w:t xml:space="preserve">requisite length of service </w:t>
      </w:r>
      <w:r w:rsidRPr="000C0E58">
        <w:rPr>
          <w:lang w:val="en-GB"/>
        </w:rPr>
        <w:t>in respect of his</w:t>
      </w:r>
      <w:r w:rsidRPr="000C0E58">
        <w:rPr>
          <w:lang w:val="en-GB"/>
        </w:rPr>
        <w:t xml:space="preserve"> or her</w:t>
      </w:r>
      <w:r w:rsidRPr="000C0E58">
        <w:rPr>
          <w:lang w:val="en-GB"/>
        </w:rPr>
        <w:t xml:space="preserve"> age, and</w:t>
      </w:r>
    </w:p>
    <w:p w:rsidRPr="000C0E58" w:rsidR="00C1646D" w:rsidP="000C0E58">
      <w:pPr>
        <w:pStyle w:val="JuQuotSub"/>
        <w:rPr>
          <w:lang w:val="en-GB"/>
        </w:rPr>
      </w:pPr>
      <w:r w:rsidRPr="000C0E58">
        <w:rPr>
          <w:lang w:val="en-GB"/>
        </w:rPr>
        <w:t>(</w:t>
      </w:r>
      <w:r w:rsidRPr="000C0E58" w:rsidR="00F4238C">
        <w:rPr>
          <w:lang w:val="en-GB"/>
        </w:rPr>
        <w:t>c)  </w:t>
      </w:r>
      <w:r w:rsidRPr="000C0E58">
        <w:rPr>
          <w:lang w:val="en-GB"/>
        </w:rPr>
        <w:t>[</w:t>
      </w:r>
      <w:r w:rsidRPr="000C0E58">
        <w:rPr>
          <w:lang w:val="en-GB"/>
        </w:rPr>
        <w:t>does</w:t>
      </w:r>
      <w:r w:rsidRPr="000C0E58">
        <w:rPr>
          <w:lang w:val="en-GB"/>
        </w:rPr>
        <w:t xml:space="preserve"> not have an income or earns considerably less than before], and</w:t>
      </w:r>
    </w:p>
    <w:p w:rsidRPr="000C0E58" w:rsidR="00C1646D" w:rsidP="000C0E58">
      <w:pPr>
        <w:pStyle w:val="JuQuotSub"/>
        <w:rPr>
          <w:lang w:val="en-GB"/>
        </w:rPr>
      </w:pPr>
      <w:r w:rsidRPr="000C0E58">
        <w:rPr>
          <w:lang w:val="en-GB"/>
        </w:rPr>
        <w:t>(</w:t>
      </w:r>
      <w:r w:rsidRPr="000C0E58" w:rsidR="00F4238C">
        <w:rPr>
          <w:lang w:val="en-GB"/>
        </w:rPr>
        <w:t>d)</w:t>
      </w:r>
      <w:r w:rsidRPr="000C0E58" w:rsidR="00F4238C">
        <w:rPr>
          <w:lang w:val="en-GB"/>
        </w:rPr>
        <w:t>  </w:t>
      </w:r>
      <w:r w:rsidRPr="000C0E58">
        <w:rPr>
          <w:lang w:val="en-GB"/>
        </w:rPr>
        <w:t>does</w:t>
      </w:r>
      <w:r w:rsidRPr="000C0E58">
        <w:rPr>
          <w:lang w:val="en-GB"/>
        </w:rPr>
        <w:t xml:space="preserve"> not receive sick pay or disability sick pay.”</w:t>
      </w:r>
    </w:p>
    <w:p w:rsidRPr="000C0E58" w:rsidR="001B094E"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30</w:t>
      </w:r>
      <w:r w:rsidRPr="000C0E58">
        <w:rPr>
          <w:lang w:val="en-GB"/>
        </w:rPr>
        <w:fldChar w:fldCharType="end"/>
      </w:r>
      <w:r w:rsidRPr="000C0E58">
        <w:rPr>
          <w:lang w:val="en-GB"/>
        </w:rPr>
        <w:t>.  </w:t>
      </w:r>
      <w:r w:rsidRPr="000C0E58" w:rsidR="00562519">
        <w:rPr>
          <w:lang w:val="en-GB"/>
        </w:rPr>
        <w:t>Act no. LXXXIV of 2007 on the Rehabilitation Allowance, as in force until 31 December 2011, provided as follows:</w:t>
      </w:r>
    </w:p>
    <w:p w:rsidRPr="000C0E58" w:rsidR="00562519" w:rsidP="000C0E58">
      <w:pPr>
        <w:pStyle w:val="ECHRTitleCentre3"/>
        <w:rPr>
          <w:rFonts w:eastAsia="Times New Roman"/>
          <w:lang w:val="en-GB"/>
        </w:rPr>
      </w:pPr>
      <w:r w:rsidRPr="000C0E58">
        <w:rPr>
          <w:rFonts w:eastAsia="Times New Roman"/>
          <w:lang w:val="en-GB"/>
        </w:rPr>
        <w:t>Section 3</w:t>
      </w:r>
    </w:p>
    <w:p w:rsidRPr="000C0E58" w:rsidR="001B094E" w:rsidP="000C0E58">
      <w:pPr>
        <w:pStyle w:val="ECHRParaQuote"/>
        <w:rPr>
          <w:rFonts w:eastAsia="Times New Roman"/>
          <w:lang w:val="en-GB"/>
        </w:rPr>
      </w:pPr>
      <w:r w:rsidRPr="000C0E58">
        <w:rPr>
          <w:rFonts w:eastAsia="Times New Roman"/>
          <w:lang w:val="en-GB"/>
        </w:rPr>
        <w:t>“</w:t>
      </w:r>
      <w:r w:rsidRPr="000C0E58" w:rsidR="00562519">
        <w:rPr>
          <w:rFonts w:eastAsia="Times New Roman"/>
          <w:lang w:val="en-GB"/>
        </w:rPr>
        <w:t>(1)</w:t>
      </w:r>
      <w:r w:rsidRPr="000C0E58" w:rsidR="00F4238C">
        <w:rPr>
          <w:rFonts w:eastAsia="Times New Roman"/>
          <w:lang w:val="en-GB"/>
        </w:rPr>
        <w:t>  </w:t>
      </w:r>
      <w:r w:rsidRPr="000C0E58" w:rsidR="00562519">
        <w:rPr>
          <w:rFonts w:eastAsia="Times New Roman"/>
          <w:lang w:val="en-GB"/>
        </w:rPr>
        <w:t>The</w:t>
      </w:r>
      <w:r w:rsidRPr="000C0E58" w:rsidR="00562519">
        <w:rPr>
          <w:rFonts w:eastAsia="Times New Roman"/>
          <w:lang w:val="en-GB"/>
        </w:rPr>
        <w:t xml:space="preserve"> rehabilitation allowance </w:t>
      </w:r>
      <w:r w:rsidRPr="000C0E58" w:rsidR="007F3D62">
        <w:rPr>
          <w:rFonts w:eastAsia="Times New Roman"/>
          <w:lang w:val="en-GB"/>
        </w:rPr>
        <w:t xml:space="preserve">shall be </w:t>
      </w:r>
      <w:r w:rsidRPr="000C0E58" w:rsidR="00562519">
        <w:rPr>
          <w:rFonts w:eastAsia="Times New Roman"/>
          <w:lang w:val="en-GB"/>
        </w:rPr>
        <w:t xml:space="preserve">due to a </w:t>
      </w:r>
      <w:r w:rsidRPr="000C0E58">
        <w:rPr>
          <w:rFonts w:eastAsia="Times New Roman"/>
          <w:lang w:val="en-GB"/>
        </w:rPr>
        <w:t>...</w:t>
      </w:r>
      <w:r w:rsidRPr="000C0E58" w:rsidR="00562519">
        <w:rPr>
          <w:rFonts w:eastAsia="Times New Roman"/>
          <w:lang w:val="en-GB"/>
        </w:rPr>
        <w:t xml:space="preserve"> person:</w:t>
      </w:r>
    </w:p>
    <w:p w:rsidRPr="000C0E58" w:rsidR="00562519" w:rsidP="000C0E58">
      <w:pPr>
        <w:pStyle w:val="JuQuotSub"/>
        <w:rPr>
          <w:rFonts w:eastAsia="Times New Roman"/>
          <w:lang w:val="en-GB"/>
        </w:rPr>
      </w:pPr>
      <w:r w:rsidRPr="000C0E58">
        <w:rPr>
          <w:rFonts w:eastAsia="Times New Roman"/>
          <w:iCs/>
          <w:lang w:val="en-GB"/>
        </w:rPr>
        <w:t>(</w:t>
      </w:r>
      <w:r w:rsidRPr="000C0E58">
        <w:rPr>
          <w:rFonts w:eastAsia="Times New Roman"/>
          <w:iCs/>
          <w:lang w:val="en-GB"/>
        </w:rPr>
        <w:t>a)</w:t>
      </w:r>
      <w:r w:rsidRPr="000C0E58" w:rsidR="00F4238C">
        <w:rPr>
          <w:rFonts w:eastAsia="Times New Roman"/>
          <w:lang w:val="en-GB"/>
        </w:rPr>
        <w:t>  </w:t>
      </w:r>
      <w:r w:rsidRPr="000C0E58">
        <w:rPr>
          <w:rFonts w:eastAsia="Times New Roman"/>
          <w:lang w:val="en-GB"/>
        </w:rPr>
        <w:t>who</w:t>
      </w:r>
      <w:r w:rsidRPr="000C0E58">
        <w:rPr>
          <w:rFonts w:eastAsia="Times New Roman"/>
          <w:lang w:val="en-GB"/>
        </w:rPr>
        <w:t xml:space="preserve"> has suffered an impairment of health at a rate of 50 to 79 per cent and</w:t>
      </w:r>
      <w:r w:rsidRPr="000C0E58">
        <w:rPr>
          <w:rFonts w:eastAsia="Times New Roman"/>
          <w:lang w:val="en-GB"/>
        </w:rPr>
        <w:t xml:space="preserve">, </w:t>
      </w:r>
      <w:r w:rsidRPr="000C0E58" w:rsidR="0051550C">
        <w:rPr>
          <w:rFonts w:eastAsia="Times New Roman"/>
          <w:lang w:val="en-GB"/>
        </w:rPr>
        <w:t xml:space="preserve">in the context of that impairment... </w:t>
      </w:r>
      <w:r w:rsidRPr="000C0E58">
        <w:rPr>
          <w:rFonts w:eastAsia="Times New Roman"/>
          <w:lang w:val="en-GB"/>
        </w:rPr>
        <w:t xml:space="preserve">cannot </w:t>
      </w:r>
      <w:r w:rsidRPr="000C0E58">
        <w:rPr>
          <w:rFonts w:eastAsia="Times New Roman"/>
          <w:lang w:val="en-GB"/>
        </w:rPr>
        <w:t xml:space="preserve">... </w:t>
      </w:r>
      <w:r w:rsidRPr="000C0E58">
        <w:rPr>
          <w:rFonts w:eastAsia="Times New Roman"/>
          <w:lang w:val="en-GB"/>
        </w:rPr>
        <w:t>continue to be employed without rehabilitation, and</w:t>
      </w:r>
    </w:p>
    <w:p w:rsidRPr="000C0E58" w:rsidR="00562519" w:rsidP="000C0E58">
      <w:pPr>
        <w:pStyle w:val="JuQuotSub"/>
        <w:rPr>
          <w:rFonts w:eastAsia="Times New Roman"/>
          <w:lang w:val="en-GB"/>
        </w:rPr>
      </w:pPr>
      <w:r w:rsidRPr="000C0E58">
        <w:rPr>
          <w:rFonts w:eastAsia="Times New Roman"/>
          <w:iCs/>
          <w:lang w:val="en-GB"/>
        </w:rPr>
        <w:t>(</w:t>
      </w:r>
      <w:r w:rsidRPr="000C0E58">
        <w:rPr>
          <w:rFonts w:eastAsia="Times New Roman"/>
          <w:iCs/>
          <w:lang w:val="en-GB"/>
        </w:rPr>
        <w:t>aa</w:t>
      </w:r>
      <w:r w:rsidRPr="000C0E58">
        <w:rPr>
          <w:rFonts w:eastAsia="Times New Roman"/>
          <w:iCs/>
          <w:lang w:val="en-GB"/>
        </w:rPr>
        <w:t>)</w:t>
      </w:r>
      <w:r w:rsidRPr="000C0E58" w:rsidR="00F4238C">
        <w:rPr>
          <w:rFonts w:eastAsia="Times New Roman"/>
          <w:lang w:val="en-GB"/>
        </w:rPr>
        <w:t>  </w:t>
      </w:r>
      <w:r w:rsidRPr="000C0E58">
        <w:rPr>
          <w:rFonts w:eastAsia="Times New Roman"/>
          <w:lang w:val="en-GB"/>
        </w:rPr>
        <w:t xml:space="preserve">who </w:t>
      </w:r>
      <w:r w:rsidRPr="000C0E58" w:rsidR="00C63A92">
        <w:rPr>
          <w:rFonts w:eastAsia="Times New Roman"/>
          <w:lang w:val="en-GB"/>
        </w:rPr>
        <w:t xml:space="preserve">is not engaged in </w:t>
      </w:r>
      <w:r w:rsidRPr="000C0E58">
        <w:rPr>
          <w:rFonts w:eastAsia="Times New Roman"/>
          <w:lang w:val="en-GB"/>
        </w:rPr>
        <w:t>any gainful activity</w:t>
      </w:r>
      <w:r w:rsidRPr="000C0E58" w:rsidR="0051550C">
        <w:rPr>
          <w:rFonts w:eastAsia="Times New Roman"/>
          <w:lang w:val="en-GB"/>
        </w:rPr>
        <w:t>;</w:t>
      </w:r>
      <w:r w:rsidRPr="000C0E58">
        <w:rPr>
          <w:rFonts w:eastAsia="Times New Roman"/>
          <w:lang w:val="en-GB"/>
        </w:rPr>
        <w:t xml:space="preserve"> or</w:t>
      </w:r>
    </w:p>
    <w:p w:rsidRPr="000C0E58" w:rsidR="00562519" w:rsidP="000C0E58">
      <w:pPr>
        <w:pStyle w:val="JuQuotSub"/>
        <w:rPr>
          <w:rFonts w:eastAsia="Times New Roman"/>
          <w:lang w:val="en-GB"/>
        </w:rPr>
      </w:pPr>
      <w:r w:rsidRPr="000C0E58">
        <w:rPr>
          <w:rFonts w:eastAsia="Times New Roman"/>
          <w:iCs/>
          <w:lang w:val="en-GB"/>
        </w:rPr>
        <w:t>(</w:t>
      </w:r>
      <w:r w:rsidRPr="000C0E58">
        <w:rPr>
          <w:rFonts w:eastAsia="Times New Roman"/>
          <w:iCs/>
          <w:lang w:val="en-GB"/>
        </w:rPr>
        <w:t>ab</w:t>
      </w:r>
      <w:r w:rsidRPr="000C0E58">
        <w:rPr>
          <w:rFonts w:eastAsia="Times New Roman"/>
          <w:iCs/>
          <w:lang w:val="en-GB"/>
        </w:rPr>
        <w:t>)</w:t>
      </w:r>
      <w:r w:rsidRPr="000C0E58" w:rsidR="00F4238C">
        <w:rPr>
          <w:rFonts w:eastAsia="Times New Roman"/>
          <w:lang w:val="en-GB"/>
        </w:rPr>
        <w:t>  </w:t>
      </w:r>
      <w:r w:rsidRPr="000C0E58">
        <w:rPr>
          <w:rFonts w:eastAsia="Times New Roman"/>
          <w:lang w:val="en-GB"/>
        </w:rPr>
        <w:t xml:space="preserve">whose </w:t>
      </w:r>
      <w:r w:rsidRPr="000C0E58" w:rsidR="006D4DED">
        <w:rPr>
          <w:rFonts w:eastAsia="Times New Roman"/>
          <w:lang w:val="en-GB"/>
        </w:rPr>
        <w:t xml:space="preserve">monthly </w:t>
      </w:r>
      <w:r w:rsidRPr="000C0E58">
        <w:rPr>
          <w:rFonts w:eastAsia="Times New Roman"/>
          <w:lang w:val="en-GB"/>
        </w:rPr>
        <w:t>income is at least 30 per cent l</w:t>
      </w:r>
      <w:r w:rsidRPr="000C0E58" w:rsidR="00C63A92">
        <w:rPr>
          <w:rFonts w:eastAsia="Times New Roman"/>
          <w:lang w:val="en-GB"/>
        </w:rPr>
        <w:t xml:space="preserve">ower </w:t>
      </w:r>
      <w:r w:rsidRPr="000C0E58">
        <w:rPr>
          <w:rFonts w:eastAsia="Times New Roman"/>
          <w:lang w:val="en-GB"/>
        </w:rPr>
        <w:t xml:space="preserve">than </w:t>
      </w:r>
      <w:r w:rsidRPr="000C0E58" w:rsidR="006D4DED">
        <w:rPr>
          <w:rFonts w:eastAsia="Times New Roman"/>
          <w:lang w:val="en-GB"/>
        </w:rPr>
        <w:t>[before]</w:t>
      </w:r>
      <w:r w:rsidRPr="000C0E58">
        <w:rPr>
          <w:rFonts w:eastAsia="Times New Roman"/>
          <w:lang w:val="en-GB"/>
        </w:rPr>
        <w:t xml:space="preserve"> the impairment of health</w:t>
      </w:r>
      <w:r w:rsidRPr="000C0E58" w:rsidR="0051550C">
        <w:rPr>
          <w:rFonts w:eastAsia="Times New Roman"/>
          <w:lang w:val="en-GB"/>
        </w:rPr>
        <w:t>;</w:t>
      </w:r>
      <w:r w:rsidRPr="000C0E58">
        <w:rPr>
          <w:rFonts w:eastAsia="Times New Roman"/>
          <w:lang w:val="en-GB"/>
        </w:rPr>
        <w:t xml:space="preserve"> </w:t>
      </w:r>
      <w:r w:rsidRPr="000C0E58">
        <w:rPr>
          <w:rFonts w:eastAsia="Times New Roman"/>
          <w:lang w:val="en-GB"/>
        </w:rPr>
        <w:t xml:space="preserve">[and] </w:t>
      </w:r>
      <w:r w:rsidRPr="000C0E58">
        <w:rPr>
          <w:rFonts w:eastAsia="Times New Roman"/>
          <w:lang w:val="en-GB"/>
        </w:rPr>
        <w:t>moreover</w:t>
      </w:r>
    </w:p>
    <w:p w:rsidRPr="000C0E58" w:rsidR="00562519" w:rsidP="000C0E58">
      <w:pPr>
        <w:pStyle w:val="JuQuotSub"/>
        <w:rPr>
          <w:rFonts w:eastAsia="Times New Roman"/>
          <w:lang w:val="en-GB"/>
        </w:rPr>
      </w:pPr>
      <w:r w:rsidRPr="000C0E58">
        <w:rPr>
          <w:rFonts w:eastAsia="Times New Roman"/>
          <w:iCs/>
          <w:lang w:val="en-GB"/>
        </w:rPr>
        <w:t>(</w:t>
      </w:r>
      <w:r w:rsidRPr="000C0E58">
        <w:rPr>
          <w:rFonts w:eastAsia="Times New Roman"/>
          <w:iCs/>
          <w:lang w:val="en-GB"/>
        </w:rPr>
        <w:t>b)</w:t>
      </w:r>
      <w:r w:rsidRPr="000C0E58" w:rsidR="00F4238C">
        <w:rPr>
          <w:rFonts w:eastAsia="Times New Roman"/>
          <w:lang w:val="en-GB"/>
        </w:rPr>
        <w:t>  </w:t>
      </w:r>
      <w:r w:rsidRPr="000C0E58">
        <w:rPr>
          <w:rFonts w:eastAsia="Times New Roman"/>
          <w:lang w:val="en-GB"/>
        </w:rPr>
        <w:t>who</w:t>
      </w:r>
      <w:r w:rsidRPr="000C0E58" w:rsidR="00C63A92">
        <w:rPr>
          <w:rFonts w:eastAsia="Times New Roman"/>
          <w:lang w:val="en-GB"/>
        </w:rPr>
        <w:t>se</w:t>
      </w:r>
      <w:r w:rsidRPr="000C0E58" w:rsidR="00C63A92">
        <w:rPr>
          <w:rFonts w:eastAsia="Times New Roman"/>
          <w:lang w:val="en-GB"/>
        </w:rPr>
        <w:t xml:space="preserve"> condition </w:t>
      </w:r>
      <w:r w:rsidRPr="000C0E58" w:rsidR="00667C04">
        <w:rPr>
          <w:rFonts w:eastAsia="Times New Roman"/>
          <w:lang w:val="en-GB"/>
        </w:rPr>
        <w:t xml:space="preserve">is </w:t>
      </w:r>
      <w:r w:rsidRPr="000C0E58" w:rsidR="00C63A92">
        <w:rPr>
          <w:rFonts w:eastAsia="Times New Roman"/>
          <w:lang w:val="en-GB"/>
        </w:rPr>
        <w:t xml:space="preserve">amenable to </w:t>
      </w:r>
      <w:r w:rsidRPr="000C0E58">
        <w:rPr>
          <w:rFonts w:eastAsia="Times New Roman"/>
          <w:lang w:val="en-GB"/>
        </w:rPr>
        <w:t>rehabilitat</w:t>
      </w:r>
      <w:r w:rsidRPr="000C0E58" w:rsidR="00C63A92">
        <w:rPr>
          <w:rFonts w:eastAsia="Times New Roman"/>
          <w:lang w:val="en-GB"/>
        </w:rPr>
        <w:t>ion</w:t>
      </w:r>
      <w:r w:rsidRPr="000C0E58" w:rsidR="0051550C">
        <w:rPr>
          <w:rFonts w:eastAsia="Times New Roman"/>
          <w:lang w:val="en-GB"/>
        </w:rPr>
        <w:t>;</w:t>
      </w:r>
      <w:r w:rsidRPr="000C0E58">
        <w:rPr>
          <w:rFonts w:eastAsia="Times New Roman"/>
          <w:lang w:val="en-GB"/>
        </w:rPr>
        <w:t>, and</w:t>
      </w:r>
    </w:p>
    <w:p w:rsidRPr="000C0E58" w:rsidR="00562519" w:rsidP="000C0E58">
      <w:pPr>
        <w:pStyle w:val="JuQuotSub"/>
        <w:rPr>
          <w:rFonts w:eastAsia="Times New Roman"/>
          <w:lang w:val="en-GB"/>
        </w:rPr>
      </w:pPr>
      <w:r w:rsidRPr="000C0E58">
        <w:rPr>
          <w:rFonts w:eastAsia="Times New Roman"/>
          <w:iCs/>
          <w:lang w:val="en-GB"/>
        </w:rPr>
        <w:t>(</w:t>
      </w:r>
      <w:r w:rsidRPr="000C0E58">
        <w:rPr>
          <w:rFonts w:eastAsia="Times New Roman"/>
          <w:iCs/>
          <w:lang w:val="en-GB"/>
        </w:rPr>
        <w:t>c)</w:t>
      </w:r>
      <w:r w:rsidRPr="000C0E58" w:rsidR="00F4238C">
        <w:rPr>
          <w:rFonts w:eastAsia="Times New Roman"/>
          <w:lang w:val="en-GB"/>
        </w:rPr>
        <w:t>  </w:t>
      </w:r>
      <w:r w:rsidRPr="000C0E58">
        <w:rPr>
          <w:rFonts w:eastAsia="Times New Roman"/>
          <w:lang w:val="en-GB"/>
        </w:rPr>
        <w:t>who</w:t>
      </w:r>
      <w:r w:rsidRPr="000C0E58">
        <w:rPr>
          <w:rFonts w:eastAsia="Times New Roman"/>
          <w:lang w:val="en-GB"/>
        </w:rPr>
        <w:t xml:space="preserve"> has accumulated the </w:t>
      </w:r>
      <w:r w:rsidRPr="000C0E58">
        <w:rPr>
          <w:rFonts w:eastAsia="Times New Roman"/>
          <w:lang w:val="en-GB"/>
        </w:rPr>
        <w:t xml:space="preserve">requisite </w:t>
      </w:r>
      <w:r w:rsidRPr="000C0E58">
        <w:rPr>
          <w:rFonts w:eastAsia="Times New Roman"/>
          <w:lang w:val="en-GB"/>
        </w:rPr>
        <w:t>service time in function of his or her age.”</w:t>
      </w:r>
    </w:p>
    <w:p w:rsidRPr="000C0E58" w:rsidR="00C1646D"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31</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w:t>
      </w:r>
      <w:r w:rsidRPr="000C0E58">
        <w:rPr>
          <w:rFonts w:ascii="Times New Roman" w:hAnsi="Times New Roman" w:cs="Times New Roman"/>
          <w:szCs w:val="24"/>
          <w:lang w:val="en-GB"/>
        </w:rPr>
        <w:t>Act no. CXCI of 2011 on the Benefits Granted to Persons with Reduced Work Capacity, in so far as relevant and as in force between 26 July 2012 and 31 December 2013, provided as follows:</w:t>
      </w:r>
    </w:p>
    <w:p w:rsidRPr="000C0E58" w:rsidR="00C1646D" w:rsidP="000C0E58">
      <w:pPr>
        <w:pStyle w:val="ECHRTitleCentre3"/>
        <w:rPr>
          <w:rFonts w:ascii="Times New Roman" w:hAnsi="Times New Roman" w:cs="Times New Roman"/>
          <w:lang w:val="en-GB"/>
        </w:rPr>
      </w:pPr>
      <w:r w:rsidRPr="000C0E58">
        <w:rPr>
          <w:rFonts w:ascii="Times New Roman" w:hAnsi="Times New Roman" w:cs="Times New Roman"/>
          <w:lang w:val="en-GB"/>
        </w:rPr>
        <w:t>Section 2</w:t>
      </w:r>
    </w:p>
    <w:p w:rsidRPr="000C0E58" w:rsidR="00C1646D" w:rsidP="000C0E58">
      <w:pPr>
        <w:pStyle w:val="ECHRParaQuote"/>
        <w:rPr>
          <w:rFonts w:ascii="Times New Roman" w:hAnsi="Times New Roman" w:cs="Times New Roman"/>
          <w:lang w:val="en-GB" w:bidi="en-US"/>
        </w:rPr>
      </w:pPr>
      <w:r w:rsidRPr="000C0E58">
        <w:rPr>
          <w:rFonts w:ascii="Times New Roman" w:hAnsi="Times New Roman" w:cs="Times New Roman"/>
          <w:lang w:val="en-GB" w:bidi="en-US"/>
        </w:rPr>
        <w:t>“A person whose health status has been found to be 60</w:t>
      </w:r>
      <w:r w:rsidRPr="000C0E58" w:rsidR="00D25BF9">
        <w:rPr>
          <w:rFonts w:ascii="Times New Roman" w:hAnsi="Times New Roman" w:cs="Times New Roman"/>
          <w:lang w:val="en-GB" w:bidi="en-US"/>
        </w:rPr>
        <w:t>%</w:t>
      </w:r>
      <w:r w:rsidRPr="000C0E58">
        <w:rPr>
          <w:rFonts w:ascii="Times New Roman" w:hAnsi="Times New Roman" w:cs="Times New Roman"/>
          <w:lang w:val="en-GB" w:bidi="en-US"/>
        </w:rPr>
        <w:t xml:space="preserve"> or less</w:t>
      </w:r>
      <w:r w:rsidRPr="000C0E58" w:rsidR="00D25BF9">
        <w:rPr>
          <w:rFonts w:ascii="Times New Roman" w:hAnsi="Times New Roman" w:cs="Times New Roman"/>
          <w:lang w:val="en-GB" w:bidi="en-US"/>
        </w:rPr>
        <w:t xml:space="preserve"> following </w:t>
      </w:r>
      <w:r w:rsidRPr="000C0E58" w:rsidR="00AA062F">
        <w:rPr>
          <w:rFonts w:ascii="Times New Roman" w:hAnsi="Times New Roman" w:cs="Times New Roman"/>
          <w:lang w:val="en-GB" w:bidi="en-US"/>
        </w:rPr>
        <w:t xml:space="preserve">a complex assessment by </w:t>
      </w:r>
      <w:r w:rsidRPr="000C0E58">
        <w:rPr>
          <w:rFonts w:ascii="Times New Roman" w:hAnsi="Times New Roman" w:cs="Times New Roman"/>
          <w:lang w:val="en-GB" w:bidi="en-US"/>
        </w:rPr>
        <w:t>the rehabilitation authority</w:t>
      </w:r>
      <w:r w:rsidRPr="000C0E58" w:rsidR="00AA062F">
        <w:rPr>
          <w:rFonts w:ascii="Times New Roman" w:hAnsi="Times New Roman" w:cs="Times New Roman"/>
          <w:lang w:val="en-GB" w:bidi="en-US"/>
        </w:rPr>
        <w:t xml:space="preserve"> </w:t>
      </w:r>
      <w:r w:rsidRPr="000C0E58">
        <w:rPr>
          <w:rFonts w:ascii="Times New Roman" w:hAnsi="Times New Roman" w:cs="Times New Roman"/>
          <w:lang w:val="en-GB" w:bidi="en-US"/>
        </w:rPr>
        <w:t>(henceforth: persons with reduced work capacity) and who:</w:t>
      </w:r>
    </w:p>
    <w:p w:rsidRPr="000C0E58" w:rsidR="00C1646D" w:rsidP="000C0E58">
      <w:pPr>
        <w:pStyle w:val="JuQuotSub"/>
        <w:rPr>
          <w:lang w:val="en-GB" w:bidi="en-US"/>
        </w:rPr>
      </w:pPr>
      <w:r w:rsidRPr="000C0E58">
        <w:rPr>
          <w:lang w:val="en-GB" w:bidi="en-US"/>
        </w:rPr>
        <w:t>(</w:t>
      </w:r>
      <w:r w:rsidRPr="000C0E58" w:rsidR="00F4238C">
        <w:rPr>
          <w:lang w:val="en-GB" w:bidi="en-US"/>
        </w:rPr>
        <w:t>a)  </w:t>
      </w:r>
      <w:r w:rsidRPr="000C0E58">
        <w:rPr>
          <w:lang w:val="en-GB" w:bidi="en-US"/>
        </w:rPr>
        <w:t xml:space="preserve">has been covered </w:t>
      </w:r>
      <w:r w:rsidRPr="000C0E58" w:rsidR="00331B94">
        <w:rPr>
          <w:lang w:val="en-GB" w:bidi="en-US"/>
        </w:rPr>
        <w:t xml:space="preserve">by social security </w:t>
      </w:r>
      <w:r w:rsidRPr="000C0E58">
        <w:rPr>
          <w:lang w:val="en-GB" w:bidi="en-US"/>
        </w:rPr>
        <w:t xml:space="preserve">for a minimum </w:t>
      </w:r>
      <w:r w:rsidRPr="000C0E58">
        <w:rPr>
          <w:lang w:val="en-GB" w:bidi="en-US"/>
        </w:rPr>
        <w:t xml:space="preserve">of </w:t>
      </w:r>
      <w:r w:rsidRPr="000C0E58">
        <w:rPr>
          <w:lang w:val="en-GB" w:bidi="en-US"/>
        </w:rPr>
        <w:t>1,095 days under section</w:t>
      </w:r>
      <w:r w:rsidRPr="000C0E58" w:rsidR="00331B94">
        <w:rPr>
          <w:lang w:val="en-GB" w:bidi="en-US"/>
        </w:rPr>
        <w:t> </w:t>
      </w:r>
      <w:r w:rsidRPr="000C0E58">
        <w:rPr>
          <w:lang w:val="en-GB" w:bidi="en-US"/>
        </w:rPr>
        <w:t xml:space="preserve">5 of [the Social Security Act] in the five years preceding the submission of </w:t>
      </w:r>
      <w:r w:rsidRPr="000C0E58" w:rsidR="00BF2B45">
        <w:rPr>
          <w:lang w:val="en-GB" w:bidi="en-US"/>
        </w:rPr>
        <w:t>his or her</w:t>
      </w:r>
      <w:r w:rsidRPr="000C0E58">
        <w:rPr>
          <w:lang w:val="en-GB" w:bidi="en-US"/>
        </w:rPr>
        <w:t xml:space="preserve"> request, and</w:t>
      </w:r>
    </w:p>
    <w:p w:rsidRPr="000C0E58" w:rsidR="00C1646D" w:rsidP="000C0E58">
      <w:pPr>
        <w:pStyle w:val="JuQuotSub"/>
        <w:rPr>
          <w:lang w:val="en-GB" w:bidi="en-US"/>
        </w:rPr>
      </w:pPr>
      <w:r w:rsidRPr="000C0E58">
        <w:rPr>
          <w:lang w:val="en-GB" w:bidi="en-US"/>
        </w:rPr>
        <w:t>(</w:t>
      </w:r>
      <w:r w:rsidRPr="000C0E58">
        <w:rPr>
          <w:lang w:val="en-GB" w:bidi="en-US"/>
        </w:rPr>
        <w:t>b)</w:t>
      </w:r>
      <w:r w:rsidRPr="000C0E58" w:rsidR="00F4238C">
        <w:rPr>
          <w:lang w:val="en-GB" w:bidi="en-US"/>
        </w:rPr>
        <w:t>  </w:t>
      </w:r>
      <w:r w:rsidRPr="000C0E58">
        <w:rPr>
          <w:lang w:val="en-GB" w:bidi="en-US"/>
        </w:rPr>
        <w:t>is</w:t>
      </w:r>
      <w:r w:rsidRPr="000C0E58">
        <w:rPr>
          <w:lang w:val="en-GB" w:bidi="en-US"/>
        </w:rPr>
        <w:t xml:space="preserve"> not engaged in any </w:t>
      </w:r>
      <w:r w:rsidRPr="000C0E58" w:rsidR="002C4446">
        <w:rPr>
          <w:lang w:val="en-GB" w:bidi="en-US"/>
        </w:rPr>
        <w:t>gainful</w:t>
      </w:r>
      <w:r w:rsidRPr="000C0E58">
        <w:rPr>
          <w:lang w:val="en-GB" w:bidi="en-US"/>
        </w:rPr>
        <w:t xml:space="preserve"> activities and</w:t>
      </w:r>
    </w:p>
    <w:p w:rsidRPr="000C0E58" w:rsidR="00C1646D" w:rsidP="000C0E58">
      <w:pPr>
        <w:pStyle w:val="JuQuotSub"/>
        <w:rPr>
          <w:lang w:val="en-GB" w:bidi="en-US"/>
        </w:rPr>
      </w:pPr>
      <w:r w:rsidRPr="000C0E58">
        <w:rPr>
          <w:lang w:val="en-GB" w:bidi="en-US"/>
        </w:rPr>
        <w:t>(</w:t>
      </w:r>
      <w:r w:rsidRPr="000C0E58" w:rsidR="00F4238C">
        <w:rPr>
          <w:lang w:val="en-GB" w:bidi="en-US"/>
        </w:rPr>
        <w:t>c)  </w:t>
      </w:r>
      <w:r w:rsidRPr="000C0E58">
        <w:rPr>
          <w:lang w:val="en-GB" w:bidi="en-US"/>
        </w:rPr>
        <w:t>is</w:t>
      </w:r>
      <w:r w:rsidRPr="000C0E58">
        <w:rPr>
          <w:lang w:val="en-GB" w:bidi="en-US"/>
        </w:rPr>
        <w:t xml:space="preserve"> not receiving any regular </w:t>
      </w:r>
      <w:r w:rsidRPr="000C0E58" w:rsidR="0051550C">
        <w:rPr>
          <w:lang w:val="en-GB" w:bidi="en-US"/>
        </w:rPr>
        <w:t xml:space="preserve">financial </w:t>
      </w:r>
      <w:r w:rsidRPr="000C0E58">
        <w:rPr>
          <w:lang w:val="en-GB" w:bidi="en-US"/>
        </w:rPr>
        <w:t>allowance</w:t>
      </w:r>
    </w:p>
    <w:p w:rsidRPr="000C0E58" w:rsidR="00C1646D" w:rsidP="000C0E58">
      <w:pPr>
        <w:pStyle w:val="JuQuotSub"/>
        <w:rPr>
          <w:lang w:val="en-GB" w:bidi="en-US"/>
        </w:rPr>
      </w:pPr>
      <w:r w:rsidRPr="000C0E58">
        <w:rPr>
          <w:lang w:val="en-GB" w:bidi="en-US"/>
        </w:rPr>
        <w:t>shall</w:t>
      </w:r>
      <w:r w:rsidRPr="000C0E58">
        <w:rPr>
          <w:lang w:val="en-GB" w:bidi="en-US"/>
        </w:rPr>
        <w:t xml:space="preserve"> be eligible for </w:t>
      </w:r>
      <w:r w:rsidRPr="000C0E58" w:rsidR="002C4446">
        <w:rPr>
          <w:lang w:val="en-GB" w:bidi="en-US"/>
        </w:rPr>
        <w:t>benefits</w:t>
      </w:r>
      <w:r w:rsidRPr="000C0E58">
        <w:rPr>
          <w:lang w:val="en-GB" w:bidi="en-US"/>
        </w:rPr>
        <w:t xml:space="preserve"> granted to persons with reduced work capacity.</w:t>
      </w:r>
    </w:p>
    <w:p w:rsidRPr="000C0E58" w:rsidR="00C1646D" w:rsidP="000C0E58">
      <w:pPr>
        <w:pStyle w:val="ECHRParaQuote"/>
        <w:rPr>
          <w:rFonts w:ascii="Times New Roman" w:hAnsi="Times New Roman" w:cs="Times New Roman"/>
          <w:lang w:val="en-GB" w:bidi="en-US"/>
        </w:rPr>
      </w:pPr>
      <w:r w:rsidRPr="000C0E58">
        <w:rPr>
          <w:rFonts w:ascii="Times New Roman" w:hAnsi="Times New Roman" w:cs="Times New Roman"/>
          <w:lang w:val="en-GB" w:bidi="en-US"/>
        </w:rPr>
        <w:t>(2)  </w:t>
      </w:r>
      <w:r w:rsidRPr="000C0E58">
        <w:rPr>
          <w:rFonts w:ascii="Times New Roman" w:hAnsi="Times New Roman" w:cs="Times New Roman"/>
          <w:lang w:val="en-GB" w:bidi="en-US"/>
        </w:rPr>
        <w:t>By derogation from subsection (1) (a), persons</w:t>
      </w:r>
    </w:p>
    <w:p w:rsidRPr="000C0E58" w:rsidR="00C1646D" w:rsidP="000C0E58">
      <w:pPr>
        <w:pStyle w:val="ECHRParaQuote"/>
        <w:rPr>
          <w:rFonts w:ascii="Times New Roman" w:hAnsi="Times New Roman" w:cs="Times New Roman"/>
          <w:lang w:val="en-GB" w:bidi="en-US"/>
        </w:rPr>
      </w:pPr>
      <w:r w:rsidRPr="000C0E58">
        <w:rPr>
          <w:rFonts w:ascii="Times New Roman" w:hAnsi="Times New Roman" w:cs="Times New Roman"/>
          <w:lang w:val="en-GB" w:bidi="en-US"/>
        </w:rPr>
        <w:t>...</w:t>
      </w:r>
    </w:p>
    <w:p w:rsidRPr="000C0E58" w:rsidR="00C1646D" w:rsidP="000C0E58">
      <w:pPr>
        <w:pStyle w:val="JuQuotSub"/>
        <w:rPr>
          <w:lang w:val="en-GB" w:bidi="en-US"/>
        </w:rPr>
      </w:pPr>
      <w:r w:rsidRPr="000C0E58">
        <w:rPr>
          <w:lang w:val="en-GB" w:bidi="en-US"/>
        </w:rPr>
        <w:t>(</w:t>
      </w:r>
      <w:r w:rsidRPr="000C0E58">
        <w:rPr>
          <w:lang w:val="en-GB" w:bidi="en-US"/>
        </w:rPr>
        <w:t>b)</w:t>
      </w:r>
      <w:r w:rsidRPr="000C0E58" w:rsidR="00F4238C">
        <w:rPr>
          <w:lang w:val="en-GB" w:bidi="en-US"/>
        </w:rPr>
        <w:t>  </w:t>
      </w:r>
      <w:r w:rsidRPr="000C0E58">
        <w:rPr>
          <w:lang w:val="en-GB" w:bidi="en-US"/>
        </w:rPr>
        <w:t>who</w:t>
      </w:r>
      <w:r w:rsidRPr="000C0E58">
        <w:rPr>
          <w:lang w:val="en-GB" w:bidi="en-US"/>
        </w:rPr>
        <w:t xml:space="preserve"> </w:t>
      </w:r>
      <w:r w:rsidRPr="000C0E58">
        <w:rPr>
          <w:lang w:val="en-GB" w:bidi="en-US"/>
        </w:rPr>
        <w:t>w</w:t>
      </w:r>
      <w:r w:rsidRPr="000C0E58" w:rsidR="00331B94">
        <w:rPr>
          <w:lang w:val="en-GB" w:bidi="en-US"/>
        </w:rPr>
        <w:t xml:space="preserve">ere </w:t>
      </w:r>
      <w:r w:rsidRPr="000C0E58">
        <w:rPr>
          <w:lang w:val="en-GB" w:bidi="en-US"/>
        </w:rPr>
        <w:t xml:space="preserve">in </w:t>
      </w:r>
      <w:r w:rsidRPr="000C0E58">
        <w:rPr>
          <w:lang w:val="en-GB" w:bidi="en-US"/>
        </w:rPr>
        <w:t>recei</w:t>
      </w:r>
      <w:r w:rsidRPr="000C0E58">
        <w:rPr>
          <w:lang w:val="en-GB" w:bidi="en-US"/>
        </w:rPr>
        <w:t xml:space="preserve">pt of a </w:t>
      </w:r>
      <w:r w:rsidRPr="000C0E58" w:rsidR="002C4446">
        <w:rPr>
          <w:lang w:val="en-GB" w:bidi="en-US"/>
        </w:rPr>
        <w:t>disability pension</w:t>
      </w:r>
      <w:r w:rsidRPr="000C0E58">
        <w:rPr>
          <w:lang w:val="en-GB" w:bidi="en-US"/>
        </w:rPr>
        <w:t xml:space="preserve"> </w:t>
      </w:r>
      <w:r w:rsidRPr="000C0E58" w:rsidR="001B094E">
        <w:rPr>
          <w:lang w:val="en-GB" w:bidi="en-US"/>
        </w:rPr>
        <w:t>...</w:t>
      </w:r>
      <w:r w:rsidRPr="000C0E58">
        <w:rPr>
          <w:lang w:val="en-GB" w:bidi="en-US"/>
        </w:rPr>
        <w:t xml:space="preserve"> </w:t>
      </w:r>
      <w:r w:rsidRPr="000C0E58" w:rsidR="002C4446">
        <w:rPr>
          <w:lang w:val="en-GB" w:bidi="en-US"/>
        </w:rPr>
        <w:t xml:space="preserve">or a </w:t>
      </w:r>
      <w:r w:rsidRPr="000C0E58">
        <w:rPr>
          <w:lang w:val="en-GB" w:bidi="en-US"/>
        </w:rPr>
        <w:t xml:space="preserve">rehabilitation allowance </w:t>
      </w:r>
      <w:r w:rsidRPr="000C0E58" w:rsidR="001B094E">
        <w:rPr>
          <w:lang w:val="en-GB" w:bidi="en-US"/>
        </w:rPr>
        <w:t>...</w:t>
      </w:r>
      <w:r w:rsidRPr="000C0E58">
        <w:rPr>
          <w:lang w:val="en-GB" w:bidi="en-US"/>
        </w:rPr>
        <w:t xml:space="preserve"> on 31 December 2011</w:t>
      </w:r>
    </w:p>
    <w:p w:rsidRPr="000C0E58" w:rsidR="00C1646D" w:rsidP="000C0E58">
      <w:pPr>
        <w:pStyle w:val="JuQuotSub"/>
        <w:rPr>
          <w:lang w:val="en-GB" w:bidi="en-US"/>
        </w:rPr>
      </w:pPr>
      <w:r w:rsidRPr="000C0E58">
        <w:rPr>
          <w:lang w:val="en-GB" w:bidi="en-US"/>
        </w:rPr>
        <w:t>shall</w:t>
      </w:r>
      <w:r w:rsidRPr="000C0E58">
        <w:rPr>
          <w:lang w:val="en-GB" w:bidi="en-US"/>
        </w:rPr>
        <w:t xml:space="preserve"> be eligible for the benefits granted to persons with reduced work capacity irrespective of the duration of the period covered </w:t>
      </w:r>
      <w:r w:rsidRPr="000C0E58" w:rsidR="00D25BF9">
        <w:rPr>
          <w:lang w:val="en-GB" w:bidi="en-US"/>
        </w:rPr>
        <w:t xml:space="preserve">by </w:t>
      </w:r>
      <w:r w:rsidRPr="000C0E58">
        <w:rPr>
          <w:lang w:val="en-GB" w:bidi="en-US"/>
        </w:rPr>
        <w:t>social security.</w:t>
      </w:r>
    </w:p>
    <w:p w:rsidRPr="000C0E58" w:rsidR="00C1646D" w:rsidP="000C0E58">
      <w:pPr>
        <w:pStyle w:val="ECHRParaQuote"/>
        <w:rPr>
          <w:rFonts w:ascii="Times New Roman" w:hAnsi="Times New Roman" w:cs="Times New Roman"/>
          <w:lang w:val="en-GB" w:bidi="en-US"/>
        </w:rPr>
      </w:pPr>
      <w:r w:rsidRPr="000C0E58">
        <w:rPr>
          <w:rFonts w:ascii="Times New Roman" w:hAnsi="Times New Roman" w:cs="Times New Roman"/>
          <w:lang w:val="en-GB" w:bidi="en-US"/>
        </w:rPr>
        <w:t>(</w:t>
      </w:r>
      <w:r w:rsidRPr="000C0E58" w:rsidR="00F4238C">
        <w:rPr>
          <w:rFonts w:ascii="Times New Roman" w:hAnsi="Times New Roman" w:cs="Times New Roman"/>
          <w:lang w:val="en-GB" w:bidi="en-US"/>
        </w:rPr>
        <w:t>3)  </w:t>
      </w:r>
      <w:r w:rsidRPr="000C0E58">
        <w:rPr>
          <w:rFonts w:ascii="Times New Roman" w:hAnsi="Times New Roman" w:cs="Times New Roman"/>
          <w:lang w:val="en-GB" w:bidi="en-US"/>
        </w:rPr>
        <w:t>The 1,095-day</w:t>
      </w:r>
      <w:r w:rsidRPr="000C0E58" w:rsidR="00D25BF9">
        <w:rPr>
          <w:rFonts w:ascii="Times New Roman" w:hAnsi="Times New Roman" w:cs="Times New Roman"/>
          <w:lang w:val="en-GB" w:bidi="en-US"/>
        </w:rPr>
        <w:t xml:space="preserve"> </w:t>
      </w:r>
      <w:r w:rsidRPr="000C0E58">
        <w:rPr>
          <w:rFonts w:ascii="Times New Roman" w:hAnsi="Times New Roman" w:cs="Times New Roman"/>
          <w:lang w:val="en-GB" w:bidi="en-US"/>
        </w:rPr>
        <w:t>insurance period shall include:</w:t>
      </w:r>
    </w:p>
    <w:p w:rsidRPr="000C0E58" w:rsidR="00C1646D" w:rsidP="000C0E58">
      <w:pPr>
        <w:pStyle w:val="ECHRParaQuote"/>
        <w:rPr>
          <w:rFonts w:ascii="Times New Roman" w:hAnsi="Times New Roman" w:cs="Times New Roman"/>
          <w:lang w:val="en-GB" w:bidi="en-US"/>
        </w:rPr>
      </w:pPr>
      <w:r w:rsidRPr="000C0E58">
        <w:rPr>
          <w:rFonts w:ascii="Times New Roman" w:hAnsi="Times New Roman" w:cs="Times New Roman"/>
          <w:lang w:val="en-GB" w:bidi="en-US"/>
        </w:rPr>
        <w:t>...</w:t>
      </w:r>
    </w:p>
    <w:p w:rsidRPr="000C0E58" w:rsidR="00C1646D" w:rsidP="000C0E58">
      <w:pPr>
        <w:pStyle w:val="JuQuotSub"/>
        <w:rPr>
          <w:lang w:val="en-GB" w:bidi="en-US"/>
        </w:rPr>
      </w:pPr>
      <w:r w:rsidRPr="000C0E58">
        <w:rPr>
          <w:lang w:val="en-GB" w:bidi="en-US"/>
        </w:rPr>
        <w:t>(</w:t>
      </w:r>
      <w:r w:rsidRPr="000C0E58" w:rsidR="00F4238C">
        <w:rPr>
          <w:lang w:val="en-GB" w:bidi="en-US"/>
        </w:rPr>
        <w:t>b)</w:t>
      </w:r>
      <w:r w:rsidRPr="000C0E58" w:rsidR="00F4238C">
        <w:rPr>
          <w:lang w:val="en-GB" w:bidi="en-US"/>
        </w:rPr>
        <w:t>  </w:t>
      </w:r>
      <w:r w:rsidRPr="000C0E58">
        <w:rPr>
          <w:lang w:val="en-GB" w:bidi="en-US"/>
        </w:rPr>
        <w:t>period</w:t>
      </w:r>
      <w:r w:rsidRPr="000C0E58">
        <w:rPr>
          <w:lang w:val="en-GB" w:bidi="en-US"/>
        </w:rPr>
        <w:t>s</w:t>
      </w:r>
      <w:r w:rsidRPr="000C0E58">
        <w:rPr>
          <w:lang w:val="en-GB" w:bidi="en-US"/>
        </w:rPr>
        <w:t xml:space="preserve"> of </w:t>
      </w:r>
      <w:r w:rsidRPr="000C0E58" w:rsidR="006D4DED">
        <w:rPr>
          <w:lang w:val="en-GB" w:bidi="en-US"/>
        </w:rPr>
        <w:t xml:space="preserve">disbursement of a </w:t>
      </w:r>
      <w:r w:rsidRPr="000C0E58">
        <w:rPr>
          <w:lang w:val="en-GB" w:bidi="en-US"/>
        </w:rPr>
        <w:t xml:space="preserve">disability pension </w:t>
      </w:r>
      <w:r w:rsidRPr="000C0E58" w:rsidR="001B094E">
        <w:rPr>
          <w:lang w:val="en-GB" w:bidi="en-US"/>
        </w:rPr>
        <w:t>...</w:t>
      </w:r>
      <w:r w:rsidRPr="000C0E58">
        <w:rPr>
          <w:lang w:val="en-GB" w:bidi="en-US"/>
        </w:rPr>
        <w:t xml:space="preserve">, </w:t>
      </w:r>
      <w:r w:rsidRPr="000C0E58" w:rsidR="006D4DED">
        <w:rPr>
          <w:lang w:val="en-GB" w:bidi="en-US"/>
        </w:rPr>
        <w:t xml:space="preserve">or </w:t>
      </w:r>
      <w:r w:rsidRPr="000C0E58">
        <w:rPr>
          <w:lang w:val="en-GB" w:bidi="en-US"/>
        </w:rPr>
        <w:t>rehabilitation allowance</w:t>
      </w:r>
      <w:r w:rsidRPr="000C0E58" w:rsidR="001B094E">
        <w:rPr>
          <w:lang w:val="en-GB" w:bidi="en-US"/>
        </w:rPr>
        <w:t>...</w:t>
      </w:r>
      <w:r w:rsidRPr="000C0E58">
        <w:rPr>
          <w:lang w:val="en-GB" w:bidi="en-US"/>
        </w:rPr>
        <w:t>;</w:t>
      </w:r>
      <w:r w:rsidRPr="000C0E58" w:rsidR="00253B9D">
        <w:rPr>
          <w:lang w:val="en-GB" w:bidi="en-US"/>
        </w:rPr>
        <w:t xml:space="preserve"> </w:t>
      </w:r>
      <w:r w:rsidRPr="000C0E58" w:rsidR="001B094E">
        <w:rPr>
          <w:lang w:val="en-GB" w:bidi="en-US"/>
        </w:rPr>
        <w:t>...</w:t>
      </w:r>
      <w:r w:rsidRPr="000C0E58">
        <w:rPr>
          <w:lang w:val="en-GB" w:bidi="en-US"/>
        </w:rPr>
        <w:t>.”</w:t>
      </w:r>
    </w:p>
    <w:p w:rsidRPr="000C0E58" w:rsidR="00C1646D" w:rsidP="000C0E58">
      <w:pPr>
        <w:pStyle w:val="ECHRTitleCentre3"/>
        <w:rPr>
          <w:rFonts w:ascii="Times New Roman" w:hAnsi="Times New Roman" w:cs="Times New Roman"/>
          <w:lang w:val="en-GB"/>
        </w:rPr>
      </w:pPr>
      <w:r w:rsidRPr="000C0E58">
        <w:rPr>
          <w:rFonts w:ascii="Times New Roman" w:hAnsi="Times New Roman" w:cs="Times New Roman"/>
          <w:lang w:val="en-GB"/>
        </w:rPr>
        <w:t>Section 3</w:t>
      </w:r>
    </w:p>
    <w:p w:rsidRPr="000C0E58" w:rsidR="00C1646D" w:rsidP="000C0E58">
      <w:pPr>
        <w:pStyle w:val="ECHRParaQuote"/>
        <w:rPr>
          <w:rFonts w:ascii="Times New Roman" w:hAnsi="Times New Roman" w:cs="Times New Roman"/>
          <w:lang w:val="en-GB" w:bidi="en-US"/>
        </w:rPr>
      </w:pPr>
      <w:r w:rsidRPr="000C0E58">
        <w:rPr>
          <w:rFonts w:ascii="Times New Roman" w:hAnsi="Times New Roman" w:cs="Times New Roman"/>
          <w:lang w:val="en-GB" w:bidi="en-US"/>
        </w:rPr>
        <w:t>“(1)</w:t>
      </w:r>
      <w:r w:rsidRPr="000C0E58">
        <w:rPr>
          <w:rFonts w:ascii="Times New Roman" w:hAnsi="Times New Roman" w:cs="Times New Roman"/>
          <w:lang w:val="en-GB" w:bidi="en-US"/>
        </w:rPr>
        <w:t>  </w:t>
      </w:r>
      <w:r w:rsidRPr="000C0E58">
        <w:rPr>
          <w:rFonts w:ascii="Times New Roman" w:hAnsi="Times New Roman" w:cs="Times New Roman"/>
          <w:lang w:val="en-GB" w:bidi="en-US"/>
        </w:rPr>
        <w:t>Subject</w:t>
      </w:r>
      <w:r w:rsidRPr="000C0E58">
        <w:rPr>
          <w:rFonts w:ascii="Times New Roman" w:hAnsi="Times New Roman" w:cs="Times New Roman"/>
          <w:lang w:val="en-GB" w:bidi="en-US"/>
        </w:rPr>
        <w:t xml:space="preserve"> to </w:t>
      </w:r>
      <w:r w:rsidRPr="000C0E58" w:rsidR="00D25BF9">
        <w:rPr>
          <w:rFonts w:ascii="Times New Roman" w:hAnsi="Times New Roman" w:cs="Times New Roman"/>
          <w:lang w:val="en-GB" w:bidi="en-US"/>
        </w:rPr>
        <w:t xml:space="preserve">any rehabilitation proposal made by the </w:t>
      </w:r>
      <w:r w:rsidRPr="000C0E58">
        <w:rPr>
          <w:rFonts w:ascii="Times New Roman" w:hAnsi="Times New Roman" w:cs="Times New Roman"/>
          <w:lang w:val="en-GB" w:bidi="en-US"/>
        </w:rPr>
        <w:t>rehabilitation authority</w:t>
      </w:r>
      <w:r w:rsidRPr="000C0E58" w:rsidR="00D25BF9">
        <w:rPr>
          <w:rFonts w:ascii="Times New Roman" w:hAnsi="Times New Roman" w:cs="Times New Roman"/>
          <w:lang w:val="en-GB" w:bidi="en-US"/>
        </w:rPr>
        <w:t xml:space="preserve"> </w:t>
      </w:r>
      <w:r w:rsidRPr="000C0E58">
        <w:rPr>
          <w:rFonts w:ascii="Times New Roman" w:hAnsi="Times New Roman" w:cs="Times New Roman"/>
          <w:lang w:val="en-GB" w:bidi="en-US"/>
        </w:rPr>
        <w:t>in the framework of the complex reassessment, the allowance to be granted for a person with reduced work capacity shall be either:</w:t>
      </w:r>
    </w:p>
    <w:p w:rsidRPr="000C0E58" w:rsidR="00C1646D" w:rsidP="000C0E58">
      <w:pPr>
        <w:pStyle w:val="JuQuotSub"/>
        <w:rPr>
          <w:lang w:val="en-GB" w:bidi="en-US"/>
        </w:rPr>
      </w:pPr>
      <w:r w:rsidRPr="000C0E58">
        <w:rPr>
          <w:lang w:val="en-GB" w:bidi="en-US"/>
        </w:rPr>
        <w:t>(</w:t>
      </w:r>
      <w:r w:rsidRPr="000C0E58" w:rsidR="00F4238C">
        <w:rPr>
          <w:lang w:val="en-GB" w:bidi="en-US"/>
        </w:rPr>
        <w:t>a)  </w:t>
      </w:r>
      <w:r w:rsidRPr="000C0E58">
        <w:rPr>
          <w:lang w:val="en-GB" w:bidi="en-US"/>
        </w:rPr>
        <w:t>rehabilitation</w:t>
      </w:r>
      <w:r w:rsidRPr="000C0E58">
        <w:rPr>
          <w:lang w:val="en-GB" w:bidi="en-US"/>
        </w:rPr>
        <w:t xml:space="preserve"> </w:t>
      </w:r>
      <w:r w:rsidRPr="000C0E58" w:rsidR="002C4446">
        <w:rPr>
          <w:lang w:val="en-GB" w:bidi="en-US"/>
        </w:rPr>
        <w:t>benefit</w:t>
      </w:r>
      <w:r w:rsidRPr="000C0E58">
        <w:rPr>
          <w:lang w:val="en-GB" w:bidi="en-US"/>
        </w:rPr>
        <w:t>, or</w:t>
      </w:r>
    </w:p>
    <w:p w:rsidRPr="000C0E58" w:rsidR="00C1646D" w:rsidP="000C0E58">
      <w:pPr>
        <w:pStyle w:val="JuQuotSub"/>
        <w:rPr>
          <w:lang w:val="en-GB" w:bidi="en-US"/>
        </w:rPr>
      </w:pPr>
      <w:r w:rsidRPr="000C0E58">
        <w:rPr>
          <w:lang w:val="en-GB" w:bidi="en-US"/>
        </w:rPr>
        <w:t>(</w:t>
      </w:r>
      <w:r w:rsidRPr="000C0E58" w:rsidR="00F4238C">
        <w:rPr>
          <w:lang w:val="en-GB" w:bidi="en-US"/>
        </w:rPr>
        <w:t>b)</w:t>
      </w:r>
      <w:r w:rsidRPr="000C0E58" w:rsidR="00F4238C">
        <w:rPr>
          <w:lang w:val="en-GB" w:bidi="en-US"/>
        </w:rPr>
        <w:t>  </w:t>
      </w:r>
      <w:r w:rsidRPr="000C0E58">
        <w:rPr>
          <w:lang w:val="en-GB" w:bidi="en-US"/>
        </w:rPr>
        <w:t>disability</w:t>
      </w:r>
      <w:r w:rsidRPr="000C0E58">
        <w:rPr>
          <w:lang w:val="en-GB" w:bidi="en-US"/>
        </w:rPr>
        <w:t xml:space="preserve"> </w:t>
      </w:r>
      <w:r w:rsidRPr="000C0E58" w:rsidR="002C4446">
        <w:rPr>
          <w:lang w:val="en-GB" w:bidi="en-US"/>
        </w:rPr>
        <w:t>benefit</w:t>
      </w:r>
      <w:r w:rsidRPr="000C0E58">
        <w:rPr>
          <w:lang w:val="en-GB" w:bidi="en-US"/>
        </w:rPr>
        <w:t>.”</w:t>
      </w:r>
    </w:p>
    <w:p w:rsidRPr="000C0E58" w:rsidR="006D4DED" w:rsidP="000C0E58">
      <w:pPr>
        <w:pStyle w:val="ECHRTitleCentre3"/>
        <w:rPr>
          <w:lang w:val="en-GB"/>
        </w:rPr>
      </w:pPr>
      <w:r w:rsidRPr="000C0E58">
        <w:rPr>
          <w:lang w:val="en-GB"/>
        </w:rPr>
        <w:t>Section 4</w:t>
      </w:r>
    </w:p>
    <w:p w:rsidRPr="000C0E58" w:rsidR="006D4DED" w:rsidP="000C0E58">
      <w:pPr>
        <w:pStyle w:val="ECHRParaQuote"/>
        <w:rPr>
          <w:rFonts w:ascii="Times New Roman" w:hAnsi="Times New Roman" w:cs="Times New Roman"/>
          <w:lang w:val="en-GB" w:bidi="en-US"/>
        </w:rPr>
      </w:pPr>
      <w:r w:rsidRPr="000C0E58">
        <w:rPr>
          <w:rFonts w:ascii="Times New Roman" w:hAnsi="Times New Roman" w:cs="Times New Roman"/>
          <w:lang w:val="en-GB" w:bidi="en-US"/>
        </w:rPr>
        <w:t>“Persons with reduced work capacity who can be rehabilitated shall be entitled to rehabilitation benefit.”</w:t>
      </w:r>
    </w:p>
    <w:p w:rsidRPr="000C0E58" w:rsidR="00C1646D" w:rsidP="000C0E58">
      <w:pPr>
        <w:pStyle w:val="ECHRTitleCentre3"/>
        <w:rPr>
          <w:rFonts w:ascii="Times New Roman" w:hAnsi="Times New Roman" w:cs="Times New Roman"/>
          <w:lang w:val="en-GB"/>
        </w:rPr>
      </w:pPr>
      <w:r w:rsidRPr="000C0E58">
        <w:rPr>
          <w:rFonts w:ascii="Times New Roman" w:hAnsi="Times New Roman" w:cs="Times New Roman"/>
          <w:lang w:val="en-GB"/>
        </w:rPr>
        <w:t>Section 5</w:t>
      </w:r>
    </w:p>
    <w:p w:rsidRPr="000C0E58" w:rsidR="00C1646D" w:rsidP="000C0E58">
      <w:pPr>
        <w:pStyle w:val="ECHRParaQuote"/>
        <w:rPr>
          <w:rFonts w:ascii="Times New Roman" w:hAnsi="Times New Roman" w:cs="Times New Roman"/>
          <w:lang w:val="en-GB" w:bidi="en-US"/>
        </w:rPr>
      </w:pPr>
      <w:r w:rsidRPr="000C0E58">
        <w:rPr>
          <w:rFonts w:ascii="Times New Roman" w:hAnsi="Times New Roman" w:cs="Times New Roman"/>
          <w:lang w:val="en-GB" w:bidi="en-US"/>
        </w:rPr>
        <w:t xml:space="preserve">“(1) </w:t>
      </w:r>
      <w:r w:rsidRPr="000C0E58">
        <w:rPr>
          <w:rFonts w:ascii="Times New Roman" w:hAnsi="Times New Roman" w:cs="Times New Roman"/>
          <w:lang w:val="en-GB" w:bidi="en-US"/>
        </w:rPr>
        <w:t>Persons</w:t>
      </w:r>
      <w:r w:rsidRPr="000C0E58">
        <w:rPr>
          <w:rFonts w:ascii="Times New Roman" w:hAnsi="Times New Roman" w:cs="Times New Roman"/>
          <w:lang w:val="en-GB" w:bidi="en-US"/>
        </w:rPr>
        <w:t xml:space="preserve"> with reduced work capacity shall be entitled to disability </w:t>
      </w:r>
      <w:r w:rsidRPr="000C0E58" w:rsidR="002C4446">
        <w:rPr>
          <w:rFonts w:ascii="Times New Roman" w:hAnsi="Times New Roman" w:cs="Times New Roman"/>
          <w:lang w:val="en-GB" w:bidi="en-US"/>
        </w:rPr>
        <w:t>benefit</w:t>
      </w:r>
      <w:r w:rsidRPr="000C0E58">
        <w:rPr>
          <w:rFonts w:ascii="Times New Roman" w:hAnsi="Times New Roman" w:cs="Times New Roman"/>
          <w:lang w:val="en-GB" w:bidi="en-US"/>
        </w:rPr>
        <w:t xml:space="preserve"> </w:t>
      </w:r>
      <w:r w:rsidRPr="000C0E58" w:rsidR="006D4DED">
        <w:rPr>
          <w:rFonts w:ascii="Times New Roman" w:hAnsi="Times New Roman" w:cs="Times New Roman"/>
          <w:lang w:val="en-GB" w:bidi="en-US"/>
        </w:rPr>
        <w:t>if</w:t>
      </w:r>
      <w:r w:rsidRPr="000C0E58">
        <w:rPr>
          <w:rFonts w:ascii="Times New Roman" w:hAnsi="Times New Roman" w:cs="Times New Roman"/>
          <w:lang w:val="en-GB" w:bidi="en-US"/>
        </w:rPr>
        <w:t xml:space="preserve"> rehabilitation is not recommended.”</w:t>
      </w:r>
    </w:p>
    <w:p w:rsidRPr="000C0E58" w:rsidR="00BB7D91"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32</w:t>
      </w:r>
      <w:r w:rsidRPr="000C0E58">
        <w:rPr>
          <w:lang w:val="en-GB"/>
        </w:rPr>
        <w:fldChar w:fldCharType="end"/>
      </w:r>
      <w:r w:rsidRPr="000C0E58">
        <w:rPr>
          <w:lang w:val="en-GB"/>
        </w:rPr>
        <w:t>.  </w:t>
      </w:r>
      <w:r w:rsidRPr="000C0E58" w:rsidR="00D25BF9">
        <w:rPr>
          <w:lang w:val="en-GB"/>
        </w:rPr>
        <w:t xml:space="preserve">The </w:t>
      </w:r>
      <w:r w:rsidRPr="000C0E58">
        <w:rPr>
          <w:lang w:val="en-GB"/>
        </w:rPr>
        <w:t>Constitutional Court</w:t>
      </w:r>
      <w:r w:rsidRPr="000C0E58" w:rsidR="000C0E58">
        <w:rPr>
          <w:lang w:val="en-GB"/>
        </w:rPr>
        <w:t>’</w:t>
      </w:r>
      <w:r w:rsidRPr="000C0E58">
        <w:rPr>
          <w:lang w:val="en-GB"/>
        </w:rPr>
        <w:t>s decision no. 1228/B/2010.AB</w:t>
      </w:r>
      <w:r w:rsidRPr="000C0E58" w:rsidR="002F4A9D">
        <w:rPr>
          <w:lang w:val="en-GB"/>
        </w:rPr>
        <w:t xml:space="preserve"> of 7 </w:t>
      </w:r>
      <w:r w:rsidRPr="000C0E58" w:rsidR="0082171F">
        <w:rPr>
          <w:lang w:val="en-GB"/>
        </w:rPr>
        <w:t>June 2011</w:t>
      </w:r>
      <w:r w:rsidRPr="000C0E58">
        <w:rPr>
          <w:lang w:val="en-GB"/>
        </w:rPr>
        <w:t xml:space="preserve"> contains a sentence </w:t>
      </w:r>
      <w:r w:rsidRPr="000C0E58" w:rsidR="00F12336">
        <w:rPr>
          <w:lang w:val="en-GB"/>
        </w:rPr>
        <w:t xml:space="preserve">stating that </w:t>
      </w:r>
      <w:r w:rsidRPr="000C0E58">
        <w:rPr>
          <w:lang w:val="en-GB"/>
        </w:rPr>
        <w:t>“section 36/D (1) b) of the Social Security Pension Act had not created a [legitimate] expectation for those entitled to disability pension under the previous regulations</w:t>
      </w:r>
      <w:r w:rsidRPr="000C0E58" w:rsidR="0057789D">
        <w:rPr>
          <w:lang w:val="en-GB"/>
        </w:rPr>
        <w:t>” (compare and contrast with the wording of point 34 of the Constitutional Court decision quoted in the next paragraph).</w:t>
      </w:r>
    </w:p>
    <w:p w:rsidRPr="000C0E58" w:rsidR="00C1646D" w:rsidP="000C0E58">
      <w:pPr>
        <w:pStyle w:val="ECHRPara"/>
        <w:rPr>
          <w:rFonts w:ascii="Times New Roman" w:hAnsi="Times New Roman" w:cs="Times New Roman"/>
          <w:szCs w:val="24"/>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33</w:t>
      </w:r>
      <w:r w:rsidRPr="000C0E58">
        <w:rPr>
          <w:lang w:val="en-GB"/>
        </w:rPr>
        <w:fldChar w:fldCharType="end"/>
      </w:r>
      <w:r w:rsidRPr="000C0E58">
        <w:rPr>
          <w:lang w:val="en-GB"/>
        </w:rPr>
        <w:t>.  </w:t>
      </w:r>
      <w:r w:rsidRPr="000C0E58">
        <w:rPr>
          <w:rFonts w:ascii="Times New Roman" w:hAnsi="Times New Roman" w:cs="Times New Roman"/>
          <w:szCs w:val="24"/>
          <w:lang w:val="en-GB"/>
        </w:rPr>
        <w:t xml:space="preserve">The Constitutional Court examined Act no. </w:t>
      </w:r>
      <w:r w:rsidRPr="000C0E58">
        <w:rPr>
          <w:rFonts w:ascii="Times New Roman" w:hAnsi="Times New Roman" w:cs="Times New Roman"/>
          <w:szCs w:val="24"/>
          <w:lang w:val="en-GB"/>
        </w:rPr>
        <w:t>CXCI of 2011 in de</w:t>
      </w:r>
      <w:r w:rsidRPr="000C0E58" w:rsidR="00352F65">
        <w:rPr>
          <w:rFonts w:ascii="Times New Roman" w:hAnsi="Times New Roman" w:cs="Times New Roman"/>
          <w:szCs w:val="24"/>
          <w:lang w:val="en-GB"/>
        </w:rPr>
        <w:t>cision no. 40/2012.</w:t>
      </w:r>
      <w:r w:rsidRPr="000C0E58" w:rsidR="00352F65">
        <w:rPr>
          <w:rFonts w:ascii="Times New Roman" w:hAnsi="Times New Roman" w:cs="Times New Roman"/>
          <w:szCs w:val="24"/>
          <w:lang w:val="en-GB"/>
        </w:rPr>
        <w:t xml:space="preserve"> (XII.6.) AB, </w:t>
      </w:r>
      <w:r w:rsidRPr="000C0E58" w:rsidR="00893F25">
        <w:rPr>
          <w:rFonts w:ascii="Times New Roman" w:hAnsi="Times New Roman" w:cs="Times New Roman"/>
          <w:szCs w:val="24"/>
          <w:lang w:val="en-GB"/>
        </w:rPr>
        <w:t>of 4 December 2012.</w:t>
      </w:r>
      <w:r w:rsidRPr="000C0E58">
        <w:rPr>
          <w:rFonts w:ascii="Times New Roman" w:hAnsi="Times New Roman" w:cs="Times New Roman"/>
          <w:szCs w:val="24"/>
          <w:lang w:val="en-GB"/>
        </w:rPr>
        <w:t xml:space="preserve"> The decision contains</w:t>
      </w:r>
      <w:r w:rsidRPr="000C0E58" w:rsidR="00D25BF9">
        <w:rPr>
          <w:rFonts w:ascii="Times New Roman" w:hAnsi="Times New Roman" w:cs="Times New Roman"/>
          <w:szCs w:val="24"/>
          <w:lang w:val="en-GB"/>
        </w:rPr>
        <w:t>,</w:t>
      </w:r>
      <w:r w:rsidRPr="000C0E58">
        <w:rPr>
          <w:rFonts w:ascii="Times New Roman" w:hAnsi="Times New Roman" w:cs="Times New Roman"/>
          <w:szCs w:val="24"/>
          <w:lang w:val="en-GB"/>
        </w:rPr>
        <w:t xml:space="preserve"> </w:t>
      </w:r>
      <w:r w:rsidRPr="000C0E58">
        <w:rPr>
          <w:rFonts w:ascii="Times New Roman" w:hAnsi="Times New Roman" w:cs="Times New Roman"/>
          <w:i/>
          <w:szCs w:val="24"/>
          <w:lang w:val="en-GB"/>
        </w:rPr>
        <w:t>in</w:t>
      </w:r>
      <w:r w:rsidRPr="000C0E58" w:rsidR="00D25BF9">
        <w:rPr>
          <w:rFonts w:ascii="Times New Roman" w:hAnsi="Times New Roman" w:cs="Times New Roman"/>
          <w:i/>
          <w:szCs w:val="24"/>
          <w:lang w:val="en-GB"/>
        </w:rPr>
        <w:t>ter alia</w:t>
      </w:r>
      <w:r w:rsidRPr="000C0E58" w:rsidR="00D25BF9">
        <w:rPr>
          <w:rFonts w:ascii="Times New Roman" w:hAnsi="Times New Roman" w:cs="Times New Roman"/>
          <w:szCs w:val="24"/>
          <w:lang w:val="en-GB"/>
        </w:rPr>
        <w:t xml:space="preserve">, </w:t>
      </w:r>
      <w:r w:rsidRPr="000C0E58">
        <w:rPr>
          <w:rFonts w:ascii="Times New Roman" w:hAnsi="Times New Roman" w:cs="Times New Roman"/>
          <w:szCs w:val="24"/>
          <w:lang w:val="en-GB"/>
        </w:rPr>
        <w:t>the following passages:</w:t>
      </w:r>
    </w:p>
    <w:p w:rsidRPr="000C0E58" w:rsidR="006B5C10" w:rsidP="000C0E58">
      <w:pPr>
        <w:pStyle w:val="ECHRParaQuote"/>
        <w:rPr>
          <w:rFonts w:ascii="Times New Roman" w:hAnsi="Times New Roman" w:cs="Times New Roman"/>
          <w:lang w:val="en-GB"/>
        </w:rPr>
      </w:pPr>
      <w:r w:rsidRPr="000C0E58">
        <w:rPr>
          <w:rFonts w:ascii="Times New Roman" w:hAnsi="Times New Roman" w:cs="Times New Roman"/>
          <w:lang w:val="en-GB"/>
        </w:rPr>
        <w:t>“</w:t>
      </w:r>
      <w:r w:rsidRPr="000C0E58">
        <w:rPr>
          <w:rFonts w:ascii="Times New Roman" w:hAnsi="Times New Roman" w:cs="Times New Roman"/>
          <w:lang w:val="en-GB"/>
        </w:rPr>
        <w:t xml:space="preserve">27.   </w:t>
      </w:r>
      <w:r w:rsidRPr="000C0E58" w:rsidR="00E80B88">
        <w:rPr>
          <w:rFonts w:ascii="Times New Roman" w:hAnsi="Times New Roman" w:cs="Times New Roman"/>
          <w:lang w:val="en-GB"/>
        </w:rPr>
        <w:t>...</w:t>
      </w:r>
      <w:r w:rsidRPr="000C0E58">
        <w:rPr>
          <w:rFonts w:ascii="Times New Roman" w:hAnsi="Times New Roman" w:cs="Times New Roman"/>
          <w:lang w:val="en-GB"/>
        </w:rPr>
        <w:t xml:space="preserve"> From Articles 54 § 1 and 70/E of the Constitution, the Constitutional Court deduced only one individual social entitlement, </w:t>
      </w:r>
      <w:r w:rsidRPr="000C0E58" w:rsidR="00FA7C0D">
        <w:rPr>
          <w:rFonts w:ascii="Times New Roman" w:hAnsi="Times New Roman" w:cs="Times New Roman"/>
          <w:lang w:val="en-GB"/>
        </w:rPr>
        <w:t xml:space="preserve">specifically </w:t>
      </w:r>
      <w:r w:rsidRPr="000C0E58">
        <w:rPr>
          <w:rFonts w:ascii="Times New Roman" w:hAnsi="Times New Roman" w:cs="Times New Roman"/>
          <w:lang w:val="en-GB"/>
        </w:rPr>
        <w:t xml:space="preserve">the right to a </w:t>
      </w:r>
      <w:r w:rsidRPr="000C0E58" w:rsidR="00FA7C0D">
        <w:rPr>
          <w:rFonts w:ascii="Times New Roman" w:hAnsi="Times New Roman" w:cs="Times New Roman"/>
          <w:lang w:val="en-GB"/>
        </w:rPr>
        <w:t xml:space="preserve">benefit that would ensure </w:t>
      </w:r>
      <w:r w:rsidRPr="000C0E58">
        <w:rPr>
          <w:rFonts w:ascii="Times New Roman" w:hAnsi="Times New Roman" w:cs="Times New Roman"/>
          <w:lang w:val="en-GB"/>
        </w:rPr>
        <w:t xml:space="preserve">subsistence, that is, the provision by the State of basic subsistence to the extent that it is indispensable </w:t>
      </w:r>
      <w:r w:rsidRPr="000C0E58" w:rsidR="00F12336">
        <w:rPr>
          <w:rFonts w:ascii="Times New Roman" w:hAnsi="Times New Roman" w:cs="Times New Roman"/>
          <w:lang w:val="en-GB"/>
        </w:rPr>
        <w:t xml:space="preserve">to secure </w:t>
      </w:r>
      <w:r w:rsidRPr="000C0E58">
        <w:rPr>
          <w:rFonts w:ascii="Times New Roman" w:hAnsi="Times New Roman" w:cs="Times New Roman"/>
          <w:lang w:val="en-GB"/>
        </w:rPr>
        <w:t>the right to human dignity</w:t>
      </w:r>
      <w:r w:rsidRPr="000C0E58" w:rsidR="00E80B88">
        <w:rPr>
          <w:rFonts w:ascii="Times New Roman" w:hAnsi="Times New Roman" w:cs="Times New Roman"/>
          <w:lang w:val="en-GB"/>
        </w:rPr>
        <w:t>...</w:t>
      </w:r>
      <w:r w:rsidRPr="000C0E58">
        <w:rPr>
          <w:rFonts w:ascii="Times New Roman" w:hAnsi="Times New Roman" w:cs="Times New Roman"/>
          <w:lang w:val="en-GB"/>
        </w:rPr>
        <w:t xml:space="preserve"> [A subsequent decision of the Constitutional Court] amended the above principle with the proviso that </w:t>
      </w:r>
      <w:r w:rsidRPr="000C0E58" w:rsidR="000C0E58">
        <w:rPr>
          <w:rFonts w:ascii="Times New Roman" w:hAnsi="Times New Roman" w:cs="Times New Roman"/>
          <w:lang w:val="en-GB"/>
        </w:rPr>
        <w:t>‘</w:t>
      </w:r>
      <w:r w:rsidRPr="000C0E58">
        <w:rPr>
          <w:rFonts w:ascii="Times New Roman" w:hAnsi="Times New Roman" w:cs="Times New Roman"/>
          <w:lang w:val="en-GB"/>
        </w:rPr>
        <w:t>specific constitutional rights, such as a right to a dwelling, cannot be inferred from the obligation to provide basic subsistence</w:t>
      </w:r>
      <w:r w:rsidRPr="000C0E58" w:rsidR="000C0E58">
        <w:rPr>
          <w:rFonts w:ascii="Times New Roman" w:hAnsi="Times New Roman" w:cs="Times New Roman"/>
          <w:lang w:val="en-GB"/>
        </w:rPr>
        <w:t>’</w:t>
      </w:r>
      <w:r w:rsidRPr="000C0E58" w:rsidR="00F12336">
        <w:rPr>
          <w:rFonts w:ascii="Times New Roman" w:hAnsi="Times New Roman" w:cs="Times New Roman"/>
          <w:lang w:val="en-GB"/>
        </w:rPr>
        <w:t>]</w:t>
      </w:r>
      <w:r w:rsidRPr="000C0E58" w:rsidR="00E80B88">
        <w:rPr>
          <w:rFonts w:ascii="Times New Roman" w:hAnsi="Times New Roman" w:cs="Times New Roman"/>
          <w:lang w:val="en-GB"/>
        </w:rPr>
        <w:t>...</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 xml:space="preserve">30.  ...The Constitutional Court has already examined the amendments to the rules </w:t>
      </w:r>
      <w:r w:rsidRPr="000C0E58" w:rsidR="00F12336">
        <w:rPr>
          <w:rFonts w:ascii="Times New Roman" w:hAnsi="Times New Roman" w:cs="Times New Roman"/>
          <w:lang w:val="en-GB"/>
        </w:rPr>
        <w:t xml:space="preserve">governing </w:t>
      </w:r>
      <w:r w:rsidRPr="000C0E58">
        <w:rPr>
          <w:rFonts w:ascii="Times New Roman" w:hAnsi="Times New Roman" w:cs="Times New Roman"/>
          <w:lang w:val="en-GB"/>
        </w:rPr>
        <w:t xml:space="preserve">disability pension in several decisions. Decision no. 321/B/1996.AB characterised the disability pension partly as an allowance under protection of property and partly as a social service provision. As stated in the decision, the law </w:t>
      </w:r>
      <w:r w:rsidRPr="000C0E58" w:rsidR="000C0E58">
        <w:rPr>
          <w:rFonts w:ascii="Times New Roman" w:hAnsi="Times New Roman" w:cs="Times New Roman"/>
          <w:lang w:val="en-GB"/>
        </w:rPr>
        <w:t>‘</w:t>
      </w:r>
      <w:r w:rsidRPr="000C0E58">
        <w:rPr>
          <w:rFonts w:ascii="Times New Roman" w:hAnsi="Times New Roman" w:cs="Times New Roman"/>
          <w:lang w:val="en-GB"/>
        </w:rPr>
        <w:t>provides</w:t>
      </w:r>
      <w:r w:rsidRPr="000C0E58" w:rsidR="00FA7C0D">
        <w:rPr>
          <w:rFonts w:ascii="Times New Roman" w:hAnsi="Times New Roman" w:cs="Times New Roman"/>
          <w:lang w:val="en-GB"/>
        </w:rPr>
        <w:t xml:space="preserve"> for</w:t>
      </w:r>
      <w:r w:rsidRPr="000C0E58">
        <w:rPr>
          <w:rFonts w:ascii="Times New Roman" w:hAnsi="Times New Roman" w:cs="Times New Roman"/>
          <w:lang w:val="en-GB"/>
        </w:rPr>
        <w:t xml:space="preserve"> </w:t>
      </w:r>
      <w:r w:rsidRPr="000C0E58" w:rsidR="00FA7C0D">
        <w:rPr>
          <w:rFonts w:ascii="Times New Roman" w:hAnsi="Times New Roman" w:cs="Times New Roman"/>
          <w:lang w:val="en-GB"/>
        </w:rPr>
        <w:t xml:space="preserve">a benefit </w:t>
      </w:r>
      <w:r w:rsidRPr="000C0E58">
        <w:rPr>
          <w:rFonts w:ascii="Times New Roman" w:hAnsi="Times New Roman" w:cs="Times New Roman"/>
          <w:lang w:val="en-GB"/>
        </w:rPr>
        <w:t>under the constitutional principle of social security for individuals who, before reaching the old</w:t>
      </w:r>
      <w:r w:rsidRPr="000C0E58" w:rsidR="00D25BF9">
        <w:rPr>
          <w:rFonts w:ascii="Times New Roman" w:hAnsi="Times New Roman" w:cs="Times New Roman"/>
          <w:lang w:val="en-GB"/>
        </w:rPr>
        <w:t>-</w:t>
      </w:r>
      <w:r w:rsidRPr="000C0E58">
        <w:rPr>
          <w:rFonts w:ascii="Times New Roman" w:hAnsi="Times New Roman" w:cs="Times New Roman"/>
          <w:lang w:val="en-GB"/>
        </w:rPr>
        <w:t xml:space="preserve">age pension age, have lost their ability to work by reason of disability or </w:t>
      </w:r>
      <w:r w:rsidRPr="000C0E58" w:rsidR="00331B94">
        <w:rPr>
          <w:rFonts w:ascii="Times New Roman" w:hAnsi="Times New Roman" w:cs="Times New Roman"/>
          <w:lang w:val="en-GB"/>
        </w:rPr>
        <w:t xml:space="preserve">as the result of an </w:t>
      </w:r>
      <w:r w:rsidRPr="000C0E58">
        <w:rPr>
          <w:rFonts w:ascii="Times New Roman" w:hAnsi="Times New Roman" w:cs="Times New Roman"/>
          <w:lang w:val="en-GB"/>
        </w:rPr>
        <w:t xml:space="preserve">accident... Prior to the retirement age, the disability pension is an exceptional benefit granted to individuals </w:t>
      </w:r>
      <w:r w:rsidRPr="000C0E58" w:rsidR="00D25BF9">
        <w:rPr>
          <w:rFonts w:ascii="Times New Roman" w:hAnsi="Times New Roman" w:cs="Times New Roman"/>
          <w:lang w:val="en-GB"/>
        </w:rPr>
        <w:t xml:space="preserve">on the ground of </w:t>
      </w:r>
      <w:r w:rsidRPr="000C0E58">
        <w:rPr>
          <w:rFonts w:ascii="Times New Roman" w:hAnsi="Times New Roman" w:cs="Times New Roman"/>
          <w:lang w:val="en-GB"/>
        </w:rPr>
        <w:t xml:space="preserve">their disability. Upon reaching pensionable age, individuals who are ... incapable of work ... are no longer entitled to this exceptional benefit, because </w:t>
      </w:r>
      <w:r w:rsidRPr="000C0E58" w:rsidR="00130559">
        <w:rPr>
          <w:rFonts w:ascii="Times New Roman" w:hAnsi="Times New Roman" w:cs="Times New Roman"/>
          <w:lang w:val="en-GB"/>
        </w:rPr>
        <w:t xml:space="preserve">once </w:t>
      </w:r>
      <w:r w:rsidRPr="000C0E58">
        <w:rPr>
          <w:rFonts w:ascii="Times New Roman" w:hAnsi="Times New Roman" w:cs="Times New Roman"/>
          <w:lang w:val="en-GB"/>
        </w:rPr>
        <w:t xml:space="preserve">their employment </w:t>
      </w:r>
      <w:r w:rsidRPr="000C0E58" w:rsidR="00130559">
        <w:rPr>
          <w:rFonts w:ascii="Times New Roman" w:hAnsi="Times New Roman" w:cs="Times New Roman"/>
          <w:lang w:val="en-GB"/>
        </w:rPr>
        <w:t xml:space="preserve">[period has] </w:t>
      </w:r>
      <w:r w:rsidRPr="000C0E58">
        <w:rPr>
          <w:rFonts w:ascii="Times New Roman" w:hAnsi="Times New Roman" w:cs="Times New Roman"/>
          <w:lang w:val="en-GB"/>
        </w:rPr>
        <w:t>terminated they are eligible to receive old</w:t>
      </w:r>
      <w:r w:rsidRPr="000C0E58" w:rsidR="00F12336">
        <w:rPr>
          <w:rFonts w:ascii="Times New Roman" w:hAnsi="Times New Roman" w:cs="Times New Roman"/>
          <w:lang w:val="en-GB"/>
        </w:rPr>
        <w:t>-</w:t>
      </w:r>
      <w:r w:rsidRPr="000C0E58">
        <w:rPr>
          <w:rFonts w:ascii="Times New Roman" w:hAnsi="Times New Roman" w:cs="Times New Roman"/>
          <w:lang w:val="en-GB"/>
        </w:rPr>
        <w:t>age pension on the basis of their age.</w:t>
      </w:r>
      <w:r w:rsidRPr="000C0E58" w:rsidR="000C0E58">
        <w:rPr>
          <w:rFonts w:ascii="Times New Roman" w:hAnsi="Times New Roman" w:cs="Times New Roman"/>
          <w:lang w:val="en-GB"/>
        </w:rPr>
        <w:t>’</w:t>
      </w:r>
      <w:r w:rsidRPr="000C0E58">
        <w:rPr>
          <w:rFonts w:ascii="Times New Roman" w:hAnsi="Times New Roman" w:cs="Times New Roman"/>
          <w:lang w:val="en-GB"/>
        </w:rPr>
        <w:t>...</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31.  Decision no. 1129/B/2008.AB states that disability pension is one type of personal retirement benefit</w:t>
      </w:r>
      <w:r w:rsidRPr="000C0E58" w:rsidR="00130559">
        <w:rPr>
          <w:rFonts w:ascii="Times New Roman" w:hAnsi="Times New Roman" w:cs="Times New Roman"/>
          <w:lang w:val="en-GB"/>
        </w:rPr>
        <w:t xml:space="preserve">; </w:t>
      </w:r>
      <w:r w:rsidRPr="000C0E58">
        <w:rPr>
          <w:rFonts w:ascii="Times New Roman" w:hAnsi="Times New Roman" w:cs="Times New Roman"/>
          <w:lang w:val="en-GB"/>
        </w:rPr>
        <w:t xml:space="preserve">however its </w:t>
      </w:r>
      <w:r w:rsidRPr="000C0E58" w:rsidR="000C0E58">
        <w:rPr>
          <w:rFonts w:ascii="Times New Roman" w:hAnsi="Times New Roman" w:cs="Times New Roman"/>
          <w:lang w:val="en-GB"/>
        </w:rPr>
        <w:t>‘</w:t>
      </w:r>
      <w:r w:rsidRPr="000C0E58">
        <w:rPr>
          <w:rFonts w:ascii="Times New Roman" w:hAnsi="Times New Roman" w:cs="Times New Roman"/>
          <w:lang w:val="en-GB"/>
        </w:rPr>
        <w:t>purchased right</w:t>
      </w:r>
      <w:r w:rsidRPr="000C0E58" w:rsidR="000C0E58">
        <w:rPr>
          <w:rFonts w:ascii="Times New Roman" w:hAnsi="Times New Roman" w:cs="Times New Roman"/>
          <w:lang w:val="en-GB"/>
        </w:rPr>
        <w:t>’</w:t>
      </w:r>
      <w:r w:rsidRPr="000C0E58">
        <w:rPr>
          <w:rFonts w:ascii="Times New Roman" w:hAnsi="Times New Roman" w:cs="Times New Roman"/>
          <w:lang w:val="en-GB"/>
        </w:rPr>
        <w:t xml:space="preserve"> element is only </w:t>
      </w:r>
      <w:r w:rsidRPr="000C0E58" w:rsidR="0057789D">
        <w:rPr>
          <w:rFonts w:ascii="Times New Roman" w:hAnsi="Times New Roman" w:cs="Times New Roman"/>
          <w:lang w:val="en-GB"/>
        </w:rPr>
        <w:t>represented</w:t>
      </w:r>
      <w:r w:rsidRPr="000C0E58">
        <w:rPr>
          <w:rFonts w:ascii="Times New Roman" w:hAnsi="Times New Roman" w:cs="Times New Roman"/>
          <w:lang w:val="en-GB"/>
        </w:rPr>
        <w:t xml:space="preserve"> inasmuch as </w:t>
      </w:r>
      <w:r w:rsidRPr="000C0E58" w:rsidR="000C0E58">
        <w:rPr>
          <w:rFonts w:ascii="Times New Roman" w:hAnsi="Times New Roman" w:cs="Times New Roman"/>
          <w:lang w:val="en-GB"/>
        </w:rPr>
        <w:t>‘</w:t>
      </w:r>
      <w:r w:rsidRPr="000C0E58">
        <w:rPr>
          <w:rFonts w:ascii="Times New Roman" w:hAnsi="Times New Roman" w:cs="Times New Roman"/>
          <w:lang w:val="en-GB"/>
        </w:rPr>
        <w:t>its sum is greater after a longer length of service, or is equal or close to the old</w:t>
      </w:r>
      <w:r w:rsidRPr="000C0E58" w:rsidR="00130559">
        <w:rPr>
          <w:rFonts w:ascii="Times New Roman" w:hAnsi="Times New Roman" w:cs="Times New Roman"/>
          <w:lang w:val="en-GB"/>
        </w:rPr>
        <w:t>-</w:t>
      </w:r>
      <w:r w:rsidRPr="000C0E58">
        <w:rPr>
          <w:rFonts w:ascii="Times New Roman" w:hAnsi="Times New Roman" w:cs="Times New Roman"/>
          <w:lang w:val="en-GB"/>
        </w:rPr>
        <w:t>age pension. Otherwise, the principle of solidarity is predominant, since the disabled individual, who would not be eligible for an old</w:t>
      </w:r>
      <w:r w:rsidRPr="000C0E58" w:rsidR="00130559">
        <w:rPr>
          <w:rFonts w:ascii="Times New Roman" w:hAnsi="Times New Roman" w:cs="Times New Roman"/>
          <w:lang w:val="en-GB"/>
        </w:rPr>
        <w:t>-</w:t>
      </w:r>
      <w:r w:rsidRPr="000C0E58">
        <w:rPr>
          <w:rFonts w:ascii="Times New Roman" w:hAnsi="Times New Roman" w:cs="Times New Roman"/>
          <w:lang w:val="en-GB"/>
        </w:rPr>
        <w:t>age pension on the basis of either his age or the length of service, receives a pension once his disability is determined.</w:t>
      </w:r>
      <w:r w:rsidRPr="000C0E58" w:rsidR="000C0E58">
        <w:rPr>
          <w:rFonts w:ascii="Times New Roman" w:hAnsi="Times New Roman" w:cs="Times New Roman"/>
          <w:lang w:val="en-GB"/>
        </w:rPr>
        <w:t>’</w:t>
      </w:r>
      <w:r w:rsidRPr="000C0E58">
        <w:rPr>
          <w:rFonts w:ascii="Times New Roman" w:hAnsi="Times New Roman" w:cs="Times New Roman"/>
          <w:lang w:val="en-GB"/>
        </w:rPr>
        <w:t xml:space="preserve"> ...</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32.</w:t>
      </w:r>
      <w:r w:rsidRPr="000C0E58">
        <w:rPr>
          <w:rFonts w:ascii="Times New Roman" w:hAnsi="Times New Roman" w:cs="Times New Roman"/>
          <w:lang w:val="en-GB"/>
        </w:rPr>
        <w:t>  In</w:t>
      </w:r>
      <w:r w:rsidRPr="000C0E58">
        <w:rPr>
          <w:rFonts w:ascii="Times New Roman" w:hAnsi="Times New Roman" w:cs="Times New Roman"/>
          <w:lang w:val="en-GB"/>
        </w:rPr>
        <w:t xml:space="preserve"> the Constitutional Court</w:t>
      </w:r>
      <w:r w:rsidRPr="000C0E58" w:rsidR="000C0E58">
        <w:rPr>
          <w:rFonts w:ascii="Times New Roman" w:hAnsi="Times New Roman" w:cs="Times New Roman"/>
          <w:lang w:val="en-GB"/>
        </w:rPr>
        <w:t>’</w:t>
      </w:r>
      <w:r w:rsidRPr="000C0E58">
        <w:rPr>
          <w:rFonts w:ascii="Times New Roman" w:hAnsi="Times New Roman" w:cs="Times New Roman"/>
          <w:lang w:val="en-GB"/>
        </w:rPr>
        <w:t xml:space="preserve">s interpretation, the entitlement to disability pension is not guaranteed constitutionally in an as-of-right manner; rather, it is a mixed social-security and social-service benefit, available under certain conditions to individuals </w:t>
      </w:r>
      <w:r w:rsidRPr="000C0E58" w:rsidR="00F12336">
        <w:rPr>
          <w:rFonts w:ascii="Times New Roman" w:hAnsi="Times New Roman" w:cs="Times New Roman"/>
          <w:lang w:val="en-GB"/>
        </w:rPr>
        <w:t xml:space="preserve">below </w:t>
      </w:r>
      <w:r w:rsidRPr="000C0E58">
        <w:rPr>
          <w:rFonts w:ascii="Times New Roman" w:hAnsi="Times New Roman" w:cs="Times New Roman"/>
          <w:lang w:val="en-GB"/>
        </w:rPr>
        <w:t>retirement age suffering from ill health, who, due to their disability, have a reduced capacity to work and are in need of financial assistance because of the loss of income.”</w:t>
      </w:r>
    </w:p>
    <w:p w:rsidRPr="000C0E58" w:rsidR="00063D8E" w:rsidP="000C0E58">
      <w:pPr>
        <w:pStyle w:val="ECHRParaQuote"/>
        <w:rPr>
          <w:rFonts w:ascii="Times New Roman" w:hAnsi="Times New Roman" w:cs="Times New Roman"/>
          <w:lang w:val="en-GB"/>
        </w:rPr>
      </w:pPr>
      <w:r w:rsidRPr="000C0E58">
        <w:rPr>
          <w:rFonts w:ascii="Times New Roman" w:hAnsi="Times New Roman" w:cs="Times New Roman"/>
          <w:lang w:val="en-GB"/>
        </w:rPr>
        <w:t>...</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34.   ... [In d</w:t>
      </w:r>
      <w:r w:rsidRPr="000C0E58">
        <w:rPr>
          <w:rFonts w:ascii="Times New Roman" w:hAnsi="Times New Roman" w:cs="Times New Roman"/>
          <w:lang w:val="en-GB"/>
        </w:rPr>
        <w:t>ecision no. 1228/B/2010.AB] ... the Constitutional Court held that the earlier rules on disability pension had not created a [legitimate] expectation, therefore the amendment to the conditions of entitlement had not violated any acquired right.</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35.  </w:t>
      </w:r>
      <w:r w:rsidRPr="000C0E58">
        <w:rPr>
          <w:rFonts w:ascii="Times New Roman" w:hAnsi="Times New Roman" w:cs="Times New Roman"/>
          <w:lang w:val="en-GB"/>
        </w:rPr>
        <w:t>Subsequent to the adoption of the above-mentioned decisions of the Constitutional Court, the text of the Constitution changed significantly.</w:t>
      </w:r>
    </w:p>
    <w:p w:rsidRPr="000C0E58" w:rsidR="00063D8E" w:rsidP="000C0E58">
      <w:pPr>
        <w:pStyle w:val="ECHRParaQuote"/>
        <w:rPr>
          <w:rFonts w:ascii="Times New Roman" w:hAnsi="Times New Roman" w:cs="Times New Roman"/>
          <w:lang w:val="en-GB"/>
        </w:rPr>
      </w:pPr>
      <w:r w:rsidRPr="000C0E58">
        <w:rPr>
          <w:rFonts w:ascii="Times New Roman" w:hAnsi="Times New Roman" w:cs="Times New Roman"/>
          <w:lang w:val="en-GB"/>
        </w:rPr>
        <w:t>...</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37</w:t>
      </w:r>
      <w:r w:rsidRPr="000C0E58">
        <w:rPr>
          <w:rFonts w:ascii="Times New Roman" w:hAnsi="Times New Roman" w:cs="Times New Roman"/>
          <w:lang w:val="en-GB"/>
        </w:rPr>
        <w:t>.  ...</w:t>
      </w:r>
      <w:r w:rsidRPr="000C0E58">
        <w:rPr>
          <w:rFonts w:ascii="Times New Roman" w:hAnsi="Times New Roman" w:cs="Times New Roman"/>
          <w:lang w:val="en-GB"/>
        </w:rPr>
        <w:t xml:space="preserve"> </w:t>
      </w:r>
      <w:r w:rsidRPr="000C0E58" w:rsidR="00130559">
        <w:rPr>
          <w:rFonts w:ascii="Times New Roman" w:hAnsi="Times New Roman" w:cs="Times New Roman"/>
          <w:lang w:val="en-GB"/>
        </w:rPr>
        <w:t xml:space="preserve">The fact </w:t>
      </w:r>
      <w:r w:rsidRPr="000C0E58">
        <w:rPr>
          <w:rFonts w:ascii="Times New Roman" w:hAnsi="Times New Roman" w:cs="Times New Roman"/>
          <w:lang w:val="en-GB"/>
        </w:rPr>
        <w:t xml:space="preserve">that Article XIX of the Fundamental Law on social security concerns </w:t>
      </w:r>
      <w:r w:rsidRPr="000C0E58" w:rsidR="00331B94">
        <w:rPr>
          <w:rFonts w:ascii="Times New Roman" w:hAnsi="Times New Roman" w:cs="Times New Roman"/>
          <w:lang w:val="en-GB"/>
        </w:rPr>
        <w:t xml:space="preserve">essentially </w:t>
      </w:r>
      <w:r w:rsidRPr="000C0E58">
        <w:rPr>
          <w:rFonts w:ascii="Times New Roman" w:hAnsi="Times New Roman" w:cs="Times New Roman"/>
          <w:lang w:val="en-GB"/>
        </w:rPr>
        <w:t>State obligations and State objectives, rather than conferring rights [on individuals]</w:t>
      </w:r>
      <w:r w:rsidRPr="000C0E58" w:rsidR="00331B94">
        <w:rPr>
          <w:rFonts w:ascii="Times New Roman" w:hAnsi="Times New Roman" w:cs="Times New Roman"/>
          <w:lang w:val="en-GB"/>
        </w:rPr>
        <w:t xml:space="preserve">, represents </w:t>
      </w:r>
      <w:r w:rsidRPr="000C0E58" w:rsidR="00130559">
        <w:rPr>
          <w:rFonts w:ascii="Times New Roman" w:hAnsi="Times New Roman" w:cs="Times New Roman"/>
          <w:lang w:val="en-GB"/>
        </w:rPr>
        <w:t>an important change</w:t>
      </w:r>
      <w:r w:rsidRPr="000C0E58">
        <w:rPr>
          <w:rFonts w:ascii="Times New Roman" w:hAnsi="Times New Roman" w:cs="Times New Roman"/>
          <w:lang w:val="en-GB"/>
        </w:rPr>
        <w:t>...</w:t>
      </w:r>
    </w:p>
    <w:p w:rsidRPr="000C0E58" w:rsidR="00C1646D" w:rsidP="000C0E58">
      <w:pPr>
        <w:pStyle w:val="ECHRParaQuote"/>
        <w:rPr>
          <w:rFonts w:ascii="Times New Roman" w:hAnsi="Times New Roman" w:cs="Times New Roman"/>
          <w:szCs w:val="20"/>
          <w:lang w:val="en-GB"/>
        </w:rPr>
      </w:pPr>
      <w:r w:rsidRPr="000C0E58">
        <w:rPr>
          <w:rFonts w:ascii="Times New Roman" w:hAnsi="Times New Roman" w:cs="Times New Roman"/>
          <w:szCs w:val="20"/>
          <w:lang w:val="en-GB"/>
        </w:rPr>
        <w:t xml:space="preserve">38.  The intention to change social policies became even more explicit by virtue of </w:t>
      </w:r>
      <w:r w:rsidRPr="000C0E58" w:rsidR="0082171F">
        <w:rPr>
          <w:rFonts w:ascii="Times New Roman" w:hAnsi="Times New Roman" w:cs="Times New Roman"/>
          <w:szCs w:val="20"/>
          <w:lang w:val="en-GB"/>
        </w:rPr>
        <w:t xml:space="preserve">[an amendment to] </w:t>
      </w:r>
      <w:r w:rsidRPr="000C0E58">
        <w:rPr>
          <w:rFonts w:ascii="Times New Roman" w:hAnsi="Times New Roman" w:cs="Times New Roman"/>
          <w:szCs w:val="20"/>
          <w:lang w:val="en-GB"/>
        </w:rPr>
        <w:t xml:space="preserve">Article 70/E </w:t>
      </w:r>
      <w:r w:rsidRPr="000C0E58" w:rsidR="00E80B88">
        <w:rPr>
          <w:rFonts w:ascii="Times New Roman" w:hAnsi="Times New Roman" w:cs="Times New Roman"/>
          <w:szCs w:val="20"/>
          <w:lang w:val="en-GB"/>
        </w:rPr>
        <w:t>...</w:t>
      </w:r>
      <w:r w:rsidRPr="000C0E58">
        <w:rPr>
          <w:rFonts w:ascii="Times New Roman" w:hAnsi="Times New Roman" w:cs="Times New Roman"/>
          <w:szCs w:val="20"/>
          <w:lang w:val="en-GB"/>
        </w:rPr>
        <w:t xml:space="preserve"> of the Constitution, enacted on 6 June 2011, which expressly entitled the </w:t>
      </w:r>
      <w:r w:rsidRPr="000C0E58" w:rsidR="00893F25">
        <w:rPr>
          <w:rFonts w:ascii="Times New Roman" w:hAnsi="Times New Roman" w:cs="Times New Roman"/>
          <w:szCs w:val="20"/>
          <w:lang w:val="en-GB"/>
        </w:rPr>
        <w:t>legislature</w:t>
      </w:r>
      <w:r w:rsidRPr="000C0E58">
        <w:rPr>
          <w:rFonts w:ascii="Times New Roman" w:hAnsi="Times New Roman" w:cs="Times New Roman"/>
          <w:szCs w:val="20"/>
          <w:lang w:val="en-GB"/>
        </w:rPr>
        <w:t xml:space="preserve"> to reduce, transform into a social allowance or terminate (</w:t>
      </w:r>
      <w:r w:rsidRPr="000C0E58" w:rsidR="00130559">
        <w:rPr>
          <w:rFonts w:ascii="Times New Roman" w:hAnsi="Times New Roman" w:cs="Times New Roman"/>
          <w:szCs w:val="20"/>
          <w:lang w:val="en-GB"/>
        </w:rPr>
        <w:t xml:space="preserve">where </w:t>
      </w:r>
      <w:r w:rsidRPr="000C0E58">
        <w:rPr>
          <w:rFonts w:ascii="Times New Roman" w:hAnsi="Times New Roman" w:cs="Times New Roman"/>
          <w:szCs w:val="20"/>
          <w:lang w:val="en-GB"/>
        </w:rPr>
        <w:t xml:space="preserve">there is </w:t>
      </w:r>
      <w:r w:rsidRPr="000C0E58" w:rsidR="00130559">
        <w:rPr>
          <w:rFonts w:ascii="Times New Roman" w:hAnsi="Times New Roman" w:cs="Times New Roman"/>
          <w:szCs w:val="20"/>
          <w:lang w:val="en-GB"/>
        </w:rPr>
        <w:t xml:space="preserve">an </w:t>
      </w:r>
      <w:r w:rsidRPr="000C0E58">
        <w:rPr>
          <w:rFonts w:ascii="Times New Roman" w:hAnsi="Times New Roman" w:cs="Times New Roman"/>
          <w:szCs w:val="20"/>
          <w:lang w:val="en-GB"/>
        </w:rPr>
        <w:t xml:space="preserve">ability to work) such pensions as disbursed [to persons in an age] under the age-limit </w:t>
      </w:r>
      <w:r w:rsidRPr="000C0E58" w:rsidR="00130559">
        <w:rPr>
          <w:rFonts w:ascii="Times New Roman" w:hAnsi="Times New Roman" w:cs="Times New Roman"/>
          <w:szCs w:val="20"/>
          <w:lang w:val="en-GB"/>
        </w:rPr>
        <w:t xml:space="preserve">for the </w:t>
      </w:r>
      <w:r w:rsidRPr="000C0E58">
        <w:rPr>
          <w:rFonts w:ascii="Times New Roman" w:hAnsi="Times New Roman" w:cs="Times New Roman"/>
          <w:szCs w:val="20"/>
          <w:lang w:val="en-GB"/>
        </w:rPr>
        <w:t>old-age pension...</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 xml:space="preserve">40.   ... From 1 </w:t>
      </w:r>
      <w:r w:rsidRPr="000C0E58">
        <w:rPr>
          <w:rFonts w:ascii="Times New Roman" w:hAnsi="Times New Roman" w:cs="Times New Roman"/>
          <w:szCs w:val="20"/>
          <w:lang w:val="en-GB"/>
        </w:rPr>
        <w:t>January</w:t>
      </w:r>
      <w:r w:rsidRPr="000C0E58">
        <w:rPr>
          <w:rFonts w:ascii="Times New Roman" w:hAnsi="Times New Roman" w:cs="Times New Roman"/>
          <w:lang w:val="en-GB"/>
        </w:rPr>
        <w:t xml:space="preserve"> 2012 onwards, [the law] provides those with altered working capacity with </w:t>
      </w:r>
      <w:r w:rsidRPr="000C0E58" w:rsidR="00FA7C0D">
        <w:rPr>
          <w:rFonts w:ascii="Times New Roman" w:hAnsi="Times New Roman" w:cs="Times New Roman"/>
          <w:lang w:val="en-GB"/>
        </w:rPr>
        <w:t xml:space="preserve">a </w:t>
      </w:r>
      <w:r w:rsidRPr="000C0E58">
        <w:rPr>
          <w:rFonts w:ascii="Times New Roman" w:hAnsi="Times New Roman" w:cs="Times New Roman"/>
          <w:lang w:val="en-GB"/>
        </w:rPr>
        <w:t xml:space="preserve">health-insurance </w:t>
      </w:r>
      <w:r w:rsidRPr="000C0E58" w:rsidR="00FA7C0D">
        <w:rPr>
          <w:rFonts w:ascii="Times New Roman" w:hAnsi="Times New Roman" w:cs="Times New Roman"/>
          <w:lang w:val="en-GB"/>
        </w:rPr>
        <w:t>benefit</w:t>
      </w:r>
      <w:r w:rsidRPr="000C0E58">
        <w:rPr>
          <w:rFonts w:ascii="Times New Roman" w:hAnsi="Times New Roman" w:cs="Times New Roman"/>
          <w:lang w:val="en-GB"/>
        </w:rPr>
        <w:t>, rather than with</w:t>
      </w:r>
      <w:r w:rsidRPr="000C0E58" w:rsidR="00130559">
        <w:rPr>
          <w:rFonts w:ascii="Times New Roman" w:hAnsi="Times New Roman" w:cs="Times New Roman"/>
          <w:lang w:val="en-GB"/>
        </w:rPr>
        <w:t xml:space="preserve"> a</w:t>
      </w:r>
      <w:r w:rsidRPr="000C0E58">
        <w:rPr>
          <w:rFonts w:ascii="Times New Roman" w:hAnsi="Times New Roman" w:cs="Times New Roman"/>
          <w:lang w:val="en-GB"/>
        </w:rPr>
        <w:t xml:space="preserve"> pension...”</w:t>
      </w:r>
    </w:p>
    <w:p w:rsidRPr="000C0E58" w:rsidR="00C1646D" w:rsidP="000C0E58">
      <w:pPr>
        <w:pStyle w:val="ECHRHeading1"/>
        <w:rPr>
          <w:lang w:val="en-GB"/>
        </w:rPr>
      </w:pPr>
      <w:r w:rsidRPr="000C0E58">
        <w:rPr>
          <w:lang w:val="en-GB"/>
        </w:rPr>
        <w:t>III.</w:t>
      </w:r>
      <w:r w:rsidRPr="000C0E58">
        <w:rPr>
          <w:lang w:val="en-GB"/>
        </w:rPr>
        <w:t>  RELEVANT</w:t>
      </w:r>
      <w:r w:rsidRPr="000C0E58">
        <w:rPr>
          <w:lang w:val="en-GB"/>
        </w:rPr>
        <w:t xml:space="preserve"> INTERNATIONAL LAW</w:t>
      </w:r>
      <w:r w:rsidRPr="000C0E58" w:rsidR="00A52D91">
        <w:rPr>
          <w:lang w:val="en-GB"/>
        </w:rPr>
        <w:t xml:space="preserve"> AND OTHER MATERIAL</w:t>
      </w:r>
    </w:p>
    <w:p w:rsidRPr="000C0E58" w:rsidR="00C1646D"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34</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w:t>
      </w:r>
      <w:r w:rsidRPr="000C0E58">
        <w:rPr>
          <w:rFonts w:ascii="Times New Roman" w:hAnsi="Times New Roman" w:cs="Times New Roman"/>
          <w:szCs w:val="24"/>
          <w:lang w:val="en-GB"/>
        </w:rPr>
        <w:t>The European Social Charter provides, as relevant:</w:t>
      </w:r>
    </w:p>
    <w:p w:rsidRPr="000C0E58" w:rsidR="00C1646D" w:rsidP="000C0E58">
      <w:pPr>
        <w:pStyle w:val="ECHRTitleCentre3"/>
        <w:rPr>
          <w:rFonts w:ascii="Times New Roman" w:hAnsi="Times New Roman" w:cs="Times New Roman"/>
          <w:lang w:val="en-GB"/>
        </w:rPr>
      </w:pPr>
      <w:r w:rsidRPr="000C0E58">
        <w:rPr>
          <w:rFonts w:ascii="Times New Roman" w:hAnsi="Times New Roman" w:cs="Times New Roman"/>
          <w:lang w:val="en-GB"/>
        </w:rPr>
        <w:t>Article 12 – The right to social security</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“With a view to ensuring the effective exercise of the right to social security, the Contracting Parties undertake:</w:t>
      </w:r>
    </w:p>
    <w:p w:rsidRPr="000C0E58" w:rsidR="00C1646D" w:rsidP="000C0E58">
      <w:pPr>
        <w:pStyle w:val="JuQuotSub"/>
        <w:rPr>
          <w:lang w:val="en-GB"/>
        </w:rPr>
      </w:pPr>
      <w:r w:rsidRPr="000C0E58">
        <w:rPr>
          <w:lang w:val="en-GB"/>
        </w:rPr>
        <w:t>1.</w:t>
      </w:r>
      <w:r w:rsidRPr="000C0E58" w:rsidR="00F4238C">
        <w:rPr>
          <w:lang w:val="en-GB"/>
        </w:rPr>
        <w:t>  </w:t>
      </w:r>
      <w:r w:rsidRPr="000C0E58">
        <w:rPr>
          <w:lang w:val="en-GB"/>
        </w:rPr>
        <w:t>to</w:t>
      </w:r>
      <w:r w:rsidRPr="000C0E58">
        <w:rPr>
          <w:lang w:val="en-GB"/>
        </w:rPr>
        <w:t xml:space="preserve"> establish or maintain a system of social security;</w:t>
      </w:r>
    </w:p>
    <w:p w:rsidRPr="000C0E58" w:rsidR="00C1646D" w:rsidP="000C0E58">
      <w:pPr>
        <w:pStyle w:val="JuQuotSub"/>
        <w:rPr>
          <w:lang w:val="en-GB"/>
        </w:rPr>
      </w:pPr>
      <w:r w:rsidRPr="000C0E58">
        <w:rPr>
          <w:lang w:val="en-GB"/>
        </w:rPr>
        <w:t>2.</w:t>
      </w:r>
      <w:r w:rsidRPr="000C0E58" w:rsidR="00F4238C">
        <w:rPr>
          <w:lang w:val="en-GB"/>
        </w:rPr>
        <w:t>  </w:t>
      </w:r>
      <w:r w:rsidRPr="000C0E58">
        <w:rPr>
          <w:lang w:val="en-GB"/>
        </w:rPr>
        <w:t>to</w:t>
      </w:r>
      <w:r w:rsidRPr="000C0E58">
        <w:rPr>
          <w:lang w:val="en-GB"/>
        </w:rPr>
        <w:t xml:space="preserve"> maintain the social</w:t>
      </w:r>
      <w:r w:rsidRPr="000C0E58" w:rsidR="00AA062F">
        <w:rPr>
          <w:lang w:val="en-GB"/>
        </w:rPr>
        <w:t>-</w:t>
      </w:r>
      <w:r w:rsidRPr="000C0E58">
        <w:rPr>
          <w:lang w:val="en-GB"/>
        </w:rPr>
        <w:t xml:space="preserve"> security system at a satisfactory level at least equal to that required for ratification of International Labour Convention No. 102 Concerning Minimum Standards of Social Security;</w:t>
      </w:r>
    </w:p>
    <w:p w:rsidRPr="000C0E58" w:rsidR="00C1646D" w:rsidP="000C0E58">
      <w:pPr>
        <w:pStyle w:val="JuQuotSub"/>
        <w:rPr>
          <w:lang w:val="en-GB"/>
        </w:rPr>
      </w:pPr>
      <w:r w:rsidRPr="000C0E58">
        <w:rPr>
          <w:lang w:val="en-GB"/>
        </w:rPr>
        <w:t>3.</w:t>
      </w:r>
      <w:r w:rsidRPr="000C0E58" w:rsidR="00F4238C">
        <w:rPr>
          <w:lang w:val="en-GB"/>
        </w:rPr>
        <w:t>  </w:t>
      </w:r>
      <w:r w:rsidRPr="000C0E58">
        <w:rPr>
          <w:lang w:val="en-GB"/>
        </w:rPr>
        <w:t>to</w:t>
      </w:r>
      <w:r w:rsidRPr="000C0E58">
        <w:rPr>
          <w:lang w:val="en-GB"/>
        </w:rPr>
        <w:t xml:space="preserve"> endeavour to raise progressively the system of social security to a higher level;</w:t>
      </w:r>
    </w:p>
    <w:p w:rsidRPr="000C0E58" w:rsidR="00C1646D" w:rsidP="000C0E58">
      <w:pPr>
        <w:pStyle w:val="JuQuotSub"/>
        <w:rPr>
          <w:lang w:val="en-GB"/>
        </w:rPr>
      </w:pPr>
      <w:r w:rsidRPr="000C0E58">
        <w:rPr>
          <w:lang w:val="en-GB"/>
        </w:rPr>
        <w:t>4.</w:t>
      </w:r>
      <w:r w:rsidRPr="000C0E58">
        <w:rPr>
          <w:lang w:val="en-GB"/>
        </w:rPr>
        <w:t> </w:t>
      </w:r>
      <w:r w:rsidRPr="000C0E58" w:rsidR="00F4238C">
        <w:rPr>
          <w:lang w:val="en-GB"/>
        </w:rPr>
        <w:t> </w:t>
      </w:r>
      <w:r w:rsidRPr="000C0E58">
        <w:rPr>
          <w:lang w:val="en-GB"/>
        </w:rPr>
        <w:t>to</w:t>
      </w:r>
      <w:r w:rsidRPr="000C0E58">
        <w:rPr>
          <w:lang w:val="en-GB"/>
        </w:rPr>
        <w:t xml:space="preserve"> take steps, by the conclusion of appropriate bilateral and multilateral agreements, or by other means, and subject to the conditions laid down in such agreements, in order to ensure:</w:t>
      </w:r>
    </w:p>
    <w:p w:rsidRPr="000C0E58" w:rsidR="00C1646D" w:rsidP="000C0E58">
      <w:pPr>
        <w:pStyle w:val="JuQuotSub"/>
      </w:pPr>
      <w:r w:rsidRPr="000C0E58">
        <w:t>a.</w:t>
      </w:r>
      <w:r w:rsidRPr="000C0E58" w:rsidR="00F4238C">
        <w:t> </w:t>
      </w:r>
      <w:r w:rsidRPr="000C0E58">
        <w:t> </w:t>
      </w:r>
      <w:r w:rsidRPr="000C0E58">
        <w:t>equal</w:t>
      </w:r>
      <w:r w:rsidRPr="000C0E58">
        <w:t xml:space="preserve"> treatment with their own nationals of the nationals of other Contracting Parties in respect of social security rights, including the retention of benefits arising out of social security legislation, whatever movements the persons protected may undertake between the territories of the Contracting Parties;</w:t>
      </w:r>
    </w:p>
    <w:p w:rsidRPr="000C0E58" w:rsidR="00C1646D" w:rsidP="000C0E58">
      <w:pPr>
        <w:pStyle w:val="JuQuotSub"/>
        <w:rPr>
          <w:lang w:val="en-GB"/>
        </w:rPr>
      </w:pPr>
      <w:r w:rsidRPr="000C0E58">
        <w:t>b.</w:t>
      </w:r>
      <w:r w:rsidRPr="000C0E58">
        <w:t> </w:t>
      </w:r>
      <w:r w:rsidRPr="000C0E58" w:rsidR="00F4238C">
        <w:t> </w:t>
      </w:r>
      <w:r w:rsidRPr="000C0E58">
        <w:t>the</w:t>
      </w:r>
      <w:r w:rsidRPr="000C0E58">
        <w:t xml:space="preserve"> granting, maintenance and resumption of social security rights by such means as the accumulation of insurance or employment periods completed under the legislation of each of the Contracting Parties.”</w:t>
      </w:r>
    </w:p>
    <w:p w:rsidRPr="000C0E58" w:rsidR="00C1646D" w:rsidP="000C0E58">
      <w:pPr>
        <w:pStyle w:val="ECHRTitleCentre3"/>
        <w:rPr>
          <w:rFonts w:ascii="Times New Roman" w:hAnsi="Times New Roman" w:cs="Times New Roman"/>
          <w:lang w:val="en-GB"/>
        </w:rPr>
      </w:pPr>
      <w:r w:rsidRPr="000C0E58">
        <w:rPr>
          <w:rFonts w:ascii="Times New Roman" w:hAnsi="Times New Roman" w:cs="Times New Roman"/>
          <w:lang w:val="en-GB"/>
        </w:rPr>
        <w:t xml:space="preserve">Article 15 – The right of physically or mentally disabled persons </w:t>
      </w:r>
      <w:r w:rsidRPr="000C0E58">
        <w:rPr>
          <w:rFonts w:ascii="Times New Roman" w:hAnsi="Times New Roman" w:cs="Times New Roman"/>
          <w:lang w:val="en-GB"/>
        </w:rPr>
        <w:br/>
        <w:t>to vocational training, rehabilitation and social resettlement</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“With a view to ensuring the effective exercise of the right of the physically or mentally disabled to vocational training, rehabilitation and resettlement, the Contracting Parties undertake:</w:t>
      </w:r>
    </w:p>
    <w:p w:rsidRPr="000C0E58" w:rsidR="00C1646D" w:rsidP="000C0E58">
      <w:pPr>
        <w:pStyle w:val="JuQuotSub"/>
        <w:rPr>
          <w:lang w:val="en-GB"/>
        </w:rPr>
      </w:pPr>
      <w:r w:rsidRPr="000C0E58">
        <w:rPr>
          <w:lang w:val="en-GB"/>
        </w:rPr>
        <w:t>1. </w:t>
      </w:r>
      <w:r w:rsidRPr="000C0E58" w:rsidR="00EE355E">
        <w:rPr>
          <w:lang w:val="en-GB"/>
        </w:rPr>
        <w:t> </w:t>
      </w:r>
      <w:r w:rsidRPr="000C0E58">
        <w:rPr>
          <w:lang w:val="en-GB"/>
        </w:rPr>
        <w:t>to</w:t>
      </w:r>
      <w:r w:rsidRPr="000C0E58">
        <w:rPr>
          <w:lang w:val="en-GB"/>
        </w:rPr>
        <w:t xml:space="preserve"> take adequate measures for the provision of training facilities, including, where necessary, specialised institutions, public or private;</w:t>
      </w:r>
    </w:p>
    <w:p w:rsidRPr="000C0E58" w:rsidR="00C1646D" w:rsidP="000C0E58">
      <w:pPr>
        <w:pStyle w:val="JuQuotSub"/>
        <w:rPr>
          <w:lang w:val="en-GB"/>
        </w:rPr>
      </w:pPr>
      <w:r w:rsidRPr="000C0E58">
        <w:rPr>
          <w:lang w:val="en-GB"/>
        </w:rPr>
        <w:t>2. </w:t>
      </w:r>
      <w:r w:rsidRPr="000C0E58" w:rsidR="00EE355E">
        <w:rPr>
          <w:lang w:val="en-GB"/>
        </w:rPr>
        <w:t> </w:t>
      </w:r>
      <w:r w:rsidRPr="000C0E58">
        <w:rPr>
          <w:lang w:val="en-GB"/>
        </w:rPr>
        <w:t>to take adequate measures for the placing of disabled persons in employment, such as specialised placing services, facilities for sheltered employment and measures to encourage employers to admit disabled persons to employment.</w:t>
      </w:r>
      <w:r w:rsidRPr="000C0E58" w:rsidR="00DD2F3C">
        <w:rPr>
          <w:lang w:val="en-GB"/>
        </w:rPr>
        <w:t>”</w:t>
      </w:r>
    </w:p>
    <w:p w:rsidRPr="000C0E58" w:rsidR="00C1646D"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35</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The European Social Charter (revised) provides, as relevant:</w:t>
      </w:r>
    </w:p>
    <w:p w:rsidRPr="000C0E58" w:rsidR="00C1646D" w:rsidP="000C0E58">
      <w:pPr>
        <w:pStyle w:val="ECHRTitleCentre3"/>
        <w:rPr>
          <w:rFonts w:ascii="Times New Roman" w:hAnsi="Times New Roman" w:cs="Times New Roman"/>
          <w:lang w:val="en-GB"/>
        </w:rPr>
      </w:pPr>
      <w:r w:rsidRPr="000C0E58">
        <w:rPr>
          <w:rFonts w:ascii="Times New Roman" w:hAnsi="Times New Roman" w:cs="Times New Roman"/>
          <w:lang w:val="en-GB"/>
        </w:rPr>
        <w:t>Article 12 – The right to social security</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“With a view to ensuring the effective exercise of the right to social security, the Parties undertake:</w:t>
      </w:r>
    </w:p>
    <w:p w:rsidRPr="000C0E58" w:rsidR="00C1646D" w:rsidP="000C0E58">
      <w:pPr>
        <w:pStyle w:val="JuQuotSub"/>
        <w:rPr>
          <w:lang w:val="en-GB"/>
        </w:rPr>
      </w:pPr>
      <w:r w:rsidRPr="000C0E58">
        <w:rPr>
          <w:lang w:val="en-GB"/>
        </w:rPr>
        <w:t>1.  </w:t>
      </w:r>
      <w:r w:rsidRPr="000C0E58">
        <w:rPr>
          <w:lang w:val="en-GB"/>
        </w:rPr>
        <w:t>to</w:t>
      </w:r>
      <w:r w:rsidRPr="000C0E58">
        <w:rPr>
          <w:lang w:val="en-GB"/>
        </w:rPr>
        <w:t xml:space="preserve"> establish or maintain a system of social security;</w:t>
      </w:r>
    </w:p>
    <w:p w:rsidRPr="000C0E58" w:rsidR="00C1646D" w:rsidP="000C0E58">
      <w:pPr>
        <w:pStyle w:val="JuQuotSub"/>
        <w:rPr>
          <w:lang w:val="en-GB"/>
        </w:rPr>
      </w:pPr>
      <w:r w:rsidRPr="000C0E58">
        <w:rPr>
          <w:lang w:val="en-GB"/>
        </w:rPr>
        <w:t xml:space="preserve">2.   </w:t>
      </w:r>
      <w:r w:rsidRPr="000C0E58">
        <w:rPr>
          <w:lang w:val="en-GB"/>
        </w:rPr>
        <w:t>to</w:t>
      </w:r>
      <w:r w:rsidRPr="000C0E58">
        <w:rPr>
          <w:lang w:val="en-GB"/>
        </w:rPr>
        <w:t xml:space="preserve"> maintain the social security system at a satisfactory level at least equal to that required for the ratification of the European Code of Social Security;</w:t>
      </w:r>
    </w:p>
    <w:p w:rsidRPr="000C0E58" w:rsidR="00C1646D" w:rsidP="000C0E58">
      <w:pPr>
        <w:pStyle w:val="JuQuotSub"/>
        <w:rPr>
          <w:lang w:val="en-GB"/>
        </w:rPr>
      </w:pPr>
      <w:r w:rsidRPr="000C0E58">
        <w:rPr>
          <w:lang w:val="en-GB"/>
        </w:rPr>
        <w:t>3.  </w:t>
      </w:r>
      <w:r w:rsidRPr="000C0E58">
        <w:rPr>
          <w:lang w:val="en-GB"/>
        </w:rPr>
        <w:t>to</w:t>
      </w:r>
      <w:r w:rsidRPr="000C0E58">
        <w:rPr>
          <w:lang w:val="en-GB"/>
        </w:rPr>
        <w:t xml:space="preserve"> endeavour to raise progressively the system of social security to a higher level;</w:t>
      </w:r>
    </w:p>
    <w:p w:rsidRPr="000C0E58" w:rsidR="00C1646D" w:rsidP="000C0E58">
      <w:pPr>
        <w:pStyle w:val="JuQuotSub"/>
        <w:rPr>
          <w:lang w:val="en-GB"/>
        </w:rPr>
      </w:pPr>
      <w:r w:rsidRPr="000C0E58">
        <w:rPr>
          <w:lang w:val="en-GB"/>
        </w:rPr>
        <w:t>4.  </w:t>
      </w:r>
      <w:r w:rsidRPr="000C0E58">
        <w:rPr>
          <w:lang w:val="en-GB"/>
        </w:rPr>
        <w:t>to</w:t>
      </w:r>
      <w:r w:rsidRPr="000C0E58">
        <w:rPr>
          <w:lang w:val="en-GB"/>
        </w:rPr>
        <w:t xml:space="preserve"> take steps, by the conclusion of appropriate bilateral and multilateral agreements or by other means, and subject to the conditions laid down in such agreements, in order to ensure:</w:t>
      </w:r>
    </w:p>
    <w:p w:rsidRPr="000C0E58" w:rsidR="00C1646D" w:rsidP="000C0E58">
      <w:pPr>
        <w:pStyle w:val="JuQuotSub"/>
        <w:rPr>
          <w:lang w:val="en-GB"/>
        </w:rPr>
      </w:pPr>
      <w:r w:rsidRPr="000C0E58">
        <w:rPr>
          <w:lang w:val="en-GB"/>
        </w:rPr>
        <w:t>a.</w:t>
      </w:r>
      <w:r w:rsidRPr="000C0E58">
        <w:rPr>
          <w:lang w:val="en-GB"/>
        </w:rPr>
        <w:t>  equal</w:t>
      </w:r>
      <w:r w:rsidRPr="000C0E58">
        <w:rPr>
          <w:lang w:val="en-GB"/>
        </w:rPr>
        <w:t xml:space="preserve"> treatment with their own nationals of the nationals of other Parties in respect of social security rights, including the retention of benefits arising out of social security legislation, whatever movements the persons protected may undertake between the territories of the Parties;</w:t>
      </w:r>
    </w:p>
    <w:p w:rsidRPr="000C0E58" w:rsidR="00C1646D" w:rsidP="000C0E58">
      <w:pPr>
        <w:pStyle w:val="JuQuotSub"/>
        <w:rPr>
          <w:lang w:val="en-GB"/>
        </w:rPr>
      </w:pPr>
      <w:r w:rsidRPr="000C0E58">
        <w:rPr>
          <w:lang w:val="en-GB"/>
        </w:rPr>
        <w:t>b.</w:t>
      </w:r>
      <w:r w:rsidRPr="000C0E58">
        <w:rPr>
          <w:lang w:val="en-GB"/>
        </w:rPr>
        <w:t>  the</w:t>
      </w:r>
      <w:r w:rsidRPr="000C0E58">
        <w:rPr>
          <w:lang w:val="en-GB"/>
        </w:rPr>
        <w:t xml:space="preserve"> granting, maintenance and resumption of social security rights by such means as the accumulation of insurance or employment periods completed under the legislation of each of the Parties.”</w:t>
      </w:r>
    </w:p>
    <w:p w:rsidRPr="000C0E58" w:rsidR="00C1646D" w:rsidP="000C0E58">
      <w:pPr>
        <w:pStyle w:val="ECHRTitleCentre3"/>
        <w:rPr>
          <w:rFonts w:ascii="Times New Roman" w:hAnsi="Times New Roman" w:cs="Times New Roman"/>
          <w:lang w:val="en-GB"/>
        </w:rPr>
      </w:pPr>
      <w:r w:rsidRPr="000C0E58">
        <w:rPr>
          <w:rFonts w:ascii="Times New Roman" w:hAnsi="Times New Roman" w:cs="Times New Roman"/>
          <w:lang w:val="en-GB"/>
        </w:rPr>
        <w:t xml:space="preserve">Article 15 – The right of persons with disabilities to independence, </w:t>
      </w:r>
      <w:r w:rsidRPr="000C0E58">
        <w:rPr>
          <w:rFonts w:ascii="Times New Roman" w:hAnsi="Times New Roman" w:cs="Times New Roman"/>
          <w:lang w:val="en-GB"/>
        </w:rPr>
        <w:br/>
        <w:t>social integration and participation in the life of the community</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“With a view to ensuring to persons with disabilities, irrespective of age and the nature and origin of their disabilities, the effective exercise of the right to independence, social integration and participation in the life of the community, the Parties undertake, in particular:</w:t>
      </w:r>
    </w:p>
    <w:p w:rsidRPr="000C0E58" w:rsidR="00C1646D" w:rsidP="000C0E58">
      <w:pPr>
        <w:pStyle w:val="JuQuotSub"/>
        <w:rPr>
          <w:lang w:val="en-GB"/>
        </w:rPr>
      </w:pPr>
      <w:r w:rsidRPr="000C0E58">
        <w:rPr>
          <w:lang w:val="en-GB"/>
        </w:rPr>
        <w:t>1.  to take the necessary measures to provide persons with disabilities with guidance, education and vocational training in the framework of general schemes wherever possible or, where this is not possible, through specialised bodies, public or private;</w:t>
      </w:r>
    </w:p>
    <w:p w:rsidRPr="000C0E58" w:rsidR="00C1646D" w:rsidP="000C0E58">
      <w:pPr>
        <w:pStyle w:val="JuQuotSub"/>
        <w:rPr>
          <w:lang w:val="en-GB"/>
        </w:rPr>
      </w:pPr>
      <w:r w:rsidRPr="000C0E58">
        <w:rPr>
          <w:lang w:val="en-GB"/>
        </w:rPr>
        <w:t xml:space="preserve">2.  to promote their access to employment through all measures tending to encourage employers to hire and keep in employment persons with disabilities in the ordinary working environment and to adjust the working conditions to the needs of the disabled or, where this is not possible by reason of the disability, by arranging </w:t>
      </w:r>
      <w:r w:rsidRPr="000C0E58">
        <w:rPr>
          <w:lang w:val="en-GB"/>
        </w:rPr>
        <w:t>for or creating sheltered employment according to the level of disability. In certain cases, such measures may require recourse to specialised placement and support services;</w:t>
      </w:r>
    </w:p>
    <w:p w:rsidRPr="000C0E58" w:rsidR="00C1646D" w:rsidP="000C0E58">
      <w:pPr>
        <w:pStyle w:val="JuQuotSub"/>
        <w:rPr>
          <w:rFonts w:eastAsia="Times New Roman"/>
          <w:lang w:val="en-GB" w:eastAsia="en-GB"/>
        </w:rPr>
      </w:pPr>
      <w:r w:rsidRPr="000C0E58">
        <w:rPr>
          <w:lang w:val="en-GB"/>
        </w:rPr>
        <w:t>3.  to promote their full social integration and participation in the life of the community in particular through measures, including technical aids, aiming to overcome barriers to communication and mobility and enabling access to transport, housing, cultural activities and leisure.”</w:t>
      </w:r>
    </w:p>
    <w:p w:rsidRPr="000C0E58" w:rsidR="00C1646D"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36</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xml:space="preserve">.  Hungary </w:t>
      </w:r>
      <w:r w:rsidRPr="000C0E58" w:rsidR="00130559">
        <w:rPr>
          <w:rFonts w:ascii="Times New Roman" w:hAnsi="Times New Roman" w:cs="Times New Roman"/>
          <w:szCs w:val="24"/>
          <w:lang w:val="en-GB"/>
        </w:rPr>
        <w:t xml:space="preserve">has </w:t>
      </w:r>
      <w:r w:rsidRPr="000C0E58">
        <w:rPr>
          <w:rFonts w:ascii="Times New Roman" w:hAnsi="Times New Roman" w:cs="Times New Roman"/>
          <w:szCs w:val="24"/>
          <w:lang w:val="en-GB"/>
        </w:rPr>
        <w:t>ratified both the European Social Charter and the Revised European Social Charter</w:t>
      </w:r>
      <w:r w:rsidRPr="000C0E58" w:rsidR="00130559">
        <w:rPr>
          <w:rFonts w:ascii="Times New Roman" w:hAnsi="Times New Roman" w:cs="Times New Roman"/>
          <w:szCs w:val="24"/>
          <w:lang w:val="en-GB"/>
        </w:rPr>
        <w:t>,</w:t>
      </w:r>
      <w:r w:rsidRPr="000C0E58" w:rsidR="009C50F2">
        <w:rPr>
          <w:rFonts w:ascii="Times New Roman" w:hAnsi="Times New Roman" w:cs="Times New Roman"/>
          <w:szCs w:val="24"/>
          <w:lang w:val="en-GB"/>
        </w:rPr>
        <w:t xml:space="preserve"> on 7 August 1999 and 20 </w:t>
      </w:r>
      <w:r w:rsidRPr="000C0E58">
        <w:rPr>
          <w:rFonts w:ascii="Times New Roman" w:hAnsi="Times New Roman" w:cs="Times New Roman"/>
          <w:szCs w:val="24"/>
          <w:lang w:val="en-GB"/>
        </w:rPr>
        <w:t>April 2009 respectively. At the time of deposit</w:t>
      </w:r>
      <w:r w:rsidRPr="000C0E58" w:rsidR="000C3597">
        <w:rPr>
          <w:rFonts w:ascii="Times New Roman" w:hAnsi="Times New Roman" w:cs="Times New Roman"/>
          <w:szCs w:val="24"/>
          <w:lang w:val="en-GB"/>
        </w:rPr>
        <w:t xml:space="preserve">ing </w:t>
      </w:r>
      <w:r w:rsidRPr="000C0E58">
        <w:rPr>
          <w:rFonts w:ascii="Times New Roman" w:hAnsi="Times New Roman" w:cs="Times New Roman"/>
          <w:szCs w:val="24"/>
          <w:lang w:val="en-GB"/>
        </w:rPr>
        <w:t xml:space="preserve">the instrument of ratification, Hungary made a declaration enumerating the provisions of the European Social Charter by which it considered itself bound. That list contained neither Article 12 nor Article 15. Subsequently, </w:t>
      </w:r>
      <w:r w:rsidRPr="000C0E58" w:rsidR="00331B94">
        <w:rPr>
          <w:rFonts w:ascii="Times New Roman" w:hAnsi="Times New Roman" w:cs="Times New Roman"/>
          <w:szCs w:val="24"/>
          <w:lang w:val="en-GB"/>
        </w:rPr>
        <w:t xml:space="preserve">in </w:t>
      </w:r>
      <w:r w:rsidRPr="000C0E58">
        <w:rPr>
          <w:rFonts w:ascii="Times New Roman" w:hAnsi="Times New Roman" w:cs="Times New Roman"/>
          <w:szCs w:val="24"/>
          <w:lang w:val="en-GB"/>
        </w:rPr>
        <w:t>2004, Hungary declared itself bound by paragraph 1 of Article 12 and by Article 15. According to the declaration deposited with the instrument of ratification of the Revised European Social Charter, Hungary continues to consider itself bound, among other provisions, by paragraph 1 of Article 12 and by Article</w:t>
      </w:r>
      <w:r w:rsidRPr="000C0E58" w:rsidR="00130559">
        <w:rPr>
          <w:rFonts w:ascii="Times New Roman" w:hAnsi="Times New Roman" w:cs="Times New Roman"/>
          <w:szCs w:val="24"/>
          <w:lang w:val="en-GB"/>
        </w:rPr>
        <w:t> </w:t>
      </w:r>
      <w:r w:rsidRPr="000C0E58">
        <w:rPr>
          <w:rFonts w:ascii="Times New Roman" w:hAnsi="Times New Roman" w:cs="Times New Roman"/>
          <w:szCs w:val="24"/>
          <w:lang w:val="en-GB"/>
        </w:rPr>
        <w:t>15.</w:t>
      </w:r>
    </w:p>
    <w:p w:rsidRPr="000C0E58" w:rsidR="00C1646D" w:rsidP="000C0E58">
      <w:pPr>
        <w:pStyle w:val="ECHRPara"/>
        <w:rPr>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37</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w:t>
      </w:r>
      <w:r w:rsidRPr="000C0E58" w:rsidR="0024783F">
        <w:rPr>
          <w:rFonts w:ascii="Times New Roman" w:hAnsi="Times New Roman" w:cs="Times New Roman"/>
          <w:szCs w:val="24"/>
          <w:lang w:val="en-GB"/>
        </w:rPr>
        <w:t>T</w:t>
      </w:r>
      <w:r w:rsidRPr="000C0E58">
        <w:rPr>
          <w:rFonts w:ascii="Times New Roman" w:hAnsi="Times New Roman" w:cs="Times New Roman"/>
          <w:szCs w:val="24"/>
          <w:lang w:val="en-GB"/>
        </w:rPr>
        <w:t>he Euro</w:t>
      </w:r>
      <w:r w:rsidRPr="000C0E58" w:rsidR="0024783F">
        <w:rPr>
          <w:rFonts w:ascii="Times New Roman" w:hAnsi="Times New Roman" w:cs="Times New Roman"/>
          <w:szCs w:val="24"/>
          <w:lang w:val="en-GB"/>
        </w:rPr>
        <w:t xml:space="preserve">pean Committee of Social Rights </w:t>
      </w:r>
      <w:r w:rsidRPr="000C0E58" w:rsidR="0024783F">
        <w:rPr>
          <w:lang w:val="en-GB"/>
        </w:rPr>
        <w:t xml:space="preserve">has “explicitly accepted alterations to social security systems in as far as such changes are necessary in order to ensure the maintenance of the social security system </w:t>
      </w:r>
      <w:r w:rsidRPr="000C0E58" w:rsidR="00E80B88">
        <w:rPr>
          <w:lang w:val="en-GB"/>
        </w:rPr>
        <w:t>...</w:t>
      </w:r>
      <w:r w:rsidRPr="000C0E58" w:rsidR="0024783F">
        <w:rPr>
          <w:lang w:val="en-GB"/>
        </w:rPr>
        <w:t xml:space="preserve"> and where any restrictions do not deprive individuals of effective protection against social and </w:t>
      </w:r>
      <w:r w:rsidRPr="000C0E58" w:rsidR="006842E4">
        <w:rPr>
          <w:lang w:val="en-GB"/>
        </w:rPr>
        <w:t>[</w:t>
      </w:r>
      <w:r w:rsidRPr="000C0E58" w:rsidR="0024783F">
        <w:rPr>
          <w:lang w:val="en-GB"/>
        </w:rPr>
        <w:t>economic</w:t>
      </w:r>
      <w:r w:rsidRPr="000C0E58" w:rsidR="006842E4">
        <w:rPr>
          <w:lang w:val="en-GB"/>
        </w:rPr>
        <w:t xml:space="preserve">] </w:t>
      </w:r>
      <w:r w:rsidRPr="000C0E58" w:rsidR="0024783F">
        <w:rPr>
          <w:lang w:val="en-GB"/>
        </w:rPr>
        <w:t xml:space="preserve">risks without a tendency to gradually reduce the social security system to one of minimum assistance” (see </w:t>
      </w:r>
      <w:r w:rsidRPr="000C0E58" w:rsidR="0024783F">
        <w:rPr>
          <w:rFonts w:ascii="Times New Roman" w:hAnsi="Times New Roman" w:cs="Times New Roman"/>
          <w:szCs w:val="24"/>
          <w:lang w:val="en-GB"/>
        </w:rPr>
        <w:t xml:space="preserve">Conclusions </w:t>
      </w:r>
      <w:r w:rsidRPr="000C0E58" w:rsidR="0024783F">
        <w:rPr>
          <w:lang w:val="en-GB"/>
        </w:rPr>
        <w:t xml:space="preserve">XIV-1, concerning Finland and Article 12 § 3 of the </w:t>
      </w:r>
      <w:r w:rsidRPr="000C0E58" w:rsidR="0024783F">
        <w:rPr>
          <w:rFonts w:ascii="Times New Roman" w:hAnsi="Times New Roman" w:cs="Times New Roman"/>
          <w:szCs w:val="24"/>
          <w:lang w:val="en-GB"/>
        </w:rPr>
        <w:t>European Social Charter</w:t>
      </w:r>
      <w:r w:rsidRPr="000C0E58" w:rsidR="006842E4">
        <w:rPr>
          <w:rFonts w:ascii="Times New Roman" w:hAnsi="Times New Roman" w:cs="Times New Roman"/>
          <w:szCs w:val="24"/>
          <w:lang w:val="en-GB"/>
        </w:rPr>
        <w:t>,</w:t>
      </w:r>
      <w:r w:rsidRPr="000C0E58" w:rsidR="0024783F">
        <w:rPr>
          <w:rFonts w:ascii="Times New Roman" w:hAnsi="Times New Roman" w:cs="Times New Roman"/>
          <w:szCs w:val="24"/>
          <w:lang w:val="en-GB"/>
        </w:rPr>
        <w:t xml:space="preserve"> </w:t>
      </w:r>
      <w:r w:rsidRPr="000C0E58" w:rsidR="0024783F">
        <w:rPr>
          <w:lang w:val="en-GB"/>
        </w:rPr>
        <w:t>p. 232, 30 March 1998).</w:t>
      </w:r>
    </w:p>
    <w:p w:rsidRPr="000C0E58" w:rsidR="00C1646D"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38</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The European Code of Social Security,</w:t>
      </w:r>
      <w:r w:rsidRPr="000C0E58" w:rsidR="00252D08">
        <w:rPr>
          <w:rFonts w:ascii="Times New Roman" w:hAnsi="Times New Roman" w:cs="Times New Roman"/>
          <w:szCs w:val="24"/>
          <w:lang w:val="en-GB"/>
        </w:rPr>
        <w:t xml:space="preserve"> which entered into force on 17 </w:t>
      </w:r>
      <w:r w:rsidRPr="000C0E58">
        <w:rPr>
          <w:rFonts w:ascii="Times New Roman" w:hAnsi="Times New Roman" w:cs="Times New Roman"/>
          <w:szCs w:val="24"/>
          <w:lang w:val="en-GB"/>
        </w:rPr>
        <w:t xml:space="preserve">March 1968 and is referred to </w:t>
      </w:r>
      <w:r w:rsidRPr="000C0E58" w:rsidR="00130559">
        <w:rPr>
          <w:rFonts w:ascii="Times New Roman" w:hAnsi="Times New Roman" w:cs="Times New Roman"/>
          <w:szCs w:val="24"/>
          <w:lang w:val="en-GB"/>
        </w:rPr>
        <w:t xml:space="preserve">in </w:t>
      </w:r>
      <w:r w:rsidRPr="000C0E58">
        <w:rPr>
          <w:rFonts w:ascii="Times New Roman" w:hAnsi="Times New Roman" w:cs="Times New Roman"/>
          <w:szCs w:val="24"/>
          <w:lang w:val="en-GB"/>
        </w:rPr>
        <w:t>paragraph 2 of Article 12 of the Revised European Social Charter, has been ratified by 21 Member States of the Council of Europe, not including Hungary. Sixteen of them accepted the obligations contained in Part IX thereof, which provides as follows:</w:t>
      </w:r>
    </w:p>
    <w:p w:rsidRPr="000C0E58" w:rsidR="00C1646D" w:rsidP="000C0E58">
      <w:pPr>
        <w:pStyle w:val="ECHRTitleCentre3"/>
        <w:rPr>
          <w:lang w:val="en-GB"/>
        </w:rPr>
      </w:pPr>
      <w:r w:rsidRPr="000C0E58">
        <w:rPr>
          <w:lang w:val="en-GB"/>
        </w:rPr>
        <w:t>Part IX – Invalidity benefit</w:t>
      </w:r>
    </w:p>
    <w:p w:rsidRPr="000C0E58" w:rsidR="00C1646D" w:rsidP="000C0E58">
      <w:pPr>
        <w:pStyle w:val="ECHRTitleCentre3"/>
        <w:rPr>
          <w:rFonts w:ascii="Times New Roman" w:hAnsi="Times New Roman" w:cs="Times New Roman"/>
          <w:lang w:val="en-GB"/>
        </w:rPr>
      </w:pPr>
      <w:r w:rsidRPr="000C0E58">
        <w:rPr>
          <w:rFonts w:ascii="Times New Roman" w:hAnsi="Times New Roman" w:cs="Times New Roman"/>
          <w:lang w:val="en-GB"/>
        </w:rPr>
        <w:t>Article 53</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“Each Contracting Party for which this part of the Code is in force shall secure to the persons protected the provision of invalidity benefit in accordance with the following articles of this part.”</w:t>
      </w:r>
    </w:p>
    <w:p w:rsidRPr="000C0E58" w:rsidR="00C1646D" w:rsidP="000C0E58">
      <w:pPr>
        <w:pStyle w:val="ECHRTitleCentre3"/>
        <w:rPr>
          <w:rFonts w:ascii="Times New Roman" w:hAnsi="Times New Roman" w:cs="Times New Roman"/>
          <w:lang w:val="en-GB"/>
        </w:rPr>
      </w:pPr>
      <w:r w:rsidRPr="000C0E58">
        <w:rPr>
          <w:rFonts w:ascii="Times New Roman" w:hAnsi="Times New Roman" w:cs="Times New Roman"/>
          <w:lang w:val="en-GB"/>
        </w:rPr>
        <w:t>Article 54</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“The contingency covered shall include inability to engage in any gainful activity, to an extent prescribed, which inability is likely to be permanent or persists after the exhaustion of sickness benefit.”</w:t>
      </w:r>
    </w:p>
    <w:p w:rsidRPr="000C0E58" w:rsidR="00C1646D" w:rsidP="000C0E58">
      <w:pPr>
        <w:pStyle w:val="ECHRTitleCentre3"/>
        <w:rPr>
          <w:rFonts w:ascii="Times New Roman" w:hAnsi="Times New Roman" w:cs="Times New Roman"/>
          <w:lang w:val="en-GB"/>
        </w:rPr>
      </w:pPr>
      <w:r w:rsidRPr="000C0E58">
        <w:rPr>
          <w:rFonts w:ascii="Times New Roman" w:hAnsi="Times New Roman" w:cs="Times New Roman"/>
          <w:lang w:val="en-GB"/>
        </w:rPr>
        <w:t>Article 55</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“The persons protected shall comprise:</w:t>
      </w:r>
    </w:p>
    <w:p w:rsidRPr="000C0E58" w:rsidR="00C1646D" w:rsidP="000C0E58">
      <w:pPr>
        <w:pStyle w:val="JuQuotSub"/>
        <w:rPr>
          <w:lang w:val="en-GB"/>
        </w:rPr>
      </w:pPr>
      <w:r w:rsidRPr="000C0E58">
        <w:rPr>
          <w:lang w:val="en-GB"/>
        </w:rPr>
        <w:t>a.</w:t>
      </w:r>
      <w:r w:rsidRPr="000C0E58">
        <w:rPr>
          <w:lang w:val="en-GB"/>
        </w:rPr>
        <w:t>  </w:t>
      </w:r>
      <w:r w:rsidRPr="000C0E58">
        <w:rPr>
          <w:lang w:val="en-GB"/>
        </w:rPr>
        <w:t>prescribed</w:t>
      </w:r>
      <w:r w:rsidRPr="000C0E58">
        <w:rPr>
          <w:lang w:val="en-GB"/>
        </w:rPr>
        <w:t xml:space="preserve"> classes of employees, constituting not less than 50 per cent of all employees; or</w:t>
      </w:r>
    </w:p>
    <w:p w:rsidRPr="000C0E58" w:rsidR="00C1646D" w:rsidP="000C0E58">
      <w:pPr>
        <w:pStyle w:val="JuQuotSub"/>
        <w:rPr>
          <w:lang w:val="en-GB"/>
        </w:rPr>
      </w:pPr>
      <w:r w:rsidRPr="000C0E58">
        <w:rPr>
          <w:lang w:val="en-GB"/>
        </w:rPr>
        <w:t>b.</w:t>
      </w:r>
      <w:r w:rsidRPr="000C0E58">
        <w:rPr>
          <w:lang w:val="en-GB"/>
        </w:rPr>
        <w:t>  </w:t>
      </w:r>
      <w:r w:rsidRPr="000C0E58">
        <w:rPr>
          <w:lang w:val="en-GB"/>
        </w:rPr>
        <w:t>prescribed</w:t>
      </w:r>
      <w:r w:rsidRPr="000C0E58">
        <w:rPr>
          <w:lang w:val="en-GB"/>
        </w:rPr>
        <w:t xml:space="preserve"> classes of the economically active population, constituting not less than 20 per cent of all residents; or</w:t>
      </w:r>
    </w:p>
    <w:p w:rsidRPr="000C0E58" w:rsidR="00C1646D" w:rsidP="000C0E58">
      <w:pPr>
        <w:pStyle w:val="JuQuotSub"/>
        <w:rPr>
          <w:lang w:val="en-GB"/>
        </w:rPr>
      </w:pPr>
      <w:r w:rsidRPr="000C0E58">
        <w:rPr>
          <w:lang w:val="en-GB"/>
        </w:rPr>
        <w:t>c.</w:t>
      </w:r>
      <w:r w:rsidRPr="000C0E58">
        <w:rPr>
          <w:lang w:val="en-GB"/>
        </w:rPr>
        <w:t>  </w:t>
      </w:r>
      <w:r w:rsidRPr="000C0E58">
        <w:rPr>
          <w:lang w:val="en-GB"/>
        </w:rPr>
        <w:t>all</w:t>
      </w:r>
      <w:r w:rsidRPr="000C0E58">
        <w:rPr>
          <w:lang w:val="en-GB"/>
        </w:rPr>
        <w:t xml:space="preserve"> residents whose means during the contingency do not exceed limits prescribed in such a way as to comply with the requirements of Article 67.”</w:t>
      </w:r>
    </w:p>
    <w:p w:rsidRPr="000C0E58" w:rsidR="00C1646D" w:rsidP="000C0E58">
      <w:pPr>
        <w:pStyle w:val="ECHRTitleCentre3"/>
        <w:rPr>
          <w:rFonts w:ascii="Times New Roman" w:hAnsi="Times New Roman" w:cs="Times New Roman"/>
          <w:lang w:val="en-GB"/>
        </w:rPr>
      </w:pPr>
      <w:r w:rsidRPr="000C0E58">
        <w:rPr>
          <w:rFonts w:ascii="Times New Roman" w:hAnsi="Times New Roman" w:cs="Times New Roman"/>
          <w:lang w:val="en-GB"/>
        </w:rPr>
        <w:t>Article 56</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“The benefit shall be a periodical payment calculated as follows:</w:t>
      </w:r>
    </w:p>
    <w:p w:rsidRPr="000C0E58" w:rsidR="00C1646D" w:rsidP="000C0E58">
      <w:pPr>
        <w:pStyle w:val="JuQuotSub"/>
        <w:rPr>
          <w:lang w:val="en-GB"/>
        </w:rPr>
      </w:pPr>
      <w:r w:rsidRPr="000C0E58">
        <w:rPr>
          <w:lang w:val="en-GB"/>
        </w:rPr>
        <w:t>a.</w:t>
      </w:r>
      <w:r w:rsidRPr="000C0E58">
        <w:rPr>
          <w:lang w:val="en-GB"/>
        </w:rPr>
        <w:t>  </w:t>
      </w:r>
      <w:r w:rsidRPr="000C0E58">
        <w:rPr>
          <w:lang w:val="en-GB"/>
        </w:rPr>
        <w:t>where</w:t>
      </w:r>
      <w:r w:rsidRPr="000C0E58">
        <w:rPr>
          <w:lang w:val="en-GB"/>
        </w:rPr>
        <w:t xml:space="preserve"> classes of employees or classes of the economically active population are protected, in such a manner as to comply either with the requirements of Article 65 or with the requirements of Article 66;</w:t>
      </w:r>
    </w:p>
    <w:p w:rsidRPr="000C0E58" w:rsidR="00C1646D" w:rsidP="000C0E58">
      <w:pPr>
        <w:pStyle w:val="JuQuotSub"/>
        <w:rPr>
          <w:lang w:val="en-GB"/>
        </w:rPr>
      </w:pPr>
      <w:r w:rsidRPr="000C0E58">
        <w:rPr>
          <w:lang w:val="en-GB"/>
        </w:rPr>
        <w:t>b.</w:t>
      </w:r>
      <w:r w:rsidRPr="000C0E58">
        <w:rPr>
          <w:lang w:val="en-GB"/>
        </w:rPr>
        <w:t>  </w:t>
      </w:r>
      <w:r w:rsidRPr="000C0E58">
        <w:rPr>
          <w:lang w:val="en-GB"/>
        </w:rPr>
        <w:t>where</w:t>
      </w:r>
      <w:r w:rsidRPr="000C0E58">
        <w:rPr>
          <w:lang w:val="en-GB"/>
        </w:rPr>
        <w:t xml:space="preserve"> all residents whose means during the contingency do not exceed prescribed limits are protected, in such a manner as to comply with the requirements of Article 67.”</w:t>
      </w:r>
    </w:p>
    <w:p w:rsidRPr="000C0E58" w:rsidR="00C1646D" w:rsidP="000C0E58">
      <w:pPr>
        <w:pStyle w:val="ECHRTitleCentre3"/>
        <w:rPr>
          <w:rFonts w:ascii="Times New Roman" w:hAnsi="Times New Roman" w:cs="Times New Roman"/>
          <w:lang w:val="en-GB"/>
        </w:rPr>
      </w:pPr>
      <w:r w:rsidRPr="000C0E58">
        <w:rPr>
          <w:rFonts w:ascii="Times New Roman" w:hAnsi="Times New Roman" w:cs="Times New Roman"/>
          <w:lang w:val="en-GB"/>
        </w:rPr>
        <w:t>Article 57</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“1.</w:t>
      </w:r>
      <w:r w:rsidRPr="000C0E58">
        <w:rPr>
          <w:rFonts w:ascii="Times New Roman" w:hAnsi="Times New Roman" w:cs="Times New Roman"/>
          <w:lang w:val="en-GB"/>
        </w:rPr>
        <w:t>  </w:t>
      </w:r>
      <w:r w:rsidRPr="000C0E58">
        <w:rPr>
          <w:rFonts w:ascii="Times New Roman" w:hAnsi="Times New Roman" w:cs="Times New Roman"/>
          <w:lang w:val="en-GB"/>
        </w:rPr>
        <w:t>The</w:t>
      </w:r>
      <w:r w:rsidRPr="000C0E58">
        <w:rPr>
          <w:rFonts w:ascii="Times New Roman" w:hAnsi="Times New Roman" w:cs="Times New Roman"/>
          <w:lang w:val="en-GB"/>
        </w:rPr>
        <w:t xml:space="preserve"> benefit specified in Article 56 shall, in a contingency covered, be secured at least:</w:t>
      </w:r>
    </w:p>
    <w:p w:rsidRPr="000C0E58" w:rsidR="00C1646D" w:rsidP="000C0E58">
      <w:pPr>
        <w:pStyle w:val="JuQuotSub"/>
        <w:rPr>
          <w:lang w:val="en-GB"/>
        </w:rPr>
      </w:pPr>
      <w:r w:rsidRPr="000C0E58">
        <w:rPr>
          <w:lang w:val="en-GB"/>
        </w:rPr>
        <w:t>a.  </w:t>
      </w:r>
      <w:r w:rsidRPr="000C0E58">
        <w:rPr>
          <w:lang w:val="en-GB"/>
        </w:rPr>
        <w:t>to a person protected who has completed, prior to the contingency, in accordance with prescribed rules, a qualifying period which may be 15 years of contribution or employment, or 10 years of residence; or</w:t>
      </w:r>
    </w:p>
    <w:p w:rsidRPr="000C0E58" w:rsidR="00C1646D" w:rsidP="000C0E58">
      <w:pPr>
        <w:pStyle w:val="JuQuotSub"/>
        <w:rPr>
          <w:lang w:val="en-GB"/>
        </w:rPr>
      </w:pPr>
      <w:r w:rsidRPr="000C0E58">
        <w:rPr>
          <w:lang w:val="en-GB"/>
        </w:rPr>
        <w:t>b.</w:t>
      </w:r>
      <w:r w:rsidRPr="000C0E58">
        <w:rPr>
          <w:lang w:val="en-GB"/>
        </w:rPr>
        <w:t>  </w:t>
      </w:r>
      <w:r w:rsidRPr="000C0E58">
        <w:rPr>
          <w:lang w:val="en-GB"/>
        </w:rPr>
        <w:t>where</w:t>
      </w:r>
      <w:r w:rsidRPr="000C0E58">
        <w:rPr>
          <w:lang w:val="en-GB"/>
        </w:rPr>
        <w:t>, in principle, all economically active persons are protected, to a person protected who has completed a qualifying period of three years of contribution and in respect of whom, while he was of working age, the prescribed yearly average number of contributions has been paid.</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2.  </w:t>
      </w:r>
      <w:r w:rsidRPr="000C0E58">
        <w:rPr>
          <w:rFonts w:ascii="Times New Roman" w:hAnsi="Times New Roman" w:cs="Times New Roman"/>
          <w:lang w:val="en-GB"/>
        </w:rPr>
        <w:t>Where the benefit referred to in paragraph 1 of this article is conditional upon a minimum period of contribution or employment, a reduced benefit shall be secured at least:</w:t>
      </w:r>
    </w:p>
    <w:p w:rsidRPr="000C0E58" w:rsidR="00C1646D" w:rsidP="000C0E58">
      <w:pPr>
        <w:pStyle w:val="JuQuotSub"/>
        <w:rPr>
          <w:lang w:val="en-GB"/>
        </w:rPr>
      </w:pPr>
      <w:r w:rsidRPr="000C0E58">
        <w:rPr>
          <w:lang w:val="en-GB"/>
        </w:rPr>
        <w:t>a.  </w:t>
      </w:r>
      <w:r w:rsidRPr="000C0E58">
        <w:rPr>
          <w:lang w:val="en-GB"/>
        </w:rPr>
        <w:t>to a person protected who has completed, prior to the contingency, in accordance with prescribed rules, a qualifying period of five years of contribution or employment; or</w:t>
      </w:r>
    </w:p>
    <w:p w:rsidRPr="000C0E58" w:rsidR="00C1646D" w:rsidP="000C0E58">
      <w:pPr>
        <w:pStyle w:val="JuQuotSub"/>
        <w:rPr>
          <w:lang w:val="en-GB"/>
        </w:rPr>
      </w:pPr>
      <w:r w:rsidRPr="000C0E58">
        <w:rPr>
          <w:lang w:val="en-GB"/>
        </w:rPr>
        <w:t>b.  </w:t>
      </w:r>
      <w:r w:rsidRPr="000C0E58">
        <w:rPr>
          <w:lang w:val="en-GB"/>
        </w:rPr>
        <w:t>where, in principle, all economically active persons are protected, to a person protected who has completed a qualifying period of three years of contribution and in respect of whom, while he was of working age, half the yearly average number of contributions prescribed in accordance with paragraph 1.b of this article has been paid.</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3.  </w:t>
      </w:r>
      <w:r w:rsidRPr="000C0E58">
        <w:rPr>
          <w:rFonts w:ascii="Times New Roman" w:hAnsi="Times New Roman" w:cs="Times New Roman"/>
          <w:lang w:val="en-GB"/>
        </w:rPr>
        <w:t>The requirements of paragraph 1 of this article shall be deemed to be satisfied where a benefit calculated in conformity with the requirements of Part XI but at a percentage of ten points lower than shown in the Schedule appended to that part for the standard beneficiary concerned is secured at least to a person protected who has completed, in accordance with prescribed rules, five years of contribution, employment or residence.</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4.</w:t>
      </w:r>
      <w:r w:rsidRPr="000C0E58">
        <w:rPr>
          <w:rFonts w:ascii="Times New Roman" w:hAnsi="Times New Roman" w:cs="Times New Roman"/>
          <w:lang w:val="en-GB"/>
        </w:rPr>
        <w:t>  </w:t>
      </w:r>
      <w:r w:rsidRPr="000C0E58">
        <w:rPr>
          <w:rFonts w:ascii="Times New Roman" w:hAnsi="Times New Roman" w:cs="Times New Roman"/>
          <w:lang w:val="en-GB"/>
        </w:rPr>
        <w:t>A</w:t>
      </w:r>
      <w:r w:rsidRPr="000C0E58">
        <w:rPr>
          <w:rFonts w:ascii="Times New Roman" w:hAnsi="Times New Roman" w:cs="Times New Roman"/>
          <w:lang w:val="en-GB"/>
        </w:rPr>
        <w:t xml:space="preserve"> proportional reduction of the percentage indicated in the Schedule appended to Part XI may be effected where the qualifying period for the pension corresponding to the reduced percentage exceeds five years of contribution or employment but is less </w:t>
      </w:r>
      <w:r w:rsidRPr="000C0E58">
        <w:rPr>
          <w:rFonts w:ascii="Times New Roman" w:hAnsi="Times New Roman" w:cs="Times New Roman"/>
          <w:lang w:val="en-GB"/>
        </w:rPr>
        <w:t>than 15 years of contribution or employment; a reduced benefit shall be payable in conformity with paragraph 2 of this article.”</w:t>
      </w:r>
    </w:p>
    <w:p w:rsidRPr="000C0E58" w:rsidR="00C1646D" w:rsidP="000C0E58">
      <w:pPr>
        <w:pStyle w:val="ECHRTitleCentre3"/>
        <w:rPr>
          <w:rFonts w:ascii="Times New Roman" w:hAnsi="Times New Roman" w:cs="Times New Roman"/>
          <w:lang w:val="en-GB"/>
        </w:rPr>
      </w:pPr>
      <w:r w:rsidRPr="000C0E58">
        <w:rPr>
          <w:rFonts w:ascii="Times New Roman" w:hAnsi="Times New Roman" w:cs="Times New Roman"/>
          <w:lang w:val="en-GB"/>
        </w:rPr>
        <w:t>Article 58</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“The benefit specified in Articles 56 and 57 shall be granted throughout the contingency or until an old-age benefit becomes payable.”</w:t>
      </w:r>
    </w:p>
    <w:p w:rsidRPr="000C0E58" w:rsidR="00E80B88"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39</w:t>
      </w:r>
      <w:r w:rsidRPr="000C0E58">
        <w:rPr>
          <w:lang w:val="en-GB"/>
        </w:rPr>
        <w:fldChar w:fldCharType="end"/>
      </w:r>
      <w:r w:rsidRPr="000C0E58">
        <w:rPr>
          <w:lang w:val="en-GB"/>
        </w:rPr>
        <w:t>.  </w:t>
      </w:r>
      <w:r w:rsidRPr="000C0E58" w:rsidR="00283340">
        <w:rPr>
          <w:lang w:val="en-GB"/>
        </w:rPr>
        <w:t>The United Nations Convention on the Right</w:t>
      </w:r>
      <w:r w:rsidRPr="000C0E58">
        <w:rPr>
          <w:lang w:val="en-GB"/>
        </w:rPr>
        <w:t>s of Persons with Disabilities (</w:t>
      </w:r>
      <w:r w:rsidRPr="000C0E58" w:rsidR="00283340">
        <w:rPr>
          <w:lang w:val="en-GB"/>
        </w:rPr>
        <w:t>promulgated in Hungary by Act no. XCII of 2007</w:t>
      </w:r>
      <w:r w:rsidRPr="000C0E58">
        <w:rPr>
          <w:lang w:val="en-GB"/>
        </w:rPr>
        <w:t xml:space="preserve">) </w:t>
      </w:r>
      <w:r w:rsidRPr="000C0E58" w:rsidR="00283340">
        <w:rPr>
          <w:lang w:val="en-GB"/>
        </w:rPr>
        <w:t>contains the following provisions:</w:t>
      </w:r>
    </w:p>
    <w:p w:rsidRPr="000C0E58" w:rsidR="00283340" w:rsidP="000C0E58">
      <w:pPr>
        <w:pStyle w:val="ECHRTitleCentre3"/>
        <w:rPr>
          <w:rFonts w:eastAsia="Times New Roman"/>
          <w:lang w:val="en-GB" w:eastAsia="en-GB"/>
        </w:rPr>
      </w:pPr>
      <w:r w:rsidRPr="000C0E58">
        <w:rPr>
          <w:rFonts w:eastAsia="Times New Roman"/>
          <w:lang w:val="en-GB" w:eastAsia="en-GB"/>
        </w:rPr>
        <w:t>Article 28</w:t>
      </w:r>
      <w:r w:rsidRPr="000C0E58" w:rsidR="00A65F01">
        <w:rPr>
          <w:rFonts w:eastAsia="Times New Roman"/>
          <w:lang w:val="en-GB" w:eastAsia="en-GB"/>
        </w:rPr>
        <w:br/>
      </w:r>
      <w:r w:rsidRPr="000C0E58">
        <w:rPr>
          <w:rFonts w:eastAsia="Times New Roman"/>
          <w:lang w:val="en-GB" w:eastAsia="en-GB"/>
        </w:rPr>
        <w:t>Adequate standard of living and social protection</w:t>
      </w:r>
    </w:p>
    <w:p w:rsidRPr="000C0E58" w:rsidR="00283340" w:rsidP="000C0E58">
      <w:pPr>
        <w:pStyle w:val="ECHRParaQuote"/>
        <w:rPr>
          <w:rFonts w:eastAsia="Times New Roman"/>
          <w:lang w:val="en-GB" w:eastAsia="en-GB"/>
        </w:rPr>
      </w:pPr>
      <w:r w:rsidRPr="000C0E58">
        <w:rPr>
          <w:rFonts w:eastAsia="Times New Roman"/>
          <w:lang w:val="en-GB" w:eastAsia="en-GB"/>
        </w:rPr>
        <w:t>“1.</w:t>
      </w:r>
      <w:r w:rsidRPr="000C0E58">
        <w:rPr>
          <w:rFonts w:eastAsia="Times New Roman"/>
          <w:lang w:val="en-GB" w:eastAsia="en-GB"/>
        </w:rPr>
        <w:t>  </w:t>
      </w:r>
      <w:r w:rsidRPr="000C0E58">
        <w:rPr>
          <w:rFonts w:eastAsia="Times New Roman"/>
          <w:lang w:val="en-GB" w:eastAsia="en-GB"/>
        </w:rPr>
        <w:t>States</w:t>
      </w:r>
      <w:r w:rsidRPr="000C0E58">
        <w:rPr>
          <w:rFonts w:eastAsia="Times New Roman"/>
          <w:lang w:val="en-GB" w:eastAsia="en-GB"/>
        </w:rPr>
        <w:t xml:space="preserve"> Parties recognize the right of persons with disabilities to an adequate standard of living for themselves and their families, including adequate food, clothing and housing, and to the continuous improvement of living conditions, and shall take appropriate steps to safeguard and promote the realization of this right without discrimination on the basis of disability.</w:t>
      </w:r>
    </w:p>
    <w:p w:rsidRPr="000C0E58" w:rsidR="00283340" w:rsidP="000C0E58">
      <w:pPr>
        <w:pStyle w:val="ECHRParaQuote"/>
        <w:rPr>
          <w:rFonts w:eastAsia="Times New Roman"/>
          <w:lang w:val="en-GB" w:eastAsia="en-GB"/>
        </w:rPr>
      </w:pPr>
      <w:r w:rsidRPr="000C0E58">
        <w:rPr>
          <w:rFonts w:eastAsia="Times New Roman"/>
          <w:lang w:val="en-GB" w:eastAsia="en-GB"/>
        </w:rPr>
        <w:t>2.  </w:t>
      </w:r>
      <w:r w:rsidRPr="000C0E58">
        <w:rPr>
          <w:rFonts w:eastAsia="Times New Roman"/>
          <w:lang w:val="en-GB" w:eastAsia="en-GB"/>
        </w:rPr>
        <w:t>States Parties recognize the right of persons with disabilities to social protection and to the enjoyment of that right without discrimination on the basis of disability, and shall take appropriate steps to safeguard and promote the realization of this right, including measures:</w:t>
      </w:r>
    </w:p>
    <w:p w:rsidRPr="000C0E58" w:rsidR="00283340" w:rsidP="000C0E58">
      <w:pPr>
        <w:pStyle w:val="ECHRParaQuote"/>
        <w:rPr>
          <w:lang w:val="en-GB"/>
        </w:rPr>
      </w:pPr>
      <w:r w:rsidRPr="000C0E58">
        <w:rPr>
          <w:lang w:val="en-GB"/>
        </w:rPr>
        <w:t>...</w:t>
      </w:r>
    </w:p>
    <w:p w:rsidRPr="000C0E58" w:rsidR="000B1DFB" w:rsidP="000C0E58">
      <w:pPr>
        <w:pStyle w:val="JuQuotSub"/>
        <w:rPr>
          <w:lang w:val="en-GB" w:bidi="en-US"/>
        </w:rPr>
      </w:pPr>
      <w:r w:rsidRPr="000C0E58">
        <w:rPr>
          <w:lang w:val="en-GB" w:bidi="en-US"/>
        </w:rPr>
        <w:t>(c)  </w:t>
      </w:r>
      <w:r w:rsidRPr="000C0E58">
        <w:rPr>
          <w:lang w:val="en-GB" w:bidi="en-US"/>
        </w:rPr>
        <w:t>To ensure access by persons with disabilities and their families living in situations of poverty to assistance from the State with disability-related expenses, including adequate training, counselling, financial assistance and respite care;</w:t>
      </w:r>
    </w:p>
    <w:p w:rsidRPr="000C0E58" w:rsidR="000B1DFB" w:rsidP="000C0E58">
      <w:pPr>
        <w:pStyle w:val="JuQuotSub"/>
        <w:rPr>
          <w:lang w:val="en-GB" w:bidi="en-US"/>
        </w:rPr>
      </w:pPr>
      <w:r w:rsidRPr="000C0E58">
        <w:rPr>
          <w:lang w:val="en-GB" w:bidi="en-US"/>
        </w:rPr>
        <w:t>...</w:t>
      </w:r>
    </w:p>
    <w:p w:rsidRPr="000C0E58" w:rsidR="00283340" w:rsidP="000C0E58">
      <w:pPr>
        <w:pStyle w:val="JuQuotSub"/>
        <w:rPr>
          <w:lang w:val="en-GB"/>
        </w:rPr>
      </w:pPr>
      <w:r w:rsidRPr="000C0E58">
        <w:rPr>
          <w:lang w:val="en-GB"/>
        </w:rPr>
        <w:t>(e)</w:t>
      </w:r>
      <w:r w:rsidRPr="000C0E58">
        <w:rPr>
          <w:lang w:val="en-GB"/>
        </w:rPr>
        <w:t>  </w:t>
      </w:r>
      <w:r w:rsidRPr="000C0E58">
        <w:rPr>
          <w:lang w:val="en-GB"/>
        </w:rPr>
        <w:t>To</w:t>
      </w:r>
      <w:r w:rsidRPr="000C0E58">
        <w:rPr>
          <w:lang w:val="en-GB"/>
        </w:rPr>
        <w:t xml:space="preserve"> ensure equal access by persons with disabilities to retirement benefits and programmes.”</w:t>
      </w:r>
    </w:p>
    <w:p w:rsidRPr="000C0E58" w:rsidR="00C1646D"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40</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w:t>
      </w:r>
      <w:r w:rsidRPr="000C0E58">
        <w:rPr>
          <w:rFonts w:ascii="Times New Roman" w:hAnsi="Times New Roman" w:cs="Times New Roman"/>
          <w:szCs w:val="24"/>
          <w:lang w:val="en-GB"/>
        </w:rPr>
        <w:t xml:space="preserve">Convention no. 102 of the International Labour Organisation (ILO) on Social Security (Minimum Standards), referred to </w:t>
      </w:r>
      <w:r w:rsidRPr="000C0E58" w:rsidR="002A78E4">
        <w:rPr>
          <w:rFonts w:ascii="Times New Roman" w:hAnsi="Times New Roman" w:cs="Times New Roman"/>
          <w:szCs w:val="24"/>
          <w:lang w:val="en-GB"/>
        </w:rPr>
        <w:t xml:space="preserve">in </w:t>
      </w:r>
      <w:r w:rsidRPr="000C0E58">
        <w:rPr>
          <w:rFonts w:ascii="Times New Roman" w:hAnsi="Times New Roman" w:cs="Times New Roman"/>
          <w:szCs w:val="24"/>
          <w:lang w:val="en-GB"/>
        </w:rPr>
        <w:t xml:space="preserve">paragraph 2 of Article 12 of the European Social Charter, </w:t>
      </w:r>
      <w:r w:rsidRPr="000C0E58" w:rsidR="009C50F2">
        <w:rPr>
          <w:rFonts w:ascii="Times New Roman" w:hAnsi="Times New Roman" w:cs="Times New Roman"/>
          <w:szCs w:val="24"/>
          <w:lang w:val="en-GB"/>
        </w:rPr>
        <w:t>entered into force on 27 </w:t>
      </w:r>
      <w:r w:rsidRPr="000C0E58" w:rsidR="007A71B9">
        <w:rPr>
          <w:rFonts w:ascii="Times New Roman" w:hAnsi="Times New Roman" w:cs="Times New Roman"/>
          <w:szCs w:val="24"/>
          <w:lang w:val="en-GB"/>
        </w:rPr>
        <w:t>April 1955</w:t>
      </w:r>
      <w:r w:rsidRPr="000C0E58">
        <w:rPr>
          <w:rFonts w:ascii="Times New Roman" w:hAnsi="Times New Roman" w:cs="Times New Roman"/>
          <w:szCs w:val="24"/>
          <w:lang w:val="en-GB"/>
        </w:rPr>
        <w:t xml:space="preserve"> and has </w:t>
      </w:r>
      <w:r w:rsidRPr="000C0E58" w:rsidR="00547EA6">
        <w:rPr>
          <w:rFonts w:ascii="Times New Roman" w:hAnsi="Times New Roman" w:cs="Times New Roman"/>
          <w:szCs w:val="24"/>
          <w:lang w:val="en-GB"/>
        </w:rPr>
        <w:t xml:space="preserve">so far </w:t>
      </w:r>
      <w:r w:rsidRPr="000C0E58">
        <w:rPr>
          <w:rFonts w:ascii="Times New Roman" w:hAnsi="Times New Roman" w:cs="Times New Roman"/>
          <w:szCs w:val="24"/>
          <w:lang w:val="en-GB"/>
        </w:rPr>
        <w:t xml:space="preserve">been ratified by </w:t>
      </w:r>
      <w:r w:rsidRPr="000C0E58" w:rsidR="00547EA6">
        <w:rPr>
          <w:rFonts w:ascii="Times New Roman" w:hAnsi="Times New Roman" w:cs="Times New Roman"/>
          <w:szCs w:val="24"/>
          <w:lang w:val="en-GB"/>
        </w:rPr>
        <w:t>fifty-four</w:t>
      </w:r>
      <w:r w:rsidRPr="000C0E58">
        <w:rPr>
          <w:rFonts w:ascii="Times New Roman" w:hAnsi="Times New Roman" w:cs="Times New Roman"/>
          <w:szCs w:val="24"/>
          <w:lang w:val="en-GB"/>
        </w:rPr>
        <w:t xml:space="preserve"> countries</w:t>
      </w:r>
      <w:r w:rsidRPr="000C0E58" w:rsidR="004445BC">
        <w:rPr>
          <w:rFonts w:ascii="Times New Roman" w:hAnsi="Times New Roman" w:cs="Times New Roman"/>
          <w:szCs w:val="24"/>
          <w:lang w:val="en-GB"/>
        </w:rPr>
        <w:t xml:space="preserve">, </w:t>
      </w:r>
      <w:r w:rsidRPr="000C0E58" w:rsidR="00547EA6">
        <w:rPr>
          <w:rFonts w:ascii="Times New Roman" w:hAnsi="Times New Roman" w:cs="Times New Roman"/>
          <w:szCs w:val="24"/>
          <w:lang w:val="en-GB"/>
        </w:rPr>
        <w:t xml:space="preserve">not </w:t>
      </w:r>
      <w:r w:rsidRPr="000C0E58" w:rsidR="004445BC">
        <w:rPr>
          <w:rFonts w:ascii="Times New Roman" w:hAnsi="Times New Roman" w:cs="Times New Roman"/>
          <w:szCs w:val="24"/>
          <w:lang w:val="en-GB"/>
        </w:rPr>
        <w:t>including Hungary</w:t>
      </w:r>
      <w:r w:rsidRPr="000C0E58">
        <w:rPr>
          <w:rFonts w:ascii="Times New Roman" w:hAnsi="Times New Roman" w:cs="Times New Roman"/>
          <w:szCs w:val="24"/>
          <w:lang w:val="en-GB"/>
        </w:rPr>
        <w:t xml:space="preserve">. </w:t>
      </w:r>
      <w:r w:rsidRPr="000C0E58" w:rsidR="00547EA6">
        <w:rPr>
          <w:rFonts w:ascii="Times New Roman" w:hAnsi="Times New Roman" w:cs="Times New Roman"/>
          <w:szCs w:val="24"/>
          <w:lang w:val="en-GB"/>
        </w:rPr>
        <w:t>Fifteen</w:t>
      </w:r>
      <w:r w:rsidRPr="000C0E58" w:rsidR="00E52502">
        <w:rPr>
          <w:rFonts w:ascii="Times New Roman" w:hAnsi="Times New Roman" w:cs="Times New Roman"/>
          <w:szCs w:val="24"/>
          <w:lang w:val="en-GB"/>
        </w:rPr>
        <w:t xml:space="preserve"> </w:t>
      </w:r>
      <w:r w:rsidRPr="000C0E58" w:rsidR="006C415D">
        <w:rPr>
          <w:rFonts w:ascii="Times New Roman" w:hAnsi="Times New Roman" w:cs="Times New Roman"/>
          <w:szCs w:val="24"/>
          <w:lang w:val="en-GB"/>
        </w:rPr>
        <w:t>m</w:t>
      </w:r>
      <w:r w:rsidRPr="000C0E58">
        <w:rPr>
          <w:rFonts w:ascii="Times New Roman" w:hAnsi="Times New Roman" w:cs="Times New Roman"/>
          <w:szCs w:val="24"/>
          <w:lang w:val="en-GB"/>
        </w:rPr>
        <w:t>ember States of the Council of Europe</w:t>
      </w:r>
      <w:r w:rsidRPr="000C0E58" w:rsidR="00547EA6">
        <w:rPr>
          <w:rFonts w:ascii="Times New Roman" w:hAnsi="Times New Roman" w:cs="Times New Roman"/>
          <w:szCs w:val="24"/>
          <w:lang w:val="en-GB"/>
        </w:rPr>
        <w:t xml:space="preserve"> </w:t>
      </w:r>
      <w:r w:rsidRPr="000C0E58" w:rsidR="002A78E4">
        <w:rPr>
          <w:rFonts w:ascii="Times New Roman" w:hAnsi="Times New Roman" w:cs="Times New Roman"/>
          <w:szCs w:val="24"/>
          <w:lang w:val="en-GB"/>
        </w:rPr>
        <w:t xml:space="preserve">have </w:t>
      </w:r>
      <w:r w:rsidRPr="000C0E58">
        <w:rPr>
          <w:rFonts w:ascii="Times New Roman" w:hAnsi="Times New Roman" w:cs="Times New Roman"/>
          <w:szCs w:val="24"/>
          <w:lang w:val="en-GB"/>
        </w:rPr>
        <w:t>ratified Part</w:t>
      </w:r>
      <w:r w:rsidRPr="000C0E58" w:rsidR="007A71B9">
        <w:rPr>
          <w:rFonts w:ascii="Times New Roman" w:hAnsi="Times New Roman" w:cs="Times New Roman"/>
          <w:szCs w:val="24"/>
          <w:lang w:val="en-GB"/>
        </w:rPr>
        <w:t> </w:t>
      </w:r>
      <w:r w:rsidRPr="000C0E58">
        <w:rPr>
          <w:rFonts w:ascii="Times New Roman" w:hAnsi="Times New Roman" w:cs="Times New Roman"/>
          <w:szCs w:val="24"/>
          <w:lang w:val="en-GB"/>
        </w:rPr>
        <w:t>IX of this instrument, which reads as follows:</w:t>
      </w:r>
    </w:p>
    <w:p w:rsidRPr="000C0E58" w:rsidR="00C1646D" w:rsidP="000C0E58">
      <w:pPr>
        <w:pStyle w:val="ECHRTitleCentre3"/>
        <w:rPr>
          <w:lang w:val="en-GB"/>
        </w:rPr>
      </w:pPr>
      <w:r w:rsidRPr="000C0E58">
        <w:rPr>
          <w:lang w:val="en-GB"/>
        </w:rPr>
        <w:t>Part IX – Invalidity benefit</w:t>
      </w:r>
    </w:p>
    <w:p w:rsidRPr="000C0E58" w:rsidR="00C1646D" w:rsidP="000C0E58">
      <w:pPr>
        <w:pStyle w:val="ECHRTitleCentre3"/>
        <w:rPr>
          <w:lang w:val="en-GB"/>
        </w:rPr>
      </w:pPr>
      <w:r w:rsidRPr="000C0E58">
        <w:rPr>
          <w:lang w:val="en-GB"/>
        </w:rPr>
        <w:t>Article 53</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“Each Member for which this Part of this Convention is in force shall secure to the persons protected the provision of invalidity benefit in accordance with the following Articles of this Part.”</w:t>
      </w:r>
    </w:p>
    <w:p w:rsidRPr="000C0E58" w:rsidR="00C1646D" w:rsidP="000C0E58">
      <w:pPr>
        <w:pStyle w:val="ECHRTitleCentre3"/>
        <w:rPr>
          <w:lang w:val="en-GB"/>
        </w:rPr>
      </w:pPr>
      <w:r w:rsidRPr="000C0E58">
        <w:rPr>
          <w:lang w:val="en-GB"/>
        </w:rPr>
        <w:t>Article 54</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“The contingency covered shall include inability to engage in any gainful activity, to an extent prescribed, which inability is likely to be permanent or persists after the exhaustion of sickness benefit.”</w:t>
      </w:r>
    </w:p>
    <w:p w:rsidRPr="000C0E58" w:rsidR="00C1646D" w:rsidP="000C0E58">
      <w:pPr>
        <w:pStyle w:val="ECHRTitleCentre3"/>
        <w:rPr>
          <w:lang w:val="en-GB"/>
        </w:rPr>
      </w:pPr>
      <w:r w:rsidRPr="000C0E58">
        <w:rPr>
          <w:lang w:val="en-GB"/>
        </w:rPr>
        <w:t>Article 55</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“The persons protected shall comprise--</w:t>
      </w:r>
    </w:p>
    <w:p w:rsidRPr="000C0E58" w:rsidR="00C1646D" w:rsidP="000C0E58">
      <w:pPr>
        <w:pStyle w:val="JuQuotSub"/>
        <w:rPr>
          <w:lang w:val="en-GB"/>
        </w:rPr>
      </w:pPr>
      <w:r w:rsidRPr="000C0E58">
        <w:rPr>
          <w:lang w:val="en-GB"/>
        </w:rPr>
        <w:t>(a)  </w:t>
      </w:r>
      <w:r w:rsidRPr="000C0E58">
        <w:rPr>
          <w:lang w:val="en-GB"/>
        </w:rPr>
        <w:t>prescribed</w:t>
      </w:r>
      <w:r w:rsidRPr="000C0E58">
        <w:rPr>
          <w:lang w:val="en-GB"/>
        </w:rPr>
        <w:t xml:space="preserve"> classes of employees, constituting not less than 50 per cent of all employees; or</w:t>
      </w:r>
    </w:p>
    <w:p w:rsidRPr="000C0E58" w:rsidR="00C1646D" w:rsidP="000C0E58">
      <w:pPr>
        <w:pStyle w:val="JuQuotSub"/>
        <w:rPr>
          <w:lang w:val="en-GB"/>
        </w:rPr>
      </w:pPr>
      <w:r w:rsidRPr="000C0E58">
        <w:rPr>
          <w:lang w:val="en-GB"/>
        </w:rPr>
        <w:t>(b)  </w:t>
      </w:r>
      <w:r w:rsidRPr="000C0E58">
        <w:rPr>
          <w:lang w:val="en-GB"/>
        </w:rPr>
        <w:t>prescribed</w:t>
      </w:r>
      <w:r w:rsidRPr="000C0E58">
        <w:rPr>
          <w:lang w:val="en-GB"/>
        </w:rPr>
        <w:t xml:space="preserve"> classes of the economically active population, constituting not less than 20 per cent of all residents; or</w:t>
      </w:r>
    </w:p>
    <w:p w:rsidRPr="000C0E58" w:rsidR="00C1646D" w:rsidP="000C0E58">
      <w:pPr>
        <w:pStyle w:val="JuQuotSub"/>
        <w:rPr>
          <w:lang w:val="en-GB"/>
        </w:rPr>
      </w:pPr>
      <w:r w:rsidRPr="000C0E58">
        <w:rPr>
          <w:lang w:val="en-GB"/>
        </w:rPr>
        <w:t>(c)  </w:t>
      </w:r>
      <w:r w:rsidRPr="000C0E58">
        <w:rPr>
          <w:lang w:val="en-GB"/>
        </w:rPr>
        <w:t>all</w:t>
      </w:r>
      <w:r w:rsidRPr="000C0E58">
        <w:rPr>
          <w:lang w:val="en-GB"/>
        </w:rPr>
        <w:t xml:space="preserve"> residents whose means during the contingency do not exceed limits prescribed in such a manner as to comply with the requirements of Article 67; or</w:t>
      </w:r>
    </w:p>
    <w:p w:rsidRPr="000C0E58" w:rsidR="00C1646D" w:rsidP="000C0E58">
      <w:pPr>
        <w:pStyle w:val="JuQuotSub"/>
        <w:rPr>
          <w:lang w:val="en-GB"/>
        </w:rPr>
      </w:pPr>
      <w:r w:rsidRPr="000C0E58">
        <w:rPr>
          <w:lang w:val="en-GB"/>
        </w:rPr>
        <w:t>(d)</w:t>
      </w:r>
      <w:r w:rsidRPr="000C0E58">
        <w:rPr>
          <w:lang w:val="en-GB"/>
        </w:rPr>
        <w:t>  </w:t>
      </w:r>
      <w:r w:rsidRPr="000C0E58">
        <w:rPr>
          <w:lang w:val="en-GB"/>
        </w:rPr>
        <w:t>where</w:t>
      </w:r>
      <w:r w:rsidRPr="000C0E58">
        <w:rPr>
          <w:lang w:val="en-GB"/>
        </w:rPr>
        <w:t xml:space="preserve"> a declaration made in virtue of Article 3 is in force, prescribed classes of employees, constituting not less than 50 per cent of all employees in industrial workplaces employing 20 persons or more.”</w:t>
      </w:r>
    </w:p>
    <w:p w:rsidRPr="000C0E58" w:rsidR="00C1646D" w:rsidP="000C0E58">
      <w:pPr>
        <w:pStyle w:val="ECHRTitleCentre3"/>
        <w:rPr>
          <w:lang w:val="en-GB"/>
        </w:rPr>
      </w:pPr>
      <w:r w:rsidRPr="000C0E58">
        <w:rPr>
          <w:lang w:val="en-GB"/>
        </w:rPr>
        <w:t>Article 56</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“The benefit shall be a periodical payment calculated as follows:</w:t>
      </w:r>
    </w:p>
    <w:p w:rsidRPr="000C0E58" w:rsidR="00C1646D" w:rsidP="000C0E58">
      <w:pPr>
        <w:pStyle w:val="JuQuotSub"/>
        <w:rPr>
          <w:lang w:val="en-GB"/>
        </w:rPr>
      </w:pPr>
      <w:r w:rsidRPr="000C0E58">
        <w:rPr>
          <w:lang w:val="en-GB"/>
        </w:rPr>
        <w:t>(a)  </w:t>
      </w:r>
      <w:r w:rsidRPr="000C0E58">
        <w:rPr>
          <w:lang w:val="en-GB"/>
        </w:rPr>
        <w:t>where</w:t>
      </w:r>
      <w:r w:rsidRPr="000C0E58">
        <w:rPr>
          <w:lang w:val="en-GB"/>
        </w:rPr>
        <w:t xml:space="preserve"> classes of employees or classes of the economically active population are protected, in such a manner as to comply either with the requirements of Article 65 or with the requirements of Article 66;</w:t>
      </w:r>
    </w:p>
    <w:p w:rsidRPr="000C0E58" w:rsidR="00C1646D" w:rsidP="000C0E58">
      <w:pPr>
        <w:pStyle w:val="JuQuotSub"/>
        <w:rPr>
          <w:lang w:val="en-GB"/>
        </w:rPr>
      </w:pPr>
      <w:r w:rsidRPr="000C0E58">
        <w:rPr>
          <w:lang w:val="en-GB"/>
        </w:rPr>
        <w:t>(b)</w:t>
      </w:r>
      <w:r w:rsidRPr="000C0E58">
        <w:rPr>
          <w:lang w:val="en-GB"/>
        </w:rPr>
        <w:t>  </w:t>
      </w:r>
      <w:r w:rsidRPr="000C0E58">
        <w:rPr>
          <w:lang w:val="en-GB"/>
        </w:rPr>
        <w:t>where</w:t>
      </w:r>
      <w:r w:rsidRPr="000C0E58">
        <w:rPr>
          <w:lang w:val="en-GB"/>
        </w:rPr>
        <w:t xml:space="preserve"> all residents whose means during the contingency do not exceed prescribed limits are protected, in such a manner as to comply with the requirements of Article 67.”</w:t>
      </w:r>
    </w:p>
    <w:p w:rsidRPr="000C0E58" w:rsidR="00C1646D" w:rsidP="000C0E58">
      <w:pPr>
        <w:pStyle w:val="ECHRTitleCentre3"/>
        <w:rPr>
          <w:lang w:val="en-GB"/>
        </w:rPr>
      </w:pPr>
      <w:r w:rsidRPr="000C0E58">
        <w:rPr>
          <w:lang w:val="en-GB"/>
        </w:rPr>
        <w:t>Article 57</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“1.</w:t>
      </w:r>
      <w:r w:rsidRPr="000C0E58">
        <w:rPr>
          <w:rFonts w:ascii="Times New Roman" w:hAnsi="Times New Roman" w:cs="Times New Roman"/>
          <w:lang w:val="en-GB"/>
        </w:rPr>
        <w:t>  </w:t>
      </w:r>
      <w:r w:rsidRPr="000C0E58">
        <w:rPr>
          <w:rFonts w:ascii="Times New Roman" w:hAnsi="Times New Roman" w:cs="Times New Roman"/>
          <w:lang w:val="en-GB"/>
        </w:rPr>
        <w:t>The</w:t>
      </w:r>
      <w:r w:rsidRPr="000C0E58">
        <w:rPr>
          <w:rFonts w:ascii="Times New Roman" w:hAnsi="Times New Roman" w:cs="Times New Roman"/>
          <w:lang w:val="en-GB"/>
        </w:rPr>
        <w:t xml:space="preserve"> benefit specified in Article 56 shall, in a contingency covered, be secured at least--</w:t>
      </w:r>
    </w:p>
    <w:p w:rsidRPr="000C0E58" w:rsidR="00C1646D" w:rsidP="000C0E58">
      <w:pPr>
        <w:pStyle w:val="JuQuotSub"/>
        <w:rPr>
          <w:lang w:val="en-GB"/>
        </w:rPr>
      </w:pPr>
      <w:r w:rsidRPr="000C0E58">
        <w:rPr>
          <w:lang w:val="en-GB"/>
        </w:rPr>
        <w:t>(a)  </w:t>
      </w:r>
      <w:r w:rsidRPr="000C0E58">
        <w:rPr>
          <w:lang w:val="en-GB"/>
        </w:rPr>
        <w:t>to a person protected who has completed, prior to the contingency, in accordance with prescribed rules, a qualifying period which may be 15 years of contribution or employment, or 10 years of residence; or</w:t>
      </w:r>
    </w:p>
    <w:p w:rsidRPr="000C0E58" w:rsidR="00C1646D" w:rsidP="000C0E58">
      <w:pPr>
        <w:pStyle w:val="JuQuotSub"/>
        <w:rPr>
          <w:lang w:val="en-GB"/>
        </w:rPr>
      </w:pPr>
      <w:r w:rsidRPr="000C0E58">
        <w:rPr>
          <w:lang w:val="en-GB"/>
        </w:rPr>
        <w:t>(b)  </w:t>
      </w:r>
      <w:r w:rsidRPr="000C0E58">
        <w:rPr>
          <w:lang w:val="en-GB"/>
        </w:rPr>
        <w:t>where, in principle, all economically active persons are protected, to a person protected who has completed a qualifying period of three years of contribution and in respect of whom, while he was of working age, the prescribed yearly average number of contributions has been paid.</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2.  </w:t>
      </w:r>
      <w:r w:rsidRPr="000C0E58">
        <w:rPr>
          <w:rFonts w:ascii="Times New Roman" w:hAnsi="Times New Roman" w:cs="Times New Roman"/>
          <w:lang w:val="en-GB"/>
        </w:rPr>
        <w:t>Where the benefit referred to in paragraph 1 is conditional upon a minimum period of contribution or employment, a reduced benefit shall be secured at least--</w:t>
      </w:r>
    </w:p>
    <w:p w:rsidRPr="000C0E58" w:rsidR="00C1646D" w:rsidP="000C0E58">
      <w:pPr>
        <w:pStyle w:val="JuQuotSub"/>
        <w:rPr>
          <w:lang w:val="en-GB"/>
        </w:rPr>
      </w:pPr>
      <w:r w:rsidRPr="000C0E58">
        <w:rPr>
          <w:lang w:val="en-GB"/>
        </w:rPr>
        <w:t>(a)  </w:t>
      </w:r>
      <w:r w:rsidRPr="000C0E58">
        <w:rPr>
          <w:lang w:val="en-GB"/>
        </w:rPr>
        <w:t>to a person protected who has completed, prior to the contingency, in accordance with prescribed rules, a qualifying period of five years of contribution or employment; or</w:t>
      </w:r>
    </w:p>
    <w:p w:rsidRPr="000C0E58" w:rsidR="00C1646D" w:rsidP="000C0E58">
      <w:pPr>
        <w:pStyle w:val="JuQuotSub"/>
        <w:rPr>
          <w:lang w:val="en-GB"/>
        </w:rPr>
      </w:pPr>
      <w:r w:rsidRPr="000C0E58">
        <w:rPr>
          <w:lang w:val="en-GB"/>
        </w:rPr>
        <w:t>(b)  </w:t>
      </w:r>
      <w:r w:rsidRPr="000C0E58">
        <w:rPr>
          <w:lang w:val="en-GB"/>
        </w:rPr>
        <w:t xml:space="preserve">where, in principle, all economically active persons are protected, to a person protected who has completed a qualifying period of three years of contribution and in respect of whom, while he was of working age, half the yearly average number of </w:t>
      </w:r>
      <w:r w:rsidRPr="000C0E58">
        <w:rPr>
          <w:lang w:val="en-GB"/>
        </w:rPr>
        <w:t>contributions prescribed in accordance with subparagraph (b) of paragraph 1 of this Article has been paid.</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3.  </w:t>
      </w:r>
      <w:r w:rsidRPr="000C0E58">
        <w:rPr>
          <w:rFonts w:ascii="Times New Roman" w:hAnsi="Times New Roman" w:cs="Times New Roman"/>
          <w:lang w:val="en-GB"/>
        </w:rPr>
        <w:t>The requirements of paragraph 1 of this Article shall be deemed to be satisfied where a benefit calculated in conformity with the requirements of Part XI but at a percentage of ten points lower than shown in the Schedule appended to that Part for the standard beneficiary concerned is secured at least to a person protected who has completed, in accordance with prescribed rules, five years of contribution, employment or residence.</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4</w:t>
      </w:r>
      <w:r w:rsidRPr="000C0E58" w:rsidR="00DC4EE4">
        <w:rPr>
          <w:rFonts w:ascii="Times New Roman" w:hAnsi="Times New Roman" w:cs="Times New Roman"/>
          <w:lang w:val="en-GB"/>
        </w:rPr>
        <w:t>.</w:t>
      </w:r>
      <w:r w:rsidRPr="000C0E58" w:rsidR="00DC4EE4">
        <w:rPr>
          <w:rFonts w:ascii="Times New Roman" w:hAnsi="Times New Roman" w:cs="Times New Roman"/>
          <w:lang w:val="en-GB"/>
        </w:rPr>
        <w:t>  </w:t>
      </w:r>
      <w:r w:rsidRPr="000C0E58">
        <w:rPr>
          <w:rFonts w:ascii="Times New Roman" w:hAnsi="Times New Roman" w:cs="Times New Roman"/>
          <w:lang w:val="en-GB"/>
        </w:rPr>
        <w:t>A</w:t>
      </w:r>
      <w:r w:rsidRPr="000C0E58">
        <w:rPr>
          <w:rFonts w:ascii="Times New Roman" w:hAnsi="Times New Roman" w:cs="Times New Roman"/>
          <w:lang w:val="en-GB"/>
        </w:rPr>
        <w:t xml:space="preserve"> proportional reduction of the percentage indicated in the Schedule appended to Part XI may be effected where the qualifying period for the pension corresponding to the reduced percentage exceeds five years of contribution or employment but is less than 15 years of contribution or employment; a reduced pension shall be payable in conformity with paragraph 2 of this Article.”</w:t>
      </w:r>
    </w:p>
    <w:p w:rsidRPr="000C0E58" w:rsidR="00C1646D" w:rsidP="000C0E58">
      <w:pPr>
        <w:pStyle w:val="ECHRTitleCentre3"/>
        <w:rPr>
          <w:lang w:val="en-GB"/>
        </w:rPr>
      </w:pPr>
      <w:r w:rsidRPr="000C0E58">
        <w:rPr>
          <w:lang w:val="en-GB"/>
        </w:rPr>
        <w:t>Article 58</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“The benefit specified in Articles 56 and 57 shall be granted throughout the contingency or until an old-age benefit becomes payable.”</w:t>
      </w:r>
    </w:p>
    <w:p w:rsidRPr="000C0E58" w:rsidR="00C1646D"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41</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w:t>
      </w:r>
      <w:r w:rsidRPr="000C0E58">
        <w:rPr>
          <w:rFonts w:ascii="Times New Roman" w:hAnsi="Times New Roman" w:cs="Times New Roman"/>
          <w:szCs w:val="24"/>
          <w:lang w:val="en-GB"/>
        </w:rPr>
        <w:t>Convention no. 128 of the ILO on Invalidity, Old-Age and Survivors</w:t>
      </w:r>
      <w:r w:rsidRPr="000C0E58" w:rsidR="000C0E58">
        <w:rPr>
          <w:rFonts w:ascii="Times New Roman" w:hAnsi="Times New Roman" w:cs="Times New Roman"/>
          <w:szCs w:val="24"/>
          <w:lang w:val="en-GB"/>
        </w:rPr>
        <w:t>’</w:t>
      </w:r>
      <w:r w:rsidRPr="000C0E58">
        <w:rPr>
          <w:rFonts w:ascii="Times New Roman" w:hAnsi="Times New Roman" w:cs="Times New Roman"/>
          <w:szCs w:val="24"/>
          <w:lang w:val="en-GB"/>
        </w:rPr>
        <w:t xml:space="preserve"> Benefits </w:t>
      </w:r>
      <w:r w:rsidRPr="000C0E58" w:rsidR="00547EA6">
        <w:rPr>
          <w:rFonts w:ascii="Times New Roman" w:hAnsi="Times New Roman" w:cs="Times New Roman"/>
          <w:szCs w:val="24"/>
          <w:lang w:val="en-GB"/>
        </w:rPr>
        <w:t xml:space="preserve">entered into force on 1 November 1969 and </w:t>
      </w:r>
      <w:r w:rsidRPr="000C0E58" w:rsidR="002A78E4">
        <w:rPr>
          <w:rFonts w:ascii="Times New Roman" w:hAnsi="Times New Roman" w:cs="Times New Roman"/>
          <w:szCs w:val="24"/>
          <w:lang w:val="en-GB"/>
        </w:rPr>
        <w:t xml:space="preserve">has </w:t>
      </w:r>
      <w:r w:rsidRPr="000C0E58" w:rsidR="00547EA6">
        <w:rPr>
          <w:rFonts w:ascii="Times New Roman" w:hAnsi="Times New Roman" w:cs="Times New Roman"/>
          <w:szCs w:val="24"/>
          <w:lang w:val="en-GB"/>
        </w:rPr>
        <w:t xml:space="preserve">so far </w:t>
      </w:r>
      <w:r w:rsidRPr="000C0E58" w:rsidR="002A78E4">
        <w:rPr>
          <w:rFonts w:ascii="Times New Roman" w:hAnsi="Times New Roman" w:cs="Times New Roman"/>
          <w:szCs w:val="24"/>
          <w:lang w:val="en-GB"/>
        </w:rPr>
        <w:t xml:space="preserve">been </w:t>
      </w:r>
      <w:r w:rsidRPr="000C0E58">
        <w:rPr>
          <w:rFonts w:ascii="Times New Roman" w:hAnsi="Times New Roman" w:cs="Times New Roman"/>
          <w:szCs w:val="24"/>
          <w:lang w:val="en-GB"/>
        </w:rPr>
        <w:t xml:space="preserve">ratified by </w:t>
      </w:r>
      <w:r w:rsidRPr="000C0E58" w:rsidR="00547EA6">
        <w:rPr>
          <w:rFonts w:ascii="Times New Roman" w:hAnsi="Times New Roman" w:cs="Times New Roman"/>
          <w:szCs w:val="24"/>
          <w:lang w:val="en-GB"/>
        </w:rPr>
        <w:t>sixteen</w:t>
      </w:r>
      <w:r w:rsidRPr="000C0E58">
        <w:rPr>
          <w:rFonts w:ascii="Times New Roman" w:hAnsi="Times New Roman" w:cs="Times New Roman"/>
          <w:szCs w:val="24"/>
          <w:lang w:val="en-GB"/>
        </w:rPr>
        <w:t xml:space="preserve"> countries</w:t>
      </w:r>
      <w:r w:rsidRPr="000C0E58" w:rsidR="007A71B9">
        <w:rPr>
          <w:rFonts w:ascii="Times New Roman" w:hAnsi="Times New Roman" w:cs="Times New Roman"/>
          <w:szCs w:val="24"/>
          <w:lang w:val="en-GB"/>
        </w:rPr>
        <w:t xml:space="preserve">, </w:t>
      </w:r>
      <w:r w:rsidRPr="000C0E58">
        <w:rPr>
          <w:rFonts w:ascii="Times New Roman" w:hAnsi="Times New Roman" w:cs="Times New Roman"/>
          <w:szCs w:val="24"/>
          <w:lang w:val="en-GB"/>
        </w:rPr>
        <w:t xml:space="preserve">not including Hungary, of which </w:t>
      </w:r>
      <w:r w:rsidRPr="000C0E58" w:rsidR="00547EA6">
        <w:rPr>
          <w:rFonts w:ascii="Times New Roman" w:hAnsi="Times New Roman" w:cs="Times New Roman"/>
          <w:szCs w:val="24"/>
          <w:lang w:val="en-GB"/>
        </w:rPr>
        <w:t>ten</w:t>
      </w:r>
      <w:r w:rsidRPr="000C0E58">
        <w:rPr>
          <w:rFonts w:ascii="Times New Roman" w:hAnsi="Times New Roman" w:cs="Times New Roman"/>
          <w:szCs w:val="24"/>
          <w:lang w:val="en-GB"/>
        </w:rPr>
        <w:t xml:space="preserve"> are </w:t>
      </w:r>
      <w:r w:rsidRPr="000C0E58" w:rsidR="00547EA6">
        <w:rPr>
          <w:rFonts w:ascii="Times New Roman" w:hAnsi="Times New Roman" w:cs="Times New Roman"/>
          <w:szCs w:val="24"/>
          <w:lang w:val="en-GB"/>
        </w:rPr>
        <w:t>member States of the Council of Europe</w:t>
      </w:r>
      <w:r w:rsidRPr="000C0E58">
        <w:rPr>
          <w:rFonts w:ascii="Times New Roman" w:hAnsi="Times New Roman" w:cs="Times New Roman"/>
          <w:szCs w:val="24"/>
          <w:lang w:val="en-GB"/>
        </w:rPr>
        <w:t xml:space="preserve">. </w:t>
      </w:r>
      <w:r w:rsidRPr="000C0E58" w:rsidR="00547EA6">
        <w:rPr>
          <w:rFonts w:ascii="Times New Roman" w:hAnsi="Times New Roman" w:cs="Times New Roman"/>
          <w:szCs w:val="24"/>
          <w:lang w:val="en-GB"/>
        </w:rPr>
        <w:t>Of the latter, six</w:t>
      </w:r>
      <w:r w:rsidRPr="000C0E58">
        <w:rPr>
          <w:rFonts w:ascii="Times New Roman" w:hAnsi="Times New Roman" w:cs="Times New Roman"/>
          <w:szCs w:val="24"/>
          <w:lang w:val="en-GB"/>
        </w:rPr>
        <w:t xml:space="preserve"> </w:t>
      </w:r>
      <w:r w:rsidRPr="000C0E58" w:rsidR="002A78E4">
        <w:rPr>
          <w:rFonts w:ascii="Times New Roman" w:hAnsi="Times New Roman" w:cs="Times New Roman"/>
          <w:szCs w:val="24"/>
          <w:lang w:val="en-GB"/>
        </w:rPr>
        <w:t xml:space="preserve">have </w:t>
      </w:r>
      <w:r w:rsidRPr="000C0E58">
        <w:rPr>
          <w:rFonts w:ascii="Times New Roman" w:hAnsi="Times New Roman" w:cs="Times New Roman"/>
          <w:szCs w:val="24"/>
          <w:lang w:val="en-GB"/>
        </w:rPr>
        <w:t>accepted the obligations contained in Part II of the Convention, which provides as follows:</w:t>
      </w:r>
    </w:p>
    <w:p w:rsidRPr="000C0E58" w:rsidR="00C1646D" w:rsidP="000C0E58">
      <w:pPr>
        <w:pStyle w:val="ECHRTitleCentre3"/>
        <w:rPr>
          <w:lang w:val="en-GB"/>
        </w:rPr>
      </w:pPr>
      <w:r w:rsidRPr="000C0E58">
        <w:rPr>
          <w:lang w:val="en-GB"/>
        </w:rPr>
        <w:t>Part II – Invalidity benefit</w:t>
      </w:r>
    </w:p>
    <w:p w:rsidRPr="000C0E58" w:rsidR="00C1646D" w:rsidP="000C0E58">
      <w:pPr>
        <w:pStyle w:val="ECHRTitleCentre3"/>
        <w:rPr>
          <w:lang w:val="en-GB"/>
        </w:rPr>
      </w:pPr>
      <w:r w:rsidRPr="000C0E58">
        <w:rPr>
          <w:lang w:val="en-GB"/>
        </w:rPr>
        <w:t>Article 7</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“Each Member for which this Part of this Convention is in force shall secure to the persons protected the provision of invalidity benefit in accordance with the following Articles of this Part.”</w:t>
      </w:r>
    </w:p>
    <w:p w:rsidRPr="000C0E58" w:rsidR="00C1646D" w:rsidP="000C0E58">
      <w:pPr>
        <w:pStyle w:val="ECHRTitleCentre3"/>
        <w:rPr>
          <w:lang w:val="en-GB"/>
        </w:rPr>
      </w:pPr>
      <w:r w:rsidRPr="000C0E58">
        <w:rPr>
          <w:lang w:val="en-GB"/>
        </w:rPr>
        <w:t>Article 8</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“The contingency covered shall include incapacity to engage in any gainful activity, to an extent prescribed, which incapacity is likely to be permanent or persists after the termination of a prescribed period of temporary or initial incapacity.”</w:t>
      </w:r>
    </w:p>
    <w:p w:rsidRPr="000C0E58" w:rsidR="00C1646D" w:rsidP="000C0E58">
      <w:pPr>
        <w:pStyle w:val="ECHRTitleCentre3"/>
        <w:rPr>
          <w:lang w:val="en-GB"/>
        </w:rPr>
      </w:pPr>
      <w:r w:rsidRPr="000C0E58">
        <w:rPr>
          <w:lang w:val="en-GB"/>
        </w:rPr>
        <w:t>Article 9</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“1.</w:t>
      </w:r>
      <w:r w:rsidRPr="000C0E58">
        <w:rPr>
          <w:rFonts w:ascii="Times New Roman" w:hAnsi="Times New Roman" w:cs="Times New Roman"/>
          <w:lang w:val="en-GB"/>
        </w:rPr>
        <w:t>  </w:t>
      </w:r>
      <w:r w:rsidRPr="000C0E58">
        <w:rPr>
          <w:rFonts w:ascii="Times New Roman" w:hAnsi="Times New Roman" w:cs="Times New Roman"/>
          <w:lang w:val="en-GB"/>
        </w:rPr>
        <w:t>The</w:t>
      </w:r>
      <w:r w:rsidRPr="000C0E58">
        <w:rPr>
          <w:rFonts w:ascii="Times New Roman" w:hAnsi="Times New Roman" w:cs="Times New Roman"/>
          <w:lang w:val="en-GB"/>
        </w:rPr>
        <w:t xml:space="preserve"> persons protected shall comprise--</w:t>
      </w:r>
    </w:p>
    <w:p w:rsidRPr="000C0E58" w:rsidR="00C1646D" w:rsidP="000C0E58">
      <w:pPr>
        <w:pStyle w:val="JuQuotSub"/>
        <w:rPr>
          <w:lang w:val="en-GB"/>
        </w:rPr>
      </w:pPr>
      <w:r w:rsidRPr="000C0E58">
        <w:rPr>
          <w:lang w:val="en-GB"/>
        </w:rPr>
        <w:t>(a)  </w:t>
      </w:r>
      <w:r w:rsidRPr="000C0E58">
        <w:rPr>
          <w:lang w:val="en-GB"/>
        </w:rPr>
        <w:t>all</w:t>
      </w:r>
      <w:r w:rsidRPr="000C0E58">
        <w:rPr>
          <w:lang w:val="en-GB"/>
        </w:rPr>
        <w:t xml:space="preserve"> employees, including apprentices; or</w:t>
      </w:r>
    </w:p>
    <w:p w:rsidRPr="000C0E58" w:rsidR="00C1646D" w:rsidP="000C0E58">
      <w:pPr>
        <w:pStyle w:val="JuQuotSub"/>
        <w:rPr>
          <w:lang w:val="en-GB"/>
        </w:rPr>
      </w:pPr>
      <w:r w:rsidRPr="000C0E58">
        <w:rPr>
          <w:lang w:val="en-GB"/>
        </w:rPr>
        <w:t>(b)  </w:t>
      </w:r>
      <w:r w:rsidRPr="000C0E58">
        <w:rPr>
          <w:lang w:val="en-GB"/>
        </w:rPr>
        <w:t>prescribed</w:t>
      </w:r>
      <w:r w:rsidRPr="000C0E58">
        <w:rPr>
          <w:lang w:val="en-GB"/>
        </w:rPr>
        <w:t xml:space="preserve"> classes of the economically active population, constituting not less than 75 per cent. </w:t>
      </w:r>
      <w:r w:rsidRPr="000C0E58">
        <w:rPr>
          <w:lang w:val="en-GB"/>
        </w:rPr>
        <w:t>of</w:t>
      </w:r>
      <w:r w:rsidRPr="000C0E58">
        <w:rPr>
          <w:lang w:val="en-GB"/>
        </w:rPr>
        <w:t xml:space="preserve"> the whole economically active population; or</w:t>
      </w:r>
    </w:p>
    <w:p w:rsidRPr="000C0E58" w:rsidR="00C1646D" w:rsidP="000C0E58">
      <w:pPr>
        <w:pStyle w:val="JuQuotSub"/>
        <w:rPr>
          <w:lang w:val="en-GB"/>
        </w:rPr>
      </w:pPr>
      <w:r w:rsidRPr="000C0E58">
        <w:rPr>
          <w:lang w:val="en-GB"/>
        </w:rPr>
        <w:t>(c)  </w:t>
      </w:r>
      <w:r w:rsidRPr="000C0E58">
        <w:rPr>
          <w:lang w:val="en-GB"/>
        </w:rPr>
        <w:t>all</w:t>
      </w:r>
      <w:r w:rsidRPr="000C0E58">
        <w:rPr>
          <w:lang w:val="en-GB"/>
        </w:rPr>
        <w:t xml:space="preserve"> residents, or residents whose means during the contingency do not exceed limits prescribed in such a manner as to comply with the requirements of Article 28.</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2.  </w:t>
      </w:r>
      <w:r w:rsidRPr="000C0E58">
        <w:rPr>
          <w:rFonts w:ascii="Times New Roman" w:hAnsi="Times New Roman" w:cs="Times New Roman"/>
          <w:lang w:val="en-GB"/>
        </w:rPr>
        <w:t>Where a declaration made in virtue of Article 4 is in force, the persons protected shall comprise--</w:t>
      </w:r>
    </w:p>
    <w:p w:rsidRPr="000C0E58" w:rsidR="00C1646D" w:rsidP="000C0E58">
      <w:pPr>
        <w:pStyle w:val="JuQuotSub"/>
        <w:rPr>
          <w:lang w:val="en-GB"/>
        </w:rPr>
      </w:pPr>
      <w:r w:rsidRPr="000C0E58">
        <w:rPr>
          <w:lang w:val="en-GB"/>
        </w:rPr>
        <w:t>(a)  </w:t>
      </w:r>
      <w:r w:rsidRPr="000C0E58">
        <w:rPr>
          <w:lang w:val="en-GB"/>
        </w:rPr>
        <w:t>prescribed</w:t>
      </w:r>
      <w:r w:rsidRPr="000C0E58">
        <w:rPr>
          <w:lang w:val="en-GB"/>
        </w:rPr>
        <w:t xml:space="preserve"> classes of employees, constituting not less than 25 per cent. </w:t>
      </w:r>
      <w:r w:rsidRPr="000C0E58">
        <w:rPr>
          <w:lang w:val="en-GB"/>
        </w:rPr>
        <w:t>of</w:t>
      </w:r>
      <w:r w:rsidRPr="000C0E58">
        <w:rPr>
          <w:lang w:val="en-GB"/>
        </w:rPr>
        <w:t xml:space="preserve"> all employees;</w:t>
      </w:r>
    </w:p>
    <w:p w:rsidRPr="000C0E58" w:rsidR="00C1646D" w:rsidP="000C0E58">
      <w:pPr>
        <w:pStyle w:val="JuQuotSub"/>
        <w:rPr>
          <w:lang w:val="en-GB"/>
        </w:rPr>
      </w:pPr>
      <w:r w:rsidRPr="000C0E58">
        <w:rPr>
          <w:lang w:val="en-GB"/>
        </w:rPr>
        <w:t>(b)</w:t>
      </w:r>
      <w:r w:rsidRPr="000C0E58">
        <w:rPr>
          <w:lang w:val="en-GB"/>
        </w:rPr>
        <w:t>  </w:t>
      </w:r>
      <w:r w:rsidRPr="000C0E58">
        <w:rPr>
          <w:lang w:val="en-GB"/>
        </w:rPr>
        <w:t>prescribed</w:t>
      </w:r>
      <w:r w:rsidRPr="000C0E58">
        <w:rPr>
          <w:lang w:val="en-GB"/>
        </w:rPr>
        <w:t xml:space="preserve"> classes of employees in industrial undertakings, constit</w:t>
      </w:r>
      <w:r w:rsidRPr="000C0E58" w:rsidR="00E51D39">
        <w:rPr>
          <w:lang w:val="en-GB"/>
        </w:rPr>
        <w:t>uting not less than 50 per cent</w:t>
      </w:r>
      <w:r w:rsidRPr="000C0E58">
        <w:rPr>
          <w:lang w:val="en-GB"/>
        </w:rPr>
        <w:t xml:space="preserve"> of all employees in industrial undertakings.”</w:t>
      </w:r>
    </w:p>
    <w:p w:rsidRPr="000C0E58" w:rsidR="00C1646D" w:rsidP="000C0E58">
      <w:pPr>
        <w:pStyle w:val="ECHRTitleCentre3"/>
        <w:rPr>
          <w:lang w:val="en-GB"/>
        </w:rPr>
      </w:pPr>
      <w:r w:rsidRPr="000C0E58">
        <w:rPr>
          <w:lang w:val="en-GB"/>
        </w:rPr>
        <w:t>Article 10</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“The invalidity benefit shall be a periodical payment calculated as follows:</w:t>
      </w:r>
    </w:p>
    <w:p w:rsidRPr="000C0E58" w:rsidR="00C1646D" w:rsidP="000C0E58">
      <w:pPr>
        <w:pStyle w:val="JuQuotSub"/>
        <w:rPr>
          <w:lang w:val="en-GB"/>
        </w:rPr>
      </w:pPr>
      <w:r w:rsidRPr="000C0E58">
        <w:rPr>
          <w:lang w:val="en-GB"/>
        </w:rPr>
        <w:t>(a)  </w:t>
      </w:r>
      <w:r w:rsidRPr="000C0E58">
        <w:rPr>
          <w:lang w:val="en-GB"/>
        </w:rPr>
        <w:t>where</w:t>
      </w:r>
      <w:r w:rsidRPr="000C0E58">
        <w:rPr>
          <w:lang w:val="en-GB"/>
        </w:rPr>
        <w:t xml:space="preserve"> employees or classes of the economically active population are protected, in such a manner as to comply either with the requirements of Article 26 or with the requirements of Article 27;</w:t>
      </w:r>
    </w:p>
    <w:p w:rsidRPr="000C0E58" w:rsidR="00C1646D" w:rsidP="000C0E58">
      <w:pPr>
        <w:pStyle w:val="JuQuotSub"/>
        <w:rPr>
          <w:lang w:val="en-GB"/>
        </w:rPr>
      </w:pPr>
      <w:r w:rsidRPr="000C0E58">
        <w:rPr>
          <w:lang w:val="en-GB"/>
        </w:rPr>
        <w:t>(b)</w:t>
      </w:r>
      <w:r w:rsidRPr="000C0E58">
        <w:rPr>
          <w:lang w:val="en-GB"/>
        </w:rPr>
        <w:t>  </w:t>
      </w:r>
      <w:r w:rsidRPr="000C0E58">
        <w:rPr>
          <w:lang w:val="en-GB"/>
        </w:rPr>
        <w:t>where</w:t>
      </w:r>
      <w:r w:rsidRPr="000C0E58">
        <w:rPr>
          <w:lang w:val="en-GB"/>
        </w:rPr>
        <w:t xml:space="preserve"> all residents or all residents whose means during the contingency do not exceed prescribed limits are protected, in such a manner as to comply with the requirements of Article 28.”</w:t>
      </w:r>
    </w:p>
    <w:p w:rsidRPr="000C0E58" w:rsidR="00C1646D" w:rsidP="000C0E58">
      <w:pPr>
        <w:pStyle w:val="ECHRTitleCentre3"/>
        <w:rPr>
          <w:lang w:val="en-GB"/>
        </w:rPr>
      </w:pPr>
      <w:r w:rsidRPr="000C0E58">
        <w:rPr>
          <w:lang w:val="en-GB"/>
        </w:rPr>
        <w:t>Article 11</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“1.</w:t>
      </w:r>
      <w:r w:rsidRPr="000C0E58">
        <w:rPr>
          <w:rFonts w:ascii="Times New Roman" w:hAnsi="Times New Roman" w:cs="Times New Roman"/>
          <w:lang w:val="en-GB"/>
        </w:rPr>
        <w:t>  </w:t>
      </w:r>
      <w:r w:rsidRPr="000C0E58">
        <w:rPr>
          <w:rFonts w:ascii="Times New Roman" w:hAnsi="Times New Roman" w:cs="Times New Roman"/>
          <w:lang w:val="en-GB"/>
        </w:rPr>
        <w:t>The</w:t>
      </w:r>
      <w:r w:rsidRPr="000C0E58">
        <w:rPr>
          <w:rFonts w:ascii="Times New Roman" w:hAnsi="Times New Roman" w:cs="Times New Roman"/>
          <w:lang w:val="en-GB"/>
        </w:rPr>
        <w:t xml:space="preserve"> benefit specified in Article 10 shall, in a contingency covered, be secured at least--</w:t>
      </w:r>
    </w:p>
    <w:p w:rsidRPr="000C0E58" w:rsidR="00C1646D" w:rsidP="000C0E58">
      <w:pPr>
        <w:pStyle w:val="JuQuotSub"/>
        <w:rPr>
          <w:lang w:val="en-GB"/>
        </w:rPr>
      </w:pPr>
      <w:r w:rsidRPr="000C0E58">
        <w:rPr>
          <w:lang w:val="en-GB"/>
        </w:rPr>
        <w:t>(a)  </w:t>
      </w:r>
      <w:r w:rsidRPr="000C0E58">
        <w:rPr>
          <w:lang w:val="en-GB"/>
        </w:rPr>
        <w:t>to a person protected who has completed, prior to the contingency, in accordance with prescribed rules, a qualifying period which may be 15 years of contribution or employment, or ten years of residence; or</w:t>
      </w:r>
    </w:p>
    <w:p w:rsidRPr="000C0E58" w:rsidR="00C1646D" w:rsidP="000C0E58">
      <w:pPr>
        <w:pStyle w:val="JuQuotSub"/>
        <w:rPr>
          <w:lang w:val="en-GB"/>
        </w:rPr>
      </w:pPr>
      <w:r w:rsidRPr="000C0E58">
        <w:rPr>
          <w:lang w:val="en-GB"/>
        </w:rPr>
        <w:t>(b)  </w:t>
      </w:r>
      <w:r w:rsidRPr="000C0E58">
        <w:rPr>
          <w:lang w:val="en-GB"/>
        </w:rPr>
        <w:t>where, in principle, all economically active persons are protected, to a person protected who has completed, prior to the contingency, in accordance with prescribed rules, a qualifying period of three years of contribution and in respect of whom, while he was of working age, the prescribed yearly average number or yearly number of contributions has been paid.</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2.  </w:t>
      </w:r>
      <w:r w:rsidRPr="000C0E58">
        <w:rPr>
          <w:rFonts w:ascii="Times New Roman" w:hAnsi="Times New Roman" w:cs="Times New Roman"/>
          <w:lang w:val="en-GB"/>
        </w:rPr>
        <w:t>Where the invalidity benefit is conditional upon a minimum period of contribution, employment or residence, a reduced benefit shall be secured at least--</w:t>
      </w:r>
    </w:p>
    <w:p w:rsidRPr="000C0E58" w:rsidR="00C1646D" w:rsidP="000C0E58">
      <w:pPr>
        <w:pStyle w:val="JuQuotSub"/>
        <w:rPr>
          <w:lang w:val="en-GB"/>
        </w:rPr>
      </w:pPr>
      <w:r w:rsidRPr="000C0E58">
        <w:rPr>
          <w:lang w:val="en-GB"/>
        </w:rPr>
        <w:t>(a)  </w:t>
      </w:r>
      <w:r w:rsidRPr="000C0E58">
        <w:rPr>
          <w:lang w:val="en-GB"/>
        </w:rPr>
        <w:t>to a person protected who has completed, prior to the contingency, in accordance with prescribed rules, a qualifying period of five years of contribution, employment or residence; or</w:t>
      </w:r>
    </w:p>
    <w:p w:rsidRPr="000C0E58" w:rsidR="00C1646D" w:rsidP="000C0E58">
      <w:pPr>
        <w:pStyle w:val="JuQuotSub"/>
        <w:rPr>
          <w:lang w:val="en-GB"/>
        </w:rPr>
      </w:pPr>
      <w:r w:rsidRPr="000C0E58">
        <w:rPr>
          <w:lang w:val="en-GB"/>
        </w:rPr>
        <w:t>(b)  </w:t>
      </w:r>
      <w:r w:rsidRPr="000C0E58">
        <w:rPr>
          <w:lang w:val="en-GB"/>
        </w:rPr>
        <w:t>where, in principle, all economically active persons are protected, to a person protected who has completed, prior to the contingency, in accordance with prescribed rules, a qualifying period of three years of contribution and in respect of whom, while he was of working age, half of the yearly average number or of the yearly number of contributions prescribed in accordance with subparagraph (b) of paragraph 1 of this Article has been paid.</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3.  </w:t>
      </w:r>
      <w:r w:rsidRPr="000C0E58">
        <w:rPr>
          <w:rFonts w:ascii="Times New Roman" w:hAnsi="Times New Roman" w:cs="Times New Roman"/>
          <w:lang w:val="en-GB"/>
        </w:rPr>
        <w:t>The requirements of paragraph 1 of this Article shall be deemed to be satisfied where a benefit calculated in conformity with the requirements of Part V but at a percentage of ten points lower than shown in the Schedule appended to that Part for the standard beneficiary concerned is secured at least to a person protected who has completed, in accordance with prescribed rules, five years of contribution, employment or residence.</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4.  </w:t>
      </w:r>
      <w:r w:rsidRPr="000C0E58">
        <w:rPr>
          <w:rFonts w:ascii="Times New Roman" w:hAnsi="Times New Roman" w:cs="Times New Roman"/>
          <w:lang w:val="en-GB"/>
        </w:rPr>
        <w:t>A proportional reduction of the percentage indicated in the Schedule appended to Part V may be effected where the qualifying period for the benefit corresponding to the reduced percentage exceeds five years of contribution, employment or residence but is less than 15 years of contribution or employment or ten years of residence; a reduced benefit shall be payable in conformity with paragraph 2 of this Article.</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5.</w:t>
      </w:r>
      <w:r w:rsidRPr="000C0E58">
        <w:rPr>
          <w:rFonts w:ascii="Times New Roman" w:hAnsi="Times New Roman" w:cs="Times New Roman"/>
          <w:lang w:val="en-GB"/>
        </w:rPr>
        <w:t>  </w:t>
      </w:r>
      <w:r w:rsidRPr="000C0E58">
        <w:rPr>
          <w:rFonts w:ascii="Times New Roman" w:hAnsi="Times New Roman" w:cs="Times New Roman"/>
          <w:lang w:val="en-GB"/>
        </w:rPr>
        <w:t>The</w:t>
      </w:r>
      <w:r w:rsidRPr="000C0E58">
        <w:rPr>
          <w:rFonts w:ascii="Times New Roman" w:hAnsi="Times New Roman" w:cs="Times New Roman"/>
          <w:lang w:val="en-GB"/>
        </w:rPr>
        <w:t xml:space="preserve"> requirements of paragraphs 1 and 2 of this Article shall be deemed to be satisfied where a benefit calculated in conformity with the requirements of Part V is secured at least to a person protected who has completed, in accordance with prescribed rules, a qualifying period of contribution or employment which shall not be more than five years at a prescribed minimum age and may rise with advancing age to not more than a prescribed maximum number of years.”</w:t>
      </w:r>
    </w:p>
    <w:p w:rsidRPr="000C0E58" w:rsidR="00C1646D" w:rsidP="000C0E58">
      <w:pPr>
        <w:pStyle w:val="ECHRTitleCentre3"/>
        <w:rPr>
          <w:lang w:val="en-GB"/>
        </w:rPr>
      </w:pPr>
      <w:r w:rsidRPr="000C0E58">
        <w:rPr>
          <w:lang w:val="en-GB"/>
        </w:rPr>
        <w:t>Article 12</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“The benefit specified in Articles 10 and 11 shall be granted throughout the contingency or until an old-age benefit becomes payable.”</w:t>
      </w:r>
    </w:p>
    <w:p w:rsidRPr="000C0E58" w:rsidR="00C1646D" w:rsidP="000C0E58">
      <w:pPr>
        <w:pStyle w:val="ECHRTitleCentre3"/>
        <w:rPr>
          <w:lang w:val="en-GB"/>
        </w:rPr>
      </w:pPr>
      <w:r w:rsidRPr="000C0E58">
        <w:rPr>
          <w:lang w:val="en-GB"/>
        </w:rPr>
        <w:t>Article 13</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“1.</w:t>
      </w:r>
      <w:r w:rsidRPr="000C0E58">
        <w:rPr>
          <w:rFonts w:ascii="Times New Roman" w:hAnsi="Times New Roman" w:cs="Times New Roman"/>
          <w:lang w:val="en-GB"/>
        </w:rPr>
        <w:t>  </w:t>
      </w:r>
      <w:r w:rsidRPr="000C0E58">
        <w:rPr>
          <w:rFonts w:ascii="Times New Roman" w:hAnsi="Times New Roman" w:cs="Times New Roman"/>
          <w:lang w:val="en-GB"/>
        </w:rPr>
        <w:t>Each</w:t>
      </w:r>
      <w:r w:rsidRPr="000C0E58">
        <w:rPr>
          <w:rFonts w:ascii="Times New Roman" w:hAnsi="Times New Roman" w:cs="Times New Roman"/>
          <w:lang w:val="en-GB"/>
        </w:rPr>
        <w:t xml:space="preserve"> Member for which this Part of this Convention is in force shall, under prescribed conditions--</w:t>
      </w:r>
    </w:p>
    <w:p w:rsidRPr="000C0E58" w:rsidR="00C1646D" w:rsidP="000C0E58">
      <w:pPr>
        <w:pStyle w:val="JuQuotSub"/>
        <w:rPr>
          <w:lang w:val="en-GB"/>
        </w:rPr>
      </w:pPr>
      <w:r w:rsidRPr="000C0E58">
        <w:rPr>
          <w:lang w:val="en-GB"/>
        </w:rPr>
        <w:t>(a)  </w:t>
      </w:r>
      <w:r w:rsidRPr="000C0E58">
        <w:rPr>
          <w:lang w:val="en-GB"/>
        </w:rPr>
        <w:t>provide</w:t>
      </w:r>
      <w:r w:rsidRPr="000C0E58">
        <w:rPr>
          <w:lang w:val="en-GB"/>
        </w:rPr>
        <w:t xml:space="preserve"> rehabilitation services which are designed to prepare a disabled person wherever possible for the resumption of his previous activity, or, if this is not possible, the most suitable alternative gainful activity, having regard to his aptitudes and capacity; and</w:t>
      </w:r>
    </w:p>
    <w:p w:rsidRPr="000C0E58" w:rsidR="00C1646D" w:rsidP="000C0E58">
      <w:pPr>
        <w:pStyle w:val="JuQuotSub"/>
        <w:rPr>
          <w:lang w:val="en-GB"/>
        </w:rPr>
      </w:pPr>
      <w:r w:rsidRPr="000C0E58">
        <w:rPr>
          <w:lang w:val="en-GB"/>
        </w:rPr>
        <w:t>(b)  </w:t>
      </w:r>
      <w:r w:rsidRPr="000C0E58">
        <w:rPr>
          <w:lang w:val="en-GB"/>
        </w:rPr>
        <w:t>take</w:t>
      </w:r>
      <w:r w:rsidRPr="000C0E58">
        <w:rPr>
          <w:lang w:val="en-GB"/>
        </w:rPr>
        <w:t xml:space="preserve"> measures to further the placement of disabled persons in suitable employment.</w:t>
      </w:r>
    </w:p>
    <w:p w:rsidRPr="000C0E58" w:rsidR="00C1646D" w:rsidP="000C0E58">
      <w:pPr>
        <w:pStyle w:val="ECHRParaQuote"/>
        <w:rPr>
          <w:rFonts w:ascii="Times New Roman" w:hAnsi="Times New Roman" w:cs="Times New Roman"/>
          <w:lang w:val="en-GB"/>
        </w:rPr>
      </w:pPr>
      <w:r w:rsidRPr="000C0E58">
        <w:rPr>
          <w:rFonts w:ascii="Times New Roman" w:hAnsi="Times New Roman" w:cs="Times New Roman"/>
          <w:lang w:val="en-GB"/>
        </w:rPr>
        <w:t>2.</w:t>
      </w:r>
      <w:r w:rsidRPr="000C0E58">
        <w:rPr>
          <w:rFonts w:ascii="Times New Roman" w:hAnsi="Times New Roman" w:cs="Times New Roman"/>
          <w:lang w:val="en-GB"/>
        </w:rPr>
        <w:t>  </w:t>
      </w:r>
      <w:r w:rsidRPr="000C0E58">
        <w:rPr>
          <w:rFonts w:ascii="Times New Roman" w:hAnsi="Times New Roman" w:cs="Times New Roman"/>
          <w:lang w:val="en-GB"/>
        </w:rPr>
        <w:t>Where</w:t>
      </w:r>
      <w:r w:rsidRPr="000C0E58">
        <w:rPr>
          <w:rFonts w:ascii="Times New Roman" w:hAnsi="Times New Roman" w:cs="Times New Roman"/>
          <w:lang w:val="en-GB"/>
        </w:rPr>
        <w:t xml:space="preserve"> a declaration made in virtue of Article 4 is in force, the Member may derogate from the provisions of paragraph 1 of this Article.”</w:t>
      </w:r>
    </w:p>
    <w:p w:rsidRPr="000C0E58" w:rsidR="00C1646D"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42</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w:t>
      </w:r>
      <w:r w:rsidRPr="000C0E58" w:rsidR="000C3597">
        <w:rPr>
          <w:rFonts w:ascii="Times New Roman" w:hAnsi="Times New Roman" w:cs="Times New Roman"/>
          <w:szCs w:val="24"/>
          <w:lang w:val="en-GB"/>
        </w:rPr>
        <w:t>The</w:t>
      </w:r>
      <w:r w:rsidRPr="000C0E58">
        <w:rPr>
          <w:rFonts w:ascii="Times New Roman" w:hAnsi="Times New Roman" w:cs="Times New Roman"/>
          <w:szCs w:val="24"/>
          <w:lang w:val="en-GB"/>
        </w:rPr>
        <w:t xml:space="preserve"> European Code of Social Security, ILO Convention no. 102 and ILO Convention no. 128 contain virtually identical provisions</w:t>
      </w:r>
      <w:r w:rsidRPr="000C0E58" w:rsidR="00E52502">
        <w:rPr>
          <w:rFonts w:ascii="Times New Roman" w:hAnsi="Times New Roman" w:cs="Times New Roman"/>
          <w:szCs w:val="24"/>
          <w:lang w:val="en-GB"/>
        </w:rPr>
        <w:t xml:space="preserve"> whereby</w:t>
      </w:r>
      <w:r w:rsidRPr="000C0E58">
        <w:rPr>
          <w:rFonts w:ascii="Times New Roman" w:hAnsi="Times New Roman" w:cs="Times New Roman"/>
          <w:szCs w:val="24"/>
          <w:lang w:val="en-GB"/>
        </w:rPr>
        <w:t xml:space="preserve">, in situations where eligibility for invalidity benefit is conditional upon a minimum period of contribution or employment, a reduced invalidity benefit should </w:t>
      </w:r>
      <w:r w:rsidRPr="000C0E58" w:rsidR="00E52502">
        <w:rPr>
          <w:rFonts w:ascii="Times New Roman" w:hAnsi="Times New Roman" w:cs="Times New Roman"/>
          <w:szCs w:val="24"/>
          <w:lang w:val="en-GB"/>
        </w:rPr>
        <w:t xml:space="preserve">at least </w:t>
      </w:r>
      <w:r w:rsidRPr="000C0E58">
        <w:rPr>
          <w:rFonts w:ascii="Times New Roman" w:hAnsi="Times New Roman" w:cs="Times New Roman"/>
          <w:szCs w:val="24"/>
          <w:lang w:val="en-GB"/>
        </w:rPr>
        <w:t>be secured to persons who ha</w:t>
      </w:r>
      <w:r w:rsidRPr="000C0E58" w:rsidR="002A78E4">
        <w:rPr>
          <w:rFonts w:ascii="Times New Roman" w:hAnsi="Times New Roman" w:cs="Times New Roman"/>
          <w:szCs w:val="24"/>
          <w:lang w:val="en-GB"/>
        </w:rPr>
        <w:t>ve</w:t>
      </w:r>
      <w:r w:rsidRPr="000C0E58">
        <w:rPr>
          <w:rFonts w:ascii="Times New Roman" w:hAnsi="Times New Roman" w:cs="Times New Roman"/>
          <w:szCs w:val="24"/>
          <w:lang w:val="en-GB"/>
        </w:rPr>
        <w:t xml:space="preserve"> completed a period of five years of contribution</w:t>
      </w:r>
      <w:r w:rsidRPr="000C0E58" w:rsidR="002A78E4">
        <w:rPr>
          <w:rFonts w:ascii="Times New Roman" w:hAnsi="Times New Roman" w:cs="Times New Roman"/>
          <w:szCs w:val="24"/>
          <w:lang w:val="en-GB"/>
        </w:rPr>
        <w:t>s</w:t>
      </w:r>
      <w:r w:rsidRPr="000C0E58">
        <w:rPr>
          <w:rFonts w:ascii="Times New Roman" w:hAnsi="Times New Roman" w:cs="Times New Roman"/>
          <w:szCs w:val="24"/>
          <w:lang w:val="en-GB"/>
        </w:rPr>
        <w:t xml:space="preserve"> prior to the contingency (see Article 57 § 2 (a) of the European Code of Social Security and ILO Convention no. 102, as well as Article 11 § 2 (a) of ILO Convention no. 128). </w:t>
      </w:r>
      <w:r w:rsidRPr="000C0E58" w:rsidR="00D625CF">
        <w:rPr>
          <w:rFonts w:ascii="Times New Roman" w:hAnsi="Times New Roman" w:cs="Times New Roman"/>
          <w:szCs w:val="24"/>
          <w:lang w:val="en-GB"/>
        </w:rPr>
        <w:t>Twenty m</w:t>
      </w:r>
      <w:r w:rsidRPr="000C0E58" w:rsidR="000C3597">
        <w:rPr>
          <w:rFonts w:ascii="Times New Roman" w:hAnsi="Times New Roman" w:cs="Times New Roman"/>
          <w:szCs w:val="24"/>
          <w:lang w:val="en-GB"/>
        </w:rPr>
        <w:t xml:space="preserve">ember States of the Council of </w:t>
      </w:r>
      <w:r w:rsidRPr="000C0E58">
        <w:rPr>
          <w:rFonts w:ascii="Times New Roman" w:hAnsi="Times New Roman" w:cs="Times New Roman"/>
          <w:szCs w:val="24"/>
          <w:lang w:val="en-GB"/>
        </w:rPr>
        <w:t>Europe have accepted that undertaking</w:t>
      </w:r>
      <w:r w:rsidRPr="000C0E58" w:rsidR="00D625CF">
        <w:rPr>
          <w:rFonts w:ascii="Times New Roman" w:hAnsi="Times New Roman" w:cs="Times New Roman"/>
          <w:szCs w:val="24"/>
          <w:lang w:val="en-GB"/>
        </w:rPr>
        <w:t xml:space="preserve"> in one or more of these instruments</w:t>
      </w:r>
      <w:r w:rsidRPr="000C0E58" w:rsidR="002A78E4">
        <w:rPr>
          <w:rFonts w:ascii="Times New Roman" w:hAnsi="Times New Roman" w:cs="Times New Roman"/>
          <w:szCs w:val="24"/>
          <w:lang w:val="en-GB"/>
        </w:rPr>
        <w:t>,</w:t>
      </w:r>
      <w:r w:rsidRPr="000C0E58" w:rsidR="000C3597">
        <w:rPr>
          <w:rFonts w:ascii="Times New Roman" w:hAnsi="Times New Roman" w:cs="Times New Roman"/>
          <w:szCs w:val="24"/>
          <w:lang w:val="en-GB"/>
        </w:rPr>
        <w:t xml:space="preserve"> but </w:t>
      </w:r>
      <w:r w:rsidRPr="000C0E58">
        <w:rPr>
          <w:rFonts w:ascii="Times New Roman" w:hAnsi="Times New Roman" w:cs="Times New Roman"/>
          <w:szCs w:val="24"/>
          <w:lang w:val="en-GB"/>
        </w:rPr>
        <w:t xml:space="preserve">Hungary </w:t>
      </w:r>
      <w:r w:rsidRPr="000C0E58" w:rsidR="000C3597">
        <w:rPr>
          <w:rFonts w:ascii="Times New Roman" w:hAnsi="Times New Roman" w:cs="Times New Roman"/>
          <w:szCs w:val="24"/>
          <w:lang w:val="en-GB"/>
        </w:rPr>
        <w:t>has</w:t>
      </w:r>
      <w:r w:rsidRPr="000C0E58">
        <w:rPr>
          <w:rFonts w:ascii="Times New Roman" w:hAnsi="Times New Roman" w:cs="Times New Roman"/>
          <w:szCs w:val="24"/>
          <w:lang w:val="en-GB"/>
        </w:rPr>
        <w:t xml:space="preserve"> not</w:t>
      </w:r>
      <w:r w:rsidRPr="000C0E58" w:rsidR="000C3597">
        <w:rPr>
          <w:rFonts w:ascii="Times New Roman" w:hAnsi="Times New Roman" w:cs="Times New Roman"/>
          <w:szCs w:val="24"/>
          <w:lang w:val="en-GB"/>
        </w:rPr>
        <w:t>.</w:t>
      </w:r>
    </w:p>
    <w:p w:rsidRPr="000C0E58" w:rsidR="004445BC"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43</w:t>
      </w:r>
      <w:r w:rsidRPr="000C0E58">
        <w:rPr>
          <w:lang w:val="en-GB"/>
        </w:rPr>
        <w:fldChar w:fldCharType="end"/>
      </w:r>
      <w:r w:rsidRPr="000C0E58">
        <w:rPr>
          <w:lang w:val="en-GB"/>
        </w:rPr>
        <w:t>.  The World Health Organization</w:t>
      </w:r>
      <w:r w:rsidRPr="000C0E58" w:rsidR="000C0E58">
        <w:rPr>
          <w:lang w:val="en-GB"/>
        </w:rPr>
        <w:t>’</w:t>
      </w:r>
      <w:r w:rsidRPr="000C0E58">
        <w:rPr>
          <w:lang w:val="en-GB"/>
        </w:rPr>
        <w:t>s International classification of functioning, disability and health (ICF), Annex 6 - Ethical guidelines for the use of ICF, states:</w:t>
      </w:r>
    </w:p>
    <w:p w:rsidRPr="000C0E58" w:rsidR="004445BC" w:rsidP="000C0E58">
      <w:pPr>
        <w:pStyle w:val="ECHRParaQuote"/>
        <w:rPr>
          <w:lang w:val="en-GB"/>
        </w:rPr>
      </w:pPr>
      <w:r w:rsidRPr="000C0E58">
        <w:rPr>
          <w:lang w:val="en-GB"/>
        </w:rPr>
        <w:t>“Social use of ICF information</w:t>
      </w:r>
    </w:p>
    <w:p w:rsidRPr="000C0E58" w:rsidR="004445BC" w:rsidP="000C0E58">
      <w:pPr>
        <w:pStyle w:val="ECHRParaQuote"/>
        <w:rPr>
          <w:lang w:val="en-GB"/>
        </w:rPr>
      </w:pPr>
      <w:r w:rsidRPr="000C0E58">
        <w:rPr>
          <w:lang w:val="en-GB"/>
        </w:rPr>
        <w:t>(8) ICF information should be used, to the greatest extent feasible, with the collaboration of individuals to enhance their choices and their control over their lives.</w:t>
      </w:r>
    </w:p>
    <w:p w:rsidRPr="000C0E58" w:rsidR="004445BC" w:rsidP="000C0E58">
      <w:pPr>
        <w:pStyle w:val="ECHRParaQuote"/>
        <w:rPr>
          <w:lang w:val="en-GB"/>
        </w:rPr>
      </w:pPr>
      <w:r w:rsidRPr="000C0E58">
        <w:rPr>
          <w:lang w:val="en-GB"/>
        </w:rPr>
        <w:t>(9) ICF information should be used towards the development of social policy and political change that seeks to enhance and support the participation of individuals.</w:t>
      </w:r>
    </w:p>
    <w:p w:rsidRPr="000C0E58" w:rsidR="004445BC" w:rsidP="000C0E58">
      <w:pPr>
        <w:pStyle w:val="ECHRParaQuote"/>
        <w:rPr>
          <w:lang w:val="en-GB"/>
        </w:rPr>
      </w:pPr>
      <w:r w:rsidRPr="000C0E58">
        <w:rPr>
          <w:lang w:val="en-GB"/>
        </w:rPr>
        <w:t>(10) ICF, and all information derived from its use, should not be employed to deny established rights or otherwise restrict legitimate entitlements to benefits for individuals or groups.</w:t>
      </w:r>
    </w:p>
    <w:p w:rsidRPr="000C0E58" w:rsidR="004445BC" w:rsidP="000C0E58">
      <w:pPr>
        <w:pStyle w:val="ECHRParaQuote"/>
        <w:rPr>
          <w:lang w:val="en-GB"/>
        </w:rPr>
      </w:pPr>
      <w:r w:rsidRPr="000C0E58">
        <w:rPr>
          <w:lang w:val="en-GB"/>
        </w:rPr>
        <w:t xml:space="preserve">(11) Individuals classed together under ICF may still differ in many ways. Laws and regulations that refer to ICF classifications should not assume more homogeneity than </w:t>
      </w:r>
      <w:r w:rsidRPr="000C0E58">
        <w:rPr>
          <w:lang w:val="en-GB"/>
        </w:rPr>
        <w:t>intended and should ensure that those whose levels of functioning are being classified are considered as individuals.”</w:t>
      </w:r>
    </w:p>
    <w:p w:rsidRPr="000C0E58" w:rsidR="00163C3D" w:rsidP="000C0E58">
      <w:pPr>
        <w:pStyle w:val="ECHRPara"/>
        <w:rPr>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44</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w:t>
      </w:r>
      <w:r w:rsidRPr="000C0E58" w:rsidR="000D4EEF">
        <w:rPr>
          <w:rFonts w:ascii="Times New Roman" w:hAnsi="Times New Roman" w:cs="Times New Roman"/>
          <w:szCs w:val="24"/>
          <w:lang w:val="en-GB"/>
        </w:rPr>
        <w:t>T</w:t>
      </w:r>
      <w:r w:rsidRPr="000C0E58">
        <w:rPr>
          <w:rFonts w:ascii="Times New Roman" w:hAnsi="Times New Roman" w:cs="Times New Roman"/>
          <w:szCs w:val="24"/>
          <w:lang w:val="en-GB"/>
        </w:rPr>
        <w:t>he European system of integrated social protection statistics (ESSPROS)</w:t>
      </w:r>
      <w:r>
        <w:rPr>
          <w:rStyle w:val="FootnoteReference"/>
          <w:rFonts w:ascii="Times New Roman" w:hAnsi="Times New Roman" w:cs="Times New Roman"/>
          <w:szCs w:val="24"/>
          <w:lang w:val="en-GB"/>
        </w:rPr>
        <w:footnoteReference w:id="5"/>
      </w:r>
      <w:r w:rsidRPr="000C0E58" w:rsidR="000D4EEF">
        <w:rPr>
          <w:rFonts w:ascii="Times New Roman" w:hAnsi="Times New Roman" w:cs="Times New Roman"/>
          <w:szCs w:val="24"/>
          <w:lang w:val="en-GB"/>
        </w:rPr>
        <w:t xml:space="preserve"> classifies pensions, as a first-level breakdown, according to four different functions: disability, old age, survivors and unemployme</w:t>
      </w:r>
      <w:r w:rsidRPr="000C0E58" w:rsidR="00696877">
        <w:rPr>
          <w:rFonts w:ascii="Times New Roman" w:hAnsi="Times New Roman" w:cs="Times New Roman"/>
          <w:szCs w:val="24"/>
          <w:lang w:val="en-GB"/>
        </w:rPr>
        <w:t>nt. In </w:t>
      </w:r>
      <w:r w:rsidRPr="000C0E58" w:rsidR="00066583">
        <w:rPr>
          <w:rFonts w:ascii="Times New Roman" w:hAnsi="Times New Roman" w:cs="Times New Roman"/>
          <w:szCs w:val="24"/>
          <w:lang w:val="en-GB"/>
        </w:rPr>
        <w:t>2012</w:t>
      </w:r>
      <w:r w:rsidRPr="000C0E58" w:rsidR="000D4EEF">
        <w:rPr>
          <w:rFonts w:ascii="Times New Roman" w:hAnsi="Times New Roman" w:cs="Times New Roman"/>
          <w:szCs w:val="24"/>
          <w:lang w:val="en-GB"/>
        </w:rPr>
        <w:t xml:space="preserve">, of these, pensions relating to old age </w:t>
      </w:r>
      <w:r w:rsidRPr="000C0E58" w:rsidR="00B44BA3">
        <w:rPr>
          <w:rFonts w:ascii="Times New Roman" w:hAnsi="Times New Roman" w:cs="Times New Roman"/>
          <w:szCs w:val="24"/>
          <w:lang w:val="en-GB"/>
        </w:rPr>
        <w:t xml:space="preserve">were </w:t>
      </w:r>
      <w:r w:rsidRPr="000C0E58" w:rsidR="000D4EEF">
        <w:rPr>
          <w:rFonts w:ascii="Times New Roman" w:hAnsi="Times New Roman" w:cs="Times New Roman"/>
          <w:szCs w:val="24"/>
          <w:lang w:val="en-GB"/>
        </w:rPr>
        <w:t>the largest category, accounting for 77.3% of total expenditure and received by the same proportion of pension beneficiaries. Survivors</w:t>
      </w:r>
      <w:r w:rsidRPr="000C0E58" w:rsidR="000C0E58">
        <w:rPr>
          <w:rFonts w:ascii="Times New Roman" w:hAnsi="Times New Roman" w:cs="Times New Roman"/>
          <w:szCs w:val="24"/>
          <w:lang w:val="en-GB"/>
        </w:rPr>
        <w:t>’</w:t>
      </w:r>
      <w:r w:rsidRPr="000C0E58" w:rsidR="000D4EEF">
        <w:rPr>
          <w:rFonts w:ascii="Times New Roman" w:hAnsi="Times New Roman" w:cs="Times New Roman"/>
          <w:szCs w:val="24"/>
          <w:lang w:val="en-GB"/>
        </w:rPr>
        <w:t xml:space="preserve"> pensions </w:t>
      </w:r>
      <w:r w:rsidRPr="000C0E58" w:rsidR="00B44BA3">
        <w:rPr>
          <w:rFonts w:ascii="Times New Roman" w:hAnsi="Times New Roman" w:cs="Times New Roman"/>
          <w:szCs w:val="24"/>
          <w:lang w:val="en-GB"/>
        </w:rPr>
        <w:t xml:space="preserve">were </w:t>
      </w:r>
      <w:r w:rsidRPr="000C0E58" w:rsidR="000D4EEF">
        <w:rPr>
          <w:rFonts w:ascii="Times New Roman" w:hAnsi="Times New Roman" w:cs="Times New Roman"/>
          <w:szCs w:val="24"/>
          <w:lang w:val="en-GB"/>
        </w:rPr>
        <w:t xml:space="preserve">the second largest category, accounting for just </w:t>
      </w:r>
      <w:r w:rsidRPr="000C0E58" w:rsidR="00AE64D9">
        <w:rPr>
          <w:rFonts w:ascii="Times New Roman" w:hAnsi="Times New Roman" w:cs="Times New Roman"/>
          <w:szCs w:val="24"/>
          <w:lang w:val="en-GB"/>
        </w:rPr>
        <w:t>less than</w:t>
      </w:r>
      <w:r w:rsidRPr="000C0E58" w:rsidR="000D4EEF">
        <w:rPr>
          <w:rFonts w:ascii="Times New Roman" w:hAnsi="Times New Roman" w:cs="Times New Roman"/>
          <w:szCs w:val="24"/>
          <w:lang w:val="en-GB"/>
        </w:rPr>
        <w:t xml:space="preserve"> 11.3% of expenditure and received by 20.3% of beneficiaries, followed by disability pensions, accounting for 8.4% of expenditure and received by 12.3% of beneficiaries. Unemployment pensions </w:t>
      </w:r>
      <w:r w:rsidRPr="000C0E58" w:rsidR="00B44BA3">
        <w:rPr>
          <w:rFonts w:ascii="Times New Roman" w:hAnsi="Times New Roman" w:cs="Times New Roman"/>
          <w:szCs w:val="24"/>
          <w:lang w:val="en-GB"/>
        </w:rPr>
        <w:t xml:space="preserve">were </w:t>
      </w:r>
      <w:r w:rsidRPr="000C0E58" w:rsidR="000D4EEF">
        <w:rPr>
          <w:rFonts w:ascii="Times New Roman" w:hAnsi="Times New Roman" w:cs="Times New Roman"/>
          <w:szCs w:val="24"/>
          <w:lang w:val="en-GB"/>
        </w:rPr>
        <w:t>the smallest category (accounting for less than 0.3% of expenditure and of b</w:t>
      </w:r>
      <w:r w:rsidRPr="000C0E58" w:rsidR="00ED3855">
        <w:rPr>
          <w:rFonts w:ascii="Times New Roman" w:hAnsi="Times New Roman" w:cs="Times New Roman"/>
          <w:szCs w:val="24"/>
          <w:lang w:val="en-GB"/>
        </w:rPr>
        <w:t>eneficiaries).</w:t>
      </w:r>
    </w:p>
    <w:p w:rsidRPr="000C0E58" w:rsidR="00C1646D" w:rsidP="000C0E58">
      <w:pPr>
        <w:pStyle w:val="ECHRTitle1"/>
        <w:rPr>
          <w:lang w:val="en-GB"/>
        </w:rPr>
      </w:pPr>
      <w:r w:rsidRPr="000C0E58">
        <w:rPr>
          <w:lang w:val="en-GB"/>
        </w:rPr>
        <w:t>THE LAW</w:t>
      </w:r>
    </w:p>
    <w:p w:rsidRPr="000C0E58" w:rsidR="00C1646D" w:rsidP="000C0E58">
      <w:pPr>
        <w:pStyle w:val="ECHRHeading1"/>
        <w:rPr>
          <w:lang w:val="en-GB"/>
        </w:rPr>
      </w:pPr>
      <w:r w:rsidRPr="000C0E58">
        <w:rPr>
          <w:lang w:val="en-GB"/>
        </w:rPr>
        <w:t>I.  ALLEGED VIOLATION OF ARTICLE 1 OF PROTOCOL NO. 1</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45</w:t>
      </w:r>
      <w:r w:rsidRPr="000C0E58">
        <w:rPr>
          <w:lang w:val="en-GB"/>
        </w:rPr>
        <w:fldChar w:fldCharType="end"/>
      </w:r>
      <w:r w:rsidRPr="000C0E58">
        <w:rPr>
          <w:lang w:val="en-GB"/>
        </w:rPr>
        <w:t>.  </w:t>
      </w:r>
      <w:r w:rsidRPr="000C0E58">
        <w:rPr>
          <w:lang w:val="en-GB"/>
        </w:rPr>
        <w:t xml:space="preserve">The applicant complained that she had lost her </w:t>
      </w:r>
      <w:r w:rsidRPr="000C0E58" w:rsidR="002A78E4">
        <w:rPr>
          <w:lang w:val="en-GB"/>
        </w:rPr>
        <w:t>source of income</w:t>
      </w:r>
      <w:r w:rsidRPr="000C0E58">
        <w:rPr>
          <w:lang w:val="en-GB"/>
        </w:rPr>
        <w:t xml:space="preserve">, previously secured by the disability pension, because under the new system, in place as of 2012, she was no longer entitled to </w:t>
      </w:r>
      <w:r w:rsidRPr="000C0E58" w:rsidR="002A78E4">
        <w:rPr>
          <w:lang w:val="en-GB"/>
        </w:rPr>
        <w:t>that</w:t>
      </w:r>
      <w:r w:rsidRPr="000C0E58">
        <w:rPr>
          <w:lang w:val="en-GB"/>
        </w:rPr>
        <w:t>, or a similar, benefit, although her health had not improved</w:t>
      </w:r>
      <w:r w:rsidRPr="000C0E58" w:rsidR="00E52502">
        <w:rPr>
          <w:lang w:val="en-GB"/>
        </w:rPr>
        <w:t>;</w:t>
      </w:r>
      <w:r w:rsidRPr="000C0E58">
        <w:rPr>
          <w:lang w:val="en-GB"/>
        </w:rPr>
        <w:t xml:space="preserve"> and </w:t>
      </w:r>
      <w:r w:rsidRPr="000C0E58" w:rsidR="00E52502">
        <w:rPr>
          <w:lang w:val="en-GB"/>
        </w:rPr>
        <w:t xml:space="preserve">she submitted that </w:t>
      </w:r>
      <w:r w:rsidRPr="000C0E58">
        <w:rPr>
          <w:lang w:val="en-GB"/>
        </w:rPr>
        <w:t xml:space="preserve">this </w:t>
      </w:r>
      <w:r w:rsidRPr="000C0E58" w:rsidR="00E52502">
        <w:rPr>
          <w:lang w:val="en-GB"/>
        </w:rPr>
        <w:t>w</w:t>
      </w:r>
      <w:r w:rsidRPr="000C0E58">
        <w:rPr>
          <w:lang w:val="en-GB"/>
        </w:rPr>
        <w:t>as a consequence of the amended legislation</w:t>
      </w:r>
      <w:r w:rsidRPr="000C0E58" w:rsidR="002A78E4">
        <w:rPr>
          <w:lang w:val="en-GB"/>
        </w:rPr>
        <w:t xml:space="preserve">, which </w:t>
      </w:r>
      <w:r w:rsidRPr="000C0E58">
        <w:rPr>
          <w:lang w:val="en-GB"/>
        </w:rPr>
        <w:t>contain</w:t>
      </w:r>
      <w:r w:rsidRPr="000C0E58" w:rsidR="002A78E4">
        <w:rPr>
          <w:lang w:val="en-GB"/>
        </w:rPr>
        <w:t xml:space="preserve">ed </w:t>
      </w:r>
      <w:r w:rsidRPr="000C0E58">
        <w:rPr>
          <w:lang w:val="en-GB"/>
        </w:rPr>
        <w:t>conditions she could not possibly fulfil. She relied on Article 6 of the Convention.</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46</w:t>
      </w:r>
      <w:r w:rsidRPr="000C0E58">
        <w:rPr>
          <w:lang w:val="en-GB"/>
        </w:rPr>
        <w:fldChar w:fldCharType="end"/>
      </w:r>
      <w:r w:rsidRPr="000C0E58">
        <w:rPr>
          <w:lang w:val="en-GB"/>
        </w:rPr>
        <w:t>.  </w:t>
      </w:r>
      <w:r w:rsidRPr="000C0E58">
        <w:rPr>
          <w:lang w:val="en-GB"/>
        </w:rPr>
        <w:t>The Chamber found it appropriate to examine the applicant</w:t>
      </w:r>
      <w:r w:rsidRPr="000C0E58" w:rsidR="000C0E58">
        <w:rPr>
          <w:lang w:val="en-GB"/>
        </w:rPr>
        <w:t>’</w:t>
      </w:r>
      <w:r w:rsidRPr="000C0E58">
        <w:rPr>
          <w:lang w:val="en-GB"/>
        </w:rPr>
        <w:t>s complaint under Article 1 of Protocol No. 1, which reads as follows:</w:t>
      </w:r>
    </w:p>
    <w:p w:rsidRPr="000C0E58" w:rsidR="00061F43" w:rsidP="000C0E58">
      <w:pPr>
        <w:pStyle w:val="ECHRParaQuote"/>
        <w:rPr>
          <w:lang w:val="en-GB"/>
        </w:rPr>
      </w:pPr>
      <w:r w:rsidRPr="000C0E58">
        <w:rPr>
          <w:lang w:val="en-GB"/>
        </w:rPr>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0C0E58" w:rsidR="00061F43" w:rsidP="000C0E58">
      <w:pPr>
        <w:pStyle w:val="ECHRParaQuote"/>
        <w:rPr>
          <w:lang w:val="en-GB"/>
        </w:rPr>
      </w:pPr>
      <w:r w:rsidRPr="000C0E58">
        <w:rPr>
          <w:lang w:val="en-GB"/>
        </w:rPr>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0C0E58" w:rsidR="00061F43" w:rsidP="000C0E58">
      <w:pPr>
        <w:pStyle w:val="ECHRPara"/>
        <w:rPr>
          <w:lang w:val="en-GB"/>
        </w:rPr>
      </w:pPr>
      <w:r w:rsidRPr="000C0E58">
        <w:rPr>
          <w:lang w:val="en-GB"/>
        </w:rPr>
        <w:t>The Grand Chamber agrees with this approach. It will therefore proceed in the same manner.</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47</w:t>
      </w:r>
      <w:r w:rsidRPr="000C0E58">
        <w:rPr>
          <w:lang w:val="en-GB"/>
        </w:rPr>
        <w:fldChar w:fldCharType="end"/>
      </w:r>
      <w:r w:rsidRPr="000C0E58">
        <w:rPr>
          <w:lang w:val="en-GB"/>
        </w:rPr>
        <w:t>.  </w:t>
      </w:r>
      <w:r w:rsidRPr="000C0E58">
        <w:rPr>
          <w:lang w:val="en-GB"/>
        </w:rPr>
        <w:t>The Government contested the applicant</w:t>
      </w:r>
      <w:r w:rsidRPr="000C0E58" w:rsidR="000C0E58">
        <w:rPr>
          <w:lang w:val="en-GB"/>
        </w:rPr>
        <w:t>’</w:t>
      </w:r>
      <w:r w:rsidRPr="000C0E58">
        <w:rPr>
          <w:lang w:val="en-GB"/>
        </w:rPr>
        <w:t>s argument.</w:t>
      </w:r>
    </w:p>
    <w:p w:rsidRPr="000C0E58" w:rsidR="00061F43" w:rsidP="000C0E58">
      <w:pPr>
        <w:pStyle w:val="ECHRHeading2"/>
        <w:outlineLvl w:val="0"/>
        <w:rPr>
          <w:lang w:val="en-GB"/>
        </w:rPr>
      </w:pPr>
      <w:r w:rsidRPr="000C0E58">
        <w:rPr>
          <w:lang w:val="en-GB"/>
        </w:rPr>
        <w:t>A.  The Chamber judgment</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48</w:t>
      </w:r>
      <w:r w:rsidRPr="000C0E58">
        <w:rPr>
          <w:lang w:val="en-GB"/>
        </w:rPr>
        <w:fldChar w:fldCharType="end"/>
      </w:r>
      <w:r w:rsidRPr="000C0E58">
        <w:rPr>
          <w:lang w:val="en-GB"/>
        </w:rPr>
        <w:t>.  </w:t>
      </w:r>
      <w:r w:rsidRPr="000C0E58">
        <w:rPr>
          <w:lang w:val="en-GB"/>
        </w:rPr>
        <w:t>Interpreting the Constitutional Court</w:t>
      </w:r>
      <w:r w:rsidRPr="000C0E58" w:rsidR="000C0E58">
        <w:rPr>
          <w:lang w:val="en-GB"/>
        </w:rPr>
        <w:t>’</w:t>
      </w:r>
      <w:r w:rsidRPr="000C0E58">
        <w:rPr>
          <w:lang w:val="en-GB"/>
        </w:rPr>
        <w:t>s approach to the question, the Chamber was satisfied that the disability benefit, in the form of a pension or an allowance, flowed from an assertable right under the domestic law</w:t>
      </w:r>
      <w:r w:rsidRPr="000C0E58" w:rsidR="002A78E4">
        <w:rPr>
          <w:lang w:val="en-GB"/>
        </w:rPr>
        <w:t>,</w:t>
      </w:r>
      <w:r w:rsidRPr="000C0E58">
        <w:rPr>
          <w:lang w:val="en-GB"/>
        </w:rPr>
        <w:t xml:space="preserve"> in the sense that once the individual concerned </w:t>
      </w:r>
      <w:r w:rsidRPr="000C0E58" w:rsidR="002A78E4">
        <w:rPr>
          <w:lang w:val="en-GB"/>
        </w:rPr>
        <w:t xml:space="preserve">had </w:t>
      </w:r>
      <w:r w:rsidRPr="000C0E58">
        <w:rPr>
          <w:lang w:val="en-GB"/>
        </w:rPr>
        <w:t>made the requisite contributions to the scheme, she would become entitled to it whenever her health situation so required. The Chamber observed that, during her employment, the applicant had contributed to the social</w:t>
      </w:r>
      <w:r w:rsidRPr="000C0E58" w:rsidR="00331B94">
        <w:rPr>
          <w:lang w:val="en-GB"/>
        </w:rPr>
        <w:t>-</w:t>
      </w:r>
      <w:r w:rsidRPr="000C0E58">
        <w:rPr>
          <w:lang w:val="en-GB"/>
        </w:rPr>
        <w:t>security system as required by the law. For the Chamber, th</w:t>
      </w:r>
      <w:r w:rsidRPr="000C0E58" w:rsidR="00331B94">
        <w:rPr>
          <w:lang w:val="en-GB"/>
        </w:rPr>
        <w:t xml:space="preserve">ose </w:t>
      </w:r>
      <w:r w:rsidRPr="000C0E58">
        <w:rPr>
          <w:lang w:val="en-GB"/>
        </w:rPr>
        <w:t>contribution</w:t>
      </w:r>
      <w:r w:rsidRPr="000C0E58" w:rsidR="00331B94">
        <w:rPr>
          <w:lang w:val="en-GB"/>
        </w:rPr>
        <w:t>s</w:t>
      </w:r>
      <w:r w:rsidRPr="000C0E58">
        <w:rPr>
          <w:lang w:val="en-GB"/>
        </w:rPr>
        <w:t xml:space="preserve"> resulted in a legitimate expectation </w:t>
      </w:r>
      <w:r w:rsidRPr="000C0E58" w:rsidR="002A78E4">
        <w:rPr>
          <w:lang w:val="en-GB"/>
        </w:rPr>
        <w:t xml:space="preserve">that she would </w:t>
      </w:r>
      <w:r w:rsidRPr="000C0E58">
        <w:rPr>
          <w:lang w:val="en-GB"/>
        </w:rPr>
        <w:t xml:space="preserve">receive disability </w:t>
      </w:r>
      <w:r w:rsidRPr="000C0E58" w:rsidR="00FA7C0D">
        <w:rPr>
          <w:lang w:val="en-GB"/>
        </w:rPr>
        <w:t>benefit</w:t>
      </w:r>
      <w:r w:rsidRPr="000C0E58">
        <w:rPr>
          <w:lang w:val="en-GB"/>
        </w:rPr>
        <w:t xml:space="preserve">, which expectation was formally recognised and honoured by the authorities when the applicant was granted a disability pension in 2001. The Chamber thus found Article 1 of Protocol No. 1 applicable </w:t>
      </w:r>
      <w:r w:rsidRPr="000C0E58" w:rsidR="00E52502">
        <w:rPr>
          <w:lang w:val="en-GB"/>
        </w:rPr>
        <w:t xml:space="preserve">to </w:t>
      </w:r>
      <w:r w:rsidRPr="000C0E58">
        <w:rPr>
          <w:lang w:val="en-GB"/>
        </w:rPr>
        <w:t>the case.</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49</w:t>
      </w:r>
      <w:r w:rsidRPr="000C0E58">
        <w:rPr>
          <w:lang w:val="en-GB"/>
        </w:rPr>
        <w:fldChar w:fldCharType="end"/>
      </w:r>
      <w:r w:rsidRPr="000C0E58">
        <w:rPr>
          <w:lang w:val="en-GB"/>
        </w:rPr>
        <w:t>.  The Chamber further held that the recognised legitimate expectation, continu</w:t>
      </w:r>
      <w:r w:rsidRPr="000C0E58" w:rsidR="002A78E4">
        <w:rPr>
          <w:lang w:val="en-GB"/>
        </w:rPr>
        <w:t xml:space="preserve">ous </w:t>
      </w:r>
      <w:r w:rsidRPr="000C0E58">
        <w:rPr>
          <w:lang w:val="en-GB"/>
        </w:rPr>
        <w:t xml:space="preserve">in its legal nature, could not be considered extinguished by the fact that, </w:t>
      </w:r>
      <w:r w:rsidRPr="000C0E58" w:rsidR="002A78E4">
        <w:rPr>
          <w:lang w:val="en-GB"/>
        </w:rPr>
        <w:t xml:space="preserve">under </w:t>
      </w:r>
      <w:r w:rsidRPr="000C0E58">
        <w:rPr>
          <w:lang w:val="en-GB"/>
        </w:rPr>
        <w:t xml:space="preserve">a new </w:t>
      </w:r>
      <w:r w:rsidRPr="000C0E58" w:rsidR="002A78E4">
        <w:rPr>
          <w:lang w:val="en-GB"/>
        </w:rPr>
        <w:t xml:space="preserve">assessment </w:t>
      </w:r>
      <w:r w:rsidRPr="000C0E58">
        <w:rPr>
          <w:lang w:val="en-GB"/>
        </w:rPr>
        <w:t>methodology, the applicant</w:t>
      </w:r>
      <w:r w:rsidRPr="000C0E58" w:rsidR="000C0E58">
        <w:rPr>
          <w:lang w:val="en-GB"/>
        </w:rPr>
        <w:t>’</w:t>
      </w:r>
      <w:r w:rsidRPr="000C0E58">
        <w:rPr>
          <w:lang w:val="en-GB"/>
        </w:rPr>
        <w:t xml:space="preserve">s disability was </w:t>
      </w:r>
      <w:r w:rsidRPr="000C0E58" w:rsidR="00E52502">
        <w:rPr>
          <w:lang w:val="en-GB"/>
        </w:rPr>
        <w:t xml:space="preserve">evaluated at a lower level </w:t>
      </w:r>
      <w:r w:rsidRPr="000C0E58">
        <w:rPr>
          <w:lang w:val="en-GB"/>
        </w:rPr>
        <w:t>in 2009.</w:t>
      </w:r>
      <w:r w:rsidRPr="000C0E58" w:rsidR="00253B9D">
        <w:rPr>
          <w:lang w:val="en-GB"/>
        </w:rPr>
        <w:t xml:space="preserve"> </w:t>
      </w:r>
      <w:r w:rsidRPr="000C0E58" w:rsidR="00E52502">
        <w:rPr>
          <w:lang w:val="en-GB"/>
        </w:rPr>
        <w:t>H</w:t>
      </w:r>
      <w:r w:rsidRPr="000C0E58">
        <w:rPr>
          <w:lang w:val="en-GB"/>
        </w:rPr>
        <w:t xml:space="preserve">er previously obtained possession of </w:t>
      </w:r>
      <w:r w:rsidRPr="000C0E58" w:rsidR="002A78E4">
        <w:rPr>
          <w:lang w:val="en-GB"/>
        </w:rPr>
        <w:t xml:space="preserve">a </w:t>
      </w:r>
      <w:r w:rsidRPr="000C0E58">
        <w:rPr>
          <w:lang w:val="en-GB"/>
        </w:rPr>
        <w:t xml:space="preserve">disability pension had been replaced </w:t>
      </w:r>
      <w:r w:rsidRPr="000C0E58" w:rsidR="00E52502">
        <w:rPr>
          <w:lang w:val="en-GB"/>
        </w:rPr>
        <w:t xml:space="preserve">at that time </w:t>
      </w:r>
      <w:r w:rsidRPr="000C0E58">
        <w:rPr>
          <w:lang w:val="en-GB"/>
        </w:rPr>
        <w:t xml:space="preserve">with the recognised legitimate expectation of continued </w:t>
      </w:r>
      <w:r w:rsidRPr="000C0E58" w:rsidR="00FA7C0D">
        <w:rPr>
          <w:lang w:val="en-GB"/>
        </w:rPr>
        <w:t>payment of a benefit</w:t>
      </w:r>
      <w:r w:rsidRPr="000C0E58">
        <w:rPr>
          <w:lang w:val="en-GB"/>
        </w:rPr>
        <w:t>, should the circumstances again so require.</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50</w:t>
      </w:r>
      <w:r w:rsidRPr="000C0E58">
        <w:rPr>
          <w:lang w:val="en-GB"/>
        </w:rPr>
        <w:fldChar w:fldCharType="end"/>
      </w:r>
      <w:r w:rsidRPr="000C0E58">
        <w:rPr>
          <w:lang w:val="en-GB"/>
        </w:rPr>
        <w:t>.  </w:t>
      </w:r>
      <w:r w:rsidRPr="000C0E58" w:rsidR="00E52502">
        <w:rPr>
          <w:lang w:val="en-GB"/>
        </w:rPr>
        <w:t xml:space="preserve">In </w:t>
      </w:r>
      <w:r w:rsidRPr="000C0E58">
        <w:rPr>
          <w:lang w:val="en-GB"/>
        </w:rPr>
        <w:t>the Chamber</w:t>
      </w:r>
      <w:r w:rsidRPr="000C0E58" w:rsidR="000C0E58">
        <w:rPr>
          <w:lang w:val="en-GB"/>
        </w:rPr>
        <w:t>’</w:t>
      </w:r>
      <w:r w:rsidRPr="000C0E58" w:rsidR="00E52502">
        <w:rPr>
          <w:lang w:val="en-GB"/>
        </w:rPr>
        <w:t>s view</w:t>
      </w:r>
      <w:r w:rsidRPr="000C0E58">
        <w:rPr>
          <w:lang w:val="en-GB"/>
        </w:rPr>
        <w:t>, the denial of the applicant</w:t>
      </w:r>
      <w:r w:rsidRPr="000C0E58" w:rsidR="000C0E58">
        <w:rPr>
          <w:lang w:val="en-GB"/>
        </w:rPr>
        <w:t>’</w:t>
      </w:r>
      <w:r w:rsidRPr="000C0E58">
        <w:rPr>
          <w:lang w:val="en-GB"/>
        </w:rPr>
        <w:t xml:space="preserve">s eligibility for disability pension under the 2012 rules constituted an interference with her property rights </w:t>
      </w:r>
      <w:r w:rsidRPr="000C0E58" w:rsidR="002A78E4">
        <w:rPr>
          <w:lang w:val="en-GB"/>
        </w:rPr>
        <w:t xml:space="preserve">as </w:t>
      </w:r>
      <w:r w:rsidRPr="000C0E58">
        <w:rPr>
          <w:lang w:val="en-GB"/>
        </w:rPr>
        <w:t>guaranteed by Article 1 of Protocol No. 1. As to the proportionality of that interference, the Chamber held that the applicant had sustain</w:t>
      </w:r>
      <w:r w:rsidRPr="000C0E58" w:rsidR="00E52502">
        <w:rPr>
          <w:lang w:val="en-GB"/>
        </w:rPr>
        <w:t>ed</w:t>
      </w:r>
      <w:r w:rsidRPr="000C0E58">
        <w:rPr>
          <w:lang w:val="en-GB"/>
        </w:rPr>
        <w:t xml:space="preserve"> a drastic change, </w:t>
      </w:r>
      <w:r w:rsidRPr="000C0E58" w:rsidR="00E52502">
        <w:rPr>
          <w:lang w:val="en-GB"/>
        </w:rPr>
        <w:t xml:space="preserve">namely </w:t>
      </w:r>
      <w:r w:rsidRPr="000C0E58">
        <w:rPr>
          <w:lang w:val="en-GB"/>
        </w:rPr>
        <w:t xml:space="preserve">the total removal of her possibility to access disability benefits, which represented an excessive individual burden, with no possibility </w:t>
      </w:r>
      <w:r w:rsidRPr="000C0E58" w:rsidR="002A78E4">
        <w:rPr>
          <w:lang w:val="en-GB"/>
        </w:rPr>
        <w:t xml:space="preserve">of </w:t>
      </w:r>
      <w:r w:rsidRPr="000C0E58">
        <w:rPr>
          <w:lang w:val="en-GB"/>
        </w:rPr>
        <w:t>remedy</w:t>
      </w:r>
      <w:r w:rsidRPr="000C0E58" w:rsidR="002A78E4">
        <w:rPr>
          <w:lang w:val="en-GB"/>
        </w:rPr>
        <w:t>ing</w:t>
      </w:r>
      <w:r w:rsidRPr="000C0E58">
        <w:rPr>
          <w:lang w:val="en-GB"/>
        </w:rPr>
        <w:t xml:space="preserve"> her situation once the new rules were enacted.</w:t>
      </w:r>
      <w:r w:rsidRPr="000C0E58" w:rsidR="00D8283B">
        <w:rPr>
          <w:lang w:val="en-GB"/>
        </w:rPr>
        <w:t xml:space="preserve"> For these reasons, the Chamber found that there had been a violation of Article 1 of Protocol No. 1.</w:t>
      </w:r>
    </w:p>
    <w:p w:rsidRPr="000C0E58" w:rsidR="00061F43" w:rsidP="000C0E58">
      <w:pPr>
        <w:pStyle w:val="ECHRHeading2"/>
        <w:outlineLvl w:val="0"/>
        <w:rPr>
          <w:lang w:val="en-GB"/>
        </w:rPr>
      </w:pPr>
      <w:r w:rsidRPr="000C0E58">
        <w:rPr>
          <w:lang w:val="en-GB"/>
        </w:rPr>
        <w:t>B.  The parties</w:t>
      </w:r>
      <w:r w:rsidRPr="000C0E58" w:rsidR="000C0E58">
        <w:rPr>
          <w:lang w:val="en-GB"/>
        </w:rPr>
        <w:t>’</w:t>
      </w:r>
      <w:r w:rsidRPr="000C0E58">
        <w:rPr>
          <w:lang w:val="en-GB"/>
        </w:rPr>
        <w:t xml:space="preserve"> submissions to the Grand Chamber</w:t>
      </w:r>
    </w:p>
    <w:p w:rsidRPr="000C0E58" w:rsidR="00061F43" w:rsidP="000C0E58">
      <w:pPr>
        <w:pStyle w:val="ECHRHeading3"/>
        <w:rPr>
          <w:lang w:val="en-GB"/>
        </w:rPr>
      </w:pPr>
      <w:r w:rsidRPr="000C0E58">
        <w:rPr>
          <w:lang w:val="en-GB"/>
        </w:rPr>
        <w:t>1.  The applicant</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51</w:t>
      </w:r>
      <w:r w:rsidRPr="000C0E58">
        <w:rPr>
          <w:lang w:val="en-GB"/>
        </w:rPr>
        <w:fldChar w:fldCharType="end"/>
      </w:r>
      <w:r w:rsidRPr="000C0E58">
        <w:rPr>
          <w:lang w:val="en-GB"/>
        </w:rPr>
        <w:t>.  The applicant was of the opinion that Article 1 of Protocol No. 1 was applicable</w:t>
      </w:r>
      <w:r w:rsidRPr="000C0E58" w:rsidR="00B9463C">
        <w:rPr>
          <w:lang w:val="en-GB"/>
        </w:rPr>
        <w:t xml:space="preserve"> </w:t>
      </w:r>
      <w:r w:rsidRPr="000C0E58" w:rsidR="002A78E4">
        <w:rPr>
          <w:lang w:val="en-GB"/>
        </w:rPr>
        <w:t xml:space="preserve">to her </w:t>
      </w:r>
      <w:r w:rsidRPr="000C0E58" w:rsidR="00B9463C">
        <w:rPr>
          <w:lang w:val="en-GB"/>
        </w:rPr>
        <w:t xml:space="preserve">case. She contended that </w:t>
      </w:r>
      <w:r w:rsidRPr="000C0E58" w:rsidR="005F506A">
        <w:rPr>
          <w:lang w:val="en-GB"/>
        </w:rPr>
        <w:t>between 2001 and 1 February 2010</w:t>
      </w:r>
      <w:r w:rsidRPr="000C0E58" w:rsidR="00FC43B5">
        <w:rPr>
          <w:lang w:val="en-GB"/>
        </w:rPr>
        <w:t xml:space="preserve"> </w:t>
      </w:r>
      <w:r w:rsidRPr="000C0E58" w:rsidR="00B9463C">
        <w:rPr>
          <w:lang w:val="en-GB"/>
        </w:rPr>
        <w:t xml:space="preserve">she </w:t>
      </w:r>
      <w:r w:rsidRPr="000C0E58">
        <w:rPr>
          <w:lang w:val="en-GB"/>
        </w:rPr>
        <w:t xml:space="preserve">had </w:t>
      </w:r>
      <w:r w:rsidRPr="000C0E58" w:rsidR="002A78E4">
        <w:rPr>
          <w:lang w:val="en-GB"/>
        </w:rPr>
        <w:t xml:space="preserve">had </w:t>
      </w:r>
      <w:r w:rsidRPr="000C0E58">
        <w:rPr>
          <w:lang w:val="en-GB"/>
        </w:rPr>
        <w:t>a possession</w:t>
      </w:r>
      <w:r w:rsidRPr="000C0E58" w:rsidR="00B9463C">
        <w:rPr>
          <w:lang w:val="en-GB"/>
        </w:rPr>
        <w:t>,</w:t>
      </w:r>
      <w:r w:rsidRPr="000C0E58">
        <w:rPr>
          <w:lang w:val="en-GB"/>
        </w:rPr>
        <w:t xml:space="preserve"> in the form of an existing pecuniary asset</w:t>
      </w:r>
      <w:r w:rsidRPr="000C0E58" w:rsidR="002A78E4">
        <w:rPr>
          <w:lang w:val="en-GB"/>
        </w:rPr>
        <w:t>,</w:t>
      </w:r>
      <w:r w:rsidRPr="000C0E58">
        <w:rPr>
          <w:lang w:val="en-GB"/>
        </w:rPr>
        <w:t xml:space="preserve"> </w:t>
      </w:r>
      <w:r w:rsidRPr="000C0E58" w:rsidR="002A78E4">
        <w:rPr>
          <w:lang w:val="en-GB"/>
        </w:rPr>
        <w:t xml:space="preserve">specifically </w:t>
      </w:r>
      <w:r w:rsidRPr="000C0E58">
        <w:rPr>
          <w:lang w:val="en-GB"/>
        </w:rPr>
        <w:t xml:space="preserve">the disability pension. </w:t>
      </w:r>
      <w:r w:rsidRPr="000C0E58" w:rsidR="005F506A">
        <w:rPr>
          <w:lang w:val="en-GB"/>
        </w:rPr>
        <w:t>S</w:t>
      </w:r>
      <w:r w:rsidRPr="000C0E58">
        <w:rPr>
          <w:lang w:val="en-GB"/>
        </w:rPr>
        <w:t xml:space="preserve">he had </w:t>
      </w:r>
      <w:r w:rsidRPr="000C0E58" w:rsidR="005F506A">
        <w:rPr>
          <w:lang w:val="en-GB"/>
        </w:rPr>
        <w:t xml:space="preserve">subsequently </w:t>
      </w:r>
      <w:r w:rsidRPr="000C0E58">
        <w:rPr>
          <w:lang w:val="en-GB"/>
        </w:rPr>
        <w:t xml:space="preserve">retained an assertable right to disability benefit </w:t>
      </w:r>
      <w:r w:rsidRPr="000C0E58" w:rsidR="005F506A">
        <w:rPr>
          <w:lang w:val="en-GB"/>
        </w:rPr>
        <w:t xml:space="preserve">for </w:t>
      </w:r>
      <w:r w:rsidRPr="000C0E58">
        <w:rPr>
          <w:lang w:val="en-GB"/>
        </w:rPr>
        <w:t>as long as she satisfied the criteria that were applicable in 2001</w:t>
      </w:r>
      <w:r w:rsidRPr="000C0E58" w:rsidR="005F506A">
        <w:rPr>
          <w:lang w:val="en-GB"/>
        </w:rPr>
        <w:t xml:space="preserve">; in other words, she had </w:t>
      </w:r>
      <w:r w:rsidRPr="000C0E58">
        <w:rPr>
          <w:lang w:val="en-GB"/>
        </w:rPr>
        <w:t xml:space="preserve">a legitimate expectation stemming from </w:t>
      </w:r>
      <w:r w:rsidRPr="000C0E58" w:rsidR="002A78E4">
        <w:rPr>
          <w:lang w:val="en-GB"/>
        </w:rPr>
        <w:t>various</w:t>
      </w:r>
      <w:r w:rsidRPr="000C0E58">
        <w:rPr>
          <w:lang w:val="en-GB"/>
        </w:rPr>
        <w:t xml:space="preserve"> sources.</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52</w:t>
      </w:r>
      <w:r w:rsidRPr="000C0E58">
        <w:rPr>
          <w:lang w:val="en-GB"/>
        </w:rPr>
        <w:fldChar w:fldCharType="end"/>
      </w:r>
      <w:r w:rsidRPr="000C0E58">
        <w:rPr>
          <w:lang w:val="en-GB"/>
        </w:rPr>
        <w:t>.  </w:t>
      </w:r>
      <w:r w:rsidRPr="000C0E58" w:rsidR="00B9463C">
        <w:rPr>
          <w:lang w:val="en-GB"/>
        </w:rPr>
        <w:t>In</w:t>
      </w:r>
      <w:r w:rsidRPr="000C0E58">
        <w:rPr>
          <w:lang w:val="en-GB"/>
        </w:rPr>
        <w:t xml:space="preserve"> her view, the former Constitution had conferred on disabled </w:t>
      </w:r>
      <w:r w:rsidRPr="000C0E58" w:rsidR="005F506A">
        <w:rPr>
          <w:lang w:val="en-GB"/>
        </w:rPr>
        <w:t xml:space="preserve">persons </w:t>
      </w:r>
      <w:r w:rsidRPr="000C0E58">
        <w:rPr>
          <w:lang w:val="en-GB"/>
        </w:rPr>
        <w:t>an entitlement to social</w:t>
      </w:r>
      <w:r w:rsidRPr="000C0E58" w:rsidR="002A78E4">
        <w:rPr>
          <w:lang w:val="en-GB"/>
        </w:rPr>
        <w:t>-</w:t>
      </w:r>
      <w:r w:rsidRPr="000C0E58">
        <w:rPr>
          <w:lang w:val="en-GB"/>
        </w:rPr>
        <w:t xml:space="preserve">welfare benefits as of right. </w:t>
      </w:r>
      <w:r w:rsidRPr="000C0E58" w:rsidR="00B9463C">
        <w:rPr>
          <w:lang w:val="en-GB"/>
        </w:rPr>
        <w:t>According to the Constitutional Court</w:t>
      </w:r>
      <w:r w:rsidRPr="000C0E58" w:rsidR="000C0E58">
        <w:rPr>
          <w:lang w:val="en-GB"/>
        </w:rPr>
        <w:t>’</w:t>
      </w:r>
      <w:r w:rsidRPr="000C0E58" w:rsidR="00B9463C">
        <w:rPr>
          <w:lang w:val="en-GB"/>
        </w:rPr>
        <w:t xml:space="preserve">s interpretation, </w:t>
      </w:r>
      <w:r w:rsidRPr="000C0E58">
        <w:rPr>
          <w:lang w:val="en-GB"/>
        </w:rPr>
        <w:t>she</w:t>
      </w:r>
      <w:r w:rsidRPr="000C0E58" w:rsidR="00B9463C">
        <w:rPr>
          <w:lang w:val="en-GB"/>
        </w:rPr>
        <w:t xml:space="preserve">, </w:t>
      </w:r>
      <w:r w:rsidRPr="000C0E58" w:rsidR="002A78E4">
        <w:rPr>
          <w:lang w:val="en-GB"/>
        </w:rPr>
        <w:t xml:space="preserve">as a </w:t>
      </w:r>
      <w:r w:rsidRPr="000C0E58" w:rsidR="00B9463C">
        <w:rPr>
          <w:lang w:val="en-GB"/>
        </w:rPr>
        <w:t>disabled</w:t>
      </w:r>
      <w:r w:rsidRPr="000C0E58" w:rsidR="002A78E4">
        <w:rPr>
          <w:lang w:val="en-GB"/>
        </w:rPr>
        <w:t xml:space="preserve"> individual</w:t>
      </w:r>
      <w:r w:rsidRPr="000C0E58" w:rsidR="00B9463C">
        <w:rPr>
          <w:lang w:val="en-GB"/>
        </w:rPr>
        <w:t>,</w:t>
      </w:r>
      <w:r w:rsidRPr="000C0E58" w:rsidR="00082673">
        <w:rPr>
          <w:lang w:val="en-GB"/>
        </w:rPr>
        <w:t xml:space="preserve"> had </w:t>
      </w:r>
      <w:r w:rsidRPr="000C0E58" w:rsidR="00082673">
        <w:rPr>
          <w:lang w:val="en-GB"/>
        </w:rPr>
        <w:t xml:space="preserve">an assertable </w:t>
      </w:r>
      <w:r w:rsidRPr="000C0E58">
        <w:rPr>
          <w:lang w:val="en-GB"/>
        </w:rPr>
        <w:t>right to some form of welfare benefit. At the hearing</w:t>
      </w:r>
      <w:r w:rsidRPr="000C0E58" w:rsidR="002A78E4">
        <w:rPr>
          <w:lang w:val="en-GB"/>
        </w:rPr>
        <w:t>,</w:t>
      </w:r>
      <w:r w:rsidRPr="000C0E58" w:rsidR="00082673">
        <w:rPr>
          <w:lang w:val="en-GB"/>
        </w:rPr>
        <w:t xml:space="preserve"> she</w:t>
      </w:r>
      <w:r w:rsidRPr="000C0E58">
        <w:rPr>
          <w:lang w:val="en-GB"/>
        </w:rPr>
        <w:t xml:space="preserve"> referred to decision</w:t>
      </w:r>
      <w:r w:rsidRPr="000C0E58" w:rsidR="00082673">
        <w:rPr>
          <w:lang w:val="en-GB"/>
        </w:rPr>
        <w:t>s</w:t>
      </w:r>
      <w:r w:rsidRPr="000C0E58">
        <w:rPr>
          <w:lang w:val="en-GB"/>
        </w:rPr>
        <w:t xml:space="preserve"> no. 37/2011 of the Hungarian Constitutional Court and no. 1 BvL 1/09 of the German Federal Constitutional Court, both confirming, in her view, the existence of a right to </w:t>
      </w:r>
      <w:r w:rsidRPr="000C0E58" w:rsidR="00FA7C0D">
        <w:rPr>
          <w:lang w:val="en-GB"/>
        </w:rPr>
        <w:t xml:space="preserve">a </w:t>
      </w:r>
      <w:r w:rsidRPr="000C0E58">
        <w:rPr>
          <w:lang w:val="en-GB"/>
        </w:rPr>
        <w:t xml:space="preserve">social </w:t>
      </w:r>
      <w:r w:rsidRPr="000C0E58" w:rsidR="00FA7C0D">
        <w:rPr>
          <w:lang w:val="en-GB"/>
        </w:rPr>
        <w:t xml:space="preserve">allowance </w:t>
      </w:r>
      <w:r w:rsidRPr="000C0E58">
        <w:rPr>
          <w:lang w:val="en-GB"/>
        </w:rPr>
        <w:t xml:space="preserve">for those in need, to the extent </w:t>
      </w:r>
      <w:r w:rsidRPr="000C0E58" w:rsidR="00082673">
        <w:rPr>
          <w:lang w:val="en-GB"/>
        </w:rPr>
        <w:t xml:space="preserve">that </w:t>
      </w:r>
      <w:r w:rsidRPr="000C0E58" w:rsidR="00FA7C0D">
        <w:rPr>
          <w:lang w:val="en-GB"/>
        </w:rPr>
        <w:t xml:space="preserve">this </w:t>
      </w:r>
      <w:r w:rsidRPr="000C0E58">
        <w:rPr>
          <w:lang w:val="en-GB"/>
        </w:rPr>
        <w:t>is required for basic subsistence.</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53</w:t>
      </w:r>
      <w:r w:rsidRPr="000C0E58">
        <w:rPr>
          <w:lang w:val="en-GB"/>
        </w:rPr>
        <w:fldChar w:fldCharType="end"/>
      </w:r>
      <w:r w:rsidRPr="000C0E58">
        <w:rPr>
          <w:lang w:val="en-GB"/>
        </w:rPr>
        <w:t>.  </w:t>
      </w:r>
      <w:r w:rsidRPr="000C0E58" w:rsidR="00B9463C">
        <w:rPr>
          <w:lang w:val="en-GB"/>
        </w:rPr>
        <w:t>Moreover</w:t>
      </w:r>
      <w:r w:rsidRPr="000C0E58">
        <w:rPr>
          <w:lang w:val="en-GB"/>
        </w:rPr>
        <w:t>, she relied on Article 12 § 2 of the European Social Charter</w:t>
      </w:r>
      <w:r w:rsidRPr="000C0E58" w:rsidR="00B9463C">
        <w:rPr>
          <w:lang w:val="en-GB"/>
        </w:rPr>
        <w:t>,</w:t>
      </w:r>
      <w:r w:rsidRPr="000C0E58">
        <w:rPr>
          <w:lang w:val="en-GB"/>
        </w:rPr>
        <w:t xml:space="preserve"> which contains </w:t>
      </w:r>
      <w:r w:rsidRPr="000C0E58" w:rsidR="002A78E4">
        <w:rPr>
          <w:lang w:val="en-GB"/>
        </w:rPr>
        <w:t xml:space="preserve">a </w:t>
      </w:r>
      <w:r w:rsidRPr="000C0E58">
        <w:rPr>
          <w:lang w:val="en-GB"/>
        </w:rPr>
        <w:t>reference to ILO Convention no. 102</w:t>
      </w:r>
      <w:r w:rsidRPr="000C0E58" w:rsidR="002A78E4">
        <w:rPr>
          <w:lang w:val="en-GB"/>
        </w:rPr>
        <w:t>,</w:t>
      </w:r>
      <w:r w:rsidRPr="000C0E58">
        <w:rPr>
          <w:lang w:val="en-GB"/>
        </w:rPr>
        <w:t xml:space="preserve"> setting forth minimum standards in the field of social security</w:t>
      </w:r>
      <w:r w:rsidRPr="000C0E58" w:rsidR="00B9463C">
        <w:rPr>
          <w:lang w:val="en-GB"/>
        </w:rPr>
        <w:t xml:space="preserve">, as well as on </w:t>
      </w:r>
      <w:r w:rsidRPr="000C0E58">
        <w:rPr>
          <w:lang w:val="en-GB"/>
        </w:rPr>
        <w:t>the United Nations Convention on the Righ</w:t>
      </w:r>
      <w:r w:rsidRPr="000C0E58" w:rsidR="00B9463C">
        <w:rPr>
          <w:lang w:val="en-GB"/>
        </w:rPr>
        <w:t>ts of Persons with Disabilities</w:t>
      </w:r>
      <w:r w:rsidRPr="000C0E58">
        <w:rPr>
          <w:lang w:val="en-GB"/>
        </w:rPr>
        <w:t>.</w:t>
      </w:r>
      <w:r w:rsidRPr="000C0E58" w:rsidR="00B9463C">
        <w:rPr>
          <w:lang w:val="en-GB"/>
        </w:rPr>
        <w:t xml:space="preserve"> In her view, these texts, forming part of Hungary</w:t>
      </w:r>
      <w:r w:rsidRPr="000C0E58" w:rsidR="000C0E58">
        <w:rPr>
          <w:lang w:val="en-GB"/>
        </w:rPr>
        <w:t>’</w:t>
      </w:r>
      <w:r w:rsidRPr="000C0E58" w:rsidR="00B9463C">
        <w:rPr>
          <w:lang w:val="en-GB"/>
        </w:rPr>
        <w:t>s obligations under international law, also provided for an assertable right to disability benefit.</w:t>
      </w:r>
    </w:p>
    <w:p w:rsidRPr="000C0E58" w:rsidR="00E80B88"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54</w:t>
      </w:r>
      <w:r w:rsidRPr="000C0E58">
        <w:rPr>
          <w:lang w:val="en-GB"/>
        </w:rPr>
        <w:fldChar w:fldCharType="end"/>
      </w:r>
      <w:r w:rsidRPr="000C0E58">
        <w:rPr>
          <w:lang w:val="en-GB"/>
        </w:rPr>
        <w:t xml:space="preserve">.  The applicant </w:t>
      </w:r>
      <w:r w:rsidRPr="000C0E58" w:rsidR="00E62CEA">
        <w:rPr>
          <w:lang w:val="en-GB"/>
        </w:rPr>
        <w:t xml:space="preserve">further </w:t>
      </w:r>
      <w:r w:rsidRPr="000C0E58">
        <w:rPr>
          <w:lang w:val="en-GB"/>
        </w:rPr>
        <w:t xml:space="preserve">argued that her right to disability pension was </w:t>
      </w:r>
      <w:r w:rsidRPr="000C0E58" w:rsidR="005F506A">
        <w:rPr>
          <w:lang w:val="en-GB"/>
        </w:rPr>
        <w:t xml:space="preserve">likewise </w:t>
      </w:r>
      <w:r w:rsidRPr="000C0E58">
        <w:rPr>
          <w:lang w:val="en-GB"/>
        </w:rPr>
        <w:t xml:space="preserve">assertable under the domestic law, </w:t>
      </w:r>
      <w:r w:rsidRPr="000C0E58" w:rsidR="005F506A">
        <w:rPr>
          <w:lang w:val="en-GB"/>
        </w:rPr>
        <w:t xml:space="preserve">in particular </w:t>
      </w:r>
      <w:r w:rsidRPr="000C0E58">
        <w:rPr>
          <w:lang w:val="en-GB"/>
        </w:rPr>
        <w:t xml:space="preserve">Act no. </w:t>
      </w:r>
      <w:r w:rsidRPr="000C0E58">
        <w:rPr>
          <w:lang w:val="en-GB"/>
        </w:rPr>
        <w:t>LXXXI of 1997 on Social</w:t>
      </w:r>
      <w:r w:rsidRPr="000C0E58" w:rsidR="002A78E4">
        <w:rPr>
          <w:lang w:val="en-GB"/>
        </w:rPr>
        <w:t>-</w:t>
      </w:r>
      <w:r w:rsidRPr="000C0E58">
        <w:rPr>
          <w:lang w:val="en-GB"/>
        </w:rPr>
        <w:t>Security Pension</w:t>
      </w:r>
      <w:r w:rsidRPr="000C0E58" w:rsidR="002A78E4">
        <w:rPr>
          <w:lang w:val="en-GB"/>
        </w:rPr>
        <w:t>s</w:t>
      </w:r>
      <w:r w:rsidRPr="000C0E58">
        <w:rPr>
          <w:lang w:val="en-GB"/>
        </w:rPr>
        <w:t>.</w:t>
      </w:r>
      <w:r w:rsidRPr="000C0E58">
        <w:rPr>
          <w:lang w:val="en-GB"/>
        </w:rPr>
        <w:t xml:space="preserve"> </w:t>
      </w:r>
      <w:r w:rsidRPr="000C0E58" w:rsidR="002A78E4">
        <w:rPr>
          <w:lang w:val="en-GB"/>
        </w:rPr>
        <w:t xml:space="preserve">Under the </w:t>
      </w:r>
      <w:r w:rsidRPr="000C0E58" w:rsidR="00E62CEA">
        <w:rPr>
          <w:lang w:val="en-GB"/>
        </w:rPr>
        <w:t>terms of that statute,</w:t>
      </w:r>
      <w:r w:rsidRPr="000C0E58">
        <w:rPr>
          <w:lang w:val="en-GB"/>
        </w:rPr>
        <w:t xml:space="preserve"> she had obtained an assertable right to a disability benefit on the strength of </w:t>
      </w:r>
      <w:r w:rsidRPr="000C0E58" w:rsidR="002A78E4">
        <w:rPr>
          <w:lang w:val="en-GB"/>
        </w:rPr>
        <w:t xml:space="preserve">having </w:t>
      </w:r>
      <w:r w:rsidRPr="000C0E58">
        <w:rPr>
          <w:lang w:val="en-GB"/>
        </w:rPr>
        <w:t>becom</w:t>
      </w:r>
      <w:r w:rsidRPr="000C0E58" w:rsidR="002A78E4">
        <w:rPr>
          <w:lang w:val="en-GB"/>
        </w:rPr>
        <w:t xml:space="preserve">e </w:t>
      </w:r>
      <w:r w:rsidRPr="000C0E58">
        <w:rPr>
          <w:lang w:val="en-GB"/>
        </w:rPr>
        <w:t xml:space="preserve">disabled; </w:t>
      </w:r>
      <w:r w:rsidRPr="000C0E58" w:rsidR="005F506A">
        <w:rPr>
          <w:lang w:val="en-GB"/>
        </w:rPr>
        <w:t xml:space="preserve">in subsequently granting her the disability pension, </w:t>
      </w:r>
      <w:r w:rsidRPr="000C0E58">
        <w:rPr>
          <w:lang w:val="en-GB"/>
        </w:rPr>
        <w:t xml:space="preserve">the authorities </w:t>
      </w:r>
      <w:r w:rsidRPr="000C0E58" w:rsidR="002A78E4">
        <w:rPr>
          <w:lang w:val="en-GB"/>
        </w:rPr>
        <w:t xml:space="preserve">had merely </w:t>
      </w:r>
      <w:r w:rsidRPr="000C0E58">
        <w:rPr>
          <w:lang w:val="en-GB"/>
        </w:rPr>
        <w:t xml:space="preserve">endorsed </w:t>
      </w:r>
      <w:r w:rsidRPr="000C0E58" w:rsidR="00E62CEA">
        <w:rPr>
          <w:lang w:val="en-GB"/>
        </w:rPr>
        <w:t>that</w:t>
      </w:r>
      <w:r w:rsidRPr="000C0E58">
        <w:rPr>
          <w:lang w:val="en-GB"/>
        </w:rPr>
        <w:t xml:space="preserve"> right</w:t>
      </w:r>
      <w:r w:rsidRPr="000C0E58" w:rsidR="00E62CEA">
        <w:rPr>
          <w:lang w:val="en-GB"/>
        </w:rPr>
        <w:t>,</w:t>
      </w:r>
      <w:r w:rsidRPr="000C0E58">
        <w:rPr>
          <w:lang w:val="en-GB"/>
        </w:rPr>
        <w:t xml:space="preserve"> </w:t>
      </w:r>
      <w:r w:rsidRPr="000C0E58" w:rsidR="00E62CEA">
        <w:rPr>
          <w:lang w:val="en-GB"/>
        </w:rPr>
        <w:t xml:space="preserve">already </w:t>
      </w:r>
      <w:r w:rsidRPr="000C0E58" w:rsidR="006D3C35">
        <w:rPr>
          <w:lang w:val="en-GB"/>
        </w:rPr>
        <w:t>existing</w:t>
      </w:r>
      <w:r w:rsidRPr="000C0E58">
        <w:rPr>
          <w:lang w:val="en-GB"/>
        </w:rPr>
        <w:t>.</w:t>
      </w:r>
    </w:p>
    <w:p w:rsidRPr="000C0E58" w:rsidR="00E62CEA"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55</w:t>
      </w:r>
      <w:r w:rsidRPr="000C0E58">
        <w:rPr>
          <w:lang w:val="en-GB"/>
        </w:rPr>
        <w:fldChar w:fldCharType="end"/>
      </w:r>
      <w:r w:rsidRPr="000C0E58">
        <w:rPr>
          <w:lang w:val="en-GB"/>
        </w:rPr>
        <w:t xml:space="preserve">.  At the hearing, the applicant noted that the Government had accepted, if only for the period until her actual pension entitlement was terminated, the existence of a legitimate expectation flowing from the domestic law as in force when her eligibility </w:t>
      </w:r>
      <w:r w:rsidRPr="000C0E58" w:rsidR="002A78E4">
        <w:rPr>
          <w:lang w:val="en-GB"/>
        </w:rPr>
        <w:t xml:space="preserve">was </w:t>
      </w:r>
      <w:r w:rsidRPr="000C0E58">
        <w:rPr>
          <w:lang w:val="en-GB"/>
        </w:rPr>
        <w:t>first established in 2001.</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56</w:t>
      </w:r>
      <w:r w:rsidRPr="000C0E58">
        <w:rPr>
          <w:lang w:val="en-GB"/>
        </w:rPr>
        <w:fldChar w:fldCharType="end"/>
      </w:r>
      <w:r w:rsidRPr="000C0E58">
        <w:rPr>
          <w:lang w:val="en-GB"/>
        </w:rPr>
        <w:t xml:space="preserve">.  The applicant stressed that her health condition had not improved, as was stated in the expert opinion of 16 February 2011. Accordingly, she </w:t>
      </w:r>
      <w:r w:rsidRPr="000C0E58" w:rsidR="005F506A">
        <w:rPr>
          <w:lang w:val="en-GB"/>
        </w:rPr>
        <w:t xml:space="preserve">had </w:t>
      </w:r>
      <w:r w:rsidRPr="000C0E58">
        <w:rPr>
          <w:lang w:val="en-GB"/>
        </w:rPr>
        <w:t>not cease</w:t>
      </w:r>
      <w:r w:rsidRPr="000C0E58" w:rsidR="005F506A">
        <w:rPr>
          <w:lang w:val="en-GB"/>
        </w:rPr>
        <w:t>d</w:t>
      </w:r>
      <w:r w:rsidRPr="000C0E58">
        <w:rPr>
          <w:lang w:val="en-GB"/>
        </w:rPr>
        <w:t xml:space="preserve"> to satisfy the relevant conditions; instead, it was the legal conditions </w:t>
      </w:r>
      <w:r w:rsidRPr="000C0E58" w:rsidR="005F506A">
        <w:rPr>
          <w:lang w:val="en-GB"/>
        </w:rPr>
        <w:t xml:space="preserve">which </w:t>
      </w:r>
      <w:r w:rsidRPr="000C0E58">
        <w:rPr>
          <w:lang w:val="en-GB"/>
        </w:rPr>
        <w:t xml:space="preserve">had changed. </w:t>
      </w:r>
      <w:r w:rsidRPr="000C0E58" w:rsidR="008C3A97">
        <w:rPr>
          <w:lang w:val="en-GB"/>
        </w:rPr>
        <w:t xml:space="preserve">She </w:t>
      </w:r>
      <w:r w:rsidRPr="000C0E58" w:rsidR="00E62CEA">
        <w:rPr>
          <w:lang w:val="en-GB"/>
        </w:rPr>
        <w:t>noted</w:t>
      </w:r>
      <w:r w:rsidRPr="000C0E58" w:rsidR="008C3A97">
        <w:rPr>
          <w:lang w:val="en-GB"/>
        </w:rPr>
        <w:t xml:space="preserve"> that t</w:t>
      </w:r>
      <w:r w:rsidRPr="000C0E58">
        <w:rPr>
          <w:lang w:val="en-GB"/>
        </w:rPr>
        <w:t xml:space="preserve">he Government had not produced any medical report or expert opinion clearly pointing to </w:t>
      </w:r>
      <w:r w:rsidRPr="000C0E58" w:rsidR="008C3A97">
        <w:rPr>
          <w:lang w:val="en-GB"/>
        </w:rPr>
        <w:t>any</w:t>
      </w:r>
      <w:r w:rsidRPr="000C0E58">
        <w:rPr>
          <w:lang w:val="en-GB"/>
        </w:rPr>
        <w:t xml:space="preserve"> improvement</w:t>
      </w:r>
      <w:r w:rsidRPr="000C0E58" w:rsidR="005F506A">
        <w:rPr>
          <w:lang w:val="en-GB"/>
        </w:rPr>
        <w:t xml:space="preserve"> in her health</w:t>
      </w:r>
      <w:r w:rsidRPr="000C0E58">
        <w:rPr>
          <w:lang w:val="en-GB"/>
        </w:rPr>
        <w:t>.</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57</w:t>
      </w:r>
      <w:r w:rsidRPr="000C0E58">
        <w:rPr>
          <w:lang w:val="en-GB"/>
        </w:rPr>
        <w:fldChar w:fldCharType="end"/>
      </w:r>
      <w:r w:rsidRPr="000C0E58">
        <w:rPr>
          <w:lang w:val="en-GB"/>
        </w:rPr>
        <w:t>.  </w:t>
      </w:r>
      <w:r w:rsidRPr="000C0E58" w:rsidR="00E62CEA">
        <w:rPr>
          <w:lang w:val="en-GB"/>
        </w:rPr>
        <w:t>The</w:t>
      </w:r>
      <w:r w:rsidRPr="000C0E58">
        <w:rPr>
          <w:lang w:val="en-GB"/>
        </w:rPr>
        <w:t xml:space="preserve"> </w:t>
      </w:r>
      <w:r w:rsidRPr="000C0E58" w:rsidR="00E62CEA">
        <w:rPr>
          <w:lang w:val="en-GB"/>
        </w:rPr>
        <w:t>interference with her rights under Artic</w:t>
      </w:r>
      <w:r w:rsidRPr="000C0E58" w:rsidR="00696877">
        <w:rPr>
          <w:lang w:val="en-GB"/>
        </w:rPr>
        <w:t>le 1 of Protocol No. </w:t>
      </w:r>
      <w:r w:rsidRPr="000C0E58" w:rsidR="00E62CEA">
        <w:rPr>
          <w:lang w:val="en-GB"/>
        </w:rPr>
        <w:t xml:space="preserve">1 </w:t>
      </w:r>
      <w:r w:rsidRPr="000C0E58">
        <w:rPr>
          <w:lang w:val="en-GB"/>
        </w:rPr>
        <w:t xml:space="preserve">consisted not only </w:t>
      </w:r>
      <w:r w:rsidRPr="000C0E58" w:rsidR="008C3A97">
        <w:rPr>
          <w:lang w:val="en-GB"/>
        </w:rPr>
        <w:t>in</w:t>
      </w:r>
      <w:r w:rsidRPr="000C0E58">
        <w:rPr>
          <w:lang w:val="en-GB"/>
        </w:rPr>
        <w:t xml:space="preserve"> the dismissal of her request in 2012 but </w:t>
      </w:r>
      <w:r w:rsidRPr="000C0E58" w:rsidR="008C3A97">
        <w:rPr>
          <w:lang w:val="en-GB"/>
        </w:rPr>
        <w:t>in</w:t>
      </w:r>
      <w:r w:rsidRPr="000C0E58">
        <w:rPr>
          <w:lang w:val="en-GB"/>
        </w:rPr>
        <w:t xml:space="preserve"> a “continuing situation” of interference since the withdrawal of her disability pension in 2010</w:t>
      </w:r>
      <w:r w:rsidRPr="000C0E58" w:rsidR="008C3A97">
        <w:rPr>
          <w:lang w:val="en-GB"/>
        </w:rPr>
        <w:t xml:space="preserve">, </w:t>
      </w:r>
      <w:r w:rsidRPr="000C0E58" w:rsidR="00330BFE">
        <w:rPr>
          <w:lang w:val="en-GB"/>
        </w:rPr>
        <w:t xml:space="preserve">enshrined in </w:t>
      </w:r>
      <w:r w:rsidRPr="000C0E58" w:rsidR="008C3A97">
        <w:rPr>
          <w:lang w:val="en-GB"/>
        </w:rPr>
        <w:t xml:space="preserve">the </w:t>
      </w:r>
      <w:r w:rsidRPr="000C0E58">
        <w:rPr>
          <w:lang w:val="en-GB"/>
        </w:rPr>
        <w:t>persistent</w:t>
      </w:r>
      <w:r w:rsidRPr="000C0E58" w:rsidR="008C3A97">
        <w:rPr>
          <w:lang w:val="en-GB"/>
        </w:rPr>
        <w:t xml:space="preserve"> </w:t>
      </w:r>
      <w:r w:rsidRPr="000C0E58">
        <w:rPr>
          <w:lang w:val="en-GB"/>
        </w:rPr>
        <w:t>deni</w:t>
      </w:r>
      <w:r w:rsidRPr="000C0E58" w:rsidR="008C3A97">
        <w:rPr>
          <w:lang w:val="en-GB"/>
        </w:rPr>
        <w:t>al of disability benefits</w:t>
      </w:r>
      <w:r w:rsidRPr="000C0E58" w:rsidR="00330BFE">
        <w:rPr>
          <w:lang w:val="en-GB"/>
        </w:rPr>
        <w:t>,</w:t>
      </w:r>
      <w:r w:rsidRPr="000C0E58">
        <w:rPr>
          <w:lang w:val="en-GB"/>
        </w:rPr>
        <w:t xml:space="preserve"> notwithstanding the periodic reviews </w:t>
      </w:r>
      <w:r w:rsidRPr="000C0E58" w:rsidR="00FB3E5B">
        <w:rPr>
          <w:lang w:val="en-GB"/>
        </w:rPr>
        <w:t>undergone by her</w:t>
      </w:r>
      <w:r w:rsidRPr="000C0E58">
        <w:rPr>
          <w:lang w:val="en-GB"/>
        </w:rPr>
        <w:t xml:space="preserve">. </w:t>
      </w:r>
      <w:r w:rsidRPr="000C0E58" w:rsidR="00330BFE">
        <w:rPr>
          <w:lang w:val="en-GB"/>
        </w:rPr>
        <w:t>As t</w:t>
      </w:r>
      <w:r w:rsidRPr="000C0E58" w:rsidR="008C3A97">
        <w:rPr>
          <w:lang w:val="en-GB"/>
        </w:rPr>
        <w:t>his</w:t>
      </w:r>
      <w:r w:rsidRPr="000C0E58">
        <w:rPr>
          <w:lang w:val="en-GB"/>
        </w:rPr>
        <w:t xml:space="preserve"> render</w:t>
      </w:r>
      <w:r w:rsidRPr="000C0E58" w:rsidR="00330BFE">
        <w:rPr>
          <w:lang w:val="en-GB"/>
        </w:rPr>
        <w:t xml:space="preserve">ed </w:t>
      </w:r>
      <w:r w:rsidRPr="000C0E58">
        <w:rPr>
          <w:lang w:val="en-GB"/>
        </w:rPr>
        <w:t xml:space="preserve">the six-month rule inapplicable, the applicant invited the Grand Chamber to </w:t>
      </w:r>
      <w:r w:rsidRPr="000C0E58" w:rsidR="008C3A97">
        <w:rPr>
          <w:lang w:val="en-GB"/>
        </w:rPr>
        <w:t>examine</w:t>
      </w:r>
      <w:r w:rsidRPr="000C0E58">
        <w:rPr>
          <w:lang w:val="en-GB"/>
        </w:rPr>
        <w:t xml:space="preserve"> the lawfulness of the termination of her disability pension in 2010.</w:t>
      </w:r>
    </w:p>
    <w:p w:rsidRPr="000C0E58" w:rsidR="00C5234C" w:rsidP="000C0E58">
      <w:pPr>
        <w:pStyle w:val="ECHRPara"/>
        <w:rPr>
          <w:rFonts w:ascii="Times New Roman" w:hAnsi="Times New Roman" w:cs="Times New Roman"/>
          <w:szCs w:val="24"/>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58</w:t>
      </w:r>
      <w:r w:rsidRPr="000C0E58">
        <w:rPr>
          <w:lang w:val="en-GB"/>
        </w:rPr>
        <w:fldChar w:fldCharType="end"/>
      </w:r>
      <w:r w:rsidRPr="000C0E58">
        <w:rPr>
          <w:lang w:val="en-GB"/>
        </w:rPr>
        <w:t>.  </w:t>
      </w:r>
      <w:r w:rsidRPr="000C0E58" w:rsidR="00E62CEA">
        <w:rPr>
          <w:lang w:val="en-GB"/>
        </w:rPr>
        <w:t>Furthermore, th</w:t>
      </w:r>
      <w:r w:rsidRPr="000C0E58">
        <w:rPr>
          <w:lang w:val="en-GB"/>
        </w:rPr>
        <w:t xml:space="preserve">e applicant argued that </w:t>
      </w:r>
      <w:r w:rsidRPr="000C0E58" w:rsidR="00E62CEA">
        <w:rPr>
          <w:lang w:val="en-GB"/>
        </w:rPr>
        <w:t>the</w:t>
      </w:r>
      <w:r w:rsidRPr="000C0E58">
        <w:rPr>
          <w:lang w:val="en-GB"/>
        </w:rPr>
        <w:t xml:space="preserve"> disability pension had been withdrawn </w:t>
      </w:r>
      <w:r w:rsidRPr="000C0E58" w:rsidR="008C3A97">
        <w:rPr>
          <w:lang w:val="en-GB"/>
        </w:rPr>
        <w:t>by way of</w:t>
      </w:r>
      <w:r w:rsidRPr="000C0E58">
        <w:rPr>
          <w:lang w:val="en-GB"/>
        </w:rPr>
        <w:t xml:space="preserve"> quasi-retroactive legislation, without regard to acquired rights</w:t>
      </w:r>
      <w:r w:rsidRPr="000C0E58" w:rsidR="008C3A97">
        <w:rPr>
          <w:lang w:val="en-GB"/>
        </w:rPr>
        <w:t xml:space="preserve"> and</w:t>
      </w:r>
      <w:r w:rsidRPr="000C0E58">
        <w:rPr>
          <w:lang w:val="en-GB"/>
        </w:rPr>
        <w:t xml:space="preserve"> on the ground of an assessment methodology of dubious legal value. </w:t>
      </w:r>
      <w:r w:rsidRPr="000C0E58" w:rsidR="000138D7">
        <w:rPr>
          <w:lang w:val="en-GB"/>
        </w:rPr>
        <w:t>T</w:t>
      </w:r>
      <w:r w:rsidRPr="000C0E58">
        <w:rPr>
          <w:lang w:val="en-GB"/>
        </w:rPr>
        <w:t xml:space="preserve">he Government had failed to provide any truly legitimate aim pursued by the interference. Nor </w:t>
      </w:r>
      <w:r w:rsidRPr="000C0E58" w:rsidR="008C3A97">
        <w:rPr>
          <w:lang w:val="en-GB"/>
        </w:rPr>
        <w:t>was</w:t>
      </w:r>
      <w:r w:rsidRPr="000C0E58">
        <w:rPr>
          <w:lang w:val="en-GB"/>
        </w:rPr>
        <w:t xml:space="preserve"> </w:t>
      </w:r>
      <w:r w:rsidRPr="000C0E58" w:rsidR="008C3A97">
        <w:rPr>
          <w:lang w:val="en-GB"/>
        </w:rPr>
        <w:t>it</w:t>
      </w:r>
      <w:r w:rsidRPr="000C0E58">
        <w:rPr>
          <w:lang w:val="en-GB"/>
        </w:rPr>
        <w:t xml:space="preserve"> proportiona</w:t>
      </w:r>
      <w:r w:rsidRPr="000C0E58" w:rsidR="000138D7">
        <w:rPr>
          <w:lang w:val="en-GB"/>
        </w:rPr>
        <w:t>te</w:t>
      </w:r>
      <w:r w:rsidRPr="000C0E58" w:rsidR="003112B7">
        <w:rPr>
          <w:lang w:val="en-GB"/>
        </w:rPr>
        <w:t xml:space="preserve">. </w:t>
      </w:r>
      <w:r w:rsidRPr="000C0E58" w:rsidR="003112B7">
        <w:rPr>
          <w:rFonts w:ascii="Times New Roman" w:hAnsi="Times New Roman" w:cs="Times New Roman"/>
          <w:szCs w:val="24"/>
          <w:lang w:val="en-GB"/>
        </w:rPr>
        <w:t xml:space="preserve">Despite her continuous illness, her disability benefit had been unduly withdrawn and her subsequent requests </w:t>
      </w:r>
      <w:r w:rsidRPr="000C0E58" w:rsidR="00E33D40">
        <w:rPr>
          <w:rFonts w:ascii="Times New Roman" w:hAnsi="Times New Roman" w:cs="Times New Roman"/>
          <w:szCs w:val="24"/>
          <w:lang w:val="en-GB"/>
        </w:rPr>
        <w:t>had</w:t>
      </w:r>
      <w:r w:rsidRPr="000C0E58" w:rsidR="003112B7">
        <w:rPr>
          <w:rFonts w:ascii="Times New Roman" w:hAnsi="Times New Roman" w:cs="Times New Roman"/>
          <w:szCs w:val="24"/>
          <w:lang w:val="en-GB"/>
        </w:rPr>
        <w:t xml:space="preserve"> also </w:t>
      </w:r>
      <w:r w:rsidRPr="000C0E58" w:rsidR="00E33D40">
        <w:rPr>
          <w:rFonts w:ascii="Times New Roman" w:hAnsi="Times New Roman" w:cs="Times New Roman"/>
          <w:szCs w:val="24"/>
          <w:lang w:val="en-GB"/>
        </w:rPr>
        <w:t xml:space="preserve">been </w:t>
      </w:r>
      <w:r w:rsidRPr="000C0E58" w:rsidR="003112B7">
        <w:rPr>
          <w:rFonts w:ascii="Times New Roman" w:hAnsi="Times New Roman" w:cs="Times New Roman"/>
          <w:szCs w:val="24"/>
          <w:lang w:val="en-GB"/>
        </w:rPr>
        <w:t xml:space="preserve">unduly denied. </w:t>
      </w:r>
      <w:r w:rsidRPr="000C0E58" w:rsidR="003112B7">
        <w:rPr>
          <w:rFonts w:ascii="Times New Roman" w:hAnsi="Times New Roman" w:cs="Times New Roman"/>
          <w:lang w:val="en-GB"/>
        </w:rPr>
        <w:t>Rather than having to endure a reasonable and commensurate reduction</w:t>
      </w:r>
      <w:r w:rsidRPr="000C0E58" w:rsidR="000138D7">
        <w:rPr>
          <w:lang w:val="en-GB"/>
        </w:rPr>
        <w:t xml:space="preserve"> </w:t>
      </w:r>
      <w:r w:rsidRPr="000C0E58" w:rsidR="007C1F2F">
        <w:rPr>
          <w:lang w:val="en-GB"/>
        </w:rPr>
        <w:t xml:space="preserve">in the level of benefits, </w:t>
      </w:r>
      <w:r w:rsidRPr="000C0E58">
        <w:rPr>
          <w:lang w:val="en-GB"/>
        </w:rPr>
        <w:t xml:space="preserve">she had been totally divested of her </w:t>
      </w:r>
      <w:r w:rsidRPr="000C0E58" w:rsidR="000138D7">
        <w:rPr>
          <w:lang w:val="en-GB"/>
        </w:rPr>
        <w:t xml:space="preserve">means of </w:t>
      </w:r>
      <w:r w:rsidRPr="000C0E58" w:rsidR="003112B7">
        <w:rPr>
          <w:lang w:val="en-GB"/>
        </w:rPr>
        <w:t>subsistence</w:t>
      </w:r>
      <w:r w:rsidRPr="000C0E58" w:rsidR="00980088">
        <w:rPr>
          <w:lang w:val="en-GB"/>
        </w:rPr>
        <w:t xml:space="preserve"> and </w:t>
      </w:r>
      <w:r w:rsidRPr="000C0E58">
        <w:rPr>
          <w:rFonts w:ascii="Times New Roman" w:hAnsi="Times New Roman" w:cs="Times New Roman"/>
          <w:szCs w:val="24"/>
          <w:lang w:val="en-GB"/>
        </w:rPr>
        <w:t>had</w:t>
      </w:r>
      <w:r w:rsidRPr="000C0E58" w:rsidR="007C1F2F">
        <w:rPr>
          <w:rFonts w:ascii="Times New Roman" w:hAnsi="Times New Roman" w:cs="Times New Roman"/>
          <w:szCs w:val="24"/>
          <w:lang w:val="en-GB"/>
        </w:rPr>
        <w:t xml:space="preserve"> </w:t>
      </w:r>
      <w:r w:rsidRPr="000C0E58" w:rsidR="00980088">
        <w:rPr>
          <w:rFonts w:ascii="Times New Roman" w:hAnsi="Times New Roman" w:cs="Times New Roman"/>
          <w:szCs w:val="24"/>
          <w:lang w:val="en-GB"/>
        </w:rPr>
        <w:t xml:space="preserve">thus </w:t>
      </w:r>
      <w:r w:rsidRPr="000C0E58" w:rsidR="007C1F2F">
        <w:rPr>
          <w:rFonts w:ascii="Times New Roman" w:hAnsi="Times New Roman" w:cs="Times New Roman"/>
          <w:szCs w:val="24"/>
          <w:lang w:val="en-GB"/>
        </w:rPr>
        <w:t>to</w:t>
      </w:r>
      <w:r w:rsidRPr="000C0E58" w:rsidR="00980088">
        <w:rPr>
          <w:rFonts w:ascii="Times New Roman" w:hAnsi="Times New Roman" w:cs="Times New Roman"/>
          <w:szCs w:val="24"/>
          <w:lang w:val="en-GB"/>
        </w:rPr>
        <w:t xml:space="preserve"> bear</w:t>
      </w:r>
      <w:r w:rsidRPr="000C0E58" w:rsidR="006F00FD">
        <w:rPr>
          <w:rFonts w:ascii="Times New Roman" w:hAnsi="Times New Roman" w:cs="Times New Roman"/>
          <w:szCs w:val="24"/>
          <w:lang w:val="en-GB"/>
        </w:rPr>
        <w:t xml:space="preserve"> </w:t>
      </w:r>
      <w:r w:rsidRPr="000C0E58">
        <w:rPr>
          <w:rFonts w:ascii="Times New Roman" w:hAnsi="Times New Roman" w:cs="Times New Roman"/>
          <w:szCs w:val="24"/>
          <w:lang w:val="en-GB"/>
        </w:rPr>
        <w:t xml:space="preserve">an </w:t>
      </w:r>
      <w:r w:rsidRPr="000C0E58" w:rsidR="001754DC">
        <w:rPr>
          <w:rFonts w:ascii="Times New Roman" w:hAnsi="Times New Roman" w:cs="Times New Roman"/>
          <w:szCs w:val="24"/>
          <w:lang w:val="en-GB"/>
        </w:rPr>
        <w:t xml:space="preserve">excessive </w:t>
      </w:r>
      <w:r w:rsidRPr="000C0E58" w:rsidR="007C1F2F">
        <w:rPr>
          <w:rFonts w:ascii="Times New Roman" w:hAnsi="Times New Roman" w:cs="Times New Roman"/>
          <w:szCs w:val="24"/>
          <w:lang w:val="en-GB"/>
        </w:rPr>
        <w:t xml:space="preserve">individual </w:t>
      </w:r>
      <w:r w:rsidRPr="000C0E58">
        <w:rPr>
          <w:rFonts w:ascii="Times New Roman" w:hAnsi="Times New Roman" w:cs="Times New Roman"/>
          <w:szCs w:val="24"/>
          <w:lang w:val="en-GB"/>
        </w:rPr>
        <w:t>burden.</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59</w:t>
      </w:r>
      <w:r w:rsidRPr="000C0E58">
        <w:rPr>
          <w:lang w:val="en-GB"/>
        </w:rPr>
        <w:fldChar w:fldCharType="end"/>
      </w:r>
      <w:r w:rsidRPr="000C0E58">
        <w:rPr>
          <w:lang w:val="en-GB"/>
        </w:rPr>
        <w:t>.  Lastly, the applicant insisted, for the first time in her memorial to the Grand Chamber, on the need for a separate scrutiny of the facts of the case under Article 8</w:t>
      </w:r>
      <w:r w:rsidRPr="000C0E58" w:rsidR="006C3B35">
        <w:rPr>
          <w:lang w:val="en-GB"/>
        </w:rPr>
        <w:t xml:space="preserve"> of the Convention</w:t>
      </w:r>
      <w:r w:rsidRPr="000C0E58">
        <w:rPr>
          <w:lang w:val="en-GB"/>
        </w:rPr>
        <w:t xml:space="preserve"> </w:t>
      </w:r>
      <w:r w:rsidRPr="000C0E58" w:rsidR="00330BFE">
        <w:rPr>
          <w:lang w:val="en-GB"/>
        </w:rPr>
        <w:t xml:space="preserve">should </w:t>
      </w:r>
      <w:r w:rsidRPr="000C0E58">
        <w:rPr>
          <w:lang w:val="en-GB"/>
        </w:rPr>
        <w:t xml:space="preserve">the Court </w:t>
      </w:r>
      <w:r w:rsidRPr="000C0E58" w:rsidR="00330BFE">
        <w:rPr>
          <w:lang w:val="en-GB"/>
        </w:rPr>
        <w:t xml:space="preserve">be unable to </w:t>
      </w:r>
      <w:r w:rsidRPr="000C0E58">
        <w:rPr>
          <w:lang w:val="en-GB"/>
        </w:rPr>
        <w:t>find Article</w:t>
      </w:r>
      <w:r w:rsidRPr="000C0E58" w:rsidR="00330BFE">
        <w:rPr>
          <w:lang w:val="en-GB"/>
        </w:rPr>
        <w:t> </w:t>
      </w:r>
      <w:r w:rsidRPr="000C0E58">
        <w:rPr>
          <w:lang w:val="en-GB"/>
        </w:rPr>
        <w:t>1 of Protocol No. 1 applicable to her claim.</w:t>
      </w:r>
    </w:p>
    <w:p w:rsidRPr="000C0E58" w:rsidR="00061F43" w:rsidP="000C0E58">
      <w:pPr>
        <w:pStyle w:val="ECHRHeading3"/>
        <w:rPr>
          <w:lang w:val="en-GB"/>
        </w:rPr>
      </w:pPr>
      <w:r w:rsidRPr="000C0E58">
        <w:rPr>
          <w:lang w:val="en-GB"/>
        </w:rPr>
        <w:t>2.  The Government</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60</w:t>
      </w:r>
      <w:r w:rsidRPr="000C0E58">
        <w:rPr>
          <w:lang w:val="en-GB"/>
        </w:rPr>
        <w:fldChar w:fldCharType="end"/>
      </w:r>
      <w:r w:rsidRPr="000C0E58">
        <w:rPr>
          <w:lang w:val="en-GB"/>
        </w:rPr>
        <w:t xml:space="preserve">.  The Government argued that the application was inadmissible </w:t>
      </w:r>
      <w:r w:rsidRPr="000C0E58" w:rsidR="00330BFE">
        <w:rPr>
          <w:lang w:val="en-GB"/>
        </w:rPr>
        <w:t xml:space="preserve">as </w:t>
      </w:r>
      <w:r w:rsidRPr="000C0E58">
        <w:rPr>
          <w:lang w:val="en-GB"/>
        </w:rPr>
        <w:t xml:space="preserve">being incompatible </w:t>
      </w:r>
      <w:r w:rsidRPr="000C0E58">
        <w:rPr>
          <w:i/>
          <w:lang w:val="en-GB"/>
        </w:rPr>
        <w:t>ratione materiae</w:t>
      </w:r>
      <w:r w:rsidRPr="000C0E58">
        <w:rPr>
          <w:lang w:val="en-GB"/>
        </w:rPr>
        <w:t xml:space="preserve"> with the provisions of the Convention or its Protocols. </w:t>
      </w:r>
      <w:r w:rsidRPr="000C0E58" w:rsidR="00E62CEA">
        <w:rPr>
          <w:lang w:val="en-GB"/>
        </w:rPr>
        <w:t>The</w:t>
      </w:r>
      <w:r w:rsidRPr="000C0E58">
        <w:rPr>
          <w:lang w:val="en-GB"/>
        </w:rPr>
        <w:t xml:space="preserve"> legitimate expectation</w:t>
      </w:r>
      <w:r w:rsidRPr="000C0E58" w:rsidR="00E62CEA">
        <w:rPr>
          <w:lang w:val="en-GB"/>
        </w:rPr>
        <w:t xml:space="preserve"> to receive a disability benefit</w:t>
      </w:r>
      <w:r w:rsidRPr="000C0E58">
        <w:rPr>
          <w:lang w:val="en-GB"/>
        </w:rPr>
        <w:t xml:space="preserve"> </w:t>
      </w:r>
      <w:r w:rsidRPr="000C0E58" w:rsidR="00D730A7">
        <w:rPr>
          <w:lang w:val="en-GB"/>
        </w:rPr>
        <w:noBreakHyphen/>
        <w:t xml:space="preserve"> </w:t>
      </w:r>
      <w:r w:rsidRPr="000C0E58" w:rsidR="00E62CEA">
        <w:rPr>
          <w:lang w:val="en-GB"/>
        </w:rPr>
        <w:t xml:space="preserve">which </w:t>
      </w:r>
      <w:r w:rsidRPr="000C0E58" w:rsidR="00A40549">
        <w:rPr>
          <w:lang w:val="en-GB"/>
        </w:rPr>
        <w:t xml:space="preserve">admittedly </w:t>
      </w:r>
      <w:r w:rsidRPr="000C0E58" w:rsidR="00E62CEA">
        <w:rPr>
          <w:lang w:val="en-GB"/>
        </w:rPr>
        <w:t xml:space="preserve">had been </w:t>
      </w:r>
      <w:r w:rsidRPr="000C0E58">
        <w:rPr>
          <w:lang w:val="en-GB"/>
        </w:rPr>
        <w:t xml:space="preserve">generated by the domestic law </w:t>
      </w:r>
      <w:r w:rsidRPr="000C0E58" w:rsidR="00E62CEA">
        <w:rPr>
          <w:lang w:val="en-GB"/>
        </w:rPr>
        <w:t xml:space="preserve">in 2001 </w:t>
      </w:r>
      <w:r w:rsidRPr="000C0E58">
        <w:rPr>
          <w:lang w:val="en-GB"/>
        </w:rPr>
        <w:t xml:space="preserve">when </w:t>
      </w:r>
      <w:r w:rsidRPr="000C0E58" w:rsidR="00E62CEA">
        <w:rPr>
          <w:lang w:val="en-GB"/>
        </w:rPr>
        <w:t>the applicant</w:t>
      </w:r>
      <w:r w:rsidRPr="000C0E58" w:rsidR="000C0E58">
        <w:rPr>
          <w:lang w:val="en-GB"/>
        </w:rPr>
        <w:t>’</w:t>
      </w:r>
      <w:r w:rsidRPr="000C0E58" w:rsidR="00E62CEA">
        <w:rPr>
          <w:lang w:val="en-GB"/>
        </w:rPr>
        <w:t>s</w:t>
      </w:r>
      <w:r w:rsidRPr="000C0E58">
        <w:rPr>
          <w:lang w:val="en-GB"/>
        </w:rPr>
        <w:t xml:space="preserve"> eligibility had first been established</w:t>
      </w:r>
      <w:r w:rsidRPr="000C0E58" w:rsidR="00A40549">
        <w:rPr>
          <w:lang w:val="en-GB"/>
        </w:rPr>
        <w:t xml:space="preserve"> –</w:t>
      </w:r>
      <w:r w:rsidRPr="000C0E58">
        <w:rPr>
          <w:lang w:val="en-GB"/>
        </w:rPr>
        <w:t xml:space="preserve"> </w:t>
      </w:r>
      <w:r w:rsidRPr="000C0E58" w:rsidR="00330BFE">
        <w:rPr>
          <w:lang w:val="en-GB"/>
        </w:rPr>
        <w:t xml:space="preserve">had been </w:t>
      </w:r>
      <w:r w:rsidRPr="000C0E58">
        <w:rPr>
          <w:lang w:val="en-GB"/>
        </w:rPr>
        <w:t xml:space="preserve">extinguished with the withdrawal of her entitlement in 2010. </w:t>
      </w:r>
      <w:r w:rsidRPr="000C0E58" w:rsidR="00123658">
        <w:rPr>
          <w:lang w:val="en-GB"/>
        </w:rPr>
        <w:t>T</w:t>
      </w:r>
      <w:r w:rsidRPr="000C0E58">
        <w:rPr>
          <w:lang w:val="en-GB"/>
        </w:rPr>
        <w:t>he Government added that</w:t>
      </w:r>
      <w:r w:rsidRPr="000C0E58" w:rsidR="00330BFE">
        <w:rPr>
          <w:lang w:val="en-GB"/>
        </w:rPr>
        <w:t>,</w:t>
      </w:r>
      <w:r w:rsidRPr="000C0E58">
        <w:rPr>
          <w:lang w:val="en-GB"/>
        </w:rPr>
        <w:t xml:space="preserve"> had the law not </w:t>
      </w:r>
      <w:r w:rsidRPr="000C0E58" w:rsidR="00154C29">
        <w:rPr>
          <w:lang w:val="en-GB"/>
        </w:rPr>
        <w:t xml:space="preserve">been </w:t>
      </w:r>
      <w:r w:rsidRPr="000C0E58" w:rsidR="00330BFE">
        <w:rPr>
          <w:lang w:val="en-GB"/>
        </w:rPr>
        <w:t>amended,</w:t>
      </w:r>
      <w:r w:rsidRPr="000C0E58">
        <w:rPr>
          <w:lang w:val="en-GB"/>
        </w:rPr>
        <w:t xml:space="preserve"> </w:t>
      </w:r>
      <w:r w:rsidRPr="000C0E58" w:rsidR="00154C29">
        <w:rPr>
          <w:lang w:val="en-GB"/>
        </w:rPr>
        <w:t>she</w:t>
      </w:r>
      <w:r w:rsidRPr="000C0E58">
        <w:rPr>
          <w:lang w:val="en-GB"/>
        </w:rPr>
        <w:t xml:space="preserve"> would</w:t>
      </w:r>
      <w:r w:rsidRPr="000C0E58" w:rsidR="00154C29">
        <w:rPr>
          <w:lang w:val="en-GB"/>
        </w:rPr>
        <w:t xml:space="preserve"> </w:t>
      </w:r>
      <w:r w:rsidRPr="000C0E58" w:rsidR="00330BFE">
        <w:rPr>
          <w:lang w:val="en-GB"/>
        </w:rPr>
        <w:t xml:space="preserve">once </w:t>
      </w:r>
      <w:r w:rsidRPr="000C0E58" w:rsidR="00154C29">
        <w:rPr>
          <w:lang w:val="en-GB"/>
        </w:rPr>
        <w:t>again</w:t>
      </w:r>
      <w:r w:rsidRPr="000C0E58">
        <w:rPr>
          <w:lang w:val="en-GB"/>
        </w:rPr>
        <w:t xml:space="preserve"> have be</w:t>
      </w:r>
      <w:r w:rsidRPr="000C0E58" w:rsidR="00330BFE">
        <w:rPr>
          <w:lang w:val="en-GB"/>
        </w:rPr>
        <w:t xml:space="preserve">come </w:t>
      </w:r>
      <w:r w:rsidRPr="000C0E58">
        <w:rPr>
          <w:lang w:val="en-GB"/>
        </w:rPr>
        <w:t xml:space="preserve">eligible </w:t>
      </w:r>
      <w:r w:rsidRPr="000C0E58" w:rsidR="00E62CEA">
        <w:rPr>
          <w:lang w:val="en-GB"/>
        </w:rPr>
        <w:t>when</w:t>
      </w:r>
      <w:r w:rsidRPr="000C0E58">
        <w:rPr>
          <w:lang w:val="en-GB"/>
        </w:rPr>
        <w:t xml:space="preserve"> her </w:t>
      </w:r>
      <w:r w:rsidRPr="000C0E58" w:rsidR="00E62CEA">
        <w:rPr>
          <w:lang w:val="en-GB"/>
        </w:rPr>
        <w:t>health impairment</w:t>
      </w:r>
      <w:r w:rsidRPr="000C0E58">
        <w:rPr>
          <w:lang w:val="en-GB"/>
        </w:rPr>
        <w:t xml:space="preserve"> was </w:t>
      </w:r>
      <w:r w:rsidRPr="000C0E58" w:rsidR="00330BFE">
        <w:rPr>
          <w:lang w:val="en-GB"/>
        </w:rPr>
        <w:t xml:space="preserve">again </w:t>
      </w:r>
      <w:r w:rsidRPr="000C0E58">
        <w:rPr>
          <w:lang w:val="en-GB"/>
        </w:rPr>
        <w:t xml:space="preserve">assessed as </w:t>
      </w:r>
      <w:r w:rsidRPr="000C0E58" w:rsidR="00E62CEA">
        <w:rPr>
          <w:lang w:val="en-GB"/>
        </w:rPr>
        <w:t>exceeding the relevant threshold</w:t>
      </w:r>
      <w:r w:rsidRPr="000C0E58">
        <w:rPr>
          <w:lang w:val="en-GB"/>
        </w:rPr>
        <w:t xml:space="preserve"> in 2012. </w:t>
      </w:r>
      <w:r w:rsidRPr="000C0E58" w:rsidR="00A40549">
        <w:rPr>
          <w:lang w:val="en-GB"/>
        </w:rPr>
        <w:t>The Constitution could not serve</w:t>
      </w:r>
      <w:r w:rsidRPr="000C0E58">
        <w:rPr>
          <w:lang w:val="en-GB"/>
        </w:rPr>
        <w:t xml:space="preserve"> as a </w:t>
      </w:r>
      <w:r w:rsidRPr="000C0E58" w:rsidR="00A40549">
        <w:rPr>
          <w:lang w:val="en-GB"/>
        </w:rPr>
        <w:t xml:space="preserve">basis in </w:t>
      </w:r>
      <w:r w:rsidRPr="000C0E58" w:rsidR="0013348F">
        <w:rPr>
          <w:lang w:val="en-GB"/>
        </w:rPr>
        <w:t>national</w:t>
      </w:r>
      <w:r w:rsidRPr="000C0E58">
        <w:rPr>
          <w:lang w:val="en-GB"/>
        </w:rPr>
        <w:t xml:space="preserve"> </w:t>
      </w:r>
      <w:r w:rsidRPr="000C0E58" w:rsidR="00A40549">
        <w:rPr>
          <w:lang w:val="en-GB"/>
        </w:rPr>
        <w:t xml:space="preserve">law </w:t>
      </w:r>
      <w:r w:rsidRPr="000C0E58">
        <w:rPr>
          <w:lang w:val="en-GB"/>
        </w:rPr>
        <w:t xml:space="preserve">for the </w:t>
      </w:r>
      <w:r w:rsidRPr="000C0E58" w:rsidR="00A40549">
        <w:rPr>
          <w:lang w:val="en-GB"/>
        </w:rPr>
        <w:t xml:space="preserve">legitimate expectation as argued by the </w:t>
      </w:r>
      <w:r w:rsidRPr="000C0E58">
        <w:rPr>
          <w:lang w:val="en-GB"/>
        </w:rPr>
        <w:t xml:space="preserve">applicant, </w:t>
      </w:r>
      <w:r w:rsidRPr="000C0E58" w:rsidR="00A40549">
        <w:rPr>
          <w:lang w:val="en-GB"/>
        </w:rPr>
        <w:t>since</w:t>
      </w:r>
      <w:r w:rsidRPr="000C0E58">
        <w:rPr>
          <w:lang w:val="en-GB"/>
        </w:rPr>
        <w:t xml:space="preserve"> it </w:t>
      </w:r>
      <w:r w:rsidRPr="000C0E58" w:rsidR="005F506A">
        <w:rPr>
          <w:lang w:val="en-GB"/>
        </w:rPr>
        <w:t xml:space="preserve">merely </w:t>
      </w:r>
      <w:r w:rsidRPr="000C0E58">
        <w:rPr>
          <w:lang w:val="en-GB"/>
        </w:rPr>
        <w:t xml:space="preserve">laid down principles, whereas </w:t>
      </w:r>
      <w:r w:rsidRPr="000C0E58" w:rsidR="00A40549">
        <w:rPr>
          <w:lang w:val="en-GB"/>
        </w:rPr>
        <w:t xml:space="preserve">the actual eligibility rules for </w:t>
      </w:r>
      <w:r w:rsidRPr="000C0E58">
        <w:rPr>
          <w:lang w:val="en-GB"/>
        </w:rPr>
        <w:t xml:space="preserve">disability </w:t>
      </w:r>
      <w:r w:rsidRPr="000C0E58" w:rsidR="00A40549">
        <w:rPr>
          <w:lang w:val="en-GB"/>
        </w:rPr>
        <w:t xml:space="preserve">benefits </w:t>
      </w:r>
      <w:r w:rsidRPr="000C0E58">
        <w:rPr>
          <w:lang w:val="en-GB"/>
        </w:rPr>
        <w:t xml:space="preserve">were </w:t>
      </w:r>
      <w:r w:rsidRPr="000C0E58" w:rsidR="00A40549">
        <w:rPr>
          <w:lang w:val="en-GB"/>
        </w:rPr>
        <w:t>outlined</w:t>
      </w:r>
      <w:r w:rsidRPr="000C0E58">
        <w:rPr>
          <w:lang w:val="en-GB"/>
        </w:rPr>
        <w:t xml:space="preserve"> in other legal provisions.</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61</w:t>
      </w:r>
      <w:r w:rsidRPr="000C0E58">
        <w:rPr>
          <w:lang w:val="en-GB"/>
        </w:rPr>
        <w:fldChar w:fldCharType="end"/>
      </w:r>
      <w:r w:rsidRPr="000C0E58">
        <w:rPr>
          <w:lang w:val="en-GB"/>
        </w:rPr>
        <w:t>.  In the Government</w:t>
      </w:r>
      <w:r w:rsidRPr="000C0E58" w:rsidR="000C0E58">
        <w:rPr>
          <w:lang w:val="en-GB"/>
        </w:rPr>
        <w:t>’</w:t>
      </w:r>
      <w:r w:rsidRPr="000C0E58">
        <w:rPr>
          <w:lang w:val="en-GB"/>
        </w:rPr>
        <w:t xml:space="preserve">s opinion, the broadening of the notion of legitimate expectation – as suggested by the Chamber judgment – would be </w:t>
      </w:r>
      <w:r w:rsidRPr="000C0E58" w:rsidR="00123658">
        <w:rPr>
          <w:lang w:val="en-GB"/>
        </w:rPr>
        <w:t xml:space="preserve">wholly </w:t>
      </w:r>
      <w:r w:rsidRPr="000C0E58">
        <w:rPr>
          <w:lang w:val="en-GB"/>
        </w:rPr>
        <w:t>inconsistent with the Court</w:t>
      </w:r>
      <w:r w:rsidRPr="000C0E58" w:rsidR="000C0E58">
        <w:rPr>
          <w:lang w:val="en-GB"/>
        </w:rPr>
        <w:t>’</w:t>
      </w:r>
      <w:r w:rsidRPr="000C0E58">
        <w:rPr>
          <w:lang w:val="en-GB"/>
        </w:rPr>
        <w:t xml:space="preserve">s case-law, place an excessive financial burden on the </w:t>
      </w:r>
      <w:r w:rsidRPr="000C0E58" w:rsidR="00D8283B">
        <w:rPr>
          <w:lang w:val="en-GB"/>
        </w:rPr>
        <w:t>Contracting</w:t>
      </w:r>
      <w:r w:rsidRPr="000C0E58">
        <w:rPr>
          <w:lang w:val="en-GB"/>
        </w:rPr>
        <w:t xml:space="preserve"> States and exert a “chilling effect” on national </w:t>
      </w:r>
      <w:r w:rsidRPr="000C0E58">
        <w:rPr>
          <w:lang w:val="en-GB"/>
        </w:rPr>
        <w:t>legislat</w:t>
      </w:r>
      <w:r w:rsidRPr="000C0E58" w:rsidR="008001CB">
        <w:rPr>
          <w:lang w:val="en-GB"/>
        </w:rPr>
        <w:t>ures</w:t>
      </w:r>
      <w:r w:rsidRPr="000C0E58">
        <w:rPr>
          <w:lang w:val="en-GB"/>
        </w:rPr>
        <w:t xml:space="preserve"> intent on reforming their social</w:t>
      </w:r>
      <w:r w:rsidRPr="000C0E58" w:rsidR="00330BFE">
        <w:rPr>
          <w:lang w:val="en-GB"/>
        </w:rPr>
        <w:t>-</w:t>
      </w:r>
      <w:r w:rsidRPr="000C0E58">
        <w:rPr>
          <w:lang w:val="en-GB"/>
        </w:rPr>
        <w:t>security systems.</w:t>
      </w:r>
      <w:r w:rsidRPr="000C0E58" w:rsidR="00A40549">
        <w:rPr>
          <w:lang w:val="en-GB"/>
        </w:rPr>
        <w:t xml:space="preserve"> T</w:t>
      </w:r>
      <w:r w:rsidRPr="000C0E58">
        <w:rPr>
          <w:lang w:val="en-GB"/>
        </w:rPr>
        <w:t>he Convention did not guarantee any property rights independently from the domestic law</w:t>
      </w:r>
      <w:r w:rsidRPr="000C0E58" w:rsidR="00A40549">
        <w:rPr>
          <w:lang w:val="en-GB"/>
        </w:rPr>
        <w:t xml:space="preserve"> of sovereign States</w:t>
      </w:r>
      <w:r w:rsidRPr="000C0E58">
        <w:rPr>
          <w:lang w:val="en-GB"/>
        </w:rPr>
        <w:t xml:space="preserve">. At the hearing, they cautioned against the </w:t>
      </w:r>
      <w:r w:rsidRPr="000C0E58" w:rsidR="005F506A">
        <w:rPr>
          <w:lang w:val="en-GB"/>
        </w:rPr>
        <w:t xml:space="preserve">stealthy </w:t>
      </w:r>
      <w:r w:rsidRPr="000C0E58">
        <w:rPr>
          <w:lang w:val="en-GB"/>
        </w:rPr>
        <w:t>creation of an independent European social law on an undefined basis</w:t>
      </w:r>
      <w:r w:rsidRPr="000C0E58" w:rsidR="00330BFE">
        <w:rPr>
          <w:lang w:val="en-GB"/>
        </w:rPr>
        <w:t>,</w:t>
      </w:r>
      <w:r w:rsidRPr="000C0E58">
        <w:rPr>
          <w:lang w:val="en-GB"/>
        </w:rPr>
        <w:t xml:space="preserve"> without the checks and balances that only </w:t>
      </w:r>
      <w:r w:rsidRPr="000C0E58" w:rsidR="00EC67F4">
        <w:rPr>
          <w:lang w:val="en-GB"/>
        </w:rPr>
        <w:t xml:space="preserve">a </w:t>
      </w:r>
      <w:r w:rsidRPr="000C0E58">
        <w:rPr>
          <w:lang w:val="en-GB"/>
        </w:rPr>
        <w:t>State legislat</w:t>
      </w:r>
      <w:r w:rsidRPr="000C0E58" w:rsidR="000146AC">
        <w:rPr>
          <w:lang w:val="en-GB"/>
        </w:rPr>
        <w:t xml:space="preserve">ure </w:t>
      </w:r>
      <w:r w:rsidRPr="000C0E58" w:rsidR="00123658">
        <w:rPr>
          <w:lang w:val="en-GB"/>
        </w:rPr>
        <w:t xml:space="preserve">could </w:t>
      </w:r>
      <w:r w:rsidRPr="000C0E58">
        <w:rPr>
          <w:lang w:val="en-GB"/>
        </w:rPr>
        <w:t>guarantee.</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62</w:t>
      </w:r>
      <w:r w:rsidRPr="000C0E58">
        <w:rPr>
          <w:lang w:val="en-GB"/>
        </w:rPr>
        <w:fldChar w:fldCharType="end"/>
      </w:r>
      <w:r w:rsidRPr="000C0E58">
        <w:rPr>
          <w:lang w:val="en-GB"/>
        </w:rPr>
        <w:t>.  According to the Government, some improvement in the applicant</w:t>
      </w:r>
      <w:r w:rsidRPr="000C0E58" w:rsidR="000C0E58">
        <w:rPr>
          <w:lang w:val="en-GB"/>
        </w:rPr>
        <w:t>’</w:t>
      </w:r>
      <w:r w:rsidRPr="000C0E58">
        <w:rPr>
          <w:lang w:val="en-GB"/>
        </w:rPr>
        <w:t xml:space="preserve">s health </w:t>
      </w:r>
      <w:r w:rsidRPr="000C0E58" w:rsidR="00330BFE">
        <w:rPr>
          <w:lang w:val="en-GB"/>
        </w:rPr>
        <w:t xml:space="preserve">had been </w:t>
      </w:r>
      <w:r w:rsidRPr="000C0E58">
        <w:rPr>
          <w:lang w:val="en-GB"/>
        </w:rPr>
        <w:t xml:space="preserve">substantiated by the expert opinion and the </w:t>
      </w:r>
      <w:r w:rsidRPr="000C0E58" w:rsidR="0013348F">
        <w:rPr>
          <w:lang w:val="en-GB"/>
        </w:rPr>
        <w:t>national</w:t>
      </w:r>
      <w:r w:rsidRPr="000C0E58">
        <w:rPr>
          <w:lang w:val="en-GB"/>
        </w:rPr>
        <w:t xml:space="preserve"> court</w:t>
      </w:r>
      <w:r w:rsidRPr="000C0E58" w:rsidR="000C0E58">
        <w:rPr>
          <w:lang w:val="en-GB"/>
        </w:rPr>
        <w:t>’</w:t>
      </w:r>
      <w:r w:rsidRPr="000C0E58">
        <w:rPr>
          <w:lang w:val="en-GB"/>
        </w:rPr>
        <w:t>s judgment (see paragraph</w:t>
      </w:r>
      <w:r w:rsidRPr="000C0E58" w:rsidR="00E51D39">
        <w:rPr>
          <w:lang w:val="en-GB"/>
        </w:rPr>
        <w:t>s 15 and 16</w:t>
      </w:r>
      <w:r w:rsidRPr="000C0E58">
        <w:rPr>
          <w:lang w:val="en-GB"/>
        </w:rPr>
        <w:t xml:space="preserve"> above)</w:t>
      </w:r>
      <w:r w:rsidRPr="000C0E58" w:rsidR="00A84CA8">
        <w:rPr>
          <w:lang w:val="en-GB"/>
        </w:rPr>
        <w:t xml:space="preserve">. </w:t>
      </w:r>
      <w:r w:rsidRPr="000C0E58" w:rsidR="00330BFE">
        <w:rPr>
          <w:lang w:val="en-GB"/>
        </w:rPr>
        <w:t xml:space="preserve">This was </w:t>
      </w:r>
      <w:r w:rsidRPr="000C0E58" w:rsidR="00A40549">
        <w:rPr>
          <w:lang w:val="en-GB"/>
        </w:rPr>
        <w:t xml:space="preserve">also </w:t>
      </w:r>
      <w:r w:rsidRPr="000C0E58" w:rsidR="00330BFE">
        <w:rPr>
          <w:lang w:val="en-GB"/>
        </w:rPr>
        <w:t xml:space="preserve">indicated by </w:t>
      </w:r>
      <w:r w:rsidRPr="000C0E58">
        <w:rPr>
          <w:lang w:val="en-GB"/>
        </w:rPr>
        <w:t>the fact that her 67</w:t>
      </w:r>
      <w:r w:rsidRPr="000C0E58" w:rsidR="00330BFE">
        <w:rPr>
          <w:lang w:val="en-GB"/>
        </w:rPr>
        <w:t>%</w:t>
      </w:r>
      <w:r w:rsidRPr="000C0E58">
        <w:rPr>
          <w:lang w:val="en-GB"/>
        </w:rPr>
        <w:t xml:space="preserve"> loss of </w:t>
      </w:r>
      <w:r w:rsidRPr="000C0E58" w:rsidR="00117F99">
        <w:rPr>
          <w:lang w:val="en-GB"/>
        </w:rPr>
        <w:t xml:space="preserve">working </w:t>
      </w:r>
      <w:r w:rsidRPr="000C0E58">
        <w:rPr>
          <w:lang w:val="en-GB"/>
        </w:rPr>
        <w:t>capacity under the pre-2008 system would have been equivalent to 54</w:t>
      </w:r>
      <w:r w:rsidRPr="000C0E58" w:rsidR="00330BFE">
        <w:rPr>
          <w:lang w:val="en-GB"/>
        </w:rPr>
        <w:t>%</w:t>
      </w:r>
      <w:r w:rsidRPr="000C0E58">
        <w:rPr>
          <w:lang w:val="en-GB"/>
        </w:rPr>
        <w:t xml:space="preserve"> health impairment under the new methodology</w:t>
      </w:r>
      <w:r w:rsidRPr="000C0E58" w:rsidR="00A84CA8">
        <w:rPr>
          <w:lang w:val="en-GB"/>
        </w:rPr>
        <w:t>; h</w:t>
      </w:r>
      <w:r w:rsidRPr="000C0E58" w:rsidR="00A40549">
        <w:rPr>
          <w:lang w:val="en-GB"/>
        </w:rPr>
        <w:t xml:space="preserve">owever, it </w:t>
      </w:r>
      <w:r w:rsidRPr="000C0E58" w:rsidR="005F506A">
        <w:rPr>
          <w:lang w:val="en-GB"/>
        </w:rPr>
        <w:t xml:space="preserve">had been </w:t>
      </w:r>
      <w:r w:rsidRPr="000C0E58" w:rsidR="00A40549">
        <w:rPr>
          <w:lang w:val="en-GB"/>
        </w:rPr>
        <w:t xml:space="preserve">assessed </w:t>
      </w:r>
      <w:r w:rsidRPr="000C0E58">
        <w:rPr>
          <w:lang w:val="en-GB"/>
        </w:rPr>
        <w:t>at 40</w:t>
      </w:r>
      <w:r w:rsidRPr="000C0E58" w:rsidR="00330BFE">
        <w:rPr>
          <w:lang w:val="en-GB"/>
        </w:rPr>
        <w:t>%</w:t>
      </w:r>
      <w:r w:rsidRPr="000C0E58">
        <w:rPr>
          <w:lang w:val="en-GB"/>
        </w:rPr>
        <w:t xml:space="preserve"> in 2009</w:t>
      </w:r>
      <w:r w:rsidRPr="000C0E58" w:rsidR="00330BFE">
        <w:rPr>
          <w:lang w:val="en-GB"/>
        </w:rPr>
        <w:t>,</w:t>
      </w:r>
      <w:r w:rsidRPr="000C0E58">
        <w:rPr>
          <w:lang w:val="en-GB"/>
        </w:rPr>
        <w:t xml:space="preserve"> </w:t>
      </w:r>
      <w:r w:rsidRPr="000C0E58" w:rsidR="00A40549">
        <w:rPr>
          <w:lang w:val="en-GB"/>
        </w:rPr>
        <w:t>which thus</w:t>
      </w:r>
      <w:r w:rsidRPr="000C0E58">
        <w:rPr>
          <w:lang w:val="en-GB"/>
        </w:rPr>
        <w:t xml:space="preserve"> indicated a</w:t>
      </w:r>
      <w:r w:rsidRPr="000C0E58" w:rsidR="00A40549">
        <w:rPr>
          <w:lang w:val="en-GB"/>
        </w:rPr>
        <w:t xml:space="preserve"> certain improvement in her health. </w:t>
      </w:r>
      <w:r w:rsidRPr="000C0E58" w:rsidR="00A84CA8">
        <w:rPr>
          <w:lang w:val="en-GB"/>
        </w:rPr>
        <w:t xml:space="preserve">The regular statutory reviews foreseen by the expert opinions </w:t>
      </w:r>
      <w:r w:rsidRPr="000C0E58" w:rsidR="00330BFE">
        <w:rPr>
          <w:lang w:val="en-GB"/>
        </w:rPr>
        <w:t xml:space="preserve">prior to </w:t>
      </w:r>
      <w:r w:rsidRPr="000C0E58" w:rsidR="00A84CA8">
        <w:rPr>
          <w:lang w:val="en-GB"/>
        </w:rPr>
        <w:t xml:space="preserve">the withdrawal </w:t>
      </w:r>
      <w:r w:rsidRPr="000C0E58" w:rsidR="00330BFE">
        <w:rPr>
          <w:lang w:val="en-GB"/>
        </w:rPr>
        <w:t xml:space="preserve">of the disability pension </w:t>
      </w:r>
      <w:r w:rsidRPr="000C0E58" w:rsidR="00A84CA8">
        <w:rPr>
          <w:lang w:val="en-GB"/>
        </w:rPr>
        <w:t xml:space="preserve">suggested </w:t>
      </w:r>
      <w:r w:rsidRPr="000C0E58" w:rsidR="00330BFE">
        <w:rPr>
          <w:lang w:val="en-GB"/>
        </w:rPr>
        <w:t xml:space="preserve">only </w:t>
      </w:r>
      <w:r w:rsidRPr="000C0E58" w:rsidR="00A84CA8">
        <w:rPr>
          <w:lang w:val="en-GB"/>
        </w:rPr>
        <w:t>that the applicant</w:t>
      </w:r>
      <w:r w:rsidRPr="000C0E58" w:rsidR="000C0E58">
        <w:rPr>
          <w:lang w:val="en-GB"/>
        </w:rPr>
        <w:t>’</w:t>
      </w:r>
      <w:r w:rsidRPr="000C0E58" w:rsidR="00A84CA8">
        <w:rPr>
          <w:lang w:val="en-GB"/>
        </w:rPr>
        <w:t>s ailments were susceptible to evolution</w:t>
      </w:r>
      <w:r w:rsidRPr="000C0E58" w:rsidR="00330BFE">
        <w:rPr>
          <w:lang w:val="en-GB"/>
        </w:rPr>
        <w:t xml:space="preserve">, </w:t>
      </w:r>
      <w:r w:rsidRPr="000C0E58" w:rsidR="00A84CA8">
        <w:rPr>
          <w:lang w:val="en-GB"/>
        </w:rPr>
        <w:t>whereas t</w:t>
      </w:r>
      <w:r w:rsidRPr="000C0E58">
        <w:rPr>
          <w:lang w:val="en-GB"/>
        </w:rPr>
        <w:t xml:space="preserve">he </w:t>
      </w:r>
      <w:r w:rsidRPr="000C0E58" w:rsidR="00A40549">
        <w:rPr>
          <w:lang w:val="en-GB"/>
        </w:rPr>
        <w:t xml:space="preserve">periodic reviews </w:t>
      </w:r>
      <w:r w:rsidRPr="000C0E58" w:rsidR="00330BFE">
        <w:rPr>
          <w:lang w:val="en-GB"/>
        </w:rPr>
        <w:t xml:space="preserve">subsequent to </w:t>
      </w:r>
      <w:r w:rsidRPr="000C0E58">
        <w:rPr>
          <w:lang w:val="en-GB"/>
        </w:rPr>
        <w:t>th</w:t>
      </w:r>
      <w:r w:rsidRPr="000C0E58" w:rsidR="00330BFE">
        <w:rPr>
          <w:lang w:val="en-GB"/>
        </w:rPr>
        <w:t xml:space="preserve">at </w:t>
      </w:r>
      <w:r w:rsidRPr="000C0E58">
        <w:rPr>
          <w:lang w:val="en-GB"/>
        </w:rPr>
        <w:t>withdrawal had been requested by the applicant, rather than ordered by the authorities</w:t>
      </w:r>
      <w:r w:rsidRPr="000C0E58" w:rsidR="00A84CA8">
        <w:rPr>
          <w:lang w:val="en-GB"/>
        </w:rPr>
        <w:t>, and could therefore not be interpreted as proof of any subsisting legitimate expectation</w:t>
      </w:r>
      <w:r w:rsidRPr="000C0E58">
        <w:rPr>
          <w:lang w:val="en-GB"/>
        </w:rPr>
        <w:t>.</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63</w:t>
      </w:r>
      <w:r w:rsidRPr="000C0E58">
        <w:rPr>
          <w:lang w:val="en-GB"/>
        </w:rPr>
        <w:fldChar w:fldCharType="end"/>
      </w:r>
      <w:r w:rsidRPr="000C0E58">
        <w:rPr>
          <w:lang w:val="en-GB"/>
        </w:rPr>
        <w:t xml:space="preserve">.  The Government </w:t>
      </w:r>
      <w:r w:rsidRPr="000C0E58" w:rsidR="000132E2">
        <w:rPr>
          <w:lang w:val="en-GB"/>
        </w:rPr>
        <w:t xml:space="preserve">further asserted </w:t>
      </w:r>
      <w:r w:rsidRPr="000C0E58">
        <w:rPr>
          <w:lang w:val="en-GB"/>
        </w:rPr>
        <w:t xml:space="preserve">that </w:t>
      </w:r>
      <w:r w:rsidRPr="000C0E58">
        <w:rPr>
          <w:i/>
          <w:lang w:val="en-GB"/>
        </w:rPr>
        <w:t>ex post facto</w:t>
      </w:r>
      <w:r w:rsidRPr="000C0E58">
        <w:rPr>
          <w:lang w:val="en-GB"/>
        </w:rPr>
        <w:t xml:space="preserve"> legislation was typical</w:t>
      </w:r>
      <w:r w:rsidRPr="000C0E58" w:rsidR="000132E2">
        <w:rPr>
          <w:lang w:val="en-GB"/>
        </w:rPr>
        <w:t xml:space="preserve"> of any social</w:t>
      </w:r>
      <w:r w:rsidRPr="000C0E58" w:rsidR="00330BFE">
        <w:rPr>
          <w:lang w:val="en-GB"/>
        </w:rPr>
        <w:t>-</w:t>
      </w:r>
      <w:r w:rsidRPr="000C0E58" w:rsidR="000132E2">
        <w:rPr>
          <w:lang w:val="en-GB"/>
        </w:rPr>
        <w:t>security system</w:t>
      </w:r>
      <w:r w:rsidRPr="000C0E58" w:rsidR="00330BFE">
        <w:rPr>
          <w:lang w:val="en-GB"/>
        </w:rPr>
        <w:t>,</w:t>
      </w:r>
      <w:r w:rsidRPr="000C0E58" w:rsidR="000132E2">
        <w:rPr>
          <w:lang w:val="en-GB"/>
        </w:rPr>
        <w:t xml:space="preserve"> </w:t>
      </w:r>
      <w:r w:rsidRPr="000C0E58">
        <w:rPr>
          <w:lang w:val="en-GB"/>
        </w:rPr>
        <w:t>because of the lengthy</w:t>
      </w:r>
      <w:r w:rsidRPr="000C0E58" w:rsidR="005F506A">
        <w:rPr>
          <w:lang w:val="en-GB"/>
        </w:rPr>
        <w:t xml:space="preserve"> and </w:t>
      </w:r>
      <w:r w:rsidRPr="000C0E58">
        <w:rPr>
          <w:lang w:val="en-GB"/>
        </w:rPr>
        <w:t xml:space="preserve">continuing </w:t>
      </w:r>
      <w:r w:rsidRPr="000C0E58">
        <w:rPr>
          <w:lang w:val="en-GB"/>
        </w:rPr>
        <w:t xml:space="preserve">nature of </w:t>
      </w:r>
      <w:r w:rsidRPr="000C0E58" w:rsidR="00330BFE">
        <w:rPr>
          <w:lang w:val="en-GB"/>
        </w:rPr>
        <w:t xml:space="preserve">the </w:t>
      </w:r>
      <w:r w:rsidRPr="000C0E58">
        <w:rPr>
          <w:lang w:val="en-GB"/>
        </w:rPr>
        <w:t>social</w:t>
      </w:r>
      <w:r w:rsidRPr="000C0E58" w:rsidR="00330BFE">
        <w:rPr>
          <w:lang w:val="en-GB"/>
        </w:rPr>
        <w:t>-</w:t>
      </w:r>
      <w:r w:rsidRPr="000C0E58">
        <w:rPr>
          <w:lang w:val="en-GB"/>
        </w:rPr>
        <w:t xml:space="preserve">security relationship between </w:t>
      </w:r>
      <w:r w:rsidRPr="000C0E58" w:rsidR="00330BFE">
        <w:rPr>
          <w:lang w:val="en-GB"/>
        </w:rPr>
        <w:t xml:space="preserve">an </w:t>
      </w:r>
      <w:r w:rsidRPr="000C0E58">
        <w:rPr>
          <w:lang w:val="en-GB"/>
        </w:rPr>
        <w:t xml:space="preserve">insured person and the State. </w:t>
      </w:r>
      <w:r w:rsidRPr="000C0E58" w:rsidR="000132E2">
        <w:rPr>
          <w:lang w:val="en-GB"/>
        </w:rPr>
        <w:t>Applications</w:t>
      </w:r>
      <w:r w:rsidRPr="000C0E58">
        <w:rPr>
          <w:lang w:val="en-GB"/>
        </w:rPr>
        <w:t xml:space="preserve"> for </w:t>
      </w:r>
      <w:r w:rsidRPr="000C0E58" w:rsidR="000132E2">
        <w:rPr>
          <w:lang w:val="en-GB"/>
        </w:rPr>
        <w:t>such</w:t>
      </w:r>
      <w:r w:rsidRPr="000C0E58">
        <w:rPr>
          <w:lang w:val="en-GB"/>
        </w:rPr>
        <w:t xml:space="preserve"> benefits were </w:t>
      </w:r>
      <w:r w:rsidRPr="000C0E58" w:rsidR="000132E2">
        <w:rPr>
          <w:lang w:val="en-GB"/>
        </w:rPr>
        <w:t>normally not</w:t>
      </w:r>
      <w:r w:rsidRPr="000C0E58">
        <w:rPr>
          <w:lang w:val="en-GB"/>
        </w:rPr>
        <w:t xml:space="preserve"> adjudicated on the basis of the law </w:t>
      </w:r>
      <w:r w:rsidRPr="000C0E58" w:rsidR="000132E2">
        <w:rPr>
          <w:lang w:val="en-GB"/>
        </w:rPr>
        <w:t>as in force at the beginning of</w:t>
      </w:r>
      <w:r w:rsidRPr="000C0E58">
        <w:rPr>
          <w:lang w:val="en-GB"/>
        </w:rPr>
        <w:t xml:space="preserve"> the insurance relationship but </w:t>
      </w:r>
      <w:r w:rsidRPr="000C0E58" w:rsidR="000132E2">
        <w:rPr>
          <w:lang w:val="en-GB"/>
        </w:rPr>
        <w:t xml:space="preserve">rather under the law as it stood </w:t>
      </w:r>
      <w:r w:rsidRPr="000C0E58">
        <w:rPr>
          <w:lang w:val="en-GB"/>
        </w:rPr>
        <w:t xml:space="preserve">when the request was decided </w:t>
      </w:r>
      <w:r w:rsidRPr="000C0E58" w:rsidR="005F506A">
        <w:rPr>
          <w:lang w:val="en-GB"/>
        </w:rPr>
        <w:t>up</w:t>
      </w:r>
      <w:r w:rsidRPr="000C0E58">
        <w:rPr>
          <w:lang w:val="en-GB"/>
        </w:rPr>
        <w:t xml:space="preserve">on. Amendments </w:t>
      </w:r>
      <w:r w:rsidRPr="000C0E58" w:rsidR="00330BFE">
        <w:rPr>
          <w:lang w:val="en-GB"/>
        </w:rPr>
        <w:t xml:space="preserve">enacted in the meanwhile </w:t>
      </w:r>
      <w:r w:rsidRPr="000C0E58">
        <w:rPr>
          <w:lang w:val="en-GB"/>
        </w:rPr>
        <w:t>to social</w:t>
      </w:r>
      <w:r w:rsidRPr="000C0E58" w:rsidR="00330BFE">
        <w:rPr>
          <w:lang w:val="en-GB"/>
        </w:rPr>
        <w:t>-</w:t>
      </w:r>
      <w:r w:rsidRPr="000C0E58">
        <w:rPr>
          <w:lang w:val="en-GB"/>
        </w:rPr>
        <w:t xml:space="preserve">security laws might thus </w:t>
      </w:r>
      <w:r w:rsidRPr="000C0E58" w:rsidR="000132E2">
        <w:rPr>
          <w:lang w:val="en-GB"/>
        </w:rPr>
        <w:t xml:space="preserve">inevitably </w:t>
      </w:r>
      <w:r w:rsidRPr="000C0E58">
        <w:rPr>
          <w:lang w:val="en-GB"/>
        </w:rPr>
        <w:t xml:space="preserve">impose an individual burden on </w:t>
      </w:r>
      <w:r w:rsidRPr="000C0E58" w:rsidR="000132E2">
        <w:rPr>
          <w:lang w:val="en-GB"/>
        </w:rPr>
        <w:t>the insured</w:t>
      </w:r>
      <w:r w:rsidRPr="000C0E58">
        <w:rPr>
          <w:lang w:val="en-GB"/>
        </w:rPr>
        <w:t xml:space="preserve">. </w:t>
      </w:r>
      <w:r w:rsidRPr="000C0E58" w:rsidR="000132E2">
        <w:rPr>
          <w:lang w:val="en-GB"/>
        </w:rPr>
        <w:t>Any</w:t>
      </w:r>
      <w:r w:rsidRPr="000C0E58">
        <w:rPr>
          <w:lang w:val="en-GB"/>
        </w:rPr>
        <w:t xml:space="preserve"> </w:t>
      </w:r>
      <w:r w:rsidRPr="000C0E58">
        <w:rPr>
          <w:i/>
          <w:lang w:val="en-GB"/>
        </w:rPr>
        <w:t>ex post facto</w:t>
      </w:r>
      <w:r w:rsidRPr="000C0E58">
        <w:rPr>
          <w:lang w:val="en-GB"/>
        </w:rPr>
        <w:t xml:space="preserve"> legislation </w:t>
      </w:r>
      <w:r w:rsidRPr="000C0E58" w:rsidR="000132E2">
        <w:rPr>
          <w:lang w:val="en-GB"/>
        </w:rPr>
        <w:t xml:space="preserve">could only be validly disputed </w:t>
      </w:r>
      <w:r w:rsidRPr="000C0E58">
        <w:rPr>
          <w:lang w:val="en-GB"/>
        </w:rPr>
        <w:t>if the new law concerned those already in receipt of a benefit at the time of the entry in</w:t>
      </w:r>
      <w:r w:rsidRPr="000C0E58" w:rsidR="000132E2">
        <w:rPr>
          <w:lang w:val="en-GB"/>
        </w:rPr>
        <w:t>to force of the retroactive law; however</w:t>
      </w:r>
      <w:r w:rsidRPr="000C0E58" w:rsidR="00330BFE">
        <w:rPr>
          <w:lang w:val="en-GB"/>
        </w:rPr>
        <w:t>,</w:t>
      </w:r>
      <w:r w:rsidRPr="000C0E58" w:rsidR="000132E2">
        <w:rPr>
          <w:lang w:val="en-GB"/>
        </w:rPr>
        <w:t xml:space="preserve"> this was not the case here.</w:t>
      </w:r>
    </w:p>
    <w:p w:rsidRPr="000C0E58" w:rsidR="001B094E"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64</w:t>
      </w:r>
      <w:r w:rsidRPr="000C0E58">
        <w:rPr>
          <w:lang w:val="en-GB"/>
        </w:rPr>
        <w:fldChar w:fldCharType="end"/>
      </w:r>
      <w:r w:rsidRPr="000C0E58">
        <w:rPr>
          <w:lang w:val="en-GB"/>
        </w:rPr>
        <w:t xml:space="preserve">.  The Government </w:t>
      </w:r>
      <w:r w:rsidRPr="000C0E58" w:rsidR="00A64E9F">
        <w:rPr>
          <w:lang w:val="en-GB"/>
        </w:rPr>
        <w:t xml:space="preserve">also argued </w:t>
      </w:r>
      <w:r w:rsidRPr="000C0E58">
        <w:rPr>
          <w:lang w:val="en-GB"/>
        </w:rPr>
        <w:t xml:space="preserve">that the State could not be held liable for the </w:t>
      </w:r>
      <w:r w:rsidRPr="000C0E58" w:rsidR="00A64E9F">
        <w:rPr>
          <w:lang w:val="en-GB"/>
        </w:rPr>
        <w:t>applicant</w:t>
      </w:r>
      <w:r w:rsidRPr="000C0E58" w:rsidR="000C0E58">
        <w:rPr>
          <w:lang w:val="en-GB"/>
        </w:rPr>
        <w:t>’</w:t>
      </w:r>
      <w:r w:rsidRPr="000C0E58" w:rsidR="00A64E9F">
        <w:rPr>
          <w:lang w:val="en-GB"/>
        </w:rPr>
        <w:t xml:space="preserve">s </w:t>
      </w:r>
      <w:r w:rsidRPr="000C0E58">
        <w:rPr>
          <w:lang w:val="en-GB"/>
        </w:rPr>
        <w:t>failure to acquire the requisite insurance cover</w:t>
      </w:r>
      <w:r w:rsidRPr="000C0E58" w:rsidR="00A64E9F">
        <w:rPr>
          <w:lang w:val="en-GB"/>
        </w:rPr>
        <w:t>.</w:t>
      </w:r>
      <w:r w:rsidRPr="000C0E58">
        <w:rPr>
          <w:lang w:val="en-GB"/>
        </w:rPr>
        <w:t xml:space="preserve"> Had </w:t>
      </w:r>
      <w:r w:rsidRPr="000C0E58" w:rsidR="00A64E9F">
        <w:rPr>
          <w:lang w:val="en-GB"/>
        </w:rPr>
        <w:t>she</w:t>
      </w:r>
      <w:r w:rsidRPr="000C0E58">
        <w:rPr>
          <w:lang w:val="en-GB"/>
        </w:rPr>
        <w:t xml:space="preserve"> contributed to the scheme without </w:t>
      </w:r>
      <w:r w:rsidRPr="000C0E58" w:rsidR="00A64E9F">
        <w:rPr>
          <w:lang w:val="en-GB"/>
        </w:rPr>
        <w:t>interruption</w:t>
      </w:r>
      <w:r w:rsidRPr="000C0E58">
        <w:rPr>
          <w:lang w:val="en-GB"/>
        </w:rPr>
        <w:t xml:space="preserve"> </w:t>
      </w:r>
      <w:r w:rsidRPr="000C0E58" w:rsidR="00330BFE">
        <w:rPr>
          <w:lang w:val="en-GB"/>
        </w:rPr>
        <w:t xml:space="preserve">through </w:t>
      </w:r>
      <w:r w:rsidRPr="000C0E58">
        <w:rPr>
          <w:lang w:val="en-GB"/>
        </w:rPr>
        <w:t>social</w:t>
      </w:r>
      <w:r w:rsidRPr="000C0E58" w:rsidR="00330BFE">
        <w:rPr>
          <w:lang w:val="en-GB"/>
        </w:rPr>
        <w:t>-</w:t>
      </w:r>
      <w:r w:rsidRPr="000C0E58">
        <w:rPr>
          <w:lang w:val="en-GB"/>
        </w:rPr>
        <w:t xml:space="preserve">security </w:t>
      </w:r>
      <w:r w:rsidRPr="000C0E58" w:rsidR="00993732">
        <w:rPr>
          <w:lang w:val="en-GB"/>
        </w:rPr>
        <w:t>co</w:t>
      </w:r>
      <w:r w:rsidRPr="000C0E58" w:rsidR="00330BFE">
        <w:rPr>
          <w:lang w:val="en-GB"/>
        </w:rPr>
        <w:t xml:space="preserve">ntributions </w:t>
      </w:r>
      <w:r w:rsidRPr="000C0E58">
        <w:rPr>
          <w:lang w:val="en-GB"/>
        </w:rPr>
        <w:t>wh</w:t>
      </w:r>
      <w:r w:rsidRPr="000C0E58" w:rsidR="005F506A">
        <w:rPr>
          <w:lang w:val="en-GB"/>
        </w:rPr>
        <w:t xml:space="preserve">ile </w:t>
      </w:r>
      <w:r w:rsidRPr="000C0E58">
        <w:rPr>
          <w:lang w:val="en-GB"/>
        </w:rPr>
        <w:t xml:space="preserve">she was capable of doing so, she could </w:t>
      </w:r>
      <w:r w:rsidRPr="000C0E58" w:rsidR="00330BFE">
        <w:rPr>
          <w:lang w:val="en-GB"/>
        </w:rPr>
        <w:t xml:space="preserve">most probably </w:t>
      </w:r>
      <w:r w:rsidRPr="000C0E58">
        <w:rPr>
          <w:lang w:val="en-GB"/>
        </w:rPr>
        <w:t xml:space="preserve">have attained the requisite number of days. </w:t>
      </w:r>
      <w:r w:rsidRPr="000C0E58" w:rsidR="00D15DD5">
        <w:rPr>
          <w:lang w:val="en-GB"/>
        </w:rPr>
        <w:t xml:space="preserve">To dispense </w:t>
      </w:r>
      <w:r w:rsidRPr="000C0E58">
        <w:rPr>
          <w:lang w:val="en-GB"/>
        </w:rPr>
        <w:t xml:space="preserve">the applicant </w:t>
      </w:r>
      <w:r w:rsidRPr="000C0E58" w:rsidR="00D15DD5">
        <w:rPr>
          <w:lang w:val="en-GB"/>
        </w:rPr>
        <w:t>from</w:t>
      </w:r>
      <w:r w:rsidRPr="000C0E58">
        <w:rPr>
          <w:lang w:val="en-GB"/>
        </w:rPr>
        <w:t xml:space="preserve"> </w:t>
      </w:r>
      <w:r w:rsidRPr="000C0E58" w:rsidR="005F506A">
        <w:rPr>
          <w:lang w:val="en-GB"/>
        </w:rPr>
        <w:t xml:space="preserve">making the necessary contributions </w:t>
      </w:r>
      <w:r w:rsidRPr="000C0E58">
        <w:rPr>
          <w:lang w:val="en-GB"/>
        </w:rPr>
        <w:t>would be unfair and discriminat</w:t>
      </w:r>
      <w:r w:rsidRPr="000C0E58" w:rsidR="00D15DD5">
        <w:rPr>
          <w:lang w:val="en-GB"/>
        </w:rPr>
        <w:t xml:space="preserve">ory </w:t>
      </w:r>
      <w:r w:rsidRPr="000C0E58" w:rsidR="00330BFE">
        <w:rPr>
          <w:lang w:val="en-GB"/>
        </w:rPr>
        <w:t xml:space="preserve">towards </w:t>
      </w:r>
      <w:r w:rsidRPr="000C0E58">
        <w:rPr>
          <w:lang w:val="en-GB"/>
        </w:rPr>
        <w:t xml:space="preserve">those in </w:t>
      </w:r>
      <w:r w:rsidRPr="000C0E58" w:rsidR="00330BFE">
        <w:rPr>
          <w:lang w:val="en-GB"/>
        </w:rPr>
        <w:t xml:space="preserve">a </w:t>
      </w:r>
      <w:r w:rsidRPr="000C0E58">
        <w:rPr>
          <w:lang w:val="en-GB"/>
        </w:rPr>
        <w:t xml:space="preserve">comparable situation who </w:t>
      </w:r>
      <w:r w:rsidRPr="000C0E58" w:rsidR="00330BFE">
        <w:rPr>
          <w:lang w:val="en-GB"/>
        </w:rPr>
        <w:t xml:space="preserve">had </w:t>
      </w:r>
      <w:r w:rsidRPr="000C0E58">
        <w:rPr>
          <w:lang w:val="en-GB"/>
        </w:rPr>
        <w:t>diligently contributed to the social</w:t>
      </w:r>
      <w:r w:rsidRPr="000C0E58" w:rsidR="00330BFE">
        <w:rPr>
          <w:lang w:val="en-GB"/>
        </w:rPr>
        <w:t>-</w:t>
      </w:r>
      <w:r w:rsidRPr="000C0E58">
        <w:rPr>
          <w:lang w:val="en-GB"/>
        </w:rPr>
        <w:t>security scheme.</w:t>
      </w:r>
      <w:r w:rsidRPr="000C0E58" w:rsidR="00D15DD5">
        <w:rPr>
          <w:lang w:val="en-GB"/>
        </w:rPr>
        <w:t xml:space="preserve"> With regard to the actual </w:t>
      </w:r>
      <w:r w:rsidRPr="000C0E58" w:rsidR="0051550C">
        <w:rPr>
          <w:lang w:val="en-GB"/>
        </w:rPr>
        <w:t xml:space="preserve">aggregate </w:t>
      </w:r>
      <w:r w:rsidRPr="000C0E58">
        <w:rPr>
          <w:lang w:val="en-GB"/>
        </w:rPr>
        <w:t xml:space="preserve">of contributions </w:t>
      </w:r>
      <w:r w:rsidRPr="000C0E58" w:rsidR="00D15DD5">
        <w:rPr>
          <w:lang w:val="en-GB"/>
        </w:rPr>
        <w:t xml:space="preserve">made by the applicant, the Government submitted that </w:t>
      </w:r>
      <w:r w:rsidRPr="000C0E58" w:rsidR="00330BFE">
        <w:rPr>
          <w:lang w:val="en-GB"/>
        </w:rPr>
        <w:t xml:space="preserve">this </w:t>
      </w:r>
      <w:r w:rsidRPr="000C0E58" w:rsidR="00993732">
        <w:rPr>
          <w:lang w:val="en-GB"/>
        </w:rPr>
        <w:t xml:space="preserve">was </w:t>
      </w:r>
      <w:r w:rsidRPr="000C0E58">
        <w:rPr>
          <w:lang w:val="en-GB"/>
        </w:rPr>
        <w:t xml:space="preserve">a necessary but not </w:t>
      </w:r>
      <w:r w:rsidRPr="000C0E58" w:rsidR="005F506A">
        <w:rPr>
          <w:lang w:val="en-GB"/>
        </w:rPr>
        <w:t xml:space="preserve">a </w:t>
      </w:r>
      <w:r w:rsidRPr="000C0E58">
        <w:rPr>
          <w:lang w:val="en-GB"/>
        </w:rPr>
        <w:t>sufficient precondition</w:t>
      </w:r>
      <w:r w:rsidRPr="000C0E58" w:rsidR="00330BFE">
        <w:rPr>
          <w:lang w:val="en-GB"/>
        </w:rPr>
        <w:t>,</w:t>
      </w:r>
      <w:r w:rsidRPr="000C0E58">
        <w:rPr>
          <w:lang w:val="en-GB"/>
        </w:rPr>
        <w:t xml:space="preserve"> which was not capable of substituting for a valid </w:t>
      </w:r>
      <w:r w:rsidRPr="000C0E58" w:rsidR="0013348F">
        <w:rPr>
          <w:lang w:val="en-GB"/>
        </w:rPr>
        <w:t>national</w:t>
      </w:r>
      <w:r w:rsidRPr="000C0E58">
        <w:rPr>
          <w:lang w:val="en-GB"/>
        </w:rPr>
        <w:t xml:space="preserve"> legal basis.</w:t>
      </w:r>
    </w:p>
    <w:p w:rsidRPr="000C0E58" w:rsidR="00D87D00"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65</w:t>
      </w:r>
      <w:r w:rsidRPr="000C0E58">
        <w:rPr>
          <w:lang w:val="en-GB"/>
        </w:rPr>
        <w:fldChar w:fldCharType="end"/>
      </w:r>
      <w:r w:rsidRPr="000C0E58">
        <w:rPr>
          <w:lang w:val="en-GB"/>
        </w:rPr>
        <w:t>.  </w:t>
      </w:r>
      <w:r w:rsidRPr="000C0E58" w:rsidR="0051550C">
        <w:rPr>
          <w:lang w:val="en-GB"/>
        </w:rPr>
        <w:t xml:space="preserve">Given </w:t>
      </w:r>
      <w:r w:rsidRPr="000C0E58">
        <w:rPr>
          <w:lang w:val="en-GB"/>
        </w:rPr>
        <w:t>that social</w:t>
      </w:r>
      <w:r w:rsidRPr="000C0E58" w:rsidR="0051550C">
        <w:rPr>
          <w:lang w:val="en-GB"/>
        </w:rPr>
        <w:t>-welfare</w:t>
      </w:r>
      <w:r w:rsidRPr="000C0E58">
        <w:rPr>
          <w:lang w:val="en-GB"/>
        </w:rPr>
        <w:t xml:space="preserve"> cover</w:t>
      </w:r>
      <w:r w:rsidRPr="000C0E58" w:rsidR="005F506A">
        <w:rPr>
          <w:lang w:val="en-GB"/>
        </w:rPr>
        <w:t xml:space="preserve"> </w:t>
      </w:r>
      <w:r w:rsidRPr="000C0E58" w:rsidR="0051550C">
        <w:rPr>
          <w:lang w:val="en-GB"/>
        </w:rPr>
        <w:t xml:space="preserve">was </w:t>
      </w:r>
      <w:r w:rsidRPr="000C0E58" w:rsidR="00204B1B">
        <w:rPr>
          <w:lang w:val="en-GB"/>
        </w:rPr>
        <w:t>continuously</w:t>
      </w:r>
      <w:r w:rsidRPr="000C0E58">
        <w:rPr>
          <w:lang w:val="en-GB"/>
        </w:rPr>
        <w:t xml:space="preserve"> secured for those who were entitled to </w:t>
      </w:r>
      <w:r w:rsidRPr="000C0E58" w:rsidR="0051550C">
        <w:rPr>
          <w:lang w:val="en-GB"/>
        </w:rPr>
        <w:t xml:space="preserve">it on the date that the social-security scheme in question was amended, the Government submitted that the cover </w:t>
      </w:r>
      <w:r w:rsidRPr="000C0E58">
        <w:rPr>
          <w:lang w:val="en-GB"/>
        </w:rPr>
        <w:t>did not cease to exist</w:t>
      </w:r>
      <w:r w:rsidRPr="000C0E58" w:rsidR="0051550C">
        <w:rPr>
          <w:lang w:val="en-GB"/>
        </w:rPr>
        <w:t>,</w:t>
      </w:r>
      <w:r w:rsidRPr="000C0E58">
        <w:rPr>
          <w:lang w:val="en-GB"/>
        </w:rPr>
        <w:t xml:space="preserve"> nor </w:t>
      </w:r>
      <w:r w:rsidRPr="000C0E58" w:rsidR="0051550C">
        <w:rPr>
          <w:lang w:val="en-GB"/>
        </w:rPr>
        <w:t xml:space="preserve">was it </w:t>
      </w:r>
      <w:r w:rsidRPr="000C0E58">
        <w:rPr>
          <w:lang w:val="en-GB"/>
        </w:rPr>
        <w:t xml:space="preserve">reduced as a result </w:t>
      </w:r>
      <w:r w:rsidRPr="000C0E58" w:rsidR="0051550C">
        <w:rPr>
          <w:lang w:val="en-GB"/>
        </w:rPr>
        <w:t xml:space="preserve">of that change. </w:t>
      </w:r>
      <w:r w:rsidRPr="000C0E58">
        <w:rPr>
          <w:lang w:val="en-GB"/>
        </w:rPr>
        <w:t xml:space="preserve">It would be unreasonable to </w:t>
      </w:r>
      <w:r w:rsidRPr="000C0E58" w:rsidR="00204B1B">
        <w:rPr>
          <w:lang w:val="en-GB"/>
        </w:rPr>
        <w:t>expect</w:t>
      </w:r>
      <w:r w:rsidRPr="000C0E58">
        <w:rPr>
          <w:lang w:val="en-GB"/>
        </w:rPr>
        <w:t xml:space="preserve"> the scheme to cover everyone who </w:t>
      </w:r>
      <w:r w:rsidRPr="000C0E58" w:rsidR="005F506A">
        <w:rPr>
          <w:lang w:val="en-GB"/>
        </w:rPr>
        <w:t xml:space="preserve">had once been </w:t>
      </w:r>
      <w:r w:rsidRPr="000C0E58">
        <w:rPr>
          <w:lang w:val="en-GB"/>
        </w:rPr>
        <w:t xml:space="preserve">granted such </w:t>
      </w:r>
      <w:r w:rsidRPr="000C0E58" w:rsidR="005F506A">
        <w:rPr>
          <w:lang w:val="en-GB"/>
        </w:rPr>
        <w:t xml:space="preserve">an </w:t>
      </w:r>
      <w:r w:rsidRPr="000C0E58" w:rsidR="00204B1B">
        <w:rPr>
          <w:lang w:val="en-GB"/>
        </w:rPr>
        <w:t>allowance</w:t>
      </w:r>
      <w:r w:rsidRPr="000C0E58" w:rsidR="005F506A">
        <w:rPr>
          <w:lang w:val="en-GB"/>
        </w:rPr>
        <w:t>,</w:t>
      </w:r>
      <w:r w:rsidRPr="000C0E58">
        <w:rPr>
          <w:lang w:val="en-GB"/>
        </w:rPr>
        <w:t xml:space="preserve"> </w:t>
      </w:r>
      <w:r w:rsidRPr="000C0E58" w:rsidR="00204B1B">
        <w:rPr>
          <w:lang w:val="en-GB"/>
        </w:rPr>
        <w:t>irrespective</w:t>
      </w:r>
      <w:r w:rsidRPr="000C0E58">
        <w:rPr>
          <w:lang w:val="en-GB"/>
        </w:rPr>
        <w:t xml:space="preserve"> of the loss of such status. This would place a heavy and excessive burden on the social</w:t>
      </w:r>
      <w:r w:rsidRPr="000C0E58" w:rsidR="00EE33E7">
        <w:rPr>
          <w:lang w:val="en-GB"/>
        </w:rPr>
        <w:t>-</w:t>
      </w:r>
      <w:r w:rsidRPr="000C0E58">
        <w:rPr>
          <w:lang w:val="en-GB"/>
        </w:rPr>
        <w:t>security</w:t>
      </w:r>
      <w:r w:rsidRPr="000C0E58" w:rsidR="00204B1B">
        <w:rPr>
          <w:lang w:val="en-GB"/>
        </w:rPr>
        <w:t xml:space="preserve"> scheme</w:t>
      </w:r>
      <w:r w:rsidRPr="000C0E58" w:rsidR="00EE33E7">
        <w:rPr>
          <w:lang w:val="en-GB"/>
        </w:rPr>
        <w:t>s</w:t>
      </w:r>
      <w:r w:rsidRPr="000C0E58" w:rsidR="00204B1B">
        <w:rPr>
          <w:lang w:val="en-GB"/>
        </w:rPr>
        <w:t xml:space="preserve"> of the member States</w:t>
      </w:r>
      <w:r w:rsidRPr="000C0E58" w:rsidR="00EE33E7">
        <w:rPr>
          <w:lang w:val="en-GB"/>
        </w:rPr>
        <w:t xml:space="preserve">, and was </w:t>
      </w:r>
      <w:r w:rsidRPr="000C0E58" w:rsidR="00204B1B">
        <w:rPr>
          <w:lang w:val="en-GB"/>
        </w:rPr>
        <w:t>not required by the principle of proportionality.</w:t>
      </w:r>
    </w:p>
    <w:p w:rsidRPr="000C0E58" w:rsidR="00E80B88"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66</w:t>
      </w:r>
      <w:r w:rsidRPr="000C0E58">
        <w:rPr>
          <w:lang w:val="en-GB"/>
        </w:rPr>
        <w:fldChar w:fldCharType="end"/>
      </w:r>
      <w:r w:rsidRPr="000C0E58">
        <w:rPr>
          <w:lang w:val="en-GB"/>
        </w:rPr>
        <w:t xml:space="preserve">.  The Government lastly challenged the relevance of ILO Convention no. 102 on Social Security (Minimum Standards) and the International Classification of Functioning, Disability and Health (ICF) endorsed by the Member States of the World Health Organisation. With respect to the ILO Convention, the Government </w:t>
      </w:r>
      <w:r w:rsidRPr="000C0E58" w:rsidR="00330BFE">
        <w:rPr>
          <w:lang w:val="en-GB"/>
        </w:rPr>
        <w:t xml:space="preserve">referred to </w:t>
      </w:r>
      <w:r w:rsidRPr="000C0E58">
        <w:rPr>
          <w:lang w:val="en-GB"/>
        </w:rPr>
        <w:t>the lack of a minimum level of adherence by European States</w:t>
      </w:r>
      <w:r w:rsidRPr="000C0E58" w:rsidR="00330BFE">
        <w:rPr>
          <w:lang w:val="en-GB"/>
        </w:rPr>
        <w:t xml:space="preserve">; with regard to </w:t>
      </w:r>
      <w:r w:rsidRPr="000C0E58">
        <w:rPr>
          <w:lang w:val="en-GB"/>
        </w:rPr>
        <w:t>the ICF</w:t>
      </w:r>
      <w:r w:rsidRPr="000C0E58" w:rsidR="00330BFE">
        <w:rPr>
          <w:lang w:val="en-GB"/>
        </w:rPr>
        <w:t>,</w:t>
      </w:r>
      <w:r w:rsidRPr="000C0E58">
        <w:rPr>
          <w:lang w:val="en-GB"/>
        </w:rPr>
        <w:t xml:space="preserve"> they pointed to the </w:t>
      </w:r>
      <w:r w:rsidRPr="000C0E58" w:rsidR="00330BFE">
        <w:rPr>
          <w:lang w:val="en-GB"/>
        </w:rPr>
        <w:t xml:space="preserve">absence </w:t>
      </w:r>
      <w:r w:rsidRPr="000C0E58">
        <w:rPr>
          <w:lang w:val="en-GB"/>
        </w:rPr>
        <w:t xml:space="preserve">of </w:t>
      </w:r>
      <w:r w:rsidRPr="000C0E58" w:rsidR="009B5F0C">
        <w:rPr>
          <w:lang w:val="en-GB"/>
        </w:rPr>
        <w:t xml:space="preserve">an </w:t>
      </w:r>
      <w:r w:rsidRPr="000C0E58">
        <w:rPr>
          <w:lang w:val="en-GB"/>
        </w:rPr>
        <w:t>“international</w:t>
      </w:r>
      <w:r w:rsidRPr="000C0E58" w:rsidR="00330BFE">
        <w:rPr>
          <w:lang w:val="en-GB"/>
        </w:rPr>
        <w:t>-</w:t>
      </w:r>
      <w:r w:rsidRPr="000C0E58">
        <w:rPr>
          <w:lang w:val="en-GB"/>
        </w:rPr>
        <w:t>law” character.</w:t>
      </w:r>
    </w:p>
    <w:p w:rsidRPr="000C0E58" w:rsidR="00061F43" w:rsidP="000C0E58">
      <w:pPr>
        <w:pStyle w:val="ECHRHeading2"/>
        <w:outlineLvl w:val="0"/>
        <w:rPr>
          <w:lang w:val="en-GB"/>
        </w:rPr>
      </w:pPr>
      <w:r w:rsidRPr="000C0E58">
        <w:rPr>
          <w:lang w:val="en-GB"/>
        </w:rPr>
        <w:t>C.  The third-party intervener</w:t>
      </w:r>
      <w:r w:rsidRPr="000C0E58" w:rsidR="000C0E58">
        <w:rPr>
          <w:lang w:val="en-GB"/>
        </w:rPr>
        <w:t>’</w:t>
      </w:r>
      <w:r w:rsidRPr="000C0E58">
        <w:rPr>
          <w:lang w:val="en-GB"/>
        </w:rPr>
        <w:t>s arguments</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67</w:t>
      </w:r>
      <w:r w:rsidRPr="000C0E58">
        <w:rPr>
          <w:lang w:val="en-GB"/>
        </w:rPr>
        <w:fldChar w:fldCharType="end"/>
      </w:r>
      <w:r w:rsidRPr="000C0E58">
        <w:rPr>
          <w:lang w:val="en-GB"/>
        </w:rPr>
        <w:t xml:space="preserve">.  The European Trade Union Confederation (ETUC) </w:t>
      </w:r>
      <w:r w:rsidRPr="000C0E58" w:rsidR="00EE33E7">
        <w:rPr>
          <w:lang w:val="en-GB"/>
        </w:rPr>
        <w:t xml:space="preserve">set out </w:t>
      </w:r>
      <w:r w:rsidRPr="000C0E58">
        <w:rPr>
          <w:lang w:val="en-GB"/>
        </w:rPr>
        <w:t>the international standards and case-law</w:t>
      </w:r>
      <w:r w:rsidRPr="000C0E58" w:rsidR="00EE33E7">
        <w:rPr>
          <w:lang w:val="en-GB"/>
        </w:rPr>
        <w:t>,</w:t>
      </w:r>
      <w:r w:rsidRPr="000C0E58">
        <w:rPr>
          <w:lang w:val="en-GB"/>
        </w:rPr>
        <w:t xml:space="preserve"> as well as the practice in European </w:t>
      </w:r>
      <w:r w:rsidRPr="000C0E58" w:rsidR="00B4263A">
        <w:rPr>
          <w:lang w:val="en-GB"/>
        </w:rPr>
        <w:t>S</w:t>
      </w:r>
      <w:r w:rsidRPr="000C0E58">
        <w:rPr>
          <w:lang w:val="en-GB"/>
        </w:rPr>
        <w:t>tates, pertaining to the right to social security in general and the right to invalidity benefits in particular.</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68</w:t>
      </w:r>
      <w:r w:rsidRPr="000C0E58">
        <w:rPr>
          <w:lang w:val="en-GB"/>
        </w:rPr>
        <w:fldChar w:fldCharType="end"/>
      </w:r>
      <w:r w:rsidRPr="000C0E58">
        <w:rPr>
          <w:lang w:val="en-GB"/>
        </w:rPr>
        <w:t xml:space="preserve">.  It provided the Court with an analysis of Articles 22 and 25 (1) of the Universal Declaration of Human Rights; Article 9 of the International </w:t>
      </w:r>
      <w:r w:rsidRPr="000C0E58">
        <w:rPr>
          <w:lang w:val="en-GB"/>
        </w:rPr>
        <w:t>Covenant on Economic, Social and Cultural Rights together with the relevant general comments adopted by the Committee of Economic, Social and Cultural Rights; Article 28 of the UN Convention on the Rights of Persons with Disabilities; Conventions no</w:t>
      </w:r>
      <w:r w:rsidRPr="000C0E58" w:rsidR="009B5F0C">
        <w:rPr>
          <w:lang w:val="en-GB"/>
        </w:rPr>
        <w:t>s</w:t>
      </w:r>
      <w:r w:rsidRPr="000C0E58">
        <w:rPr>
          <w:lang w:val="en-GB"/>
        </w:rPr>
        <w:t>. 102 and 128 of the International Labour Organization; Article 12 of the European Social Charter; the European Code of Social Security; and Article 34 of the Charter of Fundamental Rights of the European Union. It also described the relevant practice of the European Union and Council of Europe Member States, based on the comparison of data available from the MISSOC and MISSCEO databases.</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69</w:t>
      </w:r>
      <w:r w:rsidRPr="000C0E58">
        <w:rPr>
          <w:lang w:val="en-GB"/>
        </w:rPr>
        <w:fldChar w:fldCharType="end"/>
      </w:r>
      <w:r w:rsidRPr="000C0E58">
        <w:rPr>
          <w:lang w:val="en-GB"/>
        </w:rPr>
        <w:t xml:space="preserve">.  Against that background, it argued </w:t>
      </w:r>
      <w:r w:rsidRPr="000C0E58" w:rsidR="00EE33E7">
        <w:rPr>
          <w:lang w:val="en-GB"/>
        </w:rPr>
        <w:t xml:space="preserve">that it was </w:t>
      </w:r>
      <w:r w:rsidRPr="000C0E58">
        <w:rPr>
          <w:lang w:val="en-GB"/>
        </w:rPr>
        <w:t xml:space="preserve">demonstrated that the overwhelming majority, if not the totality, of Council of Europe Member States had </w:t>
      </w:r>
      <w:r w:rsidRPr="000C0E58" w:rsidR="009B5F0C">
        <w:rPr>
          <w:lang w:val="en-GB"/>
        </w:rPr>
        <w:t xml:space="preserve">agreed to provide </w:t>
      </w:r>
      <w:r w:rsidRPr="000C0E58">
        <w:rPr>
          <w:lang w:val="en-GB"/>
        </w:rPr>
        <w:t>protection against the risk of invalidity</w:t>
      </w:r>
      <w:r w:rsidRPr="000C0E58" w:rsidR="009B5F0C">
        <w:rPr>
          <w:lang w:val="en-GB"/>
        </w:rPr>
        <w:t>,</w:t>
      </w:r>
      <w:r w:rsidRPr="000C0E58">
        <w:rPr>
          <w:lang w:val="en-GB"/>
        </w:rPr>
        <w:t xml:space="preserve"> by means either of international ratifications and/or national legislation within their social</w:t>
      </w:r>
      <w:r w:rsidRPr="000C0E58" w:rsidR="009B5F0C">
        <w:rPr>
          <w:lang w:val="en-GB"/>
        </w:rPr>
        <w:t>-</w:t>
      </w:r>
      <w:r w:rsidRPr="000C0E58">
        <w:rPr>
          <w:lang w:val="en-GB"/>
        </w:rPr>
        <w:t>security system; and that thus a European consensus had emerged in that field. This fact should warrant, as a consequence, an interpretation of Article 1 of Protocol No. 1 to the effect that its material scope should include the right to social security in general and the right to invalidity benefits in particular.</w:t>
      </w:r>
    </w:p>
    <w:p w:rsidRPr="000C0E58" w:rsidR="00061F43" w:rsidP="000C0E58">
      <w:pPr>
        <w:pStyle w:val="ECHRHeading2"/>
        <w:outlineLvl w:val="0"/>
        <w:rPr>
          <w:lang w:val="en-GB"/>
        </w:rPr>
      </w:pPr>
      <w:r w:rsidRPr="000C0E58">
        <w:rPr>
          <w:lang w:val="en-GB"/>
        </w:rPr>
        <w:t>D.  The Grand Chamber</w:t>
      </w:r>
      <w:r w:rsidRPr="000C0E58" w:rsidR="000C0E58">
        <w:rPr>
          <w:lang w:val="en-GB"/>
        </w:rPr>
        <w:t>’</w:t>
      </w:r>
      <w:r w:rsidRPr="000C0E58">
        <w:rPr>
          <w:lang w:val="en-GB"/>
        </w:rPr>
        <w:t>s assessment</w:t>
      </w:r>
    </w:p>
    <w:p w:rsidRPr="000C0E58" w:rsidR="0038720B" w:rsidP="000C0E58">
      <w:pPr>
        <w:pStyle w:val="ECHRHeading3"/>
        <w:rPr>
          <w:lang w:val="en-GB"/>
        </w:rPr>
      </w:pPr>
      <w:r w:rsidRPr="000C0E58">
        <w:rPr>
          <w:lang w:val="en-GB"/>
        </w:rPr>
        <w:t>1.  The Government</w:t>
      </w:r>
      <w:r w:rsidRPr="000C0E58" w:rsidR="000C0E58">
        <w:rPr>
          <w:lang w:val="en-GB"/>
        </w:rPr>
        <w:t>’</w:t>
      </w:r>
      <w:r w:rsidRPr="000C0E58">
        <w:rPr>
          <w:lang w:val="en-GB"/>
        </w:rPr>
        <w:t>s plea of inadmissibility</w:t>
      </w:r>
    </w:p>
    <w:p w:rsidRPr="000C0E58" w:rsidR="00E80B88"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70</w:t>
      </w:r>
      <w:r w:rsidRPr="000C0E58">
        <w:rPr>
          <w:lang w:val="en-GB"/>
        </w:rPr>
        <w:fldChar w:fldCharType="end"/>
      </w:r>
      <w:r w:rsidRPr="000C0E58">
        <w:rPr>
          <w:lang w:val="en-GB"/>
        </w:rPr>
        <w:t>.  The Court observes that the Government</w:t>
      </w:r>
      <w:r w:rsidRPr="000C0E58" w:rsidR="000C0E58">
        <w:rPr>
          <w:lang w:val="en-GB"/>
        </w:rPr>
        <w:t>’</w:t>
      </w:r>
      <w:r w:rsidRPr="000C0E58">
        <w:rPr>
          <w:lang w:val="en-GB"/>
        </w:rPr>
        <w:t>s plea of inadmissibility</w:t>
      </w:r>
      <w:r w:rsidRPr="000C0E58" w:rsidR="00EE33E7">
        <w:rPr>
          <w:lang w:val="en-GB"/>
        </w:rPr>
        <w:t xml:space="preserve">, arguing </w:t>
      </w:r>
      <w:r w:rsidRPr="000C0E58">
        <w:rPr>
          <w:lang w:val="en-GB"/>
        </w:rPr>
        <w:t>the complaint</w:t>
      </w:r>
      <w:r w:rsidRPr="000C0E58" w:rsidR="000C0E58">
        <w:rPr>
          <w:lang w:val="en-GB"/>
        </w:rPr>
        <w:t>’</w:t>
      </w:r>
      <w:r w:rsidRPr="000C0E58">
        <w:rPr>
          <w:lang w:val="en-GB"/>
        </w:rPr>
        <w:t xml:space="preserve">s incompatibility </w:t>
      </w:r>
      <w:r w:rsidRPr="000C0E58">
        <w:rPr>
          <w:i/>
          <w:lang w:val="en-GB"/>
        </w:rPr>
        <w:t>ratione materiae</w:t>
      </w:r>
      <w:r w:rsidRPr="000C0E58">
        <w:rPr>
          <w:lang w:val="en-GB"/>
        </w:rPr>
        <w:t xml:space="preserve"> with the Convention and </w:t>
      </w:r>
      <w:r w:rsidRPr="000C0E58" w:rsidR="00EE33E7">
        <w:rPr>
          <w:lang w:val="en-GB"/>
        </w:rPr>
        <w:t>the P</w:t>
      </w:r>
      <w:r w:rsidRPr="000C0E58">
        <w:rPr>
          <w:lang w:val="en-GB"/>
        </w:rPr>
        <w:t xml:space="preserve">rotocols </w:t>
      </w:r>
      <w:r w:rsidRPr="000C0E58" w:rsidR="00EE33E7">
        <w:rPr>
          <w:lang w:val="en-GB"/>
        </w:rPr>
        <w:t xml:space="preserve">thereto, </w:t>
      </w:r>
      <w:r w:rsidRPr="000C0E58">
        <w:rPr>
          <w:lang w:val="en-GB"/>
        </w:rPr>
        <w:t>was raised for the first time before the Grand Chamber.</w:t>
      </w:r>
    </w:p>
    <w:p w:rsidRPr="000C0E58" w:rsidR="00425D39"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71</w:t>
      </w:r>
      <w:r w:rsidRPr="000C0E58">
        <w:rPr>
          <w:lang w:val="en-GB"/>
        </w:rPr>
        <w:fldChar w:fldCharType="end"/>
      </w:r>
      <w:r w:rsidRPr="000C0E58">
        <w:rPr>
          <w:lang w:val="en-GB"/>
        </w:rPr>
        <w:t xml:space="preserve">.  The Court </w:t>
      </w:r>
      <w:r w:rsidRPr="000C0E58">
        <w:rPr>
          <w:lang w:val="en-GB"/>
        </w:rPr>
        <w:t>sees no need to examine whether the Government are estopped</w:t>
      </w:r>
      <w:r w:rsidRPr="000C0E58" w:rsidR="008B411F">
        <w:rPr>
          <w:lang w:val="en-GB"/>
        </w:rPr>
        <w:t xml:space="preserve"> under Rule 55 of the Rules of Court</w:t>
      </w:r>
      <w:r w:rsidRPr="000C0E58">
        <w:rPr>
          <w:lang w:val="en-GB"/>
        </w:rPr>
        <w:t xml:space="preserve"> from making the said objection</w:t>
      </w:r>
      <w:r w:rsidRPr="000C0E58" w:rsidR="00EE33E7">
        <w:rPr>
          <w:lang w:val="en-GB"/>
        </w:rPr>
        <w:t>,</w:t>
      </w:r>
      <w:r w:rsidRPr="000C0E58">
        <w:rPr>
          <w:lang w:val="en-GB"/>
        </w:rPr>
        <w:t xml:space="preserve"> since it finds in any event that it concerns a matter which goes to the Court</w:t>
      </w:r>
      <w:r w:rsidRPr="000C0E58" w:rsidR="000C0E58">
        <w:rPr>
          <w:lang w:val="en-GB"/>
        </w:rPr>
        <w:t>’</w:t>
      </w:r>
      <w:r w:rsidRPr="000C0E58">
        <w:rPr>
          <w:lang w:val="en-GB"/>
        </w:rPr>
        <w:t xml:space="preserve">s jurisdiction and which it is not prevented from examining of its own motion (see, for instance, </w:t>
      </w:r>
      <w:r w:rsidRPr="000C0E58">
        <w:rPr>
          <w:i/>
          <w:lang w:val="en-GB"/>
        </w:rPr>
        <w:t>R.P. and Others v. the United Kingdom</w:t>
      </w:r>
      <w:r w:rsidRPr="000C0E58">
        <w:rPr>
          <w:lang w:val="en-GB"/>
        </w:rPr>
        <w:t>, no.</w:t>
      </w:r>
      <w:r w:rsidRPr="000C0E58" w:rsidR="009B5F0C">
        <w:rPr>
          <w:lang w:val="en-GB"/>
        </w:rPr>
        <w:t> </w:t>
      </w:r>
      <w:r w:rsidRPr="000C0E58">
        <w:rPr>
          <w:lang w:val="en-GB"/>
        </w:rPr>
        <w:t>38245/08</w:t>
      </w:r>
      <w:r w:rsidRPr="000C0E58">
        <w:rPr>
          <w:snapToGrid w:val="0"/>
          <w:lang w:val="en-GB"/>
        </w:rPr>
        <w:t>, § 47, 9 October 2012)</w:t>
      </w:r>
      <w:r w:rsidRPr="000C0E58">
        <w:rPr>
          <w:lang w:val="en-GB"/>
        </w:rPr>
        <w:t xml:space="preserve">. It considers that, in the particular circumstances of the present case, the </w:t>
      </w:r>
      <w:r w:rsidRPr="000C0E58" w:rsidR="00AA757F">
        <w:rPr>
          <w:lang w:val="en-GB"/>
        </w:rPr>
        <w:t>objection</w:t>
      </w:r>
      <w:r w:rsidRPr="000C0E58">
        <w:rPr>
          <w:lang w:val="en-GB"/>
        </w:rPr>
        <w:t xml:space="preserve"> is so closely linked to the substance of the applicant</w:t>
      </w:r>
      <w:r w:rsidRPr="000C0E58" w:rsidR="000C0E58">
        <w:rPr>
          <w:lang w:val="en-GB"/>
        </w:rPr>
        <w:t>’</w:t>
      </w:r>
      <w:r w:rsidRPr="000C0E58">
        <w:rPr>
          <w:lang w:val="en-GB"/>
        </w:rPr>
        <w:t>s complaint that it should be joined to the merits.</w:t>
      </w:r>
    </w:p>
    <w:p w:rsidRPr="000C0E58" w:rsidR="00061F43" w:rsidP="000C0E58">
      <w:pPr>
        <w:pStyle w:val="ECHRHeading3"/>
        <w:rPr>
          <w:lang w:val="en-GB"/>
        </w:rPr>
      </w:pPr>
      <w:r w:rsidRPr="000C0E58">
        <w:rPr>
          <w:lang w:val="en-GB"/>
        </w:rPr>
        <w:t>2</w:t>
      </w:r>
      <w:r w:rsidRPr="000C0E58">
        <w:rPr>
          <w:lang w:val="en-GB"/>
        </w:rPr>
        <w:t>.  Applicability of Article 1 of Protocol No. 1</w:t>
      </w:r>
    </w:p>
    <w:p w:rsidRPr="000C0E58" w:rsidR="00061F43" w:rsidP="000C0E58">
      <w:pPr>
        <w:pStyle w:val="ECHRHeading4"/>
        <w:rPr>
          <w:lang w:val="en-GB"/>
        </w:rPr>
      </w:pPr>
      <w:r w:rsidRPr="000C0E58">
        <w:rPr>
          <w:lang w:val="en-GB"/>
        </w:rPr>
        <w:t>(a)  General principles</w:t>
      </w:r>
      <w:r w:rsidRPr="000C0E58" w:rsidR="00CA04EA">
        <w:rPr>
          <w:lang w:val="en-GB"/>
        </w:rPr>
        <w:t xml:space="preserve"> regarding the scope of the provision</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72</w:t>
      </w:r>
      <w:r w:rsidRPr="000C0E58">
        <w:rPr>
          <w:lang w:val="en-GB"/>
        </w:rPr>
        <w:fldChar w:fldCharType="end"/>
      </w:r>
      <w:r w:rsidRPr="000C0E58">
        <w:rPr>
          <w:lang w:val="en-GB"/>
        </w:rPr>
        <w:t xml:space="preserve">.  The Court reiterates that Article 1 of Protocol No. 1, which guarantees in substance the right of property, comprises three distinct rules. The first rule, which is set out in the first sentence of the first paragraph, is of a general nature and enunciates the principle of peaceful enjoyment of </w:t>
      </w:r>
      <w:r w:rsidRPr="000C0E58">
        <w:rPr>
          <w:lang w:val="en-GB"/>
        </w:rPr>
        <w:t xml:space="preserve">property. The second rule, contained in the second sentence of the first paragraph, covers deprivation of possessions and subjects it to certain conditions. The third rule, stated in the second paragraph, recognises that the Contracting States are entitled, amongst other things, to control the use of property in accordance with the general interest, by enforcing such laws as they deem necessary for the purpose. However, the rules are not “distinct” in the sense of being unconnected. The second and third rules are concerned with particular instances of interference with the right to peaceful enjoyment of property and should therefore be construed in the light of the general principle enunciated in the first rule (see, among many other authorities, </w:t>
      </w:r>
      <w:r w:rsidRPr="000C0E58">
        <w:rPr>
          <w:i/>
          <w:iCs/>
          <w:lang w:val="en-GB"/>
        </w:rPr>
        <w:t>James and Others v. the United Kingdom</w:t>
      </w:r>
      <w:r w:rsidRPr="000C0E58" w:rsidR="009C50F2">
        <w:rPr>
          <w:lang w:val="en-GB"/>
        </w:rPr>
        <w:t>, 21 </w:t>
      </w:r>
      <w:r w:rsidRPr="000C0E58">
        <w:rPr>
          <w:lang w:val="en-GB"/>
        </w:rPr>
        <w:t>February 1986, § 37, Series A no. 98</w:t>
      </w:r>
      <w:r w:rsidRPr="000C0E58" w:rsidR="0048658B">
        <w:rPr>
          <w:lang w:val="en-GB"/>
        </w:rPr>
        <w:t>;</w:t>
      </w:r>
      <w:r w:rsidRPr="000C0E58">
        <w:rPr>
          <w:lang w:val="en-GB"/>
        </w:rPr>
        <w:t xml:space="preserve"> and </w:t>
      </w:r>
      <w:r w:rsidRPr="000C0E58">
        <w:rPr>
          <w:i/>
          <w:iCs/>
          <w:lang w:val="en-GB"/>
        </w:rPr>
        <w:t xml:space="preserve">Sargsyan v. Azerbaijan </w:t>
      </w:r>
      <w:r w:rsidRPr="000C0E58" w:rsidR="009C50F2">
        <w:rPr>
          <w:lang w:val="en-GB"/>
        </w:rPr>
        <w:t>[GC], no. </w:t>
      </w:r>
      <w:r w:rsidRPr="000C0E58">
        <w:rPr>
          <w:lang w:val="en-GB"/>
        </w:rPr>
        <w:t>40167/06, § 217, ECHR 2015).</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73</w:t>
      </w:r>
      <w:r w:rsidRPr="000C0E58">
        <w:rPr>
          <w:lang w:val="en-GB"/>
        </w:rPr>
        <w:fldChar w:fldCharType="end"/>
      </w:r>
      <w:r w:rsidRPr="000C0E58">
        <w:rPr>
          <w:lang w:val="en-GB"/>
        </w:rPr>
        <w:t>.  </w:t>
      </w:r>
      <w:r w:rsidRPr="000C0E58">
        <w:rPr>
          <w:lang w:val="en-GB"/>
        </w:rPr>
        <w:t xml:space="preserve">The concept of “possession” within the meaning of Article 1 of Protocol No. 1 has an autonomous meaning which is not limited to ownership of material goods and is independent from the formal classification in domestic law: certain other rights and interests constituting assets can also be regarded as “property rights”, and thus as “possessions” for </w:t>
      </w:r>
      <w:r w:rsidRPr="000C0E58" w:rsidR="006E457F">
        <w:rPr>
          <w:lang w:val="en-GB"/>
        </w:rPr>
        <w:t xml:space="preserve">the purposes of this provision (see </w:t>
      </w:r>
      <w:r w:rsidRPr="000C0E58" w:rsidR="00D730A7">
        <w:rPr>
          <w:i/>
          <w:lang w:val="en-GB"/>
        </w:rPr>
        <w:t>Iatridis v. </w:t>
      </w:r>
      <w:r w:rsidRPr="000C0E58" w:rsidR="006E457F">
        <w:rPr>
          <w:i/>
          <w:lang w:val="en-GB"/>
        </w:rPr>
        <w:t>Greece</w:t>
      </w:r>
      <w:r w:rsidRPr="000C0E58" w:rsidR="006E457F">
        <w:rPr>
          <w:lang w:val="en-GB"/>
        </w:rPr>
        <w:t xml:space="preserve"> [GC], no.</w:t>
      </w:r>
      <w:r w:rsidRPr="000C0E58" w:rsidR="003D749D">
        <w:rPr>
          <w:lang w:val="en-GB"/>
        </w:rPr>
        <w:t> </w:t>
      </w:r>
      <w:r w:rsidRPr="000C0E58" w:rsidR="00CB35E6">
        <w:rPr>
          <w:lang w:val="en-GB"/>
        </w:rPr>
        <w:t>31107/96, § 54, ECHR 1999-</w:t>
      </w:r>
      <w:r w:rsidRPr="000C0E58" w:rsidR="006E457F">
        <w:rPr>
          <w:lang w:val="en-GB"/>
        </w:rPr>
        <w:t xml:space="preserve">II; </w:t>
      </w:r>
      <w:r w:rsidRPr="000C0E58" w:rsidR="006E457F">
        <w:rPr>
          <w:i/>
          <w:lang w:val="en-GB"/>
        </w:rPr>
        <w:t>Beyeler v. Italy</w:t>
      </w:r>
      <w:r w:rsidRPr="000C0E58" w:rsidR="00D730A7">
        <w:rPr>
          <w:lang w:val="en-GB"/>
        </w:rPr>
        <w:t xml:space="preserve"> [GC], no. </w:t>
      </w:r>
      <w:r w:rsidRPr="000C0E58" w:rsidR="006E457F">
        <w:rPr>
          <w:lang w:val="en-GB"/>
        </w:rPr>
        <w:t>33202/96, §</w:t>
      </w:r>
      <w:r w:rsidRPr="000C0E58" w:rsidR="003D749D">
        <w:rPr>
          <w:lang w:val="en-GB"/>
        </w:rPr>
        <w:t> </w:t>
      </w:r>
      <w:r w:rsidRPr="000C0E58" w:rsidR="00CB35E6">
        <w:rPr>
          <w:lang w:val="en-GB"/>
        </w:rPr>
        <w:t>100, ECHR 2000-</w:t>
      </w:r>
      <w:r w:rsidRPr="000C0E58" w:rsidR="006E457F">
        <w:rPr>
          <w:lang w:val="en-GB"/>
        </w:rPr>
        <w:t xml:space="preserve">I; and </w:t>
      </w:r>
      <w:r w:rsidRPr="000C0E58" w:rsidR="006E457F">
        <w:rPr>
          <w:i/>
          <w:lang w:val="en-GB"/>
        </w:rPr>
        <w:t xml:space="preserve">Parrillo v. Italy </w:t>
      </w:r>
      <w:r w:rsidRPr="000C0E58" w:rsidR="00D730A7">
        <w:rPr>
          <w:lang w:val="en-GB"/>
        </w:rPr>
        <w:t>[GC], no. 46470/11, § </w:t>
      </w:r>
      <w:r w:rsidRPr="000C0E58" w:rsidR="006E457F">
        <w:rPr>
          <w:lang w:val="en-GB"/>
        </w:rPr>
        <w:t>211, ECHR 2015).</w:t>
      </w:r>
    </w:p>
    <w:p w:rsidRPr="000C0E58" w:rsidR="00D8283B" w:rsidP="000C0E58">
      <w:pPr>
        <w:pStyle w:val="ECHRPara"/>
        <w:rPr>
          <w:szCs w:val="24"/>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74</w:t>
      </w:r>
      <w:r w:rsidRPr="000C0E58">
        <w:rPr>
          <w:lang w:val="en-GB"/>
        </w:rPr>
        <w:fldChar w:fldCharType="end"/>
      </w:r>
      <w:r w:rsidRPr="000C0E58">
        <w:rPr>
          <w:lang w:val="en-GB"/>
        </w:rPr>
        <w:t>.  </w:t>
      </w:r>
      <w:r w:rsidRPr="000C0E58" w:rsidR="00061F43">
        <w:rPr>
          <w:lang w:val="en-GB"/>
        </w:rPr>
        <w:t xml:space="preserve">Although Article 1 of Protocol No. 1 </w:t>
      </w:r>
      <w:r w:rsidRPr="000C0E58" w:rsidR="00082A80">
        <w:rPr>
          <w:lang w:val="en-GB"/>
        </w:rPr>
        <w:t>applies only to a person</w:t>
      </w:r>
      <w:r w:rsidRPr="000C0E58" w:rsidR="000C0E58">
        <w:rPr>
          <w:lang w:val="en-GB"/>
        </w:rPr>
        <w:t>’</w:t>
      </w:r>
      <w:r w:rsidRPr="000C0E58" w:rsidR="00082A80">
        <w:rPr>
          <w:lang w:val="en-GB"/>
        </w:rPr>
        <w:t>s existing possessions</w:t>
      </w:r>
      <w:r w:rsidRPr="000C0E58" w:rsidR="00082A80">
        <w:rPr>
          <w:rFonts w:ascii="Times New Roman" w:hAnsi="Times New Roman" w:eastAsia="Times New Roman" w:cs="Times New Roman"/>
          <w:szCs w:val="24"/>
          <w:lang w:val="en-GB"/>
        </w:rPr>
        <w:t xml:space="preserve"> and does not create a right to acquire property (see </w:t>
      </w:r>
      <w:r w:rsidRPr="000C0E58" w:rsidR="00082A80">
        <w:rPr>
          <w:i/>
          <w:lang w:val="en-GB"/>
        </w:rPr>
        <w:t>Stummer v. Austria</w:t>
      </w:r>
      <w:r w:rsidRPr="000C0E58" w:rsidR="00082A80">
        <w:rPr>
          <w:lang w:val="en-GB"/>
        </w:rPr>
        <w:t xml:space="preserve"> [GC], no. 37452/02, § 82, ECHR 2011)</w:t>
      </w:r>
      <w:r w:rsidRPr="000C0E58" w:rsidR="00061F43">
        <w:rPr>
          <w:lang w:val="en-GB"/>
        </w:rPr>
        <w:t>, in certain circumstances a “legitimate expectation” of obtaining an asset may also enjoy the protection of Article 1 of Protocol No. 1</w:t>
      </w:r>
      <w:r w:rsidRPr="000C0E58" w:rsidR="00163C3D">
        <w:rPr>
          <w:lang w:val="en-GB"/>
        </w:rPr>
        <w:t xml:space="preserve"> (see, among many authorities, </w:t>
      </w:r>
      <w:r w:rsidRPr="000C0E58" w:rsidR="00302A86">
        <w:rPr>
          <w:i/>
          <w:lang w:val="en-GB"/>
        </w:rPr>
        <w:t>Anheuser-Busch Inc. v. Portugal</w:t>
      </w:r>
      <w:r w:rsidRPr="000C0E58" w:rsidR="00302A86">
        <w:rPr>
          <w:lang w:val="en-GB"/>
        </w:rPr>
        <w:t xml:space="preserve"> [GC]</w:t>
      </w:r>
      <w:r w:rsidRPr="000C0E58" w:rsidR="00D730A7">
        <w:rPr>
          <w:lang w:val="en-GB"/>
        </w:rPr>
        <w:t>, no. 73049/01, § </w:t>
      </w:r>
      <w:r w:rsidRPr="000C0E58" w:rsidR="00CB35E6">
        <w:rPr>
          <w:lang w:val="en-GB"/>
        </w:rPr>
        <w:t>65, ECHR 2007-</w:t>
      </w:r>
      <w:r w:rsidRPr="000C0E58" w:rsidR="00302A86">
        <w:rPr>
          <w:lang w:val="en-GB"/>
        </w:rPr>
        <w:t>I).</w:t>
      </w:r>
    </w:p>
    <w:p w:rsidRPr="000C0E58" w:rsidR="00466EA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75</w:t>
      </w:r>
      <w:r w:rsidRPr="000C0E58">
        <w:rPr>
          <w:lang w:val="en-GB"/>
        </w:rPr>
        <w:fldChar w:fldCharType="end"/>
      </w:r>
      <w:r w:rsidRPr="000C0E58">
        <w:rPr>
          <w:lang w:val="en-GB"/>
        </w:rPr>
        <w:t>.  </w:t>
      </w:r>
      <w:r w:rsidRPr="000C0E58" w:rsidR="00B9363B">
        <w:rPr>
          <w:lang w:val="en-GB"/>
        </w:rPr>
        <w:t>A</w:t>
      </w:r>
      <w:r w:rsidRPr="000C0E58" w:rsidR="0006648A">
        <w:rPr>
          <w:lang w:val="en-GB"/>
        </w:rPr>
        <w:t xml:space="preserve"> legitimate expectation must be of a nature more concrete than a mere </w:t>
      </w:r>
      <w:r w:rsidRPr="000C0E58" w:rsidR="0006648A">
        <w:rPr>
          <w:lang w:val="en-GB"/>
        </w:rPr>
        <w:t>hope</w:t>
      </w:r>
      <w:r w:rsidRPr="000C0E58" w:rsidR="0006648A">
        <w:rPr>
          <w:lang w:val="en-GB"/>
        </w:rPr>
        <w:t xml:space="preserve"> and be based on a legal provision or a legal act such as a judicial decision. T</w:t>
      </w:r>
      <w:r w:rsidRPr="000C0E58" w:rsidR="00061F43">
        <w:rPr>
          <w:lang w:val="en-GB"/>
        </w:rPr>
        <w:t xml:space="preserve">he hope that a long-extinguished property right may be revived cannot be regarded as a “possession”; nor can a conditional claim which has lapsed as a result of a failure to fulfil the condition (see </w:t>
      </w:r>
      <w:r w:rsidRPr="000C0E58" w:rsidR="00061F43">
        <w:rPr>
          <w:i/>
          <w:lang w:val="en-GB"/>
        </w:rPr>
        <w:t>Gratzinger and Gratzingerova v. the Czech Republic</w:t>
      </w:r>
      <w:r w:rsidRPr="000C0E58" w:rsidR="00061F43">
        <w:rPr>
          <w:lang w:val="en-GB"/>
        </w:rPr>
        <w:t xml:space="preserve"> (dec.) [GC], no. 39794/98, </w:t>
      </w:r>
      <w:r w:rsidRPr="000C0E58" w:rsidR="0006648A">
        <w:rPr>
          <w:lang w:val="en-GB"/>
        </w:rPr>
        <w:t>§§ 69 and 73</w:t>
      </w:r>
      <w:r w:rsidRPr="000C0E58" w:rsidR="00061F43">
        <w:rPr>
          <w:lang w:val="en-GB"/>
        </w:rPr>
        <w:t>, ECHR 2002-VII). Further, no “legitimate expectation” can be said to arise where there is a dispute as to the correct interpretation and application of domestic law and the applicant</w:t>
      </w:r>
      <w:r w:rsidRPr="000C0E58" w:rsidR="000C0E58">
        <w:rPr>
          <w:lang w:val="en-GB"/>
        </w:rPr>
        <w:t>’</w:t>
      </w:r>
      <w:r w:rsidRPr="000C0E58" w:rsidR="00061F43">
        <w:rPr>
          <w:lang w:val="en-GB"/>
        </w:rPr>
        <w:t xml:space="preserve">s submissions are subsequently rejected by the national courts (see </w:t>
      </w:r>
      <w:r w:rsidRPr="000C0E58" w:rsidR="00B9363B">
        <w:rPr>
          <w:i/>
          <w:lang w:val="en-GB"/>
        </w:rPr>
        <w:t xml:space="preserve">Kopecký v. Slovakia </w:t>
      </w:r>
      <w:r w:rsidRPr="000C0E58" w:rsidR="00D730A7">
        <w:rPr>
          <w:lang w:val="en-GB"/>
        </w:rPr>
        <w:t>[GC], no. 44912/98, § </w:t>
      </w:r>
      <w:r w:rsidRPr="000C0E58" w:rsidR="00B9363B">
        <w:rPr>
          <w:lang w:val="en-GB"/>
        </w:rPr>
        <w:t>50</w:t>
      </w:r>
      <w:r w:rsidRPr="000C0E58" w:rsidR="00CB35E6">
        <w:rPr>
          <w:lang w:val="en-GB"/>
        </w:rPr>
        <w:t>, ECHR 2004-</w:t>
      </w:r>
      <w:r w:rsidRPr="000C0E58" w:rsidR="00B9363B">
        <w:rPr>
          <w:lang w:val="en-GB"/>
        </w:rPr>
        <w:t>IX).</w:t>
      </w:r>
      <w:r w:rsidRPr="000C0E58">
        <w:rPr>
          <w:lang w:val="en-GB"/>
        </w:rPr>
        <w:t xml:space="preserve"> At the same time, </w:t>
      </w:r>
      <w:r w:rsidRPr="000C0E58" w:rsidR="00732985">
        <w:rPr>
          <w:lang w:val="en-GB"/>
        </w:rPr>
        <w:t xml:space="preserve">a proprietary interest recognised under domestic law – even if revocable in certain circumstances – may constitute a “possession” for the purposes of Article 1 of Protocol No. 1 </w:t>
      </w:r>
      <w:r w:rsidRPr="000C0E58">
        <w:rPr>
          <w:lang w:val="en-GB"/>
        </w:rPr>
        <w:t xml:space="preserve">(see </w:t>
      </w:r>
      <w:r w:rsidRPr="000C0E58" w:rsidR="00D730A7">
        <w:rPr>
          <w:i/>
          <w:lang w:val="en-GB"/>
        </w:rPr>
        <w:t>Beyeler</w:t>
      </w:r>
      <w:r w:rsidRPr="000C0E58" w:rsidR="00A65F01">
        <w:rPr>
          <w:i/>
          <w:lang w:val="en-GB"/>
        </w:rPr>
        <w:t>,</w:t>
      </w:r>
      <w:r w:rsidRPr="000C0E58" w:rsidR="003A4995">
        <w:rPr>
          <w:i/>
          <w:lang w:val="en-GB"/>
        </w:rPr>
        <w:t xml:space="preserve"> </w:t>
      </w:r>
      <w:r w:rsidRPr="000C0E58" w:rsidR="003A4995">
        <w:rPr>
          <w:lang w:val="en-GB"/>
        </w:rPr>
        <w:t>cited above</w:t>
      </w:r>
      <w:r w:rsidRPr="000C0E58">
        <w:rPr>
          <w:lang w:val="en-GB"/>
        </w:rPr>
        <w:t>, § 105).</w:t>
      </w:r>
    </w:p>
    <w:p w:rsidRPr="000C0E58" w:rsidR="00A64E9F"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76</w:t>
      </w:r>
      <w:r w:rsidRPr="000C0E58">
        <w:rPr>
          <w:lang w:val="en-GB"/>
        </w:rPr>
        <w:fldChar w:fldCharType="end"/>
      </w:r>
      <w:r w:rsidRPr="000C0E58">
        <w:rPr>
          <w:lang w:val="en-GB"/>
        </w:rPr>
        <w:t>.  </w:t>
      </w:r>
      <w:r w:rsidRPr="000C0E58" w:rsidR="006E457F">
        <w:rPr>
          <w:lang w:val="en-GB"/>
        </w:rPr>
        <w:t xml:space="preserve">In </w:t>
      </w:r>
      <w:r w:rsidRPr="000C0E58" w:rsidR="00E318DF">
        <w:rPr>
          <w:lang w:val="en-GB"/>
        </w:rPr>
        <w:t xml:space="preserve">cases concerning Article 1 of Protocol No. 1, </w:t>
      </w:r>
      <w:r w:rsidRPr="000C0E58" w:rsidR="006E457F">
        <w:rPr>
          <w:lang w:val="en-GB"/>
        </w:rPr>
        <w:t xml:space="preserve">the issue that needs to be examined is </w:t>
      </w:r>
      <w:r w:rsidRPr="000C0E58" w:rsidR="00E318DF">
        <w:rPr>
          <w:lang w:val="en-GB"/>
        </w:rPr>
        <w:t xml:space="preserve">normally </w:t>
      </w:r>
      <w:r w:rsidRPr="000C0E58" w:rsidR="006E457F">
        <w:rPr>
          <w:lang w:val="en-GB"/>
        </w:rPr>
        <w:t xml:space="preserve">whether the circumstances of the case, considered as a whole, conferred on the applicant title to a substantive interest protected by </w:t>
      </w:r>
      <w:r w:rsidRPr="000C0E58" w:rsidR="00E318DF">
        <w:rPr>
          <w:lang w:val="en-GB"/>
        </w:rPr>
        <w:t>that provision</w:t>
      </w:r>
      <w:r w:rsidRPr="000C0E58" w:rsidR="006E457F">
        <w:rPr>
          <w:lang w:val="en-GB"/>
        </w:rPr>
        <w:t xml:space="preserve"> (see </w:t>
      </w:r>
      <w:r w:rsidRPr="000C0E58" w:rsidR="006E457F">
        <w:rPr>
          <w:i/>
          <w:lang w:val="en-GB"/>
        </w:rPr>
        <w:t>Iatridi</w:t>
      </w:r>
      <w:r w:rsidRPr="000C0E58" w:rsidR="007710D1">
        <w:rPr>
          <w:i/>
          <w:lang w:val="en-GB"/>
        </w:rPr>
        <w:t>s</w:t>
      </w:r>
      <w:r w:rsidRPr="000C0E58" w:rsidR="00A65F01">
        <w:rPr>
          <w:lang w:val="en-GB"/>
        </w:rPr>
        <w:t>, cited above</w:t>
      </w:r>
      <w:r w:rsidRPr="000C0E58" w:rsidR="006E457F">
        <w:rPr>
          <w:lang w:val="en-GB"/>
        </w:rPr>
        <w:t xml:space="preserve">, § 54; </w:t>
      </w:r>
      <w:r w:rsidRPr="000C0E58" w:rsidR="006E457F">
        <w:rPr>
          <w:i/>
          <w:lang w:val="en-GB"/>
        </w:rPr>
        <w:t>Beyeler</w:t>
      </w:r>
      <w:r w:rsidRPr="000C0E58" w:rsidR="00466EA3">
        <w:rPr>
          <w:lang w:val="en-GB"/>
        </w:rPr>
        <w:t>, cited above</w:t>
      </w:r>
      <w:r w:rsidRPr="000C0E58" w:rsidR="006E457F">
        <w:rPr>
          <w:lang w:val="en-GB"/>
        </w:rPr>
        <w:t xml:space="preserve">, </w:t>
      </w:r>
      <w:r w:rsidRPr="000C0E58" w:rsidR="00466EA3">
        <w:rPr>
          <w:lang w:val="en-GB"/>
        </w:rPr>
        <w:t>§ 100</w:t>
      </w:r>
      <w:r w:rsidRPr="000C0E58" w:rsidR="006E457F">
        <w:rPr>
          <w:lang w:val="en-GB"/>
        </w:rPr>
        <w:t xml:space="preserve">; and </w:t>
      </w:r>
      <w:r w:rsidRPr="000C0E58" w:rsidR="006E457F">
        <w:rPr>
          <w:i/>
          <w:lang w:val="en-GB"/>
        </w:rPr>
        <w:t>Parrillo</w:t>
      </w:r>
      <w:r w:rsidRPr="000C0E58" w:rsidR="006E457F">
        <w:rPr>
          <w:lang w:val="en-GB"/>
        </w:rPr>
        <w:t>,</w:t>
      </w:r>
      <w:r w:rsidRPr="000C0E58" w:rsidR="004564B5">
        <w:rPr>
          <w:lang w:val="en-GB"/>
        </w:rPr>
        <w:t xml:space="preserve"> cited above,</w:t>
      </w:r>
      <w:r w:rsidRPr="000C0E58" w:rsidR="006E457F">
        <w:rPr>
          <w:lang w:val="en-GB"/>
        </w:rPr>
        <w:t xml:space="preserve"> § 211).</w:t>
      </w:r>
      <w:r w:rsidRPr="000C0E58">
        <w:rPr>
          <w:lang w:val="en-GB"/>
        </w:rPr>
        <w:t xml:space="preserve"> </w:t>
      </w:r>
      <w:r w:rsidRPr="000C0E58" w:rsidR="00E318DF">
        <w:rPr>
          <w:lang w:val="en-GB"/>
        </w:rPr>
        <w:t xml:space="preserve">In applications concerning claims other than </w:t>
      </w:r>
      <w:r w:rsidRPr="000C0E58" w:rsidR="009E042A">
        <w:rPr>
          <w:lang w:val="en-GB"/>
        </w:rPr>
        <w:t xml:space="preserve">those </w:t>
      </w:r>
      <w:r w:rsidRPr="000C0E58" w:rsidR="00E318DF">
        <w:rPr>
          <w:lang w:val="en-GB"/>
        </w:rPr>
        <w:t>relating to existing possessions, t</w:t>
      </w:r>
      <w:r w:rsidRPr="000C0E58">
        <w:rPr>
          <w:lang w:val="en-GB"/>
        </w:rPr>
        <w:t>he idea behind this requirement has also been formulated in various other ways throughout the Court</w:t>
      </w:r>
      <w:r w:rsidRPr="000C0E58" w:rsidR="000C0E58">
        <w:rPr>
          <w:lang w:val="en-GB"/>
        </w:rPr>
        <w:t>’</w:t>
      </w:r>
      <w:r w:rsidRPr="000C0E58">
        <w:rPr>
          <w:lang w:val="en-GB"/>
        </w:rPr>
        <w:t xml:space="preserve">s case-law. </w:t>
      </w:r>
      <w:r w:rsidRPr="000C0E58" w:rsidR="00213768">
        <w:rPr>
          <w:lang w:val="en-GB"/>
        </w:rPr>
        <w:t xml:space="preserve">By way </w:t>
      </w:r>
      <w:r w:rsidRPr="000C0E58">
        <w:rPr>
          <w:lang w:val="en-GB"/>
        </w:rPr>
        <w:t xml:space="preserve">of example, in a number of cases the Court examined, respectively, whether the applicants had “a claim which was sufficiently established to be enforceable” (see </w:t>
      </w:r>
      <w:r w:rsidRPr="000C0E58">
        <w:rPr>
          <w:i/>
          <w:lang w:val="en-GB"/>
        </w:rPr>
        <w:t>Gratzinger and Gratzingerova</w:t>
      </w:r>
      <w:r w:rsidRPr="000C0E58">
        <w:rPr>
          <w:lang w:val="en-GB"/>
        </w:rPr>
        <w:t>, cited above, § 74); whether they demonstrated the existence of “an assertable right under domestic law to a welfare benefit” (</w:t>
      </w:r>
      <w:r w:rsidRPr="000C0E58" w:rsidR="00732985">
        <w:rPr>
          <w:lang w:val="en-GB"/>
        </w:rPr>
        <w:t xml:space="preserve">see </w:t>
      </w:r>
      <w:r w:rsidRPr="000C0E58" w:rsidR="00732985">
        <w:rPr>
          <w:i/>
          <w:lang w:val="en-GB"/>
        </w:rPr>
        <w:t>Stec and Others v. the United Kingdom</w:t>
      </w:r>
      <w:r w:rsidRPr="000C0E58" w:rsidR="00732985">
        <w:rPr>
          <w:lang w:val="en-GB"/>
        </w:rPr>
        <w:t xml:space="preserve"> (dec.) [GC], nos. 65731/01 and 65900/01</w:t>
      </w:r>
      <w:r w:rsidRPr="000C0E58" w:rsidR="00732985">
        <w:rPr>
          <w:szCs w:val="24"/>
          <w:lang w:val="en-GB"/>
        </w:rPr>
        <w:t xml:space="preserve">, § 51, </w:t>
      </w:r>
      <w:r w:rsidRPr="000C0E58" w:rsidR="00CB35E6">
        <w:rPr>
          <w:lang w:val="en-GB"/>
        </w:rPr>
        <w:t>ECHR 2005-</w:t>
      </w:r>
      <w:r w:rsidRPr="000C0E58" w:rsidR="00732985">
        <w:rPr>
          <w:lang w:val="en-GB"/>
        </w:rPr>
        <w:t>X)</w:t>
      </w:r>
      <w:r w:rsidRPr="000C0E58">
        <w:rPr>
          <w:lang w:val="en-GB"/>
        </w:rPr>
        <w:t xml:space="preserve">; or whether the persons concerned satisfied the “legal conditions laid down in domestic law for the grant of any particular form of benefits” (see </w:t>
      </w:r>
      <w:r w:rsidRPr="000C0E58">
        <w:rPr>
          <w:i/>
          <w:lang w:val="en-GB"/>
        </w:rPr>
        <w:t>Richardson</w:t>
      </w:r>
      <w:r w:rsidRPr="000C0E58" w:rsidR="00732985">
        <w:rPr>
          <w:lang w:val="en-GB"/>
        </w:rPr>
        <w:t xml:space="preserve"> </w:t>
      </w:r>
      <w:r w:rsidRPr="000C0E58" w:rsidR="00732985">
        <w:rPr>
          <w:i/>
          <w:lang w:val="en-GB"/>
        </w:rPr>
        <w:t>v. the United Kingdom</w:t>
      </w:r>
      <w:r w:rsidRPr="000C0E58" w:rsidR="00732985">
        <w:rPr>
          <w:lang w:val="en-GB"/>
        </w:rPr>
        <w:t xml:space="preserve"> (dec.), no. 26252/08, § 17, 10 April 2012).</w:t>
      </w:r>
    </w:p>
    <w:p w:rsidRPr="000C0E58" w:rsidR="00D62B34"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77</w:t>
      </w:r>
      <w:r w:rsidRPr="000C0E58">
        <w:rPr>
          <w:lang w:val="en-GB"/>
        </w:rPr>
        <w:fldChar w:fldCharType="end"/>
      </w:r>
      <w:r w:rsidRPr="000C0E58">
        <w:rPr>
          <w:lang w:val="en-GB"/>
        </w:rPr>
        <w:t>.  </w:t>
      </w:r>
      <w:r w:rsidRPr="000C0E58" w:rsidR="00152BED">
        <w:rPr>
          <w:lang w:val="en-GB"/>
        </w:rPr>
        <w:t xml:space="preserve">In </w:t>
      </w:r>
      <w:r w:rsidRPr="000C0E58" w:rsidR="00152BED">
        <w:rPr>
          <w:i/>
          <w:lang w:val="en-GB"/>
        </w:rPr>
        <w:t>Kopecký</w:t>
      </w:r>
      <w:r w:rsidRPr="000C0E58" w:rsidR="00152BED">
        <w:rPr>
          <w:lang w:val="en-GB"/>
        </w:rPr>
        <w:t>, the Grand Chamber recapitulated the Court</w:t>
      </w:r>
      <w:r w:rsidRPr="000C0E58" w:rsidR="000C0E58">
        <w:rPr>
          <w:lang w:val="en-GB"/>
        </w:rPr>
        <w:t>’</w:t>
      </w:r>
      <w:r w:rsidRPr="000C0E58" w:rsidR="00152BED">
        <w:rPr>
          <w:lang w:val="en-GB"/>
        </w:rPr>
        <w:t>s case-law on the not</w:t>
      </w:r>
      <w:r w:rsidRPr="000C0E58" w:rsidR="009B2E33">
        <w:rPr>
          <w:lang w:val="en-GB"/>
        </w:rPr>
        <w:t>ion of “legitimate expectation”</w:t>
      </w:r>
      <w:r w:rsidRPr="000C0E58" w:rsidR="00152BED">
        <w:rPr>
          <w:lang w:val="en-GB"/>
        </w:rPr>
        <w:t>.</w:t>
      </w:r>
      <w:r w:rsidRPr="000C0E58">
        <w:rPr>
          <w:lang w:val="en-GB"/>
        </w:rPr>
        <w:t xml:space="preserve"> F</w:t>
      </w:r>
      <w:r w:rsidRPr="000C0E58">
        <w:rPr>
          <w:rFonts w:cstheme="minorHAnsi"/>
          <w:lang w:val="en-GB"/>
        </w:rPr>
        <w:t xml:space="preserve">ollowing an analysis of different lines of cases concerning legitimate expectations, the Court </w:t>
      </w:r>
      <w:r w:rsidRPr="000C0E58" w:rsidR="007A16A9">
        <w:rPr>
          <w:rFonts w:cstheme="minorHAnsi"/>
          <w:lang w:val="en-GB"/>
        </w:rPr>
        <w:t>concluded</w:t>
      </w:r>
      <w:r w:rsidRPr="000C0E58">
        <w:rPr>
          <w:rFonts w:cstheme="minorHAnsi"/>
          <w:lang w:val="en-GB"/>
        </w:rPr>
        <w:t xml:space="preserve"> </w:t>
      </w:r>
      <w:r w:rsidRPr="000C0E58" w:rsidR="007A16A9">
        <w:rPr>
          <w:rFonts w:cstheme="minorHAnsi"/>
          <w:lang w:val="en-GB"/>
        </w:rPr>
        <w:t xml:space="preserve">that its case-law did not contemplate the existence of a “genuine dispute” or an “arguable claim” as a criterion for determining whether there </w:t>
      </w:r>
      <w:r w:rsidRPr="000C0E58" w:rsidR="00890D5F">
        <w:rPr>
          <w:rFonts w:cstheme="minorHAnsi"/>
          <w:lang w:val="en-GB"/>
        </w:rPr>
        <w:t xml:space="preserve">was </w:t>
      </w:r>
      <w:r w:rsidRPr="000C0E58" w:rsidR="007A16A9">
        <w:rPr>
          <w:rFonts w:cstheme="minorHAnsi"/>
          <w:lang w:val="en-GB"/>
        </w:rPr>
        <w:t xml:space="preserve">a “legitimate expectation” protected by Article 1 of Protocol No. 1. It took the view that “where the proprietary interest is in the nature of a claim it may be regarded as an “asset” only where it has a sufficient basis in national law, for example where there is settled case-law of the domestic courts confirming it” </w:t>
      </w:r>
      <w:r w:rsidRPr="000C0E58">
        <w:rPr>
          <w:lang w:val="en-GB"/>
        </w:rPr>
        <w:t xml:space="preserve">(see </w:t>
      </w:r>
      <w:r w:rsidRPr="000C0E58">
        <w:rPr>
          <w:i/>
          <w:lang w:val="en-GB"/>
        </w:rPr>
        <w:t>Kopeck</w:t>
      </w:r>
      <w:r w:rsidRPr="000C0E58">
        <w:rPr>
          <w:rFonts w:cstheme="minorHAnsi"/>
          <w:i/>
          <w:lang w:val="en-GB"/>
        </w:rPr>
        <w:t>ý</w:t>
      </w:r>
      <w:r w:rsidRPr="000C0E58" w:rsidR="00E318DF">
        <w:rPr>
          <w:lang w:val="en-GB"/>
        </w:rPr>
        <w:t xml:space="preserve">, </w:t>
      </w:r>
      <w:r w:rsidRPr="000C0E58" w:rsidR="007A16A9">
        <w:rPr>
          <w:lang w:val="en-GB"/>
        </w:rPr>
        <w:t xml:space="preserve">cited above, </w:t>
      </w:r>
      <w:r w:rsidRPr="000C0E58" w:rsidR="00E318DF">
        <w:rPr>
          <w:lang w:val="en-GB"/>
        </w:rPr>
        <w:t xml:space="preserve">§ </w:t>
      </w:r>
      <w:r w:rsidRPr="000C0E58">
        <w:rPr>
          <w:lang w:val="en-GB"/>
        </w:rPr>
        <w:t>52).</w:t>
      </w:r>
    </w:p>
    <w:p w:rsidRPr="000C0E58" w:rsidR="001E7E50"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78</w:t>
      </w:r>
      <w:r w:rsidRPr="000C0E58">
        <w:rPr>
          <w:lang w:val="en-GB"/>
        </w:rPr>
        <w:fldChar w:fldCharType="end"/>
      </w:r>
      <w:r w:rsidRPr="000C0E58">
        <w:rPr>
          <w:lang w:val="en-GB"/>
        </w:rPr>
        <w:t>.  </w:t>
      </w:r>
      <w:r w:rsidRPr="000C0E58" w:rsidR="00AC301D">
        <w:rPr>
          <w:lang w:val="en-GB"/>
        </w:rPr>
        <w:t>One of the lines of case-law on “legitimate expectation” referred to above involve</w:t>
      </w:r>
      <w:r w:rsidRPr="000C0E58" w:rsidR="00F24D91">
        <w:rPr>
          <w:lang w:val="en-GB"/>
        </w:rPr>
        <w:t>d</w:t>
      </w:r>
      <w:r w:rsidRPr="000C0E58" w:rsidR="00AC301D">
        <w:rPr>
          <w:lang w:val="en-GB"/>
        </w:rPr>
        <w:t xml:space="preserve"> situations where the persons concerned were entitled to rely on the fact that a legal act, on the basis of which they had incurred financial obligations, would not be retrospectively invalidated to their detriment</w:t>
      </w:r>
      <w:r w:rsidRPr="000C0E58" w:rsidR="002C6980">
        <w:rPr>
          <w:lang w:val="en-GB"/>
        </w:rPr>
        <w:t xml:space="preserve"> (see </w:t>
      </w:r>
      <w:r w:rsidRPr="000C0E58" w:rsidR="002C6980">
        <w:rPr>
          <w:i/>
          <w:lang w:val="en-GB"/>
        </w:rPr>
        <w:t>Pine Valley Developments Ltd and Others v. Ireland</w:t>
      </w:r>
      <w:r w:rsidRPr="000C0E58" w:rsidR="00DE674F">
        <w:rPr>
          <w:lang w:val="en-GB"/>
        </w:rPr>
        <w:t>, 29 </w:t>
      </w:r>
      <w:r w:rsidRPr="000C0E58" w:rsidR="002C6980">
        <w:rPr>
          <w:lang w:val="en-GB"/>
        </w:rPr>
        <w:t>November 1991, §</w:t>
      </w:r>
      <w:r w:rsidRPr="000C0E58" w:rsidR="00CB35E6">
        <w:rPr>
          <w:lang w:val="en-GB"/>
        </w:rPr>
        <w:t> </w:t>
      </w:r>
      <w:r w:rsidRPr="000C0E58" w:rsidR="002C6980">
        <w:rPr>
          <w:lang w:val="en-GB"/>
        </w:rPr>
        <w:t xml:space="preserve">51, Series A no. 222; and </w:t>
      </w:r>
      <w:r w:rsidRPr="000C0E58" w:rsidR="002C6980">
        <w:rPr>
          <w:i/>
          <w:lang w:val="en-GB"/>
        </w:rPr>
        <w:t>Stretch v. the United Kingdom</w:t>
      </w:r>
      <w:r w:rsidRPr="000C0E58" w:rsidR="002C6980">
        <w:rPr>
          <w:lang w:val="en-GB"/>
        </w:rPr>
        <w:t>,</w:t>
      </w:r>
      <w:r w:rsidRPr="000C0E58" w:rsidR="002C6980">
        <w:rPr>
          <w:i/>
          <w:lang w:val="en-GB"/>
        </w:rPr>
        <w:t xml:space="preserve"> </w:t>
      </w:r>
      <w:r w:rsidRPr="000C0E58" w:rsidR="00D730A7">
        <w:rPr>
          <w:lang w:val="en-GB"/>
        </w:rPr>
        <w:t>no. </w:t>
      </w:r>
      <w:r w:rsidRPr="000C0E58" w:rsidR="002C6980">
        <w:rPr>
          <w:lang w:val="en-GB"/>
        </w:rPr>
        <w:t>44277/98, §</w:t>
      </w:r>
      <w:r w:rsidRPr="000C0E58" w:rsidR="00CB35E6">
        <w:rPr>
          <w:lang w:val="en-GB"/>
        </w:rPr>
        <w:t> </w:t>
      </w:r>
      <w:r w:rsidRPr="000C0E58" w:rsidR="002C6980">
        <w:rPr>
          <w:lang w:val="en-GB"/>
        </w:rPr>
        <w:t>35, 24 June 2003)</w:t>
      </w:r>
      <w:r w:rsidRPr="000C0E58" w:rsidR="00AC301D">
        <w:rPr>
          <w:lang w:val="en-GB"/>
        </w:rPr>
        <w:t xml:space="preserve">. In this </w:t>
      </w:r>
      <w:r w:rsidRPr="000C0E58" w:rsidR="008B460D">
        <w:rPr>
          <w:lang w:val="en-GB"/>
        </w:rPr>
        <w:t>line</w:t>
      </w:r>
      <w:r w:rsidRPr="000C0E58" w:rsidR="00AC301D">
        <w:rPr>
          <w:lang w:val="en-GB"/>
        </w:rPr>
        <w:t xml:space="preserve"> of cases, the “legitimate expectation” </w:t>
      </w:r>
      <w:r w:rsidRPr="000C0E58" w:rsidR="002C6980">
        <w:rPr>
          <w:lang w:val="en-GB"/>
        </w:rPr>
        <w:t>was</w:t>
      </w:r>
      <w:r w:rsidRPr="000C0E58" w:rsidR="00AC301D">
        <w:rPr>
          <w:lang w:val="en-GB"/>
        </w:rPr>
        <w:t xml:space="preserve"> thus based on a reasonably justified reliance on a legal act which ha</w:t>
      </w:r>
      <w:r w:rsidRPr="000C0E58" w:rsidR="002C6980">
        <w:rPr>
          <w:lang w:val="en-GB"/>
        </w:rPr>
        <w:t>d</w:t>
      </w:r>
      <w:r w:rsidRPr="000C0E58" w:rsidR="00AC301D">
        <w:rPr>
          <w:lang w:val="en-GB"/>
        </w:rPr>
        <w:t xml:space="preserve"> a sound legal basis and which </w:t>
      </w:r>
      <w:r w:rsidRPr="000C0E58" w:rsidR="002C6980">
        <w:rPr>
          <w:lang w:val="en-GB"/>
        </w:rPr>
        <w:t>bore</w:t>
      </w:r>
      <w:r w:rsidRPr="000C0E58" w:rsidR="00AC301D">
        <w:rPr>
          <w:lang w:val="en-GB"/>
        </w:rPr>
        <w:t xml:space="preserve"> on property rights (see </w:t>
      </w:r>
      <w:r w:rsidRPr="000C0E58" w:rsidR="00AC301D">
        <w:rPr>
          <w:i/>
          <w:lang w:val="en-GB"/>
        </w:rPr>
        <w:t>Kopecký</w:t>
      </w:r>
      <w:r w:rsidRPr="000C0E58" w:rsidR="00AC301D">
        <w:rPr>
          <w:lang w:val="en-GB"/>
        </w:rPr>
        <w:t xml:space="preserve">, cited above, § 47). </w:t>
      </w:r>
      <w:r w:rsidRPr="000C0E58" w:rsidR="00213768">
        <w:rPr>
          <w:lang w:val="en-GB"/>
        </w:rPr>
        <w:t>R</w:t>
      </w:r>
      <w:r w:rsidRPr="000C0E58" w:rsidR="001E03C0">
        <w:rPr>
          <w:szCs w:val="24"/>
          <w:lang w:val="en-GB"/>
        </w:rPr>
        <w:t xml:space="preserve">espect for such reliance follows from </w:t>
      </w:r>
      <w:r w:rsidRPr="000C0E58" w:rsidR="00213768">
        <w:rPr>
          <w:szCs w:val="24"/>
          <w:lang w:val="en-GB"/>
        </w:rPr>
        <w:t xml:space="preserve">one aspect of </w:t>
      </w:r>
      <w:r w:rsidRPr="000C0E58">
        <w:rPr>
          <w:lang w:val="en-GB"/>
        </w:rPr>
        <w:t>the rule of law</w:t>
      </w:r>
      <w:r w:rsidRPr="000C0E58" w:rsidR="00213768">
        <w:rPr>
          <w:lang w:val="en-GB"/>
        </w:rPr>
        <w:t xml:space="preserve">, </w:t>
      </w:r>
      <w:r w:rsidRPr="000C0E58" w:rsidR="00F80CDC">
        <w:rPr>
          <w:lang w:val="en-GB"/>
        </w:rPr>
        <w:t xml:space="preserve">which is </w:t>
      </w:r>
      <w:r w:rsidRPr="000C0E58">
        <w:rPr>
          <w:lang w:val="en-GB"/>
        </w:rPr>
        <w:t xml:space="preserve">inherent in all the Articles of the Convention and which implies, </w:t>
      </w:r>
      <w:r w:rsidRPr="000C0E58">
        <w:rPr>
          <w:i/>
          <w:lang w:val="en-GB"/>
        </w:rPr>
        <w:t>inter alia</w:t>
      </w:r>
      <w:r w:rsidRPr="000C0E58">
        <w:rPr>
          <w:lang w:val="en-GB"/>
        </w:rPr>
        <w:t xml:space="preserve">, that there must be a measure of legal protection in domestic law against arbitrary interferences by public authorities with the rights safeguarded by the Convention (see, </w:t>
      </w:r>
      <w:r w:rsidRPr="000C0E58" w:rsidR="000B3AFB">
        <w:rPr>
          <w:lang w:val="en-GB"/>
        </w:rPr>
        <w:t xml:space="preserve">as a recent authority, </w:t>
      </w:r>
      <w:r w:rsidRPr="000C0E58" w:rsidR="000B3AFB">
        <w:rPr>
          <w:i/>
          <w:lang w:val="en-GB"/>
        </w:rPr>
        <w:t xml:space="preserve">Karácsony and Others v. Hungary </w:t>
      </w:r>
      <w:r w:rsidRPr="000C0E58" w:rsidR="000B3AFB">
        <w:rPr>
          <w:lang w:val="en-GB"/>
        </w:rPr>
        <w:t>[GC], no. 42461/13, §</w:t>
      </w:r>
      <w:r w:rsidRPr="000C0E58" w:rsidR="006B23B1">
        <w:rPr>
          <w:lang w:val="en-GB"/>
        </w:rPr>
        <w:t> </w:t>
      </w:r>
      <w:r w:rsidRPr="000C0E58" w:rsidR="000B3AFB">
        <w:rPr>
          <w:lang w:val="en-GB"/>
        </w:rPr>
        <w:t>156, 17 May 2016</w:t>
      </w:r>
      <w:r w:rsidRPr="000C0E58" w:rsidR="00CB35E6">
        <w:rPr>
          <w:lang w:val="en-GB"/>
        </w:rPr>
        <w:t>,</w:t>
      </w:r>
      <w:r w:rsidRPr="000C0E58" w:rsidR="000B3AFB">
        <w:rPr>
          <w:lang w:val="en-GB"/>
        </w:rPr>
        <w:t xml:space="preserve"> with further references</w:t>
      </w:r>
      <w:r w:rsidRPr="000C0E58">
        <w:rPr>
          <w:lang w:val="en-GB"/>
        </w:rPr>
        <w:t>).</w:t>
      </w:r>
    </w:p>
    <w:p w:rsidRPr="000C0E58" w:rsidR="00152BED"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79</w:t>
      </w:r>
      <w:r w:rsidRPr="000C0E58">
        <w:rPr>
          <w:lang w:val="en-GB"/>
        </w:rPr>
        <w:fldChar w:fldCharType="end"/>
      </w:r>
      <w:r w:rsidRPr="000C0E58">
        <w:rPr>
          <w:lang w:val="en-GB"/>
        </w:rPr>
        <w:t>.  </w:t>
      </w:r>
      <w:r w:rsidRPr="000C0E58">
        <w:rPr>
          <w:lang w:val="en-GB"/>
        </w:rPr>
        <w:t xml:space="preserve">Notwithstanding the diversity of the expressions in the case-law referring to the requirement of a domestic legal basis generating a proprietary interest, their general tenor can be summarised as follows: for the recognition of a possession </w:t>
      </w:r>
      <w:r w:rsidRPr="000C0E58" w:rsidR="00E318DF">
        <w:rPr>
          <w:lang w:val="en-GB"/>
        </w:rPr>
        <w:t>consisting in a legitimate expectation</w:t>
      </w:r>
      <w:r w:rsidRPr="000C0E58">
        <w:rPr>
          <w:lang w:val="en-GB"/>
        </w:rPr>
        <w:t xml:space="preserve">, the applicant must have an assertable right which, applying the principle enounced in paragraph 52 of </w:t>
      </w:r>
      <w:r w:rsidRPr="000C0E58">
        <w:rPr>
          <w:i/>
          <w:lang w:val="en-GB"/>
        </w:rPr>
        <w:t>Kopecký</w:t>
      </w:r>
      <w:r w:rsidRPr="000C0E58" w:rsidR="00C150BF">
        <w:rPr>
          <w:lang w:val="en-GB"/>
        </w:rPr>
        <w:t xml:space="preserve"> (</w:t>
      </w:r>
      <w:r w:rsidRPr="000C0E58" w:rsidR="00182A81">
        <w:rPr>
          <w:lang w:val="en-GB"/>
        </w:rPr>
        <w:t>rendered</w:t>
      </w:r>
      <w:r w:rsidRPr="000C0E58" w:rsidR="00C150BF">
        <w:rPr>
          <w:lang w:val="en-GB"/>
        </w:rPr>
        <w:t xml:space="preserve"> in paragraph </w:t>
      </w:r>
      <w:r w:rsidRPr="000C0E58" w:rsidR="003D13B9">
        <w:rPr>
          <w:lang w:val="en-GB"/>
        </w:rPr>
        <w:t>77</w:t>
      </w:r>
      <w:r w:rsidRPr="000C0E58" w:rsidR="00182A81">
        <w:rPr>
          <w:lang w:val="en-GB"/>
        </w:rPr>
        <w:t xml:space="preserve"> above</w:t>
      </w:r>
      <w:r w:rsidRPr="000C0E58" w:rsidR="00C150BF">
        <w:rPr>
          <w:lang w:val="en-GB"/>
        </w:rPr>
        <w:t>)</w:t>
      </w:r>
      <w:r w:rsidRPr="000C0E58">
        <w:rPr>
          <w:lang w:val="en-GB"/>
        </w:rPr>
        <w:t xml:space="preserve"> may not fall short of a sufficiently established, substantive proprietary interest under the </w:t>
      </w:r>
      <w:r w:rsidRPr="000C0E58" w:rsidR="0013348F">
        <w:rPr>
          <w:lang w:val="en-GB"/>
        </w:rPr>
        <w:t>national</w:t>
      </w:r>
      <w:r w:rsidRPr="000C0E58" w:rsidR="00E318DF">
        <w:rPr>
          <w:lang w:val="en-GB"/>
        </w:rPr>
        <w:t xml:space="preserve"> law.</w:t>
      </w:r>
    </w:p>
    <w:p w:rsidRPr="000C0E58" w:rsidR="00061F43" w:rsidP="000C0E58">
      <w:pPr>
        <w:pStyle w:val="ECHRHeading4"/>
        <w:rPr>
          <w:lang w:val="en-GB"/>
        </w:rPr>
      </w:pPr>
      <w:r w:rsidRPr="000C0E58">
        <w:rPr>
          <w:lang w:val="en-GB"/>
        </w:rPr>
        <w:t>(b)  </w:t>
      </w:r>
      <w:r w:rsidRPr="000C0E58" w:rsidR="00CA04EA">
        <w:rPr>
          <w:lang w:val="en-GB"/>
        </w:rPr>
        <w:t xml:space="preserve">The scope of </w:t>
      </w:r>
      <w:r w:rsidRPr="000C0E58">
        <w:rPr>
          <w:lang w:val="en-GB"/>
        </w:rPr>
        <w:t>Article 1 of Protocol No. 1 in regard to social</w:t>
      </w:r>
      <w:r w:rsidRPr="000C0E58" w:rsidR="006C6528">
        <w:rPr>
          <w:lang w:val="en-GB"/>
        </w:rPr>
        <w:t xml:space="preserve"> benefits</w:t>
      </w:r>
      <w:r w:rsidRPr="000C0E58" w:rsidR="0057789D">
        <w:rPr>
          <w:lang w:val="en-GB"/>
        </w:rPr>
        <w:t xml:space="preserve">, </w:t>
      </w:r>
      <w:r w:rsidRPr="000C0E58" w:rsidR="001E03C0">
        <w:rPr>
          <w:lang w:val="en-GB"/>
        </w:rPr>
        <w:t>in particular</w:t>
      </w:r>
      <w:r w:rsidRPr="000C0E58" w:rsidR="00E80B88">
        <w:rPr>
          <w:lang w:val="en-GB"/>
        </w:rPr>
        <w:t xml:space="preserve"> </w:t>
      </w:r>
      <w:r w:rsidRPr="000C0E58" w:rsidR="00CA04EA">
        <w:rPr>
          <w:lang w:val="en-GB"/>
        </w:rPr>
        <w:t>disability</w:t>
      </w:r>
      <w:r w:rsidRPr="000C0E58" w:rsidR="0063315A">
        <w:rPr>
          <w:lang w:val="en-GB"/>
        </w:rPr>
        <w:t>/invalidity</w:t>
      </w:r>
      <w:r w:rsidRPr="000C0E58">
        <w:rPr>
          <w:lang w:val="en-GB"/>
        </w:rPr>
        <w:t xml:space="preserve"> benefits</w:t>
      </w:r>
    </w:p>
    <w:p w:rsidRPr="000C0E58" w:rsidR="00E80B88" w:rsidP="000C0E58">
      <w:pPr>
        <w:pStyle w:val="ECHRPara"/>
        <w:rPr>
          <w:snapToGrid w:val="0"/>
          <w:color w:val="000000"/>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80</w:t>
      </w:r>
      <w:r w:rsidRPr="000C0E58">
        <w:rPr>
          <w:lang w:val="en-GB"/>
        </w:rPr>
        <w:fldChar w:fldCharType="end"/>
      </w:r>
      <w:r w:rsidRPr="000C0E58">
        <w:rPr>
          <w:lang w:val="en-GB"/>
        </w:rPr>
        <w:t>.  In the modern, democratic State, many individuals are, for all or part of their lives, completely dependent for survival on social</w:t>
      </w:r>
      <w:r w:rsidRPr="000C0E58" w:rsidR="00AA062F">
        <w:rPr>
          <w:lang w:val="en-GB"/>
        </w:rPr>
        <w:t>-</w:t>
      </w:r>
      <w:r w:rsidRPr="000C0E58">
        <w:rPr>
          <w:lang w:val="en-GB"/>
        </w:rPr>
        <w:t xml:space="preserve">security and welfare benefits. Many </w:t>
      </w:r>
      <w:r w:rsidRPr="000C0E58" w:rsidR="0013348F">
        <w:rPr>
          <w:lang w:val="en-GB"/>
        </w:rPr>
        <w:t>national</w:t>
      </w:r>
      <w:r w:rsidRPr="000C0E58">
        <w:rPr>
          <w:lang w:val="en-GB"/>
        </w:rPr>
        <w:t xml:space="preserve"> legal systems recognise that such individuals require a degree of certainty and security, and provide for benefits to be paid – subject to the fulfilment of the conditions of eligibility – as of right (see </w:t>
      </w:r>
      <w:r w:rsidRPr="000C0E58">
        <w:rPr>
          <w:i/>
          <w:lang w:val="en-GB"/>
        </w:rPr>
        <w:t>Stec and Others</w:t>
      </w:r>
      <w:r w:rsidRPr="000C0E58">
        <w:rPr>
          <w:lang w:val="en-GB"/>
        </w:rPr>
        <w:t xml:space="preserve"> </w:t>
      </w:r>
      <w:r w:rsidRPr="000C0E58" w:rsidR="00152BED">
        <w:rPr>
          <w:lang w:val="en-GB"/>
        </w:rPr>
        <w:t>(dec.), cited above</w:t>
      </w:r>
      <w:r w:rsidRPr="000C0E58">
        <w:rPr>
          <w:szCs w:val="24"/>
          <w:lang w:val="en-GB"/>
        </w:rPr>
        <w:t>, § 51</w:t>
      </w:r>
      <w:r w:rsidRPr="000C0E58">
        <w:rPr>
          <w:lang w:val="en-GB"/>
        </w:rPr>
        <w:t xml:space="preserve">). </w:t>
      </w:r>
      <w:r w:rsidRPr="000C0E58">
        <w:rPr>
          <w:rFonts w:ascii="Times New Roman" w:hAnsi="Times New Roman" w:eastAsia="Times New Roman" w:cs="Times New Roman"/>
          <w:szCs w:val="24"/>
          <w:lang w:val="en-GB"/>
        </w:rPr>
        <w:t xml:space="preserve">The principles which apply generally in cases under Article 1 of Protocol No. 1 are equally relevant when it comes to social and welfare benefits (see </w:t>
      </w:r>
      <w:r w:rsidRPr="000C0E58">
        <w:rPr>
          <w:rFonts w:ascii="Times New Roman" w:hAnsi="Times New Roman" w:eastAsia="Times New Roman" w:cs="Times New Roman"/>
          <w:i/>
          <w:szCs w:val="24"/>
          <w:lang w:val="en-GB"/>
        </w:rPr>
        <w:t>Stec and Others</w:t>
      </w:r>
      <w:r w:rsidRPr="000C0E58" w:rsidR="00B8521F">
        <w:rPr>
          <w:rFonts w:ascii="Times New Roman" w:hAnsi="Times New Roman" w:eastAsia="Times New Roman" w:cs="Times New Roman"/>
          <w:szCs w:val="24"/>
          <w:lang w:val="en-GB"/>
        </w:rPr>
        <w:t xml:space="preserve"> (dec.), cited above, § 54). The Court has previously addressed the issue of legitimate expectation in the context of social benefits on a number of occasions (see</w:t>
      </w:r>
      <w:r w:rsidRPr="000C0E58" w:rsidR="009E042A">
        <w:rPr>
          <w:rFonts w:ascii="Times New Roman" w:hAnsi="Times New Roman" w:eastAsia="Times New Roman" w:cs="Times New Roman"/>
          <w:szCs w:val="24"/>
          <w:lang w:val="en-GB"/>
        </w:rPr>
        <w:t>,</w:t>
      </w:r>
      <w:r w:rsidRPr="000C0E58" w:rsidR="00B8521F">
        <w:rPr>
          <w:rFonts w:ascii="Times New Roman" w:hAnsi="Times New Roman" w:eastAsia="Times New Roman" w:cs="Times New Roman"/>
          <w:szCs w:val="24"/>
          <w:lang w:val="en-GB"/>
        </w:rPr>
        <w:t xml:space="preserve"> for example</w:t>
      </w:r>
      <w:r w:rsidRPr="000C0E58" w:rsidR="009E042A">
        <w:rPr>
          <w:rFonts w:ascii="Times New Roman" w:hAnsi="Times New Roman" w:eastAsia="Times New Roman" w:cs="Times New Roman"/>
          <w:szCs w:val="24"/>
          <w:lang w:val="en-GB"/>
        </w:rPr>
        <w:t>,</w:t>
      </w:r>
      <w:r w:rsidRPr="000C0E58" w:rsidR="00B8521F">
        <w:rPr>
          <w:rFonts w:ascii="Times New Roman" w:hAnsi="Times New Roman" w:eastAsia="Times New Roman" w:cs="Times New Roman"/>
          <w:szCs w:val="24"/>
          <w:lang w:val="en-GB"/>
        </w:rPr>
        <w:t xml:space="preserve"> </w:t>
      </w:r>
      <w:r w:rsidRPr="000C0E58" w:rsidR="008835A7">
        <w:rPr>
          <w:i/>
          <w:lang w:val="en-GB"/>
        </w:rPr>
        <w:t>Kjartan Ásmundsson v. Iceland</w:t>
      </w:r>
      <w:r w:rsidRPr="000C0E58" w:rsidR="00454F45">
        <w:rPr>
          <w:lang w:val="en-GB"/>
        </w:rPr>
        <w:t>, no. </w:t>
      </w:r>
      <w:r w:rsidRPr="000C0E58" w:rsidR="008835A7">
        <w:rPr>
          <w:lang w:val="en-GB"/>
        </w:rPr>
        <w:t>60669/00, § 44, ECHR 2004</w:t>
      </w:r>
      <w:r w:rsidRPr="000C0E58" w:rsidR="008835A7">
        <w:rPr>
          <w:lang w:val="en-GB"/>
        </w:rPr>
        <w:noBreakHyphen/>
        <w:t>IX</w:t>
      </w:r>
      <w:r w:rsidRPr="000C0E58" w:rsidR="00213768">
        <w:rPr>
          <w:lang w:val="en-GB"/>
        </w:rPr>
        <w:t xml:space="preserve">, and </w:t>
      </w:r>
      <w:r w:rsidRPr="000C0E58" w:rsidR="00B8521F">
        <w:rPr>
          <w:i/>
          <w:lang w:val="en-GB"/>
        </w:rPr>
        <w:t>Klein v. Austria</w:t>
      </w:r>
      <w:r w:rsidRPr="000C0E58" w:rsidR="00B8521F">
        <w:rPr>
          <w:lang w:val="en-GB"/>
        </w:rPr>
        <w:t>, no. 57028/00</w:t>
      </w:r>
      <w:r w:rsidRPr="000C0E58" w:rsidR="00B8521F">
        <w:rPr>
          <w:snapToGrid w:val="0"/>
          <w:lang w:val="en-GB"/>
        </w:rPr>
        <w:t xml:space="preserve">, § 45, </w:t>
      </w:r>
      <w:r w:rsidRPr="000C0E58" w:rsidR="00B8521F">
        <w:rPr>
          <w:lang w:val="en-GB"/>
        </w:rPr>
        <w:t>3</w:t>
      </w:r>
      <w:r w:rsidRPr="000C0E58" w:rsidR="00454F45">
        <w:rPr>
          <w:snapToGrid w:val="0"/>
          <w:lang w:val="en-GB"/>
        </w:rPr>
        <w:t> </w:t>
      </w:r>
      <w:r w:rsidRPr="000C0E58" w:rsidR="00B8521F">
        <w:rPr>
          <w:snapToGrid w:val="0"/>
          <w:lang w:val="en-GB"/>
        </w:rPr>
        <w:t>March 2011</w:t>
      </w:r>
      <w:r w:rsidRPr="000C0E58" w:rsidR="00D6332B">
        <w:rPr>
          <w:snapToGrid w:val="0"/>
          <w:color w:val="000000"/>
          <w:lang w:val="en-GB"/>
        </w:rPr>
        <w:t>.</w:t>
      </w:r>
    </w:p>
    <w:p w:rsidRPr="000C0E58" w:rsidR="009E4E0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81</w:t>
      </w:r>
      <w:r w:rsidRPr="000C0E58">
        <w:rPr>
          <w:noProof/>
          <w:lang w:val="en-GB"/>
        </w:rPr>
        <w:fldChar w:fldCharType="end"/>
      </w:r>
      <w:r w:rsidRPr="000C0E58" w:rsidR="00265B8F">
        <w:rPr>
          <w:lang w:val="en-GB"/>
        </w:rPr>
        <w:t>.  </w:t>
      </w:r>
      <w:r w:rsidRPr="000C0E58" w:rsidR="004C4294">
        <w:rPr>
          <w:lang w:val="en-GB"/>
        </w:rPr>
        <w:t>In those legal systems where the national legislation requires mandatory contributions of employees to the social</w:t>
      </w:r>
      <w:r w:rsidRPr="000C0E58" w:rsidR="00213768">
        <w:rPr>
          <w:lang w:val="en-GB"/>
        </w:rPr>
        <w:t>-</w:t>
      </w:r>
      <w:r w:rsidRPr="000C0E58" w:rsidR="004C4294">
        <w:rPr>
          <w:lang w:val="en-GB"/>
        </w:rPr>
        <w:t xml:space="preserve">security system, the legislation </w:t>
      </w:r>
      <w:r w:rsidRPr="000C0E58" w:rsidR="003843D7">
        <w:rPr>
          <w:lang w:val="en-GB"/>
        </w:rPr>
        <w:t xml:space="preserve">normally </w:t>
      </w:r>
      <w:r w:rsidRPr="000C0E58" w:rsidR="004C4294">
        <w:rPr>
          <w:lang w:val="en-GB"/>
        </w:rPr>
        <w:t xml:space="preserve">provides that those who have </w:t>
      </w:r>
      <w:r w:rsidRPr="000C0E58" w:rsidR="003843D7">
        <w:rPr>
          <w:lang w:val="en-GB"/>
        </w:rPr>
        <w:t xml:space="preserve">made adequate </w:t>
      </w:r>
      <w:r w:rsidRPr="000C0E58" w:rsidR="004C4294">
        <w:rPr>
          <w:lang w:val="en-GB"/>
        </w:rPr>
        <w:t>contribut</w:t>
      </w:r>
      <w:r w:rsidRPr="000C0E58" w:rsidR="003843D7">
        <w:rPr>
          <w:lang w:val="en-GB"/>
        </w:rPr>
        <w:t xml:space="preserve">ions and </w:t>
      </w:r>
      <w:r w:rsidRPr="000C0E58" w:rsidR="004C4294">
        <w:rPr>
          <w:lang w:val="en-GB"/>
        </w:rPr>
        <w:t>satisfied the statutory requirements of disability will receive some form of long-term disability benefit</w:t>
      </w:r>
      <w:r w:rsidRPr="000C0E58" w:rsidR="00406E73">
        <w:rPr>
          <w:lang w:val="en-GB"/>
        </w:rPr>
        <w:t>,</w:t>
      </w:r>
      <w:r w:rsidRPr="000C0E58" w:rsidR="004C4294">
        <w:rPr>
          <w:lang w:val="en-GB"/>
        </w:rPr>
        <w:t xml:space="preserve"> on grounds of the principles of social solidarity and equivalency</w:t>
      </w:r>
      <w:r w:rsidRPr="000C0E58" w:rsidR="00406E73">
        <w:rPr>
          <w:lang w:val="en-GB"/>
        </w:rPr>
        <w:t>,</w:t>
      </w:r>
      <w:r w:rsidRPr="000C0E58" w:rsidR="004C4294">
        <w:rPr>
          <w:lang w:val="en-GB"/>
        </w:rPr>
        <w:t xml:space="preserve"> for the period </w:t>
      </w:r>
      <w:r w:rsidRPr="000C0E58" w:rsidR="003843D7">
        <w:rPr>
          <w:lang w:val="en-GB"/>
        </w:rPr>
        <w:t xml:space="preserve">of </w:t>
      </w:r>
      <w:r w:rsidRPr="000C0E58" w:rsidR="004C4294">
        <w:rPr>
          <w:lang w:val="en-GB"/>
        </w:rPr>
        <w:t>the disability persist</w:t>
      </w:r>
      <w:r w:rsidRPr="000C0E58" w:rsidR="003843D7">
        <w:rPr>
          <w:lang w:val="en-GB"/>
        </w:rPr>
        <w:t xml:space="preserve">ing or until </w:t>
      </w:r>
      <w:r w:rsidRPr="000C0E58" w:rsidR="00EF52B8">
        <w:rPr>
          <w:lang w:val="en-GB"/>
        </w:rPr>
        <w:t>the</w:t>
      </w:r>
      <w:r w:rsidRPr="000C0E58" w:rsidR="004C4294">
        <w:rPr>
          <w:lang w:val="en-GB"/>
        </w:rPr>
        <w:t xml:space="preserve"> age</w:t>
      </w:r>
      <w:r w:rsidRPr="000C0E58" w:rsidR="00EF52B8">
        <w:rPr>
          <w:lang w:val="en-GB"/>
        </w:rPr>
        <w:t xml:space="preserve"> of retirement</w:t>
      </w:r>
      <w:r w:rsidRPr="000C0E58" w:rsidR="004C4294">
        <w:rPr>
          <w:lang w:val="en-GB"/>
        </w:rPr>
        <w:t xml:space="preserve">. </w:t>
      </w:r>
      <w:r w:rsidRPr="000C0E58" w:rsidR="00604E85">
        <w:rPr>
          <w:lang w:val="en-GB"/>
        </w:rPr>
        <w:t>Such</w:t>
      </w:r>
      <w:r w:rsidRPr="000C0E58" w:rsidR="004C4294">
        <w:rPr>
          <w:lang w:val="en-GB"/>
        </w:rPr>
        <w:t xml:space="preserve"> insurance scheme</w:t>
      </w:r>
      <w:r w:rsidRPr="000C0E58" w:rsidR="00604E85">
        <w:rPr>
          <w:lang w:val="en-GB"/>
        </w:rPr>
        <w:t xml:space="preserve">s, which are typically mandatory, </w:t>
      </w:r>
      <w:r w:rsidRPr="000C0E58" w:rsidR="004C4294">
        <w:rPr>
          <w:lang w:val="en-GB"/>
        </w:rPr>
        <w:t>provide</w:t>
      </w:r>
      <w:r w:rsidRPr="000C0E58" w:rsidR="00604E85">
        <w:rPr>
          <w:lang w:val="en-GB"/>
        </w:rPr>
        <w:t xml:space="preserve"> such </w:t>
      </w:r>
      <w:r w:rsidRPr="000C0E58" w:rsidR="004C4294">
        <w:rPr>
          <w:lang w:val="en-GB"/>
        </w:rPr>
        <w:t>protection</w:t>
      </w:r>
      <w:r w:rsidRPr="000C0E58" w:rsidR="00604E85">
        <w:rPr>
          <w:lang w:val="en-GB"/>
        </w:rPr>
        <w:t xml:space="preserve">, that is, </w:t>
      </w:r>
      <w:r w:rsidRPr="000C0E58" w:rsidR="00406E73">
        <w:rPr>
          <w:lang w:val="en-GB"/>
        </w:rPr>
        <w:t xml:space="preserve">the availability of </w:t>
      </w:r>
      <w:r w:rsidRPr="000C0E58" w:rsidR="004C4294">
        <w:rPr>
          <w:lang w:val="en-GB"/>
        </w:rPr>
        <w:t>benefits</w:t>
      </w:r>
      <w:r w:rsidRPr="000C0E58" w:rsidR="00406E73">
        <w:rPr>
          <w:lang w:val="en-GB"/>
        </w:rPr>
        <w:t>,</w:t>
      </w:r>
      <w:r w:rsidRPr="000C0E58" w:rsidR="004C4294">
        <w:rPr>
          <w:lang w:val="en-GB"/>
        </w:rPr>
        <w:t xml:space="preserve"> for the </w:t>
      </w:r>
      <w:r w:rsidRPr="000C0E58" w:rsidR="00604E85">
        <w:rPr>
          <w:lang w:val="en-GB"/>
        </w:rPr>
        <w:t>entire</w:t>
      </w:r>
      <w:r w:rsidRPr="000C0E58" w:rsidR="004C4294">
        <w:rPr>
          <w:lang w:val="en-GB"/>
        </w:rPr>
        <w:t xml:space="preserve"> period of insurance </w:t>
      </w:r>
      <w:r w:rsidRPr="000C0E58" w:rsidR="00604E85">
        <w:rPr>
          <w:lang w:val="en-GB"/>
        </w:rPr>
        <w:t xml:space="preserve">and on </w:t>
      </w:r>
      <w:r w:rsidRPr="000C0E58" w:rsidR="004C4294">
        <w:rPr>
          <w:lang w:val="en-GB"/>
        </w:rPr>
        <w:t xml:space="preserve">every </w:t>
      </w:r>
      <w:r w:rsidRPr="000C0E58" w:rsidR="00604E85">
        <w:rPr>
          <w:lang w:val="en-GB"/>
        </w:rPr>
        <w:t xml:space="preserve">occasion when </w:t>
      </w:r>
      <w:r w:rsidRPr="000C0E58" w:rsidR="004C4294">
        <w:rPr>
          <w:lang w:val="en-GB"/>
        </w:rPr>
        <w:t xml:space="preserve">the conditions of the insurance are satisfied. </w:t>
      </w:r>
      <w:r w:rsidRPr="000C0E58" w:rsidR="00604E85">
        <w:rPr>
          <w:lang w:val="en-GB"/>
        </w:rPr>
        <w:t xml:space="preserve">The relevant </w:t>
      </w:r>
      <w:r w:rsidRPr="000C0E58" w:rsidR="00406E73">
        <w:rPr>
          <w:lang w:val="en-GB"/>
        </w:rPr>
        <w:t xml:space="preserve">legal </w:t>
      </w:r>
      <w:r w:rsidRPr="000C0E58" w:rsidR="00604E85">
        <w:rPr>
          <w:lang w:val="en-GB"/>
        </w:rPr>
        <w:t>conditions are however subject to evolution.</w:t>
      </w:r>
      <w:r w:rsidRPr="000C0E58" w:rsidR="0020746C">
        <w:rPr>
          <w:lang w:val="en-GB"/>
        </w:rPr>
        <w:t xml:space="preserve"> </w:t>
      </w:r>
      <w:r w:rsidRPr="000C0E58">
        <w:rPr>
          <w:rFonts w:ascii="Times New Roman" w:hAnsi="Times New Roman" w:eastAsia="Times New Roman" w:cs="Times New Roman"/>
          <w:szCs w:val="24"/>
          <w:lang w:val="en-GB"/>
        </w:rPr>
        <w:t>In</w:t>
      </w:r>
      <w:r w:rsidRPr="000C0E58" w:rsidR="00357DFD">
        <w:rPr>
          <w:rFonts w:ascii="Times New Roman" w:hAnsi="Times New Roman" w:eastAsia="Times New Roman" w:cs="Times New Roman"/>
          <w:szCs w:val="24"/>
          <w:lang w:val="en-GB"/>
        </w:rPr>
        <w:t xml:space="preserve"> this connection, it may be reiterated that in</w:t>
      </w:r>
      <w:r w:rsidRPr="000C0E58">
        <w:rPr>
          <w:rFonts w:ascii="Times New Roman" w:hAnsi="Times New Roman" w:eastAsia="Times New Roman" w:cs="Times New Roman"/>
          <w:szCs w:val="24"/>
          <w:lang w:val="en-GB"/>
        </w:rPr>
        <w:t xml:space="preserve"> </w:t>
      </w:r>
      <w:r w:rsidRPr="000C0E58">
        <w:rPr>
          <w:i/>
          <w:lang w:val="en-GB"/>
        </w:rPr>
        <w:t>Gaygusuz v. Austria</w:t>
      </w:r>
      <w:r w:rsidRPr="000C0E58">
        <w:rPr>
          <w:lang w:val="en-GB"/>
        </w:rPr>
        <w:t xml:space="preserve"> (16</w:t>
      </w:r>
      <w:r w:rsidRPr="000C0E58" w:rsidR="006B23B1">
        <w:rPr>
          <w:lang w:val="en-GB"/>
        </w:rPr>
        <w:t> </w:t>
      </w:r>
      <w:r w:rsidRPr="000C0E58">
        <w:rPr>
          <w:lang w:val="en-GB"/>
        </w:rPr>
        <w:t xml:space="preserve">September 1996, § 41, </w:t>
      </w:r>
      <w:r w:rsidRPr="000C0E58">
        <w:rPr>
          <w:i/>
          <w:lang w:val="en-GB"/>
        </w:rPr>
        <w:t>Reports of Judgments and Decisions</w:t>
      </w:r>
      <w:r w:rsidRPr="000C0E58">
        <w:rPr>
          <w:lang w:val="en-GB"/>
        </w:rPr>
        <w:t xml:space="preserve"> 1996</w:t>
      </w:r>
      <w:r w:rsidRPr="000C0E58">
        <w:rPr>
          <w:lang w:val="en-GB"/>
        </w:rPr>
        <w:noBreakHyphen/>
        <w:t xml:space="preserve">IV) the Court found that the right to emergency assistance – a social benefit linked to the payment of contributions to the unemployment insurance fund – was, in so far as provided for in the applicable legislation, a pecuniary right for the purposes of Article 1 of Protocol No. 1. In </w:t>
      </w:r>
      <w:r w:rsidRPr="000C0E58">
        <w:rPr>
          <w:i/>
          <w:lang w:val="en-GB"/>
        </w:rPr>
        <w:t xml:space="preserve">Klein </w:t>
      </w:r>
      <w:r w:rsidRPr="000C0E58">
        <w:rPr>
          <w:lang w:val="en-GB"/>
        </w:rPr>
        <w:t>(</w:t>
      </w:r>
      <w:r w:rsidRPr="000C0E58" w:rsidR="000431FF">
        <w:rPr>
          <w:lang w:val="en-GB"/>
        </w:rPr>
        <w:t xml:space="preserve">cited above, </w:t>
      </w:r>
      <w:r w:rsidRPr="000C0E58">
        <w:rPr>
          <w:snapToGrid w:val="0"/>
          <w:lang w:val="en-GB"/>
        </w:rPr>
        <w:t>§</w:t>
      </w:r>
      <w:r w:rsidRPr="000C0E58" w:rsidR="000431FF">
        <w:rPr>
          <w:snapToGrid w:val="0"/>
          <w:lang w:val="en-GB"/>
        </w:rPr>
        <w:t> </w:t>
      </w:r>
      <w:r w:rsidRPr="000C0E58">
        <w:rPr>
          <w:snapToGrid w:val="0"/>
          <w:lang w:val="en-GB"/>
        </w:rPr>
        <w:t xml:space="preserve">43) it was noted that </w:t>
      </w:r>
      <w:r w:rsidRPr="000C0E58">
        <w:rPr>
          <w:lang w:val="en-GB"/>
        </w:rPr>
        <w:t>entitlement to a social benefit – in th</w:t>
      </w:r>
      <w:r w:rsidRPr="000C0E58" w:rsidR="00213768">
        <w:rPr>
          <w:lang w:val="en-GB"/>
        </w:rPr>
        <w:t>at</w:t>
      </w:r>
      <w:r w:rsidRPr="000C0E58">
        <w:rPr>
          <w:lang w:val="en-GB"/>
        </w:rPr>
        <w:t xml:space="preserve"> instance, </w:t>
      </w:r>
      <w:r w:rsidRPr="000C0E58" w:rsidR="00213768">
        <w:rPr>
          <w:lang w:val="en-GB"/>
        </w:rPr>
        <w:t xml:space="preserve">a </w:t>
      </w:r>
      <w:r w:rsidRPr="000C0E58">
        <w:rPr>
          <w:lang w:val="en-GB"/>
        </w:rPr>
        <w:t xml:space="preserve">pension payable from </w:t>
      </w:r>
      <w:r w:rsidRPr="000C0E58" w:rsidR="00213768">
        <w:rPr>
          <w:lang w:val="en-GB"/>
        </w:rPr>
        <w:t xml:space="preserve">a </w:t>
      </w:r>
      <w:r w:rsidRPr="000C0E58">
        <w:rPr>
          <w:lang w:val="en-GB"/>
        </w:rPr>
        <w:t>lawyers</w:t>
      </w:r>
      <w:r w:rsidRPr="000C0E58" w:rsidR="000C0E58">
        <w:rPr>
          <w:lang w:val="en-GB"/>
        </w:rPr>
        <w:t>’</w:t>
      </w:r>
      <w:r w:rsidRPr="000C0E58">
        <w:rPr>
          <w:lang w:val="en-GB"/>
        </w:rPr>
        <w:t xml:space="preserve"> pension scheme – was linked to the payment of contributions, and, when such contributions had been made, an award could not be denied to </w:t>
      </w:r>
      <w:r w:rsidRPr="000C0E58">
        <w:rPr>
          <w:lang w:val="en-GB"/>
        </w:rPr>
        <w:t>the person concerned. Contributions</w:t>
      </w:r>
      <w:r w:rsidRPr="000C0E58">
        <w:rPr>
          <w:rFonts w:ascii="Times New Roman" w:hAnsi="Times New Roman" w:eastAsia="Times New Roman" w:cs="Times New Roman"/>
          <w:szCs w:val="24"/>
          <w:lang w:val="en-GB"/>
        </w:rPr>
        <w:t xml:space="preserve"> to a pension fund may thus, in certain circumstances and according to the domestic law, create a property right (see</w:t>
      </w:r>
      <w:r w:rsidRPr="000C0E58" w:rsidR="00621A0C">
        <w:rPr>
          <w:i/>
          <w:lang w:val="en-GB"/>
        </w:rPr>
        <w:t xml:space="preserve"> Kjartan Ásmundsson</w:t>
      </w:r>
      <w:r w:rsidRPr="000C0E58" w:rsidR="00621A0C">
        <w:rPr>
          <w:lang w:val="en-GB"/>
        </w:rPr>
        <w:t>, cited above, § 39;</w:t>
      </w:r>
      <w:r w:rsidRPr="000C0E58">
        <w:rPr>
          <w:rFonts w:ascii="Times New Roman" w:hAnsi="Times New Roman" w:eastAsia="Times New Roman" w:cs="Times New Roman"/>
          <w:szCs w:val="24"/>
          <w:lang w:val="en-GB"/>
        </w:rPr>
        <w:t xml:space="preserve"> </w:t>
      </w:r>
      <w:r w:rsidRPr="000C0E58" w:rsidR="006C538B">
        <w:rPr>
          <w:i/>
          <w:lang w:val="en-GB"/>
        </w:rPr>
        <w:t>Apostolakis v. </w:t>
      </w:r>
      <w:r w:rsidRPr="000C0E58">
        <w:rPr>
          <w:i/>
          <w:lang w:val="en-GB"/>
        </w:rPr>
        <w:t>Greece</w:t>
      </w:r>
      <w:r w:rsidRPr="000C0E58">
        <w:rPr>
          <w:lang w:val="en-GB"/>
        </w:rPr>
        <w:t>, no.</w:t>
      </w:r>
      <w:r w:rsidRPr="000C0E58" w:rsidR="004A45D1">
        <w:rPr>
          <w:lang w:val="en-GB"/>
        </w:rPr>
        <w:t> </w:t>
      </w:r>
      <w:r w:rsidRPr="000C0E58">
        <w:rPr>
          <w:lang w:val="en-GB"/>
        </w:rPr>
        <w:t>39574/07</w:t>
      </w:r>
      <w:r w:rsidRPr="000C0E58">
        <w:rPr>
          <w:snapToGrid w:val="0"/>
          <w:lang w:val="en-GB"/>
        </w:rPr>
        <w:t xml:space="preserve">, §§ 28 and 35, 22 October 2009; </w:t>
      </w:r>
      <w:r w:rsidRPr="000C0E58">
        <w:rPr>
          <w:rFonts w:ascii="Times New Roman" w:hAnsi="Times New Roman" w:eastAsia="Times New Roman" w:cs="Times New Roman"/>
          <w:i/>
          <w:szCs w:val="24"/>
          <w:lang w:val="en-GB"/>
        </w:rPr>
        <w:t>Bellet, Huertas and Vialatte v</w:t>
      </w:r>
      <w:r w:rsidRPr="000C0E58" w:rsidR="00696877">
        <w:rPr>
          <w:rFonts w:ascii="Times New Roman" w:hAnsi="Times New Roman" w:eastAsia="Times New Roman" w:cs="Times New Roman"/>
          <w:i/>
          <w:szCs w:val="24"/>
          <w:lang w:val="en-GB"/>
        </w:rPr>
        <w:t>. </w:t>
      </w:r>
      <w:r w:rsidRPr="000C0E58">
        <w:rPr>
          <w:rFonts w:ascii="Times New Roman" w:hAnsi="Times New Roman" w:eastAsia="Times New Roman" w:cs="Times New Roman"/>
          <w:i/>
          <w:szCs w:val="24"/>
          <w:lang w:val="en-GB"/>
        </w:rPr>
        <w:t>France</w:t>
      </w:r>
      <w:r w:rsidRPr="000C0E58">
        <w:rPr>
          <w:rFonts w:ascii="Times New Roman" w:hAnsi="Times New Roman" w:eastAsia="Times New Roman" w:cs="Times New Roman"/>
          <w:szCs w:val="24"/>
          <w:lang w:val="en-GB"/>
        </w:rPr>
        <w:t xml:space="preserve"> (dec.), nos. 4083</w:t>
      </w:r>
      <w:r w:rsidRPr="000C0E58" w:rsidR="00454F45">
        <w:rPr>
          <w:rFonts w:ascii="Times New Roman" w:hAnsi="Times New Roman" w:eastAsia="Times New Roman" w:cs="Times New Roman"/>
          <w:szCs w:val="24"/>
          <w:lang w:val="en-GB"/>
        </w:rPr>
        <w:t>2/98, 40833/98 and 40906/98, 27 </w:t>
      </w:r>
      <w:r w:rsidRPr="000C0E58">
        <w:rPr>
          <w:rFonts w:ascii="Times New Roman" w:hAnsi="Times New Roman" w:eastAsia="Times New Roman" w:cs="Times New Roman"/>
          <w:szCs w:val="24"/>
          <w:lang w:val="en-GB"/>
        </w:rPr>
        <w:t xml:space="preserve">April 1999; </w:t>
      </w:r>
      <w:r w:rsidRPr="000C0E58">
        <w:rPr>
          <w:rFonts w:ascii="Times New Roman" w:hAnsi="Times New Roman" w:eastAsia="Times New Roman" w:cs="Times New Roman"/>
          <w:i/>
          <w:szCs w:val="24"/>
          <w:lang w:val="en-GB"/>
        </w:rPr>
        <w:t>Skórkiewicz v. Poland</w:t>
      </w:r>
      <w:r w:rsidRPr="000C0E58">
        <w:rPr>
          <w:rFonts w:ascii="Times New Roman" w:hAnsi="Times New Roman" w:eastAsia="Times New Roman" w:cs="Times New Roman"/>
          <w:szCs w:val="24"/>
          <w:lang w:val="en-GB"/>
        </w:rPr>
        <w:t xml:space="preserve"> (dec.), no. 39860/98, 1</w:t>
      </w:r>
      <w:r w:rsidRPr="000C0E58" w:rsidR="000431FF">
        <w:rPr>
          <w:rFonts w:ascii="Times New Roman" w:hAnsi="Times New Roman" w:eastAsia="Times New Roman" w:cs="Times New Roman"/>
          <w:szCs w:val="24"/>
          <w:lang w:val="en-GB"/>
        </w:rPr>
        <w:t> </w:t>
      </w:r>
      <w:r w:rsidRPr="000C0E58">
        <w:rPr>
          <w:rFonts w:ascii="Times New Roman" w:hAnsi="Times New Roman" w:eastAsia="Times New Roman" w:cs="Times New Roman"/>
          <w:szCs w:val="24"/>
          <w:lang w:val="en-GB"/>
        </w:rPr>
        <w:t xml:space="preserve">June 1999; </w:t>
      </w:r>
      <w:r w:rsidRPr="000C0E58" w:rsidR="006B23B1">
        <w:rPr>
          <w:rFonts w:ascii="Times New Roman" w:hAnsi="Times New Roman" w:eastAsia="Times New Roman" w:cs="Times New Roman"/>
          <w:szCs w:val="24"/>
          <w:lang w:val="en-GB"/>
        </w:rPr>
        <w:t xml:space="preserve">and </w:t>
      </w:r>
      <w:r w:rsidRPr="000C0E58" w:rsidR="006C538B">
        <w:rPr>
          <w:i/>
          <w:lang w:val="en-GB"/>
        </w:rPr>
        <w:t>Moskal v. </w:t>
      </w:r>
      <w:r w:rsidRPr="000C0E58">
        <w:rPr>
          <w:i/>
          <w:lang w:val="en-GB"/>
        </w:rPr>
        <w:t>Poland</w:t>
      </w:r>
      <w:r w:rsidRPr="000C0E58">
        <w:rPr>
          <w:lang w:val="en-GB"/>
        </w:rPr>
        <w:t>, no. 10373/05, § 41, 15 September 2009</w:t>
      </w:r>
      <w:r w:rsidRPr="000C0E58">
        <w:rPr>
          <w:rFonts w:ascii="Times New Roman" w:hAnsi="Times New Roman" w:eastAsia="Times New Roman" w:cs="Times New Roman"/>
          <w:szCs w:val="24"/>
          <w:lang w:val="en-GB"/>
        </w:rPr>
        <w:t>).</w:t>
      </w:r>
    </w:p>
    <w:p w:rsidRPr="000C0E58" w:rsidR="00E80B88" w:rsidP="000C0E58">
      <w:pPr>
        <w:pStyle w:val="ECHRPara"/>
        <w:rPr>
          <w:rFonts w:ascii="Times New Roman" w:hAnsi="Times New Roman" w:eastAsia="Times New Roman" w:cs="Times New Roman"/>
          <w:szCs w:val="24"/>
          <w:lang w:val="en-GB"/>
        </w:rPr>
      </w:pPr>
      <w:r w:rsidRPr="000C0E58">
        <w:rPr>
          <w:rFonts w:ascii="Times New Roman" w:hAnsi="Times New Roman" w:eastAsia="Times New Roman" w:cs="Times New Roman"/>
          <w:szCs w:val="24"/>
          <w:lang w:val="en-GB"/>
        </w:rPr>
        <w:fldChar w:fldCharType="begin"/>
      </w:r>
      <w:r w:rsidRPr="000C0E58">
        <w:rPr>
          <w:rFonts w:ascii="Times New Roman" w:hAnsi="Times New Roman" w:eastAsia="Times New Roman" w:cs="Times New Roman"/>
          <w:szCs w:val="24"/>
          <w:lang w:val="en-GB"/>
        </w:rPr>
        <w:instrText xml:space="preserve"> SEQ level0 \*arabic </w:instrText>
      </w:r>
      <w:r w:rsidRPr="000C0E58">
        <w:rPr>
          <w:rFonts w:ascii="Times New Roman" w:hAnsi="Times New Roman" w:eastAsia="Times New Roman" w:cs="Times New Roman"/>
          <w:szCs w:val="24"/>
          <w:lang w:val="en-GB"/>
        </w:rPr>
        <w:fldChar w:fldCharType="separate"/>
      </w:r>
      <w:r w:rsidRPr="000C0E58" w:rsidR="000C0E58">
        <w:rPr>
          <w:rFonts w:ascii="Times New Roman" w:hAnsi="Times New Roman" w:eastAsia="Times New Roman" w:cs="Times New Roman"/>
          <w:noProof/>
          <w:szCs w:val="24"/>
          <w:lang w:val="en-GB"/>
        </w:rPr>
        <w:t>82</w:t>
      </w:r>
      <w:r w:rsidRPr="000C0E58">
        <w:rPr>
          <w:rFonts w:ascii="Times New Roman" w:hAnsi="Times New Roman" w:eastAsia="Times New Roman" w:cs="Times New Roman"/>
          <w:szCs w:val="24"/>
          <w:lang w:val="en-GB"/>
        </w:rPr>
        <w:fldChar w:fldCharType="end"/>
      </w:r>
      <w:r w:rsidRPr="000C0E58">
        <w:rPr>
          <w:rFonts w:ascii="Times New Roman" w:hAnsi="Times New Roman" w:eastAsia="Times New Roman" w:cs="Times New Roman"/>
          <w:szCs w:val="24"/>
          <w:lang w:val="en-GB"/>
        </w:rPr>
        <w:t>.  </w:t>
      </w:r>
      <w:r w:rsidRPr="000C0E58" w:rsidR="00D6332B">
        <w:rPr>
          <w:rFonts w:ascii="Times New Roman" w:hAnsi="Times New Roman" w:eastAsia="Times New Roman" w:cs="Times New Roman"/>
          <w:szCs w:val="24"/>
          <w:lang w:val="en-GB"/>
        </w:rPr>
        <w:t>T</w:t>
      </w:r>
      <w:r w:rsidRPr="000C0E58" w:rsidR="009E0D6B">
        <w:rPr>
          <w:rFonts w:ascii="Times New Roman" w:hAnsi="Times New Roman" w:eastAsia="Times New Roman" w:cs="Times New Roman"/>
          <w:szCs w:val="24"/>
          <w:lang w:val="en-GB"/>
        </w:rPr>
        <w:t xml:space="preserve">he Court </w:t>
      </w:r>
      <w:r w:rsidRPr="000C0E58" w:rsidR="00BC5E29">
        <w:rPr>
          <w:rFonts w:ascii="Times New Roman" w:hAnsi="Times New Roman" w:eastAsia="Times New Roman" w:cs="Times New Roman"/>
          <w:szCs w:val="24"/>
          <w:lang w:val="en-GB"/>
        </w:rPr>
        <w:t xml:space="preserve">has </w:t>
      </w:r>
      <w:r w:rsidRPr="000C0E58" w:rsidR="00D6332B">
        <w:rPr>
          <w:rFonts w:ascii="Times New Roman" w:hAnsi="Times New Roman" w:eastAsia="Times New Roman" w:cs="Times New Roman"/>
          <w:szCs w:val="24"/>
          <w:lang w:val="en-GB"/>
        </w:rPr>
        <w:t xml:space="preserve">also </w:t>
      </w:r>
      <w:r w:rsidRPr="000C0E58" w:rsidR="009E0D6B">
        <w:rPr>
          <w:rFonts w:ascii="Times New Roman" w:hAnsi="Times New Roman" w:eastAsia="Times New Roman" w:cs="Times New Roman"/>
          <w:szCs w:val="24"/>
          <w:lang w:val="en-GB"/>
        </w:rPr>
        <w:t xml:space="preserve">held that </w:t>
      </w:r>
      <w:r w:rsidRPr="000C0E58" w:rsidR="00D6332B">
        <w:rPr>
          <w:rFonts w:ascii="Times New Roman" w:hAnsi="Times New Roman" w:eastAsia="Times New Roman" w:cs="Times New Roman"/>
          <w:szCs w:val="24"/>
          <w:lang w:val="en-GB"/>
        </w:rPr>
        <w:t xml:space="preserve">Article 1 of Protocol No. 1 </w:t>
      </w:r>
      <w:r w:rsidRPr="000C0E58" w:rsidR="000D7401">
        <w:rPr>
          <w:lang w:val="en-GB"/>
        </w:rPr>
        <w:t xml:space="preserve">imposes </w:t>
      </w:r>
      <w:r w:rsidRPr="000C0E58">
        <w:rPr>
          <w:lang w:val="en-GB"/>
        </w:rPr>
        <w:t>no restriction on the Contracting State</w:t>
      </w:r>
      <w:r w:rsidRPr="000C0E58" w:rsidR="000431FF">
        <w:rPr>
          <w:lang w:val="en-GB"/>
        </w:rPr>
        <w:t>s</w:t>
      </w:r>
      <w:r w:rsidRPr="000C0E58" w:rsidR="000C0E58">
        <w:rPr>
          <w:lang w:val="en-GB"/>
        </w:rPr>
        <w:t>’</w:t>
      </w:r>
      <w:r w:rsidRPr="000C0E58">
        <w:rPr>
          <w:lang w:val="en-GB"/>
        </w:rPr>
        <w:t xml:space="preserve"> freedom to decide whether or not to have in place any form of social</w:t>
      </w:r>
      <w:r w:rsidRPr="000C0E58" w:rsidR="009E042A">
        <w:rPr>
          <w:lang w:val="en-GB"/>
        </w:rPr>
        <w:t>-</w:t>
      </w:r>
      <w:r w:rsidRPr="000C0E58">
        <w:rPr>
          <w:lang w:val="en-GB"/>
        </w:rPr>
        <w:t>security scheme, or to choose the type or amount of benefits to provide under any such scheme</w:t>
      </w:r>
      <w:r w:rsidRPr="000C0E58" w:rsidR="0095752A">
        <w:rPr>
          <w:lang w:val="en-GB"/>
        </w:rPr>
        <w:t xml:space="preserve"> (see </w:t>
      </w:r>
      <w:r w:rsidRPr="000C0E58" w:rsidR="0095752A">
        <w:rPr>
          <w:i/>
          <w:lang w:val="en-GB"/>
        </w:rPr>
        <w:t>Sukhanov and Ilchenko v. Ukraine</w:t>
      </w:r>
      <w:r w:rsidRPr="000C0E58" w:rsidR="0095752A">
        <w:rPr>
          <w:lang w:val="en-GB"/>
        </w:rPr>
        <w:t>, nos. 68385/10 and 71378/10</w:t>
      </w:r>
      <w:r w:rsidRPr="000C0E58" w:rsidR="00454F45">
        <w:rPr>
          <w:snapToGrid w:val="0"/>
          <w:lang w:val="en-GB"/>
        </w:rPr>
        <w:t>, §§ 35-39, 26 </w:t>
      </w:r>
      <w:r w:rsidRPr="000C0E58" w:rsidR="0095752A">
        <w:rPr>
          <w:snapToGrid w:val="0"/>
          <w:lang w:val="en-GB"/>
        </w:rPr>
        <w:t xml:space="preserve">June 2014; </w:t>
      </w:r>
      <w:r w:rsidRPr="000C0E58" w:rsidR="0095752A">
        <w:rPr>
          <w:i/>
          <w:snapToGrid w:val="0"/>
          <w:lang w:val="en-GB"/>
        </w:rPr>
        <w:t>Kolesnyk v. Ukraine</w:t>
      </w:r>
      <w:r w:rsidRPr="000C0E58" w:rsidR="0095752A">
        <w:rPr>
          <w:snapToGrid w:val="0"/>
          <w:lang w:val="en-GB"/>
        </w:rPr>
        <w:t xml:space="preserve"> (dec.), no. 57116/10, </w:t>
      </w:r>
      <w:r w:rsidRPr="000C0E58" w:rsidR="0069020B">
        <w:rPr>
          <w:snapToGrid w:val="0"/>
          <w:lang w:val="en-GB"/>
        </w:rPr>
        <w:t xml:space="preserve">§§ </w:t>
      </w:r>
      <w:r w:rsidRPr="000C0E58" w:rsidR="00454F45">
        <w:rPr>
          <w:snapToGrid w:val="0"/>
          <w:lang w:val="en-GB"/>
        </w:rPr>
        <w:t>83, 89 and 91, 3 </w:t>
      </w:r>
      <w:r w:rsidRPr="000C0E58" w:rsidR="0095752A">
        <w:rPr>
          <w:snapToGrid w:val="0"/>
          <w:lang w:val="en-GB"/>
        </w:rPr>
        <w:t xml:space="preserve">June 2014; </w:t>
      </w:r>
      <w:r w:rsidRPr="000C0E58" w:rsidR="006B23B1">
        <w:rPr>
          <w:snapToGrid w:val="0"/>
          <w:lang w:val="en-GB"/>
        </w:rPr>
        <w:t xml:space="preserve">and </w:t>
      </w:r>
      <w:r w:rsidRPr="000C0E58" w:rsidR="0095752A">
        <w:rPr>
          <w:i/>
          <w:snapToGrid w:val="0"/>
          <w:lang w:val="en-GB"/>
        </w:rPr>
        <w:t>Fakas v. Ukraine</w:t>
      </w:r>
      <w:r w:rsidRPr="000C0E58" w:rsidR="0095752A">
        <w:rPr>
          <w:snapToGrid w:val="0"/>
          <w:lang w:val="en-GB"/>
        </w:rPr>
        <w:t xml:space="preserve"> (dec.), no. 4519/11, </w:t>
      </w:r>
      <w:r w:rsidRPr="000C0E58" w:rsidR="0069020B">
        <w:rPr>
          <w:snapToGrid w:val="0"/>
          <w:lang w:val="en-GB"/>
        </w:rPr>
        <w:t xml:space="preserve">§§ </w:t>
      </w:r>
      <w:r w:rsidRPr="000C0E58" w:rsidR="00454F45">
        <w:rPr>
          <w:snapToGrid w:val="0"/>
          <w:lang w:val="en-GB"/>
        </w:rPr>
        <w:t>34, 37-43, 48, 3 </w:t>
      </w:r>
      <w:r w:rsidRPr="000C0E58" w:rsidR="0095752A">
        <w:rPr>
          <w:snapToGrid w:val="0"/>
          <w:lang w:val="en-GB"/>
        </w:rPr>
        <w:t>June 2014)</w:t>
      </w:r>
      <w:r w:rsidRPr="000C0E58">
        <w:rPr>
          <w:lang w:val="en-GB"/>
        </w:rPr>
        <w:t>. If,</w:t>
      </w:r>
      <w:r w:rsidRPr="000C0E58" w:rsidR="00955741">
        <w:rPr>
          <w:lang w:val="en-GB"/>
        </w:rPr>
        <w:t> </w:t>
      </w:r>
      <w:r w:rsidRPr="000C0E58">
        <w:rPr>
          <w:lang w:val="en-GB"/>
        </w:rPr>
        <w:t>however, a Contracting State has in force legislation providing</w:t>
      </w:r>
      <w:r w:rsidRPr="000C0E58" w:rsidR="00D62B34">
        <w:rPr>
          <w:lang w:val="en-GB"/>
        </w:rPr>
        <w:t xml:space="preserve"> </w:t>
      </w:r>
      <w:r w:rsidRPr="000C0E58">
        <w:rPr>
          <w:lang w:val="en-GB"/>
        </w:rPr>
        <w:t>for the payment as of right of a welfare benefit – whether conditional or not on the prior payment of contributions – that legislation must be regarded as generating a proprietary interest falling within the ambit of Article 1 of Protocol No. 1 for persons satisfying its requirements (</w:t>
      </w:r>
      <w:r w:rsidRPr="000C0E58">
        <w:rPr>
          <w:rFonts w:ascii="Times New Roman" w:hAnsi="Times New Roman" w:eastAsia="Times New Roman" w:cs="Times New Roman"/>
          <w:szCs w:val="24"/>
          <w:lang w:val="en-GB"/>
        </w:rPr>
        <w:t>see</w:t>
      </w:r>
      <w:r w:rsidRPr="000C0E58" w:rsidR="0013373A">
        <w:rPr>
          <w:rFonts w:ascii="Times New Roman" w:hAnsi="Times New Roman" w:eastAsia="Times New Roman" w:cs="Times New Roman"/>
          <w:szCs w:val="24"/>
          <w:lang w:val="en-GB"/>
        </w:rPr>
        <w:t xml:space="preserve"> </w:t>
      </w:r>
      <w:r w:rsidRPr="000C0E58">
        <w:rPr>
          <w:rFonts w:ascii="Times New Roman" w:hAnsi="Times New Roman" w:eastAsia="Times New Roman" w:cs="Times New Roman"/>
          <w:i/>
          <w:szCs w:val="24"/>
          <w:lang w:val="en-GB"/>
        </w:rPr>
        <w:t>Stec and Others</w:t>
      </w:r>
      <w:r w:rsidRPr="000C0E58">
        <w:rPr>
          <w:rFonts w:ascii="Times New Roman" w:hAnsi="Times New Roman" w:eastAsia="Times New Roman" w:cs="Times New Roman"/>
          <w:szCs w:val="24"/>
          <w:lang w:val="en-GB"/>
        </w:rPr>
        <w:t xml:space="preserve"> (dec.), cited above, § 54).</w:t>
      </w:r>
    </w:p>
    <w:p w:rsidRPr="000C0E58" w:rsidR="00253B9D" w:rsidP="000C0E58">
      <w:pPr>
        <w:pStyle w:val="ECHRPara"/>
        <w:rPr>
          <w:rFonts w:ascii="Times New Roman" w:hAnsi="Times New Roman" w:cs="Times New Roman" w:eastAsiaTheme="minorHAnsi"/>
          <w:szCs w:val="24"/>
          <w:lang w:val="en-GB"/>
        </w:rPr>
      </w:pPr>
      <w:r w:rsidRPr="000C0E58">
        <w:rPr>
          <w:rFonts w:ascii="Times New Roman" w:hAnsi="Times New Roman" w:cs="Times New Roman" w:eastAsiaTheme="minorHAnsi"/>
          <w:szCs w:val="24"/>
          <w:lang w:val="en-GB"/>
        </w:rPr>
        <w:fldChar w:fldCharType="begin"/>
      </w:r>
      <w:r w:rsidRPr="000C0E58">
        <w:rPr>
          <w:rFonts w:ascii="Times New Roman" w:hAnsi="Times New Roman" w:cs="Times New Roman" w:eastAsiaTheme="minorHAnsi"/>
          <w:szCs w:val="24"/>
          <w:lang w:val="en-GB"/>
        </w:rPr>
        <w:instrText xml:space="preserve"> SEQ level0 \*arabic </w:instrText>
      </w:r>
      <w:r w:rsidRPr="000C0E58">
        <w:rPr>
          <w:rFonts w:ascii="Times New Roman" w:hAnsi="Times New Roman" w:cs="Times New Roman" w:eastAsiaTheme="minorHAnsi"/>
          <w:szCs w:val="24"/>
          <w:lang w:val="en-GB"/>
        </w:rPr>
        <w:fldChar w:fldCharType="separate"/>
      </w:r>
      <w:r w:rsidRPr="000C0E58" w:rsidR="000C0E58">
        <w:rPr>
          <w:rFonts w:ascii="Times New Roman" w:hAnsi="Times New Roman" w:cs="Times New Roman" w:eastAsiaTheme="minorHAnsi"/>
          <w:noProof/>
          <w:szCs w:val="24"/>
          <w:lang w:val="en-GB"/>
        </w:rPr>
        <w:t>83</w:t>
      </w:r>
      <w:r w:rsidRPr="000C0E58">
        <w:rPr>
          <w:rFonts w:ascii="Times New Roman" w:hAnsi="Times New Roman" w:cs="Times New Roman" w:eastAsiaTheme="minorHAnsi"/>
          <w:szCs w:val="24"/>
          <w:lang w:val="en-GB"/>
        </w:rPr>
        <w:fldChar w:fldCharType="end"/>
      </w:r>
      <w:r w:rsidRPr="000C0E58">
        <w:rPr>
          <w:rFonts w:ascii="Times New Roman" w:hAnsi="Times New Roman" w:cs="Times New Roman" w:eastAsiaTheme="minorHAnsi"/>
          <w:szCs w:val="24"/>
          <w:lang w:val="en-GB"/>
        </w:rPr>
        <w:t>.  </w:t>
      </w:r>
      <w:r w:rsidRPr="000C0E58" w:rsidR="009338C3">
        <w:rPr>
          <w:rFonts w:ascii="Times New Roman" w:hAnsi="Times New Roman" w:cs="Times New Roman" w:eastAsiaTheme="minorHAnsi"/>
          <w:szCs w:val="24"/>
          <w:lang w:val="en-GB"/>
        </w:rPr>
        <w:t xml:space="preserve">In certain circumstances the making of compulsory contributions, for example to a pension fund or a social insurance scheme, may create a property right protected by Article 1 of Protocol No. 1 even before the contributor fulfils all the conditions to actually receive the pension or other benefit. This is the case when there is a direct link between the level of contributions and the benefits awarded (see </w:t>
      </w:r>
      <w:r w:rsidRPr="000C0E58" w:rsidR="009338C3">
        <w:rPr>
          <w:rFonts w:ascii="Times New Roman" w:hAnsi="Times New Roman" w:cs="Times New Roman" w:eastAsiaTheme="minorHAnsi"/>
          <w:i/>
          <w:szCs w:val="24"/>
          <w:lang w:val="en-GB"/>
        </w:rPr>
        <w:t>Stec and Others</w:t>
      </w:r>
      <w:r w:rsidRPr="000C0E58" w:rsidR="009338C3">
        <w:rPr>
          <w:rFonts w:ascii="Times New Roman" w:hAnsi="Times New Roman" w:cs="Times New Roman" w:eastAsiaTheme="minorHAnsi"/>
          <w:szCs w:val="24"/>
          <w:lang w:val="en-GB"/>
        </w:rPr>
        <w:t xml:space="preserve"> (dec.), cited above, § 43). The payment of contributions to a pension fund may in certain </w:t>
      </w:r>
      <w:r w:rsidRPr="000C0E58" w:rsidR="002E0502">
        <w:rPr>
          <w:rFonts w:ascii="Times New Roman" w:hAnsi="Times New Roman" w:cs="Times New Roman" w:eastAsiaTheme="minorHAnsi"/>
          <w:szCs w:val="24"/>
          <w:lang w:val="en-GB"/>
        </w:rPr>
        <w:t>circumstances</w:t>
      </w:r>
      <w:r w:rsidRPr="000C0E58" w:rsidR="009338C3">
        <w:rPr>
          <w:rFonts w:ascii="Times New Roman" w:hAnsi="Times New Roman" w:cs="Times New Roman" w:eastAsiaTheme="minorHAnsi"/>
          <w:szCs w:val="24"/>
          <w:lang w:val="en-GB"/>
        </w:rPr>
        <w:t xml:space="preserve"> create a property right in a portion of </w:t>
      </w:r>
      <w:r w:rsidRPr="000C0E58" w:rsidR="002E0502">
        <w:rPr>
          <w:rFonts w:ascii="Times New Roman" w:hAnsi="Times New Roman" w:cs="Times New Roman" w:eastAsiaTheme="minorHAnsi"/>
          <w:szCs w:val="24"/>
          <w:lang w:val="en-GB"/>
        </w:rPr>
        <w:t xml:space="preserve">such a </w:t>
      </w:r>
      <w:r w:rsidRPr="000C0E58" w:rsidR="009338C3">
        <w:rPr>
          <w:rFonts w:ascii="Times New Roman" w:hAnsi="Times New Roman" w:cs="Times New Roman" w:eastAsiaTheme="minorHAnsi"/>
          <w:szCs w:val="24"/>
          <w:lang w:val="en-GB"/>
        </w:rPr>
        <w:t xml:space="preserve">fund </w:t>
      </w:r>
      <w:r w:rsidRPr="000C0E58" w:rsidR="002E0502">
        <w:rPr>
          <w:rFonts w:ascii="Times New Roman" w:hAnsi="Times New Roman" w:cs="Times New Roman" w:eastAsiaTheme="minorHAnsi"/>
          <w:szCs w:val="24"/>
          <w:lang w:val="en-GB"/>
        </w:rPr>
        <w:t xml:space="preserve">and a modification of the pension rights under such a system could therefore in principle raise an issue under Article 1 of Protocol No. 1; even if it is assumed that Article 1 of Protocol No. 1 guarantees </w:t>
      </w:r>
      <w:r w:rsidRPr="000C0E58" w:rsidR="00213768">
        <w:rPr>
          <w:rFonts w:ascii="Times New Roman" w:hAnsi="Times New Roman" w:cs="Times New Roman" w:eastAsiaTheme="minorHAnsi"/>
          <w:szCs w:val="24"/>
          <w:lang w:val="en-GB"/>
        </w:rPr>
        <w:t xml:space="preserve">to </w:t>
      </w:r>
      <w:r w:rsidRPr="000C0E58" w:rsidR="002E0502">
        <w:rPr>
          <w:rFonts w:ascii="Times New Roman" w:hAnsi="Times New Roman" w:cs="Times New Roman" w:eastAsiaTheme="minorHAnsi"/>
          <w:szCs w:val="24"/>
          <w:lang w:val="en-GB"/>
        </w:rPr>
        <w:t xml:space="preserve">persons who have paid contributions to a special insurance system the right to derive benefit from the system, it cannot be interpreted as entitling that person to a pension of a particular amount (see </w:t>
      </w:r>
      <w:r w:rsidRPr="000C0E58">
        <w:rPr>
          <w:rFonts w:ascii="Times New Roman" w:hAnsi="Times New Roman" w:cs="Times New Roman" w:eastAsiaTheme="minorHAnsi"/>
          <w:i/>
          <w:szCs w:val="24"/>
          <w:lang w:val="en-GB"/>
        </w:rPr>
        <w:t>Müller v. Austria</w:t>
      </w:r>
      <w:r w:rsidRPr="000C0E58">
        <w:rPr>
          <w:rFonts w:ascii="Times New Roman" w:hAnsi="Times New Roman" w:cs="Times New Roman" w:eastAsiaTheme="minorHAnsi"/>
          <w:szCs w:val="24"/>
          <w:lang w:val="en-GB"/>
        </w:rPr>
        <w:t>, no. 5849/72, Commission</w:t>
      </w:r>
      <w:r w:rsidRPr="000C0E58" w:rsidR="000C0E58">
        <w:rPr>
          <w:rFonts w:ascii="Times New Roman" w:hAnsi="Times New Roman" w:cs="Times New Roman" w:eastAsiaTheme="minorHAnsi"/>
          <w:szCs w:val="24"/>
          <w:lang w:val="en-GB"/>
        </w:rPr>
        <w:t>’</w:t>
      </w:r>
      <w:r w:rsidRPr="000C0E58">
        <w:rPr>
          <w:rFonts w:ascii="Times New Roman" w:hAnsi="Times New Roman" w:cs="Times New Roman" w:eastAsiaTheme="minorHAnsi"/>
          <w:szCs w:val="24"/>
          <w:lang w:val="en-GB"/>
        </w:rPr>
        <w:t xml:space="preserve">s report of 1 October 1975, DR 3, p. </w:t>
      </w:r>
      <w:r w:rsidRPr="000C0E58" w:rsidR="001923DC">
        <w:rPr>
          <w:rFonts w:ascii="Times New Roman" w:hAnsi="Times New Roman" w:cs="Times New Roman" w:eastAsiaTheme="minorHAnsi"/>
          <w:szCs w:val="24"/>
          <w:lang w:val="en-GB"/>
        </w:rPr>
        <w:t>25</w:t>
      </w:r>
      <w:r w:rsidRPr="000C0E58">
        <w:rPr>
          <w:rFonts w:ascii="Times New Roman" w:hAnsi="Times New Roman" w:cs="Times New Roman" w:eastAsiaTheme="minorHAnsi"/>
          <w:szCs w:val="24"/>
          <w:lang w:val="en-GB"/>
        </w:rPr>
        <w:t>, § 30</w:t>
      </w:r>
      <w:r w:rsidRPr="000C0E58" w:rsidR="002E0502">
        <w:rPr>
          <w:szCs w:val="24"/>
          <w:lang w:val="en-GB"/>
        </w:rPr>
        <w:t xml:space="preserve">, quoted in </w:t>
      </w:r>
      <w:r w:rsidRPr="000C0E58" w:rsidR="00697F20">
        <w:rPr>
          <w:rFonts w:ascii="Times New Roman" w:hAnsi="Times New Roman" w:cs="Times New Roman" w:eastAsiaTheme="minorHAnsi"/>
          <w:i/>
          <w:szCs w:val="24"/>
          <w:lang w:val="en-GB"/>
        </w:rPr>
        <w:t>T. v. </w:t>
      </w:r>
      <w:r w:rsidRPr="000C0E58" w:rsidR="009338C3">
        <w:rPr>
          <w:rFonts w:ascii="Times New Roman" w:hAnsi="Times New Roman" w:cs="Times New Roman" w:eastAsiaTheme="minorHAnsi"/>
          <w:i/>
          <w:szCs w:val="24"/>
          <w:lang w:val="en-GB"/>
        </w:rPr>
        <w:t>Sweden</w:t>
      </w:r>
      <w:r w:rsidRPr="000C0E58" w:rsidR="009338C3">
        <w:rPr>
          <w:szCs w:val="24"/>
          <w:lang w:val="en-GB"/>
        </w:rPr>
        <w:t xml:space="preserve">, no. 10671/83, Commission decision of 4 March 1985, </w:t>
      </w:r>
      <w:r w:rsidRPr="000C0E58" w:rsidR="002E0502">
        <w:rPr>
          <w:szCs w:val="24"/>
          <w:lang w:val="en-GB"/>
        </w:rPr>
        <w:t>DR</w:t>
      </w:r>
      <w:r w:rsidRPr="000C0E58" w:rsidR="009338C3">
        <w:rPr>
          <w:szCs w:val="24"/>
          <w:lang w:val="en-GB"/>
        </w:rPr>
        <w:t xml:space="preserve"> 42, p. 229, at p.</w:t>
      </w:r>
      <w:r w:rsidRPr="000C0E58" w:rsidR="00213768">
        <w:rPr>
          <w:szCs w:val="24"/>
          <w:lang w:val="en-GB"/>
        </w:rPr>
        <w:t> </w:t>
      </w:r>
      <w:r w:rsidRPr="000C0E58" w:rsidR="009338C3">
        <w:rPr>
          <w:szCs w:val="24"/>
          <w:lang w:val="en-GB"/>
        </w:rPr>
        <w:t>232)</w:t>
      </w:r>
      <w:r w:rsidRPr="000C0E58" w:rsidR="009338C3">
        <w:rPr>
          <w:rFonts w:ascii="Times New Roman" w:hAnsi="Times New Roman" w:cs="Times New Roman" w:eastAsiaTheme="minorHAnsi"/>
          <w:szCs w:val="24"/>
          <w:lang w:val="en-GB"/>
        </w:rPr>
        <w:t>.</w:t>
      </w:r>
    </w:p>
    <w:p w:rsidRPr="000C0E58" w:rsidR="00E80B88"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84</w:t>
      </w:r>
      <w:r w:rsidRPr="000C0E58">
        <w:rPr>
          <w:lang w:val="en-GB"/>
        </w:rPr>
        <w:fldChar w:fldCharType="end"/>
      </w:r>
      <w:r w:rsidRPr="000C0E58">
        <w:rPr>
          <w:lang w:val="en-GB"/>
        </w:rPr>
        <w:t>.  </w:t>
      </w:r>
      <w:r w:rsidRPr="000C0E58" w:rsidR="000A7538">
        <w:rPr>
          <w:lang w:val="en-GB"/>
        </w:rPr>
        <w:t xml:space="preserve">In this connection, it ought to be reiterated that </w:t>
      </w:r>
      <w:r w:rsidRPr="000C0E58" w:rsidR="00061F43">
        <w:rPr>
          <w:lang w:val="en-GB"/>
        </w:rPr>
        <w:t xml:space="preserve">Article 1 of Protocol No. 1 to the Convention </w:t>
      </w:r>
      <w:r w:rsidRPr="000C0E58" w:rsidR="00A72962">
        <w:rPr>
          <w:lang w:val="en-GB"/>
        </w:rPr>
        <w:t xml:space="preserve">does not </w:t>
      </w:r>
      <w:r w:rsidRPr="000C0E58" w:rsidR="00061F43">
        <w:rPr>
          <w:lang w:val="en-GB"/>
        </w:rPr>
        <w:t>guarantee, as such, any right to a</w:t>
      </w:r>
      <w:r w:rsidRPr="000C0E58">
        <w:rPr>
          <w:lang w:val="en-GB"/>
        </w:rPr>
        <w:t xml:space="preserve"> pension of a particular amount</w:t>
      </w:r>
      <w:r w:rsidRPr="000C0E58" w:rsidR="00061F43">
        <w:rPr>
          <w:lang w:val="en-GB"/>
        </w:rPr>
        <w:t xml:space="preserve"> </w:t>
      </w:r>
      <w:r w:rsidRPr="000C0E58">
        <w:rPr>
          <w:lang w:val="en-GB"/>
        </w:rPr>
        <w:t>(see</w:t>
      </w:r>
      <w:r w:rsidRPr="000C0E58">
        <w:rPr>
          <w:i/>
          <w:lang w:val="en-GB"/>
        </w:rPr>
        <w:t xml:space="preserve"> Kjartan Ásmundsson</w:t>
      </w:r>
      <w:r w:rsidRPr="000C0E58">
        <w:rPr>
          <w:lang w:val="en-GB"/>
        </w:rPr>
        <w:t xml:space="preserve">, cited above, § </w:t>
      </w:r>
      <w:r w:rsidRPr="000C0E58" w:rsidR="00DD6742">
        <w:rPr>
          <w:lang w:val="en-GB"/>
        </w:rPr>
        <w:t>39), although w</w:t>
      </w:r>
      <w:r w:rsidRPr="000C0E58" w:rsidR="00061F43">
        <w:rPr>
          <w:lang w:val="en-GB"/>
        </w:rPr>
        <w:t>here the amount of a benefit is reduced or discontinued, this may constitute interference with possessions which requires to be justified</w:t>
      </w:r>
      <w:r w:rsidRPr="000C0E58">
        <w:rPr>
          <w:lang w:val="en-GB"/>
        </w:rPr>
        <w:t xml:space="preserve"> (see </w:t>
      </w:r>
      <w:r w:rsidRPr="000C0E58" w:rsidR="00061F43">
        <w:rPr>
          <w:i/>
          <w:lang w:val="en-GB"/>
        </w:rPr>
        <w:t>Valkov and Others</w:t>
      </w:r>
      <w:r w:rsidRPr="000C0E58" w:rsidR="00061F43">
        <w:rPr>
          <w:lang w:val="en-GB"/>
        </w:rPr>
        <w:t xml:space="preserve"> </w:t>
      </w:r>
      <w:r w:rsidRPr="000C0E58" w:rsidR="00493A25">
        <w:rPr>
          <w:i/>
          <w:iCs/>
          <w:lang w:val="en-GB"/>
        </w:rPr>
        <w:t>v. Bulgaria</w:t>
      </w:r>
      <w:r w:rsidRPr="000C0E58" w:rsidR="00493A25">
        <w:rPr>
          <w:lang w:val="en-GB"/>
        </w:rPr>
        <w:t xml:space="preserve">, nos. 2033/04, 19125/04, 19475/04, </w:t>
      </w:r>
      <w:r w:rsidRPr="000C0E58" w:rsidR="00493A25">
        <w:rPr>
          <w:lang w:val="en-GB"/>
        </w:rPr>
        <w:t>19490/04, 19495/04, 19497/04, 24729/04, 171/05 and 2041/05</w:t>
      </w:r>
      <w:r w:rsidRPr="000C0E58" w:rsidR="00493A25">
        <w:rPr>
          <w:snapToGrid w:val="0"/>
          <w:lang w:val="en-GB"/>
        </w:rPr>
        <w:t>, § 84, 2</w:t>
      </w:r>
      <w:r w:rsidRPr="000C0E58" w:rsidR="00493A25">
        <w:rPr>
          <w:lang w:val="en-GB"/>
        </w:rPr>
        <w:t>5</w:t>
      </w:r>
      <w:r w:rsidRPr="000C0E58" w:rsidR="00642781">
        <w:rPr>
          <w:lang w:val="en-GB"/>
        </w:rPr>
        <w:t> </w:t>
      </w:r>
      <w:r w:rsidRPr="000C0E58" w:rsidR="00493A25">
        <w:rPr>
          <w:snapToGrid w:val="0"/>
          <w:lang w:val="en-GB"/>
        </w:rPr>
        <w:t>October 2011;</w:t>
      </w:r>
      <w:r w:rsidRPr="000C0E58" w:rsidR="00061F43">
        <w:rPr>
          <w:lang w:val="en-GB"/>
        </w:rPr>
        <w:t xml:space="preserve"> and </w:t>
      </w:r>
      <w:r w:rsidRPr="000C0E58" w:rsidR="00061F43">
        <w:rPr>
          <w:i/>
          <w:lang w:val="en-GB"/>
        </w:rPr>
        <w:t>Grudić v. Serbia</w:t>
      </w:r>
      <w:r w:rsidRPr="000C0E58" w:rsidR="00061F43">
        <w:rPr>
          <w:lang w:val="en-GB"/>
        </w:rPr>
        <w:t>, no.</w:t>
      </w:r>
      <w:r w:rsidRPr="000C0E58" w:rsidR="00E76DE8">
        <w:rPr>
          <w:lang w:val="en-GB"/>
        </w:rPr>
        <w:t> </w:t>
      </w:r>
      <w:r w:rsidRPr="000C0E58" w:rsidR="00061F43">
        <w:rPr>
          <w:lang w:val="en-GB"/>
        </w:rPr>
        <w:t>31925/08</w:t>
      </w:r>
      <w:r w:rsidRPr="000C0E58" w:rsidR="00061F43">
        <w:rPr>
          <w:snapToGrid w:val="0"/>
          <w:szCs w:val="24"/>
          <w:lang w:val="en-GB"/>
        </w:rPr>
        <w:t>, §</w:t>
      </w:r>
      <w:r w:rsidRPr="000C0E58" w:rsidR="009E042A">
        <w:rPr>
          <w:snapToGrid w:val="0"/>
          <w:szCs w:val="24"/>
          <w:lang w:val="en-GB"/>
        </w:rPr>
        <w:t> </w:t>
      </w:r>
      <w:r w:rsidRPr="000C0E58" w:rsidR="00061F43">
        <w:rPr>
          <w:snapToGrid w:val="0"/>
          <w:szCs w:val="24"/>
          <w:lang w:val="en-GB"/>
        </w:rPr>
        <w:t>72, 17 April 2012)</w:t>
      </w:r>
      <w:r w:rsidRPr="000C0E58" w:rsidR="00061F43">
        <w:rPr>
          <w:lang w:val="en-GB"/>
        </w:rPr>
        <w:t>.</w:t>
      </w:r>
    </w:p>
    <w:p w:rsidRPr="000C0E58" w:rsidR="00590C91"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85</w:t>
      </w:r>
      <w:r w:rsidRPr="000C0E58">
        <w:rPr>
          <w:noProof/>
          <w:lang w:val="en-GB"/>
        </w:rPr>
        <w:fldChar w:fldCharType="end"/>
      </w:r>
      <w:r w:rsidRPr="000C0E58" w:rsidR="00265B8F">
        <w:rPr>
          <w:lang w:val="en-GB"/>
        </w:rPr>
        <w:t>.  </w:t>
      </w:r>
      <w:r w:rsidRPr="000C0E58">
        <w:rPr>
          <w:lang w:val="en-GB"/>
        </w:rPr>
        <w:t>In determining whether there has been an interference, the Court</w:t>
      </w:r>
      <w:r w:rsidRPr="000C0E58" w:rsidR="000C0E58">
        <w:rPr>
          <w:lang w:val="en-GB"/>
        </w:rPr>
        <w:t>’</w:t>
      </w:r>
      <w:r w:rsidRPr="000C0E58">
        <w:rPr>
          <w:lang w:val="en-GB"/>
        </w:rPr>
        <w:t xml:space="preserve">s enquiry will focus on the domestic law in force at the time of the alleged interference (see, as an example from the law on compensation, </w:t>
      </w:r>
      <w:r w:rsidRPr="000C0E58" w:rsidR="006C538B">
        <w:rPr>
          <w:i/>
          <w:szCs w:val="24"/>
          <w:lang w:val="en-GB"/>
        </w:rPr>
        <w:t>Maurice v.</w:t>
      </w:r>
      <w:r w:rsidRPr="000C0E58" w:rsidR="006C538B">
        <w:rPr>
          <w:lang w:val="en-GB"/>
        </w:rPr>
        <w:t> </w:t>
      </w:r>
      <w:r w:rsidRPr="000C0E58">
        <w:rPr>
          <w:i/>
          <w:szCs w:val="24"/>
          <w:lang w:val="en-GB"/>
        </w:rPr>
        <w:t xml:space="preserve">France </w:t>
      </w:r>
      <w:r w:rsidRPr="000C0E58">
        <w:rPr>
          <w:szCs w:val="24"/>
          <w:lang w:val="en-GB"/>
        </w:rPr>
        <w:t xml:space="preserve">[GC], no. 11810/03, § 67, </w:t>
      </w:r>
      <w:r w:rsidRPr="000C0E58">
        <w:rPr>
          <w:lang w:val="en-GB"/>
        </w:rPr>
        <w:t>ECHR 2005</w:t>
      </w:r>
      <w:r w:rsidRPr="000C0E58">
        <w:rPr>
          <w:lang w:val="en-GB"/>
        </w:rPr>
        <w:noBreakHyphen/>
        <w:t>IX).</w:t>
      </w:r>
    </w:p>
    <w:p w:rsidRPr="000C0E58" w:rsidR="00D27F50" w:rsidP="000C0E58">
      <w:pPr>
        <w:pStyle w:val="ECHRPara"/>
        <w:rPr>
          <w:i/>
          <w:szCs w:val="24"/>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86</w:t>
      </w:r>
      <w:r w:rsidRPr="000C0E58">
        <w:rPr>
          <w:noProof/>
          <w:lang w:val="en-GB"/>
        </w:rPr>
        <w:fldChar w:fldCharType="end"/>
      </w:r>
      <w:r w:rsidRPr="000C0E58" w:rsidR="00C9185A">
        <w:rPr>
          <w:lang w:val="en-GB"/>
        </w:rPr>
        <w:t>.</w:t>
      </w:r>
      <w:r w:rsidRPr="000C0E58" w:rsidR="00C9185A">
        <w:rPr>
          <w:lang w:val="en-GB"/>
        </w:rPr>
        <w:t>  </w:t>
      </w:r>
      <w:r w:rsidRPr="000C0E58" w:rsidR="00EF52B8">
        <w:rPr>
          <w:lang w:val="en-GB"/>
        </w:rPr>
        <w:t>W</w:t>
      </w:r>
      <w:r w:rsidRPr="000C0E58" w:rsidR="00E76DE8">
        <w:rPr>
          <w:lang w:val="en-GB"/>
        </w:rPr>
        <w:t>here</w:t>
      </w:r>
      <w:r w:rsidRPr="000C0E58" w:rsidR="00061F43">
        <w:rPr>
          <w:lang w:val="en-GB"/>
        </w:rPr>
        <w:t xml:space="preserve"> the person concerned </w:t>
      </w:r>
      <w:r w:rsidRPr="000C0E58" w:rsidR="00DD6742">
        <w:rPr>
          <w:lang w:val="en-GB"/>
        </w:rPr>
        <w:t>did</w:t>
      </w:r>
      <w:r w:rsidRPr="000C0E58" w:rsidR="00061F43">
        <w:rPr>
          <w:lang w:val="en-GB"/>
        </w:rPr>
        <w:t xml:space="preserve"> not satisfy</w:t>
      </w:r>
      <w:r w:rsidRPr="000C0E58" w:rsidR="00DD6742">
        <w:rPr>
          <w:lang w:val="en-GB"/>
        </w:rPr>
        <w:t xml:space="preserve"> (see </w:t>
      </w:r>
      <w:r w:rsidRPr="000C0E58" w:rsidR="00DD6742">
        <w:rPr>
          <w:i/>
          <w:lang w:val="en-GB"/>
        </w:rPr>
        <w:t>Bellet, Huertas and Vialatte</w:t>
      </w:r>
      <w:r w:rsidRPr="000C0E58" w:rsidR="00DD6742">
        <w:rPr>
          <w:lang w:val="en-GB"/>
        </w:rPr>
        <w:t>, cited above)</w:t>
      </w:r>
      <w:r w:rsidRPr="000C0E58" w:rsidR="00061F43">
        <w:rPr>
          <w:lang w:val="en-GB"/>
        </w:rPr>
        <w:t>, or ceases to satisfy, the legal conditions laid down in domestic law for the grant of any particular form of benefits or pension, there is no interference with the rights under Article 1 of Protocol No. 1</w:t>
      </w:r>
      <w:r w:rsidRPr="000C0E58" w:rsidR="00BD709E">
        <w:rPr>
          <w:lang w:val="en-GB"/>
        </w:rPr>
        <w:t xml:space="preserve"> (see </w:t>
      </w:r>
      <w:r w:rsidRPr="000C0E58" w:rsidR="007A655E">
        <w:rPr>
          <w:i/>
          <w:lang w:val="en-GB"/>
        </w:rPr>
        <w:t>Rasmussen v. Poland</w:t>
      </w:r>
      <w:r w:rsidRPr="000C0E58" w:rsidR="007A655E">
        <w:rPr>
          <w:lang w:val="en-GB"/>
        </w:rPr>
        <w:t xml:space="preserve">, no. 38886/05, </w:t>
      </w:r>
      <w:r w:rsidRPr="000C0E58" w:rsidR="007A655E">
        <w:rPr>
          <w:snapToGrid w:val="0"/>
          <w:lang w:val="en-GB"/>
        </w:rPr>
        <w:t>§ 71, 28 April 2009</w:t>
      </w:r>
      <w:r w:rsidRPr="000C0E58" w:rsidR="00DD2C41">
        <w:rPr>
          <w:lang w:val="en-GB"/>
        </w:rPr>
        <w:t>)</w:t>
      </w:r>
      <w:r w:rsidRPr="000C0E58" w:rsidR="00BD709E">
        <w:rPr>
          <w:lang w:val="en-GB"/>
        </w:rPr>
        <w:t xml:space="preserve"> </w:t>
      </w:r>
      <w:r w:rsidRPr="000C0E58" w:rsidR="00213768">
        <w:rPr>
          <w:lang w:val="en-GB"/>
        </w:rPr>
        <w:t xml:space="preserve">where </w:t>
      </w:r>
      <w:r w:rsidRPr="000C0E58" w:rsidR="00BD709E">
        <w:rPr>
          <w:lang w:val="en-GB"/>
        </w:rPr>
        <w:t>the conditions had changed before the applicant became eligible for a specific benefit</w:t>
      </w:r>
      <w:r w:rsidRPr="000C0E58" w:rsidR="00DD2C41">
        <w:rPr>
          <w:lang w:val="en-GB"/>
        </w:rPr>
        <w:t xml:space="preserve"> (see </w:t>
      </w:r>
      <w:r w:rsidRPr="000C0E58" w:rsidR="00DD2C41">
        <w:rPr>
          <w:i/>
          <w:lang w:val="en-GB"/>
        </w:rPr>
        <w:t>Richardson</w:t>
      </w:r>
      <w:r w:rsidRPr="000C0E58" w:rsidR="00DD2C41">
        <w:rPr>
          <w:lang w:val="en-GB"/>
        </w:rPr>
        <w:t>, cited above, § 17)</w:t>
      </w:r>
      <w:r w:rsidRPr="000C0E58" w:rsidR="00BD709E">
        <w:rPr>
          <w:lang w:val="en-GB"/>
        </w:rPr>
        <w:t xml:space="preserve">. Where the suspension or diminution of a pension </w:t>
      </w:r>
      <w:r w:rsidRPr="000C0E58" w:rsidR="003577CE">
        <w:rPr>
          <w:lang w:val="en-GB"/>
        </w:rPr>
        <w:t>was</w:t>
      </w:r>
      <w:r w:rsidRPr="000C0E58" w:rsidR="00BD709E">
        <w:rPr>
          <w:lang w:val="en-GB"/>
        </w:rPr>
        <w:t xml:space="preserve"> not due to any changes in the applicant</w:t>
      </w:r>
      <w:r w:rsidRPr="000C0E58" w:rsidR="000C0E58">
        <w:rPr>
          <w:lang w:val="en-GB"/>
        </w:rPr>
        <w:t>’</w:t>
      </w:r>
      <w:r w:rsidRPr="000C0E58" w:rsidR="00BD709E">
        <w:rPr>
          <w:lang w:val="en-GB"/>
        </w:rPr>
        <w:t>s own circumstances, but to changes in the law</w:t>
      </w:r>
      <w:r w:rsidRPr="000C0E58">
        <w:rPr>
          <w:lang w:val="en-GB"/>
        </w:rPr>
        <w:t xml:space="preserve"> or its implementation</w:t>
      </w:r>
      <w:r w:rsidRPr="000C0E58" w:rsidR="003577CE">
        <w:rPr>
          <w:lang w:val="en-GB"/>
        </w:rPr>
        <w:t>,</w:t>
      </w:r>
      <w:r w:rsidRPr="000C0E58" w:rsidR="00BD709E">
        <w:rPr>
          <w:lang w:val="en-GB"/>
        </w:rPr>
        <w:t xml:space="preserve"> this may result in </w:t>
      </w:r>
      <w:r w:rsidRPr="000C0E58" w:rsidR="003577CE">
        <w:rPr>
          <w:lang w:val="en-GB"/>
        </w:rPr>
        <w:t>an interference with the rights under</w:t>
      </w:r>
      <w:r w:rsidRPr="000C0E58" w:rsidR="00BD709E">
        <w:rPr>
          <w:lang w:val="en-GB"/>
        </w:rPr>
        <w:t xml:space="preserve"> A</w:t>
      </w:r>
      <w:r w:rsidRPr="000C0E58" w:rsidR="003577CE">
        <w:rPr>
          <w:lang w:val="en-GB"/>
        </w:rPr>
        <w:t xml:space="preserve">rticle 1 of </w:t>
      </w:r>
      <w:r w:rsidRPr="000C0E58" w:rsidR="00BD709E">
        <w:rPr>
          <w:lang w:val="en-GB"/>
        </w:rPr>
        <w:t>P</w:t>
      </w:r>
      <w:r w:rsidRPr="000C0E58" w:rsidR="003577CE">
        <w:rPr>
          <w:lang w:val="en-GB"/>
        </w:rPr>
        <w:t>rotocol No.</w:t>
      </w:r>
      <w:r w:rsidRPr="000C0E58">
        <w:rPr>
          <w:lang w:val="en-GB"/>
        </w:rPr>
        <w:t> </w:t>
      </w:r>
      <w:r w:rsidRPr="000C0E58" w:rsidR="00BD709E">
        <w:rPr>
          <w:lang w:val="en-GB"/>
        </w:rPr>
        <w:t xml:space="preserve">1 </w:t>
      </w:r>
      <w:r w:rsidRPr="000C0E58">
        <w:rPr>
          <w:lang w:val="en-GB"/>
        </w:rPr>
        <w:t xml:space="preserve">(see </w:t>
      </w:r>
      <w:r w:rsidRPr="000C0E58">
        <w:rPr>
          <w:i/>
          <w:lang w:val="en-GB"/>
        </w:rPr>
        <w:t>Grudić</w:t>
      </w:r>
      <w:r w:rsidRPr="000C0E58">
        <w:rPr>
          <w:lang w:val="en-GB"/>
        </w:rPr>
        <w:t>, cited above, § 77</w:t>
      </w:r>
      <w:r w:rsidRPr="000C0E58" w:rsidR="007C2D58">
        <w:rPr>
          <w:lang w:val="en-GB"/>
        </w:rPr>
        <w:t>)</w:t>
      </w:r>
      <w:r w:rsidRPr="000C0E58">
        <w:rPr>
          <w:snapToGrid w:val="0"/>
          <w:szCs w:val="24"/>
          <w:lang w:val="en-GB"/>
        </w:rPr>
        <w:t>.</w:t>
      </w:r>
    </w:p>
    <w:p w:rsidRPr="000C0E58" w:rsidR="009B4BFE"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87</w:t>
      </w:r>
      <w:r w:rsidRPr="000C0E58">
        <w:rPr>
          <w:lang w:val="en-GB"/>
        </w:rPr>
        <w:fldChar w:fldCharType="end"/>
      </w:r>
      <w:r w:rsidRPr="000C0E58">
        <w:rPr>
          <w:lang w:val="en-GB"/>
        </w:rPr>
        <w:t>.  </w:t>
      </w:r>
      <w:r w:rsidRPr="000C0E58" w:rsidR="002405FD">
        <w:rPr>
          <w:lang w:val="en-GB"/>
        </w:rPr>
        <w:t>In a number of cases the</w:t>
      </w:r>
      <w:r w:rsidRPr="000C0E58" w:rsidR="006455D2">
        <w:rPr>
          <w:lang w:val="en-GB"/>
        </w:rPr>
        <w:t xml:space="preserve"> Court has been prepared to accept that the grant of a pension benefit</w:t>
      </w:r>
      <w:r w:rsidRPr="000C0E58" w:rsidR="00862D8D">
        <w:rPr>
          <w:lang w:val="en-GB"/>
        </w:rPr>
        <w:t>,</w:t>
      </w:r>
      <w:r w:rsidRPr="000C0E58" w:rsidR="006455D2">
        <w:rPr>
          <w:lang w:val="en-GB"/>
        </w:rPr>
        <w:t xml:space="preserve"> </w:t>
      </w:r>
      <w:r w:rsidRPr="000C0E58" w:rsidR="007C3C35">
        <w:rPr>
          <w:lang w:val="en-GB"/>
        </w:rPr>
        <w:t xml:space="preserve">of </w:t>
      </w:r>
      <w:r w:rsidRPr="000C0E58" w:rsidR="006455D2">
        <w:rPr>
          <w:lang w:val="en-GB"/>
        </w:rPr>
        <w:t xml:space="preserve">which </w:t>
      </w:r>
      <w:r w:rsidRPr="000C0E58" w:rsidR="007C3C35">
        <w:rPr>
          <w:lang w:val="en-GB"/>
        </w:rPr>
        <w:t xml:space="preserve">the applicant was </w:t>
      </w:r>
      <w:r w:rsidRPr="000C0E58" w:rsidR="006455D2">
        <w:rPr>
          <w:lang w:val="en-GB"/>
        </w:rPr>
        <w:t xml:space="preserve">subsequently </w:t>
      </w:r>
      <w:r w:rsidRPr="000C0E58" w:rsidR="007C3C35">
        <w:rPr>
          <w:lang w:val="en-GB"/>
        </w:rPr>
        <w:t>divested</w:t>
      </w:r>
      <w:r w:rsidRPr="000C0E58" w:rsidR="006455D2">
        <w:rPr>
          <w:lang w:val="en-GB"/>
        </w:rPr>
        <w:t xml:space="preserve"> </w:t>
      </w:r>
      <w:r w:rsidRPr="000C0E58" w:rsidR="007C3C35">
        <w:rPr>
          <w:lang w:val="en-GB"/>
        </w:rPr>
        <w:t xml:space="preserve">on </w:t>
      </w:r>
      <w:r w:rsidRPr="000C0E58" w:rsidR="00862D8D">
        <w:rPr>
          <w:lang w:val="en-GB"/>
        </w:rPr>
        <w:t xml:space="preserve">the </w:t>
      </w:r>
      <w:r w:rsidRPr="000C0E58" w:rsidR="007C3C35">
        <w:rPr>
          <w:lang w:val="en-GB"/>
        </w:rPr>
        <w:t xml:space="preserve">grounds that </w:t>
      </w:r>
      <w:r w:rsidRPr="000C0E58" w:rsidR="00862D8D">
        <w:rPr>
          <w:lang w:val="en-GB"/>
        </w:rPr>
        <w:t xml:space="preserve">the legal conditions </w:t>
      </w:r>
      <w:r w:rsidRPr="000C0E58" w:rsidR="00B60429">
        <w:rPr>
          <w:lang w:val="en-GB"/>
        </w:rPr>
        <w:t xml:space="preserve">for such </w:t>
      </w:r>
      <w:r w:rsidRPr="000C0E58" w:rsidR="00213768">
        <w:rPr>
          <w:lang w:val="en-GB"/>
        </w:rPr>
        <w:t xml:space="preserve">a </w:t>
      </w:r>
      <w:r w:rsidRPr="000C0E58" w:rsidR="00B60429">
        <w:rPr>
          <w:lang w:val="en-GB"/>
        </w:rPr>
        <w:t xml:space="preserve">grant </w:t>
      </w:r>
      <w:r w:rsidRPr="000C0E58" w:rsidR="00862D8D">
        <w:rPr>
          <w:lang w:val="en-GB"/>
        </w:rPr>
        <w:t>had not been fulfilled to begin with,</w:t>
      </w:r>
      <w:r w:rsidRPr="000C0E58" w:rsidR="007C3C35">
        <w:rPr>
          <w:lang w:val="en-GB"/>
        </w:rPr>
        <w:t xml:space="preserve"> </w:t>
      </w:r>
      <w:r w:rsidRPr="000C0E58" w:rsidR="0054310C">
        <w:rPr>
          <w:lang w:val="en-GB"/>
        </w:rPr>
        <w:t>could give</w:t>
      </w:r>
      <w:r w:rsidRPr="000C0E58" w:rsidR="006455D2">
        <w:rPr>
          <w:lang w:val="en-GB"/>
        </w:rPr>
        <w:t xml:space="preserve"> rise to a possession for the purposes of the </w:t>
      </w:r>
      <w:r w:rsidRPr="000C0E58" w:rsidR="00213768">
        <w:rPr>
          <w:lang w:val="en-GB"/>
        </w:rPr>
        <w:t>P</w:t>
      </w:r>
      <w:r w:rsidRPr="000C0E58" w:rsidR="006455D2">
        <w:rPr>
          <w:lang w:val="en-GB"/>
        </w:rPr>
        <w:t xml:space="preserve">rotocol </w:t>
      </w:r>
      <w:r w:rsidRPr="000C0E58" w:rsidR="00BD709E">
        <w:rPr>
          <w:lang w:val="en-GB"/>
        </w:rPr>
        <w:t>(</w:t>
      </w:r>
      <w:r w:rsidRPr="000C0E58" w:rsidR="00D27F50">
        <w:rPr>
          <w:lang w:val="en-GB"/>
        </w:rPr>
        <w:t xml:space="preserve">see </w:t>
      </w:r>
      <w:r w:rsidRPr="000C0E58" w:rsidR="00BD709E">
        <w:rPr>
          <w:i/>
          <w:lang w:val="en-GB"/>
        </w:rPr>
        <w:t>Mos</w:t>
      </w:r>
      <w:r w:rsidRPr="000C0E58" w:rsidR="00D27F50">
        <w:rPr>
          <w:i/>
          <w:lang w:val="en-GB"/>
        </w:rPr>
        <w:t>kal</w:t>
      </w:r>
      <w:r w:rsidRPr="000C0E58" w:rsidR="00D27F50">
        <w:rPr>
          <w:lang w:val="en-GB"/>
        </w:rPr>
        <w:t>, cited above, § 45</w:t>
      </w:r>
      <w:r w:rsidRPr="000C0E58" w:rsidR="0048658B">
        <w:rPr>
          <w:lang w:val="en-GB"/>
        </w:rPr>
        <w:t>;</w:t>
      </w:r>
      <w:r w:rsidRPr="000C0E58" w:rsidR="00213768">
        <w:rPr>
          <w:lang w:val="en-GB"/>
        </w:rPr>
        <w:t xml:space="preserve"> </w:t>
      </w:r>
      <w:r w:rsidRPr="000C0E58" w:rsidR="0054310C">
        <w:rPr>
          <w:lang w:val="en-GB"/>
        </w:rPr>
        <w:t>and</w:t>
      </w:r>
      <w:r w:rsidRPr="000C0E58" w:rsidR="00D27F50">
        <w:rPr>
          <w:lang w:val="en-GB"/>
        </w:rPr>
        <w:t xml:space="preserve"> </w:t>
      </w:r>
      <w:r w:rsidRPr="000C0E58" w:rsidR="006C538B">
        <w:rPr>
          <w:i/>
          <w:lang w:val="en-GB"/>
        </w:rPr>
        <w:t>Antoni Lewandowski v. </w:t>
      </w:r>
      <w:r w:rsidRPr="000C0E58" w:rsidR="00D27F50">
        <w:rPr>
          <w:i/>
          <w:lang w:val="en-GB"/>
        </w:rPr>
        <w:t>Poland</w:t>
      </w:r>
      <w:r w:rsidRPr="000C0E58" w:rsidR="00D27F50">
        <w:rPr>
          <w:lang w:val="en-GB"/>
        </w:rPr>
        <w:t>, no.</w:t>
      </w:r>
      <w:r w:rsidRPr="000C0E58" w:rsidR="006B23B1">
        <w:rPr>
          <w:lang w:val="en-GB"/>
        </w:rPr>
        <w:t> </w:t>
      </w:r>
      <w:r w:rsidRPr="000C0E58" w:rsidR="00D27F50">
        <w:rPr>
          <w:lang w:val="en-GB"/>
        </w:rPr>
        <w:t>38459/03</w:t>
      </w:r>
      <w:r w:rsidRPr="000C0E58" w:rsidR="00D27F50">
        <w:rPr>
          <w:snapToGrid w:val="0"/>
          <w:lang w:val="en-GB"/>
        </w:rPr>
        <w:t>, §</w:t>
      </w:r>
      <w:r w:rsidRPr="000C0E58" w:rsidR="00FD22D0">
        <w:rPr>
          <w:snapToGrid w:val="0"/>
          <w:lang w:val="en-GB"/>
        </w:rPr>
        <w:t>§ 78 and</w:t>
      </w:r>
      <w:r w:rsidRPr="000C0E58" w:rsidR="00D27F50">
        <w:rPr>
          <w:snapToGrid w:val="0"/>
          <w:lang w:val="en-GB"/>
        </w:rPr>
        <w:t xml:space="preserve"> </w:t>
      </w:r>
      <w:r w:rsidRPr="000C0E58" w:rsidR="00F056F3">
        <w:rPr>
          <w:snapToGrid w:val="0"/>
          <w:lang w:val="en-GB"/>
        </w:rPr>
        <w:t>82</w:t>
      </w:r>
      <w:r w:rsidRPr="000C0E58" w:rsidR="00D27F50">
        <w:rPr>
          <w:snapToGrid w:val="0"/>
          <w:lang w:val="en-GB"/>
        </w:rPr>
        <w:t>, 2</w:t>
      </w:r>
      <w:r w:rsidRPr="000C0E58" w:rsidR="00665562">
        <w:rPr>
          <w:snapToGrid w:val="0"/>
          <w:lang w:val="en-GB"/>
        </w:rPr>
        <w:t> </w:t>
      </w:r>
      <w:r w:rsidRPr="000C0E58" w:rsidR="00D27F50">
        <w:rPr>
          <w:snapToGrid w:val="0"/>
          <w:lang w:val="en-GB"/>
        </w:rPr>
        <w:t>October 2012</w:t>
      </w:r>
      <w:r w:rsidRPr="000C0E58" w:rsidR="00F056F3">
        <w:rPr>
          <w:snapToGrid w:val="0"/>
          <w:lang w:val="en-GB"/>
        </w:rPr>
        <w:t>).</w:t>
      </w:r>
      <w:r w:rsidRPr="000C0E58" w:rsidR="00BD709E">
        <w:rPr>
          <w:lang w:val="en-GB"/>
        </w:rPr>
        <w:t xml:space="preserve"> </w:t>
      </w:r>
      <w:r w:rsidRPr="000C0E58" w:rsidR="0054310C">
        <w:rPr>
          <w:lang w:val="en-GB"/>
        </w:rPr>
        <w:t>In another case it considered that t</w:t>
      </w:r>
      <w:r w:rsidRPr="000C0E58" w:rsidR="005E0894">
        <w:rPr>
          <w:lang w:val="en-GB"/>
        </w:rPr>
        <w:t xml:space="preserve">he failure to fulfil a condition </w:t>
      </w:r>
      <w:r w:rsidRPr="000C0E58" w:rsidR="0054310C">
        <w:rPr>
          <w:lang w:val="en-GB"/>
        </w:rPr>
        <w:t>(</w:t>
      </w:r>
      <w:r w:rsidRPr="000C0E58" w:rsidR="00213768">
        <w:rPr>
          <w:lang w:val="en-GB"/>
        </w:rPr>
        <w:t xml:space="preserve">namely the </w:t>
      </w:r>
      <w:r w:rsidRPr="000C0E58" w:rsidR="0054310C">
        <w:rPr>
          <w:lang w:val="en-GB"/>
        </w:rPr>
        <w:t>requirement of affiliation to a professional association), which under national law was</w:t>
      </w:r>
      <w:r w:rsidRPr="000C0E58" w:rsidR="005E0894">
        <w:rPr>
          <w:lang w:val="en-GB"/>
        </w:rPr>
        <w:t xml:space="preserve"> a sufficient reason for forfeiture of a pension claim</w:t>
      </w:r>
      <w:r w:rsidRPr="000C0E58" w:rsidR="0054310C">
        <w:rPr>
          <w:lang w:val="en-GB"/>
        </w:rPr>
        <w:t xml:space="preserve">, did </w:t>
      </w:r>
      <w:r w:rsidRPr="000C0E58" w:rsidR="005E0894">
        <w:rPr>
          <w:lang w:val="en-GB"/>
        </w:rPr>
        <w:t>not lead to the conclusion that the applicant had no possession within the meaning of Article 1 of Protocol No.</w:t>
      </w:r>
      <w:r w:rsidRPr="000C0E58" w:rsidR="006B23B1">
        <w:rPr>
          <w:lang w:val="en-GB"/>
        </w:rPr>
        <w:t> </w:t>
      </w:r>
      <w:r w:rsidRPr="000C0E58" w:rsidR="005E0894">
        <w:rPr>
          <w:lang w:val="en-GB"/>
        </w:rPr>
        <w:t xml:space="preserve">1 </w:t>
      </w:r>
      <w:r w:rsidRPr="000C0E58" w:rsidR="00BD709E">
        <w:rPr>
          <w:lang w:val="en-GB"/>
        </w:rPr>
        <w:t>(</w:t>
      </w:r>
      <w:r w:rsidRPr="000C0E58" w:rsidR="00DE088F">
        <w:rPr>
          <w:lang w:val="en-GB"/>
        </w:rPr>
        <w:t xml:space="preserve">see </w:t>
      </w:r>
      <w:r w:rsidRPr="000C0E58" w:rsidR="00BD709E">
        <w:rPr>
          <w:i/>
          <w:lang w:val="en-GB"/>
        </w:rPr>
        <w:t>Klein</w:t>
      </w:r>
      <w:r w:rsidRPr="000C0E58" w:rsidR="00DE088F">
        <w:rPr>
          <w:lang w:val="en-GB"/>
        </w:rPr>
        <w:t>, cited above, §</w:t>
      </w:r>
      <w:r w:rsidRPr="000C0E58" w:rsidR="00DD2C41">
        <w:rPr>
          <w:lang w:val="en-GB"/>
        </w:rPr>
        <w:t> </w:t>
      </w:r>
      <w:r w:rsidRPr="000C0E58" w:rsidR="00DE088F">
        <w:rPr>
          <w:lang w:val="en-GB"/>
        </w:rPr>
        <w:t>46</w:t>
      </w:r>
      <w:r w:rsidRPr="000C0E58" w:rsidR="00BD709E">
        <w:rPr>
          <w:lang w:val="en-GB"/>
        </w:rPr>
        <w:t>)</w:t>
      </w:r>
      <w:r w:rsidRPr="000C0E58" w:rsidR="00DE088F">
        <w:rPr>
          <w:lang w:val="en-GB"/>
        </w:rPr>
        <w:t>.</w:t>
      </w:r>
      <w:r w:rsidRPr="000C0E58" w:rsidR="00080129">
        <w:rPr>
          <w:lang w:val="en-GB"/>
        </w:rPr>
        <w:t xml:space="preserve"> </w:t>
      </w:r>
      <w:r w:rsidRPr="000C0E58" w:rsidR="00D41F37">
        <w:rPr>
          <w:lang w:val="en-GB"/>
        </w:rPr>
        <w:t xml:space="preserve">Nor was the Court prevented from finding that an applicant, whose application for disabled adults allowance had been rejected on the grounds of his non-fulfilment of </w:t>
      </w:r>
      <w:r w:rsidRPr="000C0E58" w:rsidR="000A0D44">
        <w:rPr>
          <w:lang w:val="en-GB"/>
        </w:rPr>
        <w:t>a</w:t>
      </w:r>
      <w:r w:rsidRPr="000C0E58" w:rsidR="00D41F37">
        <w:rPr>
          <w:lang w:val="en-GB"/>
        </w:rPr>
        <w:t xml:space="preserve"> statutory </w:t>
      </w:r>
      <w:r w:rsidRPr="000C0E58" w:rsidR="000A0D44">
        <w:rPr>
          <w:lang w:val="en-GB"/>
        </w:rPr>
        <w:t xml:space="preserve">nationality </w:t>
      </w:r>
      <w:r w:rsidRPr="000C0E58" w:rsidR="00D41F37">
        <w:rPr>
          <w:lang w:val="en-GB"/>
        </w:rPr>
        <w:t xml:space="preserve">condition, had a pecuniary right for the purposes of Article 1 of Protocol No. 1 (see </w:t>
      </w:r>
      <w:r w:rsidRPr="000C0E58" w:rsidR="00D41F37">
        <w:rPr>
          <w:i/>
          <w:lang w:val="en-GB"/>
        </w:rPr>
        <w:t>Koua Poirrez v. France</w:t>
      </w:r>
      <w:r w:rsidRPr="000C0E58" w:rsidR="00D41F37">
        <w:rPr>
          <w:lang w:val="en-GB"/>
        </w:rPr>
        <w:t>, no</w:t>
      </w:r>
      <w:r w:rsidRPr="000C0E58" w:rsidR="006C538B">
        <w:rPr>
          <w:lang w:val="en-GB"/>
        </w:rPr>
        <w:t>. </w:t>
      </w:r>
      <w:r w:rsidRPr="000C0E58" w:rsidR="000431FF">
        <w:rPr>
          <w:lang w:val="en-GB"/>
        </w:rPr>
        <w:t>40892/98, §§</w:t>
      </w:r>
      <w:r w:rsidRPr="000C0E58" w:rsidR="00BC2C01">
        <w:rPr>
          <w:lang w:val="en-GB"/>
        </w:rPr>
        <w:t> </w:t>
      </w:r>
      <w:r w:rsidRPr="000C0E58" w:rsidR="000431FF">
        <w:rPr>
          <w:lang w:val="en-GB"/>
        </w:rPr>
        <w:t>37-42, ECHR 2003-</w:t>
      </w:r>
      <w:r w:rsidRPr="000C0E58" w:rsidR="00D41F37">
        <w:rPr>
          <w:lang w:val="en-GB"/>
        </w:rPr>
        <w:t xml:space="preserve">X). </w:t>
      </w:r>
      <w:r w:rsidRPr="000C0E58" w:rsidR="000431FF">
        <w:rPr>
          <w:lang w:val="en-GB"/>
        </w:rPr>
        <w:t>By contrast</w:t>
      </w:r>
      <w:r w:rsidRPr="000C0E58" w:rsidR="00D5618A">
        <w:rPr>
          <w:lang w:val="en-GB"/>
        </w:rPr>
        <w:t xml:space="preserve">, in yet a further case, the mere fact that the public authorities had tolerated the cumulating of two pensions </w:t>
      </w:r>
      <w:r w:rsidRPr="000C0E58" w:rsidR="00E50CDB">
        <w:rPr>
          <w:lang w:val="en-GB"/>
        </w:rPr>
        <w:t>and</w:t>
      </w:r>
      <w:r w:rsidRPr="000C0E58" w:rsidR="00213768">
        <w:rPr>
          <w:lang w:val="en-GB"/>
        </w:rPr>
        <w:t>,</w:t>
      </w:r>
      <w:r w:rsidRPr="000C0E58" w:rsidR="00E50CDB">
        <w:rPr>
          <w:lang w:val="en-GB"/>
        </w:rPr>
        <w:t xml:space="preserve"> where it was p</w:t>
      </w:r>
      <w:r w:rsidRPr="000C0E58" w:rsidR="00A72CCA">
        <w:rPr>
          <w:lang w:val="en-GB"/>
        </w:rPr>
        <w:t>ermitted</w:t>
      </w:r>
      <w:r w:rsidRPr="000C0E58" w:rsidR="00213768">
        <w:rPr>
          <w:lang w:val="en-GB"/>
        </w:rPr>
        <w:t>,</w:t>
      </w:r>
      <w:r w:rsidRPr="000C0E58" w:rsidR="00E50CDB">
        <w:rPr>
          <w:lang w:val="en-GB"/>
        </w:rPr>
        <w:t xml:space="preserve"> reimbursement of the contributions</w:t>
      </w:r>
      <w:r w:rsidRPr="000C0E58" w:rsidR="00D5618A">
        <w:rPr>
          <w:lang w:val="en-GB"/>
        </w:rPr>
        <w:t xml:space="preserve"> </w:t>
      </w:r>
      <w:r w:rsidRPr="000C0E58" w:rsidR="00E50CDB">
        <w:rPr>
          <w:lang w:val="en-GB"/>
        </w:rPr>
        <w:t>for one of the</w:t>
      </w:r>
      <w:r w:rsidRPr="000C0E58" w:rsidR="00590C91">
        <w:rPr>
          <w:lang w:val="en-GB"/>
        </w:rPr>
        <w:t>m</w:t>
      </w:r>
      <w:r w:rsidRPr="000C0E58" w:rsidR="00E50CDB">
        <w:rPr>
          <w:lang w:val="en-GB"/>
        </w:rPr>
        <w:t xml:space="preserve">, did not give rise to a right protected by the Protocol </w:t>
      </w:r>
      <w:r w:rsidRPr="000C0E58" w:rsidR="00D5618A">
        <w:rPr>
          <w:lang w:val="en-GB"/>
        </w:rPr>
        <w:t xml:space="preserve">(see </w:t>
      </w:r>
      <w:r w:rsidRPr="000C0E58" w:rsidR="00D5618A">
        <w:rPr>
          <w:i/>
          <w:lang w:val="en-GB"/>
        </w:rPr>
        <w:t>Bellet, Huertas and Vialatte</w:t>
      </w:r>
      <w:r w:rsidRPr="000C0E58" w:rsidR="00D5618A">
        <w:rPr>
          <w:lang w:val="en-GB"/>
        </w:rPr>
        <w:t>, cited above).</w:t>
      </w:r>
    </w:p>
    <w:bookmarkStart w:name="HIT76" w:id="1"/>
    <w:bookmarkEnd w:id="1"/>
    <w:p w:rsidRPr="000C0E58" w:rsidR="00E80B88" w:rsidP="000C0E58">
      <w:pPr>
        <w:pStyle w:val="ECHRPara"/>
        <w:rPr>
          <w:snapToGrid w:val="0"/>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88</w:t>
      </w:r>
      <w:r w:rsidRPr="000C0E58">
        <w:rPr>
          <w:lang w:val="en-GB"/>
        </w:rPr>
        <w:fldChar w:fldCharType="end"/>
      </w:r>
      <w:r w:rsidRPr="000C0E58">
        <w:rPr>
          <w:lang w:val="en-GB"/>
        </w:rPr>
        <w:t>.  </w:t>
      </w:r>
      <w:r w:rsidRPr="000C0E58" w:rsidR="00061F43">
        <w:rPr>
          <w:lang w:val="en-GB"/>
        </w:rPr>
        <w:t>The fact that a person has entered into and forms part of a State social</w:t>
      </w:r>
      <w:r w:rsidRPr="000C0E58" w:rsidR="00B558FF">
        <w:rPr>
          <w:lang w:val="en-GB"/>
        </w:rPr>
        <w:t>-</w:t>
      </w:r>
      <w:r w:rsidRPr="000C0E58" w:rsidR="00061F43">
        <w:rPr>
          <w:lang w:val="en-GB"/>
        </w:rPr>
        <w:t>security system (even if a compulsory one, as in the instant case) does not necessarily mean that that system cannot be changed</w:t>
      </w:r>
      <w:r w:rsidRPr="000C0E58" w:rsidR="00A72CCA">
        <w:rPr>
          <w:lang w:val="en-GB"/>
        </w:rPr>
        <w:t>,</w:t>
      </w:r>
      <w:r w:rsidRPr="000C0E58" w:rsidR="00061F43">
        <w:rPr>
          <w:lang w:val="en-GB"/>
        </w:rPr>
        <w:t xml:space="preserve"> either as to the conditions of eligibility of payment or as to the </w:t>
      </w:r>
      <w:r w:rsidRPr="000C0E58" w:rsidR="00061F43">
        <w:rPr>
          <w:i/>
          <w:lang w:val="en-GB"/>
        </w:rPr>
        <w:t>quantum</w:t>
      </w:r>
      <w:r w:rsidRPr="000C0E58" w:rsidR="00061F43">
        <w:rPr>
          <w:lang w:val="en-GB"/>
        </w:rPr>
        <w:t xml:space="preserve"> of the benefit or pension (see</w:t>
      </w:r>
      <w:r w:rsidRPr="000C0E58" w:rsidR="00B558FF">
        <w:rPr>
          <w:lang w:val="en-GB"/>
        </w:rPr>
        <w:t>,</w:t>
      </w:r>
      <w:r w:rsidRPr="000C0E58" w:rsidR="00061F43">
        <w:rPr>
          <w:lang w:val="en-GB"/>
        </w:rPr>
        <w:t xml:space="preserve"> </w:t>
      </w:r>
      <w:r w:rsidRPr="000C0E58" w:rsidR="00061F43">
        <w:rPr>
          <w:i/>
          <w:lang w:val="en-GB"/>
        </w:rPr>
        <w:t>mutatis mutandis</w:t>
      </w:r>
      <w:r w:rsidRPr="000C0E58" w:rsidR="00B558FF">
        <w:rPr>
          <w:lang w:val="en-GB"/>
        </w:rPr>
        <w:t>,</w:t>
      </w:r>
      <w:r w:rsidRPr="000C0E58" w:rsidR="00061F43">
        <w:rPr>
          <w:lang w:val="en-GB"/>
        </w:rPr>
        <w:t xml:space="preserve"> </w:t>
      </w:r>
      <w:r w:rsidRPr="000C0E58" w:rsidR="00061F43">
        <w:rPr>
          <w:i/>
          <w:lang w:val="en-GB"/>
        </w:rPr>
        <w:t>Carson and Others v. the United Kingdom</w:t>
      </w:r>
      <w:r w:rsidRPr="000C0E58" w:rsidR="00061F43">
        <w:rPr>
          <w:lang w:val="en-GB"/>
        </w:rPr>
        <w:t xml:space="preserve"> [GC], no. 42184/05, §§ 85-89, ECHR 2010</w:t>
      </w:r>
      <w:r w:rsidRPr="000C0E58" w:rsidR="0048658B">
        <w:rPr>
          <w:lang w:val="en-GB"/>
        </w:rPr>
        <w:t>;</w:t>
      </w:r>
      <w:r w:rsidRPr="000C0E58" w:rsidR="00B558FF">
        <w:rPr>
          <w:lang w:val="en-GB"/>
        </w:rPr>
        <w:t xml:space="preserve"> </w:t>
      </w:r>
      <w:r w:rsidRPr="000C0E58" w:rsidR="00061F43">
        <w:rPr>
          <w:lang w:val="en-GB"/>
        </w:rPr>
        <w:t xml:space="preserve">and </w:t>
      </w:r>
      <w:r w:rsidRPr="000C0E58" w:rsidR="00061F43">
        <w:rPr>
          <w:i/>
          <w:lang w:val="en-GB"/>
        </w:rPr>
        <w:t>Richardson</w:t>
      </w:r>
      <w:r w:rsidRPr="000C0E58" w:rsidR="00061F43">
        <w:rPr>
          <w:lang w:val="en-GB"/>
        </w:rPr>
        <w:t>, cited above, §</w:t>
      </w:r>
      <w:r w:rsidRPr="000C0E58" w:rsidR="004C5587">
        <w:rPr>
          <w:lang w:val="en-GB"/>
        </w:rPr>
        <w:t> </w:t>
      </w:r>
      <w:r w:rsidRPr="000C0E58" w:rsidR="00061F43">
        <w:rPr>
          <w:lang w:val="en-GB"/>
        </w:rPr>
        <w:t xml:space="preserve">17). Indeed, the Court has accepted the possibility of amendments </w:t>
      </w:r>
      <w:r w:rsidRPr="000C0E58" w:rsidR="00061F43">
        <w:rPr>
          <w:lang w:val="en-GB"/>
        </w:rPr>
        <w:t>to social</w:t>
      </w:r>
      <w:r w:rsidRPr="000C0E58" w:rsidR="00B558FF">
        <w:rPr>
          <w:lang w:val="en-GB"/>
        </w:rPr>
        <w:t>-</w:t>
      </w:r>
      <w:r w:rsidRPr="000C0E58" w:rsidR="00061F43">
        <w:rPr>
          <w:lang w:val="en-GB"/>
        </w:rPr>
        <w:t xml:space="preserve">security legislation which may be adopted in response to societal changes and evolving views on the categories of persons who need social assistance, and also to the evolution of individual situations (see </w:t>
      </w:r>
      <w:r w:rsidRPr="000C0E58" w:rsidR="00696877">
        <w:rPr>
          <w:i/>
          <w:lang w:val="en-GB"/>
        </w:rPr>
        <w:t>Wieczorek v. </w:t>
      </w:r>
      <w:r w:rsidRPr="000C0E58" w:rsidR="00061F43">
        <w:rPr>
          <w:i/>
          <w:lang w:val="en-GB"/>
        </w:rPr>
        <w:t>Poland</w:t>
      </w:r>
      <w:r w:rsidRPr="000C0E58" w:rsidR="00061F43">
        <w:rPr>
          <w:lang w:val="en-GB"/>
        </w:rPr>
        <w:t>, no. 18176/05</w:t>
      </w:r>
      <w:r w:rsidRPr="000C0E58" w:rsidR="00061F43">
        <w:rPr>
          <w:snapToGrid w:val="0"/>
          <w:lang w:val="en-GB"/>
        </w:rPr>
        <w:t>, § 67, 8 December 2009).</w:t>
      </w:r>
    </w:p>
    <w:p w:rsidRPr="000C0E58" w:rsidR="00E80B88"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89</w:t>
      </w:r>
      <w:r w:rsidRPr="000C0E58">
        <w:rPr>
          <w:noProof/>
          <w:lang w:val="en-GB"/>
        </w:rPr>
        <w:fldChar w:fldCharType="end"/>
      </w:r>
      <w:r w:rsidRPr="000C0E58" w:rsidR="00F950F6">
        <w:rPr>
          <w:lang w:val="en-GB"/>
        </w:rPr>
        <w:t>.  </w:t>
      </w:r>
      <w:r w:rsidRPr="000C0E58" w:rsidR="003F6BCE">
        <w:rPr>
          <w:lang w:val="en-GB"/>
        </w:rPr>
        <w:t>Thus, as can be seen from the above</w:t>
      </w:r>
      <w:r w:rsidRPr="000C0E58" w:rsidR="00A72CCA">
        <w:rPr>
          <w:lang w:val="en-GB"/>
        </w:rPr>
        <w:t xml:space="preserve"> case-law</w:t>
      </w:r>
      <w:r w:rsidRPr="000C0E58" w:rsidR="003F6BCE">
        <w:rPr>
          <w:b/>
          <w:lang w:val="en-GB"/>
        </w:rPr>
        <w:t>,</w:t>
      </w:r>
      <w:r w:rsidRPr="000C0E58" w:rsidR="003F6BCE">
        <w:rPr>
          <w:lang w:val="en-GB"/>
        </w:rPr>
        <w:t xml:space="preserve"> </w:t>
      </w:r>
      <w:r w:rsidRPr="000C0E58" w:rsidR="00EC629B">
        <w:rPr>
          <w:lang w:val="en-GB"/>
        </w:rPr>
        <w:t xml:space="preserve">where the domestic legal conditions for the grant of any particular form of benefits or pension have changed and </w:t>
      </w:r>
      <w:r w:rsidRPr="000C0E58" w:rsidR="00A72CCA">
        <w:rPr>
          <w:lang w:val="en-GB"/>
        </w:rPr>
        <w:t xml:space="preserve">where </w:t>
      </w:r>
      <w:r w:rsidRPr="000C0E58" w:rsidR="00EC629B">
        <w:rPr>
          <w:lang w:val="en-GB"/>
        </w:rPr>
        <w:t>the person concerned no longer fully satisfies them</w:t>
      </w:r>
      <w:r w:rsidRPr="000C0E58" w:rsidR="00080129">
        <w:rPr>
          <w:lang w:val="en-GB"/>
        </w:rPr>
        <w:t xml:space="preserve"> due to the change in these conditions</w:t>
      </w:r>
      <w:r w:rsidRPr="000C0E58" w:rsidR="00EC629B">
        <w:rPr>
          <w:lang w:val="en-GB"/>
        </w:rPr>
        <w:t>, a careful consideration of the individual circumstances of the case – in particular, the nature of the change in the requirement – may be warranted in order to verify the existence of a sufficiently established, substantive proprietary interest under the national law. Such are the demands of legal certainty and the rule of law</w:t>
      </w:r>
      <w:r w:rsidRPr="000C0E58" w:rsidR="00A72CCA">
        <w:rPr>
          <w:lang w:val="en-GB"/>
        </w:rPr>
        <w:t>,</w:t>
      </w:r>
      <w:r w:rsidRPr="000C0E58" w:rsidR="00EC629B">
        <w:rPr>
          <w:lang w:val="en-GB"/>
        </w:rPr>
        <w:t xml:space="preserve"> which belong to the core values imbuing the Convention.</w:t>
      </w:r>
    </w:p>
    <w:p w:rsidRPr="000C0E58" w:rsidR="00B75B49" w:rsidP="000C0E58">
      <w:pPr>
        <w:pStyle w:val="ECHRHeading4"/>
        <w:rPr>
          <w:lang w:val="en-GB"/>
        </w:rPr>
      </w:pPr>
      <w:r w:rsidRPr="000C0E58">
        <w:rPr>
          <w:lang w:val="en-GB"/>
        </w:rPr>
        <w:t>(c</w:t>
      </w:r>
      <w:r w:rsidRPr="000C0E58">
        <w:rPr>
          <w:lang w:val="en-GB"/>
        </w:rPr>
        <w:t>)  Application of these principles to the present case</w:t>
      </w:r>
    </w:p>
    <w:p w:rsidRPr="000C0E58" w:rsidR="000431FF"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90</w:t>
      </w:r>
      <w:r w:rsidRPr="000C0E58">
        <w:rPr>
          <w:lang w:val="en-GB"/>
        </w:rPr>
        <w:fldChar w:fldCharType="end"/>
      </w:r>
      <w:r w:rsidRPr="000C0E58">
        <w:rPr>
          <w:lang w:val="en-GB"/>
        </w:rPr>
        <w:t xml:space="preserve">.  At the outset, the </w:t>
      </w:r>
      <w:r w:rsidRPr="000C0E58" w:rsidR="00DF2B5E">
        <w:rPr>
          <w:lang w:val="en-GB"/>
        </w:rPr>
        <w:t xml:space="preserve">Grand Chamber </w:t>
      </w:r>
      <w:r w:rsidRPr="000C0E58">
        <w:rPr>
          <w:lang w:val="en-GB"/>
        </w:rPr>
        <w:t xml:space="preserve">notes </w:t>
      </w:r>
      <w:r w:rsidRPr="000C0E58" w:rsidR="00DF2B5E">
        <w:rPr>
          <w:lang w:val="en-GB"/>
        </w:rPr>
        <w:t xml:space="preserve">that in the proceedings before it </w:t>
      </w:r>
      <w:r w:rsidRPr="000C0E58">
        <w:rPr>
          <w:lang w:val="en-GB"/>
        </w:rPr>
        <w:t>the applicant</w:t>
      </w:r>
      <w:r w:rsidRPr="000C0E58" w:rsidR="00DF2B5E">
        <w:rPr>
          <w:lang w:val="en-GB"/>
        </w:rPr>
        <w:t xml:space="preserve"> </w:t>
      </w:r>
      <w:r w:rsidRPr="000C0E58" w:rsidR="00E508C4">
        <w:rPr>
          <w:lang w:val="en-GB"/>
        </w:rPr>
        <w:t>re</w:t>
      </w:r>
      <w:r w:rsidRPr="000C0E58" w:rsidR="00DF2B5E">
        <w:rPr>
          <w:lang w:val="en-GB"/>
        </w:rPr>
        <w:t xml:space="preserve">verted to her </w:t>
      </w:r>
      <w:r w:rsidRPr="000C0E58">
        <w:rPr>
          <w:lang w:val="en-GB"/>
        </w:rPr>
        <w:t xml:space="preserve">argument </w:t>
      </w:r>
      <w:r w:rsidRPr="000C0E58" w:rsidR="000146AC">
        <w:rPr>
          <w:lang w:val="en-GB"/>
        </w:rPr>
        <w:t xml:space="preserve">made </w:t>
      </w:r>
      <w:r w:rsidRPr="000C0E58" w:rsidR="00DF2B5E">
        <w:rPr>
          <w:lang w:val="en-GB"/>
        </w:rPr>
        <w:t xml:space="preserve">before the Chamber </w:t>
      </w:r>
      <w:r w:rsidRPr="000C0E58">
        <w:rPr>
          <w:lang w:val="en-GB"/>
        </w:rPr>
        <w:t xml:space="preserve">concerning the allegedly </w:t>
      </w:r>
      <w:r w:rsidRPr="000C0E58" w:rsidR="000138D7">
        <w:rPr>
          <w:lang w:val="en-GB"/>
        </w:rPr>
        <w:t>“</w:t>
      </w:r>
      <w:r w:rsidRPr="000C0E58">
        <w:rPr>
          <w:lang w:val="en-GB"/>
        </w:rPr>
        <w:t xml:space="preserve">continuing </w:t>
      </w:r>
      <w:r w:rsidRPr="000C0E58" w:rsidR="00BB1AD4">
        <w:rPr>
          <w:lang w:val="en-GB"/>
        </w:rPr>
        <w:t>situation</w:t>
      </w:r>
      <w:r w:rsidRPr="000C0E58" w:rsidR="000138D7">
        <w:rPr>
          <w:lang w:val="en-GB"/>
        </w:rPr>
        <w:t xml:space="preserve">” of the interference </w:t>
      </w:r>
      <w:r w:rsidRPr="000C0E58">
        <w:rPr>
          <w:lang w:val="en-GB"/>
        </w:rPr>
        <w:t xml:space="preserve">originating in the discontinuation of her disability pension in 2010 (see paragraph </w:t>
      </w:r>
      <w:r w:rsidRPr="000C0E58" w:rsidR="00AE64D9">
        <w:rPr>
          <w:lang w:val="en-GB"/>
        </w:rPr>
        <w:t>57</w:t>
      </w:r>
      <w:r w:rsidRPr="000C0E58">
        <w:rPr>
          <w:lang w:val="en-GB"/>
        </w:rPr>
        <w:t xml:space="preserve"> above).</w:t>
      </w:r>
      <w:r w:rsidRPr="000C0E58" w:rsidR="00DF2B5E">
        <w:rPr>
          <w:lang w:val="en-GB"/>
        </w:rPr>
        <w:t xml:space="preserve"> </w:t>
      </w:r>
      <w:r w:rsidRPr="000C0E58">
        <w:rPr>
          <w:lang w:val="en-GB"/>
        </w:rPr>
        <w:t>However, the Grand Chamber also notes that the Chamber considered that the Nyíregyháza Labour Court</w:t>
      </w:r>
      <w:r w:rsidRPr="000C0E58" w:rsidR="000C0E58">
        <w:rPr>
          <w:lang w:val="en-GB"/>
        </w:rPr>
        <w:t>’</w:t>
      </w:r>
      <w:r w:rsidRPr="000C0E58">
        <w:rPr>
          <w:lang w:val="en-GB"/>
        </w:rPr>
        <w:t>s judgment of 1 April 2011 dismissing the applicant</w:t>
      </w:r>
      <w:r w:rsidRPr="000C0E58" w:rsidR="000C0E58">
        <w:rPr>
          <w:lang w:val="en-GB"/>
        </w:rPr>
        <w:t>’</w:t>
      </w:r>
      <w:r w:rsidRPr="000C0E58">
        <w:rPr>
          <w:lang w:val="en-GB"/>
        </w:rPr>
        <w:t>s appeal was final, and that the application to the Strasbourg Court had been filed more than six months later. For that reason, the Chamber considered that it was prevented, pursuant to Article 35 § 1 of the Convention, from examining the procedure having led to the judgment of 1 April 2011 (see § 31 of the Chamber judgment). The Grand Chamber therefore has no jurisdiction to examine the proceedings that ended with the judgment of 1 April 2011.</w:t>
      </w:r>
    </w:p>
    <w:p w:rsidRPr="000C0E58" w:rsidR="000431FF"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91</w:t>
      </w:r>
      <w:r w:rsidRPr="000C0E58">
        <w:rPr>
          <w:lang w:val="en-GB"/>
        </w:rPr>
        <w:fldChar w:fldCharType="end"/>
      </w:r>
      <w:r w:rsidRPr="000C0E58">
        <w:rPr>
          <w:lang w:val="en-GB"/>
        </w:rPr>
        <w:t>.  </w:t>
      </w:r>
      <w:r w:rsidRPr="000C0E58">
        <w:rPr>
          <w:lang w:val="en-GB"/>
        </w:rPr>
        <w:t xml:space="preserve">The Grand Chamber will accordingly limit its examination to the case as it was declared admissible by the Chamber (see </w:t>
      </w:r>
      <w:r w:rsidRPr="000C0E58" w:rsidR="00242DC2">
        <w:rPr>
          <w:i/>
          <w:iCs/>
          <w:lang w:val="en-GB"/>
        </w:rPr>
        <w:t>K. and T. v. </w:t>
      </w:r>
      <w:r w:rsidRPr="000C0E58">
        <w:rPr>
          <w:i/>
          <w:iCs/>
          <w:lang w:val="en-GB"/>
        </w:rPr>
        <w:t>Finland</w:t>
      </w:r>
      <w:r w:rsidRPr="000C0E58">
        <w:rPr>
          <w:lang w:val="en-GB"/>
        </w:rPr>
        <w:t xml:space="preserve"> [GC],</w:t>
      </w:r>
      <w:r w:rsidRPr="000C0E58" w:rsidR="004A45D1">
        <w:rPr>
          <w:lang w:val="en-GB"/>
        </w:rPr>
        <w:t xml:space="preserve"> no. 25702/94, § 141, ECHR 2001-</w:t>
      </w:r>
      <w:r w:rsidRPr="000C0E58">
        <w:rPr>
          <w:lang w:val="en-GB"/>
        </w:rPr>
        <w:t>VII), namely the applicant</w:t>
      </w:r>
      <w:r w:rsidRPr="000C0E58" w:rsidR="000C0E58">
        <w:rPr>
          <w:lang w:val="en-GB"/>
        </w:rPr>
        <w:t>’</w:t>
      </w:r>
      <w:r w:rsidRPr="000C0E58">
        <w:rPr>
          <w:lang w:val="en-GB"/>
        </w:rPr>
        <w:t xml:space="preserve">s grievance resulting from the proceedings </w:t>
      </w:r>
      <w:r w:rsidRPr="000C0E58" w:rsidR="00A72CCA">
        <w:rPr>
          <w:lang w:val="en-GB"/>
        </w:rPr>
        <w:t xml:space="preserve">which began </w:t>
      </w:r>
      <w:r w:rsidRPr="000C0E58">
        <w:rPr>
          <w:lang w:val="en-GB"/>
        </w:rPr>
        <w:t>with the applicant</w:t>
      </w:r>
      <w:r w:rsidRPr="000C0E58" w:rsidR="000C0E58">
        <w:rPr>
          <w:lang w:val="en-GB"/>
        </w:rPr>
        <w:t>’</w:t>
      </w:r>
      <w:r w:rsidRPr="000C0E58">
        <w:rPr>
          <w:lang w:val="en-GB"/>
        </w:rPr>
        <w:t xml:space="preserve">s request for a disability pension submitted on 20 February 2012 and </w:t>
      </w:r>
      <w:r w:rsidRPr="000C0E58" w:rsidR="00A72CCA">
        <w:rPr>
          <w:lang w:val="en-GB"/>
        </w:rPr>
        <w:t xml:space="preserve">which </w:t>
      </w:r>
      <w:r w:rsidRPr="000C0E58">
        <w:rPr>
          <w:lang w:val="en-GB"/>
        </w:rPr>
        <w:t>ended with the Nyíregyháza Administrative and Labour Court</w:t>
      </w:r>
      <w:r w:rsidRPr="000C0E58" w:rsidR="000C0E58">
        <w:rPr>
          <w:lang w:val="en-GB"/>
        </w:rPr>
        <w:t>’</w:t>
      </w:r>
      <w:r w:rsidRPr="000C0E58">
        <w:rPr>
          <w:lang w:val="en-GB"/>
        </w:rPr>
        <w:t xml:space="preserve">s judgment of 20 June 2013, in which she was found </w:t>
      </w:r>
      <w:r w:rsidRPr="000C0E58" w:rsidR="00A72CCA">
        <w:rPr>
          <w:lang w:val="en-GB"/>
        </w:rPr>
        <w:t>in</w:t>
      </w:r>
      <w:r w:rsidRPr="000C0E58">
        <w:rPr>
          <w:lang w:val="en-GB"/>
        </w:rPr>
        <w:t>eligible for a disability pension under the 2012 rules on account of an insufficient period of social cover (see the description of the relevant pro</w:t>
      </w:r>
      <w:r w:rsidRPr="000C0E58" w:rsidR="006C538B">
        <w:rPr>
          <w:lang w:val="en-GB"/>
        </w:rPr>
        <w:t>ceedings in paragraphs 19 to 23 </w:t>
      </w:r>
      <w:r w:rsidRPr="000C0E58">
        <w:rPr>
          <w:lang w:val="en-GB"/>
        </w:rPr>
        <w:t>above).</w:t>
      </w:r>
    </w:p>
    <w:p w:rsidRPr="000C0E58" w:rsidR="00AD1F1C"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92</w:t>
      </w:r>
      <w:r w:rsidRPr="000C0E58">
        <w:rPr>
          <w:lang w:val="en-GB"/>
        </w:rPr>
        <w:fldChar w:fldCharType="end"/>
      </w:r>
      <w:r w:rsidRPr="000C0E58">
        <w:rPr>
          <w:lang w:val="en-GB"/>
        </w:rPr>
        <w:t>.  </w:t>
      </w:r>
      <w:r w:rsidRPr="000C0E58" w:rsidR="000431FF">
        <w:rPr>
          <w:lang w:val="en-GB"/>
        </w:rPr>
        <w:t>However</w:t>
      </w:r>
      <w:r w:rsidRPr="000C0E58">
        <w:rPr>
          <w:lang w:val="en-GB"/>
        </w:rPr>
        <w:t xml:space="preserve">, </w:t>
      </w:r>
      <w:r w:rsidRPr="000C0E58" w:rsidR="00A649D6">
        <w:rPr>
          <w:lang w:val="en-GB"/>
        </w:rPr>
        <w:t xml:space="preserve">in </w:t>
      </w:r>
      <w:r w:rsidRPr="000C0E58">
        <w:rPr>
          <w:lang w:val="en-GB"/>
        </w:rPr>
        <w:t xml:space="preserve">examining whether the outcome of the proceedings ending with the </w:t>
      </w:r>
      <w:r w:rsidRPr="000C0E58" w:rsidR="000431FF">
        <w:rPr>
          <w:lang w:val="en-GB"/>
        </w:rPr>
        <w:t>judgment</w:t>
      </w:r>
      <w:r w:rsidRPr="000C0E58">
        <w:rPr>
          <w:lang w:val="en-GB"/>
        </w:rPr>
        <w:t xml:space="preserve"> of 20 June 2013 (see paragraph </w:t>
      </w:r>
      <w:r w:rsidRPr="000C0E58" w:rsidR="00ED3855">
        <w:rPr>
          <w:lang w:val="en-GB"/>
        </w:rPr>
        <w:t>23</w:t>
      </w:r>
      <w:r w:rsidRPr="000C0E58">
        <w:rPr>
          <w:lang w:val="en-GB"/>
        </w:rPr>
        <w:t xml:space="preserve"> above) was compatible with Article 1 of Protocol No. 1</w:t>
      </w:r>
      <w:r w:rsidRPr="000C0E58" w:rsidR="00A649D6">
        <w:rPr>
          <w:lang w:val="en-GB"/>
        </w:rPr>
        <w:t xml:space="preserve">, the Court is not prevented from taking into account facts that occurred before and after the decision of </w:t>
      </w:r>
      <w:r w:rsidRPr="000C0E58" w:rsidR="000431FF">
        <w:rPr>
          <w:lang w:val="en-GB"/>
        </w:rPr>
        <w:t xml:space="preserve">1 February </w:t>
      </w:r>
      <w:r w:rsidRPr="000C0E58" w:rsidR="00A649D6">
        <w:rPr>
          <w:lang w:val="en-GB"/>
        </w:rPr>
        <w:t>2010</w:t>
      </w:r>
      <w:r w:rsidRPr="000C0E58">
        <w:rPr>
          <w:lang w:val="en-GB"/>
        </w:rPr>
        <w:t>.</w:t>
      </w:r>
    </w:p>
    <w:p w:rsidRPr="000C0E58" w:rsidR="00E80B88"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93</w:t>
      </w:r>
      <w:r w:rsidRPr="000C0E58">
        <w:rPr>
          <w:lang w:val="en-GB"/>
        </w:rPr>
        <w:fldChar w:fldCharType="end"/>
      </w:r>
      <w:r w:rsidRPr="000C0E58">
        <w:rPr>
          <w:lang w:val="en-GB"/>
        </w:rPr>
        <w:t xml:space="preserve">.  The Court notes that </w:t>
      </w:r>
      <w:r w:rsidRPr="000C0E58" w:rsidR="00B75B49">
        <w:rPr>
          <w:lang w:val="en-GB"/>
        </w:rPr>
        <w:t xml:space="preserve">the system of disability allowances in question, both in its pre-2012 and </w:t>
      </w:r>
      <w:r w:rsidRPr="000C0E58" w:rsidR="00A72CCA">
        <w:rPr>
          <w:lang w:val="en-GB"/>
        </w:rPr>
        <w:t xml:space="preserve">its </w:t>
      </w:r>
      <w:r w:rsidRPr="000C0E58" w:rsidR="00B75B49">
        <w:rPr>
          <w:lang w:val="en-GB"/>
        </w:rPr>
        <w:t xml:space="preserve">current form, </w:t>
      </w:r>
      <w:r w:rsidRPr="000C0E58" w:rsidR="00A649D6">
        <w:rPr>
          <w:lang w:val="en-GB"/>
        </w:rPr>
        <w:t xml:space="preserve">essentially </w:t>
      </w:r>
      <w:r w:rsidRPr="000C0E58" w:rsidR="00B75B49">
        <w:rPr>
          <w:lang w:val="en-GB"/>
        </w:rPr>
        <w:t>operate</w:t>
      </w:r>
      <w:r w:rsidRPr="000C0E58" w:rsidR="0098617E">
        <w:rPr>
          <w:lang w:val="en-GB"/>
        </w:rPr>
        <w:t>d</w:t>
      </w:r>
      <w:r w:rsidRPr="000C0E58" w:rsidR="00B75B49">
        <w:rPr>
          <w:lang w:val="en-GB"/>
        </w:rPr>
        <w:t xml:space="preserve"> </w:t>
      </w:r>
      <w:r w:rsidRPr="000C0E58" w:rsidR="00A649D6">
        <w:rPr>
          <w:lang w:val="en-GB"/>
        </w:rPr>
        <w:t xml:space="preserve">on the basis of </w:t>
      </w:r>
      <w:r w:rsidRPr="000C0E58" w:rsidR="00B75B49">
        <w:rPr>
          <w:lang w:val="en-GB"/>
        </w:rPr>
        <w:t xml:space="preserve">two </w:t>
      </w:r>
      <w:r w:rsidRPr="000C0E58" w:rsidR="008B460D">
        <w:rPr>
          <w:lang w:val="en-GB"/>
        </w:rPr>
        <w:t xml:space="preserve">cumulative </w:t>
      </w:r>
      <w:r w:rsidRPr="000C0E58" w:rsidR="00A649D6">
        <w:rPr>
          <w:lang w:val="en-GB"/>
        </w:rPr>
        <w:t>eligibility criteria</w:t>
      </w:r>
      <w:r w:rsidRPr="000C0E58" w:rsidR="00B75B49">
        <w:rPr>
          <w:lang w:val="en-GB"/>
        </w:rPr>
        <w:t xml:space="preserve">: (i) a “health condition”, </w:t>
      </w:r>
      <w:r w:rsidRPr="000C0E58" w:rsidR="00A649D6">
        <w:rPr>
          <w:lang w:val="en-GB"/>
        </w:rPr>
        <w:t xml:space="preserve">under </w:t>
      </w:r>
      <w:r w:rsidRPr="000C0E58" w:rsidR="00B75B49">
        <w:rPr>
          <w:lang w:val="en-GB"/>
        </w:rPr>
        <w:t xml:space="preserve">which the benefit </w:t>
      </w:r>
      <w:r w:rsidRPr="000C0E58" w:rsidR="0098617E">
        <w:rPr>
          <w:lang w:val="en-GB"/>
        </w:rPr>
        <w:t xml:space="preserve">was </w:t>
      </w:r>
      <w:r w:rsidRPr="000C0E58" w:rsidR="00B75B49">
        <w:rPr>
          <w:lang w:val="en-GB"/>
        </w:rPr>
        <w:t xml:space="preserve">due </w:t>
      </w:r>
      <w:r w:rsidRPr="000C0E58" w:rsidR="00A649D6">
        <w:rPr>
          <w:lang w:val="en-GB"/>
        </w:rPr>
        <w:t xml:space="preserve">only </w:t>
      </w:r>
      <w:r w:rsidRPr="000C0E58" w:rsidR="00B75B49">
        <w:rPr>
          <w:lang w:val="en-GB"/>
        </w:rPr>
        <w:t>to persons whose health and employment status so require</w:t>
      </w:r>
      <w:r w:rsidRPr="000C0E58" w:rsidR="00A649D6">
        <w:rPr>
          <w:lang w:val="en-GB"/>
        </w:rPr>
        <w:t>d,</w:t>
      </w:r>
      <w:r w:rsidRPr="000C0E58" w:rsidR="00B75B49">
        <w:rPr>
          <w:lang w:val="en-GB"/>
        </w:rPr>
        <w:t xml:space="preserve"> and (ii) a “contribution condition”</w:t>
      </w:r>
      <w:r w:rsidRPr="000C0E58" w:rsidR="00A649D6">
        <w:rPr>
          <w:lang w:val="en-GB"/>
        </w:rPr>
        <w:t>,</w:t>
      </w:r>
      <w:r w:rsidRPr="000C0E58" w:rsidR="00B75B49">
        <w:rPr>
          <w:lang w:val="en-GB"/>
        </w:rPr>
        <w:t xml:space="preserve"> which require</w:t>
      </w:r>
      <w:r w:rsidRPr="000C0E58" w:rsidR="0098617E">
        <w:rPr>
          <w:lang w:val="en-GB"/>
        </w:rPr>
        <w:t>d</w:t>
      </w:r>
      <w:r w:rsidRPr="000C0E58" w:rsidR="00B75B49">
        <w:rPr>
          <w:lang w:val="en-GB"/>
        </w:rPr>
        <w:t xml:space="preserve"> the fulfilment of a certain service period (as under the pre-2012 legislation) or, in essence, a period covered by social</w:t>
      </w:r>
      <w:r w:rsidRPr="000C0E58" w:rsidR="00A649D6">
        <w:rPr>
          <w:lang w:val="en-GB"/>
        </w:rPr>
        <w:t>-</w:t>
      </w:r>
      <w:r w:rsidRPr="000C0E58" w:rsidR="00B75B49">
        <w:rPr>
          <w:lang w:val="en-GB"/>
        </w:rPr>
        <w:t xml:space="preserve">security contributions (see paragraphs </w:t>
      </w:r>
      <w:r w:rsidRPr="000C0E58" w:rsidR="00ED3855">
        <w:rPr>
          <w:lang w:val="en-GB"/>
        </w:rPr>
        <w:t>28 and 29</w:t>
      </w:r>
      <w:r w:rsidRPr="000C0E58" w:rsidR="006C538B">
        <w:rPr>
          <w:lang w:val="en-GB"/>
        </w:rPr>
        <w:t> </w:t>
      </w:r>
      <w:r w:rsidRPr="000C0E58" w:rsidR="00B75B49">
        <w:rPr>
          <w:lang w:val="en-GB"/>
        </w:rPr>
        <w:t>above).</w:t>
      </w:r>
    </w:p>
    <w:p w:rsidRPr="000C0E58" w:rsidR="00F07B9C" w:rsidP="000C0E58">
      <w:pPr>
        <w:pStyle w:val="ECHRPara"/>
        <w:rPr>
          <w:rFonts w:ascii="Times New Roman" w:hAnsi="Times New Roman" w:eastAsia="Times New Roman" w:cs="Times New Roman"/>
          <w:szCs w:val="24"/>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94</w:t>
      </w:r>
      <w:r w:rsidRPr="000C0E58">
        <w:rPr>
          <w:lang w:val="en-GB"/>
        </w:rPr>
        <w:fldChar w:fldCharType="end"/>
      </w:r>
      <w:r w:rsidRPr="000C0E58">
        <w:rPr>
          <w:lang w:val="en-GB"/>
        </w:rPr>
        <w:t>.  </w:t>
      </w:r>
      <w:r w:rsidRPr="000C0E58" w:rsidR="0098617E">
        <w:rPr>
          <w:lang w:val="en-GB"/>
        </w:rPr>
        <w:t xml:space="preserve">Thus, </w:t>
      </w:r>
      <w:r w:rsidRPr="000C0E58" w:rsidR="0098617E">
        <w:rPr>
          <w:rFonts w:ascii="Times New Roman" w:hAnsi="Times New Roman" w:eastAsia="Times New Roman" w:cs="Times New Roman"/>
          <w:szCs w:val="24"/>
          <w:lang w:val="en-GB"/>
        </w:rPr>
        <w:t>w</w:t>
      </w:r>
      <w:r w:rsidRPr="000C0E58">
        <w:rPr>
          <w:rFonts w:ascii="Times New Roman" w:hAnsi="Times New Roman" w:eastAsia="Times New Roman" w:cs="Times New Roman"/>
          <w:szCs w:val="24"/>
          <w:lang w:val="en-GB"/>
        </w:rPr>
        <w:t xml:space="preserve">hen the applicant </w:t>
      </w:r>
      <w:r w:rsidRPr="000C0E58" w:rsidR="00A649D6">
        <w:rPr>
          <w:rFonts w:ascii="Times New Roman" w:hAnsi="Times New Roman" w:eastAsia="Times New Roman" w:cs="Times New Roman"/>
          <w:szCs w:val="24"/>
          <w:lang w:val="en-GB"/>
        </w:rPr>
        <w:t xml:space="preserve">completed </w:t>
      </w:r>
      <w:r w:rsidRPr="000C0E58">
        <w:rPr>
          <w:rFonts w:ascii="Times New Roman" w:hAnsi="Times New Roman" w:eastAsia="Times New Roman" w:cs="Times New Roman"/>
          <w:szCs w:val="24"/>
          <w:lang w:val="en-GB"/>
        </w:rPr>
        <w:t>the requisite service period (on a date not specified but by 2001 at the latest) she fulfilled the “contribution condition” as contained in the law in force at the time</w:t>
      </w:r>
      <w:r w:rsidRPr="000C0E58" w:rsidR="0098617E">
        <w:rPr>
          <w:rFonts w:ascii="Times New Roman" w:hAnsi="Times New Roman" w:eastAsia="Times New Roman" w:cs="Times New Roman"/>
          <w:szCs w:val="24"/>
          <w:lang w:val="en-GB"/>
        </w:rPr>
        <w:t>;</w:t>
      </w:r>
      <w:r w:rsidRPr="000C0E58" w:rsidR="00B564D3">
        <w:rPr>
          <w:rFonts w:ascii="Times New Roman" w:hAnsi="Times New Roman" w:eastAsia="Times New Roman" w:cs="Times New Roman"/>
          <w:szCs w:val="24"/>
          <w:lang w:val="en-GB"/>
        </w:rPr>
        <w:t xml:space="preserve"> </w:t>
      </w:r>
      <w:r w:rsidRPr="000C0E58" w:rsidR="0098617E">
        <w:rPr>
          <w:rFonts w:ascii="Times New Roman" w:hAnsi="Times New Roman" w:eastAsia="Times New Roman" w:cs="Times New Roman"/>
          <w:szCs w:val="24"/>
          <w:lang w:val="en-GB"/>
        </w:rPr>
        <w:t>and, w</w:t>
      </w:r>
      <w:r w:rsidRPr="000C0E58">
        <w:rPr>
          <w:rFonts w:ascii="Times New Roman" w:hAnsi="Times New Roman" w:eastAsia="Times New Roman" w:cs="Times New Roman"/>
          <w:szCs w:val="24"/>
          <w:lang w:val="en-GB"/>
        </w:rPr>
        <w:t xml:space="preserve">hen in 2001 </w:t>
      </w:r>
      <w:r w:rsidRPr="000C0E58" w:rsidR="0098617E">
        <w:rPr>
          <w:rFonts w:ascii="Times New Roman" w:hAnsi="Times New Roman" w:eastAsia="Times New Roman" w:cs="Times New Roman"/>
          <w:szCs w:val="24"/>
          <w:lang w:val="en-GB"/>
        </w:rPr>
        <w:t>her</w:t>
      </w:r>
      <w:r w:rsidRPr="000C0E58">
        <w:rPr>
          <w:rFonts w:ascii="Times New Roman" w:hAnsi="Times New Roman" w:eastAsia="Times New Roman" w:cs="Times New Roman"/>
          <w:szCs w:val="24"/>
          <w:lang w:val="en-GB"/>
        </w:rPr>
        <w:t xml:space="preserve"> disability was established as exceeding the requisite level, the second criterion (the “health condition”) was also met</w:t>
      </w:r>
      <w:r w:rsidRPr="000C0E58" w:rsidR="00B5731C">
        <w:rPr>
          <w:rFonts w:ascii="Times New Roman" w:hAnsi="Times New Roman" w:eastAsia="Times New Roman" w:cs="Times New Roman"/>
          <w:szCs w:val="24"/>
          <w:lang w:val="en-GB"/>
        </w:rPr>
        <w:t xml:space="preserve">. </w:t>
      </w:r>
      <w:r w:rsidRPr="000C0E58" w:rsidR="001A2F2A">
        <w:rPr>
          <w:rFonts w:ascii="Times New Roman" w:hAnsi="Times New Roman" w:cs="Times New Roman"/>
          <w:szCs w:val="24"/>
          <w:lang w:val="en-GB" w:eastAsia="fr-FR"/>
        </w:rPr>
        <w:t>Accordingly</w:t>
      </w:r>
      <w:r w:rsidRPr="000C0E58" w:rsidR="004A46F3">
        <w:rPr>
          <w:rFonts w:ascii="Times New Roman" w:hAnsi="Times New Roman" w:cs="Times New Roman"/>
          <w:szCs w:val="24"/>
          <w:lang w:val="en-GB" w:eastAsia="fr-FR"/>
        </w:rPr>
        <w:t xml:space="preserve">, from 2001 until 2009/10, that is, for almost </w:t>
      </w:r>
      <w:r w:rsidRPr="000C0E58" w:rsidR="004A0C30">
        <w:rPr>
          <w:rFonts w:ascii="Times New Roman" w:hAnsi="Times New Roman" w:cs="Times New Roman"/>
          <w:szCs w:val="24"/>
          <w:lang w:val="en-GB" w:eastAsia="fr-FR"/>
        </w:rPr>
        <w:t>ten</w:t>
      </w:r>
      <w:r w:rsidRPr="000C0E58" w:rsidR="004A46F3">
        <w:rPr>
          <w:rFonts w:ascii="Times New Roman" w:hAnsi="Times New Roman" w:cs="Times New Roman"/>
          <w:szCs w:val="24"/>
          <w:lang w:val="en-GB" w:eastAsia="fr-FR"/>
        </w:rPr>
        <w:t xml:space="preserve"> years</w:t>
      </w:r>
      <w:r w:rsidRPr="000C0E58" w:rsidR="00A649D6">
        <w:rPr>
          <w:rFonts w:ascii="Times New Roman" w:hAnsi="Times New Roman" w:cs="Times New Roman"/>
          <w:szCs w:val="24"/>
          <w:lang w:val="en-GB" w:eastAsia="fr-FR"/>
        </w:rPr>
        <w:t>,</w:t>
      </w:r>
      <w:r w:rsidRPr="000C0E58" w:rsidR="004A46F3">
        <w:rPr>
          <w:rFonts w:ascii="Times New Roman" w:hAnsi="Times New Roman" w:cs="Times New Roman"/>
          <w:szCs w:val="24"/>
          <w:lang w:val="en-GB" w:eastAsia="fr-FR"/>
        </w:rPr>
        <w:t xml:space="preserve"> the applicant fulfilled all the conditions </w:t>
      </w:r>
      <w:r w:rsidRPr="000C0E58" w:rsidR="007B2FF0">
        <w:rPr>
          <w:rFonts w:ascii="Times New Roman" w:hAnsi="Times New Roman" w:cs="Times New Roman"/>
          <w:szCs w:val="24"/>
          <w:lang w:val="en-GB" w:eastAsia="fr-FR"/>
        </w:rPr>
        <w:t xml:space="preserve">of eligibility </w:t>
      </w:r>
      <w:r w:rsidRPr="000C0E58" w:rsidR="004A46F3">
        <w:rPr>
          <w:rFonts w:ascii="Times New Roman" w:hAnsi="Times New Roman" w:cs="Times New Roman"/>
          <w:szCs w:val="24"/>
          <w:lang w:val="en-GB" w:eastAsia="fr-FR"/>
        </w:rPr>
        <w:t xml:space="preserve">for </w:t>
      </w:r>
      <w:r w:rsidRPr="000C0E58" w:rsidR="0022206A">
        <w:rPr>
          <w:rFonts w:ascii="Times New Roman" w:hAnsi="Times New Roman" w:cs="Times New Roman"/>
          <w:szCs w:val="24"/>
          <w:lang w:val="en-GB" w:eastAsia="fr-FR"/>
        </w:rPr>
        <w:t>receiving</w:t>
      </w:r>
      <w:r w:rsidRPr="000C0E58" w:rsidR="004A46F3">
        <w:rPr>
          <w:rFonts w:ascii="Times New Roman" w:hAnsi="Times New Roman" w:cs="Times New Roman"/>
          <w:szCs w:val="24"/>
          <w:lang w:val="en-GB" w:eastAsia="fr-FR"/>
        </w:rPr>
        <w:t xml:space="preserve"> a disability pension </w:t>
      </w:r>
      <w:r w:rsidRPr="000C0E58" w:rsidR="007B2FF0">
        <w:rPr>
          <w:rFonts w:ascii="Times New Roman" w:hAnsi="Times New Roman" w:cs="Times New Roman"/>
          <w:szCs w:val="24"/>
          <w:lang w:val="en-GB" w:eastAsia="fr-FR"/>
        </w:rPr>
        <w:t xml:space="preserve">as of right (see </w:t>
      </w:r>
      <w:r w:rsidRPr="000C0E58" w:rsidR="007B2FF0">
        <w:rPr>
          <w:rFonts w:ascii="Times New Roman" w:hAnsi="Times New Roman" w:eastAsia="Times New Roman" w:cs="Times New Roman"/>
          <w:i/>
          <w:szCs w:val="24"/>
          <w:lang w:val="en-GB"/>
        </w:rPr>
        <w:t>Stec and Others</w:t>
      </w:r>
      <w:r w:rsidRPr="000C0E58" w:rsidR="007B2FF0">
        <w:rPr>
          <w:rFonts w:ascii="Times New Roman" w:hAnsi="Times New Roman" w:eastAsia="Times New Roman" w:cs="Times New Roman"/>
          <w:szCs w:val="24"/>
          <w:lang w:val="en-GB"/>
        </w:rPr>
        <w:t xml:space="preserve"> (dec.), cited above, § 51, </w:t>
      </w:r>
      <w:r w:rsidRPr="000C0E58" w:rsidR="009F4D57">
        <w:rPr>
          <w:rFonts w:ascii="Times New Roman" w:hAnsi="Times New Roman" w:eastAsia="Times New Roman" w:cs="Times New Roman"/>
          <w:szCs w:val="24"/>
          <w:lang w:val="en-GB"/>
        </w:rPr>
        <w:t xml:space="preserve">quoted </w:t>
      </w:r>
      <w:r w:rsidRPr="000C0E58" w:rsidR="007B2FF0">
        <w:rPr>
          <w:rFonts w:ascii="Times New Roman" w:hAnsi="Times New Roman" w:eastAsia="Times New Roman" w:cs="Times New Roman"/>
          <w:szCs w:val="24"/>
          <w:lang w:val="en-GB"/>
        </w:rPr>
        <w:t xml:space="preserve">in paragraph </w:t>
      </w:r>
      <w:r w:rsidRPr="000C0E58" w:rsidR="00702E0E">
        <w:rPr>
          <w:rFonts w:ascii="Times New Roman" w:hAnsi="Times New Roman" w:eastAsia="Times New Roman" w:cs="Times New Roman"/>
          <w:szCs w:val="24"/>
          <w:lang w:val="en-GB"/>
        </w:rPr>
        <w:t>80</w:t>
      </w:r>
      <w:r w:rsidRPr="000C0E58" w:rsidR="007B2FF0">
        <w:rPr>
          <w:rFonts w:ascii="Times New Roman" w:hAnsi="Times New Roman" w:eastAsia="Times New Roman" w:cs="Times New Roman"/>
          <w:szCs w:val="24"/>
          <w:lang w:val="en-GB"/>
        </w:rPr>
        <w:t xml:space="preserve"> above)</w:t>
      </w:r>
      <w:r w:rsidRPr="000C0E58" w:rsidR="006D44F1">
        <w:rPr>
          <w:rFonts w:ascii="Times New Roman" w:hAnsi="Times New Roman" w:eastAsia="Times New Roman" w:cs="Times New Roman"/>
          <w:szCs w:val="24"/>
          <w:lang w:val="en-GB"/>
        </w:rPr>
        <w:t xml:space="preserve">. </w:t>
      </w:r>
      <w:r w:rsidRPr="000C0E58" w:rsidR="00CB40AC">
        <w:rPr>
          <w:rFonts w:ascii="Times New Roman" w:hAnsi="Times New Roman" w:eastAsia="Times New Roman" w:cs="Times New Roman"/>
          <w:szCs w:val="24"/>
          <w:lang w:val="en-GB"/>
        </w:rPr>
        <w:t>The</w:t>
      </w:r>
      <w:r w:rsidRPr="000C0E58" w:rsidR="006D44F1">
        <w:rPr>
          <w:rFonts w:ascii="Times New Roman" w:hAnsi="Times New Roman" w:eastAsia="Times New Roman" w:cs="Times New Roman"/>
          <w:szCs w:val="24"/>
          <w:lang w:val="en-GB"/>
        </w:rPr>
        <w:t xml:space="preserve"> decision granting </w:t>
      </w:r>
      <w:r w:rsidRPr="000C0E58" w:rsidR="00CB40AC">
        <w:rPr>
          <w:rFonts w:ascii="Times New Roman" w:hAnsi="Times New Roman" w:eastAsia="Times New Roman" w:cs="Times New Roman"/>
          <w:szCs w:val="24"/>
          <w:lang w:val="en-GB"/>
        </w:rPr>
        <w:t xml:space="preserve">her </w:t>
      </w:r>
      <w:r w:rsidRPr="000C0E58" w:rsidR="006D44F1">
        <w:rPr>
          <w:rFonts w:ascii="Times New Roman" w:hAnsi="Times New Roman" w:eastAsia="Times New Roman" w:cs="Times New Roman"/>
          <w:szCs w:val="24"/>
          <w:lang w:val="en-GB"/>
        </w:rPr>
        <w:t>a disability pension</w:t>
      </w:r>
      <w:r w:rsidRPr="000C0E58" w:rsidR="00CB40AC">
        <w:rPr>
          <w:rFonts w:ascii="Times New Roman" w:hAnsi="Times New Roman" w:eastAsia="Times New Roman" w:cs="Times New Roman"/>
          <w:szCs w:val="24"/>
          <w:lang w:val="en-GB"/>
        </w:rPr>
        <w:t xml:space="preserve"> in accordance with the provisions </w:t>
      </w:r>
      <w:r w:rsidRPr="000C0E58" w:rsidR="00A72CCA">
        <w:rPr>
          <w:rFonts w:ascii="Times New Roman" w:hAnsi="Times New Roman" w:eastAsia="Times New Roman" w:cs="Times New Roman"/>
          <w:szCs w:val="24"/>
          <w:lang w:val="en-GB"/>
        </w:rPr>
        <w:t xml:space="preserve">of </w:t>
      </w:r>
      <w:r w:rsidRPr="000C0E58" w:rsidR="00CB40AC">
        <w:rPr>
          <w:rFonts w:ascii="Times New Roman" w:hAnsi="Times New Roman" w:eastAsia="Times New Roman" w:cs="Times New Roman"/>
          <w:szCs w:val="24"/>
          <w:lang w:val="en-GB"/>
        </w:rPr>
        <w:t xml:space="preserve">the 1997 Act </w:t>
      </w:r>
      <w:r w:rsidRPr="000C0E58" w:rsidR="00331B94">
        <w:rPr>
          <w:rFonts w:ascii="Times New Roman" w:hAnsi="Times New Roman" w:eastAsia="Times New Roman" w:cs="Times New Roman"/>
          <w:szCs w:val="24"/>
          <w:lang w:val="en-GB"/>
        </w:rPr>
        <w:t xml:space="preserve">and </w:t>
      </w:r>
      <w:r w:rsidRPr="000C0E58" w:rsidR="00CB40AC">
        <w:rPr>
          <w:rFonts w:ascii="Times New Roman" w:hAnsi="Times New Roman" w:eastAsia="Times New Roman" w:cs="Times New Roman"/>
          <w:szCs w:val="24"/>
          <w:lang w:val="en-GB"/>
        </w:rPr>
        <w:t xml:space="preserve">which </w:t>
      </w:r>
      <w:r w:rsidRPr="000C0E58" w:rsidR="00331B94">
        <w:rPr>
          <w:rFonts w:ascii="Times New Roman" w:hAnsi="Times New Roman" w:eastAsia="Times New Roman" w:cs="Times New Roman"/>
          <w:szCs w:val="24"/>
          <w:lang w:val="en-GB"/>
        </w:rPr>
        <w:t xml:space="preserve">formed the basis of </w:t>
      </w:r>
      <w:r w:rsidRPr="000C0E58" w:rsidR="00CB40AC">
        <w:rPr>
          <w:rFonts w:ascii="Times New Roman" w:hAnsi="Times New Roman" w:eastAsia="Times New Roman" w:cs="Times New Roman"/>
          <w:szCs w:val="24"/>
          <w:lang w:val="en-GB"/>
        </w:rPr>
        <w:t>her origina</w:t>
      </w:r>
      <w:r w:rsidRPr="000C0E58" w:rsidR="00077297">
        <w:rPr>
          <w:rFonts w:ascii="Times New Roman" w:hAnsi="Times New Roman" w:eastAsia="Times New Roman" w:cs="Times New Roman"/>
          <w:szCs w:val="24"/>
          <w:lang w:val="en-GB"/>
        </w:rPr>
        <w:t>l</w:t>
      </w:r>
      <w:r w:rsidRPr="000C0E58" w:rsidR="004A0C30">
        <w:rPr>
          <w:rFonts w:ascii="Times New Roman" w:hAnsi="Times New Roman" w:eastAsia="Times New Roman" w:cs="Times New Roman"/>
          <w:szCs w:val="24"/>
          <w:lang w:val="en-GB"/>
        </w:rPr>
        <w:t xml:space="preserve"> entitlement</w:t>
      </w:r>
      <w:r w:rsidRPr="000C0E58" w:rsidR="006D44F1">
        <w:rPr>
          <w:rFonts w:ascii="Times New Roman" w:hAnsi="Times New Roman" w:eastAsia="Times New Roman" w:cs="Times New Roman"/>
          <w:szCs w:val="24"/>
          <w:lang w:val="en-GB"/>
        </w:rPr>
        <w:t xml:space="preserve"> </w:t>
      </w:r>
      <w:r w:rsidRPr="000C0E58" w:rsidR="004A46F3">
        <w:rPr>
          <w:rFonts w:ascii="Times New Roman" w:hAnsi="Times New Roman" w:cs="Times New Roman"/>
          <w:szCs w:val="24"/>
          <w:lang w:val="en-GB" w:eastAsia="fr-FR"/>
        </w:rPr>
        <w:t xml:space="preserve">could </w:t>
      </w:r>
      <w:r w:rsidRPr="000C0E58" w:rsidR="001A2F2A">
        <w:rPr>
          <w:rFonts w:ascii="Times New Roman" w:hAnsi="Times New Roman" w:cs="Times New Roman"/>
          <w:szCs w:val="24"/>
          <w:lang w:val="en-GB" w:eastAsia="fr-FR"/>
        </w:rPr>
        <w:t xml:space="preserve">thus </w:t>
      </w:r>
      <w:r w:rsidRPr="000C0E58" w:rsidR="004A46F3">
        <w:rPr>
          <w:rFonts w:ascii="Times New Roman" w:hAnsi="Times New Roman" w:cs="Times New Roman"/>
          <w:szCs w:val="24"/>
          <w:lang w:val="en-GB" w:eastAsia="fr-FR"/>
        </w:rPr>
        <w:t xml:space="preserve">be regarded </w:t>
      </w:r>
      <w:r w:rsidRPr="000C0E58" w:rsidR="006D44F1">
        <w:rPr>
          <w:rFonts w:ascii="Times New Roman" w:hAnsi="Times New Roman" w:cs="Times New Roman"/>
          <w:szCs w:val="24"/>
          <w:lang w:val="en-GB" w:eastAsia="fr-FR"/>
        </w:rPr>
        <w:t>as</w:t>
      </w:r>
      <w:r w:rsidRPr="000C0E58" w:rsidR="004A46F3">
        <w:rPr>
          <w:rFonts w:ascii="Times New Roman" w:hAnsi="Times New Roman" w:cs="Times New Roman"/>
          <w:szCs w:val="24"/>
          <w:lang w:val="en-GB" w:eastAsia="fr-FR"/>
        </w:rPr>
        <w:t xml:space="preserve"> </w:t>
      </w:r>
      <w:r w:rsidRPr="000C0E58" w:rsidR="00331B94">
        <w:rPr>
          <w:rFonts w:ascii="Times New Roman" w:hAnsi="Times New Roman" w:cs="Times New Roman"/>
          <w:szCs w:val="24"/>
          <w:lang w:val="en-GB" w:eastAsia="fr-FR"/>
        </w:rPr>
        <w:t xml:space="preserve">representing </w:t>
      </w:r>
      <w:r w:rsidRPr="000C0E58" w:rsidR="004A46F3">
        <w:rPr>
          <w:rFonts w:ascii="Times New Roman" w:hAnsi="Times New Roman" w:cs="Times New Roman"/>
          <w:szCs w:val="24"/>
          <w:lang w:val="en-GB" w:eastAsia="fr-FR"/>
        </w:rPr>
        <w:t xml:space="preserve">an </w:t>
      </w:r>
      <w:r w:rsidRPr="000C0E58" w:rsidR="004A46F3">
        <w:rPr>
          <w:rFonts w:ascii="Times New Roman" w:hAnsi="Times New Roman" w:eastAsia="Times New Roman" w:cs="Times New Roman"/>
          <w:szCs w:val="24"/>
          <w:lang w:val="en-GB"/>
        </w:rPr>
        <w:t xml:space="preserve">“existing possession” (see </w:t>
      </w:r>
      <w:r w:rsidRPr="000C0E58" w:rsidR="004A46F3">
        <w:rPr>
          <w:i/>
          <w:lang w:val="en-GB"/>
        </w:rPr>
        <w:t>Kopecký</w:t>
      </w:r>
      <w:r w:rsidRPr="000C0E58" w:rsidR="004A46F3">
        <w:rPr>
          <w:rFonts w:ascii="Times New Roman" w:hAnsi="Times New Roman" w:eastAsia="Times New Roman" w:cs="Times New Roman"/>
          <w:szCs w:val="24"/>
          <w:lang w:val="en-GB"/>
        </w:rPr>
        <w:t>, § 35(c))</w:t>
      </w:r>
      <w:r w:rsidRPr="000C0E58" w:rsidR="001A2F2A">
        <w:rPr>
          <w:rFonts w:ascii="Times New Roman" w:hAnsi="Times New Roman" w:eastAsia="Times New Roman" w:cs="Times New Roman"/>
          <w:szCs w:val="24"/>
          <w:lang w:val="en-GB"/>
        </w:rPr>
        <w:t>.</w:t>
      </w:r>
      <w:r w:rsidRPr="000C0E58">
        <w:rPr>
          <w:rFonts w:ascii="Times New Roman" w:hAnsi="Times New Roman" w:eastAsia="Times New Roman" w:cs="Times New Roman"/>
          <w:szCs w:val="24"/>
          <w:lang w:val="en-GB"/>
        </w:rPr>
        <w:t xml:space="preserve"> </w:t>
      </w:r>
      <w:r w:rsidRPr="000C0E58" w:rsidR="00A649D6">
        <w:rPr>
          <w:rFonts w:ascii="Times New Roman" w:hAnsi="Times New Roman" w:eastAsia="Times New Roman" w:cs="Times New Roman"/>
          <w:szCs w:val="24"/>
          <w:lang w:val="en-GB"/>
        </w:rPr>
        <w:t xml:space="preserve">Further, </w:t>
      </w:r>
      <w:r w:rsidRPr="000C0E58" w:rsidR="00FA3990">
        <w:rPr>
          <w:rFonts w:ascii="Times New Roman" w:hAnsi="Times New Roman" w:eastAsia="Times New Roman" w:cs="Times New Roman"/>
          <w:szCs w:val="24"/>
          <w:lang w:val="en-GB"/>
        </w:rPr>
        <w:t>it seems undeniable that throughout th</w:t>
      </w:r>
      <w:r w:rsidRPr="000C0E58" w:rsidR="00C43C4B">
        <w:rPr>
          <w:rFonts w:ascii="Times New Roman" w:hAnsi="Times New Roman" w:eastAsia="Times New Roman" w:cs="Times New Roman"/>
          <w:szCs w:val="24"/>
          <w:lang w:val="en-GB"/>
        </w:rPr>
        <w:t>e said</w:t>
      </w:r>
      <w:r w:rsidRPr="000C0E58" w:rsidR="00FA3990">
        <w:rPr>
          <w:rFonts w:ascii="Times New Roman" w:hAnsi="Times New Roman" w:eastAsia="Times New Roman" w:cs="Times New Roman"/>
          <w:szCs w:val="24"/>
          <w:lang w:val="en-GB"/>
        </w:rPr>
        <w:t xml:space="preserve"> period</w:t>
      </w:r>
      <w:r w:rsidRPr="000C0E58" w:rsidR="00CB40AC">
        <w:rPr>
          <w:rFonts w:ascii="Times New Roman" w:hAnsi="Times New Roman" w:eastAsia="Times New Roman" w:cs="Times New Roman"/>
          <w:szCs w:val="24"/>
          <w:lang w:val="en-GB"/>
        </w:rPr>
        <w:t>,</w:t>
      </w:r>
      <w:r w:rsidRPr="000C0E58" w:rsidR="006D44F1">
        <w:rPr>
          <w:rFonts w:ascii="Times New Roman" w:hAnsi="Times New Roman" w:eastAsia="Times New Roman" w:cs="Times New Roman"/>
          <w:szCs w:val="24"/>
          <w:lang w:val="en-GB"/>
        </w:rPr>
        <w:t xml:space="preserve"> </w:t>
      </w:r>
      <w:r w:rsidRPr="000C0E58" w:rsidR="00FA3990">
        <w:rPr>
          <w:rFonts w:ascii="Times New Roman" w:hAnsi="Times New Roman" w:eastAsia="Times New Roman" w:cs="Times New Roman"/>
          <w:szCs w:val="24"/>
          <w:lang w:val="en-GB"/>
        </w:rPr>
        <w:t>she could</w:t>
      </w:r>
      <w:r w:rsidRPr="000C0E58" w:rsidR="00331B94">
        <w:rPr>
          <w:rFonts w:ascii="Times New Roman" w:hAnsi="Times New Roman" w:eastAsia="Times New Roman" w:cs="Times New Roman"/>
          <w:szCs w:val="24"/>
          <w:lang w:val="en-GB"/>
        </w:rPr>
        <w:t>,</w:t>
      </w:r>
      <w:r w:rsidRPr="000C0E58" w:rsidR="00FA3990">
        <w:rPr>
          <w:rFonts w:ascii="Times New Roman" w:hAnsi="Times New Roman" w:eastAsia="Times New Roman" w:cs="Times New Roman"/>
          <w:szCs w:val="24"/>
          <w:lang w:val="en-GB"/>
        </w:rPr>
        <w:t xml:space="preserve"> </w:t>
      </w:r>
      <w:r w:rsidRPr="000C0E58" w:rsidR="00CB40AC">
        <w:rPr>
          <w:rFonts w:ascii="Times New Roman" w:hAnsi="Times New Roman" w:eastAsia="Times New Roman" w:cs="Times New Roman"/>
          <w:szCs w:val="24"/>
          <w:lang w:val="en-GB"/>
        </w:rPr>
        <w:t>on the basis of the said “legal act”</w:t>
      </w:r>
      <w:r w:rsidRPr="000C0E58" w:rsidR="00331B94">
        <w:rPr>
          <w:rFonts w:ascii="Times New Roman" w:hAnsi="Times New Roman" w:eastAsia="Times New Roman" w:cs="Times New Roman"/>
          <w:szCs w:val="24"/>
          <w:lang w:val="en-GB"/>
        </w:rPr>
        <w:t>,</w:t>
      </w:r>
      <w:r w:rsidRPr="000C0E58" w:rsidR="00CB40AC">
        <w:rPr>
          <w:rFonts w:ascii="Times New Roman" w:hAnsi="Times New Roman" w:eastAsia="Times New Roman" w:cs="Times New Roman"/>
          <w:szCs w:val="24"/>
          <w:lang w:val="en-GB"/>
        </w:rPr>
        <w:t xml:space="preserve"> </w:t>
      </w:r>
      <w:r w:rsidRPr="000C0E58" w:rsidR="00CE7AA8">
        <w:rPr>
          <w:rFonts w:ascii="Times New Roman" w:hAnsi="Times New Roman" w:eastAsia="Times New Roman" w:cs="Times New Roman"/>
          <w:szCs w:val="24"/>
          <w:lang w:val="en-GB"/>
        </w:rPr>
        <w:t xml:space="preserve">entertain </w:t>
      </w:r>
      <w:r w:rsidRPr="000C0E58" w:rsidR="006D44F1">
        <w:rPr>
          <w:rFonts w:ascii="Times New Roman" w:hAnsi="Times New Roman" w:eastAsia="Times New Roman" w:cs="Times New Roman"/>
          <w:szCs w:val="24"/>
          <w:lang w:val="en-GB"/>
        </w:rPr>
        <w:t>a “legitimate expectation” (</w:t>
      </w:r>
      <w:r w:rsidRPr="000C0E58" w:rsidR="003E5E22">
        <w:rPr>
          <w:lang w:val="en-GB"/>
        </w:rPr>
        <w:t>ibid.</w:t>
      </w:r>
      <w:r w:rsidRPr="000C0E58" w:rsidR="00F82B0D">
        <w:rPr>
          <w:lang w:val="en-GB"/>
        </w:rPr>
        <w:t>,</w:t>
      </w:r>
      <w:r w:rsidRPr="000C0E58" w:rsidR="00F82B0D">
        <w:rPr>
          <w:lang w:val="en-GB"/>
        </w:rPr>
        <w:t xml:space="preserve"> </w:t>
      </w:r>
      <w:r w:rsidRPr="000C0E58" w:rsidR="00CB40AC">
        <w:rPr>
          <w:lang w:val="en-GB"/>
        </w:rPr>
        <w:t>§ 47)</w:t>
      </w:r>
      <w:r w:rsidRPr="000C0E58" w:rsidR="006D44F1">
        <w:rPr>
          <w:lang w:val="en-GB"/>
        </w:rPr>
        <w:t xml:space="preserve"> </w:t>
      </w:r>
      <w:r w:rsidRPr="000C0E58" w:rsidR="00CB40AC">
        <w:rPr>
          <w:rFonts w:ascii="Times New Roman" w:hAnsi="Times New Roman" w:eastAsia="Times New Roman" w:cs="Times New Roman"/>
          <w:szCs w:val="24"/>
          <w:lang w:val="en-GB"/>
        </w:rPr>
        <w:t>of c</w:t>
      </w:r>
      <w:r w:rsidRPr="000C0E58" w:rsidR="006D44F1">
        <w:rPr>
          <w:rFonts w:ascii="Times New Roman" w:hAnsi="Times New Roman" w:eastAsia="Times New Roman" w:cs="Times New Roman"/>
          <w:szCs w:val="24"/>
          <w:lang w:val="en-GB"/>
        </w:rPr>
        <w:t>ontinu</w:t>
      </w:r>
      <w:r w:rsidRPr="000C0E58" w:rsidR="00CB40AC">
        <w:rPr>
          <w:rFonts w:ascii="Times New Roman" w:hAnsi="Times New Roman" w:eastAsia="Times New Roman" w:cs="Times New Roman"/>
          <w:szCs w:val="24"/>
          <w:lang w:val="en-GB"/>
        </w:rPr>
        <w:t>ing to</w:t>
      </w:r>
      <w:r w:rsidRPr="000C0E58" w:rsidR="006D44F1">
        <w:rPr>
          <w:rFonts w:ascii="Times New Roman" w:hAnsi="Times New Roman" w:eastAsia="Times New Roman" w:cs="Times New Roman"/>
          <w:szCs w:val="24"/>
          <w:lang w:val="en-GB"/>
        </w:rPr>
        <w:t xml:space="preserve"> receiv</w:t>
      </w:r>
      <w:r w:rsidRPr="000C0E58" w:rsidR="00CB40AC">
        <w:rPr>
          <w:rFonts w:ascii="Times New Roman" w:hAnsi="Times New Roman" w:eastAsia="Times New Roman" w:cs="Times New Roman"/>
          <w:szCs w:val="24"/>
          <w:lang w:val="en-GB"/>
        </w:rPr>
        <w:t>e</w:t>
      </w:r>
      <w:r w:rsidRPr="000C0E58" w:rsidR="006D44F1">
        <w:rPr>
          <w:rFonts w:ascii="Times New Roman" w:hAnsi="Times New Roman" w:eastAsia="Times New Roman" w:cs="Times New Roman"/>
          <w:szCs w:val="24"/>
          <w:lang w:val="en-GB"/>
        </w:rPr>
        <w:t xml:space="preserve"> disability benefits should her disability persist </w:t>
      </w:r>
      <w:r w:rsidRPr="000C0E58" w:rsidR="00CB40AC">
        <w:rPr>
          <w:rFonts w:ascii="Times New Roman" w:hAnsi="Times New Roman" w:eastAsia="Times New Roman" w:cs="Times New Roman"/>
          <w:szCs w:val="24"/>
          <w:lang w:val="en-GB"/>
        </w:rPr>
        <w:t>to</w:t>
      </w:r>
      <w:r w:rsidRPr="000C0E58" w:rsidR="006D44F1">
        <w:rPr>
          <w:rFonts w:ascii="Times New Roman" w:hAnsi="Times New Roman" w:eastAsia="Times New Roman" w:cs="Times New Roman"/>
          <w:szCs w:val="24"/>
          <w:lang w:val="en-GB"/>
        </w:rPr>
        <w:t xml:space="preserve"> the requisite degree</w:t>
      </w:r>
      <w:r w:rsidRPr="000C0E58" w:rsidR="00CB40AC">
        <w:rPr>
          <w:rFonts w:ascii="Times New Roman" w:hAnsi="Times New Roman" w:eastAsia="Times New Roman" w:cs="Times New Roman"/>
          <w:szCs w:val="24"/>
          <w:lang w:val="en-GB"/>
        </w:rPr>
        <w:t>, there being no dispute as to the correct interpretation and application of domestic law (</w:t>
      </w:r>
      <w:r w:rsidRPr="000C0E58" w:rsidR="003E5E22">
        <w:rPr>
          <w:lang w:val="en-GB"/>
        </w:rPr>
        <w:t>ibid.</w:t>
      </w:r>
      <w:r w:rsidRPr="000C0E58" w:rsidR="00F82B0D">
        <w:rPr>
          <w:lang w:val="en-GB"/>
        </w:rPr>
        <w:t xml:space="preserve">, </w:t>
      </w:r>
      <w:r w:rsidRPr="000C0E58" w:rsidR="00CB40AC">
        <w:rPr>
          <w:lang w:val="en-GB"/>
        </w:rPr>
        <w:t>§ 50)</w:t>
      </w:r>
      <w:r w:rsidRPr="000C0E58" w:rsidR="004A0C30">
        <w:rPr>
          <w:rFonts w:ascii="Times New Roman" w:hAnsi="Times New Roman" w:eastAsia="Times New Roman" w:cs="Times New Roman"/>
          <w:szCs w:val="24"/>
          <w:lang w:val="en-GB"/>
        </w:rPr>
        <w:t>.</w:t>
      </w:r>
    </w:p>
    <w:p w:rsidRPr="000C0E58" w:rsidR="00E80B88" w:rsidP="000C0E58">
      <w:pPr>
        <w:pStyle w:val="ECHRPara"/>
        <w:rPr>
          <w:rFonts w:ascii="Times New Roman" w:hAnsi="Times New Roman" w:eastAsia="Times New Roman" w:cs="Times New Roman"/>
          <w:szCs w:val="24"/>
          <w:lang w:val="en-GB"/>
        </w:rPr>
      </w:pPr>
      <w:r w:rsidRPr="000C0E58">
        <w:rPr>
          <w:rFonts w:ascii="Times New Roman" w:hAnsi="Times New Roman" w:eastAsia="Times New Roman" w:cs="Times New Roman"/>
          <w:szCs w:val="24"/>
          <w:lang w:val="en-GB"/>
        </w:rPr>
        <w:fldChar w:fldCharType="begin"/>
      </w:r>
      <w:r w:rsidRPr="000C0E58">
        <w:rPr>
          <w:rFonts w:ascii="Times New Roman" w:hAnsi="Times New Roman" w:eastAsia="Times New Roman" w:cs="Times New Roman"/>
          <w:szCs w:val="24"/>
          <w:lang w:val="en-GB"/>
        </w:rPr>
        <w:instrText xml:space="preserve"> SEQ level0 \*arabic </w:instrText>
      </w:r>
      <w:r w:rsidRPr="000C0E58">
        <w:rPr>
          <w:rFonts w:ascii="Times New Roman" w:hAnsi="Times New Roman" w:eastAsia="Times New Roman" w:cs="Times New Roman"/>
          <w:szCs w:val="24"/>
          <w:lang w:val="en-GB"/>
        </w:rPr>
        <w:fldChar w:fldCharType="separate"/>
      </w:r>
      <w:r w:rsidRPr="000C0E58" w:rsidR="000C0E58">
        <w:rPr>
          <w:rFonts w:ascii="Times New Roman" w:hAnsi="Times New Roman" w:eastAsia="Times New Roman" w:cs="Times New Roman"/>
          <w:noProof/>
          <w:szCs w:val="24"/>
          <w:lang w:val="en-GB"/>
        </w:rPr>
        <w:t>95</w:t>
      </w:r>
      <w:r w:rsidRPr="000C0E58">
        <w:rPr>
          <w:rFonts w:ascii="Times New Roman" w:hAnsi="Times New Roman" w:eastAsia="Times New Roman" w:cs="Times New Roman"/>
          <w:szCs w:val="24"/>
          <w:lang w:val="en-GB"/>
        </w:rPr>
        <w:fldChar w:fldCharType="end"/>
      </w:r>
      <w:r w:rsidRPr="000C0E58">
        <w:rPr>
          <w:rFonts w:ascii="Times New Roman" w:hAnsi="Times New Roman" w:eastAsia="Times New Roman" w:cs="Times New Roman"/>
          <w:szCs w:val="24"/>
          <w:lang w:val="en-GB"/>
        </w:rPr>
        <w:t>.  </w:t>
      </w:r>
      <w:r w:rsidRPr="000C0E58" w:rsidR="00F07B9C">
        <w:rPr>
          <w:rFonts w:ascii="Times New Roman" w:hAnsi="Times New Roman" w:eastAsia="Times New Roman" w:cs="Times New Roman"/>
          <w:szCs w:val="24"/>
          <w:lang w:val="en-GB"/>
        </w:rPr>
        <w:t xml:space="preserve">However, </w:t>
      </w:r>
      <w:r w:rsidRPr="000C0E58" w:rsidR="002C398A">
        <w:rPr>
          <w:rFonts w:ascii="Times New Roman" w:hAnsi="Times New Roman" w:eastAsia="Times New Roman" w:cs="Times New Roman"/>
          <w:szCs w:val="24"/>
          <w:lang w:val="en-GB"/>
        </w:rPr>
        <w:t>the question arises whether the applicant</w:t>
      </w:r>
      <w:r w:rsidRPr="000C0E58" w:rsidR="000C0E58">
        <w:rPr>
          <w:rFonts w:ascii="Times New Roman" w:hAnsi="Times New Roman" w:eastAsia="Times New Roman" w:cs="Times New Roman"/>
          <w:szCs w:val="24"/>
          <w:lang w:val="en-GB"/>
        </w:rPr>
        <w:t>’</w:t>
      </w:r>
      <w:r w:rsidRPr="000C0E58" w:rsidR="002C398A">
        <w:rPr>
          <w:rFonts w:ascii="Times New Roman" w:hAnsi="Times New Roman" w:eastAsia="Times New Roman" w:cs="Times New Roman"/>
          <w:szCs w:val="24"/>
          <w:lang w:val="en-GB"/>
        </w:rPr>
        <w:t xml:space="preserve">s legitimate expectation </w:t>
      </w:r>
      <w:r w:rsidRPr="000C0E58" w:rsidR="006C0C23">
        <w:rPr>
          <w:rFonts w:ascii="Times New Roman" w:hAnsi="Times New Roman" w:eastAsia="Times New Roman" w:cs="Times New Roman"/>
          <w:szCs w:val="24"/>
          <w:lang w:val="en-GB"/>
        </w:rPr>
        <w:t xml:space="preserve">still existed </w:t>
      </w:r>
      <w:r w:rsidRPr="000C0E58" w:rsidR="00F07B9C">
        <w:rPr>
          <w:rFonts w:ascii="Times New Roman" w:hAnsi="Times New Roman" w:eastAsia="Times New Roman" w:cs="Times New Roman"/>
          <w:szCs w:val="24"/>
          <w:lang w:val="en-GB"/>
        </w:rPr>
        <w:t>o</w:t>
      </w:r>
      <w:r w:rsidRPr="000C0E58">
        <w:rPr>
          <w:rFonts w:ascii="Times New Roman" w:hAnsi="Times New Roman" w:eastAsia="Times New Roman" w:cs="Times New Roman"/>
          <w:szCs w:val="24"/>
          <w:lang w:val="en-GB"/>
        </w:rPr>
        <w:t>n 1 January 2012</w:t>
      </w:r>
      <w:r w:rsidRPr="000C0E58" w:rsidR="002C398A">
        <w:rPr>
          <w:rFonts w:ascii="Times New Roman" w:hAnsi="Times New Roman" w:eastAsia="Times New Roman" w:cs="Times New Roman"/>
          <w:szCs w:val="24"/>
          <w:lang w:val="en-GB"/>
        </w:rPr>
        <w:t>, when</w:t>
      </w:r>
      <w:r w:rsidRPr="000C0E58">
        <w:rPr>
          <w:rFonts w:ascii="Times New Roman" w:hAnsi="Times New Roman" w:eastAsia="Times New Roman" w:cs="Times New Roman"/>
          <w:szCs w:val="24"/>
          <w:lang w:val="en-GB"/>
        </w:rPr>
        <w:t xml:space="preserve"> the l</w:t>
      </w:r>
      <w:r w:rsidRPr="000C0E58" w:rsidR="00A72CCA">
        <w:rPr>
          <w:rFonts w:ascii="Times New Roman" w:hAnsi="Times New Roman" w:eastAsia="Times New Roman" w:cs="Times New Roman"/>
          <w:szCs w:val="24"/>
          <w:lang w:val="en-GB"/>
        </w:rPr>
        <w:t xml:space="preserve">egislature </w:t>
      </w:r>
      <w:r w:rsidRPr="000C0E58">
        <w:rPr>
          <w:rFonts w:ascii="Times New Roman" w:hAnsi="Times New Roman" w:eastAsia="Times New Roman" w:cs="Times New Roman"/>
          <w:szCs w:val="24"/>
          <w:lang w:val="en-GB"/>
        </w:rPr>
        <w:t xml:space="preserve">changed the contribution criteria for the disability benefit, effectively invalidating the legal effect of the fact that </w:t>
      </w:r>
      <w:r w:rsidRPr="000C0E58" w:rsidR="002C398A">
        <w:rPr>
          <w:rFonts w:ascii="Times New Roman" w:hAnsi="Times New Roman" w:eastAsia="Times New Roman" w:cs="Times New Roman"/>
          <w:szCs w:val="24"/>
          <w:lang w:val="en-GB"/>
        </w:rPr>
        <w:t>she</w:t>
      </w:r>
      <w:r w:rsidRPr="000C0E58">
        <w:rPr>
          <w:rFonts w:ascii="Times New Roman" w:hAnsi="Times New Roman" w:eastAsia="Times New Roman" w:cs="Times New Roman"/>
          <w:szCs w:val="24"/>
          <w:lang w:val="en-GB"/>
        </w:rPr>
        <w:t xml:space="preserve"> had already </w:t>
      </w:r>
      <w:r w:rsidRPr="000C0E58" w:rsidR="00A72CCA">
        <w:rPr>
          <w:rFonts w:ascii="Times New Roman" w:hAnsi="Times New Roman" w:eastAsia="Times New Roman" w:cs="Times New Roman"/>
          <w:szCs w:val="24"/>
          <w:lang w:val="en-GB"/>
        </w:rPr>
        <w:t xml:space="preserve">once </w:t>
      </w:r>
      <w:r w:rsidRPr="000C0E58" w:rsidR="00D26CAF">
        <w:rPr>
          <w:rFonts w:ascii="Times New Roman" w:hAnsi="Times New Roman" w:eastAsia="Times New Roman" w:cs="Times New Roman"/>
          <w:szCs w:val="24"/>
          <w:lang w:val="en-GB"/>
        </w:rPr>
        <w:t xml:space="preserve">fulfilled </w:t>
      </w:r>
      <w:r w:rsidRPr="000C0E58">
        <w:rPr>
          <w:rFonts w:ascii="Times New Roman" w:hAnsi="Times New Roman" w:eastAsia="Times New Roman" w:cs="Times New Roman"/>
          <w:szCs w:val="24"/>
          <w:lang w:val="en-GB"/>
        </w:rPr>
        <w:t xml:space="preserve">the “contribution condition”. Due to </w:t>
      </w:r>
      <w:r w:rsidRPr="000C0E58" w:rsidR="006C0C23">
        <w:rPr>
          <w:rFonts w:ascii="Times New Roman" w:hAnsi="Times New Roman" w:eastAsia="Times New Roman" w:cs="Times New Roman"/>
          <w:szCs w:val="24"/>
          <w:lang w:val="en-GB"/>
        </w:rPr>
        <w:t>th</w:t>
      </w:r>
      <w:r w:rsidRPr="000C0E58" w:rsidR="00A72CCA">
        <w:rPr>
          <w:rFonts w:ascii="Times New Roman" w:hAnsi="Times New Roman" w:eastAsia="Times New Roman" w:cs="Times New Roman"/>
          <w:szCs w:val="24"/>
          <w:lang w:val="en-GB"/>
        </w:rPr>
        <w:t xml:space="preserve">at </w:t>
      </w:r>
      <w:r w:rsidRPr="000C0E58">
        <w:rPr>
          <w:rFonts w:ascii="Times New Roman" w:hAnsi="Times New Roman" w:eastAsia="Times New Roman" w:cs="Times New Roman"/>
          <w:szCs w:val="24"/>
          <w:lang w:val="en-GB"/>
        </w:rPr>
        <w:t xml:space="preserve">legislative </w:t>
      </w:r>
      <w:r w:rsidRPr="000C0E58" w:rsidR="002C398A">
        <w:rPr>
          <w:rFonts w:ascii="Times New Roman" w:hAnsi="Times New Roman" w:eastAsia="Times New Roman" w:cs="Times New Roman"/>
          <w:szCs w:val="24"/>
          <w:lang w:val="en-GB"/>
        </w:rPr>
        <w:t>change</w:t>
      </w:r>
      <w:r w:rsidRPr="000C0E58">
        <w:rPr>
          <w:rFonts w:ascii="Times New Roman" w:hAnsi="Times New Roman" w:eastAsia="Times New Roman" w:cs="Times New Roman"/>
          <w:szCs w:val="24"/>
          <w:lang w:val="en-GB"/>
        </w:rPr>
        <w:t xml:space="preserve">, she was denied disability allowance on the ground that she was not eligible under the newly introduced contribution rules. This state of affairs was then </w:t>
      </w:r>
      <w:r w:rsidRPr="000C0E58" w:rsidR="004A45D1">
        <w:rPr>
          <w:rFonts w:ascii="Times New Roman" w:hAnsi="Times New Roman" w:eastAsia="Times New Roman" w:cs="Times New Roman"/>
          <w:szCs w:val="24"/>
          <w:lang w:val="en-GB"/>
        </w:rPr>
        <w:t>reaffirmed</w:t>
      </w:r>
      <w:r w:rsidRPr="000C0E58">
        <w:rPr>
          <w:rFonts w:ascii="Times New Roman" w:hAnsi="Times New Roman" w:eastAsia="Times New Roman" w:cs="Times New Roman"/>
          <w:szCs w:val="24"/>
          <w:lang w:val="en-GB"/>
        </w:rPr>
        <w:t xml:space="preserve"> in the applicant</w:t>
      </w:r>
      <w:r w:rsidRPr="000C0E58" w:rsidR="000C0E58">
        <w:rPr>
          <w:rFonts w:ascii="Times New Roman" w:hAnsi="Times New Roman" w:eastAsia="Times New Roman" w:cs="Times New Roman"/>
          <w:szCs w:val="24"/>
          <w:lang w:val="en-GB"/>
        </w:rPr>
        <w:t>’</w:t>
      </w:r>
      <w:r w:rsidRPr="000C0E58">
        <w:rPr>
          <w:rFonts w:ascii="Times New Roman" w:hAnsi="Times New Roman" w:eastAsia="Times New Roman" w:cs="Times New Roman"/>
          <w:szCs w:val="24"/>
          <w:lang w:val="en-GB"/>
        </w:rPr>
        <w:t xml:space="preserve">s individual case, </w:t>
      </w:r>
      <w:r w:rsidRPr="000C0E58">
        <w:rPr>
          <w:rFonts w:ascii="Times New Roman" w:hAnsi="Times New Roman" w:cs="Times New Roman"/>
          <w:szCs w:val="24"/>
          <w:lang w:val="en-GB"/>
        </w:rPr>
        <w:t>with authoritative force, by the final judgment of the Nyíregyháza Administrative and Labour Court</w:t>
      </w:r>
      <w:r w:rsidRPr="000C0E58" w:rsidR="0094759F">
        <w:rPr>
          <w:rFonts w:ascii="Times New Roman" w:hAnsi="Times New Roman" w:cs="Times New Roman"/>
          <w:szCs w:val="24"/>
          <w:lang w:val="en-GB"/>
        </w:rPr>
        <w:t>,</w:t>
      </w:r>
      <w:r w:rsidRPr="000C0E58" w:rsidR="006B0A4B">
        <w:rPr>
          <w:rFonts w:ascii="Times New Roman" w:hAnsi="Times New Roman" w:cs="Times New Roman"/>
          <w:szCs w:val="24"/>
          <w:lang w:val="en-GB"/>
        </w:rPr>
        <w:t xml:space="preserve"> adopted on 20 </w:t>
      </w:r>
      <w:r w:rsidRPr="000C0E58">
        <w:rPr>
          <w:rFonts w:ascii="Times New Roman" w:hAnsi="Times New Roman" w:cs="Times New Roman"/>
          <w:szCs w:val="24"/>
          <w:lang w:val="en-GB"/>
        </w:rPr>
        <w:t xml:space="preserve">June 2013 (see paragraph </w:t>
      </w:r>
      <w:r w:rsidRPr="000C0E58" w:rsidR="00ED3855">
        <w:rPr>
          <w:rFonts w:ascii="Times New Roman" w:hAnsi="Times New Roman" w:cs="Times New Roman"/>
          <w:szCs w:val="24"/>
          <w:lang w:val="en-GB"/>
        </w:rPr>
        <w:t>23</w:t>
      </w:r>
      <w:r w:rsidRPr="000C0E58">
        <w:rPr>
          <w:rFonts w:ascii="Times New Roman" w:hAnsi="Times New Roman" w:cs="Times New Roman"/>
          <w:szCs w:val="24"/>
          <w:lang w:val="en-GB"/>
        </w:rPr>
        <w:t xml:space="preserve"> above). </w:t>
      </w:r>
      <w:r w:rsidRPr="000C0E58" w:rsidR="006C0C23">
        <w:rPr>
          <w:rFonts w:ascii="Times New Roman" w:hAnsi="Times New Roman" w:eastAsia="Times New Roman" w:cs="Times New Roman"/>
          <w:szCs w:val="24"/>
          <w:lang w:val="en-GB"/>
        </w:rPr>
        <w:t xml:space="preserve">It is only if her legitimate expectation continued to exist until </w:t>
      </w:r>
      <w:r w:rsidRPr="000C0E58" w:rsidR="00A72CCA">
        <w:rPr>
          <w:rFonts w:ascii="Times New Roman" w:hAnsi="Times New Roman" w:eastAsia="Times New Roman" w:cs="Times New Roman"/>
          <w:szCs w:val="24"/>
          <w:lang w:val="en-GB"/>
        </w:rPr>
        <w:t xml:space="preserve">1 January 2012 </w:t>
      </w:r>
      <w:r w:rsidRPr="000C0E58" w:rsidR="006C0C23">
        <w:rPr>
          <w:rFonts w:ascii="Times New Roman" w:hAnsi="Times New Roman" w:eastAsia="Times New Roman" w:cs="Times New Roman"/>
          <w:szCs w:val="24"/>
          <w:lang w:val="en-GB"/>
        </w:rPr>
        <w:t>that t</w:t>
      </w:r>
      <w:r w:rsidRPr="000C0E58">
        <w:rPr>
          <w:rFonts w:ascii="Times New Roman" w:hAnsi="Times New Roman" w:eastAsia="Times New Roman" w:cs="Times New Roman"/>
          <w:szCs w:val="24"/>
          <w:lang w:val="en-GB"/>
        </w:rPr>
        <w:t>his legislative amendment could</w:t>
      </w:r>
      <w:r w:rsidRPr="000C0E58" w:rsidR="006C0C23">
        <w:rPr>
          <w:rFonts w:ascii="Times New Roman" w:hAnsi="Times New Roman" w:eastAsia="Times New Roman" w:cs="Times New Roman"/>
          <w:szCs w:val="24"/>
          <w:lang w:val="en-GB"/>
        </w:rPr>
        <w:t xml:space="preserve"> </w:t>
      </w:r>
      <w:r w:rsidRPr="000C0E58" w:rsidR="0094759F">
        <w:rPr>
          <w:rFonts w:ascii="Times New Roman" w:hAnsi="Times New Roman" w:eastAsia="Times New Roman" w:cs="Times New Roman"/>
          <w:szCs w:val="24"/>
          <w:lang w:val="en-GB"/>
        </w:rPr>
        <w:t xml:space="preserve">be considered to </w:t>
      </w:r>
      <w:r w:rsidRPr="000C0E58">
        <w:rPr>
          <w:rFonts w:ascii="Times New Roman" w:hAnsi="Times New Roman" w:eastAsia="Times New Roman" w:cs="Times New Roman"/>
          <w:szCs w:val="24"/>
          <w:lang w:val="en-GB"/>
        </w:rPr>
        <w:t>constitute an interference</w:t>
      </w:r>
      <w:r w:rsidRPr="000C0E58" w:rsidR="006C0C23">
        <w:rPr>
          <w:rFonts w:ascii="Times New Roman" w:hAnsi="Times New Roman" w:eastAsia="Times New Roman" w:cs="Times New Roman"/>
          <w:szCs w:val="24"/>
          <w:lang w:val="en-GB"/>
        </w:rPr>
        <w:t xml:space="preserve"> </w:t>
      </w:r>
      <w:r w:rsidRPr="000C0E58">
        <w:rPr>
          <w:rFonts w:ascii="Times New Roman" w:hAnsi="Times New Roman" w:eastAsia="Times New Roman" w:cs="Times New Roman"/>
          <w:szCs w:val="24"/>
          <w:lang w:val="en-GB"/>
        </w:rPr>
        <w:t>with the applicant</w:t>
      </w:r>
      <w:r w:rsidRPr="000C0E58" w:rsidR="000C0E58">
        <w:rPr>
          <w:rFonts w:ascii="Times New Roman" w:hAnsi="Times New Roman" w:eastAsia="Times New Roman" w:cs="Times New Roman"/>
          <w:szCs w:val="24"/>
          <w:lang w:val="en-GB"/>
        </w:rPr>
        <w:t>’</w:t>
      </w:r>
      <w:r w:rsidRPr="000C0E58">
        <w:rPr>
          <w:rFonts w:ascii="Times New Roman" w:hAnsi="Times New Roman" w:eastAsia="Times New Roman" w:cs="Times New Roman"/>
          <w:szCs w:val="24"/>
          <w:lang w:val="en-GB"/>
        </w:rPr>
        <w:t xml:space="preserve">s </w:t>
      </w:r>
      <w:r w:rsidRPr="000C0E58" w:rsidR="00581DF3">
        <w:rPr>
          <w:rFonts w:ascii="Times New Roman" w:hAnsi="Times New Roman" w:eastAsia="Times New Roman" w:cs="Times New Roman"/>
          <w:szCs w:val="24"/>
          <w:lang w:val="en-GB"/>
        </w:rPr>
        <w:t xml:space="preserve">possessions </w:t>
      </w:r>
      <w:r w:rsidRPr="000C0E58">
        <w:rPr>
          <w:rFonts w:ascii="Times New Roman" w:hAnsi="Times New Roman" w:eastAsia="Times New Roman" w:cs="Times New Roman"/>
          <w:szCs w:val="24"/>
          <w:lang w:val="en-GB"/>
        </w:rPr>
        <w:t>within the meaning of Article 1 of Protocol No. 1.</w:t>
      </w:r>
    </w:p>
    <w:p w:rsidRPr="000C0E58" w:rsidR="00E80B88"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96</w:t>
      </w:r>
      <w:r w:rsidRPr="000C0E58">
        <w:rPr>
          <w:lang w:val="en-GB"/>
        </w:rPr>
        <w:fldChar w:fldCharType="end"/>
      </w:r>
      <w:r w:rsidRPr="000C0E58">
        <w:rPr>
          <w:lang w:val="en-GB"/>
        </w:rPr>
        <w:t>.  </w:t>
      </w:r>
      <w:r w:rsidRPr="000C0E58" w:rsidR="005C0051">
        <w:rPr>
          <w:lang w:val="en-GB"/>
        </w:rPr>
        <w:t>T</w:t>
      </w:r>
      <w:r w:rsidRPr="000C0E58">
        <w:rPr>
          <w:lang w:val="en-GB"/>
        </w:rPr>
        <w:t>he parties</w:t>
      </w:r>
      <w:r w:rsidRPr="000C0E58" w:rsidR="000C0E58">
        <w:rPr>
          <w:lang w:val="en-GB"/>
        </w:rPr>
        <w:t>’</w:t>
      </w:r>
      <w:r w:rsidRPr="000C0E58">
        <w:rPr>
          <w:lang w:val="en-GB"/>
        </w:rPr>
        <w:t xml:space="preserve"> positions diverged as to whether the applicant</w:t>
      </w:r>
      <w:r w:rsidRPr="000C0E58" w:rsidR="000C0E58">
        <w:rPr>
          <w:lang w:val="en-GB"/>
        </w:rPr>
        <w:t>’</w:t>
      </w:r>
      <w:r w:rsidRPr="000C0E58">
        <w:rPr>
          <w:lang w:val="en-GB"/>
        </w:rPr>
        <w:t>s legitimate expectation to receive disability benefits whenever eligible (see paragraph</w:t>
      </w:r>
      <w:r w:rsidRPr="000C0E58" w:rsidR="00ED3855">
        <w:rPr>
          <w:lang w:val="en-GB"/>
        </w:rPr>
        <w:t xml:space="preserve">s </w:t>
      </w:r>
      <w:r w:rsidRPr="000C0E58" w:rsidR="00AF3764">
        <w:rPr>
          <w:lang w:val="en-GB"/>
        </w:rPr>
        <w:t>5</w:t>
      </w:r>
      <w:r w:rsidRPr="000C0E58" w:rsidR="00AE64D9">
        <w:rPr>
          <w:lang w:val="en-GB"/>
        </w:rPr>
        <w:t>1, 55</w:t>
      </w:r>
      <w:r w:rsidRPr="000C0E58" w:rsidR="00AF3764">
        <w:rPr>
          <w:lang w:val="en-GB"/>
        </w:rPr>
        <w:t xml:space="preserve"> and </w:t>
      </w:r>
      <w:r w:rsidRPr="000C0E58" w:rsidR="00AE64D9">
        <w:rPr>
          <w:lang w:val="en-GB"/>
        </w:rPr>
        <w:t>60</w:t>
      </w:r>
      <w:r w:rsidRPr="000C0E58" w:rsidR="00ED3855">
        <w:rPr>
          <w:lang w:val="en-GB"/>
        </w:rPr>
        <w:t xml:space="preserve"> </w:t>
      </w:r>
      <w:r w:rsidRPr="000C0E58">
        <w:rPr>
          <w:lang w:val="en-GB"/>
        </w:rPr>
        <w:t xml:space="preserve">above) </w:t>
      </w:r>
      <w:r w:rsidRPr="000C0E58" w:rsidR="00ED521F">
        <w:rPr>
          <w:lang w:val="en-GB"/>
        </w:rPr>
        <w:t xml:space="preserve">was </w:t>
      </w:r>
      <w:r w:rsidRPr="000C0E58">
        <w:rPr>
          <w:lang w:val="en-GB"/>
        </w:rPr>
        <w:t xml:space="preserve">extinguished </w:t>
      </w:r>
      <w:r w:rsidRPr="000C0E58" w:rsidR="00830831">
        <w:rPr>
          <w:lang w:val="en-GB"/>
        </w:rPr>
        <w:t>after</w:t>
      </w:r>
      <w:r w:rsidRPr="000C0E58" w:rsidR="004F54F9">
        <w:rPr>
          <w:lang w:val="en-GB"/>
        </w:rPr>
        <w:t xml:space="preserve"> </w:t>
      </w:r>
      <w:r w:rsidRPr="000C0E58">
        <w:rPr>
          <w:lang w:val="en-GB"/>
        </w:rPr>
        <w:t xml:space="preserve">the </w:t>
      </w:r>
      <w:r w:rsidRPr="000C0E58" w:rsidR="004F54F9">
        <w:rPr>
          <w:lang w:val="en-GB"/>
        </w:rPr>
        <w:t xml:space="preserve">discontinuation </w:t>
      </w:r>
      <w:r w:rsidRPr="000C0E58">
        <w:rPr>
          <w:lang w:val="en-GB"/>
        </w:rPr>
        <w:t>of her entitlement to the pension in 2010.</w:t>
      </w:r>
      <w:r w:rsidRPr="000C0E58" w:rsidR="00755547">
        <w:rPr>
          <w:lang w:val="en-GB"/>
        </w:rPr>
        <w:t xml:space="preserve"> </w:t>
      </w:r>
      <w:r w:rsidRPr="000C0E58">
        <w:rPr>
          <w:lang w:val="en-GB"/>
        </w:rPr>
        <w:t xml:space="preserve">Thus, the question to be </w:t>
      </w:r>
      <w:r w:rsidRPr="000C0E58" w:rsidR="006C0C23">
        <w:rPr>
          <w:lang w:val="en-GB"/>
        </w:rPr>
        <w:t xml:space="preserve">determined </w:t>
      </w:r>
      <w:r w:rsidRPr="000C0E58">
        <w:rPr>
          <w:lang w:val="en-GB"/>
        </w:rPr>
        <w:t xml:space="preserve">by the Court is whether in 2012, when the applicant applied for disability allowance </w:t>
      </w:r>
      <w:r w:rsidRPr="000C0E58" w:rsidR="00E06347">
        <w:rPr>
          <w:lang w:val="en-GB"/>
        </w:rPr>
        <w:t xml:space="preserve">on the basis of the </w:t>
      </w:r>
      <w:r w:rsidRPr="000C0E58">
        <w:rPr>
          <w:lang w:val="en-GB"/>
        </w:rPr>
        <w:t xml:space="preserve">new </w:t>
      </w:r>
      <w:r w:rsidRPr="000C0E58" w:rsidR="00E06347">
        <w:rPr>
          <w:lang w:val="en-GB"/>
        </w:rPr>
        <w:t xml:space="preserve">finding that her health was </w:t>
      </w:r>
      <w:r w:rsidRPr="000C0E58">
        <w:rPr>
          <w:lang w:val="en-GB"/>
        </w:rPr>
        <w:t xml:space="preserve">sufficiently </w:t>
      </w:r>
      <w:r w:rsidRPr="000C0E58" w:rsidR="00BF665C">
        <w:rPr>
          <w:lang w:val="en-GB"/>
        </w:rPr>
        <w:t>impaired</w:t>
      </w:r>
      <w:r w:rsidRPr="000C0E58">
        <w:rPr>
          <w:lang w:val="en-GB"/>
        </w:rPr>
        <w:t xml:space="preserve">, she </w:t>
      </w:r>
      <w:r w:rsidRPr="000C0E58" w:rsidR="00ED521F">
        <w:rPr>
          <w:lang w:val="en-GB"/>
        </w:rPr>
        <w:t xml:space="preserve">still </w:t>
      </w:r>
      <w:r w:rsidRPr="000C0E58">
        <w:rPr>
          <w:lang w:val="en-GB"/>
        </w:rPr>
        <w:t xml:space="preserve">had a </w:t>
      </w:r>
      <w:r w:rsidRPr="000C0E58" w:rsidR="00BF665C">
        <w:rPr>
          <w:lang w:val="en-GB"/>
        </w:rPr>
        <w:t>legitimate expectation</w:t>
      </w:r>
      <w:r w:rsidRPr="000C0E58" w:rsidR="00E06347">
        <w:rPr>
          <w:lang w:val="en-GB"/>
        </w:rPr>
        <w:t>,</w:t>
      </w:r>
      <w:r w:rsidRPr="000C0E58" w:rsidR="00BF665C">
        <w:rPr>
          <w:lang w:val="en-GB"/>
        </w:rPr>
        <w:t xml:space="preserve"> </w:t>
      </w:r>
      <w:r w:rsidRPr="000C0E58" w:rsidR="00E06347">
        <w:rPr>
          <w:lang w:val="en-GB"/>
        </w:rPr>
        <w:t xml:space="preserve">satisfying the criteria in its case-law, of </w:t>
      </w:r>
      <w:r w:rsidRPr="000C0E58" w:rsidR="00BF665C">
        <w:rPr>
          <w:lang w:val="en-GB"/>
        </w:rPr>
        <w:t>receiv</w:t>
      </w:r>
      <w:r w:rsidRPr="000C0E58" w:rsidR="00E06347">
        <w:rPr>
          <w:lang w:val="en-GB"/>
        </w:rPr>
        <w:t xml:space="preserve">ing </w:t>
      </w:r>
      <w:r w:rsidRPr="000C0E58" w:rsidR="00BF665C">
        <w:rPr>
          <w:lang w:val="en-GB"/>
        </w:rPr>
        <w:t>disability benefit</w:t>
      </w:r>
      <w:r w:rsidRPr="000C0E58" w:rsidR="002C398A">
        <w:rPr>
          <w:lang w:val="en-GB"/>
        </w:rPr>
        <w:t>s</w:t>
      </w:r>
      <w:r w:rsidRPr="000C0E58">
        <w:rPr>
          <w:lang w:val="en-GB"/>
        </w:rPr>
        <w:t>.</w:t>
      </w:r>
    </w:p>
    <w:p w:rsidRPr="000C0E58" w:rsidR="005C0051"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97</w:t>
      </w:r>
      <w:r w:rsidRPr="000C0E58">
        <w:rPr>
          <w:lang w:val="en-GB"/>
        </w:rPr>
        <w:fldChar w:fldCharType="end"/>
      </w:r>
      <w:r w:rsidRPr="000C0E58">
        <w:rPr>
          <w:lang w:val="en-GB"/>
        </w:rPr>
        <w:t xml:space="preserve">.  In examining this question, the Court does not find it necessary to resolve the disagreement between the parties as to whether </w:t>
      </w:r>
      <w:r w:rsidRPr="000C0E58" w:rsidR="00E06347">
        <w:rPr>
          <w:lang w:val="en-GB"/>
        </w:rPr>
        <w:t xml:space="preserve">or not </w:t>
      </w:r>
      <w:r w:rsidRPr="000C0E58">
        <w:rPr>
          <w:lang w:val="en-GB"/>
        </w:rPr>
        <w:t>the applicant</w:t>
      </w:r>
      <w:r w:rsidRPr="000C0E58" w:rsidR="000C0E58">
        <w:rPr>
          <w:lang w:val="en-GB"/>
        </w:rPr>
        <w:t>’</w:t>
      </w:r>
      <w:r w:rsidRPr="000C0E58">
        <w:rPr>
          <w:lang w:val="en-GB"/>
        </w:rPr>
        <w:t xml:space="preserve">s health had actually improved in the period at issue. It notes that, according to the expert opinion of 16 February 2011 submitted to the Labour Court (see paragraph 15 above), her condition had not significantly improved since 2007. Moreover, it was not in dispute between the parties that her medical situation would have made her eligible </w:t>
      </w:r>
      <w:r w:rsidRPr="000C0E58" w:rsidR="00E06347">
        <w:rPr>
          <w:lang w:val="en-GB"/>
        </w:rPr>
        <w:t xml:space="preserve">for </w:t>
      </w:r>
      <w:r w:rsidRPr="000C0E58">
        <w:rPr>
          <w:lang w:val="en-GB"/>
        </w:rPr>
        <w:t>the disability benefit in 2012 had the new law not entered into force earlier that year.</w:t>
      </w:r>
      <w:r w:rsidRPr="000C0E58" w:rsidR="009B3B11">
        <w:rPr>
          <w:lang w:val="en-GB"/>
        </w:rPr>
        <w:t xml:space="preserve"> Indeed the Government even confirmed that </w:t>
      </w:r>
      <w:r w:rsidRPr="000C0E58" w:rsidR="00A72CCA">
        <w:rPr>
          <w:lang w:val="en-GB"/>
        </w:rPr>
        <w:t xml:space="preserve">this </w:t>
      </w:r>
      <w:r w:rsidRPr="000C0E58" w:rsidR="009B3B11">
        <w:rPr>
          <w:lang w:val="en-GB"/>
        </w:rPr>
        <w:t>would have been the case</w:t>
      </w:r>
      <w:r w:rsidRPr="000C0E58" w:rsidR="008B460D">
        <w:rPr>
          <w:lang w:val="en-GB"/>
        </w:rPr>
        <w:t xml:space="preserve"> (see paragraph</w:t>
      </w:r>
      <w:r w:rsidRPr="000C0E58" w:rsidR="00AF3764">
        <w:rPr>
          <w:lang w:val="en-GB"/>
        </w:rPr>
        <w:t>s</w:t>
      </w:r>
      <w:r w:rsidRPr="000C0E58" w:rsidR="008B460D">
        <w:rPr>
          <w:lang w:val="en-GB"/>
        </w:rPr>
        <w:t xml:space="preserve"> 22 </w:t>
      </w:r>
      <w:r w:rsidRPr="000C0E58" w:rsidR="00AF3764">
        <w:rPr>
          <w:lang w:val="en-GB"/>
        </w:rPr>
        <w:t xml:space="preserve">and </w:t>
      </w:r>
      <w:r w:rsidRPr="000C0E58" w:rsidR="00AE64D9">
        <w:rPr>
          <w:lang w:val="en-GB"/>
        </w:rPr>
        <w:t>60</w:t>
      </w:r>
      <w:r w:rsidRPr="000C0E58" w:rsidR="00AF3764">
        <w:rPr>
          <w:lang w:val="en-GB"/>
        </w:rPr>
        <w:t xml:space="preserve"> </w:t>
      </w:r>
      <w:r w:rsidRPr="000C0E58" w:rsidR="008B460D">
        <w:rPr>
          <w:lang w:val="en-GB"/>
        </w:rPr>
        <w:t>above)</w:t>
      </w:r>
      <w:r w:rsidRPr="000C0E58" w:rsidR="009B3B11">
        <w:rPr>
          <w:lang w:val="en-GB"/>
        </w:rPr>
        <w:t>.</w:t>
      </w:r>
    </w:p>
    <w:p w:rsidRPr="000C0E58" w:rsidR="00253B9D" w:rsidP="000C0E58">
      <w:pPr>
        <w:pStyle w:val="ECHRPara"/>
        <w:rPr>
          <w:rFonts w:ascii="Times New Roman" w:hAnsi="Times New Roman" w:cs="Times New Roman"/>
          <w:szCs w:val="24"/>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98</w:t>
      </w:r>
      <w:r w:rsidRPr="000C0E58">
        <w:rPr>
          <w:lang w:val="en-GB"/>
        </w:rPr>
        <w:fldChar w:fldCharType="end"/>
      </w:r>
      <w:r w:rsidRPr="000C0E58">
        <w:rPr>
          <w:lang w:val="en-GB"/>
        </w:rPr>
        <w:t>.  </w:t>
      </w:r>
      <w:r w:rsidRPr="000C0E58" w:rsidR="00F646D4">
        <w:rPr>
          <w:lang w:val="en-GB"/>
        </w:rPr>
        <w:t xml:space="preserve">The </w:t>
      </w:r>
      <w:r w:rsidRPr="000C0E58" w:rsidR="00D11E57">
        <w:rPr>
          <w:lang w:val="en-GB"/>
        </w:rPr>
        <w:t xml:space="preserve">question </w:t>
      </w:r>
      <w:r w:rsidRPr="000C0E58" w:rsidR="00F646D4">
        <w:rPr>
          <w:lang w:val="en-GB"/>
        </w:rPr>
        <w:t xml:space="preserve">whether the applicant still had a legitimate expectation, satisfying the criteria in </w:t>
      </w:r>
      <w:r w:rsidRPr="000C0E58" w:rsidR="00A72CCA">
        <w:rPr>
          <w:lang w:val="en-GB"/>
        </w:rPr>
        <w:t>the Court</w:t>
      </w:r>
      <w:r w:rsidRPr="000C0E58" w:rsidR="000C0E58">
        <w:rPr>
          <w:lang w:val="en-GB"/>
        </w:rPr>
        <w:t>’</w:t>
      </w:r>
      <w:r w:rsidRPr="000C0E58" w:rsidR="00A72CCA">
        <w:rPr>
          <w:lang w:val="en-GB"/>
        </w:rPr>
        <w:t xml:space="preserve">s </w:t>
      </w:r>
      <w:r w:rsidRPr="000C0E58" w:rsidR="00F646D4">
        <w:rPr>
          <w:lang w:val="en-GB"/>
        </w:rPr>
        <w:t xml:space="preserve">case-law, at the time of the entry into force of the </w:t>
      </w:r>
      <w:r w:rsidRPr="000C0E58" w:rsidR="00A72CCA">
        <w:rPr>
          <w:lang w:val="en-GB"/>
        </w:rPr>
        <w:t xml:space="preserve">new </w:t>
      </w:r>
      <w:r w:rsidRPr="000C0E58" w:rsidR="00F646D4">
        <w:rPr>
          <w:lang w:val="en-GB"/>
        </w:rPr>
        <w:t xml:space="preserve">legislation </w:t>
      </w:r>
      <w:r w:rsidRPr="000C0E58" w:rsidR="00D11E57">
        <w:rPr>
          <w:lang w:val="en-GB"/>
        </w:rPr>
        <w:t>in 2012</w:t>
      </w:r>
      <w:r w:rsidRPr="000C0E58" w:rsidR="00F646D4">
        <w:rPr>
          <w:lang w:val="en-GB"/>
        </w:rPr>
        <w:t xml:space="preserve"> cannot be answered solely on the basis of that legislation</w:t>
      </w:r>
      <w:r w:rsidRPr="000C0E58" w:rsidR="00D11E57">
        <w:rPr>
          <w:lang w:val="en-GB"/>
        </w:rPr>
        <w:t xml:space="preserve">. </w:t>
      </w:r>
      <w:bookmarkStart w:name="_GoBack" w:id="2"/>
      <w:r w:rsidRPr="000C0E58" w:rsidR="00D11E57">
        <w:rPr>
          <w:lang w:val="en-GB"/>
        </w:rPr>
        <w:t xml:space="preserve">The </w:t>
      </w:r>
      <w:r w:rsidRPr="000C0E58" w:rsidR="00031F25">
        <w:rPr>
          <w:lang w:val="en-GB"/>
        </w:rPr>
        <w:t xml:space="preserve">underlying </w:t>
      </w:r>
      <w:r w:rsidRPr="000C0E58" w:rsidR="00D11E57">
        <w:rPr>
          <w:lang w:val="en-GB"/>
        </w:rPr>
        <w:t xml:space="preserve">reason </w:t>
      </w:r>
      <w:r w:rsidRPr="000C0E58" w:rsidR="00A72CCA">
        <w:rPr>
          <w:lang w:val="en-GB"/>
        </w:rPr>
        <w:t>for such a</w:t>
      </w:r>
      <w:r w:rsidR="005F22BD">
        <w:rPr>
          <w:lang w:val="en-GB"/>
        </w:rPr>
        <w:t>n</w:t>
      </w:r>
      <w:r w:rsidRPr="000C0E58" w:rsidR="00A72CCA">
        <w:rPr>
          <w:lang w:val="en-GB"/>
        </w:rPr>
        <w:t xml:space="preserve"> assertion </w:t>
      </w:r>
      <w:bookmarkEnd w:id="2"/>
      <w:r w:rsidRPr="000C0E58" w:rsidR="00D11E57">
        <w:rPr>
          <w:lang w:val="en-GB"/>
        </w:rPr>
        <w:t>is that t</w:t>
      </w:r>
      <w:r w:rsidRPr="000C0E58" w:rsidR="00D11E57">
        <w:rPr>
          <w:rFonts w:ascii="Times New Roman" w:hAnsi="Times New Roman" w:cs="Times New Roman"/>
          <w:szCs w:val="24"/>
          <w:lang w:val="en-GB"/>
        </w:rPr>
        <w:t xml:space="preserve">he principles which exclude the finding of </w:t>
      </w:r>
      <w:r w:rsidRPr="000C0E58" w:rsidR="00D11E57">
        <w:rPr>
          <w:rFonts w:ascii="Times New Roman" w:hAnsi="Times New Roman" w:cs="Times New Roman"/>
          <w:szCs w:val="24"/>
          <w:lang w:val="en-GB"/>
        </w:rPr>
        <w:t>an interference</w:t>
      </w:r>
      <w:r w:rsidRPr="000C0E58" w:rsidR="00D11E57">
        <w:rPr>
          <w:rFonts w:ascii="Times New Roman" w:hAnsi="Times New Roman" w:cs="Times New Roman"/>
          <w:szCs w:val="24"/>
          <w:lang w:val="en-GB"/>
        </w:rPr>
        <w:t xml:space="preserve"> where the person concerned ceases to satisfy the legal conditions laid down in domestic law cannot be mechanically applied to situations where the complaint </w:t>
      </w:r>
      <w:r w:rsidRPr="000C0E58" w:rsidR="00A72CCA">
        <w:rPr>
          <w:rFonts w:ascii="Times New Roman" w:hAnsi="Times New Roman" w:cs="Times New Roman"/>
          <w:szCs w:val="24"/>
          <w:lang w:val="en-GB"/>
        </w:rPr>
        <w:t xml:space="preserve">specifically concerns </w:t>
      </w:r>
      <w:r w:rsidRPr="000C0E58" w:rsidR="00D11E57">
        <w:rPr>
          <w:rFonts w:ascii="Times New Roman" w:hAnsi="Times New Roman" w:cs="Times New Roman"/>
          <w:szCs w:val="24"/>
          <w:lang w:val="en-GB"/>
        </w:rPr>
        <w:t xml:space="preserve">the very change </w:t>
      </w:r>
      <w:r w:rsidRPr="000C0E58" w:rsidR="00A72CCA">
        <w:rPr>
          <w:rFonts w:ascii="Times New Roman" w:hAnsi="Times New Roman" w:cs="Times New Roman"/>
          <w:szCs w:val="24"/>
          <w:lang w:val="en-GB"/>
        </w:rPr>
        <w:t xml:space="preserve">in </w:t>
      </w:r>
      <w:r w:rsidRPr="000C0E58" w:rsidR="00D11E57">
        <w:rPr>
          <w:rFonts w:ascii="Times New Roman" w:hAnsi="Times New Roman" w:cs="Times New Roman"/>
          <w:szCs w:val="24"/>
          <w:lang w:val="en-GB"/>
        </w:rPr>
        <w:t xml:space="preserve">the legal conditions </w:t>
      </w:r>
      <w:r w:rsidRPr="000C0E58" w:rsidR="00A72CCA">
        <w:rPr>
          <w:rFonts w:ascii="Times New Roman" w:hAnsi="Times New Roman" w:cs="Times New Roman"/>
          <w:szCs w:val="24"/>
          <w:lang w:val="en-GB"/>
        </w:rPr>
        <w:t xml:space="preserve">that is </w:t>
      </w:r>
      <w:r w:rsidRPr="000C0E58" w:rsidR="00D11E57">
        <w:rPr>
          <w:rFonts w:ascii="Times New Roman" w:hAnsi="Times New Roman" w:cs="Times New Roman"/>
          <w:szCs w:val="24"/>
          <w:lang w:val="en-GB"/>
        </w:rPr>
        <w:t>at issue</w:t>
      </w:r>
      <w:r w:rsidRPr="000C0E58" w:rsidR="00ED3855">
        <w:rPr>
          <w:rFonts w:ascii="Times New Roman" w:hAnsi="Times New Roman" w:cs="Times New Roman"/>
          <w:szCs w:val="24"/>
          <w:lang w:val="en-GB"/>
        </w:rPr>
        <w:t>.</w:t>
      </w:r>
    </w:p>
    <w:p w:rsidRPr="000C0E58" w:rsidR="000929F9" w:rsidP="000C0E58">
      <w:pPr>
        <w:pStyle w:val="ECHRPara"/>
        <w:rPr>
          <w:rFonts w:ascii="Times New Roman" w:hAnsi="Times New Roman" w:cs="Times New Roman"/>
          <w:szCs w:val="24"/>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99</w:t>
      </w:r>
      <w:r w:rsidRPr="000C0E58">
        <w:rPr>
          <w:lang w:val="en-GB"/>
        </w:rPr>
        <w:fldChar w:fldCharType="end"/>
      </w:r>
      <w:r w:rsidRPr="000C0E58">
        <w:rPr>
          <w:lang w:val="en-GB"/>
        </w:rPr>
        <w:t xml:space="preserve">.  Therefore, to </w:t>
      </w:r>
      <w:r w:rsidRPr="000C0E58" w:rsidR="00FC4237">
        <w:rPr>
          <w:lang w:val="en-GB"/>
        </w:rPr>
        <w:t>limit the Court</w:t>
      </w:r>
      <w:r w:rsidRPr="000C0E58" w:rsidR="000C0E58">
        <w:rPr>
          <w:lang w:val="en-GB"/>
        </w:rPr>
        <w:t>’</w:t>
      </w:r>
      <w:r w:rsidRPr="000C0E58" w:rsidR="00FC4237">
        <w:rPr>
          <w:lang w:val="en-GB"/>
        </w:rPr>
        <w:t xml:space="preserve">s scrutiny to the question as to whether </w:t>
      </w:r>
      <w:r w:rsidRPr="000C0E58">
        <w:rPr>
          <w:lang w:val="en-GB"/>
        </w:rPr>
        <w:t xml:space="preserve">Article 1 of Protocol No. 1 is inapplicable on the sole ground of the absence of </w:t>
      </w:r>
      <w:r w:rsidRPr="000C0E58" w:rsidR="00FA6C6B">
        <w:rPr>
          <w:lang w:val="en-GB"/>
        </w:rPr>
        <w:t xml:space="preserve">a </w:t>
      </w:r>
      <w:r w:rsidRPr="000C0E58">
        <w:rPr>
          <w:lang w:val="en-GB"/>
        </w:rPr>
        <w:t>domestic legal basis in 2012 would be tantamount to deliberately circumventing the crux of the applicant</w:t>
      </w:r>
      <w:r w:rsidRPr="000C0E58" w:rsidR="000C0E58">
        <w:rPr>
          <w:lang w:val="en-GB"/>
        </w:rPr>
        <w:t>’</w:t>
      </w:r>
      <w:r w:rsidRPr="000C0E58">
        <w:rPr>
          <w:lang w:val="en-GB"/>
        </w:rPr>
        <w:t xml:space="preserve">s grievance, that crux being precisely the change </w:t>
      </w:r>
      <w:r w:rsidRPr="000C0E58" w:rsidR="00FA6C6B">
        <w:rPr>
          <w:lang w:val="en-GB"/>
        </w:rPr>
        <w:t xml:space="preserve">in </w:t>
      </w:r>
      <w:r w:rsidRPr="000C0E58">
        <w:rPr>
          <w:lang w:val="en-GB"/>
        </w:rPr>
        <w:t>the law</w:t>
      </w:r>
      <w:r w:rsidRPr="000C0E58" w:rsidR="002114B0">
        <w:rPr>
          <w:lang w:val="en-GB"/>
        </w:rPr>
        <w:t xml:space="preserve"> (see </w:t>
      </w:r>
      <w:r w:rsidRPr="000C0E58" w:rsidR="002114B0">
        <w:rPr>
          <w:i/>
          <w:lang w:val="en-GB"/>
        </w:rPr>
        <w:t>Lakićević and Others</w:t>
      </w:r>
      <w:r w:rsidRPr="000C0E58" w:rsidR="003577CE">
        <w:rPr>
          <w:lang w:val="en-GB"/>
        </w:rPr>
        <w:t>,</w:t>
      </w:r>
      <w:r w:rsidRPr="000C0E58" w:rsidR="002114B0">
        <w:rPr>
          <w:lang w:val="en-GB"/>
        </w:rPr>
        <w:t xml:space="preserve"> </w:t>
      </w:r>
      <w:r w:rsidRPr="000C0E58" w:rsidR="003577CE">
        <w:rPr>
          <w:lang w:val="en-GB"/>
        </w:rPr>
        <w:t>cited above</w:t>
      </w:r>
      <w:r w:rsidRPr="000C0E58" w:rsidR="002114B0">
        <w:rPr>
          <w:snapToGrid w:val="0"/>
          <w:szCs w:val="24"/>
          <w:lang w:val="en-GB"/>
        </w:rPr>
        <w:t>,</w:t>
      </w:r>
      <w:r w:rsidRPr="000C0E58" w:rsidR="003577CE">
        <w:rPr>
          <w:snapToGrid w:val="0"/>
          <w:szCs w:val="24"/>
          <w:lang w:val="en-GB"/>
        </w:rPr>
        <w:t xml:space="preserve"> §</w:t>
      </w:r>
      <w:r w:rsidRPr="000C0E58" w:rsidR="00FC4237">
        <w:rPr>
          <w:snapToGrid w:val="0"/>
          <w:szCs w:val="24"/>
          <w:lang w:val="en-GB"/>
        </w:rPr>
        <w:t> </w:t>
      </w:r>
      <w:r w:rsidRPr="000C0E58" w:rsidR="003577CE">
        <w:rPr>
          <w:snapToGrid w:val="0"/>
          <w:szCs w:val="24"/>
          <w:lang w:val="en-GB"/>
        </w:rPr>
        <w:t>70</w:t>
      </w:r>
      <w:r w:rsidRPr="000C0E58" w:rsidR="002114B0">
        <w:rPr>
          <w:snapToGrid w:val="0"/>
          <w:szCs w:val="24"/>
          <w:lang w:val="en-GB"/>
        </w:rPr>
        <w:t>)</w:t>
      </w:r>
      <w:r w:rsidRPr="000C0E58" w:rsidR="00FA6C6B">
        <w:rPr>
          <w:lang w:val="en-GB"/>
        </w:rPr>
        <w:t xml:space="preserve"> </w:t>
      </w:r>
      <w:r w:rsidRPr="000C0E58">
        <w:rPr>
          <w:lang w:val="en-GB"/>
        </w:rPr>
        <w:t xml:space="preserve">annihilating the </w:t>
      </w:r>
      <w:r w:rsidRPr="000C0E58" w:rsidR="00FA6C6B">
        <w:rPr>
          <w:lang w:val="en-GB"/>
        </w:rPr>
        <w:t xml:space="preserve">previously </w:t>
      </w:r>
      <w:r w:rsidRPr="000C0E58">
        <w:rPr>
          <w:lang w:val="en-GB"/>
        </w:rPr>
        <w:t xml:space="preserve">existing legal basis for </w:t>
      </w:r>
      <w:r w:rsidRPr="000C0E58" w:rsidR="008B460D">
        <w:rPr>
          <w:lang w:val="en-GB"/>
        </w:rPr>
        <w:t>her disability allowance</w:t>
      </w:r>
      <w:r w:rsidRPr="000C0E58">
        <w:rPr>
          <w:lang w:val="en-GB"/>
        </w:rPr>
        <w:t>.</w:t>
      </w:r>
      <w:r w:rsidRPr="000C0E58" w:rsidR="00B33EE9">
        <w:rPr>
          <w:lang w:val="en-GB"/>
        </w:rPr>
        <w:t xml:space="preserve"> </w:t>
      </w:r>
      <w:r w:rsidRPr="000C0E58" w:rsidR="001051F7">
        <w:rPr>
          <w:lang w:val="en-GB"/>
        </w:rPr>
        <w:t>The</w:t>
      </w:r>
      <w:r w:rsidRPr="000C0E58" w:rsidR="000A33B6">
        <w:rPr>
          <w:lang w:val="en-GB"/>
        </w:rPr>
        <w:t xml:space="preserve"> change in the law effectively imposed on a </w:t>
      </w:r>
      <w:r w:rsidRPr="000C0E58" w:rsidR="00A72CCA">
        <w:rPr>
          <w:lang w:val="en-GB"/>
        </w:rPr>
        <w:t xml:space="preserve">certain category </w:t>
      </w:r>
      <w:r w:rsidRPr="000C0E58" w:rsidR="000A33B6">
        <w:rPr>
          <w:lang w:val="en-GB"/>
        </w:rPr>
        <w:t>of insured</w:t>
      </w:r>
      <w:r w:rsidRPr="000C0E58" w:rsidR="00A72CCA">
        <w:rPr>
          <w:lang w:val="en-GB"/>
        </w:rPr>
        <w:t xml:space="preserve"> persons</w:t>
      </w:r>
      <w:r w:rsidRPr="000C0E58" w:rsidR="000A33B6">
        <w:rPr>
          <w:lang w:val="en-GB"/>
        </w:rPr>
        <w:t xml:space="preserve">, including the applicant, a condition </w:t>
      </w:r>
      <w:r w:rsidRPr="000C0E58">
        <w:rPr>
          <w:lang w:val="en-GB"/>
        </w:rPr>
        <w:t xml:space="preserve">whose advent had not been foreseeable during the </w:t>
      </w:r>
      <w:r w:rsidRPr="000C0E58" w:rsidR="001051F7">
        <w:rPr>
          <w:lang w:val="en-GB"/>
        </w:rPr>
        <w:t>relevant potential</w:t>
      </w:r>
      <w:r w:rsidRPr="000C0E58">
        <w:rPr>
          <w:lang w:val="en-GB"/>
        </w:rPr>
        <w:t xml:space="preserve"> </w:t>
      </w:r>
      <w:r w:rsidRPr="000C0E58" w:rsidR="001051F7">
        <w:rPr>
          <w:lang w:val="en-GB"/>
        </w:rPr>
        <w:t xml:space="preserve">contributory period </w:t>
      </w:r>
      <w:r w:rsidRPr="000C0E58">
        <w:rPr>
          <w:lang w:val="en-GB"/>
        </w:rPr>
        <w:t xml:space="preserve">and which </w:t>
      </w:r>
      <w:r w:rsidRPr="000C0E58" w:rsidR="000A33B6">
        <w:rPr>
          <w:lang w:val="en-GB"/>
        </w:rPr>
        <w:t xml:space="preserve">they could not possibly satisfy </w:t>
      </w:r>
      <w:r w:rsidRPr="000C0E58" w:rsidR="00A72CCA">
        <w:rPr>
          <w:lang w:val="en-GB"/>
        </w:rPr>
        <w:t xml:space="preserve">once </w:t>
      </w:r>
      <w:r w:rsidRPr="000C0E58" w:rsidR="000A33B6">
        <w:rPr>
          <w:lang w:val="en-GB"/>
        </w:rPr>
        <w:t>the new legislation</w:t>
      </w:r>
      <w:r w:rsidRPr="000C0E58">
        <w:rPr>
          <w:lang w:val="en-GB"/>
        </w:rPr>
        <w:t xml:space="preserve"> entered into force – a combination of elements which is ultimately difficult to reconcile with the rule of law. </w:t>
      </w:r>
      <w:r w:rsidRPr="000C0E58" w:rsidR="00B33EE9">
        <w:rPr>
          <w:lang w:val="en-GB"/>
        </w:rPr>
        <w:t xml:space="preserve">The Court points out at this juncture that the Convention is intended to guarantee rights that are “practical and effective” rather than theoretical and illusory (see </w:t>
      </w:r>
      <w:r w:rsidRPr="000C0E58" w:rsidR="00B33EE9">
        <w:rPr>
          <w:i/>
          <w:lang w:val="en-GB"/>
        </w:rPr>
        <w:t xml:space="preserve">Perdigão v. Portugal </w:t>
      </w:r>
      <w:r w:rsidRPr="000C0E58" w:rsidR="00B33EE9">
        <w:rPr>
          <w:lang w:val="en-GB"/>
        </w:rPr>
        <w:t>[GC], no.</w:t>
      </w:r>
      <w:r w:rsidRPr="000C0E58" w:rsidR="009062FD">
        <w:rPr>
          <w:lang w:val="en-GB"/>
        </w:rPr>
        <w:t> </w:t>
      </w:r>
      <w:r w:rsidRPr="000C0E58" w:rsidR="00B33EE9">
        <w:rPr>
          <w:lang w:val="en-GB"/>
        </w:rPr>
        <w:t>24768/06</w:t>
      </w:r>
      <w:r w:rsidRPr="000C0E58" w:rsidR="00B33EE9">
        <w:rPr>
          <w:snapToGrid w:val="0"/>
          <w:szCs w:val="24"/>
          <w:lang w:val="en-GB"/>
        </w:rPr>
        <w:t>, § 68, 16 November 2010).</w:t>
      </w:r>
      <w:r w:rsidRPr="000C0E58">
        <w:rPr>
          <w:rFonts w:ascii="Times New Roman" w:hAnsi="Times New Roman" w:cs="Times New Roman"/>
          <w:szCs w:val="24"/>
          <w:lang w:val="en-GB"/>
        </w:rPr>
        <w:t xml:space="preserve"> To hold that although a person has contributed to an insurance scheme and has satisfied its contributory requirement, he or she could be totally deprived of the legitimate expectation of eventual benefits would sit uncomfortably with this principle</w:t>
      </w:r>
      <w:r w:rsidRPr="000C0E58" w:rsidR="001051F7">
        <w:rPr>
          <w:rFonts w:ascii="Times New Roman" w:hAnsi="Times New Roman" w:cs="Times New Roman"/>
          <w:szCs w:val="24"/>
          <w:lang w:val="en-GB"/>
        </w:rPr>
        <w:t>.</w:t>
      </w:r>
    </w:p>
    <w:p w:rsidRPr="000C0E58" w:rsidR="00D11E57"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100</w:t>
      </w:r>
      <w:r w:rsidRPr="000C0E58">
        <w:rPr>
          <w:lang w:val="en-GB"/>
        </w:rPr>
        <w:fldChar w:fldCharType="end"/>
      </w:r>
      <w:r w:rsidRPr="000C0E58">
        <w:rPr>
          <w:lang w:val="en-GB"/>
        </w:rPr>
        <w:t>.  </w:t>
      </w:r>
      <w:r w:rsidRPr="000C0E58" w:rsidR="0021071B">
        <w:rPr>
          <w:lang w:val="en-GB"/>
        </w:rPr>
        <w:t>A</w:t>
      </w:r>
      <w:r w:rsidRPr="000C0E58">
        <w:rPr>
          <w:lang w:val="en-GB"/>
        </w:rPr>
        <w:t xml:space="preserve">s mentioned above, </w:t>
      </w:r>
      <w:r w:rsidRPr="000C0E58" w:rsidR="00FD2B75">
        <w:rPr>
          <w:lang w:val="en-GB"/>
        </w:rPr>
        <w:t xml:space="preserve">a proprietary interest recognised under domestic law – even if revocable in certain circumstances – may constitute a “possession” for the purposes of Article 1 of Protocol No. 1 </w:t>
      </w:r>
      <w:r w:rsidRPr="000C0E58">
        <w:rPr>
          <w:lang w:val="en-GB"/>
        </w:rPr>
        <w:t xml:space="preserve">(see </w:t>
      </w:r>
      <w:r w:rsidRPr="000C0E58">
        <w:rPr>
          <w:i/>
          <w:lang w:val="en-GB"/>
        </w:rPr>
        <w:t>Beyeler</w:t>
      </w:r>
      <w:r w:rsidRPr="000C0E58">
        <w:rPr>
          <w:lang w:val="en-GB"/>
        </w:rPr>
        <w:t xml:space="preserve">, cited above, § 105). </w:t>
      </w:r>
      <w:r w:rsidRPr="000C0E58" w:rsidR="00D16568">
        <w:rPr>
          <w:lang w:val="en-GB"/>
        </w:rPr>
        <w:t>I</w:t>
      </w:r>
      <w:r w:rsidRPr="000C0E58" w:rsidR="00C15388">
        <w:rPr>
          <w:lang w:val="en-GB"/>
        </w:rPr>
        <w:t>n following such an approach</w:t>
      </w:r>
      <w:r w:rsidRPr="000C0E58">
        <w:rPr>
          <w:lang w:val="en-GB"/>
        </w:rPr>
        <w:t xml:space="preserve">, the Court has declared Article 1 of Protocol No. 1 applicable in a number of cases where the applicants, by the time they lodged their application with the Court, no </w:t>
      </w:r>
      <w:r w:rsidRPr="000C0E58">
        <w:rPr>
          <w:lang w:val="en-GB"/>
        </w:rPr>
        <w:t xml:space="preserve">longer satisfied the conditions of entitlement laid down in </w:t>
      </w:r>
      <w:r w:rsidRPr="000C0E58" w:rsidR="0013348F">
        <w:rPr>
          <w:lang w:val="en-GB"/>
        </w:rPr>
        <w:t>national</w:t>
      </w:r>
      <w:r w:rsidRPr="000C0E58">
        <w:rPr>
          <w:lang w:val="en-GB"/>
        </w:rPr>
        <w:t xml:space="preserve"> law for the benefit in question (see, for example</w:t>
      </w:r>
      <w:r w:rsidRPr="000C0E58" w:rsidR="008835A7">
        <w:rPr>
          <w:lang w:val="en-GB"/>
        </w:rPr>
        <w:t xml:space="preserve">, </w:t>
      </w:r>
      <w:r w:rsidRPr="000C0E58" w:rsidR="008835A7">
        <w:rPr>
          <w:i/>
          <w:lang w:val="en-GB"/>
        </w:rPr>
        <w:t>Kjartan Ásmundsson</w:t>
      </w:r>
      <w:r w:rsidRPr="000C0E58" w:rsidR="00696877">
        <w:rPr>
          <w:lang w:val="en-GB"/>
        </w:rPr>
        <w:t>, cited above, § </w:t>
      </w:r>
      <w:r w:rsidRPr="000C0E58" w:rsidR="008835A7">
        <w:rPr>
          <w:lang w:val="en-GB"/>
        </w:rPr>
        <w:t>40)</w:t>
      </w:r>
      <w:r w:rsidRPr="000C0E58">
        <w:rPr>
          <w:lang w:val="en-GB"/>
        </w:rPr>
        <w:t>.</w:t>
      </w:r>
    </w:p>
    <w:p w:rsidRPr="000C0E58" w:rsidR="00D11E57"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101</w:t>
      </w:r>
      <w:r w:rsidRPr="000C0E58">
        <w:rPr>
          <w:lang w:val="en-GB"/>
        </w:rPr>
        <w:fldChar w:fldCharType="end"/>
      </w:r>
      <w:r w:rsidRPr="000C0E58">
        <w:rPr>
          <w:lang w:val="en-GB"/>
        </w:rPr>
        <w:t>.  </w:t>
      </w:r>
      <w:r w:rsidRPr="000C0E58" w:rsidR="009B77D0">
        <w:rPr>
          <w:lang w:val="en-GB"/>
        </w:rPr>
        <w:t>A closer examination is therefore warranted as to</w:t>
      </w:r>
      <w:r w:rsidRPr="000C0E58">
        <w:rPr>
          <w:lang w:val="en-GB"/>
        </w:rPr>
        <w:t xml:space="preserve"> whether, at least until the alleged legislative interference in 2012, the applicant had a sufficiently established, substantive proprietary interest that qualified as a “</w:t>
      </w:r>
      <w:r w:rsidRPr="000C0E58" w:rsidR="009B77D0">
        <w:rPr>
          <w:lang w:val="en-GB"/>
        </w:rPr>
        <w:t>possession</w:t>
      </w:r>
      <w:r w:rsidRPr="000C0E58">
        <w:rPr>
          <w:lang w:val="en-GB"/>
        </w:rPr>
        <w:t>” for the purposes</w:t>
      </w:r>
      <w:r w:rsidRPr="000C0E58" w:rsidR="009B77D0">
        <w:rPr>
          <w:lang w:val="en-GB"/>
        </w:rPr>
        <w:t xml:space="preserve"> of Article 1 of Protocol No. 1 (see paragraph</w:t>
      </w:r>
      <w:r w:rsidRPr="000C0E58" w:rsidR="00A72CCA">
        <w:rPr>
          <w:lang w:val="en-GB"/>
        </w:rPr>
        <w:t> </w:t>
      </w:r>
      <w:r w:rsidRPr="000C0E58" w:rsidR="00702E0E">
        <w:rPr>
          <w:lang w:val="en-GB"/>
        </w:rPr>
        <w:t>79</w:t>
      </w:r>
      <w:r w:rsidRPr="000C0E58" w:rsidR="009B77D0">
        <w:rPr>
          <w:lang w:val="en-GB"/>
        </w:rPr>
        <w:t xml:space="preserve"> above).</w:t>
      </w:r>
    </w:p>
    <w:p w:rsidRPr="000C0E58" w:rsidR="001B094E" w:rsidP="000C0E58">
      <w:pPr>
        <w:pStyle w:val="ECHRPara"/>
        <w:rPr>
          <w:rFonts w:ascii="Times New Roman" w:hAnsi="Times New Roman" w:eastAsia="Times New Roman" w:cs="Times New Roman"/>
          <w:szCs w:val="24"/>
          <w:lang w:val="en-GB"/>
        </w:rPr>
      </w:pPr>
      <w:r w:rsidRPr="000C0E58">
        <w:rPr>
          <w:rFonts w:ascii="Times New Roman" w:hAnsi="Times New Roman" w:eastAsia="Times New Roman" w:cs="Times New Roman"/>
          <w:szCs w:val="24"/>
          <w:lang w:val="en-GB"/>
        </w:rPr>
        <w:fldChar w:fldCharType="begin"/>
      </w:r>
      <w:r w:rsidRPr="000C0E58">
        <w:rPr>
          <w:rFonts w:ascii="Times New Roman" w:hAnsi="Times New Roman" w:eastAsia="Times New Roman" w:cs="Times New Roman"/>
          <w:szCs w:val="24"/>
          <w:lang w:val="en-GB"/>
        </w:rPr>
        <w:instrText xml:space="preserve"> SEQ level0 \*arabic </w:instrText>
      </w:r>
      <w:r w:rsidRPr="000C0E58">
        <w:rPr>
          <w:rFonts w:ascii="Times New Roman" w:hAnsi="Times New Roman" w:eastAsia="Times New Roman" w:cs="Times New Roman"/>
          <w:szCs w:val="24"/>
          <w:lang w:val="en-GB"/>
        </w:rPr>
        <w:fldChar w:fldCharType="separate"/>
      </w:r>
      <w:r w:rsidRPr="000C0E58" w:rsidR="000C0E58">
        <w:rPr>
          <w:rFonts w:ascii="Times New Roman" w:hAnsi="Times New Roman" w:eastAsia="Times New Roman" w:cs="Times New Roman"/>
          <w:noProof/>
          <w:szCs w:val="24"/>
          <w:lang w:val="en-GB"/>
        </w:rPr>
        <w:t>102</w:t>
      </w:r>
      <w:r w:rsidRPr="000C0E58">
        <w:rPr>
          <w:rFonts w:ascii="Times New Roman" w:hAnsi="Times New Roman" w:eastAsia="Times New Roman" w:cs="Times New Roman"/>
          <w:szCs w:val="24"/>
          <w:lang w:val="en-GB"/>
        </w:rPr>
        <w:fldChar w:fldCharType="end"/>
      </w:r>
      <w:r w:rsidRPr="000C0E58">
        <w:rPr>
          <w:rFonts w:ascii="Times New Roman" w:hAnsi="Times New Roman" w:eastAsia="Times New Roman" w:cs="Times New Roman"/>
          <w:szCs w:val="24"/>
          <w:lang w:val="en-GB"/>
        </w:rPr>
        <w:t>.  </w:t>
      </w:r>
      <w:r w:rsidRPr="000C0E58" w:rsidR="00FA50B7">
        <w:rPr>
          <w:rFonts w:ascii="Times New Roman" w:hAnsi="Times New Roman" w:eastAsia="Times New Roman" w:cs="Times New Roman"/>
          <w:szCs w:val="24"/>
          <w:lang w:val="en-GB"/>
        </w:rPr>
        <w:t>In this connection, the Court observes in particular that during the intervening period between the discontinuation of the applicant</w:t>
      </w:r>
      <w:r w:rsidRPr="000C0E58" w:rsidR="000C0E58">
        <w:rPr>
          <w:rFonts w:ascii="Times New Roman" w:hAnsi="Times New Roman" w:eastAsia="Times New Roman" w:cs="Times New Roman"/>
          <w:szCs w:val="24"/>
          <w:lang w:val="en-GB"/>
        </w:rPr>
        <w:t>’</w:t>
      </w:r>
      <w:r w:rsidRPr="000C0E58" w:rsidR="00FA50B7">
        <w:rPr>
          <w:rFonts w:ascii="Times New Roman" w:hAnsi="Times New Roman" w:eastAsia="Times New Roman" w:cs="Times New Roman"/>
          <w:szCs w:val="24"/>
          <w:lang w:val="en-GB"/>
        </w:rPr>
        <w:t>s disability pension in 2010 and the legislat</w:t>
      </w:r>
      <w:r w:rsidRPr="000C0E58" w:rsidR="00D16568">
        <w:rPr>
          <w:rFonts w:ascii="Times New Roman" w:hAnsi="Times New Roman" w:eastAsia="Times New Roman" w:cs="Times New Roman"/>
          <w:szCs w:val="24"/>
          <w:lang w:val="en-GB"/>
        </w:rPr>
        <w:t>ure</w:t>
      </w:r>
      <w:r w:rsidRPr="000C0E58" w:rsidR="000C0E58">
        <w:rPr>
          <w:rFonts w:ascii="Times New Roman" w:hAnsi="Times New Roman" w:eastAsia="Times New Roman" w:cs="Times New Roman"/>
          <w:szCs w:val="24"/>
          <w:lang w:val="en-GB"/>
        </w:rPr>
        <w:t>’</w:t>
      </w:r>
      <w:r w:rsidRPr="000C0E58" w:rsidR="00FA50B7">
        <w:rPr>
          <w:rFonts w:ascii="Times New Roman" w:hAnsi="Times New Roman" w:eastAsia="Times New Roman" w:cs="Times New Roman"/>
          <w:szCs w:val="24"/>
          <w:lang w:val="en-GB"/>
        </w:rPr>
        <w:t xml:space="preserve">s introduction of the new </w:t>
      </w:r>
      <w:r w:rsidRPr="000C0E58" w:rsidR="009062FD">
        <w:rPr>
          <w:rFonts w:ascii="Times New Roman" w:hAnsi="Times New Roman" w:eastAsia="Times New Roman" w:cs="Times New Roman"/>
          <w:szCs w:val="24"/>
          <w:lang w:val="en-GB"/>
        </w:rPr>
        <w:t xml:space="preserve">contribution </w:t>
      </w:r>
      <w:r w:rsidRPr="000C0E58" w:rsidR="00FA50B7">
        <w:rPr>
          <w:rFonts w:ascii="Times New Roman" w:hAnsi="Times New Roman" w:eastAsia="Times New Roman" w:cs="Times New Roman"/>
          <w:szCs w:val="24"/>
          <w:lang w:val="en-GB"/>
        </w:rPr>
        <w:t>requirement in 2012, the applicant not only continued to be part of the social</w:t>
      </w:r>
      <w:r w:rsidRPr="000C0E58" w:rsidR="00D16568">
        <w:rPr>
          <w:rFonts w:ascii="Times New Roman" w:hAnsi="Times New Roman" w:eastAsia="Times New Roman" w:cs="Times New Roman"/>
          <w:szCs w:val="24"/>
          <w:lang w:val="en-GB"/>
        </w:rPr>
        <w:t>-</w:t>
      </w:r>
      <w:r w:rsidRPr="000C0E58" w:rsidR="00FA50B7">
        <w:rPr>
          <w:rFonts w:ascii="Times New Roman" w:hAnsi="Times New Roman" w:eastAsia="Times New Roman" w:cs="Times New Roman"/>
          <w:szCs w:val="24"/>
          <w:lang w:val="en-GB"/>
        </w:rPr>
        <w:t xml:space="preserve">security system but also continued to fulfil the relevant </w:t>
      </w:r>
      <w:r w:rsidRPr="000C0E58" w:rsidR="00D16568">
        <w:rPr>
          <w:rFonts w:ascii="Times New Roman" w:hAnsi="Times New Roman" w:eastAsia="Times New Roman" w:cs="Times New Roman"/>
          <w:szCs w:val="24"/>
          <w:lang w:val="en-GB"/>
        </w:rPr>
        <w:t>length-of-</w:t>
      </w:r>
      <w:r w:rsidRPr="000C0E58" w:rsidR="00FA50B7">
        <w:rPr>
          <w:rFonts w:ascii="Times New Roman" w:hAnsi="Times New Roman" w:eastAsia="Times New Roman" w:cs="Times New Roman"/>
          <w:szCs w:val="24"/>
          <w:lang w:val="en-GB"/>
        </w:rPr>
        <w:t>service requirement for disability benefits</w:t>
      </w:r>
      <w:r w:rsidRPr="000C0E58" w:rsidR="00AD7EDB">
        <w:rPr>
          <w:rFonts w:ascii="Times New Roman" w:hAnsi="Times New Roman" w:eastAsia="Times New Roman" w:cs="Times New Roman"/>
          <w:szCs w:val="24"/>
          <w:lang w:val="en-GB"/>
        </w:rPr>
        <w:t>.</w:t>
      </w:r>
      <w:r w:rsidRPr="000C0E58" w:rsidR="0056031C">
        <w:rPr>
          <w:rFonts w:ascii="Times New Roman" w:hAnsi="Times New Roman" w:eastAsia="Times New Roman" w:cs="Times New Roman"/>
          <w:szCs w:val="24"/>
          <w:lang w:val="en-GB"/>
        </w:rPr>
        <w:t xml:space="preserve"> </w:t>
      </w:r>
      <w:r w:rsidRPr="000C0E58" w:rsidR="00AD7EDB">
        <w:rPr>
          <w:rFonts w:ascii="Times New Roman" w:hAnsi="Times New Roman" w:eastAsia="Times New Roman" w:cs="Times New Roman"/>
          <w:szCs w:val="24"/>
          <w:lang w:val="en-GB"/>
        </w:rPr>
        <w:t xml:space="preserve">Co-operating with the authorities at all times, and actively and continuously </w:t>
      </w:r>
      <w:r w:rsidRPr="000C0E58" w:rsidR="00F9559D">
        <w:rPr>
          <w:rFonts w:ascii="Times New Roman" w:hAnsi="Times New Roman" w:eastAsia="Times New Roman" w:cs="Times New Roman"/>
          <w:szCs w:val="24"/>
          <w:lang w:val="en-GB"/>
        </w:rPr>
        <w:t>purs</w:t>
      </w:r>
      <w:r w:rsidRPr="000C0E58" w:rsidR="00C257F8">
        <w:rPr>
          <w:rFonts w:ascii="Times New Roman" w:hAnsi="Times New Roman" w:eastAsia="Times New Roman" w:cs="Times New Roman"/>
          <w:szCs w:val="24"/>
          <w:lang w:val="en-GB"/>
        </w:rPr>
        <w:t>u</w:t>
      </w:r>
      <w:r w:rsidRPr="000C0E58" w:rsidR="00F9559D">
        <w:rPr>
          <w:rFonts w:ascii="Times New Roman" w:hAnsi="Times New Roman" w:eastAsia="Times New Roman" w:cs="Times New Roman"/>
          <w:szCs w:val="24"/>
          <w:lang w:val="en-GB"/>
        </w:rPr>
        <w:t xml:space="preserve">ing </w:t>
      </w:r>
      <w:r w:rsidRPr="000C0E58" w:rsidR="00C257F8">
        <w:rPr>
          <w:rFonts w:ascii="Times New Roman" w:hAnsi="Times New Roman" w:eastAsia="Times New Roman" w:cs="Times New Roman"/>
          <w:szCs w:val="24"/>
          <w:lang w:val="en-GB"/>
        </w:rPr>
        <w:t>her</w:t>
      </w:r>
      <w:r w:rsidRPr="000C0E58" w:rsidR="00AD7EDB">
        <w:rPr>
          <w:rFonts w:ascii="Times New Roman" w:hAnsi="Times New Roman" w:eastAsia="Times New Roman" w:cs="Times New Roman"/>
          <w:szCs w:val="24"/>
          <w:lang w:val="en-GB"/>
        </w:rPr>
        <w:t xml:space="preserve"> disability </w:t>
      </w:r>
      <w:r w:rsidRPr="000C0E58" w:rsidR="00C257F8">
        <w:rPr>
          <w:rFonts w:ascii="Times New Roman" w:hAnsi="Times New Roman" w:eastAsia="Times New Roman" w:cs="Times New Roman"/>
          <w:szCs w:val="24"/>
          <w:lang w:val="en-GB"/>
        </w:rPr>
        <w:t>claim</w:t>
      </w:r>
      <w:r w:rsidRPr="000C0E58" w:rsidR="00AD7EDB">
        <w:rPr>
          <w:rFonts w:ascii="Times New Roman" w:hAnsi="Times New Roman" w:eastAsia="Times New Roman" w:cs="Times New Roman"/>
          <w:szCs w:val="24"/>
          <w:lang w:val="en-GB"/>
        </w:rPr>
        <w:t xml:space="preserve">, she </w:t>
      </w:r>
      <w:r w:rsidRPr="000C0E58" w:rsidR="002114B0">
        <w:rPr>
          <w:rFonts w:ascii="Times New Roman" w:hAnsi="Times New Roman" w:eastAsia="Times New Roman" w:cs="Times New Roman"/>
          <w:szCs w:val="24"/>
          <w:lang w:val="en-GB"/>
        </w:rPr>
        <w:t>under</w:t>
      </w:r>
      <w:r w:rsidRPr="000C0E58" w:rsidR="00AD7EDB">
        <w:rPr>
          <w:rFonts w:ascii="Times New Roman" w:hAnsi="Times New Roman" w:eastAsia="Times New Roman" w:cs="Times New Roman"/>
          <w:szCs w:val="24"/>
          <w:lang w:val="en-GB"/>
        </w:rPr>
        <w:t xml:space="preserve">went several </w:t>
      </w:r>
      <w:r w:rsidRPr="000C0E58" w:rsidR="002114B0">
        <w:rPr>
          <w:rFonts w:ascii="Times New Roman" w:hAnsi="Times New Roman" w:eastAsia="Times New Roman" w:cs="Times New Roman"/>
          <w:szCs w:val="24"/>
          <w:lang w:val="en-GB"/>
        </w:rPr>
        <w:t>periodic reassessments of her condition</w:t>
      </w:r>
      <w:r w:rsidRPr="000C0E58" w:rsidR="00AD7EDB">
        <w:rPr>
          <w:rFonts w:ascii="Times New Roman" w:hAnsi="Times New Roman" w:eastAsia="Times New Roman" w:cs="Times New Roman"/>
          <w:szCs w:val="24"/>
          <w:lang w:val="en-GB"/>
        </w:rPr>
        <w:t xml:space="preserve"> in the years 2011 and 2012;</w:t>
      </w:r>
      <w:r w:rsidRPr="000C0E58" w:rsidR="002114B0">
        <w:rPr>
          <w:rFonts w:ascii="Times New Roman" w:hAnsi="Times New Roman" w:eastAsia="Times New Roman" w:cs="Times New Roman"/>
          <w:szCs w:val="24"/>
          <w:lang w:val="en-GB"/>
        </w:rPr>
        <w:t xml:space="preserve"> </w:t>
      </w:r>
      <w:r w:rsidRPr="000C0E58" w:rsidR="00AD7EDB">
        <w:rPr>
          <w:rFonts w:ascii="Times New Roman" w:hAnsi="Times New Roman" w:eastAsia="Times New Roman" w:cs="Times New Roman"/>
          <w:szCs w:val="24"/>
          <w:lang w:val="en-GB"/>
        </w:rPr>
        <w:t xml:space="preserve">further such assessments were scheduled for </w:t>
      </w:r>
      <w:r w:rsidRPr="000C0E58" w:rsidR="00E51D39">
        <w:rPr>
          <w:rFonts w:ascii="Times New Roman" w:hAnsi="Times New Roman" w:eastAsia="Times New Roman" w:cs="Times New Roman"/>
          <w:szCs w:val="24"/>
          <w:lang w:val="en-GB"/>
        </w:rPr>
        <w:t xml:space="preserve">November 2012, </w:t>
      </w:r>
      <w:r w:rsidRPr="000C0E58" w:rsidR="00236C64">
        <w:rPr>
          <w:rFonts w:ascii="Times New Roman" w:hAnsi="Times New Roman" w:eastAsia="Times New Roman" w:cs="Times New Roman"/>
          <w:szCs w:val="24"/>
          <w:lang w:val="en-GB"/>
        </w:rPr>
        <w:t xml:space="preserve">April and </w:t>
      </w:r>
      <w:r w:rsidRPr="000C0E58" w:rsidR="00AD7EDB">
        <w:rPr>
          <w:rFonts w:ascii="Times New Roman" w:hAnsi="Times New Roman" w:eastAsia="Times New Roman" w:cs="Times New Roman"/>
          <w:szCs w:val="24"/>
          <w:lang w:val="en-GB"/>
        </w:rPr>
        <w:t>September 2014 and March 2015</w:t>
      </w:r>
      <w:r w:rsidRPr="000C0E58" w:rsidR="00FA50B7">
        <w:rPr>
          <w:rFonts w:ascii="Times New Roman" w:hAnsi="Times New Roman" w:eastAsia="Times New Roman" w:cs="Times New Roman"/>
          <w:szCs w:val="24"/>
          <w:lang w:val="en-GB"/>
        </w:rPr>
        <w:t>.</w:t>
      </w:r>
    </w:p>
    <w:p w:rsidRPr="000C0E58" w:rsidR="00310435" w:rsidP="000C0E58">
      <w:pPr>
        <w:pStyle w:val="ECHRPara"/>
        <w:rPr>
          <w:rFonts w:ascii="Times New Roman" w:hAnsi="Times New Roman" w:eastAsia="Times New Roman" w:cs="Times New Roman"/>
          <w:szCs w:val="24"/>
          <w:lang w:val="en-GB"/>
        </w:rPr>
      </w:pPr>
      <w:r w:rsidRPr="000C0E58">
        <w:rPr>
          <w:rFonts w:ascii="Times New Roman" w:hAnsi="Times New Roman" w:eastAsia="Times New Roman" w:cs="Times New Roman"/>
          <w:szCs w:val="24"/>
          <w:lang w:val="en-GB"/>
        </w:rPr>
        <w:fldChar w:fldCharType="begin"/>
      </w:r>
      <w:r w:rsidRPr="000C0E58">
        <w:rPr>
          <w:rFonts w:ascii="Times New Roman" w:hAnsi="Times New Roman" w:eastAsia="Times New Roman" w:cs="Times New Roman"/>
          <w:szCs w:val="24"/>
          <w:lang w:val="en-GB"/>
        </w:rPr>
        <w:instrText xml:space="preserve"> SEQ level0 \*arabic </w:instrText>
      </w:r>
      <w:r w:rsidRPr="000C0E58">
        <w:rPr>
          <w:rFonts w:ascii="Times New Roman" w:hAnsi="Times New Roman" w:eastAsia="Times New Roman" w:cs="Times New Roman"/>
          <w:szCs w:val="24"/>
          <w:lang w:val="en-GB"/>
        </w:rPr>
        <w:fldChar w:fldCharType="separate"/>
      </w:r>
      <w:r w:rsidRPr="000C0E58" w:rsidR="000C0E58">
        <w:rPr>
          <w:rFonts w:ascii="Times New Roman" w:hAnsi="Times New Roman" w:eastAsia="Times New Roman" w:cs="Times New Roman"/>
          <w:noProof/>
          <w:szCs w:val="24"/>
          <w:lang w:val="en-GB"/>
        </w:rPr>
        <w:t>103</w:t>
      </w:r>
      <w:r w:rsidRPr="000C0E58">
        <w:rPr>
          <w:rFonts w:ascii="Times New Roman" w:hAnsi="Times New Roman" w:eastAsia="Times New Roman" w:cs="Times New Roman"/>
          <w:szCs w:val="24"/>
          <w:lang w:val="en-GB"/>
        </w:rPr>
        <w:fldChar w:fldCharType="end"/>
      </w:r>
      <w:r w:rsidRPr="000C0E58">
        <w:rPr>
          <w:rFonts w:ascii="Times New Roman" w:hAnsi="Times New Roman" w:eastAsia="Times New Roman" w:cs="Times New Roman"/>
          <w:szCs w:val="24"/>
          <w:lang w:val="en-GB"/>
        </w:rPr>
        <w:t>.  </w:t>
      </w:r>
      <w:r w:rsidRPr="000C0E58">
        <w:rPr>
          <w:rFonts w:ascii="Times New Roman" w:hAnsi="Times New Roman" w:eastAsia="Times New Roman" w:cs="Times New Roman"/>
          <w:szCs w:val="24"/>
          <w:lang w:val="en-GB"/>
        </w:rPr>
        <w:t>In its</w:t>
      </w:r>
      <w:r w:rsidRPr="000C0E58" w:rsidR="00B53A5E">
        <w:rPr>
          <w:rFonts w:ascii="Times New Roman" w:hAnsi="Times New Roman" w:eastAsia="Times New Roman" w:cs="Times New Roman"/>
          <w:szCs w:val="24"/>
          <w:lang w:val="en-GB"/>
        </w:rPr>
        <w:t xml:space="preserve"> ruling of 1 April 2011, the Nyíregyhá</w:t>
      </w:r>
      <w:r w:rsidRPr="000C0E58">
        <w:rPr>
          <w:rFonts w:ascii="Times New Roman" w:hAnsi="Times New Roman" w:eastAsia="Times New Roman" w:cs="Times New Roman"/>
          <w:szCs w:val="24"/>
          <w:lang w:val="en-GB"/>
        </w:rPr>
        <w:t>za Labour Court</w:t>
      </w:r>
      <w:r w:rsidRPr="000C0E58" w:rsidR="000378B4">
        <w:rPr>
          <w:rFonts w:ascii="Times New Roman" w:hAnsi="Times New Roman" w:eastAsia="Times New Roman" w:cs="Times New Roman"/>
          <w:szCs w:val="24"/>
          <w:lang w:val="en-GB"/>
        </w:rPr>
        <w:t xml:space="preserve"> noted that the applicant had accrued 23 years and 71 days of service time </w:t>
      </w:r>
      <w:r w:rsidRPr="000C0E58" w:rsidR="00A346E5">
        <w:rPr>
          <w:rFonts w:ascii="Times New Roman" w:hAnsi="Times New Roman" w:eastAsia="Times New Roman" w:cs="Times New Roman"/>
          <w:szCs w:val="24"/>
          <w:lang w:val="en-GB"/>
        </w:rPr>
        <w:t>(see paragraph 16 above)</w:t>
      </w:r>
      <w:r w:rsidRPr="000C0E58" w:rsidR="00A72CCA">
        <w:rPr>
          <w:rFonts w:ascii="Times New Roman" w:hAnsi="Times New Roman" w:eastAsia="Times New Roman" w:cs="Times New Roman"/>
          <w:szCs w:val="24"/>
          <w:lang w:val="en-GB"/>
        </w:rPr>
        <w:t>,</w:t>
      </w:r>
      <w:r w:rsidRPr="000C0E58" w:rsidR="00A346E5">
        <w:rPr>
          <w:rFonts w:ascii="Times New Roman" w:hAnsi="Times New Roman" w:eastAsia="Times New Roman" w:cs="Times New Roman"/>
          <w:szCs w:val="24"/>
          <w:lang w:val="en-GB"/>
        </w:rPr>
        <w:t xml:space="preserve"> </w:t>
      </w:r>
      <w:r w:rsidRPr="000C0E58" w:rsidR="000378B4">
        <w:rPr>
          <w:rFonts w:ascii="Times New Roman" w:hAnsi="Times New Roman" w:eastAsia="Times New Roman" w:cs="Times New Roman"/>
          <w:szCs w:val="24"/>
          <w:lang w:val="en-GB"/>
        </w:rPr>
        <w:t>which, the Court observes, far exceed</w:t>
      </w:r>
      <w:r w:rsidRPr="000C0E58" w:rsidR="00830C3C">
        <w:rPr>
          <w:rFonts w:ascii="Times New Roman" w:hAnsi="Times New Roman" w:eastAsia="Times New Roman" w:cs="Times New Roman"/>
          <w:szCs w:val="24"/>
          <w:lang w:val="en-GB"/>
        </w:rPr>
        <w:t>s</w:t>
      </w:r>
      <w:r w:rsidRPr="000C0E58" w:rsidR="000378B4">
        <w:rPr>
          <w:rFonts w:ascii="Times New Roman" w:hAnsi="Times New Roman" w:eastAsia="Times New Roman" w:cs="Times New Roman"/>
          <w:szCs w:val="24"/>
          <w:lang w:val="en-GB"/>
        </w:rPr>
        <w:t xml:space="preserve"> the five</w:t>
      </w:r>
      <w:r w:rsidRPr="000C0E58" w:rsidR="00A72CCA">
        <w:rPr>
          <w:rFonts w:ascii="Times New Roman" w:hAnsi="Times New Roman" w:eastAsia="Times New Roman" w:cs="Times New Roman"/>
          <w:szCs w:val="24"/>
          <w:lang w:val="en-GB"/>
        </w:rPr>
        <w:t>-</w:t>
      </w:r>
      <w:r w:rsidRPr="000C0E58" w:rsidR="000378B4">
        <w:rPr>
          <w:rFonts w:ascii="Times New Roman" w:hAnsi="Times New Roman" w:eastAsia="Times New Roman" w:cs="Times New Roman"/>
          <w:szCs w:val="24"/>
          <w:lang w:val="en-GB"/>
        </w:rPr>
        <w:t xml:space="preserve">year minimum period </w:t>
      </w:r>
      <w:r w:rsidRPr="000C0E58" w:rsidR="00A346E5">
        <w:rPr>
          <w:rFonts w:ascii="Times New Roman" w:hAnsi="Times New Roman" w:eastAsia="Times New Roman" w:cs="Times New Roman"/>
          <w:szCs w:val="24"/>
          <w:lang w:val="en-GB"/>
        </w:rPr>
        <w:t>(</w:t>
      </w:r>
      <w:r w:rsidRPr="000C0E58">
        <w:rPr>
          <w:rFonts w:ascii="Times New Roman" w:hAnsi="Times New Roman" w:eastAsia="Times New Roman" w:cs="Times New Roman"/>
          <w:szCs w:val="24"/>
          <w:lang w:val="en-GB"/>
        </w:rPr>
        <w:t>prior to contingency</w:t>
      </w:r>
      <w:r w:rsidRPr="000C0E58" w:rsidR="00A346E5">
        <w:rPr>
          <w:rFonts w:ascii="Times New Roman" w:hAnsi="Times New Roman" w:eastAsia="Times New Roman" w:cs="Times New Roman"/>
          <w:szCs w:val="24"/>
          <w:lang w:val="en-GB"/>
        </w:rPr>
        <w:t>)</w:t>
      </w:r>
      <w:r w:rsidRPr="000C0E58">
        <w:rPr>
          <w:rFonts w:ascii="Times New Roman" w:hAnsi="Times New Roman" w:eastAsia="Times New Roman" w:cs="Times New Roman"/>
          <w:szCs w:val="24"/>
          <w:lang w:val="en-GB"/>
        </w:rPr>
        <w:t xml:space="preserve"> </w:t>
      </w:r>
      <w:r w:rsidRPr="000C0E58" w:rsidR="000378B4">
        <w:rPr>
          <w:rFonts w:ascii="Times New Roman" w:hAnsi="Times New Roman" w:eastAsia="Times New Roman" w:cs="Times New Roman"/>
          <w:szCs w:val="24"/>
          <w:lang w:val="en-GB"/>
        </w:rPr>
        <w:t xml:space="preserve">warranting at least a reduced invalidity benefit </w:t>
      </w:r>
      <w:r w:rsidRPr="000C0E58" w:rsidR="00A72CCA">
        <w:rPr>
          <w:rFonts w:ascii="Times New Roman" w:hAnsi="Times New Roman" w:eastAsia="Times New Roman" w:cs="Times New Roman"/>
          <w:szCs w:val="24"/>
          <w:lang w:val="en-GB"/>
        </w:rPr>
        <w:t xml:space="preserve">under </w:t>
      </w:r>
      <w:r w:rsidRPr="000C0E58" w:rsidR="000378B4">
        <w:rPr>
          <w:rFonts w:ascii="Times New Roman" w:hAnsi="Times New Roman" w:eastAsia="Times New Roman" w:cs="Times New Roman"/>
          <w:szCs w:val="24"/>
          <w:lang w:val="en-GB"/>
        </w:rPr>
        <w:t xml:space="preserve">the European Code of Social Security and ILO Conventions nos. 102 and 128 (see paragraph </w:t>
      </w:r>
      <w:r w:rsidRPr="000C0E58" w:rsidR="00AF3764">
        <w:rPr>
          <w:rFonts w:ascii="Times New Roman" w:hAnsi="Times New Roman" w:eastAsia="Times New Roman" w:cs="Times New Roman"/>
          <w:szCs w:val="24"/>
          <w:lang w:val="en-GB"/>
        </w:rPr>
        <w:t>42</w:t>
      </w:r>
      <w:r w:rsidRPr="000C0E58" w:rsidR="000378B4">
        <w:rPr>
          <w:rFonts w:ascii="Times New Roman" w:hAnsi="Times New Roman" w:eastAsia="Times New Roman" w:cs="Times New Roman"/>
          <w:szCs w:val="24"/>
          <w:lang w:val="en-GB"/>
        </w:rPr>
        <w:t xml:space="preserve"> above)</w:t>
      </w:r>
      <w:r w:rsidRPr="000C0E58">
        <w:rPr>
          <w:rFonts w:ascii="Times New Roman" w:hAnsi="Times New Roman" w:eastAsia="Times New Roman" w:cs="Times New Roman"/>
          <w:szCs w:val="24"/>
          <w:lang w:val="en-GB"/>
        </w:rPr>
        <w:t>. Furthermore, whilst a</w:t>
      </w:r>
      <w:r w:rsidRPr="000C0E58" w:rsidR="00560052">
        <w:rPr>
          <w:rFonts w:ascii="Times New Roman" w:hAnsi="Times New Roman" w:eastAsia="Times New Roman" w:cs="Times New Roman"/>
          <w:szCs w:val="24"/>
          <w:lang w:val="en-GB"/>
        </w:rPr>
        <w:t xml:space="preserve">pproving the withdrawal of </w:t>
      </w:r>
      <w:r w:rsidRPr="000C0E58" w:rsidR="0067234A">
        <w:rPr>
          <w:rFonts w:ascii="Times New Roman" w:hAnsi="Times New Roman" w:eastAsia="Times New Roman" w:cs="Times New Roman"/>
          <w:szCs w:val="24"/>
          <w:lang w:val="en-GB"/>
        </w:rPr>
        <w:t xml:space="preserve">the </w:t>
      </w:r>
      <w:r w:rsidRPr="000C0E58" w:rsidR="00560052">
        <w:rPr>
          <w:rFonts w:ascii="Times New Roman" w:hAnsi="Times New Roman" w:eastAsia="Times New Roman" w:cs="Times New Roman"/>
          <w:szCs w:val="24"/>
          <w:lang w:val="en-GB"/>
        </w:rPr>
        <w:t>applicant</w:t>
      </w:r>
      <w:r w:rsidRPr="000C0E58" w:rsidR="000C0E58">
        <w:rPr>
          <w:rFonts w:ascii="Times New Roman" w:hAnsi="Times New Roman" w:eastAsia="Times New Roman" w:cs="Times New Roman"/>
          <w:szCs w:val="24"/>
          <w:lang w:val="en-GB"/>
        </w:rPr>
        <w:t>’</w:t>
      </w:r>
      <w:r w:rsidRPr="000C0E58" w:rsidR="00560052">
        <w:rPr>
          <w:rFonts w:ascii="Times New Roman" w:hAnsi="Times New Roman" w:eastAsia="Times New Roman" w:cs="Times New Roman"/>
          <w:szCs w:val="24"/>
          <w:lang w:val="en-GB"/>
        </w:rPr>
        <w:t>s disability pension</w:t>
      </w:r>
      <w:r w:rsidRPr="000C0E58" w:rsidR="00805993">
        <w:rPr>
          <w:rFonts w:ascii="Times New Roman" w:hAnsi="Times New Roman" w:eastAsia="Times New Roman" w:cs="Times New Roman"/>
          <w:szCs w:val="24"/>
          <w:lang w:val="en-GB"/>
        </w:rPr>
        <w:t xml:space="preserve"> as of 1</w:t>
      </w:r>
      <w:r w:rsidRPr="000C0E58" w:rsidR="009062FD">
        <w:rPr>
          <w:rFonts w:ascii="Times New Roman" w:hAnsi="Times New Roman" w:eastAsia="Times New Roman" w:cs="Times New Roman"/>
          <w:szCs w:val="24"/>
          <w:lang w:val="en-GB"/>
        </w:rPr>
        <w:t> </w:t>
      </w:r>
      <w:r w:rsidRPr="000C0E58" w:rsidR="00805993">
        <w:rPr>
          <w:rFonts w:ascii="Times New Roman" w:hAnsi="Times New Roman" w:eastAsia="Times New Roman" w:cs="Times New Roman"/>
          <w:szCs w:val="24"/>
          <w:lang w:val="en-GB"/>
        </w:rPr>
        <w:t>February 2010</w:t>
      </w:r>
      <w:r w:rsidRPr="000C0E58" w:rsidR="00560052">
        <w:rPr>
          <w:rFonts w:ascii="Times New Roman" w:hAnsi="Times New Roman" w:eastAsia="Times New Roman" w:cs="Times New Roman"/>
          <w:szCs w:val="24"/>
          <w:lang w:val="en-GB"/>
        </w:rPr>
        <w:t xml:space="preserve">, </w:t>
      </w:r>
      <w:r w:rsidRPr="000C0E58">
        <w:rPr>
          <w:rFonts w:ascii="Times New Roman" w:hAnsi="Times New Roman" w:eastAsia="Times New Roman" w:cs="Times New Roman"/>
          <w:szCs w:val="24"/>
          <w:lang w:val="en-GB"/>
        </w:rPr>
        <w:t xml:space="preserve">the Labour Court </w:t>
      </w:r>
      <w:r w:rsidRPr="000C0E58" w:rsidR="00560052">
        <w:rPr>
          <w:rFonts w:ascii="Times New Roman" w:hAnsi="Times New Roman" w:eastAsia="Times New Roman" w:cs="Times New Roman"/>
          <w:szCs w:val="24"/>
          <w:lang w:val="en-GB"/>
        </w:rPr>
        <w:t xml:space="preserve">expressly confirmed that a new medical assessment </w:t>
      </w:r>
      <w:r w:rsidRPr="000C0E58" w:rsidR="000378B4">
        <w:rPr>
          <w:rFonts w:ascii="Times New Roman" w:hAnsi="Times New Roman" w:eastAsia="Times New Roman" w:cs="Times New Roman"/>
          <w:szCs w:val="24"/>
          <w:lang w:val="en-GB"/>
        </w:rPr>
        <w:t>could</w:t>
      </w:r>
      <w:r w:rsidRPr="000C0E58" w:rsidR="00560052">
        <w:rPr>
          <w:rFonts w:ascii="Times New Roman" w:hAnsi="Times New Roman" w:eastAsia="Times New Roman" w:cs="Times New Roman"/>
          <w:szCs w:val="24"/>
          <w:lang w:val="en-GB"/>
        </w:rPr>
        <w:t xml:space="preserve"> take place in 2012 and dr</w:t>
      </w:r>
      <w:r w:rsidRPr="000C0E58" w:rsidR="00447B48">
        <w:rPr>
          <w:rFonts w:ascii="Times New Roman" w:hAnsi="Times New Roman" w:eastAsia="Times New Roman" w:cs="Times New Roman"/>
          <w:szCs w:val="24"/>
          <w:lang w:val="en-GB"/>
        </w:rPr>
        <w:t>e</w:t>
      </w:r>
      <w:r w:rsidRPr="000C0E58" w:rsidR="00560052">
        <w:rPr>
          <w:rFonts w:ascii="Times New Roman" w:hAnsi="Times New Roman" w:eastAsia="Times New Roman" w:cs="Times New Roman"/>
          <w:szCs w:val="24"/>
          <w:lang w:val="en-GB"/>
        </w:rPr>
        <w:t>w her attention to the possibility of making a renewed application</w:t>
      </w:r>
      <w:r w:rsidRPr="000C0E58" w:rsidR="00447B48">
        <w:rPr>
          <w:rFonts w:ascii="Times New Roman" w:hAnsi="Times New Roman" w:eastAsia="Times New Roman" w:cs="Times New Roman"/>
          <w:szCs w:val="24"/>
          <w:lang w:val="en-GB"/>
        </w:rPr>
        <w:t xml:space="preserve"> should her health deteriorate (see paragraph 16 above)</w:t>
      </w:r>
      <w:r w:rsidRPr="000C0E58" w:rsidR="00B43A56">
        <w:rPr>
          <w:rFonts w:ascii="Times New Roman" w:hAnsi="Times New Roman" w:eastAsia="Times New Roman" w:cs="Times New Roman"/>
          <w:szCs w:val="24"/>
          <w:lang w:val="en-GB"/>
        </w:rPr>
        <w:t>.</w:t>
      </w:r>
    </w:p>
    <w:p w:rsidRPr="000C0E58" w:rsidR="00B43A56" w:rsidP="000C0E58">
      <w:pPr>
        <w:pStyle w:val="ECHRPara"/>
        <w:rPr>
          <w:rFonts w:ascii="Times New Roman" w:hAnsi="Times New Roman" w:eastAsia="Times New Roman" w:cs="Times New Roman"/>
          <w:szCs w:val="24"/>
          <w:lang w:val="en-GB"/>
        </w:rPr>
      </w:pPr>
      <w:r w:rsidRPr="000C0E58">
        <w:rPr>
          <w:rFonts w:ascii="Times New Roman" w:hAnsi="Times New Roman" w:eastAsia="Times New Roman" w:cs="Times New Roman"/>
          <w:szCs w:val="24"/>
          <w:lang w:val="en-GB"/>
        </w:rPr>
        <w:fldChar w:fldCharType="begin"/>
      </w:r>
      <w:r w:rsidRPr="000C0E58">
        <w:rPr>
          <w:rFonts w:ascii="Times New Roman" w:hAnsi="Times New Roman" w:eastAsia="Times New Roman" w:cs="Times New Roman"/>
          <w:szCs w:val="24"/>
          <w:lang w:val="en-GB"/>
        </w:rPr>
        <w:instrText xml:space="preserve"> SEQ level0 \*arabic </w:instrText>
      </w:r>
      <w:r w:rsidRPr="000C0E58">
        <w:rPr>
          <w:rFonts w:ascii="Times New Roman" w:hAnsi="Times New Roman" w:eastAsia="Times New Roman" w:cs="Times New Roman"/>
          <w:szCs w:val="24"/>
          <w:lang w:val="en-GB"/>
        </w:rPr>
        <w:fldChar w:fldCharType="separate"/>
      </w:r>
      <w:r w:rsidRPr="000C0E58" w:rsidR="000C0E58">
        <w:rPr>
          <w:rFonts w:ascii="Times New Roman" w:hAnsi="Times New Roman" w:eastAsia="Times New Roman" w:cs="Times New Roman"/>
          <w:noProof/>
          <w:szCs w:val="24"/>
          <w:lang w:val="en-GB"/>
        </w:rPr>
        <w:t>104</w:t>
      </w:r>
      <w:r w:rsidRPr="000C0E58">
        <w:rPr>
          <w:rFonts w:ascii="Times New Roman" w:hAnsi="Times New Roman" w:eastAsia="Times New Roman" w:cs="Times New Roman"/>
          <w:szCs w:val="24"/>
          <w:lang w:val="en-GB"/>
        </w:rPr>
        <w:fldChar w:fldCharType="end"/>
      </w:r>
      <w:r w:rsidRPr="000C0E58">
        <w:rPr>
          <w:rFonts w:ascii="Times New Roman" w:hAnsi="Times New Roman" w:eastAsia="Times New Roman" w:cs="Times New Roman"/>
          <w:szCs w:val="24"/>
          <w:lang w:val="en-GB"/>
        </w:rPr>
        <w:t>.  </w:t>
      </w:r>
      <w:r w:rsidRPr="000C0E58" w:rsidR="00FA50B7">
        <w:rPr>
          <w:rFonts w:ascii="Times New Roman" w:hAnsi="Times New Roman" w:eastAsia="Times New Roman" w:cs="Times New Roman"/>
          <w:szCs w:val="24"/>
          <w:lang w:val="en-GB"/>
        </w:rPr>
        <w:t xml:space="preserve">Moreover, although for a while her </w:t>
      </w:r>
      <w:r w:rsidRPr="000C0E58" w:rsidR="00A72CCA">
        <w:rPr>
          <w:rFonts w:ascii="Times New Roman" w:hAnsi="Times New Roman" w:eastAsia="Times New Roman" w:cs="Times New Roman"/>
          <w:szCs w:val="24"/>
          <w:lang w:val="en-GB"/>
        </w:rPr>
        <w:t xml:space="preserve">degree of </w:t>
      </w:r>
      <w:r w:rsidRPr="000C0E58" w:rsidR="00FA50B7">
        <w:rPr>
          <w:rFonts w:ascii="Times New Roman" w:hAnsi="Times New Roman" w:eastAsia="Times New Roman" w:cs="Times New Roman"/>
          <w:szCs w:val="24"/>
          <w:lang w:val="en-GB"/>
        </w:rPr>
        <w:t>disability was considered somewhat below the minimum level required (40</w:t>
      </w:r>
      <w:r w:rsidRPr="000C0E58" w:rsidR="00D16568">
        <w:rPr>
          <w:rFonts w:ascii="Times New Roman" w:hAnsi="Times New Roman" w:eastAsia="Times New Roman" w:cs="Times New Roman"/>
          <w:szCs w:val="24"/>
          <w:lang w:val="en-GB"/>
        </w:rPr>
        <w:t>%</w:t>
      </w:r>
      <w:r w:rsidRPr="000C0E58" w:rsidR="00FA50B7">
        <w:rPr>
          <w:rFonts w:ascii="Times New Roman" w:hAnsi="Times New Roman" w:eastAsia="Times New Roman" w:cs="Times New Roman"/>
          <w:szCs w:val="24"/>
          <w:lang w:val="en-GB"/>
        </w:rPr>
        <w:t xml:space="preserve"> in December 2009 and April 2011, then 45</w:t>
      </w:r>
      <w:r w:rsidRPr="000C0E58" w:rsidR="00D16568">
        <w:rPr>
          <w:rFonts w:ascii="Times New Roman" w:hAnsi="Times New Roman" w:eastAsia="Times New Roman" w:cs="Times New Roman"/>
          <w:szCs w:val="24"/>
          <w:lang w:val="en-GB"/>
        </w:rPr>
        <w:t>%</w:t>
      </w:r>
      <w:r w:rsidRPr="000C0E58" w:rsidR="00FA50B7">
        <w:rPr>
          <w:rFonts w:ascii="Times New Roman" w:hAnsi="Times New Roman" w:eastAsia="Times New Roman" w:cs="Times New Roman"/>
          <w:szCs w:val="24"/>
          <w:lang w:val="en-GB"/>
        </w:rPr>
        <w:t xml:space="preserve"> in September 2011, see paragraphs 12 to 17 above), in December 2011, </w:t>
      </w:r>
      <w:r w:rsidRPr="000C0E58" w:rsidR="00A72CCA">
        <w:rPr>
          <w:rFonts w:ascii="Times New Roman" w:hAnsi="Times New Roman" w:eastAsia="Times New Roman" w:cs="Times New Roman"/>
          <w:szCs w:val="24"/>
          <w:lang w:val="en-GB"/>
        </w:rPr>
        <w:t xml:space="preserve">that is, </w:t>
      </w:r>
      <w:r w:rsidRPr="000C0E58" w:rsidR="00FA50B7">
        <w:rPr>
          <w:rFonts w:ascii="Times New Roman" w:hAnsi="Times New Roman" w:eastAsia="Times New Roman" w:cs="Times New Roman"/>
          <w:szCs w:val="24"/>
          <w:lang w:val="en-GB"/>
        </w:rPr>
        <w:t>before the end of the said period</w:t>
      </w:r>
      <w:r w:rsidRPr="000C0E58" w:rsidR="00A72CCA">
        <w:rPr>
          <w:rFonts w:ascii="Times New Roman" w:hAnsi="Times New Roman" w:eastAsia="Times New Roman" w:cs="Times New Roman"/>
          <w:szCs w:val="24"/>
          <w:lang w:val="en-GB"/>
        </w:rPr>
        <w:t>,</w:t>
      </w:r>
      <w:r w:rsidRPr="000C0E58" w:rsidR="00FA50B7">
        <w:rPr>
          <w:rFonts w:ascii="Times New Roman" w:hAnsi="Times New Roman" w:eastAsia="Times New Roman" w:cs="Times New Roman"/>
          <w:szCs w:val="24"/>
          <w:lang w:val="en-GB"/>
        </w:rPr>
        <w:t xml:space="preserve"> it reached 50</w:t>
      </w:r>
      <w:r w:rsidRPr="000C0E58" w:rsidR="00D16568">
        <w:rPr>
          <w:rFonts w:ascii="Times New Roman" w:hAnsi="Times New Roman" w:eastAsia="Times New Roman" w:cs="Times New Roman"/>
          <w:szCs w:val="24"/>
          <w:lang w:val="en-GB"/>
        </w:rPr>
        <w:t>%</w:t>
      </w:r>
      <w:r w:rsidRPr="000C0E58" w:rsidR="00FA50B7">
        <w:rPr>
          <w:rFonts w:ascii="Times New Roman" w:hAnsi="Times New Roman" w:eastAsia="Times New Roman" w:cs="Times New Roman"/>
          <w:szCs w:val="24"/>
          <w:lang w:val="en-GB"/>
        </w:rPr>
        <w:t xml:space="preserve">, as it did again in February 2012. </w:t>
      </w:r>
      <w:r w:rsidRPr="000C0E58" w:rsidR="00A72CCA">
        <w:rPr>
          <w:rFonts w:ascii="Times New Roman" w:hAnsi="Times New Roman" w:eastAsia="Times New Roman" w:cs="Times New Roman"/>
          <w:szCs w:val="24"/>
          <w:lang w:val="en-GB"/>
        </w:rPr>
        <w:t xml:space="preserve">It </w:t>
      </w:r>
      <w:r w:rsidRPr="000C0E58" w:rsidR="001849DB">
        <w:rPr>
          <w:szCs w:val="24"/>
          <w:lang w:val="en-GB"/>
        </w:rPr>
        <w:t>was undisputed</w:t>
      </w:r>
      <w:r w:rsidRPr="000C0E58" w:rsidR="00A72CCA">
        <w:rPr>
          <w:szCs w:val="24"/>
          <w:lang w:val="en-GB"/>
        </w:rPr>
        <w:t xml:space="preserve"> that </w:t>
      </w:r>
      <w:r w:rsidRPr="000C0E58" w:rsidR="001849DB">
        <w:rPr>
          <w:szCs w:val="24"/>
          <w:lang w:val="en-GB"/>
        </w:rPr>
        <w:t xml:space="preserve">this disability level would have qualified </w:t>
      </w:r>
      <w:r w:rsidRPr="000C0E58" w:rsidR="00A72CCA">
        <w:rPr>
          <w:szCs w:val="24"/>
          <w:lang w:val="en-GB"/>
        </w:rPr>
        <w:t xml:space="preserve">the applicant </w:t>
      </w:r>
      <w:r w:rsidRPr="000C0E58" w:rsidR="001849DB">
        <w:rPr>
          <w:szCs w:val="24"/>
          <w:lang w:val="en-GB"/>
        </w:rPr>
        <w:t xml:space="preserve">for </w:t>
      </w:r>
      <w:r w:rsidRPr="000C0E58" w:rsidR="007D5B0A">
        <w:rPr>
          <w:szCs w:val="24"/>
          <w:lang w:val="en-GB"/>
        </w:rPr>
        <w:t xml:space="preserve">a </w:t>
      </w:r>
      <w:r w:rsidRPr="000C0E58" w:rsidR="001849DB">
        <w:rPr>
          <w:szCs w:val="24"/>
          <w:lang w:val="en-GB"/>
        </w:rPr>
        <w:t xml:space="preserve">disability </w:t>
      </w:r>
      <w:r w:rsidRPr="000C0E58" w:rsidR="009062FD">
        <w:rPr>
          <w:szCs w:val="24"/>
          <w:lang w:val="en-GB"/>
        </w:rPr>
        <w:t>benefit</w:t>
      </w:r>
      <w:r w:rsidRPr="000C0E58" w:rsidR="001849DB">
        <w:rPr>
          <w:szCs w:val="24"/>
          <w:lang w:val="en-GB"/>
        </w:rPr>
        <w:t xml:space="preserve"> in February 2012 had it not been for the new retroactive </w:t>
      </w:r>
      <w:r w:rsidRPr="000C0E58" w:rsidR="009062FD">
        <w:rPr>
          <w:szCs w:val="24"/>
          <w:lang w:val="en-GB"/>
        </w:rPr>
        <w:t xml:space="preserve">contribution </w:t>
      </w:r>
      <w:r w:rsidRPr="000C0E58" w:rsidR="00F56DD1">
        <w:rPr>
          <w:szCs w:val="24"/>
          <w:lang w:val="en-GB"/>
        </w:rPr>
        <w:t>requirement</w:t>
      </w:r>
      <w:r w:rsidRPr="000C0E58" w:rsidR="00A72CCA">
        <w:rPr>
          <w:szCs w:val="24"/>
          <w:lang w:val="en-GB"/>
        </w:rPr>
        <w:t>, which was not met by her</w:t>
      </w:r>
      <w:r w:rsidRPr="000C0E58" w:rsidR="001849DB">
        <w:rPr>
          <w:szCs w:val="24"/>
          <w:lang w:val="en-GB"/>
        </w:rPr>
        <w:t xml:space="preserve">. In the meantime, </w:t>
      </w:r>
      <w:r w:rsidRPr="000C0E58" w:rsidR="002D3AC2">
        <w:rPr>
          <w:szCs w:val="24"/>
          <w:lang w:val="en-GB"/>
        </w:rPr>
        <w:t>on 13</w:t>
      </w:r>
      <w:r w:rsidRPr="000C0E58" w:rsidR="00E7382D">
        <w:rPr>
          <w:szCs w:val="24"/>
          <w:lang w:val="en-GB"/>
        </w:rPr>
        <w:t> </w:t>
      </w:r>
      <w:r w:rsidRPr="000C0E58" w:rsidR="001849DB">
        <w:rPr>
          <w:szCs w:val="24"/>
          <w:lang w:val="en-GB"/>
        </w:rPr>
        <w:t xml:space="preserve">December 2011, </w:t>
      </w:r>
      <w:r w:rsidRPr="000C0E58" w:rsidR="009062FD">
        <w:rPr>
          <w:rFonts w:ascii="Times New Roman" w:hAnsi="Times New Roman" w:eastAsia="Times New Roman" w:cs="Times New Roman"/>
          <w:szCs w:val="24"/>
          <w:lang w:val="en-GB"/>
        </w:rPr>
        <w:t xml:space="preserve">she had been recommended for rehabilitation and for the accompanying allowance – a type of benefit closely related to disability pension (see paragraph 17 above) and </w:t>
      </w:r>
      <w:r w:rsidRPr="000C0E58" w:rsidR="00DA03CE">
        <w:rPr>
          <w:rFonts w:ascii="Times New Roman" w:hAnsi="Times New Roman" w:eastAsia="Times New Roman" w:cs="Times New Roman"/>
          <w:szCs w:val="24"/>
          <w:lang w:val="en-GB"/>
        </w:rPr>
        <w:t xml:space="preserve">introduced to take the place of </w:t>
      </w:r>
      <w:r w:rsidRPr="000C0E58" w:rsidR="009062FD">
        <w:rPr>
          <w:rFonts w:ascii="Times New Roman" w:hAnsi="Times New Roman" w:eastAsia="Times New Roman" w:cs="Times New Roman"/>
          <w:szCs w:val="24"/>
          <w:lang w:val="en-GB"/>
        </w:rPr>
        <w:t xml:space="preserve">the disability pension for </w:t>
      </w:r>
      <w:r w:rsidRPr="000C0E58" w:rsidR="00DA03CE">
        <w:rPr>
          <w:rFonts w:ascii="Times New Roman" w:hAnsi="Times New Roman" w:eastAsia="Times New Roman" w:cs="Times New Roman"/>
          <w:szCs w:val="24"/>
          <w:lang w:val="en-GB"/>
        </w:rPr>
        <w:t xml:space="preserve">individuals </w:t>
      </w:r>
      <w:r w:rsidRPr="000C0E58" w:rsidR="009062FD">
        <w:rPr>
          <w:rFonts w:ascii="Times New Roman" w:hAnsi="Times New Roman" w:eastAsia="Times New Roman" w:cs="Times New Roman"/>
          <w:szCs w:val="24"/>
          <w:lang w:val="en-GB"/>
        </w:rPr>
        <w:t xml:space="preserve">capable of being rehabilitated. However, </w:t>
      </w:r>
      <w:r w:rsidRPr="000C0E58" w:rsidR="002D3AC2">
        <w:rPr>
          <w:rFonts w:ascii="Times New Roman" w:hAnsi="Times New Roman" w:eastAsia="Times New Roman" w:cs="Times New Roman"/>
          <w:szCs w:val="24"/>
          <w:lang w:val="en-GB"/>
        </w:rPr>
        <w:t>the authorities did not implement this recommendation. Had they done so</w:t>
      </w:r>
      <w:r w:rsidRPr="000C0E58" w:rsidR="00DA03CE">
        <w:rPr>
          <w:rFonts w:ascii="Times New Roman" w:hAnsi="Times New Roman" w:eastAsia="Times New Roman" w:cs="Times New Roman"/>
          <w:szCs w:val="24"/>
          <w:lang w:val="en-GB"/>
        </w:rPr>
        <w:t>,</w:t>
      </w:r>
      <w:r w:rsidRPr="000C0E58" w:rsidR="002D3AC2">
        <w:rPr>
          <w:rFonts w:ascii="Times New Roman" w:hAnsi="Times New Roman" w:eastAsia="Times New Roman" w:cs="Times New Roman"/>
          <w:szCs w:val="24"/>
          <w:lang w:val="en-GB"/>
        </w:rPr>
        <w:t xml:space="preserve"> the applicant might have been in receipt of a benefit on 31</w:t>
      </w:r>
      <w:r w:rsidRPr="000C0E58" w:rsidR="00E7382D">
        <w:rPr>
          <w:rFonts w:ascii="Times New Roman" w:hAnsi="Times New Roman" w:eastAsia="Times New Roman" w:cs="Times New Roman"/>
          <w:szCs w:val="24"/>
          <w:lang w:val="en-GB"/>
        </w:rPr>
        <w:t> </w:t>
      </w:r>
      <w:r w:rsidRPr="000C0E58" w:rsidR="002D3AC2">
        <w:rPr>
          <w:rFonts w:ascii="Times New Roman" w:hAnsi="Times New Roman" w:eastAsia="Times New Roman" w:cs="Times New Roman"/>
          <w:szCs w:val="24"/>
          <w:lang w:val="en-GB"/>
        </w:rPr>
        <w:t>December 2011, which would have altered her situation under the new law.</w:t>
      </w:r>
    </w:p>
    <w:p w:rsidRPr="000C0E58" w:rsidR="001B094E" w:rsidP="000C0E58">
      <w:pPr>
        <w:pStyle w:val="ECHRPara"/>
        <w:rPr>
          <w:rFonts w:ascii="Times New Roman" w:hAnsi="Times New Roman" w:eastAsia="Times New Roman" w:cs="Times New Roman"/>
          <w:szCs w:val="24"/>
          <w:lang w:val="en-GB"/>
        </w:rPr>
      </w:pPr>
      <w:r w:rsidRPr="000C0E58">
        <w:rPr>
          <w:rFonts w:ascii="Times New Roman" w:hAnsi="Times New Roman" w:eastAsia="Times New Roman" w:cs="Times New Roman"/>
          <w:szCs w:val="24"/>
          <w:lang w:val="en-GB"/>
        </w:rPr>
        <w:fldChar w:fldCharType="begin"/>
      </w:r>
      <w:r w:rsidRPr="000C0E58">
        <w:rPr>
          <w:rFonts w:ascii="Times New Roman" w:hAnsi="Times New Roman" w:eastAsia="Times New Roman" w:cs="Times New Roman"/>
          <w:szCs w:val="24"/>
          <w:lang w:val="en-GB"/>
        </w:rPr>
        <w:instrText xml:space="preserve"> SEQ level0 \*arabic </w:instrText>
      </w:r>
      <w:r w:rsidRPr="000C0E58">
        <w:rPr>
          <w:rFonts w:ascii="Times New Roman" w:hAnsi="Times New Roman" w:eastAsia="Times New Roman" w:cs="Times New Roman"/>
          <w:szCs w:val="24"/>
          <w:lang w:val="en-GB"/>
        </w:rPr>
        <w:fldChar w:fldCharType="separate"/>
      </w:r>
      <w:r w:rsidRPr="000C0E58" w:rsidR="000C0E58">
        <w:rPr>
          <w:rFonts w:ascii="Times New Roman" w:hAnsi="Times New Roman" w:eastAsia="Times New Roman" w:cs="Times New Roman"/>
          <w:noProof/>
          <w:szCs w:val="24"/>
          <w:lang w:val="en-GB"/>
        </w:rPr>
        <w:t>105</w:t>
      </w:r>
      <w:r w:rsidRPr="000C0E58">
        <w:rPr>
          <w:rFonts w:ascii="Times New Roman" w:hAnsi="Times New Roman" w:eastAsia="Times New Roman" w:cs="Times New Roman"/>
          <w:szCs w:val="24"/>
          <w:lang w:val="en-GB"/>
        </w:rPr>
        <w:fldChar w:fldCharType="end"/>
      </w:r>
      <w:r w:rsidRPr="000C0E58">
        <w:rPr>
          <w:rFonts w:ascii="Times New Roman" w:hAnsi="Times New Roman" w:eastAsia="Times New Roman" w:cs="Times New Roman"/>
          <w:szCs w:val="24"/>
          <w:lang w:val="en-GB"/>
        </w:rPr>
        <w:t>.  </w:t>
      </w:r>
      <w:r w:rsidRPr="000C0E58" w:rsidR="00B43A56">
        <w:rPr>
          <w:rFonts w:ascii="Times New Roman" w:hAnsi="Times New Roman" w:eastAsia="Times New Roman" w:cs="Times New Roman"/>
          <w:szCs w:val="24"/>
          <w:lang w:val="en-GB"/>
        </w:rPr>
        <w:t>The Court reiterates that the applicant contributed to the insurance scheme on a mandatory basis and satisfied the statutory requirements of eligibility</w:t>
      </w:r>
      <w:r w:rsidRPr="000C0E58" w:rsidR="00F80CDC">
        <w:rPr>
          <w:rFonts w:ascii="Times New Roman" w:hAnsi="Times New Roman" w:eastAsia="Times New Roman" w:cs="Times New Roman"/>
          <w:szCs w:val="24"/>
          <w:lang w:val="en-GB"/>
        </w:rPr>
        <w:t xml:space="preserve"> for disability benefits</w:t>
      </w:r>
      <w:r w:rsidRPr="000C0E58" w:rsidR="00B43A56">
        <w:rPr>
          <w:rFonts w:ascii="Times New Roman" w:hAnsi="Times New Roman" w:eastAsia="Times New Roman" w:cs="Times New Roman"/>
          <w:szCs w:val="24"/>
          <w:lang w:val="en-GB"/>
        </w:rPr>
        <w:t xml:space="preserve">. </w:t>
      </w:r>
      <w:r w:rsidRPr="000C0E58" w:rsidR="00E26037">
        <w:rPr>
          <w:rFonts w:ascii="Times New Roman" w:hAnsi="Times New Roman" w:eastAsia="Times New Roman" w:cs="Times New Roman"/>
          <w:szCs w:val="24"/>
          <w:lang w:val="en-GB"/>
        </w:rPr>
        <w:t>The Court has already noted that contributions to a pension fund may</w:t>
      </w:r>
      <w:r w:rsidRPr="000C0E58" w:rsidR="00DA03CE">
        <w:rPr>
          <w:rFonts w:ascii="Times New Roman" w:hAnsi="Times New Roman" w:eastAsia="Times New Roman" w:cs="Times New Roman"/>
          <w:szCs w:val="24"/>
          <w:lang w:val="en-GB"/>
        </w:rPr>
        <w:t>,</w:t>
      </w:r>
      <w:r w:rsidRPr="000C0E58" w:rsidR="00E26037">
        <w:rPr>
          <w:rFonts w:ascii="Times New Roman" w:hAnsi="Times New Roman" w:eastAsia="Times New Roman" w:cs="Times New Roman"/>
          <w:szCs w:val="24"/>
          <w:lang w:val="en-GB"/>
        </w:rPr>
        <w:t xml:space="preserve"> in certain circumstances and according to the domestic law, create a property right </w:t>
      </w:r>
      <w:r w:rsidRPr="000C0E58" w:rsidR="00DA03CE">
        <w:rPr>
          <w:rFonts w:ascii="Times New Roman" w:hAnsi="Times New Roman" w:eastAsia="Times New Roman" w:cs="Times New Roman"/>
          <w:szCs w:val="24"/>
          <w:lang w:val="en-GB"/>
        </w:rPr>
        <w:t xml:space="preserve">for the purposes </w:t>
      </w:r>
      <w:r w:rsidRPr="000C0E58" w:rsidR="00E26037">
        <w:rPr>
          <w:rFonts w:ascii="Times New Roman" w:hAnsi="Times New Roman" w:eastAsia="Times New Roman" w:cs="Times New Roman"/>
          <w:szCs w:val="24"/>
          <w:lang w:val="en-GB"/>
        </w:rPr>
        <w:t xml:space="preserve">of </w:t>
      </w:r>
      <w:r w:rsidRPr="000C0E58" w:rsidR="00372B69">
        <w:rPr>
          <w:rFonts w:ascii="Times New Roman" w:hAnsi="Times New Roman" w:eastAsia="Times New Roman" w:cs="Times New Roman"/>
          <w:szCs w:val="24"/>
          <w:lang w:val="en-GB"/>
        </w:rPr>
        <w:t>Article 1 of Protocol No. 1</w:t>
      </w:r>
      <w:r w:rsidRPr="000C0E58" w:rsidR="00E26037">
        <w:rPr>
          <w:rFonts w:ascii="Times New Roman" w:hAnsi="Times New Roman" w:eastAsia="Times New Roman" w:cs="Times New Roman"/>
          <w:szCs w:val="24"/>
          <w:lang w:val="en-GB"/>
        </w:rPr>
        <w:t xml:space="preserve"> </w:t>
      </w:r>
      <w:r w:rsidRPr="000C0E58" w:rsidR="008A2A16">
        <w:rPr>
          <w:rFonts w:ascii="Times New Roman" w:hAnsi="Times New Roman" w:eastAsia="Times New Roman" w:cs="Times New Roman"/>
          <w:szCs w:val="24"/>
          <w:lang w:val="en-GB"/>
        </w:rPr>
        <w:t>(</w:t>
      </w:r>
      <w:r w:rsidRPr="000C0E58" w:rsidR="00372B69">
        <w:rPr>
          <w:rFonts w:ascii="Times New Roman" w:hAnsi="Times New Roman" w:eastAsia="Times New Roman" w:cs="Times New Roman"/>
          <w:szCs w:val="24"/>
          <w:lang w:val="en-GB"/>
        </w:rPr>
        <w:t>see paragraph</w:t>
      </w:r>
      <w:r w:rsidRPr="000C0E58" w:rsidR="00AF3764">
        <w:rPr>
          <w:rFonts w:ascii="Times New Roman" w:hAnsi="Times New Roman" w:eastAsia="Times New Roman" w:cs="Times New Roman"/>
          <w:szCs w:val="24"/>
          <w:lang w:val="en-GB"/>
        </w:rPr>
        <w:t>s</w:t>
      </w:r>
      <w:r w:rsidRPr="000C0E58" w:rsidR="00DA03CE">
        <w:rPr>
          <w:rFonts w:ascii="Times New Roman" w:hAnsi="Times New Roman" w:eastAsia="Times New Roman" w:cs="Times New Roman"/>
          <w:szCs w:val="24"/>
          <w:lang w:val="en-GB"/>
        </w:rPr>
        <w:t> </w:t>
      </w:r>
      <w:r w:rsidRPr="000C0E58" w:rsidR="00702E0E">
        <w:rPr>
          <w:rFonts w:ascii="Times New Roman" w:hAnsi="Times New Roman" w:eastAsia="Times New Roman" w:cs="Times New Roman"/>
          <w:szCs w:val="24"/>
          <w:lang w:val="en-GB"/>
        </w:rPr>
        <w:t>81</w:t>
      </w:r>
      <w:r w:rsidRPr="000C0E58" w:rsidR="00AF3764">
        <w:rPr>
          <w:rFonts w:ascii="Times New Roman" w:hAnsi="Times New Roman" w:eastAsia="Times New Roman" w:cs="Times New Roman"/>
          <w:szCs w:val="24"/>
          <w:lang w:val="en-GB"/>
        </w:rPr>
        <w:t xml:space="preserve"> and </w:t>
      </w:r>
      <w:r w:rsidRPr="000C0E58" w:rsidR="00702E0E">
        <w:rPr>
          <w:rFonts w:ascii="Times New Roman" w:hAnsi="Times New Roman" w:eastAsia="Times New Roman" w:cs="Times New Roman"/>
          <w:szCs w:val="24"/>
          <w:lang w:val="en-GB"/>
        </w:rPr>
        <w:t>83</w:t>
      </w:r>
      <w:r w:rsidRPr="000C0E58" w:rsidR="00372B69">
        <w:rPr>
          <w:rFonts w:ascii="Times New Roman" w:hAnsi="Times New Roman" w:eastAsia="Times New Roman" w:cs="Times New Roman"/>
          <w:szCs w:val="24"/>
          <w:lang w:val="en-GB"/>
        </w:rPr>
        <w:t xml:space="preserve"> above) </w:t>
      </w:r>
      <w:r w:rsidRPr="000C0E58" w:rsidR="00E26037">
        <w:rPr>
          <w:rFonts w:ascii="Times New Roman" w:hAnsi="Times New Roman" w:eastAsia="Times New Roman" w:cs="Times New Roman"/>
          <w:szCs w:val="24"/>
          <w:lang w:val="en-GB"/>
        </w:rPr>
        <w:t>and finds that such circumstances exist in the present case</w:t>
      </w:r>
      <w:r w:rsidRPr="000C0E58" w:rsidR="00DA03CE">
        <w:rPr>
          <w:rFonts w:ascii="Times New Roman" w:hAnsi="Times New Roman" w:eastAsia="Times New Roman" w:cs="Times New Roman"/>
          <w:szCs w:val="24"/>
          <w:lang w:val="en-GB"/>
        </w:rPr>
        <w:t xml:space="preserve">, </w:t>
      </w:r>
      <w:r w:rsidRPr="000C0E58" w:rsidR="00E26037">
        <w:rPr>
          <w:rFonts w:ascii="Times New Roman" w:hAnsi="Times New Roman" w:eastAsia="Times New Roman" w:cs="Times New Roman"/>
          <w:szCs w:val="24"/>
          <w:lang w:val="en-GB"/>
        </w:rPr>
        <w:t xml:space="preserve">in view </w:t>
      </w:r>
      <w:r w:rsidRPr="000C0E58" w:rsidR="00DA03CE">
        <w:rPr>
          <w:rFonts w:ascii="Times New Roman" w:hAnsi="Times New Roman" w:eastAsia="Times New Roman" w:cs="Times New Roman"/>
          <w:szCs w:val="24"/>
          <w:lang w:val="en-GB"/>
        </w:rPr>
        <w:t xml:space="preserve">of the fact </w:t>
      </w:r>
      <w:r w:rsidRPr="000C0E58" w:rsidR="00E26037">
        <w:rPr>
          <w:rFonts w:ascii="Times New Roman" w:hAnsi="Times New Roman" w:eastAsia="Times New Roman" w:cs="Times New Roman"/>
          <w:szCs w:val="24"/>
          <w:lang w:val="en-GB"/>
        </w:rPr>
        <w:t xml:space="preserve">that </w:t>
      </w:r>
      <w:r w:rsidRPr="000C0E58" w:rsidR="00830C3C">
        <w:rPr>
          <w:rFonts w:ascii="Times New Roman" w:hAnsi="Times New Roman" w:eastAsia="Times New Roman" w:cs="Times New Roman"/>
          <w:szCs w:val="24"/>
          <w:lang w:val="en-GB"/>
        </w:rPr>
        <w:t>her contribution was recognis</w:t>
      </w:r>
      <w:r w:rsidRPr="000C0E58" w:rsidR="008A2A16">
        <w:rPr>
          <w:rFonts w:ascii="Times New Roman" w:hAnsi="Times New Roman" w:eastAsia="Times New Roman" w:cs="Times New Roman"/>
          <w:szCs w:val="24"/>
          <w:lang w:val="en-GB"/>
        </w:rPr>
        <w:t xml:space="preserve">ed as sufficient at </w:t>
      </w:r>
      <w:r w:rsidRPr="000C0E58" w:rsidR="00DA03CE">
        <w:rPr>
          <w:rFonts w:ascii="Times New Roman" w:hAnsi="Times New Roman" w:eastAsia="Times New Roman" w:cs="Times New Roman"/>
          <w:szCs w:val="24"/>
          <w:lang w:val="en-GB"/>
        </w:rPr>
        <w:t xml:space="preserve">the </w:t>
      </w:r>
      <w:r w:rsidRPr="000C0E58" w:rsidR="008A2A16">
        <w:rPr>
          <w:rFonts w:ascii="Times New Roman" w:hAnsi="Times New Roman" w:eastAsia="Times New Roman" w:cs="Times New Roman"/>
          <w:szCs w:val="24"/>
          <w:lang w:val="en-GB"/>
        </w:rPr>
        <w:t xml:space="preserve">latest </w:t>
      </w:r>
      <w:r w:rsidRPr="000C0E58" w:rsidR="00DA03CE">
        <w:rPr>
          <w:rFonts w:ascii="Times New Roman" w:hAnsi="Times New Roman" w:eastAsia="Times New Roman" w:cs="Times New Roman"/>
          <w:szCs w:val="24"/>
          <w:lang w:val="en-GB"/>
        </w:rPr>
        <w:t xml:space="preserve">on </w:t>
      </w:r>
      <w:r w:rsidRPr="000C0E58" w:rsidR="008A2A16">
        <w:rPr>
          <w:rFonts w:ascii="Times New Roman" w:hAnsi="Times New Roman" w:eastAsia="Times New Roman" w:cs="Times New Roman"/>
          <w:szCs w:val="24"/>
          <w:lang w:val="en-GB"/>
        </w:rPr>
        <w:t>1 April 2001</w:t>
      </w:r>
      <w:r w:rsidRPr="000C0E58" w:rsidR="008C3AFE">
        <w:rPr>
          <w:rFonts w:ascii="Times New Roman" w:hAnsi="Times New Roman" w:eastAsia="Times New Roman" w:cs="Times New Roman"/>
          <w:szCs w:val="24"/>
          <w:lang w:val="en-GB"/>
        </w:rPr>
        <w:t xml:space="preserve"> </w:t>
      </w:r>
      <w:r w:rsidRPr="000C0E58" w:rsidR="001F6DBF">
        <w:rPr>
          <w:rFonts w:ascii="Times New Roman" w:hAnsi="Times New Roman" w:eastAsia="Times New Roman" w:cs="Times New Roman"/>
          <w:szCs w:val="24"/>
          <w:lang w:val="en-GB"/>
        </w:rPr>
        <w:t>(</w:t>
      </w:r>
      <w:r w:rsidRPr="000C0E58" w:rsidR="00372B69">
        <w:rPr>
          <w:rFonts w:ascii="Times New Roman" w:hAnsi="Times New Roman" w:eastAsia="Times New Roman" w:cs="Times New Roman"/>
          <w:szCs w:val="24"/>
          <w:lang w:val="en-GB"/>
        </w:rPr>
        <w:t>see paragraph 11 above</w:t>
      </w:r>
      <w:r w:rsidRPr="000C0E58" w:rsidR="008A2A16">
        <w:rPr>
          <w:rFonts w:ascii="Times New Roman" w:hAnsi="Times New Roman" w:eastAsia="Times New Roman" w:cs="Times New Roman"/>
          <w:szCs w:val="24"/>
          <w:lang w:val="en-GB"/>
        </w:rPr>
        <w:t>)</w:t>
      </w:r>
      <w:r w:rsidRPr="000C0E58" w:rsidR="00372B69">
        <w:rPr>
          <w:rFonts w:ascii="Times New Roman" w:hAnsi="Times New Roman" w:eastAsia="Times New Roman" w:cs="Times New Roman"/>
          <w:szCs w:val="24"/>
          <w:lang w:val="en-GB"/>
        </w:rPr>
        <w:t>.</w:t>
      </w:r>
      <w:r w:rsidRPr="000C0E58" w:rsidR="008A2A16">
        <w:rPr>
          <w:rFonts w:ascii="Times New Roman" w:hAnsi="Times New Roman" w:eastAsia="Times New Roman" w:cs="Times New Roman"/>
          <w:szCs w:val="24"/>
          <w:lang w:val="en-GB"/>
        </w:rPr>
        <w:t xml:space="preserve"> </w:t>
      </w:r>
      <w:r w:rsidRPr="000C0E58" w:rsidR="00B43A56">
        <w:rPr>
          <w:rFonts w:ascii="Times New Roman" w:hAnsi="Times New Roman" w:eastAsia="Times New Roman" w:cs="Times New Roman"/>
          <w:szCs w:val="24"/>
          <w:lang w:val="en-GB"/>
        </w:rPr>
        <w:t>She could therefore reasonably rely on the promise of the law</w:t>
      </w:r>
      <w:r w:rsidRPr="000C0E58" w:rsidR="008A2A16">
        <w:rPr>
          <w:rFonts w:ascii="Times New Roman" w:hAnsi="Times New Roman" w:eastAsia="Times New Roman" w:cs="Times New Roman"/>
          <w:szCs w:val="24"/>
          <w:lang w:val="en-GB"/>
        </w:rPr>
        <w:t xml:space="preserve"> that she </w:t>
      </w:r>
      <w:r w:rsidRPr="000C0E58" w:rsidR="00CC7614">
        <w:rPr>
          <w:rFonts w:ascii="Times New Roman" w:hAnsi="Times New Roman" w:eastAsia="Times New Roman" w:cs="Times New Roman"/>
          <w:szCs w:val="24"/>
          <w:lang w:val="en-GB"/>
        </w:rPr>
        <w:t>would</w:t>
      </w:r>
      <w:r w:rsidRPr="000C0E58" w:rsidR="008A2A16">
        <w:rPr>
          <w:rFonts w:ascii="Times New Roman" w:hAnsi="Times New Roman" w:eastAsia="Times New Roman" w:cs="Times New Roman"/>
          <w:szCs w:val="24"/>
          <w:lang w:val="en-GB"/>
        </w:rPr>
        <w:t xml:space="preserve"> be entitled to disability</w:t>
      </w:r>
      <w:r w:rsidRPr="000C0E58" w:rsidR="00CC7614">
        <w:rPr>
          <w:rFonts w:ascii="Times New Roman" w:hAnsi="Times New Roman" w:eastAsia="Times New Roman" w:cs="Times New Roman"/>
          <w:szCs w:val="24"/>
          <w:lang w:val="en-GB"/>
        </w:rPr>
        <w:t xml:space="preserve"> benefits whenever she satisfied</w:t>
      </w:r>
      <w:r w:rsidRPr="000C0E58" w:rsidR="008A2A16">
        <w:rPr>
          <w:rFonts w:ascii="Times New Roman" w:hAnsi="Times New Roman" w:eastAsia="Times New Roman" w:cs="Times New Roman"/>
          <w:szCs w:val="24"/>
          <w:lang w:val="en-GB"/>
        </w:rPr>
        <w:t xml:space="preserve"> the applicable health</w:t>
      </w:r>
      <w:r w:rsidRPr="000C0E58" w:rsidR="00DA03CE">
        <w:rPr>
          <w:rFonts w:ascii="Times New Roman" w:hAnsi="Times New Roman" w:eastAsia="Times New Roman" w:cs="Times New Roman"/>
          <w:szCs w:val="24"/>
          <w:lang w:val="en-GB"/>
        </w:rPr>
        <w:t>-</w:t>
      </w:r>
      <w:r w:rsidRPr="000C0E58" w:rsidR="008A2A16">
        <w:rPr>
          <w:rFonts w:ascii="Times New Roman" w:hAnsi="Times New Roman" w:eastAsia="Times New Roman" w:cs="Times New Roman"/>
          <w:szCs w:val="24"/>
          <w:lang w:val="en-GB"/>
        </w:rPr>
        <w:t>related conditions.</w:t>
      </w:r>
    </w:p>
    <w:p w:rsidRPr="000C0E58" w:rsidR="001051CB" w:rsidP="000C0E58">
      <w:pPr>
        <w:pStyle w:val="ECHRPara"/>
        <w:rPr>
          <w:rFonts w:ascii="Times New Roman" w:hAnsi="Times New Roman" w:eastAsia="Times New Roman" w:cs="Times New Roman"/>
          <w:szCs w:val="24"/>
          <w:lang w:val="en-GB"/>
        </w:rPr>
      </w:pPr>
      <w:r w:rsidRPr="000C0E58">
        <w:rPr>
          <w:rFonts w:ascii="Times New Roman" w:hAnsi="Times New Roman" w:eastAsia="Times New Roman" w:cs="Times New Roman"/>
          <w:szCs w:val="24"/>
          <w:lang w:val="en-GB"/>
        </w:rPr>
        <w:fldChar w:fldCharType="begin"/>
      </w:r>
      <w:r w:rsidRPr="000C0E58">
        <w:rPr>
          <w:rFonts w:ascii="Times New Roman" w:hAnsi="Times New Roman" w:eastAsia="Times New Roman" w:cs="Times New Roman"/>
          <w:szCs w:val="24"/>
          <w:lang w:val="en-GB"/>
        </w:rPr>
        <w:instrText xml:space="preserve"> SEQ level0 \*arabic </w:instrText>
      </w:r>
      <w:r w:rsidRPr="000C0E58">
        <w:rPr>
          <w:rFonts w:ascii="Times New Roman" w:hAnsi="Times New Roman" w:eastAsia="Times New Roman" w:cs="Times New Roman"/>
          <w:szCs w:val="24"/>
          <w:lang w:val="en-GB"/>
        </w:rPr>
        <w:fldChar w:fldCharType="separate"/>
      </w:r>
      <w:r w:rsidRPr="000C0E58" w:rsidR="000C0E58">
        <w:rPr>
          <w:rFonts w:ascii="Times New Roman" w:hAnsi="Times New Roman" w:eastAsia="Times New Roman" w:cs="Times New Roman"/>
          <w:noProof/>
          <w:szCs w:val="24"/>
          <w:lang w:val="en-GB"/>
        </w:rPr>
        <w:t>106</w:t>
      </w:r>
      <w:r w:rsidRPr="000C0E58">
        <w:rPr>
          <w:rFonts w:ascii="Times New Roman" w:hAnsi="Times New Roman" w:eastAsia="Times New Roman" w:cs="Times New Roman"/>
          <w:szCs w:val="24"/>
          <w:lang w:val="en-GB"/>
        </w:rPr>
        <w:fldChar w:fldCharType="end"/>
      </w:r>
      <w:r w:rsidRPr="000C0E58">
        <w:rPr>
          <w:rFonts w:ascii="Times New Roman" w:hAnsi="Times New Roman" w:eastAsia="Times New Roman" w:cs="Times New Roman"/>
          <w:szCs w:val="24"/>
          <w:lang w:val="en-GB"/>
        </w:rPr>
        <w:t>.  </w:t>
      </w:r>
      <w:r w:rsidRPr="000C0E58" w:rsidR="00FA50B7">
        <w:rPr>
          <w:rFonts w:ascii="Times New Roman" w:hAnsi="Times New Roman" w:eastAsia="Times New Roman" w:cs="Times New Roman"/>
          <w:szCs w:val="24"/>
          <w:lang w:val="en-GB"/>
        </w:rPr>
        <w:t>In these circumstances</w:t>
      </w:r>
      <w:r w:rsidRPr="000C0E58" w:rsidR="00555FF0">
        <w:rPr>
          <w:rFonts w:ascii="Times New Roman" w:hAnsi="Times New Roman" w:eastAsia="Times New Roman" w:cs="Times New Roman"/>
          <w:szCs w:val="24"/>
          <w:lang w:val="en-GB"/>
        </w:rPr>
        <w:t>,</w:t>
      </w:r>
      <w:r w:rsidRPr="000C0E58" w:rsidR="00FA50B7">
        <w:rPr>
          <w:rFonts w:ascii="Times New Roman" w:hAnsi="Times New Roman" w:eastAsia="Times New Roman" w:cs="Times New Roman"/>
          <w:szCs w:val="24"/>
          <w:lang w:val="en-GB"/>
        </w:rPr>
        <w:t xml:space="preserve"> the Court does not consider that the reduction in the applicant</w:t>
      </w:r>
      <w:r w:rsidRPr="000C0E58" w:rsidR="000C0E58">
        <w:rPr>
          <w:rFonts w:ascii="Times New Roman" w:hAnsi="Times New Roman" w:eastAsia="Times New Roman" w:cs="Times New Roman"/>
          <w:szCs w:val="24"/>
          <w:lang w:val="en-GB"/>
        </w:rPr>
        <w:t>’</w:t>
      </w:r>
      <w:r w:rsidRPr="000C0E58" w:rsidR="00FA50B7">
        <w:rPr>
          <w:rFonts w:ascii="Times New Roman" w:hAnsi="Times New Roman" w:eastAsia="Times New Roman" w:cs="Times New Roman"/>
          <w:szCs w:val="24"/>
          <w:lang w:val="en-GB"/>
        </w:rPr>
        <w:t>s disability degree in 2009, the resultant discontinuation of her disability pension in 2010 or any other factors pertaining to her pension status during the intervening period until 31</w:t>
      </w:r>
      <w:r w:rsidRPr="000C0E58" w:rsidR="008835A7">
        <w:rPr>
          <w:rFonts w:ascii="Times New Roman" w:hAnsi="Times New Roman" w:eastAsia="Times New Roman" w:cs="Times New Roman"/>
          <w:szCs w:val="24"/>
          <w:lang w:val="en-GB"/>
        </w:rPr>
        <w:t> December 2011</w:t>
      </w:r>
      <w:r w:rsidRPr="000C0E58" w:rsidR="00FA50B7">
        <w:rPr>
          <w:rFonts w:ascii="Times New Roman" w:hAnsi="Times New Roman" w:eastAsia="Times New Roman" w:cs="Times New Roman"/>
          <w:szCs w:val="24"/>
          <w:lang w:val="en-GB"/>
        </w:rPr>
        <w:t xml:space="preserve"> were sufficient to extinguish her legitimate expectation </w:t>
      </w:r>
      <w:r w:rsidRPr="000C0E58" w:rsidR="00555FF0">
        <w:rPr>
          <w:rFonts w:ascii="Times New Roman" w:hAnsi="Times New Roman" w:eastAsia="Times New Roman" w:cs="Times New Roman"/>
          <w:szCs w:val="24"/>
          <w:lang w:val="en-GB"/>
        </w:rPr>
        <w:t xml:space="preserve">that she would </w:t>
      </w:r>
      <w:r w:rsidRPr="000C0E58" w:rsidR="00FA50B7">
        <w:rPr>
          <w:rFonts w:ascii="Times New Roman" w:hAnsi="Times New Roman" w:eastAsia="Times New Roman" w:cs="Times New Roman"/>
          <w:szCs w:val="24"/>
          <w:lang w:val="en-GB"/>
        </w:rPr>
        <w:t>receive disability benefits should her disability again attain the requisite degree.</w:t>
      </w:r>
      <w:r w:rsidRPr="000C0E58" w:rsidR="00880193">
        <w:rPr>
          <w:rFonts w:ascii="Times New Roman" w:hAnsi="Times New Roman" w:eastAsia="Times New Roman" w:cs="Times New Roman"/>
          <w:szCs w:val="24"/>
          <w:lang w:val="en-GB"/>
        </w:rPr>
        <w:t xml:space="preserve"> On the contrary, </w:t>
      </w:r>
      <w:r w:rsidRPr="000C0E58" w:rsidR="00B43A56">
        <w:rPr>
          <w:rFonts w:ascii="Times New Roman" w:hAnsi="Times New Roman" w:eastAsia="Times New Roman" w:cs="Times New Roman"/>
          <w:szCs w:val="24"/>
          <w:lang w:val="en-GB"/>
        </w:rPr>
        <w:t>the measures taken by the authorities and the judgment of 1 April 2011 in particular indicate that the authorities acted in full recognition of the applicant</w:t>
      </w:r>
      <w:r w:rsidRPr="000C0E58" w:rsidR="000C0E58">
        <w:rPr>
          <w:rFonts w:ascii="Times New Roman" w:hAnsi="Times New Roman" w:eastAsia="Times New Roman" w:cs="Times New Roman"/>
          <w:szCs w:val="24"/>
          <w:lang w:val="en-GB"/>
        </w:rPr>
        <w:t>’</w:t>
      </w:r>
      <w:r w:rsidRPr="000C0E58" w:rsidR="00B43A56">
        <w:rPr>
          <w:rFonts w:ascii="Times New Roman" w:hAnsi="Times New Roman" w:eastAsia="Times New Roman" w:cs="Times New Roman"/>
          <w:szCs w:val="24"/>
          <w:lang w:val="en-GB"/>
        </w:rPr>
        <w:t>s insured</w:t>
      </w:r>
      <w:r w:rsidRPr="000C0E58" w:rsidR="008C3AFE">
        <w:rPr>
          <w:rFonts w:ascii="Times New Roman" w:hAnsi="Times New Roman" w:eastAsia="Times New Roman" w:cs="Times New Roman"/>
          <w:szCs w:val="24"/>
          <w:lang w:val="en-GB"/>
        </w:rPr>
        <w:t xml:space="preserve"> status</w:t>
      </w:r>
      <w:r w:rsidRPr="000C0E58" w:rsidR="00DA03CE">
        <w:rPr>
          <w:rFonts w:ascii="Times New Roman" w:hAnsi="Times New Roman" w:eastAsia="Times New Roman" w:cs="Times New Roman"/>
          <w:szCs w:val="24"/>
          <w:lang w:val="en-GB"/>
        </w:rPr>
        <w:t>,</w:t>
      </w:r>
      <w:r w:rsidRPr="000C0E58" w:rsidR="00B43A56">
        <w:rPr>
          <w:rFonts w:ascii="Times New Roman" w:hAnsi="Times New Roman" w:eastAsia="Times New Roman" w:cs="Times New Roman"/>
          <w:szCs w:val="24"/>
          <w:lang w:val="en-GB"/>
        </w:rPr>
        <w:t xml:space="preserve"> and therefore </w:t>
      </w:r>
      <w:r w:rsidRPr="000C0E58" w:rsidR="008C3AFE">
        <w:rPr>
          <w:rFonts w:ascii="Times New Roman" w:hAnsi="Times New Roman" w:eastAsia="Times New Roman" w:cs="Times New Roman"/>
          <w:szCs w:val="24"/>
          <w:lang w:val="en-GB"/>
        </w:rPr>
        <w:t>the applicant could have relied in a</w:t>
      </w:r>
      <w:r w:rsidRPr="000C0E58" w:rsidR="00B43A56">
        <w:rPr>
          <w:rFonts w:ascii="Times New Roman" w:hAnsi="Times New Roman" w:eastAsia="Times New Roman" w:cs="Times New Roman"/>
          <w:szCs w:val="24"/>
          <w:lang w:val="en-GB"/>
        </w:rPr>
        <w:t xml:space="preserve"> </w:t>
      </w:r>
      <w:r w:rsidRPr="000C0E58" w:rsidR="008C3AFE">
        <w:rPr>
          <w:rFonts w:ascii="Times New Roman" w:hAnsi="Times New Roman" w:eastAsia="Times New Roman" w:cs="Times New Roman"/>
          <w:szCs w:val="24"/>
          <w:lang w:val="en-GB"/>
        </w:rPr>
        <w:t xml:space="preserve">reasonably justified manner on the applicable legislation and had a </w:t>
      </w:r>
      <w:r w:rsidRPr="000C0E58" w:rsidR="00B43A56">
        <w:rPr>
          <w:rFonts w:ascii="Times New Roman" w:hAnsi="Times New Roman" w:eastAsia="Times New Roman" w:cs="Times New Roman"/>
          <w:szCs w:val="24"/>
          <w:lang w:val="en-GB"/>
        </w:rPr>
        <w:t>legitimate expect</w:t>
      </w:r>
      <w:r w:rsidRPr="000C0E58" w:rsidR="00A61422">
        <w:rPr>
          <w:rFonts w:ascii="Times New Roman" w:hAnsi="Times New Roman" w:eastAsia="Times New Roman" w:cs="Times New Roman"/>
          <w:szCs w:val="24"/>
          <w:lang w:val="en-GB"/>
        </w:rPr>
        <w:t>at</w:t>
      </w:r>
      <w:r w:rsidRPr="000C0E58" w:rsidR="00B43A56">
        <w:rPr>
          <w:rFonts w:ascii="Times New Roman" w:hAnsi="Times New Roman" w:eastAsia="Times New Roman" w:cs="Times New Roman"/>
          <w:szCs w:val="24"/>
          <w:lang w:val="en-GB"/>
        </w:rPr>
        <w:t xml:space="preserve">ion of receiving a disability benefit </w:t>
      </w:r>
      <w:r w:rsidRPr="000C0E58" w:rsidR="00DA03CE">
        <w:rPr>
          <w:rFonts w:ascii="Times New Roman" w:hAnsi="Times New Roman" w:eastAsia="Times New Roman" w:cs="Times New Roman"/>
          <w:szCs w:val="24"/>
          <w:lang w:val="en-GB"/>
        </w:rPr>
        <w:t xml:space="preserve">should </w:t>
      </w:r>
      <w:r w:rsidRPr="000C0E58" w:rsidR="00B43A56">
        <w:rPr>
          <w:rFonts w:ascii="Times New Roman" w:hAnsi="Times New Roman" w:eastAsia="Times New Roman" w:cs="Times New Roman"/>
          <w:szCs w:val="24"/>
          <w:lang w:val="en-GB"/>
        </w:rPr>
        <w:t xml:space="preserve">the </w:t>
      </w:r>
      <w:r w:rsidRPr="000C0E58" w:rsidR="008C3AFE">
        <w:rPr>
          <w:rFonts w:ascii="Times New Roman" w:hAnsi="Times New Roman" w:eastAsia="Times New Roman" w:cs="Times New Roman"/>
          <w:szCs w:val="24"/>
          <w:lang w:val="en-GB"/>
        </w:rPr>
        <w:t xml:space="preserve">statutory </w:t>
      </w:r>
      <w:r w:rsidRPr="000C0E58" w:rsidR="00B43A56">
        <w:rPr>
          <w:rFonts w:ascii="Times New Roman" w:hAnsi="Times New Roman" w:eastAsia="Times New Roman" w:cs="Times New Roman"/>
          <w:szCs w:val="24"/>
          <w:lang w:val="en-GB"/>
        </w:rPr>
        <w:t xml:space="preserve">conditions </w:t>
      </w:r>
      <w:r w:rsidRPr="000C0E58" w:rsidR="00DA03CE">
        <w:rPr>
          <w:rFonts w:ascii="Times New Roman" w:hAnsi="Times New Roman" w:eastAsia="Times New Roman" w:cs="Times New Roman"/>
          <w:szCs w:val="24"/>
          <w:lang w:val="en-GB"/>
        </w:rPr>
        <w:t xml:space="preserve">be </w:t>
      </w:r>
      <w:r w:rsidRPr="000C0E58" w:rsidR="00B43A56">
        <w:rPr>
          <w:rFonts w:ascii="Times New Roman" w:hAnsi="Times New Roman" w:eastAsia="Times New Roman" w:cs="Times New Roman"/>
          <w:szCs w:val="24"/>
          <w:lang w:val="en-GB"/>
        </w:rPr>
        <w:t>satisfied.</w:t>
      </w:r>
      <w:r w:rsidRPr="000C0E58" w:rsidR="00611CC6">
        <w:rPr>
          <w:rFonts w:ascii="Times New Roman" w:hAnsi="Times New Roman" w:eastAsia="Times New Roman" w:cs="Times New Roman"/>
          <w:szCs w:val="24"/>
          <w:lang w:val="en-GB"/>
        </w:rPr>
        <w:t xml:space="preserve"> As the Government admit, </w:t>
      </w:r>
      <w:r w:rsidRPr="000C0E58" w:rsidR="00884271">
        <w:rPr>
          <w:rFonts w:ascii="Times New Roman" w:hAnsi="Times New Roman" w:eastAsia="Times New Roman" w:cs="Times New Roman"/>
          <w:szCs w:val="24"/>
          <w:lang w:val="en-GB"/>
        </w:rPr>
        <w:t xml:space="preserve">but for </w:t>
      </w:r>
      <w:r w:rsidRPr="000C0E58" w:rsidR="00611CC6">
        <w:rPr>
          <w:rFonts w:ascii="Times New Roman" w:hAnsi="Times New Roman" w:eastAsia="Times New Roman" w:cs="Times New Roman"/>
          <w:szCs w:val="24"/>
          <w:lang w:val="en-GB"/>
        </w:rPr>
        <w:t>the new conditions of the 2012 Act she would have qualified for disability allowance in 2013.</w:t>
      </w:r>
    </w:p>
    <w:p w:rsidRPr="000C0E58" w:rsidR="00AC69EA" w:rsidP="000C0E58">
      <w:pPr>
        <w:pStyle w:val="ECHRPara"/>
        <w:rPr>
          <w:rFonts w:ascii="Times New Roman" w:hAnsi="Times New Roman" w:cs="Times New Roman"/>
          <w:szCs w:val="24"/>
          <w:lang w:val="en-GB" w:eastAsia="fr-FR"/>
        </w:rPr>
      </w:pPr>
      <w:r w:rsidRPr="000C0E58">
        <w:rPr>
          <w:rFonts w:ascii="Times New Roman" w:hAnsi="Times New Roman" w:eastAsia="Times New Roman" w:cs="Times New Roman"/>
          <w:szCs w:val="24"/>
          <w:lang w:val="en-GB"/>
        </w:rPr>
        <w:fldChar w:fldCharType="begin"/>
      </w:r>
      <w:r w:rsidRPr="000C0E58">
        <w:rPr>
          <w:rFonts w:ascii="Times New Roman" w:hAnsi="Times New Roman" w:eastAsia="Times New Roman" w:cs="Times New Roman"/>
          <w:szCs w:val="24"/>
          <w:lang w:val="en-GB"/>
        </w:rPr>
        <w:instrText xml:space="preserve"> SEQ level0 \*arabic </w:instrText>
      </w:r>
      <w:r w:rsidRPr="000C0E58">
        <w:rPr>
          <w:rFonts w:ascii="Times New Roman" w:hAnsi="Times New Roman" w:eastAsia="Times New Roman" w:cs="Times New Roman"/>
          <w:szCs w:val="24"/>
          <w:lang w:val="en-GB"/>
        </w:rPr>
        <w:fldChar w:fldCharType="separate"/>
      </w:r>
      <w:r w:rsidRPr="000C0E58" w:rsidR="000C0E58">
        <w:rPr>
          <w:rFonts w:ascii="Times New Roman" w:hAnsi="Times New Roman" w:eastAsia="Times New Roman" w:cs="Times New Roman"/>
          <w:noProof/>
          <w:szCs w:val="24"/>
          <w:lang w:val="en-GB"/>
        </w:rPr>
        <w:t>107</w:t>
      </w:r>
      <w:r w:rsidRPr="000C0E58">
        <w:rPr>
          <w:rFonts w:ascii="Times New Roman" w:hAnsi="Times New Roman" w:eastAsia="Times New Roman" w:cs="Times New Roman"/>
          <w:szCs w:val="24"/>
          <w:lang w:val="en-GB"/>
        </w:rPr>
        <w:fldChar w:fldCharType="end"/>
      </w:r>
      <w:r w:rsidRPr="000C0E58">
        <w:rPr>
          <w:rFonts w:ascii="Times New Roman" w:hAnsi="Times New Roman" w:eastAsia="Times New Roman" w:cs="Times New Roman"/>
          <w:szCs w:val="24"/>
          <w:lang w:val="en-GB"/>
        </w:rPr>
        <w:t>.  </w:t>
      </w:r>
      <w:r w:rsidRPr="000C0E58" w:rsidR="00FA50B7">
        <w:rPr>
          <w:rFonts w:ascii="Times New Roman" w:hAnsi="Times New Roman" w:eastAsia="Times New Roman" w:cs="Times New Roman"/>
          <w:szCs w:val="24"/>
          <w:lang w:val="en-GB"/>
        </w:rPr>
        <w:t>In short</w:t>
      </w:r>
      <w:r w:rsidRPr="000C0E58" w:rsidR="00031F25">
        <w:rPr>
          <w:rFonts w:ascii="Times New Roman" w:hAnsi="Times New Roman" w:eastAsia="Times New Roman" w:cs="Times New Roman"/>
          <w:szCs w:val="24"/>
          <w:lang w:val="en-GB"/>
        </w:rPr>
        <w:t xml:space="preserve">, between 2010 and 31 December 2011 the applicant, while not in receipt of a pension, continued to entertain </w:t>
      </w:r>
      <w:r w:rsidRPr="000C0E58" w:rsidR="00FA50B7">
        <w:rPr>
          <w:rFonts w:ascii="Times New Roman" w:hAnsi="Times New Roman" w:eastAsia="Times New Roman" w:cs="Times New Roman"/>
          <w:szCs w:val="24"/>
          <w:lang w:val="en-GB"/>
        </w:rPr>
        <w:t>a “</w:t>
      </w:r>
      <w:r w:rsidRPr="000C0E58" w:rsidR="00031F25">
        <w:rPr>
          <w:rFonts w:ascii="Times New Roman" w:hAnsi="Times New Roman" w:eastAsia="Times New Roman" w:cs="Times New Roman"/>
          <w:szCs w:val="24"/>
          <w:lang w:val="en-GB"/>
        </w:rPr>
        <w:t>legitimate expectation</w:t>
      </w:r>
      <w:r w:rsidRPr="000C0E58" w:rsidR="00FA50B7">
        <w:rPr>
          <w:rFonts w:ascii="Times New Roman" w:hAnsi="Times New Roman" w:eastAsia="Times New Roman" w:cs="Times New Roman"/>
          <w:szCs w:val="24"/>
          <w:lang w:val="en-GB"/>
        </w:rPr>
        <w:t>”</w:t>
      </w:r>
      <w:r w:rsidRPr="000C0E58" w:rsidR="00555FF0">
        <w:rPr>
          <w:rFonts w:ascii="Times New Roman" w:hAnsi="Times New Roman" w:eastAsia="Times New Roman" w:cs="Times New Roman"/>
          <w:szCs w:val="24"/>
          <w:lang w:val="en-GB"/>
        </w:rPr>
        <w:t>,</w:t>
      </w:r>
      <w:r w:rsidRPr="000C0E58" w:rsidR="00FA50B7">
        <w:rPr>
          <w:rFonts w:ascii="Times New Roman" w:hAnsi="Times New Roman" w:eastAsia="Times New Roman" w:cs="Times New Roman"/>
          <w:szCs w:val="24"/>
          <w:lang w:val="en-GB"/>
        </w:rPr>
        <w:t xml:space="preserve"> covered by the notion of “possession” in Article 1 of Protocol No. 1.</w:t>
      </w:r>
    </w:p>
    <w:p w:rsidRPr="000C0E58" w:rsidR="00E80B88" w:rsidP="000C0E58">
      <w:pPr>
        <w:pStyle w:val="ECHRPara"/>
        <w:rPr>
          <w:lang w:val="en-GB"/>
        </w:rPr>
      </w:pPr>
      <w:r w:rsidRPr="000C0E58">
        <w:rPr>
          <w:rFonts w:ascii="Times New Roman" w:hAnsi="Times New Roman" w:eastAsia="Times New Roman" w:cs="Times New Roman"/>
          <w:szCs w:val="24"/>
          <w:lang w:val="en-GB"/>
        </w:rPr>
        <w:fldChar w:fldCharType="begin"/>
      </w:r>
      <w:r w:rsidRPr="000C0E58">
        <w:rPr>
          <w:rFonts w:ascii="Times New Roman" w:hAnsi="Times New Roman" w:eastAsia="Times New Roman" w:cs="Times New Roman"/>
          <w:szCs w:val="24"/>
          <w:lang w:val="en-GB"/>
        </w:rPr>
        <w:instrText xml:space="preserve"> SEQ level0 \*arabic </w:instrText>
      </w:r>
      <w:r w:rsidRPr="000C0E58">
        <w:rPr>
          <w:rFonts w:ascii="Times New Roman" w:hAnsi="Times New Roman" w:eastAsia="Times New Roman" w:cs="Times New Roman"/>
          <w:szCs w:val="24"/>
          <w:lang w:val="en-GB"/>
        </w:rPr>
        <w:fldChar w:fldCharType="separate"/>
      </w:r>
      <w:r w:rsidRPr="000C0E58" w:rsidR="000C0E58">
        <w:rPr>
          <w:rFonts w:ascii="Times New Roman" w:hAnsi="Times New Roman" w:eastAsia="Times New Roman" w:cs="Times New Roman"/>
          <w:noProof/>
          <w:szCs w:val="24"/>
          <w:lang w:val="en-GB"/>
        </w:rPr>
        <w:t>108</w:t>
      </w:r>
      <w:r w:rsidRPr="000C0E58">
        <w:rPr>
          <w:rFonts w:ascii="Times New Roman" w:hAnsi="Times New Roman" w:eastAsia="Times New Roman" w:cs="Times New Roman"/>
          <w:szCs w:val="24"/>
          <w:lang w:val="en-GB"/>
        </w:rPr>
        <w:fldChar w:fldCharType="end"/>
      </w:r>
      <w:r w:rsidRPr="000C0E58">
        <w:rPr>
          <w:rFonts w:ascii="Times New Roman" w:hAnsi="Times New Roman" w:eastAsia="Times New Roman" w:cs="Times New Roman"/>
          <w:szCs w:val="24"/>
          <w:lang w:val="en-GB"/>
        </w:rPr>
        <w:t>.  When</w:t>
      </w:r>
      <w:r w:rsidRPr="000C0E58" w:rsidR="0095137E">
        <w:rPr>
          <w:rFonts w:ascii="Times New Roman" w:hAnsi="Times New Roman" w:eastAsia="Times New Roman" w:cs="Times New Roman"/>
          <w:szCs w:val="24"/>
          <w:lang w:val="en-GB"/>
        </w:rPr>
        <w:t>,</w:t>
      </w:r>
      <w:r w:rsidRPr="000C0E58">
        <w:rPr>
          <w:rFonts w:ascii="Times New Roman" w:hAnsi="Times New Roman" w:eastAsia="Times New Roman" w:cs="Times New Roman"/>
          <w:szCs w:val="24"/>
          <w:lang w:val="en-GB"/>
        </w:rPr>
        <w:t xml:space="preserve"> </w:t>
      </w:r>
      <w:r w:rsidRPr="000C0E58" w:rsidR="00555FF0">
        <w:rPr>
          <w:rFonts w:ascii="Times New Roman" w:hAnsi="Times New Roman" w:eastAsia="Times New Roman" w:cs="Times New Roman"/>
          <w:szCs w:val="24"/>
          <w:lang w:val="en-GB"/>
        </w:rPr>
        <w:t xml:space="preserve">following </w:t>
      </w:r>
      <w:r w:rsidRPr="000C0E58" w:rsidR="00C34A9D">
        <w:rPr>
          <w:rFonts w:ascii="Times New Roman" w:hAnsi="Times New Roman" w:eastAsia="Times New Roman" w:cs="Times New Roman"/>
          <w:szCs w:val="24"/>
          <w:lang w:val="en-GB"/>
        </w:rPr>
        <w:t xml:space="preserve">the </w:t>
      </w:r>
      <w:r w:rsidRPr="000C0E58">
        <w:rPr>
          <w:rFonts w:ascii="Times New Roman" w:hAnsi="Times New Roman" w:eastAsia="Times New Roman" w:cs="Times New Roman"/>
          <w:szCs w:val="24"/>
          <w:lang w:val="en-GB"/>
        </w:rPr>
        <w:t>entry into force of the new law</w:t>
      </w:r>
      <w:r w:rsidRPr="000C0E58" w:rsidR="00555FF0">
        <w:rPr>
          <w:rFonts w:ascii="Times New Roman" w:hAnsi="Times New Roman" w:eastAsia="Times New Roman" w:cs="Times New Roman"/>
          <w:szCs w:val="24"/>
          <w:lang w:val="en-GB"/>
        </w:rPr>
        <w:t xml:space="preserve"> and relying on her newly re-</w:t>
      </w:r>
      <w:r w:rsidRPr="000C0E58" w:rsidR="00DA03CE">
        <w:rPr>
          <w:rFonts w:ascii="Times New Roman" w:hAnsi="Times New Roman" w:eastAsia="Times New Roman" w:cs="Times New Roman"/>
          <w:szCs w:val="24"/>
          <w:lang w:val="en-GB"/>
        </w:rPr>
        <w:t xml:space="preserve">assessed </w:t>
      </w:r>
      <w:r w:rsidRPr="000C0E58" w:rsidR="00555FF0">
        <w:rPr>
          <w:rFonts w:ascii="Times New Roman" w:hAnsi="Times New Roman" w:eastAsia="Times New Roman" w:cs="Times New Roman"/>
          <w:szCs w:val="24"/>
          <w:lang w:val="en-GB"/>
        </w:rPr>
        <w:t>and sufficiently impaired health</w:t>
      </w:r>
      <w:r w:rsidRPr="000C0E58" w:rsidR="0095137E">
        <w:rPr>
          <w:rFonts w:ascii="Times New Roman" w:hAnsi="Times New Roman" w:eastAsia="Times New Roman" w:cs="Times New Roman"/>
          <w:szCs w:val="24"/>
          <w:lang w:val="en-GB"/>
        </w:rPr>
        <w:t>,</w:t>
      </w:r>
      <w:r w:rsidRPr="000C0E58">
        <w:rPr>
          <w:rFonts w:ascii="Times New Roman" w:hAnsi="Times New Roman" w:eastAsia="Times New Roman" w:cs="Times New Roman"/>
          <w:szCs w:val="24"/>
          <w:lang w:val="en-GB"/>
        </w:rPr>
        <w:t xml:space="preserve"> the applicant applied for disability allowance </w:t>
      </w:r>
      <w:r w:rsidRPr="000C0E58" w:rsidR="0095137E">
        <w:rPr>
          <w:rFonts w:ascii="Times New Roman" w:hAnsi="Times New Roman" w:eastAsia="Times New Roman" w:cs="Times New Roman"/>
          <w:szCs w:val="24"/>
          <w:lang w:val="en-GB"/>
        </w:rPr>
        <w:t>in 2012</w:t>
      </w:r>
      <w:r w:rsidRPr="000C0E58">
        <w:rPr>
          <w:rFonts w:ascii="Times New Roman" w:hAnsi="Times New Roman" w:eastAsia="Times New Roman" w:cs="Times New Roman"/>
          <w:szCs w:val="24"/>
          <w:lang w:val="en-GB"/>
        </w:rPr>
        <w:t>, she did no more, in the Court</w:t>
      </w:r>
      <w:r w:rsidRPr="000C0E58" w:rsidR="000C0E58">
        <w:rPr>
          <w:rFonts w:ascii="Times New Roman" w:hAnsi="Times New Roman" w:eastAsia="Times New Roman" w:cs="Times New Roman"/>
          <w:szCs w:val="24"/>
          <w:lang w:val="en-GB"/>
        </w:rPr>
        <w:t>’</w:t>
      </w:r>
      <w:r w:rsidRPr="000C0E58">
        <w:rPr>
          <w:rFonts w:ascii="Times New Roman" w:hAnsi="Times New Roman" w:eastAsia="Times New Roman" w:cs="Times New Roman"/>
          <w:szCs w:val="24"/>
          <w:lang w:val="en-GB"/>
        </w:rPr>
        <w:t xml:space="preserve">s view, than seek to </w:t>
      </w:r>
      <w:r w:rsidRPr="000C0E58" w:rsidR="00B13430">
        <w:rPr>
          <w:rFonts w:ascii="Times New Roman" w:hAnsi="Times New Roman" w:eastAsia="Times New Roman" w:cs="Times New Roman"/>
          <w:szCs w:val="24"/>
          <w:lang w:val="en-GB"/>
        </w:rPr>
        <w:t xml:space="preserve">avail </w:t>
      </w:r>
      <w:r w:rsidRPr="000C0E58">
        <w:rPr>
          <w:rFonts w:ascii="Times New Roman" w:hAnsi="Times New Roman" w:eastAsia="Times New Roman" w:cs="Times New Roman"/>
          <w:szCs w:val="24"/>
          <w:lang w:val="en-GB"/>
        </w:rPr>
        <w:t>her</w:t>
      </w:r>
      <w:r w:rsidRPr="000C0E58" w:rsidR="00B13430">
        <w:rPr>
          <w:rFonts w:ascii="Times New Roman" w:hAnsi="Times New Roman" w:eastAsia="Times New Roman" w:cs="Times New Roman"/>
          <w:szCs w:val="24"/>
          <w:lang w:val="en-GB"/>
        </w:rPr>
        <w:t xml:space="preserve">self </w:t>
      </w:r>
      <w:r w:rsidRPr="000C0E58" w:rsidR="00555FF0">
        <w:rPr>
          <w:rFonts w:ascii="Times New Roman" w:hAnsi="Times New Roman" w:eastAsia="Times New Roman" w:cs="Times New Roman"/>
          <w:szCs w:val="24"/>
          <w:lang w:val="en-GB"/>
        </w:rPr>
        <w:t xml:space="preserve">once again </w:t>
      </w:r>
      <w:r w:rsidRPr="000C0E58" w:rsidR="00B13430">
        <w:rPr>
          <w:rFonts w:ascii="Times New Roman" w:hAnsi="Times New Roman" w:eastAsia="Times New Roman" w:cs="Times New Roman"/>
          <w:szCs w:val="24"/>
          <w:lang w:val="en-GB"/>
        </w:rPr>
        <w:t xml:space="preserve">of </w:t>
      </w:r>
      <w:r w:rsidRPr="000C0E58" w:rsidR="002D2D4C">
        <w:rPr>
          <w:rFonts w:ascii="Times New Roman" w:hAnsi="Times New Roman" w:eastAsia="Times New Roman" w:cs="Times New Roman"/>
          <w:szCs w:val="24"/>
          <w:lang w:val="en-GB"/>
        </w:rPr>
        <w:t xml:space="preserve">an </w:t>
      </w:r>
      <w:r w:rsidRPr="000C0E58">
        <w:rPr>
          <w:rFonts w:ascii="Times New Roman" w:hAnsi="Times New Roman" w:eastAsia="Times New Roman" w:cs="Times New Roman"/>
          <w:szCs w:val="24"/>
          <w:lang w:val="en-GB"/>
        </w:rPr>
        <w:t xml:space="preserve">existing legitimate expectation to be provided </w:t>
      </w:r>
      <w:r w:rsidRPr="000C0E58" w:rsidR="00555FF0">
        <w:rPr>
          <w:rFonts w:ascii="Times New Roman" w:hAnsi="Times New Roman" w:eastAsia="Times New Roman" w:cs="Times New Roman"/>
          <w:szCs w:val="24"/>
          <w:lang w:val="en-GB"/>
        </w:rPr>
        <w:t xml:space="preserve">with </w:t>
      </w:r>
      <w:r w:rsidRPr="000C0E58">
        <w:rPr>
          <w:rFonts w:ascii="Times New Roman" w:hAnsi="Times New Roman" w:eastAsia="Times New Roman" w:cs="Times New Roman"/>
          <w:szCs w:val="24"/>
          <w:lang w:val="en-GB"/>
        </w:rPr>
        <w:t xml:space="preserve">a </w:t>
      </w:r>
      <w:r w:rsidRPr="000C0E58" w:rsidR="002D2D4C">
        <w:rPr>
          <w:rFonts w:ascii="Times New Roman" w:hAnsi="Times New Roman" w:eastAsia="Times New Roman" w:cs="Times New Roman"/>
          <w:szCs w:val="24"/>
          <w:lang w:val="en-GB"/>
        </w:rPr>
        <w:t xml:space="preserve">social-security </w:t>
      </w:r>
      <w:r w:rsidRPr="000C0E58">
        <w:rPr>
          <w:rFonts w:ascii="Times New Roman" w:hAnsi="Times New Roman" w:eastAsia="Times New Roman" w:cs="Times New Roman"/>
          <w:szCs w:val="24"/>
          <w:lang w:val="en-GB"/>
        </w:rPr>
        <w:t xml:space="preserve">benefit, rather than pursuing the “acquisition” of a “possession”. </w:t>
      </w:r>
      <w:r w:rsidRPr="000C0E58" w:rsidR="002B03F1">
        <w:rPr>
          <w:rFonts w:ascii="Times New Roman" w:hAnsi="Times New Roman" w:eastAsia="Times New Roman" w:cs="Times New Roman"/>
          <w:szCs w:val="24"/>
          <w:lang w:val="en-GB"/>
        </w:rPr>
        <w:t>It was not in dispute between the parties that the applicant would have been eligible for the disability allowance from the date on which her health impairment was found in 2012 to have exceeded the relevant threshold, had the new law not entered into force earlier that year (see paragraphs 22 and 60 above)</w:t>
      </w:r>
      <w:r w:rsidRPr="000C0E58" w:rsidR="0095137E">
        <w:rPr>
          <w:lang w:val="en-GB"/>
        </w:rPr>
        <w:t>.</w:t>
      </w:r>
    </w:p>
    <w:p w:rsidRPr="000C0E58" w:rsidR="00176B99" w:rsidP="000C0E58">
      <w:pPr>
        <w:pStyle w:val="ECHRPara"/>
        <w:rPr>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109</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w:t>
      </w:r>
      <w:r w:rsidRPr="000C0E58" w:rsidR="00884271">
        <w:rPr>
          <w:rFonts w:ascii="Times New Roman" w:hAnsi="Times New Roman" w:cs="Times New Roman"/>
          <w:szCs w:val="24"/>
          <w:lang w:val="en-GB"/>
        </w:rPr>
        <w:t xml:space="preserve">The </w:t>
      </w:r>
      <w:r w:rsidRPr="000C0E58" w:rsidR="00611BE2">
        <w:rPr>
          <w:rFonts w:ascii="Times New Roman" w:hAnsi="Times New Roman" w:cs="Times New Roman"/>
          <w:szCs w:val="24"/>
          <w:lang w:val="en-GB"/>
        </w:rPr>
        <w:t>interference</w:t>
      </w:r>
      <w:r w:rsidRPr="000C0E58" w:rsidR="00CC7614">
        <w:rPr>
          <w:rFonts w:ascii="Times New Roman" w:hAnsi="Times New Roman" w:cs="Times New Roman"/>
          <w:szCs w:val="24"/>
          <w:lang w:val="en-GB"/>
        </w:rPr>
        <w:t xml:space="preserve"> in question, which</w:t>
      </w:r>
      <w:r w:rsidRPr="000C0E58" w:rsidR="00611BE2">
        <w:rPr>
          <w:rFonts w:ascii="Times New Roman" w:hAnsi="Times New Roman" w:cs="Times New Roman"/>
          <w:szCs w:val="24"/>
          <w:lang w:val="en-GB"/>
        </w:rPr>
        <w:t xml:space="preserve"> </w:t>
      </w:r>
      <w:r w:rsidRPr="000C0E58" w:rsidR="00CC7614">
        <w:rPr>
          <w:rFonts w:ascii="Times New Roman" w:hAnsi="Times New Roman" w:cs="Times New Roman"/>
          <w:szCs w:val="24"/>
          <w:lang w:val="en-GB"/>
        </w:rPr>
        <w:t>resulted from the entry into force of the new law as from 2012,</w:t>
      </w:r>
      <w:r w:rsidRPr="000C0E58" w:rsidR="00611BE2">
        <w:rPr>
          <w:rFonts w:ascii="Times New Roman" w:hAnsi="Times New Roman" w:cs="Times New Roman"/>
          <w:szCs w:val="24"/>
          <w:lang w:val="en-GB"/>
        </w:rPr>
        <w:t xml:space="preserve"> consisted in a complete refusal of the applicant</w:t>
      </w:r>
      <w:r w:rsidRPr="000C0E58" w:rsidR="000C0E58">
        <w:rPr>
          <w:rFonts w:ascii="Times New Roman" w:hAnsi="Times New Roman" w:cs="Times New Roman"/>
          <w:szCs w:val="24"/>
          <w:lang w:val="en-GB"/>
        </w:rPr>
        <w:t>’</w:t>
      </w:r>
      <w:r w:rsidRPr="000C0E58" w:rsidR="00611BE2">
        <w:rPr>
          <w:rFonts w:ascii="Times New Roman" w:hAnsi="Times New Roman" w:cs="Times New Roman"/>
          <w:szCs w:val="24"/>
          <w:lang w:val="en-GB"/>
        </w:rPr>
        <w:t xml:space="preserve">s request for </w:t>
      </w:r>
      <w:r w:rsidRPr="000C0E58" w:rsidR="00116877">
        <w:rPr>
          <w:rFonts w:ascii="Times New Roman" w:hAnsi="Times New Roman" w:cs="Times New Roman"/>
          <w:szCs w:val="24"/>
          <w:lang w:val="en-GB"/>
        </w:rPr>
        <w:t xml:space="preserve">the </w:t>
      </w:r>
      <w:r w:rsidRPr="000C0E58" w:rsidR="00611BE2">
        <w:rPr>
          <w:rFonts w:ascii="Times New Roman" w:hAnsi="Times New Roman" w:cs="Times New Roman"/>
          <w:szCs w:val="24"/>
          <w:lang w:val="en-GB"/>
        </w:rPr>
        <w:t>disability allowance</w:t>
      </w:r>
      <w:r w:rsidRPr="000C0E58" w:rsidR="004A31E2">
        <w:rPr>
          <w:rFonts w:ascii="Times New Roman" w:hAnsi="Times New Roman" w:cs="Times New Roman"/>
          <w:szCs w:val="24"/>
          <w:lang w:val="en-GB"/>
        </w:rPr>
        <w:t xml:space="preserve">; in other words, </w:t>
      </w:r>
      <w:r w:rsidRPr="000C0E58" w:rsidR="00611BE2">
        <w:rPr>
          <w:rFonts w:ascii="Times New Roman" w:hAnsi="Times New Roman" w:cs="Times New Roman"/>
          <w:szCs w:val="24"/>
          <w:lang w:val="en-GB"/>
        </w:rPr>
        <w:t xml:space="preserve">her </w:t>
      </w:r>
      <w:r w:rsidRPr="000C0E58">
        <w:rPr>
          <w:lang w:val="en-GB"/>
        </w:rPr>
        <w:t>right to derive benefits from the social</w:t>
      </w:r>
      <w:r w:rsidRPr="000C0E58" w:rsidR="00116877">
        <w:rPr>
          <w:lang w:val="en-GB"/>
        </w:rPr>
        <w:t>-</w:t>
      </w:r>
      <w:r w:rsidRPr="000C0E58">
        <w:rPr>
          <w:lang w:val="en-GB"/>
        </w:rPr>
        <w:t xml:space="preserve">insurance scheme in question </w:t>
      </w:r>
      <w:r w:rsidRPr="000C0E58" w:rsidR="00611BE2">
        <w:rPr>
          <w:lang w:val="en-GB"/>
        </w:rPr>
        <w:t>was</w:t>
      </w:r>
      <w:r w:rsidRPr="000C0E58">
        <w:rPr>
          <w:lang w:val="en-GB"/>
        </w:rPr>
        <w:t xml:space="preserve"> infringed in a manner </w:t>
      </w:r>
      <w:r w:rsidRPr="000C0E58" w:rsidR="004A31E2">
        <w:rPr>
          <w:lang w:val="en-GB"/>
        </w:rPr>
        <w:t xml:space="preserve">that </w:t>
      </w:r>
      <w:r w:rsidRPr="000C0E58">
        <w:rPr>
          <w:lang w:val="en-GB"/>
        </w:rPr>
        <w:t>result</w:t>
      </w:r>
      <w:r w:rsidRPr="000C0E58" w:rsidR="004A31E2">
        <w:rPr>
          <w:lang w:val="en-GB"/>
        </w:rPr>
        <w:t xml:space="preserve">ed </w:t>
      </w:r>
      <w:r w:rsidRPr="000C0E58">
        <w:rPr>
          <w:lang w:val="en-GB"/>
        </w:rPr>
        <w:t xml:space="preserve">in the impairment of </w:t>
      </w:r>
      <w:r w:rsidRPr="000C0E58" w:rsidR="00611BE2">
        <w:rPr>
          <w:lang w:val="en-GB"/>
        </w:rPr>
        <w:t xml:space="preserve">her </w:t>
      </w:r>
      <w:r w:rsidRPr="000C0E58">
        <w:rPr>
          <w:rFonts w:ascii="Times New (W1)" w:hAnsi="Times New (W1)"/>
          <w:bCs/>
          <w:lang w:val="en-GB"/>
        </w:rPr>
        <w:t>pension</w:t>
      </w:r>
      <w:r w:rsidRPr="000C0E58">
        <w:rPr>
          <w:lang w:val="en-GB"/>
        </w:rPr>
        <w:t xml:space="preserve"> rights.</w:t>
      </w:r>
    </w:p>
    <w:p w:rsidRPr="000C0E58" w:rsidR="00611BE2" w:rsidP="000C0E58">
      <w:pPr>
        <w:pStyle w:val="ECHRPara"/>
        <w:rPr>
          <w:rFonts w:ascii="Times New Roman" w:hAnsi="Times New Roman" w:cs="Times New Roman"/>
          <w:szCs w:val="24"/>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110</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w:t>
      </w:r>
      <w:r w:rsidRPr="000C0E58">
        <w:rPr>
          <w:rFonts w:ascii="Times New Roman" w:hAnsi="Times New Roman" w:cs="Times New Roman"/>
          <w:szCs w:val="24"/>
          <w:lang w:val="en-GB"/>
        </w:rPr>
        <w:t>These elements are sufficient for the Court to find that Article 1 of Protocol No. 1 is applicable in the present case.</w:t>
      </w:r>
      <w:r w:rsidRPr="000C0E58" w:rsidR="00481D7A">
        <w:rPr>
          <w:rFonts w:ascii="Times New Roman" w:hAnsi="Times New Roman" w:cs="Times New Roman"/>
          <w:szCs w:val="24"/>
          <w:lang w:val="en-GB"/>
        </w:rPr>
        <w:t xml:space="preserve"> The Government</w:t>
      </w:r>
      <w:r w:rsidRPr="000C0E58" w:rsidR="000C0E58">
        <w:rPr>
          <w:rFonts w:ascii="Times New Roman" w:hAnsi="Times New Roman" w:cs="Times New Roman"/>
          <w:szCs w:val="24"/>
          <w:lang w:val="en-GB"/>
        </w:rPr>
        <w:t>’</w:t>
      </w:r>
      <w:r w:rsidRPr="000C0E58" w:rsidR="00481D7A">
        <w:rPr>
          <w:rFonts w:ascii="Times New Roman" w:hAnsi="Times New Roman" w:cs="Times New Roman"/>
          <w:szCs w:val="24"/>
          <w:lang w:val="en-GB"/>
        </w:rPr>
        <w:t xml:space="preserve">s preliminary objection concerning incompatibility </w:t>
      </w:r>
      <w:r w:rsidRPr="000C0E58" w:rsidR="00481D7A">
        <w:rPr>
          <w:rFonts w:ascii="Times New Roman" w:hAnsi="Times New Roman" w:cs="Times New Roman"/>
          <w:i/>
          <w:szCs w:val="24"/>
          <w:lang w:val="en-GB"/>
        </w:rPr>
        <w:t>ratione materiae</w:t>
      </w:r>
      <w:r w:rsidRPr="000C0E58" w:rsidR="00481D7A">
        <w:rPr>
          <w:rFonts w:ascii="Times New Roman" w:hAnsi="Times New Roman" w:cs="Times New Roman"/>
          <w:szCs w:val="24"/>
          <w:lang w:val="en-GB"/>
        </w:rPr>
        <w:t xml:space="preserve"> with the provisions of the Convention must thus be dismissed.</w:t>
      </w:r>
    </w:p>
    <w:p w:rsidRPr="000C0E58" w:rsidR="00031F25" w:rsidP="000C0E58">
      <w:pPr>
        <w:pStyle w:val="ECHRPara"/>
        <w:rPr>
          <w:rFonts w:ascii="Times New Roman" w:hAnsi="Times New Roman" w:eastAsia="Times New Roman" w:cs="Times New Roman"/>
          <w:szCs w:val="24"/>
          <w:lang w:val="en-GB"/>
        </w:rPr>
      </w:pPr>
      <w:r w:rsidRPr="000C0E58">
        <w:rPr>
          <w:rFonts w:ascii="Times New Roman" w:hAnsi="Times New Roman" w:cs="Times New Roman"/>
          <w:szCs w:val="24"/>
          <w:lang w:val="en-GB"/>
        </w:rPr>
        <w:fldChar w:fldCharType="begin"/>
      </w:r>
      <w:r w:rsidRPr="000C0E58">
        <w:rPr>
          <w:rFonts w:ascii="Times New Roman" w:hAnsi="Times New Roman" w:cs="Times New Roman"/>
          <w:szCs w:val="24"/>
          <w:lang w:val="en-GB"/>
        </w:rPr>
        <w:instrText xml:space="preserve"> SEQ level0 \*arabic </w:instrText>
      </w:r>
      <w:r w:rsidRPr="000C0E58">
        <w:rPr>
          <w:rFonts w:ascii="Times New Roman" w:hAnsi="Times New Roman" w:cs="Times New Roman"/>
          <w:szCs w:val="24"/>
          <w:lang w:val="en-GB"/>
        </w:rPr>
        <w:fldChar w:fldCharType="separate"/>
      </w:r>
      <w:r w:rsidRPr="000C0E58" w:rsidR="000C0E58">
        <w:rPr>
          <w:rFonts w:ascii="Times New Roman" w:hAnsi="Times New Roman" w:cs="Times New Roman"/>
          <w:noProof/>
          <w:szCs w:val="24"/>
          <w:lang w:val="en-GB"/>
        </w:rPr>
        <w:t>111</w:t>
      </w:r>
      <w:r w:rsidRPr="000C0E58">
        <w:rPr>
          <w:rFonts w:ascii="Times New Roman" w:hAnsi="Times New Roman" w:cs="Times New Roman"/>
          <w:szCs w:val="24"/>
          <w:lang w:val="en-GB"/>
        </w:rPr>
        <w:fldChar w:fldCharType="end"/>
      </w:r>
      <w:r w:rsidRPr="000C0E58">
        <w:rPr>
          <w:rFonts w:ascii="Times New Roman" w:hAnsi="Times New Roman" w:cs="Times New Roman"/>
          <w:szCs w:val="24"/>
          <w:lang w:val="en-GB"/>
        </w:rPr>
        <w:t>.  </w:t>
      </w:r>
      <w:r w:rsidRPr="000C0E58">
        <w:rPr>
          <w:rFonts w:ascii="Times New Roman" w:hAnsi="Times New Roman" w:cs="Times New Roman"/>
          <w:szCs w:val="24"/>
          <w:lang w:val="en-GB"/>
        </w:rPr>
        <w:t>In view of this conclusion, the Court finds that it is not warranted to address the parties</w:t>
      </w:r>
      <w:r w:rsidRPr="000C0E58" w:rsidR="000C0E58">
        <w:rPr>
          <w:rFonts w:ascii="Times New Roman" w:hAnsi="Times New Roman" w:cs="Times New Roman"/>
          <w:szCs w:val="24"/>
          <w:lang w:val="en-GB"/>
        </w:rPr>
        <w:t>’</w:t>
      </w:r>
      <w:r w:rsidRPr="000C0E58">
        <w:rPr>
          <w:rFonts w:ascii="Times New Roman" w:hAnsi="Times New Roman" w:cs="Times New Roman"/>
          <w:szCs w:val="24"/>
          <w:lang w:val="en-GB"/>
        </w:rPr>
        <w:t xml:space="preserve"> further arguments </w:t>
      </w:r>
      <w:r w:rsidRPr="000C0E58" w:rsidR="004A31E2">
        <w:rPr>
          <w:rFonts w:ascii="Times New Roman" w:hAnsi="Times New Roman" w:cs="Times New Roman"/>
          <w:szCs w:val="24"/>
          <w:lang w:val="en-GB"/>
        </w:rPr>
        <w:t xml:space="preserve">intended </w:t>
      </w:r>
      <w:r w:rsidRPr="000C0E58">
        <w:rPr>
          <w:rFonts w:ascii="Times New Roman" w:hAnsi="Times New Roman" w:cs="Times New Roman"/>
          <w:szCs w:val="24"/>
          <w:lang w:val="en-GB"/>
        </w:rPr>
        <w:t xml:space="preserve">to elucidate the nature of the disputed entitlement as </w:t>
      </w:r>
      <w:r w:rsidRPr="000C0E58" w:rsidR="004A31E2">
        <w:rPr>
          <w:rFonts w:ascii="Times New Roman" w:hAnsi="Times New Roman" w:cs="Times New Roman"/>
          <w:szCs w:val="24"/>
          <w:lang w:val="en-GB"/>
        </w:rPr>
        <w:t xml:space="preserve">it is described </w:t>
      </w:r>
      <w:r w:rsidRPr="000C0E58">
        <w:rPr>
          <w:rFonts w:ascii="Times New Roman" w:hAnsi="Times New Roman" w:cs="Times New Roman"/>
          <w:szCs w:val="24"/>
          <w:lang w:val="en-GB"/>
        </w:rPr>
        <w:t>by various international texts.</w:t>
      </w:r>
    </w:p>
    <w:p w:rsidRPr="000C0E58" w:rsidR="00061F43" w:rsidP="000C0E58">
      <w:pPr>
        <w:pStyle w:val="ECHRHeading3"/>
        <w:rPr>
          <w:lang w:val="en-GB"/>
        </w:rPr>
      </w:pPr>
      <w:r w:rsidRPr="000C0E58">
        <w:rPr>
          <w:lang w:val="en-GB"/>
        </w:rPr>
        <w:t>3</w:t>
      </w:r>
      <w:r w:rsidRPr="000C0E58">
        <w:rPr>
          <w:lang w:val="en-GB"/>
        </w:rPr>
        <w:t>.  Compliance with Article 1 of Protocol No. 1</w:t>
      </w:r>
    </w:p>
    <w:p w:rsidRPr="000C0E58" w:rsidR="00061F43" w:rsidP="000C0E58">
      <w:pPr>
        <w:pStyle w:val="ECHRHeading4"/>
        <w:rPr>
          <w:lang w:val="en-GB"/>
        </w:rPr>
      </w:pPr>
      <w:r w:rsidRPr="000C0E58">
        <w:rPr>
          <w:lang w:val="en-GB"/>
        </w:rPr>
        <w:t>(a)  General principles</w:t>
      </w:r>
    </w:p>
    <w:p w:rsidRPr="000C0E58" w:rsidR="00E80B88"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112</w:t>
      </w:r>
      <w:r w:rsidRPr="000C0E58">
        <w:rPr>
          <w:lang w:val="en-GB"/>
        </w:rPr>
        <w:fldChar w:fldCharType="end"/>
      </w:r>
      <w:r w:rsidRPr="000C0E58">
        <w:rPr>
          <w:lang w:val="en-GB"/>
        </w:rPr>
        <w:t xml:space="preserve">.  An essential condition for </w:t>
      </w:r>
      <w:r w:rsidRPr="000C0E58" w:rsidR="00CE7F24">
        <w:rPr>
          <w:lang w:val="en-GB"/>
        </w:rPr>
        <w:t xml:space="preserve">an </w:t>
      </w:r>
      <w:r w:rsidRPr="000C0E58">
        <w:rPr>
          <w:lang w:val="en-GB"/>
        </w:rPr>
        <w:t>interference</w:t>
      </w:r>
      <w:r w:rsidRPr="000C0E58" w:rsidR="00CE7F24">
        <w:rPr>
          <w:lang w:val="en-GB"/>
        </w:rPr>
        <w:t xml:space="preserve"> with a right protected by Article 1 of Protocol No. 1</w:t>
      </w:r>
      <w:r w:rsidRPr="000C0E58">
        <w:rPr>
          <w:lang w:val="en-GB"/>
        </w:rPr>
        <w:t xml:space="preserve"> to be deemed compatible with </w:t>
      </w:r>
      <w:r w:rsidRPr="000C0E58" w:rsidR="00CE7F24">
        <w:rPr>
          <w:lang w:val="en-GB"/>
        </w:rPr>
        <w:t>this provision</w:t>
      </w:r>
      <w:r w:rsidRPr="000C0E58">
        <w:rPr>
          <w:lang w:val="en-GB"/>
        </w:rPr>
        <w:t xml:space="preserve"> is that it should be lawful. The rule of law, one of the fundamental principles of a democratic society, is inherent in all the Articles of the Convention (see </w:t>
      </w:r>
      <w:r w:rsidRPr="000C0E58">
        <w:rPr>
          <w:i/>
          <w:lang w:val="en-GB"/>
        </w:rPr>
        <w:t>Iatridis,</w:t>
      </w:r>
      <w:r w:rsidRPr="000C0E58">
        <w:rPr>
          <w:lang w:val="en-GB"/>
        </w:rPr>
        <w:t xml:space="preserve"> cited above, § 58; </w:t>
      </w:r>
      <w:r w:rsidRPr="000C0E58">
        <w:rPr>
          <w:i/>
          <w:lang w:val="en-GB"/>
        </w:rPr>
        <w:t>Wieczorek</w:t>
      </w:r>
      <w:r w:rsidRPr="000C0E58" w:rsidR="002A2892">
        <w:rPr>
          <w:lang w:val="en-GB"/>
        </w:rPr>
        <w:t>, cited above</w:t>
      </w:r>
      <w:r w:rsidRPr="000C0E58">
        <w:rPr>
          <w:snapToGrid w:val="0"/>
          <w:lang w:val="en-GB"/>
        </w:rPr>
        <w:t>, § 58</w:t>
      </w:r>
      <w:r w:rsidRPr="000C0E58" w:rsidR="00B5797E">
        <w:rPr>
          <w:snapToGrid w:val="0"/>
          <w:lang w:val="en-GB"/>
        </w:rPr>
        <w:t xml:space="preserve">; </w:t>
      </w:r>
      <w:r w:rsidRPr="000C0E58" w:rsidR="002A2892">
        <w:rPr>
          <w:lang w:val="en-GB"/>
        </w:rPr>
        <w:t xml:space="preserve">and </w:t>
      </w:r>
      <w:r w:rsidRPr="000C0E58" w:rsidR="00B5797E">
        <w:rPr>
          <w:i/>
          <w:lang w:val="en-GB"/>
        </w:rPr>
        <w:t>Vistiņš and Perepjolkins v. Latvia</w:t>
      </w:r>
      <w:r w:rsidRPr="000C0E58" w:rsidR="00B5797E">
        <w:rPr>
          <w:lang w:val="en-GB"/>
        </w:rPr>
        <w:t xml:space="preserve"> [GC], </w:t>
      </w:r>
      <w:r w:rsidRPr="000C0E58" w:rsidR="00B5797E">
        <w:rPr>
          <w:snapToGrid w:val="0"/>
          <w:lang w:val="en-GB"/>
        </w:rPr>
        <w:t>no.</w:t>
      </w:r>
      <w:r w:rsidRPr="000C0E58" w:rsidR="002A2892">
        <w:rPr>
          <w:lang w:val="en-GB"/>
        </w:rPr>
        <w:t> </w:t>
      </w:r>
      <w:r w:rsidRPr="000C0E58" w:rsidR="00B5797E">
        <w:rPr>
          <w:lang w:val="en-GB"/>
        </w:rPr>
        <w:t>71243/01, § 9</w:t>
      </w:r>
      <w:r w:rsidRPr="000C0E58" w:rsidR="00A116EC">
        <w:rPr>
          <w:lang w:val="en-GB"/>
        </w:rPr>
        <w:t>6</w:t>
      </w:r>
      <w:r w:rsidRPr="000C0E58" w:rsidR="00B5797E">
        <w:rPr>
          <w:lang w:val="en-GB"/>
        </w:rPr>
        <w:t>, 25 October 2012</w:t>
      </w:r>
      <w:r w:rsidRPr="000C0E58">
        <w:rPr>
          <w:lang w:val="en-GB"/>
        </w:rPr>
        <w:t>).</w:t>
      </w:r>
    </w:p>
    <w:p w:rsidRPr="000C0E58" w:rsidR="002D3AC2" w:rsidP="000C0E58">
      <w:pPr>
        <w:pStyle w:val="ECHRPara"/>
        <w:rPr>
          <w:snapToGrid w:val="0"/>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113</w:t>
      </w:r>
      <w:r w:rsidRPr="000C0E58">
        <w:rPr>
          <w:lang w:val="en-GB"/>
        </w:rPr>
        <w:fldChar w:fldCharType="end"/>
      </w:r>
      <w:r w:rsidRPr="000C0E58">
        <w:rPr>
          <w:lang w:val="en-GB"/>
        </w:rPr>
        <w:t>.  </w:t>
      </w:r>
      <w:r w:rsidRPr="000C0E58" w:rsidR="00A116EC">
        <w:rPr>
          <w:lang w:val="en-GB"/>
        </w:rPr>
        <w:t>Moreover, a</w:t>
      </w:r>
      <w:r w:rsidRPr="000C0E58">
        <w:rPr>
          <w:lang w:val="en-GB"/>
        </w:rPr>
        <w:t>ny interference by a public authority with the peaceful enjoyment of possessions can only be justified if it serves a legitimate public (or general) interest. Because of their direct knowledge of their society and its needs, the national authorities are in principle better placed than the international judge to decide what is “in the public interest”. Under the system of protection established by the Convention, it is thus for the national authorities to make the initial assessment as to the existence of a problem of public concern warranting measures interfering with the peaceful enjoyment of possessions. The notion of “public interest” is necessarily extensive. In particular, the decision to enact laws concerning social</w:t>
      </w:r>
      <w:r w:rsidRPr="000C0E58" w:rsidR="004A31E2">
        <w:rPr>
          <w:lang w:val="en-GB"/>
        </w:rPr>
        <w:t>-</w:t>
      </w:r>
      <w:r w:rsidRPr="000C0E58">
        <w:rPr>
          <w:lang w:val="en-GB"/>
        </w:rPr>
        <w:t>insurance benefits will commonly involve consideration of economic and social issues. The Court finds it natural that the margin of appreciation available to the legislature in implementing social and economic policies should be a wide one and will respect the legislature</w:t>
      </w:r>
      <w:r w:rsidRPr="000C0E58" w:rsidR="000C0E58">
        <w:rPr>
          <w:lang w:val="en-GB"/>
        </w:rPr>
        <w:t>’</w:t>
      </w:r>
      <w:r w:rsidRPr="000C0E58">
        <w:rPr>
          <w:lang w:val="en-GB"/>
        </w:rPr>
        <w:t xml:space="preserve">s judgment as to what is “in the public interest” unless that judgment is manifestly without reasonable foundation (see, </w:t>
      </w:r>
      <w:r w:rsidRPr="000C0E58">
        <w:rPr>
          <w:i/>
          <w:lang w:val="en-GB"/>
        </w:rPr>
        <w:t>mutatis mutandis</w:t>
      </w:r>
      <w:r w:rsidRPr="000C0E58">
        <w:rPr>
          <w:lang w:val="en-GB"/>
        </w:rPr>
        <w:t xml:space="preserve">, </w:t>
      </w:r>
      <w:r w:rsidRPr="000C0E58">
        <w:rPr>
          <w:i/>
          <w:lang w:val="en-GB"/>
        </w:rPr>
        <w:t>The former King of Greece and Others v. Greece</w:t>
      </w:r>
      <w:r w:rsidRPr="000C0E58">
        <w:rPr>
          <w:lang w:val="en-GB"/>
        </w:rPr>
        <w:t xml:space="preserve"> [GC], no. 25701/94, § 87, ECHR 2000-XII; </w:t>
      </w:r>
      <w:r w:rsidRPr="000C0E58">
        <w:rPr>
          <w:i/>
          <w:lang w:val="en-GB"/>
        </w:rPr>
        <w:t>Wieczorek</w:t>
      </w:r>
      <w:r w:rsidRPr="000C0E58">
        <w:rPr>
          <w:lang w:val="en-GB"/>
        </w:rPr>
        <w:t xml:space="preserve">, cited above, § 59; </w:t>
      </w:r>
      <w:r w:rsidRPr="000C0E58" w:rsidR="004A45D1">
        <w:rPr>
          <w:i/>
          <w:lang w:val="en-GB"/>
        </w:rPr>
        <w:t>Frimu and Others v. Romania</w:t>
      </w:r>
      <w:r w:rsidRPr="000C0E58" w:rsidR="004A45D1">
        <w:rPr>
          <w:lang w:val="en-GB"/>
        </w:rPr>
        <w:t xml:space="preserve"> (dec.), nos.</w:t>
      </w:r>
      <w:r w:rsidRPr="000C0E58" w:rsidR="00E108BE">
        <w:rPr>
          <w:lang w:val="en-GB"/>
        </w:rPr>
        <w:t> </w:t>
      </w:r>
      <w:r w:rsidRPr="000C0E58" w:rsidR="004A45D1">
        <w:rPr>
          <w:lang w:val="en-GB"/>
        </w:rPr>
        <w:t>45312/11, 45581/11, 45583/11, 45587/1 and 45588/11</w:t>
      </w:r>
      <w:r w:rsidRPr="000C0E58" w:rsidR="00E7382D">
        <w:rPr>
          <w:lang w:val="en-GB"/>
        </w:rPr>
        <w:t>, § </w:t>
      </w:r>
      <w:r w:rsidRPr="000C0E58" w:rsidR="00E108BE">
        <w:rPr>
          <w:lang w:val="en-GB"/>
        </w:rPr>
        <w:t xml:space="preserve">40, 7 February 2012; </w:t>
      </w:r>
      <w:r w:rsidRPr="000C0E58" w:rsidR="0000759F">
        <w:rPr>
          <w:i/>
          <w:lang w:val="en-GB"/>
        </w:rPr>
        <w:t>Panfile v. Roumania</w:t>
      </w:r>
      <w:r w:rsidRPr="000C0E58" w:rsidR="0000759F">
        <w:rPr>
          <w:lang w:val="en-GB"/>
        </w:rPr>
        <w:t xml:space="preserve"> (dec.), no. 13902/</w:t>
      </w:r>
      <w:r w:rsidRPr="000C0E58" w:rsidR="00E7382D">
        <w:rPr>
          <w:lang w:val="en-GB"/>
        </w:rPr>
        <w:t>11, 20 </w:t>
      </w:r>
      <w:r w:rsidRPr="000C0E58" w:rsidR="0000759F">
        <w:rPr>
          <w:lang w:val="en-GB"/>
        </w:rPr>
        <w:t>March 2012</w:t>
      </w:r>
      <w:r w:rsidRPr="000C0E58" w:rsidR="00BC2C01">
        <w:rPr>
          <w:lang w:val="en-GB"/>
        </w:rPr>
        <w:t>,</w:t>
      </w:r>
      <w:r w:rsidRPr="000C0E58" w:rsidR="00CD2805">
        <w:rPr>
          <w:lang w:val="en-GB"/>
        </w:rPr>
        <w:t xml:space="preserve"> </w:t>
      </w:r>
      <w:r w:rsidRPr="000C0E58">
        <w:rPr>
          <w:lang w:val="en-GB"/>
        </w:rPr>
        <w:t xml:space="preserve">and </w:t>
      </w:r>
      <w:r w:rsidRPr="000C0E58">
        <w:rPr>
          <w:i/>
          <w:lang w:val="en-GB"/>
        </w:rPr>
        <w:t xml:space="preserve">Gogitidze </w:t>
      </w:r>
      <w:r w:rsidRPr="000C0E58">
        <w:rPr>
          <w:i/>
          <w:snapToGrid w:val="0"/>
          <w:lang w:val="en-GB"/>
        </w:rPr>
        <w:t>and Others v. Georgia</w:t>
      </w:r>
      <w:r w:rsidRPr="000C0E58">
        <w:rPr>
          <w:snapToGrid w:val="0"/>
          <w:lang w:val="en-GB"/>
        </w:rPr>
        <w:t>, no. </w:t>
      </w:r>
      <w:r w:rsidRPr="000C0E58">
        <w:rPr>
          <w:lang w:val="en-GB"/>
        </w:rPr>
        <w:t>36862/05</w:t>
      </w:r>
      <w:r w:rsidRPr="000C0E58">
        <w:rPr>
          <w:snapToGrid w:val="0"/>
          <w:lang w:val="en-GB"/>
        </w:rPr>
        <w:t xml:space="preserve">, § 96, </w:t>
      </w:r>
      <w:r w:rsidRPr="000C0E58">
        <w:rPr>
          <w:lang w:val="en-GB"/>
        </w:rPr>
        <w:t>12</w:t>
      </w:r>
      <w:r w:rsidRPr="000C0E58">
        <w:rPr>
          <w:snapToGrid w:val="0"/>
          <w:lang w:val="en-GB"/>
        </w:rPr>
        <w:t xml:space="preserve"> May 2015</w:t>
      </w:r>
      <w:r w:rsidRPr="000C0E58" w:rsidR="003F0229">
        <w:rPr>
          <w:snapToGrid w:val="0"/>
          <w:lang w:val="en-GB"/>
        </w:rPr>
        <w:t>).</w:t>
      </w:r>
    </w:p>
    <w:p w:rsidRPr="000C0E58" w:rsidR="007D6CD8" w:rsidP="000C0E58">
      <w:pPr>
        <w:pStyle w:val="ECHRPara"/>
        <w:rPr>
          <w:b/>
          <w:i/>
          <w:szCs w:val="24"/>
          <w:lang w:val="en-GB"/>
        </w:rPr>
      </w:pPr>
      <w:r w:rsidRPr="000C0E58">
        <w:rPr>
          <w:snapToGrid w:val="0"/>
          <w:lang w:val="en-GB"/>
        </w:rPr>
        <w:fldChar w:fldCharType="begin"/>
      </w:r>
      <w:r w:rsidRPr="000C0E58">
        <w:rPr>
          <w:snapToGrid w:val="0"/>
          <w:lang w:val="en-GB"/>
        </w:rPr>
        <w:instrText xml:space="preserve"> SEQ level0 \*arabic </w:instrText>
      </w:r>
      <w:r w:rsidRPr="000C0E58">
        <w:rPr>
          <w:snapToGrid w:val="0"/>
          <w:lang w:val="en-GB"/>
        </w:rPr>
        <w:fldChar w:fldCharType="separate"/>
      </w:r>
      <w:r w:rsidRPr="000C0E58" w:rsidR="000C0E58">
        <w:rPr>
          <w:noProof/>
          <w:snapToGrid w:val="0"/>
          <w:lang w:val="en-GB"/>
        </w:rPr>
        <w:t>114</w:t>
      </w:r>
      <w:r w:rsidRPr="000C0E58">
        <w:rPr>
          <w:snapToGrid w:val="0"/>
          <w:lang w:val="en-GB"/>
        </w:rPr>
        <w:fldChar w:fldCharType="end"/>
      </w:r>
      <w:r w:rsidRPr="000C0E58">
        <w:rPr>
          <w:snapToGrid w:val="0"/>
          <w:lang w:val="en-GB"/>
        </w:rPr>
        <w:t>.  </w:t>
      </w:r>
      <w:r w:rsidRPr="000C0E58" w:rsidR="003F0229">
        <w:rPr>
          <w:snapToGrid w:val="0"/>
          <w:lang w:val="en-GB"/>
        </w:rPr>
        <w:t xml:space="preserve">This is </w:t>
      </w:r>
      <w:r w:rsidRPr="000C0E58" w:rsidR="00141912">
        <w:rPr>
          <w:snapToGrid w:val="0"/>
          <w:lang w:val="en-GB"/>
        </w:rPr>
        <w:t>particular</w:t>
      </w:r>
      <w:r w:rsidRPr="000C0E58" w:rsidR="00864238">
        <w:rPr>
          <w:snapToGrid w:val="0"/>
          <w:lang w:val="en-GB"/>
        </w:rPr>
        <w:t>ly</w:t>
      </w:r>
      <w:r w:rsidRPr="000C0E58" w:rsidR="00BB0031">
        <w:rPr>
          <w:snapToGrid w:val="0"/>
          <w:lang w:val="en-GB"/>
        </w:rPr>
        <w:t xml:space="preserve"> so</w:t>
      </w:r>
      <w:r w:rsidRPr="000C0E58" w:rsidR="003F0229">
        <w:rPr>
          <w:snapToGrid w:val="0"/>
          <w:lang w:val="en-GB"/>
        </w:rPr>
        <w:t xml:space="preserve">, for instance, when passing laws in the context of </w:t>
      </w:r>
      <w:r w:rsidRPr="000C0E58" w:rsidR="00DA03CE">
        <w:rPr>
          <w:snapToGrid w:val="0"/>
          <w:lang w:val="en-GB"/>
        </w:rPr>
        <w:t xml:space="preserve">a </w:t>
      </w:r>
      <w:r w:rsidRPr="000C0E58" w:rsidR="003F0229">
        <w:rPr>
          <w:snapToGrid w:val="0"/>
          <w:lang w:val="en-GB"/>
        </w:rPr>
        <w:t xml:space="preserve">change of political and economic regime (see </w:t>
      </w:r>
      <w:r w:rsidRPr="000C0E58" w:rsidR="003F0229">
        <w:rPr>
          <w:i/>
          <w:iCs/>
          <w:lang w:val="en-GB"/>
        </w:rPr>
        <w:t>Valkov and Others</w:t>
      </w:r>
      <w:r w:rsidRPr="000C0E58" w:rsidR="00493A25">
        <w:rPr>
          <w:iCs/>
          <w:lang w:val="en-GB"/>
        </w:rPr>
        <w:t>, cited above, § 91</w:t>
      </w:r>
      <w:r w:rsidRPr="000C0E58" w:rsidR="00DA03CE">
        <w:rPr>
          <w:snapToGrid w:val="0"/>
          <w:lang w:val="en-GB"/>
        </w:rPr>
        <w:t>;</w:t>
      </w:r>
      <w:r w:rsidRPr="000C0E58" w:rsidR="00CD2805">
        <w:rPr>
          <w:snapToGrid w:val="0"/>
          <w:lang w:val="en-GB"/>
        </w:rPr>
        <w:t xml:space="preserve"> the adoption of policies to protect the public purse (see</w:t>
      </w:r>
      <w:r w:rsidRPr="000C0E58" w:rsidR="00CD2805">
        <w:rPr>
          <w:lang w:val="en-GB"/>
        </w:rPr>
        <w:t xml:space="preserve"> </w:t>
      </w:r>
      <w:r w:rsidRPr="000C0E58" w:rsidR="00E7382D">
        <w:rPr>
          <w:i/>
          <w:lang w:val="en-GB"/>
        </w:rPr>
        <w:t>N.K.M. v. </w:t>
      </w:r>
      <w:r w:rsidRPr="000C0E58" w:rsidR="00CD2805">
        <w:rPr>
          <w:i/>
          <w:lang w:val="en-GB"/>
        </w:rPr>
        <w:t>Hungary</w:t>
      </w:r>
      <w:r w:rsidRPr="000C0E58" w:rsidR="00CD2805">
        <w:rPr>
          <w:lang w:val="en-GB"/>
        </w:rPr>
        <w:t>, no.</w:t>
      </w:r>
      <w:r w:rsidRPr="000C0E58" w:rsidR="00F74A28">
        <w:rPr>
          <w:lang w:val="en-GB"/>
        </w:rPr>
        <w:t> </w:t>
      </w:r>
      <w:r w:rsidRPr="000C0E58" w:rsidR="00CD2805">
        <w:rPr>
          <w:lang w:val="en-GB"/>
        </w:rPr>
        <w:t>66529/11</w:t>
      </w:r>
      <w:r w:rsidRPr="000C0E58" w:rsidR="00CD2805">
        <w:rPr>
          <w:snapToGrid w:val="0"/>
          <w:lang w:val="en-GB"/>
        </w:rPr>
        <w:t>, §§ 49 and 61, 14 May 2013)</w:t>
      </w:r>
      <w:r w:rsidRPr="000C0E58" w:rsidR="00DA03CE">
        <w:rPr>
          <w:snapToGrid w:val="0"/>
          <w:lang w:val="en-GB"/>
        </w:rPr>
        <w:t>;</w:t>
      </w:r>
      <w:r w:rsidRPr="000C0E58" w:rsidR="00BB0031">
        <w:rPr>
          <w:snapToGrid w:val="0"/>
          <w:lang w:val="en-GB"/>
        </w:rPr>
        <w:t xml:space="preserve"> </w:t>
      </w:r>
      <w:r w:rsidRPr="000C0E58" w:rsidR="00306ACC">
        <w:rPr>
          <w:snapToGrid w:val="0"/>
          <w:lang w:val="en-GB"/>
        </w:rPr>
        <w:t xml:space="preserve">or </w:t>
      </w:r>
      <w:r w:rsidRPr="000C0E58" w:rsidR="007D6A53">
        <w:rPr>
          <w:snapToGrid w:val="0"/>
          <w:lang w:val="en-GB"/>
        </w:rPr>
        <w:t xml:space="preserve">to reallocate funds (see </w:t>
      </w:r>
      <w:r w:rsidRPr="000C0E58" w:rsidR="007D6A53">
        <w:rPr>
          <w:i/>
          <w:snapToGrid w:val="0"/>
          <w:lang w:val="en-GB"/>
        </w:rPr>
        <w:t>Savickas v. Lithuania</w:t>
      </w:r>
      <w:r w:rsidRPr="000C0E58" w:rsidR="007D6A53">
        <w:rPr>
          <w:snapToGrid w:val="0"/>
          <w:lang w:val="en-GB"/>
        </w:rPr>
        <w:t xml:space="preserve"> </w:t>
      </w:r>
      <w:r w:rsidRPr="000C0E58" w:rsidR="007D6A53">
        <w:rPr>
          <w:i/>
          <w:snapToGrid w:val="0"/>
          <w:lang w:val="en-GB"/>
        </w:rPr>
        <w:t>and Others</w:t>
      </w:r>
      <w:r w:rsidRPr="000C0E58" w:rsidR="007D6A53">
        <w:rPr>
          <w:snapToGrid w:val="0"/>
          <w:lang w:val="en-GB"/>
        </w:rPr>
        <w:t xml:space="preserve"> (dec.), no.</w:t>
      </w:r>
      <w:r w:rsidRPr="000C0E58" w:rsidR="00642781">
        <w:rPr>
          <w:snapToGrid w:val="0"/>
          <w:lang w:val="en-GB"/>
        </w:rPr>
        <w:t> </w:t>
      </w:r>
      <w:r w:rsidRPr="000C0E58" w:rsidR="007D6A53">
        <w:rPr>
          <w:snapToGrid w:val="0"/>
          <w:lang w:val="en-GB"/>
        </w:rPr>
        <w:t>66365/09, 15 October 2013</w:t>
      </w:r>
      <w:r w:rsidRPr="000C0E58" w:rsidR="00DA03CE">
        <w:rPr>
          <w:snapToGrid w:val="0"/>
          <w:lang w:val="en-GB"/>
        </w:rPr>
        <w:t>)</w:t>
      </w:r>
      <w:r w:rsidRPr="000C0E58" w:rsidR="007D6A53">
        <w:rPr>
          <w:snapToGrid w:val="0"/>
          <w:lang w:val="en-GB"/>
        </w:rPr>
        <w:t xml:space="preserve">; </w:t>
      </w:r>
      <w:r w:rsidRPr="000C0E58" w:rsidR="008E5E93">
        <w:rPr>
          <w:snapToGrid w:val="0"/>
          <w:lang w:val="en-GB"/>
        </w:rPr>
        <w:t>or</w:t>
      </w:r>
      <w:r w:rsidRPr="000C0E58" w:rsidR="00BB0031">
        <w:rPr>
          <w:snapToGrid w:val="0"/>
          <w:lang w:val="en-GB"/>
        </w:rPr>
        <w:t xml:space="preserve"> </w:t>
      </w:r>
      <w:r w:rsidRPr="000C0E58" w:rsidR="00306ACC">
        <w:rPr>
          <w:snapToGrid w:val="0"/>
          <w:lang w:val="en-GB"/>
        </w:rPr>
        <w:t xml:space="preserve">of austerity measures </w:t>
      </w:r>
      <w:r w:rsidRPr="000C0E58" w:rsidR="00F74A28">
        <w:rPr>
          <w:snapToGrid w:val="0"/>
          <w:lang w:val="en-GB"/>
        </w:rPr>
        <w:t xml:space="preserve">prompted by </w:t>
      </w:r>
      <w:r w:rsidRPr="000C0E58" w:rsidR="00DA03CE">
        <w:rPr>
          <w:snapToGrid w:val="0"/>
          <w:lang w:val="en-GB"/>
        </w:rPr>
        <w:t xml:space="preserve">a </w:t>
      </w:r>
      <w:r w:rsidRPr="000C0E58" w:rsidR="000635D4">
        <w:rPr>
          <w:snapToGrid w:val="0"/>
          <w:lang w:val="en-GB"/>
        </w:rPr>
        <w:t xml:space="preserve">major </w:t>
      </w:r>
      <w:r w:rsidRPr="000C0E58" w:rsidR="00BB0031">
        <w:rPr>
          <w:snapToGrid w:val="0"/>
          <w:lang w:val="en-GB"/>
        </w:rPr>
        <w:t xml:space="preserve">economic crisis </w:t>
      </w:r>
      <w:r w:rsidRPr="000C0E58" w:rsidR="004F6090">
        <w:rPr>
          <w:snapToGrid w:val="0"/>
          <w:lang w:val="en-GB"/>
        </w:rPr>
        <w:t xml:space="preserve">(see </w:t>
      </w:r>
      <w:r w:rsidRPr="000C0E58" w:rsidR="004F6090">
        <w:rPr>
          <w:i/>
          <w:lang w:val="en-GB"/>
        </w:rPr>
        <w:t xml:space="preserve">Koufaki </w:t>
      </w:r>
      <w:r w:rsidRPr="000C0E58" w:rsidR="00DA03CE">
        <w:rPr>
          <w:i/>
          <w:lang w:val="en-GB"/>
        </w:rPr>
        <w:t xml:space="preserve">and </w:t>
      </w:r>
      <w:r w:rsidRPr="000C0E58" w:rsidR="004F6090">
        <w:rPr>
          <w:i/>
          <w:lang w:val="en-GB"/>
        </w:rPr>
        <w:t>ADEDY v. Greece</w:t>
      </w:r>
      <w:r w:rsidRPr="000C0E58" w:rsidR="004F6090">
        <w:rPr>
          <w:lang w:val="en-GB"/>
        </w:rPr>
        <w:t xml:space="preserve"> (dec.), nos. 57665/12 </w:t>
      </w:r>
      <w:r w:rsidRPr="000C0E58" w:rsidR="00874F29">
        <w:rPr>
          <w:lang w:val="en-GB"/>
        </w:rPr>
        <w:t>and</w:t>
      </w:r>
      <w:r w:rsidRPr="000C0E58" w:rsidR="004F6090">
        <w:rPr>
          <w:lang w:val="en-GB"/>
        </w:rPr>
        <w:t xml:space="preserve"> 57657/12, </w:t>
      </w:r>
      <w:r w:rsidRPr="000C0E58" w:rsidR="00FA11BD">
        <w:rPr>
          <w:lang w:val="en-GB"/>
        </w:rPr>
        <w:t xml:space="preserve">§§ 37 and 39, </w:t>
      </w:r>
      <w:r w:rsidRPr="000C0E58" w:rsidR="00672047">
        <w:rPr>
          <w:lang w:val="en-GB"/>
        </w:rPr>
        <w:t>7 </w:t>
      </w:r>
      <w:r w:rsidRPr="000C0E58" w:rsidR="004F6090">
        <w:rPr>
          <w:lang w:val="en-GB"/>
        </w:rPr>
        <w:t>May 2013</w:t>
      </w:r>
      <w:r w:rsidRPr="000C0E58" w:rsidR="00CD2805">
        <w:rPr>
          <w:lang w:val="en-GB"/>
        </w:rPr>
        <w:t>;</w:t>
      </w:r>
      <w:r w:rsidRPr="000C0E58" w:rsidR="000635D4">
        <w:rPr>
          <w:lang w:val="en-GB"/>
        </w:rPr>
        <w:t xml:space="preserve"> see also</w:t>
      </w:r>
      <w:r w:rsidRPr="000C0E58" w:rsidR="000635D4">
        <w:rPr>
          <w:i/>
          <w:lang w:val="en-GB"/>
        </w:rPr>
        <w:t xml:space="preserve"> da Conceição Mateus and Santos Januário v. Portugal</w:t>
      </w:r>
      <w:r w:rsidRPr="000C0E58" w:rsidR="000635D4">
        <w:rPr>
          <w:lang w:val="en-GB"/>
        </w:rPr>
        <w:t xml:space="preserve"> (dec.) nos.</w:t>
      </w:r>
      <w:r w:rsidRPr="000C0E58" w:rsidR="00B85F76">
        <w:rPr>
          <w:lang w:val="en-GB"/>
        </w:rPr>
        <w:t xml:space="preserve"> 62235/12 and 57725/12, § 22, 8 </w:t>
      </w:r>
      <w:r w:rsidRPr="000C0E58" w:rsidR="000635D4">
        <w:rPr>
          <w:lang w:val="en-GB"/>
        </w:rPr>
        <w:t xml:space="preserve">October 2013; </w:t>
      </w:r>
      <w:r w:rsidRPr="000C0E58" w:rsidR="000635D4">
        <w:rPr>
          <w:i/>
          <w:lang w:val="en-GB"/>
        </w:rPr>
        <w:t>da Silva Carvalho Rico v. Portugal</w:t>
      </w:r>
      <w:r w:rsidRPr="000C0E58" w:rsidR="00B85F76">
        <w:rPr>
          <w:lang w:val="en-GB"/>
        </w:rPr>
        <w:t xml:space="preserve"> (dec.), § 37, no. </w:t>
      </w:r>
      <w:r w:rsidRPr="000C0E58" w:rsidR="000635D4">
        <w:rPr>
          <w:lang w:val="en-GB"/>
        </w:rPr>
        <w:t>13341/14, 1</w:t>
      </w:r>
      <w:r w:rsidRPr="000C0E58" w:rsidR="000635D4">
        <w:rPr>
          <w:vertAlign w:val="superscript"/>
          <w:lang w:val="en-GB"/>
        </w:rPr>
        <w:t xml:space="preserve"> </w:t>
      </w:r>
      <w:r w:rsidRPr="000C0E58" w:rsidR="000635D4">
        <w:rPr>
          <w:lang w:val="en-GB"/>
        </w:rPr>
        <w:t>September 2015</w:t>
      </w:r>
      <w:r w:rsidRPr="000C0E58" w:rsidR="004F6090">
        <w:rPr>
          <w:lang w:val="en-GB"/>
        </w:rPr>
        <w:t>)</w:t>
      </w:r>
      <w:r w:rsidRPr="000C0E58" w:rsidR="00D948A5">
        <w:rPr>
          <w:lang w:val="en-GB"/>
        </w:rPr>
        <w:t>.</w:t>
      </w:r>
    </w:p>
    <w:p w:rsidRPr="000C0E58" w:rsidR="006F223F"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115</w:t>
      </w:r>
      <w:r w:rsidRPr="000C0E58">
        <w:rPr>
          <w:noProof/>
          <w:lang w:val="en-GB"/>
        </w:rPr>
        <w:fldChar w:fldCharType="end"/>
      </w:r>
      <w:r w:rsidRPr="000C0E58" w:rsidR="00061F43">
        <w:rPr>
          <w:lang w:val="en-GB"/>
        </w:rPr>
        <w:t>.  </w:t>
      </w:r>
      <w:r w:rsidRPr="000C0E58" w:rsidR="004A31E2">
        <w:rPr>
          <w:lang w:val="en-GB"/>
        </w:rPr>
        <w:t xml:space="preserve">In addition, </w:t>
      </w:r>
      <w:r w:rsidRPr="000C0E58" w:rsidR="00061F43">
        <w:rPr>
          <w:lang w:val="en-GB"/>
        </w:rPr>
        <w:t xml:space="preserve">Article 1 of Protocol No. 1 requires that any interference be reasonably proportionate to the aim sought to be realised (see </w:t>
      </w:r>
      <w:r w:rsidRPr="000C0E58" w:rsidR="00061F43">
        <w:rPr>
          <w:i/>
          <w:lang w:val="en-GB"/>
        </w:rPr>
        <w:t>Jahn and Others v. Germany</w:t>
      </w:r>
      <w:r w:rsidRPr="000C0E58" w:rsidR="00061F43">
        <w:rPr>
          <w:lang w:val="en-GB"/>
        </w:rPr>
        <w:t xml:space="preserve"> [GC], nos. 46720/99, 72203/01 and 72552/01, §§ 81</w:t>
      </w:r>
      <w:r w:rsidRPr="000C0E58" w:rsidR="00061F43">
        <w:rPr>
          <w:rFonts w:ascii="MS Mincho" w:hAnsi="MS Mincho" w:eastAsia="MS Mincho" w:cs="MS Mincho"/>
          <w:lang w:val="en-GB"/>
        </w:rPr>
        <w:t>‑</w:t>
      </w:r>
      <w:r w:rsidRPr="000C0E58" w:rsidR="00061F43">
        <w:rPr>
          <w:lang w:val="en-GB"/>
        </w:rPr>
        <w:t>94, ECHR 2005</w:t>
      </w:r>
      <w:r w:rsidRPr="000C0E58" w:rsidR="00061F43">
        <w:rPr>
          <w:rFonts w:ascii="MS Mincho" w:hAnsi="MS Mincho" w:eastAsia="MS Mincho" w:cs="MS Mincho"/>
          <w:lang w:val="en-GB"/>
        </w:rPr>
        <w:t>‑</w:t>
      </w:r>
      <w:r w:rsidRPr="000C0E58" w:rsidR="00061F43">
        <w:rPr>
          <w:lang w:val="en-GB"/>
        </w:rPr>
        <w:t>VI). The requisite fair balance will not be struck where the person concerned bears an individual and excessive burden (</w:t>
      </w:r>
      <w:r w:rsidRPr="000C0E58" w:rsidR="008835A7">
        <w:rPr>
          <w:lang w:val="en-GB"/>
        </w:rPr>
        <w:t xml:space="preserve">see </w:t>
      </w:r>
      <w:r w:rsidRPr="000C0E58" w:rsidR="004C5587">
        <w:rPr>
          <w:i/>
          <w:lang w:val="en-GB"/>
        </w:rPr>
        <w:t>Sporrong and Lönnroth v. Sweden</w:t>
      </w:r>
      <w:r w:rsidRPr="000C0E58" w:rsidR="00672047">
        <w:rPr>
          <w:lang w:val="en-GB"/>
        </w:rPr>
        <w:t>, 23 September 1982, §§ </w:t>
      </w:r>
      <w:r w:rsidRPr="000C0E58" w:rsidR="004C5587">
        <w:rPr>
          <w:lang w:val="en-GB"/>
        </w:rPr>
        <w:t xml:space="preserve">69-74, Series </w:t>
      </w:r>
      <w:r w:rsidRPr="000C0E58" w:rsidR="004C5587">
        <w:rPr>
          <w:lang w:val="en-GB"/>
        </w:rPr>
        <w:t>A</w:t>
      </w:r>
      <w:r w:rsidRPr="000C0E58" w:rsidR="004C5587">
        <w:rPr>
          <w:lang w:val="en-GB"/>
        </w:rPr>
        <w:t xml:space="preserve"> no. 52; </w:t>
      </w:r>
      <w:r w:rsidRPr="000C0E58" w:rsidR="008835A7">
        <w:rPr>
          <w:i/>
          <w:lang w:val="en-GB"/>
        </w:rPr>
        <w:t>Kjartan Ásmundsson</w:t>
      </w:r>
      <w:r w:rsidRPr="000C0E58" w:rsidR="008835A7">
        <w:rPr>
          <w:lang w:val="en-GB"/>
        </w:rPr>
        <w:t xml:space="preserve">, cited above, § 45; </w:t>
      </w:r>
      <w:r w:rsidRPr="000C0E58" w:rsidR="004C5587">
        <w:rPr>
          <w:i/>
          <w:lang w:val="en-GB"/>
        </w:rPr>
        <w:t>Sargsyan</w:t>
      </w:r>
      <w:r w:rsidRPr="000C0E58" w:rsidR="004C5587">
        <w:rPr>
          <w:lang w:val="en-GB"/>
        </w:rPr>
        <w:t>, cited above, § 241</w:t>
      </w:r>
      <w:r w:rsidRPr="000C0E58" w:rsidR="006A06FA">
        <w:rPr>
          <w:lang w:val="en-GB"/>
        </w:rPr>
        <w:t xml:space="preserve">; </w:t>
      </w:r>
      <w:r w:rsidRPr="000C0E58" w:rsidR="006A06FA">
        <w:rPr>
          <w:i/>
          <w:lang w:val="en-GB"/>
        </w:rPr>
        <w:t>Maggio and Others</w:t>
      </w:r>
      <w:r w:rsidRPr="000C0E58" w:rsidR="006A06FA">
        <w:rPr>
          <w:lang w:val="en-GB"/>
        </w:rPr>
        <w:t xml:space="preserve">, cited above, § 63; </w:t>
      </w:r>
      <w:r w:rsidRPr="000C0E58" w:rsidR="00DA03CE">
        <w:rPr>
          <w:lang w:val="en-GB"/>
        </w:rPr>
        <w:t xml:space="preserve">and </w:t>
      </w:r>
      <w:r w:rsidRPr="000C0E58" w:rsidR="006A06FA">
        <w:rPr>
          <w:i/>
          <w:lang w:val="en-GB"/>
        </w:rPr>
        <w:t>Stefanetti and Others</w:t>
      </w:r>
      <w:r w:rsidRPr="000C0E58" w:rsidR="006A06FA">
        <w:rPr>
          <w:lang w:val="en-GB"/>
        </w:rPr>
        <w:t>, cited above, §</w:t>
      </w:r>
      <w:r w:rsidRPr="000C0E58" w:rsidR="00F74A28">
        <w:rPr>
          <w:lang w:val="en-GB"/>
        </w:rPr>
        <w:t> </w:t>
      </w:r>
      <w:r w:rsidRPr="000C0E58" w:rsidR="006A06FA">
        <w:rPr>
          <w:lang w:val="en-GB"/>
        </w:rPr>
        <w:t>66</w:t>
      </w:r>
      <w:r w:rsidRPr="000C0E58" w:rsidR="00061F43">
        <w:rPr>
          <w:lang w:val="en-GB"/>
        </w:rPr>
        <w:t>).</w:t>
      </w:r>
    </w:p>
    <w:p w:rsidRPr="000C0E58" w:rsidR="005E509F"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116</w:t>
      </w:r>
      <w:r w:rsidRPr="000C0E58">
        <w:rPr>
          <w:lang w:val="en-GB"/>
        </w:rPr>
        <w:fldChar w:fldCharType="end"/>
      </w:r>
      <w:r w:rsidRPr="000C0E58">
        <w:rPr>
          <w:lang w:val="en-GB"/>
        </w:rPr>
        <w:t>.  </w:t>
      </w:r>
      <w:r w:rsidRPr="000C0E58">
        <w:rPr>
          <w:lang w:val="en-GB"/>
        </w:rPr>
        <w:t xml:space="preserve">In considering whether the interference imposed an excessive individual burden the Court </w:t>
      </w:r>
      <w:r w:rsidRPr="000C0E58" w:rsidR="000568D5">
        <w:rPr>
          <w:lang w:val="en-GB"/>
        </w:rPr>
        <w:t>will have</w:t>
      </w:r>
      <w:r w:rsidRPr="000C0E58">
        <w:rPr>
          <w:lang w:val="en-GB"/>
        </w:rPr>
        <w:t xml:space="preserve"> regard to the particular context in which the issue arises, namely that of a social</w:t>
      </w:r>
      <w:r w:rsidRPr="000C0E58" w:rsidR="00DA03CE">
        <w:rPr>
          <w:lang w:val="en-GB"/>
        </w:rPr>
        <w:t>-</w:t>
      </w:r>
      <w:r w:rsidRPr="000C0E58">
        <w:rPr>
          <w:lang w:val="en-GB"/>
        </w:rPr>
        <w:t>security scheme. Such schemes are an expression of a society</w:t>
      </w:r>
      <w:r w:rsidRPr="000C0E58" w:rsidR="000C0E58">
        <w:rPr>
          <w:lang w:val="en-GB"/>
        </w:rPr>
        <w:t>’</w:t>
      </w:r>
      <w:r w:rsidRPr="000C0E58">
        <w:rPr>
          <w:lang w:val="en-GB"/>
        </w:rPr>
        <w:t xml:space="preserve">s solidarity with its vulnerable members (see </w:t>
      </w:r>
      <w:r w:rsidRPr="000C0E58" w:rsidR="00264175">
        <w:rPr>
          <w:i/>
          <w:lang w:val="en-GB"/>
        </w:rPr>
        <w:t>Maggio and Others</w:t>
      </w:r>
      <w:r w:rsidRPr="000C0E58" w:rsidR="00264175">
        <w:rPr>
          <w:lang w:val="en-GB"/>
        </w:rPr>
        <w:t xml:space="preserve">, § 61, </w:t>
      </w:r>
      <w:r w:rsidRPr="000C0E58" w:rsidR="00DA03CE">
        <w:rPr>
          <w:lang w:val="en-GB"/>
        </w:rPr>
        <w:t xml:space="preserve">and </w:t>
      </w:r>
      <w:r w:rsidRPr="000C0E58" w:rsidR="00264175">
        <w:rPr>
          <w:i/>
          <w:lang w:val="en-GB"/>
        </w:rPr>
        <w:t>Stefanetti and Others</w:t>
      </w:r>
      <w:r w:rsidRPr="000C0E58" w:rsidR="00672047">
        <w:rPr>
          <w:lang w:val="en-GB"/>
        </w:rPr>
        <w:t>, § </w:t>
      </w:r>
      <w:r w:rsidRPr="000C0E58" w:rsidR="00264175">
        <w:rPr>
          <w:lang w:val="en-GB"/>
        </w:rPr>
        <w:t>55, both cited above</w:t>
      </w:r>
      <w:r w:rsidRPr="000C0E58" w:rsidR="00DA03CE">
        <w:rPr>
          <w:lang w:val="en-GB"/>
        </w:rPr>
        <w:t>,</w:t>
      </w:r>
      <w:r w:rsidRPr="000C0E58" w:rsidR="00264175">
        <w:rPr>
          <w:lang w:val="en-GB"/>
        </w:rPr>
        <w:t xml:space="preserve"> and also, </w:t>
      </w:r>
      <w:r w:rsidRPr="000C0E58">
        <w:rPr>
          <w:i/>
          <w:lang w:val="en-GB"/>
        </w:rPr>
        <w:t>mutatis mutandis</w:t>
      </w:r>
      <w:r w:rsidRPr="000C0E58">
        <w:rPr>
          <w:lang w:val="en-GB"/>
        </w:rPr>
        <w:t xml:space="preserve">, </w:t>
      </w:r>
      <w:r w:rsidRPr="000C0E58" w:rsidR="00672047">
        <w:rPr>
          <w:i/>
          <w:lang w:val="en-GB"/>
        </w:rPr>
        <w:t>Goudswaard-Van der Lans v. </w:t>
      </w:r>
      <w:r w:rsidRPr="000C0E58">
        <w:rPr>
          <w:i/>
          <w:lang w:val="en-GB"/>
        </w:rPr>
        <w:t>the Netherlands</w:t>
      </w:r>
      <w:r w:rsidRPr="000C0E58">
        <w:rPr>
          <w:lang w:val="en-GB"/>
        </w:rPr>
        <w:t xml:space="preserve"> (dec.), no. 75255/01, ECHR 2005-XI).</w:t>
      </w:r>
    </w:p>
    <w:p w:rsidRPr="000C0E58" w:rsidR="00253B9D" w:rsidP="000C0E58">
      <w:pPr>
        <w:pStyle w:val="ECHRPara"/>
        <w:rPr>
          <w:snapToGrid w:val="0"/>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117</w:t>
      </w:r>
      <w:r w:rsidRPr="000C0E58">
        <w:rPr>
          <w:lang w:val="en-GB"/>
        </w:rPr>
        <w:fldChar w:fldCharType="end"/>
      </w:r>
      <w:r w:rsidRPr="000C0E58">
        <w:rPr>
          <w:lang w:val="en-GB"/>
        </w:rPr>
        <w:t>.  </w:t>
      </w:r>
      <w:r w:rsidRPr="000C0E58" w:rsidR="000568D5">
        <w:rPr>
          <w:lang w:val="en-GB"/>
        </w:rPr>
        <w:t xml:space="preserve">The Court reiterates that the deprivation of the entirety of a pension is likely to breach </w:t>
      </w:r>
      <w:r w:rsidRPr="000C0E58" w:rsidR="00D97396">
        <w:rPr>
          <w:lang w:val="en-GB"/>
        </w:rPr>
        <w:t>the provision</w:t>
      </w:r>
      <w:r w:rsidRPr="000C0E58" w:rsidR="00DA03CE">
        <w:rPr>
          <w:lang w:val="en-GB"/>
        </w:rPr>
        <w:t xml:space="preserve">s of Article 1 of </w:t>
      </w:r>
      <w:r w:rsidRPr="000C0E58" w:rsidR="00D97396">
        <w:rPr>
          <w:lang w:val="en-GB"/>
        </w:rPr>
        <w:t>Protocol</w:t>
      </w:r>
      <w:r w:rsidRPr="000C0E58" w:rsidR="000568D5">
        <w:rPr>
          <w:snapToGrid w:val="0"/>
          <w:lang w:val="en-GB"/>
        </w:rPr>
        <w:t xml:space="preserve"> </w:t>
      </w:r>
      <w:r w:rsidRPr="000C0E58" w:rsidR="00DA03CE">
        <w:rPr>
          <w:snapToGrid w:val="0"/>
          <w:lang w:val="en-GB"/>
        </w:rPr>
        <w:t xml:space="preserve">No. 1 </w:t>
      </w:r>
      <w:r w:rsidRPr="000C0E58" w:rsidR="000568D5">
        <w:rPr>
          <w:snapToGrid w:val="0"/>
          <w:lang w:val="en-GB"/>
        </w:rPr>
        <w:t xml:space="preserve">and </w:t>
      </w:r>
      <w:r w:rsidRPr="000C0E58" w:rsidR="000568D5">
        <w:rPr>
          <w:snapToGrid w:val="0"/>
          <w:lang w:val="en-GB"/>
        </w:rPr>
        <w:t>that,</w:t>
      </w:r>
      <w:r w:rsidRPr="000C0E58" w:rsidR="000568D5">
        <w:rPr>
          <w:snapToGrid w:val="0"/>
          <w:lang w:val="en-GB"/>
        </w:rPr>
        <w:t xml:space="preserve"> conversely, </w:t>
      </w:r>
      <w:r w:rsidRPr="000C0E58" w:rsidR="00D034BA">
        <w:rPr>
          <w:snapToGrid w:val="0"/>
          <w:lang w:val="en-GB"/>
        </w:rPr>
        <w:t>reasonable</w:t>
      </w:r>
      <w:r w:rsidRPr="000C0E58" w:rsidR="000568D5">
        <w:rPr>
          <w:snapToGrid w:val="0"/>
          <w:lang w:val="en-GB"/>
        </w:rPr>
        <w:t xml:space="preserve"> reductions to a pension or related benefits are likely not to do so</w:t>
      </w:r>
      <w:r w:rsidRPr="000C0E58" w:rsidR="000568D5">
        <w:rPr>
          <w:lang w:val="en-GB"/>
        </w:rPr>
        <w:t xml:space="preserve">. However, the fair balance test </w:t>
      </w:r>
      <w:r w:rsidRPr="000C0E58" w:rsidR="000568D5">
        <w:rPr>
          <w:snapToGrid w:val="0"/>
          <w:lang w:val="en-GB"/>
        </w:rPr>
        <w:t>cannot be based solely on the amount or percentage of the reduction suffered, in the abstract</w:t>
      </w:r>
      <w:r w:rsidRPr="000C0E58" w:rsidR="00046A7A">
        <w:rPr>
          <w:snapToGrid w:val="0"/>
          <w:lang w:val="en-GB"/>
        </w:rPr>
        <w:t xml:space="preserve">. In a number of cases the Court has endeavoured to assess all the relevant elements against the specific background </w:t>
      </w:r>
      <w:r w:rsidRPr="000C0E58" w:rsidR="000568D5">
        <w:rPr>
          <w:snapToGrid w:val="0"/>
          <w:lang w:val="en-GB"/>
        </w:rPr>
        <w:t xml:space="preserve">(see </w:t>
      </w:r>
      <w:r w:rsidRPr="000C0E58" w:rsidR="000568D5">
        <w:rPr>
          <w:i/>
          <w:snapToGrid w:val="0"/>
          <w:lang w:val="en-GB"/>
        </w:rPr>
        <w:t>Stefanetti and Others</w:t>
      </w:r>
      <w:r w:rsidRPr="000C0E58" w:rsidR="000568D5">
        <w:rPr>
          <w:snapToGrid w:val="0"/>
          <w:lang w:val="en-GB"/>
        </w:rPr>
        <w:t xml:space="preserve">, </w:t>
      </w:r>
      <w:r w:rsidRPr="000C0E58" w:rsidR="00E108BE">
        <w:rPr>
          <w:snapToGrid w:val="0"/>
          <w:lang w:val="en-GB"/>
        </w:rPr>
        <w:t xml:space="preserve">cited above, </w:t>
      </w:r>
      <w:r w:rsidRPr="000C0E58" w:rsidR="000568D5">
        <w:rPr>
          <w:snapToGrid w:val="0"/>
          <w:lang w:val="en-GB"/>
        </w:rPr>
        <w:t>§</w:t>
      </w:r>
      <w:r w:rsidRPr="000C0E58" w:rsidR="00DA03CE">
        <w:rPr>
          <w:snapToGrid w:val="0"/>
          <w:lang w:val="en-GB"/>
        </w:rPr>
        <w:t> </w:t>
      </w:r>
      <w:r w:rsidRPr="000C0E58" w:rsidR="000568D5">
        <w:rPr>
          <w:snapToGrid w:val="0"/>
          <w:lang w:val="en-GB"/>
        </w:rPr>
        <w:t xml:space="preserve">59, with </w:t>
      </w:r>
      <w:r w:rsidRPr="000C0E58" w:rsidR="00DA1545">
        <w:rPr>
          <w:snapToGrid w:val="0"/>
          <w:lang w:val="en-GB"/>
        </w:rPr>
        <w:t xml:space="preserve">examples and </w:t>
      </w:r>
      <w:r w:rsidRPr="000C0E58" w:rsidR="000568D5">
        <w:rPr>
          <w:snapToGrid w:val="0"/>
          <w:lang w:val="en-GB"/>
        </w:rPr>
        <w:t>further references</w:t>
      </w:r>
      <w:r w:rsidRPr="000C0E58" w:rsidR="000D729D">
        <w:rPr>
          <w:snapToGrid w:val="0"/>
          <w:lang w:val="en-GB"/>
        </w:rPr>
        <w:t xml:space="preserve">; see also </w:t>
      </w:r>
      <w:r w:rsidRPr="000C0E58" w:rsidR="000D729D">
        <w:rPr>
          <w:i/>
          <w:snapToGrid w:val="0"/>
          <w:lang w:val="en-GB"/>
        </w:rPr>
        <w:t>Domalewski</w:t>
      </w:r>
      <w:r w:rsidRPr="000C0E58" w:rsidR="000D729D">
        <w:rPr>
          <w:snapToGrid w:val="0"/>
          <w:lang w:val="en-GB"/>
        </w:rPr>
        <w:t xml:space="preserve">, </w:t>
      </w:r>
      <w:r w:rsidRPr="000C0E58" w:rsidR="00EB2735">
        <w:rPr>
          <w:i/>
          <w:lang w:val="en-GB"/>
        </w:rPr>
        <w:t>v. Poland</w:t>
      </w:r>
      <w:r w:rsidRPr="000C0E58" w:rsidR="00EB2735">
        <w:rPr>
          <w:lang w:val="en-GB"/>
        </w:rPr>
        <w:t xml:space="preserve"> (dec.), no. 34610/97</w:t>
      </w:r>
      <w:r w:rsidRPr="000C0E58" w:rsidR="00EB2735">
        <w:rPr>
          <w:szCs w:val="24"/>
          <w:lang w:val="en-GB"/>
        </w:rPr>
        <w:t xml:space="preserve">, </w:t>
      </w:r>
      <w:r w:rsidRPr="000C0E58" w:rsidR="00EB2735">
        <w:rPr>
          <w:lang w:val="en-GB"/>
        </w:rPr>
        <w:t>ECHR 1999</w:t>
      </w:r>
      <w:r w:rsidRPr="000C0E58" w:rsidR="00EB2735">
        <w:rPr>
          <w:lang w:val="en-GB"/>
        </w:rPr>
        <w:noBreakHyphen/>
        <w:t>V</w:t>
      </w:r>
      <w:r w:rsidRPr="000C0E58" w:rsidR="000568D5">
        <w:rPr>
          <w:snapToGrid w:val="0"/>
          <w:lang w:val="en-GB"/>
        </w:rPr>
        <w:t>)</w:t>
      </w:r>
      <w:r w:rsidRPr="000C0E58" w:rsidR="000D729D">
        <w:rPr>
          <w:snapToGrid w:val="0"/>
          <w:lang w:val="en-GB"/>
        </w:rPr>
        <w:t>.</w:t>
      </w:r>
      <w:r w:rsidRPr="000C0E58" w:rsidR="00BA340A">
        <w:rPr>
          <w:snapToGrid w:val="0"/>
          <w:lang w:val="en-GB"/>
        </w:rPr>
        <w:t xml:space="preserve"> In so doing, the Court has attached importance to such factors as the discriminatory nature of the loss of entitlement (</w:t>
      </w:r>
      <w:r w:rsidRPr="000C0E58" w:rsidR="00F74A28">
        <w:rPr>
          <w:snapToGrid w:val="0"/>
          <w:lang w:val="en-GB"/>
        </w:rPr>
        <w:t xml:space="preserve">see </w:t>
      </w:r>
      <w:r w:rsidRPr="000C0E58" w:rsidR="00BA340A">
        <w:rPr>
          <w:i/>
          <w:lang w:val="en-GB"/>
        </w:rPr>
        <w:t>Kjartan Ásmundsson</w:t>
      </w:r>
      <w:r w:rsidRPr="000C0E58" w:rsidR="00BA340A">
        <w:rPr>
          <w:lang w:val="en-GB"/>
        </w:rPr>
        <w:t>, cited above, § 43)</w:t>
      </w:r>
      <w:r w:rsidRPr="000C0E58" w:rsidR="00BA340A">
        <w:rPr>
          <w:snapToGrid w:val="0"/>
          <w:lang w:val="en-GB"/>
        </w:rPr>
        <w:t xml:space="preserve">; </w:t>
      </w:r>
      <w:r w:rsidRPr="000C0E58" w:rsidR="00096C97">
        <w:rPr>
          <w:snapToGrid w:val="0"/>
          <w:lang w:val="en-GB"/>
        </w:rPr>
        <w:t xml:space="preserve">the absence of transitional measures (see </w:t>
      </w:r>
      <w:r w:rsidRPr="000C0E58" w:rsidR="00096C97">
        <w:rPr>
          <w:i/>
          <w:snapToGrid w:val="0"/>
          <w:lang w:val="en-GB"/>
        </w:rPr>
        <w:t>Moskal</w:t>
      </w:r>
      <w:r w:rsidRPr="000C0E58" w:rsidR="00096C97">
        <w:rPr>
          <w:snapToGrid w:val="0"/>
          <w:lang w:val="en-GB"/>
        </w:rPr>
        <w:t>, cited above, § 74, where the applicant was faced, practically from one day to the next, with the total loss of her early-retirement pension, which constituted her sole source of income</w:t>
      </w:r>
      <w:r w:rsidRPr="000C0E58" w:rsidR="00302B1F">
        <w:rPr>
          <w:snapToGrid w:val="0"/>
          <w:lang w:val="en-GB"/>
        </w:rPr>
        <w:t>, and with poor prospects of being able to adapt to the change</w:t>
      </w:r>
      <w:r w:rsidRPr="000C0E58" w:rsidR="00096C97">
        <w:rPr>
          <w:snapToGrid w:val="0"/>
          <w:lang w:val="en-GB"/>
        </w:rPr>
        <w:t>)</w:t>
      </w:r>
      <w:r w:rsidRPr="000C0E58" w:rsidR="00302B1F">
        <w:rPr>
          <w:snapToGrid w:val="0"/>
          <w:lang w:val="en-GB"/>
        </w:rPr>
        <w:t>;</w:t>
      </w:r>
      <w:r w:rsidRPr="000C0E58" w:rsidR="00943DA1">
        <w:rPr>
          <w:snapToGrid w:val="0"/>
          <w:lang w:val="en-GB"/>
        </w:rPr>
        <w:t xml:space="preserve"> </w:t>
      </w:r>
      <w:r w:rsidRPr="000C0E58" w:rsidR="0000428F">
        <w:rPr>
          <w:snapToGrid w:val="0"/>
          <w:lang w:val="en-GB"/>
        </w:rPr>
        <w:t>the arbitrarine</w:t>
      </w:r>
      <w:r w:rsidRPr="000C0E58" w:rsidR="003932F2">
        <w:rPr>
          <w:snapToGrid w:val="0"/>
          <w:lang w:val="en-GB"/>
        </w:rPr>
        <w:t>s</w:t>
      </w:r>
      <w:r w:rsidRPr="000C0E58" w:rsidR="0000428F">
        <w:rPr>
          <w:snapToGrid w:val="0"/>
          <w:lang w:val="en-GB"/>
        </w:rPr>
        <w:t xml:space="preserve">s of the condition (see </w:t>
      </w:r>
      <w:r w:rsidRPr="000C0E58" w:rsidR="0000428F">
        <w:rPr>
          <w:i/>
          <w:snapToGrid w:val="0"/>
          <w:lang w:val="en-GB"/>
        </w:rPr>
        <w:t>Klein</w:t>
      </w:r>
      <w:r w:rsidRPr="000C0E58" w:rsidR="0077664F">
        <w:rPr>
          <w:snapToGrid w:val="0"/>
          <w:lang w:val="en-GB"/>
        </w:rPr>
        <w:t>, cited above, § </w:t>
      </w:r>
      <w:r w:rsidRPr="000C0E58" w:rsidR="0000428F">
        <w:rPr>
          <w:snapToGrid w:val="0"/>
          <w:lang w:val="en-GB"/>
        </w:rPr>
        <w:t>46)</w:t>
      </w:r>
      <w:r w:rsidRPr="000C0E58" w:rsidR="00DA03CE">
        <w:rPr>
          <w:snapToGrid w:val="0"/>
          <w:lang w:val="en-GB"/>
        </w:rPr>
        <w:t>,</w:t>
      </w:r>
      <w:r w:rsidRPr="000C0E58" w:rsidR="0000428F">
        <w:rPr>
          <w:snapToGrid w:val="0"/>
          <w:lang w:val="en-GB"/>
        </w:rPr>
        <w:t xml:space="preserve"> as well as the applicant</w:t>
      </w:r>
      <w:r w:rsidRPr="000C0E58" w:rsidR="000C0E58">
        <w:rPr>
          <w:snapToGrid w:val="0"/>
          <w:lang w:val="en-GB"/>
        </w:rPr>
        <w:t>’</w:t>
      </w:r>
      <w:r w:rsidRPr="000C0E58" w:rsidR="0000428F">
        <w:rPr>
          <w:snapToGrid w:val="0"/>
          <w:lang w:val="en-GB"/>
        </w:rPr>
        <w:t xml:space="preserve">s good faith (see </w:t>
      </w:r>
      <w:r w:rsidRPr="000C0E58" w:rsidR="0000428F">
        <w:rPr>
          <w:i/>
          <w:snapToGrid w:val="0"/>
          <w:lang w:val="en-GB"/>
        </w:rPr>
        <w:t>Moskal</w:t>
      </w:r>
      <w:r w:rsidRPr="000C0E58" w:rsidR="0000428F">
        <w:rPr>
          <w:snapToGrid w:val="0"/>
          <w:lang w:val="en-GB"/>
        </w:rPr>
        <w:t>, cited above, § 44).</w:t>
      </w:r>
    </w:p>
    <w:p w:rsidRPr="000C0E58" w:rsidR="005D364E" w:rsidP="000C0E58">
      <w:pPr>
        <w:pStyle w:val="ECHRPara"/>
        <w:rPr>
          <w:lang w:val="en-GB"/>
        </w:rPr>
      </w:pPr>
      <w:r w:rsidRPr="000C0E58">
        <w:rPr>
          <w:snapToGrid w:val="0"/>
          <w:lang w:val="en-GB"/>
        </w:rPr>
        <w:fldChar w:fldCharType="begin"/>
      </w:r>
      <w:r w:rsidRPr="000C0E58">
        <w:rPr>
          <w:snapToGrid w:val="0"/>
          <w:lang w:val="en-GB"/>
        </w:rPr>
        <w:instrText xml:space="preserve"> SEQ level0 \*arabic </w:instrText>
      </w:r>
      <w:r w:rsidRPr="000C0E58">
        <w:rPr>
          <w:snapToGrid w:val="0"/>
          <w:lang w:val="en-GB"/>
        </w:rPr>
        <w:fldChar w:fldCharType="separate"/>
      </w:r>
      <w:r w:rsidRPr="000C0E58" w:rsidR="000C0E58">
        <w:rPr>
          <w:noProof/>
          <w:snapToGrid w:val="0"/>
          <w:lang w:val="en-GB"/>
        </w:rPr>
        <w:t>118</w:t>
      </w:r>
      <w:r w:rsidRPr="000C0E58">
        <w:rPr>
          <w:snapToGrid w:val="0"/>
          <w:lang w:val="en-GB"/>
        </w:rPr>
        <w:fldChar w:fldCharType="end"/>
      </w:r>
      <w:r w:rsidRPr="000C0E58">
        <w:rPr>
          <w:snapToGrid w:val="0"/>
          <w:lang w:val="en-GB"/>
        </w:rPr>
        <w:t>.  </w:t>
      </w:r>
      <w:r w:rsidRPr="000C0E58">
        <w:rPr>
          <w:snapToGrid w:val="0"/>
          <w:lang w:val="en-GB"/>
        </w:rPr>
        <w:t xml:space="preserve">An important consideration </w:t>
      </w:r>
      <w:r w:rsidRPr="000C0E58">
        <w:rPr>
          <w:lang w:val="en-GB"/>
        </w:rPr>
        <w:t>is whether the applicant</w:t>
      </w:r>
      <w:r w:rsidRPr="000C0E58" w:rsidR="000C0E58">
        <w:rPr>
          <w:lang w:val="en-GB"/>
        </w:rPr>
        <w:t>’</w:t>
      </w:r>
      <w:r w:rsidRPr="000C0E58">
        <w:rPr>
          <w:lang w:val="en-GB"/>
        </w:rPr>
        <w:t xml:space="preserve">s right to derive benefits from the social-insurance scheme in question has been infringed in a manner resulting in the impairment of the essence of his or her </w:t>
      </w:r>
      <w:r w:rsidRPr="000C0E58">
        <w:rPr>
          <w:rFonts w:ascii="Times New (W1)" w:hAnsi="Times New (W1)"/>
          <w:bCs/>
          <w:lang w:val="en-GB"/>
        </w:rPr>
        <w:t>pension</w:t>
      </w:r>
      <w:r w:rsidRPr="000C0E58">
        <w:rPr>
          <w:lang w:val="en-GB"/>
        </w:rPr>
        <w:t xml:space="preserve"> rights (see</w:t>
      </w:r>
      <w:r w:rsidRPr="000C0E58">
        <w:rPr>
          <w:i/>
          <w:lang w:val="en-GB"/>
        </w:rPr>
        <w:t xml:space="preserve"> Domalewski</w:t>
      </w:r>
      <w:r w:rsidRPr="000C0E58" w:rsidR="00E7382D">
        <w:rPr>
          <w:i/>
          <w:lang w:val="en-GB"/>
        </w:rPr>
        <w:t xml:space="preserve">, </w:t>
      </w:r>
      <w:r w:rsidRPr="000C0E58" w:rsidR="00794F85">
        <w:rPr>
          <w:lang w:val="en-GB"/>
        </w:rPr>
        <w:t>cited above</w:t>
      </w:r>
      <w:r w:rsidRPr="000C0E58">
        <w:rPr>
          <w:lang w:val="en-GB"/>
        </w:rPr>
        <w:t>;</w:t>
      </w:r>
      <w:r w:rsidRPr="000C0E58">
        <w:rPr>
          <w:snapToGrid w:val="0"/>
          <w:lang w:val="en-GB"/>
        </w:rPr>
        <w:t xml:space="preserve"> </w:t>
      </w:r>
      <w:r w:rsidRPr="000C0E58">
        <w:rPr>
          <w:rStyle w:val="ju-005fpara-002cleft-002cfirst-0020line-003a-0020-00200-0020cm--char"/>
          <w:i/>
          <w:iCs/>
          <w:lang w:val="en-GB"/>
        </w:rPr>
        <w:t>Kjartan Ásmundsson</w:t>
      </w:r>
      <w:r w:rsidRPr="000C0E58">
        <w:rPr>
          <w:lang w:val="en-GB"/>
        </w:rPr>
        <w:t xml:space="preserve">, cited above, § 39; </w:t>
      </w:r>
      <w:r w:rsidRPr="000C0E58">
        <w:rPr>
          <w:i/>
          <w:lang w:val="en-GB"/>
        </w:rPr>
        <w:t>Wieczorek</w:t>
      </w:r>
      <w:r w:rsidRPr="000C0E58">
        <w:rPr>
          <w:lang w:val="en-GB"/>
        </w:rPr>
        <w:t>, cited above</w:t>
      </w:r>
      <w:r w:rsidRPr="000C0E58">
        <w:rPr>
          <w:snapToGrid w:val="0"/>
          <w:lang w:val="en-GB"/>
        </w:rPr>
        <w:t>, §</w:t>
      </w:r>
      <w:r w:rsidRPr="000C0E58" w:rsidR="00E108BE">
        <w:rPr>
          <w:snapToGrid w:val="0"/>
          <w:lang w:val="en-GB"/>
        </w:rPr>
        <w:t> </w:t>
      </w:r>
      <w:r w:rsidRPr="000C0E58">
        <w:rPr>
          <w:snapToGrid w:val="0"/>
          <w:lang w:val="en-GB"/>
        </w:rPr>
        <w:t>57</w:t>
      </w:r>
      <w:r w:rsidRPr="000C0E58" w:rsidR="00DA03CE">
        <w:rPr>
          <w:snapToGrid w:val="0"/>
          <w:lang w:val="en-GB"/>
        </w:rPr>
        <w:t>;</w:t>
      </w:r>
      <w:r w:rsidRPr="000C0E58">
        <w:rPr>
          <w:snapToGrid w:val="0"/>
          <w:lang w:val="en-GB"/>
        </w:rPr>
        <w:t xml:space="preserve"> </w:t>
      </w:r>
      <w:r w:rsidRPr="000C0E58">
        <w:rPr>
          <w:i/>
          <w:lang w:val="en-GB"/>
        </w:rPr>
        <w:t>Rasmussen</w:t>
      </w:r>
      <w:r w:rsidRPr="000C0E58">
        <w:rPr>
          <w:lang w:val="en-GB"/>
        </w:rPr>
        <w:t xml:space="preserve">, </w:t>
      </w:r>
      <w:r w:rsidRPr="000C0E58" w:rsidR="0024481A">
        <w:rPr>
          <w:lang w:val="en-GB"/>
        </w:rPr>
        <w:t>cited above</w:t>
      </w:r>
      <w:r w:rsidRPr="000C0E58">
        <w:rPr>
          <w:lang w:val="en-GB"/>
        </w:rPr>
        <w:t xml:space="preserve">, </w:t>
      </w:r>
      <w:r w:rsidRPr="000C0E58">
        <w:rPr>
          <w:snapToGrid w:val="0"/>
          <w:lang w:val="en-GB"/>
        </w:rPr>
        <w:t xml:space="preserve">§ 75; </w:t>
      </w:r>
      <w:r w:rsidRPr="000C0E58">
        <w:rPr>
          <w:i/>
          <w:lang w:val="en-GB"/>
        </w:rPr>
        <w:t>Valkov and Others</w:t>
      </w:r>
      <w:r w:rsidRPr="000C0E58" w:rsidR="00794F85">
        <w:rPr>
          <w:i/>
          <w:lang w:val="en-GB"/>
        </w:rPr>
        <w:t>,</w:t>
      </w:r>
      <w:r w:rsidRPr="000C0E58">
        <w:rPr>
          <w:i/>
          <w:lang w:val="en-GB"/>
        </w:rPr>
        <w:t xml:space="preserve"> </w:t>
      </w:r>
      <w:r w:rsidRPr="000C0E58" w:rsidR="00794F85">
        <w:rPr>
          <w:lang w:val="en-GB"/>
        </w:rPr>
        <w:t>cited above</w:t>
      </w:r>
      <w:r w:rsidRPr="000C0E58">
        <w:rPr>
          <w:lang w:val="en-GB"/>
        </w:rPr>
        <w:t xml:space="preserve">, §§ 91 and 97; </w:t>
      </w:r>
      <w:r w:rsidRPr="000C0E58">
        <w:rPr>
          <w:i/>
          <w:lang w:val="en-GB"/>
        </w:rPr>
        <w:t>Maggio and Others</w:t>
      </w:r>
      <w:r w:rsidRPr="000C0E58" w:rsidR="00590F65">
        <w:rPr>
          <w:lang w:val="en-GB"/>
        </w:rPr>
        <w:t>, cited above,</w:t>
      </w:r>
      <w:r w:rsidRPr="000C0E58">
        <w:rPr>
          <w:i/>
          <w:lang w:val="en-GB"/>
        </w:rPr>
        <w:t xml:space="preserve"> </w:t>
      </w:r>
      <w:r w:rsidRPr="000C0E58" w:rsidR="00E7382D">
        <w:rPr>
          <w:snapToGrid w:val="0"/>
          <w:szCs w:val="24"/>
          <w:lang w:val="en-GB"/>
        </w:rPr>
        <w:t>§ 63</w:t>
      </w:r>
      <w:r w:rsidRPr="000C0E58">
        <w:rPr>
          <w:snapToGrid w:val="0"/>
          <w:szCs w:val="24"/>
          <w:lang w:val="en-GB"/>
        </w:rPr>
        <w:t xml:space="preserve">; </w:t>
      </w:r>
      <w:r w:rsidRPr="000C0E58">
        <w:rPr>
          <w:lang w:val="en-GB"/>
        </w:rPr>
        <w:t xml:space="preserve">and </w:t>
      </w:r>
      <w:r w:rsidRPr="000C0E58" w:rsidR="00590F65">
        <w:rPr>
          <w:i/>
          <w:lang w:val="en-GB"/>
        </w:rPr>
        <w:t>Stefanetti and Others</w:t>
      </w:r>
      <w:r w:rsidRPr="000C0E58" w:rsidR="00590F65">
        <w:rPr>
          <w:lang w:val="en-GB"/>
        </w:rPr>
        <w:t xml:space="preserve">, cited above, </w:t>
      </w:r>
      <w:r w:rsidRPr="000C0E58">
        <w:rPr>
          <w:snapToGrid w:val="0"/>
          <w:color w:val="000000"/>
          <w:lang w:val="en-GB"/>
        </w:rPr>
        <w:t>§ 55</w:t>
      </w:r>
      <w:r w:rsidRPr="000C0E58">
        <w:rPr>
          <w:lang w:val="en-GB"/>
        </w:rPr>
        <w:t>).</w:t>
      </w:r>
    </w:p>
    <w:p w:rsidRPr="000C0E58" w:rsidR="00061F43" w:rsidP="000C0E58">
      <w:pPr>
        <w:pStyle w:val="ECHRHeading4"/>
        <w:rPr>
          <w:lang w:val="en-GB"/>
        </w:rPr>
      </w:pPr>
      <w:r w:rsidRPr="000C0E58">
        <w:rPr>
          <w:lang w:val="en-GB"/>
        </w:rPr>
        <w:t>(b)  Application of these principles to the present case</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119</w:t>
      </w:r>
      <w:r w:rsidRPr="000C0E58">
        <w:rPr>
          <w:lang w:val="en-GB"/>
        </w:rPr>
        <w:fldChar w:fldCharType="end"/>
      </w:r>
      <w:r w:rsidRPr="000C0E58">
        <w:rPr>
          <w:lang w:val="en-GB"/>
        </w:rPr>
        <w:t>.  </w:t>
      </w:r>
      <w:r w:rsidRPr="000C0E58">
        <w:rPr>
          <w:lang w:val="en-GB"/>
        </w:rPr>
        <w:t>In the present case the parties</w:t>
      </w:r>
      <w:r w:rsidRPr="000C0E58" w:rsidR="004A31E2">
        <w:rPr>
          <w:lang w:val="en-GB"/>
        </w:rPr>
        <w:t xml:space="preserve"> </w:t>
      </w:r>
      <w:r w:rsidRPr="000C0E58">
        <w:rPr>
          <w:lang w:val="en-GB"/>
        </w:rPr>
        <w:t>differed as to whether the interference with the applicant</w:t>
      </w:r>
      <w:r w:rsidRPr="000C0E58" w:rsidR="000C0E58">
        <w:rPr>
          <w:lang w:val="en-GB"/>
        </w:rPr>
        <w:t>’</w:t>
      </w:r>
      <w:r w:rsidRPr="000C0E58">
        <w:rPr>
          <w:lang w:val="en-GB"/>
        </w:rPr>
        <w:t xml:space="preserve">s property right was </w:t>
      </w:r>
      <w:r w:rsidRPr="000C0E58" w:rsidR="00545537">
        <w:rPr>
          <w:lang w:val="en-GB"/>
        </w:rPr>
        <w:t xml:space="preserve">“subject to the conditions provided for by law” within the meaning of the second sentence of the first paragraph of Article 1 of Protocol No. 1 </w:t>
      </w:r>
      <w:r w:rsidRPr="000C0E58">
        <w:rPr>
          <w:lang w:val="en-GB"/>
        </w:rPr>
        <w:t xml:space="preserve">and whether </w:t>
      </w:r>
      <w:r w:rsidRPr="000C0E58" w:rsidR="006C4600">
        <w:rPr>
          <w:lang w:val="en-GB"/>
        </w:rPr>
        <w:t xml:space="preserve">it was possible to identify </w:t>
      </w:r>
      <w:r w:rsidRPr="000C0E58">
        <w:rPr>
          <w:lang w:val="en-GB"/>
        </w:rPr>
        <w:t xml:space="preserve">a legitimate aim pursued </w:t>
      </w:r>
      <w:r w:rsidRPr="000C0E58" w:rsidR="006C4600">
        <w:rPr>
          <w:lang w:val="en-GB"/>
        </w:rPr>
        <w:t>by it</w:t>
      </w:r>
      <w:r w:rsidRPr="000C0E58">
        <w:rPr>
          <w:lang w:val="en-GB"/>
        </w:rPr>
        <w:t>.</w:t>
      </w:r>
    </w:p>
    <w:p w:rsidRPr="000C0E58" w:rsidR="00E80B88"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120</w:t>
      </w:r>
      <w:r w:rsidRPr="000C0E58">
        <w:rPr>
          <w:lang w:val="en-GB"/>
        </w:rPr>
        <w:fldChar w:fldCharType="end"/>
      </w:r>
      <w:r w:rsidRPr="000C0E58">
        <w:rPr>
          <w:lang w:val="en-GB"/>
        </w:rPr>
        <w:t>.  </w:t>
      </w:r>
      <w:r w:rsidRPr="000C0E58" w:rsidR="00061F43">
        <w:rPr>
          <w:lang w:val="en-GB"/>
        </w:rPr>
        <w:t xml:space="preserve">The Court </w:t>
      </w:r>
      <w:r w:rsidRPr="000C0E58" w:rsidR="00FF7E1F">
        <w:rPr>
          <w:lang w:val="en-GB"/>
        </w:rPr>
        <w:t xml:space="preserve">notes that the interference consisted in the </w:t>
      </w:r>
      <w:r w:rsidRPr="000C0E58" w:rsidR="006C4600">
        <w:rPr>
          <w:lang w:val="en-GB"/>
        </w:rPr>
        <w:t xml:space="preserve">specific </w:t>
      </w:r>
      <w:r w:rsidRPr="000C0E58" w:rsidR="00FF7E1F">
        <w:rPr>
          <w:lang w:val="en-GB"/>
        </w:rPr>
        <w:t>legislation introduced as of 2012 and in its application in the instan</w:t>
      </w:r>
      <w:r w:rsidRPr="000C0E58" w:rsidR="006C4600">
        <w:rPr>
          <w:lang w:val="en-GB"/>
        </w:rPr>
        <w:t>t case</w:t>
      </w:r>
      <w:r w:rsidRPr="000C0E58" w:rsidR="00FF7E1F">
        <w:rPr>
          <w:lang w:val="en-GB"/>
        </w:rPr>
        <w:t xml:space="preserve">. It is therefore satisfied </w:t>
      </w:r>
      <w:r w:rsidRPr="000C0E58" w:rsidR="00545537">
        <w:rPr>
          <w:lang w:val="en-GB"/>
        </w:rPr>
        <w:t>that the interference complied with the requirement of lawfulness contained in the above provision.</w:t>
      </w:r>
    </w:p>
    <w:p w:rsidRPr="000C0E58" w:rsidR="00E80B88"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121</w:t>
      </w:r>
      <w:r w:rsidRPr="000C0E58">
        <w:rPr>
          <w:lang w:val="en-GB"/>
        </w:rPr>
        <w:fldChar w:fldCharType="end"/>
      </w:r>
      <w:r w:rsidRPr="000C0E58">
        <w:rPr>
          <w:lang w:val="en-GB"/>
        </w:rPr>
        <w:t xml:space="preserve">.  The Court further </w:t>
      </w:r>
      <w:r w:rsidRPr="000C0E58" w:rsidR="00061F43">
        <w:rPr>
          <w:lang w:val="en-GB"/>
        </w:rPr>
        <w:t xml:space="preserve">considers that the interference complained of </w:t>
      </w:r>
      <w:r w:rsidRPr="000C0E58" w:rsidR="00061F43">
        <w:rPr>
          <w:rFonts w:ascii="Times New Roman" w:hAnsi="Times New Roman" w:eastAsia="Times New Roman" w:cs="Times New Roman"/>
          <w:szCs w:val="24"/>
          <w:lang w:val="en-GB"/>
        </w:rPr>
        <w:t xml:space="preserve">pursued the </w:t>
      </w:r>
      <w:r w:rsidRPr="000C0E58" w:rsidR="006C4600">
        <w:rPr>
          <w:rFonts w:ascii="Times New Roman" w:hAnsi="Times New Roman" w:eastAsia="Times New Roman" w:cs="Times New Roman"/>
          <w:szCs w:val="24"/>
          <w:lang w:val="en-GB"/>
        </w:rPr>
        <w:t xml:space="preserve">communal </w:t>
      </w:r>
      <w:r w:rsidRPr="000C0E58" w:rsidR="00061F43">
        <w:rPr>
          <w:rFonts w:ascii="Times New Roman" w:hAnsi="Times New Roman" w:eastAsia="Times New Roman" w:cs="Times New Roman"/>
          <w:szCs w:val="24"/>
          <w:lang w:val="en-GB"/>
        </w:rPr>
        <w:t>interest in protecting the public purse</w:t>
      </w:r>
      <w:r w:rsidRPr="000C0E58" w:rsidR="00061F43">
        <w:rPr>
          <w:lang w:val="en-GB"/>
        </w:rPr>
        <w:t xml:space="preserve">, </w:t>
      </w:r>
      <w:r w:rsidRPr="000C0E58" w:rsidR="00FA73A3">
        <w:rPr>
          <w:lang w:val="en-GB"/>
        </w:rPr>
        <w:t>by means of rationalising the system of disability-related social-security benefits</w:t>
      </w:r>
      <w:r w:rsidRPr="000C0E58" w:rsidR="00061F43">
        <w:rPr>
          <w:lang w:val="en-GB"/>
        </w:rPr>
        <w:t>.</w:t>
      </w:r>
    </w:p>
    <w:p w:rsidRPr="000C0E58" w:rsidR="005E0C66" w:rsidP="000C0E58">
      <w:pPr>
        <w:pStyle w:val="ECHRPara"/>
        <w:rPr>
          <w:rFonts w:eastAsia="Times New Roman"/>
          <w:lang w:val="en-GB"/>
        </w:rPr>
      </w:pPr>
      <w:r w:rsidRPr="000C0E58">
        <w:rPr>
          <w:rFonts w:eastAsia="Times New Roman"/>
          <w:lang w:val="en-GB"/>
        </w:rPr>
        <w:fldChar w:fldCharType="begin"/>
      </w:r>
      <w:r w:rsidRPr="000C0E58">
        <w:rPr>
          <w:rFonts w:eastAsia="Times New Roman"/>
          <w:lang w:val="en-GB"/>
        </w:rPr>
        <w:instrText xml:space="preserve"> SEQ level0 \*arabic </w:instrText>
      </w:r>
      <w:r w:rsidRPr="000C0E58">
        <w:rPr>
          <w:rFonts w:eastAsia="Times New Roman"/>
          <w:lang w:val="en-GB"/>
        </w:rPr>
        <w:fldChar w:fldCharType="separate"/>
      </w:r>
      <w:r w:rsidRPr="000C0E58" w:rsidR="000C0E58">
        <w:rPr>
          <w:rFonts w:eastAsia="Times New Roman"/>
          <w:noProof/>
          <w:lang w:val="en-GB"/>
        </w:rPr>
        <w:t>122</w:t>
      </w:r>
      <w:r w:rsidRPr="000C0E58">
        <w:rPr>
          <w:rFonts w:eastAsia="Times New Roman"/>
          <w:lang w:val="en-GB"/>
        </w:rPr>
        <w:fldChar w:fldCharType="end"/>
      </w:r>
      <w:r w:rsidRPr="000C0E58">
        <w:rPr>
          <w:rFonts w:eastAsia="Times New Roman"/>
          <w:lang w:val="en-GB"/>
        </w:rPr>
        <w:t>.  </w:t>
      </w:r>
      <w:r w:rsidRPr="000C0E58" w:rsidR="00FA73A3">
        <w:rPr>
          <w:rFonts w:eastAsia="Times New Roman"/>
          <w:lang w:val="en-GB"/>
        </w:rPr>
        <w:t>As to the proportionality of the interference</w:t>
      </w:r>
      <w:r w:rsidRPr="000C0E58">
        <w:rPr>
          <w:rFonts w:eastAsia="Times New Roman"/>
          <w:lang w:val="en-GB"/>
        </w:rPr>
        <w:t xml:space="preserve">, </w:t>
      </w:r>
      <w:r w:rsidRPr="000C0E58">
        <w:rPr>
          <w:rFonts w:eastAsia="Times New Roman"/>
          <w:lang w:val="en-GB"/>
        </w:rPr>
        <w:t xml:space="preserve">the respondent Government offered </w:t>
      </w:r>
      <w:r w:rsidRPr="000C0E58" w:rsidR="00234D5B">
        <w:rPr>
          <w:rFonts w:eastAsia="Times New Roman"/>
          <w:lang w:val="en-GB"/>
        </w:rPr>
        <w:t>little</w:t>
      </w:r>
      <w:r w:rsidRPr="000C0E58">
        <w:rPr>
          <w:rFonts w:eastAsia="Times New Roman"/>
          <w:lang w:val="en-GB"/>
        </w:rPr>
        <w:t xml:space="preserve"> comment.</w:t>
      </w:r>
    </w:p>
    <w:p w:rsidRPr="000C0E58" w:rsidR="001B094E" w:rsidP="000C0E58">
      <w:pPr>
        <w:pStyle w:val="ECHRPara"/>
        <w:rPr>
          <w:lang w:val="en-GB" w:eastAsia="fr-FR"/>
        </w:rPr>
      </w:pPr>
      <w:r w:rsidRPr="000C0E58">
        <w:rPr>
          <w:rFonts w:eastAsia="Times New Roman"/>
          <w:lang w:val="en-GB"/>
        </w:rPr>
        <w:fldChar w:fldCharType="begin"/>
      </w:r>
      <w:r w:rsidRPr="000C0E58">
        <w:rPr>
          <w:rFonts w:eastAsia="Times New Roman"/>
          <w:lang w:val="en-GB"/>
        </w:rPr>
        <w:instrText xml:space="preserve"> SEQ level0 \*arabic </w:instrText>
      </w:r>
      <w:r w:rsidRPr="000C0E58">
        <w:rPr>
          <w:rFonts w:eastAsia="Times New Roman"/>
          <w:lang w:val="en-GB"/>
        </w:rPr>
        <w:fldChar w:fldCharType="separate"/>
      </w:r>
      <w:r w:rsidRPr="000C0E58" w:rsidR="000C0E58">
        <w:rPr>
          <w:rFonts w:eastAsia="Times New Roman"/>
          <w:noProof/>
          <w:lang w:val="en-GB"/>
        </w:rPr>
        <w:t>123</w:t>
      </w:r>
      <w:r w:rsidRPr="000C0E58">
        <w:rPr>
          <w:rFonts w:eastAsia="Times New Roman"/>
          <w:lang w:val="en-GB"/>
        </w:rPr>
        <w:fldChar w:fldCharType="end"/>
      </w:r>
      <w:r w:rsidRPr="000C0E58">
        <w:rPr>
          <w:rFonts w:eastAsia="Times New Roman"/>
          <w:lang w:val="en-GB"/>
        </w:rPr>
        <w:t>.  </w:t>
      </w:r>
      <w:r w:rsidRPr="000C0E58" w:rsidR="005C0489">
        <w:rPr>
          <w:rFonts w:eastAsia="Times New Roman"/>
          <w:lang w:val="en-GB"/>
        </w:rPr>
        <w:t>The Court notes</w:t>
      </w:r>
      <w:r w:rsidRPr="000C0E58" w:rsidR="00061F43">
        <w:rPr>
          <w:rFonts w:eastAsia="Times New Roman"/>
          <w:lang w:val="en-GB"/>
        </w:rPr>
        <w:t xml:space="preserve"> that the applicant was subjected to a </w:t>
      </w:r>
      <w:r w:rsidRPr="000C0E58" w:rsidR="006C4600">
        <w:rPr>
          <w:rFonts w:eastAsia="Times New Roman"/>
          <w:lang w:val="en-GB"/>
        </w:rPr>
        <w:t xml:space="preserve">complete </w:t>
      </w:r>
      <w:r w:rsidRPr="000C0E58" w:rsidR="00061F43">
        <w:rPr>
          <w:rFonts w:eastAsia="Times New Roman"/>
          <w:lang w:val="en-GB"/>
        </w:rPr>
        <w:t xml:space="preserve">deprivation of any entitlements, rather than </w:t>
      </w:r>
      <w:r w:rsidRPr="000C0E58" w:rsidR="006C4600">
        <w:rPr>
          <w:rFonts w:eastAsia="Times New Roman"/>
          <w:lang w:val="en-GB"/>
        </w:rPr>
        <w:t xml:space="preserve">to </w:t>
      </w:r>
      <w:r w:rsidRPr="000C0E58" w:rsidR="00061F43">
        <w:rPr>
          <w:rFonts w:eastAsia="Times New Roman"/>
          <w:lang w:val="en-GB"/>
        </w:rPr>
        <w:t xml:space="preserve">a commensurate reduction </w:t>
      </w:r>
      <w:r w:rsidRPr="000C0E58" w:rsidR="006C4600">
        <w:rPr>
          <w:rFonts w:eastAsia="Times New Roman"/>
          <w:lang w:val="en-GB"/>
        </w:rPr>
        <w:t xml:space="preserve">in </w:t>
      </w:r>
      <w:r w:rsidRPr="000C0E58" w:rsidR="00061F43">
        <w:rPr>
          <w:rFonts w:eastAsia="Times New Roman"/>
          <w:lang w:val="en-GB"/>
        </w:rPr>
        <w:t xml:space="preserve">her benefits, </w:t>
      </w:r>
      <w:r w:rsidRPr="000C0E58" w:rsidR="006C4600">
        <w:rPr>
          <w:rFonts w:eastAsia="Times New Roman"/>
          <w:lang w:val="en-GB"/>
        </w:rPr>
        <w:t xml:space="preserve">such as by, </w:t>
      </w:r>
      <w:r w:rsidRPr="000C0E58" w:rsidR="00061F43">
        <w:rPr>
          <w:rFonts w:eastAsia="Times New Roman"/>
          <w:lang w:val="en-GB"/>
        </w:rPr>
        <w:t>for example</w:t>
      </w:r>
      <w:r w:rsidRPr="000C0E58" w:rsidR="006C4600">
        <w:rPr>
          <w:rFonts w:eastAsia="Times New Roman"/>
          <w:lang w:val="en-GB"/>
        </w:rPr>
        <w:t>,</w:t>
      </w:r>
      <w:r w:rsidRPr="000C0E58" w:rsidR="00061F43">
        <w:rPr>
          <w:rFonts w:eastAsia="Times New Roman"/>
          <w:lang w:val="en-GB"/>
        </w:rPr>
        <w:t xml:space="preserve"> calculat</w:t>
      </w:r>
      <w:r w:rsidRPr="000C0E58" w:rsidR="006C4600">
        <w:rPr>
          <w:rFonts w:eastAsia="Times New Roman"/>
          <w:lang w:val="en-GB"/>
        </w:rPr>
        <w:t xml:space="preserve">ing an allowance </w:t>
      </w:r>
      <w:r w:rsidRPr="000C0E58" w:rsidR="00061F43">
        <w:rPr>
          <w:rFonts w:eastAsia="Times New Roman"/>
          <w:i/>
          <w:lang w:val="en-GB"/>
        </w:rPr>
        <w:t>pro rata</w:t>
      </w:r>
      <w:r w:rsidRPr="000C0E58" w:rsidR="00061F43">
        <w:rPr>
          <w:rFonts w:eastAsia="Times New Roman"/>
          <w:lang w:val="en-GB"/>
        </w:rPr>
        <w:t xml:space="preserve"> </w:t>
      </w:r>
      <w:r w:rsidRPr="000C0E58" w:rsidR="006C4600">
        <w:rPr>
          <w:rFonts w:eastAsia="Times New Roman"/>
          <w:lang w:val="en-GB"/>
        </w:rPr>
        <w:t xml:space="preserve">on the basis of </w:t>
      </w:r>
      <w:r w:rsidRPr="000C0E58" w:rsidR="00061F43">
        <w:rPr>
          <w:rFonts w:eastAsia="Times New Roman"/>
          <w:lang w:val="en-GB"/>
        </w:rPr>
        <w:t xml:space="preserve">the existing and missing days of social cover (see </w:t>
      </w:r>
      <w:r w:rsidRPr="000C0E58" w:rsidR="00061F43">
        <w:rPr>
          <w:rFonts w:eastAsia="Times New Roman"/>
          <w:i/>
          <w:lang w:val="en-GB"/>
        </w:rPr>
        <w:t>Kjartan Ásmundsson</w:t>
      </w:r>
      <w:r w:rsidRPr="000C0E58" w:rsidR="00061F43">
        <w:rPr>
          <w:rFonts w:eastAsia="Times New Roman"/>
          <w:lang w:val="en-GB"/>
        </w:rPr>
        <w:t xml:space="preserve">, §§ 44-45; </w:t>
      </w:r>
      <w:r w:rsidRPr="000C0E58" w:rsidR="00250F0E">
        <w:rPr>
          <w:i/>
          <w:lang w:val="en-GB"/>
        </w:rPr>
        <w:t>Lakićević</w:t>
      </w:r>
      <w:r w:rsidRPr="000C0E58" w:rsidR="002114B0">
        <w:rPr>
          <w:lang w:val="en-GB"/>
        </w:rPr>
        <w:t>,</w:t>
      </w:r>
      <w:r w:rsidRPr="000C0E58" w:rsidR="00250F0E">
        <w:rPr>
          <w:lang w:val="en-GB"/>
        </w:rPr>
        <w:t xml:space="preserve"> </w:t>
      </w:r>
      <w:r w:rsidRPr="000C0E58" w:rsidR="00250F0E">
        <w:rPr>
          <w:snapToGrid w:val="0"/>
          <w:szCs w:val="24"/>
          <w:lang w:val="en-GB"/>
        </w:rPr>
        <w:t xml:space="preserve">§ 72; </w:t>
      </w:r>
      <w:r w:rsidRPr="000C0E58" w:rsidR="00061F43">
        <w:rPr>
          <w:rFonts w:eastAsia="Times New Roman"/>
          <w:lang w:val="en-GB"/>
        </w:rPr>
        <w:t xml:space="preserve">and, </w:t>
      </w:r>
      <w:r w:rsidRPr="000C0E58" w:rsidR="00061F43">
        <w:rPr>
          <w:rFonts w:eastAsia="Times New Roman"/>
          <w:i/>
          <w:lang w:val="en-GB"/>
        </w:rPr>
        <w:t>a contrario</w:t>
      </w:r>
      <w:r w:rsidRPr="000C0E58" w:rsidR="00061F43">
        <w:rPr>
          <w:rFonts w:eastAsia="Times New Roman"/>
          <w:lang w:val="en-GB"/>
        </w:rPr>
        <w:t xml:space="preserve">, </w:t>
      </w:r>
      <w:r w:rsidRPr="000C0E58" w:rsidR="00061F43">
        <w:rPr>
          <w:rFonts w:eastAsia="Times New Roman"/>
          <w:i/>
          <w:lang w:val="en-GB"/>
        </w:rPr>
        <w:t>Richardson</w:t>
      </w:r>
      <w:r w:rsidRPr="000C0E58" w:rsidR="00061F43">
        <w:rPr>
          <w:rFonts w:eastAsia="Times New Roman"/>
          <w:lang w:val="en-GB"/>
        </w:rPr>
        <w:t>, §</w:t>
      </w:r>
      <w:r w:rsidRPr="000C0E58" w:rsidR="006C538B">
        <w:rPr>
          <w:rFonts w:eastAsia="Times New Roman"/>
          <w:lang w:val="en-GB"/>
        </w:rPr>
        <w:t> </w:t>
      </w:r>
      <w:r w:rsidRPr="000C0E58" w:rsidR="004C5587">
        <w:rPr>
          <w:rFonts w:eastAsia="Times New Roman"/>
          <w:lang w:val="en-GB"/>
        </w:rPr>
        <w:t>24</w:t>
      </w:r>
      <w:r w:rsidRPr="000C0E58" w:rsidR="000C0D32">
        <w:rPr>
          <w:rFonts w:eastAsia="Times New Roman"/>
          <w:lang w:val="en-GB"/>
        </w:rPr>
        <w:t>;</w:t>
      </w:r>
      <w:r w:rsidRPr="000C0E58" w:rsidR="0024481A">
        <w:rPr>
          <w:rFonts w:eastAsia="Times New Roman"/>
          <w:lang w:val="en-GB"/>
        </w:rPr>
        <w:t xml:space="preserve"> and </w:t>
      </w:r>
      <w:r w:rsidRPr="000C0E58" w:rsidR="002261C8">
        <w:rPr>
          <w:i/>
          <w:lang w:val="en-GB"/>
        </w:rPr>
        <w:t>Wieczorek</w:t>
      </w:r>
      <w:r w:rsidRPr="000C0E58" w:rsidR="002261C8">
        <w:rPr>
          <w:lang w:val="en-GB"/>
        </w:rPr>
        <w:t>, § 71</w:t>
      </w:r>
      <w:r w:rsidRPr="000C0E58" w:rsidR="00E108BE">
        <w:rPr>
          <w:lang w:val="en-GB"/>
        </w:rPr>
        <w:t>, all</w:t>
      </w:r>
      <w:r w:rsidRPr="000C0E58" w:rsidR="00E108BE">
        <w:rPr>
          <w:rFonts w:eastAsia="Times New Roman"/>
          <w:lang w:val="en-GB"/>
        </w:rPr>
        <w:t xml:space="preserve"> cited above</w:t>
      </w:r>
      <w:r w:rsidRPr="000C0E58" w:rsidR="00061F43">
        <w:rPr>
          <w:rFonts w:eastAsia="Times New Roman"/>
          <w:lang w:val="en-GB"/>
        </w:rPr>
        <w:t>)</w:t>
      </w:r>
      <w:r w:rsidRPr="000C0E58" w:rsidR="00AF0282">
        <w:rPr>
          <w:rFonts w:eastAsia="Times New Roman"/>
          <w:lang w:val="en-GB"/>
        </w:rPr>
        <w:t>,</w:t>
      </w:r>
      <w:r w:rsidRPr="000C0E58" w:rsidR="00FA28A4">
        <w:rPr>
          <w:rFonts w:eastAsia="Times New Roman"/>
          <w:lang w:val="en-GB"/>
        </w:rPr>
        <w:t xml:space="preserve"> </w:t>
      </w:r>
      <w:r w:rsidRPr="000C0E58" w:rsidR="00AF0282">
        <w:rPr>
          <w:rFonts w:eastAsia="Times New Roman"/>
          <w:lang w:val="en-GB"/>
        </w:rPr>
        <w:t xml:space="preserve">in view </w:t>
      </w:r>
      <w:r w:rsidRPr="000C0E58" w:rsidR="00FA28A4">
        <w:rPr>
          <w:rFonts w:eastAsia="Times New Roman"/>
          <w:lang w:val="en-GB"/>
        </w:rPr>
        <w:t>of the fact that her social</w:t>
      </w:r>
      <w:r w:rsidRPr="000C0E58" w:rsidR="0024481A">
        <w:rPr>
          <w:rFonts w:eastAsia="Times New Roman"/>
          <w:lang w:val="en-GB"/>
        </w:rPr>
        <w:t>-</w:t>
      </w:r>
      <w:r w:rsidRPr="000C0E58" w:rsidR="00FA28A4">
        <w:rPr>
          <w:rFonts w:eastAsia="Times New Roman"/>
          <w:lang w:val="en-GB"/>
        </w:rPr>
        <w:t>security cover was only 148 days short of the required length.</w:t>
      </w:r>
      <w:r w:rsidRPr="000C0E58" w:rsidR="00061F43">
        <w:rPr>
          <w:rFonts w:eastAsia="Times New Roman"/>
          <w:lang w:val="en-GB"/>
        </w:rPr>
        <w:t xml:space="preserve"> This element gains particular importance in </w:t>
      </w:r>
      <w:r w:rsidRPr="000C0E58" w:rsidR="0024481A">
        <w:rPr>
          <w:rFonts w:eastAsia="Times New Roman"/>
          <w:lang w:val="en-GB"/>
        </w:rPr>
        <w:t xml:space="preserve">view </w:t>
      </w:r>
      <w:r w:rsidRPr="000C0E58" w:rsidR="00061F43">
        <w:rPr>
          <w:rFonts w:eastAsia="Times New Roman"/>
          <w:lang w:val="en-GB"/>
        </w:rPr>
        <w:t>of the fact that the applicant did not have any other significant income</w:t>
      </w:r>
      <w:r w:rsidRPr="000C0E58" w:rsidR="006C4600">
        <w:rPr>
          <w:rFonts w:eastAsia="Times New Roman"/>
          <w:lang w:val="en-GB"/>
        </w:rPr>
        <w:t xml:space="preserve"> on which to </w:t>
      </w:r>
      <w:r w:rsidRPr="000C0E58" w:rsidR="00E7382D">
        <w:rPr>
          <w:rFonts w:eastAsia="Times New Roman"/>
          <w:lang w:val="en-GB"/>
        </w:rPr>
        <w:t>subsist (see paragraph </w:t>
      </w:r>
      <w:r w:rsidRPr="000C0E58" w:rsidR="00ED3855">
        <w:rPr>
          <w:rFonts w:eastAsia="Times New Roman"/>
          <w:lang w:val="en-GB"/>
        </w:rPr>
        <w:t>25</w:t>
      </w:r>
      <w:r w:rsidRPr="000C0E58" w:rsidR="00061F43">
        <w:rPr>
          <w:rFonts w:eastAsia="Times New Roman"/>
          <w:lang w:val="en-GB"/>
        </w:rPr>
        <w:t xml:space="preserve"> above</w:t>
      </w:r>
      <w:r w:rsidRPr="000C0E58" w:rsidR="00BC2C01">
        <w:rPr>
          <w:rFonts w:eastAsia="Times New Roman"/>
          <w:lang w:val="en-GB"/>
        </w:rPr>
        <w:t xml:space="preserve">; </w:t>
      </w:r>
      <w:r w:rsidRPr="000C0E58" w:rsidR="00F334EF">
        <w:rPr>
          <w:lang w:val="en-GB"/>
        </w:rPr>
        <w:t>compare</w:t>
      </w:r>
      <w:r w:rsidRPr="000C0E58" w:rsidR="00061F43">
        <w:rPr>
          <w:lang w:val="en-GB"/>
        </w:rPr>
        <w:t xml:space="preserve"> </w:t>
      </w:r>
      <w:r w:rsidRPr="000C0E58" w:rsidR="00BC2C01">
        <w:rPr>
          <w:lang w:val="en-GB"/>
        </w:rPr>
        <w:t xml:space="preserve">also </w:t>
      </w:r>
      <w:r w:rsidRPr="000C0E58" w:rsidR="00061F43">
        <w:rPr>
          <w:i/>
          <w:lang w:val="en-GB"/>
        </w:rPr>
        <w:t>Kjartan Ásmundsson</w:t>
      </w:r>
      <w:r w:rsidRPr="000C0E58" w:rsidR="00D05161">
        <w:rPr>
          <w:lang w:val="en-GB"/>
        </w:rPr>
        <w:t>, cited above, §</w:t>
      </w:r>
      <w:r w:rsidRPr="000C0E58" w:rsidR="00061F43">
        <w:rPr>
          <w:lang w:val="en-GB"/>
        </w:rPr>
        <w:t xml:space="preserve"> </w:t>
      </w:r>
      <w:r w:rsidRPr="000C0E58" w:rsidR="00D05161">
        <w:rPr>
          <w:lang w:val="en-GB"/>
        </w:rPr>
        <w:t>44</w:t>
      </w:r>
      <w:r w:rsidRPr="000C0E58" w:rsidR="00061F43">
        <w:rPr>
          <w:lang w:val="en-GB"/>
        </w:rPr>
        <w:t>)</w:t>
      </w:r>
      <w:r w:rsidRPr="000C0E58" w:rsidR="00D97F95">
        <w:rPr>
          <w:lang w:val="en-GB"/>
        </w:rPr>
        <w:t xml:space="preserve"> and that she</w:t>
      </w:r>
      <w:r w:rsidRPr="000C0E58" w:rsidR="00061F43">
        <w:rPr>
          <w:lang w:val="en-GB"/>
        </w:rPr>
        <w:t xml:space="preserve"> </w:t>
      </w:r>
      <w:r w:rsidRPr="000C0E58" w:rsidR="00D97F95">
        <w:rPr>
          <w:lang w:val="en-GB"/>
        </w:rPr>
        <w:t xml:space="preserve">evidently had difficulties in pursuing gainful employment </w:t>
      </w:r>
      <w:r w:rsidRPr="000C0E58" w:rsidR="0024481A">
        <w:rPr>
          <w:lang w:val="en-GB"/>
        </w:rPr>
        <w:t xml:space="preserve">and </w:t>
      </w:r>
      <w:r w:rsidRPr="000C0E58" w:rsidR="00061F43">
        <w:rPr>
          <w:rFonts w:eastAsia="Times New Roman"/>
          <w:lang w:val="en-GB"/>
        </w:rPr>
        <w:t>belong</w:t>
      </w:r>
      <w:r w:rsidRPr="000C0E58" w:rsidR="0024481A">
        <w:rPr>
          <w:rFonts w:eastAsia="Times New Roman"/>
          <w:lang w:val="en-GB"/>
        </w:rPr>
        <w:t xml:space="preserve">ed </w:t>
      </w:r>
      <w:r w:rsidRPr="000C0E58" w:rsidR="00061F43">
        <w:rPr>
          <w:rFonts w:eastAsia="Times New Roman"/>
          <w:lang w:val="en-GB"/>
        </w:rPr>
        <w:t xml:space="preserve">to </w:t>
      </w:r>
      <w:r w:rsidRPr="000C0E58" w:rsidR="0024481A">
        <w:rPr>
          <w:rFonts w:eastAsia="Times New Roman"/>
          <w:lang w:val="en-GB"/>
        </w:rPr>
        <w:t xml:space="preserve">the </w:t>
      </w:r>
      <w:r w:rsidRPr="000C0E58" w:rsidR="00061F43">
        <w:rPr>
          <w:rFonts w:eastAsia="Times New Roman"/>
          <w:lang w:val="en-GB"/>
        </w:rPr>
        <w:t xml:space="preserve">vulnerable group of disabled persons (see </w:t>
      </w:r>
      <w:r w:rsidRPr="000C0E58" w:rsidR="00E7382D">
        <w:rPr>
          <w:i/>
          <w:lang w:val="en-GB" w:eastAsia="fr-FR"/>
        </w:rPr>
        <w:t>Alajos Kiss v. </w:t>
      </w:r>
      <w:r w:rsidRPr="000C0E58" w:rsidR="00061F43">
        <w:rPr>
          <w:i/>
          <w:lang w:val="en-GB" w:eastAsia="fr-FR"/>
        </w:rPr>
        <w:t>Hungary,</w:t>
      </w:r>
      <w:r w:rsidRPr="000C0E58" w:rsidR="00061F43">
        <w:rPr>
          <w:lang w:val="en-GB" w:eastAsia="fr-FR"/>
        </w:rPr>
        <w:t xml:space="preserve"> no.</w:t>
      </w:r>
      <w:r w:rsidRPr="000C0E58" w:rsidR="00FA73A3">
        <w:rPr>
          <w:lang w:val="en-GB" w:eastAsia="fr-FR"/>
        </w:rPr>
        <w:t> </w:t>
      </w:r>
      <w:r w:rsidRPr="000C0E58" w:rsidR="00061F43">
        <w:rPr>
          <w:lang w:val="en-GB" w:eastAsia="fr-FR"/>
        </w:rPr>
        <w:t>38832/06, § 42, 20 May 2010).</w:t>
      </w:r>
      <w:r w:rsidRPr="000C0E58" w:rsidR="007B1A09">
        <w:rPr>
          <w:lang w:val="en-GB" w:eastAsia="fr-FR"/>
        </w:rPr>
        <w:t xml:space="preserve"> </w:t>
      </w:r>
      <w:r w:rsidRPr="000C0E58" w:rsidR="00675466">
        <w:rPr>
          <w:lang w:val="en-GB" w:eastAsia="fr-FR"/>
        </w:rPr>
        <w:t xml:space="preserve">The Court is indeed mindful of the special characteristics of </w:t>
      </w:r>
      <w:r w:rsidRPr="000C0E58" w:rsidR="00234D5B">
        <w:rPr>
          <w:lang w:val="en-GB" w:eastAsia="fr-FR"/>
        </w:rPr>
        <w:t xml:space="preserve">the </w:t>
      </w:r>
      <w:r w:rsidRPr="000C0E58" w:rsidR="00675466">
        <w:rPr>
          <w:lang w:val="en-GB" w:eastAsia="fr-FR"/>
        </w:rPr>
        <w:t xml:space="preserve">type of pension at issue. </w:t>
      </w:r>
      <w:r w:rsidRPr="000C0E58" w:rsidR="00F74A28">
        <w:rPr>
          <w:lang w:val="en-GB" w:eastAsia="fr-FR"/>
        </w:rPr>
        <w:t xml:space="preserve">Although, as mentioned </w:t>
      </w:r>
      <w:r w:rsidRPr="000C0E58" w:rsidR="0024481A">
        <w:rPr>
          <w:lang w:val="en-GB" w:eastAsia="fr-FR"/>
        </w:rPr>
        <w:t>above</w:t>
      </w:r>
      <w:r w:rsidRPr="000C0E58" w:rsidR="00F74A28">
        <w:rPr>
          <w:lang w:val="en-GB" w:eastAsia="fr-FR"/>
        </w:rPr>
        <w:t>, the applicant was recommended for rehabilitation in December 2011, rehabilitation was not undertaken and she was not offered the related allowance (see paragraph</w:t>
      </w:r>
      <w:r w:rsidRPr="000C0E58" w:rsidR="00E108BE">
        <w:rPr>
          <w:lang w:val="en-GB" w:eastAsia="fr-FR"/>
        </w:rPr>
        <w:t>s</w:t>
      </w:r>
      <w:r w:rsidRPr="000C0E58" w:rsidR="00F74A28">
        <w:rPr>
          <w:lang w:val="en-GB" w:eastAsia="fr-FR"/>
        </w:rPr>
        <w:t xml:space="preserve"> 17 </w:t>
      </w:r>
      <w:r w:rsidRPr="000C0E58" w:rsidR="00E108BE">
        <w:rPr>
          <w:lang w:val="en-GB" w:eastAsia="fr-FR"/>
        </w:rPr>
        <w:t>and 1</w:t>
      </w:r>
      <w:r w:rsidRPr="000C0E58" w:rsidR="00702E0E">
        <w:rPr>
          <w:lang w:val="en-GB" w:eastAsia="fr-FR"/>
        </w:rPr>
        <w:t>04</w:t>
      </w:r>
      <w:r w:rsidRPr="000C0E58" w:rsidR="00E108BE">
        <w:rPr>
          <w:lang w:val="en-GB" w:eastAsia="fr-FR"/>
        </w:rPr>
        <w:t xml:space="preserve"> </w:t>
      </w:r>
      <w:r w:rsidRPr="000C0E58" w:rsidR="00F74A28">
        <w:rPr>
          <w:lang w:val="en-GB" w:eastAsia="fr-FR"/>
        </w:rPr>
        <w:t>above).</w:t>
      </w:r>
    </w:p>
    <w:p w:rsidRPr="000C0E58" w:rsidR="007B1A09" w:rsidP="000C0E58">
      <w:pPr>
        <w:pStyle w:val="ECHRPara"/>
        <w:rPr>
          <w:i/>
          <w:lang w:val="en-GB"/>
        </w:rPr>
      </w:pPr>
      <w:r w:rsidRPr="000C0E58">
        <w:rPr>
          <w:lang w:val="en-GB" w:eastAsia="fr-FR"/>
        </w:rPr>
        <w:fldChar w:fldCharType="begin"/>
      </w:r>
      <w:r w:rsidRPr="000C0E58">
        <w:rPr>
          <w:lang w:val="en-GB" w:eastAsia="fr-FR"/>
        </w:rPr>
        <w:instrText xml:space="preserve"> SEQ level0 \*arabic </w:instrText>
      </w:r>
      <w:r w:rsidRPr="000C0E58">
        <w:rPr>
          <w:lang w:val="en-GB" w:eastAsia="fr-FR"/>
        </w:rPr>
        <w:fldChar w:fldCharType="separate"/>
      </w:r>
      <w:r w:rsidRPr="000C0E58" w:rsidR="000C0E58">
        <w:rPr>
          <w:noProof/>
          <w:lang w:val="en-GB" w:eastAsia="fr-FR"/>
        </w:rPr>
        <w:t>124</w:t>
      </w:r>
      <w:r w:rsidRPr="000C0E58">
        <w:rPr>
          <w:lang w:val="en-GB" w:eastAsia="fr-FR"/>
        </w:rPr>
        <w:fldChar w:fldCharType="end"/>
      </w:r>
      <w:r w:rsidRPr="000C0E58">
        <w:rPr>
          <w:lang w:val="en-GB" w:eastAsia="fr-FR"/>
        </w:rPr>
        <w:t>.  </w:t>
      </w:r>
      <w:r w:rsidRPr="000C0E58" w:rsidR="005C0489">
        <w:rPr>
          <w:lang w:val="en-GB" w:eastAsia="fr-FR"/>
        </w:rPr>
        <w:t>In the light of the above</w:t>
      </w:r>
      <w:r w:rsidRPr="000C0E58" w:rsidR="0024481A">
        <w:rPr>
          <w:lang w:val="en-GB" w:eastAsia="fr-FR"/>
        </w:rPr>
        <w:t xml:space="preserve"> considerations</w:t>
      </w:r>
      <w:r w:rsidRPr="000C0E58" w:rsidR="005C0489">
        <w:rPr>
          <w:lang w:val="en-GB" w:eastAsia="fr-FR"/>
        </w:rPr>
        <w:t>, the Court is of the view that t</w:t>
      </w:r>
      <w:r w:rsidRPr="000C0E58">
        <w:rPr>
          <w:rFonts w:ascii="Times New Roman" w:hAnsi="Times New Roman" w:cs="Times New Roman"/>
          <w:szCs w:val="24"/>
          <w:lang w:val="en-GB"/>
        </w:rPr>
        <w:t xml:space="preserve">he </w:t>
      </w:r>
      <w:r w:rsidRPr="000C0E58" w:rsidR="00B14DDB">
        <w:rPr>
          <w:rFonts w:ascii="Times New Roman" w:hAnsi="Times New Roman" w:cs="Times New Roman"/>
          <w:szCs w:val="24"/>
          <w:lang w:val="en-GB"/>
        </w:rPr>
        <w:t xml:space="preserve">disputed </w:t>
      </w:r>
      <w:r w:rsidRPr="000C0E58">
        <w:rPr>
          <w:rFonts w:ascii="Times New Roman" w:hAnsi="Times New Roman" w:cs="Times New Roman"/>
          <w:szCs w:val="24"/>
          <w:lang w:val="en-GB"/>
        </w:rPr>
        <w:t>measure, albeit aim</w:t>
      </w:r>
      <w:r w:rsidRPr="000C0E58" w:rsidR="006C4600">
        <w:rPr>
          <w:rFonts w:ascii="Times New Roman" w:hAnsi="Times New Roman" w:cs="Times New Roman"/>
          <w:szCs w:val="24"/>
          <w:lang w:val="en-GB"/>
        </w:rPr>
        <w:t xml:space="preserve">ed at </w:t>
      </w:r>
      <w:r w:rsidRPr="000C0E58">
        <w:rPr>
          <w:rFonts w:ascii="Times New Roman" w:hAnsi="Times New Roman" w:cs="Times New Roman"/>
          <w:szCs w:val="24"/>
          <w:lang w:val="en-GB"/>
        </w:rPr>
        <w:t>protect</w:t>
      </w:r>
      <w:r w:rsidRPr="000C0E58" w:rsidR="006C4600">
        <w:rPr>
          <w:rFonts w:ascii="Times New Roman" w:hAnsi="Times New Roman" w:cs="Times New Roman"/>
          <w:szCs w:val="24"/>
          <w:lang w:val="en-GB"/>
        </w:rPr>
        <w:t>ing</w:t>
      </w:r>
      <w:r w:rsidRPr="000C0E58">
        <w:rPr>
          <w:rFonts w:ascii="Times New Roman" w:hAnsi="Times New Roman" w:cs="Times New Roman"/>
          <w:szCs w:val="24"/>
          <w:lang w:val="en-GB"/>
        </w:rPr>
        <w:t xml:space="preserve"> the public purse by overhauling </w:t>
      </w:r>
      <w:r w:rsidRPr="000C0E58" w:rsidR="00553A0D">
        <w:rPr>
          <w:rFonts w:ascii="Times New Roman" w:hAnsi="Times New Roman" w:cs="Times New Roman"/>
          <w:szCs w:val="24"/>
          <w:lang w:val="en-GB"/>
        </w:rPr>
        <w:t xml:space="preserve">and rationalising </w:t>
      </w:r>
      <w:r w:rsidRPr="000C0E58">
        <w:rPr>
          <w:rFonts w:ascii="Times New Roman" w:hAnsi="Times New Roman" w:cs="Times New Roman"/>
          <w:szCs w:val="24"/>
          <w:lang w:val="en-GB"/>
        </w:rPr>
        <w:t xml:space="preserve">the scheme of disability benefits, consisted in legislation which, in the </w:t>
      </w:r>
      <w:r w:rsidRPr="000C0E58" w:rsidR="00D034BA">
        <w:rPr>
          <w:rFonts w:ascii="Times New Roman" w:hAnsi="Times New Roman" w:cs="Times New Roman"/>
          <w:szCs w:val="24"/>
          <w:lang w:val="en-GB"/>
        </w:rPr>
        <w:t>circumstances</w:t>
      </w:r>
      <w:r w:rsidRPr="000C0E58">
        <w:rPr>
          <w:rFonts w:ascii="Times New Roman" w:hAnsi="Times New Roman" w:cs="Times New Roman"/>
          <w:szCs w:val="24"/>
          <w:lang w:val="en-GB"/>
        </w:rPr>
        <w:t>, failed to strike a fair balance between the interests at stake.</w:t>
      </w:r>
      <w:r w:rsidRPr="000C0E58">
        <w:rPr>
          <w:rFonts w:eastAsia="Times New Roman"/>
          <w:lang w:val="en-GB"/>
        </w:rPr>
        <w:t xml:space="preserve"> </w:t>
      </w:r>
      <w:r w:rsidRPr="000C0E58" w:rsidR="00ED3855">
        <w:rPr>
          <w:rFonts w:eastAsia="Times New Roman"/>
          <w:lang w:val="en-GB"/>
        </w:rPr>
        <w:t>Such</w:t>
      </w:r>
      <w:r w:rsidRPr="000C0E58" w:rsidR="00553A0D">
        <w:rPr>
          <w:lang w:val="en-GB"/>
        </w:rPr>
        <w:t xml:space="preserve"> considerations c</w:t>
      </w:r>
      <w:r w:rsidRPr="000C0E58" w:rsidR="0024481A">
        <w:rPr>
          <w:lang w:val="en-GB"/>
        </w:rPr>
        <w:t xml:space="preserve">annot, </w:t>
      </w:r>
      <w:r w:rsidRPr="000C0E58" w:rsidR="007E6C4B">
        <w:rPr>
          <w:lang w:val="en-GB"/>
        </w:rPr>
        <w:t>in the Court</w:t>
      </w:r>
      <w:r w:rsidRPr="000C0E58" w:rsidR="000C0E58">
        <w:rPr>
          <w:lang w:val="en-GB"/>
        </w:rPr>
        <w:t>’</w:t>
      </w:r>
      <w:r w:rsidRPr="000C0E58" w:rsidR="007E6C4B">
        <w:rPr>
          <w:lang w:val="en-GB"/>
        </w:rPr>
        <w:t>s view</w:t>
      </w:r>
      <w:r w:rsidRPr="000C0E58" w:rsidR="0024481A">
        <w:rPr>
          <w:lang w:val="en-GB"/>
        </w:rPr>
        <w:t>,</w:t>
      </w:r>
      <w:r w:rsidRPr="000C0E58" w:rsidR="007E6C4B">
        <w:rPr>
          <w:lang w:val="en-GB"/>
        </w:rPr>
        <w:t xml:space="preserve"> </w:t>
      </w:r>
      <w:r w:rsidRPr="000C0E58" w:rsidR="00553A0D">
        <w:rPr>
          <w:lang w:val="en-GB"/>
        </w:rPr>
        <w:t>justify legislating with retrospective effect</w:t>
      </w:r>
      <w:r w:rsidRPr="000C0E58" w:rsidR="00084F3D">
        <w:rPr>
          <w:lang w:val="en-GB"/>
        </w:rPr>
        <w:t xml:space="preserve"> and without transitional measures corresponding to the particular situation</w:t>
      </w:r>
      <w:r w:rsidRPr="000C0E58" w:rsidR="00992A7D">
        <w:rPr>
          <w:lang w:val="en-GB"/>
        </w:rPr>
        <w:t xml:space="preserve"> (see </w:t>
      </w:r>
      <w:r w:rsidRPr="000C0E58" w:rsidR="00992A7D">
        <w:rPr>
          <w:i/>
          <w:lang w:val="en-GB"/>
        </w:rPr>
        <w:t>Moskal</w:t>
      </w:r>
      <w:r w:rsidRPr="000C0E58" w:rsidR="00992A7D">
        <w:rPr>
          <w:lang w:val="en-GB"/>
        </w:rPr>
        <w:t xml:space="preserve">, cited above, </w:t>
      </w:r>
      <w:r w:rsidRPr="000C0E58" w:rsidR="00696877">
        <w:rPr>
          <w:lang w:val="en-GB"/>
        </w:rPr>
        <w:t>§§ </w:t>
      </w:r>
      <w:r w:rsidRPr="000C0E58" w:rsidR="00992A7D">
        <w:rPr>
          <w:lang w:val="en-GB"/>
        </w:rPr>
        <w:t xml:space="preserve">74 and 76; see also the ruling of the Court of Justice of the European Union referred to in </w:t>
      </w:r>
      <w:r w:rsidRPr="000C0E58" w:rsidR="00992A7D">
        <w:rPr>
          <w:i/>
          <w:lang w:val="en-GB"/>
        </w:rPr>
        <w:t xml:space="preserve">Baka v. Hungary </w:t>
      </w:r>
      <w:r w:rsidRPr="000C0E58" w:rsidR="00992A7D">
        <w:rPr>
          <w:lang w:val="en-GB"/>
        </w:rPr>
        <w:t>[GC], no.</w:t>
      </w:r>
      <w:r w:rsidRPr="000C0E58" w:rsidR="0024481A">
        <w:rPr>
          <w:lang w:val="en-GB"/>
        </w:rPr>
        <w:t> </w:t>
      </w:r>
      <w:r w:rsidRPr="000C0E58" w:rsidR="00992A7D">
        <w:rPr>
          <w:lang w:val="en-GB"/>
        </w:rPr>
        <w:t>20261/12</w:t>
      </w:r>
      <w:r w:rsidRPr="000C0E58" w:rsidR="00992A7D">
        <w:rPr>
          <w:snapToGrid w:val="0"/>
          <w:lang w:val="en-GB"/>
        </w:rPr>
        <w:t xml:space="preserve">, § 69, </w:t>
      </w:r>
      <w:r w:rsidRPr="000C0E58" w:rsidR="00992A7D">
        <w:rPr>
          <w:snapToGrid w:val="0"/>
          <w:lang w:val="en-GB"/>
        </w:rPr>
        <w:t>2</w:t>
      </w:r>
      <w:r w:rsidRPr="000C0E58" w:rsidR="00992A7D">
        <w:rPr>
          <w:lang w:val="en-GB"/>
        </w:rPr>
        <w:t>3</w:t>
      </w:r>
      <w:r w:rsidRPr="000C0E58" w:rsidR="00672047">
        <w:rPr>
          <w:snapToGrid w:val="0"/>
          <w:lang w:val="en-GB"/>
        </w:rPr>
        <w:t> </w:t>
      </w:r>
      <w:r w:rsidRPr="000C0E58" w:rsidR="00992A7D">
        <w:rPr>
          <w:snapToGrid w:val="0"/>
          <w:lang w:val="en-GB"/>
        </w:rPr>
        <w:t>June</w:t>
      </w:r>
      <w:r w:rsidRPr="000C0E58" w:rsidR="00642781">
        <w:rPr>
          <w:snapToGrid w:val="0"/>
          <w:lang w:val="en-GB"/>
        </w:rPr>
        <w:t> </w:t>
      </w:r>
      <w:r w:rsidRPr="000C0E58" w:rsidR="00992A7D">
        <w:rPr>
          <w:snapToGrid w:val="0"/>
          <w:lang w:val="en-GB"/>
        </w:rPr>
        <w:t>2016)</w:t>
      </w:r>
      <w:r w:rsidRPr="000C0E58" w:rsidR="00992A7D">
        <w:rPr>
          <w:lang w:val="en-GB"/>
        </w:rPr>
        <w:t xml:space="preserve">, </w:t>
      </w:r>
      <w:r w:rsidRPr="000C0E58" w:rsidR="00084F3D">
        <w:rPr>
          <w:lang w:val="en-GB"/>
        </w:rPr>
        <w:t xml:space="preserve">entailing </w:t>
      </w:r>
      <w:r w:rsidRPr="000C0E58" w:rsidR="00770D66">
        <w:rPr>
          <w:lang w:val="en-GB"/>
        </w:rPr>
        <w:t xml:space="preserve">as it did </w:t>
      </w:r>
      <w:r w:rsidRPr="000C0E58" w:rsidR="00084F3D">
        <w:rPr>
          <w:lang w:val="en-GB"/>
        </w:rPr>
        <w:t xml:space="preserve">the </w:t>
      </w:r>
      <w:r w:rsidRPr="000C0E58" w:rsidR="00553A0D">
        <w:rPr>
          <w:lang w:val="en-GB"/>
        </w:rPr>
        <w:t xml:space="preserve">consequence of depriving the applicant of her legitimate expectation </w:t>
      </w:r>
      <w:r w:rsidRPr="000C0E58" w:rsidR="006C4600">
        <w:rPr>
          <w:lang w:val="en-GB"/>
        </w:rPr>
        <w:t xml:space="preserve">that she would </w:t>
      </w:r>
      <w:r w:rsidRPr="000C0E58" w:rsidR="00553A0D">
        <w:rPr>
          <w:lang w:val="en-GB"/>
        </w:rPr>
        <w:t>receive disability benefits. Such a fundamental interference with the applicant</w:t>
      </w:r>
      <w:r w:rsidRPr="000C0E58" w:rsidR="000C0E58">
        <w:rPr>
          <w:lang w:val="en-GB"/>
        </w:rPr>
        <w:t>’</w:t>
      </w:r>
      <w:r w:rsidRPr="000C0E58" w:rsidR="00553A0D">
        <w:rPr>
          <w:lang w:val="en-GB"/>
        </w:rPr>
        <w:t>s rights is inconsistent with preserving a fair balance between the interests at stake</w:t>
      </w:r>
      <w:r w:rsidRPr="000C0E58" w:rsidR="00553A0D">
        <w:rPr>
          <w:rFonts w:ascii="Times New Roman" w:hAnsi="Times New Roman" w:eastAsia="Times New Roman" w:cs="Times New Roman"/>
          <w:szCs w:val="24"/>
          <w:lang w:val="en-GB"/>
        </w:rPr>
        <w:t xml:space="preserve"> </w:t>
      </w:r>
      <w:r w:rsidRPr="000C0E58">
        <w:rPr>
          <w:rFonts w:ascii="Times New Roman" w:hAnsi="Times New Roman" w:eastAsia="Times New Roman" w:cs="Times New Roman"/>
          <w:szCs w:val="24"/>
          <w:lang w:val="en-GB"/>
        </w:rPr>
        <w:t xml:space="preserve">(see, </w:t>
      </w:r>
      <w:r w:rsidRPr="000C0E58">
        <w:rPr>
          <w:rFonts w:ascii="Times New Roman" w:hAnsi="Times New Roman" w:eastAsia="Times New Roman" w:cs="Times New Roman"/>
          <w:i/>
          <w:szCs w:val="24"/>
          <w:lang w:val="en-GB"/>
        </w:rPr>
        <w:t>mutatis mutandis</w:t>
      </w:r>
      <w:r w:rsidRPr="000C0E58">
        <w:rPr>
          <w:rFonts w:ascii="Times New Roman" w:hAnsi="Times New Roman" w:eastAsia="Times New Roman" w:cs="Times New Roman"/>
          <w:szCs w:val="24"/>
          <w:lang w:val="en-GB"/>
        </w:rPr>
        <w:t xml:space="preserve">, </w:t>
      </w:r>
      <w:r w:rsidRPr="000C0E58">
        <w:rPr>
          <w:i/>
          <w:lang w:val="en-GB"/>
        </w:rPr>
        <w:t>Pressos Compania Naviera S.A. and Others</w:t>
      </w:r>
      <w:r w:rsidRPr="000C0E58">
        <w:rPr>
          <w:rFonts w:ascii="Times New Roman" w:hAnsi="Times New Roman" w:cs="Times New Roman"/>
          <w:i/>
          <w:lang w:val="en-GB" w:eastAsia="fr-FR"/>
        </w:rPr>
        <w:t xml:space="preserve">, </w:t>
      </w:r>
      <w:r w:rsidRPr="000C0E58">
        <w:rPr>
          <w:rFonts w:ascii="Times New Roman" w:hAnsi="Times New Roman" w:cs="Times New Roman"/>
          <w:lang w:val="en-GB" w:eastAsia="fr-FR"/>
        </w:rPr>
        <w:t>cited above, § 43)</w:t>
      </w:r>
      <w:r w:rsidRPr="000C0E58">
        <w:rPr>
          <w:rFonts w:ascii="Times New Roman" w:hAnsi="Times New Roman" w:eastAsia="Times New Roman" w:cs="Times New Roman"/>
          <w:szCs w:val="24"/>
          <w:lang w:val="en-GB"/>
        </w:rPr>
        <w:t>.</w:t>
      </w:r>
    </w:p>
    <w:p w:rsidRPr="000C0E58" w:rsidR="00061F43" w:rsidP="000C0E58">
      <w:pPr>
        <w:pStyle w:val="ECHRPara"/>
        <w:rPr>
          <w:i/>
          <w:szCs w:val="24"/>
          <w:lang w:val="en-GB"/>
        </w:rPr>
      </w:pPr>
      <w:r w:rsidRPr="000C0E58">
        <w:rPr>
          <w:rFonts w:ascii="Times New Roman" w:hAnsi="Times New Roman" w:eastAsia="Times New Roman" w:cs="Times New Roman"/>
          <w:szCs w:val="24"/>
          <w:lang w:val="en-GB"/>
        </w:rPr>
        <w:fldChar w:fldCharType="begin"/>
      </w:r>
      <w:r w:rsidRPr="000C0E58">
        <w:rPr>
          <w:rFonts w:ascii="Times New Roman" w:hAnsi="Times New Roman" w:eastAsia="Times New Roman" w:cs="Times New Roman"/>
          <w:szCs w:val="24"/>
          <w:lang w:val="en-GB"/>
        </w:rPr>
        <w:instrText xml:space="preserve"> SEQ level0 \*arabic </w:instrText>
      </w:r>
      <w:r w:rsidRPr="000C0E58">
        <w:rPr>
          <w:rFonts w:ascii="Times New Roman" w:hAnsi="Times New Roman" w:eastAsia="Times New Roman" w:cs="Times New Roman"/>
          <w:szCs w:val="24"/>
          <w:lang w:val="en-GB"/>
        </w:rPr>
        <w:fldChar w:fldCharType="separate"/>
      </w:r>
      <w:r w:rsidRPr="000C0E58" w:rsidR="000C0E58">
        <w:rPr>
          <w:rFonts w:ascii="Times New Roman" w:hAnsi="Times New Roman" w:eastAsia="Times New Roman" w:cs="Times New Roman"/>
          <w:noProof/>
          <w:szCs w:val="24"/>
          <w:lang w:val="en-GB"/>
        </w:rPr>
        <w:t>125</w:t>
      </w:r>
      <w:r w:rsidRPr="000C0E58">
        <w:rPr>
          <w:rFonts w:ascii="Times New Roman" w:hAnsi="Times New Roman" w:eastAsia="Times New Roman" w:cs="Times New Roman"/>
          <w:szCs w:val="24"/>
          <w:lang w:val="en-GB"/>
        </w:rPr>
        <w:fldChar w:fldCharType="end"/>
      </w:r>
      <w:r w:rsidRPr="000C0E58">
        <w:rPr>
          <w:rFonts w:ascii="Times New Roman" w:hAnsi="Times New Roman" w:eastAsia="Times New Roman" w:cs="Times New Roman"/>
          <w:szCs w:val="24"/>
          <w:lang w:val="en-GB"/>
        </w:rPr>
        <w:t xml:space="preserve">.  It </w:t>
      </w:r>
      <w:r w:rsidRPr="000C0E58" w:rsidR="006C4600">
        <w:rPr>
          <w:rFonts w:ascii="Times New Roman" w:hAnsi="Times New Roman" w:eastAsia="Times New Roman" w:cs="Times New Roman"/>
          <w:szCs w:val="24"/>
          <w:lang w:val="en-GB"/>
        </w:rPr>
        <w:t xml:space="preserve">should </w:t>
      </w:r>
      <w:r w:rsidRPr="000C0E58">
        <w:rPr>
          <w:rFonts w:ascii="Times New Roman" w:hAnsi="Times New Roman" w:eastAsia="Times New Roman" w:cs="Times New Roman"/>
          <w:szCs w:val="24"/>
          <w:lang w:val="en-GB"/>
        </w:rPr>
        <w:t xml:space="preserve">also be noted that </w:t>
      </w:r>
      <w:r w:rsidRPr="000C0E58">
        <w:rPr>
          <w:rFonts w:ascii="Times New Roman" w:hAnsi="Times New Roman" w:eastAsia="Times New Roman" w:cs="Times New Roman"/>
          <w:szCs w:val="24"/>
          <w:lang w:val="en-GB"/>
        </w:rPr>
        <w:t xml:space="preserve">the applicant was </w:t>
      </w:r>
      <w:r w:rsidRPr="000C0E58" w:rsidR="006C4600">
        <w:rPr>
          <w:rFonts w:ascii="Times New Roman" w:hAnsi="Times New Roman" w:eastAsia="Times New Roman" w:cs="Times New Roman"/>
          <w:szCs w:val="24"/>
          <w:lang w:val="en-GB"/>
        </w:rPr>
        <w:t>deprived of entitlement to any allowance</w:t>
      </w:r>
      <w:r w:rsidRPr="000C0E58" w:rsidR="0024481A">
        <w:rPr>
          <w:rFonts w:ascii="Times New Roman" w:hAnsi="Times New Roman" w:eastAsia="Times New Roman" w:cs="Times New Roman"/>
          <w:szCs w:val="24"/>
          <w:lang w:val="en-GB"/>
        </w:rPr>
        <w:t>,</w:t>
      </w:r>
      <w:r w:rsidRPr="000C0E58" w:rsidR="006C4600">
        <w:rPr>
          <w:rFonts w:ascii="Times New Roman" w:hAnsi="Times New Roman" w:eastAsia="Times New Roman" w:cs="Times New Roman"/>
          <w:szCs w:val="24"/>
          <w:lang w:val="en-GB"/>
        </w:rPr>
        <w:t xml:space="preserve"> </w:t>
      </w:r>
      <w:r w:rsidRPr="000C0E58">
        <w:rPr>
          <w:rFonts w:ascii="Times New Roman" w:hAnsi="Times New Roman" w:eastAsia="Times New Roman" w:cs="Times New Roman"/>
          <w:szCs w:val="24"/>
          <w:lang w:val="en-GB"/>
        </w:rPr>
        <w:t xml:space="preserve">despite the fact that there is no indication that she </w:t>
      </w:r>
      <w:r w:rsidRPr="000C0E58" w:rsidR="00300223">
        <w:rPr>
          <w:rFonts w:ascii="Times New Roman" w:hAnsi="Times New Roman" w:eastAsia="Times New Roman" w:cs="Times New Roman"/>
          <w:szCs w:val="24"/>
          <w:lang w:val="en-GB"/>
        </w:rPr>
        <w:t xml:space="preserve">failed to </w:t>
      </w:r>
      <w:r w:rsidRPr="000C0E58">
        <w:rPr>
          <w:rFonts w:ascii="Times New Roman" w:hAnsi="Times New Roman" w:eastAsia="Times New Roman" w:cs="Times New Roman"/>
          <w:szCs w:val="24"/>
          <w:lang w:val="en-GB"/>
        </w:rPr>
        <w:t xml:space="preserve">act in good faith at all times, </w:t>
      </w:r>
      <w:r w:rsidRPr="000C0E58" w:rsidR="00300223">
        <w:rPr>
          <w:rFonts w:ascii="Times New Roman" w:hAnsi="Times New Roman" w:eastAsia="Times New Roman" w:cs="Times New Roman"/>
          <w:szCs w:val="24"/>
          <w:lang w:val="en-GB"/>
        </w:rPr>
        <w:t>to</w:t>
      </w:r>
      <w:r w:rsidRPr="000C0E58">
        <w:rPr>
          <w:rFonts w:ascii="Times New Roman" w:hAnsi="Times New Roman" w:eastAsia="Times New Roman" w:cs="Times New Roman"/>
          <w:szCs w:val="24"/>
          <w:lang w:val="en-GB"/>
        </w:rPr>
        <w:t xml:space="preserve"> co-operate with the authorities or to make any relevant claims or representations</w:t>
      </w:r>
      <w:r w:rsidRPr="000C0E58" w:rsidR="002A2892">
        <w:rPr>
          <w:rFonts w:ascii="Times New Roman" w:hAnsi="Times New Roman" w:eastAsia="Times New Roman" w:cs="Times New Roman"/>
          <w:szCs w:val="24"/>
          <w:lang w:val="en-GB"/>
        </w:rPr>
        <w:t xml:space="preserve"> (compare </w:t>
      </w:r>
      <w:r w:rsidRPr="000C0E58" w:rsidR="002A2892">
        <w:rPr>
          <w:i/>
          <w:lang w:val="en-GB"/>
        </w:rPr>
        <w:t>Wieczorek</w:t>
      </w:r>
      <w:r w:rsidRPr="000C0E58" w:rsidR="002A2892">
        <w:rPr>
          <w:lang w:val="en-GB"/>
        </w:rPr>
        <w:t>, cited above</w:t>
      </w:r>
      <w:r w:rsidRPr="000C0E58" w:rsidR="002A2892">
        <w:rPr>
          <w:snapToGrid w:val="0"/>
          <w:lang w:val="en-GB"/>
        </w:rPr>
        <w:t xml:space="preserve">, § 69 </w:t>
      </w:r>
      <w:r w:rsidRPr="000C0E58" w:rsidR="002A2892">
        <w:rPr>
          <w:i/>
          <w:snapToGrid w:val="0"/>
          <w:lang w:val="en-GB"/>
        </w:rPr>
        <w:t>in fine</w:t>
      </w:r>
      <w:r w:rsidRPr="000C0E58" w:rsidR="002A2892">
        <w:rPr>
          <w:snapToGrid w:val="0"/>
          <w:lang w:val="en-GB"/>
        </w:rPr>
        <w:t>).</w:t>
      </w:r>
    </w:p>
    <w:p w:rsidRPr="000C0E58" w:rsidR="00061F43" w:rsidP="000C0E58">
      <w:pPr>
        <w:pStyle w:val="ECHRPara"/>
        <w:rPr>
          <w:rFonts w:ascii="Times New Roman" w:hAnsi="Times New Roman" w:eastAsia="Times New Roman" w:cs="Times New Roman"/>
          <w:szCs w:val="24"/>
          <w:lang w:val="en-GB"/>
        </w:rPr>
      </w:pPr>
      <w:r w:rsidRPr="000C0E58">
        <w:rPr>
          <w:rFonts w:ascii="Times New Roman" w:hAnsi="Times New Roman" w:eastAsia="Times New Roman" w:cs="Times New Roman"/>
          <w:szCs w:val="24"/>
          <w:lang w:val="en-GB"/>
        </w:rPr>
        <w:fldChar w:fldCharType="begin"/>
      </w:r>
      <w:r w:rsidRPr="000C0E58">
        <w:rPr>
          <w:rFonts w:ascii="Times New Roman" w:hAnsi="Times New Roman" w:eastAsia="Times New Roman" w:cs="Times New Roman"/>
          <w:szCs w:val="24"/>
          <w:lang w:val="en-GB"/>
        </w:rPr>
        <w:instrText xml:space="preserve"> SEQ level0 \*arabic </w:instrText>
      </w:r>
      <w:r w:rsidRPr="000C0E58">
        <w:rPr>
          <w:rFonts w:ascii="Times New Roman" w:hAnsi="Times New Roman" w:eastAsia="Times New Roman" w:cs="Times New Roman"/>
          <w:szCs w:val="24"/>
          <w:lang w:val="en-GB"/>
        </w:rPr>
        <w:fldChar w:fldCharType="separate"/>
      </w:r>
      <w:r w:rsidRPr="000C0E58" w:rsidR="000C0E58">
        <w:rPr>
          <w:rFonts w:ascii="Times New Roman" w:hAnsi="Times New Roman" w:eastAsia="Times New Roman" w:cs="Times New Roman"/>
          <w:noProof/>
          <w:szCs w:val="24"/>
          <w:lang w:val="en-GB"/>
        </w:rPr>
        <w:t>126</w:t>
      </w:r>
      <w:r w:rsidRPr="000C0E58">
        <w:rPr>
          <w:rFonts w:ascii="Times New Roman" w:hAnsi="Times New Roman" w:eastAsia="Times New Roman" w:cs="Times New Roman"/>
          <w:szCs w:val="24"/>
          <w:lang w:val="en-GB"/>
        </w:rPr>
        <w:fldChar w:fldCharType="end"/>
      </w:r>
      <w:r w:rsidRPr="000C0E58">
        <w:rPr>
          <w:rFonts w:ascii="Times New Roman" w:hAnsi="Times New Roman" w:eastAsia="Times New Roman" w:cs="Times New Roman"/>
          <w:szCs w:val="24"/>
          <w:lang w:val="en-GB"/>
        </w:rPr>
        <w:t>.  </w:t>
      </w:r>
      <w:r w:rsidRPr="000C0E58">
        <w:rPr>
          <w:rFonts w:ascii="Times New Roman" w:hAnsi="Times New Roman" w:eastAsia="Times New Roman" w:cs="Times New Roman"/>
          <w:szCs w:val="24"/>
          <w:lang w:val="en-GB"/>
        </w:rPr>
        <w:t>The Court thus considers that there was no reasonable relation of proportionality between the aim pursued and the means applied. It therefore finds that, notwithstanding the State</w:t>
      </w:r>
      <w:r w:rsidRPr="000C0E58" w:rsidR="000C0E58">
        <w:rPr>
          <w:rFonts w:ascii="Times New Roman" w:hAnsi="Times New Roman" w:eastAsia="Times New Roman" w:cs="Times New Roman"/>
          <w:szCs w:val="24"/>
          <w:lang w:val="en-GB"/>
        </w:rPr>
        <w:t>’</w:t>
      </w:r>
      <w:r w:rsidRPr="000C0E58">
        <w:rPr>
          <w:rFonts w:ascii="Times New Roman" w:hAnsi="Times New Roman" w:eastAsia="Times New Roman" w:cs="Times New Roman"/>
          <w:szCs w:val="24"/>
          <w:lang w:val="en-GB"/>
        </w:rPr>
        <w:t>s wide margin of appreciation in this field, the applicant had to bear an excessive individual burden</w:t>
      </w:r>
      <w:r w:rsidRPr="000C0E58" w:rsidR="00443B6B">
        <w:rPr>
          <w:rFonts w:ascii="Times New Roman" w:hAnsi="Times New Roman" w:eastAsia="Times New Roman" w:cs="Times New Roman"/>
          <w:szCs w:val="24"/>
          <w:lang w:val="en-GB"/>
        </w:rPr>
        <w:t xml:space="preserve"> (see </w:t>
      </w:r>
      <w:r w:rsidRPr="000C0E58" w:rsidR="00443B6B">
        <w:rPr>
          <w:rFonts w:ascii="Times New Roman" w:hAnsi="Times New Roman" w:cs="Times New Roman"/>
          <w:i/>
          <w:szCs w:val="24"/>
          <w:lang w:val="en-GB"/>
        </w:rPr>
        <w:t>Kjartan Ásmundsson</w:t>
      </w:r>
      <w:r w:rsidRPr="000C0E58" w:rsidR="00443B6B">
        <w:rPr>
          <w:rFonts w:ascii="Times New Roman" w:hAnsi="Times New Roman" w:cs="Times New Roman"/>
          <w:szCs w:val="24"/>
          <w:lang w:val="en-GB"/>
        </w:rPr>
        <w:t xml:space="preserve">, </w:t>
      </w:r>
      <w:r w:rsidRPr="000C0E58" w:rsidR="00BC2C01">
        <w:rPr>
          <w:rFonts w:ascii="Times New Roman" w:hAnsi="Times New Roman" w:cs="Times New Roman"/>
          <w:szCs w:val="24"/>
          <w:lang w:val="en-GB"/>
        </w:rPr>
        <w:t xml:space="preserve">cited above, </w:t>
      </w:r>
      <w:r w:rsidRPr="000C0E58" w:rsidR="00443B6B">
        <w:rPr>
          <w:rFonts w:ascii="Times New Roman" w:hAnsi="Times New Roman" w:cs="Times New Roman"/>
          <w:szCs w:val="24"/>
          <w:lang w:val="en-GB"/>
        </w:rPr>
        <w:t>§ 45)</w:t>
      </w:r>
      <w:r w:rsidRPr="000C0E58">
        <w:rPr>
          <w:rFonts w:ascii="Times New Roman" w:hAnsi="Times New Roman" w:eastAsia="Times New Roman" w:cs="Times New Roman"/>
          <w:szCs w:val="24"/>
          <w:lang w:val="en-GB"/>
        </w:rPr>
        <w:t>, amounting to a violation of her rights under Article 1 of Protocol No. 1.</w:t>
      </w:r>
    </w:p>
    <w:p w:rsidRPr="000C0E58" w:rsidR="00061F43" w:rsidP="000C0E58">
      <w:pPr>
        <w:pStyle w:val="ECHRPara"/>
        <w:rPr>
          <w:rFonts w:ascii="Times New Roman" w:hAnsi="Times New Roman" w:eastAsia="Times New Roman" w:cs="Times New Roman"/>
          <w:szCs w:val="24"/>
          <w:lang w:val="en-GB"/>
        </w:rPr>
      </w:pPr>
      <w:r w:rsidRPr="000C0E58">
        <w:rPr>
          <w:rFonts w:ascii="Times New Roman" w:hAnsi="Times New Roman" w:eastAsia="Times New Roman" w:cs="Times New Roman"/>
          <w:szCs w:val="24"/>
          <w:lang w:val="en-GB"/>
        </w:rPr>
        <w:fldChar w:fldCharType="begin"/>
      </w:r>
      <w:r w:rsidRPr="000C0E58">
        <w:rPr>
          <w:rFonts w:ascii="Times New Roman" w:hAnsi="Times New Roman" w:eastAsia="Times New Roman" w:cs="Times New Roman"/>
          <w:szCs w:val="24"/>
          <w:lang w:val="en-GB"/>
        </w:rPr>
        <w:instrText xml:space="preserve"> SEQ level0 \*arabic </w:instrText>
      </w:r>
      <w:r w:rsidRPr="000C0E58">
        <w:rPr>
          <w:rFonts w:ascii="Times New Roman" w:hAnsi="Times New Roman" w:eastAsia="Times New Roman" w:cs="Times New Roman"/>
          <w:szCs w:val="24"/>
          <w:lang w:val="en-GB"/>
        </w:rPr>
        <w:fldChar w:fldCharType="separate"/>
      </w:r>
      <w:r w:rsidRPr="000C0E58" w:rsidR="000C0E58">
        <w:rPr>
          <w:rFonts w:ascii="Times New Roman" w:hAnsi="Times New Roman" w:eastAsia="Times New Roman" w:cs="Times New Roman"/>
          <w:noProof/>
          <w:szCs w:val="24"/>
          <w:lang w:val="en-GB"/>
        </w:rPr>
        <w:t>127</w:t>
      </w:r>
      <w:r w:rsidRPr="000C0E58">
        <w:rPr>
          <w:rFonts w:ascii="Times New Roman" w:hAnsi="Times New Roman" w:eastAsia="Times New Roman" w:cs="Times New Roman"/>
          <w:szCs w:val="24"/>
          <w:lang w:val="en-GB"/>
        </w:rPr>
        <w:fldChar w:fldCharType="end"/>
      </w:r>
      <w:r w:rsidRPr="000C0E58">
        <w:rPr>
          <w:rFonts w:ascii="Times New Roman" w:hAnsi="Times New Roman" w:eastAsia="Times New Roman" w:cs="Times New Roman"/>
          <w:szCs w:val="24"/>
          <w:lang w:val="en-GB"/>
        </w:rPr>
        <w:t>.  </w:t>
      </w:r>
      <w:r w:rsidRPr="000C0E58" w:rsidR="00B02E4E">
        <w:rPr>
          <w:rFonts w:ascii="Times New Roman" w:hAnsi="Times New Roman" w:eastAsia="Times New Roman" w:cs="Times New Roman"/>
          <w:szCs w:val="24"/>
          <w:lang w:val="en-GB"/>
        </w:rPr>
        <w:t xml:space="preserve">Having reached this conclusion, there is no cause for the Court to consider </w:t>
      </w:r>
      <w:r w:rsidRPr="000C0E58">
        <w:rPr>
          <w:rFonts w:ascii="Times New Roman" w:hAnsi="Times New Roman" w:eastAsia="Times New Roman" w:cs="Times New Roman"/>
          <w:szCs w:val="24"/>
          <w:lang w:val="en-GB"/>
        </w:rPr>
        <w:t>the applicant</w:t>
      </w:r>
      <w:r w:rsidRPr="000C0E58" w:rsidR="000C0E58">
        <w:rPr>
          <w:rFonts w:ascii="Times New Roman" w:hAnsi="Times New Roman" w:eastAsia="Times New Roman" w:cs="Times New Roman"/>
          <w:szCs w:val="24"/>
          <w:lang w:val="en-GB"/>
        </w:rPr>
        <w:t>’</w:t>
      </w:r>
      <w:r w:rsidRPr="000C0E58">
        <w:rPr>
          <w:rFonts w:ascii="Times New Roman" w:hAnsi="Times New Roman" w:eastAsia="Times New Roman" w:cs="Times New Roman"/>
          <w:szCs w:val="24"/>
          <w:lang w:val="en-GB"/>
        </w:rPr>
        <w:t xml:space="preserve">s alternative argument based on Article 8 </w:t>
      </w:r>
      <w:r w:rsidRPr="000C0E58" w:rsidR="001E70FA">
        <w:rPr>
          <w:rFonts w:ascii="Times New Roman" w:hAnsi="Times New Roman" w:eastAsia="Times New Roman" w:cs="Times New Roman"/>
          <w:szCs w:val="24"/>
          <w:lang w:val="en-GB"/>
        </w:rPr>
        <w:t xml:space="preserve">of the Convention </w:t>
      </w:r>
      <w:r w:rsidRPr="000C0E58">
        <w:rPr>
          <w:rFonts w:ascii="Times New Roman" w:hAnsi="Times New Roman" w:eastAsia="Times New Roman" w:cs="Times New Roman"/>
          <w:szCs w:val="24"/>
          <w:lang w:val="en-GB"/>
        </w:rPr>
        <w:t xml:space="preserve">(see paragraph </w:t>
      </w:r>
      <w:r w:rsidRPr="000C0E58" w:rsidR="00AE64D9">
        <w:rPr>
          <w:rFonts w:ascii="Times New Roman" w:hAnsi="Times New Roman" w:eastAsia="Times New Roman" w:cs="Times New Roman"/>
          <w:szCs w:val="24"/>
          <w:lang w:val="en-GB"/>
        </w:rPr>
        <w:t>59</w:t>
      </w:r>
      <w:r w:rsidRPr="000C0E58">
        <w:rPr>
          <w:rFonts w:ascii="Times New Roman" w:hAnsi="Times New Roman" w:eastAsia="Times New Roman" w:cs="Times New Roman"/>
          <w:szCs w:val="24"/>
          <w:lang w:val="en-GB"/>
        </w:rPr>
        <w:t xml:space="preserve"> above).</w:t>
      </w:r>
    </w:p>
    <w:p w:rsidRPr="000C0E58" w:rsidR="00061F43" w:rsidP="000C0E58">
      <w:pPr>
        <w:pStyle w:val="ECHRHeading1"/>
        <w:rPr>
          <w:lang w:val="en-GB"/>
        </w:rPr>
      </w:pPr>
      <w:r w:rsidRPr="000C0E58">
        <w:rPr>
          <w:lang w:val="en-GB"/>
        </w:rPr>
        <w:t>II.</w:t>
      </w:r>
      <w:r w:rsidRPr="000C0E58">
        <w:rPr>
          <w:lang w:val="en-GB"/>
        </w:rPr>
        <w:t>  APPLICATION</w:t>
      </w:r>
      <w:r w:rsidRPr="000C0E58">
        <w:rPr>
          <w:lang w:val="en-GB"/>
        </w:rPr>
        <w:t xml:space="preserve"> OF ARTICLE 41 OF THE CONVENTION</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128</w:t>
      </w:r>
      <w:r w:rsidRPr="000C0E58">
        <w:rPr>
          <w:lang w:val="en-GB"/>
        </w:rPr>
        <w:fldChar w:fldCharType="end"/>
      </w:r>
      <w:r w:rsidRPr="000C0E58">
        <w:rPr>
          <w:lang w:val="en-GB"/>
        </w:rPr>
        <w:t>.  Article 41 of the Convention provides:</w:t>
      </w:r>
    </w:p>
    <w:p w:rsidRPr="000C0E58" w:rsidR="00061F43" w:rsidP="000C0E58">
      <w:pPr>
        <w:pStyle w:val="ECHRParaQuote"/>
        <w:rPr>
          <w:lang w:val="en-GB"/>
        </w:rPr>
      </w:pPr>
      <w:r w:rsidRPr="000C0E58">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0C0E58" w:rsidR="00061F43" w:rsidP="000C0E58">
      <w:pPr>
        <w:pStyle w:val="ECHRHeading2"/>
        <w:keepLines w:val="0"/>
        <w:outlineLvl w:val="0"/>
        <w:rPr>
          <w:lang w:val="en-GB"/>
        </w:rPr>
      </w:pPr>
      <w:r w:rsidRPr="000C0E58">
        <w:rPr>
          <w:lang w:val="en-GB"/>
        </w:rPr>
        <w:t>A.  Damage</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129</w:t>
      </w:r>
      <w:r w:rsidRPr="000C0E58">
        <w:rPr>
          <w:lang w:val="en-GB"/>
        </w:rPr>
        <w:fldChar w:fldCharType="end"/>
      </w:r>
      <w:r w:rsidRPr="000C0E58">
        <w:rPr>
          <w:lang w:val="en-GB"/>
        </w:rPr>
        <w:t>.  The applicant claimed 13,185 euros (EUR) in respect of pecuniary damage</w:t>
      </w:r>
      <w:r w:rsidRPr="000C0E58" w:rsidR="006C4600">
        <w:rPr>
          <w:lang w:val="en-GB"/>
        </w:rPr>
        <w:t>,</w:t>
      </w:r>
      <w:r w:rsidRPr="000C0E58">
        <w:rPr>
          <w:lang w:val="en-GB"/>
        </w:rPr>
        <w:t xml:space="preserve"> which amount corresponds to 68 months</w:t>
      </w:r>
      <w:r w:rsidRPr="000C0E58" w:rsidR="000C0E58">
        <w:rPr>
          <w:lang w:val="en-GB"/>
        </w:rPr>
        <w:t>’</w:t>
      </w:r>
      <w:r w:rsidRPr="000C0E58">
        <w:rPr>
          <w:lang w:val="en-GB"/>
        </w:rPr>
        <w:t xml:space="preserve"> outstanding disability benefit. Moreover, she claimed EUR 6,000 in non-pecuniary damage.</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130</w:t>
      </w:r>
      <w:r w:rsidRPr="000C0E58">
        <w:rPr>
          <w:lang w:val="en-GB"/>
        </w:rPr>
        <w:fldChar w:fldCharType="end"/>
      </w:r>
      <w:r w:rsidRPr="000C0E58">
        <w:rPr>
          <w:lang w:val="en-GB"/>
        </w:rPr>
        <w:t>.  The Government contested these claims.</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131</w:t>
      </w:r>
      <w:r w:rsidRPr="000C0E58">
        <w:rPr>
          <w:lang w:val="en-GB"/>
        </w:rPr>
        <w:fldChar w:fldCharType="end"/>
      </w:r>
      <w:r w:rsidRPr="000C0E58">
        <w:rPr>
          <w:lang w:val="en-GB"/>
        </w:rPr>
        <w:t>.  The Court cannot speculate on the amount of disability benefit which would have been disbursed to the applicant had the violation not occurred. It therefore awards her a lump sum of EUR 10,000 in respect of the pecuniary damage sustained. Moreover, it considers that she must have suffered some non-pecuniary damage on account of the distress suffered and awards her, on the basis of equity, EUR 5,000 under this head.</w:t>
      </w:r>
    </w:p>
    <w:p w:rsidRPr="000C0E58" w:rsidR="00061F43" w:rsidP="000C0E58">
      <w:pPr>
        <w:pStyle w:val="ECHRHeading2"/>
        <w:outlineLvl w:val="0"/>
        <w:rPr>
          <w:lang w:val="en-GB"/>
        </w:rPr>
      </w:pPr>
      <w:r w:rsidRPr="000C0E58">
        <w:rPr>
          <w:lang w:val="en-GB"/>
        </w:rPr>
        <w:t>B.  Costs and expenses</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132</w:t>
      </w:r>
      <w:r w:rsidRPr="000C0E58">
        <w:rPr>
          <w:lang w:val="en-GB"/>
        </w:rPr>
        <w:fldChar w:fldCharType="end"/>
      </w:r>
      <w:r w:rsidRPr="000C0E58">
        <w:rPr>
          <w:lang w:val="en-GB"/>
        </w:rPr>
        <w:t>.  The applicant also claimed EUR 19,220</w:t>
      </w:r>
      <w:r w:rsidRPr="000C0E58" w:rsidR="006C4600">
        <w:rPr>
          <w:lang w:val="en-GB"/>
        </w:rPr>
        <w:t>,</w:t>
      </w:r>
      <w:r w:rsidRPr="000C0E58">
        <w:rPr>
          <w:lang w:val="en-GB"/>
        </w:rPr>
        <w:t xml:space="preserve"> inclu</w:t>
      </w:r>
      <w:r w:rsidRPr="000C0E58" w:rsidR="006C4600">
        <w:rPr>
          <w:lang w:val="en-GB"/>
        </w:rPr>
        <w:t xml:space="preserve">sive of </w:t>
      </w:r>
      <w:r w:rsidRPr="000C0E58" w:rsidR="006D1B98">
        <w:rPr>
          <w:lang w:val="en-GB"/>
        </w:rPr>
        <w:t>value-added tax (</w:t>
      </w:r>
      <w:r w:rsidRPr="000C0E58">
        <w:rPr>
          <w:lang w:val="en-GB"/>
        </w:rPr>
        <w:t>VAT</w:t>
      </w:r>
      <w:r w:rsidRPr="000C0E58" w:rsidR="006D1B98">
        <w:rPr>
          <w:lang w:val="en-GB"/>
        </w:rPr>
        <w:t>)</w:t>
      </w:r>
      <w:r w:rsidRPr="000C0E58">
        <w:rPr>
          <w:lang w:val="en-GB"/>
        </w:rPr>
        <w:t>, for the costs and expenses incurred before the Court. This sum corresponds to 121.5 hours of legal</w:t>
      </w:r>
      <w:r w:rsidRPr="000C0E58" w:rsidR="006C4600">
        <w:rPr>
          <w:lang w:val="en-GB"/>
        </w:rPr>
        <w:t xml:space="preserve"> work</w:t>
      </w:r>
      <w:r w:rsidRPr="000C0E58">
        <w:rPr>
          <w:lang w:val="en-GB"/>
        </w:rPr>
        <w:t xml:space="preserve"> and 19.9 hours of paralegal work</w:t>
      </w:r>
      <w:r w:rsidRPr="000C0E58" w:rsidR="006C4600">
        <w:rPr>
          <w:lang w:val="en-GB"/>
        </w:rPr>
        <w:t>,</w:t>
      </w:r>
      <w:r w:rsidRPr="000C0E58">
        <w:rPr>
          <w:lang w:val="en-GB"/>
        </w:rPr>
        <w:t xml:space="preserve"> bill</w:t>
      </w:r>
      <w:r w:rsidRPr="000C0E58" w:rsidR="006C4600">
        <w:rPr>
          <w:lang w:val="en-GB"/>
        </w:rPr>
        <w:t xml:space="preserve">ed </w:t>
      </w:r>
      <w:r w:rsidRPr="000C0E58">
        <w:rPr>
          <w:lang w:val="en-GB"/>
        </w:rPr>
        <w:t>by her lawyers and their staff at hourly fee</w:t>
      </w:r>
      <w:r w:rsidRPr="000C0E58" w:rsidR="006D1B98">
        <w:rPr>
          <w:lang w:val="en-GB"/>
        </w:rPr>
        <w:t>s</w:t>
      </w:r>
      <w:r w:rsidRPr="000C0E58">
        <w:rPr>
          <w:lang w:val="en-GB"/>
        </w:rPr>
        <w:t xml:space="preserve"> of EUR 150</w:t>
      </w:r>
      <w:r w:rsidRPr="000C0E58" w:rsidR="006C4600">
        <w:rPr>
          <w:lang w:val="en-GB"/>
        </w:rPr>
        <w:t xml:space="preserve"> (</w:t>
      </w:r>
      <w:r w:rsidRPr="000C0E58">
        <w:rPr>
          <w:lang w:val="en-GB"/>
        </w:rPr>
        <w:t>inclu</w:t>
      </w:r>
      <w:r w:rsidRPr="000C0E58" w:rsidR="006C4600">
        <w:rPr>
          <w:lang w:val="en-GB"/>
        </w:rPr>
        <w:t xml:space="preserve">sive of </w:t>
      </w:r>
      <w:r w:rsidRPr="000C0E58">
        <w:rPr>
          <w:lang w:val="en-GB"/>
        </w:rPr>
        <w:t>VAT</w:t>
      </w:r>
      <w:r w:rsidRPr="000C0E58" w:rsidR="006C4600">
        <w:rPr>
          <w:lang w:val="en-GB"/>
        </w:rPr>
        <w:t>)</w:t>
      </w:r>
      <w:r w:rsidRPr="000C0E58">
        <w:rPr>
          <w:lang w:val="en-GB"/>
        </w:rPr>
        <w:t xml:space="preserve"> for lawyers</w:t>
      </w:r>
      <w:r w:rsidRPr="000C0E58" w:rsidR="000C0E58">
        <w:rPr>
          <w:lang w:val="en-GB"/>
        </w:rPr>
        <w:t>’</w:t>
      </w:r>
      <w:r w:rsidRPr="000C0E58" w:rsidR="006C4600">
        <w:rPr>
          <w:lang w:val="en-GB"/>
        </w:rPr>
        <w:t xml:space="preserve"> fees</w:t>
      </w:r>
      <w:r w:rsidRPr="000C0E58">
        <w:rPr>
          <w:lang w:val="en-GB"/>
        </w:rPr>
        <w:t xml:space="preserve"> and EUR 50 </w:t>
      </w:r>
      <w:r w:rsidRPr="000C0E58" w:rsidR="006C4600">
        <w:rPr>
          <w:lang w:val="en-GB"/>
        </w:rPr>
        <w:t xml:space="preserve">(inclusive of </w:t>
      </w:r>
      <w:r w:rsidRPr="000C0E58">
        <w:rPr>
          <w:lang w:val="en-GB"/>
        </w:rPr>
        <w:t>VAT</w:t>
      </w:r>
      <w:r w:rsidRPr="000C0E58" w:rsidR="006C4600">
        <w:rPr>
          <w:lang w:val="en-GB"/>
        </w:rPr>
        <w:t>)</w:t>
      </w:r>
      <w:r w:rsidRPr="000C0E58">
        <w:rPr>
          <w:lang w:val="en-GB"/>
        </w:rPr>
        <w:t xml:space="preserve"> for </w:t>
      </w:r>
      <w:r w:rsidRPr="000C0E58" w:rsidR="006C4600">
        <w:rPr>
          <w:lang w:val="en-GB"/>
        </w:rPr>
        <w:t xml:space="preserve">the </w:t>
      </w:r>
      <w:r w:rsidRPr="000C0E58">
        <w:rPr>
          <w:lang w:val="en-GB"/>
        </w:rPr>
        <w:t>paralegals.</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133</w:t>
      </w:r>
      <w:r w:rsidRPr="000C0E58">
        <w:rPr>
          <w:lang w:val="en-GB"/>
        </w:rPr>
        <w:fldChar w:fldCharType="end"/>
      </w:r>
      <w:r w:rsidRPr="000C0E58">
        <w:rPr>
          <w:lang w:val="en-GB"/>
        </w:rPr>
        <w:t>.  The Government contested this claim.</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134</w:t>
      </w:r>
      <w:r w:rsidRPr="000C0E58">
        <w:rPr>
          <w:lang w:val="en-GB"/>
        </w:rPr>
        <w:fldChar w:fldCharType="end"/>
      </w:r>
      <w:r w:rsidRPr="000C0E58">
        <w:rPr>
          <w:lang w:val="en-GB"/>
        </w:rPr>
        <w:t>.  According to the Court</w:t>
      </w:r>
      <w:r w:rsidRPr="000C0E58" w:rsidR="000C0E58">
        <w:rPr>
          <w:lang w:val="en-GB"/>
        </w:rPr>
        <w:t>’</w:t>
      </w:r>
      <w:r w:rsidRPr="000C0E58">
        <w:rPr>
          <w:lang w:val="en-GB"/>
        </w:rPr>
        <w:t xml:space="preserve">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of EUR 15,000 covering </w:t>
      </w:r>
      <w:r w:rsidRPr="000C0E58" w:rsidR="0077664F">
        <w:rPr>
          <w:lang w:val="en-GB"/>
        </w:rPr>
        <w:t>costs under all heads, less EUR </w:t>
      </w:r>
      <w:r w:rsidRPr="000C0E58">
        <w:rPr>
          <w:lang w:val="en-GB"/>
        </w:rPr>
        <w:t>2,204.95</w:t>
      </w:r>
      <w:r w:rsidRPr="000C0E58" w:rsidR="006C4600">
        <w:rPr>
          <w:lang w:val="en-GB"/>
        </w:rPr>
        <w:t xml:space="preserve">, corresponding to </w:t>
      </w:r>
      <w:r w:rsidRPr="000C0E58">
        <w:rPr>
          <w:lang w:val="en-GB"/>
        </w:rPr>
        <w:t>the total amounts paid to the applicant</w:t>
      </w:r>
      <w:r w:rsidRPr="000C0E58" w:rsidR="000C0E58">
        <w:rPr>
          <w:lang w:val="en-GB"/>
        </w:rPr>
        <w:t>’</w:t>
      </w:r>
      <w:r w:rsidRPr="000C0E58">
        <w:rPr>
          <w:lang w:val="en-GB"/>
        </w:rPr>
        <w:t>s lawyers under the Council of Europe</w:t>
      </w:r>
      <w:r w:rsidRPr="000C0E58" w:rsidR="000C0E58">
        <w:rPr>
          <w:lang w:val="en-GB"/>
        </w:rPr>
        <w:t>’</w:t>
      </w:r>
      <w:r w:rsidRPr="000C0E58">
        <w:rPr>
          <w:lang w:val="en-GB"/>
        </w:rPr>
        <w:t>s legal</w:t>
      </w:r>
      <w:r w:rsidRPr="000C0E58" w:rsidR="006C4600">
        <w:rPr>
          <w:lang w:val="en-GB"/>
        </w:rPr>
        <w:t>-</w:t>
      </w:r>
      <w:r w:rsidRPr="000C0E58">
        <w:rPr>
          <w:lang w:val="en-GB"/>
        </w:rPr>
        <w:t xml:space="preserve">aid scheme </w:t>
      </w:r>
      <w:r w:rsidRPr="000C0E58" w:rsidR="006C4600">
        <w:rPr>
          <w:lang w:val="en-GB"/>
        </w:rPr>
        <w:t xml:space="preserve">with </w:t>
      </w:r>
      <w:r w:rsidRPr="000C0E58">
        <w:rPr>
          <w:lang w:val="en-GB"/>
        </w:rPr>
        <w:t>regard to the procedures before the Chamber and the Grand Chamber</w:t>
      </w:r>
      <w:r w:rsidRPr="000C0E58" w:rsidR="0024481A">
        <w:rPr>
          <w:lang w:val="en-GB"/>
        </w:rPr>
        <w:t xml:space="preserve">; the sum to be awarded is thus </w:t>
      </w:r>
      <w:r w:rsidRPr="000C0E58">
        <w:rPr>
          <w:lang w:val="en-GB"/>
        </w:rPr>
        <w:t>EUR</w:t>
      </w:r>
      <w:r w:rsidRPr="000C0E58" w:rsidR="006C4600">
        <w:rPr>
          <w:lang w:val="en-GB"/>
        </w:rPr>
        <w:t> </w:t>
      </w:r>
      <w:r w:rsidRPr="000C0E58">
        <w:rPr>
          <w:lang w:val="en-GB"/>
        </w:rPr>
        <w:t>12,795.05.</w:t>
      </w:r>
    </w:p>
    <w:p w:rsidRPr="000C0E58" w:rsidR="00061F43" w:rsidP="000C0E58">
      <w:pPr>
        <w:pStyle w:val="ECHRHeading2"/>
        <w:outlineLvl w:val="0"/>
        <w:rPr>
          <w:lang w:val="en-GB"/>
        </w:rPr>
      </w:pPr>
      <w:r w:rsidRPr="000C0E58">
        <w:rPr>
          <w:lang w:val="en-GB"/>
        </w:rPr>
        <w:t>C.  Default interest</w:t>
      </w:r>
    </w:p>
    <w:p w:rsidRPr="000C0E58" w:rsidR="00061F43" w:rsidP="000C0E58">
      <w:pPr>
        <w:pStyle w:val="ECHRPara"/>
        <w:rPr>
          <w:lang w:val="en-GB"/>
        </w:rPr>
      </w:pPr>
      <w:r w:rsidRPr="000C0E58">
        <w:rPr>
          <w:lang w:val="en-GB"/>
        </w:rPr>
        <w:fldChar w:fldCharType="begin"/>
      </w:r>
      <w:r w:rsidRPr="000C0E58">
        <w:rPr>
          <w:lang w:val="en-GB"/>
        </w:rPr>
        <w:instrText xml:space="preserve"> SEQ level0 \*arabic </w:instrText>
      </w:r>
      <w:r w:rsidRPr="000C0E58">
        <w:rPr>
          <w:lang w:val="en-GB"/>
        </w:rPr>
        <w:fldChar w:fldCharType="separate"/>
      </w:r>
      <w:r w:rsidRPr="000C0E58" w:rsidR="000C0E58">
        <w:rPr>
          <w:noProof/>
          <w:lang w:val="en-GB"/>
        </w:rPr>
        <w:t>135</w:t>
      </w:r>
      <w:r w:rsidRPr="000C0E58">
        <w:rPr>
          <w:lang w:val="en-GB"/>
        </w:rPr>
        <w:fldChar w:fldCharType="end"/>
      </w:r>
      <w:r w:rsidRPr="000C0E58">
        <w:rPr>
          <w:lang w:val="en-GB"/>
        </w:rPr>
        <w:t>.  </w:t>
      </w:r>
      <w:r w:rsidRPr="000C0E58">
        <w:rPr>
          <w:lang w:val="en-GB"/>
        </w:rPr>
        <w:t>The Court considers it appropriate that the default interest rate should be based on the marginal lending rate of the European Central Bank, to which should be added three percentage points.</w:t>
      </w:r>
    </w:p>
    <w:p w:rsidRPr="000C0E58" w:rsidR="00061F43" w:rsidP="000C0E58">
      <w:pPr>
        <w:pStyle w:val="ECHRTitle1"/>
        <w:rPr>
          <w:lang w:val="en-GB"/>
        </w:rPr>
      </w:pPr>
      <w:r w:rsidRPr="000C0E58">
        <w:rPr>
          <w:lang w:val="en-GB"/>
        </w:rPr>
        <w:t>FOR THESE REASONS, THE COURT</w:t>
      </w:r>
      <w:r w:rsidRPr="000C0E58" w:rsidR="007266A9">
        <w:rPr>
          <w:lang w:val="en-GB"/>
        </w:rPr>
        <w:t>,</w:t>
      </w:r>
    </w:p>
    <w:p w:rsidRPr="000C0E58" w:rsidR="001B7A0E" w:rsidP="000C0E58">
      <w:pPr>
        <w:pStyle w:val="JuList"/>
        <w:rPr>
          <w:lang w:val="en-GB"/>
        </w:rPr>
      </w:pPr>
      <w:r w:rsidRPr="000C0E58">
        <w:rPr>
          <w:lang w:val="en-GB"/>
        </w:rPr>
        <w:t>1.  </w:t>
      </w:r>
      <w:r w:rsidRPr="000C0E58">
        <w:rPr>
          <w:i/>
          <w:lang w:val="en-GB"/>
        </w:rPr>
        <w:t>Joins to the merits</w:t>
      </w:r>
      <w:r w:rsidRPr="000C0E58" w:rsidR="007266A9">
        <w:rPr>
          <w:lang w:val="en-GB"/>
        </w:rPr>
        <w:t xml:space="preserve">, </w:t>
      </w:r>
      <w:r w:rsidRPr="000C0E58">
        <w:rPr>
          <w:lang w:val="en-GB"/>
        </w:rPr>
        <w:t>unanimously,</w:t>
      </w:r>
      <w:r w:rsidRPr="000C0E58">
        <w:rPr>
          <w:color w:val="000000"/>
          <w:lang w:val="en-GB"/>
        </w:rPr>
        <w:t xml:space="preserve"> </w:t>
      </w:r>
      <w:r w:rsidRPr="000C0E58">
        <w:rPr>
          <w:lang w:val="en-GB"/>
        </w:rPr>
        <w:t>the Government</w:t>
      </w:r>
      <w:r w:rsidRPr="000C0E58" w:rsidR="000C0E58">
        <w:rPr>
          <w:lang w:val="en-GB"/>
        </w:rPr>
        <w:t>’</w:t>
      </w:r>
      <w:r w:rsidRPr="000C0E58">
        <w:rPr>
          <w:lang w:val="en-GB"/>
        </w:rPr>
        <w:t>s preliminary objection;</w:t>
      </w:r>
    </w:p>
    <w:p w:rsidRPr="000C0E58" w:rsidR="00553A0D" w:rsidP="000C0E58">
      <w:pPr>
        <w:pStyle w:val="JuList"/>
        <w:rPr>
          <w:lang w:val="en-GB"/>
        </w:rPr>
      </w:pPr>
    </w:p>
    <w:p w:rsidRPr="000C0E58" w:rsidR="001B7A0E" w:rsidP="000C0E58">
      <w:pPr>
        <w:pStyle w:val="JuList"/>
        <w:rPr>
          <w:lang w:val="en-GB"/>
        </w:rPr>
      </w:pPr>
      <w:r w:rsidRPr="000C0E58">
        <w:rPr>
          <w:lang w:val="en-GB"/>
        </w:rPr>
        <w:t>2.  </w:t>
      </w:r>
      <w:r w:rsidRPr="000C0E58">
        <w:rPr>
          <w:i/>
          <w:lang w:val="en-GB"/>
        </w:rPr>
        <w:t>Holds</w:t>
      </w:r>
      <w:r w:rsidRPr="000C0E58">
        <w:rPr>
          <w:lang w:val="en-GB"/>
        </w:rPr>
        <w:t xml:space="preserve">, by </w:t>
      </w:r>
      <w:r w:rsidRPr="000C0E58" w:rsidR="007266A9">
        <w:rPr>
          <w:lang w:val="en-GB"/>
        </w:rPr>
        <w:t>nine</w:t>
      </w:r>
      <w:r w:rsidRPr="000C0E58">
        <w:rPr>
          <w:lang w:val="en-GB"/>
        </w:rPr>
        <w:t xml:space="preserve"> votes to </w:t>
      </w:r>
      <w:r w:rsidRPr="000C0E58" w:rsidR="007266A9">
        <w:rPr>
          <w:lang w:val="en-GB"/>
        </w:rPr>
        <w:t>eight,</w:t>
      </w:r>
      <w:r w:rsidRPr="000C0E58">
        <w:rPr>
          <w:color w:val="000000"/>
          <w:lang w:val="en-GB"/>
        </w:rPr>
        <w:t xml:space="preserve"> </w:t>
      </w:r>
      <w:r w:rsidRPr="000C0E58">
        <w:rPr>
          <w:lang w:val="en-GB"/>
        </w:rPr>
        <w:t>that Article 1 of Protocol No. 1 to the Convention is applicable</w:t>
      </w:r>
      <w:r w:rsidRPr="000C0E58" w:rsidR="001B23A8">
        <w:rPr>
          <w:lang w:val="en-GB"/>
        </w:rPr>
        <w:t xml:space="preserve"> and therefore dismisses the Government</w:t>
      </w:r>
      <w:r w:rsidRPr="000C0E58" w:rsidR="000C0E58">
        <w:rPr>
          <w:lang w:val="en-GB"/>
        </w:rPr>
        <w:t>’</w:t>
      </w:r>
      <w:r w:rsidRPr="000C0E58" w:rsidR="001B23A8">
        <w:rPr>
          <w:lang w:val="en-GB"/>
        </w:rPr>
        <w:t>s preliminary objection</w:t>
      </w:r>
      <w:r w:rsidRPr="000C0E58">
        <w:rPr>
          <w:lang w:val="en-GB"/>
        </w:rPr>
        <w:t>;</w:t>
      </w:r>
    </w:p>
    <w:p w:rsidRPr="000C0E58" w:rsidR="001B7A0E" w:rsidP="000C0E58">
      <w:pPr>
        <w:pStyle w:val="JuList"/>
        <w:rPr>
          <w:lang w:val="en-GB"/>
        </w:rPr>
      </w:pPr>
    </w:p>
    <w:p w:rsidRPr="000C0E58" w:rsidR="00061F43" w:rsidP="000C0E58">
      <w:pPr>
        <w:pStyle w:val="JuList"/>
        <w:rPr>
          <w:lang w:val="en-GB"/>
        </w:rPr>
      </w:pPr>
      <w:r w:rsidRPr="000C0E58">
        <w:rPr>
          <w:lang w:val="en-GB"/>
        </w:rPr>
        <w:t>3</w:t>
      </w:r>
      <w:r w:rsidRPr="000C0E58">
        <w:rPr>
          <w:lang w:val="en-GB"/>
        </w:rPr>
        <w:t>.  </w:t>
      </w:r>
      <w:r w:rsidRPr="000C0E58">
        <w:rPr>
          <w:i/>
          <w:lang w:val="en-GB"/>
        </w:rPr>
        <w:t>Holds</w:t>
      </w:r>
      <w:r w:rsidRPr="000C0E58">
        <w:rPr>
          <w:lang w:val="en-GB"/>
        </w:rPr>
        <w:t>,</w:t>
      </w:r>
      <w:r w:rsidRPr="000C0E58" w:rsidR="007266A9">
        <w:rPr>
          <w:lang w:val="en-GB"/>
        </w:rPr>
        <w:t xml:space="preserve"> by nine votes to eight,</w:t>
      </w:r>
      <w:r w:rsidRPr="000C0E58">
        <w:rPr>
          <w:color w:val="000000"/>
          <w:lang w:val="en-GB"/>
        </w:rPr>
        <w:t xml:space="preserve"> </w:t>
      </w:r>
      <w:r w:rsidRPr="000C0E58">
        <w:rPr>
          <w:lang w:val="en-GB"/>
        </w:rPr>
        <w:t>that there has been a violation of Art</w:t>
      </w:r>
      <w:r w:rsidRPr="000C0E58" w:rsidR="00D50E2E">
        <w:rPr>
          <w:lang w:val="en-GB"/>
        </w:rPr>
        <w:t>icle </w:t>
      </w:r>
      <w:r w:rsidRPr="000C0E58">
        <w:rPr>
          <w:lang w:val="en-GB"/>
        </w:rPr>
        <w:t>1 of Protocol No. 1 to the Convention;</w:t>
      </w:r>
    </w:p>
    <w:p w:rsidRPr="000C0E58" w:rsidR="00061F43" w:rsidP="000C0E58">
      <w:pPr>
        <w:pStyle w:val="JuList"/>
        <w:rPr>
          <w:lang w:val="en-GB"/>
        </w:rPr>
      </w:pPr>
    </w:p>
    <w:p w:rsidRPr="000C0E58" w:rsidR="00061F43" w:rsidP="000C0E58">
      <w:pPr>
        <w:pStyle w:val="JuList"/>
        <w:rPr>
          <w:lang w:val="en-GB"/>
        </w:rPr>
      </w:pPr>
      <w:r w:rsidRPr="000C0E58">
        <w:rPr>
          <w:lang w:val="en-GB"/>
        </w:rPr>
        <w:t>4</w:t>
      </w:r>
      <w:r w:rsidRPr="000C0E58">
        <w:rPr>
          <w:lang w:val="en-GB"/>
        </w:rPr>
        <w:t>.  </w:t>
      </w:r>
      <w:r w:rsidRPr="000C0E58">
        <w:rPr>
          <w:i/>
          <w:lang w:val="en-GB"/>
        </w:rPr>
        <w:t>Holds</w:t>
      </w:r>
      <w:r w:rsidRPr="000C0E58" w:rsidR="007266A9">
        <w:rPr>
          <w:lang w:val="en-GB"/>
        </w:rPr>
        <w:t>, by nine votes to eight,</w:t>
      </w:r>
    </w:p>
    <w:p w:rsidRPr="000C0E58" w:rsidR="00061F43" w:rsidP="000C0E58">
      <w:pPr>
        <w:pStyle w:val="JuLista"/>
        <w:rPr>
          <w:lang w:val="en-GB"/>
        </w:rPr>
      </w:pPr>
      <w:r w:rsidRPr="000C0E58">
        <w:rPr>
          <w:lang w:val="en-GB"/>
        </w:rPr>
        <w:t>(a)  that the respondent State is to pay the applicant</w:t>
      </w:r>
      <w:r w:rsidRPr="000C0E58" w:rsidR="00845BD3">
        <w:rPr>
          <w:lang w:val="en-GB"/>
        </w:rPr>
        <w:t>, within three months,</w:t>
      </w:r>
      <w:r w:rsidRPr="000C0E58" w:rsidR="0024481A">
        <w:rPr>
          <w:lang w:val="en-GB"/>
        </w:rPr>
        <w:t xml:space="preserve"> </w:t>
      </w:r>
      <w:r w:rsidRPr="000C0E58">
        <w:rPr>
          <w:lang w:val="en-GB"/>
        </w:rPr>
        <w:t xml:space="preserve">the following amounts, to be converted into </w:t>
      </w:r>
      <w:r w:rsidRPr="000C0E58">
        <w:rPr>
          <w:color w:val="000000"/>
          <w:lang w:val="en-GB"/>
        </w:rPr>
        <w:t xml:space="preserve">the currency of the respondent State </w:t>
      </w:r>
      <w:r w:rsidRPr="000C0E58">
        <w:rPr>
          <w:lang w:val="en-GB"/>
        </w:rPr>
        <w:t>at the rate applicable at the date of settlement:</w:t>
      </w:r>
    </w:p>
    <w:p w:rsidRPr="000C0E58" w:rsidR="00061F43" w:rsidP="000C0E58">
      <w:pPr>
        <w:pStyle w:val="JuListi"/>
        <w:rPr>
          <w:lang w:val="en-GB"/>
        </w:rPr>
      </w:pPr>
      <w:r w:rsidRPr="000C0E58">
        <w:rPr>
          <w:lang w:val="en-GB"/>
        </w:rPr>
        <w:t>(i)  EUR 10,000 (ten thousand euros), plus any tax that may be chargeable, in respect of pecuniary damage;</w:t>
      </w:r>
    </w:p>
    <w:p w:rsidRPr="000C0E58" w:rsidR="00061F43" w:rsidP="000C0E58">
      <w:pPr>
        <w:pStyle w:val="JuListi"/>
        <w:rPr>
          <w:lang w:val="en-GB"/>
        </w:rPr>
      </w:pPr>
      <w:r w:rsidRPr="000C0E58">
        <w:rPr>
          <w:lang w:val="en-GB"/>
        </w:rPr>
        <w:t>(ii)  EUR 5,000 (five thousand euros), plus any tax that may be chargeable, in respect of non-pecuniary damage;</w:t>
      </w:r>
    </w:p>
    <w:p w:rsidRPr="000C0E58" w:rsidR="00061F43" w:rsidP="000C0E58">
      <w:pPr>
        <w:pStyle w:val="JuListi"/>
        <w:rPr>
          <w:lang w:val="en-GB"/>
        </w:rPr>
      </w:pPr>
      <w:r w:rsidRPr="000C0E58">
        <w:rPr>
          <w:lang w:val="en-GB"/>
        </w:rPr>
        <w:t xml:space="preserve">(iii)  EUR 12,795.05 (twelve thousand seven hundred and ninety-five euros and 5 cents), </w:t>
      </w:r>
      <w:r w:rsidRPr="000C0E58" w:rsidR="00845BD3">
        <w:rPr>
          <w:lang w:val="en-GB"/>
        </w:rPr>
        <w:t xml:space="preserve">inclusive of </w:t>
      </w:r>
      <w:r w:rsidRPr="000C0E58">
        <w:rPr>
          <w:lang w:val="en-GB"/>
        </w:rPr>
        <w:t>any tax that may be chargeable to the applicant, in respect of costs and expenses;</w:t>
      </w:r>
    </w:p>
    <w:p w:rsidRPr="000C0E58" w:rsidR="00061F43" w:rsidP="000C0E58">
      <w:pPr>
        <w:pStyle w:val="JuLista"/>
        <w:rPr>
          <w:lang w:val="en-GB"/>
        </w:rPr>
      </w:pPr>
      <w:r w:rsidRPr="000C0E58">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0C0E58" w:rsidR="00061F43" w:rsidP="000C0E58">
      <w:pPr>
        <w:pStyle w:val="JuList"/>
        <w:rPr>
          <w:lang w:val="en-GB"/>
        </w:rPr>
      </w:pPr>
    </w:p>
    <w:p w:rsidRPr="000C0E58" w:rsidR="00061F43" w:rsidP="000C0E58">
      <w:pPr>
        <w:pStyle w:val="JuList"/>
        <w:rPr>
          <w:lang w:val="en-GB"/>
        </w:rPr>
      </w:pPr>
      <w:r w:rsidRPr="000C0E58">
        <w:rPr>
          <w:lang w:val="en-GB"/>
        </w:rPr>
        <w:t>5</w:t>
      </w:r>
      <w:r w:rsidRPr="000C0E58">
        <w:rPr>
          <w:lang w:val="en-GB"/>
        </w:rPr>
        <w:t>.  </w:t>
      </w:r>
      <w:r w:rsidRPr="000C0E58">
        <w:rPr>
          <w:i/>
          <w:lang w:val="en-GB"/>
        </w:rPr>
        <w:t>Dismisses</w:t>
      </w:r>
      <w:r w:rsidRPr="000C0E58">
        <w:rPr>
          <w:lang w:val="en-GB"/>
        </w:rPr>
        <w:t>, unanimously,</w:t>
      </w:r>
      <w:r w:rsidRPr="000C0E58">
        <w:rPr>
          <w:color w:val="000000"/>
          <w:lang w:val="en-GB"/>
        </w:rPr>
        <w:t xml:space="preserve"> </w:t>
      </w:r>
      <w:r w:rsidRPr="000C0E58">
        <w:rPr>
          <w:lang w:val="en-GB"/>
        </w:rPr>
        <w:t>the remainder of the applicant</w:t>
      </w:r>
      <w:r w:rsidRPr="000C0E58" w:rsidR="000C0E58">
        <w:rPr>
          <w:lang w:val="en-GB"/>
        </w:rPr>
        <w:t>’</w:t>
      </w:r>
      <w:r w:rsidRPr="000C0E58">
        <w:rPr>
          <w:lang w:val="en-GB"/>
        </w:rPr>
        <w:t>s claim for just satisfaction.</w:t>
      </w:r>
    </w:p>
    <w:p w:rsidRPr="000C0E58" w:rsidR="00061F43" w:rsidP="000C0E58">
      <w:pPr>
        <w:pStyle w:val="JuParaLast"/>
        <w:rPr>
          <w:lang w:val="en-GB"/>
        </w:rPr>
      </w:pPr>
      <w:r w:rsidRPr="000C0E58">
        <w:rPr>
          <w:lang w:val="en-GB"/>
        </w:rPr>
        <w:t>Done in English</w:t>
      </w:r>
      <w:r w:rsidRPr="000C0E58" w:rsidR="003E5E22">
        <w:rPr>
          <w:lang w:val="en-GB"/>
        </w:rPr>
        <w:t xml:space="preserve"> and in French</w:t>
      </w:r>
      <w:r w:rsidRPr="000C0E58">
        <w:rPr>
          <w:lang w:val="en-GB"/>
        </w:rPr>
        <w:t xml:space="preserve">, and </w:t>
      </w:r>
      <w:r w:rsidRPr="000C0E58" w:rsidR="00892CE1">
        <w:rPr>
          <w:lang w:val="en-GB"/>
        </w:rPr>
        <w:t>deliver</w:t>
      </w:r>
      <w:r w:rsidRPr="000C0E58" w:rsidR="00BC767D">
        <w:rPr>
          <w:lang w:val="en-GB"/>
        </w:rPr>
        <w:t>ed at a public hearing i</w:t>
      </w:r>
      <w:r w:rsidRPr="000C0E58" w:rsidR="00892CE1">
        <w:rPr>
          <w:lang w:val="en-GB"/>
        </w:rPr>
        <w:t>n the Human Rights Building, Strasbourg</w:t>
      </w:r>
      <w:r w:rsidRPr="000C0E58" w:rsidR="009F44DD">
        <w:rPr>
          <w:lang w:val="en-GB"/>
        </w:rPr>
        <w:t>,</w:t>
      </w:r>
      <w:r w:rsidRPr="000C0E58" w:rsidR="00892CE1">
        <w:rPr>
          <w:lang w:val="en-GB"/>
        </w:rPr>
        <w:t xml:space="preserve"> </w:t>
      </w:r>
      <w:r w:rsidRPr="000C0E58">
        <w:rPr>
          <w:lang w:val="en-GB"/>
        </w:rPr>
        <w:t xml:space="preserve">on </w:t>
      </w:r>
      <w:r w:rsidRPr="000C0E58" w:rsidR="001B2F65">
        <w:rPr>
          <w:lang w:val="en-GB"/>
        </w:rPr>
        <w:t>13 December 2016</w:t>
      </w:r>
      <w:r w:rsidRPr="000C0E58">
        <w:rPr>
          <w:lang w:val="en-GB"/>
        </w:rPr>
        <w:t>.</w:t>
      </w:r>
    </w:p>
    <w:p w:rsidRPr="000C0E58" w:rsidR="00061F43" w:rsidP="000C0E58">
      <w:pPr>
        <w:pStyle w:val="JuSigned"/>
        <w:rPr>
          <w:lang w:val="en-GB"/>
        </w:rPr>
      </w:pPr>
      <w:r w:rsidRPr="000C0E58">
        <w:rPr>
          <w:lang w:val="en-GB"/>
        </w:rPr>
        <w:tab/>
      </w:r>
      <w:r w:rsidRPr="000C0E58" w:rsidR="007266A9">
        <w:rPr>
          <w:lang w:val="en-GB"/>
        </w:rPr>
        <w:t>S</w:t>
      </w:r>
      <w:r w:rsidRPr="000C0E58" w:rsidR="007266A9">
        <w:rPr>
          <w:rFonts w:cstheme="minorHAnsi"/>
          <w:lang w:val="en-GB"/>
        </w:rPr>
        <w:t>ø</w:t>
      </w:r>
      <w:r w:rsidRPr="000C0E58" w:rsidR="007266A9">
        <w:rPr>
          <w:lang w:val="en-GB"/>
        </w:rPr>
        <w:t>ren Prebensen</w:t>
      </w:r>
      <w:r w:rsidRPr="000C0E58">
        <w:rPr>
          <w:lang w:val="en-GB"/>
        </w:rPr>
        <w:tab/>
      </w:r>
      <w:r w:rsidRPr="000C0E58">
        <w:rPr>
          <w:szCs w:val="24"/>
          <w:lang w:val="en-GB"/>
        </w:rPr>
        <w:t>Guido Raimondi</w:t>
      </w:r>
      <w:r w:rsidRPr="000C0E58">
        <w:rPr>
          <w:szCs w:val="24"/>
          <w:lang w:val="en-GB"/>
        </w:rPr>
        <w:br/>
      </w:r>
      <w:r w:rsidRPr="000C0E58">
        <w:rPr>
          <w:lang w:val="en-GB"/>
        </w:rPr>
        <w:tab/>
      </w:r>
      <w:r w:rsidRPr="000C0E58" w:rsidR="007266A9">
        <w:rPr>
          <w:lang w:val="en-GB"/>
        </w:rPr>
        <w:t xml:space="preserve">Deputy </w:t>
      </w:r>
      <w:r w:rsidRPr="000C0E58" w:rsidR="0097797C">
        <w:rPr>
          <w:lang w:val="en-GB"/>
        </w:rPr>
        <w:t xml:space="preserve">to the </w:t>
      </w:r>
      <w:r w:rsidRPr="000C0E58">
        <w:rPr>
          <w:iCs/>
          <w:lang w:val="en-GB"/>
        </w:rPr>
        <w:t>Registrar</w:t>
      </w:r>
      <w:r w:rsidRPr="000C0E58">
        <w:rPr>
          <w:lang w:val="en-GB"/>
        </w:rPr>
        <w:tab/>
        <w:t>President</w:t>
      </w:r>
    </w:p>
    <w:p w:rsidRPr="000C0E58" w:rsidR="000F204D" w:rsidP="000C0E58">
      <w:pPr>
        <w:rPr>
          <w:lang w:val="en-GB"/>
        </w:rPr>
      </w:pPr>
    </w:p>
    <w:p w:rsidRPr="000C0E58" w:rsidR="00964742" w:rsidP="000C0E58">
      <w:pPr>
        <w:pStyle w:val="JuParaLast"/>
      </w:pPr>
      <w:r w:rsidRPr="000C0E58">
        <w:t>In accordance with Article 45 § 2 of the Convention and Rule 74 § 2 of the Rules of Court, the following separate opinions are annexed to this judgment:</w:t>
      </w:r>
    </w:p>
    <w:p w:rsidRPr="000C0E58" w:rsidR="00964742" w:rsidP="000C0E58">
      <w:pPr>
        <w:pStyle w:val="ECHRPara"/>
      </w:pPr>
      <w:r w:rsidRPr="000C0E58">
        <w:t>(a)  </w:t>
      </w:r>
      <w:r w:rsidRPr="000C0E58">
        <w:t>concurring</w:t>
      </w:r>
      <w:r w:rsidRPr="000C0E58">
        <w:t xml:space="preserve"> opinion of Judge Wojtyczek;</w:t>
      </w:r>
    </w:p>
    <w:p w:rsidRPr="000C0E58" w:rsidR="00964742" w:rsidP="000C0E58">
      <w:pPr>
        <w:pStyle w:val="ECHRPara"/>
      </w:pPr>
      <w:r w:rsidRPr="000C0E58">
        <w:t>(b)  </w:t>
      </w:r>
      <w:r w:rsidRPr="000C0E58">
        <w:t>joint</w:t>
      </w:r>
      <w:r w:rsidRPr="000C0E58">
        <w:t xml:space="preserve"> dissenting opinion of Judges Nußberger, Hirvelä, Bianku, Yudkivska, Møse, Lemmens and O</w:t>
      </w:r>
      <w:r w:rsidRPr="000C0E58" w:rsidR="000C0E58">
        <w:t>’</w:t>
      </w:r>
      <w:r w:rsidRPr="000C0E58">
        <w:t>Leary.</w:t>
      </w:r>
    </w:p>
    <w:p w:rsidRPr="000C0E58" w:rsidR="00964742" w:rsidP="000C0E58">
      <w:pPr>
        <w:pStyle w:val="JuInitialled"/>
      </w:pPr>
      <w:r w:rsidRPr="000C0E58">
        <w:t>G.R</w:t>
      </w:r>
      <w:r w:rsidRPr="000C0E58">
        <w:t>.</w:t>
      </w:r>
      <w:r w:rsidRPr="000C0E58">
        <w:br/>
      </w:r>
      <w:r w:rsidRPr="000C0E58" w:rsidR="00504B19">
        <w:t>S.C.P.</w:t>
      </w:r>
    </w:p>
    <w:p w:rsidRPr="000C0E58" w:rsidR="004D15F3" w:rsidP="000C0E58">
      <w:pPr>
        <w:rPr>
          <w:lang w:val="en-GB"/>
        </w:rPr>
      </w:pPr>
    </w:p>
    <w:p w:rsidRPr="000C0E58" w:rsidR="00484285" w:rsidP="000C0E58">
      <w:pPr>
        <w:rPr>
          <w:lang w:val="en-GB"/>
        </w:rPr>
      </w:pPr>
    </w:p>
    <w:p w:rsidRPr="000C0E58" w:rsidR="00484285" w:rsidP="000C0E58">
      <w:pPr>
        <w:rPr>
          <w:lang w:val="en-GB"/>
        </w:rPr>
      </w:pPr>
    </w:p>
    <w:p w:rsidRPr="000C0E58" w:rsidR="002C3035" w:rsidP="000C0E58">
      <w:pPr>
        <w:pStyle w:val="ECHRTitleCentre1"/>
        <w:rPr>
          <w:rFonts w:eastAsia="Times New Roman"/>
          <w:lang w:val="en-GB"/>
        </w:rPr>
        <w:sectPr w:rsidSect="00D97B1A">
          <w:headerReference w:type="even" r:id="rId12"/>
          <w:headerReference w:type="default" r:id="rId13"/>
          <w:footnotePr>
            <w:numRestart w:val="eachSect"/>
          </w:footnotePr>
          <w:pgSz w:w="11906" w:h="16838" w:code="9"/>
          <w:pgMar w:top="2274" w:right="2274" w:bottom="2274" w:left="2274" w:header="1701" w:footer="720" w:gutter="0"/>
          <w:pgNumType w:start="1"/>
          <w:cols w:space="720"/>
          <w:docGrid w:linePitch="326"/>
        </w:sectPr>
      </w:pPr>
    </w:p>
    <w:p w:rsidRPr="000C0E58" w:rsidR="00484285" w:rsidP="000C0E58">
      <w:pPr>
        <w:pStyle w:val="ECHRTitleCentre1"/>
      </w:pPr>
      <w:r w:rsidRPr="000C0E58">
        <w:t>CONCURRING OPINION OF JUDGE WOJTYCZEK</w:t>
      </w:r>
    </w:p>
    <w:p w:rsidRPr="000C0E58" w:rsidR="00484285" w:rsidP="000C0E58">
      <w:pPr>
        <w:pStyle w:val="OpiPara"/>
        <w:rPr>
          <w:rFonts w:eastAsia="Times New Roman"/>
          <w:lang w:val="en-GB"/>
        </w:rPr>
      </w:pPr>
      <w:r w:rsidRPr="000C0E58">
        <w:rPr>
          <w:rFonts w:eastAsia="Times New Roman"/>
          <w:lang w:val="en-GB"/>
        </w:rPr>
        <w:fldChar w:fldCharType="begin"/>
      </w:r>
      <w:r w:rsidRPr="000C0E58">
        <w:rPr>
          <w:rFonts w:eastAsia="Times New Roman"/>
          <w:lang w:val="en-GB"/>
        </w:rPr>
        <w:instrText xml:space="preserve"> SEQ level0 \*arabic \r1 </w:instrText>
      </w:r>
      <w:r w:rsidRPr="000C0E58">
        <w:rPr>
          <w:rFonts w:eastAsia="Times New Roman"/>
          <w:lang w:val="en-GB"/>
        </w:rPr>
        <w:fldChar w:fldCharType="separate"/>
      </w:r>
      <w:r w:rsidRPr="000C0E58" w:rsidR="000C0E58">
        <w:rPr>
          <w:rFonts w:eastAsia="Times New Roman"/>
          <w:noProof/>
          <w:lang w:val="en-GB"/>
        </w:rPr>
        <w:t>1</w:t>
      </w:r>
      <w:r w:rsidRPr="000C0E58">
        <w:rPr>
          <w:rFonts w:eastAsia="Times New Roman"/>
          <w:lang w:val="en-GB"/>
        </w:rPr>
        <w:fldChar w:fldCharType="end"/>
      </w:r>
      <w:r w:rsidRPr="000C0E58">
        <w:rPr>
          <w:rFonts w:eastAsia="Times New Roman"/>
          <w:lang w:val="en-GB"/>
        </w:rPr>
        <w:t>.  </w:t>
      </w:r>
      <w:r w:rsidRPr="000C0E58">
        <w:rPr>
          <w:rFonts w:eastAsia="Times New Roman"/>
          <w:lang w:val="en-GB"/>
        </w:rPr>
        <w:t>I have voted for finding a violation of the Convention in the instant case; however, I respectfully disagree with the reasoning of the judgment. Equally, I subscribe to the way in which the minority opinion of eight judges has presented the existing case-law establishing the general principles pertaining to the protection of possessions under Article 1 of Protocol No. 1. Nonetheless, in the instant case I apply these general principles in a different manner to my colleagues in the minority. Moreover, the eight colleagues of the minority consider that those principles should be applied as they stand. In my view the established principles require certain additions and clarifications, which I shall attempt to expose below. In any event, the reasoning is founded upon principles firmly rejected by nine judges, which diminishes the authority of the judgment and its practical import.</w:t>
      </w:r>
    </w:p>
    <w:p w:rsidRPr="000C0E58" w:rsidR="00253B9D" w:rsidP="000C0E58">
      <w:pPr>
        <w:pStyle w:val="OpiPara"/>
        <w:rPr>
          <w:rFonts w:eastAsia="Times New Roman"/>
          <w:lang w:val="en-GB"/>
        </w:rPr>
      </w:pPr>
      <w:r w:rsidRPr="000C0E58">
        <w:rPr>
          <w:rFonts w:eastAsia="Times New Roman"/>
          <w:lang w:val="en-GB"/>
        </w:rPr>
        <w:fldChar w:fldCharType="begin"/>
      </w:r>
      <w:r w:rsidRPr="000C0E58">
        <w:rPr>
          <w:rFonts w:eastAsia="Times New Roman"/>
          <w:lang w:val="en-GB"/>
        </w:rPr>
        <w:instrText xml:space="preserve"> SEQ level0 \*arabic </w:instrText>
      </w:r>
      <w:r w:rsidRPr="000C0E58">
        <w:rPr>
          <w:rFonts w:eastAsia="Times New Roman"/>
          <w:lang w:val="en-GB"/>
        </w:rPr>
        <w:fldChar w:fldCharType="separate"/>
      </w:r>
      <w:r w:rsidRPr="000C0E58" w:rsidR="000C0E58">
        <w:rPr>
          <w:rFonts w:eastAsia="Times New Roman"/>
          <w:noProof/>
          <w:lang w:val="en-GB"/>
        </w:rPr>
        <w:t>2</w:t>
      </w:r>
      <w:r w:rsidRPr="000C0E58">
        <w:rPr>
          <w:rFonts w:eastAsia="Times New Roman"/>
          <w:lang w:val="en-GB"/>
        </w:rPr>
        <w:fldChar w:fldCharType="end"/>
      </w:r>
      <w:r w:rsidRPr="000C0E58">
        <w:rPr>
          <w:rFonts w:eastAsia="Times New Roman"/>
          <w:lang w:val="en-GB"/>
        </w:rPr>
        <w:t>.  </w:t>
      </w:r>
      <w:r w:rsidRPr="000C0E58" w:rsidR="00484285">
        <w:rPr>
          <w:rFonts w:eastAsia="Times New Roman"/>
          <w:lang w:val="en-GB"/>
        </w:rPr>
        <w:t>The Court</w:t>
      </w:r>
      <w:r w:rsidRPr="000C0E58" w:rsidR="000C0E58">
        <w:rPr>
          <w:rFonts w:eastAsia="Times New Roman"/>
          <w:lang w:val="en-GB"/>
        </w:rPr>
        <w:t>’</w:t>
      </w:r>
      <w:r w:rsidRPr="000C0E58" w:rsidR="00484285">
        <w:rPr>
          <w:rFonts w:eastAsia="Times New Roman"/>
          <w:lang w:val="en-GB"/>
        </w:rPr>
        <w:t>s existing case-law on legitimate expectations is difficult to understand, due to lack of precision and inconsistencies</w:t>
      </w:r>
      <w:r w:rsidRPr="000C0E58" w:rsidR="00484285">
        <w:rPr>
          <w:rFonts w:eastAsia="Times New Roman"/>
          <w:i/>
          <w:lang w:val="en-GB"/>
        </w:rPr>
        <w:t xml:space="preserve"> </w:t>
      </w:r>
      <w:r w:rsidRPr="000C0E58" w:rsidR="00484285">
        <w:rPr>
          <w:rFonts w:eastAsia="Times New Roman"/>
          <w:lang w:val="en-GB"/>
        </w:rPr>
        <w:t xml:space="preserve">(compare, for instance, the critical assessment made by M. Sigron, </w:t>
      </w:r>
      <w:r w:rsidRPr="000C0E58" w:rsidR="00484285">
        <w:rPr>
          <w:rFonts w:eastAsia="Times New Roman"/>
          <w:i/>
          <w:lang w:val="en-GB"/>
        </w:rPr>
        <w:t>Legitimate Expectations under Article 1 of Protocol No. 1 to the European Convention on Human Rights</w:t>
      </w:r>
      <w:r w:rsidRPr="000C0E58" w:rsidR="00484285">
        <w:rPr>
          <w:rFonts w:eastAsia="Times New Roman"/>
          <w:lang w:val="en-GB"/>
        </w:rPr>
        <w:t>, Cambridge-Antwerp-Por</w:t>
      </w:r>
      <w:r w:rsidRPr="000C0E58" w:rsidR="00166765">
        <w:rPr>
          <w:rFonts w:eastAsia="Times New Roman"/>
          <w:lang w:val="en-GB"/>
        </w:rPr>
        <w:t>tland: Intersentia 2014, pp. 96</w:t>
      </w:r>
      <w:r w:rsidRPr="000C0E58" w:rsidR="00166765">
        <w:rPr>
          <w:rFonts w:eastAsia="Times New Roman"/>
          <w:lang w:val="en-GB"/>
        </w:rPr>
        <w:noBreakHyphen/>
      </w:r>
      <w:r w:rsidRPr="000C0E58" w:rsidR="00484285">
        <w:rPr>
          <w:rFonts w:eastAsia="Times New Roman"/>
          <w:lang w:val="en-GB"/>
        </w:rPr>
        <w:t>97). I regret to say that the general principles as developed in the present judgment</w:t>
      </w:r>
      <w:r w:rsidRPr="000C0E58" w:rsidR="000C0E58">
        <w:rPr>
          <w:rFonts w:eastAsia="Times New Roman"/>
          <w:lang w:val="en-GB"/>
        </w:rPr>
        <w:t>’</w:t>
      </w:r>
      <w:r w:rsidRPr="000C0E58" w:rsidR="00484285">
        <w:rPr>
          <w:rFonts w:eastAsia="Times New Roman"/>
          <w:lang w:val="en-GB"/>
        </w:rPr>
        <w:t>s reasoning serve only to petrify the current state of confusion. In particular, the notion of legitimate expectations on which the reasoning is based appears vague and obscure, and its relationship with the notions of right, claim and legally protected interest is not clear.</w:t>
      </w:r>
    </w:p>
    <w:p w:rsidRPr="000C0E58" w:rsidR="00253B9D" w:rsidP="000C0E58">
      <w:pPr>
        <w:pStyle w:val="OpiPara"/>
        <w:rPr>
          <w:rFonts w:eastAsia="Times New Roman"/>
          <w:lang w:val="en-GB"/>
        </w:rPr>
      </w:pPr>
      <w:r w:rsidRPr="000C0E58">
        <w:rPr>
          <w:rFonts w:eastAsia="Times New Roman"/>
          <w:lang w:val="en-GB"/>
        </w:rPr>
        <w:fldChar w:fldCharType="begin"/>
      </w:r>
      <w:r w:rsidRPr="000C0E58">
        <w:rPr>
          <w:rFonts w:eastAsia="Times New Roman"/>
          <w:lang w:val="en-GB"/>
        </w:rPr>
        <w:instrText xml:space="preserve"> SEQ level0 \*arabic </w:instrText>
      </w:r>
      <w:r w:rsidRPr="000C0E58">
        <w:rPr>
          <w:rFonts w:eastAsia="Times New Roman"/>
          <w:lang w:val="en-GB"/>
        </w:rPr>
        <w:fldChar w:fldCharType="separate"/>
      </w:r>
      <w:r w:rsidRPr="000C0E58" w:rsidR="000C0E58">
        <w:rPr>
          <w:rFonts w:eastAsia="Times New Roman"/>
          <w:noProof/>
          <w:lang w:val="en-GB"/>
        </w:rPr>
        <w:t>3</w:t>
      </w:r>
      <w:r w:rsidRPr="000C0E58">
        <w:rPr>
          <w:rFonts w:eastAsia="Times New Roman"/>
          <w:lang w:val="en-GB"/>
        </w:rPr>
        <w:fldChar w:fldCharType="end"/>
      </w:r>
      <w:r w:rsidRPr="000C0E58">
        <w:rPr>
          <w:rFonts w:eastAsia="Times New Roman"/>
          <w:lang w:val="en-GB"/>
        </w:rPr>
        <w:t>.  </w:t>
      </w:r>
      <w:r w:rsidRPr="000C0E58" w:rsidR="00484285">
        <w:rPr>
          <w:rFonts w:eastAsia="Times New Roman"/>
          <w:lang w:val="en-GB"/>
        </w:rPr>
        <w:t>Without entering into details, I should like to outline very briefly how I perceive the relationship between two fundamental concepts: subjective rights and legitimate expectations.</w:t>
      </w:r>
    </w:p>
    <w:p w:rsidRPr="000C0E58" w:rsidR="00253B9D" w:rsidP="000C0E58">
      <w:pPr>
        <w:pStyle w:val="OpiPara"/>
        <w:rPr>
          <w:rFonts w:eastAsia="Times New Roman"/>
          <w:lang w:val="en-GB"/>
        </w:rPr>
      </w:pPr>
      <w:r w:rsidRPr="000C0E58">
        <w:rPr>
          <w:rFonts w:eastAsia="Times New Roman"/>
          <w:lang w:val="en-GB"/>
        </w:rPr>
        <w:t>A subjective right, by definition, entitles the right-holder to certain behaviour on the part of the right-obligor in his favour. Generally speaking, subjective rights are enforceable claims. Not only can the right-holder expect certain (future) conduct from the right-obligor, but he can also demand it and, if necessary, resort to remedies triggering an enforcement procedure. It should be noted in this context that private-law claims stemming from contracts or torts are typically subjective rights, even if the date that they are due is still in the future.</w:t>
      </w:r>
    </w:p>
    <w:p w:rsidRPr="000C0E58" w:rsidR="00253B9D" w:rsidP="000C0E58">
      <w:pPr>
        <w:pStyle w:val="OpiPara"/>
        <w:rPr>
          <w:rFonts w:eastAsia="Times New Roman"/>
          <w:lang w:val="en-GB"/>
        </w:rPr>
      </w:pPr>
      <w:r w:rsidRPr="000C0E58">
        <w:rPr>
          <w:rFonts w:eastAsia="Times New Roman"/>
          <w:lang w:val="en-GB"/>
        </w:rPr>
        <w:t>A legitimate expectation is a legal position of a legal subject who can expect, in the specific factual and legal circumstances, certain conduct on the part of a State organ or another legal subject. The notion of legitimate expectation is useful in describing legal positions which do not have the status of subjective rights in that they enjoy weaker protection. If one can claim something against a legal subject, there is no need to say that one can expect that thing from the given legal subject. Using the term “legitimate expectation” in respect of enforceable claims creates confusion.</w:t>
      </w:r>
    </w:p>
    <w:p w:rsidRPr="000C0E58" w:rsidR="00253B9D" w:rsidP="000C0E58">
      <w:pPr>
        <w:pStyle w:val="OpiPara"/>
        <w:rPr>
          <w:rFonts w:eastAsia="Times New Roman"/>
          <w:lang w:val="en-GB"/>
        </w:rPr>
      </w:pPr>
      <w:r w:rsidRPr="000C0E58">
        <w:rPr>
          <w:rFonts w:eastAsia="Times New Roman"/>
          <w:lang w:val="en-GB"/>
        </w:rPr>
        <w:t xml:space="preserve">The notion of legitimate expectations is particularly useful in social-security law. In this branch of law the acquisition of subjective rights is a long process, which begins with entry into the system in respect of certain benefits and ends with the fulfilment of all the criteria established by law. A person fulfilling only certain criteria may have an expectation of acquiring the subjective right as soon as all the criteria are fulfilled. </w:t>
      </w:r>
      <w:r w:rsidRPr="000C0E58">
        <w:rPr>
          <w:rFonts w:eastAsia="Times New Roman"/>
          <w:lang w:val="en-GB"/>
        </w:rPr>
        <w:t>The closer to the fulfilment of all the criteria, the stronger his expectation.</w:t>
      </w:r>
    </w:p>
    <w:p w:rsidRPr="000C0E58" w:rsidR="00253B9D" w:rsidP="000C0E58">
      <w:pPr>
        <w:pStyle w:val="OpiPara"/>
        <w:rPr>
          <w:rFonts w:eastAsia="Times New Roman"/>
          <w:lang w:val="en-GB"/>
        </w:rPr>
      </w:pPr>
      <w:r w:rsidRPr="000C0E58">
        <w:rPr>
          <w:rFonts w:eastAsia="Times New Roman"/>
          <w:lang w:val="en-GB"/>
        </w:rPr>
        <w:t>A subjective right presupposes a precise definition of: (i) the right-holder; (ii) the right-obligor and (ii</w:t>
      </w:r>
      <w:r w:rsidRPr="000C0E58" w:rsidR="00630F9B">
        <w:rPr>
          <w:rFonts w:eastAsia="Times New Roman"/>
          <w:lang w:val="en-GB"/>
        </w:rPr>
        <w:t>i</w:t>
      </w:r>
      <w:r w:rsidRPr="000C0E58">
        <w:rPr>
          <w:rFonts w:eastAsia="Times New Roman"/>
          <w:lang w:val="en-GB"/>
        </w:rPr>
        <w:t xml:space="preserve">) his obligations, as well as </w:t>
      </w:r>
      <w:r w:rsidRPr="000C0E58">
        <w:rPr>
          <w:rFonts w:eastAsia="Times New Roman"/>
          <w:lang w:val="en-GB"/>
        </w:rPr>
        <w:t>(iv) the</w:t>
      </w:r>
      <w:r w:rsidRPr="000C0E58">
        <w:rPr>
          <w:rFonts w:eastAsia="Times New Roman"/>
          <w:lang w:val="en-GB"/>
        </w:rPr>
        <w:t xml:space="preserve"> precise conditions in which those obligations must be fulfilled. A legitimate expectation corresponds to a situation in which the future obligations correlated with the expectation are defined with less precision or are subject to some uncertainties concerning their precise scope or nature. Drawing a clear demarcation line between subjective rights and legitimate expectations may be problematic in certain cases. In particular, deciding whether a legal obligation imposed on one legal subject in favour of another legal subject is precise enough to qualify as a subjective right of the latter, or whether it should be considered as not fulfilling this criterion and therefore justifying qualification as a legitimate expectation, may be open to dispute between reasonable lawyers. In any event, the protection of legitimate expectations extends the protection of the individual beyond the scope of the protection of his subjective rights.</w:t>
      </w:r>
    </w:p>
    <w:p w:rsidRPr="000C0E58" w:rsidR="00253B9D" w:rsidP="000C0E58">
      <w:pPr>
        <w:pStyle w:val="OpiPara"/>
        <w:rPr>
          <w:rFonts w:eastAsia="Times New Roman"/>
          <w:lang w:val="en-GB"/>
        </w:rPr>
      </w:pPr>
      <w:r w:rsidRPr="000C0E58">
        <w:rPr>
          <w:rFonts w:eastAsia="Times New Roman"/>
          <w:lang w:val="en-GB"/>
        </w:rPr>
        <w:t>At the same time, it is important to note that subjective rights may differ as to the strength of their protection. Si</w:t>
      </w:r>
      <w:r w:rsidRPr="000C0E58" w:rsidR="00362565">
        <w:rPr>
          <w:rFonts w:eastAsia="Times New Roman"/>
          <w:lang w:val="en-GB"/>
        </w:rPr>
        <w:t xml:space="preserve">milarly, the level of the right </w:t>
      </w:r>
      <w:r w:rsidRPr="000C0E58" w:rsidR="00362565">
        <w:rPr>
          <w:rFonts w:eastAsia="Times New Roman"/>
          <w:lang w:val="en-GB"/>
        </w:rPr>
        <w:noBreakHyphen/>
        <w:t xml:space="preserve"> </w:t>
      </w:r>
      <w:r w:rsidRPr="000C0E58">
        <w:rPr>
          <w:rFonts w:eastAsia="Times New Roman"/>
          <w:lang w:val="en-GB"/>
        </w:rPr>
        <w:t>holders</w:t>
      </w:r>
      <w:r w:rsidRPr="000C0E58" w:rsidR="000C0E58">
        <w:rPr>
          <w:rFonts w:eastAsia="Times New Roman"/>
          <w:lang w:val="en-GB"/>
        </w:rPr>
        <w:t>’</w:t>
      </w:r>
      <w:r w:rsidRPr="000C0E58">
        <w:rPr>
          <w:rFonts w:eastAsia="Times New Roman"/>
          <w:lang w:val="en-GB"/>
        </w:rPr>
        <w:t xml:space="preserve"> subjective conviction – based on legislation and official declarations – that their rights should and will be upheld may vary. Both elements – subjective convictions and objective protection – interact. On the one hand, the strength of the assurances given to the right-holders should not be ignored when assessing the required level of protection of a right. On the other hand, the strength of the actual protection also determines the level of right-holders</w:t>
      </w:r>
      <w:r w:rsidRPr="000C0E58" w:rsidR="000C0E58">
        <w:rPr>
          <w:rFonts w:eastAsia="Times New Roman"/>
          <w:lang w:val="en-GB"/>
        </w:rPr>
        <w:t>’</w:t>
      </w:r>
      <w:r w:rsidRPr="000C0E58">
        <w:rPr>
          <w:rFonts w:eastAsia="Times New Roman"/>
          <w:lang w:val="en-GB"/>
        </w:rPr>
        <w:t xml:space="preserve"> subjective convictions and expectations.</w:t>
      </w:r>
    </w:p>
    <w:p w:rsidRPr="000C0E58" w:rsidR="00253B9D" w:rsidP="000C0E58">
      <w:pPr>
        <w:pStyle w:val="OpiPara"/>
        <w:rPr>
          <w:rFonts w:eastAsia="Times New Roman"/>
          <w:lang w:val="en-GB"/>
        </w:rPr>
      </w:pPr>
      <w:r w:rsidRPr="000C0E58">
        <w:rPr>
          <w:rFonts w:eastAsia="Times New Roman"/>
          <w:lang w:val="en-GB"/>
        </w:rPr>
        <w:fldChar w:fldCharType="begin"/>
      </w:r>
      <w:r w:rsidRPr="000C0E58">
        <w:rPr>
          <w:rFonts w:eastAsia="Times New Roman"/>
          <w:lang w:val="en-GB"/>
        </w:rPr>
        <w:instrText xml:space="preserve"> SEQ level0 \*arabic </w:instrText>
      </w:r>
      <w:r w:rsidRPr="000C0E58">
        <w:rPr>
          <w:rFonts w:eastAsia="Times New Roman"/>
          <w:lang w:val="en-GB"/>
        </w:rPr>
        <w:fldChar w:fldCharType="separate"/>
      </w:r>
      <w:r w:rsidRPr="000C0E58" w:rsidR="000C0E58">
        <w:rPr>
          <w:rFonts w:eastAsia="Times New Roman"/>
          <w:noProof/>
          <w:lang w:val="en-GB"/>
        </w:rPr>
        <w:t>4</w:t>
      </w:r>
      <w:r w:rsidRPr="000C0E58">
        <w:rPr>
          <w:rFonts w:eastAsia="Times New Roman"/>
          <w:lang w:val="en-GB"/>
        </w:rPr>
        <w:fldChar w:fldCharType="end"/>
      </w:r>
      <w:r w:rsidRPr="000C0E58">
        <w:rPr>
          <w:rFonts w:eastAsia="Times New Roman"/>
          <w:lang w:val="en-GB"/>
        </w:rPr>
        <w:t>.  </w:t>
      </w:r>
      <w:r w:rsidRPr="000C0E58" w:rsidR="00484285">
        <w:rPr>
          <w:rFonts w:eastAsia="Times New Roman"/>
          <w:lang w:val="en-GB"/>
        </w:rPr>
        <w:t>The judgment (in paragraph 79) explains the gist of the approach underlying its conclusions in the following way:</w:t>
      </w:r>
    </w:p>
    <w:p w:rsidRPr="000C0E58" w:rsidR="00484285" w:rsidP="000C0E58">
      <w:pPr>
        <w:pStyle w:val="OpiQuot"/>
        <w:rPr>
          <w:rFonts w:eastAsia="Times New Roman"/>
          <w:lang w:val="en-GB"/>
        </w:rPr>
      </w:pPr>
      <w:r w:rsidRPr="000C0E58">
        <w:rPr>
          <w:rFonts w:eastAsia="Times New Roman"/>
          <w:lang w:val="en-GB"/>
        </w:rPr>
        <w:t xml:space="preserve">“Notwithstanding the diversity of the expressions in the case-law referring to the requirement of a domestic legal basis generating a proprietary interest, their general tenor can be summarised as follows: for the recognition of a possession consisting in a legitimate expectation, the applicant must have an assertable right which, applying the principle enounced in paragraph 52 of </w:t>
      </w:r>
      <w:r w:rsidRPr="000C0E58">
        <w:rPr>
          <w:rFonts w:eastAsia="Times New Roman"/>
          <w:i/>
          <w:lang w:val="en-GB"/>
        </w:rPr>
        <w:t>Kopecký</w:t>
      </w:r>
      <w:r w:rsidRPr="000C0E58">
        <w:rPr>
          <w:rFonts w:eastAsia="Times New Roman"/>
          <w:lang w:val="en-GB"/>
        </w:rPr>
        <w:t>, may not fall short of a sufficiently established, substantive proprietary interest under the national law.”</w:t>
      </w:r>
    </w:p>
    <w:p w:rsidRPr="000C0E58" w:rsidR="00253B9D" w:rsidP="000C0E58">
      <w:pPr>
        <w:pStyle w:val="OpiPara"/>
        <w:rPr>
          <w:rFonts w:eastAsia="Times New Roman"/>
          <w:lang w:val="en-GB"/>
        </w:rPr>
      </w:pPr>
      <w:r w:rsidRPr="000C0E58">
        <w:rPr>
          <w:rFonts w:eastAsia="Times New Roman"/>
          <w:lang w:val="en-GB"/>
        </w:rPr>
        <w:t xml:space="preserve">It is difficult to understand this statement. Firstly, it is not clear whether the expectation and the assertable right referred to protect against the same or different State organs (see § 6 below). Secondly, if a legal subject has an assertable right protecting him against a State organ, then what is the added value of qualifying his legal position as a legitimate expectation </w:t>
      </w:r>
      <w:r w:rsidRPr="000C0E58">
        <w:rPr>
          <w:rFonts w:eastAsia="Times New Roman"/>
          <w:i/>
          <w:lang w:val="en-GB"/>
        </w:rPr>
        <w:t>vis-à-vis</w:t>
      </w:r>
      <w:r w:rsidRPr="000C0E58">
        <w:rPr>
          <w:rFonts w:eastAsia="Times New Roman"/>
          <w:lang w:val="en-GB"/>
        </w:rPr>
        <w:t xml:space="preserve"> </w:t>
      </w:r>
      <w:r w:rsidRPr="000C0E58">
        <w:rPr>
          <w:rFonts w:eastAsia="Times New Roman"/>
          <w:lang w:val="en-GB"/>
        </w:rPr>
        <w:t xml:space="preserve">this same organ? Thirdly, if a legal subject has an assertable right </w:t>
      </w:r>
      <w:r w:rsidRPr="000C0E58">
        <w:rPr>
          <w:rFonts w:eastAsia="Times New Roman"/>
          <w:i/>
          <w:lang w:val="en-GB"/>
        </w:rPr>
        <w:t>vis-à-vis</w:t>
      </w:r>
      <w:r w:rsidRPr="000C0E58">
        <w:rPr>
          <w:rFonts w:eastAsia="Times New Roman"/>
          <w:lang w:val="en-GB"/>
        </w:rPr>
        <w:t xml:space="preserve"> a State organ, how could this legal position fall short of a sufficiently established, substantive proprietary interest under the national law? An assertable right exists only if there is a sufficiently established, substantive interest under the national law. On the other hand, not every legal interest is protected by a subjective right.</w:t>
      </w:r>
    </w:p>
    <w:p w:rsidRPr="000C0E58" w:rsidR="00253B9D" w:rsidP="000C0E58">
      <w:pPr>
        <w:pStyle w:val="OpiPara"/>
        <w:rPr>
          <w:rFonts w:eastAsia="Times New Roman"/>
          <w:lang w:val="en-GB"/>
        </w:rPr>
      </w:pPr>
      <w:r w:rsidRPr="000C0E58">
        <w:rPr>
          <w:rFonts w:eastAsia="Times New Roman"/>
          <w:lang w:val="en-GB"/>
        </w:rPr>
        <w:t>Moreover, the subsequent reasoning pertaining to the specific legal position of the applicant in the instant case (see paragraphs 95 to 111) does not refer to the concepts set out in paragraph 79. It gives the impression that her position is considered not as an assertable right but as a legitimate expectation enjoying weaker protection than a subjective right.</w:t>
      </w:r>
    </w:p>
    <w:p w:rsidRPr="000C0E58" w:rsidR="00253B9D" w:rsidP="000C0E58">
      <w:pPr>
        <w:pStyle w:val="OpiPara"/>
        <w:rPr>
          <w:rFonts w:eastAsia="Times New Roman"/>
          <w:lang w:val="en-GB"/>
        </w:rPr>
      </w:pPr>
      <w:r w:rsidRPr="000C0E58">
        <w:rPr>
          <w:rFonts w:eastAsia="Times New Roman"/>
          <w:lang w:val="en-GB"/>
        </w:rPr>
        <w:t>In my view, the scope of the notion of possessi</w:t>
      </w:r>
      <w:r w:rsidRPr="000C0E58" w:rsidR="00166765">
        <w:rPr>
          <w:rFonts w:eastAsia="Times New Roman"/>
          <w:lang w:val="en-GB"/>
        </w:rPr>
        <w:t>on in Article 1 of Protocol No. </w:t>
      </w:r>
      <w:r w:rsidRPr="000C0E58">
        <w:rPr>
          <w:rFonts w:eastAsia="Times New Roman"/>
          <w:lang w:val="en-GB"/>
        </w:rPr>
        <w:t>1 is limited to subjective rights (with pecuniary value) and does not encompass legitimate expectations which are not based on subjective rights (see § 4 of the dissenting opinion by the eight minority judges).</w:t>
      </w:r>
    </w:p>
    <w:p w:rsidRPr="000C0E58" w:rsidR="00253B9D" w:rsidP="000C0E58">
      <w:pPr>
        <w:pStyle w:val="OpiPara"/>
        <w:rPr>
          <w:rFonts w:eastAsia="Times New Roman"/>
          <w:lang w:val="en-GB"/>
        </w:rPr>
      </w:pPr>
      <w:r w:rsidRPr="000C0E58">
        <w:rPr>
          <w:rFonts w:eastAsia="Times New Roman"/>
          <w:lang w:val="en-GB"/>
        </w:rPr>
        <w:fldChar w:fldCharType="begin"/>
      </w:r>
      <w:r w:rsidRPr="000C0E58">
        <w:rPr>
          <w:rFonts w:eastAsia="Times New Roman"/>
          <w:lang w:val="en-GB"/>
        </w:rPr>
        <w:instrText xml:space="preserve"> SEQ level0 \*arabic </w:instrText>
      </w:r>
      <w:r w:rsidRPr="000C0E58">
        <w:rPr>
          <w:rFonts w:eastAsia="Times New Roman"/>
          <w:lang w:val="en-GB"/>
        </w:rPr>
        <w:fldChar w:fldCharType="separate"/>
      </w:r>
      <w:r w:rsidRPr="000C0E58" w:rsidR="000C0E58">
        <w:rPr>
          <w:rFonts w:eastAsia="Times New Roman"/>
          <w:noProof/>
          <w:lang w:val="en-GB"/>
        </w:rPr>
        <w:t>5</w:t>
      </w:r>
      <w:r w:rsidRPr="000C0E58">
        <w:rPr>
          <w:rFonts w:eastAsia="Times New Roman"/>
          <w:lang w:val="en-GB"/>
        </w:rPr>
        <w:fldChar w:fldCharType="end"/>
      </w:r>
      <w:r w:rsidRPr="000C0E58">
        <w:rPr>
          <w:rFonts w:eastAsia="Times New Roman"/>
          <w:lang w:val="en-GB"/>
        </w:rPr>
        <w:t>.  </w:t>
      </w:r>
      <w:r w:rsidRPr="000C0E58" w:rsidR="00484285">
        <w:rPr>
          <w:rFonts w:eastAsia="Times New Roman"/>
          <w:lang w:val="en-GB"/>
        </w:rPr>
        <w:t xml:space="preserve">The category of possession within the meaning of Article 1 of Protocol No. 1 is extremely diverse and encompasses subjective rights of very different natures. It includes, </w:t>
      </w:r>
      <w:r w:rsidRPr="000C0E58" w:rsidR="00484285">
        <w:rPr>
          <w:rFonts w:eastAsia="Times New Roman"/>
          <w:i/>
          <w:lang w:val="en-GB"/>
        </w:rPr>
        <w:t>inter alia</w:t>
      </w:r>
      <w:r w:rsidRPr="000C0E58" w:rsidR="00484285">
        <w:rPr>
          <w:rFonts w:eastAsia="Times New Roman"/>
          <w:lang w:val="en-GB"/>
        </w:rPr>
        <w:t xml:space="preserve">, ownership of movable and immovable goods, other real rights protected </w:t>
      </w:r>
      <w:r w:rsidRPr="000C0E58" w:rsidR="00484285">
        <w:rPr>
          <w:rFonts w:eastAsia="Times New Roman"/>
          <w:i/>
          <w:lang w:val="en-GB"/>
        </w:rPr>
        <w:t>erga omnes</w:t>
      </w:r>
      <w:r w:rsidRPr="000C0E58" w:rsidR="00484285">
        <w:rPr>
          <w:rFonts w:eastAsia="Times New Roman"/>
          <w:lang w:val="en-GB"/>
        </w:rPr>
        <w:t>, pecuniary intellectual property rights and other pecuniary rights in immaterial goods, private-law assets (</w:t>
      </w:r>
      <w:r w:rsidRPr="000C0E58" w:rsidR="00484285">
        <w:rPr>
          <w:rFonts w:eastAsia="Times New Roman"/>
          <w:i/>
          <w:lang w:val="en-GB"/>
        </w:rPr>
        <w:t>créances</w:t>
      </w:r>
      <w:r w:rsidRPr="000C0E58" w:rsidR="00484285">
        <w:rPr>
          <w:rFonts w:eastAsia="Times New Roman"/>
          <w:lang w:val="en-GB"/>
        </w:rPr>
        <w:t>) stemming from tort or contract with other persons as well as acquired rights to social-security benefits. Their strength and the degree of protection should necessarily vary, depending on their nature and the weight of the values on which they are founded.</w:t>
      </w:r>
    </w:p>
    <w:p w:rsidRPr="000C0E58" w:rsidR="00253B9D" w:rsidP="000C0E58">
      <w:pPr>
        <w:pStyle w:val="OpiPara"/>
        <w:rPr>
          <w:rFonts w:eastAsia="Times New Roman"/>
          <w:lang w:val="en-GB"/>
        </w:rPr>
      </w:pPr>
      <w:r w:rsidRPr="000C0E58">
        <w:rPr>
          <w:rFonts w:eastAsia="Times New Roman"/>
          <w:lang w:val="en-GB"/>
        </w:rPr>
        <w:fldChar w:fldCharType="begin"/>
      </w:r>
      <w:r w:rsidRPr="000C0E58">
        <w:rPr>
          <w:rFonts w:eastAsia="Times New Roman"/>
          <w:lang w:val="en-GB"/>
        </w:rPr>
        <w:instrText xml:space="preserve"> SEQ level0 \*arabic </w:instrText>
      </w:r>
      <w:r w:rsidRPr="000C0E58">
        <w:rPr>
          <w:rFonts w:eastAsia="Times New Roman"/>
          <w:lang w:val="en-GB"/>
        </w:rPr>
        <w:fldChar w:fldCharType="separate"/>
      </w:r>
      <w:r w:rsidRPr="000C0E58" w:rsidR="000C0E58">
        <w:rPr>
          <w:rFonts w:eastAsia="Times New Roman"/>
          <w:noProof/>
          <w:lang w:val="en-GB"/>
        </w:rPr>
        <w:t>6</w:t>
      </w:r>
      <w:r w:rsidRPr="000C0E58">
        <w:rPr>
          <w:rFonts w:eastAsia="Times New Roman"/>
          <w:lang w:val="en-GB"/>
        </w:rPr>
        <w:fldChar w:fldCharType="end"/>
      </w:r>
      <w:r w:rsidRPr="000C0E58">
        <w:rPr>
          <w:rFonts w:eastAsia="Times New Roman"/>
          <w:lang w:val="en-GB"/>
        </w:rPr>
        <w:t>.  </w:t>
      </w:r>
      <w:r w:rsidRPr="000C0E58" w:rsidR="00484285">
        <w:rPr>
          <w:rFonts w:eastAsia="Times New Roman"/>
          <w:lang w:val="en-GB"/>
        </w:rPr>
        <w:t>One of the main difficulties in applying Article 1 of Protocol No. 1 is related to the articulation between domestic law and the Convention. In order to establish whether there is a possession one must analyse the domestic law (see paragraph 89 of the judgment, and § 10 of the dissenting opinion). A possession is a subjective right, defined by domestic law. It exists only if it exists in domestic law and it exists only to the extent that it is recognised in domestic law. The domestic law defines, in particular, the right-holder, the right-obligors, the content of the right and the scope of the obligors</w:t>
      </w:r>
      <w:r w:rsidRPr="000C0E58" w:rsidR="000C0E58">
        <w:rPr>
          <w:rFonts w:eastAsia="Times New Roman"/>
          <w:lang w:val="en-GB"/>
        </w:rPr>
        <w:t>’</w:t>
      </w:r>
      <w:r w:rsidRPr="000C0E58" w:rsidR="00484285">
        <w:rPr>
          <w:rFonts w:eastAsia="Times New Roman"/>
          <w:lang w:val="en-GB"/>
        </w:rPr>
        <w:t xml:space="preserve"> obligations correlated with this right, as well as the tools for and degree of the protection. The importance of this last element should not be underestimated, as it co-defines, together with other elements, the content of the right itself. A right exists as a right with </w:t>
      </w:r>
      <w:r w:rsidRPr="000C0E58" w:rsidR="00484285">
        <w:rPr>
          <w:rFonts w:eastAsia="Times New Roman"/>
          <w:lang w:val="en-GB"/>
        </w:rPr>
        <w:t>a certain</w:t>
      </w:r>
      <w:r w:rsidRPr="000C0E58" w:rsidR="00484285">
        <w:rPr>
          <w:rFonts w:eastAsia="Times New Roman"/>
          <w:lang w:val="en-GB"/>
        </w:rPr>
        <w:t xml:space="preserve"> strength. Some rights are unconditional and enjoy strong protection, including protection </w:t>
      </w:r>
      <w:r w:rsidRPr="000C0E58" w:rsidR="00484285">
        <w:rPr>
          <w:rFonts w:eastAsia="Times New Roman"/>
          <w:i/>
          <w:lang w:val="en-GB"/>
        </w:rPr>
        <w:t>vis-à-vis</w:t>
      </w:r>
      <w:r w:rsidRPr="000C0E58" w:rsidR="00484285">
        <w:rPr>
          <w:rFonts w:eastAsia="Times New Roman"/>
          <w:lang w:val="en-GB"/>
        </w:rPr>
        <w:t xml:space="preserve"> the legislator, whereas some rights are precarious and enjoy we</w:t>
      </w:r>
      <w:r w:rsidRPr="000C0E58" w:rsidR="003E5E22">
        <w:rPr>
          <w:rFonts w:eastAsia="Times New Roman"/>
          <w:lang w:val="en-GB"/>
        </w:rPr>
        <w:t>a</w:t>
      </w:r>
      <w:r w:rsidRPr="000C0E58" w:rsidR="00484285">
        <w:rPr>
          <w:rFonts w:eastAsia="Times New Roman"/>
          <w:lang w:val="en-GB"/>
        </w:rPr>
        <w:t xml:space="preserve">k protection, especially </w:t>
      </w:r>
      <w:r w:rsidRPr="000C0E58" w:rsidR="00484285">
        <w:rPr>
          <w:rFonts w:eastAsia="Times New Roman"/>
          <w:i/>
          <w:lang w:val="en-GB"/>
        </w:rPr>
        <w:t>vis-à-vis</w:t>
      </w:r>
      <w:r w:rsidRPr="000C0E58" w:rsidR="00484285">
        <w:rPr>
          <w:rFonts w:eastAsia="Times New Roman"/>
          <w:lang w:val="en-GB"/>
        </w:rPr>
        <w:t xml:space="preserve"> the legislator.</w:t>
      </w:r>
    </w:p>
    <w:p w:rsidRPr="000C0E58" w:rsidR="00253B9D" w:rsidP="000C0E58">
      <w:pPr>
        <w:pStyle w:val="OpiPara"/>
        <w:rPr>
          <w:rFonts w:eastAsia="Times New Roman"/>
          <w:lang w:val="en-GB"/>
        </w:rPr>
      </w:pPr>
      <w:r w:rsidRPr="000C0E58">
        <w:rPr>
          <w:rFonts w:eastAsia="Times New Roman"/>
          <w:lang w:val="en-GB"/>
        </w:rPr>
        <w:t>It is undisputed that, according to the Court</w:t>
      </w:r>
      <w:r w:rsidRPr="000C0E58" w:rsidR="000C0E58">
        <w:rPr>
          <w:rFonts w:eastAsia="Times New Roman"/>
          <w:lang w:val="en-GB"/>
        </w:rPr>
        <w:t>’</w:t>
      </w:r>
      <w:r w:rsidRPr="000C0E58">
        <w:rPr>
          <w:rFonts w:eastAsia="Times New Roman"/>
          <w:lang w:val="en-GB"/>
        </w:rPr>
        <w:t xml:space="preserve">s established case-law, the Convention does not confer rights to specific social-security benefits (see paragraph 82 of the judgment and § 13 of the dissenting opinion). More generally, the Convention does not create specific possessions. In principle, the legislator is free to decide whether or not a specific interest will be </w:t>
      </w:r>
      <w:r w:rsidRPr="000C0E58">
        <w:rPr>
          <w:rFonts w:eastAsia="Times New Roman"/>
          <w:lang w:val="en-GB"/>
        </w:rPr>
        <w:t>protected by subjective rights (possessions in the meaning of Article 1 of Protocol No. 1). If the legislator is free to create possessions, then it is logical to recognise that it is also free to determine the strength of a right</w:t>
      </w:r>
      <w:r w:rsidRPr="000C0E58" w:rsidR="000C0E58">
        <w:rPr>
          <w:rFonts w:eastAsia="Times New Roman"/>
          <w:lang w:val="en-GB"/>
        </w:rPr>
        <w:t>’</w:t>
      </w:r>
      <w:r w:rsidRPr="000C0E58">
        <w:rPr>
          <w:rFonts w:eastAsia="Times New Roman"/>
          <w:lang w:val="en-GB"/>
        </w:rPr>
        <w:t>s protection. If the legislator was free not to grant a specific right at all, then is there any reason that say that it could not grant a precarious and conditional right? If the Convention does not require that a specific right be granted, does it prohibit granting this right as a weak right? Moreover, there are often serious grounds in a State governed by the rule by law to grant only weak rights enjoying limited protection, for the sake of protecting other fundamental values.</w:t>
      </w:r>
    </w:p>
    <w:p w:rsidRPr="000C0E58" w:rsidR="00253B9D" w:rsidP="000C0E58">
      <w:pPr>
        <w:pStyle w:val="OpiPara"/>
        <w:rPr>
          <w:rFonts w:eastAsia="Times New Roman"/>
          <w:lang w:val="en-GB"/>
        </w:rPr>
      </w:pPr>
      <w:r w:rsidRPr="000C0E58">
        <w:rPr>
          <w:rFonts w:eastAsia="Times New Roman"/>
          <w:lang w:val="en-GB"/>
        </w:rPr>
        <w:t>In principle, the Convention protects possessions as defined in domestic law. A possession is protected if it exists and to the extent that it exists. In other words, the Convention does not convert no-rights into rights. Similarly, it would be logical to conclude that it should not convert week rights into strong rights, non-enforceable claims into enforceable claims and toxic assets into healthy ones.</w:t>
      </w:r>
    </w:p>
    <w:p w:rsidRPr="000C0E58" w:rsidR="00253B9D" w:rsidP="000C0E58">
      <w:pPr>
        <w:pStyle w:val="OpiPara"/>
        <w:rPr>
          <w:rFonts w:eastAsia="Times New Roman"/>
          <w:lang w:val="en-GB"/>
        </w:rPr>
      </w:pPr>
      <w:r w:rsidRPr="000C0E58">
        <w:rPr>
          <w:rFonts w:eastAsia="Times New Roman"/>
          <w:lang w:val="en-GB"/>
        </w:rPr>
        <w:t>On the other hand, if possessions are protected under the Convention only to extent to which they exist and enjoy protection under domestic law, then the practical effect of Article 1 of Protocol No. 1 would be extremely reduced. The role of the Court would be to check only whether the existing domestic law has been correctly applied. There may be special circumstances when a weak possession under domestic law may require stronger protection under the Convention. Such a transformation of a weak right into a stronger one by virtue of the Convention should always be explicitly addressed and justified by the Court.</w:t>
      </w:r>
    </w:p>
    <w:p w:rsidRPr="000C0E58" w:rsidR="00253B9D" w:rsidP="000C0E58">
      <w:pPr>
        <w:pStyle w:val="OpiPara"/>
        <w:rPr>
          <w:rFonts w:eastAsia="Times New Roman"/>
          <w:lang w:val="en-GB"/>
        </w:rPr>
      </w:pPr>
      <w:r w:rsidRPr="000C0E58">
        <w:rPr>
          <w:rFonts w:eastAsia="Times New Roman"/>
          <w:lang w:val="en-GB"/>
        </w:rPr>
        <w:t>The transformation of a weak right into a stronger one may be justified, in particular if the right recognised in domestic law can be limited or withdrawn, provided that the principle of proportionality is observed. The application of this principle requires a balancing of values. The weight of different values under the national Constitution and the Convention may differ, and therefore the result of the balancing act may be different. The role of the Court is to ensure that in balancing values the High Contracting Parties did not exceed their margin of appreciation, for instance by excessively diminishing the weight of the values protected by the Convention.</w:t>
      </w:r>
    </w:p>
    <w:p w:rsidRPr="000C0E58" w:rsidR="00253B9D" w:rsidP="000C0E58">
      <w:pPr>
        <w:pStyle w:val="OpiPara"/>
        <w:rPr>
          <w:rFonts w:eastAsia="Times New Roman"/>
          <w:lang w:val="en-GB"/>
        </w:rPr>
      </w:pPr>
      <w:r w:rsidRPr="000C0E58">
        <w:rPr>
          <w:rFonts w:eastAsia="Times New Roman"/>
          <w:lang w:val="en-GB"/>
        </w:rPr>
        <w:t xml:space="preserve">The matter is even more complicated in that domestic law has a hierarchical structure. One and the same right may enjoy strong protection against the administrative authorities and weak protection against the legislator. Moreover, the legal position of a legal subject may combine a subjective right </w:t>
      </w:r>
      <w:r w:rsidRPr="000C0E58">
        <w:rPr>
          <w:rFonts w:eastAsia="Times New Roman"/>
          <w:i/>
          <w:lang w:val="en-GB"/>
        </w:rPr>
        <w:t>vis-à-vis</w:t>
      </w:r>
      <w:r w:rsidRPr="000C0E58">
        <w:rPr>
          <w:rFonts w:eastAsia="Times New Roman"/>
          <w:lang w:val="en-GB"/>
        </w:rPr>
        <w:t xml:space="preserve"> the administrative authorities with a legitimate expectation </w:t>
      </w:r>
      <w:r w:rsidRPr="000C0E58">
        <w:rPr>
          <w:rFonts w:eastAsia="Times New Roman"/>
          <w:i/>
          <w:lang w:val="en-GB"/>
        </w:rPr>
        <w:t>vis-à-vis</w:t>
      </w:r>
      <w:r w:rsidRPr="000C0E58">
        <w:rPr>
          <w:rFonts w:eastAsia="Times New Roman"/>
          <w:lang w:val="en-GB"/>
        </w:rPr>
        <w:t xml:space="preserve"> the legislator. The most complicated legal problems stem from the disparity of protection </w:t>
      </w:r>
      <w:r w:rsidRPr="000C0E58">
        <w:rPr>
          <w:rFonts w:eastAsia="Times New Roman"/>
          <w:i/>
          <w:lang w:val="en-GB"/>
        </w:rPr>
        <w:t>vis-à-vis</w:t>
      </w:r>
      <w:r w:rsidRPr="000C0E58">
        <w:rPr>
          <w:rFonts w:eastAsia="Times New Roman"/>
          <w:lang w:val="en-GB"/>
        </w:rPr>
        <w:t xml:space="preserve"> the administration and the legislator.</w:t>
      </w:r>
    </w:p>
    <w:p w:rsidRPr="000C0E58" w:rsidR="00253B9D" w:rsidP="000C0E58">
      <w:pPr>
        <w:pStyle w:val="OpiPara"/>
        <w:rPr>
          <w:rFonts w:eastAsia="Times New Roman"/>
          <w:lang w:val="en-GB"/>
        </w:rPr>
      </w:pPr>
      <w:r w:rsidRPr="000C0E58">
        <w:rPr>
          <w:rFonts w:eastAsia="Times New Roman"/>
          <w:lang w:val="en-GB"/>
        </w:rPr>
        <w:t>If the interference with a subjective right is of a legislative nature, then the question arises whether the right is protected against the legislator. If there is clearly no protection of a legal subject</w:t>
      </w:r>
      <w:r w:rsidRPr="000C0E58" w:rsidR="000C0E58">
        <w:rPr>
          <w:rFonts w:eastAsia="Times New Roman"/>
          <w:lang w:val="en-GB"/>
        </w:rPr>
        <w:t>’</w:t>
      </w:r>
      <w:r w:rsidRPr="000C0E58">
        <w:rPr>
          <w:rFonts w:eastAsia="Times New Roman"/>
          <w:lang w:val="en-GB"/>
        </w:rPr>
        <w:t xml:space="preserve">s right </w:t>
      </w:r>
      <w:r w:rsidRPr="000C0E58">
        <w:rPr>
          <w:rFonts w:eastAsia="Times New Roman"/>
          <w:i/>
          <w:lang w:val="en-GB"/>
        </w:rPr>
        <w:t>vis-à-vis</w:t>
      </w:r>
      <w:r w:rsidRPr="000C0E58">
        <w:rPr>
          <w:rFonts w:eastAsia="Times New Roman"/>
          <w:lang w:val="en-GB"/>
        </w:rPr>
        <w:t xml:space="preserve"> the legislator in the domestic legal system, then the Court should not co</w:t>
      </w:r>
      <w:r w:rsidRPr="000C0E58" w:rsidR="003E5E22">
        <w:rPr>
          <w:rFonts w:eastAsia="Times New Roman"/>
          <w:lang w:val="en-GB"/>
        </w:rPr>
        <w:t>n</w:t>
      </w:r>
      <w:r w:rsidRPr="000C0E58">
        <w:rPr>
          <w:rFonts w:eastAsia="Times New Roman"/>
          <w:lang w:val="en-GB"/>
        </w:rPr>
        <w:t xml:space="preserve">vert such a right, protected only </w:t>
      </w:r>
      <w:r w:rsidRPr="000C0E58">
        <w:rPr>
          <w:rFonts w:eastAsia="Times New Roman"/>
          <w:i/>
          <w:lang w:val="en-GB"/>
        </w:rPr>
        <w:t>vis-à-vis</w:t>
      </w:r>
      <w:r w:rsidRPr="000C0E58">
        <w:rPr>
          <w:rFonts w:eastAsia="Times New Roman"/>
          <w:lang w:val="en-GB"/>
        </w:rPr>
        <w:t xml:space="preserve"> the administrative authorities and the judicial power, into a right offering protection also </w:t>
      </w:r>
      <w:r w:rsidRPr="000C0E58">
        <w:rPr>
          <w:rFonts w:eastAsia="Times New Roman"/>
          <w:i/>
          <w:lang w:val="en-GB"/>
        </w:rPr>
        <w:t>vis-à-vis</w:t>
      </w:r>
      <w:r w:rsidRPr="000C0E58">
        <w:rPr>
          <w:rFonts w:eastAsia="Times New Roman"/>
          <w:lang w:val="en-GB"/>
        </w:rPr>
        <w:t xml:space="preserve"> the legislative power, unless there </w:t>
      </w:r>
      <w:r w:rsidRPr="000C0E58" w:rsidR="003E5E22">
        <w:rPr>
          <w:rFonts w:eastAsia="Times New Roman"/>
          <w:lang w:val="en-GB"/>
        </w:rPr>
        <w:t xml:space="preserve">are </w:t>
      </w:r>
      <w:r w:rsidRPr="000C0E58">
        <w:rPr>
          <w:rFonts w:eastAsia="Times New Roman"/>
          <w:lang w:val="en-GB"/>
        </w:rPr>
        <w:t>special reasons for doing so and especially if the weight of the conflicting values under the Convention differs from the weight of the values un</w:t>
      </w:r>
      <w:r w:rsidRPr="000C0E58" w:rsidR="00362565">
        <w:rPr>
          <w:rFonts w:eastAsia="Times New Roman"/>
          <w:lang w:val="en-GB"/>
        </w:rPr>
        <w:t>der the national Constitution.</w:t>
      </w:r>
    </w:p>
    <w:p w:rsidRPr="000C0E58" w:rsidR="00253B9D" w:rsidP="000C0E58">
      <w:pPr>
        <w:pStyle w:val="OpiPara"/>
        <w:rPr>
          <w:rFonts w:eastAsia="Times New Roman"/>
          <w:lang w:val="en-GB"/>
        </w:rPr>
      </w:pPr>
      <w:r w:rsidRPr="000C0E58">
        <w:rPr>
          <w:rFonts w:eastAsia="Times New Roman"/>
          <w:lang w:val="en-GB"/>
        </w:rPr>
        <w:fldChar w:fldCharType="begin"/>
      </w:r>
      <w:r w:rsidRPr="000C0E58">
        <w:rPr>
          <w:rFonts w:eastAsia="Times New Roman"/>
          <w:lang w:val="en-GB"/>
        </w:rPr>
        <w:instrText xml:space="preserve"> SEQ level0 \*arabic </w:instrText>
      </w:r>
      <w:r w:rsidRPr="000C0E58">
        <w:rPr>
          <w:rFonts w:eastAsia="Times New Roman"/>
          <w:lang w:val="en-GB"/>
        </w:rPr>
        <w:fldChar w:fldCharType="separate"/>
      </w:r>
      <w:r w:rsidRPr="000C0E58" w:rsidR="000C0E58">
        <w:rPr>
          <w:rFonts w:eastAsia="Times New Roman"/>
          <w:noProof/>
          <w:lang w:val="en-GB"/>
        </w:rPr>
        <w:t>7</w:t>
      </w:r>
      <w:r w:rsidRPr="000C0E58">
        <w:rPr>
          <w:rFonts w:eastAsia="Times New Roman"/>
          <w:lang w:val="en-GB"/>
        </w:rPr>
        <w:fldChar w:fldCharType="end"/>
      </w:r>
      <w:r w:rsidRPr="000C0E58">
        <w:rPr>
          <w:rFonts w:eastAsia="Times New Roman"/>
          <w:lang w:val="en-GB"/>
        </w:rPr>
        <w:t>.  </w:t>
      </w:r>
      <w:r w:rsidRPr="000C0E58" w:rsidR="00484285">
        <w:rPr>
          <w:rFonts w:eastAsia="Times New Roman"/>
          <w:lang w:val="en-GB"/>
        </w:rPr>
        <w:t xml:space="preserve">Subjective rights to social-security benefits are possessions within the meaning of Article 1 of Protocol No. 1. A complete revocation or a limitation of such a subjective right amounts to interference with possessions, and must fulfil the criteria set forth in the Convention. Such </w:t>
      </w:r>
      <w:r w:rsidRPr="000C0E58" w:rsidR="00484285">
        <w:rPr>
          <w:rFonts w:eastAsia="Times New Roman"/>
          <w:lang w:val="en-GB"/>
        </w:rPr>
        <w:t>an interference</w:t>
      </w:r>
      <w:r w:rsidRPr="000C0E58" w:rsidR="00484285">
        <w:rPr>
          <w:rFonts w:eastAsia="Times New Roman"/>
          <w:lang w:val="en-GB"/>
        </w:rPr>
        <w:t xml:space="preserve"> should have a legal basis in domestic law and observe the principle of proportionality.</w:t>
      </w:r>
    </w:p>
    <w:p w:rsidRPr="000C0E58" w:rsidR="00253B9D" w:rsidP="000C0E58">
      <w:pPr>
        <w:pStyle w:val="OpiPara"/>
        <w:rPr>
          <w:rFonts w:eastAsia="Times New Roman"/>
          <w:lang w:val="en-GB"/>
        </w:rPr>
      </w:pPr>
      <w:r w:rsidRPr="000C0E58">
        <w:rPr>
          <w:rFonts w:eastAsia="Times New Roman"/>
          <w:lang w:val="en-GB"/>
        </w:rPr>
        <w:t>It is important to stress that the point of departure for the identification of the possession and of the interference is the legislation in force prior to the interference. What matters is whether a legal subject had a subjective right (or an enforceable claim) before the date of the interference.</w:t>
      </w:r>
    </w:p>
    <w:p w:rsidRPr="000C0E58" w:rsidR="00484285" w:rsidP="000C0E58">
      <w:pPr>
        <w:pStyle w:val="OpiPara"/>
        <w:rPr>
          <w:rFonts w:eastAsia="Times New Roman"/>
          <w:lang w:val="en-GB"/>
        </w:rPr>
      </w:pPr>
      <w:r w:rsidRPr="000C0E58">
        <w:rPr>
          <w:rFonts w:eastAsia="Times New Roman"/>
          <w:lang w:val="en-GB"/>
        </w:rPr>
        <w:t>The degree of protection of social-security rights under Article 1 of Protocol No. 1 should depend on several factors. As rightly stated in the separate opinion by eight judges, benefits directly linked to the level of contributions require stronger protection than other rights. This, however, is not the only parameter to be taken into account.</w:t>
      </w:r>
    </w:p>
    <w:p w:rsidRPr="000C0E58" w:rsidR="00253B9D" w:rsidP="000C0E58">
      <w:pPr>
        <w:pStyle w:val="OpiPara"/>
        <w:rPr>
          <w:rFonts w:eastAsia="Times New Roman"/>
          <w:lang w:val="en-GB"/>
        </w:rPr>
      </w:pPr>
      <w:r w:rsidRPr="000C0E58">
        <w:rPr>
          <w:rFonts w:eastAsia="Times New Roman"/>
          <w:lang w:val="en-GB"/>
        </w:rPr>
        <w:t>The judgment</w:t>
      </w:r>
      <w:r w:rsidRPr="000C0E58" w:rsidR="000C0E58">
        <w:rPr>
          <w:rFonts w:eastAsia="Times New Roman"/>
          <w:lang w:val="en-GB"/>
        </w:rPr>
        <w:t>’</w:t>
      </w:r>
      <w:r w:rsidRPr="000C0E58">
        <w:rPr>
          <w:rFonts w:eastAsia="Times New Roman"/>
          <w:lang w:val="en-GB"/>
        </w:rPr>
        <w:t xml:space="preserve">s reasoning attaches importance to the contributory nature of the benefit in question, implicitly conveying the idea that contributory benefits require stronger protection than non-contributory ones (see paragraphs 99 and 105). I subscribe to this approach, which clearly departs from the view expressed in </w:t>
      </w:r>
      <w:r w:rsidRPr="000C0E58">
        <w:rPr>
          <w:rFonts w:eastAsia="Times New Roman"/>
          <w:i/>
          <w:lang w:val="en-GB"/>
        </w:rPr>
        <w:t>Stec and Others v. the United Kingdom</w:t>
      </w:r>
      <w:r w:rsidRPr="000C0E58">
        <w:rPr>
          <w:rFonts w:eastAsia="Times New Roman"/>
          <w:lang w:val="en-GB"/>
        </w:rPr>
        <w:t xml:space="preserve"> ([GC], nos. 65731/01 and 65900/01, ECHR 2006</w:t>
      </w:r>
      <w:r w:rsidRPr="000C0E58">
        <w:rPr>
          <w:rFonts w:eastAsia="Times New Roman"/>
          <w:lang w:val="en-GB"/>
        </w:rPr>
        <w:noBreakHyphen/>
        <w:t>VI). Financial participation in the form of the contributions paid by insured persons for the purpose of financing social-security benefits is indeed an important argument pleading in favour of protection of the benefits financed from these contributions. It creates a strong moral basis for a reciprocal (but not necessarily strictly synallagmatic) obligation. However, the required level of protection of contributive rights that are not directly linked to the level of contributions will be lower than in the case of benefits directly linked to the level of contributions.</w:t>
      </w:r>
    </w:p>
    <w:p w:rsidRPr="000C0E58" w:rsidR="00253B9D" w:rsidP="000C0E58">
      <w:pPr>
        <w:pStyle w:val="OpiPara"/>
        <w:rPr>
          <w:rFonts w:eastAsia="Times New Roman"/>
        </w:rPr>
      </w:pPr>
      <w:r w:rsidRPr="000C0E58">
        <w:rPr>
          <w:rFonts w:eastAsia="Times New Roman"/>
        </w:rPr>
        <w:t>In my view, moreover, benefits which replace salaries, such as retirement pensions and invalidity pensions, require much stronger protection than benefits which complement other sources of revenue.</w:t>
      </w:r>
    </w:p>
    <w:p w:rsidRPr="000C0E58" w:rsidR="00253B9D" w:rsidP="000C0E58">
      <w:pPr>
        <w:pStyle w:val="OpiPara"/>
        <w:rPr>
          <w:rFonts w:eastAsia="Times New Roman"/>
        </w:rPr>
      </w:pPr>
      <w:r w:rsidRPr="000C0E58">
        <w:rPr>
          <w:rFonts w:eastAsia="Times New Roman"/>
        </w:rPr>
        <w:t xml:space="preserve">It is also important to take into account whether the benefits are granted for a specific period, for a period defined by the fulfilment of certain criteria or for an indefinite period. If legislation provides for a more precise </w:t>
      </w:r>
      <w:r w:rsidRPr="000C0E58">
        <w:rPr>
          <w:rFonts w:eastAsia="Times New Roman"/>
        </w:rPr>
        <w:t>time</w:t>
      </w:r>
      <w:r w:rsidRPr="000C0E58" w:rsidR="00362565">
        <w:rPr>
          <w:rFonts w:eastAsia="Times New Roman"/>
        </w:rPr>
        <w:t xml:space="preserve"> </w:t>
      </w:r>
      <w:r w:rsidRPr="000C0E58" w:rsidR="00362565">
        <w:rPr>
          <w:rFonts w:eastAsia="Times New Roman"/>
        </w:rPr>
        <w:noBreakHyphen/>
        <w:t xml:space="preserve"> </w:t>
      </w:r>
      <w:r w:rsidRPr="000C0E58">
        <w:rPr>
          <w:rFonts w:eastAsia="Times New Roman"/>
        </w:rPr>
        <w:t>frame for the payment of benefits, this factor is an argument in favour of stronger protection.</w:t>
      </w:r>
    </w:p>
    <w:p w:rsidRPr="000C0E58" w:rsidR="00253B9D" w:rsidP="000C0E58">
      <w:pPr>
        <w:pStyle w:val="OpiPara"/>
        <w:rPr>
          <w:rFonts w:eastAsia="Times New Roman"/>
          <w:lang w:val="en-GB"/>
        </w:rPr>
      </w:pPr>
      <w:r w:rsidRPr="000C0E58">
        <w:rPr>
          <w:rFonts w:eastAsia="Times New Roman"/>
          <w:lang w:val="en-GB"/>
        </w:rPr>
        <w:fldChar w:fldCharType="begin"/>
      </w:r>
      <w:r w:rsidRPr="000C0E58">
        <w:rPr>
          <w:rFonts w:eastAsia="Times New Roman"/>
          <w:lang w:val="en-GB"/>
        </w:rPr>
        <w:instrText xml:space="preserve"> SEQ level0 \*arabic </w:instrText>
      </w:r>
      <w:r w:rsidRPr="000C0E58">
        <w:rPr>
          <w:rFonts w:eastAsia="Times New Roman"/>
          <w:lang w:val="en-GB"/>
        </w:rPr>
        <w:fldChar w:fldCharType="separate"/>
      </w:r>
      <w:r w:rsidRPr="000C0E58" w:rsidR="000C0E58">
        <w:rPr>
          <w:rFonts w:eastAsia="Times New Roman"/>
          <w:noProof/>
          <w:lang w:val="en-GB"/>
        </w:rPr>
        <w:t>8</w:t>
      </w:r>
      <w:r w:rsidRPr="000C0E58">
        <w:rPr>
          <w:rFonts w:eastAsia="Times New Roman"/>
          <w:lang w:val="en-GB"/>
        </w:rPr>
        <w:fldChar w:fldCharType="end"/>
      </w:r>
      <w:r w:rsidRPr="000C0E58">
        <w:rPr>
          <w:rFonts w:eastAsia="Times New Roman"/>
          <w:lang w:val="en-GB"/>
        </w:rPr>
        <w:t>.  </w:t>
      </w:r>
      <w:r w:rsidRPr="000C0E58" w:rsidR="00484285">
        <w:rPr>
          <w:rFonts w:eastAsia="Times New Roman"/>
          <w:lang w:val="en-GB"/>
        </w:rPr>
        <w:t>In the instant case, there is no need to resort to the concept of legitimate expectation in order to conceptualise the applicant</w:t>
      </w:r>
      <w:r w:rsidRPr="000C0E58" w:rsidR="000C0E58">
        <w:rPr>
          <w:rFonts w:eastAsia="Times New Roman"/>
          <w:lang w:val="en-GB"/>
        </w:rPr>
        <w:t>’</w:t>
      </w:r>
      <w:r w:rsidRPr="000C0E58" w:rsidR="00484285">
        <w:rPr>
          <w:rFonts w:eastAsia="Times New Roman"/>
          <w:lang w:val="en-GB"/>
        </w:rPr>
        <w:t>s legal position. The applicant held a subjective right to an invalidity pension prior to 1 February 2010. This right was confirmed by an administrative act and the applicant in fact received the pension in question until the end of January 2010. She also fulfilled the criteria to receive either a disability pension or a rehabilitation allowance at some point in the second semester of 2011 and this fact was subsequently confirmed by the decision of 13 December 2011 (see paragraph 17 of the judgment). She had a subjective right (an enforceable claim) to receive one of these two benefits, even if this right was not confirmed by an administrative act. This right also constituted a possession within the meaning of Article 1 of Protocol No. 1. This is where the essential difference lies between me and my colleagues in the minority.</w:t>
      </w:r>
    </w:p>
    <w:p w:rsidRPr="000C0E58" w:rsidR="00253B9D" w:rsidP="000C0E58">
      <w:pPr>
        <w:pStyle w:val="OpiPara"/>
        <w:rPr>
          <w:rFonts w:eastAsia="Times New Roman"/>
          <w:lang w:val="en-GB"/>
        </w:rPr>
      </w:pPr>
      <w:r w:rsidRPr="000C0E58">
        <w:rPr>
          <w:rFonts w:eastAsia="Times New Roman"/>
          <w:lang w:val="en-GB"/>
        </w:rPr>
        <w:t xml:space="preserve">Had her right to one of these two benefits been respected on 31 December 2011, she would also </w:t>
      </w:r>
      <w:r w:rsidRPr="000C0E58" w:rsidR="003E5E22">
        <w:rPr>
          <w:rFonts w:eastAsia="Times New Roman"/>
          <w:lang w:val="en-GB"/>
        </w:rPr>
        <w:t xml:space="preserve">have </w:t>
      </w:r>
      <w:r w:rsidRPr="000C0E58">
        <w:rPr>
          <w:rFonts w:eastAsia="Times New Roman"/>
          <w:lang w:val="en-GB"/>
        </w:rPr>
        <w:t>been entitled to these two benefits after 1 January 2012 under the legislation which entered into force at that moment. In her specific circumstances, the actual implementation of her subjective right before 1 January 2012 would have given her the status of a subjective right-holder after that date.</w:t>
      </w:r>
    </w:p>
    <w:p w:rsidRPr="000C0E58" w:rsidR="00253B9D" w:rsidP="000C0E58">
      <w:pPr>
        <w:pStyle w:val="OpiPara"/>
        <w:rPr>
          <w:rFonts w:eastAsia="Times New Roman"/>
          <w:lang w:val="en-GB"/>
        </w:rPr>
      </w:pPr>
      <w:r w:rsidRPr="000C0E58">
        <w:rPr>
          <w:rFonts w:eastAsia="Times New Roman"/>
          <w:lang w:val="en-GB"/>
        </w:rPr>
        <w:fldChar w:fldCharType="begin"/>
      </w:r>
      <w:r w:rsidRPr="000C0E58">
        <w:rPr>
          <w:rFonts w:eastAsia="Times New Roman"/>
          <w:lang w:val="en-GB"/>
        </w:rPr>
        <w:instrText xml:space="preserve"> SEQ level0 \*arabic </w:instrText>
      </w:r>
      <w:r w:rsidRPr="000C0E58">
        <w:rPr>
          <w:rFonts w:eastAsia="Times New Roman"/>
          <w:lang w:val="en-GB"/>
        </w:rPr>
        <w:fldChar w:fldCharType="separate"/>
      </w:r>
      <w:r w:rsidRPr="000C0E58" w:rsidR="000C0E58">
        <w:rPr>
          <w:rFonts w:eastAsia="Times New Roman"/>
          <w:noProof/>
          <w:lang w:val="en-GB"/>
        </w:rPr>
        <w:t>9</w:t>
      </w:r>
      <w:r w:rsidRPr="000C0E58">
        <w:rPr>
          <w:rFonts w:eastAsia="Times New Roman"/>
          <w:lang w:val="en-GB"/>
        </w:rPr>
        <w:fldChar w:fldCharType="end"/>
      </w:r>
      <w:r w:rsidRPr="000C0E58">
        <w:rPr>
          <w:rFonts w:eastAsia="Times New Roman"/>
          <w:lang w:val="en-GB"/>
        </w:rPr>
        <w:t>.  </w:t>
      </w:r>
      <w:r w:rsidRPr="000C0E58" w:rsidR="00484285">
        <w:rPr>
          <w:rFonts w:eastAsia="Times New Roman"/>
          <w:lang w:val="en-GB"/>
        </w:rPr>
        <w:t>An analysis of the Hungarian legal system leads to the conclusion that there are reasons pleading in favour of strong protection of the applicant</w:t>
      </w:r>
      <w:r w:rsidRPr="000C0E58" w:rsidR="000C0E58">
        <w:rPr>
          <w:rFonts w:eastAsia="Times New Roman"/>
          <w:lang w:val="en-GB"/>
        </w:rPr>
        <w:t>’</w:t>
      </w:r>
      <w:r w:rsidRPr="000C0E58" w:rsidR="00484285">
        <w:rPr>
          <w:rFonts w:eastAsia="Times New Roman"/>
          <w:lang w:val="en-GB"/>
        </w:rPr>
        <w:t>s right, but there are also serious reasons pleading against such protection.</w:t>
      </w:r>
    </w:p>
    <w:p w:rsidRPr="000C0E58" w:rsidR="00484285" w:rsidP="000C0E58">
      <w:pPr>
        <w:pStyle w:val="OpiPara"/>
        <w:rPr>
          <w:rFonts w:eastAsia="Times New Roman"/>
          <w:lang w:val="en-GB"/>
        </w:rPr>
      </w:pPr>
      <w:r w:rsidRPr="000C0E58">
        <w:rPr>
          <w:rFonts w:eastAsia="Times New Roman"/>
          <w:lang w:val="en-GB"/>
        </w:rPr>
        <w:t>On one hand, the benefits in question were contributive and were in principle designed to replace other sources of revenue. Furthermore, the legislation in force before 1 February 2010 and the legislation in force at the end of 2011 provided for a specific time-frame for the implementation of those rights. They were to be granted and implemented as long as the health of the right-holder did not improve. All those reasons plead in favour of strong protection of the benefits in question against State interference, be that legislative, administrative or judicial in form.</w:t>
      </w:r>
    </w:p>
    <w:p w:rsidRPr="000C0E58" w:rsidR="00253B9D" w:rsidP="000C0E58">
      <w:pPr>
        <w:pStyle w:val="OpiPara"/>
        <w:rPr>
          <w:rFonts w:eastAsia="Times New Roman"/>
        </w:rPr>
      </w:pPr>
      <w:r w:rsidRPr="000C0E58">
        <w:rPr>
          <w:rFonts w:eastAsia="Times New Roman"/>
        </w:rPr>
        <w:t xml:space="preserve">Moreover, the Constitution of Hungary in force until 31 December 2011 guaranteed the right to social security. It is true that a new paragraph 3 was introduced to Article 70E of the Constitution by the Act of 6 June 2011 which weakened the protection of pensions granted to persons below the retirement age. It is important to stress, however, that under that paragraph disability pensions could be reduced or terminated if the persons concerned were able to work. The Constitution did not allow the complete withdrawal of disability pensions granted to persons unable to work. Therefore, it cannot be said that – under the letter of the Hungarian Constitution – the subjective right acquired by the applicant was devoid of constitutional protection vis-à-vis parliament. Furthermore, the actual degree of protection </w:t>
      </w:r>
      <w:r w:rsidRPr="000C0E58">
        <w:rPr>
          <w:rFonts w:eastAsia="Times New Roman"/>
        </w:rPr>
        <w:t>of disability pensions under the Hungarian Constitution depends on the balancing of conflicting constitutional values.</w:t>
      </w:r>
    </w:p>
    <w:p w:rsidRPr="000C0E58" w:rsidR="00253B9D" w:rsidP="000C0E58">
      <w:pPr>
        <w:pStyle w:val="OpiPara"/>
        <w:rPr>
          <w:rFonts w:eastAsia="Times New Roman"/>
        </w:rPr>
      </w:pPr>
      <w:r w:rsidRPr="000C0E58">
        <w:rPr>
          <w:rFonts w:eastAsia="Times New Roman"/>
        </w:rPr>
        <w:t xml:space="preserve">At the same time, the scope of the constitutional protection as determined by the case-law of the Constitutional Court </w:t>
      </w:r>
      <w:r w:rsidRPr="000C0E58" w:rsidR="00166765">
        <w:rPr>
          <w:rFonts w:eastAsia="Times New Roman"/>
        </w:rPr>
        <w:t>was very narrow (see paragraphs </w:t>
      </w:r>
      <w:r w:rsidRPr="000C0E58">
        <w:rPr>
          <w:rFonts w:eastAsia="Times New Roman"/>
        </w:rPr>
        <w:t>32 and 33 of the reasoning of the judgment). The 2011 Fundamental Law (the new Constitution) which entered into force on 1 January 2012 further reduced the degree of protection for social rights. These factors are a strong argument against stronger protection of the possession in question vis-à-vis legislative interference.</w:t>
      </w:r>
    </w:p>
    <w:p w:rsidRPr="000C0E58" w:rsidR="00484285" w:rsidP="000C0E58">
      <w:pPr>
        <w:pStyle w:val="OpiPara"/>
        <w:rPr>
          <w:rFonts w:eastAsia="Times New Roman"/>
        </w:rPr>
      </w:pPr>
      <w:r w:rsidRPr="000C0E58">
        <w:rPr>
          <w:rFonts w:eastAsia="Times New Roman"/>
        </w:rPr>
        <w:t>In my view, the decisive factor in the instant case is the nature of the benefit. It is designed to replace employment income for persons who are unable to work. This fact justifies scrutiny of the strength of the right-holder</w:t>
      </w:r>
      <w:r w:rsidRPr="000C0E58" w:rsidR="000C0E58">
        <w:rPr>
          <w:rFonts w:eastAsia="Times New Roman"/>
        </w:rPr>
        <w:t>’</w:t>
      </w:r>
      <w:r w:rsidRPr="000C0E58">
        <w:rPr>
          <w:rFonts w:eastAsia="Times New Roman"/>
        </w:rPr>
        <w:t>s protection against legislative change.</w:t>
      </w:r>
    </w:p>
    <w:p w:rsidRPr="000C0E58" w:rsidR="00253B9D" w:rsidP="000C0E58">
      <w:pPr>
        <w:pStyle w:val="OpiPara"/>
        <w:rPr>
          <w:rFonts w:eastAsia="Times New Roman"/>
          <w:lang w:val="en-GB"/>
        </w:rPr>
      </w:pPr>
      <w:r w:rsidRPr="000C0E58">
        <w:rPr>
          <w:rFonts w:eastAsia="Times New Roman"/>
          <w:lang w:val="en-GB"/>
        </w:rPr>
        <w:fldChar w:fldCharType="begin"/>
      </w:r>
      <w:r w:rsidRPr="000C0E58">
        <w:rPr>
          <w:rFonts w:eastAsia="Times New Roman"/>
          <w:lang w:val="en-GB"/>
        </w:rPr>
        <w:instrText xml:space="preserve"> SEQ level0 \*arabic </w:instrText>
      </w:r>
      <w:r w:rsidRPr="000C0E58">
        <w:rPr>
          <w:rFonts w:eastAsia="Times New Roman"/>
          <w:lang w:val="en-GB"/>
        </w:rPr>
        <w:fldChar w:fldCharType="separate"/>
      </w:r>
      <w:r w:rsidRPr="000C0E58" w:rsidR="000C0E58">
        <w:rPr>
          <w:rFonts w:eastAsia="Times New Roman"/>
          <w:noProof/>
          <w:lang w:val="en-GB"/>
        </w:rPr>
        <w:t>10</w:t>
      </w:r>
      <w:r w:rsidRPr="000C0E58">
        <w:rPr>
          <w:rFonts w:eastAsia="Times New Roman"/>
          <w:lang w:val="en-GB"/>
        </w:rPr>
        <w:fldChar w:fldCharType="end"/>
      </w:r>
      <w:r w:rsidRPr="000C0E58">
        <w:rPr>
          <w:rFonts w:eastAsia="Times New Roman"/>
          <w:lang w:val="en-GB"/>
        </w:rPr>
        <w:t>.  </w:t>
      </w:r>
      <w:r w:rsidRPr="000C0E58" w:rsidR="00484285">
        <w:rPr>
          <w:rFonts w:eastAsia="Times New Roman"/>
          <w:lang w:val="en-GB"/>
        </w:rPr>
        <w:t>The actual interference with the applicant</w:t>
      </w:r>
      <w:r w:rsidRPr="000C0E58" w:rsidR="000C0E58">
        <w:rPr>
          <w:rFonts w:eastAsia="Times New Roman"/>
          <w:lang w:val="en-GB"/>
        </w:rPr>
        <w:t>’</w:t>
      </w:r>
      <w:r w:rsidRPr="000C0E58" w:rsidR="00484285">
        <w:rPr>
          <w:rFonts w:eastAsia="Times New Roman"/>
          <w:lang w:val="en-GB"/>
        </w:rPr>
        <w:t>s subjective rights took place in several stages and had several dimensions. Firstly, the applicant was deprived of her disability pension as of 1 February 2010, due to a new method for establishing the level of disability set out in infra-legislative (infra-statutory) provisions. Secondly, she could receive neither the disability pension nor the rehabilitation allowance to which she was entitled in the second half of 2011, apparently due to the inaction of the administrative authorities. Thirdly, she was definitely deprived of the right to either of these two allowances as of 1 January 2012, due to a change in legislation decided by the national parliament.</w:t>
      </w:r>
    </w:p>
    <w:p w:rsidRPr="000C0E58" w:rsidR="00253B9D" w:rsidP="000C0E58">
      <w:pPr>
        <w:pStyle w:val="OpiPara"/>
        <w:rPr>
          <w:rFonts w:eastAsia="Times New Roman"/>
          <w:lang w:val="en-GB"/>
        </w:rPr>
      </w:pPr>
      <w:r w:rsidRPr="000C0E58">
        <w:rPr>
          <w:rFonts w:eastAsia="Times New Roman"/>
          <w:lang w:val="en-GB"/>
        </w:rPr>
        <w:t xml:space="preserve">The Chamber judgment stated that the Court is prevented from examining the procedure </w:t>
      </w:r>
      <w:r w:rsidRPr="000C0E58" w:rsidR="00362565">
        <w:rPr>
          <w:rFonts w:eastAsia="Times New Roman"/>
          <w:lang w:val="en-GB"/>
        </w:rPr>
        <w:t>having led to the judgment of 1 </w:t>
      </w:r>
      <w:r w:rsidRPr="000C0E58">
        <w:rPr>
          <w:rFonts w:eastAsia="Times New Roman"/>
          <w:lang w:val="en-GB"/>
        </w:rPr>
        <w:t>April 2011 because the application was filed more than 6 months later (see paragraph 31 of the Chamber judgment). This is somewhat ambiguous, but does not necessarily mean that the Court is prevented from examining the legal situation of the applicant after 31 January 2010.</w:t>
      </w:r>
    </w:p>
    <w:p w:rsidRPr="000C0E58" w:rsidR="00253B9D" w:rsidP="000C0E58">
      <w:pPr>
        <w:pStyle w:val="OpiPara"/>
        <w:rPr>
          <w:rFonts w:eastAsia="Times New Roman"/>
          <w:lang w:val="en-GB"/>
        </w:rPr>
      </w:pPr>
      <w:r w:rsidRPr="000C0E58">
        <w:rPr>
          <w:rFonts w:eastAsia="Times New Roman"/>
          <w:lang w:val="en-GB"/>
        </w:rPr>
        <w:t>The Grand Chamber declared that it will examine whether the outcome of the proceedings ending with the judgment of 20 June 2013 is compatible with the Convention (see paragraphs 91 and 92). What matters is not so much the outcome as such of those proceedings but the legal position of the applicant as determined by domestic law and confirmed by that domestic judgment.</w:t>
      </w:r>
    </w:p>
    <w:p w:rsidRPr="000C0E58" w:rsidR="00253B9D" w:rsidP="000C0E58">
      <w:pPr>
        <w:pStyle w:val="OpiPara"/>
        <w:rPr>
          <w:rFonts w:eastAsia="Times New Roman"/>
          <w:lang w:val="en-GB"/>
        </w:rPr>
      </w:pPr>
      <w:r w:rsidRPr="000C0E58">
        <w:rPr>
          <w:rFonts w:eastAsia="Times New Roman"/>
          <w:lang w:val="en-GB"/>
        </w:rPr>
        <w:fldChar w:fldCharType="begin"/>
      </w:r>
      <w:r w:rsidRPr="000C0E58">
        <w:rPr>
          <w:rFonts w:eastAsia="Times New Roman"/>
          <w:lang w:val="en-GB"/>
        </w:rPr>
        <w:instrText xml:space="preserve"> SEQ level0 \*arabic </w:instrText>
      </w:r>
      <w:r w:rsidRPr="000C0E58">
        <w:rPr>
          <w:rFonts w:eastAsia="Times New Roman"/>
          <w:lang w:val="en-GB"/>
        </w:rPr>
        <w:fldChar w:fldCharType="separate"/>
      </w:r>
      <w:r w:rsidRPr="000C0E58" w:rsidR="000C0E58">
        <w:rPr>
          <w:rFonts w:eastAsia="Times New Roman"/>
          <w:noProof/>
          <w:lang w:val="en-GB"/>
        </w:rPr>
        <w:t>11</w:t>
      </w:r>
      <w:r w:rsidRPr="000C0E58">
        <w:rPr>
          <w:rFonts w:eastAsia="Times New Roman"/>
          <w:lang w:val="en-GB"/>
        </w:rPr>
        <w:fldChar w:fldCharType="end"/>
      </w:r>
      <w:r w:rsidRPr="000C0E58">
        <w:rPr>
          <w:rFonts w:eastAsia="Times New Roman"/>
          <w:lang w:val="en-GB"/>
        </w:rPr>
        <w:t>.  </w:t>
      </w:r>
      <w:r w:rsidRPr="000C0E58" w:rsidR="00484285">
        <w:rPr>
          <w:rFonts w:eastAsia="Times New Roman"/>
          <w:lang w:val="en-GB"/>
        </w:rPr>
        <w:t>The question arises whether the first interference referred to above (in § 8) is a one-off interference or amounts to a continuous situation. The answer to this question may be disputed. For my colleagues of the minority, it was a one-off violation. Given that the legislation in force on 1 February 2010 did set out a time-frame for the implementation of the right in question (until the individual</w:t>
      </w:r>
      <w:r w:rsidRPr="000C0E58" w:rsidR="000C0E58">
        <w:rPr>
          <w:rFonts w:eastAsia="Times New Roman"/>
          <w:lang w:val="en-GB"/>
        </w:rPr>
        <w:t>’</w:t>
      </w:r>
      <w:r w:rsidRPr="000C0E58" w:rsidR="00484285">
        <w:rPr>
          <w:rFonts w:eastAsia="Times New Roman"/>
          <w:lang w:val="en-GB"/>
        </w:rPr>
        <w:t>s health improves), I would be inclined to see the applicant</w:t>
      </w:r>
      <w:r w:rsidRPr="000C0E58" w:rsidR="000C0E58">
        <w:rPr>
          <w:rFonts w:eastAsia="Times New Roman"/>
          <w:lang w:val="en-GB"/>
        </w:rPr>
        <w:t>’</w:t>
      </w:r>
      <w:r w:rsidRPr="000C0E58" w:rsidR="00484285">
        <w:rPr>
          <w:rFonts w:eastAsia="Times New Roman"/>
          <w:lang w:val="en-GB"/>
        </w:rPr>
        <w:t xml:space="preserve">s legal position after 1 February 2010 as a continuous interference with her subjective right, acquired prior to that date. But even if we consider this first interference as a one-off interference for the purpose of the </w:t>
      </w:r>
      <w:r w:rsidRPr="000C0E58" w:rsidR="00484285">
        <w:rPr>
          <w:rFonts w:eastAsia="Times New Roman"/>
          <w:lang w:val="en-GB"/>
        </w:rPr>
        <w:t>calculation of the six-month period, there is certainly a new subjective right at stake in the second semester of 2011 and a new – twofold – interference (described above) with this subjective right. This interference came first from the administrative authorities, and only later from the legislator.</w:t>
      </w:r>
    </w:p>
    <w:p w:rsidRPr="000C0E58" w:rsidR="00253B9D" w:rsidP="000C0E58">
      <w:pPr>
        <w:pStyle w:val="OpiPara"/>
        <w:rPr>
          <w:rFonts w:eastAsia="Times New Roman"/>
          <w:lang w:val="en-GB"/>
        </w:rPr>
      </w:pPr>
      <w:r w:rsidRPr="000C0E58">
        <w:rPr>
          <w:rFonts w:eastAsia="Times New Roman"/>
          <w:lang w:val="en-GB"/>
        </w:rPr>
        <w:t>In the instant case the interference with the applicant</w:t>
      </w:r>
      <w:r w:rsidRPr="000C0E58" w:rsidR="000C0E58">
        <w:rPr>
          <w:rFonts w:eastAsia="Times New Roman"/>
          <w:lang w:val="en-GB"/>
        </w:rPr>
        <w:t>’</w:t>
      </w:r>
      <w:r w:rsidRPr="000C0E58">
        <w:rPr>
          <w:rFonts w:eastAsia="Times New Roman"/>
          <w:lang w:val="en-GB"/>
        </w:rPr>
        <w:t xml:space="preserve">s right was initially administrative in nature. Nonetheless, it is not possible to avoid an assessment of the legislative </w:t>
      </w:r>
      <w:r w:rsidRPr="000C0E58" w:rsidR="00362565">
        <w:rPr>
          <w:rFonts w:eastAsia="Times New Roman"/>
          <w:lang w:val="en-GB"/>
        </w:rPr>
        <w:t>interference with effect from 1 </w:t>
      </w:r>
      <w:r w:rsidRPr="000C0E58">
        <w:rPr>
          <w:rFonts w:eastAsia="Times New Roman"/>
          <w:lang w:val="en-GB"/>
        </w:rPr>
        <w:t>January 2012. However, as stated above, such an assessment is not illegitimate, given the nature of the benefit in question. Therefore, it is justified to scrutinise the proportionality of the interference (both administrative and legislative) with the applicant</w:t>
      </w:r>
      <w:r w:rsidRPr="000C0E58" w:rsidR="000C0E58">
        <w:rPr>
          <w:rFonts w:eastAsia="Times New Roman"/>
          <w:lang w:val="en-GB"/>
        </w:rPr>
        <w:t>’</w:t>
      </w:r>
      <w:r w:rsidRPr="000C0E58">
        <w:rPr>
          <w:rFonts w:eastAsia="Times New Roman"/>
          <w:lang w:val="en-GB"/>
        </w:rPr>
        <w:t>s possession. In my view, this interference was not proportionate and in this respect I agree with the reasoning of the judgment.</w:t>
      </w:r>
    </w:p>
    <w:p w:rsidRPr="000C0E58" w:rsidR="00253B9D" w:rsidP="000C0E58">
      <w:pPr>
        <w:pStyle w:val="OpiPara"/>
        <w:rPr>
          <w:rFonts w:eastAsia="Times New Roman"/>
          <w:lang w:val="en-GB"/>
        </w:rPr>
      </w:pPr>
      <w:r w:rsidRPr="000C0E58">
        <w:rPr>
          <w:rFonts w:eastAsia="Times New Roman"/>
          <w:lang w:val="en-GB"/>
        </w:rPr>
        <w:t>Admittedly, we end up with the transformation of a right with limited protection against the legislator under domestic law into a right with somewhat stronger protection against the legislator. However, the specific nature of the right at stake justifies such an approach.</w:t>
      </w:r>
    </w:p>
    <w:p w:rsidRPr="000C0E58" w:rsidR="00253B9D" w:rsidP="000C0E58">
      <w:pPr>
        <w:pStyle w:val="OpiPara"/>
        <w:rPr>
          <w:rFonts w:eastAsia="Times New Roman"/>
          <w:lang w:val="en-GB"/>
        </w:rPr>
      </w:pPr>
      <w:r w:rsidRPr="000C0E58">
        <w:rPr>
          <w:rFonts w:eastAsia="Times New Roman"/>
          <w:lang w:val="en-GB"/>
        </w:rPr>
        <w:fldChar w:fldCharType="begin"/>
      </w:r>
      <w:r w:rsidRPr="000C0E58">
        <w:rPr>
          <w:rFonts w:eastAsia="Times New Roman"/>
          <w:lang w:val="en-GB"/>
        </w:rPr>
        <w:instrText xml:space="preserve"> SEQ level0 \*arabic </w:instrText>
      </w:r>
      <w:r w:rsidRPr="000C0E58">
        <w:rPr>
          <w:rFonts w:eastAsia="Times New Roman"/>
          <w:lang w:val="en-GB"/>
        </w:rPr>
        <w:fldChar w:fldCharType="separate"/>
      </w:r>
      <w:r w:rsidRPr="000C0E58" w:rsidR="000C0E58">
        <w:rPr>
          <w:rFonts w:eastAsia="Times New Roman"/>
          <w:noProof/>
          <w:lang w:val="en-GB"/>
        </w:rPr>
        <w:t>12</w:t>
      </w:r>
      <w:r w:rsidRPr="000C0E58">
        <w:rPr>
          <w:rFonts w:eastAsia="Times New Roman"/>
          <w:lang w:val="en-GB"/>
        </w:rPr>
        <w:fldChar w:fldCharType="end"/>
      </w:r>
      <w:r w:rsidRPr="000C0E58">
        <w:rPr>
          <w:rFonts w:eastAsia="Times New Roman"/>
          <w:lang w:val="en-GB"/>
        </w:rPr>
        <w:t>.  </w:t>
      </w:r>
      <w:r w:rsidRPr="000C0E58" w:rsidR="00484285">
        <w:rPr>
          <w:rFonts w:eastAsia="Times New Roman"/>
          <w:lang w:val="en-GB"/>
        </w:rPr>
        <w:t>The first and foremost condition for the legitimacy of a court is the precision, clarity and methodological correctness of its reasoning. Only well-argued judgments can win the respect of citizens. The European Court of Human Rights should consolidate the rule of law by setting the highest possible standards in this respect. It is true that the Convention sets out the minimum European standard for substantive human-rights protection, but this ought not to prevent the Court from seeking and promoting excellence in the art of legal argument.</w:t>
      </w:r>
    </w:p>
    <w:p w:rsidRPr="000C0E58" w:rsidR="00253B9D" w:rsidP="000C0E58">
      <w:pPr>
        <w:pStyle w:val="OpiPara"/>
        <w:rPr>
          <w:rFonts w:eastAsia="Times New Roman"/>
          <w:lang w:val="en-GB"/>
        </w:rPr>
      </w:pPr>
      <w:r w:rsidRPr="000C0E58">
        <w:rPr>
          <w:rFonts w:eastAsia="Times New Roman"/>
          <w:lang w:val="en-GB"/>
        </w:rPr>
        <w:t>In this respect, I should like to raise two questions. Firstly, I note that the judgment does not try to consider and discuss possible counter-arguments; in particular, it ignores the arguments put forward by the minority. Such a choice of argumentative strategy is problematic. I think that the argumentation of the minority deserves thorough consideration and serious discussion.</w:t>
      </w:r>
    </w:p>
    <w:p w:rsidRPr="000C0E58" w:rsidR="00253B9D" w:rsidP="000C0E58">
      <w:pPr>
        <w:pStyle w:val="OpiPara"/>
        <w:rPr>
          <w:rFonts w:eastAsia="Times New Roman"/>
        </w:rPr>
      </w:pPr>
      <w:r w:rsidRPr="000C0E58">
        <w:rPr>
          <w:rFonts w:eastAsia="Times New Roman"/>
        </w:rPr>
        <w:t>Secondly, in many European States the domestic courts follow extremely high standards in the reasoning of judicial decisions. In particular, they pay the utmost attention to the precision of the conceptual apparatus and clearly state the applicable rules of interpretation. The quality of reasoning in the instant case does not reach the level of diligence attained in the most advanced States. Seen from this perspective, for many European lawyers, the way in which the judgment is reasoned may appear as a step back in the development of the standards of a democratic State ruled by law. Such a situation not only makes it difficult for the respondent States to implement the Convention and affects the authority of the Court, but also has a detrimental impact on European legal culture.</w:t>
      </w:r>
    </w:p>
    <w:p w:rsidRPr="000C0E58" w:rsidR="00484285" w:rsidP="000C0E58">
      <w:pPr>
        <w:pStyle w:val="OpiPara"/>
        <w:rPr>
          <w:lang w:val="en-GB"/>
        </w:rPr>
      </w:pPr>
    </w:p>
    <w:p w:rsidRPr="000C0E58" w:rsidR="00484285" w:rsidP="000C0E58">
      <w:pPr>
        <w:pStyle w:val="OpiPara"/>
        <w:ind w:firstLine="0"/>
        <w:rPr>
          <w:lang w:val="en-GB"/>
        </w:rPr>
      </w:pPr>
    </w:p>
    <w:p w:rsidRPr="000C0E58" w:rsidR="002C3035" w:rsidP="000C0E58">
      <w:pPr>
        <w:pStyle w:val="ECHRTitleCentre1"/>
        <w:rPr>
          <w:rFonts w:eastAsia="Times New Roman"/>
          <w:lang w:val="en-GB" w:eastAsia="fr-FR"/>
        </w:rPr>
      </w:pPr>
      <w:r w:rsidRPr="000C0E58">
        <w:rPr>
          <w:rFonts w:eastAsia="Times New Roman"/>
          <w:lang w:val="en-GB" w:eastAsia="fr-FR"/>
        </w:rPr>
        <w:br w:type="page"/>
      </w:r>
    </w:p>
    <w:p w:rsidRPr="000C0E58" w:rsidR="00484285" w:rsidP="000C0E58">
      <w:pPr>
        <w:pStyle w:val="ECHRTitleCentre1"/>
      </w:pPr>
      <w:r w:rsidRPr="000C0E58">
        <w:t xml:space="preserve">JOINT </w:t>
      </w:r>
      <w:r w:rsidRPr="000C0E58" w:rsidR="00330384">
        <w:t>DISSENTING OPINION OF JUDGES NUSS</w:t>
      </w:r>
      <w:r w:rsidRPr="000C0E58">
        <w:t>BERGER, HIRVELÄ, BIANKU, YUDKIVSKA, MØSE, LEMMENS AND O</w:t>
      </w:r>
      <w:r w:rsidRPr="000C0E58" w:rsidR="000C0E58">
        <w:t>’</w:t>
      </w:r>
      <w:r w:rsidRPr="000C0E58">
        <w:t>LEARY</w:t>
      </w:r>
    </w:p>
    <w:p w:rsidRPr="000C0E58" w:rsidR="00D03682" w:rsidP="000C0E58">
      <w:pPr>
        <w:pStyle w:val="OpiPara"/>
        <w:rPr>
          <w:rFonts w:eastAsia="Times New Roman"/>
          <w:lang w:val="en-GB" w:eastAsia="fr-FR"/>
        </w:rPr>
      </w:pPr>
      <w:r w:rsidRPr="000C0E58">
        <w:rPr>
          <w:rFonts w:eastAsia="Times New Roman"/>
          <w:lang w:val="en-GB" w:eastAsia="fr-FR"/>
        </w:rPr>
        <w:fldChar w:fldCharType="begin"/>
      </w:r>
      <w:r w:rsidRPr="000C0E58">
        <w:rPr>
          <w:rFonts w:eastAsia="Times New Roman"/>
          <w:lang w:val="en-GB" w:eastAsia="fr-FR"/>
        </w:rPr>
        <w:instrText xml:space="preserve"> SEQ level0 \*arabic \r1 </w:instrText>
      </w:r>
      <w:r w:rsidRPr="000C0E58">
        <w:rPr>
          <w:rFonts w:eastAsia="Times New Roman"/>
          <w:lang w:val="en-GB" w:eastAsia="fr-FR"/>
        </w:rPr>
        <w:fldChar w:fldCharType="separate"/>
      </w:r>
      <w:r w:rsidRPr="000C0E58" w:rsidR="000C0E58">
        <w:rPr>
          <w:rFonts w:eastAsia="Times New Roman"/>
          <w:noProof/>
          <w:lang w:val="en-GB" w:eastAsia="fr-FR"/>
        </w:rPr>
        <w:t>1</w:t>
      </w:r>
      <w:r w:rsidRPr="000C0E58">
        <w:rPr>
          <w:rFonts w:eastAsia="Times New Roman"/>
          <w:lang w:val="en-GB" w:eastAsia="fr-FR"/>
        </w:rPr>
        <w:fldChar w:fldCharType="end"/>
      </w:r>
      <w:r w:rsidRPr="000C0E58">
        <w:rPr>
          <w:rFonts w:eastAsia="Times New Roman"/>
          <w:lang w:val="en-GB" w:eastAsia="fr-FR"/>
        </w:rPr>
        <w:t>.  </w:t>
      </w:r>
      <w:r w:rsidRPr="000C0E58" w:rsidR="00484285">
        <w:rPr>
          <w:rFonts w:eastAsia="Times New Roman"/>
          <w:lang w:val="en-GB" w:eastAsia="fr-FR"/>
        </w:rPr>
        <w:t xml:space="preserve">We regret that we cannot share the view of the majority that there has been a violation of Article 1 of Protocol No. 1 to the Convention. In our opinion, that provision is not applicable in the circumstances of the present case. Moreover, since we are unable to find a violation of Article 1 of Protocol No. 1, we consider, unlike the majority, that it is necessary to express ourselves separately on the issue of the alleged violation </w:t>
      </w:r>
      <w:r w:rsidRPr="000C0E58" w:rsidR="00502F43">
        <w:rPr>
          <w:rFonts w:eastAsia="Times New Roman"/>
          <w:lang w:val="en-GB" w:eastAsia="fr-FR"/>
        </w:rPr>
        <w:t>of Article </w:t>
      </w:r>
      <w:r w:rsidRPr="000C0E58">
        <w:rPr>
          <w:rFonts w:eastAsia="Times New Roman"/>
          <w:lang w:val="en-GB" w:eastAsia="fr-FR"/>
        </w:rPr>
        <w:t>8 of the Convention.</w:t>
      </w:r>
    </w:p>
    <w:p w:rsidRPr="000C0E58" w:rsidR="00484285" w:rsidP="000C0E58">
      <w:pPr>
        <w:pStyle w:val="OpiHA"/>
      </w:pPr>
      <w:r w:rsidRPr="000C0E58">
        <w:t>A</w:t>
      </w:r>
      <w:r w:rsidRPr="000C0E58">
        <w:t>. </w:t>
      </w:r>
      <w:r w:rsidRPr="000C0E58" w:rsidR="0074472D">
        <w:t> </w:t>
      </w:r>
      <w:r w:rsidRPr="000C0E58">
        <w:t>ALLEGED VIOLATION OF ARTICLE 1 OF PROTOCOL N</w:t>
      </w:r>
      <w:r w:rsidRPr="000C0E58" w:rsidR="007E7FF2">
        <w:t>o</w:t>
      </w:r>
      <w:r w:rsidRPr="000C0E58">
        <w:t>. 1 TO THE CONVENTION</w:t>
      </w:r>
    </w:p>
    <w:p w:rsidRPr="000C0E58" w:rsidR="00484285" w:rsidP="000C0E58">
      <w:pPr>
        <w:pStyle w:val="OpiH1"/>
        <w:rPr>
          <w:rFonts w:eastAsia="Times New Roman"/>
          <w:lang w:val="en-GB" w:eastAsia="fr-FR"/>
        </w:rPr>
      </w:pPr>
      <w:r w:rsidRPr="000C0E58">
        <w:rPr>
          <w:rFonts w:eastAsia="Times New Roman"/>
          <w:lang w:val="en-GB" w:eastAsia="fr-FR"/>
        </w:rPr>
        <w:t>1</w:t>
      </w:r>
      <w:r w:rsidRPr="000C0E58">
        <w:rPr>
          <w:rFonts w:eastAsia="Times New Roman"/>
          <w:lang w:val="en-GB" w:eastAsia="fr-FR"/>
        </w:rPr>
        <w:t>.  General principles</w:t>
      </w:r>
    </w:p>
    <w:p w:rsidRPr="000C0E58" w:rsidR="00484285" w:rsidP="000C0E58">
      <w:pPr>
        <w:pStyle w:val="OpiPara"/>
      </w:pPr>
      <w:r w:rsidRPr="000C0E58">
        <w:t>2.  It should be stressed at the outset that this part of our opinion has been drafted together with Judge Wojtyczek. Given that our interpretation of the general principles deriving from the Court</w:t>
      </w:r>
      <w:r w:rsidRPr="000C0E58" w:rsidR="000C0E58">
        <w:t>’</w:t>
      </w:r>
      <w:r w:rsidRPr="000C0E58">
        <w:t>s established case-law on Article 1 of Protocol No. 1 is significantly different to that set out in the plurality opinion forming the judgment of the Court, it is necessary to develop our analysis of the jurisprudence in a comprehensive way, and not merely to limit ourselves to criticising those parts of the judgment, specific to the present case, with which we disagree.</w:t>
      </w:r>
    </w:p>
    <w:p w:rsidRPr="000C0E58" w:rsidR="00484285" w:rsidP="000C0E58">
      <w:pPr>
        <w:pStyle w:val="OpiHa0"/>
        <w:rPr>
          <w:rFonts w:eastAsia="Times New Roman"/>
          <w:lang w:val="en-GB" w:eastAsia="fr-FR"/>
        </w:rPr>
      </w:pPr>
      <w:r w:rsidRPr="000C0E58">
        <w:rPr>
          <w:rFonts w:eastAsia="Times New Roman"/>
          <w:lang w:val="en-GB" w:eastAsia="fr-FR"/>
        </w:rPr>
        <w:t>(a)  The scope of Article 1 of Protocol No. 1 in general</w:t>
      </w:r>
    </w:p>
    <w:p w:rsidRPr="000C0E58" w:rsidR="00484285" w:rsidP="000C0E58">
      <w:pPr>
        <w:pStyle w:val="OpiPara"/>
        <w:rPr>
          <w:rFonts w:eastAsia="Times New Roman"/>
          <w:i/>
          <w:lang w:val="en-GB" w:eastAsia="fr-FR"/>
        </w:rPr>
      </w:pPr>
      <w:r w:rsidRPr="000C0E58">
        <w:rPr>
          <w:rFonts w:eastAsia="Times New Roman"/>
          <w:lang w:val="en-GB" w:eastAsia="fr-FR"/>
        </w:rPr>
        <w:t xml:space="preserve">3.  The concept of “possessions” within the meaning of Article 1 of Protocol No. 1 has an autonomous meaning which is not limited to ownership of physical goods and is independent from the formal classification in domestic law. Certain other rights and interests constituting assets can also be regarded as “property rights”, and thus as “possessions” for the purposes of this provision (see </w:t>
      </w:r>
      <w:r w:rsidRPr="000C0E58">
        <w:rPr>
          <w:rFonts w:eastAsia="Times New Roman"/>
          <w:i/>
          <w:lang w:val="en-GB" w:eastAsia="fr-FR"/>
        </w:rPr>
        <w:t>Beyeler v. Italy</w:t>
      </w:r>
      <w:r w:rsidRPr="000C0E58" w:rsidR="00502F43">
        <w:rPr>
          <w:rFonts w:eastAsia="Times New Roman"/>
          <w:lang w:val="en-GB" w:eastAsia="fr-FR"/>
        </w:rPr>
        <w:t xml:space="preserve"> [GC], no. </w:t>
      </w:r>
      <w:r w:rsidRPr="000C0E58">
        <w:rPr>
          <w:rFonts w:eastAsia="Times New Roman"/>
          <w:lang w:val="en-GB" w:eastAsia="fr-FR"/>
        </w:rPr>
        <w:t>33202/96, § 100, ECHR 2000</w:t>
      </w:r>
      <w:r w:rsidRPr="000C0E58">
        <w:rPr>
          <w:rFonts w:eastAsia="Times New Roman"/>
          <w:lang w:val="en-GB" w:eastAsia="fr-FR"/>
        </w:rPr>
        <w:noBreakHyphen/>
        <w:t xml:space="preserve">I; </w:t>
      </w:r>
      <w:r w:rsidRPr="000C0E58">
        <w:rPr>
          <w:rFonts w:eastAsia="Times New Roman"/>
          <w:i/>
          <w:lang w:val="en-GB" w:eastAsia="fr-FR"/>
        </w:rPr>
        <w:t>Broniowski v. Poland</w:t>
      </w:r>
      <w:r w:rsidRPr="000C0E58">
        <w:rPr>
          <w:rFonts w:eastAsia="Times New Roman"/>
          <w:lang w:val="en-GB" w:eastAsia="fr-FR"/>
        </w:rPr>
        <w:t xml:space="preserve"> (dec.) [GC], no. 31443/96</w:t>
      </w:r>
      <w:r w:rsidRPr="000C0E58" w:rsidR="00502F43">
        <w:rPr>
          <w:rFonts w:eastAsia="Times New Roman"/>
          <w:szCs w:val="24"/>
          <w:lang w:val="en-GB" w:eastAsia="fr-FR"/>
        </w:rPr>
        <w:t>, § </w:t>
      </w:r>
      <w:r w:rsidRPr="000C0E58">
        <w:rPr>
          <w:rFonts w:eastAsia="Times New Roman"/>
          <w:szCs w:val="24"/>
          <w:lang w:val="en-GB" w:eastAsia="fr-FR"/>
        </w:rPr>
        <w:t xml:space="preserve">98, </w:t>
      </w:r>
      <w:r w:rsidRPr="000C0E58">
        <w:rPr>
          <w:rFonts w:eastAsia="Times New Roman"/>
          <w:lang w:val="en-GB" w:eastAsia="fr-FR"/>
        </w:rPr>
        <w:t>ECHR 2002</w:t>
      </w:r>
      <w:r w:rsidRPr="000C0E58">
        <w:rPr>
          <w:rFonts w:eastAsia="Times New Roman"/>
          <w:lang w:val="en-GB" w:eastAsia="fr-FR"/>
        </w:rPr>
        <w:noBreakHyphen/>
        <w:t xml:space="preserve">X; </w:t>
      </w:r>
      <w:r w:rsidRPr="000C0E58">
        <w:rPr>
          <w:rFonts w:eastAsia="Times New Roman"/>
          <w:i/>
          <w:lang w:val="en-GB" w:eastAsia="fr-FR"/>
        </w:rPr>
        <w:t>Anheuser-Busch Inc. v. Portugal</w:t>
      </w:r>
      <w:r w:rsidRPr="000C0E58" w:rsidR="00502F43">
        <w:rPr>
          <w:rFonts w:eastAsia="Times New Roman"/>
          <w:lang w:val="en-GB" w:eastAsia="fr-FR"/>
        </w:rPr>
        <w:t xml:space="preserve"> [GC], no. 73049/01, § </w:t>
      </w:r>
      <w:r w:rsidRPr="000C0E58">
        <w:rPr>
          <w:rFonts w:eastAsia="Times New Roman"/>
          <w:lang w:val="en-GB" w:eastAsia="fr-FR"/>
        </w:rPr>
        <w:t>63, ECHR 2007</w:t>
      </w:r>
      <w:r w:rsidRPr="000C0E58">
        <w:rPr>
          <w:rFonts w:eastAsia="Times New Roman"/>
          <w:lang w:val="en-GB" w:eastAsia="fr-FR"/>
        </w:rPr>
        <w:noBreakHyphen/>
        <w:t xml:space="preserve">I; </w:t>
      </w:r>
      <w:r w:rsidRPr="000C0E58">
        <w:rPr>
          <w:rFonts w:eastAsia="Times New Roman"/>
          <w:i/>
          <w:lang w:val="en-GB" w:eastAsia="fr-FR"/>
        </w:rPr>
        <w:t>Depalle v. France</w:t>
      </w:r>
      <w:r w:rsidRPr="000C0E58">
        <w:rPr>
          <w:rFonts w:eastAsia="Times New Roman"/>
          <w:lang w:val="en-GB" w:eastAsia="fr-FR"/>
        </w:rPr>
        <w:t xml:space="preserve"> [GC], no. 34044/02, § 62, ECHR 2010; </w:t>
      </w:r>
      <w:r w:rsidRPr="000C0E58">
        <w:rPr>
          <w:rFonts w:eastAsia="Times New Roman"/>
          <w:i/>
          <w:lang w:val="en-GB" w:eastAsia="fr-FR"/>
        </w:rPr>
        <w:t xml:space="preserve">Centro Europa 7 </w:t>
      </w:r>
      <w:r w:rsidRPr="000C0E58">
        <w:rPr>
          <w:rFonts w:eastAsia="Times New Roman"/>
          <w:i/>
          <w:snapToGrid w:val="0"/>
          <w:lang w:val="en-GB" w:eastAsia="fr-FR"/>
        </w:rPr>
        <w:t>S.r.l.</w:t>
      </w:r>
      <w:r w:rsidRPr="000C0E58">
        <w:rPr>
          <w:rFonts w:eastAsia="Times New Roman"/>
          <w:i/>
          <w:lang w:val="en-GB" w:eastAsia="fr-FR"/>
        </w:rPr>
        <w:t xml:space="preserve"> and Di Stefano v. Italy</w:t>
      </w:r>
      <w:r w:rsidRPr="000C0E58">
        <w:rPr>
          <w:rFonts w:eastAsia="Times New Roman"/>
          <w:lang w:val="en-GB" w:eastAsia="fr-FR"/>
        </w:rPr>
        <w:t xml:space="preserve"> [GC], no. 38433/09</w:t>
      </w:r>
      <w:r w:rsidRPr="000C0E58" w:rsidR="00502F43">
        <w:rPr>
          <w:rFonts w:eastAsia="Times New Roman"/>
          <w:snapToGrid w:val="0"/>
          <w:szCs w:val="24"/>
          <w:lang w:val="en-GB" w:eastAsia="fr-FR"/>
        </w:rPr>
        <w:t>, § </w:t>
      </w:r>
      <w:r w:rsidRPr="000C0E58">
        <w:rPr>
          <w:rFonts w:eastAsia="Times New Roman"/>
          <w:snapToGrid w:val="0"/>
          <w:szCs w:val="24"/>
          <w:lang w:val="en-GB" w:eastAsia="fr-FR"/>
        </w:rPr>
        <w:t xml:space="preserve">171, </w:t>
      </w:r>
      <w:r w:rsidRPr="000C0E58">
        <w:rPr>
          <w:rFonts w:eastAsia="Times New Roman"/>
          <w:snapToGrid w:val="0"/>
          <w:lang w:val="en-GB" w:eastAsia="fr-FR"/>
        </w:rPr>
        <w:t xml:space="preserve">ECHR 2012; </w:t>
      </w:r>
      <w:r w:rsidRPr="000C0E58">
        <w:rPr>
          <w:rFonts w:eastAsia="Times New Roman"/>
          <w:i/>
          <w:lang w:val="en-GB" w:eastAsia="fr-FR"/>
        </w:rPr>
        <w:t>Fabris v. France</w:t>
      </w:r>
      <w:r w:rsidRPr="000C0E58">
        <w:rPr>
          <w:rFonts w:eastAsia="Times New Roman"/>
          <w:lang w:val="en-GB" w:eastAsia="fr-FR"/>
        </w:rPr>
        <w:t xml:space="preserve"> [GC], no. 16574/08</w:t>
      </w:r>
      <w:r w:rsidRPr="000C0E58">
        <w:rPr>
          <w:rFonts w:eastAsia="Times New Roman"/>
          <w:snapToGrid w:val="0"/>
          <w:lang w:val="en-GB" w:eastAsia="fr-FR"/>
        </w:rPr>
        <w:t xml:space="preserve">, § 49, </w:t>
      </w:r>
      <w:r w:rsidRPr="000C0E58">
        <w:rPr>
          <w:rFonts w:eastAsia="Times New Roman"/>
          <w:lang w:val="en-GB" w:eastAsia="fr-FR"/>
        </w:rPr>
        <w:t xml:space="preserve">ECHR 2013 (extracts); and </w:t>
      </w:r>
      <w:r w:rsidRPr="000C0E58">
        <w:rPr>
          <w:rFonts w:eastAsia="Times New Roman"/>
          <w:i/>
          <w:lang w:val="en-GB" w:eastAsia="fr-FR"/>
        </w:rPr>
        <w:t xml:space="preserve">Parrillo v. Italy </w:t>
      </w:r>
      <w:r w:rsidRPr="000C0E58">
        <w:rPr>
          <w:rFonts w:eastAsia="Times New Roman"/>
          <w:lang w:val="en-GB" w:eastAsia="fr-FR"/>
        </w:rPr>
        <w:t>[GC], no. 46470/11, § 211, ECHR 2015).</w:t>
      </w:r>
    </w:p>
    <w:p w:rsidRPr="000C0E58" w:rsidR="00484285" w:rsidP="000C0E58">
      <w:pPr>
        <w:pStyle w:val="OpiPara"/>
        <w:rPr>
          <w:rFonts w:eastAsia="Times New Roman"/>
          <w:lang w:val="en-GB" w:eastAsia="fr-FR"/>
        </w:rPr>
      </w:pPr>
      <w:r w:rsidRPr="000C0E58">
        <w:rPr>
          <w:rFonts w:eastAsia="Calibri"/>
          <w:szCs w:val="24"/>
          <w:lang w:val="en-GB" w:eastAsia="fr-FR"/>
        </w:rPr>
        <w:t xml:space="preserve">4.  The Court has acknowledged in its case-law the relevance of the notion of “legitimate expectations” with respect to the concept of “possessions” (see the case-law starting with </w:t>
      </w:r>
      <w:r w:rsidRPr="000C0E58">
        <w:rPr>
          <w:rFonts w:eastAsia="Times New Roman"/>
          <w:i/>
          <w:lang w:val="en-GB" w:eastAsia="fr-FR"/>
        </w:rPr>
        <w:t>Pine Valley Developments Ltd and Others v. Ireland</w:t>
      </w:r>
      <w:r w:rsidRPr="000C0E58">
        <w:rPr>
          <w:rFonts w:eastAsia="Times New Roman"/>
          <w:lang w:val="en-GB" w:eastAsia="fr-FR"/>
        </w:rPr>
        <w:t xml:space="preserve">, 29 November 1991, § 51, Series A no. 222, and </w:t>
      </w:r>
      <w:r w:rsidRPr="000C0E58">
        <w:rPr>
          <w:rFonts w:eastAsia="Times New Roman"/>
          <w:i/>
          <w:lang w:val="en-GB" w:eastAsia="fr-FR"/>
        </w:rPr>
        <w:t>Pressos Compania Naviera S.A. and Others v. Belgium</w:t>
      </w:r>
      <w:r w:rsidRPr="000C0E58" w:rsidR="00502F43">
        <w:rPr>
          <w:rFonts w:eastAsia="Times New Roman"/>
          <w:lang w:val="en-GB" w:eastAsia="fr-FR"/>
        </w:rPr>
        <w:t>, 20 </w:t>
      </w:r>
      <w:r w:rsidRPr="000C0E58" w:rsidR="00D85CEA">
        <w:rPr>
          <w:rFonts w:eastAsia="Times New Roman"/>
          <w:lang w:val="en-GB" w:eastAsia="fr-FR"/>
        </w:rPr>
        <w:t>November 1995, § </w:t>
      </w:r>
      <w:r w:rsidRPr="000C0E58">
        <w:rPr>
          <w:rFonts w:eastAsia="Times New Roman"/>
          <w:lang w:val="en-GB" w:eastAsia="fr-FR"/>
        </w:rPr>
        <w:t>31, Series A no. 332)</w:t>
      </w:r>
      <w:r w:rsidRPr="000C0E58">
        <w:rPr>
          <w:rFonts w:eastAsia="Calibri"/>
          <w:szCs w:val="24"/>
          <w:lang w:val="en-GB" w:eastAsia="fr-FR"/>
        </w:rPr>
        <w:t>. Pursuant to the Court</w:t>
      </w:r>
      <w:r w:rsidRPr="000C0E58" w:rsidR="000C0E58">
        <w:rPr>
          <w:rFonts w:eastAsia="Calibri"/>
          <w:szCs w:val="24"/>
          <w:lang w:val="en-GB" w:eastAsia="fr-FR"/>
        </w:rPr>
        <w:t>’</w:t>
      </w:r>
      <w:r w:rsidRPr="000C0E58">
        <w:rPr>
          <w:rFonts w:eastAsia="Calibri"/>
          <w:szCs w:val="24"/>
          <w:lang w:val="en-GB" w:eastAsia="fr-FR"/>
        </w:rPr>
        <w:t xml:space="preserve">s established case-law, a “legitimate expectation” does not constitute an interest that in itself is protected under Article 1 of Protocol No. 1. According to this case-law, “no such expectation could come into play in the absence of an </w:t>
      </w:r>
      <w:r w:rsidRPr="000C0E58" w:rsidR="000C0E58">
        <w:rPr>
          <w:rFonts w:eastAsia="Calibri"/>
          <w:szCs w:val="24"/>
          <w:lang w:val="en-GB" w:eastAsia="fr-FR"/>
        </w:rPr>
        <w:t>‘</w:t>
      </w:r>
      <w:r w:rsidRPr="000C0E58">
        <w:rPr>
          <w:rFonts w:eastAsia="Calibri"/>
          <w:szCs w:val="24"/>
          <w:lang w:val="en-GB" w:eastAsia="fr-FR"/>
        </w:rPr>
        <w:t>asset</w:t>
      </w:r>
      <w:r w:rsidRPr="000C0E58" w:rsidR="000C0E58">
        <w:rPr>
          <w:rFonts w:eastAsia="Calibri"/>
          <w:szCs w:val="24"/>
          <w:lang w:val="en-GB" w:eastAsia="fr-FR"/>
        </w:rPr>
        <w:t>’</w:t>
      </w:r>
      <w:r w:rsidRPr="000C0E58">
        <w:rPr>
          <w:rFonts w:eastAsia="Calibri"/>
          <w:szCs w:val="24"/>
          <w:lang w:val="en-GB" w:eastAsia="fr-FR"/>
        </w:rPr>
        <w:t xml:space="preserve"> falling within the ambit of Article 1 of Protocol No. 1” (see </w:t>
      </w:r>
      <w:r w:rsidRPr="000C0E58" w:rsidR="00502F43">
        <w:rPr>
          <w:rFonts w:eastAsia="Times New Roman"/>
          <w:i/>
          <w:lang w:val="en-GB" w:eastAsia="fr-FR"/>
        </w:rPr>
        <w:t>Kopecký v. </w:t>
      </w:r>
      <w:r w:rsidRPr="000C0E58">
        <w:rPr>
          <w:rFonts w:eastAsia="Times New Roman"/>
          <w:i/>
          <w:lang w:val="en-GB" w:eastAsia="fr-FR"/>
        </w:rPr>
        <w:t xml:space="preserve">Slovakia </w:t>
      </w:r>
      <w:r w:rsidRPr="000C0E58">
        <w:rPr>
          <w:rFonts w:eastAsia="Times New Roman"/>
          <w:lang w:val="en-GB" w:eastAsia="fr-FR"/>
        </w:rPr>
        <w:t>[GC], no. 44912/98, § 48, ECHR 2004</w:t>
      </w:r>
      <w:r w:rsidRPr="000C0E58">
        <w:rPr>
          <w:rFonts w:eastAsia="Times New Roman"/>
          <w:lang w:val="en-GB" w:eastAsia="fr-FR"/>
        </w:rPr>
        <w:noBreakHyphen/>
        <w:t xml:space="preserve">IX; and </w:t>
      </w:r>
      <w:r w:rsidRPr="000C0E58">
        <w:rPr>
          <w:rFonts w:eastAsia="Times New Roman"/>
          <w:i/>
          <w:szCs w:val="24"/>
          <w:lang w:val="en-GB" w:eastAsia="fr-FR"/>
        </w:rPr>
        <w:t xml:space="preserve">Maurice v. France </w:t>
      </w:r>
      <w:r w:rsidRPr="000C0E58">
        <w:rPr>
          <w:rFonts w:eastAsia="Times New Roman"/>
          <w:szCs w:val="24"/>
          <w:lang w:val="en-GB" w:eastAsia="fr-FR"/>
        </w:rPr>
        <w:t xml:space="preserve">[GC], no. 11810/03, § 65, </w:t>
      </w:r>
      <w:r w:rsidRPr="000C0E58">
        <w:rPr>
          <w:rFonts w:eastAsia="Times New Roman"/>
          <w:lang w:val="en-GB" w:eastAsia="fr-FR"/>
        </w:rPr>
        <w:t>ECHR 2005</w:t>
      </w:r>
      <w:r w:rsidRPr="000C0E58">
        <w:rPr>
          <w:rFonts w:eastAsia="Times New Roman"/>
          <w:lang w:val="en-GB" w:eastAsia="fr-FR"/>
        </w:rPr>
        <w:noBreakHyphen/>
        <w:t>IX</w:t>
      </w:r>
      <w:r w:rsidRPr="000C0E58">
        <w:rPr>
          <w:rFonts w:eastAsia="Times New Roman"/>
          <w:szCs w:val="24"/>
          <w:lang w:val="en-GB" w:eastAsia="fr-FR"/>
        </w:rPr>
        <w:t>)</w:t>
      </w:r>
      <w:r w:rsidRPr="000C0E58">
        <w:rPr>
          <w:rFonts w:eastAsia="Calibri"/>
          <w:szCs w:val="24"/>
          <w:lang w:val="en-GB" w:eastAsia="fr-FR"/>
        </w:rPr>
        <w:t>.</w:t>
      </w:r>
    </w:p>
    <w:p w:rsidRPr="000C0E58" w:rsidR="00484285" w:rsidP="000C0E58">
      <w:pPr>
        <w:pStyle w:val="OpiPara"/>
        <w:rPr>
          <w:rFonts w:eastAsia="Times New Roman"/>
          <w:lang w:val="en-GB" w:eastAsia="fr-FR"/>
        </w:rPr>
      </w:pPr>
      <w:r w:rsidRPr="000C0E58">
        <w:rPr>
          <w:rFonts w:eastAsia="Calibri"/>
          <w:szCs w:val="24"/>
          <w:lang w:val="en-GB" w:eastAsia="fr-FR"/>
        </w:rPr>
        <w:t xml:space="preserve">5.  In a series of cases, the Court has found that the applicants did not have a “legitimate expectation” in circumstances where it could not be said that they had a currently enforceable claim that was reasonably established (see </w:t>
      </w:r>
      <w:r w:rsidRPr="000C0E58">
        <w:rPr>
          <w:rFonts w:eastAsia="Calibri"/>
          <w:i/>
          <w:szCs w:val="24"/>
          <w:lang w:val="en-GB" w:eastAsia="fr-FR"/>
        </w:rPr>
        <w:t>Kopecký</w:t>
      </w:r>
      <w:r w:rsidRPr="000C0E58">
        <w:rPr>
          <w:rFonts w:eastAsia="Times New Roman"/>
          <w:lang w:val="en-GB" w:eastAsia="fr-FR"/>
        </w:rPr>
        <w:t>, cited above, § 49, and the cases</w:t>
      </w:r>
      <w:r w:rsidRPr="000C0E58" w:rsidR="00D85CEA">
        <w:rPr>
          <w:rFonts w:eastAsia="Times New Roman"/>
          <w:lang w:val="en-GB" w:eastAsia="fr-FR"/>
        </w:rPr>
        <w:t xml:space="preserve"> referred to in paragraphs 49</w:t>
      </w:r>
      <w:r w:rsidRPr="000C0E58" w:rsidR="00D85CEA">
        <w:rPr>
          <w:rFonts w:eastAsia="Times New Roman"/>
          <w:lang w:val="en-GB" w:eastAsia="fr-FR"/>
        </w:rPr>
        <w:noBreakHyphen/>
      </w:r>
      <w:r w:rsidRPr="000C0E58">
        <w:rPr>
          <w:rFonts w:eastAsia="Times New Roman"/>
          <w:lang w:val="en-GB" w:eastAsia="fr-FR"/>
        </w:rPr>
        <w:t>51 of the judgment)</w:t>
      </w:r>
      <w:r w:rsidRPr="000C0E58">
        <w:rPr>
          <w:rFonts w:eastAsia="Calibri"/>
          <w:szCs w:val="24"/>
          <w:lang w:val="en-GB" w:eastAsia="fr-FR"/>
        </w:rPr>
        <w:t>. The Court</w:t>
      </w:r>
      <w:r w:rsidRPr="000C0E58" w:rsidR="000C0E58">
        <w:rPr>
          <w:rFonts w:eastAsia="Calibri"/>
          <w:szCs w:val="24"/>
          <w:lang w:val="en-GB" w:eastAsia="fr-FR"/>
        </w:rPr>
        <w:t>’</w:t>
      </w:r>
      <w:r w:rsidRPr="000C0E58">
        <w:rPr>
          <w:rFonts w:eastAsia="Calibri"/>
          <w:szCs w:val="24"/>
          <w:lang w:val="en-GB" w:eastAsia="fr-FR"/>
        </w:rPr>
        <w:t xml:space="preserve">s case-law thus does not contemplate the existence of a “genuine dispute” or an “arguable claim” as a criterion for determining whether there is a “legitimate expectation” protected by Article 1 of Protocol No. 1 (see </w:t>
      </w:r>
      <w:r w:rsidRPr="000C0E58">
        <w:rPr>
          <w:rFonts w:eastAsia="Calibri"/>
          <w:i/>
          <w:szCs w:val="24"/>
          <w:lang w:val="en-GB" w:eastAsia="fr-FR"/>
        </w:rPr>
        <w:t>Kopecký</w:t>
      </w:r>
      <w:r w:rsidRPr="000C0E58" w:rsidR="00D85CEA">
        <w:rPr>
          <w:rFonts w:eastAsia="Times New Roman"/>
          <w:lang w:val="en-GB" w:eastAsia="fr-FR"/>
        </w:rPr>
        <w:t>, cited above, § </w:t>
      </w:r>
      <w:r w:rsidRPr="000C0E58">
        <w:rPr>
          <w:rFonts w:eastAsia="Times New Roman"/>
          <w:lang w:val="en-GB" w:eastAsia="fr-FR"/>
        </w:rPr>
        <w:t xml:space="preserve">52, and </w:t>
      </w:r>
      <w:r w:rsidRPr="000C0E58">
        <w:rPr>
          <w:rFonts w:eastAsia="Times New Roman"/>
          <w:i/>
          <w:lang w:val="en-GB" w:eastAsia="fr-FR"/>
        </w:rPr>
        <w:t>Maurice</w:t>
      </w:r>
      <w:r w:rsidRPr="000C0E58">
        <w:rPr>
          <w:rFonts w:eastAsia="Times New Roman"/>
          <w:lang w:val="en-GB" w:eastAsia="fr-FR"/>
        </w:rPr>
        <w:t>, cited above, § 66)</w:t>
      </w:r>
      <w:r w:rsidRPr="000C0E58">
        <w:rPr>
          <w:rFonts w:eastAsia="Calibri"/>
          <w:szCs w:val="24"/>
          <w:lang w:val="en-GB" w:eastAsia="fr-FR"/>
        </w:rPr>
        <w:t xml:space="preserve">. On the contrary, where the proprietary interest is in the nature of a claim, the Court takes the view that it may be regarded as an “asset” only where it has a sufficient basis in domestic law, for example, where there is settled case-law of the domestic courts confirming its existence (see </w:t>
      </w:r>
      <w:r w:rsidRPr="000C0E58">
        <w:rPr>
          <w:rFonts w:eastAsia="Calibri"/>
          <w:i/>
          <w:szCs w:val="24"/>
          <w:lang w:val="en-GB" w:eastAsia="fr-FR"/>
        </w:rPr>
        <w:t>Kopecký</w:t>
      </w:r>
      <w:r w:rsidRPr="000C0E58">
        <w:rPr>
          <w:rFonts w:eastAsia="Times New Roman"/>
          <w:lang w:val="en-GB" w:eastAsia="fr-FR"/>
        </w:rPr>
        <w:t xml:space="preserve">, cited above, §§ 49 and 52; </w:t>
      </w:r>
      <w:r w:rsidRPr="000C0E58">
        <w:rPr>
          <w:rFonts w:eastAsia="Times New Roman"/>
          <w:i/>
          <w:szCs w:val="24"/>
          <w:lang w:val="en-GB" w:eastAsia="fr-FR"/>
        </w:rPr>
        <w:t>Maurice</w:t>
      </w:r>
      <w:r w:rsidRPr="000C0E58">
        <w:rPr>
          <w:rFonts w:eastAsia="Times New Roman"/>
          <w:szCs w:val="24"/>
          <w:lang w:val="en-GB" w:eastAsia="fr-FR"/>
        </w:rPr>
        <w:t xml:space="preserve">, cited above, § 66; </w:t>
      </w:r>
      <w:r w:rsidRPr="000C0E58">
        <w:rPr>
          <w:rFonts w:eastAsia="Times New Roman"/>
          <w:i/>
          <w:lang w:val="en-GB" w:eastAsia="fr-FR"/>
        </w:rPr>
        <w:t>Anheuser-Busch Inc.</w:t>
      </w:r>
      <w:r w:rsidRPr="000C0E58">
        <w:rPr>
          <w:rFonts w:eastAsia="Times New Roman"/>
          <w:lang w:val="en-GB" w:eastAsia="fr-FR"/>
        </w:rPr>
        <w:t xml:space="preserve">, cited above, § 65; </w:t>
      </w:r>
      <w:r w:rsidRPr="000C0E58" w:rsidR="00E40E19">
        <w:rPr>
          <w:rFonts w:eastAsia="Times New Roman"/>
          <w:i/>
          <w:szCs w:val="24"/>
          <w:lang w:val="en-GB" w:eastAsia="fr-FR"/>
        </w:rPr>
        <w:t>Vilho Eskelinen and Others v. </w:t>
      </w:r>
      <w:r w:rsidRPr="000C0E58">
        <w:rPr>
          <w:rFonts w:eastAsia="Times New Roman"/>
          <w:i/>
          <w:szCs w:val="24"/>
          <w:lang w:val="en-GB" w:eastAsia="fr-FR"/>
        </w:rPr>
        <w:t>Finland</w:t>
      </w:r>
      <w:r w:rsidRPr="000C0E58">
        <w:rPr>
          <w:rFonts w:eastAsia="Times New Roman"/>
          <w:szCs w:val="24"/>
          <w:lang w:val="en-GB" w:eastAsia="fr-FR"/>
        </w:rPr>
        <w:t xml:space="preserve"> [GC], no. 63235/00, § 94, </w:t>
      </w:r>
      <w:r w:rsidRPr="000C0E58">
        <w:rPr>
          <w:rFonts w:eastAsia="Times New Roman"/>
          <w:lang w:val="en-GB" w:eastAsia="fr-FR"/>
        </w:rPr>
        <w:t>ECHR 2007</w:t>
      </w:r>
      <w:r w:rsidRPr="000C0E58">
        <w:rPr>
          <w:rFonts w:eastAsia="Times New Roman"/>
          <w:lang w:val="en-GB" w:eastAsia="fr-FR"/>
        </w:rPr>
        <w:noBreakHyphen/>
        <w:t>II;</w:t>
      </w:r>
      <w:r w:rsidRPr="000C0E58">
        <w:rPr>
          <w:rFonts w:eastAsia="Times New Roman"/>
          <w:i/>
          <w:lang w:val="en-GB" w:eastAsia="fr-FR"/>
        </w:rPr>
        <w:t xml:space="preserve"> Centro Europa 7 </w:t>
      </w:r>
      <w:r w:rsidRPr="000C0E58">
        <w:rPr>
          <w:rFonts w:eastAsia="Times New Roman"/>
          <w:i/>
          <w:snapToGrid w:val="0"/>
          <w:lang w:val="en-GB" w:eastAsia="fr-FR"/>
        </w:rPr>
        <w:t>S.r.l.</w:t>
      </w:r>
      <w:r w:rsidRPr="000C0E58">
        <w:rPr>
          <w:rFonts w:eastAsia="Times New Roman"/>
          <w:i/>
          <w:lang w:val="en-GB" w:eastAsia="fr-FR"/>
        </w:rPr>
        <w:t xml:space="preserve"> and Di Stefano</w:t>
      </w:r>
      <w:r w:rsidRPr="000C0E58">
        <w:rPr>
          <w:rFonts w:eastAsia="Times New Roman"/>
          <w:snapToGrid w:val="0"/>
          <w:szCs w:val="24"/>
          <w:lang w:val="en-GB" w:eastAsia="fr-FR"/>
        </w:rPr>
        <w:t xml:space="preserve">, cited above, § 173; </w:t>
      </w:r>
      <w:r w:rsidRPr="000C0E58">
        <w:rPr>
          <w:rFonts w:eastAsia="Times New Roman"/>
          <w:lang w:val="en-GB" w:eastAsia="fr-FR"/>
        </w:rPr>
        <w:t xml:space="preserve">and </w:t>
      </w:r>
      <w:r w:rsidRPr="000C0E58">
        <w:rPr>
          <w:rFonts w:eastAsia="Times New Roman"/>
          <w:i/>
          <w:lang w:val="en-GB" w:eastAsia="fr-FR"/>
        </w:rPr>
        <w:t>Parrillo</w:t>
      </w:r>
      <w:r w:rsidRPr="000C0E58">
        <w:rPr>
          <w:rFonts w:eastAsia="Times New Roman"/>
          <w:lang w:val="en-GB" w:eastAsia="fr-FR"/>
        </w:rPr>
        <w:t>, cited above, § 213</w:t>
      </w:r>
      <w:r w:rsidRPr="000C0E58">
        <w:rPr>
          <w:rFonts w:eastAsia="Times New Roman"/>
          <w:szCs w:val="24"/>
          <w:lang w:val="en-GB" w:eastAsia="fr-FR"/>
        </w:rPr>
        <w:t>).</w:t>
      </w:r>
    </w:p>
    <w:p w:rsidRPr="000C0E58" w:rsidR="00484285" w:rsidP="000C0E58">
      <w:pPr>
        <w:pStyle w:val="OpiPara"/>
        <w:rPr>
          <w:rFonts w:eastAsia="Times New Roman"/>
          <w:lang w:val="en-GB" w:eastAsia="fr-FR"/>
        </w:rPr>
      </w:pPr>
      <w:r w:rsidRPr="000C0E58">
        <w:rPr>
          <w:rFonts w:eastAsia="Times New Roman"/>
          <w:lang w:val="en-GB" w:eastAsia="fr-FR"/>
        </w:rPr>
        <w:t>6.  This principle has also been formulated in various other ways throughout the Court</w:t>
      </w:r>
      <w:r w:rsidRPr="000C0E58" w:rsidR="000C0E58">
        <w:rPr>
          <w:rFonts w:eastAsia="Times New Roman"/>
          <w:lang w:val="en-GB" w:eastAsia="fr-FR"/>
        </w:rPr>
        <w:t>’</w:t>
      </w:r>
      <w:r w:rsidRPr="000C0E58">
        <w:rPr>
          <w:rFonts w:eastAsia="Times New Roman"/>
          <w:lang w:val="en-GB" w:eastAsia="fr-FR"/>
        </w:rPr>
        <w:t xml:space="preserve">s case-law. By way of example, in a number of cases the Court examined, respectively, whether the applicants had “a claim which was sufficiently established to be enforceable” (see </w:t>
      </w:r>
      <w:r w:rsidRPr="000C0E58">
        <w:rPr>
          <w:rFonts w:eastAsia="Times New Roman"/>
          <w:i/>
          <w:lang w:val="en-GB" w:eastAsia="fr-FR"/>
        </w:rPr>
        <w:t>Gratzinger and Gratzingerova v. the Czech Republic</w:t>
      </w:r>
      <w:r w:rsidRPr="000C0E58">
        <w:rPr>
          <w:rFonts w:eastAsia="Times New Roman"/>
          <w:lang w:val="en-GB" w:eastAsia="fr-FR"/>
        </w:rPr>
        <w:t xml:space="preserve"> (dec.), no. 39794/98</w:t>
      </w:r>
      <w:r w:rsidRPr="000C0E58" w:rsidR="00502F43">
        <w:rPr>
          <w:rFonts w:eastAsia="Times New Roman"/>
          <w:szCs w:val="24"/>
          <w:lang w:val="en-GB" w:eastAsia="fr-FR"/>
        </w:rPr>
        <w:t>, § </w:t>
      </w:r>
      <w:r w:rsidRPr="000C0E58">
        <w:rPr>
          <w:rFonts w:eastAsia="Times New Roman"/>
          <w:szCs w:val="24"/>
          <w:lang w:val="en-GB" w:eastAsia="fr-FR"/>
        </w:rPr>
        <w:t xml:space="preserve">74, </w:t>
      </w:r>
      <w:r w:rsidRPr="000C0E58">
        <w:rPr>
          <w:rFonts w:eastAsia="Times New Roman"/>
          <w:lang w:val="en-GB" w:eastAsia="fr-FR"/>
        </w:rPr>
        <w:t>ECHR 2002</w:t>
      </w:r>
      <w:r w:rsidRPr="000C0E58">
        <w:rPr>
          <w:rFonts w:eastAsia="Times New Roman"/>
          <w:lang w:val="en-GB" w:eastAsia="fr-FR"/>
        </w:rPr>
        <w:noBreakHyphen/>
        <w:t xml:space="preserve">VII); whether they demonstrated the existence of “an assertable right under domestic law to a welfare benefit” (see </w:t>
      </w:r>
      <w:r w:rsidRPr="000C0E58">
        <w:rPr>
          <w:rFonts w:eastAsia="Times New Roman"/>
          <w:i/>
          <w:lang w:val="en-GB" w:eastAsia="fr-FR"/>
        </w:rPr>
        <w:t>Stec and Others v. the United Kingdom</w:t>
      </w:r>
      <w:r w:rsidRPr="000C0E58">
        <w:rPr>
          <w:rFonts w:eastAsia="Times New Roman"/>
          <w:lang w:val="en-GB" w:eastAsia="fr-FR"/>
        </w:rPr>
        <w:t xml:space="preserve"> (dec.) [GC], nos. 65731/01 and 65900/01</w:t>
      </w:r>
      <w:r w:rsidRPr="000C0E58">
        <w:rPr>
          <w:rFonts w:eastAsia="Times New Roman"/>
          <w:szCs w:val="24"/>
          <w:lang w:val="en-GB" w:eastAsia="fr-FR"/>
        </w:rPr>
        <w:t xml:space="preserve">, § 51, </w:t>
      </w:r>
      <w:r w:rsidRPr="000C0E58">
        <w:rPr>
          <w:rFonts w:eastAsia="Times New Roman"/>
          <w:lang w:val="en-GB" w:eastAsia="fr-FR"/>
        </w:rPr>
        <w:t>ECHR 2005</w:t>
      </w:r>
      <w:r w:rsidRPr="000C0E58">
        <w:rPr>
          <w:rFonts w:eastAsia="Times New Roman"/>
          <w:lang w:val="en-GB" w:eastAsia="fr-FR"/>
        </w:rPr>
        <w:noBreakHyphen/>
        <w:t>X</w:t>
      </w:r>
      <w:r w:rsidRPr="000C0E58">
        <w:rPr>
          <w:rFonts w:eastAsia="Times New Roman"/>
          <w:szCs w:val="24"/>
          <w:lang w:val="en-GB" w:eastAsia="fr-FR"/>
        </w:rPr>
        <w:t>)</w:t>
      </w:r>
      <w:r w:rsidRPr="000C0E58">
        <w:rPr>
          <w:rFonts w:eastAsia="Times New Roman"/>
          <w:lang w:val="en-GB" w:eastAsia="fr-FR"/>
        </w:rPr>
        <w:t xml:space="preserve">; or whether the persons concerned satisfied the “legal conditions laid down in domestic law for the grant of any particular form of benefits” (see </w:t>
      </w:r>
      <w:r w:rsidRPr="000C0E58">
        <w:rPr>
          <w:rFonts w:eastAsia="Times New Roman"/>
          <w:i/>
          <w:lang w:val="en-GB" w:eastAsia="fr-FR"/>
        </w:rPr>
        <w:t>Richardson</w:t>
      </w:r>
      <w:r w:rsidRPr="000C0E58">
        <w:rPr>
          <w:rFonts w:eastAsia="Times New Roman"/>
          <w:lang w:val="en-GB" w:eastAsia="fr-FR"/>
        </w:rPr>
        <w:t xml:space="preserve"> </w:t>
      </w:r>
      <w:r w:rsidRPr="000C0E58">
        <w:rPr>
          <w:rFonts w:eastAsia="Times New Roman"/>
          <w:i/>
          <w:lang w:val="en-GB" w:eastAsia="fr-FR"/>
        </w:rPr>
        <w:t>v. the United Kingdom</w:t>
      </w:r>
      <w:r w:rsidRPr="000C0E58" w:rsidR="00502F43">
        <w:rPr>
          <w:rFonts w:eastAsia="Times New Roman"/>
          <w:lang w:val="en-GB" w:eastAsia="fr-FR"/>
        </w:rPr>
        <w:t xml:space="preserve"> (dec.), no. 26252/08, § </w:t>
      </w:r>
      <w:r w:rsidRPr="000C0E58">
        <w:rPr>
          <w:rFonts w:eastAsia="Times New Roman"/>
          <w:lang w:val="en-GB" w:eastAsia="fr-FR"/>
        </w:rPr>
        <w:t>17, 10 April 2012).</w:t>
      </w:r>
    </w:p>
    <w:p w:rsidRPr="000C0E58" w:rsidR="00484285" w:rsidP="000C0E58">
      <w:pPr>
        <w:pStyle w:val="OpiPara"/>
        <w:rPr>
          <w:rFonts w:eastAsia="Times New Roman"/>
          <w:i/>
          <w:lang w:val="en-GB" w:eastAsia="fr-FR"/>
        </w:rPr>
      </w:pPr>
      <w:r w:rsidRPr="000C0E58">
        <w:rPr>
          <w:rFonts w:eastAsia="Times New Roman"/>
          <w:lang w:val="en-GB" w:eastAsia="fr-FR"/>
        </w:rPr>
        <w:t xml:space="preserve">7.  In some cases the “legitimate expectation” may involve situations where the persons concerned are entitled to rely on the fact that a specific legal act will not be retrospectively invalidated to their detriment (see </w:t>
      </w:r>
      <w:r w:rsidRPr="000C0E58">
        <w:rPr>
          <w:rFonts w:eastAsia="Times New Roman"/>
          <w:i/>
          <w:lang w:val="en-GB" w:eastAsia="fr-FR"/>
        </w:rPr>
        <w:t>Kopecký</w:t>
      </w:r>
      <w:r w:rsidRPr="000C0E58">
        <w:rPr>
          <w:rFonts w:eastAsia="Times New Roman"/>
          <w:lang w:val="en-GB" w:eastAsia="fr-FR"/>
        </w:rPr>
        <w:t xml:space="preserve">, cited above, § 47, and </w:t>
      </w:r>
      <w:r w:rsidRPr="000C0E58">
        <w:rPr>
          <w:rFonts w:eastAsia="Times New Roman"/>
          <w:i/>
          <w:lang w:val="en-GB" w:eastAsia="fr-FR"/>
        </w:rPr>
        <w:t>Noreikienė and Noreika</w:t>
      </w:r>
      <w:r w:rsidRPr="000C0E58">
        <w:rPr>
          <w:rFonts w:eastAsia="Times New Roman"/>
          <w:lang w:val="en-GB" w:eastAsia="fr-FR"/>
        </w:rPr>
        <w:t xml:space="preserve"> </w:t>
      </w:r>
      <w:r w:rsidRPr="000C0E58" w:rsidR="00502F43">
        <w:rPr>
          <w:rFonts w:eastAsia="Times New Roman"/>
          <w:i/>
          <w:lang w:val="en-GB" w:eastAsia="fr-FR"/>
        </w:rPr>
        <w:t>v. </w:t>
      </w:r>
      <w:r w:rsidRPr="000C0E58">
        <w:rPr>
          <w:rFonts w:eastAsia="Times New Roman"/>
          <w:i/>
          <w:lang w:val="en-GB" w:eastAsia="fr-FR"/>
        </w:rPr>
        <w:t>Lithuania</w:t>
      </w:r>
      <w:r w:rsidRPr="000C0E58">
        <w:rPr>
          <w:rFonts w:eastAsia="Times New Roman"/>
          <w:lang w:val="en-GB" w:eastAsia="fr-FR"/>
        </w:rPr>
        <w:t>, no. 17285/08</w:t>
      </w:r>
      <w:r w:rsidRPr="000C0E58">
        <w:rPr>
          <w:rFonts w:eastAsia="Times New Roman"/>
          <w:snapToGrid w:val="0"/>
          <w:lang w:val="en-GB" w:eastAsia="fr-FR"/>
        </w:rPr>
        <w:t xml:space="preserve">, § 36, 24 </w:t>
      </w:r>
      <w:r w:rsidRPr="000C0E58">
        <w:rPr>
          <w:rFonts w:eastAsia="Times New Roman"/>
          <w:lang w:val="en-GB" w:eastAsia="fr-FR"/>
        </w:rPr>
        <w:t xml:space="preserve">November 2015). Such legal acts can consist, for example, of a contract (see </w:t>
      </w:r>
      <w:r w:rsidRPr="000C0E58">
        <w:rPr>
          <w:rFonts w:eastAsia="Times New Roman"/>
          <w:i/>
          <w:lang w:val="en-GB" w:eastAsia="fr-FR"/>
        </w:rPr>
        <w:t>Stretch v. the United Kingdom</w:t>
      </w:r>
      <w:r w:rsidRPr="000C0E58">
        <w:rPr>
          <w:rFonts w:eastAsia="Times New Roman"/>
          <w:lang w:val="en-GB" w:eastAsia="fr-FR"/>
        </w:rPr>
        <w:t>,</w:t>
      </w:r>
      <w:r w:rsidRPr="000C0E58">
        <w:rPr>
          <w:rFonts w:eastAsia="Times New Roman"/>
          <w:i/>
          <w:lang w:val="en-GB" w:eastAsia="fr-FR"/>
        </w:rPr>
        <w:t xml:space="preserve"> </w:t>
      </w:r>
      <w:r w:rsidRPr="000C0E58" w:rsidR="00502F43">
        <w:rPr>
          <w:rFonts w:eastAsia="Times New Roman"/>
          <w:lang w:val="en-GB" w:eastAsia="fr-FR"/>
        </w:rPr>
        <w:t>no. </w:t>
      </w:r>
      <w:r w:rsidRPr="000C0E58">
        <w:rPr>
          <w:rFonts w:eastAsia="Times New Roman"/>
          <w:lang w:val="en-GB" w:eastAsia="fr-FR"/>
        </w:rPr>
        <w:t xml:space="preserve">44277/98, § 35, 24 June 2003), an administrative decision granting an advantage or </w:t>
      </w:r>
      <w:r w:rsidRPr="000C0E58">
        <w:rPr>
          <w:rFonts w:eastAsia="Times New Roman"/>
          <w:lang w:val="en-GB" w:eastAsia="fr-FR"/>
        </w:rPr>
        <w:t xml:space="preserve">recognising a right (see </w:t>
      </w:r>
      <w:r w:rsidRPr="000C0E58">
        <w:rPr>
          <w:rFonts w:eastAsia="Times New Roman"/>
          <w:i/>
          <w:lang w:val="en-GB" w:eastAsia="fr-FR"/>
        </w:rPr>
        <w:t>Pine Valley Developments Ltd and Others</w:t>
      </w:r>
      <w:r w:rsidRPr="000C0E58">
        <w:rPr>
          <w:rFonts w:eastAsia="Times New Roman"/>
          <w:lang w:val="en-GB" w:eastAsia="fr-FR"/>
        </w:rPr>
        <w:t xml:space="preserve">, cited above, § 51; </w:t>
      </w:r>
      <w:r w:rsidRPr="000C0E58">
        <w:rPr>
          <w:rFonts w:eastAsia="Times New Roman"/>
          <w:i/>
          <w:lang w:val="en-GB" w:eastAsia="fr-FR"/>
        </w:rPr>
        <w:t>Moskal v. Poland</w:t>
      </w:r>
      <w:r w:rsidRPr="000C0E58">
        <w:rPr>
          <w:rFonts w:eastAsia="Times New Roman"/>
          <w:lang w:val="en-GB" w:eastAsia="fr-FR"/>
        </w:rPr>
        <w:t xml:space="preserve">, no. 10373/05, § 45, 15 September 2009; and </w:t>
      </w:r>
      <w:r w:rsidRPr="000C0E58">
        <w:rPr>
          <w:rFonts w:eastAsia="Times New Roman"/>
          <w:i/>
          <w:lang w:val="en-GB" w:eastAsia="fr-FR"/>
        </w:rPr>
        <w:t>Hasani v. Croatia</w:t>
      </w:r>
      <w:r w:rsidRPr="000C0E58">
        <w:rPr>
          <w:rFonts w:eastAsia="Times New Roman"/>
          <w:lang w:val="en-GB" w:eastAsia="fr-FR"/>
        </w:rPr>
        <w:t xml:space="preserve"> (dec.), no. 20844/09, 30 September 2010), or a judicial decision (see </w:t>
      </w:r>
      <w:r w:rsidRPr="000C0E58">
        <w:rPr>
          <w:rFonts w:eastAsia="Times New Roman"/>
          <w:i/>
          <w:lang w:val="en-GB" w:eastAsia="fr-FR"/>
        </w:rPr>
        <w:t>Gratzinger and Gratzingerova</w:t>
      </w:r>
      <w:r w:rsidRPr="000C0E58">
        <w:rPr>
          <w:rFonts w:eastAsia="Times New Roman"/>
          <w:lang w:val="en-GB" w:eastAsia="fr-FR"/>
        </w:rPr>
        <w:t xml:space="preserve">, cited above, § 73, and </w:t>
      </w:r>
      <w:r w:rsidRPr="000C0E58">
        <w:rPr>
          <w:rFonts w:eastAsia="Calibri"/>
          <w:i/>
          <w:szCs w:val="24"/>
          <w:lang w:val="en-GB" w:eastAsia="fr-FR"/>
        </w:rPr>
        <w:t>Velikoda v. Ukraine</w:t>
      </w:r>
      <w:r w:rsidRPr="000C0E58">
        <w:rPr>
          <w:rFonts w:eastAsia="Calibri"/>
          <w:szCs w:val="24"/>
          <w:lang w:val="en-GB" w:eastAsia="fr-FR"/>
        </w:rPr>
        <w:t xml:space="preserve"> (dec.), no. 43331/12, § 20, 3 June 2014</w:t>
      </w:r>
      <w:r w:rsidRPr="000C0E58">
        <w:rPr>
          <w:rFonts w:eastAsia="Times New Roman"/>
          <w:lang w:val="en-GB" w:eastAsia="fr-FR"/>
        </w:rPr>
        <w:t xml:space="preserve">). In such cases the “legitimate expectation” is based on a reasonably justified reliance on a legal act which has a sound legal basis and which bears on property rights (see </w:t>
      </w:r>
      <w:r w:rsidRPr="000C0E58">
        <w:rPr>
          <w:rFonts w:eastAsia="Times New Roman"/>
          <w:i/>
          <w:lang w:val="en-GB" w:eastAsia="fr-FR"/>
        </w:rPr>
        <w:t>Kopecký</w:t>
      </w:r>
      <w:r w:rsidRPr="000C0E58">
        <w:rPr>
          <w:rFonts w:eastAsia="Times New Roman"/>
          <w:lang w:val="en-GB" w:eastAsia="fr-FR"/>
        </w:rPr>
        <w:t>, cited above, § 47).</w:t>
      </w:r>
    </w:p>
    <w:p w:rsidRPr="000C0E58" w:rsidR="00484285" w:rsidP="000C0E58">
      <w:pPr>
        <w:pStyle w:val="OpiPara"/>
        <w:rPr>
          <w:rFonts w:eastAsia="Calibri"/>
          <w:szCs w:val="24"/>
          <w:lang w:val="en-GB" w:eastAsia="fr-FR"/>
        </w:rPr>
      </w:pPr>
      <w:r w:rsidRPr="000C0E58">
        <w:rPr>
          <w:rFonts w:eastAsia="Times New Roman"/>
          <w:lang w:val="en-GB" w:eastAsia="fr-FR"/>
        </w:rPr>
        <w:t xml:space="preserve">8.  In other cases the “legitimate expectations” may simply relate to claims arising out of certain situations which are governed by a provision of domestic law. Where the applicant can argue, for example on the basis of established case-law, that his or her claim is currently enforceable and will be determined in his or her favour (see </w:t>
      </w:r>
      <w:r w:rsidRPr="000C0E58">
        <w:rPr>
          <w:rFonts w:eastAsia="Times New Roman"/>
          <w:i/>
          <w:lang w:val="en-GB" w:eastAsia="fr-FR"/>
        </w:rPr>
        <w:t>Gratzinger and Gratzingerova</w:t>
      </w:r>
      <w:r w:rsidRPr="000C0E58">
        <w:rPr>
          <w:rFonts w:eastAsia="Times New Roman"/>
          <w:lang w:val="en-GB" w:eastAsia="fr-FR"/>
        </w:rPr>
        <w:t xml:space="preserve">, cited above, § 72, and </w:t>
      </w:r>
      <w:r w:rsidRPr="000C0E58">
        <w:rPr>
          <w:rFonts w:eastAsia="Times New Roman"/>
          <w:i/>
          <w:szCs w:val="24"/>
          <w:lang w:val="en-GB" w:eastAsia="fr-FR"/>
        </w:rPr>
        <w:t>Maurice</w:t>
      </w:r>
      <w:r w:rsidRPr="000C0E58">
        <w:rPr>
          <w:rFonts w:eastAsia="Times New Roman"/>
          <w:szCs w:val="24"/>
          <w:lang w:val="en-GB" w:eastAsia="fr-FR"/>
        </w:rPr>
        <w:t>, cited above, § 66</w:t>
      </w:r>
      <w:r w:rsidRPr="000C0E58">
        <w:rPr>
          <w:rFonts w:eastAsia="Times New Roman"/>
          <w:lang w:val="en-GB" w:eastAsia="fr-FR"/>
        </w:rPr>
        <w:t xml:space="preserve">), in accordance with domestic law, this claim qualifies as an “asset” for the purposes of Article 1 of Protocol No. 1 (see </w:t>
      </w:r>
      <w:r w:rsidRPr="000C0E58">
        <w:rPr>
          <w:rFonts w:eastAsia="Times New Roman"/>
          <w:i/>
          <w:lang w:val="en-GB" w:eastAsia="fr-FR"/>
        </w:rPr>
        <w:t>Kopeck</w:t>
      </w:r>
      <w:r w:rsidRPr="000C0E58">
        <w:rPr>
          <w:rFonts w:eastAsia="Times New Roman" w:cs="Calibri"/>
          <w:i/>
          <w:lang w:val="en-GB" w:eastAsia="fr-FR"/>
        </w:rPr>
        <w:t>ý</w:t>
      </w:r>
      <w:r w:rsidRPr="000C0E58">
        <w:rPr>
          <w:rFonts w:eastAsia="Times New Roman"/>
          <w:lang w:val="en-GB" w:eastAsia="fr-FR"/>
        </w:rPr>
        <w:t xml:space="preserve">, cited above, § 48, referring to </w:t>
      </w:r>
      <w:r w:rsidRPr="000C0E58">
        <w:rPr>
          <w:rFonts w:eastAsia="Times New Roman"/>
          <w:i/>
          <w:lang w:val="en-GB" w:eastAsia="fr-FR"/>
        </w:rPr>
        <w:t>Pressos Compania Naviera S.A. and Others</w:t>
      </w:r>
      <w:r w:rsidRPr="000C0E58">
        <w:rPr>
          <w:rFonts w:eastAsia="Times New Roman"/>
          <w:lang w:val="en-GB" w:eastAsia="fr-FR"/>
        </w:rPr>
        <w:t>, cited above, § 31).</w:t>
      </w:r>
    </w:p>
    <w:p w:rsidRPr="000C0E58" w:rsidR="00484285" w:rsidP="000C0E58">
      <w:pPr>
        <w:pStyle w:val="OpiPara"/>
        <w:rPr>
          <w:rFonts w:eastAsia="Times New Roman"/>
          <w:snapToGrid w:val="0"/>
          <w:lang w:val="en-GB" w:eastAsia="fr-FR"/>
        </w:rPr>
      </w:pPr>
      <w:r w:rsidRPr="000C0E58">
        <w:rPr>
          <w:rFonts w:eastAsia="Times New Roman"/>
          <w:lang w:val="en-GB" w:eastAsia="fr-FR"/>
        </w:rPr>
        <w:t xml:space="preserve">9.  A legitimate expectation must be of a nature more concrete than a mere hope (see </w:t>
      </w:r>
      <w:r w:rsidRPr="000C0E58">
        <w:rPr>
          <w:rFonts w:eastAsia="Times New Roman"/>
          <w:i/>
          <w:lang w:val="en-GB" w:eastAsia="fr-FR"/>
        </w:rPr>
        <w:t>Gratzinger and Gratzingerova</w:t>
      </w:r>
      <w:r w:rsidRPr="000C0E58">
        <w:rPr>
          <w:rFonts w:eastAsia="Times New Roman"/>
          <w:lang w:val="en-GB" w:eastAsia="fr-FR"/>
        </w:rPr>
        <w:t xml:space="preserve">, cited above, § 73, and </w:t>
      </w:r>
      <w:r w:rsidRPr="000C0E58">
        <w:rPr>
          <w:rFonts w:eastAsia="Calibri"/>
          <w:i/>
          <w:szCs w:val="24"/>
          <w:lang w:val="en-GB" w:eastAsia="fr-FR"/>
        </w:rPr>
        <w:t>Kopecký</w:t>
      </w:r>
      <w:r w:rsidRPr="000C0E58">
        <w:rPr>
          <w:rFonts w:eastAsia="Calibri"/>
          <w:szCs w:val="24"/>
          <w:lang w:val="en-GB" w:eastAsia="fr-FR"/>
        </w:rPr>
        <w:t>, cited above, § 49)</w:t>
      </w:r>
      <w:r w:rsidRPr="000C0E58">
        <w:rPr>
          <w:rFonts w:eastAsia="Times New Roman"/>
          <w:lang w:val="en-GB" w:eastAsia="fr-FR"/>
        </w:rPr>
        <w:t xml:space="preserve">. </w:t>
      </w:r>
      <w:r w:rsidRPr="000C0E58">
        <w:rPr>
          <w:rFonts w:eastAsia="Calibri"/>
          <w:szCs w:val="24"/>
          <w:lang w:val="en-GB" w:eastAsia="fr-FR"/>
        </w:rPr>
        <w:t xml:space="preserve">The hope that a long-extinguished property right may be revived or that the survival of an old property right which it had been impossible to exercise effectively can be recognised cannot be considered a “possession” within the meaning of Article 1 of Protocol No. 1, nor can a conditional claim which lapses as a result of the non-fulfilment of the condition (see </w:t>
      </w:r>
      <w:r w:rsidRPr="000C0E58">
        <w:rPr>
          <w:rFonts w:eastAsia="Times New Roman"/>
          <w:i/>
          <w:lang w:val="en-GB" w:eastAsia="fr-FR"/>
        </w:rPr>
        <w:t xml:space="preserve">Malhous v. the Czech Republic </w:t>
      </w:r>
      <w:r w:rsidRPr="000C0E58">
        <w:rPr>
          <w:rFonts w:eastAsia="Times New Roman"/>
          <w:lang w:val="en-GB" w:eastAsia="fr-FR"/>
        </w:rPr>
        <w:t>(dec.) [GC], no. 33071/96</w:t>
      </w:r>
      <w:r w:rsidRPr="000C0E58">
        <w:rPr>
          <w:rFonts w:eastAsia="Times New Roman"/>
          <w:szCs w:val="24"/>
          <w:lang w:val="en-GB" w:eastAsia="fr-FR"/>
        </w:rPr>
        <w:t xml:space="preserve">, </w:t>
      </w:r>
      <w:r w:rsidRPr="000C0E58">
        <w:rPr>
          <w:rFonts w:eastAsia="Times New Roman"/>
          <w:lang w:val="en-GB" w:eastAsia="fr-FR"/>
        </w:rPr>
        <w:t>ECHR 2000</w:t>
      </w:r>
      <w:r w:rsidRPr="000C0E58">
        <w:rPr>
          <w:rFonts w:eastAsia="Times New Roman"/>
          <w:lang w:val="en-GB" w:eastAsia="fr-FR"/>
        </w:rPr>
        <w:noBreakHyphen/>
        <w:t xml:space="preserve">XII, and the cases referred to; see also </w:t>
      </w:r>
      <w:r w:rsidRPr="000C0E58">
        <w:rPr>
          <w:rFonts w:eastAsia="Times New Roman"/>
          <w:i/>
          <w:lang w:val="en-GB" w:eastAsia="fr-FR"/>
        </w:rPr>
        <w:t>Prince Hans-Adam II of Liechtenstein v. Germany</w:t>
      </w:r>
      <w:r w:rsidRPr="000C0E58" w:rsidR="00502F43">
        <w:rPr>
          <w:rFonts w:eastAsia="Times New Roman"/>
          <w:lang w:val="en-GB" w:eastAsia="fr-FR"/>
        </w:rPr>
        <w:t xml:space="preserve"> [GC], no. 42527/98, § </w:t>
      </w:r>
      <w:r w:rsidRPr="000C0E58">
        <w:rPr>
          <w:rFonts w:eastAsia="Times New Roman"/>
          <w:lang w:val="en-GB" w:eastAsia="fr-FR"/>
        </w:rPr>
        <w:t>83, ECHR 2001</w:t>
      </w:r>
      <w:r w:rsidRPr="000C0E58">
        <w:rPr>
          <w:rFonts w:eastAsia="Times New Roman"/>
          <w:lang w:val="en-GB" w:eastAsia="fr-FR"/>
        </w:rPr>
        <w:noBreakHyphen/>
        <w:t xml:space="preserve">VIII; </w:t>
      </w:r>
      <w:r w:rsidRPr="000C0E58">
        <w:rPr>
          <w:rFonts w:eastAsia="Times New Roman"/>
          <w:i/>
          <w:lang w:val="en-GB" w:eastAsia="fr-FR"/>
        </w:rPr>
        <w:t>Gratzinger and Gratzingerova</w:t>
      </w:r>
      <w:r w:rsidRPr="000C0E58">
        <w:rPr>
          <w:rFonts w:eastAsia="Times New Roman"/>
          <w:szCs w:val="24"/>
          <w:lang w:val="en-GB" w:eastAsia="fr-FR"/>
        </w:rPr>
        <w:t xml:space="preserve">, cited </w:t>
      </w:r>
      <w:r w:rsidRPr="000C0E58" w:rsidR="00502F43">
        <w:rPr>
          <w:rFonts w:eastAsia="Times New Roman"/>
          <w:szCs w:val="24"/>
          <w:lang w:val="en-GB" w:eastAsia="fr-FR"/>
        </w:rPr>
        <w:t>above, § </w:t>
      </w:r>
      <w:r w:rsidRPr="000C0E58">
        <w:rPr>
          <w:rFonts w:eastAsia="Times New Roman"/>
          <w:szCs w:val="24"/>
          <w:lang w:val="en-GB" w:eastAsia="fr-FR"/>
        </w:rPr>
        <w:t>69</w:t>
      </w:r>
      <w:r w:rsidRPr="000C0E58">
        <w:rPr>
          <w:rFonts w:eastAsia="Times New Roman"/>
          <w:lang w:val="en-GB" w:eastAsia="fr-FR"/>
        </w:rPr>
        <w:t xml:space="preserve">; </w:t>
      </w:r>
      <w:r w:rsidRPr="000C0E58">
        <w:rPr>
          <w:rFonts w:eastAsia="Calibri"/>
          <w:i/>
          <w:szCs w:val="24"/>
          <w:lang w:val="en-GB" w:eastAsia="fr-FR"/>
        </w:rPr>
        <w:t>Kopecký</w:t>
      </w:r>
      <w:r w:rsidRPr="000C0E58">
        <w:rPr>
          <w:rFonts w:eastAsia="Calibri"/>
          <w:szCs w:val="24"/>
          <w:lang w:val="en-GB" w:eastAsia="fr-FR"/>
        </w:rPr>
        <w:t xml:space="preserve">, cited above, § 35 (c); and </w:t>
      </w:r>
      <w:r w:rsidRPr="000C0E58">
        <w:rPr>
          <w:rFonts w:eastAsia="Times New Roman"/>
          <w:i/>
          <w:lang w:val="en-GB" w:eastAsia="fr-FR"/>
        </w:rPr>
        <w:t>Fabris</w:t>
      </w:r>
      <w:r w:rsidRPr="000C0E58">
        <w:rPr>
          <w:rFonts w:eastAsia="Times New Roman"/>
          <w:snapToGrid w:val="0"/>
          <w:lang w:val="en-GB" w:eastAsia="fr-FR"/>
        </w:rPr>
        <w:t>, cited above, § 50).</w:t>
      </w:r>
    </w:p>
    <w:p w:rsidRPr="000C0E58" w:rsidR="00484285" w:rsidP="000C0E58">
      <w:pPr>
        <w:pStyle w:val="OpiPara"/>
        <w:rPr>
          <w:rFonts w:eastAsia="Times New Roman"/>
          <w:lang w:val="en-GB" w:eastAsia="fr-FR"/>
        </w:rPr>
      </w:pPr>
      <w:r w:rsidRPr="000C0E58">
        <w:rPr>
          <w:rFonts w:eastAsia="Times New Roman"/>
          <w:snapToGrid w:val="0"/>
          <w:lang w:val="en-GB" w:eastAsia="fr-FR"/>
        </w:rPr>
        <w:t>10.</w:t>
      </w:r>
      <w:r w:rsidRPr="000C0E58" w:rsidR="00502F43">
        <w:rPr>
          <w:rFonts w:eastAsia="Times New Roman"/>
          <w:lang w:val="en-GB" w:eastAsia="fr-FR"/>
        </w:rPr>
        <w:t>  </w:t>
      </w:r>
      <w:r w:rsidRPr="000C0E58">
        <w:rPr>
          <w:rFonts w:eastAsia="Times New Roman"/>
          <w:snapToGrid w:val="0"/>
          <w:lang w:val="en-GB" w:eastAsia="fr-FR"/>
        </w:rPr>
        <w:t>In short</w:t>
      </w:r>
      <w:r w:rsidRPr="000C0E58">
        <w:rPr>
          <w:rFonts w:eastAsia="Times New Roman"/>
          <w:lang w:val="en-GB" w:eastAsia="fr-FR"/>
        </w:rPr>
        <w:t>, where the proprietary interest is in the nature of a claim, it may be regarded as an “asset” attracting the guarantees of Article 1 of Protocol No. 1 where it is based on a specific legal act or where it has a sufficient basis in domestic law, for example where there is settled case-law of the domestic courts confirming it.</w:t>
      </w:r>
      <w:r w:rsidRPr="000C0E58">
        <w:rPr>
          <w:rFonts w:eastAsia="Calibri"/>
          <w:szCs w:val="24"/>
          <w:lang w:val="en-GB" w:eastAsia="fr-FR"/>
        </w:rPr>
        <w:t xml:space="preserve"> By way of contrast, no legitimate expectation can be said to arise where there is a dispute as to the correct interpretation and application of domestic law and the applicant</w:t>
      </w:r>
      <w:r w:rsidRPr="000C0E58" w:rsidR="000C0E58">
        <w:rPr>
          <w:rFonts w:eastAsia="Calibri"/>
          <w:szCs w:val="24"/>
          <w:lang w:val="en-GB" w:eastAsia="fr-FR"/>
        </w:rPr>
        <w:t>’</w:t>
      </w:r>
      <w:r w:rsidRPr="000C0E58">
        <w:rPr>
          <w:rFonts w:eastAsia="Calibri"/>
          <w:szCs w:val="24"/>
          <w:lang w:val="en-GB" w:eastAsia="fr-FR"/>
        </w:rPr>
        <w:t xml:space="preserve">s submissions are subsequently rejected by the national courts (see </w:t>
      </w:r>
      <w:r w:rsidRPr="000C0E58">
        <w:rPr>
          <w:rFonts w:eastAsia="Calibri"/>
          <w:i/>
          <w:szCs w:val="24"/>
          <w:lang w:val="en-GB" w:eastAsia="fr-FR"/>
        </w:rPr>
        <w:t>Kopecký</w:t>
      </w:r>
      <w:r w:rsidRPr="000C0E58">
        <w:rPr>
          <w:rFonts w:eastAsia="Calibri"/>
          <w:szCs w:val="24"/>
          <w:lang w:val="en-GB" w:eastAsia="fr-FR"/>
        </w:rPr>
        <w:t xml:space="preserve">, cited above, § 50; </w:t>
      </w:r>
      <w:r w:rsidRPr="000C0E58">
        <w:rPr>
          <w:rFonts w:eastAsia="Times New Roman"/>
          <w:i/>
          <w:lang w:val="en-GB" w:eastAsia="fr-FR"/>
        </w:rPr>
        <w:t>Anheuser-Busch Inc.</w:t>
      </w:r>
      <w:r w:rsidRPr="000C0E58">
        <w:rPr>
          <w:rFonts w:eastAsia="Times New Roman"/>
          <w:lang w:val="en-GB" w:eastAsia="fr-FR"/>
        </w:rPr>
        <w:t xml:space="preserve">, cited above, § 65; and </w:t>
      </w:r>
      <w:r w:rsidRPr="000C0E58">
        <w:rPr>
          <w:rFonts w:eastAsia="Times New Roman"/>
          <w:i/>
          <w:lang w:val="en-GB" w:eastAsia="fr-FR"/>
        </w:rPr>
        <w:t xml:space="preserve">Centro Europa 7 </w:t>
      </w:r>
      <w:r w:rsidRPr="000C0E58">
        <w:rPr>
          <w:rFonts w:eastAsia="Times New Roman"/>
          <w:i/>
          <w:snapToGrid w:val="0"/>
          <w:lang w:val="en-GB" w:eastAsia="fr-FR"/>
        </w:rPr>
        <w:t>S.r.l.</w:t>
      </w:r>
      <w:r w:rsidRPr="000C0E58">
        <w:rPr>
          <w:rFonts w:eastAsia="Times New Roman"/>
          <w:i/>
          <w:lang w:val="en-GB" w:eastAsia="fr-FR"/>
        </w:rPr>
        <w:t xml:space="preserve"> and Di Stefano</w:t>
      </w:r>
      <w:r w:rsidRPr="000C0E58">
        <w:rPr>
          <w:rFonts w:eastAsia="Times New Roman"/>
          <w:snapToGrid w:val="0"/>
          <w:szCs w:val="24"/>
          <w:lang w:val="en-GB" w:eastAsia="fr-FR"/>
        </w:rPr>
        <w:t>, cited above, § 173</w:t>
      </w:r>
      <w:r w:rsidRPr="000C0E58">
        <w:rPr>
          <w:rFonts w:eastAsia="Calibri"/>
          <w:szCs w:val="24"/>
          <w:lang w:val="en-GB" w:eastAsia="fr-FR"/>
        </w:rPr>
        <w:t>).</w:t>
      </w:r>
    </w:p>
    <w:p w:rsidRPr="000C0E58" w:rsidR="00484285" w:rsidP="000C0E58">
      <w:pPr>
        <w:pStyle w:val="OpiHa0"/>
        <w:rPr>
          <w:rFonts w:eastAsia="Times New Roman"/>
          <w:lang w:val="en-GB" w:eastAsia="fr-FR"/>
        </w:rPr>
      </w:pPr>
      <w:r w:rsidRPr="000C0E58">
        <w:rPr>
          <w:rFonts w:eastAsia="Times New Roman"/>
          <w:lang w:val="en-GB" w:eastAsia="fr-FR"/>
        </w:rPr>
        <w:t>(b)  The scope of Article 1 of Protocol No. 1 in regard to social benefits</w:t>
      </w:r>
    </w:p>
    <w:p w:rsidRPr="000C0E58" w:rsidR="00484285" w:rsidP="000C0E58">
      <w:pPr>
        <w:pStyle w:val="OpiPara"/>
        <w:rPr>
          <w:rFonts w:eastAsia="Times New Roman"/>
          <w:lang w:val="en-GB" w:eastAsia="fr-FR"/>
        </w:rPr>
      </w:pPr>
      <w:r w:rsidRPr="000C0E58">
        <w:rPr>
          <w:rFonts w:eastAsia="Times New Roman"/>
          <w:lang w:val="en-GB" w:eastAsia="fr-FR"/>
        </w:rPr>
        <w:t xml:space="preserve">11.  In the modern, democratic State, many individuals are, for all or part of their lives, completely dependent for survival on social security and welfare benefits. Many domestic legal systems recognise that such </w:t>
      </w:r>
      <w:r w:rsidRPr="000C0E58">
        <w:rPr>
          <w:rFonts w:eastAsia="Times New Roman"/>
          <w:lang w:val="en-GB" w:eastAsia="fr-FR"/>
        </w:rPr>
        <w:t xml:space="preserve">individuals require a degree of certainty and security, and provide for benefits to be paid – subject to the fulfilment of the conditions of eligibility – as of right (see </w:t>
      </w:r>
      <w:r w:rsidRPr="000C0E58">
        <w:rPr>
          <w:rFonts w:eastAsia="Times New Roman"/>
          <w:i/>
          <w:lang w:val="en-GB" w:eastAsia="fr-FR"/>
        </w:rPr>
        <w:t>Stec and Others</w:t>
      </w:r>
      <w:r w:rsidRPr="000C0E58">
        <w:rPr>
          <w:rFonts w:eastAsia="Times New Roman"/>
          <w:lang w:val="en-GB" w:eastAsia="fr-FR"/>
        </w:rPr>
        <w:t xml:space="preserve"> (dec.), cited above</w:t>
      </w:r>
      <w:r w:rsidRPr="000C0E58">
        <w:rPr>
          <w:rFonts w:eastAsia="Times New Roman"/>
          <w:szCs w:val="24"/>
          <w:lang w:val="en-GB" w:eastAsia="fr-FR"/>
        </w:rPr>
        <w:t xml:space="preserve">, § 51; </w:t>
      </w:r>
      <w:r w:rsidRPr="000C0E58">
        <w:rPr>
          <w:rFonts w:eastAsia="Times New Roman"/>
          <w:i/>
          <w:szCs w:val="24"/>
          <w:lang w:val="en-GB" w:eastAsia="fr-FR"/>
        </w:rPr>
        <w:t>Moskal</w:t>
      </w:r>
      <w:r w:rsidRPr="000C0E58">
        <w:rPr>
          <w:rFonts w:eastAsia="Times New Roman"/>
          <w:szCs w:val="24"/>
          <w:lang w:val="en-GB" w:eastAsia="fr-FR"/>
        </w:rPr>
        <w:t>, cited above, § 39; and</w:t>
      </w:r>
      <w:r w:rsidRPr="000C0E58">
        <w:rPr>
          <w:rFonts w:eastAsia="Times New Roman"/>
          <w:i/>
          <w:lang w:val="en-GB" w:eastAsia="fr-FR"/>
        </w:rPr>
        <w:t xml:space="preserve"> Wieczorek v. Poland</w:t>
      </w:r>
      <w:r w:rsidRPr="000C0E58">
        <w:rPr>
          <w:rFonts w:eastAsia="Times New Roman"/>
          <w:lang w:val="en-GB" w:eastAsia="fr-FR"/>
        </w:rPr>
        <w:t>, no. 18176/05</w:t>
      </w:r>
      <w:r w:rsidRPr="000C0E58" w:rsidR="00502F43">
        <w:rPr>
          <w:rFonts w:eastAsia="Times New Roman"/>
          <w:snapToGrid w:val="0"/>
          <w:lang w:val="en-GB" w:eastAsia="fr-FR"/>
        </w:rPr>
        <w:t>, § 65, 8 </w:t>
      </w:r>
      <w:r w:rsidRPr="000C0E58">
        <w:rPr>
          <w:rFonts w:eastAsia="Times New Roman"/>
          <w:snapToGrid w:val="0"/>
          <w:lang w:val="en-GB" w:eastAsia="fr-FR"/>
        </w:rPr>
        <w:t>December 2009</w:t>
      </w:r>
      <w:r w:rsidRPr="000C0E58">
        <w:rPr>
          <w:rFonts w:eastAsia="Times New Roman"/>
          <w:lang w:val="en-GB" w:eastAsia="fr-FR"/>
        </w:rPr>
        <w:t>).</w:t>
      </w:r>
    </w:p>
    <w:p w:rsidRPr="000C0E58" w:rsidR="00484285" w:rsidP="000C0E58">
      <w:pPr>
        <w:pStyle w:val="OpiPara"/>
        <w:rPr>
          <w:rFonts w:eastAsia="Times New Roman"/>
          <w:i/>
          <w:lang w:val="en-GB" w:eastAsia="fr-FR"/>
        </w:rPr>
      </w:pPr>
      <w:r w:rsidRPr="000C0E58">
        <w:rPr>
          <w:rFonts w:eastAsia="Times New Roman"/>
          <w:szCs w:val="24"/>
          <w:lang w:val="en-GB" w:eastAsia="fr-FR"/>
        </w:rPr>
        <w:t xml:space="preserve">12.  The general principles relating to the scope of application of Article 1 of Protocol No. 1 are equally relevant when it comes to cases concerning social security and welfare benefits (see </w:t>
      </w:r>
      <w:r w:rsidRPr="000C0E58">
        <w:rPr>
          <w:rFonts w:eastAsia="Times New Roman"/>
          <w:i/>
          <w:szCs w:val="24"/>
          <w:lang w:val="en-GB" w:eastAsia="fr-FR"/>
        </w:rPr>
        <w:t>Stec and Others</w:t>
      </w:r>
      <w:r w:rsidRPr="000C0E58">
        <w:rPr>
          <w:rFonts w:eastAsia="Times New Roman"/>
          <w:szCs w:val="24"/>
          <w:lang w:val="en-GB" w:eastAsia="fr-FR"/>
        </w:rPr>
        <w:t xml:space="preserve"> (dec.), cited above, § 54; </w:t>
      </w:r>
      <w:r w:rsidRPr="000C0E58">
        <w:rPr>
          <w:rFonts w:eastAsia="Times New Roman"/>
          <w:i/>
          <w:szCs w:val="24"/>
          <w:lang w:val="en-GB" w:eastAsia="fr-FR"/>
        </w:rPr>
        <w:t>Moskal</w:t>
      </w:r>
      <w:r w:rsidRPr="000C0E58">
        <w:rPr>
          <w:rFonts w:eastAsia="Times New Roman"/>
          <w:szCs w:val="24"/>
          <w:lang w:val="en-GB" w:eastAsia="fr-FR"/>
        </w:rPr>
        <w:t xml:space="preserve">, cited above, § 38; and </w:t>
      </w:r>
      <w:r w:rsidRPr="000C0E58">
        <w:rPr>
          <w:rFonts w:eastAsia="Times New Roman"/>
          <w:i/>
          <w:lang w:val="en-GB" w:eastAsia="fr-FR"/>
        </w:rPr>
        <w:t>Stummer v. Austria</w:t>
      </w:r>
      <w:r w:rsidRPr="000C0E58">
        <w:rPr>
          <w:rFonts w:eastAsia="Times New Roman"/>
          <w:lang w:val="en-GB" w:eastAsia="fr-FR"/>
        </w:rPr>
        <w:t xml:space="preserve"> [GC], no. 37452/02, § 82, ECHR 2011</w:t>
      </w:r>
      <w:r w:rsidRPr="000C0E58">
        <w:rPr>
          <w:rFonts w:eastAsia="Times New Roman"/>
          <w:szCs w:val="24"/>
          <w:lang w:val="en-GB" w:eastAsia="fr-FR"/>
        </w:rPr>
        <w:t>).</w:t>
      </w:r>
      <w:r w:rsidRPr="000C0E58">
        <w:rPr>
          <w:rFonts w:eastAsia="Times New Roman"/>
          <w:lang w:val="en-GB" w:eastAsia="fr-FR"/>
        </w:rPr>
        <w:t xml:space="preserve"> In particular, the Court has repeatedly held that Article 1 of Protocol No. 1 does not guarantee, as such, any right to a pension or social benefit of a particular amount (see, for example, </w:t>
      </w:r>
      <w:r w:rsidRPr="000C0E58">
        <w:rPr>
          <w:rFonts w:eastAsia="Times New Roman"/>
          <w:i/>
          <w:lang w:val="en-GB" w:eastAsia="fr-FR"/>
        </w:rPr>
        <w:t>Kjartan Ásmundsson v. Iceland</w:t>
      </w:r>
      <w:r w:rsidRPr="000C0E58">
        <w:rPr>
          <w:rFonts w:eastAsia="Times New Roman"/>
          <w:lang w:val="en-GB" w:eastAsia="fr-FR"/>
        </w:rPr>
        <w:t>, no. 60669/00, § 39, ECHR 2004</w:t>
      </w:r>
      <w:r w:rsidRPr="000C0E58">
        <w:rPr>
          <w:rFonts w:eastAsia="Times New Roman"/>
          <w:lang w:val="en-GB" w:eastAsia="fr-FR"/>
        </w:rPr>
        <w:noBreakHyphen/>
        <w:t xml:space="preserve">IX, and </w:t>
      </w:r>
      <w:r w:rsidRPr="000C0E58">
        <w:rPr>
          <w:rFonts w:eastAsia="Times New Roman"/>
          <w:i/>
          <w:lang w:val="en-GB" w:eastAsia="fr-FR"/>
        </w:rPr>
        <w:t>Wieczorek</w:t>
      </w:r>
      <w:r w:rsidRPr="000C0E58">
        <w:rPr>
          <w:rFonts w:eastAsia="Times New Roman"/>
          <w:snapToGrid w:val="0"/>
          <w:lang w:val="en-GB" w:eastAsia="fr-FR"/>
        </w:rPr>
        <w:t>, cited above, § 57</w:t>
      </w:r>
      <w:r w:rsidRPr="000C0E58">
        <w:rPr>
          <w:rFonts w:eastAsia="Times New Roman"/>
          <w:lang w:val="en-GB" w:eastAsia="fr-FR"/>
        </w:rPr>
        <w:t xml:space="preserve">). The right to an old-age pension or any social benefit in a particular amount is not included among the rights and freedoms guaranteed by the Convention (see, for example, </w:t>
      </w:r>
      <w:r w:rsidRPr="000C0E58">
        <w:rPr>
          <w:rFonts w:eastAsia="Times New Roman"/>
          <w:i/>
          <w:lang w:val="en-GB" w:eastAsia="fr-FR"/>
        </w:rPr>
        <w:t>Aunola v. Finland</w:t>
      </w:r>
      <w:r w:rsidRPr="000C0E58">
        <w:rPr>
          <w:rFonts w:eastAsia="Times New Roman"/>
          <w:lang w:val="en-GB" w:eastAsia="fr-FR"/>
        </w:rPr>
        <w:t xml:space="preserve"> (dec.), no. 30517/96, 15 March 2001; </w:t>
      </w:r>
      <w:r w:rsidRPr="000C0E58">
        <w:rPr>
          <w:rFonts w:eastAsia="Times New Roman"/>
          <w:i/>
          <w:szCs w:val="24"/>
          <w:lang w:val="en-GB" w:eastAsia="fr-FR"/>
        </w:rPr>
        <w:t>Pravednaya v. Russia</w:t>
      </w:r>
      <w:r w:rsidRPr="000C0E58" w:rsidR="00502F43">
        <w:rPr>
          <w:rFonts w:eastAsia="Times New Roman"/>
          <w:szCs w:val="24"/>
          <w:lang w:val="en-GB" w:eastAsia="fr-FR"/>
        </w:rPr>
        <w:t>, no. 69529/01, § </w:t>
      </w:r>
      <w:r w:rsidRPr="000C0E58">
        <w:rPr>
          <w:rFonts w:eastAsia="Times New Roman"/>
          <w:szCs w:val="24"/>
          <w:lang w:val="en-GB" w:eastAsia="fr-FR"/>
        </w:rPr>
        <w:t xml:space="preserve">37, 18 November 2004; </w:t>
      </w:r>
      <w:r w:rsidRPr="000C0E58">
        <w:rPr>
          <w:rFonts w:eastAsia="Times New Roman"/>
          <w:lang w:val="en-GB" w:eastAsia="fr-FR"/>
        </w:rPr>
        <w:t xml:space="preserve">and </w:t>
      </w:r>
      <w:r w:rsidRPr="000C0E58">
        <w:rPr>
          <w:rFonts w:eastAsia="Times New Roman"/>
          <w:i/>
          <w:snapToGrid w:val="0"/>
          <w:color w:val="000000"/>
          <w:lang w:val="en-GB" w:eastAsia="fr-FR"/>
        </w:rPr>
        <w:t>Da Silva Carvalho Rico v. Portugal</w:t>
      </w:r>
      <w:r w:rsidRPr="000C0E58">
        <w:rPr>
          <w:rFonts w:eastAsia="Times New Roman"/>
          <w:snapToGrid w:val="0"/>
          <w:color w:val="000000"/>
          <w:lang w:val="en-GB" w:eastAsia="fr-FR"/>
        </w:rPr>
        <w:t xml:space="preserve"> (dec.), no. 13341/14, § 30, 1 September 2015</w:t>
      </w:r>
      <w:r w:rsidRPr="000C0E58">
        <w:rPr>
          <w:rFonts w:eastAsia="Times New Roman"/>
          <w:lang w:val="en-GB" w:eastAsia="fr-FR"/>
        </w:rPr>
        <w:t>).</w:t>
      </w:r>
    </w:p>
    <w:p w:rsidRPr="000C0E58" w:rsidR="00484285" w:rsidP="000C0E58">
      <w:pPr>
        <w:pStyle w:val="OpiPara"/>
        <w:rPr>
          <w:rFonts w:eastAsia="Calibri"/>
          <w:szCs w:val="24"/>
          <w:lang w:val="en-GB" w:eastAsia="fr-FR"/>
        </w:rPr>
      </w:pPr>
      <w:r w:rsidRPr="000C0E58">
        <w:rPr>
          <w:rFonts w:eastAsia="Times New Roman"/>
          <w:lang w:val="en-GB" w:eastAsia="fr-FR"/>
        </w:rPr>
        <w:t xml:space="preserve">13.  Article 1 of Protocol No. 1 </w:t>
      </w:r>
      <w:r w:rsidRPr="000C0E58">
        <w:rPr>
          <w:rFonts w:eastAsia="Calibri"/>
          <w:szCs w:val="24"/>
          <w:lang w:val="en-GB" w:eastAsia="fr-FR"/>
        </w:rPr>
        <w:t>places no restriction on the Contracting States</w:t>
      </w:r>
      <w:r w:rsidRPr="000C0E58" w:rsidR="000C0E58">
        <w:rPr>
          <w:rFonts w:eastAsia="Calibri"/>
          <w:szCs w:val="24"/>
          <w:lang w:val="en-GB" w:eastAsia="fr-FR"/>
        </w:rPr>
        <w:t>’</w:t>
      </w:r>
      <w:r w:rsidRPr="000C0E58">
        <w:rPr>
          <w:rFonts w:eastAsia="Calibri"/>
          <w:szCs w:val="24"/>
          <w:lang w:val="en-GB" w:eastAsia="fr-FR"/>
        </w:rPr>
        <w:t xml:space="preserve"> freedom to decide whether or not to have in </w:t>
      </w:r>
      <w:r w:rsidRPr="000C0E58">
        <w:rPr>
          <w:rFonts w:eastAsia="Calibri"/>
          <w:szCs w:val="24"/>
          <w:lang w:val="en-GB" w:eastAsia="fr-FR"/>
        </w:rPr>
        <w:t>place</w:t>
      </w:r>
      <w:r w:rsidRPr="000C0E58">
        <w:rPr>
          <w:rFonts w:eastAsia="Calibri"/>
          <w:szCs w:val="24"/>
          <w:lang w:val="en-GB" w:eastAsia="fr-FR"/>
        </w:rPr>
        <w:t xml:space="preserve"> any form of social-security or pension scheme, or to choose the type or amount of benefits to provide under any such scheme. However, where a Contracting State has in force legislation providing for the payment as of right of a welfare benefit or pension – whether conditional or not on the prior payment of contributions – that legislation must be regarded as generating a proprietary interest falling within the amb</w:t>
      </w:r>
      <w:r w:rsidRPr="000C0E58" w:rsidR="00502F43">
        <w:rPr>
          <w:rFonts w:eastAsia="Calibri"/>
          <w:szCs w:val="24"/>
          <w:lang w:val="en-GB" w:eastAsia="fr-FR"/>
        </w:rPr>
        <w:t>it of Article 1 of Protocol No. </w:t>
      </w:r>
      <w:r w:rsidRPr="000C0E58">
        <w:rPr>
          <w:rFonts w:eastAsia="Calibri"/>
          <w:szCs w:val="24"/>
          <w:lang w:val="en-GB" w:eastAsia="fr-FR"/>
        </w:rPr>
        <w:t xml:space="preserve">1 but it does so only for persons satisfying its requirements (see </w:t>
      </w:r>
      <w:r w:rsidRPr="000C0E58">
        <w:rPr>
          <w:rFonts w:eastAsia="Calibri"/>
          <w:i/>
          <w:szCs w:val="24"/>
          <w:lang w:val="en-GB" w:eastAsia="fr-FR"/>
        </w:rPr>
        <w:t>Stec and Others</w:t>
      </w:r>
      <w:r w:rsidRPr="000C0E58">
        <w:rPr>
          <w:rFonts w:eastAsia="Calibri"/>
          <w:szCs w:val="24"/>
          <w:lang w:val="en-GB" w:eastAsia="fr-FR"/>
        </w:rPr>
        <w:t xml:space="preserve"> (dec.), cited above, § 54; </w:t>
      </w:r>
      <w:r w:rsidRPr="000C0E58">
        <w:rPr>
          <w:rFonts w:eastAsia="Times New Roman"/>
          <w:i/>
          <w:lang w:val="en-GB" w:eastAsia="fr-FR"/>
        </w:rPr>
        <w:t>Andrejeva v. Latvia</w:t>
      </w:r>
      <w:r w:rsidRPr="000C0E58" w:rsidR="00502F43">
        <w:rPr>
          <w:rFonts w:eastAsia="Times New Roman"/>
          <w:lang w:val="en-GB" w:eastAsia="fr-FR"/>
        </w:rPr>
        <w:t xml:space="preserve"> [GC], no. </w:t>
      </w:r>
      <w:r w:rsidRPr="000C0E58">
        <w:rPr>
          <w:rFonts w:eastAsia="Times New Roman"/>
          <w:lang w:val="en-GB" w:eastAsia="fr-FR"/>
        </w:rPr>
        <w:t>55707/00, § 77, ECHR 2009;</w:t>
      </w:r>
      <w:r w:rsidRPr="000C0E58">
        <w:rPr>
          <w:rFonts w:eastAsia="Calibri"/>
          <w:szCs w:val="24"/>
          <w:lang w:val="en-GB" w:eastAsia="fr-FR"/>
        </w:rPr>
        <w:t xml:space="preserve"> </w:t>
      </w:r>
      <w:r w:rsidRPr="000C0E58">
        <w:rPr>
          <w:rFonts w:eastAsia="Times New Roman"/>
          <w:i/>
          <w:lang w:val="en-GB" w:eastAsia="fr-FR"/>
        </w:rPr>
        <w:t>Carson and Others v. the United Kingdom</w:t>
      </w:r>
      <w:r w:rsidRPr="000C0E58">
        <w:rPr>
          <w:rFonts w:eastAsia="Times New Roman"/>
          <w:lang w:val="en-GB" w:eastAsia="fr-FR"/>
        </w:rPr>
        <w:t xml:space="preserve"> [GC], no. 42184/05, § 64, ECHR 2010; and </w:t>
      </w:r>
      <w:r w:rsidRPr="000C0E58">
        <w:rPr>
          <w:rFonts w:eastAsia="Calibri"/>
          <w:i/>
          <w:szCs w:val="24"/>
          <w:lang w:val="en-GB" w:eastAsia="fr-FR"/>
        </w:rPr>
        <w:t>Stummer</w:t>
      </w:r>
      <w:r w:rsidRPr="000C0E58">
        <w:rPr>
          <w:rFonts w:eastAsia="Calibri"/>
          <w:szCs w:val="24"/>
          <w:lang w:val="en-GB" w:eastAsia="fr-FR"/>
        </w:rPr>
        <w:t>, cited above, § 82).</w:t>
      </w:r>
    </w:p>
    <w:p w:rsidRPr="000C0E58" w:rsidR="00484285" w:rsidP="000C0E58">
      <w:pPr>
        <w:pStyle w:val="OpiPara"/>
        <w:rPr>
          <w:rFonts w:eastAsia="Calibri"/>
          <w:szCs w:val="24"/>
          <w:lang w:val="en-GB" w:eastAsia="fr-FR"/>
        </w:rPr>
      </w:pPr>
      <w:r w:rsidRPr="000C0E58">
        <w:rPr>
          <w:rFonts w:eastAsia="Calibri"/>
          <w:szCs w:val="24"/>
          <w:lang w:val="en-GB" w:eastAsia="fr-FR"/>
        </w:rPr>
        <w:t>14.  Within the member States of the Council of Europe, there exists a wide range of social-security benefits which are guaranteed in the form of subjective rights. Benefits are funded in a large variety of ways: some are paid for by contributions to a specific fund; some depend on a claimant</w:t>
      </w:r>
      <w:r w:rsidRPr="000C0E58" w:rsidR="000C0E58">
        <w:rPr>
          <w:rFonts w:eastAsia="Calibri"/>
          <w:szCs w:val="24"/>
          <w:lang w:val="en-GB" w:eastAsia="fr-FR"/>
        </w:rPr>
        <w:t>’</w:t>
      </w:r>
      <w:r w:rsidRPr="000C0E58">
        <w:rPr>
          <w:rFonts w:eastAsia="Calibri"/>
          <w:szCs w:val="24"/>
          <w:lang w:val="en-GB" w:eastAsia="fr-FR"/>
        </w:rPr>
        <w:t xml:space="preserve">s contribution record; many are paid for out of general taxation on the basis of a statutorily defined status (see </w:t>
      </w:r>
      <w:r w:rsidRPr="000C0E58">
        <w:rPr>
          <w:rFonts w:eastAsia="Calibri"/>
          <w:i/>
          <w:szCs w:val="24"/>
          <w:lang w:val="en-GB" w:eastAsia="fr-FR"/>
        </w:rPr>
        <w:t>Stec and Others</w:t>
      </w:r>
      <w:r w:rsidRPr="000C0E58">
        <w:rPr>
          <w:rFonts w:eastAsia="Calibri"/>
          <w:szCs w:val="24"/>
          <w:lang w:val="en-GB" w:eastAsia="fr-FR"/>
        </w:rPr>
        <w:t xml:space="preserve"> (dec.), cited above, § 50).</w:t>
      </w:r>
    </w:p>
    <w:p w:rsidRPr="000C0E58" w:rsidR="00484285" w:rsidP="000C0E58">
      <w:pPr>
        <w:pStyle w:val="OpiPara"/>
        <w:rPr>
          <w:rFonts w:eastAsia="Calibri"/>
          <w:szCs w:val="24"/>
          <w:lang w:val="en-GB" w:eastAsia="fr-FR"/>
        </w:rPr>
      </w:pPr>
      <w:r w:rsidRPr="000C0E58">
        <w:rPr>
          <w:rFonts w:eastAsia="Calibri"/>
          <w:szCs w:val="24"/>
          <w:lang w:val="en-GB" w:eastAsia="fr-FR"/>
        </w:rPr>
        <w:t xml:space="preserve">15.  In certain circumstances, the making of compulsory contributions, for example to a pension fund or a social insurance scheme, may create a property right protected by Article 1 of Protocol No. 1 even before the contributor fulfils all the conditions to actually receive the pension or other benefit. This is the case when there is a direct link between the level of contributions and the benefits awarded (see </w:t>
      </w:r>
      <w:r w:rsidRPr="000C0E58">
        <w:rPr>
          <w:rFonts w:eastAsia="Calibri"/>
          <w:i/>
          <w:szCs w:val="24"/>
          <w:lang w:val="en-GB" w:eastAsia="fr-FR"/>
        </w:rPr>
        <w:t>Stec and Others</w:t>
      </w:r>
      <w:r w:rsidRPr="000C0E58">
        <w:rPr>
          <w:rFonts w:eastAsia="Calibri"/>
          <w:szCs w:val="24"/>
          <w:lang w:val="en-GB" w:eastAsia="fr-FR"/>
        </w:rPr>
        <w:t xml:space="preserve"> (dec.), cited above, § 43) or in other words, when the making of a contribution creates a </w:t>
      </w:r>
      <w:r w:rsidRPr="000C0E58">
        <w:rPr>
          <w:rFonts w:eastAsia="Calibri"/>
          <w:szCs w:val="24"/>
          <w:lang w:val="en-GB" w:eastAsia="fr-FR"/>
        </w:rPr>
        <w:t xml:space="preserve">property right in a portion of the pension fund (see </w:t>
      </w:r>
      <w:r w:rsidRPr="000C0E58" w:rsidR="00AA7F31">
        <w:rPr>
          <w:rFonts w:eastAsia="Calibri"/>
          <w:i/>
          <w:szCs w:val="24"/>
          <w:lang w:val="en-GB" w:eastAsia="fr-FR"/>
        </w:rPr>
        <w:t>T. v. </w:t>
      </w:r>
      <w:r w:rsidRPr="000C0E58">
        <w:rPr>
          <w:rFonts w:eastAsia="Calibri"/>
          <w:i/>
          <w:szCs w:val="24"/>
          <w:lang w:val="en-GB" w:eastAsia="fr-FR"/>
        </w:rPr>
        <w:t>Sweden</w:t>
      </w:r>
      <w:r w:rsidRPr="000C0E58">
        <w:rPr>
          <w:rFonts w:eastAsia="Times New Roman"/>
          <w:szCs w:val="24"/>
          <w:lang w:val="en-GB" w:eastAsia="fr-FR"/>
        </w:rPr>
        <w:t xml:space="preserve">, no. 10671/83, Commission decision of 4 March 1985, </w:t>
      </w:r>
      <w:r w:rsidRPr="000C0E58">
        <w:rPr>
          <w:rFonts w:eastAsia="Times New Roman"/>
          <w:i/>
          <w:szCs w:val="24"/>
          <w:lang w:val="en-GB" w:eastAsia="fr-FR"/>
        </w:rPr>
        <w:t>Decisions and Reports</w:t>
      </w:r>
      <w:r w:rsidRPr="000C0E58">
        <w:rPr>
          <w:rFonts w:eastAsia="Times New Roman"/>
          <w:szCs w:val="24"/>
          <w:lang w:val="en-GB" w:eastAsia="fr-FR"/>
        </w:rPr>
        <w:t xml:space="preserve"> 42, at p. </w:t>
      </w:r>
      <w:r w:rsidRPr="000C0E58" w:rsidR="00EB6B33">
        <w:rPr>
          <w:rFonts w:eastAsia="Times New Roman"/>
          <w:szCs w:val="24"/>
          <w:lang w:val="en-GB" w:eastAsia="fr-FR"/>
        </w:rPr>
        <w:t>229</w:t>
      </w:r>
      <w:r w:rsidRPr="000C0E58">
        <w:rPr>
          <w:rFonts w:eastAsia="Times New Roman"/>
          <w:szCs w:val="24"/>
          <w:lang w:val="en-GB" w:eastAsia="fr-FR"/>
        </w:rPr>
        <w:t>)</w:t>
      </w:r>
      <w:r w:rsidRPr="000C0E58">
        <w:rPr>
          <w:rFonts w:eastAsia="Calibri"/>
          <w:szCs w:val="24"/>
          <w:lang w:val="en-GB" w:eastAsia="fr-FR"/>
        </w:rPr>
        <w:t>. In such a situation, the contributor has an enforceable claim to a share in the fund.</w:t>
      </w:r>
    </w:p>
    <w:p w:rsidRPr="000C0E58" w:rsidR="00484285" w:rsidP="000C0E58">
      <w:pPr>
        <w:pStyle w:val="OpiPara"/>
        <w:rPr>
          <w:rFonts w:eastAsia="Times New Roman"/>
          <w:lang w:val="en-GB" w:eastAsia="fr-FR"/>
        </w:rPr>
      </w:pPr>
      <w:r w:rsidRPr="000C0E58">
        <w:rPr>
          <w:rFonts w:eastAsia="Calibri"/>
          <w:szCs w:val="24"/>
          <w:lang w:val="en-GB" w:eastAsia="fr-FR"/>
        </w:rPr>
        <w:t>16.  This situation is different from the situation where a person makes contributions without there being a direct link between the level of contributions and any benefits awarded. It is true that the Court has held that t</w:t>
      </w:r>
      <w:r w:rsidRPr="000C0E58">
        <w:rPr>
          <w:rFonts w:eastAsia="Times New Roman"/>
          <w:szCs w:val="24"/>
          <w:lang w:val="en-GB" w:eastAsia="fr-FR"/>
        </w:rPr>
        <w:t xml:space="preserve">he right to a pension or other benefit which is based on employment can be assimilated to a property right when special contributions have been paid (see </w:t>
      </w:r>
      <w:r w:rsidRPr="000C0E58">
        <w:rPr>
          <w:rFonts w:eastAsia="Times New Roman"/>
          <w:i/>
          <w:szCs w:val="24"/>
          <w:lang w:val="en-GB" w:eastAsia="fr-FR"/>
        </w:rPr>
        <w:t>T. v. Sweden</w:t>
      </w:r>
      <w:r w:rsidRPr="000C0E58">
        <w:rPr>
          <w:rFonts w:eastAsia="Times New Roman"/>
          <w:szCs w:val="24"/>
          <w:lang w:val="en-GB" w:eastAsia="fr-FR"/>
        </w:rPr>
        <w:t xml:space="preserve">, cited above, and </w:t>
      </w:r>
      <w:r w:rsidRPr="000C0E58">
        <w:rPr>
          <w:rFonts w:eastAsia="Times New Roman"/>
          <w:i/>
          <w:lang w:val="en-GB" w:eastAsia="fr-FR"/>
        </w:rPr>
        <w:t>Klein v. Austria</w:t>
      </w:r>
      <w:r w:rsidRPr="000C0E58">
        <w:rPr>
          <w:rFonts w:eastAsia="Times New Roman"/>
          <w:lang w:val="en-GB" w:eastAsia="fr-FR"/>
        </w:rPr>
        <w:t>, no. 57028/00</w:t>
      </w:r>
      <w:r w:rsidRPr="000C0E58" w:rsidR="00AA7F31">
        <w:rPr>
          <w:rFonts w:eastAsia="Times New Roman"/>
          <w:snapToGrid w:val="0"/>
          <w:lang w:val="en-GB" w:eastAsia="fr-FR"/>
        </w:rPr>
        <w:t>, §§ </w:t>
      </w:r>
      <w:r w:rsidRPr="000C0E58">
        <w:rPr>
          <w:rFonts w:eastAsia="Times New Roman"/>
          <w:snapToGrid w:val="0"/>
          <w:lang w:val="en-GB" w:eastAsia="fr-FR"/>
        </w:rPr>
        <w:t xml:space="preserve">42-45, </w:t>
      </w:r>
      <w:r w:rsidRPr="000C0E58">
        <w:rPr>
          <w:rFonts w:eastAsia="Times New Roman"/>
          <w:lang w:val="en-GB" w:eastAsia="fr-FR"/>
        </w:rPr>
        <w:t>3 </w:t>
      </w:r>
      <w:r w:rsidRPr="000C0E58">
        <w:rPr>
          <w:rFonts w:eastAsia="Times New Roman"/>
          <w:snapToGrid w:val="0"/>
          <w:lang w:val="en-GB" w:eastAsia="fr-FR"/>
        </w:rPr>
        <w:t xml:space="preserve">March 2011). It is to be noted that in such a system the payment of contributions is a pre-condition for receiving the benefit. In other words, there is no entitlement to the benefit where such contributions have not been made. However, the benefit will only be granted to persons who have not only made contributions, but who also satisfy the other conditions laid down in domestic law (see, with respect to contributions made to an unemployment insurance fund, generating a right to emergency assistance when the entitlement to unemployment benefit is exhausted, </w:t>
      </w:r>
      <w:r w:rsidRPr="000C0E58" w:rsidR="00E721CC">
        <w:rPr>
          <w:rFonts w:eastAsia="Times New Roman"/>
          <w:i/>
          <w:lang w:val="en-GB" w:eastAsia="fr-FR"/>
        </w:rPr>
        <w:t>Gaygusuz v. </w:t>
      </w:r>
      <w:r w:rsidRPr="000C0E58">
        <w:rPr>
          <w:rFonts w:eastAsia="Times New Roman"/>
          <w:i/>
          <w:lang w:val="en-GB" w:eastAsia="fr-FR"/>
        </w:rPr>
        <w:t>Austria</w:t>
      </w:r>
      <w:r w:rsidRPr="000C0E58">
        <w:rPr>
          <w:rFonts w:eastAsia="Times New Roman"/>
          <w:lang w:val="en-GB" w:eastAsia="fr-FR"/>
        </w:rPr>
        <w:t xml:space="preserve">, 16 September 1996, § 39, </w:t>
      </w:r>
      <w:r w:rsidRPr="000C0E58">
        <w:rPr>
          <w:rFonts w:eastAsia="Times New Roman"/>
          <w:i/>
          <w:lang w:val="en-GB" w:eastAsia="fr-FR"/>
        </w:rPr>
        <w:t>Reports of Judgments and Decisions</w:t>
      </w:r>
      <w:r w:rsidRPr="000C0E58">
        <w:rPr>
          <w:rFonts w:eastAsia="Times New Roman"/>
          <w:lang w:val="en-GB" w:eastAsia="fr-FR"/>
        </w:rPr>
        <w:t xml:space="preserve"> 1996</w:t>
      </w:r>
      <w:r w:rsidRPr="000C0E58">
        <w:rPr>
          <w:rFonts w:eastAsia="Times New Roman"/>
          <w:lang w:val="en-GB" w:eastAsia="fr-FR"/>
        </w:rPr>
        <w:noBreakHyphen/>
        <w:t xml:space="preserve">IV; see also </w:t>
      </w:r>
      <w:r w:rsidRPr="000C0E58">
        <w:rPr>
          <w:rFonts w:eastAsia="Times New Roman"/>
          <w:i/>
          <w:szCs w:val="24"/>
          <w:lang w:val="en-GB" w:eastAsia="fr-FR"/>
        </w:rPr>
        <w:t>Bellet, Huertas and Vialatte v. France</w:t>
      </w:r>
      <w:r w:rsidRPr="000C0E58">
        <w:rPr>
          <w:rFonts w:eastAsia="Times New Roman"/>
          <w:szCs w:val="24"/>
          <w:lang w:val="en-GB" w:eastAsia="fr-FR"/>
        </w:rPr>
        <w:t xml:space="preserve"> (dec.), nos. 40832/98, 40833/98 and 40906/98, 27 April 1999</w:t>
      </w:r>
      <w:r w:rsidRPr="000C0E58">
        <w:rPr>
          <w:rFonts w:eastAsia="Times New Roman"/>
          <w:lang w:val="en-GB" w:eastAsia="fr-FR"/>
        </w:rPr>
        <w:t>). In such a situation, the contributor has an enforceable claim only once he or she fulfils all the conditions required to obtain the benefit.</w:t>
      </w:r>
    </w:p>
    <w:p w:rsidRPr="000C0E58" w:rsidR="00484285" w:rsidP="000C0E58">
      <w:pPr>
        <w:pStyle w:val="OpiPara"/>
        <w:rPr>
          <w:rFonts w:eastAsia="Times New Roman"/>
          <w:snapToGrid w:val="0"/>
          <w:lang w:val="en-GB" w:eastAsia="fr-FR"/>
        </w:rPr>
      </w:pPr>
      <w:r w:rsidRPr="000C0E58">
        <w:rPr>
          <w:rFonts w:eastAsia="Times New Roman"/>
          <w:lang w:val="en-GB" w:eastAsia="fr-FR"/>
        </w:rPr>
        <w:t xml:space="preserve">17.  In this respect, the fact that a person has entered into and forms part of a State social-security system (even a compulsory one) does not necessarily mean that that system cannot be changed either as to the conditions of eligibility of payment or as to the </w:t>
      </w:r>
      <w:r w:rsidRPr="000C0E58">
        <w:rPr>
          <w:rFonts w:eastAsia="Times New Roman"/>
          <w:i/>
          <w:lang w:val="en-GB" w:eastAsia="fr-FR"/>
        </w:rPr>
        <w:t>quantum</w:t>
      </w:r>
      <w:r w:rsidRPr="000C0E58">
        <w:rPr>
          <w:rFonts w:eastAsia="Times New Roman"/>
          <w:lang w:val="en-GB" w:eastAsia="fr-FR"/>
        </w:rPr>
        <w:t xml:space="preserve"> of the benefit or pension (see </w:t>
      </w:r>
      <w:r w:rsidRPr="000C0E58">
        <w:rPr>
          <w:rFonts w:eastAsia="Times New Roman"/>
          <w:i/>
          <w:lang w:val="en-GB" w:eastAsia="fr-FR"/>
        </w:rPr>
        <w:t>Richardson</w:t>
      </w:r>
      <w:r w:rsidRPr="000C0E58">
        <w:rPr>
          <w:rFonts w:eastAsia="Times New Roman"/>
          <w:lang w:val="en-GB" w:eastAsia="fr-FR"/>
        </w:rPr>
        <w:t xml:space="preserve">, cited above, § 17, and </w:t>
      </w:r>
      <w:r w:rsidRPr="000C0E58">
        <w:rPr>
          <w:rFonts w:eastAsia="Times New Roman"/>
          <w:i/>
          <w:lang w:val="en-GB" w:eastAsia="fr-FR"/>
        </w:rPr>
        <w:t xml:space="preserve">Damjanac </w:t>
      </w:r>
      <w:r w:rsidRPr="000C0E58" w:rsidR="00502F43">
        <w:rPr>
          <w:rFonts w:eastAsia="Times New Roman"/>
          <w:i/>
          <w:snapToGrid w:val="0"/>
          <w:lang w:val="en-GB" w:eastAsia="fr-FR"/>
        </w:rPr>
        <w:t>v. </w:t>
      </w:r>
      <w:r w:rsidRPr="000C0E58">
        <w:rPr>
          <w:rFonts w:eastAsia="Times New Roman"/>
          <w:i/>
          <w:snapToGrid w:val="0"/>
          <w:lang w:val="en-GB" w:eastAsia="fr-FR"/>
        </w:rPr>
        <w:t>Croatia</w:t>
      </w:r>
      <w:r w:rsidRPr="000C0E58">
        <w:rPr>
          <w:rFonts w:eastAsia="Times New Roman"/>
          <w:snapToGrid w:val="0"/>
          <w:lang w:val="en-GB" w:eastAsia="fr-FR"/>
        </w:rPr>
        <w:t xml:space="preserve">, </w:t>
      </w:r>
      <w:r w:rsidRPr="000C0E58">
        <w:rPr>
          <w:rFonts w:eastAsia="Times New Roman"/>
          <w:lang w:val="en-GB" w:eastAsia="fr-FR"/>
        </w:rPr>
        <w:t>no. 52943/10</w:t>
      </w:r>
      <w:r w:rsidRPr="000C0E58">
        <w:rPr>
          <w:rFonts w:eastAsia="Times New Roman"/>
          <w:snapToGrid w:val="0"/>
          <w:lang w:val="en-GB" w:eastAsia="fr-FR"/>
        </w:rPr>
        <w:t>, § 86, 24 October 2013; see also</w:t>
      </w:r>
      <w:r w:rsidRPr="000C0E58">
        <w:rPr>
          <w:rFonts w:eastAsia="Calibri"/>
          <w:szCs w:val="24"/>
          <w:lang w:val="en-GB" w:eastAsia="fr-FR"/>
        </w:rPr>
        <w:t xml:space="preserve"> </w:t>
      </w:r>
      <w:r w:rsidRPr="000C0E58" w:rsidR="00502F43">
        <w:rPr>
          <w:rFonts w:eastAsia="Calibri"/>
          <w:i/>
          <w:szCs w:val="24"/>
          <w:lang w:val="en-GB" w:eastAsia="fr-FR"/>
        </w:rPr>
        <w:t>Müller v. </w:t>
      </w:r>
      <w:r w:rsidRPr="000C0E58">
        <w:rPr>
          <w:rFonts w:eastAsia="Calibri"/>
          <w:i/>
          <w:szCs w:val="24"/>
          <w:lang w:val="en-GB" w:eastAsia="fr-FR"/>
        </w:rPr>
        <w:t>Austria</w:t>
      </w:r>
      <w:r w:rsidRPr="000C0E58">
        <w:rPr>
          <w:rFonts w:eastAsia="Calibri"/>
          <w:szCs w:val="24"/>
          <w:lang w:val="en-GB" w:eastAsia="fr-FR"/>
        </w:rPr>
        <w:t>, no. 5849/72, Commission</w:t>
      </w:r>
      <w:r w:rsidRPr="000C0E58" w:rsidR="000C0E58">
        <w:rPr>
          <w:rFonts w:eastAsia="Calibri"/>
          <w:szCs w:val="24"/>
          <w:lang w:val="en-GB" w:eastAsia="fr-FR"/>
        </w:rPr>
        <w:t>’</w:t>
      </w:r>
      <w:r w:rsidRPr="000C0E58">
        <w:rPr>
          <w:rFonts w:eastAsia="Calibri"/>
          <w:szCs w:val="24"/>
          <w:lang w:val="en-GB" w:eastAsia="fr-FR"/>
        </w:rPr>
        <w:t xml:space="preserve">s report of </w:t>
      </w:r>
      <w:r w:rsidRPr="000C0E58" w:rsidR="00502F43">
        <w:rPr>
          <w:rFonts w:eastAsia="Calibri"/>
          <w:szCs w:val="24"/>
          <w:lang w:val="en-GB" w:eastAsia="fr-FR"/>
        </w:rPr>
        <w:t>1 October 1975, DR 3, p. 25, §§ </w:t>
      </w:r>
      <w:r w:rsidRPr="000C0E58" w:rsidR="00D85CEA">
        <w:rPr>
          <w:rFonts w:eastAsia="Calibri"/>
          <w:szCs w:val="24"/>
          <w:lang w:val="en-GB" w:eastAsia="fr-FR"/>
        </w:rPr>
        <w:t>30</w:t>
      </w:r>
      <w:r w:rsidRPr="000C0E58" w:rsidR="00D85CEA">
        <w:rPr>
          <w:rFonts w:eastAsia="Calibri"/>
          <w:szCs w:val="24"/>
          <w:lang w:val="en-GB" w:eastAsia="fr-FR"/>
        </w:rPr>
        <w:noBreakHyphen/>
      </w:r>
      <w:r w:rsidRPr="000C0E58">
        <w:rPr>
          <w:rFonts w:eastAsia="Calibri"/>
          <w:szCs w:val="24"/>
          <w:lang w:val="en-GB" w:eastAsia="fr-FR"/>
        </w:rPr>
        <w:t xml:space="preserve">31; </w:t>
      </w:r>
      <w:r w:rsidRPr="000C0E58">
        <w:rPr>
          <w:rFonts w:eastAsia="Calibri"/>
          <w:i/>
          <w:szCs w:val="24"/>
          <w:lang w:val="en-GB" w:eastAsia="fr-FR"/>
        </w:rPr>
        <w:t>Skorkiewicz v. Poland</w:t>
      </w:r>
      <w:r w:rsidRPr="000C0E58">
        <w:rPr>
          <w:rFonts w:eastAsia="Calibri"/>
          <w:szCs w:val="24"/>
          <w:lang w:val="en-GB" w:eastAsia="fr-FR"/>
        </w:rPr>
        <w:t xml:space="preserve"> (dec.), no. 39860/98, 1 June 1999; and </w:t>
      </w:r>
      <w:r w:rsidRPr="000C0E58">
        <w:rPr>
          <w:rFonts w:eastAsia="Times New Roman"/>
          <w:i/>
          <w:iCs/>
          <w:lang w:val="en-GB" w:eastAsia="fr-FR"/>
        </w:rPr>
        <w:t>Kjartan Ásmundsson</w:t>
      </w:r>
      <w:r w:rsidRPr="000C0E58">
        <w:rPr>
          <w:rFonts w:eastAsia="Times New Roman"/>
          <w:lang w:val="en-GB" w:eastAsia="fr-FR"/>
        </w:rPr>
        <w:t xml:space="preserve">, cited above, § 39). Indeed, the Court has accepted the possibility of amendments to social-security legislation which may be adopted in response to societal changes and evolving views on the categories of persons who need social assistance (see </w:t>
      </w:r>
      <w:r w:rsidRPr="000C0E58">
        <w:rPr>
          <w:rFonts w:eastAsia="Times New Roman"/>
          <w:i/>
          <w:lang w:val="en-GB" w:eastAsia="fr-FR"/>
        </w:rPr>
        <w:t>Wieczorek</w:t>
      </w:r>
      <w:r w:rsidRPr="000C0E58">
        <w:rPr>
          <w:rFonts w:eastAsia="Times New Roman"/>
          <w:snapToGrid w:val="0"/>
          <w:lang w:val="en-GB" w:eastAsia="fr-FR"/>
        </w:rPr>
        <w:t>, cited above, § 67).</w:t>
      </w:r>
    </w:p>
    <w:p w:rsidRPr="000C0E58" w:rsidR="00484285" w:rsidP="000C0E58">
      <w:pPr>
        <w:pStyle w:val="OpiPara"/>
        <w:rPr>
          <w:rFonts w:eastAsia="Calibri"/>
          <w:szCs w:val="24"/>
          <w:lang w:val="en-GB" w:eastAsia="fr-FR"/>
        </w:rPr>
      </w:pPr>
      <w:r w:rsidRPr="000C0E58">
        <w:rPr>
          <w:rFonts w:eastAsia="Times New Roman"/>
          <w:lang w:val="en-GB" w:eastAsia="fr-FR"/>
        </w:rPr>
        <w:t xml:space="preserve">18.  Where a person fulfils the requirements to receive a social-security or welfare benefit </w:t>
      </w:r>
      <w:r w:rsidRPr="000C0E58">
        <w:rPr>
          <w:rFonts w:eastAsia="Calibri"/>
          <w:szCs w:val="24"/>
          <w:lang w:val="en-GB" w:eastAsia="fr-FR"/>
        </w:rPr>
        <w:t xml:space="preserve">– whether conditional or not on the prior payment of contributions –, he or she has a claim that constitutes an “asset” protected under Article 1 of Protocol No. 1 (see, </w:t>
      </w:r>
      <w:r w:rsidRPr="000C0E58">
        <w:rPr>
          <w:rFonts w:eastAsia="Calibri"/>
          <w:i/>
          <w:szCs w:val="24"/>
          <w:lang w:val="en-GB" w:eastAsia="fr-FR"/>
        </w:rPr>
        <w:t>a contrario,</w:t>
      </w:r>
      <w:r w:rsidRPr="000C0E58">
        <w:rPr>
          <w:rFonts w:eastAsia="Calibri"/>
          <w:szCs w:val="24"/>
          <w:lang w:val="en-GB" w:eastAsia="fr-FR"/>
        </w:rPr>
        <w:t xml:space="preserve"> </w:t>
      </w:r>
      <w:r w:rsidRPr="000C0E58">
        <w:rPr>
          <w:rFonts w:eastAsia="Calibri"/>
          <w:i/>
          <w:szCs w:val="24"/>
          <w:lang w:val="en-GB" w:eastAsia="fr-FR"/>
        </w:rPr>
        <w:t>Bladh v. Sweden</w:t>
      </w:r>
      <w:r w:rsidRPr="000C0E58" w:rsidR="00D85CEA">
        <w:rPr>
          <w:rFonts w:eastAsia="Calibri"/>
          <w:szCs w:val="24"/>
          <w:lang w:val="en-GB" w:eastAsia="fr-FR"/>
        </w:rPr>
        <w:t xml:space="preserve"> (dec.), no. </w:t>
      </w:r>
      <w:r w:rsidRPr="000C0E58">
        <w:rPr>
          <w:rFonts w:eastAsia="Calibri"/>
          <w:szCs w:val="24"/>
          <w:lang w:val="en-GB" w:eastAsia="fr-FR"/>
        </w:rPr>
        <w:t xml:space="preserve">46125/06, 10 November 2009). It should be noted that such a claim is enforceable only as long as the entitlement exists, that is, as long as the person fulfils the requirements laid down in domestic law as it stands (see </w:t>
      </w:r>
      <w:r w:rsidRPr="000C0E58">
        <w:rPr>
          <w:rFonts w:eastAsia="Calibri"/>
          <w:i/>
          <w:szCs w:val="24"/>
          <w:lang w:val="en-GB" w:eastAsia="fr-FR"/>
        </w:rPr>
        <w:t>Velikoda</w:t>
      </w:r>
      <w:r w:rsidRPr="000C0E58">
        <w:rPr>
          <w:rFonts w:eastAsia="Calibri"/>
          <w:szCs w:val="24"/>
          <w:lang w:val="en-GB" w:eastAsia="fr-FR"/>
        </w:rPr>
        <w:t>, cited above, § 23).</w:t>
      </w:r>
    </w:p>
    <w:p w:rsidRPr="000C0E58" w:rsidR="00484285" w:rsidP="000C0E58">
      <w:pPr>
        <w:pStyle w:val="OpiPara"/>
        <w:rPr>
          <w:rFonts w:eastAsia="Times New Roman"/>
          <w:lang w:val="en-GB" w:eastAsia="fr-FR"/>
        </w:rPr>
      </w:pPr>
      <w:r w:rsidRPr="000C0E58">
        <w:rPr>
          <w:rFonts w:eastAsia="Calibri"/>
          <w:szCs w:val="24"/>
          <w:lang w:val="en-GB" w:eastAsia="fr-FR"/>
        </w:rPr>
        <w:t>19.</w:t>
      </w:r>
      <w:r w:rsidRPr="000C0E58" w:rsidR="00502F43">
        <w:rPr>
          <w:rFonts w:eastAsia="Times New Roman"/>
          <w:lang w:val="en-GB" w:eastAsia="fr-FR"/>
        </w:rPr>
        <w:t>  </w:t>
      </w:r>
      <w:r w:rsidRPr="000C0E58">
        <w:rPr>
          <w:rFonts w:eastAsia="Calibri"/>
          <w:szCs w:val="24"/>
          <w:lang w:val="en-GB" w:eastAsia="fr-FR"/>
        </w:rPr>
        <w:t xml:space="preserve">With respect to the loss of an entitlement to </w:t>
      </w:r>
      <w:r w:rsidRPr="000C0E58">
        <w:rPr>
          <w:rFonts w:eastAsia="Times New Roman"/>
          <w:lang w:val="en-GB" w:eastAsia="fr-FR"/>
        </w:rPr>
        <w:t>a social-security or welfare benefit, two situations have to be distinguished.</w:t>
      </w:r>
    </w:p>
    <w:p w:rsidRPr="000C0E58" w:rsidR="00484285" w:rsidP="000C0E58">
      <w:pPr>
        <w:pStyle w:val="OpiPara"/>
        <w:rPr>
          <w:rFonts w:eastAsia="Times New Roman"/>
          <w:lang w:val="en-GB" w:eastAsia="fr-FR"/>
        </w:rPr>
      </w:pPr>
      <w:r w:rsidRPr="000C0E58">
        <w:rPr>
          <w:rFonts w:eastAsia="Times New Roman"/>
          <w:lang w:val="en-GB" w:eastAsia="fr-FR"/>
        </w:rPr>
        <w:t>20.</w:t>
      </w:r>
      <w:r w:rsidRPr="000C0E58" w:rsidR="00502F43">
        <w:rPr>
          <w:rFonts w:eastAsia="Times New Roman"/>
          <w:lang w:val="en-GB" w:eastAsia="fr-FR"/>
        </w:rPr>
        <w:t>  </w:t>
      </w:r>
      <w:r w:rsidRPr="000C0E58">
        <w:rPr>
          <w:rFonts w:eastAsia="Calibri"/>
          <w:szCs w:val="24"/>
          <w:lang w:val="en-GB" w:eastAsia="fr-FR"/>
        </w:rPr>
        <w:t>W</w:t>
      </w:r>
      <w:r w:rsidRPr="000C0E58">
        <w:rPr>
          <w:rFonts w:eastAsia="Times New Roman"/>
          <w:lang w:val="en-GB" w:eastAsia="fr-FR"/>
        </w:rPr>
        <w:t xml:space="preserve">here, on the one hand, the amount of the benefit is reduced or discontinued because of a change in the applicable rules, this constitutes an interference with possessions, which then requires to be justified under the general rule of Article 1, first paragraph, </w:t>
      </w:r>
      <w:r w:rsidRPr="000C0E58" w:rsidR="00502F43">
        <w:rPr>
          <w:rFonts w:eastAsia="Times New Roman"/>
          <w:lang w:val="en-GB" w:eastAsia="fr-FR"/>
        </w:rPr>
        <w:t>first sentence, of Protocol No. </w:t>
      </w:r>
      <w:r w:rsidRPr="000C0E58">
        <w:rPr>
          <w:rFonts w:eastAsia="Times New Roman"/>
          <w:lang w:val="en-GB" w:eastAsia="fr-FR"/>
        </w:rPr>
        <w:t xml:space="preserve">1 (see </w:t>
      </w:r>
      <w:r w:rsidRPr="000C0E58">
        <w:rPr>
          <w:rFonts w:eastAsia="Times New Roman"/>
          <w:i/>
          <w:iCs/>
          <w:lang w:val="en-GB" w:eastAsia="fr-FR"/>
        </w:rPr>
        <w:t>Kjartan Ásmundsson</w:t>
      </w:r>
      <w:r w:rsidRPr="000C0E58">
        <w:rPr>
          <w:rFonts w:eastAsia="Times New Roman"/>
          <w:lang w:val="en-GB" w:eastAsia="fr-FR"/>
        </w:rPr>
        <w:t xml:space="preserve">, cited above, § 40; </w:t>
      </w:r>
      <w:r w:rsidRPr="000C0E58" w:rsidR="00502F43">
        <w:rPr>
          <w:rFonts w:eastAsia="Times New Roman"/>
          <w:i/>
          <w:lang w:val="en-GB" w:eastAsia="fr-FR"/>
        </w:rPr>
        <w:t>Rasmussen v. </w:t>
      </w:r>
      <w:r w:rsidRPr="000C0E58">
        <w:rPr>
          <w:rFonts w:eastAsia="Times New Roman"/>
          <w:i/>
          <w:lang w:val="en-GB" w:eastAsia="fr-FR"/>
        </w:rPr>
        <w:t>Poland</w:t>
      </w:r>
      <w:r w:rsidRPr="000C0E58">
        <w:rPr>
          <w:rFonts w:eastAsia="Times New Roman"/>
          <w:lang w:val="en-GB" w:eastAsia="fr-FR"/>
        </w:rPr>
        <w:t xml:space="preserve">, no. 38886/05, </w:t>
      </w:r>
      <w:r w:rsidRPr="000C0E58">
        <w:rPr>
          <w:rFonts w:eastAsia="Times New Roman"/>
          <w:snapToGrid w:val="0"/>
          <w:lang w:val="en-GB" w:eastAsia="fr-FR"/>
        </w:rPr>
        <w:t xml:space="preserve">§ 71, 28 April 2009; </w:t>
      </w:r>
      <w:r w:rsidRPr="000C0E58">
        <w:rPr>
          <w:rFonts w:eastAsia="Times New Roman"/>
          <w:i/>
          <w:snapToGrid w:val="0"/>
          <w:lang w:val="en-GB" w:eastAsia="fr-FR"/>
        </w:rPr>
        <w:t>Wieczorek</w:t>
      </w:r>
      <w:r w:rsidRPr="000C0E58">
        <w:rPr>
          <w:rFonts w:eastAsia="Times New Roman"/>
          <w:snapToGrid w:val="0"/>
          <w:lang w:val="en-GB" w:eastAsia="fr-FR"/>
        </w:rPr>
        <w:t xml:space="preserve">, cited above, § 57; </w:t>
      </w:r>
      <w:r w:rsidRPr="000C0E58">
        <w:rPr>
          <w:rFonts w:eastAsia="Times New Roman"/>
          <w:i/>
          <w:iCs/>
          <w:lang w:val="en-GB" w:eastAsia="fr-FR"/>
        </w:rPr>
        <w:t>Valkov and Others v. Bulgaria</w:t>
      </w:r>
      <w:r w:rsidRPr="000C0E58">
        <w:rPr>
          <w:rFonts w:eastAsia="Times New Roman"/>
          <w:lang w:val="en-GB" w:eastAsia="fr-FR"/>
        </w:rPr>
        <w:t>, nos. 2033/04, 19125/04, 19475/04, 19490/04, 19495/04, 19497/04, 24729/04, 171/05 and 2041/05</w:t>
      </w:r>
      <w:r w:rsidRPr="000C0E58">
        <w:rPr>
          <w:rFonts w:eastAsia="Times New Roman"/>
          <w:snapToGrid w:val="0"/>
          <w:lang w:val="en-GB" w:eastAsia="fr-FR"/>
        </w:rPr>
        <w:t>, § 84, 2</w:t>
      </w:r>
      <w:r w:rsidRPr="000C0E58">
        <w:rPr>
          <w:rFonts w:eastAsia="Times New Roman"/>
          <w:lang w:val="en-GB" w:eastAsia="fr-FR"/>
        </w:rPr>
        <w:t>5</w:t>
      </w:r>
      <w:r w:rsidRPr="000C0E58" w:rsidR="00AA7F31">
        <w:rPr>
          <w:rFonts w:eastAsia="Times New Roman"/>
          <w:snapToGrid w:val="0"/>
          <w:lang w:val="en-GB" w:eastAsia="fr-FR"/>
        </w:rPr>
        <w:t> </w:t>
      </w:r>
      <w:r w:rsidRPr="000C0E58">
        <w:rPr>
          <w:rFonts w:eastAsia="Times New Roman"/>
          <w:snapToGrid w:val="0"/>
          <w:lang w:val="en-GB" w:eastAsia="fr-FR"/>
        </w:rPr>
        <w:t xml:space="preserve">October 2011; </w:t>
      </w:r>
      <w:r w:rsidRPr="000C0E58">
        <w:rPr>
          <w:rFonts w:eastAsia="Times New Roman"/>
          <w:i/>
          <w:snapToGrid w:val="0"/>
          <w:szCs w:val="24"/>
          <w:lang w:val="en-GB" w:eastAsia="fr-FR"/>
        </w:rPr>
        <w:t>Richardson</w:t>
      </w:r>
      <w:r w:rsidRPr="000C0E58">
        <w:rPr>
          <w:rFonts w:eastAsia="Times New Roman"/>
          <w:snapToGrid w:val="0"/>
          <w:szCs w:val="24"/>
          <w:lang w:val="en-GB" w:eastAsia="fr-FR"/>
        </w:rPr>
        <w:t xml:space="preserve">, cited above, § 17; </w:t>
      </w:r>
      <w:r w:rsidRPr="000C0E58">
        <w:rPr>
          <w:rFonts w:eastAsia="Times New Roman"/>
          <w:i/>
          <w:lang w:val="en-GB" w:eastAsia="fr-FR"/>
        </w:rPr>
        <w:t>Grudić v. Serbia</w:t>
      </w:r>
      <w:r w:rsidRPr="000C0E58">
        <w:rPr>
          <w:rFonts w:eastAsia="Times New Roman"/>
          <w:lang w:val="en-GB" w:eastAsia="fr-FR"/>
        </w:rPr>
        <w:t>, no. 31925/08</w:t>
      </w:r>
      <w:r w:rsidRPr="000C0E58">
        <w:rPr>
          <w:rFonts w:eastAsia="Times New Roman"/>
          <w:snapToGrid w:val="0"/>
          <w:szCs w:val="24"/>
          <w:lang w:val="en-GB" w:eastAsia="fr-FR"/>
        </w:rPr>
        <w:t xml:space="preserve">, § 72, 17 April 2012; </w:t>
      </w:r>
      <w:r w:rsidRPr="000C0E58">
        <w:rPr>
          <w:rFonts w:eastAsia="Times New Roman"/>
          <w:i/>
          <w:lang w:val="en-GB" w:eastAsia="fr-FR"/>
        </w:rPr>
        <w:t>Khoniakina v. Georgia</w:t>
      </w:r>
      <w:r w:rsidRPr="000C0E58">
        <w:rPr>
          <w:rFonts w:eastAsia="Times New Roman"/>
          <w:lang w:val="en-GB" w:eastAsia="fr-FR"/>
        </w:rPr>
        <w:t>, no. 17767/08</w:t>
      </w:r>
      <w:r w:rsidRPr="000C0E58" w:rsidR="00502F43">
        <w:rPr>
          <w:rFonts w:eastAsia="Times New Roman"/>
          <w:snapToGrid w:val="0"/>
          <w:szCs w:val="24"/>
          <w:lang w:val="en-GB" w:eastAsia="fr-FR"/>
        </w:rPr>
        <w:t>, § 72, 19 </w:t>
      </w:r>
      <w:r w:rsidRPr="000C0E58">
        <w:rPr>
          <w:rFonts w:eastAsia="Times New Roman"/>
          <w:snapToGrid w:val="0"/>
          <w:szCs w:val="24"/>
          <w:lang w:val="en-GB" w:eastAsia="fr-FR"/>
        </w:rPr>
        <w:t xml:space="preserve">June 2012; </w:t>
      </w:r>
      <w:r w:rsidRPr="000C0E58">
        <w:rPr>
          <w:rFonts w:eastAsia="Times New Roman"/>
          <w:i/>
          <w:lang w:val="en-GB" w:eastAsia="fr-FR"/>
        </w:rPr>
        <w:t>Damjanac</w:t>
      </w:r>
      <w:r w:rsidRPr="000C0E58">
        <w:rPr>
          <w:rFonts w:eastAsia="Times New Roman"/>
          <w:snapToGrid w:val="0"/>
          <w:lang w:val="en-GB" w:eastAsia="fr-FR"/>
        </w:rPr>
        <w:t xml:space="preserve">, cited above, §§ 85 and 89; and </w:t>
      </w:r>
      <w:r w:rsidRPr="000C0E58">
        <w:rPr>
          <w:rFonts w:eastAsia="Times New Roman"/>
          <w:i/>
          <w:snapToGrid w:val="0"/>
          <w:lang w:val="en-GB" w:eastAsia="fr-FR"/>
        </w:rPr>
        <w:t>Velikoda</w:t>
      </w:r>
      <w:r w:rsidRPr="000C0E58">
        <w:rPr>
          <w:rFonts w:eastAsia="Times New Roman"/>
          <w:snapToGrid w:val="0"/>
          <w:lang w:val="en-GB" w:eastAsia="fr-FR"/>
        </w:rPr>
        <w:t>, cited above, § 25</w:t>
      </w:r>
      <w:r w:rsidRPr="000C0E58">
        <w:rPr>
          <w:rFonts w:eastAsia="Times New Roman"/>
          <w:lang w:val="en-GB" w:eastAsia="fr-FR"/>
        </w:rPr>
        <w:t>).</w:t>
      </w:r>
    </w:p>
    <w:p w:rsidRPr="000C0E58" w:rsidR="00484285" w:rsidP="000C0E58">
      <w:pPr>
        <w:pStyle w:val="OpiPara"/>
        <w:rPr>
          <w:rFonts w:eastAsia="Calibri"/>
          <w:szCs w:val="24"/>
          <w:lang w:val="en-GB" w:eastAsia="fr-FR"/>
        </w:rPr>
      </w:pPr>
      <w:r w:rsidRPr="000C0E58">
        <w:rPr>
          <w:rFonts w:eastAsia="Calibri"/>
          <w:szCs w:val="24"/>
          <w:lang w:val="en-GB" w:eastAsia="fr-FR"/>
        </w:rPr>
        <w:t>21.  An important consideration in the assessment under the latter provision will be whether the applicant</w:t>
      </w:r>
      <w:r w:rsidRPr="000C0E58" w:rsidR="000C0E58">
        <w:rPr>
          <w:rFonts w:eastAsia="Calibri"/>
          <w:szCs w:val="24"/>
          <w:lang w:val="en-GB" w:eastAsia="fr-FR"/>
        </w:rPr>
        <w:t>’</w:t>
      </w:r>
      <w:r w:rsidRPr="000C0E58">
        <w:rPr>
          <w:rFonts w:eastAsia="Calibri"/>
          <w:szCs w:val="24"/>
          <w:lang w:val="en-GB" w:eastAsia="fr-FR"/>
        </w:rPr>
        <w:t xml:space="preserve">s right to derive benefits from the social-security or welfare scheme in question has been interfered with in a manner resulting in the impairment of the essence of his or her social security or welfare rights (see </w:t>
      </w:r>
      <w:r w:rsidRPr="000C0E58">
        <w:rPr>
          <w:rFonts w:eastAsia="Times New Roman"/>
          <w:i/>
          <w:iCs/>
          <w:lang w:val="en-GB" w:eastAsia="fr-FR"/>
        </w:rPr>
        <w:t>Kjartan Ásmundsson</w:t>
      </w:r>
      <w:r w:rsidRPr="000C0E58" w:rsidR="00502F43">
        <w:rPr>
          <w:rFonts w:eastAsia="Times New Roman"/>
          <w:lang w:val="en-GB" w:eastAsia="fr-FR"/>
        </w:rPr>
        <w:t>, cited above, § </w:t>
      </w:r>
      <w:r w:rsidRPr="000C0E58">
        <w:rPr>
          <w:rFonts w:eastAsia="Times New Roman"/>
          <w:lang w:val="en-GB" w:eastAsia="fr-FR"/>
        </w:rPr>
        <w:t xml:space="preserve">39; </w:t>
      </w:r>
      <w:r w:rsidRPr="000C0E58">
        <w:rPr>
          <w:rFonts w:eastAsia="Times New Roman"/>
          <w:i/>
          <w:lang w:val="en-GB" w:eastAsia="fr-FR"/>
        </w:rPr>
        <w:t>Wieczorek</w:t>
      </w:r>
      <w:r w:rsidRPr="000C0E58">
        <w:rPr>
          <w:rFonts w:eastAsia="Times New Roman"/>
          <w:lang w:val="en-GB" w:eastAsia="fr-FR"/>
        </w:rPr>
        <w:t xml:space="preserve">, cited above, § 57; </w:t>
      </w:r>
      <w:r w:rsidRPr="000C0E58">
        <w:rPr>
          <w:rFonts w:eastAsia="Times New Roman"/>
          <w:i/>
          <w:lang w:val="en-GB" w:eastAsia="fr-FR"/>
        </w:rPr>
        <w:t>Valkov and Others</w:t>
      </w:r>
      <w:r w:rsidRPr="000C0E58">
        <w:rPr>
          <w:rFonts w:eastAsia="Times New Roman"/>
          <w:lang w:val="en-GB" w:eastAsia="fr-FR"/>
        </w:rPr>
        <w:t xml:space="preserve">, cited above, § 91; and </w:t>
      </w:r>
      <w:r w:rsidRPr="000C0E58">
        <w:rPr>
          <w:rFonts w:eastAsia="Times New Roman"/>
          <w:i/>
          <w:lang w:val="en-GB" w:eastAsia="fr-FR"/>
        </w:rPr>
        <w:t>Khoniakina</w:t>
      </w:r>
      <w:r w:rsidRPr="000C0E58">
        <w:rPr>
          <w:rFonts w:eastAsia="Times New Roman"/>
          <w:lang w:val="en-GB" w:eastAsia="fr-FR"/>
        </w:rPr>
        <w:t>, cited above, § 71).</w:t>
      </w:r>
      <w:r w:rsidRPr="000C0E58">
        <w:rPr>
          <w:rFonts w:eastAsia="Calibri"/>
          <w:szCs w:val="24"/>
          <w:lang w:val="en-GB" w:eastAsia="fr-FR"/>
        </w:rPr>
        <w:t xml:space="preserve"> However, the fair-balance test cannot be based solely on the amount or percentage of the reduction suffered, in the abstract. All the relevant elements of the case will have to be taken in account (see </w:t>
      </w:r>
      <w:r w:rsidRPr="000C0E58">
        <w:rPr>
          <w:rFonts w:eastAsia="Times New Roman"/>
          <w:i/>
          <w:lang w:val="en-GB" w:eastAsia="fr-FR"/>
        </w:rPr>
        <w:t>Stefanetti and Others v. Italy</w:t>
      </w:r>
      <w:r w:rsidRPr="000C0E58">
        <w:rPr>
          <w:rFonts w:eastAsia="Times New Roman"/>
          <w:lang w:val="en-GB" w:eastAsia="fr-FR"/>
        </w:rPr>
        <w:t>, nos. 21838/10, 21849/10, 21852/10, 21822/10, 21860/10, 21863/10, 21869/10, and 21870/10</w:t>
      </w:r>
      <w:r w:rsidRPr="000C0E58" w:rsidR="00E40E19">
        <w:rPr>
          <w:rFonts w:eastAsia="Times New Roman"/>
          <w:snapToGrid w:val="0"/>
          <w:color w:val="000000"/>
          <w:lang w:val="en-GB" w:eastAsia="fr-FR"/>
        </w:rPr>
        <w:t>, § </w:t>
      </w:r>
      <w:r w:rsidRPr="000C0E58">
        <w:rPr>
          <w:rFonts w:eastAsia="Times New Roman"/>
          <w:snapToGrid w:val="0"/>
          <w:color w:val="000000"/>
          <w:lang w:val="en-GB" w:eastAsia="fr-FR"/>
        </w:rPr>
        <w:t>59, 15 April 2014). This includes t</w:t>
      </w:r>
      <w:r w:rsidRPr="000C0E58">
        <w:rPr>
          <w:rFonts w:eastAsia="Calibri"/>
          <w:szCs w:val="24"/>
          <w:lang w:val="en-GB" w:eastAsia="fr-FR"/>
        </w:rPr>
        <w:t xml:space="preserve">he nature of the benefit taken away, in particular whether it has originated in a special advantageous pension scheme available only to certain groups of persons (see </w:t>
      </w:r>
      <w:r w:rsidRPr="000C0E58">
        <w:rPr>
          <w:rFonts w:eastAsia="Calibri"/>
          <w:i/>
          <w:szCs w:val="24"/>
          <w:lang w:val="en-GB" w:eastAsia="fr-FR"/>
        </w:rPr>
        <w:t>Cichopek and Others v. Poland</w:t>
      </w:r>
      <w:r w:rsidRPr="000C0E58">
        <w:rPr>
          <w:rFonts w:eastAsia="Calibri"/>
          <w:szCs w:val="24"/>
          <w:lang w:val="en-GB" w:eastAsia="fr-FR"/>
        </w:rPr>
        <w:t xml:space="preserve"> (dec.), nos. 15189/10 and others, § 137, 14 May 2013; </w:t>
      </w:r>
      <w:r w:rsidRPr="000C0E58">
        <w:rPr>
          <w:rFonts w:eastAsia="Calibri"/>
          <w:i/>
          <w:szCs w:val="24"/>
          <w:lang w:val="en-GB" w:eastAsia="fr-FR"/>
        </w:rPr>
        <w:t>da Conceição Mateus and Santos Januário v. Portugal</w:t>
      </w:r>
      <w:r w:rsidRPr="000C0E58" w:rsidR="00E40E19">
        <w:rPr>
          <w:rFonts w:eastAsia="Calibri"/>
          <w:szCs w:val="24"/>
          <w:lang w:val="en-GB" w:eastAsia="fr-FR"/>
        </w:rPr>
        <w:t xml:space="preserve"> (dec.), nos. </w:t>
      </w:r>
      <w:r w:rsidRPr="000C0E58">
        <w:rPr>
          <w:rFonts w:eastAsia="Calibri"/>
          <w:szCs w:val="24"/>
          <w:lang w:val="en-GB" w:eastAsia="fr-FR"/>
        </w:rPr>
        <w:t xml:space="preserve">62235/12 and 57725/12, § 24, 8 October 2013; and </w:t>
      </w:r>
      <w:r w:rsidRPr="000C0E58">
        <w:rPr>
          <w:rFonts w:eastAsia="Times New Roman"/>
          <w:i/>
          <w:snapToGrid w:val="0"/>
          <w:color w:val="000000"/>
          <w:lang w:val="en-GB" w:eastAsia="fr-FR"/>
        </w:rPr>
        <w:t>Da Silva Carvalho Rico</w:t>
      </w:r>
      <w:r w:rsidRPr="000C0E58">
        <w:rPr>
          <w:rFonts w:eastAsia="Times New Roman"/>
          <w:snapToGrid w:val="0"/>
          <w:color w:val="000000"/>
          <w:lang w:val="en-GB" w:eastAsia="fr-FR"/>
        </w:rPr>
        <w:t>, cited above, § 42).</w:t>
      </w:r>
    </w:p>
    <w:p w:rsidRPr="000C0E58" w:rsidR="00484285" w:rsidP="000C0E58">
      <w:pPr>
        <w:pStyle w:val="OpiPara"/>
        <w:rPr>
          <w:rFonts w:eastAsia="Times New Roman"/>
          <w:i/>
          <w:lang w:val="en-GB" w:eastAsia="fr-FR"/>
        </w:rPr>
      </w:pPr>
      <w:r w:rsidRPr="000C0E58">
        <w:rPr>
          <w:rFonts w:eastAsia="Times New Roman"/>
          <w:lang w:val="en-GB" w:eastAsia="fr-FR"/>
        </w:rPr>
        <w:t xml:space="preserve">22.  Where, on the other hand, the person concerned ceases to satisfy the legal conditions laid down in the existing, unchanged domestic law for the grant of any particular form of benefits or pension, there is no interference with the rights under Article 1 of Protocol No. 1 (see </w:t>
      </w:r>
      <w:r w:rsidRPr="000C0E58">
        <w:rPr>
          <w:rFonts w:eastAsia="Times New Roman"/>
          <w:i/>
          <w:lang w:val="en-GB" w:eastAsia="fr-FR"/>
        </w:rPr>
        <w:t>Rasmussen</w:t>
      </w:r>
      <w:r w:rsidRPr="000C0E58">
        <w:rPr>
          <w:rFonts w:eastAsia="Times New Roman"/>
          <w:lang w:val="en-GB" w:eastAsia="fr-FR"/>
        </w:rPr>
        <w:t xml:space="preserve">, cited above, </w:t>
      </w:r>
      <w:r w:rsidRPr="000C0E58">
        <w:rPr>
          <w:rFonts w:eastAsia="Times New Roman"/>
          <w:snapToGrid w:val="0"/>
          <w:lang w:val="en-GB" w:eastAsia="fr-FR"/>
        </w:rPr>
        <w:t xml:space="preserve">§ 71; </w:t>
      </w:r>
      <w:r w:rsidRPr="000C0E58">
        <w:rPr>
          <w:rFonts w:eastAsia="Times New Roman"/>
          <w:i/>
          <w:lang w:val="en-GB" w:eastAsia="fr-FR"/>
        </w:rPr>
        <w:t>Richardson</w:t>
      </w:r>
      <w:r w:rsidRPr="000C0E58">
        <w:rPr>
          <w:rFonts w:eastAsia="Times New Roman"/>
          <w:lang w:val="en-GB" w:eastAsia="fr-FR"/>
        </w:rPr>
        <w:t xml:space="preserve">, cited above, § 17; and </w:t>
      </w:r>
      <w:r w:rsidRPr="000C0E58">
        <w:rPr>
          <w:rFonts w:eastAsia="Times New Roman"/>
          <w:i/>
          <w:lang w:val="en-GB" w:eastAsia="fr-FR"/>
        </w:rPr>
        <w:t>Damjanac</w:t>
      </w:r>
      <w:r w:rsidRPr="000C0E58">
        <w:rPr>
          <w:rFonts w:eastAsia="Times New Roman"/>
          <w:lang w:val="en-GB" w:eastAsia="fr-FR"/>
        </w:rPr>
        <w:t xml:space="preserve">, cited above, §§ 86 and 88). Indeed, the entitlement to a given benefit or pension can change with the evolution of the individual situation of the beneficiary. The Court has stated in this respect, with regard to disability pensions, that it is permissible for States to take measures to reassess the medical condition of persons receiving such pensions with a view to establishing whether they continue to be unfit to work, provided that such reassessment is in conformity with the law and attended by sufficient procedural guarantees </w:t>
      </w:r>
      <w:r w:rsidRPr="000C0E58">
        <w:rPr>
          <w:rFonts w:eastAsia="Times New Roman"/>
          <w:lang w:val="en-GB" w:eastAsia="fr-FR"/>
        </w:rPr>
        <w:t xml:space="preserve">(see </w:t>
      </w:r>
      <w:r w:rsidRPr="000C0E58">
        <w:rPr>
          <w:rFonts w:eastAsia="Times New Roman"/>
          <w:i/>
          <w:lang w:val="en-GB" w:eastAsia="fr-FR"/>
        </w:rPr>
        <w:t>Wieczorek</w:t>
      </w:r>
      <w:r w:rsidRPr="000C0E58">
        <w:rPr>
          <w:rFonts w:eastAsia="Times New Roman"/>
          <w:snapToGrid w:val="0"/>
          <w:lang w:val="en-GB" w:eastAsia="fr-FR"/>
        </w:rPr>
        <w:t xml:space="preserve">, cited above, § 67, and </w:t>
      </w:r>
      <w:r w:rsidRPr="000C0E58" w:rsidR="00E40E19">
        <w:rPr>
          <w:rFonts w:eastAsia="Times New Roman"/>
          <w:i/>
          <w:lang w:val="en-GB" w:eastAsia="fr-FR"/>
        </w:rPr>
        <w:t>Iwaszkiewicz</w:t>
      </w:r>
      <w:r w:rsidRPr="000C0E58" w:rsidR="007E7FF2">
        <w:rPr>
          <w:rFonts w:eastAsia="Times New Roman"/>
          <w:i/>
          <w:lang w:val="en-GB" w:eastAsia="fr-FR"/>
        </w:rPr>
        <w:t> </w:t>
      </w:r>
      <w:r w:rsidRPr="000C0E58" w:rsidR="00E40E19">
        <w:rPr>
          <w:rFonts w:eastAsia="Times New Roman"/>
          <w:i/>
          <w:lang w:val="en-GB" w:eastAsia="fr-FR"/>
        </w:rPr>
        <w:t>v. </w:t>
      </w:r>
      <w:r w:rsidRPr="000C0E58">
        <w:rPr>
          <w:rFonts w:eastAsia="Times New Roman"/>
          <w:i/>
          <w:lang w:val="en-GB" w:eastAsia="fr-FR"/>
        </w:rPr>
        <w:t>Poland</w:t>
      </w:r>
      <w:r w:rsidRPr="000C0E58">
        <w:rPr>
          <w:rFonts w:eastAsia="Times New Roman"/>
          <w:lang w:val="en-GB" w:eastAsia="fr-FR"/>
        </w:rPr>
        <w:t>, no. 30614/06</w:t>
      </w:r>
      <w:r w:rsidRPr="000C0E58">
        <w:rPr>
          <w:rFonts w:eastAsia="Times New Roman"/>
          <w:snapToGrid w:val="0"/>
          <w:szCs w:val="24"/>
          <w:lang w:val="en-GB" w:eastAsia="fr-FR"/>
        </w:rPr>
        <w:t>, §§ 50-51, 26 July 2011</w:t>
      </w:r>
      <w:r w:rsidRPr="000C0E58">
        <w:rPr>
          <w:rFonts w:eastAsia="Times New Roman"/>
          <w:snapToGrid w:val="0"/>
          <w:lang w:val="en-GB" w:eastAsia="fr-FR"/>
        </w:rPr>
        <w:t>).</w:t>
      </w:r>
    </w:p>
    <w:p w:rsidRPr="000C0E58" w:rsidR="00484285" w:rsidP="000C0E58">
      <w:pPr>
        <w:pStyle w:val="OpiH1"/>
      </w:pPr>
      <w:r w:rsidRPr="000C0E58">
        <w:t>2</w:t>
      </w:r>
      <w:r w:rsidRPr="000C0E58">
        <w:t>.  Application of the principles to the present case</w:t>
      </w:r>
    </w:p>
    <w:p w:rsidRPr="000C0E58" w:rsidR="00484285" w:rsidP="000C0E58">
      <w:pPr>
        <w:pStyle w:val="OpiPara"/>
        <w:rPr>
          <w:rFonts w:eastAsia="Times New Roman"/>
          <w:lang w:val="en-GB" w:eastAsia="fr-FR"/>
        </w:rPr>
      </w:pPr>
      <w:r w:rsidRPr="000C0E58">
        <w:rPr>
          <w:rFonts w:eastAsia="Times New Roman"/>
          <w:lang w:val="en-GB" w:eastAsia="fr-FR"/>
        </w:rPr>
        <w:t>23.</w:t>
      </w:r>
      <w:r w:rsidRPr="000C0E58">
        <w:rPr>
          <w:rFonts w:eastAsia="Calibri"/>
          <w:szCs w:val="24"/>
          <w:lang w:val="en-GB" w:eastAsia="fr-FR"/>
        </w:rPr>
        <w:t>  </w:t>
      </w:r>
      <w:r w:rsidRPr="000C0E58">
        <w:rPr>
          <w:rFonts w:eastAsia="Times New Roman"/>
          <w:lang w:val="en-GB" w:eastAsia="fr-FR"/>
        </w:rPr>
        <w:t xml:space="preserve">Turning to the application of the general principles to the facts of the present case, we agree with the majority on the starting point: the applicant cannot complain about an allegedly “continuing situation” originating in the discontinuation of her disability pension on 1 February 2010. Like the majority, we believe that the discontinuation of the disability pension was an instantaneous act, and that the final decision in this respect was taken by the </w:t>
      </w:r>
      <w:r w:rsidRPr="000C0E58">
        <w:rPr>
          <w:rFonts w:eastAsia="Times New Roman"/>
          <w:szCs w:val="24"/>
          <w:lang w:val="en-GB" w:eastAsia="fr-FR"/>
        </w:rPr>
        <w:t>Nyíregyháza</w:t>
      </w:r>
      <w:r w:rsidRPr="000C0E58">
        <w:rPr>
          <w:rFonts w:eastAsia="Times New Roman"/>
          <w:lang w:val="en-GB" w:eastAsia="fr-FR"/>
        </w:rPr>
        <w:t xml:space="preserve"> Labour Court on 1 April 2011. As a result of the six-month rule contained in Article 35 § 1 of the Convention, the Court is precluded from examining the decision of 1 February 2010 and the subsequent proceedings up to the judgment of 1 April 2011, and is obliged to limit its examination to the decisions relating to the applicant</w:t>
      </w:r>
      <w:r w:rsidRPr="000C0E58" w:rsidR="000C0E58">
        <w:rPr>
          <w:rFonts w:eastAsia="Times New Roman"/>
          <w:lang w:val="en-GB" w:eastAsia="fr-FR"/>
        </w:rPr>
        <w:t>’</w:t>
      </w:r>
      <w:r w:rsidRPr="000C0E58">
        <w:rPr>
          <w:rFonts w:eastAsia="Times New Roman"/>
          <w:lang w:val="en-GB" w:eastAsia="fr-FR"/>
        </w:rPr>
        <w:t>s later requests for a disability pension, submitted on 20 February 2012 and 15 August 2012 (see paragraphs 90-91 of the judgment).</w:t>
      </w:r>
    </w:p>
    <w:p w:rsidRPr="000C0E58" w:rsidR="00484285" w:rsidP="000C0E58">
      <w:pPr>
        <w:pStyle w:val="OpiPara"/>
        <w:rPr>
          <w:rFonts w:eastAsia="Times New Roman"/>
          <w:lang w:val="en-GB" w:eastAsia="fr-FR"/>
        </w:rPr>
      </w:pPr>
      <w:r w:rsidRPr="000C0E58">
        <w:rPr>
          <w:rFonts w:eastAsia="Times New Roman"/>
          <w:lang w:val="en-GB" w:eastAsia="fr-FR"/>
        </w:rPr>
        <w:t>24</w:t>
      </w:r>
      <w:r w:rsidRPr="000C0E58">
        <w:rPr>
          <w:rFonts w:eastAsia="Calibri"/>
          <w:szCs w:val="24"/>
          <w:lang w:val="en-GB" w:eastAsia="fr-FR"/>
        </w:rPr>
        <w:t xml:space="preserve">.  We note that between 1 May 1975 and 14 July 1997 the applicant made contributions to the social-security scheme (see paragraph 10 of the judgment). However, it is not alleged that she thus had acquired any claim to an identifiable share in a social-security fund. We therefore proceed on the basis that the </w:t>
      </w:r>
      <w:r w:rsidRPr="000C0E58">
        <w:rPr>
          <w:rFonts w:eastAsia="Times New Roman"/>
          <w:snapToGrid w:val="0"/>
          <w:lang w:val="en-GB" w:eastAsia="fr-FR"/>
        </w:rPr>
        <w:t>payment of contributions was merely one of the pre-conditions for receiving a disability pension which became relevant once she satisfied the other conditions laid down in domestic law</w:t>
      </w:r>
      <w:r w:rsidRPr="000C0E58" w:rsidR="00E40E19">
        <w:rPr>
          <w:rFonts w:eastAsia="Calibri"/>
          <w:szCs w:val="24"/>
          <w:lang w:val="en-GB" w:eastAsia="fr-FR"/>
        </w:rPr>
        <w:t xml:space="preserve"> (see § </w:t>
      </w:r>
      <w:r w:rsidRPr="000C0E58">
        <w:rPr>
          <w:rFonts w:eastAsia="Calibri"/>
          <w:szCs w:val="24"/>
          <w:lang w:val="en-GB" w:eastAsia="fr-FR"/>
        </w:rPr>
        <w:t>16 above). Unlike the majority (see paragraph 105 of the judgment), we thus do not consider that the applicant</w:t>
      </w:r>
      <w:r w:rsidRPr="000C0E58" w:rsidR="000C0E58">
        <w:rPr>
          <w:rFonts w:eastAsia="Calibri"/>
          <w:szCs w:val="24"/>
          <w:lang w:val="en-GB" w:eastAsia="fr-FR"/>
        </w:rPr>
        <w:t>’</w:t>
      </w:r>
      <w:r w:rsidRPr="000C0E58">
        <w:rPr>
          <w:rFonts w:eastAsia="Calibri"/>
          <w:szCs w:val="24"/>
          <w:lang w:val="en-GB" w:eastAsia="fr-FR"/>
        </w:rPr>
        <w:t>s contributions created a property right protected under Article 1 of Protocol No. 1.</w:t>
      </w:r>
    </w:p>
    <w:p w:rsidRPr="000C0E58" w:rsidR="00484285" w:rsidP="000C0E58">
      <w:pPr>
        <w:pStyle w:val="OpiPara"/>
        <w:rPr>
          <w:rFonts w:eastAsia="Times New Roman"/>
          <w:lang w:val="en-GB" w:eastAsia="fr-FR"/>
        </w:rPr>
      </w:pPr>
      <w:r w:rsidRPr="000C0E58">
        <w:rPr>
          <w:rFonts w:eastAsia="Times New Roman"/>
          <w:lang w:val="en-GB" w:eastAsia="fr-FR"/>
        </w:rPr>
        <w:t>25.  We further note, like the majority, that the system of disability allowances in question, both in its pre-2012 and its current form, essentially operated on the basis of two cumulative eligibility criteria: (i) a “health condition”, under which the benefit was payable only to persons whose health and employment status so required, and (ii) a “contribution condition”, which required the fulfilment of a certain service period or a period covered by social-security contributions (see paragraph 93 of the judgment).</w:t>
      </w:r>
    </w:p>
    <w:p w:rsidRPr="000C0E58" w:rsidR="00484285" w:rsidP="000C0E58">
      <w:pPr>
        <w:pStyle w:val="OpiPara"/>
        <w:rPr>
          <w:rFonts w:eastAsia="Times New Roman"/>
          <w:lang w:val="en-GB" w:eastAsia="fr-FR"/>
        </w:rPr>
      </w:pPr>
      <w:r w:rsidRPr="000C0E58">
        <w:rPr>
          <w:rFonts w:eastAsia="Times New Roman"/>
          <w:lang w:val="en-GB" w:eastAsia="fr-FR"/>
        </w:rPr>
        <w:t>26.  When in 2001 the applicant was granted a disability benefit (see paragraph 11 of the judgment), the relevant authorities considered that she met both the health condition and the contribution condition applicable pursuant to Act no. </w:t>
      </w:r>
      <w:r w:rsidRPr="000C0E58">
        <w:rPr>
          <w:rFonts w:eastAsia="Times New Roman"/>
          <w:lang w:val="en-GB" w:eastAsia="fr-FR"/>
        </w:rPr>
        <w:t>LXXXI of 1997 on Social-Security Pensions.</w:t>
      </w:r>
      <w:r w:rsidRPr="000C0E58">
        <w:rPr>
          <w:rFonts w:eastAsia="Times New Roman"/>
          <w:lang w:val="en-GB" w:eastAsia="fr-FR"/>
        </w:rPr>
        <w:t xml:space="preserve"> That decision generated a legitimate expectation that she would receive the benefit on a monthly basis, </w:t>
      </w:r>
      <w:r w:rsidRPr="000C0E58">
        <w:rPr>
          <w:rFonts w:eastAsia="Times New Roman"/>
          <w:lang w:val="en-GB" w:eastAsia="fr-FR"/>
        </w:rPr>
        <w:t>so</w:t>
      </w:r>
      <w:r w:rsidRPr="000C0E58">
        <w:rPr>
          <w:rFonts w:eastAsia="Times New Roman"/>
          <w:lang w:val="en-GB" w:eastAsia="fr-FR"/>
        </w:rPr>
        <w:t xml:space="preserve"> long as she continued to meet the two conditions and in particular the health condition.</w:t>
      </w:r>
    </w:p>
    <w:p w:rsidRPr="000C0E58" w:rsidR="00484285" w:rsidP="000C0E58">
      <w:pPr>
        <w:pStyle w:val="OpiPara"/>
        <w:rPr>
          <w:rFonts w:eastAsia="Times New Roman"/>
          <w:lang w:val="en-GB" w:eastAsia="fr-FR"/>
        </w:rPr>
      </w:pPr>
      <w:r w:rsidRPr="000C0E58">
        <w:rPr>
          <w:rFonts w:eastAsia="Times New Roman"/>
          <w:lang w:val="en-GB" w:eastAsia="fr-FR"/>
        </w:rPr>
        <w:t>27.  The period during which the applicant received the disability benefit lasted until 1 February 2010. On that date, the relevant pension insurance authority found, on the basis of a new methodology for assessing the degree of health impairment, that the applicant had a disability of only 40%. It concluded that the applicant no longer fulfilled the health condition established by law, which had remained unchanged, and therefore withdrew her entitlement to a disability pension (see paragraphs 12-14 of the judgment). As indicated previously, the applicant</w:t>
      </w:r>
      <w:r w:rsidRPr="000C0E58" w:rsidR="000C0E58">
        <w:rPr>
          <w:rFonts w:eastAsia="Times New Roman"/>
          <w:lang w:val="en-GB" w:eastAsia="fr-FR"/>
        </w:rPr>
        <w:t>’</w:t>
      </w:r>
      <w:r w:rsidRPr="000C0E58">
        <w:rPr>
          <w:rFonts w:eastAsia="Times New Roman"/>
          <w:lang w:val="en-GB" w:eastAsia="fr-FR"/>
        </w:rPr>
        <w:t xml:space="preserve">s challenges to this decision were ultimately dismissed by the </w:t>
      </w:r>
      <w:r w:rsidRPr="000C0E58">
        <w:rPr>
          <w:rFonts w:eastAsia="Times New Roman"/>
          <w:szCs w:val="24"/>
          <w:lang w:val="en-GB" w:eastAsia="fr-FR"/>
        </w:rPr>
        <w:t>Nyíregyháza</w:t>
      </w:r>
      <w:r w:rsidRPr="000C0E58">
        <w:rPr>
          <w:rFonts w:eastAsia="Times New Roman"/>
          <w:lang w:val="en-GB" w:eastAsia="fr-FR"/>
        </w:rPr>
        <w:t xml:space="preserve"> Labour Court on 1 April 2011 (see paragraphs 15-16 of the judgment). In consequence, in accordance with the provisions of domestic law then in force, the applicant was not entitled to and did not receive any disability pension as of 1 February 2010.</w:t>
      </w:r>
    </w:p>
    <w:p w:rsidRPr="000C0E58" w:rsidR="00484285" w:rsidP="000C0E58">
      <w:pPr>
        <w:pStyle w:val="OpiPara"/>
        <w:rPr>
          <w:rFonts w:ascii="Times New Roman" w:hAnsi="Times New Roman" w:eastAsia="Times New Roman" w:cs="Times New Roman"/>
          <w:szCs w:val="20"/>
          <w:lang w:val="en-GB" w:eastAsia="fr-FR"/>
        </w:rPr>
      </w:pPr>
      <w:r w:rsidRPr="000C0E58">
        <w:rPr>
          <w:rFonts w:ascii="Times New Roman" w:hAnsi="Times New Roman" w:eastAsia="Times New Roman" w:cs="Times New Roman"/>
          <w:szCs w:val="20"/>
          <w:lang w:val="en-GB" w:eastAsia="fr-FR"/>
        </w:rPr>
        <w:t>28.  From the moment that her entitlement to a disability pension was withdrawn, the applicant could no longer rely on a specific legal act to support the legitimate expectation that she would receive a disability pension. She could of course rely on the legislation in force at that point, but since she did not fulfil all of the conditions to receive a disability benefit she had no enforceable claim in that regard. I</w:t>
      </w:r>
      <w:r w:rsidRPr="000C0E58">
        <w:rPr>
          <w:rFonts w:ascii="Times New Roman" w:hAnsi="Times New Roman" w:eastAsia="Times New Roman" w:cs="Times New Roman"/>
          <w:szCs w:val="24"/>
          <w:lang w:val="en-GB" w:eastAsia="fr-FR"/>
        </w:rPr>
        <w:t xml:space="preserve">t cannot be argued either, in our opinion, that the applicant, who had previously had a right to a disability pension because she fulfilled the eligibility requirements under the domestic law applicable at the relevant time, had a continuous legitimate expectation to receipt of that allowance or benefit for as long as one of those requirements continued to be met, regardless of how the relevant statutory requirements were amended or developed over time. </w:t>
      </w:r>
      <w:r w:rsidRPr="000C0E58">
        <w:rPr>
          <w:rFonts w:ascii="Times New Roman" w:hAnsi="Times New Roman" w:eastAsia="Times New Roman" w:cs="Times New Roman"/>
          <w:szCs w:val="20"/>
          <w:lang w:val="en-GB" w:eastAsia="fr-FR"/>
        </w:rPr>
        <w:t xml:space="preserve">In fact, the applicant had lost her proprietary interest, protected </w:t>
      </w:r>
      <w:r w:rsidRPr="000C0E58" w:rsidR="00E40E19">
        <w:rPr>
          <w:rFonts w:ascii="Times New Roman" w:hAnsi="Times New Roman" w:eastAsia="Times New Roman" w:cs="Times New Roman"/>
          <w:szCs w:val="20"/>
          <w:lang w:val="en-GB" w:eastAsia="fr-FR"/>
        </w:rPr>
        <w:t>under Article 1 of Protocol No. </w:t>
      </w:r>
      <w:r w:rsidRPr="000C0E58">
        <w:rPr>
          <w:rFonts w:ascii="Times New Roman" w:hAnsi="Times New Roman" w:eastAsia="Times New Roman" w:cs="Times New Roman"/>
          <w:szCs w:val="20"/>
          <w:lang w:val="en-GB" w:eastAsia="fr-FR"/>
        </w:rPr>
        <w:t>1, through the decision of 1 February 2010 withdrawing her entitlement to a disability pension.</w:t>
      </w:r>
    </w:p>
    <w:p w:rsidRPr="000C0E58" w:rsidR="00484285" w:rsidP="000C0E58">
      <w:pPr>
        <w:pStyle w:val="OpiPara"/>
        <w:rPr>
          <w:rFonts w:ascii="Times New Roman" w:hAnsi="Times New Roman" w:eastAsia="Times New Roman" w:cs="Times New Roman"/>
          <w:szCs w:val="20"/>
          <w:lang w:val="en-GB" w:eastAsia="fr-FR"/>
        </w:rPr>
      </w:pPr>
      <w:r w:rsidRPr="000C0E58">
        <w:rPr>
          <w:rFonts w:ascii="Times New Roman" w:hAnsi="Times New Roman" w:eastAsia="Times New Roman" w:cs="Times New Roman"/>
          <w:szCs w:val="20"/>
          <w:lang w:val="en-GB" w:eastAsia="fr-FR"/>
        </w:rPr>
        <w:t>29.  Following that withdrawal of her disability pension and the rejection of her appeals, the applicant first requested a new assessment of her disability. This resulted in a disability score of 50%, as determined on 13 December 2011 by the second-instance administrative authority. This, however, was insufficient, in the given circumstances, to allow the conclusion that the applicant fulfilled the conditions laid down by domestic law for entitlement to a disability allowance (see paragraph 17 of the judgment). Thus, nothing changed in respect of her situation under Article 1 of Protocol No. 1: she still had no “enforceable claim” to a disability pension. The fact that rehabilitation was envisaged, but regrettably not taken forward (</w:t>
      </w:r>
      <w:r w:rsidRPr="000C0E58">
        <w:rPr>
          <w:rFonts w:ascii="Times New Roman" w:hAnsi="Times New Roman" w:eastAsia="Times New Roman" w:cs="Times New Roman"/>
          <w:i/>
          <w:szCs w:val="20"/>
          <w:lang w:val="en-GB" w:eastAsia="fr-FR"/>
        </w:rPr>
        <w:t>ibid.</w:t>
      </w:r>
      <w:r w:rsidRPr="000C0E58">
        <w:rPr>
          <w:rFonts w:ascii="Times New Roman" w:hAnsi="Times New Roman" w:eastAsia="Times New Roman" w:cs="Times New Roman"/>
          <w:szCs w:val="20"/>
          <w:lang w:val="en-GB" w:eastAsia="fr-FR"/>
        </w:rPr>
        <w:t>), does not, in our opinion, alter this conclusion as regards the applicant</w:t>
      </w:r>
      <w:r w:rsidRPr="000C0E58" w:rsidR="000C0E58">
        <w:rPr>
          <w:rFonts w:ascii="Times New Roman" w:hAnsi="Times New Roman" w:eastAsia="Times New Roman" w:cs="Times New Roman"/>
          <w:szCs w:val="20"/>
          <w:lang w:val="en-GB" w:eastAsia="fr-FR"/>
        </w:rPr>
        <w:t>’</w:t>
      </w:r>
      <w:r w:rsidRPr="000C0E58">
        <w:rPr>
          <w:rFonts w:ascii="Times New Roman" w:hAnsi="Times New Roman" w:eastAsia="Times New Roman" w:cs="Times New Roman"/>
          <w:szCs w:val="20"/>
          <w:lang w:val="en-GB" w:eastAsia="fr-FR"/>
        </w:rPr>
        <w:t>s legal situation.</w:t>
      </w:r>
    </w:p>
    <w:p w:rsidRPr="000C0E58" w:rsidR="00484285" w:rsidP="000C0E58">
      <w:pPr>
        <w:pStyle w:val="OpiPara"/>
        <w:rPr>
          <w:rFonts w:eastAsia="Times New Roman"/>
          <w:lang w:val="en-GB" w:eastAsia="fr-FR"/>
        </w:rPr>
      </w:pPr>
      <w:r w:rsidRPr="000C0E58">
        <w:rPr>
          <w:rFonts w:eastAsia="Times New Roman"/>
          <w:lang w:val="en-GB" w:eastAsia="fr-FR"/>
        </w:rPr>
        <w:t xml:space="preserve">30.  On 1 January 2012 a new law on disability allowances (Act no. CXCI of 2011 on the Benefits Granted to Persons with Reduced Work Capacity) entered into force. It changed the conditions of eligibility for disability benefits, now called disability allowances. In particular, a new </w:t>
      </w:r>
      <w:r w:rsidRPr="000C0E58">
        <w:rPr>
          <w:rFonts w:eastAsia="Times New Roman"/>
          <w:lang w:val="en-GB" w:eastAsia="fr-FR"/>
        </w:rPr>
        <w:t>contribution condition was introduced, which was stricter than the one applicable under the old law (see paragraph 18 of the judgment). According to the majority, this law was of a retroactive nature (see paragraph 104 of the judgment). We cannot agree with that characterisation. The new law produced its effects only for the future, thus being of immediate but not retroactive application.</w:t>
      </w:r>
    </w:p>
    <w:p w:rsidRPr="000C0E58" w:rsidR="00484285" w:rsidP="000C0E58">
      <w:pPr>
        <w:pStyle w:val="OpiPara"/>
        <w:rPr>
          <w:rFonts w:eastAsia="Times New Roman"/>
          <w:lang w:val="en-GB" w:eastAsia="fr-FR"/>
        </w:rPr>
      </w:pPr>
      <w:r w:rsidRPr="000C0E58">
        <w:rPr>
          <w:rFonts w:eastAsia="Times New Roman"/>
          <w:lang w:val="en-GB" w:eastAsia="fr-FR"/>
        </w:rPr>
        <w:t>31.  We reiterate that according to the Court</w:t>
      </w:r>
      <w:r w:rsidRPr="000C0E58" w:rsidR="000C0E58">
        <w:rPr>
          <w:rFonts w:eastAsia="Times New Roman"/>
          <w:lang w:val="en-GB" w:eastAsia="fr-FR"/>
        </w:rPr>
        <w:t>’</w:t>
      </w:r>
      <w:r w:rsidRPr="000C0E58">
        <w:rPr>
          <w:rFonts w:eastAsia="Times New Roman"/>
          <w:lang w:val="en-GB" w:eastAsia="fr-FR"/>
        </w:rPr>
        <w:t>s case-law the protection afforded by Article 1 of Protocol No. 1 does not go so far as to prevent the competent authorities from amending the relevant rules and reforming the social-security system (see § 17 above). While the new law on disability allowances could constitute an interference in the “possessions” of those persons who received a disability pension at the moment when the law entered into force (see §§ 20-21 above), this was not the case in respect of the applicant, who at that moment was not entitled to such a pension under the old law (see § 22 above).</w:t>
      </w:r>
    </w:p>
    <w:p w:rsidRPr="000C0E58" w:rsidR="00484285" w:rsidP="000C0E58">
      <w:pPr>
        <w:pStyle w:val="OpiPara"/>
        <w:rPr>
          <w:rFonts w:eastAsia="Times New Roman"/>
          <w:lang w:val="en-GB" w:eastAsia="fr-FR"/>
        </w:rPr>
      </w:pPr>
      <w:r w:rsidRPr="000C0E58">
        <w:rPr>
          <w:rFonts w:eastAsia="Times New Roman"/>
          <w:lang w:val="en-GB" w:eastAsia="fr-FR"/>
        </w:rPr>
        <w:t>32.  The question whether any proprietary interest, within the meaning of Article 1 of Protocol No. 1, existed as from 1 January 2012 would thus have to be answered on the basis of the new law. The old law had been repealed, and could therefore no longer be the basis for any legitimate expectations to arise. In other words, although the applicant had fulfilled the contribution criterion as it applied in the past, this fact was no longer relevant once the new law entered into force, changing the relevant criteria. In order to answer the question whether, for the purposes of the applicability of Article 1 of Protocol No. 1, the applicant</w:t>
      </w:r>
      <w:r w:rsidRPr="000C0E58" w:rsidR="000C0E58">
        <w:rPr>
          <w:rFonts w:eastAsia="Times New Roman"/>
          <w:lang w:val="en-GB" w:eastAsia="fr-FR"/>
        </w:rPr>
        <w:t>’</w:t>
      </w:r>
      <w:r w:rsidRPr="000C0E58">
        <w:rPr>
          <w:rFonts w:eastAsia="Times New Roman"/>
          <w:lang w:val="en-GB" w:eastAsia="fr-FR"/>
        </w:rPr>
        <w:t>s claim had a sufficient basis in domestic law, it is the domestic law as it stood when the decisions were taken on her requests for a disability allowance, submitted on 20 February 2012 and 15 August 2012, that is relevant.</w:t>
      </w:r>
    </w:p>
    <w:p w:rsidRPr="000C0E58" w:rsidR="00484285" w:rsidP="000C0E58">
      <w:pPr>
        <w:pStyle w:val="OpiPara"/>
        <w:rPr>
          <w:rFonts w:eastAsia="Times New Roman"/>
          <w:lang w:val="en-GB" w:eastAsia="fr-FR"/>
        </w:rPr>
      </w:pPr>
      <w:r w:rsidRPr="000C0E58">
        <w:rPr>
          <w:rFonts w:eastAsia="Times New Roman"/>
          <w:lang w:val="en-GB" w:eastAsia="fr-FR"/>
        </w:rPr>
        <w:t xml:space="preserve">33.  We would like to add that the fact that the applicant had made contributions under the old law does not change that finding. Indeed, as explained above, these contributions did not generate any claim to an identifiable share in a social-security fund, and therefore did not as such generate a proprietary interest protected </w:t>
      </w:r>
      <w:r w:rsidRPr="000C0E58" w:rsidR="00E40E19">
        <w:rPr>
          <w:rFonts w:eastAsia="Times New Roman"/>
          <w:lang w:val="en-GB" w:eastAsia="fr-FR"/>
        </w:rPr>
        <w:t>under Article 1 of Protocol No. </w:t>
      </w:r>
      <w:r w:rsidRPr="000C0E58">
        <w:rPr>
          <w:rFonts w:eastAsia="Times New Roman"/>
          <w:lang w:val="en-GB" w:eastAsia="fr-FR"/>
        </w:rPr>
        <w:t>1 (see § 24 above).</w:t>
      </w:r>
    </w:p>
    <w:p w:rsidRPr="000C0E58" w:rsidR="00484285" w:rsidP="000C0E58">
      <w:pPr>
        <w:pStyle w:val="OpiPara"/>
        <w:rPr>
          <w:rFonts w:eastAsia="Calibri"/>
          <w:i/>
          <w:szCs w:val="24"/>
          <w:lang w:val="en-GB" w:eastAsia="fr-FR"/>
        </w:rPr>
      </w:pPr>
      <w:r w:rsidRPr="000C0E58">
        <w:rPr>
          <w:rFonts w:eastAsia="Calibri"/>
          <w:szCs w:val="24"/>
          <w:lang w:val="en-GB" w:eastAsia="fr-FR"/>
        </w:rPr>
        <w:t>34.  Accordingly, the question is whether there was a sufficient basis in domestic law, as interpreted by the domestic courts, for the applicant</w:t>
      </w:r>
      <w:r w:rsidRPr="000C0E58" w:rsidR="000C0E58">
        <w:rPr>
          <w:rFonts w:eastAsia="Calibri"/>
          <w:szCs w:val="24"/>
          <w:lang w:val="en-GB" w:eastAsia="fr-FR"/>
        </w:rPr>
        <w:t>’</w:t>
      </w:r>
      <w:r w:rsidRPr="000C0E58">
        <w:rPr>
          <w:rFonts w:eastAsia="Calibri"/>
          <w:szCs w:val="24"/>
          <w:lang w:val="en-GB" w:eastAsia="fr-FR"/>
        </w:rPr>
        <w:t xml:space="preserve">s claim to a disability allowance to qualify as an “asset” for the purposes of the applicability of Article 1 of Protocol No. 1. In this respect, the decisive issue in our opinion is whether the applicant could be said to have satisfied the requirements for the disability allowance, as laid down in domestic law (see, </w:t>
      </w:r>
      <w:r w:rsidRPr="000C0E58">
        <w:rPr>
          <w:rFonts w:eastAsia="Calibri"/>
          <w:i/>
          <w:szCs w:val="24"/>
          <w:lang w:val="en-GB" w:eastAsia="fr-FR"/>
        </w:rPr>
        <w:t>mutatis mutandis</w:t>
      </w:r>
      <w:r w:rsidRPr="000C0E58">
        <w:rPr>
          <w:rFonts w:eastAsia="Calibri"/>
          <w:szCs w:val="24"/>
          <w:lang w:val="en-GB" w:eastAsia="fr-FR"/>
        </w:rPr>
        <w:t xml:space="preserve">, </w:t>
      </w:r>
      <w:r w:rsidRPr="000C0E58">
        <w:rPr>
          <w:rFonts w:eastAsia="Calibri"/>
          <w:i/>
          <w:szCs w:val="24"/>
          <w:lang w:val="en-GB" w:eastAsia="fr-FR"/>
        </w:rPr>
        <w:t>Koivusaari and Others v. Finland</w:t>
      </w:r>
      <w:r w:rsidRPr="000C0E58">
        <w:rPr>
          <w:rFonts w:eastAsia="Calibri"/>
          <w:szCs w:val="24"/>
          <w:lang w:val="en-GB" w:eastAsia="fr-FR"/>
        </w:rPr>
        <w:t xml:space="preserve"> (dec.), no. 20690/06, 23 February 2010).</w:t>
      </w:r>
    </w:p>
    <w:p w:rsidRPr="000C0E58" w:rsidR="00484285" w:rsidP="000C0E58">
      <w:pPr>
        <w:pStyle w:val="OpiPara"/>
        <w:rPr>
          <w:rFonts w:eastAsia="Times New Roman"/>
          <w:szCs w:val="24"/>
          <w:lang w:val="en-GB" w:eastAsia="fr-FR"/>
        </w:rPr>
      </w:pPr>
      <w:r w:rsidRPr="000C0E58">
        <w:rPr>
          <w:rFonts w:eastAsia="Times New Roman"/>
          <w:lang w:val="en-GB" w:eastAsia="fr-FR"/>
        </w:rPr>
        <w:t xml:space="preserve">35.  The applicant brought two requests based on the law on disability allowances (Act no. </w:t>
      </w:r>
      <w:r w:rsidRPr="000C0E58">
        <w:rPr>
          <w:rFonts w:eastAsia="Times New Roman"/>
          <w:lang w:val="en-GB" w:eastAsia="fr-FR"/>
        </w:rPr>
        <w:t>CXCI of 2011).</w:t>
      </w:r>
      <w:r w:rsidRPr="000C0E58">
        <w:rPr>
          <w:rFonts w:eastAsia="Times New Roman"/>
          <w:lang w:val="en-GB" w:eastAsia="fr-FR"/>
        </w:rPr>
        <w:t xml:space="preserve"> As indicated above, that law made the entitlement to a disability allowance dependent on two conditions: a health </w:t>
      </w:r>
      <w:r w:rsidRPr="000C0E58">
        <w:rPr>
          <w:rFonts w:eastAsia="Times New Roman"/>
          <w:lang w:val="en-GB" w:eastAsia="fr-FR"/>
        </w:rPr>
        <w:t>condition and a – now stricter – contribution condition (see § 30 above). The first request was rejected on 5 June 2012 on the ground that she did not fulfil the new contribution condition (see paragraph 19 of the judgment). The second request was also rejected, by a decision taken on 23 November 2012 and confirmed by an appellate body on 27 February 2013, and the applicant</w:t>
      </w:r>
      <w:r w:rsidRPr="000C0E58" w:rsidR="000C0E58">
        <w:rPr>
          <w:rFonts w:eastAsia="Times New Roman"/>
          <w:lang w:val="en-GB" w:eastAsia="fr-FR"/>
        </w:rPr>
        <w:t>’</w:t>
      </w:r>
      <w:r w:rsidRPr="000C0E58">
        <w:rPr>
          <w:rFonts w:eastAsia="Times New Roman"/>
          <w:lang w:val="en-GB" w:eastAsia="fr-FR"/>
        </w:rPr>
        <w:t xml:space="preserve">s challenge to that decision was rejected by the </w:t>
      </w:r>
      <w:r w:rsidRPr="000C0E58">
        <w:rPr>
          <w:rFonts w:eastAsia="Times New Roman"/>
          <w:szCs w:val="24"/>
          <w:lang w:val="en-GB" w:eastAsia="fr-FR"/>
        </w:rPr>
        <w:t>Nyíregyháza</w:t>
      </w:r>
      <w:r w:rsidRPr="000C0E58">
        <w:rPr>
          <w:rFonts w:eastAsia="Times New Roman"/>
          <w:lang w:val="en-GB" w:eastAsia="fr-FR"/>
        </w:rPr>
        <w:t xml:space="preserve"> Administrative and Labour Court on 20 June 2013, again on the ground that the applicant did not fulfil the new contribution condition (see paragraphs 21-23 of the judgment). The applicant does not argue that the interpretation or the application of the new law by the domestic authorities was arbitrary or manifestly unreasonable, and we see no reason to conclude that they were. As indicated above, the Court has consistently held that no legitimate expectation for the purpose of Article 1 of Protocol No. 1 can be said to arise where there is a dispute as to the correct interpretation and application of domestic law and where, as here, the applicant</w:t>
      </w:r>
      <w:r w:rsidRPr="000C0E58" w:rsidR="000C0E58">
        <w:rPr>
          <w:rFonts w:eastAsia="Times New Roman"/>
          <w:lang w:val="en-GB" w:eastAsia="fr-FR"/>
        </w:rPr>
        <w:t>’</w:t>
      </w:r>
      <w:r w:rsidRPr="000C0E58">
        <w:rPr>
          <w:rFonts w:eastAsia="Times New Roman"/>
          <w:lang w:val="en-GB" w:eastAsia="fr-FR"/>
        </w:rPr>
        <w:t>s submissions are subsequently rejected by the national courts (see § 10 above). Thus, the conclusion to be drawn from the fact that the applicant</w:t>
      </w:r>
      <w:r w:rsidRPr="000C0E58" w:rsidR="000C0E58">
        <w:rPr>
          <w:rFonts w:eastAsia="Times New Roman"/>
          <w:lang w:val="en-GB" w:eastAsia="fr-FR"/>
        </w:rPr>
        <w:t>’</w:t>
      </w:r>
      <w:r w:rsidRPr="000C0E58">
        <w:rPr>
          <w:rFonts w:eastAsia="Times New Roman"/>
          <w:lang w:val="en-GB" w:eastAsia="fr-FR"/>
        </w:rPr>
        <w:t xml:space="preserve">s requests were rejected on the ground that she did not fulfil one of the conditions laid down by the applicable law on disability allowances is that her claims had no basis in the new </w:t>
      </w:r>
      <w:r w:rsidRPr="000C0E58">
        <w:rPr>
          <w:rFonts w:eastAsia="Times New Roman"/>
          <w:szCs w:val="24"/>
          <w:lang w:val="en-GB" w:eastAsia="fr-FR"/>
        </w:rPr>
        <w:t>law or, in other words, that she had no “enforceable claim” under that law.</w:t>
      </w:r>
    </w:p>
    <w:p w:rsidRPr="000C0E58" w:rsidR="00484285" w:rsidP="000C0E58">
      <w:pPr>
        <w:pStyle w:val="OpiPara"/>
        <w:rPr>
          <w:rFonts w:eastAsia="Calibri"/>
          <w:i/>
          <w:szCs w:val="24"/>
          <w:lang w:val="en-GB" w:eastAsia="fr-FR"/>
        </w:rPr>
      </w:pPr>
      <w:r w:rsidRPr="000C0E58">
        <w:rPr>
          <w:rFonts w:eastAsia="Times New Roman"/>
          <w:szCs w:val="24"/>
          <w:lang w:val="en-GB" w:eastAsia="fr-FR"/>
        </w:rPr>
        <w:t>36.  The applicant</w:t>
      </w:r>
      <w:r w:rsidRPr="000C0E58">
        <w:rPr>
          <w:rFonts w:eastAsia="Times New Roman"/>
          <w:lang w:val="en-GB" w:eastAsia="fr-FR"/>
        </w:rPr>
        <w:t xml:space="preserve"> argues, however, that she was entitled to a disability allowance on the basis of the former Hungarian Constitution, as interpreted by the Constitutional Court, as well as on the basis of Article 12 § 2 of the European Social Charter, referring to ILO Convention No. 102, and the United Nations Convention on the Rights of Persons with Disabilities.</w:t>
      </w:r>
    </w:p>
    <w:p w:rsidRPr="000C0E58" w:rsidR="00484285" w:rsidP="000C0E58">
      <w:pPr>
        <w:pStyle w:val="OpiPara"/>
        <w:rPr>
          <w:rFonts w:eastAsia="Times New Roman"/>
          <w:lang w:val="en-GB" w:eastAsia="fr-FR"/>
        </w:rPr>
      </w:pPr>
      <w:r w:rsidRPr="000C0E58">
        <w:rPr>
          <w:rFonts w:eastAsia="Times New Roman"/>
          <w:lang w:val="en-GB" w:eastAsia="fr-FR"/>
        </w:rPr>
        <w:t>37.  We are not convinced by the applicant</w:t>
      </w:r>
      <w:r w:rsidRPr="000C0E58" w:rsidR="000C0E58">
        <w:rPr>
          <w:rFonts w:eastAsia="Times New Roman"/>
          <w:lang w:val="en-GB" w:eastAsia="fr-FR"/>
        </w:rPr>
        <w:t>’</w:t>
      </w:r>
      <w:r w:rsidRPr="000C0E58">
        <w:rPr>
          <w:rFonts w:eastAsia="Times New Roman"/>
          <w:lang w:val="en-GB" w:eastAsia="fr-FR"/>
        </w:rPr>
        <w:t>s argument that the provisions of the former Constitution had been interpreted by the Constitutional Court as obliging the State to provide for payment of a social allowance to the extent that is required for basic subsistence. In this regard, we would like to point to the reasoning in the Constitutional Court</w:t>
      </w:r>
      <w:r w:rsidRPr="000C0E58" w:rsidR="000C0E58">
        <w:rPr>
          <w:rFonts w:eastAsia="Times New Roman"/>
          <w:lang w:val="en-GB" w:eastAsia="fr-FR"/>
        </w:rPr>
        <w:t>’</w:t>
      </w:r>
      <w:r w:rsidRPr="000C0E58">
        <w:rPr>
          <w:rFonts w:eastAsia="Times New Roman"/>
          <w:lang w:val="en-GB" w:eastAsia="fr-FR"/>
        </w:rPr>
        <w:t>s decision no. 40/2012 (XII.6.) AB (see paragraph 33 of the judgment), where it held that the Fundamental Law which replaced the former Constitution as of 1 January 2012 provides for general State objectives, rather than for rights conferred on individuals, as far as its Article XIX on social security is concerned. Moreover, the legislature was already expressly entitled to reduce, transform into a social allowance or terminate disability pensions under the former Constitution, as from 6 June 2011. The Constitutional Court also referred to its well-established case-law, which does not interpret the State</w:t>
      </w:r>
      <w:r w:rsidRPr="000C0E58" w:rsidR="000C0E58">
        <w:rPr>
          <w:rFonts w:eastAsia="Times New Roman"/>
          <w:lang w:val="en-GB" w:eastAsia="fr-FR"/>
        </w:rPr>
        <w:t>’</w:t>
      </w:r>
      <w:r w:rsidRPr="000C0E58">
        <w:rPr>
          <w:rFonts w:eastAsia="Times New Roman"/>
          <w:lang w:val="en-GB" w:eastAsia="fr-FR"/>
        </w:rPr>
        <w:t>s obligation to guarantee basic subsistence as a source of specific, directly enforceable constitutional rights. We are therefore not persuaded that the constitutional principles relied on by the applicant created an enforceable right, to be implemented by the legislature.</w:t>
      </w:r>
    </w:p>
    <w:p w:rsidRPr="000C0E58" w:rsidR="00484285" w:rsidP="000C0E58">
      <w:pPr>
        <w:pStyle w:val="OpiPara"/>
        <w:rPr>
          <w:rFonts w:eastAsia="Times New Roman"/>
          <w:lang w:val="en-GB" w:eastAsia="fr-FR"/>
        </w:rPr>
      </w:pPr>
      <w:r w:rsidRPr="000C0E58">
        <w:rPr>
          <w:rFonts w:eastAsia="Times New Roman"/>
          <w:lang w:val="en-GB" w:eastAsia="fr-FR"/>
        </w:rPr>
        <w:t>38.  Furthermore, we are unable to accept that the international-law norms referred to by the applicant constitute a basis for an enforceable right to the impugned Hungarian disability allowance. Hungary has not accepted to be bound by the parts of the European Social Charter or the Revised European Social Charter relied on (see paragraph 36 of the judgment). Neither has it ratified the European Code of Social Security or ILO Conventions Nos. 102 and 128 (see paragraphs 38, 40 and 41 of the judgment): it has thus not accepted the undertaking to secure at least a reduced invalidity benefit for those persons who have completed a period of five years of contribution prior to the contingency (see paragraph 42 of the judgment). In addition, the relevant provisions of the United Nations Convention on the Rights of Persons with Disabilities (see paragraph 39 of the judgment), although ratified by Hungary, do not contain any specific obligation that would entitle the applicant to a disability benefit.</w:t>
      </w:r>
    </w:p>
    <w:p w:rsidRPr="000C0E58" w:rsidR="00484285" w:rsidP="000C0E58">
      <w:pPr>
        <w:pStyle w:val="OpiPara"/>
        <w:rPr>
          <w:rFonts w:ascii="Times New Roman" w:hAnsi="Times New Roman" w:eastAsia="Times New Roman" w:cs="Times New Roman"/>
          <w:szCs w:val="20"/>
          <w:lang w:val="en-GB" w:eastAsia="fr-FR"/>
        </w:rPr>
      </w:pPr>
      <w:r w:rsidRPr="000C0E58">
        <w:rPr>
          <w:rFonts w:ascii="Times New Roman" w:hAnsi="Times New Roman" w:eastAsia="Times New Roman" w:cs="Times New Roman"/>
          <w:szCs w:val="20"/>
          <w:lang w:val="en-GB" w:eastAsia="fr-FR"/>
        </w:rPr>
        <w:t>39.  The conclusion we draw from the foregoing is that the applicant</w:t>
      </w:r>
      <w:r w:rsidRPr="000C0E58" w:rsidR="000C0E58">
        <w:rPr>
          <w:rFonts w:ascii="Times New Roman" w:hAnsi="Times New Roman" w:eastAsia="Times New Roman" w:cs="Times New Roman"/>
          <w:szCs w:val="20"/>
          <w:lang w:val="en-GB" w:eastAsia="fr-FR"/>
        </w:rPr>
        <w:t>’</w:t>
      </w:r>
      <w:r w:rsidRPr="000C0E58">
        <w:rPr>
          <w:rFonts w:ascii="Times New Roman" w:hAnsi="Times New Roman" w:eastAsia="Times New Roman" w:cs="Times New Roman"/>
          <w:szCs w:val="20"/>
          <w:lang w:val="en-GB" w:eastAsia="fr-FR"/>
        </w:rPr>
        <w:t>s claim had no basis in domestic law as it stood on the dates when her requests for a disability allowance were rejected. There was thus no claim under domestic law that could be considere</w:t>
      </w:r>
      <w:r w:rsidRPr="000C0E58" w:rsidR="00E40E19">
        <w:rPr>
          <w:rFonts w:ascii="Times New Roman" w:hAnsi="Times New Roman" w:eastAsia="Times New Roman" w:cs="Times New Roman"/>
          <w:szCs w:val="20"/>
          <w:lang w:val="en-GB" w:eastAsia="fr-FR"/>
        </w:rPr>
        <w:t>d an asset protected by Article </w:t>
      </w:r>
      <w:r w:rsidRPr="000C0E58">
        <w:rPr>
          <w:rFonts w:ascii="Times New Roman" w:hAnsi="Times New Roman" w:eastAsia="Times New Roman" w:cs="Times New Roman"/>
          <w:szCs w:val="20"/>
          <w:lang w:val="en-GB" w:eastAsia="fr-FR"/>
        </w:rPr>
        <w:t>1 of Protocol No. 1. In our opinion, therefore, the applicant did not have a “possession” within the meaning of Article 1 of Protocol No. 1, and the guarantees of that provision do not apply in the present case.</w:t>
      </w:r>
    </w:p>
    <w:p w:rsidRPr="000C0E58" w:rsidR="00484285" w:rsidP="000C0E58">
      <w:pPr>
        <w:pStyle w:val="OpiPara"/>
        <w:rPr>
          <w:rFonts w:ascii="Times New Roman" w:hAnsi="Times New Roman" w:eastAsia="Times New Roman" w:cs="Times New Roman"/>
          <w:szCs w:val="20"/>
          <w:lang w:val="en-GB" w:eastAsia="fr-FR"/>
        </w:rPr>
      </w:pPr>
      <w:r w:rsidRPr="000C0E58">
        <w:rPr>
          <w:rFonts w:ascii="Times New Roman" w:hAnsi="Times New Roman" w:eastAsia="Times New Roman" w:cs="Times New Roman"/>
          <w:noProof/>
          <w:szCs w:val="20"/>
          <w:lang w:val="en-GB" w:eastAsia="fr-FR"/>
        </w:rPr>
        <w:t>40</w:t>
      </w:r>
      <w:r w:rsidRPr="000C0E58">
        <w:rPr>
          <w:rFonts w:ascii="Times New Roman" w:hAnsi="Times New Roman" w:eastAsia="Times New Roman" w:cs="Times New Roman"/>
          <w:szCs w:val="20"/>
          <w:lang w:val="en-GB" w:eastAsia="fr-FR"/>
        </w:rPr>
        <w:t>.  Accordingly, we would allow the Government</w:t>
      </w:r>
      <w:r w:rsidRPr="000C0E58" w:rsidR="000C0E58">
        <w:rPr>
          <w:rFonts w:ascii="Times New Roman" w:hAnsi="Times New Roman" w:eastAsia="Times New Roman" w:cs="Times New Roman"/>
          <w:szCs w:val="20"/>
          <w:lang w:val="en-GB" w:eastAsia="fr-FR"/>
        </w:rPr>
        <w:t>’</w:t>
      </w:r>
      <w:r w:rsidRPr="000C0E58">
        <w:rPr>
          <w:rFonts w:ascii="Times New Roman" w:hAnsi="Times New Roman" w:eastAsia="Times New Roman" w:cs="Times New Roman"/>
          <w:szCs w:val="20"/>
          <w:lang w:val="en-GB" w:eastAsia="fr-FR"/>
        </w:rPr>
        <w:t xml:space="preserve">s objection based on the incompatibility </w:t>
      </w:r>
      <w:r w:rsidRPr="000C0E58">
        <w:rPr>
          <w:rFonts w:ascii="Times New Roman" w:hAnsi="Times New Roman" w:eastAsia="Times New Roman" w:cs="Times New Roman"/>
          <w:i/>
          <w:szCs w:val="20"/>
          <w:lang w:val="en-GB" w:eastAsia="fr-FR"/>
        </w:rPr>
        <w:t>ratione materiae</w:t>
      </w:r>
      <w:r w:rsidRPr="000C0E58">
        <w:rPr>
          <w:rFonts w:ascii="Times New Roman" w:hAnsi="Times New Roman" w:eastAsia="Times New Roman" w:cs="Times New Roman"/>
          <w:szCs w:val="20"/>
          <w:lang w:val="en-GB" w:eastAsia="fr-FR"/>
        </w:rPr>
        <w:t xml:space="preserve"> of the complaint with the Convention and the Protocols thereto. Accordingly, there can be no violation of Article 1 of Protocol No. 1.</w:t>
      </w:r>
    </w:p>
    <w:p w:rsidRPr="000C0E58" w:rsidR="00484285" w:rsidP="000C0E58">
      <w:pPr>
        <w:pStyle w:val="OpiHA"/>
        <w:rPr>
          <w:rFonts w:eastAsia="Times New Roman"/>
          <w:lang w:val="en-GB" w:eastAsia="fr-FR"/>
        </w:rPr>
      </w:pPr>
      <w:r w:rsidRPr="000C0E58">
        <w:rPr>
          <w:rFonts w:eastAsia="Times New Roman"/>
          <w:lang w:val="en-GB" w:eastAsia="fr-FR"/>
        </w:rPr>
        <w:t>B</w:t>
      </w:r>
      <w:r w:rsidRPr="000C0E58">
        <w:rPr>
          <w:rFonts w:eastAsia="Times New Roman"/>
          <w:lang w:val="en-GB" w:eastAsia="fr-FR"/>
        </w:rPr>
        <w:t>.</w:t>
      </w:r>
      <w:r w:rsidRPr="000C0E58">
        <w:rPr>
          <w:rFonts w:eastAsia="Times New Roman"/>
          <w:lang w:val="en-GB" w:eastAsia="fr-FR"/>
        </w:rPr>
        <w:t> </w:t>
      </w:r>
      <w:r w:rsidRPr="000C0E58">
        <w:rPr>
          <w:rFonts w:eastAsia="Times New Roman"/>
          <w:lang w:val="en-GB" w:eastAsia="fr-FR"/>
        </w:rPr>
        <w:t> ALLEGED VIOLATION OF ARTICLE 8 OF THE CONVENTION</w:t>
      </w:r>
    </w:p>
    <w:p w:rsidRPr="000C0E58" w:rsidR="00484285" w:rsidP="000C0E58">
      <w:pPr>
        <w:pStyle w:val="OpiPara"/>
        <w:rPr>
          <w:rFonts w:eastAsia="Times New Roman"/>
          <w:lang w:val="en-GB" w:eastAsia="fr-FR"/>
        </w:rPr>
      </w:pPr>
      <w:r w:rsidRPr="000C0E58">
        <w:rPr>
          <w:rFonts w:eastAsia="Times New Roman"/>
          <w:lang w:val="en-GB" w:eastAsia="fr-FR"/>
        </w:rPr>
        <w:t>41.  In the event that the Court were to</w:t>
      </w:r>
      <w:r w:rsidRPr="000C0E58" w:rsidR="00E40E19">
        <w:rPr>
          <w:rFonts w:eastAsia="Times New Roman"/>
          <w:lang w:val="en-GB" w:eastAsia="fr-FR"/>
        </w:rPr>
        <w:t xml:space="preserve"> find Article 1 of Protocol No. </w:t>
      </w:r>
      <w:r w:rsidRPr="000C0E58">
        <w:rPr>
          <w:rFonts w:eastAsia="Times New Roman"/>
          <w:lang w:val="en-GB" w:eastAsia="fr-FR"/>
        </w:rPr>
        <w:t>1 inapplicable, the applicant, for the first time in her memorial of 30 September 2015 to the Grand Chamber, requested the Court to examine separately whether her right to respect for private life as guaranteed by Article 8 of the Convention had been infringed on account of the loss of her only source of income, resulting from the amendment of the eligibility criteria for the disability pension.</w:t>
      </w:r>
    </w:p>
    <w:p w:rsidRPr="000C0E58" w:rsidR="00484285" w:rsidP="000C0E58">
      <w:pPr>
        <w:pStyle w:val="OpiPara"/>
        <w:rPr>
          <w:rFonts w:eastAsia="Times New Roman"/>
          <w:lang w:val="en-GB" w:eastAsia="fr-FR"/>
        </w:rPr>
      </w:pPr>
      <w:r w:rsidRPr="000C0E58">
        <w:rPr>
          <w:rFonts w:eastAsia="Times New Roman"/>
          <w:lang w:val="en-GB" w:eastAsia="fr-FR"/>
        </w:rPr>
        <w:t>42.</w:t>
      </w:r>
      <w:r w:rsidRPr="000C0E58" w:rsidR="00E40E19">
        <w:rPr>
          <w:rFonts w:eastAsia="Times New Roman"/>
          <w:lang w:val="en-GB" w:eastAsia="fr-FR"/>
        </w:rPr>
        <w:t>  </w:t>
      </w:r>
      <w:r w:rsidRPr="000C0E58">
        <w:rPr>
          <w:rFonts w:eastAsia="Times New Roman"/>
          <w:lang w:val="en-GB" w:eastAsia="fr-FR"/>
        </w:rPr>
        <w:t>Since we find that Article 1 of Protocol No. 1 is indeed inapplicable, we consider that we should give our views on the complaint based on Article 8 of the Convention.</w:t>
      </w:r>
    </w:p>
    <w:p w:rsidRPr="000C0E58" w:rsidR="00484285" w:rsidP="000C0E58">
      <w:pPr>
        <w:pStyle w:val="OpiPara"/>
        <w:rPr>
          <w:rFonts w:eastAsia="Times New Roman"/>
          <w:lang w:val="en-GB" w:eastAsia="fr-FR"/>
        </w:rPr>
      </w:pPr>
      <w:r w:rsidRPr="000C0E58">
        <w:rPr>
          <w:rFonts w:eastAsia="Calibri"/>
          <w:szCs w:val="24"/>
          <w:lang w:val="en-GB" w:eastAsia="fr-FR"/>
        </w:rPr>
        <w:t>43.  According to the Court</w:t>
      </w:r>
      <w:r w:rsidRPr="000C0E58" w:rsidR="000C0E58">
        <w:rPr>
          <w:rFonts w:eastAsia="Calibri"/>
          <w:szCs w:val="24"/>
          <w:lang w:val="en-GB" w:eastAsia="fr-FR"/>
        </w:rPr>
        <w:t>’</w:t>
      </w:r>
      <w:r w:rsidRPr="000C0E58">
        <w:rPr>
          <w:rFonts w:eastAsia="Calibri"/>
          <w:szCs w:val="24"/>
          <w:lang w:val="en-GB" w:eastAsia="fr-FR"/>
        </w:rPr>
        <w:t xml:space="preserve">s case-law, the “case” referred to the Grand Chamber, within the meaning of Article 43 of the Convention, is the application as </w:t>
      </w:r>
      <w:bookmarkStart w:name="HIT1" w:id="3"/>
      <w:bookmarkEnd w:id="3"/>
      <w:r w:rsidRPr="000C0E58">
        <w:rPr>
          <w:rFonts w:eastAsia="Calibri"/>
          <w:szCs w:val="24"/>
          <w:lang w:val="en-GB" w:eastAsia="fr-FR"/>
        </w:rPr>
        <w:t xml:space="preserve">it </w:t>
      </w:r>
      <w:bookmarkStart w:name="HIT2" w:id="4"/>
      <w:bookmarkEnd w:id="4"/>
      <w:r w:rsidRPr="000C0E58">
        <w:rPr>
          <w:rFonts w:eastAsia="Calibri"/>
          <w:szCs w:val="24"/>
          <w:lang w:val="en-GB" w:eastAsia="fr-FR"/>
        </w:rPr>
        <w:t xml:space="preserve">has </w:t>
      </w:r>
      <w:bookmarkStart w:name="HIT3" w:id="5"/>
      <w:bookmarkEnd w:id="5"/>
      <w:r w:rsidRPr="000C0E58">
        <w:rPr>
          <w:rFonts w:eastAsia="Calibri"/>
          <w:szCs w:val="24"/>
          <w:lang w:val="en-GB" w:eastAsia="fr-FR"/>
        </w:rPr>
        <w:t xml:space="preserve">been </w:t>
      </w:r>
      <w:bookmarkStart w:name="HIT4" w:id="6"/>
      <w:bookmarkEnd w:id="6"/>
      <w:r w:rsidRPr="000C0E58">
        <w:rPr>
          <w:rFonts w:eastAsia="Calibri"/>
          <w:szCs w:val="24"/>
          <w:lang w:val="en-GB" w:eastAsia="fr-FR"/>
        </w:rPr>
        <w:t xml:space="preserve">declared </w:t>
      </w:r>
      <w:bookmarkStart w:name="HIT5" w:id="7"/>
      <w:bookmarkEnd w:id="7"/>
      <w:r w:rsidRPr="000C0E58">
        <w:rPr>
          <w:rFonts w:eastAsia="Calibri"/>
          <w:szCs w:val="24"/>
          <w:lang w:val="en-GB" w:eastAsia="fr-FR"/>
        </w:rPr>
        <w:t xml:space="preserve">admissible (see, among many other authorities, </w:t>
      </w:r>
      <w:r w:rsidRPr="000C0E58">
        <w:rPr>
          <w:rFonts w:eastAsia="Times New Roman"/>
          <w:i/>
          <w:lang w:val="en-GB" w:eastAsia="fr-FR"/>
        </w:rPr>
        <w:t>K. and T. v. Finland</w:t>
      </w:r>
      <w:r w:rsidRPr="000C0E58">
        <w:rPr>
          <w:rFonts w:eastAsia="Times New Roman"/>
          <w:lang w:val="en-GB" w:eastAsia="fr-FR"/>
        </w:rPr>
        <w:t xml:space="preserve"> [GC], no. 25702/94, § 141, ECHR 2001</w:t>
      </w:r>
      <w:r w:rsidRPr="000C0E58">
        <w:rPr>
          <w:rFonts w:eastAsia="Times New Roman"/>
          <w:lang w:val="en-GB" w:eastAsia="fr-FR"/>
        </w:rPr>
        <w:noBreakHyphen/>
        <w:t xml:space="preserve">VII, and </w:t>
      </w:r>
      <w:r w:rsidRPr="000C0E58">
        <w:rPr>
          <w:rFonts w:eastAsia="Times New Roman"/>
          <w:i/>
          <w:lang w:val="en-GB" w:eastAsia="fr-FR"/>
        </w:rPr>
        <w:t xml:space="preserve">Blokhin v. Russia </w:t>
      </w:r>
      <w:r w:rsidRPr="000C0E58">
        <w:rPr>
          <w:rFonts w:eastAsia="Times New Roman"/>
          <w:lang w:val="en-GB" w:eastAsia="fr-FR"/>
        </w:rPr>
        <w:t>[GC], no. 47152/06, § 91,</w:t>
      </w:r>
      <w:r w:rsidRPr="000C0E58">
        <w:rPr>
          <w:rFonts w:eastAsia="Times New Roman"/>
          <w:szCs w:val="24"/>
          <w:lang w:val="en-GB" w:eastAsia="fr-FR"/>
        </w:rPr>
        <w:t xml:space="preserve"> ECHR 2016</w:t>
      </w:r>
      <w:r w:rsidRPr="000C0E58">
        <w:rPr>
          <w:rFonts w:eastAsia="Calibri"/>
          <w:szCs w:val="24"/>
          <w:lang w:val="en-GB" w:eastAsia="fr-FR"/>
        </w:rPr>
        <w:t xml:space="preserve">). In </w:t>
      </w:r>
      <w:r w:rsidRPr="000C0E58">
        <w:rPr>
          <w:rFonts w:eastAsia="Calibri"/>
          <w:szCs w:val="24"/>
          <w:lang w:val="en-GB" w:eastAsia="fr-FR"/>
        </w:rPr>
        <w:t>the present case, t</w:t>
      </w:r>
      <w:r w:rsidRPr="000C0E58">
        <w:rPr>
          <w:rFonts w:eastAsia="Times New Roman"/>
          <w:lang w:val="en-GB" w:eastAsia="fr-FR"/>
        </w:rPr>
        <w:t>he question whether the impugned decision could be regarded as a failure to comply with the applicant</w:t>
      </w:r>
      <w:r w:rsidRPr="000C0E58" w:rsidR="000C0E58">
        <w:rPr>
          <w:rFonts w:eastAsia="Times New Roman"/>
          <w:lang w:val="en-GB" w:eastAsia="fr-FR"/>
        </w:rPr>
        <w:t>’</w:t>
      </w:r>
      <w:r w:rsidRPr="000C0E58">
        <w:rPr>
          <w:rFonts w:eastAsia="Times New Roman"/>
          <w:lang w:val="en-GB" w:eastAsia="fr-FR"/>
        </w:rPr>
        <w:t>s right to respect for private life for the purposes of Article 8 of the Convention is a matter that was not covered by the decision declaring the application admissible, and ought to be viewed as a separate complaint.</w:t>
      </w:r>
    </w:p>
    <w:p w:rsidRPr="000C0E58" w:rsidR="00484285" w:rsidP="000C0E58">
      <w:pPr>
        <w:pStyle w:val="OpiPara"/>
        <w:rPr>
          <w:rFonts w:eastAsia="Times New Roman"/>
          <w:lang w:val="en-GB" w:eastAsia="fr-FR"/>
        </w:rPr>
      </w:pPr>
      <w:r w:rsidRPr="000C0E58">
        <w:rPr>
          <w:rFonts w:eastAsia="Times New Roman"/>
          <w:lang w:val="en-GB" w:eastAsia="fr-FR"/>
        </w:rPr>
        <w:t>44.</w:t>
      </w:r>
      <w:r w:rsidRPr="000C0E58" w:rsidR="00E40E19">
        <w:rPr>
          <w:rFonts w:eastAsia="Times New Roman"/>
          <w:lang w:val="en-GB" w:eastAsia="fr-FR"/>
        </w:rPr>
        <w:t>  </w:t>
      </w:r>
      <w:r w:rsidRPr="000C0E58">
        <w:rPr>
          <w:rFonts w:eastAsia="Times New Roman"/>
          <w:lang w:val="en-GB" w:eastAsia="fr-FR"/>
        </w:rPr>
        <w:t xml:space="preserve">In our opinion, therefore, the Grand Chamber should have concluded that it lacks jurisdiction to examine the complaint under Article 8 (see, </w:t>
      </w:r>
      <w:r w:rsidRPr="000C0E58">
        <w:rPr>
          <w:rFonts w:eastAsia="Times New Roman"/>
          <w:i/>
          <w:lang w:val="en-GB" w:eastAsia="fr-FR"/>
        </w:rPr>
        <w:t>mutatis mutandis</w:t>
      </w:r>
      <w:r w:rsidRPr="000C0E58">
        <w:rPr>
          <w:rFonts w:eastAsia="Times New Roman"/>
          <w:lang w:val="en-GB" w:eastAsia="fr-FR"/>
        </w:rPr>
        <w:t xml:space="preserve">, </w:t>
      </w:r>
      <w:r w:rsidRPr="000C0E58">
        <w:rPr>
          <w:rFonts w:eastAsia="Times New Roman"/>
          <w:i/>
          <w:lang w:val="en-GB" w:eastAsia="fr-FR"/>
        </w:rPr>
        <w:t>Herrmann v. Germany</w:t>
      </w:r>
      <w:r w:rsidRPr="000C0E58">
        <w:rPr>
          <w:rFonts w:eastAsia="Times New Roman"/>
          <w:lang w:val="en-GB" w:eastAsia="fr-FR"/>
        </w:rPr>
        <w:t xml:space="preserve"> [GC], </w:t>
      </w:r>
      <w:r w:rsidRPr="000C0E58">
        <w:rPr>
          <w:rFonts w:eastAsia="Times New Roman"/>
          <w:snapToGrid w:val="0"/>
          <w:lang w:val="en-GB" w:eastAsia="fr-FR"/>
        </w:rPr>
        <w:t>no.</w:t>
      </w:r>
      <w:r w:rsidRPr="000C0E58">
        <w:rPr>
          <w:rFonts w:eastAsia="Times New Roman"/>
          <w:lang w:val="en-GB" w:eastAsia="fr-FR"/>
        </w:rPr>
        <w:t xml:space="preserve"> 9300/07</w:t>
      </w:r>
      <w:r w:rsidRPr="000C0E58">
        <w:rPr>
          <w:rFonts w:eastAsia="Times New Roman"/>
          <w:snapToGrid w:val="0"/>
          <w:szCs w:val="24"/>
          <w:lang w:val="en-GB" w:eastAsia="fr-FR"/>
        </w:rPr>
        <w:t>, §</w:t>
      </w:r>
      <w:r w:rsidRPr="000C0E58" w:rsidR="00AA7F31">
        <w:rPr>
          <w:rFonts w:eastAsia="Times New Roman"/>
          <w:snapToGrid w:val="0"/>
          <w:szCs w:val="24"/>
          <w:lang w:val="en-GB" w:eastAsia="fr-FR"/>
        </w:rPr>
        <w:t xml:space="preserve"> 39, 26 </w:t>
      </w:r>
      <w:r w:rsidRPr="000C0E58">
        <w:rPr>
          <w:rFonts w:eastAsia="Times New Roman"/>
          <w:snapToGrid w:val="0"/>
          <w:szCs w:val="24"/>
          <w:lang w:val="en-GB" w:eastAsia="fr-FR"/>
        </w:rPr>
        <w:t xml:space="preserve">June 2012, and </w:t>
      </w:r>
      <w:r w:rsidRPr="000C0E58">
        <w:rPr>
          <w:rFonts w:eastAsia="Times New Roman"/>
          <w:i/>
          <w:lang w:val="en-GB" w:eastAsia="fr-FR"/>
        </w:rPr>
        <w:t xml:space="preserve">Pentikäinen v. Finland </w:t>
      </w:r>
      <w:r w:rsidRPr="000C0E58">
        <w:rPr>
          <w:rFonts w:eastAsia="Times New Roman"/>
          <w:lang w:val="en-GB" w:eastAsia="fr-FR"/>
        </w:rPr>
        <w:t>[GC], no. 11882/10, § 81, ECHR 2015</w:t>
      </w:r>
      <w:r w:rsidRPr="000C0E58">
        <w:rPr>
          <w:rFonts w:eastAsia="Times New Roman"/>
          <w:snapToGrid w:val="0"/>
          <w:szCs w:val="24"/>
          <w:lang w:val="en-GB" w:eastAsia="fr-FR"/>
        </w:rPr>
        <w:t>)</w:t>
      </w:r>
      <w:r w:rsidRPr="000C0E58">
        <w:rPr>
          <w:rFonts w:eastAsia="Times New Roman"/>
          <w:lang w:val="en-GB" w:eastAsia="fr-FR"/>
        </w:rPr>
        <w:t>.</w:t>
      </w:r>
    </w:p>
    <w:p w:rsidRPr="000C0E58" w:rsidR="00484285" w:rsidP="000C0E58">
      <w:pPr>
        <w:pStyle w:val="OpiHA"/>
        <w:rPr>
          <w:rFonts w:eastAsia="Times New Roman"/>
          <w:lang w:val="en-GB" w:eastAsia="fr-FR"/>
        </w:rPr>
      </w:pPr>
      <w:r w:rsidRPr="000C0E58">
        <w:rPr>
          <w:rFonts w:eastAsia="Times New Roman"/>
          <w:lang w:val="en-GB" w:eastAsia="fr-FR"/>
        </w:rPr>
        <w:t>C</w:t>
      </w:r>
      <w:r w:rsidRPr="000C0E58">
        <w:rPr>
          <w:rFonts w:eastAsia="Times New Roman"/>
          <w:lang w:val="en-GB" w:eastAsia="fr-FR"/>
        </w:rPr>
        <w:t>. </w:t>
      </w:r>
      <w:r w:rsidRPr="000C0E58">
        <w:rPr>
          <w:rFonts w:eastAsia="Times New Roman"/>
          <w:lang w:val="en-GB" w:eastAsia="fr-FR"/>
        </w:rPr>
        <w:t> </w:t>
      </w:r>
      <w:r w:rsidRPr="000C0E58">
        <w:rPr>
          <w:rFonts w:eastAsia="Times New Roman"/>
          <w:lang w:val="en-GB" w:eastAsia="fr-FR"/>
        </w:rPr>
        <w:t>FINAL REMARK</w:t>
      </w:r>
    </w:p>
    <w:p w:rsidRPr="000C0E58" w:rsidR="00484285" w:rsidP="000C0E58">
      <w:pPr>
        <w:pStyle w:val="OpiPara"/>
        <w:rPr>
          <w:rFonts w:eastAsia="Times New Roman"/>
          <w:lang w:val="en-GB" w:eastAsia="fr-FR"/>
        </w:rPr>
      </w:pPr>
      <w:r w:rsidRPr="000C0E58">
        <w:rPr>
          <w:rFonts w:eastAsia="Times New Roman"/>
          <w:lang w:val="en-GB" w:eastAsia="fr-FR"/>
        </w:rPr>
        <w:t>45.  </w:t>
      </w:r>
      <w:r w:rsidRPr="000C0E58">
        <w:rPr>
          <w:rFonts w:eastAsia="Times New Roman"/>
          <w:lang w:eastAsia="fr-FR"/>
        </w:rPr>
        <w:t>We would like to end with a final remark. We are very well aware of the applicant</w:t>
      </w:r>
      <w:r w:rsidRPr="000C0E58" w:rsidR="000C0E58">
        <w:rPr>
          <w:rFonts w:eastAsia="Times New Roman"/>
          <w:lang w:eastAsia="fr-FR"/>
        </w:rPr>
        <w:t>’</w:t>
      </w:r>
      <w:r w:rsidRPr="000C0E58">
        <w:rPr>
          <w:rFonts w:eastAsia="Times New Roman"/>
          <w:lang w:eastAsia="fr-FR"/>
        </w:rPr>
        <w:t>s difficult situation. She fell through the holes of the social-security net when it was reformed. But nevertheless we consider that hard cases do not make good law. Such cases cannot be a reason to change the Court</w:t>
      </w:r>
      <w:r w:rsidRPr="000C0E58" w:rsidR="000C0E58">
        <w:rPr>
          <w:rFonts w:eastAsia="Times New Roman"/>
          <w:lang w:eastAsia="fr-FR"/>
        </w:rPr>
        <w:t>’</w:t>
      </w:r>
      <w:r w:rsidRPr="000C0E58">
        <w:rPr>
          <w:rFonts w:eastAsia="Times New Roman"/>
          <w:lang w:eastAsia="fr-FR"/>
        </w:rPr>
        <w:t>s long-standing and well-entrenched approach to the interpretation of “possessions” and “legitimate expectations</w:t>
      </w:r>
      <w:r w:rsidRPr="000C0E58" w:rsidR="00E40E19">
        <w:rPr>
          <w:rFonts w:eastAsia="Times New Roman"/>
          <w:lang w:eastAsia="fr-FR"/>
        </w:rPr>
        <w:t>” within the meaning of Article </w:t>
      </w:r>
      <w:r w:rsidRPr="000C0E58">
        <w:rPr>
          <w:rFonts w:eastAsia="Times New Roman"/>
          <w:lang w:eastAsia="fr-FR"/>
        </w:rPr>
        <w:t>1 Protocol No. 1 to the Convention</w:t>
      </w:r>
      <w:r w:rsidRPr="000C0E58">
        <w:rPr>
          <w:rFonts w:eastAsia="Times New Roman"/>
          <w:color w:val="1F497D"/>
          <w:lang w:eastAsia="fr-FR"/>
        </w:rPr>
        <w:t>.</w:t>
      </w:r>
    </w:p>
    <w:p w:rsidRPr="000C0E58" w:rsidR="00484285" w:rsidP="000C0E58">
      <w:pPr>
        <w:pStyle w:val="OpiPara"/>
        <w:ind w:firstLine="0"/>
        <w:rPr>
          <w:lang w:val="en-GB"/>
        </w:rPr>
      </w:pPr>
    </w:p>
    <w:sectPr w:rsidSect="00C864F6">
      <w:headerReference w:type="even" r:id="rId14"/>
      <w:headerReference w:type="default" r:id="rId15"/>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Times New (W1)">
    <w:altName w:val="Times New Roman"/>
    <w:panose1 w:val="02020603050405020304"/>
    <w:charset w:val="00"/>
    <w:family w:val="roman"/>
    <w:pitch w:val="variable"/>
    <w:sig w:usb0="20007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7F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7F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7FF2" w:rsidRPr="00150BFA" w:rsidP="00D97B1A">
    <w:pPr>
      <w:jc w:val="center"/>
    </w:pPr>
    <w:r>
      <w:rPr>
        <w:noProof/>
        <w:lang w:val="fr-FR" w:eastAsia="fr-FR"/>
      </w:rPr>
      <w:drawing>
        <wp:inline distT="0" distB="0" distL="0" distR="0">
          <wp:extent cx="771525" cy="619125"/>
          <wp:effectExtent l="0" t="0" r="9525" b="9525"/>
          <wp:docPr id="43" name="Picture 4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7E7F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7E7FF2" w:rsidP="00014566">
      <w:r>
        <w:separator/>
      </w:r>
    </w:p>
  </w:footnote>
  <w:footnote w:type="continuationSeparator" w:id="1">
    <w:p w:rsidR="007E7FF2" w:rsidP="00014566">
      <w:r>
        <w:continuationSeparator/>
      </w:r>
    </w:p>
  </w:footnote>
  <w:footnote w:id="2">
    <w:p w:rsidR="007E7FF2" w:rsidRPr="00EB777B" w:rsidP="00C1646D">
      <w:pPr>
        <w:pStyle w:val="FootnoteText"/>
        <w:rPr>
          <w:rFonts w:ascii="Times New Roman" w:hAnsi="Times New Roman" w:cs="Times New Roman"/>
        </w:rPr>
      </w:pPr>
      <w:r w:rsidRPr="007428D0">
        <w:rPr>
          <w:rStyle w:val="FootnoteReference"/>
          <w:rFonts w:ascii="Times New Roman" w:hAnsi="Times New Roman" w:cs="Times New Roman"/>
          <w:vertAlign w:val="baseline"/>
        </w:rPr>
        <w:footnoteRef/>
      </w:r>
      <w:r>
        <w:rPr>
          <w:rFonts w:ascii="Times New Roman" w:hAnsi="Times New Roman" w:cs="Times New Roman"/>
        </w:rPr>
        <w:t>.  </w:t>
      </w:r>
      <w:r w:rsidRPr="00EB777B">
        <w:rPr>
          <w:rFonts w:ascii="Times New Roman" w:hAnsi="Times New Roman" w:cs="Times New Roman"/>
        </w:rPr>
        <w:t xml:space="preserve">Paragraph (3) was </w:t>
      </w:r>
      <w:r>
        <w:rPr>
          <w:rFonts w:ascii="Times New Roman" w:hAnsi="Times New Roman" w:cs="Times New Roman"/>
        </w:rPr>
        <w:t>enacted on 6</w:t>
      </w:r>
      <w:r w:rsidRPr="00EB777B">
        <w:rPr>
          <w:rFonts w:ascii="Times New Roman" w:hAnsi="Times New Roman" w:cs="Times New Roman"/>
        </w:rPr>
        <w:t xml:space="preserve"> June 2011.</w:t>
      </w:r>
    </w:p>
  </w:footnote>
  <w:footnote w:id="3">
    <w:p w:rsidR="007E7FF2" w:rsidRPr="00955741" w:rsidP="00C1646D">
      <w:pPr>
        <w:pStyle w:val="FootnoteText"/>
        <w:rPr>
          <w:rFonts w:ascii="Times New Roman" w:hAnsi="Times New Roman" w:cs="Times New Roman"/>
        </w:rPr>
      </w:pPr>
      <w:r w:rsidRPr="007428D0">
        <w:rPr>
          <w:rStyle w:val="FootnoteReference"/>
          <w:rFonts w:ascii="Times New Roman" w:hAnsi="Times New Roman" w:cs="Times New Roman"/>
          <w:vertAlign w:val="baseline"/>
        </w:rPr>
        <w:footnoteRef/>
      </w:r>
      <w:r>
        <w:rPr>
          <w:rFonts w:ascii="Times New Roman" w:hAnsi="Times New Roman" w:cs="Times New Roman"/>
        </w:rPr>
        <w:t>.  </w:t>
      </w:r>
      <w:r w:rsidRPr="00AA757F">
        <w:rPr>
          <w:rFonts w:ascii="Times New Roman" w:hAnsi="Times New Roman" w:cs="Times New Roman"/>
        </w:rPr>
        <w:t xml:space="preserve">The Act’s provisions pertaining to the disability pension were repealed by Act no. </w:t>
      </w:r>
      <w:r w:rsidRPr="00AA757F">
        <w:rPr>
          <w:rFonts w:ascii="Times New Roman" w:hAnsi="Times New Roman" w:cs="Times New Roman"/>
        </w:rPr>
        <w:t xml:space="preserve">CXCI </w:t>
      </w:r>
      <w:r w:rsidRPr="00955741">
        <w:rPr>
          <w:rFonts w:ascii="Times New Roman" w:hAnsi="Times New Roman" w:cs="Times New Roman"/>
        </w:rPr>
        <w:t>of 2011 on the Benefits Granted to Persons with Reduced Work Capacity as of 1 January 2012 (see paragraph 31 below).</w:t>
      </w:r>
    </w:p>
  </w:footnote>
  <w:footnote w:id="4">
    <w:p w:rsidR="007E7FF2" w:rsidRPr="000B41D9">
      <w:pPr>
        <w:pStyle w:val="FootnoteText"/>
      </w:pPr>
      <w:r w:rsidRPr="007428D0">
        <w:rPr>
          <w:rStyle w:val="FootnoteReference"/>
          <w:vertAlign w:val="baseline"/>
        </w:rPr>
        <w:footnoteRef/>
      </w:r>
      <w:r>
        <w:t>.  </w:t>
      </w:r>
      <w:r w:rsidRPr="00955741">
        <w:t>See Act no. LXXXIV of 2007 quoted in paragraph 30 below.</w:t>
      </w:r>
    </w:p>
  </w:footnote>
  <w:footnote w:id="5">
    <w:p w:rsidR="007E7FF2" w:rsidRPr="00163C3D">
      <w:pPr>
        <w:pStyle w:val="FootnoteText"/>
      </w:pPr>
      <w:r w:rsidRPr="00A65F01">
        <w:rPr>
          <w:rStyle w:val="FootnoteReference"/>
          <w:vertAlign w:val="baseline"/>
        </w:rPr>
        <w:footnoteRef/>
      </w:r>
      <w:r>
        <w:t>.  Source: EUROSTAT – Social protection statistics – pension expenditure and pension beneficiaries, data from December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7F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7FF2" w:rsidRPr="00D97B1A" w:rsidP="00D97B1A">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7FF2" w:rsidRPr="00A45145" w:rsidP="00D97B1A">
    <w:pPr>
      <w:jc w:val="center"/>
    </w:pPr>
    <w:r>
      <w:rPr>
        <w:noProof/>
        <w:lang w:val="fr-FR" w:eastAsia="fr-FR"/>
      </w:rPr>
      <w:drawing>
        <wp:inline distT="0" distB="0" distL="0" distR="0">
          <wp:extent cx="2962275" cy="1219200"/>
          <wp:effectExtent l="0" t="0" r="9525" b="0"/>
          <wp:docPr id="22" name="Picture 2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E7FF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7FF2" w:rsidRPr="00FF2306" w:rsidP="00EE1DA9">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5F22BD">
      <w:rPr>
        <w:rStyle w:val="PageNumber"/>
        <w:noProof/>
        <w:szCs w:val="18"/>
        <w:lang w:val="en-GB"/>
      </w:rPr>
      <w:t>32</w:t>
    </w:r>
    <w:r>
      <w:rPr>
        <w:rStyle w:val="PageNumber"/>
        <w:szCs w:val="18"/>
        <w:lang w:val="en-GB"/>
      </w:rPr>
      <w:fldChar w:fldCharType="end"/>
    </w:r>
    <w:r w:rsidRPr="00FF2306">
      <w:rPr>
        <w:lang w:val="en-GB"/>
      </w:rPr>
      <w:tab/>
    </w:r>
    <w:r>
      <w:rPr>
        <w:lang w:val="en-GB"/>
      </w:rPr>
      <w:t>BÉLÁNÉ NAGY v. HUNGARY</w:t>
    </w:r>
    <w:r w:rsidRPr="00FF2306">
      <w:rPr>
        <w:lang w:val="en-GB"/>
      </w:rPr>
      <w:t xml:space="preserve"> </w:t>
    </w:r>
    <w:r>
      <w:rPr>
        <w:lang w:val="en-GB"/>
      </w:rP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7FF2" w:rsidRPr="00D60D87" w:rsidP="00D60D87">
    <w:pPr>
      <w:pStyle w:val="ECHRHeader"/>
      <w:rPr>
        <w:lang w:val="en-GB"/>
      </w:rPr>
    </w:pPr>
    <w:r w:rsidRPr="00D60D87">
      <w:rPr>
        <w:lang w:val="en-GB"/>
      </w:rPr>
      <w:tab/>
    </w:r>
    <w:r>
      <w:rPr>
        <w:lang w:val="en-GB"/>
      </w:rPr>
      <w:t>BÉLÁNÉ NAGY v. HUNGARY</w:t>
    </w:r>
    <w:r w:rsidRPr="00D60D87">
      <w:rPr>
        <w:lang w:val="en-GB"/>
      </w:rPr>
      <w:t xml:space="preserve"> </w:t>
    </w:r>
    <w:r>
      <w:rPr>
        <w:lang w:val="en-GB"/>
      </w:rPr>
      <w:t>JUDGMENT</w:t>
    </w:r>
    <w:r w:rsidRPr="00D60D87">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5F22BD">
      <w:rPr>
        <w:rStyle w:val="PageNumber"/>
        <w:noProof/>
        <w:szCs w:val="18"/>
        <w:lang w:val="en-GB"/>
      </w:rPr>
      <w:t>33</w:t>
    </w:r>
    <w:r>
      <w:rPr>
        <w:rStyle w:val="PageNumber"/>
        <w:szCs w:val="18"/>
        <w:lang w:val="en-GB"/>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7FF2" w:rsidRPr="00FF2306" w:rsidP="00EE1DA9">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5F22BD">
      <w:rPr>
        <w:rStyle w:val="PageNumber"/>
        <w:noProof/>
        <w:szCs w:val="18"/>
        <w:lang w:val="en-GB"/>
      </w:rPr>
      <w:t>60</w:t>
    </w:r>
    <w:r>
      <w:rPr>
        <w:rStyle w:val="PageNumber"/>
        <w:szCs w:val="18"/>
        <w:lang w:val="en-GB"/>
      </w:rPr>
      <w:fldChar w:fldCharType="end"/>
    </w:r>
    <w:r w:rsidRPr="00FF2306">
      <w:rPr>
        <w:lang w:val="en-GB"/>
      </w:rPr>
      <w:tab/>
    </w:r>
    <w:r>
      <w:rPr>
        <w:lang w:val="en-GB"/>
      </w:rPr>
      <w:t>BÉLÁNÉ NAGY v. HUNGARY</w:t>
    </w:r>
    <w:r w:rsidRPr="00FF2306">
      <w:rPr>
        <w:lang w:val="en-GB"/>
      </w:rPr>
      <w:t xml:space="preserve"> </w:t>
    </w:r>
    <w:r>
      <w:rPr>
        <w:lang w:val="en-GB"/>
      </w:rPr>
      <w:t>JUDGMENT – SEPARATE OPINIONS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7FF2" w:rsidRPr="00D60D87" w:rsidP="00D60D87">
    <w:pPr>
      <w:pStyle w:val="ECHRHeader"/>
      <w:rPr>
        <w:lang w:val="en-GB"/>
      </w:rPr>
    </w:pPr>
    <w:r w:rsidRPr="00D60D87">
      <w:rPr>
        <w:lang w:val="en-GB"/>
      </w:rPr>
      <w:tab/>
    </w:r>
    <w:r>
      <w:rPr>
        <w:lang w:val="en-GB"/>
      </w:rPr>
      <w:t>BÉLÁNÉ NAGY v. HUNGARY</w:t>
    </w:r>
    <w:r w:rsidRPr="00D60D87">
      <w:rPr>
        <w:lang w:val="en-GB"/>
      </w:rPr>
      <w:t xml:space="preserve"> </w:t>
    </w:r>
    <w:r>
      <w:rPr>
        <w:lang w:val="en-GB"/>
      </w:rPr>
      <w:t>JUDGMENT – SEPARATE OPINIONS</w:t>
    </w:r>
    <w:r w:rsidRPr="00D60D87">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5F22BD">
      <w:rPr>
        <w:rStyle w:val="PageNumber"/>
        <w:noProof/>
        <w:szCs w:val="18"/>
        <w:lang w:val="en-GB"/>
      </w:rPr>
      <w:t>59</w:t>
    </w:r>
    <w:r>
      <w:rPr>
        <w:rStyle w:val="PageNumber"/>
        <w:szCs w:val="18"/>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46D"/>
    <w:rsid w:val="000007E1"/>
    <w:rsid w:val="000010ED"/>
    <w:rsid w:val="000036B8"/>
    <w:rsid w:val="000041F8"/>
    <w:rsid w:val="0000428F"/>
    <w:rsid w:val="000042A8"/>
    <w:rsid w:val="00004308"/>
    <w:rsid w:val="00005BF0"/>
    <w:rsid w:val="00007154"/>
    <w:rsid w:val="0000759F"/>
    <w:rsid w:val="000103AE"/>
    <w:rsid w:val="00011D69"/>
    <w:rsid w:val="00012AD3"/>
    <w:rsid w:val="000132E2"/>
    <w:rsid w:val="000138D7"/>
    <w:rsid w:val="00014566"/>
    <w:rsid w:val="000146AC"/>
    <w:rsid w:val="00015C2D"/>
    <w:rsid w:val="00015F00"/>
    <w:rsid w:val="00016698"/>
    <w:rsid w:val="00016706"/>
    <w:rsid w:val="00020100"/>
    <w:rsid w:val="00022C1D"/>
    <w:rsid w:val="0002319A"/>
    <w:rsid w:val="00023717"/>
    <w:rsid w:val="00023FA3"/>
    <w:rsid w:val="00024279"/>
    <w:rsid w:val="00027EB0"/>
    <w:rsid w:val="000314D3"/>
    <w:rsid w:val="00031F25"/>
    <w:rsid w:val="00034987"/>
    <w:rsid w:val="00034BFB"/>
    <w:rsid w:val="000378B4"/>
    <w:rsid w:val="000431FF"/>
    <w:rsid w:val="00043FFC"/>
    <w:rsid w:val="00044E78"/>
    <w:rsid w:val="00045A5E"/>
    <w:rsid w:val="00045E1B"/>
    <w:rsid w:val="00045FD7"/>
    <w:rsid w:val="00046A7A"/>
    <w:rsid w:val="00053415"/>
    <w:rsid w:val="00054972"/>
    <w:rsid w:val="000568D5"/>
    <w:rsid w:val="000602DF"/>
    <w:rsid w:val="00061B05"/>
    <w:rsid w:val="00061CE3"/>
    <w:rsid w:val="00061F43"/>
    <w:rsid w:val="00062742"/>
    <w:rsid w:val="00062973"/>
    <w:rsid w:val="00062A5B"/>
    <w:rsid w:val="00062D5D"/>
    <w:rsid w:val="0006317A"/>
    <w:rsid w:val="000632D5"/>
    <w:rsid w:val="000635D4"/>
    <w:rsid w:val="00063D8E"/>
    <w:rsid w:val="000644EE"/>
    <w:rsid w:val="00065943"/>
    <w:rsid w:val="0006648A"/>
    <w:rsid w:val="00066583"/>
    <w:rsid w:val="00071583"/>
    <w:rsid w:val="00074E50"/>
    <w:rsid w:val="00077297"/>
    <w:rsid w:val="000772BB"/>
    <w:rsid w:val="00080129"/>
    <w:rsid w:val="00082673"/>
    <w:rsid w:val="00082732"/>
    <w:rsid w:val="00082A80"/>
    <w:rsid w:val="000848ED"/>
    <w:rsid w:val="00084F3D"/>
    <w:rsid w:val="000856D7"/>
    <w:rsid w:val="00085B21"/>
    <w:rsid w:val="000925AD"/>
    <w:rsid w:val="000929F9"/>
    <w:rsid w:val="00092C66"/>
    <w:rsid w:val="000949CF"/>
    <w:rsid w:val="00096C97"/>
    <w:rsid w:val="00097E1E"/>
    <w:rsid w:val="000A0D44"/>
    <w:rsid w:val="000A24EB"/>
    <w:rsid w:val="000A2658"/>
    <w:rsid w:val="000A33B6"/>
    <w:rsid w:val="000A6222"/>
    <w:rsid w:val="000A65C6"/>
    <w:rsid w:val="000A6863"/>
    <w:rsid w:val="000A7538"/>
    <w:rsid w:val="000B1DFB"/>
    <w:rsid w:val="000B3AFB"/>
    <w:rsid w:val="000B41D9"/>
    <w:rsid w:val="000B6923"/>
    <w:rsid w:val="000B6B46"/>
    <w:rsid w:val="000B7BF1"/>
    <w:rsid w:val="000C033C"/>
    <w:rsid w:val="000C0D32"/>
    <w:rsid w:val="000C0E58"/>
    <w:rsid w:val="000C1E58"/>
    <w:rsid w:val="000C3597"/>
    <w:rsid w:val="000C4478"/>
    <w:rsid w:val="000C5F3C"/>
    <w:rsid w:val="000C6DCC"/>
    <w:rsid w:val="000C762C"/>
    <w:rsid w:val="000D19D7"/>
    <w:rsid w:val="000D47AA"/>
    <w:rsid w:val="000D4A7D"/>
    <w:rsid w:val="000D4EEF"/>
    <w:rsid w:val="000D53B5"/>
    <w:rsid w:val="000D6719"/>
    <w:rsid w:val="000D721F"/>
    <w:rsid w:val="000D729D"/>
    <w:rsid w:val="000D7401"/>
    <w:rsid w:val="000E069B"/>
    <w:rsid w:val="000E07FE"/>
    <w:rsid w:val="000E0E82"/>
    <w:rsid w:val="000E1450"/>
    <w:rsid w:val="000E1DC5"/>
    <w:rsid w:val="000E223F"/>
    <w:rsid w:val="000E35AC"/>
    <w:rsid w:val="000E3DFE"/>
    <w:rsid w:val="000E61E2"/>
    <w:rsid w:val="000E7D45"/>
    <w:rsid w:val="000F204D"/>
    <w:rsid w:val="000F44B7"/>
    <w:rsid w:val="000F5D70"/>
    <w:rsid w:val="000F6941"/>
    <w:rsid w:val="000F702A"/>
    <w:rsid w:val="000F7485"/>
    <w:rsid w:val="000F7851"/>
    <w:rsid w:val="00104393"/>
    <w:rsid w:val="00104E23"/>
    <w:rsid w:val="001051CB"/>
    <w:rsid w:val="001051F7"/>
    <w:rsid w:val="00105271"/>
    <w:rsid w:val="00105F40"/>
    <w:rsid w:val="00106F82"/>
    <w:rsid w:val="00111B0C"/>
    <w:rsid w:val="00116877"/>
    <w:rsid w:val="00117F99"/>
    <w:rsid w:val="00120851"/>
    <w:rsid w:val="00120D6C"/>
    <w:rsid w:val="00122768"/>
    <w:rsid w:val="00123658"/>
    <w:rsid w:val="001257EC"/>
    <w:rsid w:val="00130559"/>
    <w:rsid w:val="001305B7"/>
    <w:rsid w:val="00131475"/>
    <w:rsid w:val="00132630"/>
    <w:rsid w:val="00132C6A"/>
    <w:rsid w:val="0013348F"/>
    <w:rsid w:val="0013373A"/>
    <w:rsid w:val="00133D33"/>
    <w:rsid w:val="00134D64"/>
    <w:rsid w:val="00134F18"/>
    <w:rsid w:val="00135905"/>
    <w:rsid w:val="00135A30"/>
    <w:rsid w:val="0013612C"/>
    <w:rsid w:val="00137FF6"/>
    <w:rsid w:val="001415BD"/>
    <w:rsid w:val="00141650"/>
    <w:rsid w:val="00141912"/>
    <w:rsid w:val="00150BFA"/>
    <w:rsid w:val="0015179F"/>
    <w:rsid w:val="00152685"/>
    <w:rsid w:val="0015274A"/>
    <w:rsid w:val="00152BED"/>
    <w:rsid w:val="00154C29"/>
    <w:rsid w:val="00162A12"/>
    <w:rsid w:val="00163C3D"/>
    <w:rsid w:val="00166530"/>
    <w:rsid w:val="00166765"/>
    <w:rsid w:val="00166B80"/>
    <w:rsid w:val="00173CE4"/>
    <w:rsid w:val="001754DC"/>
    <w:rsid w:val="00176B99"/>
    <w:rsid w:val="00177AA0"/>
    <w:rsid w:val="00177F2F"/>
    <w:rsid w:val="00182A81"/>
    <w:rsid w:val="00182B39"/>
    <w:rsid w:val="001832BD"/>
    <w:rsid w:val="001849DB"/>
    <w:rsid w:val="00185987"/>
    <w:rsid w:val="0018608A"/>
    <w:rsid w:val="00187B2F"/>
    <w:rsid w:val="001923DC"/>
    <w:rsid w:val="00193620"/>
    <w:rsid w:val="001943B5"/>
    <w:rsid w:val="00194AF6"/>
    <w:rsid w:val="00195134"/>
    <w:rsid w:val="001A145B"/>
    <w:rsid w:val="001A2F2A"/>
    <w:rsid w:val="001A30C2"/>
    <w:rsid w:val="001A4B50"/>
    <w:rsid w:val="001A674C"/>
    <w:rsid w:val="001A6FCE"/>
    <w:rsid w:val="001B094E"/>
    <w:rsid w:val="001B23A8"/>
    <w:rsid w:val="001B2F65"/>
    <w:rsid w:val="001B3B24"/>
    <w:rsid w:val="001B3D58"/>
    <w:rsid w:val="001B5534"/>
    <w:rsid w:val="001B7A0E"/>
    <w:rsid w:val="001C0F98"/>
    <w:rsid w:val="001C2A42"/>
    <w:rsid w:val="001C3F2B"/>
    <w:rsid w:val="001C7812"/>
    <w:rsid w:val="001D08B8"/>
    <w:rsid w:val="001D6278"/>
    <w:rsid w:val="001D63ED"/>
    <w:rsid w:val="001D7348"/>
    <w:rsid w:val="001D7482"/>
    <w:rsid w:val="001D771E"/>
    <w:rsid w:val="001E035B"/>
    <w:rsid w:val="001E03C0"/>
    <w:rsid w:val="001E0402"/>
    <w:rsid w:val="001E0961"/>
    <w:rsid w:val="001E3EAE"/>
    <w:rsid w:val="001E4061"/>
    <w:rsid w:val="001E5348"/>
    <w:rsid w:val="001E6F32"/>
    <w:rsid w:val="001E70FA"/>
    <w:rsid w:val="001E7E50"/>
    <w:rsid w:val="001F0684"/>
    <w:rsid w:val="001F0FFA"/>
    <w:rsid w:val="001F2145"/>
    <w:rsid w:val="001F350A"/>
    <w:rsid w:val="001F3962"/>
    <w:rsid w:val="001F4943"/>
    <w:rsid w:val="001F6262"/>
    <w:rsid w:val="001F67B0"/>
    <w:rsid w:val="001F6DBF"/>
    <w:rsid w:val="001F7B3D"/>
    <w:rsid w:val="0020473E"/>
    <w:rsid w:val="0020478A"/>
    <w:rsid w:val="00204B1B"/>
    <w:rsid w:val="00205A1D"/>
    <w:rsid w:val="00205F9F"/>
    <w:rsid w:val="00206C6F"/>
    <w:rsid w:val="0020746C"/>
    <w:rsid w:val="00210338"/>
    <w:rsid w:val="0021071B"/>
    <w:rsid w:val="00210873"/>
    <w:rsid w:val="002114B0"/>
    <w:rsid w:val="002115FC"/>
    <w:rsid w:val="002133F8"/>
    <w:rsid w:val="00213768"/>
    <w:rsid w:val="0021423C"/>
    <w:rsid w:val="00216369"/>
    <w:rsid w:val="0022206A"/>
    <w:rsid w:val="002222D9"/>
    <w:rsid w:val="00222B51"/>
    <w:rsid w:val="00222F08"/>
    <w:rsid w:val="0022393D"/>
    <w:rsid w:val="002261C8"/>
    <w:rsid w:val="00230D00"/>
    <w:rsid w:val="00231DF7"/>
    <w:rsid w:val="00231F45"/>
    <w:rsid w:val="00231FD1"/>
    <w:rsid w:val="002339E0"/>
    <w:rsid w:val="00233CF8"/>
    <w:rsid w:val="00234D5B"/>
    <w:rsid w:val="0023575D"/>
    <w:rsid w:val="00236C64"/>
    <w:rsid w:val="00237148"/>
    <w:rsid w:val="002372DF"/>
    <w:rsid w:val="002405FD"/>
    <w:rsid w:val="0024222D"/>
    <w:rsid w:val="00242DC2"/>
    <w:rsid w:val="002432E7"/>
    <w:rsid w:val="0024481A"/>
    <w:rsid w:val="00244839"/>
    <w:rsid w:val="00244B0E"/>
    <w:rsid w:val="00244F6C"/>
    <w:rsid w:val="0024660E"/>
    <w:rsid w:val="0024783F"/>
    <w:rsid w:val="00250F0E"/>
    <w:rsid w:val="00252B06"/>
    <w:rsid w:val="00252D08"/>
    <w:rsid w:val="002532C5"/>
    <w:rsid w:val="00253B9D"/>
    <w:rsid w:val="002555C1"/>
    <w:rsid w:val="00257A6C"/>
    <w:rsid w:val="00257B74"/>
    <w:rsid w:val="00260C03"/>
    <w:rsid w:val="00260CD9"/>
    <w:rsid w:val="00261590"/>
    <w:rsid w:val="00264175"/>
    <w:rsid w:val="002650CA"/>
    <w:rsid w:val="0026540E"/>
    <w:rsid w:val="00265B8F"/>
    <w:rsid w:val="0026765E"/>
    <w:rsid w:val="002707F5"/>
    <w:rsid w:val="0027131C"/>
    <w:rsid w:val="0027225C"/>
    <w:rsid w:val="00275123"/>
    <w:rsid w:val="002755B8"/>
    <w:rsid w:val="00276FF8"/>
    <w:rsid w:val="00277695"/>
    <w:rsid w:val="00282240"/>
    <w:rsid w:val="00282D3B"/>
    <w:rsid w:val="00283340"/>
    <w:rsid w:val="0028572A"/>
    <w:rsid w:val="00285F23"/>
    <w:rsid w:val="00287F99"/>
    <w:rsid w:val="00290648"/>
    <w:rsid w:val="00291F85"/>
    <w:rsid w:val="002948AD"/>
    <w:rsid w:val="00294C05"/>
    <w:rsid w:val="00294C92"/>
    <w:rsid w:val="00295ED6"/>
    <w:rsid w:val="00296EC4"/>
    <w:rsid w:val="002A01CC"/>
    <w:rsid w:val="002A04F8"/>
    <w:rsid w:val="002A2892"/>
    <w:rsid w:val="002A3CED"/>
    <w:rsid w:val="002A6127"/>
    <w:rsid w:val="002A61B1"/>
    <w:rsid w:val="002A663C"/>
    <w:rsid w:val="002A78E4"/>
    <w:rsid w:val="002B03F1"/>
    <w:rsid w:val="002B1E6C"/>
    <w:rsid w:val="002B444B"/>
    <w:rsid w:val="002B4B7C"/>
    <w:rsid w:val="002B5887"/>
    <w:rsid w:val="002B6894"/>
    <w:rsid w:val="002B7AE5"/>
    <w:rsid w:val="002C0692"/>
    <w:rsid w:val="002C0E27"/>
    <w:rsid w:val="002C3035"/>
    <w:rsid w:val="002C3040"/>
    <w:rsid w:val="002C398A"/>
    <w:rsid w:val="002C4446"/>
    <w:rsid w:val="002C4C1E"/>
    <w:rsid w:val="002C5235"/>
    <w:rsid w:val="002C5B9E"/>
    <w:rsid w:val="002C6980"/>
    <w:rsid w:val="002D022D"/>
    <w:rsid w:val="002D24BB"/>
    <w:rsid w:val="002D2D4C"/>
    <w:rsid w:val="002D3587"/>
    <w:rsid w:val="002D3AC2"/>
    <w:rsid w:val="002D4225"/>
    <w:rsid w:val="002E02D6"/>
    <w:rsid w:val="002E0502"/>
    <w:rsid w:val="002E0B53"/>
    <w:rsid w:val="002E14EA"/>
    <w:rsid w:val="002F2AF7"/>
    <w:rsid w:val="002F4A9D"/>
    <w:rsid w:val="002F5082"/>
    <w:rsid w:val="002F6776"/>
    <w:rsid w:val="002F6A89"/>
    <w:rsid w:val="002F73E9"/>
    <w:rsid w:val="002F7E1C"/>
    <w:rsid w:val="00300223"/>
    <w:rsid w:val="00301A75"/>
    <w:rsid w:val="00302A86"/>
    <w:rsid w:val="00302B1F"/>
    <w:rsid w:val="00302D4C"/>
    <w:rsid w:val="00302F70"/>
    <w:rsid w:val="0030336F"/>
    <w:rsid w:val="0030375E"/>
    <w:rsid w:val="00306ACC"/>
    <w:rsid w:val="00306FCD"/>
    <w:rsid w:val="00310435"/>
    <w:rsid w:val="003112B7"/>
    <w:rsid w:val="00311513"/>
    <w:rsid w:val="00312A30"/>
    <w:rsid w:val="00316654"/>
    <w:rsid w:val="003201E3"/>
    <w:rsid w:val="00320F72"/>
    <w:rsid w:val="00321952"/>
    <w:rsid w:val="0032463E"/>
    <w:rsid w:val="00326224"/>
    <w:rsid w:val="00330384"/>
    <w:rsid w:val="00330BFE"/>
    <w:rsid w:val="00331B94"/>
    <w:rsid w:val="00331D78"/>
    <w:rsid w:val="0033361B"/>
    <w:rsid w:val="003343FE"/>
    <w:rsid w:val="0033723D"/>
    <w:rsid w:val="00337EE4"/>
    <w:rsid w:val="00340FFD"/>
    <w:rsid w:val="0034224D"/>
    <w:rsid w:val="00345A78"/>
    <w:rsid w:val="0034678F"/>
    <w:rsid w:val="0035003D"/>
    <w:rsid w:val="003506B1"/>
    <w:rsid w:val="00352F65"/>
    <w:rsid w:val="003549EF"/>
    <w:rsid w:val="0035630C"/>
    <w:rsid w:val="00356AC7"/>
    <w:rsid w:val="003577CE"/>
    <w:rsid w:val="00357DFD"/>
    <w:rsid w:val="003609FA"/>
    <w:rsid w:val="00360BF0"/>
    <w:rsid w:val="00362565"/>
    <w:rsid w:val="00363B73"/>
    <w:rsid w:val="00365581"/>
    <w:rsid w:val="003670D4"/>
    <w:rsid w:val="0037057A"/>
    <w:rsid w:val="003710C8"/>
    <w:rsid w:val="0037128C"/>
    <w:rsid w:val="00372B69"/>
    <w:rsid w:val="003732E0"/>
    <w:rsid w:val="003732F6"/>
    <w:rsid w:val="00374394"/>
    <w:rsid w:val="003750BE"/>
    <w:rsid w:val="003770F9"/>
    <w:rsid w:val="00381A3A"/>
    <w:rsid w:val="00381B04"/>
    <w:rsid w:val="003843D7"/>
    <w:rsid w:val="00385C4C"/>
    <w:rsid w:val="0038720B"/>
    <w:rsid w:val="00387527"/>
    <w:rsid w:val="00387B9D"/>
    <w:rsid w:val="003921A7"/>
    <w:rsid w:val="003927E7"/>
    <w:rsid w:val="003932F2"/>
    <w:rsid w:val="0039364F"/>
    <w:rsid w:val="00394442"/>
    <w:rsid w:val="00395E65"/>
    <w:rsid w:val="00396686"/>
    <w:rsid w:val="003967FE"/>
    <w:rsid w:val="0039778E"/>
    <w:rsid w:val="003979B2"/>
    <w:rsid w:val="003A1BAA"/>
    <w:rsid w:val="003A4995"/>
    <w:rsid w:val="003A6064"/>
    <w:rsid w:val="003B4941"/>
    <w:rsid w:val="003B6D55"/>
    <w:rsid w:val="003C5714"/>
    <w:rsid w:val="003C61EB"/>
    <w:rsid w:val="003C6B9F"/>
    <w:rsid w:val="003C6E2A"/>
    <w:rsid w:val="003D00B8"/>
    <w:rsid w:val="003D0299"/>
    <w:rsid w:val="003D13B9"/>
    <w:rsid w:val="003D749D"/>
    <w:rsid w:val="003D77B4"/>
    <w:rsid w:val="003D795C"/>
    <w:rsid w:val="003D7E56"/>
    <w:rsid w:val="003E1E78"/>
    <w:rsid w:val="003E55BB"/>
    <w:rsid w:val="003E58DB"/>
    <w:rsid w:val="003E5E22"/>
    <w:rsid w:val="003E6373"/>
    <w:rsid w:val="003E644A"/>
    <w:rsid w:val="003E6D80"/>
    <w:rsid w:val="003F0229"/>
    <w:rsid w:val="003F05FA"/>
    <w:rsid w:val="003F244A"/>
    <w:rsid w:val="003F30B8"/>
    <w:rsid w:val="003F315A"/>
    <w:rsid w:val="003F49CD"/>
    <w:rsid w:val="003F4C45"/>
    <w:rsid w:val="003F5F7B"/>
    <w:rsid w:val="003F6BCE"/>
    <w:rsid w:val="003F7D64"/>
    <w:rsid w:val="00400FE4"/>
    <w:rsid w:val="0040346E"/>
    <w:rsid w:val="004036B5"/>
    <w:rsid w:val="0040644D"/>
    <w:rsid w:val="00406E73"/>
    <w:rsid w:val="00407076"/>
    <w:rsid w:val="00414300"/>
    <w:rsid w:val="00417D97"/>
    <w:rsid w:val="00420A7A"/>
    <w:rsid w:val="004224F2"/>
    <w:rsid w:val="00424313"/>
    <w:rsid w:val="00425C67"/>
    <w:rsid w:val="00425D39"/>
    <w:rsid w:val="00427E7A"/>
    <w:rsid w:val="00430B4A"/>
    <w:rsid w:val="0043127C"/>
    <w:rsid w:val="00431DB2"/>
    <w:rsid w:val="00432951"/>
    <w:rsid w:val="00432CFA"/>
    <w:rsid w:val="004345E0"/>
    <w:rsid w:val="00436307"/>
    <w:rsid w:val="00436835"/>
    <w:rsid w:val="00436C49"/>
    <w:rsid w:val="004374C8"/>
    <w:rsid w:val="00437692"/>
    <w:rsid w:val="0044082A"/>
    <w:rsid w:val="00443B6B"/>
    <w:rsid w:val="00443FEB"/>
    <w:rsid w:val="00444102"/>
    <w:rsid w:val="004445BC"/>
    <w:rsid w:val="00444D0A"/>
    <w:rsid w:val="00445366"/>
    <w:rsid w:val="00447B48"/>
    <w:rsid w:val="00447F5B"/>
    <w:rsid w:val="00452488"/>
    <w:rsid w:val="004545E7"/>
    <w:rsid w:val="00454BAB"/>
    <w:rsid w:val="00454F45"/>
    <w:rsid w:val="00455072"/>
    <w:rsid w:val="00455AF9"/>
    <w:rsid w:val="004564B5"/>
    <w:rsid w:val="00461DB0"/>
    <w:rsid w:val="00463926"/>
    <w:rsid w:val="004646E0"/>
    <w:rsid w:val="00464C9A"/>
    <w:rsid w:val="00464F30"/>
    <w:rsid w:val="0046587B"/>
    <w:rsid w:val="00466EA3"/>
    <w:rsid w:val="00467BD2"/>
    <w:rsid w:val="004703A0"/>
    <w:rsid w:val="004739A3"/>
    <w:rsid w:val="004740C0"/>
    <w:rsid w:val="00474F3D"/>
    <w:rsid w:val="004768F5"/>
    <w:rsid w:val="00477502"/>
    <w:rsid w:val="00477E3A"/>
    <w:rsid w:val="00481D7A"/>
    <w:rsid w:val="00483E5F"/>
    <w:rsid w:val="00484285"/>
    <w:rsid w:val="004847AC"/>
    <w:rsid w:val="00485FF9"/>
    <w:rsid w:val="0048658B"/>
    <w:rsid w:val="004907F0"/>
    <w:rsid w:val="0049140B"/>
    <w:rsid w:val="004923A5"/>
    <w:rsid w:val="00493A25"/>
    <w:rsid w:val="00496091"/>
    <w:rsid w:val="00496BFB"/>
    <w:rsid w:val="00497089"/>
    <w:rsid w:val="004974BD"/>
    <w:rsid w:val="004A0C30"/>
    <w:rsid w:val="004A15C7"/>
    <w:rsid w:val="004A31E2"/>
    <w:rsid w:val="004A45D1"/>
    <w:rsid w:val="004A46F3"/>
    <w:rsid w:val="004A5F9F"/>
    <w:rsid w:val="004B013B"/>
    <w:rsid w:val="004B0F37"/>
    <w:rsid w:val="004B112B"/>
    <w:rsid w:val="004B1C7A"/>
    <w:rsid w:val="004C01E4"/>
    <w:rsid w:val="004C086C"/>
    <w:rsid w:val="004C1E16"/>
    <w:rsid w:val="004C1F56"/>
    <w:rsid w:val="004C27BC"/>
    <w:rsid w:val="004C3271"/>
    <w:rsid w:val="004C4294"/>
    <w:rsid w:val="004C5587"/>
    <w:rsid w:val="004D15F3"/>
    <w:rsid w:val="004D5311"/>
    <w:rsid w:val="004D5DCC"/>
    <w:rsid w:val="004D6774"/>
    <w:rsid w:val="004D7176"/>
    <w:rsid w:val="004E095C"/>
    <w:rsid w:val="004E1971"/>
    <w:rsid w:val="004E5FB6"/>
    <w:rsid w:val="004F0F6B"/>
    <w:rsid w:val="004F10AF"/>
    <w:rsid w:val="004F11A4"/>
    <w:rsid w:val="004F2389"/>
    <w:rsid w:val="004F304D"/>
    <w:rsid w:val="004F521B"/>
    <w:rsid w:val="004F54F9"/>
    <w:rsid w:val="004F5A56"/>
    <w:rsid w:val="004F6090"/>
    <w:rsid w:val="004F61BE"/>
    <w:rsid w:val="004F66B1"/>
    <w:rsid w:val="00502F43"/>
    <w:rsid w:val="00503061"/>
    <w:rsid w:val="00504B19"/>
    <w:rsid w:val="005113D5"/>
    <w:rsid w:val="00511C07"/>
    <w:rsid w:val="00513FF7"/>
    <w:rsid w:val="0051442F"/>
    <w:rsid w:val="0051550C"/>
    <w:rsid w:val="005173A6"/>
    <w:rsid w:val="00520BAA"/>
    <w:rsid w:val="00525208"/>
    <w:rsid w:val="005252FC"/>
    <w:rsid w:val="005257A5"/>
    <w:rsid w:val="005264C0"/>
    <w:rsid w:val="00526A8A"/>
    <w:rsid w:val="005304E5"/>
    <w:rsid w:val="00531DF2"/>
    <w:rsid w:val="00535191"/>
    <w:rsid w:val="0053572E"/>
    <w:rsid w:val="00540269"/>
    <w:rsid w:val="0054310C"/>
    <w:rsid w:val="005442EE"/>
    <w:rsid w:val="00545537"/>
    <w:rsid w:val="00547353"/>
    <w:rsid w:val="005474E7"/>
    <w:rsid w:val="00547EA6"/>
    <w:rsid w:val="005512A3"/>
    <w:rsid w:val="005530A9"/>
    <w:rsid w:val="00553A0D"/>
    <w:rsid w:val="00555340"/>
    <w:rsid w:val="00555FF0"/>
    <w:rsid w:val="00556C90"/>
    <w:rsid w:val="00556DCD"/>
    <w:rsid w:val="005571E7"/>
    <w:rsid w:val="005578CE"/>
    <w:rsid w:val="00560052"/>
    <w:rsid w:val="0056031C"/>
    <w:rsid w:val="00560A52"/>
    <w:rsid w:val="00562519"/>
    <w:rsid w:val="00562781"/>
    <w:rsid w:val="00563E83"/>
    <w:rsid w:val="005655B7"/>
    <w:rsid w:val="00567913"/>
    <w:rsid w:val="0057271C"/>
    <w:rsid w:val="00572845"/>
    <w:rsid w:val="005735ED"/>
    <w:rsid w:val="00573F5C"/>
    <w:rsid w:val="00575CBF"/>
    <w:rsid w:val="0057789D"/>
    <w:rsid w:val="00581DF3"/>
    <w:rsid w:val="00581EA1"/>
    <w:rsid w:val="005837BB"/>
    <w:rsid w:val="005845ED"/>
    <w:rsid w:val="00585987"/>
    <w:rsid w:val="00587874"/>
    <w:rsid w:val="00590C91"/>
    <w:rsid w:val="00590F65"/>
    <w:rsid w:val="00592772"/>
    <w:rsid w:val="005937FE"/>
    <w:rsid w:val="00594438"/>
    <w:rsid w:val="0059574A"/>
    <w:rsid w:val="005A119F"/>
    <w:rsid w:val="005A1B9B"/>
    <w:rsid w:val="005A540A"/>
    <w:rsid w:val="005A6751"/>
    <w:rsid w:val="005B092E"/>
    <w:rsid w:val="005B152C"/>
    <w:rsid w:val="005B1EE0"/>
    <w:rsid w:val="005B21D7"/>
    <w:rsid w:val="005B2B24"/>
    <w:rsid w:val="005B4425"/>
    <w:rsid w:val="005B4804"/>
    <w:rsid w:val="005B4B94"/>
    <w:rsid w:val="005B5829"/>
    <w:rsid w:val="005B73C5"/>
    <w:rsid w:val="005C0051"/>
    <w:rsid w:val="005C0248"/>
    <w:rsid w:val="005C0489"/>
    <w:rsid w:val="005C3EE8"/>
    <w:rsid w:val="005C7468"/>
    <w:rsid w:val="005D10FC"/>
    <w:rsid w:val="005D1B7E"/>
    <w:rsid w:val="005D34F9"/>
    <w:rsid w:val="005D364E"/>
    <w:rsid w:val="005D4190"/>
    <w:rsid w:val="005D67A3"/>
    <w:rsid w:val="005E0894"/>
    <w:rsid w:val="005E0C66"/>
    <w:rsid w:val="005E1FE1"/>
    <w:rsid w:val="005E2988"/>
    <w:rsid w:val="005E2A43"/>
    <w:rsid w:val="005E3085"/>
    <w:rsid w:val="005E438A"/>
    <w:rsid w:val="005E509F"/>
    <w:rsid w:val="005E59CB"/>
    <w:rsid w:val="005E6BD3"/>
    <w:rsid w:val="005F22BD"/>
    <w:rsid w:val="005F506A"/>
    <w:rsid w:val="005F51E1"/>
    <w:rsid w:val="005F695F"/>
    <w:rsid w:val="00604E85"/>
    <w:rsid w:val="00607585"/>
    <w:rsid w:val="0061146C"/>
    <w:rsid w:val="00611BE2"/>
    <w:rsid w:val="00611C80"/>
    <w:rsid w:val="00611CC6"/>
    <w:rsid w:val="00617AFA"/>
    <w:rsid w:val="006200C9"/>
    <w:rsid w:val="00620692"/>
    <w:rsid w:val="006208A9"/>
    <w:rsid w:val="0062196E"/>
    <w:rsid w:val="00621A0C"/>
    <w:rsid w:val="006242CA"/>
    <w:rsid w:val="0062458A"/>
    <w:rsid w:val="00624E2E"/>
    <w:rsid w:val="00625EB9"/>
    <w:rsid w:val="00627507"/>
    <w:rsid w:val="00630E10"/>
    <w:rsid w:val="00630F9B"/>
    <w:rsid w:val="0063315A"/>
    <w:rsid w:val="00633717"/>
    <w:rsid w:val="006344E1"/>
    <w:rsid w:val="00635CCB"/>
    <w:rsid w:val="006379FF"/>
    <w:rsid w:val="00637D9A"/>
    <w:rsid w:val="00642781"/>
    <w:rsid w:val="006455D2"/>
    <w:rsid w:val="00646E24"/>
    <w:rsid w:val="006505B0"/>
    <w:rsid w:val="00651C52"/>
    <w:rsid w:val="006545C4"/>
    <w:rsid w:val="00656557"/>
    <w:rsid w:val="00656CBD"/>
    <w:rsid w:val="00656FEB"/>
    <w:rsid w:val="00661971"/>
    <w:rsid w:val="00661CE8"/>
    <w:rsid w:val="006623D9"/>
    <w:rsid w:val="0066550C"/>
    <w:rsid w:val="00665562"/>
    <w:rsid w:val="00667AE0"/>
    <w:rsid w:val="00667C04"/>
    <w:rsid w:val="00667DA5"/>
    <w:rsid w:val="006716F2"/>
    <w:rsid w:val="006717C4"/>
    <w:rsid w:val="00672047"/>
    <w:rsid w:val="0067234A"/>
    <w:rsid w:val="00672A4C"/>
    <w:rsid w:val="00673295"/>
    <w:rsid w:val="00675466"/>
    <w:rsid w:val="00675684"/>
    <w:rsid w:val="0067693E"/>
    <w:rsid w:val="00681AA5"/>
    <w:rsid w:val="00682BF2"/>
    <w:rsid w:val="006842E4"/>
    <w:rsid w:val="006859CE"/>
    <w:rsid w:val="00686C50"/>
    <w:rsid w:val="0069020B"/>
    <w:rsid w:val="00691270"/>
    <w:rsid w:val="00692560"/>
    <w:rsid w:val="00694BA8"/>
    <w:rsid w:val="00695684"/>
    <w:rsid w:val="00696877"/>
    <w:rsid w:val="00697F20"/>
    <w:rsid w:val="006A037C"/>
    <w:rsid w:val="006A06FA"/>
    <w:rsid w:val="006A36F4"/>
    <w:rsid w:val="006A406F"/>
    <w:rsid w:val="006A5D3A"/>
    <w:rsid w:val="006A772E"/>
    <w:rsid w:val="006B0A4B"/>
    <w:rsid w:val="006B23B1"/>
    <w:rsid w:val="006B5BD1"/>
    <w:rsid w:val="006B5C10"/>
    <w:rsid w:val="006C0C23"/>
    <w:rsid w:val="006C0CE7"/>
    <w:rsid w:val="006C164A"/>
    <w:rsid w:val="006C23D4"/>
    <w:rsid w:val="006C3B35"/>
    <w:rsid w:val="006C415D"/>
    <w:rsid w:val="006C4600"/>
    <w:rsid w:val="006C538B"/>
    <w:rsid w:val="006C5D43"/>
    <w:rsid w:val="006C6528"/>
    <w:rsid w:val="006C7213"/>
    <w:rsid w:val="006C7B6E"/>
    <w:rsid w:val="006C7BB0"/>
    <w:rsid w:val="006D0073"/>
    <w:rsid w:val="006D1B98"/>
    <w:rsid w:val="006D2400"/>
    <w:rsid w:val="006D3237"/>
    <w:rsid w:val="006D3C35"/>
    <w:rsid w:val="006D3EFB"/>
    <w:rsid w:val="006D44F1"/>
    <w:rsid w:val="006D4ADC"/>
    <w:rsid w:val="006D4DED"/>
    <w:rsid w:val="006D6BB4"/>
    <w:rsid w:val="006D76BB"/>
    <w:rsid w:val="006D7F1F"/>
    <w:rsid w:val="006E0CD1"/>
    <w:rsid w:val="006E12FB"/>
    <w:rsid w:val="006E2E37"/>
    <w:rsid w:val="006E3CF1"/>
    <w:rsid w:val="006E3FA4"/>
    <w:rsid w:val="006E41FC"/>
    <w:rsid w:val="006E457F"/>
    <w:rsid w:val="006E549C"/>
    <w:rsid w:val="006E66E9"/>
    <w:rsid w:val="006E7E80"/>
    <w:rsid w:val="006F00FD"/>
    <w:rsid w:val="006F02EF"/>
    <w:rsid w:val="006F1AC9"/>
    <w:rsid w:val="006F1DF9"/>
    <w:rsid w:val="006F223F"/>
    <w:rsid w:val="006F24DB"/>
    <w:rsid w:val="006F48CA"/>
    <w:rsid w:val="006F64DD"/>
    <w:rsid w:val="006F6E68"/>
    <w:rsid w:val="007016D1"/>
    <w:rsid w:val="00702E0E"/>
    <w:rsid w:val="00705D9C"/>
    <w:rsid w:val="007071A2"/>
    <w:rsid w:val="00711905"/>
    <w:rsid w:val="00712AA7"/>
    <w:rsid w:val="007145C2"/>
    <w:rsid w:val="00715127"/>
    <w:rsid w:val="00715E8E"/>
    <w:rsid w:val="007165A8"/>
    <w:rsid w:val="00720EAC"/>
    <w:rsid w:val="007225AC"/>
    <w:rsid w:val="00723580"/>
    <w:rsid w:val="00723755"/>
    <w:rsid w:val="00725151"/>
    <w:rsid w:val="007266A9"/>
    <w:rsid w:val="0073136C"/>
    <w:rsid w:val="00731F0F"/>
    <w:rsid w:val="007326E2"/>
    <w:rsid w:val="00732985"/>
    <w:rsid w:val="00733250"/>
    <w:rsid w:val="007355BA"/>
    <w:rsid w:val="00737D38"/>
    <w:rsid w:val="00741404"/>
    <w:rsid w:val="0074192D"/>
    <w:rsid w:val="007428D0"/>
    <w:rsid w:val="00742CAB"/>
    <w:rsid w:val="00743426"/>
    <w:rsid w:val="00743869"/>
    <w:rsid w:val="0074472D"/>
    <w:rsid w:val="007449E5"/>
    <w:rsid w:val="00746C5A"/>
    <w:rsid w:val="007475FE"/>
    <w:rsid w:val="00747FF0"/>
    <w:rsid w:val="00750282"/>
    <w:rsid w:val="00750F40"/>
    <w:rsid w:val="00752581"/>
    <w:rsid w:val="00752F4A"/>
    <w:rsid w:val="00755547"/>
    <w:rsid w:val="007562E9"/>
    <w:rsid w:val="00760715"/>
    <w:rsid w:val="0076080D"/>
    <w:rsid w:val="00760E00"/>
    <w:rsid w:val="00764D4E"/>
    <w:rsid w:val="00765A1F"/>
    <w:rsid w:val="00767A2B"/>
    <w:rsid w:val="00770D66"/>
    <w:rsid w:val="007710D1"/>
    <w:rsid w:val="00772DF0"/>
    <w:rsid w:val="007741CE"/>
    <w:rsid w:val="007741E5"/>
    <w:rsid w:val="007757F7"/>
    <w:rsid w:val="00775A13"/>
    <w:rsid w:val="00775B6D"/>
    <w:rsid w:val="0077664F"/>
    <w:rsid w:val="00776D68"/>
    <w:rsid w:val="0077728E"/>
    <w:rsid w:val="007850EE"/>
    <w:rsid w:val="00785231"/>
    <w:rsid w:val="00785B95"/>
    <w:rsid w:val="00786637"/>
    <w:rsid w:val="00786FBE"/>
    <w:rsid w:val="00787C51"/>
    <w:rsid w:val="00790B1C"/>
    <w:rsid w:val="00790E96"/>
    <w:rsid w:val="007913D9"/>
    <w:rsid w:val="0079150F"/>
    <w:rsid w:val="0079165C"/>
    <w:rsid w:val="007920C7"/>
    <w:rsid w:val="00793366"/>
    <w:rsid w:val="00794F85"/>
    <w:rsid w:val="007974D9"/>
    <w:rsid w:val="007A16A9"/>
    <w:rsid w:val="007A1988"/>
    <w:rsid w:val="007A655E"/>
    <w:rsid w:val="007A716F"/>
    <w:rsid w:val="007A71B9"/>
    <w:rsid w:val="007B1A09"/>
    <w:rsid w:val="007B270A"/>
    <w:rsid w:val="007B2FF0"/>
    <w:rsid w:val="007B2FFA"/>
    <w:rsid w:val="007C0695"/>
    <w:rsid w:val="007C1F2F"/>
    <w:rsid w:val="007C2D58"/>
    <w:rsid w:val="007C3C35"/>
    <w:rsid w:val="007C3D39"/>
    <w:rsid w:val="007C419A"/>
    <w:rsid w:val="007C4CC8"/>
    <w:rsid w:val="007C5426"/>
    <w:rsid w:val="007C5798"/>
    <w:rsid w:val="007D2E18"/>
    <w:rsid w:val="007D3EEB"/>
    <w:rsid w:val="007D4832"/>
    <w:rsid w:val="007D5B0A"/>
    <w:rsid w:val="007D6A53"/>
    <w:rsid w:val="007D6CD8"/>
    <w:rsid w:val="007D72E4"/>
    <w:rsid w:val="007E21B2"/>
    <w:rsid w:val="007E2C4E"/>
    <w:rsid w:val="007E4ACB"/>
    <w:rsid w:val="007E67F5"/>
    <w:rsid w:val="007E6911"/>
    <w:rsid w:val="007E6C4B"/>
    <w:rsid w:val="007E7FF2"/>
    <w:rsid w:val="007F059A"/>
    <w:rsid w:val="007F1905"/>
    <w:rsid w:val="007F3D62"/>
    <w:rsid w:val="008001CB"/>
    <w:rsid w:val="008001EF"/>
    <w:rsid w:val="00801274"/>
    <w:rsid w:val="00801300"/>
    <w:rsid w:val="00802C64"/>
    <w:rsid w:val="00805993"/>
    <w:rsid w:val="00805E52"/>
    <w:rsid w:val="008061D0"/>
    <w:rsid w:val="00807701"/>
    <w:rsid w:val="00810B38"/>
    <w:rsid w:val="00811A7E"/>
    <w:rsid w:val="00816257"/>
    <w:rsid w:val="008204C7"/>
    <w:rsid w:val="00820992"/>
    <w:rsid w:val="0082171F"/>
    <w:rsid w:val="00823602"/>
    <w:rsid w:val="0082488D"/>
    <w:rsid w:val="008255F5"/>
    <w:rsid w:val="0083014E"/>
    <w:rsid w:val="00830831"/>
    <w:rsid w:val="00830C3C"/>
    <w:rsid w:val="0083214A"/>
    <w:rsid w:val="00834220"/>
    <w:rsid w:val="00834A96"/>
    <w:rsid w:val="008416A8"/>
    <w:rsid w:val="0084191B"/>
    <w:rsid w:val="0084277C"/>
    <w:rsid w:val="00843729"/>
    <w:rsid w:val="0084400A"/>
    <w:rsid w:val="00844144"/>
    <w:rsid w:val="00845723"/>
    <w:rsid w:val="00845BD3"/>
    <w:rsid w:val="00851EF9"/>
    <w:rsid w:val="008525F1"/>
    <w:rsid w:val="00853CAD"/>
    <w:rsid w:val="00853FEE"/>
    <w:rsid w:val="008545CB"/>
    <w:rsid w:val="008553AA"/>
    <w:rsid w:val="008577FD"/>
    <w:rsid w:val="00860B03"/>
    <w:rsid w:val="00862D8D"/>
    <w:rsid w:val="00864238"/>
    <w:rsid w:val="008643C8"/>
    <w:rsid w:val="0086497A"/>
    <w:rsid w:val="00865163"/>
    <w:rsid w:val="008655DB"/>
    <w:rsid w:val="00865C3B"/>
    <w:rsid w:val="008713A1"/>
    <w:rsid w:val="008716EA"/>
    <w:rsid w:val="00874F29"/>
    <w:rsid w:val="008754AB"/>
    <w:rsid w:val="00875BC1"/>
    <w:rsid w:val="008779C0"/>
    <w:rsid w:val="00880193"/>
    <w:rsid w:val="0088052F"/>
    <w:rsid w:val="0088060C"/>
    <w:rsid w:val="0088267B"/>
    <w:rsid w:val="008835A7"/>
    <w:rsid w:val="00884271"/>
    <w:rsid w:val="0089043F"/>
    <w:rsid w:val="00890D5F"/>
    <w:rsid w:val="00892CE1"/>
    <w:rsid w:val="00893576"/>
    <w:rsid w:val="00893E73"/>
    <w:rsid w:val="00893F25"/>
    <w:rsid w:val="008A2A16"/>
    <w:rsid w:val="008A43C4"/>
    <w:rsid w:val="008A6298"/>
    <w:rsid w:val="008B02DC"/>
    <w:rsid w:val="008B061D"/>
    <w:rsid w:val="008B0854"/>
    <w:rsid w:val="008B411F"/>
    <w:rsid w:val="008B460D"/>
    <w:rsid w:val="008B57CE"/>
    <w:rsid w:val="008B5E30"/>
    <w:rsid w:val="008B659F"/>
    <w:rsid w:val="008C19E7"/>
    <w:rsid w:val="008C1AC7"/>
    <w:rsid w:val="008C26DE"/>
    <w:rsid w:val="008C3A97"/>
    <w:rsid w:val="008C3AFE"/>
    <w:rsid w:val="008D0943"/>
    <w:rsid w:val="008D0F7A"/>
    <w:rsid w:val="008D1A90"/>
    <w:rsid w:val="008D2225"/>
    <w:rsid w:val="008D2D6C"/>
    <w:rsid w:val="008D3ECC"/>
    <w:rsid w:val="008D4752"/>
    <w:rsid w:val="008D5268"/>
    <w:rsid w:val="008D552A"/>
    <w:rsid w:val="008E271C"/>
    <w:rsid w:val="008E293F"/>
    <w:rsid w:val="008E418E"/>
    <w:rsid w:val="008E5BC6"/>
    <w:rsid w:val="008E5E93"/>
    <w:rsid w:val="008E67B1"/>
    <w:rsid w:val="008E6A25"/>
    <w:rsid w:val="008F1898"/>
    <w:rsid w:val="008F21E1"/>
    <w:rsid w:val="008F5193"/>
    <w:rsid w:val="008F68E5"/>
    <w:rsid w:val="00900B3F"/>
    <w:rsid w:val="009013A7"/>
    <w:rsid w:val="00901633"/>
    <w:rsid w:val="009017FB"/>
    <w:rsid w:val="009017FC"/>
    <w:rsid w:val="009033F0"/>
    <w:rsid w:val="00903B43"/>
    <w:rsid w:val="00904CF8"/>
    <w:rsid w:val="0090506B"/>
    <w:rsid w:val="009050C9"/>
    <w:rsid w:val="009062FD"/>
    <w:rsid w:val="009066FC"/>
    <w:rsid w:val="0090723F"/>
    <w:rsid w:val="00907481"/>
    <w:rsid w:val="00912055"/>
    <w:rsid w:val="00912070"/>
    <w:rsid w:val="009140A3"/>
    <w:rsid w:val="009144A2"/>
    <w:rsid w:val="00914D2E"/>
    <w:rsid w:val="0091510C"/>
    <w:rsid w:val="0092318A"/>
    <w:rsid w:val="00924345"/>
    <w:rsid w:val="0092444B"/>
    <w:rsid w:val="009259AC"/>
    <w:rsid w:val="0092649B"/>
    <w:rsid w:val="00926F38"/>
    <w:rsid w:val="009271C2"/>
    <w:rsid w:val="009331E5"/>
    <w:rsid w:val="009338C3"/>
    <w:rsid w:val="00934301"/>
    <w:rsid w:val="00935E94"/>
    <w:rsid w:val="00936CD1"/>
    <w:rsid w:val="009378CB"/>
    <w:rsid w:val="00941502"/>
    <w:rsid w:val="00941747"/>
    <w:rsid w:val="00941EFB"/>
    <w:rsid w:val="00941FB1"/>
    <w:rsid w:val="0094298B"/>
    <w:rsid w:val="00943777"/>
    <w:rsid w:val="00943DA1"/>
    <w:rsid w:val="00946085"/>
    <w:rsid w:val="009465E8"/>
    <w:rsid w:val="0094759F"/>
    <w:rsid w:val="00947AFB"/>
    <w:rsid w:val="0095137E"/>
    <w:rsid w:val="00951D7D"/>
    <w:rsid w:val="00952C12"/>
    <w:rsid w:val="00953B2C"/>
    <w:rsid w:val="00953D64"/>
    <w:rsid w:val="00955741"/>
    <w:rsid w:val="0095610A"/>
    <w:rsid w:val="0095752A"/>
    <w:rsid w:val="0095785A"/>
    <w:rsid w:val="009605A4"/>
    <w:rsid w:val="00960B15"/>
    <w:rsid w:val="00961695"/>
    <w:rsid w:val="0096171A"/>
    <w:rsid w:val="009630C7"/>
    <w:rsid w:val="00964742"/>
    <w:rsid w:val="00966863"/>
    <w:rsid w:val="0097030A"/>
    <w:rsid w:val="00972B55"/>
    <w:rsid w:val="009743B7"/>
    <w:rsid w:val="009747CB"/>
    <w:rsid w:val="0097797C"/>
    <w:rsid w:val="00980088"/>
    <w:rsid w:val="009805AC"/>
    <w:rsid w:val="0098228B"/>
    <w:rsid w:val="009828DA"/>
    <w:rsid w:val="00984DFD"/>
    <w:rsid w:val="00985BAB"/>
    <w:rsid w:val="0098617E"/>
    <w:rsid w:val="00992A7D"/>
    <w:rsid w:val="00993732"/>
    <w:rsid w:val="009952C8"/>
    <w:rsid w:val="00996801"/>
    <w:rsid w:val="00997439"/>
    <w:rsid w:val="00997F03"/>
    <w:rsid w:val="009A2B10"/>
    <w:rsid w:val="009A415A"/>
    <w:rsid w:val="009A46DF"/>
    <w:rsid w:val="009A5BF8"/>
    <w:rsid w:val="009A601C"/>
    <w:rsid w:val="009A6087"/>
    <w:rsid w:val="009B190E"/>
    <w:rsid w:val="009B1B5F"/>
    <w:rsid w:val="009B2E33"/>
    <w:rsid w:val="009B2EC2"/>
    <w:rsid w:val="009B31A2"/>
    <w:rsid w:val="009B3B11"/>
    <w:rsid w:val="009B4BFE"/>
    <w:rsid w:val="009B5F0C"/>
    <w:rsid w:val="009B6673"/>
    <w:rsid w:val="009B77D0"/>
    <w:rsid w:val="009C0071"/>
    <w:rsid w:val="009C153E"/>
    <w:rsid w:val="009C191B"/>
    <w:rsid w:val="009C1982"/>
    <w:rsid w:val="009C2BD6"/>
    <w:rsid w:val="009C3BC8"/>
    <w:rsid w:val="009C50F2"/>
    <w:rsid w:val="009E042A"/>
    <w:rsid w:val="009E0D6B"/>
    <w:rsid w:val="009E1869"/>
    <w:rsid w:val="009E1F32"/>
    <w:rsid w:val="009E27DB"/>
    <w:rsid w:val="009E32FF"/>
    <w:rsid w:val="009E4E03"/>
    <w:rsid w:val="009E5829"/>
    <w:rsid w:val="009E776C"/>
    <w:rsid w:val="009F23D4"/>
    <w:rsid w:val="009F38EC"/>
    <w:rsid w:val="009F44DD"/>
    <w:rsid w:val="009F4D57"/>
    <w:rsid w:val="00A01C34"/>
    <w:rsid w:val="00A116EC"/>
    <w:rsid w:val="00A13C06"/>
    <w:rsid w:val="00A14FC6"/>
    <w:rsid w:val="00A167E7"/>
    <w:rsid w:val="00A1726E"/>
    <w:rsid w:val="00A204CF"/>
    <w:rsid w:val="00A23100"/>
    <w:rsid w:val="00A23D49"/>
    <w:rsid w:val="00A24085"/>
    <w:rsid w:val="00A27004"/>
    <w:rsid w:val="00A307A4"/>
    <w:rsid w:val="00A30C29"/>
    <w:rsid w:val="00A346E5"/>
    <w:rsid w:val="00A34DD6"/>
    <w:rsid w:val="00A36819"/>
    <w:rsid w:val="00A36989"/>
    <w:rsid w:val="00A36E9F"/>
    <w:rsid w:val="00A40549"/>
    <w:rsid w:val="00A42220"/>
    <w:rsid w:val="00A43628"/>
    <w:rsid w:val="00A45145"/>
    <w:rsid w:val="00A50AEE"/>
    <w:rsid w:val="00A52D91"/>
    <w:rsid w:val="00A54192"/>
    <w:rsid w:val="00A54AD3"/>
    <w:rsid w:val="00A55FF8"/>
    <w:rsid w:val="00A6035E"/>
    <w:rsid w:val="00A60368"/>
    <w:rsid w:val="00A61422"/>
    <w:rsid w:val="00A6144C"/>
    <w:rsid w:val="00A61B19"/>
    <w:rsid w:val="00A649D6"/>
    <w:rsid w:val="00A64E9F"/>
    <w:rsid w:val="00A65F01"/>
    <w:rsid w:val="00A66617"/>
    <w:rsid w:val="00A671F8"/>
    <w:rsid w:val="00A673A4"/>
    <w:rsid w:val="00A724AE"/>
    <w:rsid w:val="00A72962"/>
    <w:rsid w:val="00A72CCA"/>
    <w:rsid w:val="00A73329"/>
    <w:rsid w:val="00A77FB5"/>
    <w:rsid w:val="00A82359"/>
    <w:rsid w:val="00A839BB"/>
    <w:rsid w:val="00A84CA8"/>
    <w:rsid w:val="00A865D2"/>
    <w:rsid w:val="00A925D9"/>
    <w:rsid w:val="00A93613"/>
    <w:rsid w:val="00A94C20"/>
    <w:rsid w:val="00A96ED6"/>
    <w:rsid w:val="00AA062F"/>
    <w:rsid w:val="00AA15C5"/>
    <w:rsid w:val="00AA227F"/>
    <w:rsid w:val="00AA3BC7"/>
    <w:rsid w:val="00AA6CB7"/>
    <w:rsid w:val="00AA754A"/>
    <w:rsid w:val="00AA757F"/>
    <w:rsid w:val="00AA7D68"/>
    <w:rsid w:val="00AA7F31"/>
    <w:rsid w:val="00AB001C"/>
    <w:rsid w:val="00AB099E"/>
    <w:rsid w:val="00AB3780"/>
    <w:rsid w:val="00AB4328"/>
    <w:rsid w:val="00AB5E60"/>
    <w:rsid w:val="00AB5FA0"/>
    <w:rsid w:val="00AC1757"/>
    <w:rsid w:val="00AC301D"/>
    <w:rsid w:val="00AC3A94"/>
    <w:rsid w:val="00AC69EA"/>
    <w:rsid w:val="00AD113D"/>
    <w:rsid w:val="00AD12A5"/>
    <w:rsid w:val="00AD1F1C"/>
    <w:rsid w:val="00AD494A"/>
    <w:rsid w:val="00AD5494"/>
    <w:rsid w:val="00AD7EDB"/>
    <w:rsid w:val="00AE0A2E"/>
    <w:rsid w:val="00AE1E83"/>
    <w:rsid w:val="00AE223A"/>
    <w:rsid w:val="00AE30C3"/>
    <w:rsid w:val="00AE354C"/>
    <w:rsid w:val="00AE641C"/>
    <w:rsid w:val="00AE64D9"/>
    <w:rsid w:val="00AF0282"/>
    <w:rsid w:val="00AF0535"/>
    <w:rsid w:val="00AF0E2D"/>
    <w:rsid w:val="00AF3764"/>
    <w:rsid w:val="00AF4B07"/>
    <w:rsid w:val="00AF6186"/>
    <w:rsid w:val="00AF7A3A"/>
    <w:rsid w:val="00B00A00"/>
    <w:rsid w:val="00B02E4E"/>
    <w:rsid w:val="00B06FC0"/>
    <w:rsid w:val="00B10415"/>
    <w:rsid w:val="00B10FE3"/>
    <w:rsid w:val="00B12FBA"/>
    <w:rsid w:val="00B13430"/>
    <w:rsid w:val="00B14AE0"/>
    <w:rsid w:val="00B14DDB"/>
    <w:rsid w:val="00B15099"/>
    <w:rsid w:val="00B160DB"/>
    <w:rsid w:val="00B171EE"/>
    <w:rsid w:val="00B20836"/>
    <w:rsid w:val="00B235BB"/>
    <w:rsid w:val="00B27A44"/>
    <w:rsid w:val="00B30BBF"/>
    <w:rsid w:val="00B33C03"/>
    <w:rsid w:val="00B33C09"/>
    <w:rsid w:val="00B33EE9"/>
    <w:rsid w:val="00B33F92"/>
    <w:rsid w:val="00B35A85"/>
    <w:rsid w:val="00B35FC0"/>
    <w:rsid w:val="00B3751C"/>
    <w:rsid w:val="00B37E78"/>
    <w:rsid w:val="00B40D3E"/>
    <w:rsid w:val="00B41021"/>
    <w:rsid w:val="00B41FDE"/>
    <w:rsid w:val="00B42434"/>
    <w:rsid w:val="00B4263A"/>
    <w:rsid w:val="00B439C6"/>
    <w:rsid w:val="00B43A56"/>
    <w:rsid w:val="00B445B8"/>
    <w:rsid w:val="00B44BA3"/>
    <w:rsid w:val="00B44E56"/>
    <w:rsid w:val="00B4514E"/>
    <w:rsid w:val="00B46543"/>
    <w:rsid w:val="00B47D33"/>
    <w:rsid w:val="00B52BE0"/>
    <w:rsid w:val="00B53A5E"/>
    <w:rsid w:val="00B54133"/>
    <w:rsid w:val="00B554FE"/>
    <w:rsid w:val="00B558FF"/>
    <w:rsid w:val="00B564D3"/>
    <w:rsid w:val="00B5731C"/>
    <w:rsid w:val="00B5797E"/>
    <w:rsid w:val="00B57D60"/>
    <w:rsid w:val="00B60429"/>
    <w:rsid w:val="00B60E8C"/>
    <w:rsid w:val="00B61AE2"/>
    <w:rsid w:val="00B637B9"/>
    <w:rsid w:val="00B646F7"/>
    <w:rsid w:val="00B6506C"/>
    <w:rsid w:val="00B701ED"/>
    <w:rsid w:val="00B71B8E"/>
    <w:rsid w:val="00B75707"/>
    <w:rsid w:val="00B75B49"/>
    <w:rsid w:val="00B8086C"/>
    <w:rsid w:val="00B8521F"/>
    <w:rsid w:val="00B85F76"/>
    <w:rsid w:val="00B861B4"/>
    <w:rsid w:val="00B86DFE"/>
    <w:rsid w:val="00B90990"/>
    <w:rsid w:val="00B922FF"/>
    <w:rsid w:val="00B9247D"/>
    <w:rsid w:val="00B9281E"/>
    <w:rsid w:val="00B9363B"/>
    <w:rsid w:val="00B93925"/>
    <w:rsid w:val="00B93984"/>
    <w:rsid w:val="00B93B63"/>
    <w:rsid w:val="00B9463C"/>
    <w:rsid w:val="00B95187"/>
    <w:rsid w:val="00B964C6"/>
    <w:rsid w:val="00BA19BE"/>
    <w:rsid w:val="00BA268D"/>
    <w:rsid w:val="00BA2D55"/>
    <w:rsid w:val="00BA340A"/>
    <w:rsid w:val="00BA40B6"/>
    <w:rsid w:val="00BA6E72"/>
    <w:rsid w:val="00BA71B1"/>
    <w:rsid w:val="00BB0031"/>
    <w:rsid w:val="00BB0637"/>
    <w:rsid w:val="00BB1AD4"/>
    <w:rsid w:val="00BB345F"/>
    <w:rsid w:val="00BB5883"/>
    <w:rsid w:val="00BB68EA"/>
    <w:rsid w:val="00BB72C7"/>
    <w:rsid w:val="00BB7D91"/>
    <w:rsid w:val="00BC1C27"/>
    <w:rsid w:val="00BC2C01"/>
    <w:rsid w:val="00BC4C63"/>
    <w:rsid w:val="00BC5E29"/>
    <w:rsid w:val="00BC6BBF"/>
    <w:rsid w:val="00BC7278"/>
    <w:rsid w:val="00BC767D"/>
    <w:rsid w:val="00BD1572"/>
    <w:rsid w:val="00BD2140"/>
    <w:rsid w:val="00BD700B"/>
    <w:rsid w:val="00BD709E"/>
    <w:rsid w:val="00BE14E3"/>
    <w:rsid w:val="00BE3774"/>
    <w:rsid w:val="00BE4084"/>
    <w:rsid w:val="00BE41E5"/>
    <w:rsid w:val="00BF0BBB"/>
    <w:rsid w:val="00BF2B45"/>
    <w:rsid w:val="00BF4109"/>
    <w:rsid w:val="00BF4CC3"/>
    <w:rsid w:val="00BF4F1A"/>
    <w:rsid w:val="00BF665C"/>
    <w:rsid w:val="00C02D50"/>
    <w:rsid w:val="00C04199"/>
    <w:rsid w:val="00C04D02"/>
    <w:rsid w:val="00C054C7"/>
    <w:rsid w:val="00C054F5"/>
    <w:rsid w:val="00C057B5"/>
    <w:rsid w:val="00C05BCB"/>
    <w:rsid w:val="00C1337C"/>
    <w:rsid w:val="00C150BF"/>
    <w:rsid w:val="00C15388"/>
    <w:rsid w:val="00C1646D"/>
    <w:rsid w:val="00C1715A"/>
    <w:rsid w:val="00C21E89"/>
    <w:rsid w:val="00C22687"/>
    <w:rsid w:val="00C23ED7"/>
    <w:rsid w:val="00C257F8"/>
    <w:rsid w:val="00C3089A"/>
    <w:rsid w:val="00C32E4D"/>
    <w:rsid w:val="00C333A0"/>
    <w:rsid w:val="00C3421F"/>
    <w:rsid w:val="00C34A9D"/>
    <w:rsid w:val="00C36A81"/>
    <w:rsid w:val="00C41974"/>
    <w:rsid w:val="00C43C4B"/>
    <w:rsid w:val="00C447AD"/>
    <w:rsid w:val="00C4603B"/>
    <w:rsid w:val="00C5083B"/>
    <w:rsid w:val="00C5234C"/>
    <w:rsid w:val="00C53F4A"/>
    <w:rsid w:val="00C54125"/>
    <w:rsid w:val="00C5525F"/>
    <w:rsid w:val="00C552F3"/>
    <w:rsid w:val="00C55B54"/>
    <w:rsid w:val="00C5657E"/>
    <w:rsid w:val="00C6098E"/>
    <w:rsid w:val="00C6152C"/>
    <w:rsid w:val="00C621C2"/>
    <w:rsid w:val="00C63A92"/>
    <w:rsid w:val="00C65DAD"/>
    <w:rsid w:val="00C70A51"/>
    <w:rsid w:val="00C70EB9"/>
    <w:rsid w:val="00C724E6"/>
    <w:rsid w:val="00C74810"/>
    <w:rsid w:val="00C74D9A"/>
    <w:rsid w:val="00C7554B"/>
    <w:rsid w:val="00C75D0A"/>
    <w:rsid w:val="00C771D6"/>
    <w:rsid w:val="00C864F6"/>
    <w:rsid w:val="00C87399"/>
    <w:rsid w:val="00C90D68"/>
    <w:rsid w:val="00C9185A"/>
    <w:rsid w:val="00C939FE"/>
    <w:rsid w:val="00C953A2"/>
    <w:rsid w:val="00C969D5"/>
    <w:rsid w:val="00CA02DA"/>
    <w:rsid w:val="00CA04EA"/>
    <w:rsid w:val="00CA3091"/>
    <w:rsid w:val="00CA35CA"/>
    <w:rsid w:val="00CA3C2B"/>
    <w:rsid w:val="00CA4BDA"/>
    <w:rsid w:val="00CA4EBA"/>
    <w:rsid w:val="00CA6C94"/>
    <w:rsid w:val="00CA6EEB"/>
    <w:rsid w:val="00CB15CF"/>
    <w:rsid w:val="00CB1F66"/>
    <w:rsid w:val="00CB2951"/>
    <w:rsid w:val="00CB35E6"/>
    <w:rsid w:val="00CB40AC"/>
    <w:rsid w:val="00CB5055"/>
    <w:rsid w:val="00CB549C"/>
    <w:rsid w:val="00CB74F4"/>
    <w:rsid w:val="00CC2750"/>
    <w:rsid w:val="00CC28FD"/>
    <w:rsid w:val="00CC7614"/>
    <w:rsid w:val="00CD249F"/>
    <w:rsid w:val="00CD2805"/>
    <w:rsid w:val="00CD282B"/>
    <w:rsid w:val="00CD4C35"/>
    <w:rsid w:val="00CD7369"/>
    <w:rsid w:val="00CE000A"/>
    <w:rsid w:val="00CE0A52"/>
    <w:rsid w:val="00CE0B0E"/>
    <w:rsid w:val="00CE1A35"/>
    <w:rsid w:val="00CE3831"/>
    <w:rsid w:val="00CE7AA8"/>
    <w:rsid w:val="00CE7BFB"/>
    <w:rsid w:val="00CE7F24"/>
    <w:rsid w:val="00CF40B8"/>
    <w:rsid w:val="00D00ABB"/>
    <w:rsid w:val="00D00ECF"/>
    <w:rsid w:val="00D02E8D"/>
    <w:rsid w:val="00D02EEC"/>
    <w:rsid w:val="00D034BA"/>
    <w:rsid w:val="00D03551"/>
    <w:rsid w:val="00D03682"/>
    <w:rsid w:val="00D05161"/>
    <w:rsid w:val="00D06872"/>
    <w:rsid w:val="00D06A63"/>
    <w:rsid w:val="00D07E0E"/>
    <w:rsid w:val="00D1037D"/>
    <w:rsid w:val="00D10D3B"/>
    <w:rsid w:val="00D11478"/>
    <w:rsid w:val="00D11E57"/>
    <w:rsid w:val="00D12BE5"/>
    <w:rsid w:val="00D155DF"/>
    <w:rsid w:val="00D15DD5"/>
    <w:rsid w:val="00D15ED0"/>
    <w:rsid w:val="00D16568"/>
    <w:rsid w:val="00D21B3E"/>
    <w:rsid w:val="00D21E6E"/>
    <w:rsid w:val="00D21FED"/>
    <w:rsid w:val="00D2232C"/>
    <w:rsid w:val="00D2273D"/>
    <w:rsid w:val="00D24251"/>
    <w:rsid w:val="00D244AD"/>
    <w:rsid w:val="00D24EA4"/>
    <w:rsid w:val="00D25BF9"/>
    <w:rsid w:val="00D26909"/>
    <w:rsid w:val="00D26CAF"/>
    <w:rsid w:val="00D27529"/>
    <w:rsid w:val="00D27F50"/>
    <w:rsid w:val="00D3296A"/>
    <w:rsid w:val="00D343E2"/>
    <w:rsid w:val="00D361A2"/>
    <w:rsid w:val="00D41B42"/>
    <w:rsid w:val="00D41F37"/>
    <w:rsid w:val="00D44C2E"/>
    <w:rsid w:val="00D45414"/>
    <w:rsid w:val="00D50E2E"/>
    <w:rsid w:val="00D50FF2"/>
    <w:rsid w:val="00D512A2"/>
    <w:rsid w:val="00D522D7"/>
    <w:rsid w:val="00D52CC4"/>
    <w:rsid w:val="00D53B87"/>
    <w:rsid w:val="00D53C0F"/>
    <w:rsid w:val="00D558BD"/>
    <w:rsid w:val="00D5618A"/>
    <w:rsid w:val="00D566BD"/>
    <w:rsid w:val="00D57A4D"/>
    <w:rsid w:val="00D60AA7"/>
    <w:rsid w:val="00D60D87"/>
    <w:rsid w:val="00D614A7"/>
    <w:rsid w:val="00D6176E"/>
    <w:rsid w:val="00D625CF"/>
    <w:rsid w:val="00D62B34"/>
    <w:rsid w:val="00D62C61"/>
    <w:rsid w:val="00D6332B"/>
    <w:rsid w:val="00D6435F"/>
    <w:rsid w:val="00D67F9F"/>
    <w:rsid w:val="00D7143E"/>
    <w:rsid w:val="00D7185D"/>
    <w:rsid w:val="00D7201A"/>
    <w:rsid w:val="00D730A7"/>
    <w:rsid w:val="00D75E28"/>
    <w:rsid w:val="00D76A11"/>
    <w:rsid w:val="00D772C2"/>
    <w:rsid w:val="00D774BC"/>
    <w:rsid w:val="00D8008E"/>
    <w:rsid w:val="00D80C8F"/>
    <w:rsid w:val="00D81644"/>
    <w:rsid w:val="00D8283B"/>
    <w:rsid w:val="00D82C45"/>
    <w:rsid w:val="00D835EA"/>
    <w:rsid w:val="00D85CEA"/>
    <w:rsid w:val="00D86CFC"/>
    <w:rsid w:val="00D87D00"/>
    <w:rsid w:val="00D908A8"/>
    <w:rsid w:val="00D90F07"/>
    <w:rsid w:val="00D9257A"/>
    <w:rsid w:val="00D948A5"/>
    <w:rsid w:val="00D95607"/>
    <w:rsid w:val="00D96398"/>
    <w:rsid w:val="00D96DA2"/>
    <w:rsid w:val="00D97396"/>
    <w:rsid w:val="00D977B6"/>
    <w:rsid w:val="00D9790F"/>
    <w:rsid w:val="00D97B1A"/>
    <w:rsid w:val="00D97F95"/>
    <w:rsid w:val="00DA03CE"/>
    <w:rsid w:val="00DA1545"/>
    <w:rsid w:val="00DA400B"/>
    <w:rsid w:val="00DA48B6"/>
    <w:rsid w:val="00DA4A31"/>
    <w:rsid w:val="00DA576F"/>
    <w:rsid w:val="00DA61F2"/>
    <w:rsid w:val="00DA7B04"/>
    <w:rsid w:val="00DB2805"/>
    <w:rsid w:val="00DB36C2"/>
    <w:rsid w:val="00DB38AC"/>
    <w:rsid w:val="00DB6559"/>
    <w:rsid w:val="00DB70C0"/>
    <w:rsid w:val="00DB7196"/>
    <w:rsid w:val="00DB7304"/>
    <w:rsid w:val="00DC0847"/>
    <w:rsid w:val="00DC169B"/>
    <w:rsid w:val="00DC200E"/>
    <w:rsid w:val="00DC2AB9"/>
    <w:rsid w:val="00DC3888"/>
    <w:rsid w:val="00DC4B22"/>
    <w:rsid w:val="00DC4EE4"/>
    <w:rsid w:val="00DC63F0"/>
    <w:rsid w:val="00DC6F21"/>
    <w:rsid w:val="00DC7BF7"/>
    <w:rsid w:val="00DD0671"/>
    <w:rsid w:val="00DD29E5"/>
    <w:rsid w:val="00DD2C41"/>
    <w:rsid w:val="00DD2F3C"/>
    <w:rsid w:val="00DD4256"/>
    <w:rsid w:val="00DD5F69"/>
    <w:rsid w:val="00DD6174"/>
    <w:rsid w:val="00DD6742"/>
    <w:rsid w:val="00DD6EE5"/>
    <w:rsid w:val="00DD7C5E"/>
    <w:rsid w:val="00DE088F"/>
    <w:rsid w:val="00DE2001"/>
    <w:rsid w:val="00DE386C"/>
    <w:rsid w:val="00DE4D35"/>
    <w:rsid w:val="00DE674F"/>
    <w:rsid w:val="00DF0549"/>
    <w:rsid w:val="00DF098B"/>
    <w:rsid w:val="00DF11C4"/>
    <w:rsid w:val="00DF210C"/>
    <w:rsid w:val="00DF2B5E"/>
    <w:rsid w:val="00DF3ED1"/>
    <w:rsid w:val="00DF422F"/>
    <w:rsid w:val="00DF4B6A"/>
    <w:rsid w:val="00DF506D"/>
    <w:rsid w:val="00E02C09"/>
    <w:rsid w:val="00E04C8E"/>
    <w:rsid w:val="00E04D59"/>
    <w:rsid w:val="00E06347"/>
    <w:rsid w:val="00E07DA1"/>
    <w:rsid w:val="00E10232"/>
    <w:rsid w:val="00E108BE"/>
    <w:rsid w:val="00E11475"/>
    <w:rsid w:val="00E123CB"/>
    <w:rsid w:val="00E12468"/>
    <w:rsid w:val="00E13085"/>
    <w:rsid w:val="00E1557C"/>
    <w:rsid w:val="00E16AA6"/>
    <w:rsid w:val="00E1706B"/>
    <w:rsid w:val="00E203F8"/>
    <w:rsid w:val="00E20E13"/>
    <w:rsid w:val="00E21051"/>
    <w:rsid w:val="00E21DBC"/>
    <w:rsid w:val="00E26037"/>
    <w:rsid w:val="00E264A9"/>
    <w:rsid w:val="00E26E8B"/>
    <w:rsid w:val="00E275D7"/>
    <w:rsid w:val="00E27DBE"/>
    <w:rsid w:val="00E318DF"/>
    <w:rsid w:val="00E31DB3"/>
    <w:rsid w:val="00E32AB1"/>
    <w:rsid w:val="00E33D40"/>
    <w:rsid w:val="00E345EA"/>
    <w:rsid w:val="00E34D16"/>
    <w:rsid w:val="00E36C71"/>
    <w:rsid w:val="00E40404"/>
    <w:rsid w:val="00E4053A"/>
    <w:rsid w:val="00E40E19"/>
    <w:rsid w:val="00E41E41"/>
    <w:rsid w:val="00E43686"/>
    <w:rsid w:val="00E4435A"/>
    <w:rsid w:val="00E4448E"/>
    <w:rsid w:val="00E459C6"/>
    <w:rsid w:val="00E468CF"/>
    <w:rsid w:val="00E47589"/>
    <w:rsid w:val="00E475A8"/>
    <w:rsid w:val="00E508C4"/>
    <w:rsid w:val="00E50B12"/>
    <w:rsid w:val="00E50CDB"/>
    <w:rsid w:val="00E51335"/>
    <w:rsid w:val="00E51D39"/>
    <w:rsid w:val="00E52502"/>
    <w:rsid w:val="00E54C85"/>
    <w:rsid w:val="00E567AA"/>
    <w:rsid w:val="00E61249"/>
    <w:rsid w:val="00E62058"/>
    <w:rsid w:val="00E62CEA"/>
    <w:rsid w:val="00E64915"/>
    <w:rsid w:val="00E661D4"/>
    <w:rsid w:val="00E664B1"/>
    <w:rsid w:val="00E70091"/>
    <w:rsid w:val="00E720F5"/>
    <w:rsid w:val="00E721CC"/>
    <w:rsid w:val="00E72C9C"/>
    <w:rsid w:val="00E7382D"/>
    <w:rsid w:val="00E74E27"/>
    <w:rsid w:val="00E76D47"/>
    <w:rsid w:val="00E76DE8"/>
    <w:rsid w:val="00E77C6C"/>
    <w:rsid w:val="00E80B88"/>
    <w:rsid w:val="00E82212"/>
    <w:rsid w:val="00E849F7"/>
    <w:rsid w:val="00E850A7"/>
    <w:rsid w:val="00E86888"/>
    <w:rsid w:val="00E90302"/>
    <w:rsid w:val="00E924E1"/>
    <w:rsid w:val="00E9351F"/>
    <w:rsid w:val="00E9597F"/>
    <w:rsid w:val="00E97396"/>
    <w:rsid w:val="00EA185E"/>
    <w:rsid w:val="00EA1C79"/>
    <w:rsid w:val="00EA4892"/>
    <w:rsid w:val="00EA48A9"/>
    <w:rsid w:val="00EA592A"/>
    <w:rsid w:val="00EA60A0"/>
    <w:rsid w:val="00EB14E4"/>
    <w:rsid w:val="00EB2735"/>
    <w:rsid w:val="00EB32A5"/>
    <w:rsid w:val="00EB34A3"/>
    <w:rsid w:val="00EB34ED"/>
    <w:rsid w:val="00EB6B33"/>
    <w:rsid w:val="00EB6F11"/>
    <w:rsid w:val="00EB777B"/>
    <w:rsid w:val="00EB7BE0"/>
    <w:rsid w:val="00EC0310"/>
    <w:rsid w:val="00EC0FB2"/>
    <w:rsid w:val="00EC19AA"/>
    <w:rsid w:val="00EC315E"/>
    <w:rsid w:val="00EC45C5"/>
    <w:rsid w:val="00EC4A52"/>
    <w:rsid w:val="00EC6033"/>
    <w:rsid w:val="00EC629B"/>
    <w:rsid w:val="00EC67F4"/>
    <w:rsid w:val="00EC773F"/>
    <w:rsid w:val="00ED077C"/>
    <w:rsid w:val="00ED0939"/>
    <w:rsid w:val="00ED1190"/>
    <w:rsid w:val="00ED31FF"/>
    <w:rsid w:val="00ED3855"/>
    <w:rsid w:val="00ED4FD5"/>
    <w:rsid w:val="00ED521F"/>
    <w:rsid w:val="00ED6544"/>
    <w:rsid w:val="00ED692D"/>
    <w:rsid w:val="00EE0277"/>
    <w:rsid w:val="00EE1DA9"/>
    <w:rsid w:val="00EE33E7"/>
    <w:rsid w:val="00EE355E"/>
    <w:rsid w:val="00EE3E00"/>
    <w:rsid w:val="00EE5DD2"/>
    <w:rsid w:val="00EE76F5"/>
    <w:rsid w:val="00EF0BD2"/>
    <w:rsid w:val="00EF0FD9"/>
    <w:rsid w:val="00EF3846"/>
    <w:rsid w:val="00EF41F1"/>
    <w:rsid w:val="00EF4F08"/>
    <w:rsid w:val="00EF52B8"/>
    <w:rsid w:val="00EF5A94"/>
    <w:rsid w:val="00EF6210"/>
    <w:rsid w:val="00EF6FA8"/>
    <w:rsid w:val="00F00361"/>
    <w:rsid w:val="00F00A79"/>
    <w:rsid w:val="00F00C1C"/>
    <w:rsid w:val="00F00E86"/>
    <w:rsid w:val="00F00F8B"/>
    <w:rsid w:val="00F01FC4"/>
    <w:rsid w:val="00F056F3"/>
    <w:rsid w:val="00F05919"/>
    <w:rsid w:val="00F07B9C"/>
    <w:rsid w:val="00F07C1E"/>
    <w:rsid w:val="00F105DB"/>
    <w:rsid w:val="00F11289"/>
    <w:rsid w:val="00F12336"/>
    <w:rsid w:val="00F128CE"/>
    <w:rsid w:val="00F132BC"/>
    <w:rsid w:val="00F136EB"/>
    <w:rsid w:val="00F13D7B"/>
    <w:rsid w:val="00F13D80"/>
    <w:rsid w:val="00F16AAA"/>
    <w:rsid w:val="00F21161"/>
    <w:rsid w:val="00F218EF"/>
    <w:rsid w:val="00F21BC7"/>
    <w:rsid w:val="00F21C4A"/>
    <w:rsid w:val="00F24D91"/>
    <w:rsid w:val="00F266A2"/>
    <w:rsid w:val="00F32269"/>
    <w:rsid w:val="00F334EF"/>
    <w:rsid w:val="00F339D7"/>
    <w:rsid w:val="00F4238C"/>
    <w:rsid w:val="00F42B12"/>
    <w:rsid w:val="00F430CE"/>
    <w:rsid w:val="00F4457E"/>
    <w:rsid w:val="00F452A9"/>
    <w:rsid w:val="00F468B3"/>
    <w:rsid w:val="00F474A8"/>
    <w:rsid w:val="00F52193"/>
    <w:rsid w:val="00F5436D"/>
    <w:rsid w:val="00F56A6F"/>
    <w:rsid w:val="00F56DD1"/>
    <w:rsid w:val="00F5709C"/>
    <w:rsid w:val="00F646D4"/>
    <w:rsid w:val="00F647CD"/>
    <w:rsid w:val="00F6494F"/>
    <w:rsid w:val="00F64EF1"/>
    <w:rsid w:val="00F70B9F"/>
    <w:rsid w:val="00F74A28"/>
    <w:rsid w:val="00F7718C"/>
    <w:rsid w:val="00F80594"/>
    <w:rsid w:val="00F80B5A"/>
    <w:rsid w:val="00F80CDC"/>
    <w:rsid w:val="00F82B0D"/>
    <w:rsid w:val="00F8765F"/>
    <w:rsid w:val="00F87A41"/>
    <w:rsid w:val="00F90767"/>
    <w:rsid w:val="00F9143D"/>
    <w:rsid w:val="00F94AB0"/>
    <w:rsid w:val="00F950F6"/>
    <w:rsid w:val="00F9559D"/>
    <w:rsid w:val="00FA0427"/>
    <w:rsid w:val="00FA11BD"/>
    <w:rsid w:val="00FA28A4"/>
    <w:rsid w:val="00FA3990"/>
    <w:rsid w:val="00FA50B7"/>
    <w:rsid w:val="00FA663F"/>
    <w:rsid w:val="00FA685B"/>
    <w:rsid w:val="00FA6C6B"/>
    <w:rsid w:val="00FA73A3"/>
    <w:rsid w:val="00FA7C0D"/>
    <w:rsid w:val="00FB080B"/>
    <w:rsid w:val="00FB0C01"/>
    <w:rsid w:val="00FB16A6"/>
    <w:rsid w:val="00FB2552"/>
    <w:rsid w:val="00FB3E5B"/>
    <w:rsid w:val="00FB53B7"/>
    <w:rsid w:val="00FB56F2"/>
    <w:rsid w:val="00FB6793"/>
    <w:rsid w:val="00FC18F2"/>
    <w:rsid w:val="00FC39E5"/>
    <w:rsid w:val="00FC3A78"/>
    <w:rsid w:val="00FC3AD6"/>
    <w:rsid w:val="00FC4237"/>
    <w:rsid w:val="00FC43B5"/>
    <w:rsid w:val="00FC5FFE"/>
    <w:rsid w:val="00FD1005"/>
    <w:rsid w:val="00FD152A"/>
    <w:rsid w:val="00FD22D0"/>
    <w:rsid w:val="00FD2506"/>
    <w:rsid w:val="00FD2B75"/>
    <w:rsid w:val="00FD3180"/>
    <w:rsid w:val="00FD6822"/>
    <w:rsid w:val="00FD6C75"/>
    <w:rsid w:val="00FD6CAD"/>
    <w:rsid w:val="00FD709A"/>
    <w:rsid w:val="00FE098E"/>
    <w:rsid w:val="00FE237A"/>
    <w:rsid w:val="00FE2F54"/>
    <w:rsid w:val="00FE4FAD"/>
    <w:rsid w:val="00FE6998"/>
    <w:rsid w:val="00FE71B3"/>
    <w:rsid w:val="00FF0E0E"/>
    <w:rsid w:val="00FF2306"/>
    <w:rsid w:val="00FF3BCE"/>
    <w:rsid w:val="00FF42C5"/>
    <w:rsid w:val="00FF7553"/>
    <w:rsid w:val="00FF7E1F"/>
  </w:rsids>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annotation reference" w:uiPriority="0"/>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FD709A"/>
    <w:pPr>
      <w:jc w:val="both"/>
    </w:pPr>
    <w:rPr>
      <w:rFonts w:eastAsiaTheme="minorEastAsia"/>
      <w:sz w:val="24"/>
    </w:rPr>
  </w:style>
  <w:style w:type="paragraph" w:styleId="Heading1">
    <w:name w:val="heading 1"/>
    <w:basedOn w:val="Normal"/>
    <w:next w:val="Normal"/>
    <w:link w:val="Heading1Char"/>
    <w:uiPriority w:val="99"/>
    <w:semiHidden/>
    <w:rsid w:val="00FD709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FD709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FD709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FD709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FD709A"/>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FD709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FD709A"/>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FD709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FD709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D709A"/>
    <w:rPr>
      <w:rFonts w:ascii="Tahoma" w:hAnsi="Tahoma" w:cs="Tahoma"/>
      <w:sz w:val="16"/>
      <w:szCs w:val="16"/>
    </w:rPr>
  </w:style>
  <w:style w:type="character" w:customStyle="1" w:styleId="BalloonTextChar">
    <w:name w:val="Balloon Text Char"/>
    <w:basedOn w:val="DefaultParagraphFont"/>
    <w:link w:val="BalloonText"/>
    <w:uiPriority w:val="99"/>
    <w:semiHidden/>
    <w:rsid w:val="00FD709A"/>
    <w:rPr>
      <w:rFonts w:ascii="Tahoma" w:hAnsi="Tahoma" w:eastAsiaTheme="minorEastAsia" w:cs="Tahoma"/>
      <w:sz w:val="16"/>
      <w:szCs w:val="16"/>
    </w:rPr>
  </w:style>
  <w:style w:type="character" w:styleId="BookTitle">
    <w:name w:val="Book Title"/>
    <w:uiPriority w:val="99"/>
    <w:semiHidden/>
    <w:qFormat/>
    <w:rsid w:val="00FD709A"/>
    <w:rPr>
      <w:i/>
      <w:iCs/>
      <w:smallCaps/>
      <w:spacing w:val="5"/>
    </w:rPr>
  </w:style>
  <w:style w:type="paragraph" w:customStyle="1" w:styleId="ECHRHeader">
    <w:name w:val="ECHR_Header"/>
    <w:aliases w:val="Ju_Header"/>
    <w:basedOn w:val="Header"/>
    <w:uiPriority w:val="4"/>
    <w:qFormat/>
    <w:rsid w:val="00FD709A"/>
    <w:pPr>
      <w:tabs>
        <w:tab w:val="center" w:pos="3686"/>
        <w:tab w:val="clear" w:pos="4536"/>
        <w:tab w:val="right" w:pos="7371"/>
        <w:tab w:val="clear" w:pos="9072"/>
      </w:tabs>
      <w:jc w:val="left"/>
    </w:pPr>
    <w:rPr>
      <w:sz w:val="18"/>
    </w:rPr>
  </w:style>
  <w:style w:type="paragraph" w:customStyle="1" w:styleId="ECHRFooter">
    <w:name w:val="ECHR_Footer"/>
    <w:aliases w:val="Footer_ECHR"/>
    <w:basedOn w:val="Footer"/>
    <w:uiPriority w:val="57"/>
    <w:semiHidden/>
    <w:rsid w:val="00FD709A"/>
    <w:pPr>
      <w:jc w:val="left"/>
    </w:pPr>
    <w:rPr>
      <w:sz w:val="8"/>
    </w:rPr>
  </w:style>
  <w:style w:type="character" w:styleId="Strong">
    <w:name w:val="Strong"/>
    <w:uiPriority w:val="99"/>
    <w:semiHidden/>
    <w:qFormat/>
    <w:rsid w:val="00FD709A"/>
    <w:rPr>
      <w:b/>
      <w:bCs/>
    </w:rPr>
  </w:style>
  <w:style w:type="paragraph" w:styleId="NoSpacing">
    <w:name w:val="No Spacing"/>
    <w:basedOn w:val="Normal"/>
    <w:link w:val="NoSpacingChar"/>
    <w:semiHidden/>
    <w:qFormat/>
    <w:rsid w:val="00FD709A"/>
    <w:rPr>
      <w:sz w:val="22"/>
    </w:rPr>
  </w:style>
  <w:style w:type="character" w:customStyle="1" w:styleId="NoSpacingChar">
    <w:name w:val="No Spacing Char"/>
    <w:basedOn w:val="DefaultParagraphFont"/>
    <w:link w:val="NoSpacing"/>
    <w:semiHidden/>
    <w:rsid w:val="00FD709A"/>
    <w:rPr>
      <w:rFonts w:eastAsiaTheme="minorEastAsia"/>
    </w:rPr>
  </w:style>
  <w:style w:type="paragraph" w:customStyle="1" w:styleId="ECHRFooterLine">
    <w:name w:val="ECHR_Footer_Line"/>
    <w:aliases w:val="Footer_Line"/>
    <w:basedOn w:val="Normal"/>
    <w:next w:val="ECHRFooter"/>
    <w:uiPriority w:val="57"/>
    <w:semiHidden/>
    <w:rsid w:val="00FD709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FD709A"/>
    <w:pPr>
      <w:numPr>
        <w:numId w:val="14"/>
      </w:numPr>
      <w:jc w:val="left"/>
    </w:pPr>
    <w:rPr>
      <w:b/>
    </w:rPr>
  </w:style>
  <w:style w:type="paragraph" w:customStyle="1" w:styleId="OpiPara">
    <w:name w:val="Opi_Para"/>
    <w:basedOn w:val="ECHRPara"/>
    <w:uiPriority w:val="46"/>
    <w:qFormat/>
    <w:rsid w:val="00FD709A"/>
  </w:style>
  <w:style w:type="paragraph" w:customStyle="1" w:styleId="JuParaSub">
    <w:name w:val="Ju_Para_Sub"/>
    <w:basedOn w:val="ECHRPara"/>
    <w:uiPriority w:val="13"/>
    <w:unhideWhenUsed/>
    <w:qFormat/>
    <w:rsid w:val="00FD709A"/>
    <w:pPr>
      <w:ind w:left="284"/>
    </w:pPr>
  </w:style>
  <w:style w:type="paragraph" w:customStyle="1" w:styleId="ECHRTitleCentre3">
    <w:name w:val="ECHR_Title_Centre_3"/>
    <w:aliases w:val="Ju_H_Article,Title_C_3"/>
    <w:basedOn w:val="Normal"/>
    <w:next w:val="ECHRParaQuote"/>
    <w:uiPriority w:val="27"/>
    <w:qFormat/>
    <w:rsid w:val="00FD709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FD709A"/>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unhideWhenUsed/>
    <w:qFormat/>
    <w:rsid w:val="00FD709A"/>
  </w:style>
  <w:style w:type="paragraph" w:customStyle="1" w:styleId="OpiQuot">
    <w:name w:val="Opi_Quot"/>
    <w:basedOn w:val="ECHRParaQuote"/>
    <w:uiPriority w:val="48"/>
    <w:qFormat/>
    <w:rsid w:val="00FD709A"/>
  </w:style>
  <w:style w:type="paragraph" w:customStyle="1" w:styleId="OpiQuotSub">
    <w:name w:val="Opi_Quot_Sub"/>
    <w:basedOn w:val="JuQuotSub"/>
    <w:uiPriority w:val="49"/>
    <w:qFormat/>
    <w:rsid w:val="00FD709A"/>
  </w:style>
  <w:style w:type="paragraph" w:customStyle="1" w:styleId="ECHRTitleCentre2">
    <w:name w:val="ECHR_Title_Centre_2"/>
    <w:aliases w:val="Dec_H_Case"/>
    <w:basedOn w:val="Normal"/>
    <w:next w:val="ECHRPara"/>
    <w:uiPriority w:val="8"/>
    <w:qFormat/>
    <w:rsid w:val="00FD709A"/>
    <w:pPr>
      <w:spacing w:after="240"/>
      <w:jc w:val="center"/>
      <w:outlineLvl w:val="0"/>
    </w:pPr>
    <w:rPr>
      <w:rFonts w:asciiTheme="majorHAnsi" w:hAnsiTheme="majorHAnsi"/>
      <w:i/>
    </w:rPr>
  </w:style>
  <w:style w:type="paragraph" w:customStyle="1" w:styleId="JuTitle">
    <w:name w:val="Ju_Title"/>
    <w:basedOn w:val="Normal"/>
    <w:next w:val="ECHRPara"/>
    <w:uiPriority w:val="3"/>
    <w:qFormat/>
    <w:rsid w:val="00FD709A"/>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FD70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FD709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FD709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FD709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FD709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FD709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FD709A"/>
    <w:pPr>
      <w:keepNext/>
      <w:keepLines/>
      <w:spacing w:before="240" w:after="120"/>
      <w:ind w:left="1236"/>
    </w:pPr>
    <w:rPr>
      <w:sz w:val="20"/>
    </w:rPr>
  </w:style>
  <w:style w:type="paragraph" w:customStyle="1" w:styleId="JuQuotSub">
    <w:name w:val="Ju_Quot_Sub"/>
    <w:basedOn w:val="ECHRParaQuote"/>
    <w:uiPriority w:val="15"/>
    <w:qFormat/>
    <w:rsid w:val="00FD709A"/>
    <w:pPr>
      <w:ind w:left="567"/>
    </w:pPr>
  </w:style>
  <w:style w:type="paragraph" w:customStyle="1" w:styleId="JuInitialled">
    <w:name w:val="Ju_Initialled"/>
    <w:basedOn w:val="Normal"/>
    <w:uiPriority w:val="31"/>
    <w:qFormat/>
    <w:rsid w:val="00FD709A"/>
    <w:pPr>
      <w:tabs>
        <w:tab w:val="center" w:pos="6407"/>
      </w:tabs>
      <w:spacing w:before="720"/>
      <w:jc w:val="right"/>
    </w:pPr>
  </w:style>
  <w:style w:type="paragraph" w:customStyle="1" w:styleId="OpiHA">
    <w:name w:val="Opi_H_A"/>
    <w:basedOn w:val="ECHRHeading1"/>
    <w:next w:val="OpiPara"/>
    <w:uiPriority w:val="41"/>
    <w:qFormat/>
    <w:rsid w:val="00FD709A"/>
    <w:pPr>
      <w:tabs>
        <w:tab w:val="clear" w:pos="357"/>
      </w:tabs>
      <w:outlineLvl w:val="1"/>
    </w:pPr>
    <w:rPr>
      <w:b/>
    </w:rPr>
  </w:style>
  <w:style w:type="paragraph" w:styleId="Header">
    <w:name w:val="header"/>
    <w:basedOn w:val="Normal"/>
    <w:link w:val="HeaderChar"/>
    <w:uiPriority w:val="57"/>
    <w:semiHidden/>
    <w:rsid w:val="00FD709A"/>
    <w:pPr>
      <w:tabs>
        <w:tab w:val="center" w:pos="4536"/>
        <w:tab w:val="right" w:pos="9072"/>
      </w:tabs>
    </w:pPr>
    <w:rPr>
      <w:rFonts w:eastAsiaTheme="minorHAnsi"/>
    </w:rPr>
  </w:style>
  <w:style w:type="character" w:customStyle="1" w:styleId="HeaderChar">
    <w:name w:val="Header Char"/>
    <w:basedOn w:val="DefaultParagraphFont"/>
    <w:link w:val="Header"/>
    <w:uiPriority w:val="57"/>
    <w:rsid w:val="00FD709A"/>
    <w:rPr>
      <w:sz w:val="24"/>
    </w:rPr>
  </w:style>
  <w:style w:type="character" w:customStyle="1" w:styleId="Heading1Char">
    <w:name w:val="Heading 1 Char"/>
    <w:basedOn w:val="DefaultParagraphFont"/>
    <w:link w:val="Heading1"/>
    <w:uiPriority w:val="99"/>
    <w:semiHidden/>
    <w:rsid w:val="00FD709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FD709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FD709A"/>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FD709A"/>
    <w:rPr>
      <w:rFonts w:asciiTheme="majorHAnsi" w:eastAsiaTheme="majorEastAsia" w:hAnsiTheme="majorHAnsi" w:cstheme="majorBidi"/>
      <w:b/>
      <w:bCs/>
      <w:color w:val="4D4D4D"/>
      <w:sz w:val="26"/>
      <w:szCs w:val="26"/>
    </w:rPr>
  </w:style>
  <w:style w:type="character" w:customStyle="1" w:styleId="JUNAMES">
    <w:name w:val="JU_NAMES"/>
    <w:uiPriority w:val="17"/>
    <w:qFormat/>
    <w:rsid w:val="00FD709A"/>
    <w:rPr>
      <w:caps w:val="0"/>
      <w:smallCaps/>
    </w:rPr>
  </w:style>
  <w:style w:type="paragraph" w:customStyle="1" w:styleId="JuCase">
    <w:name w:val="Ju_Case"/>
    <w:basedOn w:val="Normal"/>
    <w:next w:val="ECHRPara"/>
    <w:uiPriority w:val="10"/>
    <w:rsid w:val="00FD709A"/>
    <w:pPr>
      <w:ind w:firstLine="284"/>
    </w:pPr>
    <w:rPr>
      <w:b/>
    </w:rPr>
  </w:style>
  <w:style w:type="character" w:customStyle="1" w:styleId="Heading3Char">
    <w:name w:val="Heading 3 Char"/>
    <w:basedOn w:val="DefaultParagraphFont"/>
    <w:link w:val="Heading3"/>
    <w:uiPriority w:val="99"/>
    <w:semiHidden/>
    <w:rsid w:val="00FD709A"/>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FD709A"/>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FD709A"/>
    <w:rPr>
      <w:rFonts w:asciiTheme="majorHAnsi" w:eastAsiaTheme="majorEastAsia" w:hAnsiTheme="majorHAnsi" w:cstheme="majorBidi"/>
      <w:b/>
      <w:bCs/>
      <w:color w:val="808080"/>
    </w:rPr>
  </w:style>
  <w:style w:type="character" w:styleId="SubtleEmphasis">
    <w:name w:val="Subtle Emphasis"/>
    <w:uiPriority w:val="99"/>
    <w:semiHidden/>
    <w:qFormat/>
    <w:rsid w:val="00FD709A"/>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FD709A"/>
    <w:pPr>
      <w:keepNext/>
      <w:keepLines/>
      <w:spacing w:before="720" w:after="240"/>
      <w:outlineLvl w:val="0"/>
    </w:pPr>
    <w:rPr>
      <w:rFonts w:asciiTheme="majorHAnsi" w:hAnsiTheme="majorHAnsi"/>
      <w:sz w:val="28"/>
    </w:rPr>
  </w:style>
  <w:style w:type="character" w:styleId="Emphasis">
    <w:name w:val="Emphasis"/>
    <w:uiPriority w:val="99"/>
    <w:semiHidden/>
    <w:qFormat/>
    <w:rsid w:val="00FD709A"/>
    <w:rPr>
      <w:b/>
      <w:bCs/>
      <w:i/>
      <w:iCs/>
      <w:spacing w:val="10"/>
      <w:bdr w:val="none" w:sz="0" w:space="0" w:color="auto"/>
      <w:shd w:val="clear" w:color="auto" w:fill="auto"/>
    </w:rPr>
  </w:style>
  <w:style w:type="paragraph" w:styleId="Footer">
    <w:name w:val="footer"/>
    <w:basedOn w:val="Normal"/>
    <w:link w:val="FooterChar"/>
    <w:uiPriority w:val="57"/>
    <w:semiHidden/>
    <w:rsid w:val="00FD709A"/>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FD709A"/>
    <w:rPr>
      <w:sz w:val="24"/>
    </w:rPr>
  </w:style>
  <w:style w:type="character" w:styleId="FootnoteReference">
    <w:name w:val="footnote reference"/>
    <w:basedOn w:val="DefaultParagraphFont"/>
    <w:uiPriority w:val="99"/>
    <w:semiHidden/>
    <w:rsid w:val="00FD709A"/>
    <w:rPr>
      <w:vertAlign w:val="superscript"/>
    </w:rPr>
  </w:style>
  <w:style w:type="paragraph" w:styleId="FootnoteText">
    <w:name w:val="footnote text"/>
    <w:basedOn w:val="Normal"/>
    <w:link w:val="FootnoteTextChar"/>
    <w:uiPriority w:val="99"/>
    <w:semiHidden/>
    <w:rsid w:val="00FD709A"/>
    <w:rPr>
      <w:sz w:val="20"/>
      <w:szCs w:val="20"/>
    </w:rPr>
  </w:style>
  <w:style w:type="character" w:customStyle="1" w:styleId="FootnoteTextChar">
    <w:name w:val="Footnote Text Char"/>
    <w:basedOn w:val="DefaultParagraphFont"/>
    <w:link w:val="FootnoteText"/>
    <w:uiPriority w:val="99"/>
    <w:semiHidden/>
    <w:rsid w:val="00FD709A"/>
    <w:rPr>
      <w:rFonts w:eastAsiaTheme="minorEastAsia"/>
      <w:sz w:val="20"/>
      <w:szCs w:val="20"/>
    </w:rPr>
  </w:style>
  <w:style w:type="character" w:customStyle="1" w:styleId="Heading6Char">
    <w:name w:val="Heading 6 Char"/>
    <w:basedOn w:val="DefaultParagraphFont"/>
    <w:link w:val="Heading6"/>
    <w:uiPriority w:val="99"/>
    <w:semiHidden/>
    <w:rsid w:val="00FD709A"/>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FD709A"/>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FD709A"/>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FD709A"/>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FD709A"/>
    <w:rPr>
      <w:color w:val="0072BC" w:themeColor="hyperlink"/>
      <w:u w:val="single"/>
    </w:rPr>
  </w:style>
  <w:style w:type="character" w:styleId="IntenseEmphasis">
    <w:name w:val="Intense Emphasis"/>
    <w:uiPriority w:val="99"/>
    <w:semiHidden/>
    <w:qFormat/>
    <w:rsid w:val="00FD709A"/>
    <w:rPr>
      <w:b/>
      <w:bCs/>
    </w:rPr>
  </w:style>
  <w:style w:type="paragraph" w:styleId="IntenseQuote">
    <w:name w:val="Intense Quote"/>
    <w:basedOn w:val="Normal"/>
    <w:next w:val="Normal"/>
    <w:link w:val="IntenseQuoteChar"/>
    <w:uiPriority w:val="99"/>
    <w:semiHidden/>
    <w:qFormat/>
    <w:rsid w:val="00FD709A"/>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FD709A"/>
    <w:rPr>
      <w:rFonts w:eastAsiaTheme="minorEastAsia"/>
      <w:b/>
      <w:bCs/>
      <w:i/>
      <w:iCs/>
      <w:lang w:bidi="en-US"/>
    </w:rPr>
  </w:style>
  <w:style w:type="character" w:styleId="IntenseReference">
    <w:name w:val="Intense Reference"/>
    <w:uiPriority w:val="99"/>
    <w:semiHidden/>
    <w:qFormat/>
    <w:rsid w:val="00FD709A"/>
    <w:rPr>
      <w:smallCaps/>
      <w:spacing w:val="5"/>
      <w:u w:val="single"/>
    </w:rPr>
  </w:style>
  <w:style w:type="paragraph" w:styleId="ListParagraph">
    <w:name w:val="List Paragraph"/>
    <w:basedOn w:val="Normal"/>
    <w:uiPriority w:val="99"/>
    <w:semiHidden/>
    <w:qFormat/>
    <w:rsid w:val="00FD709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FD709A"/>
    <w:pPr>
      <w:spacing w:before="200"/>
      <w:ind w:left="360" w:right="360"/>
    </w:pPr>
    <w:rPr>
      <w:i/>
      <w:iCs/>
      <w:sz w:val="22"/>
      <w:lang w:bidi="en-US"/>
    </w:rPr>
  </w:style>
  <w:style w:type="character" w:customStyle="1" w:styleId="QuoteChar">
    <w:name w:val="Quote Char"/>
    <w:basedOn w:val="DefaultParagraphFont"/>
    <w:link w:val="Quote"/>
    <w:uiPriority w:val="99"/>
    <w:semiHidden/>
    <w:rsid w:val="00FD709A"/>
    <w:rPr>
      <w:rFonts w:eastAsiaTheme="minorEastAsia"/>
      <w:i/>
      <w:iCs/>
      <w:lang w:bidi="en-US"/>
    </w:rPr>
  </w:style>
  <w:style w:type="character" w:styleId="SubtleReference">
    <w:name w:val="Subtle Reference"/>
    <w:uiPriority w:val="99"/>
    <w:semiHidden/>
    <w:qFormat/>
    <w:rsid w:val="00FD709A"/>
    <w:rPr>
      <w:smallCaps/>
    </w:rPr>
  </w:style>
  <w:style w:type="table" w:styleId="TableGrid">
    <w:name w:val="Table Grid"/>
    <w:basedOn w:val="TableNormal"/>
    <w:uiPriority w:val="59"/>
    <w:semiHidden/>
    <w:rsid w:val="00FD709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FD709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FD709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FD709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FD709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FD709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FD709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FD709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Para_Quote"/>
    <w:basedOn w:val="Normal"/>
    <w:uiPriority w:val="14"/>
    <w:qFormat/>
    <w:rsid w:val="00FD709A"/>
    <w:pPr>
      <w:spacing w:before="120" w:after="120"/>
      <w:ind w:left="425" w:firstLine="142"/>
    </w:pPr>
    <w:rPr>
      <w:sz w:val="20"/>
    </w:rPr>
  </w:style>
  <w:style w:type="paragraph" w:customStyle="1" w:styleId="ECHRPara">
    <w:name w:val="ECHR_Para"/>
    <w:aliases w:val="Ju_Para,Para"/>
    <w:basedOn w:val="Normal"/>
    <w:link w:val="ECHRParaChar"/>
    <w:uiPriority w:val="12"/>
    <w:qFormat/>
    <w:rsid w:val="00FD709A"/>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D709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link w:val="JuJudgesChar"/>
    <w:uiPriority w:val="11"/>
    <w:qFormat/>
    <w:rsid w:val="00FD709A"/>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FD709A"/>
    <w:pPr>
      <w:ind w:left="340" w:hanging="340"/>
    </w:pPr>
  </w:style>
  <w:style w:type="paragraph" w:customStyle="1" w:styleId="JuSigned">
    <w:name w:val="Ju_Signed"/>
    <w:basedOn w:val="Normal"/>
    <w:next w:val="JuParaLast"/>
    <w:uiPriority w:val="32"/>
    <w:qFormat/>
    <w:rsid w:val="00FD709A"/>
    <w:pPr>
      <w:tabs>
        <w:tab w:val="center" w:pos="851"/>
        <w:tab w:val="center" w:pos="6407"/>
      </w:tabs>
      <w:spacing w:before="720"/>
      <w:jc w:val="left"/>
    </w:pPr>
  </w:style>
  <w:style w:type="paragraph" w:customStyle="1" w:styleId="JuParaLast">
    <w:name w:val="Ju_Para_Last"/>
    <w:basedOn w:val="Normal"/>
    <w:next w:val="ECHRPara"/>
    <w:uiPriority w:val="30"/>
    <w:qFormat/>
    <w:rsid w:val="00FD709A"/>
    <w:pPr>
      <w:keepNext/>
      <w:keepLines/>
      <w:spacing w:before="240"/>
      <w:ind w:firstLine="284"/>
    </w:pPr>
  </w:style>
  <w:style w:type="paragraph" w:customStyle="1" w:styleId="JuCourt">
    <w:name w:val="Ju_Court"/>
    <w:basedOn w:val="Normal"/>
    <w:next w:val="Normal"/>
    <w:uiPriority w:val="16"/>
    <w:qFormat/>
    <w:rsid w:val="00FD709A"/>
    <w:pPr>
      <w:tabs>
        <w:tab w:val="left" w:pos="907"/>
        <w:tab w:val="left" w:pos="1701"/>
        <w:tab w:val="right" w:pos="7371"/>
      </w:tabs>
      <w:spacing w:before="240"/>
      <w:ind w:left="397" w:hanging="397"/>
      <w:jc w:val="left"/>
    </w:pPr>
    <w:rPr>
      <w:lang w:bidi="en-US"/>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FD709A"/>
    <w:pPr>
      <w:ind w:left="346" w:firstLine="0"/>
    </w:pPr>
  </w:style>
  <w:style w:type="paragraph" w:customStyle="1" w:styleId="JuListi">
    <w:name w:val="Ju_List_i"/>
    <w:basedOn w:val="Normal"/>
    <w:next w:val="JuLista"/>
    <w:uiPriority w:val="28"/>
    <w:qFormat/>
    <w:rsid w:val="00FD709A"/>
    <w:pPr>
      <w:ind w:left="794"/>
    </w:pPr>
  </w:style>
  <w:style w:type="character" w:styleId="CommentReference">
    <w:name w:val="annotation reference"/>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hAnsi="Tahoma" w:eastAsiaTheme="minorEastAsia" w:cs="Tahoma"/>
      <w:sz w:val="20"/>
      <w:shd w:val="clear" w:color="auto" w:fill="000080"/>
    </w:rPr>
  </w:style>
  <w:style w:type="character" w:customStyle="1" w:styleId="JuNames0">
    <w:name w:val="Ju_Names"/>
    <w:rsid w:val="00014566"/>
    <w:rPr>
      <w:smallCaps/>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FD709A"/>
    <w:rPr>
      <w:vanish w:val="0"/>
      <w:color w:val="auto"/>
      <w:sz w:val="14"/>
    </w:rPr>
  </w:style>
  <w:style w:type="paragraph" w:styleId="Subtitle">
    <w:name w:val="Subtitle"/>
    <w:basedOn w:val="Normal"/>
    <w:next w:val="Normal"/>
    <w:link w:val="SubtitleChar"/>
    <w:uiPriority w:val="99"/>
    <w:semiHidden/>
    <w:qFormat/>
    <w:rsid w:val="00FD709A"/>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FD709A"/>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hAnsi="Consolas" w:eastAsiaTheme="minorEastAsia"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FD709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FD709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FD709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Translation">
    <w:name w:val="Opi_Translation"/>
    <w:basedOn w:val="Normal"/>
    <w:next w:val="OpiPara"/>
    <w:uiPriority w:val="40"/>
    <w:qFormat/>
    <w:rsid w:val="00FD709A"/>
    <w:pPr>
      <w:jc w:val="center"/>
      <w:outlineLvl w:val="0"/>
    </w:pPr>
    <w:rPr>
      <w:i/>
    </w:rPr>
  </w:style>
  <w:style w:type="paragraph" w:customStyle="1" w:styleId="DecHTitle">
    <w:name w:val="Dec_H_Title"/>
    <w:basedOn w:val="ECHRTitleCentre1"/>
    <w:uiPriority w:val="7"/>
    <w:qFormat/>
    <w:rsid w:val="00FD709A"/>
  </w:style>
  <w:style w:type="paragraph" w:customStyle="1" w:styleId="DecList">
    <w:name w:val="Dec_List"/>
    <w:basedOn w:val="Normal"/>
    <w:uiPriority w:val="9"/>
    <w:qFormat/>
    <w:rsid w:val="00FD709A"/>
    <w:pPr>
      <w:spacing w:before="240"/>
      <w:ind w:left="284"/>
    </w:pPr>
  </w:style>
  <w:style w:type="paragraph" w:customStyle="1" w:styleId="OpiH1">
    <w:name w:val="Opi_H_1"/>
    <w:basedOn w:val="ECHRHeading2"/>
    <w:uiPriority w:val="42"/>
    <w:qFormat/>
    <w:rsid w:val="00FD709A"/>
    <w:pPr>
      <w:ind w:left="635" w:hanging="357"/>
      <w:outlineLvl w:val="2"/>
    </w:pPr>
  </w:style>
  <w:style w:type="paragraph" w:customStyle="1" w:styleId="OpiHa0">
    <w:name w:val="Opi_H_a"/>
    <w:basedOn w:val="ECHRHeading3"/>
    <w:uiPriority w:val="43"/>
    <w:qFormat/>
    <w:rsid w:val="00FD709A"/>
    <w:pPr>
      <w:ind w:left="833" w:hanging="357"/>
      <w:outlineLvl w:val="3"/>
    </w:pPr>
    <w:rPr>
      <w:b/>
      <w:i w:val="0"/>
      <w:sz w:val="20"/>
    </w:rPr>
  </w:style>
  <w:style w:type="paragraph" w:customStyle="1" w:styleId="OpiHi">
    <w:name w:val="Opi_H_i"/>
    <w:basedOn w:val="ECHRHeading4"/>
    <w:uiPriority w:val="44"/>
    <w:qFormat/>
    <w:rsid w:val="00FD709A"/>
    <w:pPr>
      <w:ind w:left="1037" w:hanging="357"/>
      <w:outlineLvl w:val="4"/>
    </w:pPr>
    <w:rPr>
      <w:b w:val="0"/>
      <w:i/>
    </w:rPr>
  </w:style>
  <w:style w:type="paragraph" w:customStyle="1" w:styleId="DummyStyle">
    <w:name w:val="Dummy_Style"/>
    <w:basedOn w:val="Normal"/>
    <w:semiHidden/>
    <w:qFormat/>
    <w:rsid w:val="00FD709A"/>
    <w:rPr>
      <w:color w:val="00B050"/>
    </w:rPr>
  </w:style>
  <w:style w:type="paragraph" w:customStyle="1" w:styleId="JuHeaderLandscape">
    <w:name w:val="Ju_Header_Landscape"/>
    <w:basedOn w:val="ECHRHeader"/>
    <w:uiPriority w:val="4"/>
    <w:qFormat/>
    <w:rsid w:val="00FD709A"/>
    <w:pPr>
      <w:tabs>
        <w:tab w:val="clear" w:pos="3686"/>
        <w:tab w:val="center" w:pos="6146"/>
        <w:tab w:val="clear" w:pos="7371"/>
        <w:tab w:val="right" w:pos="12293"/>
      </w:tabs>
    </w:pPr>
  </w:style>
  <w:style w:type="character" w:customStyle="1" w:styleId="JuParaCar">
    <w:name w:val="Ju_Para Car"/>
    <w:uiPriority w:val="12"/>
    <w:rsid w:val="00C1646D"/>
    <w:rPr>
      <w:rFonts w:eastAsiaTheme="minorEastAsia"/>
      <w:sz w:val="24"/>
    </w:rPr>
  </w:style>
  <w:style w:type="character" w:customStyle="1" w:styleId="JuJudgesChar">
    <w:name w:val="Ju_Judges Char"/>
    <w:link w:val="ECHRDecisionBody"/>
    <w:uiPriority w:val="11"/>
    <w:locked/>
    <w:rsid w:val="00C1646D"/>
    <w:rPr>
      <w:rFonts w:eastAsiaTheme="minorEastAsia"/>
      <w:sz w:val="24"/>
    </w:rPr>
  </w:style>
  <w:style w:type="paragraph" w:customStyle="1" w:styleId="ECHRParaSpaced">
    <w:name w:val="ECHR_Para_Spaced"/>
    <w:aliases w:val="Para_Spaced"/>
    <w:basedOn w:val="ECHRPara"/>
    <w:uiPriority w:val="5"/>
    <w:rsid w:val="00C1646D"/>
    <w:pPr>
      <w:spacing w:before="120" w:after="120"/>
      <w:ind w:firstLine="0"/>
    </w:pPr>
    <w:rPr>
      <w:rFonts w:eastAsiaTheme="minorHAnsi"/>
      <w:sz w:val="22"/>
    </w:rPr>
  </w:style>
  <w:style w:type="character" w:customStyle="1" w:styleId="ECHRParaChar">
    <w:name w:val="ECHR_Para Char"/>
    <w:aliases w:val="Ju_Para Char"/>
    <w:basedOn w:val="DefaultParagraphFont"/>
    <w:link w:val="ECHRPara"/>
    <w:uiPriority w:val="12"/>
    <w:rsid w:val="00061F43"/>
    <w:rPr>
      <w:rFonts w:eastAsiaTheme="minorEastAsia"/>
      <w:sz w:val="24"/>
    </w:rPr>
  </w:style>
  <w:style w:type="character" w:customStyle="1" w:styleId="ju-005fpara-002cleft-002cfirst-0020line-003a-0020-00200-0020cm--char">
    <w:name w:val="ju-005fpara-002cleft-002cfirst-0020line-003a-0020-00200-0020cm--char"/>
    <w:basedOn w:val="DefaultParagraphFont"/>
    <w:rsid w:val="00061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DDFD3-3A65-4D66-A017-F5F361119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25896</Words>
  <Characters>142430</Characters>
  <Application>Microsoft Office Word</Application>
  <DocSecurity>0</DocSecurity>
  <Lines>1186</Lines>
  <Paragraphs>335</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167991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cp:revision>1</cp:revision>
  <dcterms:created xsi:type="dcterms:W3CDTF">2018-02-21T07:57:00Z</dcterms:created>
  <dcterms:modified xsi:type="dcterms:W3CDTF">2018-02-21T07:57:00Z</dcterms:modified>
  <cp:category>ECHR Template</cp:category>
</cp:coreProperties>
</file>