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841F3" w:rsidR="00E93FC7" w:rsidP="00881D4C" w:rsidRDefault="00E93FC7">
      <w:pPr>
        <w:jc w:val="center"/>
        <w:rPr>
          <w:sz w:val="4"/>
          <w:szCs w:val="4"/>
          <w:lang w:val="en-GB"/>
        </w:rPr>
      </w:pPr>
      <w:bookmarkStart w:name="_GoBack" w:id="0"/>
      <w:bookmarkEnd w:id="0"/>
    </w:p>
    <w:p w:rsidRPr="00C841F3" w:rsidR="00E93FC7" w:rsidP="00881D4C" w:rsidRDefault="00A91AFA">
      <w:pPr>
        <w:pStyle w:val="DecHTitle"/>
        <w:rPr>
          <w:lang w:val="en-GB"/>
        </w:rPr>
      </w:pPr>
      <w:r>
        <w:rPr>
          <w:szCs w:val="24"/>
          <w:lang w:val="en-GB"/>
        </w:rPr>
        <w:t>FIRST SECTION</w:t>
      </w:r>
    </w:p>
    <w:p w:rsidRPr="00C841F3" w:rsidR="00E93FC7" w:rsidP="00881D4C" w:rsidRDefault="00E93FC7">
      <w:pPr>
        <w:pStyle w:val="DecHTitle"/>
        <w:rPr>
          <w:lang w:val="en-GB"/>
        </w:rPr>
      </w:pPr>
      <w:r w:rsidRPr="00C841F3">
        <w:rPr>
          <w:lang w:val="en-GB"/>
        </w:rPr>
        <w:t>DECISION</w:t>
      </w:r>
    </w:p>
    <w:p w:rsidR="00EE3667" w:rsidP="00C75D1C" w:rsidRDefault="00A91AFA">
      <w:pPr>
        <w:pStyle w:val="ECHRTitleCentre2"/>
        <w:rPr>
          <w:lang w:val="en-GB"/>
        </w:rPr>
      </w:pPr>
      <w:r w:rsidRPr="00C841F3">
        <w:rPr>
          <w:lang w:val="en-GB"/>
        </w:rPr>
        <w:t>Application no</w:t>
      </w:r>
      <w:r w:rsidRPr="00C841F3" w:rsidR="00E93FC7">
        <w:rPr>
          <w:lang w:val="en-GB"/>
        </w:rPr>
        <w:t xml:space="preserve">. </w:t>
      </w:r>
      <w:r>
        <w:rPr>
          <w:lang w:val="en-GB"/>
        </w:rPr>
        <w:t>29474/07</w:t>
      </w:r>
      <w:r w:rsidRPr="00C841F3" w:rsidR="00E93FC7">
        <w:rPr>
          <w:lang w:val="en-GB"/>
        </w:rPr>
        <w:br/>
      </w:r>
      <w:r>
        <w:rPr>
          <w:lang w:val="en-GB"/>
        </w:rPr>
        <w:t>Yevgeniy Pavlovich</w:t>
      </w:r>
      <w:r w:rsidRPr="00C841F3">
        <w:rPr>
          <w:lang w:val="en-GB"/>
        </w:rPr>
        <w:t xml:space="preserve"> </w:t>
      </w:r>
      <w:r>
        <w:rPr>
          <w:lang w:val="en-GB"/>
        </w:rPr>
        <w:t>SHUMEYEV</w:t>
      </w:r>
      <w:r w:rsidRPr="00C841F3">
        <w:rPr>
          <w:lang w:val="en-GB"/>
        </w:rPr>
        <w:t xml:space="preserve"> </w:t>
      </w:r>
      <w:r w:rsidRPr="00C841F3" w:rsidR="00E93FC7">
        <w:rPr>
          <w:lang w:val="en-GB"/>
        </w:rPr>
        <w:t xml:space="preserve">against </w:t>
      </w:r>
      <w:r>
        <w:rPr>
          <w:lang w:val="en-GB"/>
        </w:rPr>
        <w:t>Russia</w:t>
      </w:r>
      <w:r w:rsidRPr="00C841F3">
        <w:rPr>
          <w:sz w:val="20"/>
          <w:lang w:val="en-GB" w:eastAsia="en-GB"/>
        </w:rPr>
        <w:br/>
      </w:r>
      <w:r w:rsidRPr="00C841F3">
        <w:rPr>
          <w:lang w:val="en-GB"/>
        </w:rPr>
        <w:t xml:space="preserve">and </w:t>
      </w:r>
      <w:r>
        <w:rPr>
          <w:lang w:val="en-GB"/>
        </w:rPr>
        <w:t>3</w:t>
      </w:r>
      <w:r w:rsidRPr="00C841F3">
        <w:rPr>
          <w:lang w:val="en-GB"/>
        </w:rPr>
        <w:t xml:space="preserve"> other applications</w:t>
      </w:r>
      <w:r w:rsidRPr="00C841F3">
        <w:rPr>
          <w:lang w:val="en-GB"/>
        </w:rPr>
        <w:br/>
        <w:t>(see list appended)</w:t>
      </w:r>
    </w:p>
    <w:p w:rsidRPr="00282BF9" w:rsidR="00A91AFA" w:rsidP="00223538" w:rsidRDefault="00A91AFA">
      <w:pPr>
        <w:pStyle w:val="ECHRPara"/>
        <w:rPr>
          <w:lang w:val="en-GB"/>
        </w:rPr>
      </w:pPr>
      <w:r w:rsidRPr="00282BF9">
        <w:rPr>
          <w:lang w:val="en-GB"/>
        </w:rPr>
        <w:t>The European Court of Human Rights (</w:t>
      </w:r>
      <w:r>
        <w:rPr>
          <w:lang w:val="en-GB"/>
        </w:rPr>
        <w:t>First Section</w:t>
      </w:r>
      <w:r w:rsidRPr="00282BF9">
        <w:rPr>
          <w:lang w:val="en-GB"/>
        </w:rPr>
        <w:t xml:space="preserve">), sitting on </w:t>
      </w:r>
      <w:r>
        <w:rPr>
          <w:lang w:val="en-GB"/>
        </w:rPr>
        <w:t>22 September 2015</w:t>
      </w:r>
      <w:r w:rsidRPr="00282BF9">
        <w:rPr>
          <w:lang w:val="en-GB"/>
        </w:rPr>
        <w:t xml:space="preserve"> as a </w:t>
      </w:r>
      <w:r>
        <w:rPr>
          <w:lang w:val="en-GB"/>
        </w:rPr>
        <w:t>Chamber</w:t>
      </w:r>
      <w:r w:rsidRPr="00282BF9">
        <w:rPr>
          <w:lang w:val="en-GB"/>
        </w:rPr>
        <w:t xml:space="preserve"> composed of:</w:t>
      </w:r>
    </w:p>
    <w:p w:rsidRPr="00282BF9" w:rsidR="00A91AFA" w:rsidP="00A91AFA" w:rsidRDefault="00A91AFA">
      <w:pPr>
        <w:pStyle w:val="ECHRDecisionBody"/>
        <w:rPr>
          <w:lang w:val="en-GB"/>
        </w:rPr>
      </w:pPr>
      <w:r w:rsidRPr="00A91AFA">
        <w:rPr>
          <w:lang w:val="en-GB"/>
        </w:rPr>
        <w:tab/>
        <w:t>András</w:t>
      </w:r>
      <w:r>
        <w:rPr>
          <w:lang w:val="en-GB"/>
        </w:rPr>
        <w:t xml:space="preserve"> </w:t>
      </w:r>
      <w:r w:rsidRPr="00A91AFA">
        <w:rPr>
          <w:lang w:val="en-GB"/>
        </w:rPr>
        <w:t>Sajó</w:t>
      </w:r>
      <w:r>
        <w:rPr>
          <w:lang w:val="en-GB"/>
        </w:rPr>
        <w:t>,</w:t>
      </w:r>
      <w:r w:rsidRPr="00A91AFA">
        <w:rPr>
          <w:i/>
          <w:lang w:val="en-GB"/>
        </w:rPr>
        <w:t xml:space="preserve"> President,</w:t>
      </w:r>
      <w:r>
        <w:rPr>
          <w:i/>
          <w:lang w:val="en-GB"/>
        </w:rPr>
        <w:br/>
      </w:r>
      <w:r w:rsidRPr="00A91AFA">
        <w:rPr>
          <w:lang w:val="en-GB"/>
        </w:rPr>
        <w:tab/>
        <w:t>Elisabeth</w:t>
      </w:r>
      <w:r>
        <w:rPr>
          <w:lang w:val="en-GB"/>
        </w:rPr>
        <w:t xml:space="preserve"> </w:t>
      </w:r>
      <w:r w:rsidRPr="00A91AFA">
        <w:rPr>
          <w:lang w:val="en-GB"/>
        </w:rPr>
        <w:t>Steiner</w:t>
      </w:r>
      <w:r>
        <w:rPr>
          <w:lang w:val="en-GB"/>
        </w:rPr>
        <w:t>,</w:t>
      </w:r>
      <w:r>
        <w:rPr>
          <w:i/>
          <w:lang w:val="en-GB"/>
        </w:rPr>
        <w:br/>
      </w:r>
      <w:r w:rsidRPr="00A91AFA">
        <w:rPr>
          <w:lang w:val="en-GB"/>
        </w:rPr>
        <w:tab/>
        <w:t>Khanlar</w:t>
      </w:r>
      <w:r>
        <w:rPr>
          <w:lang w:val="en-GB"/>
        </w:rPr>
        <w:t xml:space="preserve"> </w:t>
      </w:r>
      <w:r w:rsidRPr="00A91AFA">
        <w:rPr>
          <w:lang w:val="en-GB"/>
        </w:rPr>
        <w:t>Hajiyev</w:t>
      </w:r>
      <w:r>
        <w:rPr>
          <w:lang w:val="en-GB"/>
        </w:rPr>
        <w:t>,</w:t>
      </w:r>
      <w:r>
        <w:rPr>
          <w:i/>
          <w:lang w:val="en-GB"/>
        </w:rPr>
        <w:br/>
      </w:r>
      <w:r w:rsidRPr="00A91AFA">
        <w:rPr>
          <w:lang w:val="en-GB"/>
        </w:rPr>
        <w:tab/>
        <w:t>Mirjana</w:t>
      </w:r>
      <w:r>
        <w:rPr>
          <w:lang w:val="en-GB"/>
        </w:rPr>
        <w:t xml:space="preserve"> </w:t>
      </w:r>
      <w:r w:rsidRPr="00A91AFA">
        <w:rPr>
          <w:lang w:val="en-GB"/>
        </w:rPr>
        <w:t>Lazarova Trajkovska</w:t>
      </w:r>
      <w:r>
        <w:rPr>
          <w:lang w:val="en-GB"/>
        </w:rPr>
        <w:t>,</w:t>
      </w:r>
      <w:r>
        <w:rPr>
          <w:i/>
          <w:lang w:val="en-GB"/>
        </w:rPr>
        <w:br/>
      </w:r>
      <w:r w:rsidRPr="00A91AFA">
        <w:rPr>
          <w:lang w:val="en-GB"/>
        </w:rPr>
        <w:tab/>
        <w:t>Julia</w:t>
      </w:r>
      <w:r>
        <w:rPr>
          <w:lang w:val="en-GB"/>
        </w:rPr>
        <w:t xml:space="preserve"> </w:t>
      </w:r>
      <w:r w:rsidRPr="00A91AFA">
        <w:rPr>
          <w:lang w:val="en-GB"/>
        </w:rPr>
        <w:t>Laffranque</w:t>
      </w:r>
      <w:r>
        <w:rPr>
          <w:lang w:val="en-GB"/>
        </w:rPr>
        <w:t>,</w:t>
      </w:r>
      <w:r>
        <w:rPr>
          <w:i/>
          <w:lang w:val="en-GB"/>
        </w:rPr>
        <w:br/>
      </w:r>
      <w:r w:rsidRPr="00A91AFA">
        <w:rPr>
          <w:lang w:val="en-GB"/>
        </w:rPr>
        <w:tab/>
        <w:t>Erik</w:t>
      </w:r>
      <w:r>
        <w:rPr>
          <w:lang w:val="en-GB"/>
        </w:rPr>
        <w:t xml:space="preserve"> </w:t>
      </w:r>
      <w:r w:rsidRPr="00A91AFA">
        <w:rPr>
          <w:lang w:val="en-GB"/>
        </w:rPr>
        <w:t>Møse</w:t>
      </w:r>
      <w:r>
        <w:rPr>
          <w:lang w:val="en-GB"/>
        </w:rPr>
        <w:t>,</w:t>
      </w:r>
      <w:r>
        <w:rPr>
          <w:i/>
          <w:lang w:val="en-GB"/>
        </w:rPr>
        <w:br/>
      </w:r>
      <w:r w:rsidRPr="00A91AFA">
        <w:rPr>
          <w:lang w:val="en-GB"/>
        </w:rPr>
        <w:tab/>
        <w:t>Dmitry</w:t>
      </w:r>
      <w:r>
        <w:rPr>
          <w:lang w:val="en-GB"/>
        </w:rPr>
        <w:t xml:space="preserve"> </w:t>
      </w:r>
      <w:r w:rsidRPr="00A91AFA">
        <w:rPr>
          <w:lang w:val="en-GB"/>
        </w:rPr>
        <w:t>Dedov</w:t>
      </w:r>
      <w:r>
        <w:rPr>
          <w:lang w:val="en-GB"/>
        </w:rPr>
        <w:t>,</w:t>
      </w:r>
      <w:r w:rsidRPr="00A91AFA">
        <w:rPr>
          <w:i/>
          <w:lang w:val="en-GB"/>
        </w:rPr>
        <w:t xml:space="preserve"> judges,</w:t>
      </w:r>
      <w:r>
        <w:rPr>
          <w:i/>
          <w:lang w:val="en-GB"/>
        </w:rPr>
        <w:br/>
      </w:r>
      <w:r w:rsidRPr="00282BF9">
        <w:rPr>
          <w:lang w:val="en-GB"/>
        </w:rPr>
        <w:t xml:space="preserve">and </w:t>
      </w:r>
      <w:r>
        <w:rPr>
          <w:lang w:val="en-GB"/>
        </w:rPr>
        <w:t>Søren</w:t>
      </w:r>
      <w:r w:rsidRPr="00282BF9">
        <w:rPr>
          <w:lang w:val="en-GB"/>
        </w:rPr>
        <w:t xml:space="preserve"> </w:t>
      </w:r>
      <w:r>
        <w:rPr>
          <w:lang w:val="en-GB"/>
        </w:rPr>
        <w:t>Nielsen</w:t>
      </w:r>
      <w:r w:rsidRPr="00282BF9">
        <w:rPr>
          <w:lang w:val="en-GB"/>
        </w:rPr>
        <w:t xml:space="preserve">, </w:t>
      </w:r>
      <w:r w:rsidRPr="00282BF9">
        <w:rPr>
          <w:i/>
          <w:iCs/>
          <w:lang w:val="en-GB"/>
        </w:rPr>
        <w:t>Section Registrar</w:t>
      </w:r>
      <w:r w:rsidRPr="00282BF9">
        <w:rPr>
          <w:i/>
          <w:lang w:val="en-GB"/>
        </w:rPr>
        <w:t>,</w:t>
      </w:r>
    </w:p>
    <w:p w:rsidRPr="00282BF9" w:rsidR="00A91AFA" w:rsidP="00223538" w:rsidRDefault="00A91AFA">
      <w:pPr>
        <w:pStyle w:val="ECHRPara"/>
        <w:rPr>
          <w:lang w:val="en-GB"/>
        </w:rPr>
      </w:pPr>
      <w:r w:rsidRPr="00282BF9">
        <w:rPr>
          <w:lang w:val="en-GB"/>
        </w:rPr>
        <w:t>Having regard to the above applications,</w:t>
      </w:r>
    </w:p>
    <w:p w:rsidRPr="00282BF9" w:rsidR="00A91AFA" w:rsidP="00223538" w:rsidRDefault="00A91AFA">
      <w:pPr>
        <w:pStyle w:val="ECHRPara"/>
        <w:rPr>
          <w:lang w:val="en-GB"/>
        </w:rPr>
      </w:pPr>
      <w:r w:rsidRPr="00282BF9">
        <w:rPr>
          <w:lang w:val="en-GB"/>
        </w:rPr>
        <w:t>Having deliberated, decides as follows:</w:t>
      </w:r>
    </w:p>
    <w:p w:rsidRPr="00282BF9" w:rsidR="00A91AFA" w:rsidP="00223538" w:rsidRDefault="00A91AFA">
      <w:pPr>
        <w:pStyle w:val="ECHRTitle1"/>
        <w:rPr>
          <w:lang w:val="en-GB"/>
        </w:rPr>
      </w:pPr>
      <w:r w:rsidRPr="00282BF9">
        <w:rPr>
          <w:lang w:val="en-GB"/>
        </w:rPr>
        <w:t>THE FACTS</w:t>
      </w:r>
    </w:p>
    <w:p w:rsidRPr="00F1625F" w:rsidR="00A91AFA" w:rsidP="00223538" w:rsidRDefault="00A91AFA">
      <w:pPr>
        <w:pStyle w:val="ECHRPara"/>
      </w:pPr>
      <w:r>
        <w:t>1</w:t>
      </w:r>
      <w:r w:rsidRPr="00F1625F">
        <w:t>.  The applicants are Russian nationals</w:t>
      </w:r>
      <w:r>
        <w:t xml:space="preserve"> living in various regions of the Russian Federation. The numbers and dates of lodging of their applications, and their</w:t>
      </w:r>
      <w:r w:rsidRPr="00F1625F">
        <w:t xml:space="preserve"> full names,</w:t>
      </w:r>
      <w:r>
        <w:t xml:space="preserve"> </w:t>
      </w:r>
      <w:r w:rsidRPr="00F1625F">
        <w:t xml:space="preserve">dates of birth and places of residence are set out </w:t>
      </w:r>
      <w:r>
        <w:t>in the A</w:t>
      </w:r>
      <w:r w:rsidRPr="00F1625F">
        <w:t>ppendix.</w:t>
      </w:r>
    </w:p>
    <w:p w:rsidRPr="00282BF9" w:rsidR="00A91AFA" w:rsidP="00223538" w:rsidRDefault="00A91AFA">
      <w:pPr>
        <w:pStyle w:val="ECHRHeading2"/>
        <w:rPr>
          <w:lang w:val="en-GB"/>
        </w:rPr>
      </w:pPr>
      <w:r w:rsidRPr="00282BF9">
        <w:rPr>
          <w:lang w:val="en-GB"/>
        </w:rPr>
        <w:t>A.  The circumstances of the case</w:t>
      </w:r>
    </w:p>
    <w:p w:rsidR="00A91AFA" w:rsidP="00223538" w:rsidRDefault="00A91AFA">
      <w:pPr>
        <w:pStyle w:val="ECHRPara"/>
        <w:rPr>
          <w:lang w:val="en-GB"/>
        </w:rPr>
      </w:pPr>
      <w:r>
        <w:rPr>
          <w:lang w:val="en-GB"/>
        </w:rPr>
        <w:t>2.  </w:t>
      </w:r>
      <w:r w:rsidRPr="00282BF9">
        <w:rPr>
          <w:lang w:val="en-GB"/>
        </w:rPr>
        <w:t>The facts of the case, as submitted by the applicants</w:t>
      </w:r>
      <w:r>
        <w:rPr>
          <w:lang w:val="en-GB"/>
        </w:rPr>
        <w:t>, may be summarised as follows.</w:t>
      </w:r>
    </w:p>
    <w:p w:rsidR="00A91AFA" w:rsidP="00223538" w:rsidRDefault="00A91AFA">
      <w:pPr>
        <w:pStyle w:val="ECHRPara"/>
        <w:rPr>
          <w:lang w:val="en-GB"/>
        </w:rPr>
      </w:pPr>
      <w:r>
        <w:rPr>
          <w:lang w:val="en-GB"/>
        </w:rPr>
        <w:t>3.  On various dates between 2005 and 2011 the police received information, in each of the applicants</w:t>
      </w:r>
      <w:r w:rsidR="00120550">
        <w:rPr>
          <w:lang w:val="en-GB"/>
        </w:rPr>
        <w:t>’</w:t>
      </w:r>
      <w:r>
        <w:rPr>
          <w:lang w:val="en-GB"/>
        </w:rPr>
        <w:t xml:space="preserve"> cases, implicating the applicants in drug-dealing. On the basis of that information, the police decided to carry </w:t>
      </w:r>
      <w:r>
        <w:rPr>
          <w:lang w:val="en-GB"/>
        </w:rPr>
        <w:lastRenderedPageBreak/>
        <w:t>out an undercover operation in the form of a test purchase of drugs from the applicants</w:t>
      </w:r>
      <w:r w:rsidRPr="00261E69">
        <w:rPr>
          <w:lang w:val="en-GB"/>
        </w:rPr>
        <w:t xml:space="preserve"> </w:t>
      </w:r>
      <w:r>
        <w:rPr>
          <w:lang w:val="en-GB"/>
        </w:rPr>
        <w:t>by undercover agents.</w:t>
      </w:r>
    </w:p>
    <w:p w:rsidR="000C221C" w:rsidP="00223538" w:rsidRDefault="00A91AFA">
      <w:pPr>
        <w:pStyle w:val="ECHRPara"/>
      </w:pPr>
      <w:bookmarkStart w:name="para4" w:id="1"/>
      <w:r>
        <w:rPr>
          <w:lang w:val="en-GB"/>
        </w:rPr>
        <w:t>4</w:t>
      </w:r>
      <w:bookmarkEnd w:id="1"/>
      <w:r>
        <w:rPr>
          <w:lang w:val="en-GB"/>
        </w:rPr>
        <w:t xml:space="preserve">.  In all four cases, the police invited two randomly chosen attesting witnesses to observe the progress of the undercover operation. The attesting witnesses confirmed in their pre-trial depositions that the undercover agents had been searched prior to the test purchase and that they had </w:t>
      </w:r>
      <w:r>
        <w:t>bought controlled substances from the applicants</w:t>
      </w:r>
      <w:r>
        <w:rPr>
          <w:lang w:val="en-GB"/>
        </w:rPr>
        <w:t xml:space="preserve"> with the banknotes marked and supplied by the police. They also attested </w:t>
      </w:r>
      <w:r>
        <w:t>that after the test purchase the police had searched the applicants or their premises, and seized and sealed controlled substances found on the applicants and other evidence that had been gathered.</w:t>
      </w:r>
    </w:p>
    <w:p w:rsidR="00A91AFA" w:rsidP="00223538" w:rsidRDefault="00A91AFA">
      <w:pPr>
        <w:pStyle w:val="ECHRPara"/>
      </w:pPr>
      <w:bookmarkStart w:name="para5" w:id="2"/>
      <w:r>
        <w:t>5</w:t>
      </w:r>
      <w:bookmarkEnd w:id="2"/>
      <w:r>
        <w:t>.  The police also documented each step of the undercover operations. In particular, they drew up records of personal inspections of undercover agents, examinations of banknotes, test purchases, personal search and crime scene inspections.</w:t>
      </w:r>
    </w:p>
    <w:p w:rsidR="000C221C" w:rsidP="00223538" w:rsidRDefault="00A91AFA">
      <w:pPr>
        <w:pStyle w:val="ECHRPara"/>
      </w:pPr>
      <w:bookmarkStart w:name="para6" w:id="3"/>
      <w:r>
        <w:t>6</w:t>
      </w:r>
      <w:bookmarkEnd w:id="3"/>
      <w:r>
        <w:t>.  T</w:t>
      </w:r>
      <w:r>
        <w:rPr>
          <w:lang w:val="en-GB"/>
        </w:rPr>
        <w:t xml:space="preserve">he applicants </w:t>
      </w:r>
      <w:r w:rsidRPr="003324C1">
        <w:t xml:space="preserve">were criminally prosecuted </w:t>
      </w:r>
      <w:r>
        <w:t>for drug-related</w:t>
      </w:r>
      <w:r w:rsidRPr="003324C1">
        <w:t xml:space="preserve"> offences under the Russian legislation in force.</w:t>
      </w:r>
      <w:r>
        <w:t xml:space="preserve"> The undercover agents and police officers who had participated in test purchases of drugs testified during the trial, and as participants in the criminal proceedings, the applicants were able to question them. They were also able to submit various motions, present arguments in their defence and lodge objections. The attesting witnesses summoned by the prosecution were sought for but they failed to appear for various reasons, and t</w:t>
      </w:r>
      <w:r w:rsidRPr="003324C1">
        <w:t xml:space="preserve">he </w:t>
      </w:r>
      <w:r>
        <w:t xml:space="preserve">national courts read out </w:t>
      </w:r>
      <w:r w:rsidRPr="00995827">
        <w:t>the</w:t>
      </w:r>
      <w:r>
        <w:t xml:space="preserve">ir pre-trial statements regarding the investigative measures </w:t>
      </w:r>
      <w:r w:rsidRPr="00995827">
        <w:t xml:space="preserve">and admitted </w:t>
      </w:r>
      <w:r>
        <w:t>them</w:t>
      </w:r>
      <w:r w:rsidRPr="00995827">
        <w:t xml:space="preserve"> as evidence</w:t>
      </w:r>
      <w:r>
        <w:t xml:space="preserve"> despite the applicants</w:t>
      </w:r>
      <w:r w:rsidR="00120550">
        <w:t>’</w:t>
      </w:r>
      <w:r>
        <w:t xml:space="preserve"> objections. The procedural records</w:t>
      </w:r>
      <w:r>
        <w:rPr>
          <w:lang w:val="en-GB"/>
        </w:rPr>
        <w:t xml:space="preserve"> drawn up by the police</w:t>
      </w:r>
      <w:r>
        <w:t xml:space="preserve"> were also admitted as evidence by the courts. The contents of the pre-trial depositions of the attesting witnesses were identical to the relevant police records.</w:t>
      </w:r>
    </w:p>
    <w:p w:rsidRPr="00BC7C32" w:rsidR="00A91AFA" w:rsidP="00223538" w:rsidRDefault="00A91AFA">
      <w:pPr>
        <w:pStyle w:val="ECHRPara"/>
      </w:pPr>
      <w:r>
        <w:t>7.  </w:t>
      </w:r>
      <w:r w:rsidRPr="00BC7C32">
        <w:t>The applicants appealed against the judgments convicti</w:t>
      </w:r>
      <w:r>
        <w:t>ng them,</w:t>
      </w:r>
      <w:r w:rsidRPr="00BC7C32">
        <w:t xml:space="preserve"> </w:t>
      </w:r>
      <w:r>
        <w:t>submitt</w:t>
      </w:r>
      <w:r w:rsidRPr="00BC7C32">
        <w:t>ing</w:t>
      </w:r>
      <w:r>
        <w:t>,</w:t>
      </w:r>
      <w:r w:rsidRPr="00BC7C32">
        <w:t xml:space="preserve"> </w:t>
      </w:r>
      <w:r w:rsidRPr="00BC7C32">
        <w:rPr>
          <w:i/>
        </w:rPr>
        <w:t>inter alia</w:t>
      </w:r>
      <w:r w:rsidRPr="00B77839">
        <w:t>,</w:t>
      </w:r>
      <w:r w:rsidRPr="00BC7C32">
        <w:t xml:space="preserve"> that their convictions </w:t>
      </w:r>
      <w:r>
        <w:t>had been</w:t>
      </w:r>
      <w:r w:rsidRPr="00BC7C32">
        <w:t xml:space="preserve"> unfair due to </w:t>
      </w:r>
      <w:r>
        <w:t xml:space="preserve">their </w:t>
      </w:r>
      <w:r w:rsidRPr="00BC7C32">
        <w:t xml:space="preserve">inability to examine </w:t>
      </w:r>
      <w:r>
        <w:t xml:space="preserve">the </w:t>
      </w:r>
      <w:r w:rsidRPr="00BC7C32">
        <w:t xml:space="preserve">attesting </w:t>
      </w:r>
      <w:r>
        <w:t>witnesses</w:t>
      </w:r>
      <w:r w:rsidRPr="00BC7C32">
        <w:t>. The judgments were</w:t>
      </w:r>
      <w:r>
        <w:t>,</w:t>
      </w:r>
      <w:r w:rsidRPr="00BC7C32">
        <w:t xml:space="preserve"> however, up</w:t>
      </w:r>
      <w:r>
        <w:t>held on appeal and became final</w:t>
      </w:r>
      <w:r w:rsidRPr="00BC7C32">
        <w:t>.</w:t>
      </w:r>
    </w:p>
    <w:p w:rsidR="00A91AFA" w:rsidP="00223538" w:rsidRDefault="00A91AFA">
      <w:pPr>
        <w:pStyle w:val="ECHRHeading2"/>
        <w:rPr>
          <w:lang w:val="en-GB"/>
        </w:rPr>
      </w:pPr>
      <w:r>
        <w:rPr>
          <w:lang w:val="en-GB"/>
        </w:rPr>
        <w:t>B.  Relevant domestic law</w:t>
      </w:r>
    </w:p>
    <w:p w:rsidR="00A91AFA" w:rsidP="00223538" w:rsidRDefault="00A74FA8">
      <w:pPr>
        <w:pStyle w:val="ECHRHeading3"/>
        <w:rPr>
          <w:lang w:val="en-GB"/>
        </w:rPr>
      </w:pPr>
      <w:r>
        <w:rPr>
          <w:lang w:val="en-GB"/>
        </w:rPr>
        <w:t>1.  </w:t>
      </w:r>
      <w:r w:rsidR="00A91AFA">
        <w:rPr>
          <w:lang w:val="en-GB"/>
        </w:rPr>
        <w:t>Russian</w:t>
      </w:r>
      <w:r w:rsidDel="005F1DCE" w:rsidR="00A91AFA">
        <w:rPr>
          <w:lang w:val="en-GB"/>
        </w:rPr>
        <w:t xml:space="preserve"> </w:t>
      </w:r>
      <w:r w:rsidR="00A91AFA">
        <w:rPr>
          <w:lang w:val="en-GB"/>
        </w:rPr>
        <w:t>Code of Criminal Procedure (CCP)</w:t>
      </w:r>
    </w:p>
    <w:p w:rsidR="000C221C" w:rsidP="00223538" w:rsidRDefault="00A74FA8">
      <w:pPr>
        <w:pStyle w:val="ECHRHeading4"/>
        <w:rPr>
          <w:lang w:val="en-GB"/>
        </w:rPr>
      </w:pPr>
      <w:r>
        <w:rPr>
          <w:lang w:val="en-GB"/>
        </w:rPr>
        <w:t>(a)  </w:t>
      </w:r>
      <w:r w:rsidR="00A91AFA">
        <w:rPr>
          <w:lang w:val="en-GB"/>
        </w:rPr>
        <w:t>General principles of criminal proceedings</w:t>
      </w:r>
    </w:p>
    <w:p w:rsidR="000C221C" w:rsidP="00223538" w:rsidRDefault="00A91AFA">
      <w:pPr>
        <w:pStyle w:val="ECHRPara"/>
        <w:rPr>
          <w:lang w:val="en-GB"/>
        </w:rPr>
      </w:pPr>
      <w:bookmarkStart w:name="para8" w:id="4"/>
      <w:r>
        <w:rPr>
          <w:lang w:val="en-GB"/>
        </w:rPr>
        <w:t>8</w:t>
      </w:r>
      <w:bookmarkEnd w:id="4"/>
      <w:r>
        <w:rPr>
          <w:lang w:val="en-GB"/>
        </w:rPr>
        <w:t xml:space="preserve">.  Article 7 </w:t>
      </w:r>
      <w:r>
        <w:rPr>
          <w:rFonts w:cstheme="minorHAnsi"/>
          <w:lang w:val="en-GB"/>
        </w:rPr>
        <w:t>§</w:t>
      </w:r>
      <w:r>
        <w:rPr>
          <w:lang w:val="en-GB"/>
        </w:rPr>
        <w:t xml:space="preserve"> 1 of the CCP (as in force at the material time) provided that the court, prosecution and investigators could not apply laws in breach of the provisions of the CCP.</w:t>
      </w:r>
    </w:p>
    <w:p w:rsidRPr="00BF6BB3" w:rsidR="00A91AFA" w:rsidP="00223538" w:rsidRDefault="00A91AFA">
      <w:pPr>
        <w:pStyle w:val="ECHRPara"/>
      </w:pPr>
      <w:bookmarkStart w:name="para9" w:id="5"/>
      <w:r>
        <w:rPr>
          <w:lang w:val="en-GB"/>
        </w:rPr>
        <w:t>9</w:t>
      </w:r>
      <w:bookmarkEnd w:id="5"/>
      <w:r>
        <w:rPr>
          <w:lang w:val="en-GB"/>
        </w:rPr>
        <w:t>.  </w:t>
      </w:r>
      <w:r w:rsidRPr="00BF6BB3">
        <w:rPr>
          <w:lang w:val="en-GB"/>
        </w:rPr>
        <w:t>Article 7 §</w:t>
      </w:r>
      <w:r>
        <w:rPr>
          <w:lang w:val="en-GB"/>
        </w:rPr>
        <w:t xml:space="preserve"> 3 further provided that if the court, prosecution or investigators breached the provisions of the CCP in the course of criminal </w:t>
      </w:r>
      <w:r>
        <w:rPr>
          <w:lang w:val="en-GB"/>
        </w:rPr>
        <w:lastRenderedPageBreak/>
        <w:t>proceedings, evidence obtained as a result of such breach would be rendered inadmissible.</w:t>
      </w:r>
    </w:p>
    <w:p w:rsidR="00A91AFA" w:rsidP="00223538" w:rsidRDefault="00A74FA8">
      <w:pPr>
        <w:pStyle w:val="ECHRHeading4"/>
        <w:rPr>
          <w:lang w:val="en-GB"/>
        </w:rPr>
      </w:pPr>
      <w:r>
        <w:rPr>
          <w:lang w:val="en-GB"/>
        </w:rPr>
        <w:t>(b)  </w:t>
      </w:r>
      <w:r w:rsidR="00A91AFA">
        <w:rPr>
          <w:lang w:val="en-GB"/>
        </w:rPr>
        <w:t>Witnesses and attesting witnesses</w:t>
      </w:r>
    </w:p>
    <w:p w:rsidR="00A91AFA" w:rsidP="00223538" w:rsidRDefault="00A91AFA">
      <w:pPr>
        <w:pStyle w:val="ECHRPara"/>
        <w:rPr>
          <w:lang w:val="en-GB"/>
        </w:rPr>
      </w:pPr>
      <w:bookmarkStart w:name="TableEnd" w:id="6"/>
      <w:bookmarkStart w:name="para10" w:id="7"/>
      <w:r>
        <w:rPr>
          <w:lang w:val="en-GB"/>
        </w:rPr>
        <w:t>10</w:t>
      </w:r>
      <w:bookmarkEnd w:id="6"/>
      <w:bookmarkEnd w:id="7"/>
      <w:r>
        <w:rPr>
          <w:lang w:val="en-GB"/>
        </w:rPr>
        <w:t>.  Chapter II of the CCP contained two different provisions governing the participation of witnesses and attesting witnesses in the criminal proceedings.</w:t>
      </w:r>
    </w:p>
    <w:p w:rsidR="000C221C" w:rsidP="00223538" w:rsidRDefault="00A91AFA">
      <w:pPr>
        <w:pStyle w:val="ECHRPara"/>
      </w:pPr>
      <w:bookmarkStart w:name="para11" w:id="8"/>
      <w:r>
        <w:rPr>
          <w:lang w:val="en-GB"/>
        </w:rPr>
        <w:t>11</w:t>
      </w:r>
      <w:bookmarkEnd w:id="8"/>
      <w:r w:rsidR="00A74FA8">
        <w:rPr>
          <w:lang w:val="en-GB"/>
        </w:rPr>
        <w:t>.  </w:t>
      </w:r>
      <w:r>
        <w:rPr>
          <w:lang w:val="en-GB"/>
        </w:rPr>
        <w:t xml:space="preserve">Article 56 </w:t>
      </w:r>
      <w:r>
        <w:t>provided that,</w:t>
      </w:r>
    </w:p>
    <w:p w:rsidR="000C221C" w:rsidP="00223538" w:rsidRDefault="00B67250">
      <w:pPr>
        <w:pStyle w:val="ECHRParaQuote"/>
      </w:pPr>
      <w:r>
        <w:t>“1.  </w:t>
      </w:r>
      <w:r w:rsidR="00A91AFA">
        <w:t>A witness (</w:t>
      </w:r>
      <w:r w:rsidRPr="007B2C46" w:rsidR="00A91AFA">
        <w:rPr>
          <w:i/>
          <w:lang w:val="ru-RU"/>
        </w:rPr>
        <w:t>свидетель</w:t>
      </w:r>
      <w:r w:rsidRPr="00F525AB" w:rsidR="00A91AFA">
        <w:t>)</w:t>
      </w:r>
      <w:r w:rsidR="00A91AFA">
        <w:t xml:space="preserve"> is a person who may have knowledge of facts relevant to the investigation and resolution of a criminal case and who is subpoenaed to testify.”</w:t>
      </w:r>
    </w:p>
    <w:p w:rsidR="00A91AFA" w:rsidP="00223538" w:rsidRDefault="000C221C">
      <w:pPr>
        <w:pStyle w:val="ECHRParaQuote"/>
      </w:pPr>
      <w:r>
        <w:t>...</w:t>
      </w:r>
    </w:p>
    <w:p w:rsidR="000C221C" w:rsidP="00223538" w:rsidRDefault="00A74FA8">
      <w:pPr>
        <w:pStyle w:val="ECHRParaQuote"/>
      </w:pPr>
      <w:r>
        <w:t>7.  </w:t>
      </w:r>
      <w:r w:rsidR="00A91AFA">
        <w:t>If a witness fails to appear for no valid reason, his or her appearance may be enforced.”</w:t>
      </w:r>
    </w:p>
    <w:p w:rsidR="000C221C" w:rsidP="00223538" w:rsidRDefault="00A91AFA">
      <w:pPr>
        <w:pStyle w:val="ECHRPara"/>
        <w:rPr>
          <w:lang w:val="en-GB"/>
        </w:rPr>
      </w:pPr>
      <w:bookmarkStart w:name="para12" w:id="9"/>
      <w:r>
        <w:t>12</w:t>
      </w:r>
      <w:bookmarkEnd w:id="9"/>
      <w:r>
        <w:t>.  </w:t>
      </w:r>
      <w:r>
        <w:rPr>
          <w:lang w:val="en-GB"/>
        </w:rPr>
        <w:t>Article 60 provided</w:t>
      </w:r>
      <w:r w:rsidRPr="001D3ED8">
        <w:rPr>
          <w:lang w:val="en-GB"/>
        </w:rPr>
        <w:t xml:space="preserve"> </w:t>
      </w:r>
      <w:r>
        <w:rPr>
          <w:lang w:val="en-GB"/>
        </w:rPr>
        <w:t>that,</w:t>
      </w:r>
    </w:p>
    <w:p w:rsidR="000C221C" w:rsidP="00223538" w:rsidRDefault="00A91AFA">
      <w:pPr>
        <w:pStyle w:val="ECHRParaQuote"/>
        <w:rPr>
          <w:lang w:val="en-GB"/>
        </w:rPr>
      </w:pPr>
      <w:r>
        <w:rPr>
          <w:lang w:val="en-GB"/>
        </w:rPr>
        <w:t>“An attesting</w:t>
      </w:r>
      <w:r w:rsidRPr="001D3ED8">
        <w:rPr>
          <w:lang w:val="en-GB"/>
        </w:rPr>
        <w:t xml:space="preserve"> </w:t>
      </w:r>
      <w:r>
        <w:rPr>
          <w:lang w:val="en-GB"/>
        </w:rPr>
        <w:t>witness (</w:t>
      </w:r>
      <w:r w:rsidR="00E73F24">
        <w:rPr>
          <w:lang w:val="en-GB"/>
        </w:rPr>
        <w:t>“</w:t>
      </w:r>
      <w:r w:rsidRPr="00DC099C">
        <w:rPr>
          <w:i/>
          <w:lang w:val="ru-RU"/>
        </w:rPr>
        <w:t>понятой</w:t>
      </w:r>
      <w:r w:rsidR="00E73F24">
        <w:rPr>
          <w:i/>
          <w:lang w:val="en-GB"/>
        </w:rPr>
        <w:t>”</w:t>
      </w:r>
      <w:r w:rsidRPr="00DC099C">
        <w:t>)</w:t>
      </w:r>
      <w:r w:rsidRPr="001D3ED8">
        <w:rPr>
          <w:lang w:val="en-GB"/>
        </w:rPr>
        <w:t xml:space="preserve"> </w:t>
      </w:r>
      <w:r>
        <w:rPr>
          <w:lang w:val="en-GB"/>
        </w:rPr>
        <w:t>is</w:t>
      </w:r>
      <w:r w:rsidRPr="001D3ED8">
        <w:rPr>
          <w:lang w:val="en-GB"/>
        </w:rPr>
        <w:t xml:space="preserve"> </w:t>
      </w:r>
      <w:r>
        <w:rPr>
          <w:lang w:val="en-GB"/>
        </w:rPr>
        <w:t>a person disinterested in the outcome of the criminal case who is invited by an investigator to attest to an investigative measure being carried out and also to its substance, progress and results. Minors who are involved in a criminal case and their close relatives and relatives, and also investigators, cannot act as attesting witnesses.”</w:t>
      </w:r>
    </w:p>
    <w:p w:rsidR="00A91AFA" w:rsidP="00223538" w:rsidRDefault="00A74FA8">
      <w:pPr>
        <w:pStyle w:val="ECHRHeading4"/>
        <w:rPr>
          <w:lang w:val="en-GB"/>
        </w:rPr>
      </w:pPr>
      <w:r>
        <w:rPr>
          <w:lang w:val="en-GB"/>
        </w:rPr>
        <w:t>(c)  </w:t>
      </w:r>
      <w:r w:rsidR="00A91AFA">
        <w:rPr>
          <w:lang w:val="en-GB"/>
        </w:rPr>
        <w:t>Investigative measures</w:t>
      </w:r>
    </w:p>
    <w:p w:rsidR="00A91AFA" w:rsidP="00223538" w:rsidRDefault="00A91AFA">
      <w:pPr>
        <w:pStyle w:val="ECHRPara"/>
        <w:rPr>
          <w:lang w:val="en-GB"/>
        </w:rPr>
      </w:pPr>
      <w:bookmarkStart w:name="para13" w:id="10"/>
      <w:r>
        <w:rPr>
          <w:lang w:val="en-GB"/>
        </w:rPr>
        <w:t>13</w:t>
      </w:r>
      <w:bookmarkEnd w:id="10"/>
      <w:r>
        <w:rPr>
          <w:lang w:val="en-GB"/>
        </w:rPr>
        <w:t>. </w:t>
      </w:r>
      <w:r w:rsidR="00A74FA8">
        <w:rPr>
          <w:lang w:val="en-GB"/>
        </w:rPr>
        <w:t> </w:t>
      </w:r>
      <w:r>
        <w:rPr>
          <w:lang w:val="en-GB"/>
        </w:rPr>
        <w:t>Article 164 of the CCP stipulated that body searches, searches of premises, seizure of evidence and other investigative measures had to be carried out by order of the investigators. It further required the recording of all investigative measures carried out.</w:t>
      </w:r>
    </w:p>
    <w:p w:rsidR="00120550" w:rsidP="00223538" w:rsidRDefault="00A91AFA">
      <w:pPr>
        <w:pStyle w:val="ECHRPara"/>
      </w:pPr>
      <w:bookmarkStart w:name="para14" w:id="11"/>
      <w:r>
        <w:rPr>
          <w:lang w:val="en-GB"/>
        </w:rPr>
        <w:t>14</w:t>
      </w:r>
      <w:bookmarkEnd w:id="11"/>
      <w:r w:rsidR="00A74FA8">
        <w:rPr>
          <w:lang w:val="en-GB"/>
        </w:rPr>
        <w:t>.  </w:t>
      </w:r>
      <w:r>
        <w:rPr>
          <w:lang w:val="en-GB"/>
        </w:rPr>
        <w:t>Article</w:t>
      </w:r>
      <w:r w:rsidRPr="0069691F">
        <w:t xml:space="preserve"> 166 </w:t>
      </w:r>
      <w:r>
        <w:rPr>
          <w:lang w:val="en-GB"/>
        </w:rPr>
        <w:t>of</w:t>
      </w:r>
      <w:r w:rsidRPr="0069691F">
        <w:t xml:space="preserve"> </w:t>
      </w:r>
      <w:r>
        <w:rPr>
          <w:lang w:val="en-GB"/>
        </w:rPr>
        <w:t>the</w:t>
      </w:r>
      <w:r w:rsidRPr="0069691F">
        <w:t xml:space="preserve"> </w:t>
      </w:r>
      <w:r>
        <w:rPr>
          <w:lang w:val="en-GB"/>
        </w:rPr>
        <w:t>CCP</w:t>
      </w:r>
      <w:r w:rsidRPr="0069691F">
        <w:t xml:space="preserve"> </w:t>
      </w:r>
      <w:r>
        <w:rPr>
          <w:lang w:val="en-GB"/>
        </w:rPr>
        <w:t>established that</w:t>
      </w:r>
      <w:r w:rsidRPr="0069691F">
        <w:t xml:space="preserve"> </w:t>
      </w:r>
      <w:r>
        <w:rPr>
          <w:lang w:val="en-GB"/>
        </w:rPr>
        <w:t>all participants in investigative measures should receive a record thereof. They</w:t>
      </w:r>
      <w:r w:rsidRPr="002857B6">
        <w:t xml:space="preserve"> </w:t>
      </w:r>
      <w:r>
        <w:t>had to b</w:t>
      </w:r>
      <w:r>
        <w:rPr>
          <w:lang w:val="en-GB"/>
        </w:rPr>
        <w:t>e</w:t>
      </w:r>
      <w:r w:rsidRPr="002857B6">
        <w:t xml:space="preserve"> </w:t>
      </w:r>
      <w:r>
        <w:rPr>
          <w:lang w:val="en-GB"/>
        </w:rPr>
        <w:t>informed</w:t>
      </w:r>
      <w:r w:rsidRPr="002857B6">
        <w:t xml:space="preserve"> </w:t>
      </w:r>
      <w:r>
        <w:rPr>
          <w:lang w:val="en-GB"/>
        </w:rPr>
        <w:t>of</w:t>
      </w:r>
      <w:r w:rsidRPr="002857B6">
        <w:t xml:space="preserve"> </w:t>
      </w:r>
      <w:r>
        <w:rPr>
          <w:lang w:val="en-GB"/>
        </w:rPr>
        <w:t>their</w:t>
      </w:r>
      <w:r w:rsidRPr="002857B6">
        <w:t xml:space="preserve"> </w:t>
      </w:r>
      <w:r>
        <w:rPr>
          <w:lang w:val="en-GB"/>
        </w:rPr>
        <w:t>right</w:t>
      </w:r>
      <w:r w:rsidRPr="002857B6">
        <w:t xml:space="preserve"> </w:t>
      </w:r>
      <w:r>
        <w:rPr>
          <w:lang w:val="en-GB"/>
        </w:rPr>
        <w:t>to</w:t>
      </w:r>
      <w:r>
        <w:t xml:space="preserve"> make amendments and clarifications to the record and have them noted in it. Their remarks should be acknowledged and signed by the persons making them.</w:t>
      </w:r>
    </w:p>
    <w:p w:rsidR="000C221C" w:rsidP="00223538" w:rsidRDefault="00A91AFA">
      <w:pPr>
        <w:pStyle w:val="ECHRPara"/>
        <w:rPr>
          <w:lang w:val="en-GB"/>
        </w:rPr>
      </w:pPr>
      <w:bookmarkStart w:name="para15" w:id="12"/>
      <w:r>
        <w:rPr>
          <w:lang w:val="en-GB"/>
        </w:rPr>
        <w:t>15</w:t>
      </w:r>
      <w:bookmarkEnd w:id="12"/>
      <w:r>
        <w:rPr>
          <w:lang w:val="en-GB"/>
        </w:rPr>
        <w:t xml:space="preserve">.  Article 170 of the CCP required at least two attesting witnesses to be present during, </w:t>
      </w:r>
      <w:r w:rsidRPr="005002DC">
        <w:rPr>
          <w:i/>
          <w:lang w:val="en-GB"/>
        </w:rPr>
        <w:t>inter alia</w:t>
      </w:r>
      <w:r>
        <w:rPr>
          <w:lang w:val="en-GB"/>
        </w:rPr>
        <w:t>, the inspection of objects relevant to the criminal case, body searches, searches of premises and seizure of evidence.</w:t>
      </w:r>
    </w:p>
    <w:p w:rsidRPr="00A74106" w:rsidR="00A91AFA" w:rsidP="00223538" w:rsidRDefault="00A91AFA">
      <w:pPr>
        <w:pStyle w:val="ECHRHeading4"/>
      </w:pPr>
      <w:r w:rsidRPr="00A74106">
        <w:t>(</w:t>
      </w:r>
      <w:r>
        <w:rPr>
          <w:lang w:val="en-GB"/>
        </w:rPr>
        <w:t>d</w:t>
      </w:r>
      <w:r w:rsidR="00A74FA8">
        <w:t>)  </w:t>
      </w:r>
      <w:r>
        <w:rPr>
          <w:lang w:val="en-GB"/>
        </w:rPr>
        <w:t>Evidence</w:t>
      </w:r>
    </w:p>
    <w:p w:rsidR="000C221C" w:rsidP="00223538" w:rsidRDefault="00A91AFA">
      <w:pPr>
        <w:pStyle w:val="ECHRPara"/>
        <w:rPr>
          <w:lang w:val="en-GB"/>
        </w:rPr>
      </w:pPr>
      <w:bookmarkStart w:name="para16" w:id="13"/>
      <w:r>
        <w:rPr>
          <w:lang w:val="en-GB"/>
        </w:rPr>
        <w:t>16</w:t>
      </w:r>
      <w:bookmarkEnd w:id="13"/>
      <w:r w:rsidRPr="00B90939">
        <w:t>.</w:t>
      </w:r>
      <w:r w:rsidR="00A74FA8">
        <w:t>  </w:t>
      </w:r>
      <w:r>
        <w:rPr>
          <w:lang w:val="en-GB"/>
        </w:rPr>
        <w:t>Article 38 provided for admitting into evidence the records of investigative measures and trial records if they complied with the requirements of the CCP.</w:t>
      </w:r>
    </w:p>
    <w:p w:rsidR="000C221C" w:rsidP="00223538" w:rsidRDefault="00A91AFA">
      <w:pPr>
        <w:pStyle w:val="ECHRPara"/>
        <w:rPr>
          <w:lang w:val="en-GB"/>
        </w:rPr>
      </w:pPr>
      <w:bookmarkStart w:name="para17" w:id="14"/>
      <w:r>
        <w:rPr>
          <w:lang w:val="en-GB"/>
        </w:rPr>
        <w:t>17</w:t>
      </w:r>
      <w:bookmarkEnd w:id="14"/>
      <w:r>
        <w:rPr>
          <w:lang w:val="en-GB"/>
        </w:rPr>
        <w:t xml:space="preserve">.  Article 75 provided that </w:t>
      </w:r>
      <w:r>
        <w:t>e</w:t>
      </w:r>
      <w:r w:rsidRPr="009A4AE3">
        <w:t xml:space="preserve">vidence obtained in breach of </w:t>
      </w:r>
      <w:r>
        <w:t xml:space="preserve">the provisions of the CCP would </w:t>
      </w:r>
      <w:r w:rsidRPr="009A4AE3">
        <w:t>be</w:t>
      </w:r>
      <w:r>
        <w:t xml:space="preserve"> deemed</w:t>
      </w:r>
      <w:r w:rsidRPr="009A4AE3">
        <w:t xml:space="preserve"> inadmissible. </w:t>
      </w:r>
      <w:r>
        <w:t>It further provided that i</w:t>
      </w:r>
      <w:r w:rsidRPr="009A4AE3">
        <w:t>nadmissi</w:t>
      </w:r>
      <w:r>
        <w:t xml:space="preserve">ble evidence would </w:t>
      </w:r>
      <w:r w:rsidRPr="009A4AE3">
        <w:t>have no legal force and c</w:t>
      </w:r>
      <w:r>
        <w:t>ould not</w:t>
      </w:r>
      <w:r w:rsidRPr="009A4AE3">
        <w:t xml:space="preserve"> be relied on as grounds for criminal cha</w:t>
      </w:r>
      <w:r>
        <w:t xml:space="preserve">rges or for proving any of the </w:t>
      </w:r>
      <w:r w:rsidRPr="009A4AE3">
        <w:t>circumstances for which evidence is r</w:t>
      </w:r>
      <w:r>
        <w:t>equired in criminal proceedings</w:t>
      </w:r>
      <w:r w:rsidRPr="009A4AE3">
        <w:t>.</w:t>
      </w:r>
    </w:p>
    <w:p w:rsidR="000C221C" w:rsidP="00223538" w:rsidRDefault="00A91AFA">
      <w:pPr>
        <w:pStyle w:val="ECHRPara"/>
        <w:rPr>
          <w:lang w:val="en-GB"/>
        </w:rPr>
      </w:pPr>
      <w:bookmarkStart w:name="para18" w:id="15"/>
      <w:r>
        <w:rPr>
          <w:lang w:val="en-GB"/>
        </w:rPr>
        <w:lastRenderedPageBreak/>
        <w:t>18</w:t>
      </w:r>
      <w:bookmarkEnd w:id="15"/>
      <w:r w:rsidRPr="000A0DBB">
        <w:t>.</w:t>
      </w:r>
      <w:r>
        <w:rPr>
          <w:lang w:val="en-GB"/>
        </w:rPr>
        <w:t>  Article</w:t>
      </w:r>
      <w:r>
        <w:t xml:space="preserve"> </w:t>
      </w:r>
      <w:r w:rsidRPr="009A4AE3">
        <w:t xml:space="preserve">89 </w:t>
      </w:r>
      <w:r>
        <w:rPr>
          <w:lang w:val="en-GB"/>
        </w:rPr>
        <w:t>prohibited</w:t>
      </w:r>
      <w:r w:rsidRPr="009A4AE3">
        <w:t xml:space="preserve"> </w:t>
      </w:r>
      <w:r>
        <w:rPr>
          <w:lang w:val="en-GB"/>
        </w:rPr>
        <w:t>the</w:t>
      </w:r>
      <w:r w:rsidRPr="009A4AE3">
        <w:t xml:space="preserve"> </w:t>
      </w:r>
      <w:r>
        <w:rPr>
          <w:lang w:val="en-GB"/>
        </w:rPr>
        <w:t>use</w:t>
      </w:r>
      <w:r w:rsidRPr="009A4AE3">
        <w:t xml:space="preserve"> </w:t>
      </w:r>
      <w:r>
        <w:t xml:space="preserve">of </w:t>
      </w:r>
      <w:r>
        <w:rPr>
          <w:lang w:val="en-GB"/>
        </w:rPr>
        <w:t>the results of</w:t>
      </w:r>
      <w:r w:rsidRPr="009A4AE3">
        <w:t xml:space="preserve"> </w:t>
      </w:r>
      <w:r>
        <w:t xml:space="preserve">a </w:t>
      </w:r>
      <w:r>
        <w:rPr>
          <w:lang w:val="en-GB"/>
        </w:rPr>
        <w:t>criminal</w:t>
      </w:r>
      <w:r w:rsidRPr="009A4AE3">
        <w:t xml:space="preserve"> </w:t>
      </w:r>
      <w:r>
        <w:rPr>
          <w:lang w:val="en-GB"/>
        </w:rPr>
        <w:t>investigation</w:t>
      </w:r>
      <w:r w:rsidRPr="009A4AE3">
        <w:t xml:space="preserve"> </w:t>
      </w:r>
      <w:r>
        <w:rPr>
          <w:lang w:val="en-GB"/>
        </w:rPr>
        <w:t>if</w:t>
      </w:r>
      <w:r w:rsidRPr="009A4AE3">
        <w:t xml:space="preserve"> </w:t>
      </w:r>
      <w:r>
        <w:rPr>
          <w:lang w:val="en-GB"/>
        </w:rPr>
        <w:t>they failed to satisfy the rules of evidence laid down in the CCP.</w:t>
      </w:r>
    </w:p>
    <w:p w:rsidR="000C221C" w:rsidP="00223538" w:rsidRDefault="00A74FA8">
      <w:pPr>
        <w:pStyle w:val="ECHRHeading4"/>
        <w:rPr>
          <w:lang w:val="en-GB"/>
        </w:rPr>
      </w:pPr>
      <w:r>
        <w:rPr>
          <w:lang w:val="en-GB"/>
        </w:rPr>
        <w:t>(e)  </w:t>
      </w:r>
      <w:r w:rsidR="00A91AFA">
        <w:rPr>
          <w:lang w:val="en-GB"/>
        </w:rPr>
        <w:t>Motions and exclusion of evidence</w:t>
      </w:r>
    </w:p>
    <w:p w:rsidRPr="000818C1" w:rsidR="00A91AFA" w:rsidP="00223538" w:rsidRDefault="00A91AFA">
      <w:pPr>
        <w:pStyle w:val="ECHRPara"/>
      </w:pPr>
      <w:bookmarkStart w:name="para19" w:id="16"/>
      <w:r>
        <w:t>19</w:t>
      </w:r>
      <w:bookmarkEnd w:id="16"/>
      <w:r w:rsidRPr="000A0DBB">
        <w:t>.  </w:t>
      </w:r>
      <w:r>
        <w:rPr>
          <w:lang w:val="en-GB"/>
        </w:rPr>
        <w:t>Article</w:t>
      </w:r>
      <w:r>
        <w:t xml:space="preserve"> 217 and Article 219 </w:t>
      </w:r>
      <w:r>
        <w:rPr>
          <w:lang w:val="en-GB"/>
        </w:rPr>
        <w:t>stipulated the investigator</w:t>
      </w:r>
      <w:r w:rsidR="00120550">
        <w:rPr>
          <w:lang w:val="en-GB"/>
        </w:rPr>
        <w:t>’</w:t>
      </w:r>
      <w:r>
        <w:rPr>
          <w:lang w:val="en-GB"/>
        </w:rPr>
        <w:t>s obligation to examine and rule on motions submitted</w:t>
      </w:r>
      <w:r>
        <w:t xml:space="preserve"> by the defendant after the review of materials of the criminal case, and to inform the defendant of his right to appeal against an adverse decision on his motion.</w:t>
      </w:r>
    </w:p>
    <w:p w:rsidR="000C221C" w:rsidP="00223538" w:rsidRDefault="00A91AFA">
      <w:pPr>
        <w:pStyle w:val="ECHRPara"/>
        <w:rPr>
          <w:lang w:val="en-GB"/>
        </w:rPr>
      </w:pPr>
      <w:bookmarkStart w:name="para20" w:id="17"/>
      <w:r>
        <w:t>20</w:t>
      </w:r>
      <w:bookmarkEnd w:id="17"/>
      <w:r w:rsidRPr="000A0DBB">
        <w:t>.  </w:t>
      </w:r>
      <w:r>
        <w:rPr>
          <w:lang w:val="en-GB"/>
        </w:rPr>
        <w:t>Article 235 provided that parties to a criminal case could request a trial court to exclude certain evidence. As a general rule, the burden of proof would be on the party which submitted a motion to exclude evidence, except where a defendant sought to exclude evidence obtained in violation of the provisions of the CCP, in which case the prosecution would have to provide evidence to the contrary.</w:t>
      </w:r>
    </w:p>
    <w:p w:rsidRPr="003B55A9" w:rsidR="00A91AFA" w:rsidP="00223538" w:rsidRDefault="00B67250">
      <w:pPr>
        <w:pStyle w:val="ECHRHeading3"/>
      </w:pPr>
      <w:r>
        <w:t>2.  </w:t>
      </w:r>
      <w:r w:rsidR="00A91AFA">
        <w:rPr>
          <w:lang w:val="en-GB"/>
        </w:rPr>
        <w:t>The</w:t>
      </w:r>
      <w:r w:rsidRPr="003B55A9" w:rsidR="00A91AFA">
        <w:t xml:space="preserve"> </w:t>
      </w:r>
      <w:r w:rsidR="00A91AFA">
        <w:rPr>
          <w:lang w:val="en-GB"/>
        </w:rPr>
        <w:t>Criminal</w:t>
      </w:r>
      <w:r w:rsidRPr="003B55A9" w:rsidR="00A91AFA">
        <w:t xml:space="preserve"> </w:t>
      </w:r>
      <w:r w:rsidR="00A91AFA">
        <w:rPr>
          <w:lang w:val="en-GB"/>
        </w:rPr>
        <w:t>Code</w:t>
      </w:r>
      <w:r w:rsidRPr="003B55A9" w:rsidR="00A91AFA">
        <w:t xml:space="preserve"> </w:t>
      </w:r>
      <w:r w:rsidR="00A91AFA">
        <w:rPr>
          <w:lang w:val="en-GB"/>
        </w:rPr>
        <w:t>of</w:t>
      </w:r>
      <w:r w:rsidRPr="003B55A9" w:rsidR="00A91AFA">
        <w:t xml:space="preserve"> </w:t>
      </w:r>
      <w:r w:rsidR="00A91AFA">
        <w:rPr>
          <w:lang w:val="en-GB"/>
        </w:rPr>
        <w:t>Russia</w:t>
      </w:r>
    </w:p>
    <w:p w:rsidR="000C221C" w:rsidP="00223538" w:rsidRDefault="00A91AFA">
      <w:pPr>
        <w:pStyle w:val="ECHRPara"/>
        <w:rPr>
          <w:lang w:val="en-GB"/>
        </w:rPr>
      </w:pPr>
      <w:bookmarkStart w:name="para21" w:id="18"/>
      <w:r>
        <w:rPr>
          <w:lang w:val="en-GB"/>
        </w:rPr>
        <w:t>21</w:t>
      </w:r>
      <w:bookmarkEnd w:id="18"/>
      <w:r w:rsidRPr="003B55A9">
        <w:t>.</w:t>
      </w:r>
      <w:r w:rsidR="00B67250">
        <w:rPr>
          <w:lang w:val="en-GB"/>
        </w:rPr>
        <w:t>  </w:t>
      </w:r>
      <w:r>
        <w:rPr>
          <w:lang w:val="en-GB"/>
        </w:rPr>
        <w:t>Article 303 made it a crime for investigators, prosecutors and defence attorneys to forge evidence.</w:t>
      </w:r>
    </w:p>
    <w:p w:rsidRPr="00282BF9" w:rsidR="00A91AFA" w:rsidP="00223538" w:rsidRDefault="00A91AFA">
      <w:pPr>
        <w:pStyle w:val="ECHRTitle1"/>
        <w:rPr>
          <w:lang w:val="en-GB"/>
        </w:rPr>
      </w:pPr>
      <w:r w:rsidRPr="00282BF9">
        <w:rPr>
          <w:lang w:val="en-GB"/>
        </w:rPr>
        <w:t>COMPLAINTS</w:t>
      </w:r>
    </w:p>
    <w:p w:rsidR="00A91AFA" w:rsidP="00223538" w:rsidRDefault="00A91AFA">
      <w:pPr>
        <w:pStyle w:val="ECHRPara"/>
        <w:rPr>
          <w:lang w:val="en-GB"/>
        </w:rPr>
      </w:pPr>
      <w:r>
        <w:rPr>
          <w:lang w:val="en-GB"/>
        </w:rPr>
        <w:t>22.  </w:t>
      </w:r>
      <w:r w:rsidRPr="00282BF9">
        <w:rPr>
          <w:lang w:val="en-GB"/>
        </w:rPr>
        <w:t xml:space="preserve">The applicants complained </w:t>
      </w:r>
      <w:r>
        <w:t>under</w:t>
      </w:r>
      <w:r w:rsidRPr="00FA645B">
        <w:t xml:space="preserve"> Article 6 §§ 1 and</w:t>
      </w:r>
      <w:r w:rsidR="000C221C">
        <w:t xml:space="preserve"> </w:t>
      </w:r>
      <w:r w:rsidRPr="00FA645B">
        <w:t>3 (d)</w:t>
      </w:r>
      <w:r w:rsidRPr="00282BF9">
        <w:rPr>
          <w:lang w:val="en-GB"/>
        </w:rPr>
        <w:t xml:space="preserve"> of</w:t>
      </w:r>
      <w:r>
        <w:rPr>
          <w:lang w:val="en-GB"/>
        </w:rPr>
        <w:t xml:space="preserve"> the European Convention on Human Rights (</w:t>
      </w:r>
      <w:r w:rsidRPr="00282BF9">
        <w:rPr>
          <w:lang w:val="en-GB"/>
        </w:rPr>
        <w:t>the Convention</w:t>
      </w:r>
      <w:r>
        <w:rPr>
          <w:lang w:val="en-GB"/>
        </w:rPr>
        <w:t>)</w:t>
      </w:r>
      <w:r w:rsidRPr="00282BF9">
        <w:rPr>
          <w:lang w:val="en-GB"/>
        </w:rPr>
        <w:t xml:space="preserve"> </w:t>
      </w:r>
      <w:r w:rsidRPr="00E9716C">
        <w:t xml:space="preserve">that they </w:t>
      </w:r>
      <w:r>
        <w:t>had not had</w:t>
      </w:r>
      <w:r w:rsidRPr="00E9716C">
        <w:t xml:space="preserve"> a fair trial in</w:t>
      </w:r>
      <w:r>
        <w:t xml:space="preserve"> the</w:t>
      </w:r>
      <w:r w:rsidRPr="00E9716C">
        <w:t xml:space="preserve"> criminal proceedings against them, since the</w:t>
      </w:r>
      <w:r>
        <w:t xml:space="preserve"> court admitted into evidence depositions of attesting witnesses whose attendance the</w:t>
      </w:r>
      <w:r w:rsidRPr="00E9716C">
        <w:t xml:space="preserve">y </w:t>
      </w:r>
      <w:r>
        <w:t>had been</w:t>
      </w:r>
      <w:r w:rsidRPr="00E9716C">
        <w:t xml:space="preserve"> unable to </w:t>
      </w:r>
      <w:r>
        <w:t>secure</w:t>
      </w:r>
      <w:r w:rsidRPr="00E9716C">
        <w:t xml:space="preserve"> and </w:t>
      </w:r>
      <w:r>
        <w:t xml:space="preserve">whom they had not </w:t>
      </w:r>
      <w:r w:rsidRPr="00E9716C">
        <w:t>examine</w:t>
      </w:r>
      <w:r>
        <w:t>d</w:t>
      </w:r>
      <w:r w:rsidRPr="00E9716C">
        <w:t xml:space="preserve"> in court.</w:t>
      </w:r>
    </w:p>
    <w:p w:rsidR="000C221C" w:rsidP="00223538" w:rsidRDefault="00A91AFA">
      <w:pPr>
        <w:pStyle w:val="ECHRPara"/>
      </w:pPr>
      <w:r>
        <w:rPr>
          <w:lang w:val="en-GB"/>
        </w:rPr>
        <w:t>23.  </w:t>
      </w:r>
      <w:r>
        <w:t xml:space="preserve">The applicants also submitted a number of complaints </w:t>
      </w:r>
      <w:r w:rsidRPr="00E9716C">
        <w:t>concerning various aspects of the criminal proceed</w:t>
      </w:r>
      <w:r>
        <w:t>ings against them under Article 5, Article 6 and Article 13 of the Convention.</w:t>
      </w:r>
    </w:p>
    <w:p w:rsidRPr="00282BF9" w:rsidR="00A91AFA" w:rsidP="00223538" w:rsidRDefault="00A91AFA">
      <w:pPr>
        <w:pStyle w:val="ECHRTitle1"/>
        <w:rPr>
          <w:lang w:val="en-GB"/>
        </w:rPr>
      </w:pPr>
      <w:r w:rsidRPr="00282BF9">
        <w:rPr>
          <w:lang w:val="en-GB"/>
        </w:rPr>
        <w:t>THE LAW</w:t>
      </w:r>
    </w:p>
    <w:p w:rsidR="00A91AFA" w:rsidP="00223538" w:rsidRDefault="00A91AFA">
      <w:pPr>
        <w:pStyle w:val="ECHRPara"/>
      </w:pPr>
      <w:r>
        <w:t>24.  </w:t>
      </w:r>
      <w:r w:rsidRPr="00F1625F">
        <w:t>In accordance with Rule 42 § 1 of the Rules of Court, the Court decided to join the applications, given their similar factual and legal background.</w:t>
      </w:r>
    </w:p>
    <w:p w:rsidR="00A91AFA" w:rsidP="00223538" w:rsidRDefault="00A91AFA">
      <w:pPr>
        <w:pStyle w:val="ECHRPara"/>
      </w:pPr>
      <w:r>
        <w:t>25.  Article 6 of the Convention reads, in so far as relevant:</w:t>
      </w:r>
    </w:p>
    <w:p w:rsidR="00A91AFA" w:rsidP="00223538" w:rsidRDefault="00A91AFA">
      <w:pPr>
        <w:pStyle w:val="ECHRParaQuote"/>
      </w:pPr>
      <w:r>
        <w:t>“In the determination of ... any criminal charge against him, everyone is entitled to a fair ... hearing ... by [a] ... tribunal ...”</w:t>
      </w:r>
    </w:p>
    <w:p w:rsidR="00A91AFA" w:rsidP="00223538" w:rsidRDefault="000C221C">
      <w:pPr>
        <w:pStyle w:val="ECHRParaQuote"/>
      </w:pPr>
      <w:r>
        <w:t>...</w:t>
      </w:r>
    </w:p>
    <w:p w:rsidR="00A91AFA" w:rsidP="00B67250" w:rsidRDefault="00A91AFA">
      <w:pPr>
        <w:pStyle w:val="ECHRParaQuote"/>
        <w:keepNext/>
        <w:keepLines/>
      </w:pPr>
      <w:r>
        <w:lastRenderedPageBreak/>
        <w:t>3.  Everyone charged with a criminal offence has the following minimum rights:</w:t>
      </w:r>
    </w:p>
    <w:p w:rsidR="00A91AFA" w:rsidP="00B67250" w:rsidRDefault="000C221C">
      <w:pPr>
        <w:pStyle w:val="ECHRParaQuote"/>
        <w:keepNext/>
        <w:keepLines/>
      </w:pPr>
      <w:r>
        <w:t>...</w:t>
      </w:r>
    </w:p>
    <w:p w:rsidR="00A91AFA" w:rsidP="00B67250" w:rsidRDefault="00A91AFA">
      <w:pPr>
        <w:pStyle w:val="ECHRParaQuote"/>
        <w:keepNext/>
        <w:keepLines/>
      </w:pPr>
      <w:r>
        <w:t>(d) </w:t>
      </w:r>
      <w:r w:rsidR="00B67250">
        <w:t> </w:t>
      </w:r>
      <w:r>
        <w:t>to examine or have examined witnesses against him and to obtain the attendance and examination of witnesses on his behalf under the same conditions as witnesses against him;”</w:t>
      </w:r>
    </w:p>
    <w:p w:rsidR="00A91AFA" w:rsidP="00223538" w:rsidRDefault="00A91AFA">
      <w:pPr>
        <w:pStyle w:val="ECHRPara"/>
        <w:rPr>
          <w:lang w:val="en-GB"/>
        </w:rPr>
      </w:pPr>
      <w:r>
        <w:t>26. </w:t>
      </w:r>
      <w:r w:rsidR="00B67250">
        <w:t> </w:t>
      </w:r>
      <w:r w:rsidRPr="0065411B">
        <w:rPr>
          <w:lang w:val="en-GB"/>
        </w:rPr>
        <w:t xml:space="preserve">The Court notes at the outset that the requirements of Article 6 § 3 </w:t>
      </w:r>
      <w:r>
        <w:rPr>
          <w:lang w:val="en-GB"/>
        </w:rPr>
        <w:t xml:space="preserve">of the Convention </w:t>
      </w:r>
      <w:r w:rsidRPr="0065411B">
        <w:rPr>
          <w:lang w:val="en-GB"/>
        </w:rPr>
        <w:t xml:space="preserve">are to be seen as </w:t>
      </w:r>
      <w:r>
        <w:rPr>
          <w:lang w:val="en-GB"/>
        </w:rPr>
        <w:t>specific</w:t>
      </w:r>
      <w:r w:rsidRPr="0065411B">
        <w:rPr>
          <w:lang w:val="en-GB"/>
        </w:rPr>
        <w:t xml:space="preserve"> aspects of the right to a fair trial guaranteed by Article 6 § 1, and therefore the applicant</w:t>
      </w:r>
      <w:r w:rsidR="00120550">
        <w:rPr>
          <w:lang w:val="en-GB"/>
        </w:rPr>
        <w:t>’</w:t>
      </w:r>
      <w:r w:rsidRPr="0065411B">
        <w:rPr>
          <w:lang w:val="en-GB"/>
        </w:rPr>
        <w:t xml:space="preserve">s complaints under Article 6 §§ 1 and 3 should be examined together (see </w:t>
      </w:r>
      <w:r w:rsidRPr="0065411B">
        <w:rPr>
          <w:i/>
          <w:lang w:val="en-GB"/>
        </w:rPr>
        <w:t>Vacher v. France</w:t>
      </w:r>
      <w:r w:rsidRPr="0065411B">
        <w:rPr>
          <w:lang w:val="en-GB"/>
        </w:rPr>
        <w:t xml:space="preserve">, 17 December 1996, § 22, </w:t>
      </w:r>
      <w:r w:rsidRPr="0065411B">
        <w:rPr>
          <w:i/>
          <w:lang w:val="en-GB"/>
        </w:rPr>
        <w:t>Reports of Judgments and Decisions</w:t>
      </w:r>
      <w:r w:rsidRPr="0065411B">
        <w:rPr>
          <w:lang w:val="en-GB"/>
        </w:rPr>
        <w:t xml:space="preserve"> 1996</w:t>
      </w:r>
      <w:r w:rsidRPr="0065411B">
        <w:rPr>
          <w:lang w:val="en-GB"/>
        </w:rPr>
        <w:noBreakHyphen/>
        <w:t>VI).</w:t>
      </w:r>
    </w:p>
    <w:p w:rsidRPr="00470FBA" w:rsidR="00A91AFA" w:rsidP="00223538" w:rsidRDefault="00A91AFA">
      <w:pPr>
        <w:pStyle w:val="ECHRPara"/>
        <w:rPr>
          <w:i/>
          <w:lang w:val="en-GB"/>
        </w:rPr>
      </w:pPr>
      <w:r>
        <w:rPr>
          <w:lang w:val="en-GB"/>
        </w:rPr>
        <w:t>27.  </w:t>
      </w:r>
      <w:r w:rsidRPr="00F71B22">
        <w:rPr>
          <w:lang w:val="en-GB"/>
        </w:rPr>
        <w:t>Furthermore,</w:t>
      </w:r>
      <w:r>
        <w:rPr>
          <w:lang w:val="en-GB"/>
        </w:rPr>
        <w:t xml:space="preserve"> the Court </w:t>
      </w:r>
      <w:r w:rsidRPr="00F71B22">
        <w:t>has always interpreted Article 6 § 3 in the context of an overall examination of the fairness of the procee</w:t>
      </w:r>
      <w:r>
        <w:t>dings</w:t>
      </w:r>
      <w:r w:rsidRPr="00F71B22">
        <w:t>. Traditionally, when examining complaints under Article 6 § 1, the Court has carried out its examination of the overall fairness of the proceedings by having regard to such factors as the way in which statutory safeguards have been applied, the extent to which procedural opportunities were afforded to the defence to counter handicaps that it laboured under and the manner in which the proceedings as a whole have been con</w:t>
      </w:r>
      <w:r>
        <w:t xml:space="preserve">ducted by the trial judge (see </w:t>
      </w:r>
      <w:r w:rsidRPr="00B668D2">
        <w:rPr>
          <w:i/>
          <w:lang w:val="en-GB"/>
        </w:rPr>
        <w:t xml:space="preserve">Al-Khawaja and Tahery v. the United Kingdom </w:t>
      </w:r>
      <w:r w:rsidRPr="00B668D2">
        <w:rPr>
          <w:lang w:val="en-GB"/>
        </w:rPr>
        <w:t>[GC], nos. 26766/05 and 22228/06</w:t>
      </w:r>
      <w:r>
        <w:rPr>
          <w:lang w:val="en-GB"/>
        </w:rPr>
        <w:t>, §</w:t>
      </w:r>
      <w:r w:rsidRPr="00470FBA">
        <w:rPr>
          <w:lang w:val="en-GB"/>
        </w:rPr>
        <w:t>§</w:t>
      </w:r>
      <w:r>
        <w:rPr>
          <w:lang w:val="en-GB"/>
        </w:rPr>
        <w:t xml:space="preserve"> 143-44, ECHR 2011</w:t>
      </w:r>
      <w:r w:rsidRPr="00F71B22">
        <w:t>).</w:t>
      </w:r>
    </w:p>
    <w:p w:rsidR="000C221C" w:rsidP="00223538" w:rsidRDefault="00A91AFA">
      <w:pPr>
        <w:pStyle w:val="ECHRPara"/>
        <w:rPr>
          <w:lang w:val="en-GB"/>
        </w:rPr>
      </w:pPr>
      <w:r>
        <w:t xml:space="preserve">28.  The Court </w:t>
      </w:r>
      <w:r>
        <w:rPr>
          <w:lang w:val="en-GB"/>
        </w:rPr>
        <w:t xml:space="preserve">reiterates that the term “witness” has an “autonomous meaning” in the Convention system and it considered some persons as witnesses even when the national law did not regard them as such (see </w:t>
      </w:r>
      <w:r w:rsidRPr="00B668D2">
        <w:rPr>
          <w:i/>
          <w:lang w:val="en-GB"/>
        </w:rPr>
        <w:t>Kostovski v. the Netherlands</w:t>
      </w:r>
      <w:r>
        <w:rPr>
          <w:lang w:val="en-GB"/>
        </w:rPr>
        <w:t>, 20 November 1989, § 40</w:t>
      </w:r>
      <w:r w:rsidRPr="00B668D2">
        <w:rPr>
          <w:lang w:val="en-GB"/>
        </w:rPr>
        <w:t>, Series A no. 166</w:t>
      </w:r>
      <w:r w:rsidRPr="00271231">
        <w:t xml:space="preserve"> ECHR 2001</w:t>
      </w:r>
      <w:r w:rsidRPr="00271231">
        <w:noBreakHyphen/>
        <w:t>II</w:t>
      </w:r>
      <w:r>
        <w:rPr>
          <w:lang w:val="en-GB"/>
        </w:rPr>
        <w:t>).</w:t>
      </w:r>
    </w:p>
    <w:p w:rsidR="000C221C" w:rsidP="00223538" w:rsidRDefault="00A91AFA">
      <w:pPr>
        <w:pStyle w:val="ECHRPara"/>
      </w:pPr>
      <w:r>
        <w:rPr>
          <w:lang w:val="en-GB"/>
        </w:rPr>
        <w:t>2</w:t>
      </w:r>
      <w:r w:rsidR="00B67250">
        <w:rPr>
          <w:lang w:val="en-GB"/>
        </w:rPr>
        <w:t>9.  </w:t>
      </w:r>
      <w:r>
        <w:rPr>
          <w:lang w:val="en-GB"/>
        </w:rPr>
        <w:t xml:space="preserve">In particular, the Court held that where a deposition may serve to a material degree as the basis for a conviction, then, irrespective of which participant of criminal proceedings made it, it constitutes evidence for the prosecution to which the guarantees provided by Article 6 </w:t>
      </w:r>
      <w:r>
        <w:rPr>
          <w:rFonts w:cstheme="minorHAnsi"/>
          <w:lang w:val="en-GB"/>
        </w:rPr>
        <w:t>§§</w:t>
      </w:r>
      <w:r>
        <w:rPr>
          <w:lang w:val="en-GB"/>
        </w:rPr>
        <w:t xml:space="preserve"> 1 and 3 (d) of the Convention apply (see </w:t>
      </w:r>
      <w:r w:rsidRPr="00F128CF">
        <w:rPr>
          <w:i/>
        </w:rPr>
        <w:t>Lucà v. Italy</w:t>
      </w:r>
      <w:r w:rsidRPr="00F128CF">
        <w:t>, no. 33354/96, §</w:t>
      </w:r>
      <w:r>
        <w:t xml:space="preserve"> </w:t>
      </w:r>
      <w:r w:rsidRPr="00271231">
        <w:t>41</w:t>
      </w:r>
      <w:r w:rsidRPr="00F128CF">
        <w:t>, ECHR 2001</w:t>
      </w:r>
      <w:r w:rsidRPr="00F128CF">
        <w:noBreakHyphen/>
        <w:t>II</w:t>
      </w:r>
      <w:r w:rsidRPr="00271231">
        <w:t xml:space="preserve">, </w:t>
      </w:r>
      <w:r w:rsidRPr="00271231">
        <w:rPr>
          <w:rFonts w:cstheme="minorHAnsi"/>
        </w:rPr>
        <w:t>§</w:t>
      </w:r>
      <w:r w:rsidRPr="00271231">
        <w:t xml:space="preserve"> 41</w:t>
      </w:r>
      <w:r>
        <w:rPr>
          <w:lang w:val="en-GB"/>
        </w:rPr>
        <w:t>)</w:t>
      </w:r>
      <w:r>
        <w:t>.</w:t>
      </w:r>
    </w:p>
    <w:p w:rsidR="000C221C" w:rsidP="00223538" w:rsidRDefault="00A91AFA">
      <w:pPr>
        <w:pStyle w:val="ECHRPara"/>
        <w:rPr>
          <w:lang w:val="en-GB"/>
        </w:rPr>
      </w:pPr>
      <w:r>
        <w:t>30.  </w:t>
      </w:r>
      <w:r w:rsidRPr="009C05CA">
        <w:t xml:space="preserve">Furthermore, </w:t>
      </w:r>
      <w:r w:rsidRPr="009C05CA">
        <w:rPr>
          <w:lang w:val="en-GB"/>
        </w:rPr>
        <w:t xml:space="preserve">the Court considered that </w:t>
      </w:r>
      <w:r w:rsidRPr="009C05CA">
        <w:t>if the prosecution decides that a particular person is a relevant source of information and relies on his or her testimony at the trial and if the testimony of that witness is used by the court to support a guilty verdict it must be presumed that his or her personal appearance and questioning are necessary, unless the testimony of that witness is manifestly irrelevant or redu</w:t>
      </w:r>
      <w:r>
        <w:t xml:space="preserve">ndant (see </w:t>
      </w:r>
      <w:r w:rsidRPr="009C05CA">
        <w:rPr>
          <w:i/>
        </w:rPr>
        <w:t xml:space="preserve">Khodorkovskiy </w:t>
      </w:r>
      <w:r w:rsidRPr="009C05CA">
        <w:rPr>
          <w:i/>
          <w:lang w:val="en-GB"/>
        </w:rPr>
        <w:t>and</w:t>
      </w:r>
      <w:r w:rsidRPr="009C05CA">
        <w:rPr>
          <w:i/>
        </w:rPr>
        <w:t xml:space="preserve"> Lebedev</w:t>
      </w:r>
      <w:r w:rsidRPr="009C05CA">
        <w:t xml:space="preserve"> </w:t>
      </w:r>
      <w:r w:rsidRPr="009C05CA">
        <w:rPr>
          <w:i/>
          <w:lang w:val="en-GB"/>
        </w:rPr>
        <w:t>v. Russia</w:t>
      </w:r>
      <w:r w:rsidRPr="009C05CA">
        <w:t xml:space="preserve">, </w:t>
      </w:r>
      <w:r w:rsidRPr="009C05CA">
        <w:rPr>
          <w:lang w:val="en-GB"/>
        </w:rPr>
        <w:t>nos.</w:t>
      </w:r>
      <w:r w:rsidRPr="009C05CA">
        <w:t xml:space="preserve"> 11082/06 </w:t>
      </w:r>
      <w:r w:rsidRPr="009C05CA">
        <w:rPr>
          <w:lang w:val="en-GB"/>
        </w:rPr>
        <w:t>and</w:t>
      </w:r>
      <w:r w:rsidRPr="009C05CA">
        <w:t xml:space="preserve"> 13772/05</w:t>
      </w:r>
      <w:r w:rsidRPr="009C05CA">
        <w:rPr>
          <w:lang w:val="en-GB"/>
        </w:rPr>
        <w:t>, § 712, 25 July 2013</w:t>
      </w:r>
      <w:r>
        <w:rPr>
          <w:lang w:val="en-GB"/>
        </w:rPr>
        <w:t>).</w:t>
      </w:r>
    </w:p>
    <w:p w:rsidR="000C221C" w:rsidP="00223538" w:rsidRDefault="00A91AFA">
      <w:pPr>
        <w:pStyle w:val="ECHRPara"/>
      </w:pPr>
      <w:r>
        <w:t xml:space="preserve">31.  Turning to the facts of the present case, </w:t>
      </w:r>
      <w:r>
        <w:rPr>
          <w:lang w:val="en-GB"/>
        </w:rPr>
        <w:t>the Court observes at the outset that the Russian Code of Criminal Procedure contains separate provisions on material witnesses</w:t>
      </w:r>
      <w:r w:rsidRPr="00417E52">
        <w:t xml:space="preserve"> (</w:t>
      </w:r>
      <w:r w:rsidR="00E73F24">
        <w:t>“</w:t>
      </w:r>
      <w:r w:rsidRPr="00543857">
        <w:rPr>
          <w:i/>
          <w:lang w:val="ru-RU"/>
        </w:rPr>
        <w:t>свидетели</w:t>
      </w:r>
      <w:r w:rsidR="00E73F24">
        <w:rPr>
          <w:i/>
          <w:lang w:val="en-GB"/>
        </w:rPr>
        <w:t>”</w:t>
      </w:r>
      <w:r w:rsidRPr="00417E52">
        <w:t>)</w:t>
      </w:r>
      <w:r>
        <w:rPr>
          <w:lang w:val="en-GB"/>
        </w:rPr>
        <w:t xml:space="preserve"> and attesting witnesses (</w:t>
      </w:r>
      <w:r w:rsidR="00E73F24">
        <w:rPr>
          <w:lang w:val="en-GB"/>
        </w:rPr>
        <w:t>“</w:t>
      </w:r>
      <w:r w:rsidRPr="00543857">
        <w:rPr>
          <w:i/>
          <w:lang w:val="ru-RU"/>
        </w:rPr>
        <w:t>понятые</w:t>
      </w:r>
      <w:r w:rsidR="00E73F24">
        <w:rPr>
          <w:i/>
          <w:lang w:val="en-GB"/>
        </w:rPr>
        <w:t>”</w:t>
      </w:r>
      <w:r w:rsidRPr="00417E52">
        <w:t>)</w:t>
      </w:r>
      <w:r>
        <w:t xml:space="preserve"> and designates the latter without using </w:t>
      </w:r>
      <w:r w:rsidRPr="00635145">
        <w:t xml:space="preserve">the Russian word for </w:t>
      </w:r>
      <w:r w:rsidR="00120550">
        <w:t>‘</w:t>
      </w:r>
      <w:r>
        <w:t>witness</w:t>
      </w:r>
      <w:r w:rsidR="00120550">
        <w:t>’</w:t>
      </w:r>
      <w:r>
        <w:t xml:space="preserve"> (see paragraph</w:t>
      </w:r>
      <w:r w:rsidRPr="009A154A">
        <w:rPr>
          <w:lang w:val="en-GB"/>
        </w:rPr>
        <w:t xml:space="preserve"> </w:t>
      </w:r>
      <w:r>
        <w:rPr>
          <w:lang w:val="en-GB"/>
        </w:rPr>
        <w:t>10</w:t>
      </w:r>
      <w:r>
        <w:t xml:space="preserve"> above).</w:t>
      </w:r>
      <w:r w:rsidRPr="00417E52">
        <w:t xml:space="preserve"> </w:t>
      </w:r>
      <w:r w:rsidRPr="00A213CD">
        <w:t xml:space="preserve">It is stipulated that material witnesses, unlike attesting </w:t>
      </w:r>
      <w:r>
        <w:t>witnesses</w:t>
      </w:r>
      <w:r w:rsidRPr="00A213CD">
        <w:t>, may have knowledge of the circumstances of t</w:t>
      </w:r>
      <w:r>
        <w:t xml:space="preserve">he </w:t>
      </w:r>
      <w:r>
        <w:lastRenderedPageBreak/>
        <w:t>criminal case (see paragraph</w:t>
      </w:r>
      <w:r>
        <w:rPr>
          <w:lang w:val="en-GB"/>
        </w:rPr>
        <w:t xml:space="preserve"> 11 above).</w:t>
      </w:r>
      <w:r w:rsidRPr="00A213CD">
        <w:t xml:space="preserve"> </w:t>
      </w:r>
      <w:r>
        <w:t>A</w:t>
      </w:r>
      <w:r w:rsidRPr="00A213CD">
        <w:t xml:space="preserve">ttesting </w:t>
      </w:r>
      <w:r>
        <w:t>witnesses</w:t>
      </w:r>
      <w:r w:rsidRPr="00A213CD">
        <w:t xml:space="preserve"> are expected to have no knowledge of the case and they do not testify </w:t>
      </w:r>
      <w:r>
        <w:t>concerning</w:t>
      </w:r>
      <w:r w:rsidRPr="00A213CD">
        <w:t xml:space="preserve"> the circumstances of the case or the defendants</w:t>
      </w:r>
      <w:r w:rsidR="00120550">
        <w:t>’</w:t>
      </w:r>
      <w:r w:rsidRPr="00A213CD">
        <w:t xml:space="preserve"> guilt or innocence.</w:t>
      </w:r>
      <w:r>
        <w:t xml:space="preserve"> When they are invited by the investigator as neutral observers of an investigative measure, they are not considered to be witnesses for the prosecution or the defence (see paragraph 12 above).</w:t>
      </w:r>
    </w:p>
    <w:p w:rsidR="00120550" w:rsidP="00223538" w:rsidRDefault="00A91AFA">
      <w:pPr>
        <w:pStyle w:val="ECHRPara"/>
      </w:pPr>
      <w:r>
        <w:t xml:space="preserve">32.  It therefore appears that the attesting witnesses in the present case did not formally hold witness status under Russian law. However, the Court also </w:t>
      </w:r>
      <w:r w:rsidRPr="00607EBD">
        <w:t>notes that the</w:t>
      </w:r>
      <w:r>
        <w:t xml:space="preserve">ir depositions </w:t>
      </w:r>
      <w:r w:rsidRPr="00607EBD">
        <w:t>were read out at the trial and were taken into account by the domestic courts</w:t>
      </w:r>
      <w:r>
        <w:t xml:space="preserve">, </w:t>
      </w:r>
      <w:r w:rsidRPr="00607EBD">
        <w:t>along with the testimony of material witness</w:t>
      </w:r>
      <w:r>
        <w:t xml:space="preserve">es and other evidence (see paragraph 6 above). Nevertheless, the Court is not convinced that their depositions infringed the guarantees of </w:t>
      </w:r>
      <w:r w:rsidRPr="00607EBD">
        <w:rPr>
          <w:lang w:val="en-GB"/>
        </w:rPr>
        <w:t>Article 6 §§ 1 and 3 (d) of the Convention</w:t>
      </w:r>
      <w:r>
        <w:rPr>
          <w:lang w:val="en-GB"/>
        </w:rPr>
        <w:t xml:space="preserve">. </w:t>
      </w:r>
    </w:p>
    <w:p w:rsidR="00A91AFA" w:rsidP="00223538" w:rsidRDefault="00A91AFA">
      <w:pPr>
        <w:pStyle w:val="ECHRPara"/>
      </w:pPr>
      <w:r>
        <w:t>33.  In particular, the Court observes that the attesting witnesses</w:t>
      </w:r>
      <w:r w:rsidRPr="003C57A4">
        <w:t xml:space="preserve"> </w:t>
      </w:r>
      <w:r>
        <w:t>in the present case were chosen at random and invited by the investigator to observe an investigative measure. They had no knowledge of the criminal cases in question. They confirmed in their depositions that the investigative measures had actually been carried out and attested to their substance, progress and results. T</w:t>
      </w:r>
      <w:r w:rsidRPr="003C57A4">
        <w:t>he attesting persons in all four cases were not empowered to guarantee the lawfulness of a specific investigative measure or the accuracy of its manne</w:t>
      </w:r>
      <w:r>
        <w:t xml:space="preserve">r of recording (see paragraphs </w:t>
      </w:r>
      <w:r>
        <w:rPr>
          <w:lang w:val="en-GB"/>
        </w:rPr>
        <w:t>4</w:t>
      </w:r>
      <w:r>
        <w:t xml:space="preserve">, 12 and </w:t>
      </w:r>
      <w:r>
        <w:rPr>
          <w:lang w:val="en-GB"/>
        </w:rPr>
        <w:t>15</w:t>
      </w:r>
      <w:r>
        <w:t xml:space="preserve"> </w:t>
      </w:r>
      <w:r w:rsidRPr="003C57A4">
        <w:t>above).</w:t>
      </w:r>
    </w:p>
    <w:p w:rsidR="000C221C" w:rsidP="00223538" w:rsidRDefault="00A91AFA">
      <w:pPr>
        <w:pStyle w:val="ECHRPara"/>
      </w:pPr>
      <w:r>
        <w:t>34. </w:t>
      </w:r>
      <w:r w:rsidR="00A74FA8">
        <w:t> </w:t>
      </w:r>
      <w:r>
        <w:t>T</w:t>
      </w:r>
      <w:r w:rsidRPr="003C57A4">
        <w:t>he police officers also drew up a record of each investigative measure to confirm that it did indeed take place and to set out t</w:t>
      </w:r>
      <w:r>
        <w:t>he findings made (see paragraphs 5 and</w:t>
      </w:r>
      <w:r w:rsidRPr="003C57A4">
        <w:t xml:space="preserve"> </w:t>
      </w:r>
      <w:r>
        <w:rPr>
          <w:lang w:val="en-GB"/>
        </w:rPr>
        <w:t>13</w:t>
      </w:r>
      <w:r>
        <w:t xml:space="preserve"> </w:t>
      </w:r>
      <w:r w:rsidRPr="003C57A4">
        <w:t>above).</w:t>
      </w:r>
      <w:r>
        <w:t xml:space="preserve"> Their records were admitted as evidence by the courts (see paragraphs 6 and </w:t>
      </w:r>
      <w:r>
        <w:rPr>
          <w:lang w:val="en-GB"/>
        </w:rPr>
        <w:t>16</w:t>
      </w:r>
      <w:r>
        <w:t xml:space="preserve"> above). </w:t>
      </w:r>
      <w:r w:rsidRPr="003C57A4">
        <w:t>The law required police officers to conduct the measure in a lawful manner on pain of th</w:t>
      </w:r>
      <w:r>
        <w:t xml:space="preserve">e exclusion of evidence or even </w:t>
      </w:r>
      <w:r w:rsidRPr="003C57A4">
        <w:t>criminal pro</w:t>
      </w:r>
      <w:r>
        <w:t xml:space="preserve">secution (see paragraphs </w:t>
      </w:r>
      <w:r>
        <w:rPr>
          <w:lang w:val="en-GB"/>
        </w:rPr>
        <w:t>8</w:t>
      </w:r>
      <w:r>
        <w:t xml:space="preserve">, </w:t>
      </w:r>
      <w:r>
        <w:rPr>
          <w:lang w:val="en-GB"/>
        </w:rPr>
        <w:t>9</w:t>
      </w:r>
      <w:r>
        <w:t xml:space="preserve">, </w:t>
      </w:r>
      <w:r>
        <w:rPr>
          <w:lang w:val="en-GB"/>
        </w:rPr>
        <w:t>17</w:t>
      </w:r>
      <w:r>
        <w:t xml:space="preserve">, </w:t>
      </w:r>
      <w:r>
        <w:rPr>
          <w:lang w:val="en-GB"/>
        </w:rPr>
        <w:t>18</w:t>
      </w:r>
      <w:r>
        <w:t xml:space="preserve">, 20 and </w:t>
      </w:r>
      <w:r>
        <w:rPr>
          <w:lang w:val="en-GB"/>
        </w:rPr>
        <w:t>21</w:t>
      </w:r>
      <w:r>
        <w:t xml:space="preserve"> </w:t>
      </w:r>
      <w:r w:rsidRPr="003C57A4">
        <w:t>above).</w:t>
      </w:r>
    </w:p>
    <w:p w:rsidR="00A91AFA" w:rsidP="00223538" w:rsidRDefault="00A91AFA">
      <w:pPr>
        <w:pStyle w:val="ECHRPara"/>
      </w:pPr>
      <w:r>
        <w:t>35.  </w:t>
      </w:r>
      <w:r w:rsidRPr="003C57A4">
        <w:t xml:space="preserve">The statements of the attesting </w:t>
      </w:r>
      <w:r>
        <w:t xml:space="preserve">witnesses duplicated the </w:t>
      </w:r>
      <w:r w:rsidRPr="003C57A4">
        <w:t>content</w:t>
      </w:r>
      <w:r>
        <w:t>s</w:t>
      </w:r>
      <w:r w:rsidRPr="003C57A4">
        <w:t xml:space="preserve"> </w:t>
      </w:r>
      <w:r>
        <w:t>of</w:t>
      </w:r>
      <w:r w:rsidRPr="003C57A4">
        <w:t xml:space="preserve"> the corresponding police records </w:t>
      </w:r>
      <w:r>
        <w:t xml:space="preserve">and </w:t>
      </w:r>
      <w:r w:rsidRPr="003C57A4">
        <w:t>contain</w:t>
      </w:r>
      <w:r>
        <w:t>ed</w:t>
      </w:r>
      <w:r w:rsidRPr="003C57A4">
        <w:t xml:space="preserve"> </w:t>
      </w:r>
      <w:r>
        <w:t>no</w:t>
      </w:r>
      <w:r w:rsidRPr="003C57A4">
        <w:t xml:space="preserve"> new relevant information</w:t>
      </w:r>
      <w:r>
        <w:t xml:space="preserve"> </w:t>
      </w:r>
      <w:r w:rsidRPr="003C57A4">
        <w:t xml:space="preserve">(see paragraph </w:t>
      </w:r>
      <w:r>
        <w:t>6</w:t>
      </w:r>
      <w:r w:rsidRPr="003C57A4">
        <w:t xml:space="preserve"> above). </w:t>
      </w:r>
      <w:r>
        <w:t>T</w:t>
      </w:r>
      <w:r w:rsidRPr="003C57A4">
        <w:t xml:space="preserve">he applicants did not submit that the attesting </w:t>
      </w:r>
      <w:r>
        <w:t>witnesses</w:t>
      </w:r>
      <w:r w:rsidRPr="003C57A4">
        <w:t xml:space="preserve"> in their cases had had knowledge over and above the information provided in the police records</w:t>
      </w:r>
      <w:r>
        <w:t xml:space="preserve"> or that their testimony in court could otherwise influence the outcome of the criminal proceedings.</w:t>
      </w:r>
    </w:p>
    <w:p w:rsidR="000C221C" w:rsidP="00223538" w:rsidRDefault="00A91AFA">
      <w:pPr>
        <w:pStyle w:val="ECHRPara"/>
      </w:pPr>
      <w:r>
        <w:t>36.  The Court also observes that the criminal proceedings against all four applicants were generally fair. A</w:t>
      </w:r>
      <w:r w:rsidRPr="003C57A4">
        <w:t xml:space="preserve">s participants </w:t>
      </w:r>
      <w:r>
        <w:t xml:space="preserve">in </w:t>
      </w:r>
      <w:r w:rsidRPr="003C57A4">
        <w:t>investigative measures</w:t>
      </w:r>
      <w:r w:rsidRPr="00543857">
        <w:t xml:space="preserve"> </w:t>
      </w:r>
      <w:r w:rsidRPr="003C57A4">
        <w:t>and</w:t>
      </w:r>
      <w:r w:rsidRPr="00543857">
        <w:t xml:space="preserve"> </w:t>
      </w:r>
      <w:r w:rsidRPr="003C57A4">
        <w:t xml:space="preserve">in the criminal proceedings, the applicants could avail themselves of existing procedural safeguards against possible police abuse in the course of investigative measures. In particular, they could make amendments and clarifications to the pertinent records in the course of undercover operations, submit motions to the investigator and the court, question undercover agents and police officers in relation to the measures conducted and the contents of the respective procedural documents and request that the courts exclude any </w:t>
      </w:r>
      <w:r w:rsidRPr="003C57A4">
        <w:lastRenderedPageBreak/>
        <w:t>illegally o</w:t>
      </w:r>
      <w:r>
        <w:t xml:space="preserve">btained evidence (see paragraphs </w:t>
      </w:r>
      <w:r>
        <w:rPr>
          <w:lang w:val="en-GB"/>
        </w:rPr>
        <w:t>14</w:t>
      </w:r>
      <w:r>
        <w:t xml:space="preserve">, 19 and 20 </w:t>
      </w:r>
      <w:r w:rsidR="00E73F24">
        <w:t>above</w:t>
      </w:r>
      <w:r w:rsidRPr="003C57A4">
        <w:t>).</w:t>
      </w:r>
      <w:r>
        <w:t xml:space="preserve"> During the trial, they were able to put questions to the police officers and undercover agents, submit motions, present their arguments in their defence and lodge objections (see paragraph 6 above).</w:t>
      </w:r>
    </w:p>
    <w:p w:rsidR="000C221C" w:rsidP="00223538" w:rsidRDefault="00A91AFA">
      <w:pPr>
        <w:pStyle w:val="ECHRPara"/>
        <w:rPr>
          <w:rFonts w:ascii="Times New Roman" w:hAnsi="Times New Roman" w:eastAsia="PMingLiU" w:cs="Times New Roman"/>
        </w:rPr>
      </w:pPr>
      <w:r>
        <w:t xml:space="preserve">37.  Therefore, considering the repetitive nature of the depositions made by the attesting witnesses and </w:t>
      </w:r>
      <w:r w:rsidRPr="00D8303C">
        <w:t xml:space="preserve">the </w:t>
      </w:r>
      <w:r>
        <w:t>remedies</w:t>
      </w:r>
      <w:r w:rsidRPr="00D8303C">
        <w:t xml:space="preserve"> available to the applicants aga</w:t>
      </w:r>
      <w:r>
        <w:t>inst possible procedural irregularities, it appears that the contribution by the attesting witnesses to the proceedings was limited to statements on the manner of conducting the investigative measures. Accordingly, in the present case their depositions did not serve to a material degree as a basis for the applicants</w:t>
      </w:r>
      <w:r w:rsidR="00120550">
        <w:t>’</w:t>
      </w:r>
      <w:r>
        <w:t xml:space="preserve"> convictions and were, in essence, redundant evidence which did not require appearance in court. In particular, it has not been</w:t>
      </w:r>
      <w:r>
        <w:rPr>
          <w:rFonts w:ascii="Times New Roman" w:hAnsi="Times New Roman" w:eastAsia="PMingLiU" w:cs="Times New Roman"/>
        </w:rPr>
        <w:t xml:space="preserve"> demonstrated that the attesting witnesses</w:t>
      </w:r>
      <w:r w:rsidR="00120550">
        <w:rPr>
          <w:rFonts w:ascii="Times New Roman" w:hAnsi="Times New Roman" w:eastAsia="PMingLiU" w:cs="Times New Roman"/>
        </w:rPr>
        <w:t>’</w:t>
      </w:r>
      <w:r>
        <w:rPr>
          <w:rFonts w:ascii="Times New Roman" w:hAnsi="Times New Roman" w:eastAsia="PMingLiU" w:cs="Times New Roman"/>
        </w:rPr>
        <w:t xml:space="preserve"> statements went beyond the mere modalities of the investigative actions, were not redundant, or were relied upon by the domestic court in a substantial manner.</w:t>
      </w:r>
      <w:r w:rsidRPr="00635145">
        <w:rPr>
          <w:rFonts w:ascii="Times New Roman" w:hAnsi="Times New Roman" w:eastAsia="PMingLiU" w:cs="Times New Roman"/>
        </w:rPr>
        <w:t xml:space="preserve"> It also was not shown that the attesting witnesses had knowledge which was over and above the information provided in the police records or that their testimony in court could otherwise influence the outcome of the criminal proceedings against the applicants.</w:t>
      </w:r>
    </w:p>
    <w:p w:rsidR="000C221C" w:rsidP="00223538" w:rsidRDefault="00A91AFA">
      <w:pPr>
        <w:pStyle w:val="ECHRPara"/>
      </w:pPr>
      <w:r>
        <w:t>38.  Having regard to all of the above, the Court considers that the applicants</w:t>
      </w:r>
      <w:r w:rsidR="00120550">
        <w:t>’</w:t>
      </w:r>
      <w:r>
        <w:t xml:space="preserve"> complaints of unfair trial due to their inability to examine attesting witnesses in court are manifestly ill-founded and must be rejected pursuant to Article 35 </w:t>
      </w:r>
      <w:r>
        <w:rPr>
          <w:rFonts w:cstheme="minorHAnsi"/>
        </w:rPr>
        <w:t>§</w:t>
      </w:r>
      <w:r w:rsidRPr="00D44ED9">
        <w:rPr>
          <w:rFonts w:cstheme="minorHAnsi"/>
        </w:rPr>
        <w:t>§</w:t>
      </w:r>
      <w:r>
        <w:rPr>
          <w:rFonts w:cstheme="minorHAnsi"/>
        </w:rPr>
        <w:t xml:space="preserve"> </w:t>
      </w:r>
      <w:r>
        <w:t>3 (a) and 4 of the Convention.</w:t>
      </w:r>
    </w:p>
    <w:p w:rsidRPr="00282BF9" w:rsidR="00A91AFA" w:rsidP="00223538" w:rsidRDefault="00A91AFA">
      <w:pPr>
        <w:pStyle w:val="ECHRPara"/>
        <w:rPr>
          <w:lang w:val="en-GB"/>
        </w:rPr>
      </w:pPr>
      <w:r>
        <w:t>39.  </w:t>
      </w:r>
      <w:r w:rsidRPr="00FA645B">
        <w:t>Lastly, the Court has examined the other complaints submitted by the applicant</w:t>
      </w:r>
      <w:r>
        <w:t>s</w:t>
      </w:r>
      <w:r w:rsidRPr="00FA645B">
        <w:t>. Having regard to all the material in its possession and in so far as these complaints fall within the Court</w:t>
      </w:r>
      <w:r w:rsidR="00120550">
        <w:t>’</w:t>
      </w:r>
      <w:r w:rsidRPr="00FA645B">
        <w:t>s competence, it finds that they do not disclose any appearance of a violation of the rights and freedoms set out in the Convention or its Protocols. It follows that this part of the application must be rejected as manifestly ill-founded, pursuant to Article</w:t>
      </w:r>
      <w:r w:rsidR="00B67250">
        <w:t> </w:t>
      </w:r>
      <w:r w:rsidRPr="00FA645B">
        <w:t>35 §§ 3 (a) and 4 of the Convention.</w:t>
      </w:r>
    </w:p>
    <w:p w:rsidR="000C221C" w:rsidP="00223538" w:rsidRDefault="00A91AFA">
      <w:pPr>
        <w:pStyle w:val="JuParaLast"/>
        <w:rPr>
          <w:lang w:val="en-GB"/>
        </w:rPr>
      </w:pPr>
      <w:r w:rsidRPr="00282BF9">
        <w:rPr>
          <w:lang w:val="en-GB"/>
        </w:rPr>
        <w:t>For these reasons, the Court</w:t>
      </w:r>
      <w:r>
        <w:rPr>
          <w:lang w:val="en-GB"/>
        </w:rPr>
        <w:t>,</w:t>
      </w:r>
      <w:r w:rsidRPr="00282BF9">
        <w:rPr>
          <w:lang w:val="en-GB"/>
        </w:rPr>
        <w:t xml:space="preserve"> unanimously</w:t>
      </w:r>
      <w:r>
        <w:rPr>
          <w:lang w:val="en-GB"/>
        </w:rPr>
        <w:t>,</w:t>
      </w:r>
    </w:p>
    <w:p w:rsidRPr="00282BF9" w:rsidR="00A91AFA" w:rsidP="00223538" w:rsidRDefault="00A91AFA">
      <w:pPr>
        <w:pStyle w:val="DecList"/>
        <w:rPr>
          <w:lang w:val="en-GB"/>
        </w:rPr>
      </w:pPr>
      <w:r w:rsidRPr="00282BF9">
        <w:rPr>
          <w:i/>
          <w:lang w:val="en-GB"/>
        </w:rPr>
        <w:t xml:space="preserve">Decides </w:t>
      </w:r>
      <w:r w:rsidRPr="00282BF9">
        <w:rPr>
          <w:lang w:val="en-GB"/>
        </w:rPr>
        <w:t>to join the applications;</w:t>
      </w:r>
    </w:p>
    <w:p w:rsidRPr="00282BF9" w:rsidR="00A91AFA" w:rsidP="00223538" w:rsidRDefault="00A91AFA">
      <w:pPr>
        <w:pStyle w:val="DecList"/>
        <w:rPr>
          <w:lang w:val="en-GB"/>
        </w:rPr>
      </w:pPr>
      <w:r w:rsidRPr="00282BF9">
        <w:rPr>
          <w:i/>
          <w:lang w:val="en-GB"/>
        </w:rPr>
        <w:t>Declares</w:t>
      </w:r>
      <w:r w:rsidRPr="00282BF9">
        <w:rPr>
          <w:lang w:val="en-GB"/>
        </w:rPr>
        <w:t xml:space="preserve"> the applications inadmissible.</w:t>
      </w:r>
    </w:p>
    <w:p w:rsidRPr="007718BF" w:rsidR="00E93FC7" w:rsidP="00EE3667" w:rsidRDefault="00E93FC7">
      <w:pPr>
        <w:pStyle w:val="ECHRPara"/>
        <w:rPr>
          <w:sz w:val="2"/>
          <w:szCs w:val="2"/>
          <w:lang w:val="en-GB"/>
        </w:rPr>
      </w:pPr>
    </w:p>
    <w:p w:rsidRPr="00AB6E9F" w:rsidR="009912DE" w:rsidP="009912DE" w:rsidRDefault="00C75E0F">
      <w:pPr>
        <w:pStyle w:val="DecList"/>
      </w:pPr>
      <w:r w:rsidRPr="00B90EA9">
        <w:rPr>
          <w:lang w:val="en-GB"/>
        </w:rPr>
        <w:t xml:space="preserve">Done in English and notified in writing on </w:t>
      </w:r>
      <w:r w:rsidR="00A91AFA">
        <w:rPr>
          <w:szCs w:val="24"/>
          <w:lang w:val="en-GB"/>
        </w:rPr>
        <w:t>15 October 2015</w:t>
      </w:r>
      <w:r w:rsidRPr="00B90EA9">
        <w:rPr>
          <w:lang w:val="en-GB"/>
        </w:rPr>
        <w:t>.</w:t>
      </w:r>
    </w:p>
    <w:p w:rsidRPr="00CD4473" w:rsidR="009912DE" w:rsidP="009912DE" w:rsidRDefault="00A91AFA">
      <w:pPr>
        <w:pStyle w:val="JuSigned"/>
        <w:rPr>
          <w:lang w:val="nb-NO"/>
        </w:rPr>
      </w:pPr>
      <w:r w:rsidRPr="00AB6E9F">
        <w:tab/>
      </w:r>
      <w:r w:rsidRPr="00CD4473">
        <w:rPr>
          <w:lang w:val="nb-NO"/>
        </w:rPr>
        <w:t>Søren Nielsen</w:t>
      </w:r>
      <w:r w:rsidRPr="00CD4473" w:rsidR="009912DE">
        <w:rPr>
          <w:lang w:val="nb-NO"/>
        </w:rPr>
        <w:tab/>
      </w:r>
      <w:r w:rsidRPr="00CD4473">
        <w:rPr>
          <w:szCs w:val="24"/>
          <w:lang w:val="nb-NO"/>
        </w:rPr>
        <w:t>András Sajó</w:t>
      </w:r>
      <w:r w:rsidRPr="00CD4473" w:rsidR="009912DE">
        <w:rPr>
          <w:lang w:val="nb-NO"/>
        </w:rPr>
        <w:br/>
      </w:r>
      <w:r w:rsidRPr="00CD4473" w:rsidR="009912DE">
        <w:rPr>
          <w:lang w:val="nb-NO"/>
        </w:rPr>
        <w:tab/>
      </w:r>
      <w:r w:rsidRPr="00CD4473">
        <w:rPr>
          <w:iCs/>
          <w:lang w:val="nb-NO"/>
        </w:rPr>
        <w:t>Registrar</w:t>
      </w:r>
      <w:r w:rsidRPr="00CD4473" w:rsidR="009912DE">
        <w:rPr>
          <w:lang w:val="nb-NO"/>
        </w:rPr>
        <w:tab/>
        <w:t>President</w:t>
      </w:r>
    </w:p>
    <w:p w:rsidRPr="00CD4473" w:rsidR="00A91AFA" w:rsidP="003F5BAF" w:rsidRDefault="00A91AFA">
      <w:pPr>
        <w:rPr>
          <w:lang w:val="nb-NO"/>
        </w:rPr>
      </w:pPr>
      <w:r w:rsidRPr="00CD4473">
        <w:rPr>
          <w:lang w:val="nb-NO"/>
        </w:rPr>
        <w:br w:type="page"/>
      </w:r>
    </w:p>
    <w:p w:rsidRPr="00B90EA9" w:rsidR="00ED04C3" w:rsidP="00ED04C3" w:rsidRDefault="00A91AFA">
      <w:pPr>
        <w:pStyle w:val="JuTitle"/>
        <w:rPr>
          <w:lang w:val="en-GB"/>
        </w:rPr>
      </w:pPr>
      <w:r w:rsidRPr="00B90EA9">
        <w:rPr>
          <w:lang w:val="en-GB"/>
        </w:rPr>
        <w:lastRenderedPageBreak/>
        <w:t>Appendix</w:t>
      </w:r>
    </w:p>
    <w:tbl>
      <w:tblPr>
        <w:tblStyle w:val="ECHRListTable"/>
        <w:tblW w:w="10773" w:type="dxa"/>
        <w:tblInd w:w="-1593" w:type="dxa"/>
        <w:tblLayout w:type="fixed"/>
        <w:tblLook w:val="05E0" w:firstRow="1" w:lastRow="1" w:firstColumn="1" w:lastColumn="1" w:noHBand="0" w:noVBand="1"/>
      </w:tblPr>
      <w:tblGrid>
        <w:gridCol w:w="567"/>
        <w:gridCol w:w="1418"/>
        <w:gridCol w:w="1417"/>
        <w:gridCol w:w="1985"/>
        <w:gridCol w:w="1843"/>
        <w:gridCol w:w="2409"/>
        <w:gridCol w:w="1134"/>
      </w:tblGrid>
      <w:tr w:rsidRPr="00B41657" w:rsidR="00B41657" w:rsidTr="00B41657">
        <w:trPr>
          <w:cnfStyle w:val="100000000000" w:firstRow="1" w:lastRow="0" w:firstColumn="0" w:lastColumn="0" w:oddVBand="0" w:evenVBand="0" w:oddHBand="0" w:evenHBand="0" w:firstRowFirstColumn="0" w:firstRowLastColumn="0" w:lastRowFirstColumn="0" w:lastRowLastColumn="0"/>
        </w:trPr>
        <w:tc>
          <w:tcPr>
            <w:tcW w:w="567" w:type="dxa"/>
          </w:tcPr>
          <w:p w:rsidRPr="00B41657" w:rsidR="00CD4473" w:rsidP="004C06CD" w:rsidRDefault="00CD4473">
            <w:pPr>
              <w:jc w:val="left"/>
              <w:rPr>
                <w:sz w:val="22"/>
              </w:rPr>
            </w:pPr>
            <w:bookmarkStart w:name="TableStart" w:id="19"/>
            <w:bookmarkStart w:name="AppTableStart" w:id="20"/>
            <w:bookmarkEnd w:id="19"/>
            <w:bookmarkEnd w:id="20"/>
            <w:r w:rsidRPr="00B41657">
              <w:rPr>
                <w:sz w:val="22"/>
              </w:rPr>
              <w:t>No</w:t>
            </w:r>
          </w:p>
        </w:tc>
        <w:tc>
          <w:tcPr>
            <w:tcW w:w="1418" w:type="dxa"/>
          </w:tcPr>
          <w:p w:rsidRPr="00B41657" w:rsidR="00CD4473" w:rsidP="004C06CD" w:rsidRDefault="00CD4473">
            <w:pPr>
              <w:jc w:val="left"/>
              <w:rPr>
                <w:sz w:val="22"/>
              </w:rPr>
            </w:pPr>
            <w:r w:rsidRPr="00B41657">
              <w:rPr>
                <w:sz w:val="22"/>
              </w:rPr>
              <w:t>Application No</w:t>
            </w:r>
          </w:p>
        </w:tc>
        <w:tc>
          <w:tcPr>
            <w:tcW w:w="1417" w:type="dxa"/>
          </w:tcPr>
          <w:p w:rsidRPr="00B41657" w:rsidR="00CD4473" w:rsidP="004C06CD" w:rsidRDefault="00CD4473">
            <w:pPr>
              <w:jc w:val="left"/>
              <w:rPr>
                <w:sz w:val="22"/>
              </w:rPr>
            </w:pPr>
            <w:r w:rsidRPr="00B41657">
              <w:rPr>
                <w:sz w:val="22"/>
              </w:rPr>
              <w:t>Lodged on</w:t>
            </w:r>
          </w:p>
        </w:tc>
        <w:tc>
          <w:tcPr>
            <w:tcW w:w="1985" w:type="dxa"/>
          </w:tcPr>
          <w:p w:rsidRPr="00B41657" w:rsidR="00CD4473" w:rsidP="004C06CD" w:rsidRDefault="00CD4473">
            <w:pPr>
              <w:jc w:val="left"/>
              <w:rPr>
                <w:sz w:val="22"/>
                <w:lang w:val="en-GB"/>
              </w:rPr>
            </w:pPr>
            <w:r w:rsidRPr="00B41657">
              <w:rPr>
                <w:sz w:val="22"/>
                <w:lang w:val="en-GB"/>
              </w:rPr>
              <w:t>Applicant</w:t>
            </w:r>
          </w:p>
          <w:p w:rsidRPr="00B41657" w:rsidR="00CD4473" w:rsidP="004C06CD" w:rsidRDefault="00CD4473">
            <w:pPr>
              <w:jc w:val="left"/>
              <w:rPr>
                <w:sz w:val="22"/>
                <w:lang w:val="en-GB"/>
              </w:rPr>
            </w:pPr>
            <w:r w:rsidRPr="00B41657">
              <w:rPr>
                <w:sz w:val="22"/>
                <w:lang w:val="en-GB"/>
              </w:rPr>
              <w:t>Date of birth</w:t>
            </w:r>
          </w:p>
          <w:p w:rsidRPr="00B41657" w:rsidR="00CD4473" w:rsidP="004C06CD" w:rsidRDefault="00CD4473">
            <w:pPr>
              <w:jc w:val="left"/>
              <w:rPr>
                <w:sz w:val="22"/>
                <w:lang w:val="en-GB"/>
              </w:rPr>
            </w:pPr>
            <w:r w:rsidRPr="00B41657">
              <w:rPr>
                <w:sz w:val="22"/>
                <w:lang w:val="en-GB"/>
              </w:rPr>
              <w:t>Place of residence</w:t>
            </w:r>
          </w:p>
        </w:tc>
        <w:tc>
          <w:tcPr>
            <w:tcW w:w="1843" w:type="dxa"/>
          </w:tcPr>
          <w:p w:rsidRPr="00B41657" w:rsidR="00CD4473" w:rsidP="004C06CD" w:rsidRDefault="00CD4473">
            <w:pPr>
              <w:jc w:val="left"/>
              <w:rPr>
                <w:sz w:val="22"/>
              </w:rPr>
            </w:pPr>
            <w:r w:rsidRPr="00B41657">
              <w:rPr>
                <w:sz w:val="22"/>
              </w:rPr>
              <w:t>Represented by</w:t>
            </w:r>
          </w:p>
        </w:tc>
        <w:tc>
          <w:tcPr>
            <w:tcW w:w="2409" w:type="dxa"/>
          </w:tcPr>
          <w:p w:rsidRPr="00B41657" w:rsidR="00CD4473" w:rsidP="004C06CD" w:rsidRDefault="00B24F64">
            <w:pPr>
              <w:rPr>
                <w:sz w:val="22"/>
              </w:rPr>
            </w:pPr>
            <w:r w:rsidRPr="00B41657">
              <w:rPr>
                <w:sz w:val="22"/>
              </w:rPr>
              <w:t>Final j</w:t>
            </w:r>
            <w:r w:rsidRPr="00B41657" w:rsidR="00CD4473">
              <w:rPr>
                <w:sz w:val="22"/>
              </w:rPr>
              <w:t>udgment</w:t>
            </w:r>
          </w:p>
        </w:tc>
        <w:tc>
          <w:tcPr>
            <w:tcW w:w="1134" w:type="dxa"/>
          </w:tcPr>
          <w:p w:rsidRPr="00B41657" w:rsidR="00CD4473" w:rsidP="004C06CD" w:rsidRDefault="00B24F64">
            <w:pPr>
              <w:rPr>
                <w:sz w:val="22"/>
              </w:rPr>
            </w:pPr>
            <w:r w:rsidRPr="00B41657">
              <w:rPr>
                <w:sz w:val="22"/>
              </w:rPr>
              <w:t>Missing attesting w</w:t>
            </w:r>
            <w:r w:rsidRPr="00B41657" w:rsidR="00CD4473">
              <w:rPr>
                <w:sz w:val="22"/>
              </w:rPr>
              <w:t>itnesses</w:t>
            </w:r>
          </w:p>
        </w:tc>
      </w:tr>
      <w:tr w:rsidRPr="00B41657" w:rsidR="00B41657" w:rsidTr="00B41657">
        <w:tc>
          <w:tcPr>
            <w:tcW w:w="567" w:type="dxa"/>
          </w:tcPr>
          <w:p w:rsidRPr="00B41657" w:rsidR="00CD4473" w:rsidP="00CD4473" w:rsidRDefault="00CD4473">
            <w:pPr>
              <w:pStyle w:val="ListParagraph"/>
              <w:numPr>
                <w:ilvl w:val="0"/>
                <w:numId w:val="17"/>
              </w:numPr>
              <w:tabs>
                <w:tab w:val="num" w:pos="283"/>
              </w:tabs>
              <w:ind w:left="0" w:firstLine="0"/>
              <w:jc w:val="left"/>
              <w:rPr>
                <w:sz w:val="22"/>
                <w:lang w:val="en-GB"/>
              </w:rPr>
            </w:pPr>
          </w:p>
        </w:tc>
        <w:tc>
          <w:tcPr>
            <w:tcW w:w="1418" w:type="dxa"/>
          </w:tcPr>
          <w:p w:rsidRPr="00B41657" w:rsidR="00CD4473" w:rsidP="004C06CD" w:rsidRDefault="00CD4473">
            <w:pPr>
              <w:jc w:val="left"/>
              <w:rPr>
                <w:sz w:val="22"/>
              </w:rPr>
            </w:pPr>
            <w:r w:rsidRPr="00B41657">
              <w:rPr>
                <w:sz w:val="22"/>
              </w:rPr>
              <w:t>29474/07</w:t>
            </w:r>
          </w:p>
        </w:tc>
        <w:tc>
          <w:tcPr>
            <w:tcW w:w="1417" w:type="dxa"/>
          </w:tcPr>
          <w:p w:rsidRPr="00B41657" w:rsidR="00CD4473" w:rsidP="004C06CD" w:rsidRDefault="00CD4473">
            <w:pPr>
              <w:jc w:val="left"/>
              <w:rPr>
                <w:sz w:val="22"/>
              </w:rPr>
            </w:pPr>
            <w:r w:rsidRPr="00B41657">
              <w:rPr>
                <w:sz w:val="22"/>
              </w:rPr>
              <w:t>21/05/2007</w:t>
            </w:r>
          </w:p>
        </w:tc>
        <w:tc>
          <w:tcPr>
            <w:tcW w:w="1985" w:type="dxa"/>
          </w:tcPr>
          <w:p w:rsidR="00120550" w:rsidP="004C06CD" w:rsidRDefault="00CD4473">
            <w:pPr>
              <w:jc w:val="left"/>
              <w:rPr>
                <w:b/>
                <w:sz w:val="22"/>
              </w:rPr>
            </w:pPr>
            <w:r w:rsidRPr="00B41657">
              <w:rPr>
                <w:b/>
                <w:sz w:val="22"/>
              </w:rPr>
              <w:t>Yevgeniy Pavlovich SHUMEYEV</w:t>
            </w:r>
          </w:p>
          <w:p w:rsidRPr="00B41657" w:rsidR="00CD4473" w:rsidP="004C06CD" w:rsidRDefault="00CD4473">
            <w:pPr>
              <w:jc w:val="left"/>
              <w:rPr>
                <w:sz w:val="22"/>
              </w:rPr>
            </w:pPr>
            <w:r w:rsidRPr="00B41657">
              <w:rPr>
                <w:sz w:val="22"/>
              </w:rPr>
              <w:t>10/06/1986</w:t>
            </w:r>
          </w:p>
          <w:p w:rsidRPr="00B41657" w:rsidR="00CD4473" w:rsidP="004C06CD" w:rsidRDefault="00CD4473">
            <w:pPr>
              <w:jc w:val="left"/>
              <w:rPr>
                <w:sz w:val="22"/>
              </w:rPr>
            </w:pPr>
            <w:r w:rsidRPr="00B41657">
              <w:rPr>
                <w:sz w:val="22"/>
              </w:rPr>
              <w:t>Donetsk</w:t>
            </w:r>
          </w:p>
          <w:p w:rsidRPr="00B41657" w:rsidR="00CD4473" w:rsidP="004C06CD" w:rsidRDefault="00CD4473">
            <w:pPr>
              <w:jc w:val="left"/>
              <w:rPr>
                <w:sz w:val="22"/>
              </w:rPr>
            </w:pPr>
          </w:p>
        </w:tc>
        <w:tc>
          <w:tcPr>
            <w:tcW w:w="1843" w:type="dxa"/>
          </w:tcPr>
          <w:p w:rsidRPr="00B41657" w:rsidR="00CD4473" w:rsidP="004C06CD" w:rsidRDefault="00CD4473">
            <w:pPr>
              <w:jc w:val="left"/>
              <w:rPr>
                <w:sz w:val="22"/>
              </w:rPr>
            </w:pPr>
            <w:r w:rsidRPr="00B41657">
              <w:rPr>
                <w:sz w:val="22"/>
              </w:rPr>
              <w:t>Vera Anatolyevna KARMANOVA</w:t>
            </w:r>
          </w:p>
        </w:tc>
        <w:tc>
          <w:tcPr>
            <w:tcW w:w="2409" w:type="dxa"/>
          </w:tcPr>
          <w:p w:rsidRPr="00B41657" w:rsidR="00CD4473" w:rsidP="00B41657" w:rsidRDefault="00B41657">
            <w:pPr>
              <w:jc w:val="left"/>
              <w:rPr>
                <w:sz w:val="22"/>
              </w:rPr>
            </w:pPr>
            <w:r w:rsidRPr="00B41657">
              <w:rPr>
                <w:sz w:val="22"/>
              </w:rPr>
              <w:t>Rostov Regional Court, 21 </w:t>
            </w:r>
            <w:r>
              <w:rPr>
                <w:sz w:val="22"/>
              </w:rPr>
              <w:t>November </w:t>
            </w:r>
            <w:r w:rsidRPr="00B41657">
              <w:rPr>
                <w:sz w:val="22"/>
              </w:rPr>
              <w:t>2</w:t>
            </w:r>
            <w:r w:rsidRPr="00B41657" w:rsidR="00CD4473">
              <w:rPr>
                <w:sz w:val="22"/>
              </w:rPr>
              <w:t>006</w:t>
            </w:r>
          </w:p>
        </w:tc>
        <w:tc>
          <w:tcPr>
            <w:tcW w:w="1134" w:type="dxa"/>
          </w:tcPr>
          <w:p w:rsidRPr="00B41657" w:rsidR="00CD4473" w:rsidP="004C06CD" w:rsidRDefault="00CD4473">
            <w:pPr>
              <w:jc w:val="left"/>
              <w:rPr>
                <w:sz w:val="22"/>
                <w:lang w:val="en-US"/>
              </w:rPr>
            </w:pPr>
            <w:r w:rsidRPr="00B41657">
              <w:rPr>
                <w:sz w:val="22"/>
                <w:lang w:val="en-US"/>
              </w:rPr>
              <w:t>Mr K</w:t>
            </w:r>
          </w:p>
          <w:p w:rsidRPr="00B41657" w:rsidR="00CD4473" w:rsidP="004C06CD" w:rsidRDefault="00CD4473">
            <w:pPr>
              <w:jc w:val="left"/>
              <w:rPr>
                <w:sz w:val="22"/>
                <w:lang w:val="en-US"/>
              </w:rPr>
            </w:pPr>
            <w:r w:rsidRPr="00B41657">
              <w:rPr>
                <w:sz w:val="22"/>
                <w:lang w:val="en-US"/>
              </w:rPr>
              <w:t>Mr T</w:t>
            </w:r>
          </w:p>
        </w:tc>
      </w:tr>
      <w:tr w:rsidRPr="00B41657" w:rsidR="00B41657" w:rsidTr="00B41657">
        <w:tc>
          <w:tcPr>
            <w:tcW w:w="567" w:type="dxa"/>
          </w:tcPr>
          <w:p w:rsidRPr="00B41657" w:rsidR="00CD4473" w:rsidP="00CD4473" w:rsidRDefault="00CD4473">
            <w:pPr>
              <w:pStyle w:val="ListParagraph"/>
              <w:numPr>
                <w:ilvl w:val="0"/>
                <w:numId w:val="17"/>
              </w:numPr>
              <w:tabs>
                <w:tab w:val="num" w:pos="283"/>
              </w:tabs>
              <w:ind w:left="0" w:firstLine="0"/>
              <w:jc w:val="left"/>
              <w:rPr>
                <w:sz w:val="22"/>
                <w:lang w:val="en-GB"/>
              </w:rPr>
            </w:pPr>
          </w:p>
        </w:tc>
        <w:tc>
          <w:tcPr>
            <w:tcW w:w="1418" w:type="dxa"/>
          </w:tcPr>
          <w:p w:rsidRPr="00B41657" w:rsidR="00CD4473" w:rsidP="004C06CD" w:rsidRDefault="00CD4473">
            <w:pPr>
              <w:jc w:val="left"/>
              <w:rPr>
                <w:sz w:val="22"/>
              </w:rPr>
            </w:pPr>
            <w:r w:rsidRPr="00B41657">
              <w:rPr>
                <w:sz w:val="22"/>
              </w:rPr>
              <w:t>8669/09</w:t>
            </w:r>
          </w:p>
        </w:tc>
        <w:tc>
          <w:tcPr>
            <w:tcW w:w="1417" w:type="dxa"/>
          </w:tcPr>
          <w:p w:rsidRPr="00B41657" w:rsidR="00CD4473" w:rsidP="004C06CD" w:rsidRDefault="00CD4473">
            <w:pPr>
              <w:jc w:val="left"/>
              <w:rPr>
                <w:sz w:val="22"/>
              </w:rPr>
            </w:pPr>
            <w:r w:rsidRPr="00B41657">
              <w:rPr>
                <w:sz w:val="22"/>
              </w:rPr>
              <w:t>22/12/2008</w:t>
            </w:r>
          </w:p>
        </w:tc>
        <w:tc>
          <w:tcPr>
            <w:tcW w:w="1985" w:type="dxa"/>
          </w:tcPr>
          <w:p w:rsidR="00120550" w:rsidP="004C06CD" w:rsidRDefault="00CD4473">
            <w:pPr>
              <w:jc w:val="left"/>
              <w:rPr>
                <w:b/>
                <w:sz w:val="22"/>
              </w:rPr>
            </w:pPr>
            <w:r w:rsidRPr="00B41657">
              <w:rPr>
                <w:b/>
                <w:sz w:val="22"/>
              </w:rPr>
              <w:t>Vladimir Gennadyevich POLITEVICH</w:t>
            </w:r>
          </w:p>
          <w:p w:rsidRPr="00B41657" w:rsidR="00CD4473" w:rsidP="004C06CD" w:rsidRDefault="00CD4473">
            <w:pPr>
              <w:jc w:val="left"/>
              <w:rPr>
                <w:sz w:val="22"/>
              </w:rPr>
            </w:pPr>
            <w:r w:rsidRPr="00B41657">
              <w:rPr>
                <w:sz w:val="22"/>
              </w:rPr>
              <w:t>19/03/1971</w:t>
            </w:r>
          </w:p>
          <w:p w:rsidRPr="00B41657" w:rsidR="00CD4473" w:rsidP="004C06CD" w:rsidRDefault="00CD4473">
            <w:pPr>
              <w:jc w:val="left"/>
              <w:rPr>
                <w:sz w:val="22"/>
              </w:rPr>
            </w:pPr>
            <w:r w:rsidRPr="00B41657">
              <w:rPr>
                <w:sz w:val="22"/>
              </w:rPr>
              <w:t>Aleksandrovskoye</w:t>
            </w:r>
          </w:p>
          <w:p w:rsidRPr="00B41657" w:rsidR="00CD4473" w:rsidP="004C06CD" w:rsidRDefault="00CD4473">
            <w:pPr>
              <w:jc w:val="left"/>
              <w:rPr>
                <w:sz w:val="22"/>
              </w:rPr>
            </w:pPr>
          </w:p>
        </w:tc>
        <w:tc>
          <w:tcPr>
            <w:tcW w:w="1843" w:type="dxa"/>
          </w:tcPr>
          <w:p w:rsidRPr="00B41657" w:rsidR="00CD4473" w:rsidP="004C06CD" w:rsidRDefault="00CD4473">
            <w:pPr>
              <w:jc w:val="left"/>
              <w:rPr>
                <w:sz w:val="22"/>
              </w:rPr>
            </w:pPr>
          </w:p>
        </w:tc>
        <w:tc>
          <w:tcPr>
            <w:tcW w:w="2409" w:type="dxa"/>
          </w:tcPr>
          <w:p w:rsidRPr="00B41657" w:rsidR="00CD4473" w:rsidP="004C06CD" w:rsidRDefault="00CD4473">
            <w:pPr>
              <w:jc w:val="left"/>
              <w:rPr>
                <w:sz w:val="22"/>
              </w:rPr>
            </w:pPr>
            <w:r w:rsidRPr="00B41657">
              <w:rPr>
                <w:sz w:val="22"/>
              </w:rPr>
              <w:t>Stavropol Regional Court, 16 July 2008</w:t>
            </w:r>
          </w:p>
        </w:tc>
        <w:tc>
          <w:tcPr>
            <w:tcW w:w="1134" w:type="dxa"/>
          </w:tcPr>
          <w:p w:rsidRPr="00B41657" w:rsidR="00CD4473" w:rsidP="004C06CD" w:rsidRDefault="00CD4473">
            <w:pPr>
              <w:jc w:val="left"/>
              <w:rPr>
                <w:sz w:val="22"/>
                <w:lang w:val="en-US"/>
              </w:rPr>
            </w:pPr>
            <w:r w:rsidRPr="00B41657">
              <w:rPr>
                <w:sz w:val="22"/>
                <w:lang w:val="en-US"/>
              </w:rPr>
              <w:t>Mr P</w:t>
            </w:r>
          </w:p>
          <w:p w:rsidRPr="00B41657" w:rsidR="00CD4473" w:rsidP="004C06CD" w:rsidRDefault="00CD4473">
            <w:pPr>
              <w:jc w:val="left"/>
              <w:rPr>
                <w:sz w:val="22"/>
                <w:lang w:val="en-US"/>
              </w:rPr>
            </w:pPr>
            <w:r w:rsidRPr="00B41657">
              <w:rPr>
                <w:sz w:val="22"/>
                <w:lang w:val="en-US"/>
              </w:rPr>
              <w:t>Mr A</w:t>
            </w:r>
          </w:p>
          <w:p w:rsidRPr="00B41657" w:rsidR="00CD4473" w:rsidP="004C06CD" w:rsidRDefault="00CD4473">
            <w:pPr>
              <w:jc w:val="left"/>
              <w:rPr>
                <w:sz w:val="22"/>
                <w:lang w:val="en-US"/>
              </w:rPr>
            </w:pPr>
            <w:r w:rsidRPr="00B41657">
              <w:rPr>
                <w:sz w:val="22"/>
                <w:lang w:val="en-US"/>
              </w:rPr>
              <w:t>Mr D</w:t>
            </w:r>
          </w:p>
          <w:p w:rsidRPr="00B41657" w:rsidR="00CD4473" w:rsidP="004C06CD" w:rsidRDefault="00CD4473">
            <w:pPr>
              <w:jc w:val="left"/>
              <w:rPr>
                <w:sz w:val="22"/>
                <w:lang w:val="en-US"/>
              </w:rPr>
            </w:pPr>
          </w:p>
        </w:tc>
      </w:tr>
      <w:tr w:rsidRPr="00B41657" w:rsidR="00B41657" w:rsidTr="00B41657">
        <w:tc>
          <w:tcPr>
            <w:tcW w:w="567" w:type="dxa"/>
          </w:tcPr>
          <w:p w:rsidRPr="00B41657" w:rsidR="00CD4473" w:rsidP="00CD4473" w:rsidRDefault="00CD4473">
            <w:pPr>
              <w:pStyle w:val="ListParagraph"/>
              <w:numPr>
                <w:ilvl w:val="0"/>
                <w:numId w:val="17"/>
              </w:numPr>
              <w:tabs>
                <w:tab w:val="num" w:pos="283"/>
              </w:tabs>
              <w:ind w:left="0" w:firstLine="0"/>
              <w:jc w:val="left"/>
              <w:rPr>
                <w:sz w:val="22"/>
                <w:lang w:val="en-GB"/>
              </w:rPr>
            </w:pPr>
          </w:p>
        </w:tc>
        <w:tc>
          <w:tcPr>
            <w:tcW w:w="1418" w:type="dxa"/>
          </w:tcPr>
          <w:p w:rsidRPr="00B41657" w:rsidR="00CD4473" w:rsidP="004C06CD" w:rsidRDefault="00CD4473">
            <w:pPr>
              <w:jc w:val="left"/>
              <w:rPr>
                <w:sz w:val="22"/>
              </w:rPr>
            </w:pPr>
            <w:r w:rsidRPr="00B41657">
              <w:rPr>
                <w:sz w:val="22"/>
              </w:rPr>
              <w:t>55413/10</w:t>
            </w:r>
          </w:p>
        </w:tc>
        <w:tc>
          <w:tcPr>
            <w:tcW w:w="1417" w:type="dxa"/>
          </w:tcPr>
          <w:p w:rsidRPr="00B41657" w:rsidR="00CD4473" w:rsidP="004C06CD" w:rsidRDefault="00CD4473">
            <w:pPr>
              <w:jc w:val="left"/>
              <w:rPr>
                <w:sz w:val="22"/>
              </w:rPr>
            </w:pPr>
            <w:r w:rsidRPr="00B41657">
              <w:rPr>
                <w:sz w:val="22"/>
              </w:rPr>
              <w:t>29/07/2010</w:t>
            </w:r>
          </w:p>
        </w:tc>
        <w:tc>
          <w:tcPr>
            <w:tcW w:w="1985" w:type="dxa"/>
          </w:tcPr>
          <w:p w:rsidR="00120550" w:rsidP="004C06CD" w:rsidRDefault="00CD4473">
            <w:pPr>
              <w:jc w:val="left"/>
              <w:rPr>
                <w:b/>
                <w:sz w:val="22"/>
              </w:rPr>
            </w:pPr>
            <w:r w:rsidRPr="00B41657">
              <w:rPr>
                <w:b/>
                <w:sz w:val="22"/>
              </w:rPr>
              <w:t>Aleksandr Sergeyevich KVASNIKOV</w:t>
            </w:r>
          </w:p>
          <w:p w:rsidRPr="00B41657" w:rsidR="00CD4473" w:rsidP="004C06CD" w:rsidRDefault="00CD4473">
            <w:pPr>
              <w:jc w:val="left"/>
              <w:rPr>
                <w:sz w:val="22"/>
              </w:rPr>
            </w:pPr>
            <w:r w:rsidRPr="00B41657">
              <w:rPr>
                <w:sz w:val="22"/>
              </w:rPr>
              <w:t>07/04/1987</w:t>
            </w:r>
          </w:p>
          <w:p w:rsidRPr="00B41657" w:rsidR="00CD4473" w:rsidP="004C06CD" w:rsidRDefault="00CD4473">
            <w:pPr>
              <w:jc w:val="left"/>
              <w:rPr>
                <w:sz w:val="22"/>
              </w:rPr>
            </w:pPr>
            <w:r w:rsidRPr="00B41657">
              <w:rPr>
                <w:sz w:val="22"/>
              </w:rPr>
              <w:t>Polevskoy</w:t>
            </w:r>
          </w:p>
          <w:p w:rsidRPr="00B41657" w:rsidR="00CD4473" w:rsidP="004C06CD" w:rsidRDefault="00CD4473">
            <w:pPr>
              <w:jc w:val="left"/>
              <w:rPr>
                <w:sz w:val="22"/>
              </w:rPr>
            </w:pPr>
          </w:p>
        </w:tc>
        <w:tc>
          <w:tcPr>
            <w:tcW w:w="1843" w:type="dxa"/>
          </w:tcPr>
          <w:p w:rsidRPr="00B41657" w:rsidR="00CD4473" w:rsidP="004C06CD" w:rsidRDefault="00CD4473">
            <w:pPr>
              <w:jc w:val="left"/>
              <w:rPr>
                <w:sz w:val="22"/>
              </w:rPr>
            </w:pPr>
          </w:p>
        </w:tc>
        <w:tc>
          <w:tcPr>
            <w:tcW w:w="2409" w:type="dxa"/>
          </w:tcPr>
          <w:p w:rsidRPr="00B41657" w:rsidR="00CD4473" w:rsidP="004C06CD" w:rsidRDefault="00CD4473">
            <w:pPr>
              <w:jc w:val="left"/>
              <w:rPr>
                <w:sz w:val="22"/>
              </w:rPr>
            </w:pPr>
            <w:r w:rsidRPr="00B41657">
              <w:rPr>
                <w:sz w:val="22"/>
              </w:rPr>
              <w:t>Sverdlovsk Regional Court, 10 February 2010</w:t>
            </w:r>
          </w:p>
        </w:tc>
        <w:tc>
          <w:tcPr>
            <w:tcW w:w="1134" w:type="dxa"/>
          </w:tcPr>
          <w:p w:rsidRPr="00B41657" w:rsidR="00CD4473" w:rsidP="004C06CD" w:rsidRDefault="00CD4473">
            <w:pPr>
              <w:jc w:val="left"/>
              <w:rPr>
                <w:sz w:val="22"/>
              </w:rPr>
            </w:pPr>
            <w:r w:rsidRPr="00B41657">
              <w:rPr>
                <w:sz w:val="22"/>
              </w:rPr>
              <w:t>Mr M</w:t>
            </w:r>
          </w:p>
          <w:p w:rsidRPr="00B41657" w:rsidR="00CD4473" w:rsidP="004C06CD" w:rsidRDefault="00CD4473">
            <w:pPr>
              <w:jc w:val="left"/>
              <w:rPr>
                <w:sz w:val="22"/>
              </w:rPr>
            </w:pPr>
            <w:r w:rsidRPr="00B41657">
              <w:rPr>
                <w:sz w:val="22"/>
              </w:rPr>
              <w:t>Mr D</w:t>
            </w:r>
          </w:p>
        </w:tc>
      </w:tr>
      <w:tr w:rsidRPr="00B41657" w:rsidR="00B41657" w:rsidTr="00B41657">
        <w:tc>
          <w:tcPr>
            <w:tcW w:w="567" w:type="dxa"/>
          </w:tcPr>
          <w:p w:rsidRPr="00B41657" w:rsidR="00CD4473" w:rsidP="00CD4473" w:rsidRDefault="00CD4473">
            <w:pPr>
              <w:pStyle w:val="ListParagraph"/>
              <w:numPr>
                <w:ilvl w:val="0"/>
                <w:numId w:val="17"/>
              </w:numPr>
              <w:tabs>
                <w:tab w:val="num" w:pos="283"/>
              </w:tabs>
              <w:ind w:left="0" w:firstLine="0"/>
              <w:jc w:val="left"/>
              <w:rPr>
                <w:sz w:val="22"/>
                <w:lang w:val="en-GB"/>
              </w:rPr>
            </w:pPr>
          </w:p>
        </w:tc>
        <w:tc>
          <w:tcPr>
            <w:tcW w:w="1418" w:type="dxa"/>
          </w:tcPr>
          <w:p w:rsidRPr="00B41657" w:rsidR="00CD4473" w:rsidP="004C06CD" w:rsidRDefault="00CD4473">
            <w:pPr>
              <w:jc w:val="left"/>
              <w:rPr>
                <w:sz w:val="22"/>
              </w:rPr>
            </w:pPr>
            <w:r w:rsidRPr="00B41657">
              <w:rPr>
                <w:sz w:val="22"/>
              </w:rPr>
              <w:t>14408/12</w:t>
            </w:r>
          </w:p>
        </w:tc>
        <w:tc>
          <w:tcPr>
            <w:tcW w:w="1417" w:type="dxa"/>
          </w:tcPr>
          <w:p w:rsidRPr="00B41657" w:rsidR="00CD4473" w:rsidP="004C06CD" w:rsidRDefault="00CD4473">
            <w:pPr>
              <w:jc w:val="left"/>
              <w:rPr>
                <w:sz w:val="22"/>
              </w:rPr>
            </w:pPr>
            <w:r w:rsidRPr="00B41657">
              <w:rPr>
                <w:sz w:val="22"/>
              </w:rPr>
              <w:t>02/03/2012</w:t>
            </w:r>
          </w:p>
        </w:tc>
        <w:tc>
          <w:tcPr>
            <w:tcW w:w="1985" w:type="dxa"/>
          </w:tcPr>
          <w:p w:rsidR="00120550" w:rsidP="004C06CD" w:rsidRDefault="00CD4473">
            <w:pPr>
              <w:jc w:val="left"/>
              <w:rPr>
                <w:b/>
                <w:sz w:val="22"/>
              </w:rPr>
            </w:pPr>
            <w:r w:rsidRPr="00B41657">
              <w:rPr>
                <w:b/>
                <w:sz w:val="22"/>
              </w:rPr>
              <w:t>Aleksandr Yuryevich MITYAYEV</w:t>
            </w:r>
          </w:p>
          <w:p w:rsidRPr="00B41657" w:rsidR="00CD4473" w:rsidP="004C06CD" w:rsidRDefault="00CD4473">
            <w:pPr>
              <w:jc w:val="left"/>
              <w:rPr>
                <w:sz w:val="22"/>
              </w:rPr>
            </w:pPr>
            <w:r w:rsidRPr="00B41657">
              <w:rPr>
                <w:sz w:val="22"/>
              </w:rPr>
              <w:t>16/05/1981</w:t>
            </w:r>
          </w:p>
          <w:p w:rsidRPr="00B41657" w:rsidR="00CD4473" w:rsidP="004C06CD" w:rsidRDefault="00CD4473">
            <w:pPr>
              <w:jc w:val="left"/>
              <w:rPr>
                <w:sz w:val="22"/>
              </w:rPr>
            </w:pPr>
            <w:r w:rsidRPr="00B41657">
              <w:rPr>
                <w:sz w:val="22"/>
              </w:rPr>
              <w:t>Melekhovo</w:t>
            </w:r>
          </w:p>
          <w:p w:rsidRPr="00B41657" w:rsidR="00CD4473" w:rsidP="004C06CD" w:rsidRDefault="00CD4473">
            <w:pPr>
              <w:jc w:val="left"/>
              <w:rPr>
                <w:sz w:val="22"/>
              </w:rPr>
            </w:pPr>
          </w:p>
        </w:tc>
        <w:tc>
          <w:tcPr>
            <w:tcW w:w="1843" w:type="dxa"/>
          </w:tcPr>
          <w:p w:rsidRPr="00B41657" w:rsidR="00CD4473" w:rsidP="004C06CD" w:rsidRDefault="00CD4473">
            <w:pPr>
              <w:jc w:val="left"/>
              <w:rPr>
                <w:sz w:val="22"/>
              </w:rPr>
            </w:pPr>
            <w:r w:rsidRPr="00B41657">
              <w:rPr>
                <w:sz w:val="22"/>
              </w:rPr>
              <w:t>Olga Olegovna MIKHAYLOVA</w:t>
            </w:r>
          </w:p>
        </w:tc>
        <w:tc>
          <w:tcPr>
            <w:tcW w:w="2409" w:type="dxa"/>
          </w:tcPr>
          <w:p w:rsidRPr="00B41657" w:rsidR="00CD4473" w:rsidP="004C06CD" w:rsidRDefault="00B41657">
            <w:pPr>
              <w:jc w:val="left"/>
              <w:rPr>
                <w:sz w:val="22"/>
              </w:rPr>
            </w:pPr>
            <w:r w:rsidRPr="00B41657">
              <w:rPr>
                <w:sz w:val="22"/>
              </w:rPr>
              <w:t>Moscow City Court, 5 </w:t>
            </w:r>
            <w:r w:rsidRPr="00B41657" w:rsidR="00CD4473">
              <w:rPr>
                <w:sz w:val="22"/>
              </w:rPr>
              <w:t>September 2011</w:t>
            </w:r>
          </w:p>
        </w:tc>
        <w:tc>
          <w:tcPr>
            <w:tcW w:w="1134" w:type="dxa"/>
          </w:tcPr>
          <w:p w:rsidRPr="00B41657" w:rsidR="00CD4473" w:rsidP="004C06CD" w:rsidRDefault="00CD4473">
            <w:pPr>
              <w:jc w:val="left"/>
              <w:rPr>
                <w:sz w:val="22"/>
              </w:rPr>
            </w:pPr>
            <w:r w:rsidRPr="00B41657">
              <w:rPr>
                <w:sz w:val="22"/>
              </w:rPr>
              <w:t>Mr P</w:t>
            </w:r>
          </w:p>
        </w:tc>
      </w:tr>
    </w:tbl>
    <w:p w:rsidRPr="00B90EA9" w:rsidR="00206A52" w:rsidP="00206A52" w:rsidRDefault="00206A52">
      <w:pPr>
        <w:rPr>
          <w:lang w:val="en-GB"/>
        </w:rPr>
      </w:pPr>
    </w:p>
    <w:sectPr w:rsidRPr="00B90EA9" w:rsidR="00206A52" w:rsidSect="0076040F">
      <w:headerReference w:type="even" r:id="rId8"/>
      <w:headerReference w:type="default" r:id="rId9"/>
      <w:headerReference w:type="first" r:id="rId10"/>
      <w:footerReference w:type="first" r:id="rId11"/>
      <w:footnotePr>
        <w:numRestart w:val="eachPage"/>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AFA" w:rsidRDefault="00A91AFA" w:rsidP="005C4C1E">
      <w:r>
        <w:separator/>
      </w:r>
    </w:p>
  </w:endnote>
  <w:endnote w:type="continuationSeparator" w:id="0">
    <w:p w:rsidR="00A91AFA" w:rsidRDefault="00A91AFA" w:rsidP="005C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AFA" w:rsidRPr="00A91AFA" w:rsidRDefault="00A91AFA" w:rsidP="0020718E">
    <w:pPr>
      <w:jc w:val="center"/>
      <w:rPr>
        <w:lang w:val="en-GB"/>
      </w:rPr>
    </w:pPr>
    <w:r>
      <w:rPr>
        <w:noProof/>
        <w:lang w:val="fr-FR" w:eastAsia="fr-FR"/>
      </w:rPr>
      <w:drawing>
        <wp:inline distT="0" distB="0" distL="0" distR="0" wp14:anchorId="7965979F" wp14:editId="4976AF57">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5C4C1E" w:rsidRDefault="00120550"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AFA" w:rsidRDefault="00A91AFA" w:rsidP="005C4C1E">
      <w:r>
        <w:separator/>
      </w:r>
    </w:p>
  </w:footnote>
  <w:footnote w:type="continuationSeparator" w:id="0">
    <w:p w:rsidR="00A91AFA" w:rsidRDefault="00A91AFA" w:rsidP="005C4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C7B" w:rsidRPr="0076040F" w:rsidRDefault="00A91AFA"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120550">
      <w:rPr>
        <w:rStyle w:val="PageNumber"/>
        <w:noProof/>
        <w:lang w:val="en-GB"/>
      </w:rPr>
      <w:t>2</w:t>
    </w:r>
    <w:r>
      <w:rPr>
        <w:rStyle w:val="PageNumber"/>
        <w:lang w:val="en-GB"/>
      </w:rPr>
      <w:fldChar w:fldCharType="end"/>
    </w:r>
    <w:r w:rsidR="00C72A0D" w:rsidRPr="0076040F">
      <w:rPr>
        <w:lang w:val="en-GB"/>
      </w:rPr>
      <w:tab/>
    </w:r>
    <w:r>
      <w:rPr>
        <w:lang w:val="en-GB"/>
      </w:rPr>
      <w:t>SHUMEYEV v. RUSSIA</w:t>
    </w:r>
    <w:r w:rsidRPr="0076040F">
      <w:rPr>
        <w:noProof/>
        <w:lang w:val="en-GB"/>
      </w:rPr>
      <w:t xml:space="preserve"> AND OTHER APPLICATIONS</w:t>
    </w:r>
    <w:r w:rsidR="00C72A0D" w:rsidRPr="0076040F">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C7B" w:rsidRPr="0076040F" w:rsidRDefault="00C72A0D" w:rsidP="0076040F">
    <w:pPr>
      <w:pStyle w:val="ECHRHeader"/>
      <w:rPr>
        <w:lang w:val="en-GB"/>
      </w:rPr>
    </w:pPr>
    <w:r w:rsidRPr="0076040F">
      <w:rPr>
        <w:lang w:val="en-GB"/>
      </w:rPr>
      <w:tab/>
    </w:r>
    <w:r w:rsidR="00A91AFA">
      <w:rPr>
        <w:lang w:val="en-GB"/>
      </w:rPr>
      <w:t>SHUMEYEV v. RUSSIA</w:t>
    </w:r>
    <w:r w:rsidR="00A91AFA" w:rsidRPr="0076040F">
      <w:rPr>
        <w:noProof/>
        <w:lang w:val="en-GB"/>
      </w:rPr>
      <w:t xml:space="preserve"> AND OTHER APPLICATIONS</w:t>
    </w:r>
    <w:r w:rsidRPr="0076040F">
      <w:rPr>
        <w:lang w:val="en-GB"/>
      </w:rPr>
      <w:t xml:space="preserve"> DECISION</w:t>
    </w:r>
    <w:r w:rsidRPr="0076040F">
      <w:rPr>
        <w:lang w:val="en-GB"/>
      </w:rPr>
      <w:tab/>
    </w:r>
    <w:r w:rsidR="00A91AFA">
      <w:rPr>
        <w:rStyle w:val="PageNumber"/>
        <w:lang w:val="en-GB"/>
      </w:rPr>
      <w:fldChar w:fldCharType="begin"/>
    </w:r>
    <w:r w:rsidR="00A91AFA">
      <w:rPr>
        <w:rStyle w:val="PageNumber"/>
        <w:lang w:val="en-GB"/>
      </w:rPr>
      <w:instrText xml:space="preserve"> PAGE </w:instrText>
    </w:r>
    <w:r w:rsidR="00A91AFA">
      <w:rPr>
        <w:rStyle w:val="PageNumber"/>
        <w:lang w:val="en-GB"/>
      </w:rPr>
      <w:fldChar w:fldCharType="separate"/>
    </w:r>
    <w:r w:rsidR="00120550">
      <w:rPr>
        <w:rStyle w:val="PageNumber"/>
        <w:noProof/>
        <w:lang w:val="en-GB"/>
      </w:rPr>
      <w:t>3</w:t>
    </w:r>
    <w:r w:rsidR="00A91AFA">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AFA" w:rsidRPr="00A45145" w:rsidRDefault="00A91AFA" w:rsidP="00A45145">
    <w:pPr>
      <w:jc w:val="center"/>
    </w:pPr>
    <w:r>
      <w:rPr>
        <w:noProof/>
        <w:lang w:val="fr-FR" w:eastAsia="fr-FR"/>
      </w:rPr>
      <w:drawing>
        <wp:inline distT="0" distB="0" distL="0" distR="0" wp14:anchorId="412C229E" wp14:editId="5538E3D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5C4C1E" w:rsidRDefault="00120550"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31C3EFF"/>
    <w:multiLevelType w:val="hybridMultilevel"/>
    <w:tmpl w:val="F56E04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9006210"/>
    <w:multiLevelType w:val="hybridMultilevel"/>
    <w:tmpl w:val="70C4A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5"/>
  </w:num>
  <w:num w:numId="2">
    <w:abstractNumId w:val="15"/>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20"/>
  <w:hyphenationZone w:val="425"/>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AppNatAutre" w:val="0"/>
    <w:docVar w:name="DocVarPREMATURE" w:val="0"/>
    <w:docVar w:name="EMM" w:val="0"/>
    <w:docVar w:name="ETRANSMISSION" w:val="BY E-TRANSMISSION ONLY"/>
    <w:docVar w:name="L4_1Annex" w:val="0"/>
    <w:docVar w:name="L4_1Anonymity" w:val="0"/>
    <w:docVar w:name="NBEMMDOC" w:val="0"/>
    <w:docVar w:name="Plural" w:val="4"/>
    <w:docVar w:name="SignForeName" w:val="0"/>
  </w:docVars>
  <w:rsids>
    <w:rsidRoot w:val="00A91AFA"/>
    <w:rsid w:val="00021CAC"/>
    <w:rsid w:val="00024CA4"/>
    <w:rsid w:val="000C221C"/>
    <w:rsid w:val="000D2AA5"/>
    <w:rsid w:val="00120550"/>
    <w:rsid w:val="001818B5"/>
    <w:rsid w:val="00206A52"/>
    <w:rsid w:val="0029715C"/>
    <w:rsid w:val="003D2893"/>
    <w:rsid w:val="003F5BAF"/>
    <w:rsid w:val="005C4C1E"/>
    <w:rsid w:val="00623174"/>
    <w:rsid w:val="00750F4F"/>
    <w:rsid w:val="0076040F"/>
    <w:rsid w:val="007718BF"/>
    <w:rsid w:val="00883450"/>
    <w:rsid w:val="009912DE"/>
    <w:rsid w:val="009A722F"/>
    <w:rsid w:val="00A567CA"/>
    <w:rsid w:val="00A74FA8"/>
    <w:rsid w:val="00A91AFA"/>
    <w:rsid w:val="00A92649"/>
    <w:rsid w:val="00B2397A"/>
    <w:rsid w:val="00B24F64"/>
    <w:rsid w:val="00B41657"/>
    <w:rsid w:val="00B67250"/>
    <w:rsid w:val="00B67325"/>
    <w:rsid w:val="00B90EA9"/>
    <w:rsid w:val="00C138D4"/>
    <w:rsid w:val="00C72A0D"/>
    <w:rsid w:val="00C75D1C"/>
    <w:rsid w:val="00C75E0F"/>
    <w:rsid w:val="00C841F3"/>
    <w:rsid w:val="00CD4473"/>
    <w:rsid w:val="00D823C2"/>
    <w:rsid w:val="00DF27F6"/>
    <w:rsid w:val="00E50569"/>
    <w:rsid w:val="00E73F24"/>
    <w:rsid w:val="00E906BA"/>
    <w:rsid w:val="00E93FC7"/>
    <w:rsid w:val="00ED04C3"/>
    <w:rsid w:val="00EE3667"/>
    <w:rsid w:val="00F24A83"/>
    <w:rsid w:val="00FE3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qFormat="1"/>
    <w:lsdException w:name="heading 6" w:uiPriority="9"/>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semiHidden/>
    <w:rsid w:val="001818B5"/>
    <w:pPr>
      <w:jc w:val="both"/>
    </w:pPr>
    <w:rPr>
      <w:rFonts w:eastAsiaTheme="minorEastAsia"/>
      <w:sz w:val="24"/>
    </w:rPr>
  </w:style>
  <w:style w:type="paragraph" w:styleId="Heading1">
    <w:name w:val="heading 1"/>
    <w:basedOn w:val="Normal"/>
    <w:next w:val="Normal"/>
    <w:link w:val="Heading1Char"/>
    <w:uiPriority w:val="9"/>
    <w:semiHidden/>
    <w:rsid w:val="00E93FC7"/>
    <w:pPr>
      <w:keepNext/>
      <w:keepLines/>
      <w:spacing w:before="480"/>
      <w:outlineLvl w:val="0"/>
    </w:pPr>
    <w:rPr>
      <w:rFonts w:asciiTheme="majorHAnsi" w:eastAsiaTheme="majorEastAsia" w:hAnsiTheme="majorHAnsi" w:cstheme="majorBidi"/>
      <w:b/>
      <w:bCs/>
      <w:color w:val="00548C" w:themeColor="accent1" w:themeShade="BF"/>
      <w:sz w:val="28"/>
      <w:szCs w:val="28"/>
    </w:rPr>
  </w:style>
  <w:style w:type="paragraph" w:styleId="Heading2">
    <w:name w:val="heading 2"/>
    <w:basedOn w:val="Normal"/>
    <w:next w:val="Normal"/>
    <w:link w:val="Heading2Char"/>
    <w:uiPriority w:val="9"/>
    <w:semiHidden/>
    <w:rsid w:val="00E93FC7"/>
    <w:pPr>
      <w:keepNext/>
      <w:keepLines/>
      <w:spacing w:before="200"/>
      <w:outlineLvl w:val="1"/>
    </w:pPr>
    <w:rPr>
      <w:rFonts w:asciiTheme="majorHAnsi" w:eastAsiaTheme="majorEastAsia" w:hAnsiTheme="majorHAnsi" w:cstheme="majorBidi"/>
      <w:b/>
      <w:bCs/>
      <w:color w:val="0072BC" w:themeColor="accent1"/>
      <w:sz w:val="26"/>
      <w:szCs w:val="26"/>
    </w:rPr>
  </w:style>
  <w:style w:type="paragraph" w:styleId="Heading3">
    <w:name w:val="heading 3"/>
    <w:basedOn w:val="Normal"/>
    <w:next w:val="Normal"/>
    <w:link w:val="Heading3Char"/>
    <w:uiPriority w:val="9"/>
    <w:semiHidden/>
    <w:unhideWhenUsed/>
    <w:rsid w:val="00E93FC7"/>
    <w:pPr>
      <w:keepNext/>
      <w:keepLines/>
      <w:spacing w:before="200"/>
      <w:outlineLvl w:val="2"/>
    </w:pPr>
    <w:rPr>
      <w:rFonts w:asciiTheme="majorHAnsi" w:eastAsiaTheme="majorEastAsia" w:hAnsiTheme="majorHAnsi" w:cstheme="majorBidi"/>
      <w:b/>
      <w:bCs/>
      <w:color w:val="0072BC" w:themeColor="accent1"/>
    </w:rPr>
  </w:style>
  <w:style w:type="paragraph" w:styleId="Heading4">
    <w:name w:val="heading 4"/>
    <w:basedOn w:val="Normal"/>
    <w:next w:val="Normal"/>
    <w:link w:val="Heading4Char"/>
    <w:uiPriority w:val="9"/>
    <w:semiHidden/>
    <w:unhideWhenUsed/>
    <w:rsid w:val="00E93FC7"/>
    <w:pPr>
      <w:keepNext/>
      <w:keepLines/>
      <w:spacing w:before="200"/>
      <w:outlineLvl w:val="3"/>
    </w:pPr>
    <w:rPr>
      <w:rFonts w:asciiTheme="majorHAnsi" w:eastAsiaTheme="majorEastAsia" w:hAnsiTheme="majorHAnsi" w:cstheme="majorBidi"/>
      <w:b/>
      <w:bCs/>
      <w:i/>
      <w:iCs/>
      <w:color w:val="0072BC" w:themeColor="accent1"/>
    </w:rPr>
  </w:style>
  <w:style w:type="paragraph" w:styleId="Heading5">
    <w:name w:val="heading 5"/>
    <w:basedOn w:val="Normal"/>
    <w:next w:val="Normal"/>
    <w:link w:val="Heading5Char"/>
    <w:uiPriority w:val="99"/>
    <w:semiHidden/>
    <w:qFormat/>
    <w:rsid w:val="00E93FC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
    <w:semiHidden/>
    <w:unhideWhenUsed/>
    <w:rsid w:val="00E93FC7"/>
    <w:pPr>
      <w:keepNext/>
      <w:keepLines/>
      <w:spacing w:before="200"/>
      <w:outlineLvl w:val="5"/>
    </w:pPr>
    <w:rPr>
      <w:rFonts w:asciiTheme="majorHAnsi" w:eastAsiaTheme="majorEastAsia" w:hAnsiTheme="majorHAnsi" w:cstheme="majorBidi"/>
      <w:i/>
      <w:iCs/>
      <w:color w:val="00385D" w:themeColor="accent1" w:themeShade="7F"/>
    </w:rPr>
  </w:style>
  <w:style w:type="paragraph" w:styleId="Heading7">
    <w:name w:val="heading 7"/>
    <w:basedOn w:val="Normal"/>
    <w:next w:val="Normal"/>
    <w:link w:val="Heading7Char"/>
    <w:uiPriority w:val="99"/>
    <w:semiHidden/>
    <w:qFormat/>
    <w:rsid w:val="00E93FC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93F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93F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5C4C1E"/>
    <w:pPr>
      <w:tabs>
        <w:tab w:val="center" w:pos="851"/>
        <w:tab w:val="center" w:pos="6407"/>
      </w:tabs>
      <w:spacing w:before="720"/>
      <w:jc w:val="left"/>
    </w:pPr>
  </w:style>
  <w:style w:type="paragraph" w:customStyle="1" w:styleId="ECHRPara">
    <w:name w:val="ECHR_Para"/>
    <w:aliases w:val="Ju_Para,Para"/>
    <w:basedOn w:val="Normal"/>
    <w:link w:val="JuParaCar"/>
    <w:uiPriority w:val="12"/>
    <w:qFormat/>
    <w:rsid w:val="00C72A0D"/>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E93FC7"/>
  </w:style>
  <w:style w:type="paragraph" w:customStyle="1" w:styleId="ECHRTitleCentre2">
    <w:name w:val="ECHR_Title_Centre_2"/>
    <w:aliases w:val="Dec_H_Case"/>
    <w:basedOn w:val="Normal"/>
    <w:next w:val="Normal"/>
    <w:uiPriority w:val="8"/>
    <w:qFormat/>
    <w:rsid w:val="00E93FC7"/>
    <w:pPr>
      <w:spacing w:after="240"/>
      <w:jc w:val="center"/>
      <w:outlineLvl w:val="0"/>
    </w:pPr>
    <w:rPr>
      <w:rFonts w:asciiTheme="majorHAnsi" w:hAnsiTheme="majorHAnsi"/>
    </w:rPr>
  </w:style>
  <w:style w:type="paragraph" w:customStyle="1" w:styleId="JuTitle">
    <w:name w:val="Ju_Title"/>
    <w:basedOn w:val="Normal"/>
    <w:next w:val="Normal"/>
    <w:uiPriority w:val="3"/>
    <w:qFormat/>
    <w:rsid w:val="00E93FC7"/>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E93FC7"/>
    <w:pPr>
      <w:tabs>
        <w:tab w:val="clear" w:pos="4680"/>
        <w:tab w:val="clear" w:pos="9360"/>
        <w:tab w:val="center" w:pos="3686"/>
        <w:tab w:val="right" w:pos="7371"/>
      </w:tabs>
      <w:jc w:val="left"/>
    </w:pPr>
    <w:rPr>
      <w:rFonts w:eastAsiaTheme="minorHAnsi"/>
      <w:sz w:val="18"/>
    </w:rPr>
  </w:style>
  <w:style w:type="paragraph" w:styleId="Header">
    <w:name w:val="header"/>
    <w:basedOn w:val="Normal"/>
    <w:link w:val="HeaderChar"/>
    <w:uiPriority w:val="99"/>
    <w:semiHidden/>
    <w:unhideWhenUsed/>
    <w:rsid w:val="00E93FC7"/>
    <w:pPr>
      <w:tabs>
        <w:tab w:val="center" w:pos="4680"/>
        <w:tab w:val="right" w:pos="9360"/>
      </w:tabs>
    </w:pPr>
  </w:style>
  <w:style w:type="character" w:customStyle="1" w:styleId="HeaderChar">
    <w:name w:val="Header Char"/>
    <w:basedOn w:val="DefaultParagraphFont"/>
    <w:link w:val="Header"/>
    <w:uiPriority w:val="99"/>
    <w:semiHidden/>
    <w:rsid w:val="00E93FC7"/>
    <w:rPr>
      <w:rFonts w:eastAsiaTheme="minorEastAsia"/>
      <w:sz w:val="24"/>
    </w:rPr>
  </w:style>
  <w:style w:type="paragraph" w:styleId="BalloonText">
    <w:name w:val="Balloon Text"/>
    <w:basedOn w:val="Normal"/>
    <w:link w:val="BalloonTextChar"/>
    <w:uiPriority w:val="99"/>
    <w:semiHidden/>
    <w:unhideWhenUsed/>
    <w:rsid w:val="00E93FC7"/>
    <w:rPr>
      <w:rFonts w:ascii="Tahoma" w:hAnsi="Tahoma" w:cs="Tahoma"/>
      <w:sz w:val="16"/>
      <w:szCs w:val="16"/>
    </w:rPr>
  </w:style>
  <w:style w:type="character" w:customStyle="1" w:styleId="BalloonTextChar">
    <w:name w:val="Balloon Text Char"/>
    <w:basedOn w:val="DefaultParagraphFont"/>
    <w:link w:val="BalloonText"/>
    <w:uiPriority w:val="99"/>
    <w:semiHidden/>
    <w:rsid w:val="00E93FC7"/>
    <w:rPr>
      <w:rFonts w:ascii="Tahoma" w:eastAsiaTheme="minorEastAsia" w:hAnsi="Tahoma" w:cs="Tahoma"/>
      <w:sz w:val="16"/>
      <w:szCs w:val="16"/>
    </w:rPr>
  </w:style>
  <w:style w:type="paragraph" w:customStyle="1" w:styleId="JuAppQuestion">
    <w:name w:val="Ju_App_Question"/>
    <w:basedOn w:val="Normal"/>
    <w:uiPriority w:val="5"/>
    <w:qFormat/>
    <w:rsid w:val="00E93FC7"/>
    <w:pPr>
      <w:numPr>
        <w:numId w:val="2"/>
      </w:numPr>
      <w:jc w:val="left"/>
    </w:pPr>
    <w:rPr>
      <w:b/>
    </w:rPr>
  </w:style>
  <w:style w:type="paragraph" w:customStyle="1" w:styleId="OpiPara">
    <w:name w:val="Opi_Para"/>
    <w:basedOn w:val="Normal"/>
    <w:uiPriority w:val="46"/>
    <w:semiHidden/>
    <w:qFormat/>
    <w:rsid w:val="00C72A0D"/>
    <w:pPr>
      <w:ind w:firstLine="284"/>
    </w:pPr>
  </w:style>
  <w:style w:type="paragraph" w:customStyle="1" w:styleId="ECHRParaQuote">
    <w:name w:val="ECHR_Para_Quote"/>
    <w:aliases w:val="Ju_Quot"/>
    <w:basedOn w:val="Normal"/>
    <w:qFormat/>
    <w:rsid w:val="00E93FC7"/>
    <w:pPr>
      <w:spacing w:before="120" w:after="120"/>
      <w:ind w:left="425" w:firstLine="142"/>
    </w:pPr>
    <w:rPr>
      <w:sz w:val="20"/>
    </w:rPr>
  </w:style>
  <w:style w:type="paragraph" w:customStyle="1" w:styleId="JuParaSub">
    <w:name w:val="Ju_Para_Sub"/>
    <w:basedOn w:val="Normal"/>
    <w:uiPriority w:val="13"/>
    <w:qFormat/>
    <w:rsid w:val="00C72A0D"/>
    <w:pPr>
      <w:ind w:left="284" w:firstLine="284"/>
    </w:pPr>
  </w:style>
  <w:style w:type="paragraph" w:customStyle="1" w:styleId="OpiParaSub">
    <w:name w:val="Opi_Para_Sub"/>
    <w:basedOn w:val="JuParaSub"/>
    <w:uiPriority w:val="47"/>
    <w:semiHidden/>
    <w:qFormat/>
    <w:rsid w:val="00E93FC7"/>
  </w:style>
  <w:style w:type="paragraph" w:customStyle="1" w:styleId="OpiQuot">
    <w:name w:val="Opi_Quot"/>
    <w:basedOn w:val="ECHRParaQuote"/>
    <w:uiPriority w:val="48"/>
    <w:semiHidden/>
    <w:qFormat/>
    <w:rsid w:val="00E93FC7"/>
  </w:style>
  <w:style w:type="paragraph" w:customStyle="1" w:styleId="OpiQuotSub">
    <w:name w:val="Opi_Quot_Sub"/>
    <w:basedOn w:val="JuQuotSub"/>
    <w:uiPriority w:val="49"/>
    <w:semiHidden/>
    <w:qFormat/>
    <w:rsid w:val="00E93FC7"/>
  </w:style>
  <w:style w:type="paragraph" w:customStyle="1" w:styleId="ECHRTitleCentre3">
    <w:name w:val="ECHR_Title_Centre_3"/>
    <w:aliases w:val="Ju_H_Article"/>
    <w:basedOn w:val="Normal"/>
    <w:next w:val="ECHRParaQuote"/>
    <w:uiPriority w:val="27"/>
    <w:qFormat/>
    <w:rsid w:val="00E93FC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semiHidden/>
    <w:qFormat/>
    <w:rsid w:val="00E93FC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93FC7"/>
    <w:pPr>
      <w:ind w:left="567"/>
    </w:pPr>
  </w:style>
  <w:style w:type="paragraph" w:customStyle="1" w:styleId="ECHRTitle1">
    <w:name w:val="ECHR_Title_1"/>
    <w:aliases w:val="Ju_H_Head"/>
    <w:basedOn w:val="Normal"/>
    <w:next w:val="Normal"/>
    <w:uiPriority w:val="18"/>
    <w:qFormat/>
    <w:rsid w:val="00E93FC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93FC7"/>
    <w:pPr>
      <w:tabs>
        <w:tab w:val="center" w:pos="6407"/>
      </w:tabs>
      <w:spacing w:before="720"/>
      <w:jc w:val="right"/>
    </w:pPr>
  </w:style>
  <w:style w:type="paragraph" w:customStyle="1" w:styleId="OpiHA">
    <w:name w:val="Opi_H_A"/>
    <w:basedOn w:val="ECHRHeading1"/>
    <w:next w:val="OpiPara"/>
    <w:uiPriority w:val="41"/>
    <w:semiHidden/>
    <w:qFormat/>
    <w:rsid w:val="00E93FC7"/>
    <w:pPr>
      <w:tabs>
        <w:tab w:val="clear" w:pos="357"/>
      </w:tabs>
      <w:outlineLvl w:val="1"/>
    </w:pPr>
    <w:rPr>
      <w:b/>
    </w:rPr>
  </w:style>
  <w:style w:type="character" w:customStyle="1" w:styleId="JUNAMES">
    <w:name w:val="JU_NAMES"/>
    <w:uiPriority w:val="17"/>
    <w:qFormat/>
    <w:rsid w:val="00E93FC7"/>
    <w:rPr>
      <w:caps w:val="0"/>
      <w:smallCaps/>
    </w:rPr>
  </w:style>
  <w:style w:type="character" w:customStyle="1" w:styleId="JuITMark">
    <w:name w:val="Ju_ITMark"/>
    <w:basedOn w:val="DefaultParagraphFont"/>
    <w:uiPriority w:val="38"/>
    <w:qFormat/>
    <w:rsid w:val="00E93FC7"/>
    <w:rPr>
      <w:vanish/>
      <w:color w:val="339966"/>
      <w:sz w:val="14"/>
    </w:rPr>
  </w:style>
  <w:style w:type="paragraph" w:customStyle="1" w:styleId="OpiTranslation">
    <w:name w:val="Opi_Translation"/>
    <w:basedOn w:val="Normal"/>
    <w:next w:val="OpiPara"/>
    <w:uiPriority w:val="40"/>
    <w:semiHidden/>
    <w:qFormat/>
    <w:rsid w:val="00E93FC7"/>
    <w:pPr>
      <w:jc w:val="center"/>
      <w:outlineLvl w:val="0"/>
    </w:pPr>
    <w:rPr>
      <w:i/>
    </w:rPr>
  </w:style>
  <w:style w:type="paragraph" w:customStyle="1" w:styleId="JuCourt">
    <w:name w:val="Ju_Court"/>
    <w:basedOn w:val="Normal"/>
    <w:next w:val="Normal"/>
    <w:uiPriority w:val="16"/>
    <w:qFormat/>
    <w:rsid w:val="00E93FC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Normal"/>
    <w:uiPriority w:val="19"/>
    <w:qFormat/>
    <w:rsid w:val="00E93FC7"/>
    <w:pPr>
      <w:tabs>
        <w:tab w:val="left" w:pos="357"/>
      </w:tabs>
      <w:spacing w:before="360" w:after="240"/>
      <w:ind w:left="357" w:hanging="357"/>
    </w:pPr>
    <w:rPr>
      <w:b w:val="0"/>
      <w:color w:val="auto"/>
      <w:sz w:val="24"/>
    </w:rPr>
  </w:style>
  <w:style w:type="character" w:customStyle="1" w:styleId="Heading1Char">
    <w:name w:val="Heading 1 Char"/>
    <w:basedOn w:val="DefaultParagraphFont"/>
    <w:link w:val="Heading1"/>
    <w:uiPriority w:val="9"/>
    <w:rsid w:val="00E93FC7"/>
    <w:rPr>
      <w:rFonts w:asciiTheme="majorHAnsi" w:eastAsiaTheme="majorEastAsia" w:hAnsiTheme="majorHAnsi" w:cstheme="majorBidi"/>
      <w:b/>
      <w:bCs/>
      <w:color w:val="00548C" w:themeColor="accent1" w:themeShade="BF"/>
      <w:sz w:val="28"/>
      <w:szCs w:val="28"/>
    </w:rPr>
  </w:style>
  <w:style w:type="paragraph" w:customStyle="1" w:styleId="ECHRHeading2">
    <w:name w:val="ECHR_Heading_2"/>
    <w:aliases w:val="Ju_H_A,Head_2"/>
    <w:basedOn w:val="Heading2"/>
    <w:next w:val="Normal"/>
    <w:uiPriority w:val="20"/>
    <w:qFormat/>
    <w:rsid w:val="00E93FC7"/>
    <w:pPr>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
    <w:semiHidden/>
    <w:rsid w:val="005C4C1E"/>
    <w:rPr>
      <w:rFonts w:asciiTheme="majorHAnsi" w:eastAsiaTheme="majorEastAsia" w:hAnsiTheme="majorHAnsi" w:cstheme="majorBidi"/>
      <w:b/>
      <w:bCs/>
      <w:color w:val="0072BC" w:themeColor="accent1"/>
      <w:sz w:val="26"/>
      <w:szCs w:val="26"/>
    </w:rPr>
  </w:style>
  <w:style w:type="paragraph" w:customStyle="1" w:styleId="ECHRHeading3">
    <w:name w:val="ECHR_Heading_3"/>
    <w:aliases w:val="Ju_H_1."/>
    <w:basedOn w:val="Heading3"/>
    <w:next w:val="Normal"/>
    <w:uiPriority w:val="21"/>
    <w:qFormat/>
    <w:rsid w:val="00E93FC7"/>
    <w:pPr>
      <w:tabs>
        <w:tab w:val="left" w:pos="731"/>
      </w:tabs>
      <w:spacing w:before="240" w:after="120"/>
      <w:ind w:left="732" w:hanging="301"/>
    </w:pPr>
    <w:rPr>
      <w:b w:val="0"/>
      <w:i/>
      <w:color w:val="auto"/>
    </w:rPr>
  </w:style>
  <w:style w:type="character" w:customStyle="1" w:styleId="Heading3Char">
    <w:name w:val="Heading 3 Char"/>
    <w:basedOn w:val="DefaultParagraphFont"/>
    <w:link w:val="Heading3"/>
    <w:uiPriority w:val="9"/>
    <w:semiHidden/>
    <w:rsid w:val="00E93FC7"/>
    <w:rPr>
      <w:rFonts w:asciiTheme="majorHAnsi" w:eastAsiaTheme="majorEastAsia" w:hAnsiTheme="majorHAnsi" w:cstheme="majorBidi"/>
      <w:b/>
      <w:bCs/>
      <w:color w:val="0072BC" w:themeColor="accent1"/>
      <w:sz w:val="24"/>
    </w:rPr>
  </w:style>
  <w:style w:type="paragraph" w:customStyle="1" w:styleId="ECHRHeading4">
    <w:name w:val="ECHR_Heading_4"/>
    <w:aliases w:val="Ju_H_a"/>
    <w:basedOn w:val="Heading4"/>
    <w:next w:val="Normal"/>
    <w:uiPriority w:val="22"/>
    <w:qFormat/>
    <w:rsid w:val="00E93FC7"/>
    <w:pPr>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
    <w:semiHidden/>
    <w:rsid w:val="00E93FC7"/>
    <w:rPr>
      <w:rFonts w:asciiTheme="majorHAnsi" w:eastAsiaTheme="majorEastAsia" w:hAnsiTheme="majorHAnsi" w:cstheme="majorBidi"/>
      <w:b/>
      <w:bCs/>
      <w:i/>
      <w:iCs/>
      <w:color w:val="0072BC" w:themeColor="accent1"/>
      <w:sz w:val="24"/>
    </w:rPr>
  </w:style>
  <w:style w:type="paragraph" w:customStyle="1" w:styleId="ECHRHeading5">
    <w:name w:val="ECHR_Heading_5"/>
    <w:aliases w:val="Ju_H_i"/>
    <w:basedOn w:val="Heading5"/>
    <w:next w:val="Normal"/>
    <w:uiPriority w:val="23"/>
    <w:qFormat/>
    <w:rsid w:val="00E93FC7"/>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E93FC7"/>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Normal"/>
    <w:uiPriority w:val="24"/>
    <w:qFormat/>
    <w:rsid w:val="00E93FC7"/>
    <w:pPr>
      <w:tabs>
        <w:tab w:val="left" w:pos="1372"/>
      </w:tabs>
      <w:spacing w:before="240" w:after="120"/>
      <w:ind w:left="1373" w:hanging="335"/>
    </w:pPr>
    <w:rPr>
      <w:bCs/>
      <w:color w:val="auto"/>
      <w:sz w:val="20"/>
      <w:lang w:bidi="en-US"/>
    </w:rPr>
  </w:style>
  <w:style w:type="character" w:customStyle="1" w:styleId="Heading6Char">
    <w:name w:val="Heading 6 Char"/>
    <w:basedOn w:val="DefaultParagraphFont"/>
    <w:link w:val="Heading6"/>
    <w:uiPriority w:val="9"/>
    <w:semiHidden/>
    <w:rsid w:val="00E93FC7"/>
    <w:rPr>
      <w:rFonts w:asciiTheme="majorHAnsi" w:eastAsiaTheme="majorEastAsia" w:hAnsiTheme="majorHAnsi" w:cstheme="majorBidi"/>
      <w:i/>
      <w:iCs/>
      <w:color w:val="00385D" w:themeColor="accent1" w:themeShade="7F"/>
      <w:sz w:val="24"/>
    </w:rPr>
  </w:style>
  <w:style w:type="paragraph" w:customStyle="1" w:styleId="ECHRHeading7">
    <w:name w:val="ECHR_Heading_7"/>
    <w:aliases w:val="Ju_H_–"/>
    <w:basedOn w:val="Heading7"/>
    <w:next w:val="Normal"/>
    <w:uiPriority w:val="25"/>
    <w:qFormat/>
    <w:rsid w:val="00E93FC7"/>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E93FC7"/>
    <w:rPr>
      <w:rFonts w:asciiTheme="majorHAnsi" w:eastAsiaTheme="majorEastAsia" w:hAnsiTheme="majorHAnsi" w:cstheme="majorBidi"/>
      <w:i/>
      <w:iCs/>
      <w:lang w:bidi="en-US"/>
    </w:rPr>
  </w:style>
  <w:style w:type="paragraph" w:customStyle="1" w:styleId="JuParaLast">
    <w:name w:val="Ju_Para_Last"/>
    <w:basedOn w:val="Normal"/>
    <w:next w:val="Normal"/>
    <w:uiPriority w:val="30"/>
    <w:qFormat/>
    <w:rsid w:val="00E93FC7"/>
    <w:pPr>
      <w:keepNext/>
      <w:keepLines/>
      <w:spacing w:before="240"/>
      <w:ind w:firstLine="284"/>
    </w:pPr>
  </w:style>
  <w:style w:type="paragraph" w:customStyle="1" w:styleId="DecList">
    <w:name w:val="Dec_List"/>
    <w:basedOn w:val="Normal"/>
    <w:uiPriority w:val="9"/>
    <w:qFormat/>
    <w:rsid w:val="00E93FC7"/>
    <w:pPr>
      <w:spacing w:before="240"/>
      <w:ind w:left="284"/>
    </w:pPr>
  </w:style>
  <w:style w:type="paragraph" w:customStyle="1" w:styleId="ECHRDecisionBody">
    <w:name w:val="ECHR_Decision_Body"/>
    <w:aliases w:val="Ju_Judges"/>
    <w:basedOn w:val="Normal"/>
    <w:uiPriority w:val="11"/>
    <w:qFormat/>
    <w:rsid w:val="00E93FC7"/>
    <w:pPr>
      <w:tabs>
        <w:tab w:val="left" w:pos="567"/>
        <w:tab w:val="left" w:pos="1134"/>
      </w:tabs>
      <w:jc w:val="left"/>
    </w:pPr>
  </w:style>
  <w:style w:type="paragraph" w:customStyle="1" w:styleId="JuList">
    <w:name w:val="Ju_List"/>
    <w:basedOn w:val="Normal"/>
    <w:uiPriority w:val="28"/>
    <w:qFormat/>
    <w:rsid w:val="00E93FC7"/>
    <w:pPr>
      <w:ind w:left="340" w:hanging="340"/>
    </w:pPr>
  </w:style>
  <w:style w:type="paragraph" w:customStyle="1" w:styleId="JuLista">
    <w:name w:val="Ju_List_a"/>
    <w:basedOn w:val="JuList"/>
    <w:uiPriority w:val="28"/>
    <w:qFormat/>
    <w:rsid w:val="00E93FC7"/>
    <w:pPr>
      <w:ind w:left="346" w:firstLine="0"/>
    </w:pPr>
  </w:style>
  <w:style w:type="paragraph" w:customStyle="1" w:styleId="JuListi">
    <w:name w:val="Ju_List_i"/>
    <w:basedOn w:val="Normal"/>
    <w:next w:val="JuLista"/>
    <w:uiPriority w:val="28"/>
    <w:qFormat/>
    <w:rsid w:val="00E93FC7"/>
    <w:pPr>
      <w:ind w:left="794"/>
    </w:pPr>
  </w:style>
  <w:style w:type="paragraph" w:customStyle="1" w:styleId="OpiH1">
    <w:name w:val="Opi_H_1"/>
    <w:basedOn w:val="ECHRHeading2"/>
    <w:uiPriority w:val="42"/>
    <w:semiHidden/>
    <w:qFormat/>
    <w:rsid w:val="00E93FC7"/>
    <w:pPr>
      <w:ind w:left="635" w:hanging="357"/>
      <w:outlineLvl w:val="2"/>
    </w:pPr>
  </w:style>
  <w:style w:type="paragraph" w:customStyle="1" w:styleId="OpiHa0">
    <w:name w:val="Opi_H_a"/>
    <w:basedOn w:val="ECHRHeading3"/>
    <w:uiPriority w:val="43"/>
    <w:semiHidden/>
    <w:qFormat/>
    <w:rsid w:val="00E93FC7"/>
    <w:pPr>
      <w:ind w:left="833" w:hanging="357"/>
      <w:outlineLvl w:val="3"/>
    </w:pPr>
    <w:rPr>
      <w:b/>
      <w:i w:val="0"/>
      <w:sz w:val="20"/>
    </w:rPr>
  </w:style>
  <w:style w:type="paragraph" w:customStyle="1" w:styleId="OpiHi">
    <w:name w:val="Opi_H_i"/>
    <w:basedOn w:val="ECHRHeading4"/>
    <w:uiPriority w:val="44"/>
    <w:semiHidden/>
    <w:qFormat/>
    <w:rsid w:val="00E93FC7"/>
    <w:pPr>
      <w:ind w:left="1037" w:hanging="357"/>
      <w:outlineLvl w:val="4"/>
    </w:pPr>
    <w:rPr>
      <w:b w:val="0"/>
      <w:i/>
    </w:rPr>
  </w:style>
  <w:style w:type="character" w:customStyle="1" w:styleId="Heading8Char">
    <w:name w:val="Heading 8 Char"/>
    <w:basedOn w:val="DefaultParagraphFont"/>
    <w:link w:val="Heading8"/>
    <w:uiPriority w:val="99"/>
    <w:semiHidden/>
    <w:rsid w:val="00E93FC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3FC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93F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E93FC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93FC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E93FC7"/>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E93FC7"/>
    <w:rPr>
      <w:b/>
      <w:bCs/>
    </w:rPr>
  </w:style>
  <w:style w:type="character" w:styleId="Emphasis">
    <w:name w:val="Emphasis"/>
    <w:uiPriority w:val="99"/>
    <w:semiHidden/>
    <w:qFormat/>
    <w:rsid w:val="00E93FC7"/>
    <w:rPr>
      <w:b/>
      <w:bCs/>
      <w:i/>
      <w:iCs/>
      <w:spacing w:val="10"/>
      <w:bdr w:val="none" w:sz="0" w:space="0" w:color="auto"/>
      <w:shd w:val="clear" w:color="auto" w:fill="auto"/>
    </w:rPr>
  </w:style>
  <w:style w:type="paragraph" w:styleId="NoSpacing">
    <w:name w:val="No Spacing"/>
    <w:basedOn w:val="Normal"/>
    <w:link w:val="NoSpacingChar"/>
    <w:semiHidden/>
    <w:qFormat/>
    <w:rsid w:val="00E93FC7"/>
    <w:rPr>
      <w:sz w:val="22"/>
    </w:rPr>
  </w:style>
  <w:style w:type="character" w:customStyle="1" w:styleId="NoSpacingChar">
    <w:name w:val="No Spacing Char"/>
    <w:basedOn w:val="DefaultParagraphFont"/>
    <w:link w:val="NoSpacing"/>
    <w:rsid w:val="00E93FC7"/>
    <w:rPr>
      <w:rFonts w:eastAsiaTheme="minorEastAsia"/>
    </w:rPr>
  </w:style>
  <w:style w:type="paragraph" w:styleId="ListParagraph">
    <w:name w:val="List Paragraph"/>
    <w:basedOn w:val="Normal"/>
    <w:uiPriority w:val="99"/>
    <w:semiHidden/>
    <w:qFormat/>
    <w:rsid w:val="00E93FC7"/>
    <w:pPr>
      <w:ind w:left="720"/>
      <w:contextualSpacing/>
    </w:pPr>
  </w:style>
  <w:style w:type="paragraph" w:styleId="Quote">
    <w:name w:val="Quote"/>
    <w:basedOn w:val="Normal"/>
    <w:next w:val="Normal"/>
    <w:link w:val="QuoteChar"/>
    <w:uiPriority w:val="99"/>
    <w:semiHidden/>
    <w:qFormat/>
    <w:rsid w:val="00E93FC7"/>
    <w:pPr>
      <w:spacing w:before="200"/>
      <w:ind w:left="360" w:right="360"/>
    </w:pPr>
    <w:rPr>
      <w:i/>
      <w:iCs/>
      <w:sz w:val="22"/>
      <w:lang w:bidi="en-US"/>
    </w:rPr>
  </w:style>
  <w:style w:type="character" w:customStyle="1" w:styleId="QuoteChar">
    <w:name w:val="Quote Char"/>
    <w:basedOn w:val="DefaultParagraphFont"/>
    <w:link w:val="Quote"/>
    <w:uiPriority w:val="99"/>
    <w:rsid w:val="00E93FC7"/>
    <w:rPr>
      <w:rFonts w:eastAsiaTheme="minorEastAsia"/>
      <w:i/>
      <w:iCs/>
      <w:lang w:bidi="en-US"/>
    </w:rPr>
  </w:style>
  <w:style w:type="paragraph" w:styleId="IntenseQuote">
    <w:name w:val="Intense Quote"/>
    <w:basedOn w:val="Normal"/>
    <w:next w:val="Normal"/>
    <w:link w:val="IntenseQuoteChar"/>
    <w:uiPriority w:val="99"/>
    <w:semiHidden/>
    <w:qFormat/>
    <w:rsid w:val="00E93FC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E93FC7"/>
    <w:rPr>
      <w:rFonts w:eastAsiaTheme="minorEastAsia"/>
      <w:b/>
      <w:bCs/>
      <w:i/>
      <w:iCs/>
      <w:lang w:bidi="en-US"/>
    </w:rPr>
  </w:style>
  <w:style w:type="character" w:styleId="SubtleEmphasis">
    <w:name w:val="Subtle Emphasis"/>
    <w:uiPriority w:val="99"/>
    <w:semiHidden/>
    <w:qFormat/>
    <w:rsid w:val="00E93FC7"/>
    <w:rPr>
      <w:i/>
      <w:iCs/>
    </w:rPr>
  </w:style>
  <w:style w:type="character" w:styleId="IntenseEmphasis">
    <w:name w:val="Intense Emphasis"/>
    <w:uiPriority w:val="99"/>
    <w:semiHidden/>
    <w:qFormat/>
    <w:rsid w:val="00E93FC7"/>
    <w:rPr>
      <w:b/>
      <w:bCs/>
    </w:rPr>
  </w:style>
  <w:style w:type="character" w:styleId="SubtleReference">
    <w:name w:val="Subtle Reference"/>
    <w:uiPriority w:val="99"/>
    <w:semiHidden/>
    <w:qFormat/>
    <w:rsid w:val="00E93FC7"/>
    <w:rPr>
      <w:smallCaps/>
    </w:rPr>
  </w:style>
  <w:style w:type="character" w:styleId="IntenseReference">
    <w:name w:val="Intense Reference"/>
    <w:uiPriority w:val="99"/>
    <w:semiHidden/>
    <w:qFormat/>
    <w:rsid w:val="00E93FC7"/>
    <w:rPr>
      <w:smallCaps/>
      <w:spacing w:val="5"/>
      <w:u w:val="single"/>
    </w:rPr>
  </w:style>
  <w:style w:type="character" w:styleId="BookTitle">
    <w:name w:val="Book Title"/>
    <w:uiPriority w:val="99"/>
    <w:semiHidden/>
    <w:qFormat/>
    <w:rsid w:val="00E93FC7"/>
    <w:rPr>
      <w:i/>
      <w:iCs/>
      <w:smallCaps/>
      <w:spacing w:val="5"/>
    </w:rPr>
  </w:style>
  <w:style w:type="paragraph" w:styleId="TOCHeading">
    <w:name w:val="TOC Heading"/>
    <w:basedOn w:val="Heading1"/>
    <w:next w:val="Normal"/>
    <w:uiPriority w:val="99"/>
    <w:semiHidden/>
    <w:qFormat/>
    <w:rsid w:val="00E93FC7"/>
    <w:pPr>
      <w:keepNext w:val="0"/>
      <w:keepLines w:val="0"/>
      <w:contextualSpacing/>
      <w:outlineLvl w:val="9"/>
    </w:pPr>
    <w:rPr>
      <w:color w:val="474747" w:themeColor="accent3" w:themeShade="BF"/>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37"/>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70"/>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unhideWhenUsed/>
    <w:rsid w:val="00E93FC7"/>
    <w:rPr>
      <w:vertAlign w:val="superscript"/>
    </w:rPr>
  </w:style>
  <w:style w:type="paragraph" w:styleId="FootnoteText">
    <w:name w:val="footnote text"/>
    <w:basedOn w:val="Normal"/>
    <w:link w:val="FootnoteTextChar"/>
    <w:uiPriority w:val="99"/>
    <w:semiHidden/>
    <w:unhideWhenUsed/>
    <w:rsid w:val="00E93FC7"/>
    <w:rPr>
      <w:sz w:val="20"/>
      <w:szCs w:val="20"/>
    </w:rPr>
  </w:style>
  <w:style w:type="character" w:customStyle="1" w:styleId="FootnoteTextChar">
    <w:name w:val="Footnote Text Char"/>
    <w:basedOn w:val="DefaultParagraphFont"/>
    <w:link w:val="FootnoteText"/>
    <w:uiPriority w:val="99"/>
    <w:semiHidden/>
    <w:rsid w:val="00E93FC7"/>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unhideWhenUsed/>
    <w:rsid w:val="00E93FC7"/>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62"/>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67"/>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E93FC7"/>
    <w:rPr>
      <w:color w:val="808080"/>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93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93FC7"/>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E93FC7"/>
    <w:pPr>
      <w:spacing w:after="100"/>
    </w:pPr>
  </w:style>
  <w:style w:type="paragraph" w:styleId="TOC2">
    <w:name w:val="toc 2"/>
    <w:basedOn w:val="Normal"/>
    <w:next w:val="Normal"/>
    <w:autoRedefine/>
    <w:uiPriority w:val="39"/>
    <w:semiHidden/>
    <w:unhideWhenUsed/>
    <w:rsid w:val="00E93FC7"/>
    <w:pPr>
      <w:spacing w:after="100"/>
      <w:ind w:left="240"/>
    </w:pPr>
  </w:style>
  <w:style w:type="paragraph" w:styleId="TOC3">
    <w:name w:val="toc 3"/>
    <w:basedOn w:val="Normal"/>
    <w:next w:val="Normal"/>
    <w:autoRedefine/>
    <w:uiPriority w:val="39"/>
    <w:semiHidden/>
    <w:unhideWhenUsed/>
    <w:rsid w:val="00E93FC7"/>
    <w:pPr>
      <w:spacing w:after="100"/>
      <w:ind w:left="480"/>
    </w:pPr>
  </w:style>
  <w:style w:type="paragraph" w:styleId="TOC4">
    <w:name w:val="toc 4"/>
    <w:basedOn w:val="Normal"/>
    <w:next w:val="Normal"/>
    <w:autoRedefine/>
    <w:uiPriority w:val="39"/>
    <w:semiHidden/>
    <w:unhideWhenUsed/>
    <w:rsid w:val="00E93FC7"/>
    <w:pPr>
      <w:spacing w:after="100"/>
      <w:ind w:left="720"/>
    </w:pPr>
  </w:style>
  <w:style w:type="paragraph" w:styleId="TOC5">
    <w:name w:val="toc 5"/>
    <w:basedOn w:val="Normal"/>
    <w:next w:val="Normal"/>
    <w:autoRedefine/>
    <w:uiPriority w:val="39"/>
    <w:semiHidden/>
    <w:unhideWhenUsed/>
    <w:rsid w:val="00E93FC7"/>
    <w:pPr>
      <w:spacing w:after="100"/>
      <w:ind w:left="960"/>
    </w:pPr>
  </w:style>
  <w:style w:type="paragraph" w:styleId="TOC6">
    <w:name w:val="toc 6"/>
    <w:basedOn w:val="Normal"/>
    <w:next w:val="Normal"/>
    <w:autoRedefine/>
    <w:uiPriority w:val="39"/>
    <w:semiHidden/>
    <w:unhideWhenUsed/>
    <w:rsid w:val="00E93FC7"/>
    <w:pPr>
      <w:spacing w:after="100"/>
      <w:ind w:left="1200"/>
    </w:pPr>
  </w:style>
  <w:style w:type="paragraph" w:styleId="TOC7">
    <w:name w:val="toc 7"/>
    <w:basedOn w:val="Normal"/>
    <w:next w:val="Normal"/>
    <w:autoRedefine/>
    <w:uiPriority w:val="39"/>
    <w:semiHidden/>
    <w:unhideWhenUsed/>
    <w:rsid w:val="00E93FC7"/>
    <w:pPr>
      <w:spacing w:after="100"/>
      <w:ind w:left="1440"/>
    </w:pPr>
  </w:style>
  <w:style w:type="paragraph" w:styleId="TOC8">
    <w:name w:val="toc 8"/>
    <w:basedOn w:val="Normal"/>
    <w:next w:val="Normal"/>
    <w:autoRedefine/>
    <w:uiPriority w:val="39"/>
    <w:semiHidden/>
    <w:unhideWhenUsed/>
    <w:rsid w:val="00E93FC7"/>
    <w:pPr>
      <w:spacing w:after="100"/>
      <w:ind w:left="1680"/>
    </w:pPr>
  </w:style>
  <w:style w:type="paragraph" w:styleId="TOC9">
    <w:name w:val="toc 9"/>
    <w:basedOn w:val="Normal"/>
    <w:next w:val="Normal"/>
    <w:autoRedefine/>
    <w:uiPriority w:val="39"/>
    <w:semiHidden/>
    <w:unhideWhenUsed/>
    <w:rsid w:val="00E93FC7"/>
    <w:pPr>
      <w:spacing w:after="100"/>
      <w:ind w:left="1920"/>
    </w:pPr>
  </w:style>
  <w:style w:type="paragraph" w:customStyle="1" w:styleId="ECHRFooter">
    <w:name w:val="ECHR_Footer"/>
    <w:aliases w:val="Footer_ECHR"/>
    <w:basedOn w:val="Normal"/>
    <w:uiPriority w:val="57"/>
    <w:semiHidden/>
    <w:rsid w:val="001818B5"/>
    <w:pPr>
      <w:tabs>
        <w:tab w:val="center" w:pos="4536"/>
        <w:tab w:val="right" w:pos="9696"/>
      </w:tabs>
      <w:ind w:left="-680" w:right="-680"/>
      <w:jc w:val="left"/>
    </w:pPr>
    <w:rPr>
      <w:rFonts w:eastAsiaTheme="minorHAnsi"/>
      <w:sz w:val="8"/>
    </w:rPr>
  </w:style>
  <w:style w:type="character" w:customStyle="1" w:styleId="JuParaCar">
    <w:name w:val="Ju_Para Car"/>
    <w:link w:val="ECHRPara"/>
    <w:uiPriority w:val="12"/>
    <w:rsid w:val="00A91AFA"/>
    <w:rPr>
      <w:rFonts w:eastAsiaTheme="minorEastAsia"/>
      <w:sz w:val="24"/>
    </w:rPr>
  </w:style>
  <w:style w:type="paragraph" w:styleId="Footer">
    <w:name w:val="footer"/>
    <w:basedOn w:val="Normal"/>
    <w:link w:val="FooterChar"/>
    <w:uiPriority w:val="99"/>
    <w:unhideWhenUsed/>
    <w:rsid w:val="00A91AFA"/>
    <w:pPr>
      <w:tabs>
        <w:tab w:val="center" w:pos="4680"/>
        <w:tab w:val="right" w:pos="9360"/>
      </w:tabs>
    </w:pPr>
  </w:style>
  <w:style w:type="character" w:customStyle="1" w:styleId="FooterChar">
    <w:name w:val="Footer Char"/>
    <w:basedOn w:val="DefaultParagraphFont"/>
    <w:link w:val="Footer"/>
    <w:uiPriority w:val="99"/>
    <w:rsid w:val="00A91AFA"/>
    <w:rPr>
      <w:rFonts w:eastAsiaTheme="minorEastAsia"/>
      <w:sz w:val="24"/>
    </w:rPr>
  </w:style>
  <w:style w:type="table" w:customStyle="1" w:styleId="ECHRListTable">
    <w:name w:val="ECHR_List_Table"/>
    <w:basedOn w:val="TableNormal"/>
    <w:uiPriority w:val="99"/>
    <w:rsid w:val="00A91AFA"/>
    <w:rPr>
      <w:lang w:val="fr-FR" w:eastAsia="fr-FR"/>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lsdException w:name="heading 4" w:uiPriority="9"/>
    <w:lsdException w:name="heading 5" w:qFormat="1"/>
    <w:lsdException w:name="heading 6" w:uiPriority="9"/>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semiHidden/>
    <w:rsid w:val="001818B5"/>
    <w:pPr>
      <w:jc w:val="both"/>
    </w:pPr>
    <w:rPr>
      <w:rFonts w:eastAsiaTheme="minorEastAsia"/>
      <w:sz w:val="24"/>
    </w:rPr>
  </w:style>
  <w:style w:type="paragraph" w:styleId="Heading1">
    <w:name w:val="heading 1"/>
    <w:basedOn w:val="Normal"/>
    <w:next w:val="Normal"/>
    <w:link w:val="Heading1Char"/>
    <w:uiPriority w:val="9"/>
    <w:semiHidden/>
    <w:rsid w:val="00E93FC7"/>
    <w:pPr>
      <w:keepNext/>
      <w:keepLines/>
      <w:spacing w:before="480"/>
      <w:outlineLvl w:val="0"/>
    </w:pPr>
    <w:rPr>
      <w:rFonts w:asciiTheme="majorHAnsi" w:eastAsiaTheme="majorEastAsia" w:hAnsiTheme="majorHAnsi" w:cstheme="majorBidi"/>
      <w:b/>
      <w:bCs/>
      <w:color w:val="00548C" w:themeColor="accent1" w:themeShade="BF"/>
      <w:sz w:val="28"/>
      <w:szCs w:val="28"/>
    </w:rPr>
  </w:style>
  <w:style w:type="paragraph" w:styleId="Heading2">
    <w:name w:val="heading 2"/>
    <w:basedOn w:val="Normal"/>
    <w:next w:val="Normal"/>
    <w:link w:val="Heading2Char"/>
    <w:uiPriority w:val="9"/>
    <w:semiHidden/>
    <w:rsid w:val="00E93FC7"/>
    <w:pPr>
      <w:keepNext/>
      <w:keepLines/>
      <w:spacing w:before="200"/>
      <w:outlineLvl w:val="1"/>
    </w:pPr>
    <w:rPr>
      <w:rFonts w:asciiTheme="majorHAnsi" w:eastAsiaTheme="majorEastAsia" w:hAnsiTheme="majorHAnsi" w:cstheme="majorBidi"/>
      <w:b/>
      <w:bCs/>
      <w:color w:val="0072BC" w:themeColor="accent1"/>
      <w:sz w:val="26"/>
      <w:szCs w:val="26"/>
    </w:rPr>
  </w:style>
  <w:style w:type="paragraph" w:styleId="Heading3">
    <w:name w:val="heading 3"/>
    <w:basedOn w:val="Normal"/>
    <w:next w:val="Normal"/>
    <w:link w:val="Heading3Char"/>
    <w:uiPriority w:val="9"/>
    <w:semiHidden/>
    <w:unhideWhenUsed/>
    <w:rsid w:val="00E93FC7"/>
    <w:pPr>
      <w:keepNext/>
      <w:keepLines/>
      <w:spacing w:before="200"/>
      <w:outlineLvl w:val="2"/>
    </w:pPr>
    <w:rPr>
      <w:rFonts w:asciiTheme="majorHAnsi" w:eastAsiaTheme="majorEastAsia" w:hAnsiTheme="majorHAnsi" w:cstheme="majorBidi"/>
      <w:b/>
      <w:bCs/>
      <w:color w:val="0072BC" w:themeColor="accent1"/>
    </w:rPr>
  </w:style>
  <w:style w:type="paragraph" w:styleId="Heading4">
    <w:name w:val="heading 4"/>
    <w:basedOn w:val="Normal"/>
    <w:next w:val="Normal"/>
    <w:link w:val="Heading4Char"/>
    <w:uiPriority w:val="9"/>
    <w:semiHidden/>
    <w:unhideWhenUsed/>
    <w:rsid w:val="00E93FC7"/>
    <w:pPr>
      <w:keepNext/>
      <w:keepLines/>
      <w:spacing w:before="200"/>
      <w:outlineLvl w:val="3"/>
    </w:pPr>
    <w:rPr>
      <w:rFonts w:asciiTheme="majorHAnsi" w:eastAsiaTheme="majorEastAsia" w:hAnsiTheme="majorHAnsi" w:cstheme="majorBidi"/>
      <w:b/>
      <w:bCs/>
      <w:i/>
      <w:iCs/>
      <w:color w:val="0072BC" w:themeColor="accent1"/>
    </w:rPr>
  </w:style>
  <w:style w:type="paragraph" w:styleId="Heading5">
    <w:name w:val="heading 5"/>
    <w:basedOn w:val="Normal"/>
    <w:next w:val="Normal"/>
    <w:link w:val="Heading5Char"/>
    <w:uiPriority w:val="99"/>
    <w:semiHidden/>
    <w:qFormat/>
    <w:rsid w:val="00E93FC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
    <w:semiHidden/>
    <w:unhideWhenUsed/>
    <w:rsid w:val="00E93FC7"/>
    <w:pPr>
      <w:keepNext/>
      <w:keepLines/>
      <w:spacing w:before="200"/>
      <w:outlineLvl w:val="5"/>
    </w:pPr>
    <w:rPr>
      <w:rFonts w:asciiTheme="majorHAnsi" w:eastAsiaTheme="majorEastAsia" w:hAnsiTheme="majorHAnsi" w:cstheme="majorBidi"/>
      <w:i/>
      <w:iCs/>
      <w:color w:val="00385D" w:themeColor="accent1" w:themeShade="7F"/>
    </w:rPr>
  </w:style>
  <w:style w:type="paragraph" w:styleId="Heading7">
    <w:name w:val="heading 7"/>
    <w:basedOn w:val="Normal"/>
    <w:next w:val="Normal"/>
    <w:link w:val="Heading7Char"/>
    <w:uiPriority w:val="99"/>
    <w:semiHidden/>
    <w:qFormat/>
    <w:rsid w:val="00E93FC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93F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93F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5C4C1E"/>
    <w:pPr>
      <w:tabs>
        <w:tab w:val="center" w:pos="851"/>
        <w:tab w:val="center" w:pos="6407"/>
      </w:tabs>
      <w:spacing w:before="720"/>
      <w:jc w:val="left"/>
    </w:pPr>
  </w:style>
  <w:style w:type="paragraph" w:customStyle="1" w:styleId="ECHRPara">
    <w:name w:val="ECHR_Para"/>
    <w:aliases w:val="Ju_Para,Para"/>
    <w:basedOn w:val="Normal"/>
    <w:link w:val="JuParaCar"/>
    <w:uiPriority w:val="12"/>
    <w:qFormat/>
    <w:rsid w:val="00C72A0D"/>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E93FC7"/>
  </w:style>
  <w:style w:type="paragraph" w:customStyle="1" w:styleId="ECHRTitleCentre2">
    <w:name w:val="ECHR_Title_Centre_2"/>
    <w:aliases w:val="Dec_H_Case"/>
    <w:basedOn w:val="Normal"/>
    <w:next w:val="Normal"/>
    <w:uiPriority w:val="8"/>
    <w:qFormat/>
    <w:rsid w:val="00E93FC7"/>
    <w:pPr>
      <w:spacing w:after="240"/>
      <w:jc w:val="center"/>
      <w:outlineLvl w:val="0"/>
    </w:pPr>
    <w:rPr>
      <w:rFonts w:asciiTheme="majorHAnsi" w:hAnsiTheme="majorHAnsi"/>
    </w:rPr>
  </w:style>
  <w:style w:type="paragraph" w:customStyle="1" w:styleId="JuTitle">
    <w:name w:val="Ju_Title"/>
    <w:basedOn w:val="Normal"/>
    <w:next w:val="Normal"/>
    <w:uiPriority w:val="3"/>
    <w:qFormat/>
    <w:rsid w:val="00E93FC7"/>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E93FC7"/>
    <w:pPr>
      <w:tabs>
        <w:tab w:val="clear" w:pos="4680"/>
        <w:tab w:val="clear" w:pos="9360"/>
        <w:tab w:val="center" w:pos="3686"/>
        <w:tab w:val="right" w:pos="7371"/>
      </w:tabs>
      <w:jc w:val="left"/>
    </w:pPr>
    <w:rPr>
      <w:rFonts w:eastAsiaTheme="minorHAnsi"/>
      <w:sz w:val="18"/>
    </w:rPr>
  </w:style>
  <w:style w:type="paragraph" w:styleId="Header">
    <w:name w:val="header"/>
    <w:basedOn w:val="Normal"/>
    <w:link w:val="HeaderChar"/>
    <w:uiPriority w:val="99"/>
    <w:semiHidden/>
    <w:unhideWhenUsed/>
    <w:rsid w:val="00E93FC7"/>
    <w:pPr>
      <w:tabs>
        <w:tab w:val="center" w:pos="4680"/>
        <w:tab w:val="right" w:pos="9360"/>
      </w:tabs>
    </w:pPr>
  </w:style>
  <w:style w:type="character" w:customStyle="1" w:styleId="HeaderChar">
    <w:name w:val="Header Char"/>
    <w:basedOn w:val="DefaultParagraphFont"/>
    <w:link w:val="Header"/>
    <w:uiPriority w:val="99"/>
    <w:semiHidden/>
    <w:rsid w:val="00E93FC7"/>
    <w:rPr>
      <w:rFonts w:eastAsiaTheme="minorEastAsia"/>
      <w:sz w:val="24"/>
    </w:rPr>
  </w:style>
  <w:style w:type="paragraph" w:styleId="BalloonText">
    <w:name w:val="Balloon Text"/>
    <w:basedOn w:val="Normal"/>
    <w:link w:val="BalloonTextChar"/>
    <w:uiPriority w:val="99"/>
    <w:semiHidden/>
    <w:unhideWhenUsed/>
    <w:rsid w:val="00E93FC7"/>
    <w:rPr>
      <w:rFonts w:ascii="Tahoma" w:hAnsi="Tahoma" w:cs="Tahoma"/>
      <w:sz w:val="16"/>
      <w:szCs w:val="16"/>
    </w:rPr>
  </w:style>
  <w:style w:type="character" w:customStyle="1" w:styleId="BalloonTextChar">
    <w:name w:val="Balloon Text Char"/>
    <w:basedOn w:val="DefaultParagraphFont"/>
    <w:link w:val="BalloonText"/>
    <w:uiPriority w:val="99"/>
    <w:semiHidden/>
    <w:rsid w:val="00E93FC7"/>
    <w:rPr>
      <w:rFonts w:ascii="Tahoma" w:eastAsiaTheme="minorEastAsia" w:hAnsi="Tahoma" w:cs="Tahoma"/>
      <w:sz w:val="16"/>
      <w:szCs w:val="16"/>
    </w:rPr>
  </w:style>
  <w:style w:type="paragraph" w:customStyle="1" w:styleId="JuAppQuestion">
    <w:name w:val="Ju_App_Question"/>
    <w:basedOn w:val="Normal"/>
    <w:uiPriority w:val="5"/>
    <w:qFormat/>
    <w:rsid w:val="00E93FC7"/>
    <w:pPr>
      <w:numPr>
        <w:numId w:val="2"/>
      </w:numPr>
      <w:jc w:val="left"/>
    </w:pPr>
    <w:rPr>
      <w:b/>
    </w:rPr>
  </w:style>
  <w:style w:type="paragraph" w:customStyle="1" w:styleId="OpiPara">
    <w:name w:val="Opi_Para"/>
    <w:basedOn w:val="Normal"/>
    <w:uiPriority w:val="46"/>
    <w:semiHidden/>
    <w:qFormat/>
    <w:rsid w:val="00C72A0D"/>
    <w:pPr>
      <w:ind w:firstLine="284"/>
    </w:pPr>
  </w:style>
  <w:style w:type="paragraph" w:customStyle="1" w:styleId="ECHRParaQuote">
    <w:name w:val="ECHR_Para_Quote"/>
    <w:aliases w:val="Ju_Quot"/>
    <w:basedOn w:val="Normal"/>
    <w:qFormat/>
    <w:rsid w:val="00E93FC7"/>
    <w:pPr>
      <w:spacing w:before="120" w:after="120"/>
      <w:ind w:left="425" w:firstLine="142"/>
    </w:pPr>
    <w:rPr>
      <w:sz w:val="20"/>
    </w:rPr>
  </w:style>
  <w:style w:type="paragraph" w:customStyle="1" w:styleId="JuParaSub">
    <w:name w:val="Ju_Para_Sub"/>
    <w:basedOn w:val="Normal"/>
    <w:uiPriority w:val="13"/>
    <w:qFormat/>
    <w:rsid w:val="00C72A0D"/>
    <w:pPr>
      <w:ind w:left="284" w:firstLine="284"/>
    </w:pPr>
  </w:style>
  <w:style w:type="paragraph" w:customStyle="1" w:styleId="OpiParaSub">
    <w:name w:val="Opi_Para_Sub"/>
    <w:basedOn w:val="JuParaSub"/>
    <w:uiPriority w:val="47"/>
    <w:semiHidden/>
    <w:qFormat/>
    <w:rsid w:val="00E93FC7"/>
  </w:style>
  <w:style w:type="paragraph" w:customStyle="1" w:styleId="OpiQuot">
    <w:name w:val="Opi_Quot"/>
    <w:basedOn w:val="ECHRParaQuote"/>
    <w:uiPriority w:val="48"/>
    <w:semiHidden/>
    <w:qFormat/>
    <w:rsid w:val="00E93FC7"/>
  </w:style>
  <w:style w:type="paragraph" w:customStyle="1" w:styleId="OpiQuotSub">
    <w:name w:val="Opi_Quot_Sub"/>
    <w:basedOn w:val="JuQuotSub"/>
    <w:uiPriority w:val="49"/>
    <w:semiHidden/>
    <w:qFormat/>
    <w:rsid w:val="00E93FC7"/>
  </w:style>
  <w:style w:type="paragraph" w:customStyle="1" w:styleId="ECHRTitleCentre3">
    <w:name w:val="ECHR_Title_Centre_3"/>
    <w:aliases w:val="Ju_H_Article"/>
    <w:basedOn w:val="Normal"/>
    <w:next w:val="ECHRParaQuote"/>
    <w:uiPriority w:val="27"/>
    <w:qFormat/>
    <w:rsid w:val="00E93FC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semiHidden/>
    <w:qFormat/>
    <w:rsid w:val="00E93FC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93FC7"/>
    <w:pPr>
      <w:ind w:left="567"/>
    </w:pPr>
  </w:style>
  <w:style w:type="paragraph" w:customStyle="1" w:styleId="ECHRTitle1">
    <w:name w:val="ECHR_Title_1"/>
    <w:aliases w:val="Ju_H_Head"/>
    <w:basedOn w:val="Normal"/>
    <w:next w:val="Normal"/>
    <w:uiPriority w:val="18"/>
    <w:qFormat/>
    <w:rsid w:val="00E93FC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93FC7"/>
    <w:pPr>
      <w:tabs>
        <w:tab w:val="center" w:pos="6407"/>
      </w:tabs>
      <w:spacing w:before="720"/>
      <w:jc w:val="right"/>
    </w:pPr>
  </w:style>
  <w:style w:type="paragraph" w:customStyle="1" w:styleId="OpiHA">
    <w:name w:val="Opi_H_A"/>
    <w:basedOn w:val="ECHRHeading1"/>
    <w:next w:val="OpiPara"/>
    <w:uiPriority w:val="41"/>
    <w:semiHidden/>
    <w:qFormat/>
    <w:rsid w:val="00E93FC7"/>
    <w:pPr>
      <w:tabs>
        <w:tab w:val="clear" w:pos="357"/>
      </w:tabs>
      <w:outlineLvl w:val="1"/>
    </w:pPr>
    <w:rPr>
      <w:b/>
    </w:rPr>
  </w:style>
  <w:style w:type="character" w:customStyle="1" w:styleId="JUNAMES">
    <w:name w:val="JU_NAMES"/>
    <w:uiPriority w:val="17"/>
    <w:qFormat/>
    <w:rsid w:val="00E93FC7"/>
    <w:rPr>
      <w:caps w:val="0"/>
      <w:smallCaps/>
    </w:rPr>
  </w:style>
  <w:style w:type="character" w:customStyle="1" w:styleId="JuITMark">
    <w:name w:val="Ju_ITMark"/>
    <w:basedOn w:val="DefaultParagraphFont"/>
    <w:uiPriority w:val="38"/>
    <w:qFormat/>
    <w:rsid w:val="00E93FC7"/>
    <w:rPr>
      <w:vanish/>
      <w:color w:val="339966"/>
      <w:sz w:val="14"/>
    </w:rPr>
  </w:style>
  <w:style w:type="paragraph" w:customStyle="1" w:styleId="OpiTranslation">
    <w:name w:val="Opi_Translation"/>
    <w:basedOn w:val="Normal"/>
    <w:next w:val="OpiPara"/>
    <w:uiPriority w:val="40"/>
    <w:semiHidden/>
    <w:qFormat/>
    <w:rsid w:val="00E93FC7"/>
    <w:pPr>
      <w:jc w:val="center"/>
      <w:outlineLvl w:val="0"/>
    </w:pPr>
    <w:rPr>
      <w:i/>
    </w:rPr>
  </w:style>
  <w:style w:type="paragraph" w:customStyle="1" w:styleId="JuCourt">
    <w:name w:val="Ju_Court"/>
    <w:basedOn w:val="Normal"/>
    <w:next w:val="Normal"/>
    <w:uiPriority w:val="16"/>
    <w:qFormat/>
    <w:rsid w:val="00E93FC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Normal"/>
    <w:uiPriority w:val="19"/>
    <w:qFormat/>
    <w:rsid w:val="00E93FC7"/>
    <w:pPr>
      <w:tabs>
        <w:tab w:val="left" w:pos="357"/>
      </w:tabs>
      <w:spacing w:before="360" w:after="240"/>
      <w:ind w:left="357" w:hanging="357"/>
    </w:pPr>
    <w:rPr>
      <w:b w:val="0"/>
      <w:color w:val="auto"/>
      <w:sz w:val="24"/>
    </w:rPr>
  </w:style>
  <w:style w:type="character" w:customStyle="1" w:styleId="Heading1Char">
    <w:name w:val="Heading 1 Char"/>
    <w:basedOn w:val="DefaultParagraphFont"/>
    <w:link w:val="Heading1"/>
    <w:uiPriority w:val="9"/>
    <w:rsid w:val="00E93FC7"/>
    <w:rPr>
      <w:rFonts w:asciiTheme="majorHAnsi" w:eastAsiaTheme="majorEastAsia" w:hAnsiTheme="majorHAnsi" w:cstheme="majorBidi"/>
      <w:b/>
      <w:bCs/>
      <w:color w:val="00548C" w:themeColor="accent1" w:themeShade="BF"/>
      <w:sz w:val="28"/>
      <w:szCs w:val="28"/>
    </w:rPr>
  </w:style>
  <w:style w:type="paragraph" w:customStyle="1" w:styleId="ECHRHeading2">
    <w:name w:val="ECHR_Heading_2"/>
    <w:aliases w:val="Ju_H_A,Head_2"/>
    <w:basedOn w:val="Heading2"/>
    <w:next w:val="Normal"/>
    <w:uiPriority w:val="20"/>
    <w:qFormat/>
    <w:rsid w:val="00E93FC7"/>
    <w:pPr>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
    <w:semiHidden/>
    <w:rsid w:val="005C4C1E"/>
    <w:rPr>
      <w:rFonts w:asciiTheme="majorHAnsi" w:eastAsiaTheme="majorEastAsia" w:hAnsiTheme="majorHAnsi" w:cstheme="majorBidi"/>
      <w:b/>
      <w:bCs/>
      <w:color w:val="0072BC" w:themeColor="accent1"/>
      <w:sz w:val="26"/>
      <w:szCs w:val="26"/>
    </w:rPr>
  </w:style>
  <w:style w:type="paragraph" w:customStyle="1" w:styleId="ECHRHeading3">
    <w:name w:val="ECHR_Heading_3"/>
    <w:aliases w:val="Ju_H_1."/>
    <w:basedOn w:val="Heading3"/>
    <w:next w:val="Normal"/>
    <w:uiPriority w:val="21"/>
    <w:qFormat/>
    <w:rsid w:val="00E93FC7"/>
    <w:pPr>
      <w:tabs>
        <w:tab w:val="left" w:pos="731"/>
      </w:tabs>
      <w:spacing w:before="240" w:after="120"/>
      <w:ind w:left="732" w:hanging="301"/>
    </w:pPr>
    <w:rPr>
      <w:b w:val="0"/>
      <w:i/>
      <w:color w:val="auto"/>
    </w:rPr>
  </w:style>
  <w:style w:type="character" w:customStyle="1" w:styleId="Heading3Char">
    <w:name w:val="Heading 3 Char"/>
    <w:basedOn w:val="DefaultParagraphFont"/>
    <w:link w:val="Heading3"/>
    <w:uiPriority w:val="9"/>
    <w:semiHidden/>
    <w:rsid w:val="00E93FC7"/>
    <w:rPr>
      <w:rFonts w:asciiTheme="majorHAnsi" w:eastAsiaTheme="majorEastAsia" w:hAnsiTheme="majorHAnsi" w:cstheme="majorBidi"/>
      <w:b/>
      <w:bCs/>
      <w:color w:val="0072BC" w:themeColor="accent1"/>
      <w:sz w:val="24"/>
    </w:rPr>
  </w:style>
  <w:style w:type="paragraph" w:customStyle="1" w:styleId="ECHRHeading4">
    <w:name w:val="ECHR_Heading_4"/>
    <w:aliases w:val="Ju_H_a"/>
    <w:basedOn w:val="Heading4"/>
    <w:next w:val="Normal"/>
    <w:uiPriority w:val="22"/>
    <w:qFormat/>
    <w:rsid w:val="00E93FC7"/>
    <w:pPr>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
    <w:semiHidden/>
    <w:rsid w:val="00E93FC7"/>
    <w:rPr>
      <w:rFonts w:asciiTheme="majorHAnsi" w:eastAsiaTheme="majorEastAsia" w:hAnsiTheme="majorHAnsi" w:cstheme="majorBidi"/>
      <w:b/>
      <w:bCs/>
      <w:i/>
      <w:iCs/>
      <w:color w:val="0072BC" w:themeColor="accent1"/>
      <w:sz w:val="24"/>
    </w:rPr>
  </w:style>
  <w:style w:type="paragraph" w:customStyle="1" w:styleId="ECHRHeading5">
    <w:name w:val="ECHR_Heading_5"/>
    <w:aliases w:val="Ju_H_i"/>
    <w:basedOn w:val="Heading5"/>
    <w:next w:val="Normal"/>
    <w:uiPriority w:val="23"/>
    <w:qFormat/>
    <w:rsid w:val="00E93FC7"/>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E93FC7"/>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Normal"/>
    <w:uiPriority w:val="24"/>
    <w:qFormat/>
    <w:rsid w:val="00E93FC7"/>
    <w:pPr>
      <w:tabs>
        <w:tab w:val="left" w:pos="1372"/>
      </w:tabs>
      <w:spacing w:before="240" w:after="120"/>
      <w:ind w:left="1373" w:hanging="335"/>
    </w:pPr>
    <w:rPr>
      <w:bCs/>
      <w:color w:val="auto"/>
      <w:sz w:val="20"/>
      <w:lang w:bidi="en-US"/>
    </w:rPr>
  </w:style>
  <w:style w:type="character" w:customStyle="1" w:styleId="Heading6Char">
    <w:name w:val="Heading 6 Char"/>
    <w:basedOn w:val="DefaultParagraphFont"/>
    <w:link w:val="Heading6"/>
    <w:uiPriority w:val="9"/>
    <w:semiHidden/>
    <w:rsid w:val="00E93FC7"/>
    <w:rPr>
      <w:rFonts w:asciiTheme="majorHAnsi" w:eastAsiaTheme="majorEastAsia" w:hAnsiTheme="majorHAnsi" w:cstheme="majorBidi"/>
      <w:i/>
      <w:iCs/>
      <w:color w:val="00385D" w:themeColor="accent1" w:themeShade="7F"/>
      <w:sz w:val="24"/>
    </w:rPr>
  </w:style>
  <w:style w:type="paragraph" w:customStyle="1" w:styleId="ECHRHeading7">
    <w:name w:val="ECHR_Heading_7"/>
    <w:aliases w:val="Ju_H_–"/>
    <w:basedOn w:val="Heading7"/>
    <w:next w:val="Normal"/>
    <w:uiPriority w:val="25"/>
    <w:qFormat/>
    <w:rsid w:val="00E93FC7"/>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E93FC7"/>
    <w:rPr>
      <w:rFonts w:asciiTheme="majorHAnsi" w:eastAsiaTheme="majorEastAsia" w:hAnsiTheme="majorHAnsi" w:cstheme="majorBidi"/>
      <w:i/>
      <w:iCs/>
      <w:lang w:bidi="en-US"/>
    </w:rPr>
  </w:style>
  <w:style w:type="paragraph" w:customStyle="1" w:styleId="JuParaLast">
    <w:name w:val="Ju_Para_Last"/>
    <w:basedOn w:val="Normal"/>
    <w:next w:val="Normal"/>
    <w:uiPriority w:val="30"/>
    <w:qFormat/>
    <w:rsid w:val="00E93FC7"/>
    <w:pPr>
      <w:keepNext/>
      <w:keepLines/>
      <w:spacing w:before="240"/>
      <w:ind w:firstLine="284"/>
    </w:pPr>
  </w:style>
  <w:style w:type="paragraph" w:customStyle="1" w:styleId="DecList">
    <w:name w:val="Dec_List"/>
    <w:basedOn w:val="Normal"/>
    <w:uiPriority w:val="9"/>
    <w:qFormat/>
    <w:rsid w:val="00E93FC7"/>
    <w:pPr>
      <w:spacing w:before="240"/>
      <w:ind w:left="284"/>
    </w:pPr>
  </w:style>
  <w:style w:type="paragraph" w:customStyle="1" w:styleId="ECHRDecisionBody">
    <w:name w:val="ECHR_Decision_Body"/>
    <w:aliases w:val="Ju_Judges"/>
    <w:basedOn w:val="Normal"/>
    <w:uiPriority w:val="11"/>
    <w:qFormat/>
    <w:rsid w:val="00E93FC7"/>
    <w:pPr>
      <w:tabs>
        <w:tab w:val="left" w:pos="567"/>
        <w:tab w:val="left" w:pos="1134"/>
      </w:tabs>
      <w:jc w:val="left"/>
    </w:pPr>
  </w:style>
  <w:style w:type="paragraph" w:customStyle="1" w:styleId="JuList">
    <w:name w:val="Ju_List"/>
    <w:basedOn w:val="Normal"/>
    <w:uiPriority w:val="28"/>
    <w:qFormat/>
    <w:rsid w:val="00E93FC7"/>
    <w:pPr>
      <w:ind w:left="340" w:hanging="340"/>
    </w:pPr>
  </w:style>
  <w:style w:type="paragraph" w:customStyle="1" w:styleId="JuLista">
    <w:name w:val="Ju_List_a"/>
    <w:basedOn w:val="JuList"/>
    <w:uiPriority w:val="28"/>
    <w:qFormat/>
    <w:rsid w:val="00E93FC7"/>
    <w:pPr>
      <w:ind w:left="346" w:firstLine="0"/>
    </w:pPr>
  </w:style>
  <w:style w:type="paragraph" w:customStyle="1" w:styleId="JuListi">
    <w:name w:val="Ju_List_i"/>
    <w:basedOn w:val="Normal"/>
    <w:next w:val="JuLista"/>
    <w:uiPriority w:val="28"/>
    <w:qFormat/>
    <w:rsid w:val="00E93FC7"/>
    <w:pPr>
      <w:ind w:left="794"/>
    </w:pPr>
  </w:style>
  <w:style w:type="paragraph" w:customStyle="1" w:styleId="OpiH1">
    <w:name w:val="Opi_H_1"/>
    <w:basedOn w:val="ECHRHeading2"/>
    <w:uiPriority w:val="42"/>
    <w:semiHidden/>
    <w:qFormat/>
    <w:rsid w:val="00E93FC7"/>
    <w:pPr>
      <w:ind w:left="635" w:hanging="357"/>
      <w:outlineLvl w:val="2"/>
    </w:pPr>
  </w:style>
  <w:style w:type="paragraph" w:customStyle="1" w:styleId="OpiHa0">
    <w:name w:val="Opi_H_a"/>
    <w:basedOn w:val="ECHRHeading3"/>
    <w:uiPriority w:val="43"/>
    <w:semiHidden/>
    <w:qFormat/>
    <w:rsid w:val="00E93FC7"/>
    <w:pPr>
      <w:ind w:left="833" w:hanging="357"/>
      <w:outlineLvl w:val="3"/>
    </w:pPr>
    <w:rPr>
      <w:b/>
      <w:i w:val="0"/>
      <w:sz w:val="20"/>
    </w:rPr>
  </w:style>
  <w:style w:type="paragraph" w:customStyle="1" w:styleId="OpiHi">
    <w:name w:val="Opi_H_i"/>
    <w:basedOn w:val="ECHRHeading4"/>
    <w:uiPriority w:val="44"/>
    <w:semiHidden/>
    <w:qFormat/>
    <w:rsid w:val="00E93FC7"/>
    <w:pPr>
      <w:ind w:left="1037" w:hanging="357"/>
      <w:outlineLvl w:val="4"/>
    </w:pPr>
    <w:rPr>
      <w:b w:val="0"/>
      <w:i/>
    </w:rPr>
  </w:style>
  <w:style w:type="character" w:customStyle="1" w:styleId="Heading8Char">
    <w:name w:val="Heading 8 Char"/>
    <w:basedOn w:val="DefaultParagraphFont"/>
    <w:link w:val="Heading8"/>
    <w:uiPriority w:val="99"/>
    <w:semiHidden/>
    <w:rsid w:val="00E93FC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3FC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93F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E93FC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93FC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E93FC7"/>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E93FC7"/>
    <w:rPr>
      <w:b/>
      <w:bCs/>
    </w:rPr>
  </w:style>
  <w:style w:type="character" w:styleId="Emphasis">
    <w:name w:val="Emphasis"/>
    <w:uiPriority w:val="99"/>
    <w:semiHidden/>
    <w:qFormat/>
    <w:rsid w:val="00E93FC7"/>
    <w:rPr>
      <w:b/>
      <w:bCs/>
      <w:i/>
      <w:iCs/>
      <w:spacing w:val="10"/>
      <w:bdr w:val="none" w:sz="0" w:space="0" w:color="auto"/>
      <w:shd w:val="clear" w:color="auto" w:fill="auto"/>
    </w:rPr>
  </w:style>
  <w:style w:type="paragraph" w:styleId="NoSpacing">
    <w:name w:val="No Spacing"/>
    <w:basedOn w:val="Normal"/>
    <w:link w:val="NoSpacingChar"/>
    <w:semiHidden/>
    <w:qFormat/>
    <w:rsid w:val="00E93FC7"/>
    <w:rPr>
      <w:sz w:val="22"/>
    </w:rPr>
  </w:style>
  <w:style w:type="character" w:customStyle="1" w:styleId="NoSpacingChar">
    <w:name w:val="No Spacing Char"/>
    <w:basedOn w:val="DefaultParagraphFont"/>
    <w:link w:val="NoSpacing"/>
    <w:rsid w:val="00E93FC7"/>
    <w:rPr>
      <w:rFonts w:eastAsiaTheme="minorEastAsia"/>
    </w:rPr>
  </w:style>
  <w:style w:type="paragraph" w:styleId="ListParagraph">
    <w:name w:val="List Paragraph"/>
    <w:basedOn w:val="Normal"/>
    <w:uiPriority w:val="99"/>
    <w:semiHidden/>
    <w:qFormat/>
    <w:rsid w:val="00E93FC7"/>
    <w:pPr>
      <w:ind w:left="720"/>
      <w:contextualSpacing/>
    </w:pPr>
  </w:style>
  <w:style w:type="paragraph" w:styleId="Quote">
    <w:name w:val="Quote"/>
    <w:basedOn w:val="Normal"/>
    <w:next w:val="Normal"/>
    <w:link w:val="QuoteChar"/>
    <w:uiPriority w:val="99"/>
    <w:semiHidden/>
    <w:qFormat/>
    <w:rsid w:val="00E93FC7"/>
    <w:pPr>
      <w:spacing w:before="200"/>
      <w:ind w:left="360" w:right="360"/>
    </w:pPr>
    <w:rPr>
      <w:i/>
      <w:iCs/>
      <w:sz w:val="22"/>
      <w:lang w:bidi="en-US"/>
    </w:rPr>
  </w:style>
  <w:style w:type="character" w:customStyle="1" w:styleId="QuoteChar">
    <w:name w:val="Quote Char"/>
    <w:basedOn w:val="DefaultParagraphFont"/>
    <w:link w:val="Quote"/>
    <w:uiPriority w:val="99"/>
    <w:rsid w:val="00E93FC7"/>
    <w:rPr>
      <w:rFonts w:eastAsiaTheme="minorEastAsia"/>
      <w:i/>
      <w:iCs/>
      <w:lang w:bidi="en-US"/>
    </w:rPr>
  </w:style>
  <w:style w:type="paragraph" w:styleId="IntenseQuote">
    <w:name w:val="Intense Quote"/>
    <w:basedOn w:val="Normal"/>
    <w:next w:val="Normal"/>
    <w:link w:val="IntenseQuoteChar"/>
    <w:uiPriority w:val="99"/>
    <w:semiHidden/>
    <w:qFormat/>
    <w:rsid w:val="00E93FC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E93FC7"/>
    <w:rPr>
      <w:rFonts w:eastAsiaTheme="minorEastAsia"/>
      <w:b/>
      <w:bCs/>
      <w:i/>
      <w:iCs/>
      <w:lang w:bidi="en-US"/>
    </w:rPr>
  </w:style>
  <w:style w:type="character" w:styleId="SubtleEmphasis">
    <w:name w:val="Subtle Emphasis"/>
    <w:uiPriority w:val="99"/>
    <w:semiHidden/>
    <w:qFormat/>
    <w:rsid w:val="00E93FC7"/>
    <w:rPr>
      <w:i/>
      <w:iCs/>
    </w:rPr>
  </w:style>
  <w:style w:type="character" w:styleId="IntenseEmphasis">
    <w:name w:val="Intense Emphasis"/>
    <w:uiPriority w:val="99"/>
    <w:semiHidden/>
    <w:qFormat/>
    <w:rsid w:val="00E93FC7"/>
    <w:rPr>
      <w:b/>
      <w:bCs/>
    </w:rPr>
  </w:style>
  <w:style w:type="character" w:styleId="SubtleReference">
    <w:name w:val="Subtle Reference"/>
    <w:uiPriority w:val="99"/>
    <w:semiHidden/>
    <w:qFormat/>
    <w:rsid w:val="00E93FC7"/>
    <w:rPr>
      <w:smallCaps/>
    </w:rPr>
  </w:style>
  <w:style w:type="character" w:styleId="IntenseReference">
    <w:name w:val="Intense Reference"/>
    <w:uiPriority w:val="99"/>
    <w:semiHidden/>
    <w:qFormat/>
    <w:rsid w:val="00E93FC7"/>
    <w:rPr>
      <w:smallCaps/>
      <w:spacing w:val="5"/>
      <w:u w:val="single"/>
    </w:rPr>
  </w:style>
  <w:style w:type="character" w:styleId="BookTitle">
    <w:name w:val="Book Title"/>
    <w:uiPriority w:val="99"/>
    <w:semiHidden/>
    <w:qFormat/>
    <w:rsid w:val="00E93FC7"/>
    <w:rPr>
      <w:i/>
      <w:iCs/>
      <w:smallCaps/>
      <w:spacing w:val="5"/>
    </w:rPr>
  </w:style>
  <w:style w:type="paragraph" w:styleId="TOCHeading">
    <w:name w:val="TOC Heading"/>
    <w:basedOn w:val="Heading1"/>
    <w:next w:val="Normal"/>
    <w:uiPriority w:val="99"/>
    <w:semiHidden/>
    <w:qFormat/>
    <w:rsid w:val="00E93FC7"/>
    <w:pPr>
      <w:keepNext w:val="0"/>
      <w:keepLines w:val="0"/>
      <w:contextualSpacing/>
      <w:outlineLvl w:val="9"/>
    </w:pPr>
    <w:rPr>
      <w:color w:val="474747" w:themeColor="accent3" w:themeShade="BF"/>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37"/>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70"/>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unhideWhenUsed/>
    <w:rsid w:val="00E93FC7"/>
    <w:rPr>
      <w:vertAlign w:val="superscript"/>
    </w:rPr>
  </w:style>
  <w:style w:type="paragraph" w:styleId="FootnoteText">
    <w:name w:val="footnote text"/>
    <w:basedOn w:val="Normal"/>
    <w:link w:val="FootnoteTextChar"/>
    <w:uiPriority w:val="99"/>
    <w:semiHidden/>
    <w:unhideWhenUsed/>
    <w:rsid w:val="00E93FC7"/>
    <w:rPr>
      <w:sz w:val="20"/>
      <w:szCs w:val="20"/>
    </w:rPr>
  </w:style>
  <w:style w:type="character" w:customStyle="1" w:styleId="FootnoteTextChar">
    <w:name w:val="Footnote Text Char"/>
    <w:basedOn w:val="DefaultParagraphFont"/>
    <w:link w:val="FootnoteText"/>
    <w:uiPriority w:val="99"/>
    <w:semiHidden/>
    <w:rsid w:val="00E93FC7"/>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unhideWhenUsed/>
    <w:rsid w:val="00E93FC7"/>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62"/>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67"/>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E93FC7"/>
    <w:rPr>
      <w:color w:val="808080"/>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93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93FC7"/>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E93FC7"/>
    <w:pPr>
      <w:spacing w:after="100"/>
    </w:pPr>
  </w:style>
  <w:style w:type="paragraph" w:styleId="TOC2">
    <w:name w:val="toc 2"/>
    <w:basedOn w:val="Normal"/>
    <w:next w:val="Normal"/>
    <w:autoRedefine/>
    <w:uiPriority w:val="39"/>
    <w:semiHidden/>
    <w:unhideWhenUsed/>
    <w:rsid w:val="00E93FC7"/>
    <w:pPr>
      <w:spacing w:after="100"/>
      <w:ind w:left="240"/>
    </w:pPr>
  </w:style>
  <w:style w:type="paragraph" w:styleId="TOC3">
    <w:name w:val="toc 3"/>
    <w:basedOn w:val="Normal"/>
    <w:next w:val="Normal"/>
    <w:autoRedefine/>
    <w:uiPriority w:val="39"/>
    <w:semiHidden/>
    <w:unhideWhenUsed/>
    <w:rsid w:val="00E93FC7"/>
    <w:pPr>
      <w:spacing w:after="100"/>
      <w:ind w:left="480"/>
    </w:pPr>
  </w:style>
  <w:style w:type="paragraph" w:styleId="TOC4">
    <w:name w:val="toc 4"/>
    <w:basedOn w:val="Normal"/>
    <w:next w:val="Normal"/>
    <w:autoRedefine/>
    <w:uiPriority w:val="39"/>
    <w:semiHidden/>
    <w:unhideWhenUsed/>
    <w:rsid w:val="00E93FC7"/>
    <w:pPr>
      <w:spacing w:after="100"/>
      <w:ind w:left="720"/>
    </w:pPr>
  </w:style>
  <w:style w:type="paragraph" w:styleId="TOC5">
    <w:name w:val="toc 5"/>
    <w:basedOn w:val="Normal"/>
    <w:next w:val="Normal"/>
    <w:autoRedefine/>
    <w:uiPriority w:val="39"/>
    <w:semiHidden/>
    <w:unhideWhenUsed/>
    <w:rsid w:val="00E93FC7"/>
    <w:pPr>
      <w:spacing w:after="100"/>
      <w:ind w:left="960"/>
    </w:pPr>
  </w:style>
  <w:style w:type="paragraph" w:styleId="TOC6">
    <w:name w:val="toc 6"/>
    <w:basedOn w:val="Normal"/>
    <w:next w:val="Normal"/>
    <w:autoRedefine/>
    <w:uiPriority w:val="39"/>
    <w:semiHidden/>
    <w:unhideWhenUsed/>
    <w:rsid w:val="00E93FC7"/>
    <w:pPr>
      <w:spacing w:after="100"/>
      <w:ind w:left="1200"/>
    </w:pPr>
  </w:style>
  <w:style w:type="paragraph" w:styleId="TOC7">
    <w:name w:val="toc 7"/>
    <w:basedOn w:val="Normal"/>
    <w:next w:val="Normal"/>
    <w:autoRedefine/>
    <w:uiPriority w:val="39"/>
    <w:semiHidden/>
    <w:unhideWhenUsed/>
    <w:rsid w:val="00E93FC7"/>
    <w:pPr>
      <w:spacing w:after="100"/>
      <w:ind w:left="1440"/>
    </w:pPr>
  </w:style>
  <w:style w:type="paragraph" w:styleId="TOC8">
    <w:name w:val="toc 8"/>
    <w:basedOn w:val="Normal"/>
    <w:next w:val="Normal"/>
    <w:autoRedefine/>
    <w:uiPriority w:val="39"/>
    <w:semiHidden/>
    <w:unhideWhenUsed/>
    <w:rsid w:val="00E93FC7"/>
    <w:pPr>
      <w:spacing w:after="100"/>
      <w:ind w:left="1680"/>
    </w:pPr>
  </w:style>
  <w:style w:type="paragraph" w:styleId="TOC9">
    <w:name w:val="toc 9"/>
    <w:basedOn w:val="Normal"/>
    <w:next w:val="Normal"/>
    <w:autoRedefine/>
    <w:uiPriority w:val="39"/>
    <w:semiHidden/>
    <w:unhideWhenUsed/>
    <w:rsid w:val="00E93FC7"/>
    <w:pPr>
      <w:spacing w:after="100"/>
      <w:ind w:left="1920"/>
    </w:pPr>
  </w:style>
  <w:style w:type="paragraph" w:customStyle="1" w:styleId="ECHRFooter">
    <w:name w:val="ECHR_Footer"/>
    <w:aliases w:val="Footer_ECHR"/>
    <w:basedOn w:val="Normal"/>
    <w:uiPriority w:val="57"/>
    <w:semiHidden/>
    <w:rsid w:val="001818B5"/>
    <w:pPr>
      <w:tabs>
        <w:tab w:val="center" w:pos="4536"/>
        <w:tab w:val="right" w:pos="9696"/>
      </w:tabs>
      <w:ind w:left="-680" w:right="-680"/>
      <w:jc w:val="left"/>
    </w:pPr>
    <w:rPr>
      <w:rFonts w:eastAsiaTheme="minorHAnsi"/>
      <w:sz w:val="8"/>
    </w:rPr>
  </w:style>
  <w:style w:type="character" w:customStyle="1" w:styleId="JuParaCar">
    <w:name w:val="Ju_Para Car"/>
    <w:link w:val="ECHRPara"/>
    <w:uiPriority w:val="12"/>
    <w:rsid w:val="00A91AFA"/>
    <w:rPr>
      <w:rFonts w:eastAsiaTheme="minorEastAsia"/>
      <w:sz w:val="24"/>
    </w:rPr>
  </w:style>
  <w:style w:type="paragraph" w:styleId="Footer">
    <w:name w:val="footer"/>
    <w:basedOn w:val="Normal"/>
    <w:link w:val="FooterChar"/>
    <w:uiPriority w:val="99"/>
    <w:unhideWhenUsed/>
    <w:rsid w:val="00A91AFA"/>
    <w:pPr>
      <w:tabs>
        <w:tab w:val="center" w:pos="4680"/>
        <w:tab w:val="right" w:pos="9360"/>
      </w:tabs>
    </w:pPr>
  </w:style>
  <w:style w:type="character" w:customStyle="1" w:styleId="FooterChar">
    <w:name w:val="Footer Char"/>
    <w:basedOn w:val="DefaultParagraphFont"/>
    <w:link w:val="Footer"/>
    <w:uiPriority w:val="99"/>
    <w:rsid w:val="00A91AFA"/>
    <w:rPr>
      <w:rFonts w:eastAsiaTheme="minorEastAsia"/>
      <w:sz w:val="24"/>
    </w:rPr>
  </w:style>
  <w:style w:type="table" w:customStyle="1" w:styleId="ECHRListTable">
    <w:name w:val="ECHR_List_Table"/>
    <w:basedOn w:val="TableNormal"/>
    <w:uiPriority w:val="99"/>
    <w:rsid w:val="00A91AFA"/>
    <w:rPr>
      <w:lang w:val="fr-FR" w:eastAsia="fr-FR"/>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CCCF7C-8AA2-44B6-8E7D-4D9B69F25D9A}"/>
</file>

<file path=customXml/itemProps2.xml><?xml version="1.0" encoding="utf-8"?>
<ds:datastoreItem xmlns:ds="http://schemas.openxmlformats.org/officeDocument/2006/customXml" ds:itemID="{2BE6D59B-3620-4449-AE58-3B2444D8463D}"/>
</file>

<file path=customXml/itemProps3.xml><?xml version="1.0" encoding="utf-8"?>
<ds:datastoreItem xmlns:ds="http://schemas.openxmlformats.org/officeDocument/2006/customXml" ds:itemID="{D314FF4A-5649-4778-91F5-08E7C2B4039F}"/>
</file>

<file path=docProps/app.xml><?xml version="1.0" encoding="utf-8"?>
<Properties xmlns="http://schemas.openxmlformats.org/officeDocument/2006/extended-properties" xmlns:vt="http://schemas.openxmlformats.org/officeDocument/2006/docPropsVTypes">
  <Template>Normal.dotm</Template>
  <TotalTime>0</TotalTime>
  <Pages>8</Pages>
  <Words>2707</Words>
  <Characters>14198</Characters>
  <Application>Microsoft Office Word</Application>
  <DocSecurity>0</DocSecurity>
  <Lines>341</Lines>
  <Paragraphs>120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2015-10-14T08:29:00Z</dcterms:created>
  <dcterms:modified xsi:type="dcterms:W3CDTF">2015-10-14T08:31:00Z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