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39B9" w:rsidR="00D334C1" w:rsidP="008B39B9" w:rsidRDefault="00D334C1">
      <w:pPr>
        <w:jc w:val="center"/>
        <w:rPr>
          <w:lang w:val="en-GB"/>
        </w:rPr>
      </w:pPr>
      <w:bookmarkStart w:name="_GoBack" w:id="0"/>
      <w:bookmarkEnd w:id="0"/>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014566" w:rsidP="008B39B9" w:rsidRDefault="00734E21">
      <w:pPr>
        <w:jc w:val="center"/>
        <w:rPr>
          <w:lang w:val="en-GB"/>
        </w:rPr>
      </w:pPr>
      <w:r w:rsidRPr="008B39B9">
        <w:rPr>
          <w:lang w:val="en-GB"/>
        </w:rPr>
        <w:t>SECOND SECTION</w:t>
      </w:r>
    </w:p>
    <w:p w:rsidRPr="008B39B9" w:rsidR="00014566" w:rsidP="008B39B9" w:rsidRDefault="00014566">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014566" w:rsidP="008B39B9" w:rsidRDefault="00014566">
      <w:pPr>
        <w:jc w:val="center"/>
        <w:rPr>
          <w:b/>
          <w:lang w:val="en-GB"/>
        </w:rPr>
      </w:pPr>
      <w:bookmarkStart w:name="To" w:id="1"/>
      <w:r w:rsidRPr="008B39B9">
        <w:rPr>
          <w:b/>
          <w:lang w:val="en-GB"/>
        </w:rPr>
        <w:t xml:space="preserve">CASE OF </w:t>
      </w:r>
      <w:bookmarkEnd w:id="1"/>
      <w:r w:rsidRPr="008B39B9" w:rsidR="00734E21">
        <w:rPr>
          <w:b/>
          <w:lang w:val="en-GB"/>
        </w:rPr>
        <w:t>REISNER v. TURKEY</w:t>
      </w:r>
    </w:p>
    <w:p w:rsidRPr="008B39B9" w:rsidR="00014566" w:rsidP="008B39B9" w:rsidRDefault="00014566">
      <w:pPr>
        <w:jc w:val="center"/>
        <w:rPr>
          <w:lang w:val="en-GB"/>
        </w:rPr>
      </w:pPr>
    </w:p>
    <w:p w:rsidRPr="008B39B9" w:rsidR="00014566" w:rsidP="008B39B9" w:rsidRDefault="00014566">
      <w:pPr>
        <w:jc w:val="center"/>
        <w:rPr>
          <w:i/>
          <w:lang w:val="en-GB"/>
        </w:rPr>
      </w:pPr>
      <w:r w:rsidRPr="008B39B9">
        <w:rPr>
          <w:i/>
          <w:lang w:val="en-GB"/>
        </w:rPr>
        <w:t>(</w:t>
      </w:r>
      <w:r w:rsidRPr="008B39B9" w:rsidR="00734E21">
        <w:rPr>
          <w:i/>
          <w:lang w:val="en-GB"/>
        </w:rPr>
        <w:t>Application no. 46815/09</w:t>
      </w:r>
      <w:r w:rsidRPr="008B39B9">
        <w:rPr>
          <w:i/>
          <w:lang w:val="en-GB"/>
        </w:rPr>
        <w:t>)</w:t>
      </w:r>
    </w:p>
    <w:p w:rsidRPr="008B39B9" w:rsidR="00014566" w:rsidP="008B39B9" w:rsidRDefault="00014566">
      <w:pPr>
        <w:jc w:val="center"/>
        <w:rPr>
          <w:lang w:val="en-GB"/>
        </w:rPr>
      </w:pPr>
    </w:p>
    <w:p w:rsidRPr="008B39B9" w:rsidR="00A7598A" w:rsidP="008B39B9" w:rsidRDefault="00A7598A">
      <w:pPr>
        <w:jc w:val="center"/>
        <w:rPr>
          <w:lang w:val="en-GB"/>
        </w:rPr>
      </w:pPr>
    </w:p>
    <w:p w:rsidRPr="008B39B9" w:rsidR="00A7598A" w:rsidP="008B39B9" w:rsidRDefault="00A7598A">
      <w:pPr>
        <w:jc w:val="center"/>
        <w:rPr>
          <w:lang w:val="en-GB"/>
        </w:rPr>
      </w:pPr>
    </w:p>
    <w:p w:rsidRPr="008B39B9" w:rsidR="00A7598A" w:rsidP="008B39B9" w:rsidRDefault="00A7598A">
      <w:pPr>
        <w:jc w:val="center"/>
        <w:rPr>
          <w:lang w:val="en-GB"/>
        </w:rPr>
      </w:pPr>
    </w:p>
    <w:p w:rsidRPr="008B39B9" w:rsidR="00014566" w:rsidP="008B39B9" w:rsidRDefault="00014566">
      <w:pPr>
        <w:jc w:val="center"/>
        <w:rPr>
          <w:lang w:val="en-GB"/>
        </w:rPr>
      </w:pPr>
    </w:p>
    <w:p w:rsidRPr="008B39B9" w:rsidR="00014566" w:rsidP="008B39B9" w:rsidRDefault="00652EEC">
      <w:pPr>
        <w:jc w:val="center"/>
        <w:rPr>
          <w:lang w:val="en-GB"/>
        </w:rPr>
      </w:pPr>
      <w:r w:rsidRPr="008B39B9">
        <w:rPr>
          <w:lang w:val="en-GB"/>
        </w:rPr>
        <w:t>JUDGMENT</w:t>
      </w:r>
    </w:p>
    <w:p w:rsidRPr="008B39B9" w:rsidR="005857F9" w:rsidP="008B39B9" w:rsidRDefault="005857F9">
      <w:pPr>
        <w:jc w:val="center"/>
        <w:rPr>
          <w:lang w:val="en-GB"/>
        </w:rPr>
      </w:pPr>
      <w:r w:rsidRPr="008B39B9">
        <w:rPr>
          <w:lang w:val="en-GB"/>
        </w:rPr>
        <w:t>(Merits)</w:t>
      </w: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A7598A" w:rsidP="008B39B9" w:rsidRDefault="00A7598A">
      <w:pPr>
        <w:jc w:val="center"/>
        <w:rPr>
          <w:lang w:val="en-GB"/>
        </w:rPr>
      </w:pPr>
    </w:p>
    <w:p w:rsidRPr="008B39B9" w:rsidR="00652EEC" w:rsidP="008B39B9" w:rsidRDefault="00652EEC">
      <w:pPr>
        <w:jc w:val="center"/>
        <w:rPr>
          <w:lang w:val="en-GB"/>
        </w:rPr>
      </w:pPr>
    </w:p>
    <w:p w:rsidRPr="008B39B9" w:rsidR="00652EEC" w:rsidP="008B39B9" w:rsidRDefault="00652EEC">
      <w:pPr>
        <w:jc w:val="center"/>
        <w:rPr>
          <w:lang w:val="en-GB"/>
        </w:rPr>
      </w:pPr>
      <w:r w:rsidRPr="008B39B9">
        <w:rPr>
          <w:lang w:val="en-GB"/>
        </w:rPr>
        <w:t>STRASBOURG</w:t>
      </w:r>
    </w:p>
    <w:p w:rsidRPr="008B39B9" w:rsidR="00652EEC" w:rsidP="008B39B9" w:rsidRDefault="00652EEC">
      <w:pPr>
        <w:jc w:val="center"/>
        <w:rPr>
          <w:lang w:val="en-GB"/>
        </w:rPr>
      </w:pPr>
    </w:p>
    <w:p w:rsidRPr="008B39B9" w:rsidR="00652EEC" w:rsidP="008B39B9" w:rsidRDefault="004C6B6A">
      <w:pPr>
        <w:jc w:val="center"/>
        <w:rPr>
          <w:lang w:val="en-GB"/>
        </w:rPr>
      </w:pPr>
      <w:r w:rsidRPr="008B39B9">
        <w:rPr>
          <w:lang w:val="en-GB"/>
        </w:rPr>
        <w:t>21 July 2015</w:t>
      </w:r>
    </w:p>
    <w:p w:rsidRPr="008B39B9" w:rsidR="00652EEC" w:rsidP="008B39B9" w:rsidRDefault="00652EEC">
      <w:pPr>
        <w:jc w:val="center"/>
        <w:rPr>
          <w:lang w:val="en-GB"/>
        </w:rPr>
      </w:pPr>
    </w:p>
    <w:p w:rsidRPr="008B39B9" w:rsidR="00652EEC" w:rsidP="008B39B9" w:rsidRDefault="00652EEC">
      <w:pPr>
        <w:jc w:val="center"/>
        <w:rPr>
          <w:lang w:val="en-GB"/>
        </w:rPr>
      </w:pPr>
    </w:p>
    <w:p w:rsidRPr="008B39B9" w:rsidR="008B39B9" w:rsidP="008B39B9" w:rsidRDefault="008B39B9">
      <w:pPr>
        <w:pStyle w:val="jucase0"/>
        <w:ind w:firstLine="0"/>
        <w:jc w:val="center"/>
        <w:rPr>
          <w:color w:val="FF0000"/>
          <w:sz w:val="28"/>
          <w:szCs w:val="28"/>
          <w:u w:val="single"/>
        </w:rPr>
      </w:pPr>
      <w:r w:rsidRPr="008B39B9">
        <w:rPr>
          <w:color w:val="FF0000"/>
          <w:sz w:val="28"/>
          <w:szCs w:val="28"/>
          <w:u w:val="single"/>
        </w:rPr>
        <w:t>FINAL</w:t>
      </w:r>
    </w:p>
    <w:p w:rsidRPr="008B39B9" w:rsidR="008B39B9" w:rsidP="008B39B9" w:rsidRDefault="008B39B9">
      <w:pPr>
        <w:pStyle w:val="jupara"/>
        <w:tabs>
          <w:tab w:val="left" w:pos="4650"/>
        </w:tabs>
        <w:ind w:firstLine="0"/>
        <w:jc w:val="left"/>
        <w:rPr>
          <w:color w:val="FF0000"/>
          <w:sz w:val="28"/>
          <w:szCs w:val="28"/>
        </w:rPr>
      </w:pPr>
      <w:r w:rsidRPr="008B39B9">
        <w:rPr>
          <w:color w:val="FF0000"/>
          <w:sz w:val="28"/>
          <w:szCs w:val="28"/>
        </w:rPr>
        <w:tab/>
      </w:r>
    </w:p>
    <w:p w:rsidRPr="008B39B9" w:rsidR="008B39B9" w:rsidP="008B39B9" w:rsidRDefault="008B39B9">
      <w:pPr>
        <w:pStyle w:val="jupara"/>
        <w:ind w:firstLine="0"/>
        <w:jc w:val="center"/>
        <w:rPr>
          <w:color w:val="FF0000"/>
          <w:sz w:val="28"/>
          <w:szCs w:val="28"/>
        </w:rPr>
      </w:pPr>
      <w:r w:rsidRPr="008B39B9">
        <w:rPr>
          <w:color w:val="FF0000"/>
          <w:sz w:val="28"/>
          <w:szCs w:val="28"/>
        </w:rPr>
        <w:t>14/12/2015</w:t>
      </w:r>
    </w:p>
    <w:p w:rsidRPr="008B39B9" w:rsidR="008B39B9" w:rsidP="008B39B9" w:rsidRDefault="008B39B9">
      <w:pPr>
        <w:pStyle w:val="jupara"/>
        <w:ind w:firstLine="0"/>
        <w:jc w:val="center"/>
      </w:pPr>
    </w:p>
    <w:p w:rsidRPr="008B39B9" w:rsidR="008B39B9" w:rsidP="008B39B9" w:rsidRDefault="008B39B9">
      <w:pPr>
        <w:jc w:val="center"/>
        <w:rPr>
          <w:i/>
          <w:iCs/>
          <w:sz w:val="22"/>
        </w:rPr>
      </w:pPr>
      <w:r w:rsidRPr="008B39B9">
        <w:rPr>
          <w:i/>
          <w:iCs/>
          <w:sz w:val="22"/>
        </w:rPr>
        <w:t>This judgment has become final under Article 44 § 2 of the Convention. It may be subject to editorial revision.</w:t>
      </w:r>
    </w:p>
    <w:p w:rsidRPr="008B39B9" w:rsidR="00652EEC" w:rsidP="008B39B9" w:rsidRDefault="00652EEC">
      <w:pPr>
        <w:pStyle w:val="ECHRPara"/>
        <w:jc w:val="center"/>
        <w:rPr>
          <w:i/>
          <w:lang w:val="en-GB"/>
        </w:rPr>
      </w:pPr>
    </w:p>
    <w:p w:rsidRPr="008B39B9" w:rsidR="00BC07BD" w:rsidP="008B39B9" w:rsidRDefault="00BC07BD">
      <w:pPr>
        <w:pStyle w:val="ECHRPara"/>
        <w:rPr>
          <w:b/>
          <w:i/>
          <w:lang w:val="en-GB"/>
        </w:rPr>
        <w:sectPr w:rsidRPr="008B39B9" w:rsidR="00BC07BD" w:rsidSect="00652EEC">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8B39B9" w:rsidR="00014566" w:rsidP="008B39B9" w:rsidRDefault="00014566">
      <w:pPr>
        <w:pStyle w:val="JuCase"/>
        <w:rPr>
          <w:bCs/>
          <w:lang w:val="en-GB"/>
        </w:rPr>
      </w:pPr>
      <w:r w:rsidRPr="008B39B9">
        <w:rPr>
          <w:lang w:val="en-GB"/>
        </w:rPr>
        <w:t xml:space="preserve">In the case of </w:t>
      </w:r>
      <w:r w:rsidRPr="008B39B9" w:rsidR="00734E21">
        <w:rPr>
          <w:lang w:val="en-GB"/>
        </w:rPr>
        <w:t>Reisner v. Turkey</w:t>
      </w:r>
      <w:r w:rsidRPr="008B39B9">
        <w:rPr>
          <w:lang w:val="en-GB"/>
        </w:rPr>
        <w:t>,</w:t>
      </w:r>
    </w:p>
    <w:p w:rsidRPr="008B39B9" w:rsidR="00014566" w:rsidP="008B39B9" w:rsidRDefault="00014566">
      <w:pPr>
        <w:pStyle w:val="ECHRPara"/>
        <w:rPr>
          <w:lang w:val="en-GB"/>
        </w:rPr>
      </w:pPr>
      <w:r w:rsidRPr="008B39B9">
        <w:rPr>
          <w:lang w:val="en-GB"/>
        </w:rPr>
        <w:t>The European Court of Human Rights (</w:t>
      </w:r>
      <w:r w:rsidRPr="008B39B9" w:rsidR="00734E21">
        <w:rPr>
          <w:lang w:val="en-GB"/>
        </w:rPr>
        <w:t>Second Section</w:t>
      </w:r>
      <w:r w:rsidRPr="008B39B9">
        <w:rPr>
          <w:lang w:val="en-GB"/>
        </w:rPr>
        <w:t xml:space="preserve">), sitting as a </w:t>
      </w:r>
      <w:r w:rsidRPr="008B39B9" w:rsidR="00734E21">
        <w:rPr>
          <w:lang w:val="en-GB"/>
        </w:rPr>
        <w:t>Chamber</w:t>
      </w:r>
      <w:r w:rsidRPr="008B39B9">
        <w:rPr>
          <w:lang w:val="en-GB"/>
        </w:rPr>
        <w:t xml:space="preserve"> composed of:</w:t>
      </w:r>
    </w:p>
    <w:p w:rsidRPr="008B39B9" w:rsidR="00014566" w:rsidP="008B39B9" w:rsidRDefault="00652EEC">
      <w:pPr>
        <w:pStyle w:val="ECHRDecisionBody"/>
        <w:rPr>
          <w:lang w:val="en-GB"/>
        </w:rPr>
      </w:pPr>
      <w:r w:rsidRPr="008B39B9">
        <w:tab/>
        <w:t>András Sajó,</w:t>
      </w:r>
      <w:r w:rsidRPr="008B39B9">
        <w:rPr>
          <w:i/>
        </w:rPr>
        <w:t xml:space="preserve"> President,</w:t>
      </w:r>
      <w:r w:rsidRPr="008B39B9">
        <w:rPr>
          <w:i/>
        </w:rPr>
        <w:br/>
      </w:r>
      <w:r w:rsidRPr="008B39B9">
        <w:tab/>
        <w:t>Işıl Karakaş,</w:t>
      </w:r>
      <w:r w:rsidRPr="008B39B9">
        <w:rPr>
          <w:i/>
        </w:rPr>
        <w:br/>
      </w:r>
      <w:r w:rsidRPr="008B39B9">
        <w:tab/>
        <w:t>Nebojša Vučinić,</w:t>
      </w:r>
      <w:r w:rsidRPr="008B39B9">
        <w:rPr>
          <w:i/>
        </w:rPr>
        <w:br/>
      </w:r>
      <w:r w:rsidRPr="008B39B9">
        <w:tab/>
        <w:t>Helen Keller,</w:t>
      </w:r>
      <w:r w:rsidRPr="008B39B9">
        <w:rPr>
          <w:i/>
        </w:rPr>
        <w:br/>
      </w:r>
      <w:r w:rsidRPr="008B39B9">
        <w:tab/>
        <w:t>Egidijus Kūris,</w:t>
      </w:r>
      <w:r w:rsidRPr="008B39B9">
        <w:rPr>
          <w:i/>
        </w:rPr>
        <w:br/>
      </w:r>
      <w:r w:rsidRPr="008B39B9">
        <w:tab/>
        <w:t>Robert Spano,</w:t>
      </w:r>
      <w:r w:rsidRPr="008B39B9">
        <w:rPr>
          <w:i/>
        </w:rPr>
        <w:br/>
      </w:r>
      <w:r w:rsidRPr="008B39B9">
        <w:tab/>
        <w:t>Jon Fridrik Kjølbro,</w:t>
      </w:r>
      <w:r w:rsidRPr="008B39B9">
        <w:rPr>
          <w:i/>
        </w:rPr>
        <w:t xml:space="preserve"> judges,</w:t>
      </w:r>
      <w:r w:rsidRPr="008B39B9" w:rsidR="00014566">
        <w:rPr>
          <w:szCs w:val="24"/>
          <w:lang w:val="en-GB"/>
        </w:rPr>
        <w:br/>
      </w:r>
      <w:r w:rsidRPr="008B39B9" w:rsidR="00014566">
        <w:rPr>
          <w:lang w:val="en-GB"/>
        </w:rPr>
        <w:t xml:space="preserve">and </w:t>
      </w:r>
      <w:r w:rsidRPr="008B39B9" w:rsidR="00734E21">
        <w:rPr>
          <w:lang w:val="en-GB"/>
        </w:rPr>
        <w:t>Stanley Naismith</w:t>
      </w:r>
      <w:r w:rsidRPr="008B39B9" w:rsidR="00014566">
        <w:rPr>
          <w:lang w:val="en-GB"/>
        </w:rPr>
        <w:t xml:space="preserve">, </w:t>
      </w:r>
      <w:r w:rsidRPr="008B39B9" w:rsidR="00734E21">
        <w:rPr>
          <w:i/>
          <w:lang w:val="en-GB"/>
        </w:rPr>
        <w:t xml:space="preserve">Section </w:t>
      </w:r>
      <w:r w:rsidRPr="008B39B9" w:rsidR="00734E21">
        <w:rPr>
          <w:i/>
          <w:iCs/>
          <w:lang w:val="en-GB"/>
        </w:rPr>
        <w:t>Registrar</w:t>
      </w:r>
      <w:r w:rsidRPr="008B39B9" w:rsidR="00014566">
        <w:rPr>
          <w:i/>
          <w:lang w:val="en-GB"/>
        </w:rPr>
        <w:t>,</w:t>
      </w:r>
    </w:p>
    <w:p w:rsidRPr="008B39B9" w:rsidR="00014566" w:rsidP="008B39B9" w:rsidRDefault="00014566">
      <w:pPr>
        <w:pStyle w:val="ECHRPara"/>
        <w:rPr>
          <w:lang w:val="en-GB"/>
        </w:rPr>
      </w:pPr>
      <w:r w:rsidRPr="008B39B9">
        <w:rPr>
          <w:lang w:val="en-GB"/>
        </w:rPr>
        <w:t xml:space="preserve">Having deliberated in private on </w:t>
      </w:r>
      <w:r w:rsidRPr="008B39B9" w:rsidR="00652EEC">
        <w:rPr>
          <w:lang w:val="en-GB"/>
        </w:rPr>
        <w:t>30 June 2015</w:t>
      </w:r>
      <w:r w:rsidRPr="008B39B9">
        <w:rPr>
          <w:lang w:val="en-GB"/>
        </w:rPr>
        <w:t>,</w:t>
      </w:r>
    </w:p>
    <w:p w:rsidRPr="008B39B9" w:rsidR="00014566" w:rsidP="008B39B9" w:rsidRDefault="00014566">
      <w:pPr>
        <w:pStyle w:val="ECHRPara"/>
        <w:rPr>
          <w:lang w:val="en-GB"/>
        </w:rPr>
      </w:pPr>
      <w:r w:rsidRPr="008B39B9">
        <w:rPr>
          <w:lang w:val="en-GB"/>
        </w:rPr>
        <w:t>Delivers the following judgment, which was adopted on that date:</w:t>
      </w:r>
    </w:p>
    <w:p w:rsidRPr="008B39B9" w:rsidR="00014566" w:rsidP="008B39B9" w:rsidRDefault="00014566">
      <w:pPr>
        <w:pStyle w:val="ECHRTitle1"/>
        <w:rPr>
          <w:lang w:val="en-GB"/>
        </w:rPr>
      </w:pPr>
      <w:r w:rsidRPr="008B39B9">
        <w:rPr>
          <w:lang w:val="en-GB"/>
        </w:rPr>
        <w:t>PROCEDURE</w:t>
      </w:r>
    </w:p>
    <w:p w:rsidRPr="008B39B9" w:rsidR="00734E21"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w:t>
      </w:r>
      <w:r w:rsidRPr="008B39B9">
        <w:rPr>
          <w:lang w:val="en-GB"/>
        </w:rPr>
        <w:fldChar w:fldCharType="end"/>
      </w:r>
      <w:r w:rsidRPr="008B39B9" w:rsidR="00014566">
        <w:rPr>
          <w:lang w:val="en-GB"/>
        </w:rPr>
        <w:t xml:space="preserve">.  The case originated in </w:t>
      </w:r>
      <w:r w:rsidRPr="008B39B9">
        <w:rPr>
          <w:lang w:val="en-GB"/>
        </w:rPr>
        <w:t>an application (no. 46815/09)</w:t>
      </w:r>
      <w:r w:rsidRPr="008B39B9" w:rsidR="00014566">
        <w:rPr>
          <w:lang w:val="en-GB"/>
        </w:rPr>
        <w:t xml:space="preserve"> against </w:t>
      </w:r>
      <w:r w:rsidRPr="008B39B9">
        <w:rPr>
          <w:lang w:val="en-GB"/>
        </w:rPr>
        <w:t>the Republic of Turkey</w:t>
      </w:r>
      <w:r w:rsidRPr="008B39B9" w:rsidR="00014566">
        <w:rPr>
          <w:lang w:val="en-GB"/>
        </w:rPr>
        <w:t xml:space="preserve"> lodged with the </w:t>
      </w:r>
      <w:r w:rsidRPr="008B39B9">
        <w:rPr>
          <w:lang w:val="en-GB"/>
        </w:rPr>
        <w:t>Court under Article 34</w:t>
      </w:r>
      <w:r w:rsidRPr="008B39B9" w:rsidR="00014566">
        <w:rPr>
          <w:lang w:val="en-GB"/>
        </w:rPr>
        <w:t xml:space="preserve"> of the Convention for the Protection of Human Rights and Fundamental Freedoms (“the Convention”) by </w:t>
      </w:r>
      <w:r w:rsidRPr="008B39B9">
        <w:rPr>
          <w:lang w:val="en-GB"/>
        </w:rPr>
        <w:t>a German national, Mr Michael Reisner (“the applicant”), on 18 August 2009</w:t>
      </w:r>
      <w:r w:rsidRPr="008B39B9" w:rsidR="00014566">
        <w:rPr>
          <w:lang w:val="en-GB"/>
        </w:rPr>
        <w:t>.</w:t>
      </w:r>
    </w:p>
    <w:p w:rsidRPr="008B39B9" w:rsidR="00734E21"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2</w:t>
      </w:r>
      <w:r w:rsidRPr="008B39B9">
        <w:rPr>
          <w:lang w:val="en-GB"/>
        </w:rPr>
        <w:fldChar w:fldCharType="end"/>
      </w:r>
      <w:r w:rsidRPr="008B39B9" w:rsidR="00014566">
        <w:rPr>
          <w:lang w:val="en-GB"/>
        </w:rPr>
        <w:t>.  </w:t>
      </w:r>
      <w:r w:rsidRPr="008B39B9">
        <w:rPr>
          <w:lang w:val="en-GB"/>
        </w:rPr>
        <w:t xml:space="preserve">The applicant was represented by Ms J. Ertürk, a lawyer practising in Ankara. </w:t>
      </w:r>
      <w:r w:rsidRPr="008B39B9" w:rsidR="00014566">
        <w:rPr>
          <w:lang w:val="en-GB"/>
        </w:rPr>
        <w:t xml:space="preserve">The </w:t>
      </w:r>
      <w:r w:rsidRPr="008B39B9">
        <w:rPr>
          <w:lang w:val="en-GB"/>
        </w:rPr>
        <w:t>Turkish</w:t>
      </w:r>
      <w:r w:rsidRPr="008B39B9" w:rsidR="00014566">
        <w:rPr>
          <w:lang w:val="en-GB"/>
        </w:rPr>
        <w:t xml:space="preserve"> Government (“the Government”) wer</w:t>
      </w:r>
      <w:r w:rsidRPr="008B39B9">
        <w:rPr>
          <w:lang w:val="en-GB"/>
        </w:rPr>
        <w:t>e represented by their Agent</w:t>
      </w:r>
      <w:r w:rsidRPr="008B39B9" w:rsidR="00014566">
        <w:rPr>
          <w:lang w:val="en-GB"/>
        </w:rPr>
        <w:t>.</w:t>
      </w:r>
    </w:p>
    <w:p w:rsidRPr="008B39B9" w:rsidR="00014566"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w:t>
      </w:r>
      <w:r w:rsidRPr="008B39B9">
        <w:rPr>
          <w:lang w:val="en-GB"/>
        </w:rPr>
        <w:fldChar w:fldCharType="end"/>
      </w:r>
      <w:r w:rsidRPr="008B39B9">
        <w:rPr>
          <w:lang w:val="en-GB"/>
        </w:rPr>
        <w:t xml:space="preserve">.  On </w:t>
      </w:r>
      <w:r w:rsidRPr="008B39B9">
        <w:rPr>
          <w:szCs w:val="24"/>
          <w:lang w:val="en-GB"/>
        </w:rPr>
        <w:t>4 September 2012</w:t>
      </w:r>
      <w:r w:rsidRPr="008B39B9" w:rsidR="00014566">
        <w:rPr>
          <w:lang w:val="en-GB"/>
        </w:rPr>
        <w:t xml:space="preserve"> the </w:t>
      </w:r>
      <w:r w:rsidRPr="008B39B9">
        <w:rPr>
          <w:lang w:val="en-GB"/>
        </w:rPr>
        <w:t>application was communicated to the Government</w:t>
      </w:r>
      <w:r w:rsidRPr="008B39B9" w:rsidR="00014566">
        <w:rPr>
          <w:lang w:val="en-GB"/>
        </w:rPr>
        <w:t>.</w:t>
      </w:r>
    </w:p>
    <w:p w:rsidRPr="008B39B9" w:rsidR="007D53F1" w:rsidP="008B39B9" w:rsidRDefault="000E5C57">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w:t>
      </w:r>
      <w:r w:rsidRPr="008B39B9">
        <w:rPr>
          <w:lang w:val="en-GB"/>
        </w:rPr>
        <w:fldChar w:fldCharType="end"/>
      </w:r>
      <w:r w:rsidRPr="008B39B9">
        <w:rPr>
          <w:lang w:val="en-GB"/>
        </w:rPr>
        <w:t>.  </w:t>
      </w:r>
      <w:r w:rsidRPr="008B39B9" w:rsidR="008033CC">
        <w:rPr>
          <w:lang w:val="en-GB"/>
        </w:rPr>
        <w:t>Further to notification</w:t>
      </w:r>
      <w:r w:rsidRPr="008B39B9" w:rsidR="00C37F53">
        <w:rPr>
          <w:lang w:val="en-GB"/>
        </w:rPr>
        <w:t xml:space="preserve"> under Article 36</w:t>
      </w:r>
      <w:r w:rsidRPr="008B39B9" w:rsidR="008A5287">
        <w:rPr>
          <w:lang w:val="en-GB"/>
        </w:rPr>
        <w:t xml:space="preserve"> § 1 of the Convention and Rule </w:t>
      </w:r>
      <w:r w:rsidRPr="008B39B9" w:rsidR="00C37F53">
        <w:rPr>
          <w:lang w:val="en-GB"/>
        </w:rPr>
        <w:t>44 § 1 (a), the German Government did not wish to exercise their right to intervene in the present case.</w:t>
      </w:r>
    </w:p>
    <w:p w:rsidRPr="008B39B9" w:rsidR="00014566" w:rsidP="008B39B9" w:rsidRDefault="00014566">
      <w:pPr>
        <w:pStyle w:val="ECHRTitle1"/>
        <w:rPr>
          <w:lang w:val="en-GB"/>
        </w:rPr>
      </w:pPr>
      <w:r w:rsidRPr="008B39B9">
        <w:rPr>
          <w:lang w:val="en-GB"/>
        </w:rPr>
        <w:t>THE FACTS</w:t>
      </w:r>
    </w:p>
    <w:p w:rsidRPr="008B39B9" w:rsidR="00014566" w:rsidP="008B39B9" w:rsidRDefault="00014566">
      <w:pPr>
        <w:pStyle w:val="ECHRHeading1"/>
        <w:rPr>
          <w:lang w:val="en-GB"/>
        </w:rPr>
      </w:pPr>
      <w:r w:rsidRPr="008B39B9">
        <w:rPr>
          <w:lang w:val="en-GB"/>
        </w:rPr>
        <w:t>I.  THE CIRCUMSTANCES OF THE CASE</w:t>
      </w:r>
    </w:p>
    <w:p w:rsidRPr="008B39B9" w:rsidR="007D53F1"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5</w:t>
      </w:r>
      <w:r w:rsidRPr="008B39B9">
        <w:rPr>
          <w:lang w:val="en-GB"/>
        </w:rPr>
        <w:fldChar w:fldCharType="end"/>
      </w:r>
      <w:r w:rsidRPr="008B39B9" w:rsidR="00014566">
        <w:rPr>
          <w:lang w:val="en-GB"/>
        </w:rPr>
        <w:t xml:space="preserve">.  The </w:t>
      </w:r>
      <w:r w:rsidRPr="008B39B9">
        <w:rPr>
          <w:lang w:val="en-GB"/>
        </w:rPr>
        <w:t>applicant was born in 1961 and lives</w:t>
      </w:r>
      <w:r w:rsidRPr="008B39B9" w:rsidR="00014566">
        <w:rPr>
          <w:lang w:val="en-GB"/>
        </w:rPr>
        <w:t xml:space="preserve"> in </w:t>
      </w:r>
      <w:r w:rsidRPr="008B39B9">
        <w:rPr>
          <w:lang w:val="en-GB"/>
        </w:rPr>
        <w:t>Schrobenhausen, Germany</w:t>
      </w:r>
      <w:r w:rsidRPr="008B39B9" w:rsidR="00014566">
        <w:rPr>
          <w:lang w:val="en-GB"/>
        </w:rPr>
        <w:t>.</w:t>
      </w:r>
      <w:r w:rsidRPr="008B39B9" w:rsidR="00962F93">
        <w:rPr>
          <w:lang w:val="en-GB"/>
        </w:rPr>
        <w:t xml:space="preserve"> Through</w:t>
      </w:r>
      <w:r w:rsidRPr="008B39B9" w:rsidR="008D68F2">
        <w:rPr>
          <w:lang w:val="en-GB"/>
        </w:rPr>
        <w:t xml:space="preserve"> </w:t>
      </w:r>
      <w:r w:rsidRPr="008B39B9" w:rsidR="00835C4C">
        <w:rPr>
          <w:lang w:val="en-GB"/>
        </w:rPr>
        <w:t xml:space="preserve">the </w:t>
      </w:r>
      <w:r w:rsidRPr="008B39B9" w:rsidR="008D68F2">
        <w:rPr>
          <w:lang w:val="en-GB"/>
        </w:rPr>
        <w:t>German stock market, he purchased six hundred and fifty German Certificates in Demirbank, which at the time was identified as the fifth largest private bank in Turkey.</w:t>
      </w:r>
    </w:p>
    <w:p w:rsidRPr="008B39B9" w:rsidR="00962F93" w:rsidP="008B39B9" w:rsidRDefault="00AC4D3E">
      <w:pPr>
        <w:pStyle w:val="ECHRHeading2"/>
        <w:rPr>
          <w:lang w:val="en-GB"/>
        </w:rPr>
      </w:pPr>
      <w:r w:rsidRPr="008B39B9">
        <w:rPr>
          <w:lang w:val="en-GB"/>
        </w:rPr>
        <w:t>A.  </w:t>
      </w:r>
      <w:r w:rsidRPr="008B39B9" w:rsidR="00962F93">
        <w:rPr>
          <w:lang w:val="en-GB"/>
        </w:rPr>
        <w:t>The background to the case</w:t>
      </w:r>
    </w:p>
    <w:p w:rsidRPr="008B39B9" w:rsidR="00962F93" w:rsidP="008B39B9" w:rsidRDefault="00962F93">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w:t>
      </w:r>
      <w:r w:rsidRPr="008B39B9">
        <w:rPr>
          <w:lang w:val="en-GB"/>
        </w:rPr>
        <w:fldChar w:fldCharType="end"/>
      </w:r>
      <w:r w:rsidRPr="008B39B9">
        <w:rPr>
          <w:lang w:val="en-GB"/>
        </w:rPr>
        <w:t>.  By a decision dated 6 December 2000 (no. 123), the Banking Regulation and Supervision Board (</w:t>
      </w:r>
      <w:r w:rsidRPr="008B39B9">
        <w:rPr>
          <w:i/>
          <w:lang w:val="en-GB"/>
        </w:rPr>
        <w:t>Bankalar Düzenleme ve Denetleme Kurulu</w:t>
      </w:r>
      <w:r w:rsidRPr="008B39B9" w:rsidR="008978BA">
        <w:rPr>
          <w:i/>
          <w:lang w:val="en-GB"/>
        </w:rPr>
        <w:t>,</w:t>
      </w:r>
      <w:r w:rsidRPr="008B39B9" w:rsidR="008978BA">
        <w:rPr>
          <w:lang w:val="en-GB"/>
        </w:rPr>
        <w:t xml:space="preserve"> </w:t>
      </w:r>
      <w:r w:rsidRPr="008B39B9">
        <w:rPr>
          <w:lang w:val="en-GB"/>
        </w:rPr>
        <w:t>hereinafter referred to as “the Board”) decided to transfer the management and control of Demirbank to the Savings Deposit Insurance Fund (</w:t>
      </w:r>
      <w:r w:rsidRPr="008B39B9">
        <w:rPr>
          <w:i/>
          <w:lang w:val="en-GB"/>
        </w:rPr>
        <w:t>Tassarruf Mevduat Sigorta Fonu</w:t>
      </w:r>
      <w:r w:rsidRPr="008B39B9">
        <w:rPr>
          <w:lang w:val="en-GB"/>
        </w:rPr>
        <w:t xml:space="preserve"> – hereinafter “the Fund”), pursuant to section 14 (3) of the Banking Activities Act (Law no. 4389). In its decision the Board held that the assets of Demirbank were insufficient to cover its liabilities and that the continuation of its activities would threaten the security and stability of the financial system. Accordingly, Demirbank</w:t>
      </w:r>
      <w:r w:rsidRPr="008B39B9" w:rsidR="008B39B9">
        <w:rPr>
          <w:lang w:val="en-GB"/>
        </w:rPr>
        <w:t>’</w:t>
      </w:r>
      <w:r w:rsidRPr="008B39B9">
        <w:rPr>
          <w:lang w:val="en-GB"/>
        </w:rPr>
        <w:t>s management and control, and the privileges of its shareholders except for dividends, were transferred to the Fund. The Fund also confiscated all properties belonging to Demirbank.</w:t>
      </w:r>
    </w:p>
    <w:p w:rsidRPr="008B39B9" w:rsidR="008D68F2"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7</w:t>
      </w:r>
      <w:r w:rsidRPr="008B39B9">
        <w:rPr>
          <w:lang w:val="en-GB"/>
        </w:rPr>
        <w:fldChar w:fldCharType="end"/>
      </w:r>
      <w:r w:rsidRPr="008B39B9">
        <w:rPr>
          <w:lang w:val="en-GB"/>
        </w:rPr>
        <w:t>.  </w:t>
      </w:r>
      <w:r w:rsidRPr="008B39B9" w:rsidR="00C41266">
        <w:rPr>
          <w:lang w:val="en-GB"/>
        </w:rPr>
        <w:t>On 31 January 2001 all equities of the bank were removed from its account at the Istanbul Stock Exchange and were transferred to the account of the Fund. Subsequently, o</w:t>
      </w:r>
      <w:r w:rsidRPr="008B39B9">
        <w:rPr>
          <w:lang w:val="en-GB"/>
        </w:rPr>
        <w:t>n 20 September 2001 the Fund entered into an agreement with the HSBC bank, and sold Demirbank to the latter for 350,000,000 U</w:t>
      </w:r>
      <w:r w:rsidRPr="008B39B9" w:rsidR="008978BA">
        <w:rPr>
          <w:lang w:val="en-GB"/>
        </w:rPr>
        <w:t xml:space="preserve">nited </w:t>
      </w:r>
      <w:r w:rsidRPr="008B39B9">
        <w:rPr>
          <w:lang w:val="en-GB"/>
        </w:rPr>
        <w:t>S</w:t>
      </w:r>
      <w:r w:rsidRPr="008B39B9" w:rsidR="008978BA">
        <w:rPr>
          <w:lang w:val="en-GB"/>
        </w:rPr>
        <w:t>tates</w:t>
      </w:r>
      <w:r w:rsidRPr="008B39B9">
        <w:rPr>
          <w:lang w:val="en-GB"/>
        </w:rPr>
        <w:t> </w:t>
      </w:r>
      <w:r w:rsidRPr="008B39B9" w:rsidR="008978BA">
        <w:rPr>
          <w:lang w:val="en-GB"/>
        </w:rPr>
        <w:t>d</w:t>
      </w:r>
      <w:r w:rsidRPr="008B39B9">
        <w:rPr>
          <w:lang w:val="en-GB"/>
        </w:rPr>
        <w:t>ollars</w:t>
      </w:r>
      <w:r w:rsidRPr="008B39B9" w:rsidR="00F27670">
        <w:rPr>
          <w:lang w:val="en-GB"/>
        </w:rPr>
        <w:t xml:space="preserve"> (USD)</w:t>
      </w:r>
      <w:r w:rsidRPr="008B39B9">
        <w:rPr>
          <w:lang w:val="en-GB"/>
        </w:rPr>
        <w:t xml:space="preserve">. </w:t>
      </w:r>
      <w:r w:rsidRPr="008B39B9" w:rsidR="00C15B6F">
        <w:rPr>
          <w:lang w:val="en-GB"/>
        </w:rPr>
        <w:t>As a result, on 14 </w:t>
      </w:r>
      <w:r w:rsidRPr="008B39B9" w:rsidR="00EB7F57">
        <w:rPr>
          <w:lang w:val="en-GB"/>
        </w:rPr>
        <w:t>December 2001 Demirbank</w:t>
      </w:r>
      <w:r w:rsidRPr="008B39B9" w:rsidR="008B39B9">
        <w:rPr>
          <w:lang w:val="en-GB"/>
        </w:rPr>
        <w:t>’</w:t>
      </w:r>
      <w:r w:rsidRPr="008B39B9" w:rsidR="00EB7F57">
        <w:rPr>
          <w:lang w:val="en-GB"/>
        </w:rPr>
        <w:t xml:space="preserve">s legal personality </w:t>
      </w:r>
      <w:r w:rsidRPr="008B39B9" w:rsidR="008978BA">
        <w:rPr>
          <w:lang w:val="en-GB"/>
        </w:rPr>
        <w:t>was extinguished</w:t>
      </w:r>
      <w:r w:rsidRPr="008B39B9" w:rsidR="00EB7F57">
        <w:rPr>
          <w:lang w:val="en-GB"/>
        </w:rPr>
        <w:t xml:space="preserve"> and it was struck off the commercial register.</w:t>
      </w:r>
    </w:p>
    <w:p w:rsidRPr="008B39B9" w:rsidR="008D68F2" w:rsidP="008B39B9" w:rsidRDefault="008D68F2">
      <w:pPr>
        <w:pStyle w:val="ECHRHeading2"/>
        <w:rPr>
          <w:lang w:val="en-GB"/>
        </w:rPr>
      </w:pPr>
      <w:r w:rsidRPr="008B39B9">
        <w:rPr>
          <w:lang w:val="en-GB"/>
        </w:rPr>
        <w:t>B</w:t>
      </w:r>
      <w:r w:rsidRPr="008B39B9" w:rsidR="00AC4D3E">
        <w:rPr>
          <w:lang w:val="en-GB"/>
        </w:rPr>
        <w:t>.  </w:t>
      </w:r>
      <w:r w:rsidRPr="008B39B9">
        <w:rPr>
          <w:lang w:val="en-GB"/>
        </w:rPr>
        <w:t xml:space="preserve">Proceedings </w:t>
      </w:r>
      <w:r w:rsidRPr="008B39B9" w:rsidR="008978BA">
        <w:rPr>
          <w:lang w:val="en-GB"/>
        </w:rPr>
        <w:t>brought by</w:t>
      </w:r>
      <w:r w:rsidRPr="008B39B9">
        <w:rPr>
          <w:lang w:val="en-GB"/>
        </w:rPr>
        <w:t xml:space="preserve"> the main shareholders of Demirbank</w:t>
      </w:r>
    </w:p>
    <w:p w:rsidRPr="008B39B9" w:rsidR="00962F93" w:rsidP="008B39B9" w:rsidRDefault="00AC4D3E">
      <w:pPr>
        <w:pStyle w:val="ECHRHeading3"/>
        <w:rPr>
          <w:lang w:val="en-GB"/>
        </w:rPr>
      </w:pPr>
      <w:r w:rsidRPr="008B39B9">
        <w:rPr>
          <w:lang w:val="en-GB"/>
        </w:rPr>
        <w:t>1.  </w:t>
      </w:r>
      <w:r w:rsidRPr="008B39B9" w:rsidR="008D68F2">
        <w:rPr>
          <w:lang w:val="en-GB"/>
        </w:rPr>
        <w:t xml:space="preserve">Proceedings </w:t>
      </w:r>
      <w:r w:rsidRPr="008B39B9" w:rsidR="008033CC">
        <w:rPr>
          <w:lang w:val="en-GB"/>
        </w:rPr>
        <w:t>for</w:t>
      </w:r>
      <w:r w:rsidRPr="008B39B9">
        <w:rPr>
          <w:lang w:val="en-GB"/>
        </w:rPr>
        <w:t xml:space="preserve"> the annulment of decision no. </w:t>
      </w:r>
      <w:r w:rsidRPr="008B39B9" w:rsidR="008D68F2">
        <w:rPr>
          <w:lang w:val="en-GB"/>
        </w:rPr>
        <w:t>123</w:t>
      </w:r>
    </w:p>
    <w:p w:rsidRPr="008B39B9" w:rsidR="008D68F2" w:rsidP="008B39B9" w:rsidRDefault="00AE37C7">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8</w:t>
      </w:r>
      <w:r w:rsidRPr="008B39B9">
        <w:rPr>
          <w:lang w:val="en-GB"/>
        </w:rPr>
        <w:fldChar w:fldCharType="end"/>
      </w:r>
      <w:r w:rsidRPr="008B39B9">
        <w:rPr>
          <w:lang w:val="en-GB"/>
        </w:rPr>
        <w:t>.  </w:t>
      </w:r>
      <w:r w:rsidRPr="008B39B9" w:rsidR="008D68F2">
        <w:rPr>
          <w:lang w:val="en-GB"/>
        </w:rPr>
        <w:t xml:space="preserve">On 2 February 2001, </w:t>
      </w:r>
      <w:r w:rsidRPr="008B39B9" w:rsidR="00EB7F57">
        <w:rPr>
          <w:lang w:val="en-GB"/>
        </w:rPr>
        <w:t xml:space="preserve">the main shareholder of Demirbank, namely Cıngıllı Holding A.Ş., </w:t>
      </w:r>
      <w:r w:rsidRPr="008B39B9" w:rsidR="008D68F2">
        <w:rPr>
          <w:lang w:val="en-GB"/>
        </w:rPr>
        <w:t xml:space="preserve">brought administrative proceedings against the Banking Regulation and Supervision Agency </w:t>
      </w:r>
      <w:r w:rsidRPr="008B39B9" w:rsidR="008033CC">
        <w:rPr>
          <w:lang w:val="en-GB"/>
        </w:rPr>
        <w:t>(</w:t>
      </w:r>
      <w:r w:rsidRPr="008B39B9" w:rsidR="00411ED8">
        <w:rPr>
          <w:i/>
          <w:lang w:val="en-GB"/>
        </w:rPr>
        <w:t>Bankalar Düzenleme ve Denetleme Kurumu</w:t>
      </w:r>
      <w:r w:rsidRPr="008B39B9" w:rsidR="00411ED8">
        <w:rPr>
          <w:lang w:val="en-GB"/>
        </w:rPr>
        <w:t xml:space="preserve"> – hereinafter referred to as “the Agency”) </w:t>
      </w:r>
      <w:r w:rsidRPr="008B39B9" w:rsidR="008D68F2">
        <w:rPr>
          <w:lang w:val="en-GB"/>
        </w:rPr>
        <w:t>before the Ankara Administrative Court, seeking the annulment of the decision of 6</w:t>
      </w:r>
      <w:r w:rsidRPr="008B39B9" w:rsidR="00B63C27">
        <w:rPr>
          <w:lang w:val="en-GB"/>
        </w:rPr>
        <w:t> </w:t>
      </w:r>
      <w:r w:rsidRPr="008B39B9" w:rsidR="008D68F2">
        <w:rPr>
          <w:lang w:val="en-GB"/>
        </w:rPr>
        <w:t>December 2000 regarding the transfer of Demirbank to the Fund.</w:t>
      </w:r>
    </w:p>
    <w:p w:rsidRPr="008B39B9" w:rsidR="008D68F2"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9</w:t>
      </w:r>
      <w:r w:rsidRPr="008B39B9">
        <w:rPr>
          <w:lang w:val="en-GB"/>
        </w:rPr>
        <w:fldChar w:fldCharType="end"/>
      </w:r>
      <w:r w:rsidRPr="008B39B9">
        <w:rPr>
          <w:lang w:val="en-GB"/>
        </w:rPr>
        <w:t>.  The Ankara Administrative Court found that it lacked jurisdiction</w:t>
      </w:r>
      <w:r w:rsidRPr="008B39B9" w:rsidR="00CE7152">
        <w:rPr>
          <w:lang w:val="en-GB"/>
        </w:rPr>
        <w:t>,</w:t>
      </w:r>
      <w:r w:rsidRPr="008B39B9">
        <w:rPr>
          <w:lang w:val="en-GB"/>
        </w:rPr>
        <w:t xml:space="preserve"> and transferred the case to the Supreme Administrative Court.</w:t>
      </w:r>
    </w:p>
    <w:p w:rsidRPr="008B39B9" w:rsidR="008D68F2"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10</w:t>
      </w:r>
      <w:r w:rsidRPr="008B39B9">
        <w:rPr>
          <w:lang w:val="en-GB"/>
        </w:rPr>
        <w:fldChar w:fldCharType="end"/>
      </w:r>
      <w:r w:rsidRPr="008B39B9">
        <w:rPr>
          <w:lang w:val="en-GB"/>
        </w:rPr>
        <w:t xml:space="preserve">.  In its submissions before the Supreme Administrative Court, the </w:t>
      </w:r>
      <w:r w:rsidRPr="008B39B9" w:rsidR="008033CC">
        <w:rPr>
          <w:lang w:val="en-GB"/>
        </w:rPr>
        <w:t>plaintiff</w:t>
      </w:r>
      <w:r w:rsidRPr="008B39B9">
        <w:rPr>
          <w:lang w:val="en-GB"/>
        </w:rPr>
        <w:t xml:space="preserve"> claimed that its property rights had been violated. It also raised a plea of unconstitutionality under section 14 of the Banking Activities Act. The company furthe</w:t>
      </w:r>
      <w:r w:rsidRPr="008B39B9" w:rsidR="00C15B6F">
        <w:rPr>
          <w:lang w:val="en-GB"/>
        </w:rPr>
        <w:t>r stated that prior to November </w:t>
      </w:r>
      <w:r w:rsidRPr="008B39B9">
        <w:rPr>
          <w:lang w:val="en-GB"/>
        </w:rPr>
        <w:t>2000 Demirbank had never encountered major financial problems. It was pointed out that pursuant to section 14 (2) of the Act, a bank with financial difficulties should first be given a warning to strengthen its financial structure and be allowed time to take specific measures. However, no such warning had been given in the instant case. Secondly, the Board had not claimed that Demirbank</w:t>
      </w:r>
      <w:r w:rsidRPr="008B39B9" w:rsidR="008B39B9">
        <w:rPr>
          <w:lang w:val="en-GB"/>
        </w:rPr>
        <w:t>’</w:t>
      </w:r>
      <w:r w:rsidRPr="008B39B9">
        <w:rPr>
          <w:lang w:val="en-GB"/>
        </w:rPr>
        <w:t xml:space="preserve">s financial situation was so weak that it could not be strengthened even if specific measures were taken. Lastly, the </w:t>
      </w:r>
      <w:r w:rsidRPr="008B39B9" w:rsidR="00EB7F57">
        <w:rPr>
          <w:lang w:val="en-GB"/>
        </w:rPr>
        <w:t xml:space="preserve">company </w:t>
      </w:r>
      <w:r w:rsidRPr="008B39B9">
        <w:rPr>
          <w:lang w:val="en-GB"/>
        </w:rPr>
        <w:t>stated that following the transfer of the bank to the Fund, a General Assembly composed of the Fund</w:t>
      </w:r>
      <w:r w:rsidRPr="008B39B9" w:rsidR="008B39B9">
        <w:rPr>
          <w:lang w:val="en-GB"/>
        </w:rPr>
        <w:t>’</w:t>
      </w:r>
      <w:r w:rsidRPr="008B39B9">
        <w:rPr>
          <w:lang w:val="en-GB"/>
        </w:rPr>
        <w:t>s officials had exonerated the former managers of Demirbank, holding that they had not been at fault in the incident leading to the bank</w:t>
      </w:r>
      <w:r w:rsidRPr="008B39B9" w:rsidR="008B39B9">
        <w:rPr>
          <w:lang w:val="en-GB"/>
        </w:rPr>
        <w:t>’</w:t>
      </w:r>
      <w:r w:rsidRPr="008B39B9">
        <w:rPr>
          <w:lang w:val="en-GB"/>
        </w:rPr>
        <w:t>s transfer.</w:t>
      </w:r>
    </w:p>
    <w:p w:rsidRPr="008B39B9" w:rsidR="007D53F1"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11</w:t>
      </w:r>
      <w:r w:rsidRPr="008B39B9">
        <w:rPr>
          <w:lang w:val="en-GB"/>
        </w:rPr>
        <w:fldChar w:fldCharType="end"/>
      </w:r>
      <w:r w:rsidRPr="008B39B9">
        <w:rPr>
          <w:lang w:val="en-GB"/>
        </w:rPr>
        <w:t>.  After examining the file, on 3 June 2003 the Supreme Administrative Court dismissed the case. It held that the takeover of the bank by the Fund had been in accordance with section 14 (3) of the Banking Activities Act.</w:t>
      </w:r>
    </w:p>
    <w:p w:rsidRPr="008B39B9" w:rsidR="008D68F2"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12</w:t>
      </w:r>
      <w:r w:rsidRPr="008B39B9">
        <w:rPr>
          <w:lang w:val="en-GB"/>
        </w:rPr>
        <w:fldChar w:fldCharType="end"/>
      </w:r>
      <w:r w:rsidRPr="008B39B9">
        <w:rPr>
          <w:lang w:val="en-GB"/>
        </w:rPr>
        <w:t xml:space="preserve">.  On 18 December 2003 the Joint Administrative Chambers of the Supreme Administrative Court decided to quash the decision of 3 June 2003. In </w:t>
      </w:r>
      <w:r w:rsidRPr="008B39B9" w:rsidR="00411ED8">
        <w:rPr>
          <w:lang w:val="en-GB"/>
        </w:rPr>
        <w:t xml:space="preserve">its </w:t>
      </w:r>
      <w:r w:rsidRPr="008B39B9">
        <w:rPr>
          <w:lang w:val="en-GB"/>
        </w:rPr>
        <w:t>judgment, the court held that prior to ordering the transfer of Demirbank to the Fund, the Board should have carried out an objective evaluation of the bank</w:t>
      </w:r>
      <w:r w:rsidRPr="008B39B9" w:rsidR="008B39B9">
        <w:rPr>
          <w:lang w:val="en-GB"/>
        </w:rPr>
        <w:t>’</w:t>
      </w:r>
      <w:r w:rsidRPr="008B39B9">
        <w:rPr>
          <w:lang w:val="en-GB"/>
        </w:rPr>
        <w:t>s financial situation. The court also concluded that the Board should first have ordered Demirbank to take specific measures in accordance with section 14 (2) of the Banking Activities Act before applying section 14 (3) of the Act.</w:t>
      </w:r>
    </w:p>
    <w:p w:rsidRPr="008B39B9" w:rsidR="008D68F2"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13</w:t>
      </w:r>
      <w:r w:rsidRPr="008B39B9">
        <w:rPr>
          <w:lang w:val="en-GB"/>
        </w:rPr>
        <w:fldChar w:fldCharType="end"/>
      </w:r>
      <w:r w:rsidRPr="008B39B9">
        <w:rPr>
          <w:lang w:val="en-GB"/>
        </w:rPr>
        <w:t>.  On 29 April 2004 a request for rectification lodged by the Agency was refused.</w:t>
      </w:r>
    </w:p>
    <w:p w:rsidRPr="008B39B9" w:rsidR="007D53F1" w:rsidP="008B39B9" w:rsidRDefault="008D68F2">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14</w:t>
      </w:r>
      <w:r w:rsidRPr="008B39B9">
        <w:rPr>
          <w:lang w:val="en-GB"/>
        </w:rPr>
        <w:fldChar w:fldCharType="end"/>
      </w:r>
      <w:r w:rsidRPr="008B39B9">
        <w:rPr>
          <w:lang w:val="en-GB"/>
        </w:rPr>
        <w:t>.  The case was remitted to the Supreme Administrative Court, which delivered its decision on 5 November 2004, upholding the decision of the Joint Administrative Chambers of the Supreme Administrative Court. It accordingly annulled the Board</w:t>
      </w:r>
      <w:r w:rsidRPr="008B39B9" w:rsidR="008B39B9">
        <w:rPr>
          <w:lang w:val="en-GB"/>
        </w:rPr>
        <w:t>’</w:t>
      </w:r>
      <w:r w:rsidRPr="008B39B9">
        <w:rPr>
          <w:lang w:val="en-GB"/>
        </w:rPr>
        <w:t>s decision of 6 December 2000 ordering the transfer of Demirbank to the Fund, holding that the takeover had been illegal. A further appeal and a request for rectification lodged by the Agency were rejected on 14 April 2005 and 15 December 2005 respectively.</w:t>
      </w:r>
    </w:p>
    <w:p w:rsidRPr="008B39B9" w:rsidR="008D68F2" w:rsidP="008B39B9" w:rsidRDefault="008D68F2">
      <w:pPr>
        <w:pStyle w:val="ECHRHeading3"/>
        <w:rPr>
          <w:lang w:val="en-GB"/>
        </w:rPr>
      </w:pPr>
      <w:r w:rsidRPr="008B39B9">
        <w:rPr>
          <w:lang w:val="en-GB"/>
        </w:rPr>
        <w:t>2.</w:t>
      </w:r>
      <w:r w:rsidRPr="008B39B9" w:rsidR="00AC4D3E">
        <w:rPr>
          <w:lang w:val="en-GB"/>
        </w:rPr>
        <w:t>  </w:t>
      </w:r>
      <w:r w:rsidRPr="008B39B9">
        <w:rPr>
          <w:lang w:val="en-GB"/>
        </w:rPr>
        <w:t xml:space="preserve">Proceedings </w:t>
      </w:r>
      <w:r w:rsidRPr="008B39B9" w:rsidR="008033CC">
        <w:rPr>
          <w:lang w:val="en-GB"/>
        </w:rPr>
        <w:t>for</w:t>
      </w:r>
      <w:r w:rsidRPr="008B39B9">
        <w:rPr>
          <w:lang w:val="en-GB"/>
        </w:rPr>
        <w:t xml:space="preserve"> the annulment of </w:t>
      </w:r>
      <w:r w:rsidRPr="008B39B9" w:rsidR="00EB7F57">
        <w:rPr>
          <w:lang w:val="en-GB"/>
        </w:rPr>
        <w:t>the agreement to sell Demirbank to HSBC</w:t>
      </w:r>
    </w:p>
    <w:p w:rsidRPr="008B39B9" w:rsidR="00EB7F57" w:rsidP="008B39B9" w:rsidRDefault="00EB7F57">
      <w:pPr>
        <w:pStyle w:val="ECHRPara"/>
        <w:rPr>
          <w:bCs/>
          <w:lang w:val="en-GB"/>
        </w:rPr>
      </w:pPr>
      <w:r w:rsidRPr="008B39B9">
        <w:rPr>
          <w:bCs/>
          <w:lang w:val="en-GB"/>
        </w:rPr>
        <w:fldChar w:fldCharType="begin"/>
      </w:r>
      <w:r w:rsidRPr="008B39B9">
        <w:rPr>
          <w:bCs/>
          <w:lang w:val="en-GB"/>
        </w:rPr>
        <w:instrText xml:space="preserve"> SEQ level0 \*arabic </w:instrText>
      </w:r>
      <w:r w:rsidRPr="008B39B9">
        <w:rPr>
          <w:bCs/>
          <w:lang w:val="en-GB"/>
        </w:rPr>
        <w:fldChar w:fldCharType="separate"/>
      </w:r>
      <w:r w:rsidRPr="008B39B9" w:rsidR="008B39B9">
        <w:rPr>
          <w:bCs/>
          <w:noProof/>
          <w:lang w:val="en-GB"/>
        </w:rPr>
        <w:t>15</w:t>
      </w:r>
      <w:r w:rsidRPr="008B39B9">
        <w:rPr>
          <w:bCs/>
          <w:lang w:val="en-GB"/>
        </w:rPr>
        <w:fldChar w:fldCharType="end"/>
      </w:r>
      <w:r w:rsidRPr="008B39B9">
        <w:rPr>
          <w:bCs/>
          <w:lang w:val="en-GB"/>
        </w:rPr>
        <w:t xml:space="preserve">.  On 20 September 2001 Ms S. Cıngıllıoğlu, the main shareholder of Cıngıllı Holding A.Ş., brought administrative proceedings against the Fund </w:t>
      </w:r>
      <w:r w:rsidRPr="008B39B9" w:rsidR="008033CC">
        <w:rPr>
          <w:bCs/>
          <w:lang w:val="en-GB"/>
        </w:rPr>
        <w:t>before</w:t>
      </w:r>
      <w:r w:rsidRPr="008B39B9">
        <w:rPr>
          <w:bCs/>
          <w:lang w:val="en-GB"/>
        </w:rPr>
        <w:t xml:space="preserve"> the Ankara Administrative Court, seeking the annulment of the agreement to sell Demirbank to HSBC.</w:t>
      </w:r>
    </w:p>
    <w:p w:rsidRPr="008B39B9" w:rsidR="00EB7F57" w:rsidP="008B39B9" w:rsidRDefault="00EB7F57">
      <w:pPr>
        <w:pStyle w:val="ECHRPara"/>
        <w:rPr>
          <w:bCs/>
          <w:lang w:val="en-GB"/>
        </w:rPr>
      </w:pPr>
      <w:r w:rsidRPr="008B39B9">
        <w:rPr>
          <w:bCs/>
          <w:lang w:val="en-GB"/>
        </w:rPr>
        <w:fldChar w:fldCharType="begin"/>
      </w:r>
      <w:r w:rsidRPr="008B39B9">
        <w:rPr>
          <w:bCs/>
          <w:lang w:val="en-GB"/>
        </w:rPr>
        <w:instrText xml:space="preserve"> SEQ level0 \*arabic </w:instrText>
      </w:r>
      <w:r w:rsidRPr="008B39B9">
        <w:rPr>
          <w:bCs/>
          <w:lang w:val="en-GB"/>
        </w:rPr>
        <w:fldChar w:fldCharType="separate"/>
      </w:r>
      <w:r w:rsidRPr="008B39B9" w:rsidR="008B39B9">
        <w:rPr>
          <w:bCs/>
          <w:noProof/>
          <w:lang w:val="en-GB"/>
        </w:rPr>
        <w:t>16</w:t>
      </w:r>
      <w:r w:rsidRPr="008B39B9">
        <w:rPr>
          <w:bCs/>
          <w:lang w:val="en-GB"/>
        </w:rPr>
        <w:fldChar w:fldCharType="end"/>
      </w:r>
      <w:r w:rsidRPr="008B39B9">
        <w:rPr>
          <w:bCs/>
          <w:lang w:val="en-GB"/>
        </w:rPr>
        <w:t>.  Given that the transfer of Demirbank to the Fund had been found to be illegal by the Joint Administrative Chambers of the Supreme Administrative Court, on 21 April 2004 the Ankara Administrative Court annulled the agreement entered into by the Fund and HSBC on 20 September 2001. An appeal and a request for rectification lodged by the Fund were rejected on 3 June 2005 and 24 February 2006 respectively.</w:t>
      </w:r>
    </w:p>
    <w:p w:rsidRPr="008B39B9" w:rsidR="00EB7F57" w:rsidP="008B39B9" w:rsidRDefault="00DB3E87">
      <w:pPr>
        <w:pStyle w:val="ECHRHeading2"/>
        <w:rPr>
          <w:lang w:val="en-GB"/>
        </w:rPr>
      </w:pPr>
      <w:r w:rsidRPr="008B39B9">
        <w:rPr>
          <w:lang w:val="en-GB"/>
        </w:rPr>
        <w:t>C.  </w:t>
      </w:r>
      <w:r w:rsidRPr="008B39B9" w:rsidR="00EB7F57">
        <w:rPr>
          <w:lang w:val="en-GB"/>
        </w:rPr>
        <w:t>Proceedings brought by the applicant</w:t>
      </w:r>
    </w:p>
    <w:p w:rsidRPr="008B39B9" w:rsidR="00AE37C7" w:rsidP="008B39B9" w:rsidRDefault="00AE37C7">
      <w:pPr>
        <w:pStyle w:val="ECHRHeading3"/>
      </w:pPr>
      <w:r w:rsidRPr="008B39B9">
        <w:t>1.</w:t>
      </w:r>
      <w:r w:rsidRPr="008B39B9" w:rsidR="00DB3E87">
        <w:t>  </w:t>
      </w:r>
      <w:r w:rsidRPr="008B39B9">
        <w:t>First set of proceedings</w:t>
      </w:r>
    </w:p>
    <w:p w:rsidRPr="008B39B9" w:rsidR="007D53F1" w:rsidP="008B39B9" w:rsidRDefault="00FE31F9">
      <w:pPr>
        <w:pStyle w:val="ECHRPara"/>
      </w:pPr>
      <w:r>
        <w:fldChar w:fldCharType="begin"/>
      </w:r>
      <w:r>
        <w:instrText xml:space="preserve"> SEQ level0 \</w:instrText>
      </w:r>
      <w:r>
        <w:instrText xml:space="preserve">*arabic </w:instrText>
      </w:r>
      <w:r>
        <w:fldChar w:fldCharType="separate"/>
      </w:r>
      <w:r w:rsidRPr="008B39B9" w:rsidR="008B39B9">
        <w:rPr>
          <w:noProof/>
        </w:rPr>
        <w:t>17</w:t>
      </w:r>
      <w:r>
        <w:rPr>
          <w:noProof/>
        </w:rPr>
        <w:fldChar w:fldCharType="end"/>
      </w:r>
      <w:r w:rsidRPr="008B39B9" w:rsidR="00C37F53">
        <w:t>.  </w:t>
      </w:r>
      <w:r w:rsidRPr="008B39B9" w:rsidR="00C41266">
        <w:t>Following the transfer of Demirbank to the Fund, the applicant applied to the Board and claimed compensation. He did not receive any reply.</w:t>
      </w:r>
    </w:p>
    <w:p w:rsidRPr="008B39B9" w:rsidR="00C41266"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18</w:t>
      </w:r>
      <w:r w:rsidRPr="008B39B9">
        <w:rPr>
          <w:rFonts w:eastAsia="Times New Roman"/>
          <w:lang w:val="en-GB" w:eastAsia="fr-FR"/>
        </w:rPr>
        <w:fldChar w:fldCharType="end"/>
      </w:r>
      <w:r w:rsidRPr="008B39B9">
        <w:rPr>
          <w:rFonts w:eastAsia="Times New Roman"/>
          <w:lang w:val="en-GB" w:eastAsia="fr-FR"/>
        </w:rPr>
        <w:t xml:space="preserve">.  Subsequently, on </w:t>
      </w:r>
      <w:r w:rsidRPr="008B39B9" w:rsidR="00AE37C7">
        <w:rPr>
          <w:rFonts w:eastAsia="Times New Roman"/>
          <w:lang w:val="en-GB" w:eastAsia="fr-FR"/>
        </w:rPr>
        <w:t>31 May</w:t>
      </w:r>
      <w:r w:rsidRPr="008B39B9">
        <w:rPr>
          <w:rFonts w:eastAsia="Times New Roman"/>
          <w:lang w:val="en-GB" w:eastAsia="fr-FR"/>
        </w:rPr>
        <w:t xml:space="preserve"> 2002, the applicant brought compensation proceedings against the Agency before the Supreme Administrative Court. He argued that he had lost his shares in Demirbank as a result of its transfer to the Fund</w:t>
      </w:r>
      <w:r w:rsidRPr="008B39B9" w:rsidR="00C650C1">
        <w:rPr>
          <w:rFonts w:eastAsia="Times New Roman"/>
          <w:lang w:val="en-GB" w:eastAsia="fr-FR"/>
        </w:rPr>
        <w:t>,</w:t>
      </w:r>
      <w:r w:rsidRPr="008B39B9">
        <w:rPr>
          <w:rFonts w:eastAsia="Times New Roman"/>
          <w:lang w:val="en-GB" w:eastAsia="fr-FR"/>
        </w:rPr>
        <w:t xml:space="preserve"> and requested the annulment of the Board</w:t>
      </w:r>
      <w:r w:rsidRPr="008B39B9" w:rsidR="008B39B9">
        <w:rPr>
          <w:rFonts w:eastAsia="Times New Roman"/>
          <w:lang w:val="en-GB" w:eastAsia="fr-FR"/>
        </w:rPr>
        <w:t>’</w:t>
      </w:r>
      <w:r w:rsidRPr="008B39B9">
        <w:rPr>
          <w:rFonts w:eastAsia="Times New Roman"/>
          <w:lang w:val="en-GB" w:eastAsia="fr-FR"/>
        </w:rPr>
        <w:t>s implied rejection of his compensation claim.</w:t>
      </w:r>
    </w:p>
    <w:p w:rsidRPr="008B39B9" w:rsidR="007D53F1"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19</w:t>
      </w:r>
      <w:r w:rsidRPr="008B39B9">
        <w:rPr>
          <w:rFonts w:eastAsia="Times New Roman"/>
          <w:lang w:val="en-GB" w:eastAsia="fr-FR"/>
        </w:rPr>
        <w:fldChar w:fldCharType="end"/>
      </w:r>
      <w:r w:rsidRPr="008B39B9">
        <w:rPr>
          <w:rFonts w:eastAsia="Times New Roman"/>
          <w:lang w:val="en-GB" w:eastAsia="fr-FR"/>
        </w:rPr>
        <w:t>.  On 24 June 2003 the Supreme Administrative Court dismissed the applicant</w:t>
      </w:r>
      <w:r w:rsidRPr="008B39B9" w:rsidR="008B39B9">
        <w:rPr>
          <w:rFonts w:eastAsia="Times New Roman"/>
          <w:lang w:val="en-GB" w:eastAsia="fr-FR"/>
        </w:rPr>
        <w:t>’</w:t>
      </w:r>
      <w:r w:rsidRPr="008B39B9">
        <w:rPr>
          <w:rFonts w:eastAsia="Times New Roman"/>
          <w:lang w:val="en-GB" w:eastAsia="fr-FR"/>
        </w:rPr>
        <w:t>s case. On the basis of a previous judgment it had rendered on 3 June 2003 (see para</w:t>
      </w:r>
      <w:r w:rsidRPr="008B39B9" w:rsidR="008978BA">
        <w:rPr>
          <w:rFonts w:eastAsia="Times New Roman"/>
          <w:lang w:val="en-GB" w:eastAsia="fr-FR"/>
        </w:rPr>
        <w:t>graph</w:t>
      </w:r>
      <w:r w:rsidRPr="008B39B9">
        <w:rPr>
          <w:rFonts w:eastAsia="Times New Roman"/>
          <w:lang w:val="en-GB" w:eastAsia="fr-FR"/>
        </w:rPr>
        <w:t xml:space="preserve"> </w:t>
      </w:r>
      <w:r w:rsidRPr="008B39B9" w:rsidR="00835C4C">
        <w:rPr>
          <w:rFonts w:eastAsia="Times New Roman"/>
          <w:lang w:val="en-GB" w:eastAsia="fr-FR"/>
        </w:rPr>
        <w:t>11</w:t>
      </w:r>
      <w:r w:rsidRPr="008B39B9">
        <w:rPr>
          <w:rFonts w:eastAsia="Times New Roman"/>
          <w:lang w:val="en-GB" w:eastAsia="fr-FR"/>
        </w:rPr>
        <w:t xml:space="preserve"> above), the court found that the takeover of the bank by the Fund had been in accordance with section 14 § 3 of the Banking </w:t>
      </w:r>
      <w:r w:rsidRPr="008B39B9" w:rsidR="008978BA">
        <w:rPr>
          <w:rFonts w:eastAsia="Times New Roman"/>
          <w:lang w:val="en-GB" w:eastAsia="fr-FR"/>
        </w:rPr>
        <w:t>Act</w:t>
      </w:r>
      <w:r w:rsidRPr="008B39B9">
        <w:rPr>
          <w:rFonts w:eastAsia="Times New Roman"/>
          <w:lang w:val="en-GB" w:eastAsia="fr-FR"/>
        </w:rPr>
        <w:t>.</w:t>
      </w:r>
    </w:p>
    <w:p w:rsidRPr="008B39B9" w:rsidR="00C41266"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20</w:t>
      </w:r>
      <w:r w:rsidRPr="008B39B9">
        <w:rPr>
          <w:rFonts w:eastAsia="Times New Roman"/>
          <w:lang w:val="en-GB" w:eastAsia="fr-FR"/>
        </w:rPr>
        <w:fldChar w:fldCharType="end"/>
      </w:r>
      <w:r w:rsidRPr="008B39B9">
        <w:rPr>
          <w:rFonts w:eastAsia="Times New Roman"/>
          <w:lang w:val="en-GB" w:eastAsia="fr-FR"/>
        </w:rPr>
        <w:t>.  The applicant lodged an appeal.</w:t>
      </w:r>
    </w:p>
    <w:p w:rsidRPr="008B39B9" w:rsidR="007D53F1"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21</w:t>
      </w:r>
      <w:r w:rsidRPr="008B39B9">
        <w:rPr>
          <w:rFonts w:eastAsia="Times New Roman"/>
          <w:lang w:val="en-GB" w:eastAsia="fr-FR"/>
        </w:rPr>
        <w:fldChar w:fldCharType="end"/>
      </w:r>
      <w:r w:rsidRPr="008B39B9">
        <w:rPr>
          <w:rFonts w:eastAsia="Times New Roman"/>
          <w:lang w:val="en-GB" w:eastAsia="fr-FR"/>
        </w:rPr>
        <w:t>.  On 21 October 2004 the Joint Administrative Chambers of the Supreme Administrative Court decided to quash the judgment. It indicated that the previous judgment dated 3 June 2003, which had constituted the basis of the latter, had been quashed on 18 December 2003 (see para</w:t>
      </w:r>
      <w:r w:rsidRPr="008B39B9" w:rsidR="008978BA">
        <w:rPr>
          <w:rFonts w:eastAsia="Times New Roman"/>
          <w:lang w:val="en-GB" w:eastAsia="fr-FR"/>
        </w:rPr>
        <w:t>graph</w:t>
      </w:r>
      <w:r w:rsidRPr="008B39B9" w:rsidR="008A5287">
        <w:rPr>
          <w:rFonts w:eastAsia="Times New Roman"/>
          <w:lang w:val="en-GB" w:eastAsia="fr-FR"/>
        </w:rPr>
        <w:t> </w:t>
      </w:r>
      <w:r w:rsidRPr="008B39B9">
        <w:rPr>
          <w:rFonts w:eastAsia="Times New Roman"/>
          <w:lang w:val="en-GB" w:eastAsia="fr-FR"/>
        </w:rPr>
        <w:t>1</w:t>
      </w:r>
      <w:r w:rsidRPr="008B39B9" w:rsidR="00835C4C">
        <w:rPr>
          <w:rFonts w:eastAsia="Times New Roman"/>
          <w:lang w:val="en-GB" w:eastAsia="fr-FR"/>
        </w:rPr>
        <w:t>2</w:t>
      </w:r>
      <w:r w:rsidRPr="008B39B9">
        <w:rPr>
          <w:rFonts w:eastAsia="Times New Roman"/>
          <w:lang w:val="en-GB" w:eastAsia="fr-FR"/>
        </w:rPr>
        <w:t xml:space="preserve"> above).</w:t>
      </w:r>
    </w:p>
    <w:p w:rsidRPr="008B39B9" w:rsidR="00C41266"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22</w:t>
      </w:r>
      <w:r w:rsidRPr="008B39B9">
        <w:rPr>
          <w:rFonts w:eastAsia="Times New Roman"/>
          <w:lang w:val="en-GB" w:eastAsia="fr-FR"/>
        </w:rPr>
        <w:fldChar w:fldCharType="end"/>
      </w:r>
      <w:r w:rsidRPr="008B39B9">
        <w:rPr>
          <w:rFonts w:eastAsia="Times New Roman"/>
          <w:lang w:val="en-GB" w:eastAsia="fr-FR"/>
        </w:rPr>
        <w:t>.  The Agency</w:t>
      </w:r>
      <w:r w:rsidRPr="008B39B9" w:rsidR="008B39B9">
        <w:rPr>
          <w:rFonts w:eastAsia="Times New Roman"/>
          <w:lang w:val="en-GB" w:eastAsia="fr-FR"/>
        </w:rPr>
        <w:t>’</w:t>
      </w:r>
      <w:r w:rsidRPr="008B39B9">
        <w:rPr>
          <w:rFonts w:eastAsia="Times New Roman"/>
          <w:lang w:val="en-GB" w:eastAsia="fr-FR"/>
        </w:rPr>
        <w:t>s rectification request was rejected on 26 May 2005.</w:t>
      </w:r>
    </w:p>
    <w:p w:rsidRPr="008B39B9" w:rsidR="007D53F1" w:rsidP="008B39B9" w:rsidRDefault="00C41266">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23</w:t>
      </w:r>
      <w:r w:rsidRPr="008B39B9">
        <w:rPr>
          <w:rFonts w:eastAsia="Times New Roman"/>
          <w:lang w:val="en-GB" w:eastAsia="fr-FR"/>
        </w:rPr>
        <w:fldChar w:fldCharType="end"/>
      </w:r>
      <w:r w:rsidRPr="008B39B9">
        <w:rPr>
          <w:rFonts w:eastAsia="Times New Roman"/>
          <w:lang w:val="en-GB" w:eastAsia="fr-FR"/>
        </w:rPr>
        <w:t xml:space="preserve">.  On 20 September 2005 the Supreme Administrative Court held that it lacked jurisdiction </w:t>
      </w:r>
      <w:r w:rsidRPr="008B39B9">
        <w:rPr>
          <w:rFonts w:eastAsia="Times New Roman"/>
          <w:i/>
          <w:lang w:val="en-GB" w:eastAsia="fr-FR"/>
        </w:rPr>
        <w:t>ratione materiae</w:t>
      </w:r>
      <w:r w:rsidRPr="008B39B9" w:rsidR="008978BA">
        <w:rPr>
          <w:rFonts w:eastAsia="Times New Roman"/>
          <w:i/>
          <w:lang w:val="en-GB" w:eastAsia="fr-FR"/>
        </w:rPr>
        <w:t>,</w:t>
      </w:r>
      <w:r w:rsidRPr="008B39B9">
        <w:rPr>
          <w:rFonts w:eastAsia="Times New Roman"/>
          <w:lang w:val="en-GB" w:eastAsia="fr-FR"/>
        </w:rPr>
        <w:t xml:space="preserve"> as the applicant</w:t>
      </w:r>
      <w:r w:rsidRPr="008B39B9" w:rsidR="008B39B9">
        <w:rPr>
          <w:rFonts w:eastAsia="Times New Roman"/>
          <w:lang w:val="en-GB" w:eastAsia="fr-FR"/>
        </w:rPr>
        <w:t>’</w:t>
      </w:r>
      <w:r w:rsidRPr="008B39B9">
        <w:rPr>
          <w:rFonts w:eastAsia="Times New Roman"/>
          <w:lang w:val="en-GB" w:eastAsia="fr-FR"/>
        </w:rPr>
        <w:t xml:space="preserve">s case merely concerned an implied rejection </w:t>
      </w:r>
      <w:r w:rsidRPr="008B39B9" w:rsidR="008033CC">
        <w:rPr>
          <w:rFonts w:eastAsia="Times New Roman"/>
          <w:lang w:val="en-GB" w:eastAsia="fr-FR"/>
        </w:rPr>
        <w:t>by</w:t>
      </w:r>
      <w:r w:rsidRPr="008B39B9">
        <w:rPr>
          <w:rFonts w:eastAsia="Times New Roman"/>
          <w:lang w:val="en-GB" w:eastAsia="fr-FR"/>
        </w:rPr>
        <w:t xml:space="preserve"> the Board</w:t>
      </w:r>
      <w:r w:rsidRPr="008B39B9" w:rsidR="008033CC">
        <w:rPr>
          <w:rFonts w:eastAsia="Times New Roman"/>
          <w:lang w:val="en-GB" w:eastAsia="fr-FR"/>
        </w:rPr>
        <w:t>,</w:t>
      </w:r>
      <w:r w:rsidRPr="008B39B9">
        <w:rPr>
          <w:rFonts w:eastAsia="Times New Roman"/>
          <w:lang w:val="en-GB" w:eastAsia="fr-FR"/>
        </w:rPr>
        <w:t xml:space="preserve"> which should be assessed by the Ankara Administrative Court.</w:t>
      </w:r>
    </w:p>
    <w:p w:rsidRPr="008B39B9" w:rsidR="007D53F1" w:rsidP="008B39B9" w:rsidRDefault="00AE37C7">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24</w:t>
      </w:r>
      <w:r w:rsidRPr="008B39B9">
        <w:rPr>
          <w:rFonts w:eastAsia="Times New Roman"/>
          <w:lang w:val="en-GB" w:eastAsia="fr-FR"/>
        </w:rPr>
        <w:fldChar w:fldCharType="end"/>
      </w:r>
      <w:r w:rsidRPr="008B39B9">
        <w:rPr>
          <w:rFonts w:eastAsia="Times New Roman"/>
          <w:lang w:val="en-GB" w:eastAsia="fr-FR"/>
        </w:rPr>
        <w:t>.  </w:t>
      </w:r>
      <w:r w:rsidRPr="008B39B9" w:rsidR="00C41266">
        <w:rPr>
          <w:rFonts w:eastAsia="Times New Roman"/>
          <w:lang w:val="en-GB" w:eastAsia="fr-FR"/>
        </w:rPr>
        <w:t xml:space="preserve">On 30 December 2005 the Ankara Administrative Court dismissed the case </w:t>
      </w:r>
      <w:r w:rsidRPr="008B39B9" w:rsidR="008978BA">
        <w:rPr>
          <w:rFonts w:eastAsia="Times New Roman"/>
          <w:lang w:val="en-GB" w:eastAsia="fr-FR"/>
        </w:rPr>
        <w:t xml:space="preserve">as </w:t>
      </w:r>
      <w:r w:rsidRPr="008B39B9" w:rsidR="00C41266">
        <w:rPr>
          <w:rFonts w:eastAsia="Times New Roman"/>
          <w:lang w:val="en-GB" w:eastAsia="fr-FR"/>
        </w:rPr>
        <w:t xml:space="preserve">out of time. The court held that the applicant should have initiated proceedings within sixty days </w:t>
      </w:r>
      <w:r w:rsidRPr="008B39B9" w:rsidR="008978BA">
        <w:rPr>
          <w:rFonts w:eastAsia="Times New Roman"/>
          <w:lang w:val="en-GB" w:eastAsia="fr-FR"/>
        </w:rPr>
        <w:t>following</w:t>
      </w:r>
      <w:r w:rsidRPr="008B39B9" w:rsidR="00C41266">
        <w:rPr>
          <w:rFonts w:eastAsia="Times New Roman"/>
          <w:lang w:val="en-GB" w:eastAsia="fr-FR"/>
        </w:rPr>
        <w:t xml:space="preserve"> 31 January 2001, the date </w:t>
      </w:r>
      <w:r w:rsidRPr="008B39B9" w:rsidR="008033CC">
        <w:rPr>
          <w:rFonts w:eastAsia="Times New Roman"/>
          <w:lang w:val="en-GB" w:eastAsia="fr-FR"/>
        </w:rPr>
        <w:t xml:space="preserve">on </w:t>
      </w:r>
      <w:r w:rsidRPr="008B39B9" w:rsidR="00C41266">
        <w:rPr>
          <w:rFonts w:eastAsia="Times New Roman"/>
          <w:lang w:val="en-GB" w:eastAsia="fr-FR"/>
        </w:rPr>
        <w:t>wh</w:t>
      </w:r>
      <w:r w:rsidRPr="008B39B9" w:rsidR="008033CC">
        <w:rPr>
          <w:rFonts w:eastAsia="Times New Roman"/>
          <w:lang w:val="en-GB" w:eastAsia="fr-FR"/>
        </w:rPr>
        <w:t>ich</w:t>
      </w:r>
      <w:r w:rsidRPr="008B39B9" w:rsidR="00C41266">
        <w:rPr>
          <w:rFonts w:eastAsia="Times New Roman"/>
          <w:lang w:val="en-GB" w:eastAsia="fr-FR"/>
        </w:rPr>
        <w:t xml:space="preserve"> Demirbank</w:t>
      </w:r>
      <w:r w:rsidRPr="008B39B9" w:rsidR="008B39B9">
        <w:rPr>
          <w:rFonts w:eastAsia="Times New Roman"/>
          <w:lang w:val="en-GB" w:eastAsia="fr-FR"/>
        </w:rPr>
        <w:t>’</w:t>
      </w:r>
      <w:r w:rsidRPr="008B39B9" w:rsidR="00C41266">
        <w:rPr>
          <w:rFonts w:eastAsia="Times New Roman"/>
          <w:lang w:val="en-GB" w:eastAsia="fr-FR"/>
        </w:rPr>
        <w:t xml:space="preserve">s equities </w:t>
      </w:r>
      <w:r w:rsidRPr="008B39B9" w:rsidR="008033CC">
        <w:rPr>
          <w:rFonts w:eastAsia="Times New Roman"/>
          <w:lang w:val="en-GB" w:eastAsia="fr-FR"/>
        </w:rPr>
        <w:t>had been</w:t>
      </w:r>
      <w:r w:rsidRPr="008B39B9" w:rsidR="00C41266">
        <w:rPr>
          <w:rFonts w:eastAsia="Times New Roman"/>
          <w:lang w:val="en-GB" w:eastAsia="fr-FR"/>
        </w:rPr>
        <w:t xml:space="preserve"> transferred to the Fund</w:t>
      </w:r>
      <w:r w:rsidRPr="008B39B9" w:rsidR="008B39B9">
        <w:rPr>
          <w:rFonts w:eastAsia="Times New Roman"/>
          <w:lang w:val="en-GB" w:eastAsia="fr-FR"/>
        </w:rPr>
        <w:t>’</w:t>
      </w:r>
      <w:r w:rsidRPr="008B39B9" w:rsidR="00C41266">
        <w:rPr>
          <w:rFonts w:eastAsia="Times New Roman"/>
          <w:lang w:val="en-GB" w:eastAsia="fr-FR"/>
        </w:rPr>
        <w:t>s account at the Stock Exchange</w:t>
      </w:r>
      <w:r w:rsidRPr="008B39B9">
        <w:rPr>
          <w:rFonts w:eastAsia="Times New Roman"/>
          <w:lang w:val="en-GB" w:eastAsia="fr-FR"/>
        </w:rPr>
        <w:t xml:space="preserve"> (see para</w:t>
      </w:r>
      <w:r w:rsidRPr="008B39B9" w:rsidR="008978BA">
        <w:rPr>
          <w:rFonts w:eastAsia="Times New Roman"/>
          <w:lang w:val="en-GB" w:eastAsia="fr-FR"/>
        </w:rPr>
        <w:t>graph</w:t>
      </w:r>
      <w:r w:rsidRPr="008B39B9">
        <w:rPr>
          <w:rFonts w:eastAsia="Times New Roman"/>
          <w:lang w:val="en-GB" w:eastAsia="fr-FR"/>
        </w:rPr>
        <w:t xml:space="preserve"> 7 above)</w:t>
      </w:r>
      <w:r w:rsidRPr="008B39B9" w:rsidR="00C41266">
        <w:rPr>
          <w:rFonts w:eastAsia="Times New Roman"/>
          <w:lang w:val="en-GB" w:eastAsia="fr-FR"/>
        </w:rPr>
        <w:t>.</w:t>
      </w:r>
    </w:p>
    <w:p w:rsidRPr="008B39B9" w:rsidR="00C41266" w:rsidP="008B39B9" w:rsidRDefault="00AE37C7">
      <w:pPr>
        <w:pStyle w:val="ECHRPara"/>
        <w:rPr>
          <w:rFonts w:eastAsia="Times New Roman"/>
          <w:i/>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25</w:t>
      </w:r>
      <w:r w:rsidRPr="008B39B9">
        <w:rPr>
          <w:rFonts w:eastAsia="Times New Roman"/>
          <w:lang w:val="en-GB" w:eastAsia="fr-FR"/>
        </w:rPr>
        <w:fldChar w:fldCharType="end"/>
      </w:r>
      <w:r w:rsidRPr="008B39B9">
        <w:rPr>
          <w:rFonts w:eastAsia="Times New Roman"/>
          <w:lang w:val="en-GB" w:eastAsia="fr-FR"/>
        </w:rPr>
        <w:t>.  </w:t>
      </w:r>
      <w:r w:rsidRPr="008B39B9" w:rsidR="00C41266">
        <w:rPr>
          <w:rFonts w:eastAsia="Times New Roman"/>
          <w:lang w:val="en-GB" w:eastAsia="fr-FR"/>
        </w:rPr>
        <w:t>The Supreme Administrative Court upheld the first-instance court</w:t>
      </w:r>
      <w:r w:rsidRPr="008B39B9" w:rsidR="008B39B9">
        <w:rPr>
          <w:rFonts w:eastAsia="Times New Roman"/>
          <w:lang w:val="en-GB" w:eastAsia="fr-FR"/>
        </w:rPr>
        <w:t>’</w:t>
      </w:r>
      <w:r w:rsidRPr="008B39B9" w:rsidR="00C41266">
        <w:rPr>
          <w:rFonts w:eastAsia="Times New Roman"/>
          <w:lang w:val="en-GB" w:eastAsia="fr-FR"/>
        </w:rPr>
        <w:t>s judgment on 12 September 2006.</w:t>
      </w:r>
    </w:p>
    <w:p w:rsidRPr="008B39B9" w:rsidR="00AE37C7" w:rsidP="008B39B9" w:rsidRDefault="00AC4D3E">
      <w:pPr>
        <w:pStyle w:val="ECHRHeading3"/>
        <w:rPr>
          <w:lang w:val="en-GB"/>
        </w:rPr>
      </w:pPr>
      <w:r w:rsidRPr="008B39B9">
        <w:rPr>
          <w:lang w:val="en-GB"/>
        </w:rPr>
        <w:t>2.  </w:t>
      </w:r>
      <w:r w:rsidRPr="008B39B9" w:rsidR="00AE37C7">
        <w:rPr>
          <w:lang w:val="en-GB"/>
        </w:rPr>
        <w:t>Second set of proceedings</w:t>
      </w:r>
    </w:p>
    <w:p w:rsidRPr="008B39B9" w:rsidR="007D53F1" w:rsidP="008B39B9" w:rsidRDefault="00AE37C7">
      <w:pPr>
        <w:pStyle w:val="ECHRPara"/>
        <w:rPr>
          <w:rFonts w:ascii="Times New Roman" w:hAnsi="Times New Roman" w:eastAsia="Times New Roman" w:cs="Times New Roman"/>
          <w:szCs w:val="20"/>
          <w:lang w:val="en-GB" w:eastAsia="fr-FR"/>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26</w:t>
      </w:r>
      <w:r w:rsidRPr="008B39B9">
        <w:rPr>
          <w:lang w:val="en-GB"/>
        </w:rPr>
        <w:fldChar w:fldCharType="end"/>
      </w:r>
      <w:r w:rsidRPr="008B39B9">
        <w:rPr>
          <w:lang w:val="en-GB"/>
        </w:rPr>
        <w:t xml:space="preserve">.  Following the annulment of the decision regarding the transfer of Demirbank to the Fund by the domestic courts (see </w:t>
      </w:r>
      <w:r w:rsidRPr="008B39B9" w:rsidR="00712D51">
        <w:rPr>
          <w:lang w:val="en-GB"/>
        </w:rPr>
        <w:t>paragraphs</w:t>
      </w:r>
      <w:r w:rsidRPr="008B39B9">
        <w:rPr>
          <w:lang w:val="en-GB"/>
        </w:rPr>
        <w:t xml:space="preserve"> 8-14 above), </w:t>
      </w:r>
      <w:r w:rsidRPr="008B39B9" w:rsidR="00963F2F">
        <w:rPr>
          <w:lang w:val="en-GB"/>
        </w:rPr>
        <w:t xml:space="preserve">on an unspecified date in 2006 </w:t>
      </w:r>
      <w:r w:rsidRPr="008B39B9">
        <w:rPr>
          <w:lang w:val="en-GB"/>
        </w:rPr>
        <w:t xml:space="preserve">the applicant initiated </w:t>
      </w:r>
      <w:r w:rsidRPr="008B39B9">
        <w:rPr>
          <w:rFonts w:ascii="Times New Roman" w:hAnsi="Times New Roman" w:eastAsia="Times New Roman" w:cs="Times New Roman"/>
          <w:szCs w:val="20"/>
          <w:lang w:val="en-GB" w:eastAsia="fr-FR"/>
        </w:rPr>
        <w:t xml:space="preserve">another set of administrative proceedings. Relying on the </w:t>
      </w:r>
      <w:r w:rsidRPr="008B39B9">
        <w:rPr>
          <w:rFonts w:ascii="Times New Roman" w:hAnsi="Times New Roman" w:eastAsia="Times New Roman" w:cs="Times New Roman"/>
          <w:i/>
          <w:szCs w:val="20"/>
          <w:lang w:val="en-GB" w:eastAsia="fr-FR"/>
        </w:rPr>
        <w:t>restitutio in integrum</w:t>
      </w:r>
      <w:r w:rsidRPr="008B39B9">
        <w:rPr>
          <w:rFonts w:ascii="Times New Roman" w:hAnsi="Times New Roman" w:eastAsia="Times New Roman" w:cs="Times New Roman"/>
          <w:szCs w:val="20"/>
          <w:lang w:val="en-GB" w:eastAsia="fr-FR"/>
        </w:rPr>
        <w:t xml:space="preserve"> principle, he claimed that the Agency should enforce the above</w:t>
      </w:r>
      <w:r w:rsidRPr="008B39B9" w:rsidR="008978BA">
        <w:rPr>
          <w:rFonts w:ascii="Times New Roman" w:hAnsi="Times New Roman" w:eastAsia="Times New Roman" w:cs="Times New Roman"/>
          <w:szCs w:val="20"/>
          <w:lang w:val="en-GB" w:eastAsia="fr-FR"/>
        </w:rPr>
        <w:t>-</w:t>
      </w:r>
      <w:r w:rsidRPr="008B39B9">
        <w:rPr>
          <w:rFonts w:ascii="Times New Roman" w:hAnsi="Times New Roman" w:eastAsia="Times New Roman" w:cs="Times New Roman"/>
          <w:szCs w:val="20"/>
          <w:lang w:val="en-GB" w:eastAsia="fr-FR"/>
        </w:rPr>
        <w:t>mentioned judgment of the Supreme Administrative Court</w:t>
      </w:r>
      <w:r w:rsidRPr="008B39B9" w:rsidR="008978BA">
        <w:rPr>
          <w:rFonts w:ascii="Times New Roman" w:hAnsi="Times New Roman" w:eastAsia="Times New Roman" w:cs="Times New Roman"/>
          <w:szCs w:val="20"/>
          <w:lang w:val="en-GB" w:eastAsia="fr-FR"/>
        </w:rPr>
        <w:t>,</w:t>
      </w:r>
      <w:r w:rsidRPr="008B39B9">
        <w:rPr>
          <w:rFonts w:ascii="Times New Roman" w:hAnsi="Times New Roman" w:eastAsia="Times New Roman" w:cs="Times New Roman"/>
          <w:szCs w:val="20"/>
          <w:lang w:val="en-GB" w:eastAsia="fr-FR"/>
        </w:rPr>
        <w:t xml:space="preserve"> and that his rights as a shareholder of Demirbank </w:t>
      </w:r>
      <w:r w:rsidRPr="008B39B9" w:rsidR="008978BA">
        <w:rPr>
          <w:rFonts w:ascii="Times New Roman" w:hAnsi="Times New Roman" w:eastAsia="Times New Roman" w:cs="Times New Roman"/>
          <w:szCs w:val="20"/>
          <w:lang w:val="en-GB" w:eastAsia="fr-FR"/>
        </w:rPr>
        <w:t xml:space="preserve">should </w:t>
      </w:r>
      <w:r w:rsidRPr="008B39B9">
        <w:rPr>
          <w:rFonts w:ascii="Times New Roman" w:hAnsi="Times New Roman" w:eastAsia="Times New Roman" w:cs="Times New Roman"/>
          <w:szCs w:val="20"/>
          <w:lang w:val="en-GB" w:eastAsia="fr-FR"/>
        </w:rPr>
        <w:t>be reinstated.</w:t>
      </w:r>
    </w:p>
    <w:p w:rsidRPr="008B39B9" w:rsidR="00AE37C7" w:rsidP="008B39B9" w:rsidRDefault="00AE37C7">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27</w:t>
      </w:r>
      <w:r w:rsidRPr="008B39B9">
        <w:rPr>
          <w:rFonts w:eastAsia="Times New Roman"/>
          <w:lang w:val="en-GB" w:eastAsia="fr-FR"/>
        </w:rPr>
        <w:fldChar w:fldCharType="end"/>
      </w:r>
      <w:r w:rsidRPr="008B39B9">
        <w:rPr>
          <w:rFonts w:eastAsia="Times New Roman"/>
          <w:lang w:val="en-GB" w:eastAsia="fr-FR"/>
        </w:rPr>
        <w:t>.  On 27 September 2007, after indicating the administration</w:t>
      </w:r>
      <w:r w:rsidRPr="008B39B9" w:rsidR="008B39B9">
        <w:rPr>
          <w:rFonts w:eastAsia="Times New Roman"/>
          <w:lang w:val="en-GB" w:eastAsia="fr-FR"/>
        </w:rPr>
        <w:t>’</w:t>
      </w:r>
      <w:r w:rsidRPr="008B39B9">
        <w:rPr>
          <w:rFonts w:eastAsia="Times New Roman"/>
          <w:lang w:val="en-GB" w:eastAsia="fr-FR"/>
        </w:rPr>
        <w:t xml:space="preserve">s </w:t>
      </w:r>
      <w:r w:rsidRPr="008B39B9" w:rsidR="00411ED8">
        <w:rPr>
          <w:rFonts w:eastAsia="Times New Roman"/>
          <w:lang w:val="en-GB" w:eastAsia="fr-FR"/>
        </w:rPr>
        <w:t>obligation</w:t>
      </w:r>
      <w:r w:rsidRPr="008B39B9">
        <w:rPr>
          <w:rFonts w:eastAsia="Times New Roman"/>
          <w:lang w:val="en-GB" w:eastAsia="fr-FR"/>
        </w:rPr>
        <w:t xml:space="preserve"> to execute judgments which are enforceable, the Ankara Administrative Court held that the enforcement of the Supreme Administrative Court judgment in the instant case was legally impossible as, following its sale to HSBC, Demirbank had been struck off the commercial register.</w:t>
      </w:r>
    </w:p>
    <w:p w:rsidRPr="008B39B9" w:rsidR="00AE37C7" w:rsidP="008B39B9" w:rsidRDefault="00AE37C7">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28</w:t>
      </w:r>
      <w:r w:rsidRPr="008B39B9">
        <w:rPr>
          <w:rFonts w:eastAsia="Times New Roman"/>
          <w:lang w:val="en-GB" w:eastAsia="fr-FR"/>
        </w:rPr>
        <w:fldChar w:fldCharType="end"/>
      </w:r>
      <w:r w:rsidRPr="008B39B9">
        <w:rPr>
          <w:rFonts w:eastAsia="Times New Roman"/>
          <w:lang w:val="en-GB" w:eastAsia="fr-FR"/>
        </w:rPr>
        <w:t>.  On 16 March 2009 the Supreme Administrative Court upheld that judgment. The court indicated that the ex</w:t>
      </w:r>
      <w:r w:rsidRPr="008B39B9" w:rsidR="004C6B6A">
        <w:rPr>
          <w:rFonts w:eastAsia="Times New Roman"/>
          <w:lang w:val="en-GB" w:eastAsia="fr-FR"/>
        </w:rPr>
        <w:t>ecution of the judgment dated 5 </w:t>
      </w:r>
      <w:r w:rsidRPr="008B39B9">
        <w:rPr>
          <w:rFonts w:eastAsia="Times New Roman"/>
          <w:lang w:val="en-GB" w:eastAsia="fr-FR"/>
        </w:rPr>
        <w:t xml:space="preserve">November 2004 could be </w:t>
      </w:r>
      <w:r w:rsidRPr="008B39B9" w:rsidR="008033CC">
        <w:rPr>
          <w:rFonts w:eastAsia="Times New Roman"/>
          <w:lang w:val="en-GB" w:eastAsia="fr-FR"/>
        </w:rPr>
        <w:t>secur</w:t>
      </w:r>
      <w:r w:rsidRPr="008B39B9">
        <w:rPr>
          <w:rFonts w:eastAsia="Times New Roman"/>
          <w:lang w:val="en-GB" w:eastAsia="fr-FR"/>
        </w:rPr>
        <w:t>ed by the return of the supervisory and executive rights to Demirbank</w:t>
      </w:r>
      <w:r w:rsidRPr="008B39B9" w:rsidR="008B39B9">
        <w:rPr>
          <w:rFonts w:eastAsia="Times New Roman"/>
          <w:lang w:val="en-GB" w:eastAsia="fr-FR"/>
        </w:rPr>
        <w:t>’</w:t>
      </w:r>
      <w:r w:rsidRPr="008B39B9">
        <w:rPr>
          <w:rFonts w:eastAsia="Times New Roman"/>
          <w:lang w:val="en-GB" w:eastAsia="fr-FR"/>
        </w:rPr>
        <w:t>s shareholders</w:t>
      </w:r>
      <w:r w:rsidRPr="008B39B9" w:rsidR="00050FA9">
        <w:rPr>
          <w:rFonts w:eastAsia="Times New Roman"/>
          <w:lang w:val="en-GB" w:eastAsia="fr-FR"/>
        </w:rPr>
        <w:t>,</w:t>
      </w:r>
      <w:r w:rsidRPr="008B39B9">
        <w:rPr>
          <w:rFonts w:eastAsia="Times New Roman"/>
          <w:lang w:val="en-GB" w:eastAsia="fr-FR"/>
        </w:rPr>
        <w:t xml:space="preserve"> and did not require the restitution of the actual shares. It maintained that even if that was the case, the judgment could not be executed</w:t>
      </w:r>
      <w:r w:rsidRPr="008B39B9" w:rsidR="00116D85">
        <w:rPr>
          <w:rFonts w:eastAsia="Times New Roman"/>
          <w:lang w:val="en-GB" w:eastAsia="fr-FR"/>
        </w:rPr>
        <w:t>,</w:t>
      </w:r>
      <w:r w:rsidRPr="008B39B9">
        <w:rPr>
          <w:rFonts w:eastAsia="Times New Roman"/>
          <w:lang w:val="en-GB" w:eastAsia="fr-FR"/>
        </w:rPr>
        <w:t xml:space="preserve"> as Demirbank</w:t>
      </w:r>
      <w:r w:rsidRPr="008B39B9" w:rsidR="008B39B9">
        <w:rPr>
          <w:rFonts w:eastAsia="Times New Roman"/>
          <w:lang w:val="en-GB" w:eastAsia="fr-FR"/>
        </w:rPr>
        <w:t>’</w:t>
      </w:r>
      <w:r w:rsidRPr="008B39B9">
        <w:rPr>
          <w:rFonts w:eastAsia="Times New Roman"/>
          <w:lang w:val="en-GB" w:eastAsia="fr-FR"/>
        </w:rPr>
        <w:t>s shares had ceased to exist as a result of the loss of its legal personality following its merger with HSBC.</w:t>
      </w:r>
    </w:p>
    <w:p w:rsidRPr="008B39B9" w:rsidR="00AE37C7" w:rsidP="008B39B9" w:rsidRDefault="00AE37C7">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29</w:t>
      </w:r>
      <w:r w:rsidRPr="008B39B9">
        <w:rPr>
          <w:rFonts w:eastAsia="Times New Roman"/>
          <w:lang w:val="en-GB" w:eastAsia="fr-FR"/>
        </w:rPr>
        <w:fldChar w:fldCharType="end"/>
      </w:r>
      <w:r w:rsidRPr="008B39B9">
        <w:rPr>
          <w:rFonts w:eastAsia="Times New Roman"/>
          <w:lang w:val="en-GB" w:eastAsia="fr-FR"/>
        </w:rPr>
        <w:t>.  The Supreme Administrative Court rejected the applicant</w:t>
      </w:r>
      <w:r w:rsidRPr="008B39B9" w:rsidR="008B39B9">
        <w:rPr>
          <w:rFonts w:eastAsia="Times New Roman"/>
          <w:lang w:val="en-GB" w:eastAsia="fr-FR"/>
        </w:rPr>
        <w:t>’</w:t>
      </w:r>
      <w:r w:rsidRPr="008B39B9">
        <w:rPr>
          <w:rFonts w:eastAsia="Times New Roman"/>
          <w:lang w:val="en-GB" w:eastAsia="fr-FR"/>
        </w:rPr>
        <w:t>s request for rectification of the judgment on 17 September 2009.</w:t>
      </w:r>
    </w:p>
    <w:p w:rsidRPr="008B39B9" w:rsidR="00835C4C" w:rsidP="008B39B9" w:rsidRDefault="00835C4C">
      <w:pPr>
        <w:pStyle w:val="ECHRHeading3"/>
        <w:rPr>
          <w:lang w:val="en-GB"/>
        </w:rPr>
      </w:pPr>
      <w:r w:rsidRPr="008B39B9">
        <w:rPr>
          <w:lang w:val="en-GB"/>
        </w:rPr>
        <w:t>3</w:t>
      </w:r>
      <w:r w:rsidRPr="008B39B9" w:rsidR="00AC4D3E">
        <w:rPr>
          <w:lang w:val="en-GB"/>
        </w:rPr>
        <w:t>.  </w:t>
      </w:r>
      <w:r w:rsidRPr="008B39B9">
        <w:rPr>
          <w:lang w:val="en-GB"/>
        </w:rPr>
        <w:t>Third set of proceedings</w:t>
      </w:r>
    </w:p>
    <w:p w:rsidRPr="008B39B9" w:rsidR="00835C4C" w:rsidP="008B39B9" w:rsidRDefault="00835C4C">
      <w:pPr>
        <w:pStyle w:val="ECHRPara"/>
        <w:rPr>
          <w:rFonts w:ascii="Times New Roman" w:hAnsi="Times New Roman" w:eastAsia="Times New Roman" w:cs="Times New Roman"/>
          <w:szCs w:val="20"/>
          <w:lang w:val="en-GB" w:eastAsia="fr-FR"/>
        </w:rPr>
      </w:pPr>
      <w:r w:rsidRPr="008B39B9">
        <w:rPr>
          <w:bCs/>
          <w:lang w:val="en-GB"/>
        </w:rPr>
        <w:fldChar w:fldCharType="begin"/>
      </w:r>
      <w:r w:rsidRPr="008B39B9">
        <w:rPr>
          <w:bCs/>
          <w:lang w:val="en-GB"/>
        </w:rPr>
        <w:instrText xml:space="preserve"> SEQ level0 \*arabic </w:instrText>
      </w:r>
      <w:r w:rsidRPr="008B39B9">
        <w:rPr>
          <w:bCs/>
          <w:lang w:val="en-GB"/>
        </w:rPr>
        <w:fldChar w:fldCharType="separate"/>
      </w:r>
      <w:r w:rsidRPr="008B39B9" w:rsidR="008B39B9">
        <w:rPr>
          <w:bCs/>
          <w:noProof/>
          <w:lang w:val="en-GB"/>
        </w:rPr>
        <w:t>30</w:t>
      </w:r>
      <w:r w:rsidRPr="008B39B9">
        <w:rPr>
          <w:bCs/>
          <w:lang w:val="en-GB"/>
        </w:rPr>
        <w:fldChar w:fldCharType="end"/>
      </w:r>
      <w:r w:rsidRPr="008B39B9">
        <w:rPr>
          <w:bCs/>
          <w:lang w:val="en-GB"/>
        </w:rPr>
        <w:t>.  Following the annulment of the agreement to sell Demirbank to HSBC (see para</w:t>
      </w:r>
      <w:r w:rsidRPr="008B39B9" w:rsidR="00050FA9">
        <w:rPr>
          <w:bCs/>
          <w:lang w:val="en-GB"/>
        </w:rPr>
        <w:t>graph</w:t>
      </w:r>
      <w:r w:rsidRPr="008B39B9">
        <w:rPr>
          <w:bCs/>
          <w:lang w:val="en-GB"/>
        </w:rPr>
        <w:t xml:space="preserve">s 15-16 above), </w:t>
      </w:r>
      <w:r w:rsidRPr="008B39B9">
        <w:rPr>
          <w:rFonts w:ascii="Times New Roman" w:hAnsi="Times New Roman" w:eastAsia="Times New Roman" w:cs="Times New Roman"/>
          <w:szCs w:val="20"/>
          <w:lang w:val="en-GB" w:eastAsia="fr-FR"/>
        </w:rPr>
        <w:t>on 30 April 2006 the applicant applied to the Fund</w:t>
      </w:r>
      <w:r w:rsidRPr="008B39B9" w:rsidR="00050FA9">
        <w:rPr>
          <w:rFonts w:ascii="Times New Roman" w:hAnsi="Times New Roman" w:eastAsia="Times New Roman" w:cs="Times New Roman"/>
          <w:szCs w:val="20"/>
          <w:lang w:val="en-GB" w:eastAsia="fr-FR"/>
        </w:rPr>
        <w:t xml:space="preserve"> for</w:t>
      </w:r>
      <w:r w:rsidRPr="008B39B9">
        <w:rPr>
          <w:rFonts w:ascii="Times New Roman" w:hAnsi="Times New Roman" w:eastAsia="Times New Roman" w:cs="Times New Roman"/>
          <w:szCs w:val="20"/>
          <w:lang w:val="en-GB" w:eastAsia="fr-FR"/>
        </w:rPr>
        <w:t xml:space="preserve"> compensation for the loss of his shares resulting from the bank</w:t>
      </w:r>
      <w:r w:rsidRPr="008B39B9" w:rsidR="008B39B9">
        <w:rPr>
          <w:rFonts w:ascii="Times New Roman" w:hAnsi="Times New Roman" w:eastAsia="Times New Roman" w:cs="Times New Roman"/>
          <w:szCs w:val="20"/>
          <w:lang w:val="en-GB" w:eastAsia="fr-FR"/>
        </w:rPr>
        <w:t>’</w:t>
      </w:r>
      <w:r w:rsidRPr="008B39B9">
        <w:rPr>
          <w:rFonts w:ascii="Times New Roman" w:hAnsi="Times New Roman" w:eastAsia="Times New Roman" w:cs="Times New Roman"/>
          <w:szCs w:val="20"/>
          <w:lang w:val="en-GB" w:eastAsia="fr-FR"/>
        </w:rPr>
        <w:t>s unlawful sale to HSBC. The F</w:t>
      </w:r>
      <w:r w:rsidRPr="008B39B9" w:rsidR="00AC4D3E">
        <w:rPr>
          <w:rFonts w:ascii="Times New Roman" w:hAnsi="Times New Roman" w:eastAsia="Times New Roman" w:cs="Times New Roman"/>
          <w:szCs w:val="20"/>
          <w:lang w:val="en-GB" w:eastAsia="fr-FR"/>
        </w:rPr>
        <w:t>und rejected that request on 15 </w:t>
      </w:r>
      <w:r w:rsidRPr="008B39B9">
        <w:rPr>
          <w:rFonts w:ascii="Times New Roman" w:hAnsi="Times New Roman" w:eastAsia="Times New Roman" w:cs="Times New Roman"/>
          <w:szCs w:val="20"/>
          <w:lang w:val="en-GB" w:eastAsia="fr-FR"/>
        </w:rPr>
        <w:t>June 2006.</w:t>
      </w:r>
    </w:p>
    <w:p w:rsidRPr="008B39B9" w:rsidR="00835C4C" w:rsidP="008B39B9" w:rsidRDefault="00835C4C">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31</w:t>
      </w:r>
      <w:r w:rsidRPr="008B39B9">
        <w:rPr>
          <w:rFonts w:eastAsia="Times New Roman"/>
          <w:lang w:val="en-GB" w:eastAsia="fr-FR"/>
        </w:rPr>
        <w:fldChar w:fldCharType="end"/>
      </w:r>
      <w:r w:rsidRPr="008B39B9">
        <w:rPr>
          <w:rFonts w:eastAsia="Times New Roman"/>
          <w:lang w:val="en-GB" w:eastAsia="fr-FR"/>
        </w:rPr>
        <w:t>.  </w:t>
      </w:r>
      <w:r w:rsidRPr="008B39B9" w:rsidR="00D13554">
        <w:rPr>
          <w:rFonts w:eastAsia="Times New Roman"/>
          <w:lang w:val="en-GB" w:eastAsia="fr-FR"/>
        </w:rPr>
        <w:t>On an unspecified date in 2006, t</w:t>
      </w:r>
      <w:r w:rsidRPr="008B39B9">
        <w:rPr>
          <w:rFonts w:eastAsia="Times New Roman"/>
          <w:lang w:val="en-GB" w:eastAsia="fr-FR"/>
        </w:rPr>
        <w:t>he applicant accordingly brought a third set of proceedings against the Fund, claiming compensation for his lost shares on the basis of the annulmen</w:t>
      </w:r>
      <w:r w:rsidRPr="008B39B9" w:rsidR="00C81B91">
        <w:rPr>
          <w:rFonts w:eastAsia="Times New Roman"/>
          <w:lang w:val="en-GB" w:eastAsia="fr-FR"/>
        </w:rPr>
        <w:t>t of Demirbank</w:t>
      </w:r>
      <w:r w:rsidRPr="008B39B9" w:rsidR="008B39B9">
        <w:rPr>
          <w:rFonts w:eastAsia="Times New Roman"/>
          <w:lang w:val="en-GB" w:eastAsia="fr-FR"/>
        </w:rPr>
        <w:t>’</w:t>
      </w:r>
      <w:r w:rsidRPr="008B39B9" w:rsidR="00C81B91">
        <w:rPr>
          <w:rFonts w:eastAsia="Times New Roman"/>
          <w:lang w:val="en-GB" w:eastAsia="fr-FR"/>
        </w:rPr>
        <w:t>s sale to HSBC.</w:t>
      </w:r>
    </w:p>
    <w:p w:rsidRPr="008B39B9" w:rsidR="007D53F1" w:rsidP="008B39B9" w:rsidRDefault="00835C4C">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32</w:t>
      </w:r>
      <w:r w:rsidRPr="008B39B9">
        <w:rPr>
          <w:rFonts w:eastAsia="Times New Roman"/>
          <w:lang w:val="en-GB" w:eastAsia="fr-FR"/>
        </w:rPr>
        <w:fldChar w:fldCharType="end"/>
      </w:r>
      <w:r w:rsidRPr="008B39B9">
        <w:rPr>
          <w:rFonts w:eastAsia="Times New Roman"/>
          <w:lang w:val="en-GB" w:eastAsia="fr-FR"/>
        </w:rPr>
        <w:t xml:space="preserve">.  On 15 April 2008 the Istanbul Administrative Court dismissed the case </w:t>
      </w:r>
      <w:r w:rsidRPr="008B39B9" w:rsidR="00050FA9">
        <w:rPr>
          <w:rFonts w:eastAsia="Times New Roman"/>
          <w:lang w:val="en-GB" w:eastAsia="fr-FR"/>
        </w:rPr>
        <w:t xml:space="preserve">as </w:t>
      </w:r>
      <w:r w:rsidRPr="008B39B9">
        <w:rPr>
          <w:rFonts w:eastAsia="Times New Roman"/>
          <w:lang w:val="en-GB" w:eastAsia="fr-FR"/>
        </w:rPr>
        <w:t xml:space="preserve">out of time, indicating that the sixty-day time-limit </w:t>
      </w:r>
      <w:r w:rsidRPr="008B39B9" w:rsidR="00050FA9">
        <w:rPr>
          <w:rFonts w:eastAsia="Times New Roman"/>
          <w:lang w:val="en-GB" w:eastAsia="fr-FR"/>
        </w:rPr>
        <w:t xml:space="preserve">for the </w:t>
      </w:r>
      <w:r w:rsidRPr="008B39B9">
        <w:rPr>
          <w:rFonts w:eastAsia="Times New Roman"/>
          <w:lang w:val="en-GB" w:eastAsia="fr-FR"/>
        </w:rPr>
        <w:t>initiat</w:t>
      </w:r>
      <w:r w:rsidRPr="008B39B9" w:rsidR="00050FA9">
        <w:rPr>
          <w:rFonts w:eastAsia="Times New Roman"/>
          <w:lang w:val="en-GB" w:eastAsia="fr-FR"/>
        </w:rPr>
        <w:t xml:space="preserve">ion of </w:t>
      </w:r>
      <w:r w:rsidRPr="008B39B9">
        <w:rPr>
          <w:rFonts w:eastAsia="Times New Roman"/>
          <w:lang w:val="en-GB" w:eastAsia="fr-FR"/>
        </w:rPr>
        <w:t xml:space="preserve">administrative proceedings </w:t>
      </w:r>
      <w:r w:rsidRPr="008B39B9" w:rsidR="008033CC">
        <w:rPr>
          <w:rFonts w:eastAsia="Times New Roman"/>
          <w:lang w:val="en-GB" w:eastAsia="fr-FR"/>
        </w:rPr>
        <w:t xml:space="preserve">had </w:t>
      </w:r>
      <w:r w:rsidRPr="008B39B9">
        <w:rPr>
          <w:rFonts w:eastAsia="Times New Roman"/>
          <w:lang w:val="en-GB" w:eastAsia="fr-FR"/>
        </w:rPr>
        <w:t xml:space="preserve">started running on 31 January 2001, the date </w:t>
      </w:r>
      <w:r w:rsidRPr="008B39B9" w:rsidR="008033CC">
        <w:rPr>
          <w:rFonts w:eastAsia="Times New Roman"/>
          <w:lang w:val="en-GB" w:eastAsia="fr-FR"/>
        </w:rPr>
        <w:t xml:space="preserve">on </w:t>
      </w:r>
      <w:r w:rsidRPr="008B39B9">
        <w:rPr>
          <w:rFonts w:eastAsia="Times New Roman"/>
          <w:lang w:val="en-GB" w:eastAsia="fr-FR"/>
        </w:rPr>
        <w:t>wh</w:t>
      </w:r>
      <w:r w:rsidRPr="008B39B9" w:rsidR="008033CC">
        <w:rPr>
          <w:rFonts w:eastAsia="Times New Roman"/>
          <w:lang w:val="en-GB" w:eastAsia="fr-FR"/>
        </w:rPr>
        <w:t>ich</w:t>
      </w:r>
      <w:r w:rsidRPr="008B39B9">
        <w:rPr>
          <w:rFonts w:eastAsia="Times New Roman"/>
          <w:lang w:val="en-GB" w:eastAsia="fr-FR"/>
        </w:rPr>
        <w:t xml:space="preserve"> Demirbank</w:t>
      </w:r>
      <w:r w:rsidRPr="008B39B9" w:rsidR="008B39B9">
        <w:rPr>
          <w:rFonts w:eastAsia="Times New Roman"/>
          <w:lang w:val="en-GB" w:eastAsia="fr-FR"/>
        </w:rPr>
        <w:t>’</w:t>
      </w:r>
      <w:r w:rsidRPr="008B39B9">
        <w:rPr>
          <w:rFonts w:eastAsia="Times New Roman"/>
          <w:lang w:val="en-GB" w:eastAsia="fr-FR"/>
        </w:rPr>
        <w:t xml:space="preserve">s equities </w:t>
      </w:r>
      <w:r w:rsidRPr="008B39B9" w:rsidR="008033CC">
        <w:rPr>
          <w:rFonts w:eastAsia="Times New Roman"/>
          <w:lang w:val="en-GB" w:eastAsia="fr-FR"/>
        </w:rPr>
        <w:t>had been</w:t>
      </w:r>
      <w:r w:rsidRPr="008B39B9">
        <w:rPr>
          <w:rFonts w:eastAsia="Times New Roman"/>
          <w:lang w:val="en-GB" w:eastAsia="fr-FR"/>
        </w:rPr>
        <w:t xml:space="preserve"> transferred to the Fund</w:t>
      </w:r>
      <w:r w:rsidRPr="008B39B9" w:rsidR="008B39B9">
        <w:rPr>
          <w:rFonts w:eastAsia="Times New Roman"/>
          <w:lang w:val="en-GB" w:eastAsia="fr-FR"/>
        </w:rPr>
        <w:t>’</w:t>
      </w:r>
      <w:r w:rsidRPr="008B39B9">
        <w:rPr>
          <w:rFonts w:eastAsia="Times New Roman"/>
          <w:lang w:val="en-GB" w:eastAsia="fr-FR"/>
        </w:rPr>
        <w:t>s account at the Stock Exchange.</w:t>
      </w:r>
    </w:p>
    <w:p w:rsidRPr="008B39B9" w:rsidR="00835C4C" w:rsidP="008B39B9" w:rsidRDefault="00835C4C">
      <w:pPr>
        <w:pStyle w:val="ECHRPara"/>
        <w:rPr>
          <w:rFonts w:eastAsia="Times New Roman"/>
          <w:lang w:val="en-GB" w:eastAsia="fr-FR"/>
        </w:rPr>
      </w:pPr>
      <w:r w:rsidRPr="008B39B9">
        <w:rPr>
          <w:rFonts w:eastAsia="Times New Roman"/>
          <w:lang w:val="en-GB" w:eastAsia="fr-FR"/>
        </w:rPr>
        <w:fldChar w:fldCharType="begin"/>
      </w:r>
      <w:r w:rsidRPr="008B39B9">
        <w:rPr>
          <w:rFonts w:eastAsia="Times New Roman"/>
          <w:lang w:val="en-GB" w:eastAsia="fr-FR"/>
        </w:rPr>
        <w:instrText xml:space="preserve"> SEQ level0 \*arabic </w:instrText>
      </w:r>
      <w:r w:rsidRPr="008B39B9">
        <w:rPr>
          <w:rFonts w:eastAsia="Times New Roman"/>
          <w:lang w:val="en-GB" w:eastAsia="fr-FR"/>
        </w:rPr>
        <w:fldChar w:fldCharType="separate"/>
      </w:r>
      <w:r w:rsidRPr="008B39B9" w:rsidR="008B39B9">
        <w:rPr>
          <w:rFonts w:eastAsia="Times New Roman"/>
          <w:noProof/>
          <w:lang w:val="en-GB" w:eastAsia="fr-FR"/>
        </w:rPr>
        <w:t>33</w:t>
      </w:r>
      <w:r w:rsidRPr="008B39B9">
        <w:rPr>
          <w:rFonts w:eastAsia="Times New Roman"/>
          <w:lang w:val="en-GB" w:eastAsia="fr-FR"/>
        </w:rPr>
        <w:fldChar w:fldCharType="end"/>
      </w:r>
      <w:r w:rsidRPr="008B39B9">
        <w:rPr>
          <w:rFonts w:eastAsia="Times New Roman"/>
          <w:lang w:val="en-GB" w:eastAsia="fr-FR"/>
        </w:rPr>
        <w:t>.  The judgment of the first-instance court was upheld by the Istanbul Regional Administrative Court on 21 January 2009. The decision is final under national law.</w:t>
      </w:r>
    </w:p>
    <w:p w:rsidRPr="008B39B9" w:rsidR="00014566" w:rsidP="008B39B9" w:rsidRDefault="00014566">
      <w:pPr>
        <w:pStyle w:val="ECHRHeading1"/>
        <w:rPr>
          <w:lang w:val="en-GB"/>
        </w:rPr>
      </w:pPr>
      <w:r w:rsidRPr="008B39B9">
        <w:rPr>
          <w:lang w:val="en-GB"/>
        </w:rPr>
        <w:t>II.  RELEVANT DOMESTIC LAW</w:t>
      </w:r>
    </w:p>
    <w:p w:rsidRPr="008B39B9" w:rsidR="00962F93" w:rsidP="008B39B9" w:rsidRDefault="00962F93">
      <w:pPr>
        <w:pStyle w:val="ECHRPara"/>
        <w:rPr>
          <w:rFonts w:ascii="Times New Roman" w:hAnsi="Times New Roman" w:eastAsia="Times New Roman" w:cs="Times New Roman"/>
          <w:szCs w:val="20"/>
          <w:lang w:val="en-GB" w:eastAsia="fr-FR"/>
        </w:rPr>
      </w:pPr>
      <w:r w:rsidRPr="008B39B9">
        <w:rPr>
          <w:rFonts w:ascii="Times New Roman" w:hAnsi="Times New Roman" w:eastAsia="Times New Roman" w:cs="Times New Roman"/>
          <w:szCs w:val="20"/>
          <w:lang w:val="en-GB" w:eastAsia="fr-FR"/>
        </w:rPr>
        <w:fldChar w:fldCharType="begin"/>
      </w:r>
      <w:r w:rsidRPr="008B39B9">
        <w:rPr>
          <w:rFonts w:ascii="Times New Roman" w:hAnsi="Times New Roman" w:eastAsia="Times New Roman" w:cs="Times New Roman"/>
          <w:szCs w:val="20"/>
          <w:lang w:val="en-GB" w:eastAsia="fr-FR"/>
        </w:rPr>
        <w:instrText xml:space="preserve"> SEQ level0 \*arabic </w:instrText>
      </w:r>
      <w:r w:rsidRPr="008B39B9">
        <w:rPr>
          <w:rFonts w:ascii="Times New Roman" w:hAnsi="Times New Roman" w:eastAsia="Times New Roman" w:cs="Times New Roman"/>
          <w:szCs w:val="20"/>
          <w:lang w:val="en-GB" w:eastAsia="fr-FR"/>
        </w:rPr>
        <w:fldChar w:fldCharType="separate"/>
      </w:r>
      <w:r w:rsidRPr="008B39B9" w:rsidR="008B39B9">
        <w:rPr>
          <w:rFonts w:ascii="Times New Roman" w:hAnsi="Times New Roman" w:eastAsia="Times New Roman" w:cs="Times New Roman"/>
          <w:noProof/>
          <w:szCs w:val="20"/>
          <w:lang w:val="en-GB" w:eastAsia="fr-FR"/>
        </w:rPr>
        <w:t>34</w:t>
      </w:r>
      <w:r w:rsidRPr="008B39B9">
        <w:rPr>
          <w:rFonts w:ascii="Times New Roman" w:hAnsi="Times New Roman" w:eastAsia="Times New Roman" w:cs="Times New Roman"/>
          <w:szCs w:val="20"/>
          <w:lang w:val="en-GB" w:eastAsia="fr-FR"/>
        </w:rPr>
        <w:fldChar w:fldCharType="end"/>
      </w:r>
      <w:r w:rsidRPr="008B39B9">
        <w:rPr>
          <w:rFonts w:ascii="Times New Roman" w:hAnsi="Times New Roman" w:eastAsia="Times New Roman" w:cs="Times New Roman"/>
          <w:szCs w:val="20"/>
          <w:lang w:val="en-GB" w:eastAsia="fr-FR"/>
        </w:rPr>
        <w:t>.  Section 14 of the Banking Activities Act (Law no. 4389) reads:</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“1.  Without prejudice to the Agency</w:t>
      </w:r>
      <w:r w:rsidRPr="008B39B9" w:rsidR="008B39B9">
        <w:rPr>
          <w:rFonts w:eastAsia="Times New Roman"/>
          <w:lang w:val="en-GB" w:eastAsia="fr-FR"/>
        </w:rPr>
        <w:t>’</w:t>
      </w:r>
      <w:r w:rsidRPr="008B39B9">
        <w:rPr>
          <w:rFonts w:eastAsia="Times New Roman"/>
          <w:lang w:val="en-GB" w:eastAsia="fr-FR"/>
        </w:rPr>
        <w:t xml:space="preserve">s right to institute legal proceedings against liable persons, if the results of supervision reveal any transactions that are contrary to this Act or to decisions taken and legislation introduced under this Act or to the principles and customary practices of banking, and </w:t>
      </w:r>
      <w:r w:rsidRPr="008B39B9" w:rsidR="00050FA9">
        <w:rPr>
          <w:rFonts w:eastAsia="Times New Roman"/>
          <w:lang w:val="en-GB" w:eastAsia="fr-FR"/>
        </w:rPr>
        <w:t>which</w:t>
      </w:r>
      <w:r w:rsidRPr="008B39B9">
        <w:rPr>
          <w:rFonts w:eastAsia="Times New Roman"/>
          <w:lang w:val="en-GB" w:eastAsia="fr-FR"/>
        </w:rPr>
        <w:t xml:space="preserve"> could jeopardise the secure operation of the bank in question, the Agency shall warn the bank to correct the transactions in question within a period of time specified by it and to take such measures as are necessary to ensure that similar transactions are not allowed in the future. The bank must, within the periods specified, take the measures required by the Agency and notify it of the consequences of the actions it has taken. In the event that the required measures are not taken or that transactions jeopardising the secure operation of the bank are repeated, the Board shall be authorised, depending on the nature and significance of the transactions in question, to take and implement all such measures as are necessary for the secure operation of the bank and for the protection of depositors, including but not limited to the following:</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(a)  to appoint new members to the Board by dismissing or replacing all or some of the members of the Board of Directors or by increasing the number of seats thereon;</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(b)  to restrict the operations of the bank in such a manner as to cover its whole organisation or only those of its relevant branches or its relations with correspondent banks</w:t>
      </w:r>
      <w:r w:rsidRPr="008B39B9" w:rsidR="00050FA9">
        <w:rPr>
          <w:rFonts w:eastAsia="Times New Roman"/>
          <w:lang w:val="en-GB" w:eastAsia="fr-FR"/>
        </w:rPr>
        <w:t>;</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(c)  to increase the deposit insurance premium payable by the bank or to require provisions at the rate of up to one hundred percent for deposits it accepts.</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The remuneration of any member of the Board of Directors to be appointed to the bank pursuant to the present section shall be determined by the Board and paid from the Fund.</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2. </w:t>
      </w:r>
      <w:r w:rsidRPr="008B39B9" w:rsidR="00C81B91">
        <w:rPr>
          <w:rFonts w:eastAsia="Times New Roman"/>
          <w:lang w:val="en-GB" w:eastAsia="fr-FR"/>
        </w:rPr>
        <w:t> </w:t>
      </w:r>
      <w:r w:rsidRPr="008B39B9">
        <w:rPr>
          <w:rFonts w:eastAsia="Times New Roman"/>
          <w:lang w:val="en-GB" w:eastAsia="fr-FR"/>
        </w:rPr>
        <w:t xml:space="preserve">(a)  If the Agency, at its sole discretion, determines that the assets of a bank are insufficient, or are about to become insufficient, to cover its liabilities in terms of maturity or if the bank does not adhere to regulations governing liquidities, the Agency may instruct the bank to put in place a plan of action approved by the Agency to remedy the failure and may also, for the purpose of strengthening </w:t>
      </w:r>
      <w:r w:rsidRPr="008B39B9" w:rsidR="00C650C1">
        <w:rPr>
          <w:rFonts w:eastAsia="Times New Roman"/>
          <w:lang w:val="en-GB" w:eastAsia="fr-FR"/>
        </w:rPr>
        <w:t>its</w:t>
      </w:r>
      <w:r w:rsidRPr="008B39B9">
        <w:rPr>
          <w:rFonts w:eastAsia="Times New Roman"/>
          <w:lang w:val="en-GB" w:eastAsia="fr-FR"/>
        </w:rPr>
        <w:t xml:space="preserve"> liquid</w:t>
      </w:r>
      <w:r w:rsidRPr="008B39B9" w:rsidR="008033CC">
        <w:rPr>
          <w:rFonts w:eastAsia="Times New Roman"/>
          <w:lang w:val="en-GB" w:eastAsia="fr-FR"/>
        </w:rPr>
        <w:t>it</w:t>
      </w:r>
      <w:r w:rsidRPr="008B39B9" w:rsidR="00C650C1">
        <w:rPr>
          <w:rFonts w:eastAsia="Times New Roman"/>
          <w:lang w:val="en-GB" w:eastAsia="fr-FR"/>
        </w:rPr>
        <w:t>y</w:t>
      </w:r>
      <w:r w:rsidRPr="008B39B9">
        <w:rPr>
          <w:rFonts w:eastAsia="Times New Roman"/>
          <w:lang w:val="en-GB" w:eastAsia="fr-FR"/>
        </w:rPr>
        <w:t>, grant an appropriate period of time to the bank and require it:</w:t>
      </w:r>
    </w:p>
    <w:p w:rsidRPr="008B39B9" w:rsidR="00962F93" w:rsidP="008B39B9" w:rsidRDefault="00962F93">
      <w:pPr>
        <w:pStyle w:val="JuQuotSub"/>
        <w:rPr>
          <w:rFonts w:eastAsia="Times New Roman"/>
          <w:lang w:val="en-GB" w:eastAsia="fr-FR"/>
        </w:rPr>
      </w:pPr>
      <w:r w:rsidRPr="008B39B9">
        <w:rPr>
          <w:rFonts w:eastAsia="Times New Roman"/>
          <w:lang w:val="en-GB" w:eastAsia="fr-FR"/>
        </w:rPr>
        <w:t>(aa)  not to invest in long-term or fixed assets;</w:t>
      </w:r>
    </w:p>
    <w:p w:rsidRPr="008B39B9" w:rsidR="00962F93" w:rsidP="008B39B9" w:rsidRDefault="00962F93">
      <w:pPr>
        <w:pStyle w:val="JuQuotSub"/>
        <w:rPr>
          <w:rFonts w:eastAsia="Times New Roman"/>
          <w:lang w:val="en-GB" w:eastAsia="fr-FR"/>
        </w:rPr>
      </w:pPr>
      <w:r w:rsidRPr="008B39B9">
        <w:rPr>
          <w:rFonts w:eastAsia="Times New Roman"/>
          <w:lang w:val="en-GB" w:eastAsia="fr-FR"/>
        </w:rPr>
        <w:t>(ab)  to dispose of fixed assets such as real estate and equity holdings;</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and to take such other measures as may be deemed appropriate.</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(b)  If the Agency, at its sole discretion, determines that a bank is about to fail or that it is failing to meet the minimum level of capital required to be maintained by the bank pursuant to the applicable regulations, the Agency may instruct the bank to put in place a capital restoration plan approved by the Agency to resolve the situation, and require the bank to increase its capital or to obtain funds that qualify as capital. The Agency may also, for the purpose of strengthening the capital, require it:</w:t>
      </w:r>
    </w:p>
    <w:p w:rsidRPr="008B39B9" w:rsidR="00962F93" w:rsidP="008B39B9" w:rsidRDefault="00962F93">
      <w:pPr>
        <w:pStyle w:val="JuQuotSub"/>
        <w:rPr>
          <w:rFonts w:eastAsia="Times New Roman"/>
          <w:lang w:val="en-GB" w:eastAsia="fr-FR"/>
        </w:rPr>
      </w:pPr>
      <w:r w:rsidRPr="008B39B9">
        <w:rPr>
          <w:rFonts w:eastAsia="Times New Roman"/>
          <w:lang w:val="en-GB" w:eastAsia="fr-FR"/>
        </w:rPr>
        <w:t>(ba)  not to pay dividends, or to cease additional payments such as honorary payments, bonuses, premiums, or in-kind or in-cash social assistance to members of the Board of Directors, general manager</w:t>
      </w:r>
      <w:r w:rsidRPr="008B39B9" w:rsidR="008033CC">
        <w:rPr>
          <w:rFonts w:eastAsia="Times New Roman"/>
          <w:lang w:val="en-GB" w:eastAsia="fr-FR"/>
        </w:rPr>
        <w:t>s</w:t>
      </w:r>
      <w:r w:rsidRPr="008B39B9">
        <w:rPr>
          <w:rFonts w:eastAsia="Times New Roman"/>
          <w:lang w:val="en-GB" w:eastAsia="fr-FR"/>
        </w:rPr>
        <w:t xml:space="preserve"> and assistant general managers,</w:t>
      </w:r>
    </w:p>
    <w:p w:rsidRPr="008B39B9" w:rsidR="00962F93" w:rsidP="008B39B9" w:rsidRDefault="00962F93">
      <w:pPr>
        <w:pStyle w:val="JuQuotSub"/>
        <w:rPr>
          <w:rFonts w:eastAsia="Times New Roman"/>
          <w:lang w:val="en-GB" w:eastAsia="fr-FR"/>
        </w:rPr>
      </w:pPr>
      <w:r w:rsidRPr="008B39B9">
        <w:rPr>
          <w:rFonts w:eastAsia="Times New Roman"/>
          <w:lang w:val="en-GB" w:eastAsia="fr-FR"/>
        </w:rPr>
        <w:t>(bb)  to limit or end operations which have caused losses,</w:t>
      </w:r>
    </w:p>
    <w:p w:rsidRPr="008B39B9" w:rsidR="00962F93" w:rsidP="008B39B9" w:rsidRDefault="00962F93">
      <w:pPr>
        <w:pStyle w:val="JuQuotSub"/>
        <w:rPr>
          <w:rFonts w:eastAsia="Times New Roman"/>
          <w:lang w:val="en-GB" w:eastAsia="fr-FR"/>
        </w:rPr>
      </w:pPr>
      <w:r w:rsidRPr="008B39B9">
        <w:rPr>
          <w:rFonts w:eastAsia="Times New Roman"/>
          <w:lang w:val="en-GB" w:eastAsia="fr-FR"/>
        </w:rPr>
        <w:t>(bc)  to liquidate assets which have poor returns or are inefficient,</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and to take such other measures as may be deemed to be appropriate.</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3.  If the Agency at its sole discretion determines that</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 xml:space="preserve">(a)  a bank has not taken the measures in part or in whole stated in </w:t>
      </w:r>
      <w:r w:rsidRPr="008B39B9" w:rsidR="00C81B91">
        <w:rPr>
          <w:rFonts w:eastAsia="Times New Roman"/>
          <w:lang w:val="en-GB" w:eastAsia="fr-FR"/>
        </w:rPr>
        <w:t>subsection </w:t>
      </w:r>
      <w:r w:rsidRPr="008B39B9">
        <w:rPr>
          <w:rFonts w:eastAsia="Times New Roman"/>
          <w:lang w:val="en-GB" w:eastAsia="fr-FR"/>
        </w:rPr>
        <w:t>(2) above, the financial structure of the bank cannot be strengthened even though the measures have been taken in part or in whole, or the financial structure has become so weak that it could not be strengthened even if those measures were taken, or</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(b)  a bank cannot honour its liabilities as they fall due, or</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(c)  the value of the liabilities of the bank exceeds the value of the assets, in accordance with the valuation standards determined by the Board for the implementation of this section, or</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(d)  the continuation of the bank</w:t>
      </w:r>
      <w:r w:rsidRPr="008B39B9" w:rsidR="008B39B9">
        <w:rPr>
          <w:rFonts w:eastAsia="Times New Roman"/>
          <w:lang w:val="en-GB" w:eastAsia="fr-FR"/>
        </w:rPr>
        <w:t>’</w:t>
      </w:r>
      <w:r w:rsidRPr="008B39B9">
        <w:rPr>
          <w:rFonts w:eastAsia="Times New Roman"/>
          <w:lang w:val="en-GB" w:eastAsia="fr-FR"/>
        </w:rPr>
        <w:t>s activities would threaten the rights of depositors and the security and stability of the financial system,</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the Board may transfer the management and control and the privileges of shareholders, except dividends, of the bank to the Fund or revoke the licence of the bank to perform banking operations and/or to accept deposits, with an affirmative vote of at least five Board members.”</w:t>
      </w:r>
    </w:p>
    <w:p w:rsidRPr="008B39B9" w:rsidR="00962F93" w:rsidP="008B39B9" w:rsidRDefault="00962F93">
      <w:pPr>
        <w:pStyle w:val="ECHRPara"/>
        <w:rPr>
          <w:rFonts w:eastAsia="Times New Roman"/>
          <w:lang w:val="en-GB" w:eastAsia="fr-FR"/>
        </w:rPr>
      </w:pPr>
      <w:r w:rsidRPr="008B39B9">
        <w:rPr>
          <w:rFonts w:eastAsia="Times New Roman"/>
          <w:lang w:val="en-GB" w:eastAsia="fr-FR"/>
        </w:rPr>
        <w:t>Article 138 § 4 of the Turkish Constitution provides:</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“The bodies of executive and legislative power and the authorities must comply with court decisions; they cannot in any circumstances modify court decisions or defer the enforcement thereof.”</w:t>
      </w:r>
    </w:p>
    <w:p w:rsidRPr="008B39B9" w:rsidR="00962F93" w:rsidP="008B39B9" w:rsidRDefault="00962F93">
      <w:pPr>
        <w:pStyle w:val="ECHRPara"/>
        <w:rPr>
          <w:rFonts w:eastAsia="Times New Roman"/>
          <w:lang w:val="en-GB" w:eastAsia="fr-FR"/>
        </w:rPr>
      </w:pPr>
      <w:r w:rsidRPr="008B39B9">
        <w:rPr>
          <w:rFonts w:eastAsia="Times New Roman"/>
          <w:lang w:val="en-GB" w:eastAsia="fr-FR"/>
        </w:rPr>
        <w:t>Article 28 § 2 of the Code of Administrative Procedure reads:</w:t>
      </w:r>
    </w:p>
    <w:p w:rsidRPr="008B39B9" w:rsidR="00962F93" w:rsidP="008B39B9" w:rsidRDefault="00962F93">
      <w:pPr>
        <w:pStyle w:val="ECHRParaQuote"/>
        <w:rPr>
          <w:rFonts w:eastAsia="Times New Roman"/>
          <w:lang w:val="en-GB" w:eastAsia="fr-FR"/>
        </w:rPr>
      </w:pPr>
      <w:r w:rsidRPr="008B39B9">
        <w:rPr>
          <w:rFonts w:eastAsia="Times New Roman"/>
          <w:lang w:val="en-GB" w:eastAsia="fr-FR"/>
        </w:rPr>
        <w:t>“Decisions and judgments in administrative law actions concerning a specific amount shall be enforced ... in accordance with the provisions of the ordinary law.”</w:t>
      </w:r>
    </w:p>
    <w:p w:rsidRPr="008B39B9" w:rsidR="00014566" w:rsidP="008B39B9" w:rsidRDefault="00962F93">
      <w:pPr>
        <w:pStyle w:val="ECHRPara"/>
        <w:rPr>
          <w:lang w:val="en-GB"/>
        </w:rPr>
      </w:pPr>
      <w:r w:rsidRPr="008B39B9">
        <w:rPr>
          <w:rFonts w:eastAsia="Times New Roman"/>
          <w:lang w:val="en-GB" w:eastAsia="fr-FR"/>
        </w:rPr>
        <w:t>Under section 82(1) of the Enforcement and Bankruptcy Act (Law no. 2004), State property cannot be seized.</w:t>
      </w:r>
    </w:p>
    <w:p w:rsidRPr="008B39B9" w:rsidR="00014566" w:rsidP="008B39B9" w:rsidRDefault="00014566">
      <w:pPr>
        <w:pStyle w:val="ECHRTitle1"/>
        <w:rPr>
          <w:lang w:val="en-GB"/>
        </w:rPr>
      </w:pPr>
      <w:r w:rsidRPr="008B39B9">
        <w:rPr>
          <w:lang w:val="en-GB"/>
        </w:rPr>
        <w:t>THE LAW</w:t>
      </w:r>
    </w:p>
    <w:p w:rsidRPr="008B39B9" w:rsidR="00EB7F57" w:rsidP="008B39B9" w:rsidRDefault="00014566">
      <w:pPr>
        <w:pStyle w:val="ECHRHeading1"/>
        <w:rPr>
          <w:lang w:val="en-GB"/>
        </w:rPr>
      </w:pPr>
      <w:r w:rsidRPr="008B39B9">
        <w:rPr>
          <w:lang w:val="en-GB"/>
        </w:rPr>
        <w:t>I.  </w:t>
      </w:r>
      <w:r w:rsidRPr="008B39B9" w:rsidR="00835C4C">
        <w:rPr>
          <w:lang w:val="en-GB"/>
        </w:rPr>
        <w:t>THE GOVERNMENT</w:t>
      </w:r>
      <w:r w:rsidRPr="008B39B9" w:rsidR="008B39B9">
        <w:rPr>
          <w:lang w:val="en-GB"/>
        </w:rPr>
        <w:t>’</w:t>
      </w:r>
      <w:r w:rsidRPr="008B39B9" w:rsidR="00835C4C">
        <w:rPr>
          <w:lang w:val="en-GB"/>
        </w:rPr>
        <w:t xml:space="preserve">S </w:t>
      </w:r>
      <w:r w:rsidRPr="008B39B9" w:rsidR="00EB7F57">
        <w:rPr>
          <w:lang w:val="en-GB"/>
        </w:rPr>
        <w:t>PRELIMINARY OBJECTION</w:t>
      </w:r>
    </w:p>
    <w:p w:rsidRPr="008B39B9" w:rsidR="00835C4C" w:rsidP="008B39B9" w:rsidRDefault="007725DA">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35</w:t>
      </w:r>
      <w:r w:rsidRPr="008B39B9">
        <w:rPr>
          <w:lang w:val="en-GB"/>
        </w:rPr>
        <w:fldChar w:fldCharType="end"/>
      </w:r>
      <w:r w:rsidRPr="008B39B9">
        <w:rPr>
          <w:lang w:val="en-GB"/>
        </w:rPr>
        <w:t>.  </w:t>
      </w:r>
      <w:r w:rsidRPr="008B39B9" w:rsidR="00835C4C">
        <w:rPr>
          <w:lang w:val="en-GB"/>
        </w:rPr>
        <w:t xml:space="preserve">The Government submitted that the applicant </w:t>
      </w:r>
      <w:r w:rsidRPr="008B39B9" w:rsidR="00050FA9">
        <w:rPr>
          <w:lang w:val="en-GB"/>
        </w:rPr>
        <w:t xml:space="preserve">had </w:t>
      </w:r>
      <w:r w:rsidRPr="008B39B9" w:rsidR="00835C4C">
        <w:rPr>
          <w:lang w:val="en-GB"/>
        </w:rPr>
        <w:t xml:space="preserve">failed </w:t>
      </w:r>
      <w:r w:rsidRPr="008B39B9" w:rsidR="00116D85">
        <w:rPr>
          <w:lang w:val="en-GB"/>
        </w:rPr>
        <w:t xml:space="preserve">to </w:t>
      </w:r>
      <w:r w:rsidRPr="008B39B9" w:rsidR="00835C4C">
        <w:rPr>
          <w:lang w:val="en-GB"/>
        </w:rPr>
        <w:t xml:space="preserve">indicate his profession </w:t>
      </w:r>
      <w:r w:rsidRPr="008B39B9" w:rsidR="00050FA9">
        <w:rPr>
          <w:lang w:val="en-GB"/>
        </w:rPr>
        <w:t>on</w:t>
      </w:r>
      <w:r w:rsidRPr="008B39B9" w:rsidR="00835C4C">
        <w:rPr>
          <w:lang w:val="en-GB"/>
        </w:rPr>
        <w:t xml:space="preserve"> the application form</w:t>
      </w:r>
      <w:r w:rsidRPr="008B39B9" w:rsidR="00142059">
        <w:rPr>
          <w:lang w:val="en-GB"/>
        </w:rPr>
        <w:t>.</w:t>
      </w:r>
      <w:r w:rsidRPr="008B39B9" w:rsidR="00835C4C">
        <w:rPr>
          <w:lang w:val="en-GB"/>
        </w:rPr>
        <w:t xml:space="preserve"> They therefore asked the Court to reject the application for failing to meet the requirements of </w:t>
      </w:r>
      <w:r w:rsidRPr="008B39B9" w:rsidR="00F71E6C">
        <w:rPr>
          <w:lang w:val="en-GB"/>
        </w:rPr>
        <w:t xml:space="preserve">Rule </w:t>
      </w:r>
      <w:r w:rsidRPr="008B39B9" w:rsidR="00835C4C">
        <w:rPr>
          <w:lang w:val="en-GB"/>
        </w:rPr>
        <w:t>47 of the Rules of Court.</w:t>
      </w:r>
    </w:p>
    <w:p w:rsidRPr="008B39B9" w:rsidR="007D53F1" w:rsidP="008B39B9" w:rsidRDefault="00EB7F57">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36</w:t>
      </w:r>
      <w:r w:rsidRPr="008B39B9">
        <w:rPr>
          <w:lang w:val="en-GB"/>
        </w:rPr>
        <w:fldChar w:fldCharType="end"/>
      </w:r>
      <w:r w:rsidRPr="008B39B9">
        <w:rPr>
          <w:lang w:val="en-GB"/>
        </w:rPr>
        <w:t>. </w:t>
      </w:r>
      <w:r w:rsidRPr="008B39B9" w:rsidR="00835C4C">
        <w:rPr>
          <w:lang w:val="en-GB"/>
        </w:rPr>
        <w:t> </w:t>
      </w:r>
      <w:r w:rsidRPr="008B39B9" w:rsidR="00F71E6C">
        <w:rPr>
          <w:lang w:val="en-GB"/>
        </w:rPr>
        <w:t xml:space="preserve">The Court notes that pursuant to Rule 47 of the Rules of Court, </w:t>
      </w:r>
      <w:r w:rsidRPr="008B39B9" w:rsidR="00E857C9">
        <w:rPr>
          <w:lang w:val="en-GB"/>
        </w:rPr>
        <w:t xml:space="preserve">in its version in force at the relevant time, </w:t>
      </w:r>
      <w:r w:rsidRPr="008B39B9" w:rsidR="00F71E6C">
        <w:rPr>
          <w:lang w:val="en-GB"/>
        </w:rPr>
        <w:t xml:space="preserve">an application under Article 34 of the Convention shall be made on the application form provided by the Registry, unless the Court decides otherwise. The application form should contain all the information requested in the relevant parts of the form to enable the Court to determine the nature and scope of the application without recourse to any other document. The Court observes that in his application form, the applicant clearly described the facts and the alleged violations of the Convention. It further notes that the </w:t>
      </w:r>
      <w:r w:rsidRPr="008B39B9" w:rsidR="00855961">
        <w:rPr>
          <w:lang w:val="en-GB"/>
        </w:rPr>
        <w:t>requirement</w:t>
      </w:r>
      <w:r w:rsidRPr="008B39B9" w:rsidR="00F71E6C">
        <w:rPr>
          <w:lang w:val="en-GB"/>
        </w:rPr>
        <w:t xml:space="preserve"> in question is not one of the inadmissibility grounds set out in Article 35 of the Convention. It is therefore not necessary to consider the Government</w:t>
      </w:r>
      <w:r w:rsidRPr="008B39B9" w:rsidR="008B39B9">
        <w:rPr>
          <w:lang w:val="en-GB"/>
        </w:rPr>
        <w:t>’</w:t>
      </w:r>
      <w:r w:rsidRPr="008B39B9" w:rsidR="00F71E6C">
        <w:rPr>
          <w:lang w:val="en-GB"/>
        </w:rPr>
        <w:t xml:space="preserve">s argument on this point (see, </w:t>
      </w:r>
      <w:r w:rsidRPr="008B39B9" w:rsidR="00F71E6C">
        <w:rPr>
          <w:i/>
          <w:lang w:val="en-GB"/>
        </w:rPr>
        <w:t>mutatis mutandis,</w:t>
      </w:r>
      <w:r w:rsidRPr="008B39B9" w:rsidR="00F71E6C">
        <w:rPr>
          <w:lang w:val="en-GB"/>
        </w:rPr>
        <w:t xml:space="preserve"> </w:t>
      </w:r>
      <w:r w:rsidRPr="008B39B9" w:rsidR="00F71E6C">
        <w:rPr>
          <w:i/>
          <w:lang w:val="en-GB"/>
        </w:rPr>
        <w:t>Öner Aktaş</w:t>
      </w:r>
      <w:r w:rsidRPr="008B39B9" w:rsidR="00F71E6C">
        <w:rPr>
          <w:lang w:val="en-GB"/>
        </w:rPr>
        <w:t xml:space="preserve"> </w:t>
      </w:r>
      <w:r w:rsidRPr="008B39B9" w:rsidR="00F71E6C">
        <w:rPr>
          <w:i/>
          <w:lang w:val="en-GB"/>
        </w:rPr>
        <w:t>v.</w:t>
      </w:r>
      <w:r w:rsidRPr="008B39B9" w:rsidR="008A5287">
        <w:rPr>
          <w:i/>
          <w:lang w:val="en-GB"/>
        </w:rPr>
        <w:t xml:space="preserve"> </w:t>
      </w:r>
      <w:r w:rsidRPr="008B39B9" w:rsidR="00F71E6C">
        <w:rPr>
          <w:i/>
          <w:lang w:val="en-GB"/>
        </w:rPr>
        <w:t>Turkey</w:t>
      </w:r>
      <w:r w:rsidRPr="008B39B9" w:rsidR="008A5287">
        <w:rPr>
          <w:lang w:val="en-GB"/>
        </w:rPr>
        <w:t>, no. 59860/10, § 29, 29 </w:t>
      </w:r>
      <w:r w:rsidRPr="008B39B9" w:rsidR="00F71E6C">
        <w:rPr>
          <w:lang w:val="en-GB"/>
        </w:rPr>
        <w:t>October 20</w:t>
      </w:r>
      <w:r w:rsidRPr="008B39B9" w:rsidR="006B4D51">
        <w:rPr>
          <w:lang w:val="en-GB"/>
        </w:rPr>
        <w:t>13,</w:t>
      </w:r>
      <w:r w:rsidRPr="008B39B9" w:rsidR="00F71E6C">
        <w:rPr>
          <w:lang w:val="en-GB"/>
        </w:rPr>
        <w:t xml:space="preserve"> and </w:t>
      </w:r>
      <w:r w:rsidRPr="008B39B9" w:rsidR="00F71E6C">
        <w:rPr>
          <w:i/>
          <w:lang w:val="en-GB"/>
        </w:rPr>
        <w:t>Yüksel v.</w:t>
      </w:r>
      <w:r w:rsidRPr="008B39B9" w:rsidR="008A5287">
        <w:rPr>
          <w:i/>
          <w:lang w:val="en-GB"/>
        </w:rPr>
        <w:t xml:space="preserve"> </w:t>
      </w:r>
      <w:r w:rsidRPr="008B39B9" w:rsidR="00F71E6C">
        <w:rPr>
          <w:i/>
          <w:lang w:val="en-GB"/>
        </w:rPr>
        <w:t>Turkey</w:t>
      </w:r>
      <w:r w:rsidRPr="008B39B9" w:rsidR="008A5287">
        <w:rPr>
          <w:lang w:val="en-GB"/>
        </w:rPr>
        <w:t xml:space="preserve"> (dec.), no. 49756/09, § 42, 1 </w:t>
      </w:r>
      <w:r w:rsidRPr="008B39B9" w:rsidR="00F71E6C">
        <w:rPr>
          <w:lang w:val="en-GB"/>
        </w:rPr>
        <w:t>October 2013).</w:t>
      </w:r>
    </w:p>
    <w:p w:rsidRPr="008B39B9" w:rsidR="00014566" w:rsidP="008B39B9" w:rsidRDefault="00AC4D3E">
      <w:pPr>
        <w:pStyle w:val="ECHRHeading1"/>
        <w:rPr>
          <w:lang w:val="en-GB"/>
        </w:rPr>
      </w:pPr>
      <w:r w:rsidRPr="008B39B9">
        <w:rPr>
          <w:lang w:val="en-GB"/>
        </w:rPr>
        <w:t>II.  </w:t>
      </w:r>
      <w:r w:rsidRPr="008B39B9" w:rsidR="00014566">
        <w:rPr>
          <w:lang w:val="en-GB"/>
        </w:rPr>
        <w:t xml:space="preserve">ALLEGED VIOLATION OF ARTICLE </w:t>
      </w:r>
      <w:r w:rsidRPr="008B39B9" w:rsidR="00EB7F57">
        <w:rPr>
          <w:lang w:val="en-GB"/>
        </w:rPr>
        <w:t>1</w:t>
      </w:r>
      <w:r w:rsidRPr="008B39B9" w:rsidR="00014566">
        <w:rPr>
          <w:lang w:val="en-GB"/>
        </w:rPr>
        <w:t xml:space="preserve"> OF </w:t>
      </w:r>
      <w:r w:rsidRPr="008B39B9" w:rsidR="00EB7F57">
        <w:rPr>
          <w:lang w:val="en-GB"/>
        </w:rPr>
        <w:t>PROTOCOL N</w:t>
      </w:r>
      <w:r w:rsidRPr="008B39B9">
        <w:rPr>
          <w:lang w:val="en-GB"/>
        </w:rPr>
        <w:t>o.</w:t>
      </w:r>
      <w:r w:rsidRPr="008B39B9" w:rsidR="008A5287">
        <w:rPr>
          <w:lang w:val="en-GB"/>
        </w:rPr>
        <w:t xml:space="preserve"> </w:t>
      </w:r>
      <w:r w:rsidRPr="008B39B9" w:rsidR="00EB7F57">
        <w:rPr>
          <w:lang w:val="en-GB"/>
        </w:rPr>
        <w:t xml:space="preserve">1 TO </w:t>
      </w:r>
      <w:r w:rsidRPr="008B39B9" w:rsidR="00014566">
        <w:rPr>
          <w:lang w:val="en-GB"/>
        </w:rPr>
        <w:t>THE CONVENTION</w:t>
      </w:r>
    </w:p>
    <w:p w:rsidRPr="008B39B9" w:rsidR="007D53F1"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37</w:t>
      </w:r>
      <w:r w:rsidRPr="008B39B9">
        <w:rPr>
          <w:lang w:val="en-GB"/>
        </w:rPr>
        <w:fldChar w:fldCharType="end"/>
      </w:r>
      <w:r w:rsidRPr="008B39B9" w:rsidR="00014566">
        <w:rPr>
          <w:lang w:val="en-GB"/>
        </w:rPr>
        <w:t xml:space="preserve">.  The applicant complained that </w:t>
      </w:r>
      <w:r w:rsidRPr="008B39B9" w:rsidR="00142059">
        <w:rPr>
          <w:lang w:val="en-GB"/>
        </w:rPr>
        <w:t xml:space="preserve">his right to peaceful enjoyment of his property </w:t>
      </w:r>
      <w:r w:rsidRPr="008B39B9" w:rsidR="00116D85">
        <w:rPr>
          <w:lang w:val="en-GB"/>
        </w:rPr>
        <w:t>had been</w:t>
      </w:r>
      <w:r w:rsidRPr="008B39B9" w:rsidR="00142059">
        <w:rPr>
          <w:lang w:val="en-GB"/>
        </w:rPr>
        <w:t xml:space="preserve"> violated</w:t>
      </w:r>
      <w:r w:rsidRPr="008B39B9" w:rsidR="00116D85">
        <w:rPr>
          <w:lang w:val="en-GB"/>
        </w:rPr>
        <w:t>,</w:t>
      </w:r>
      <w:r w:rsidRPr="008B39B9" w:rsidR="00142059">
        <w:rPr>
          <w:lang w:val="en-GB"/>
        </w:rPr>
        <w:t xml:space="preserve"> in that he </w:t>
      </w:r>
      <w:r w:rsidRPr="008B39B9" w:rsidR="00116D85">
        <w:rPr>
          <w:lang w:val="en-GB"/>
        </w:rPr>
        <w:t>had been</w:t>
      </w:r>
      <w:r w:rsidRPr="008B39B9" w:rsidR="00142059">
        <w:rPr>
          <w:lang w:val="en-GB"/>
        </w:rPr>
        <w:t xml:space="preserve"> illegally deprived of his shares in Demirbank and could not receive any compensation for his loss. In this connection, he relied on </w:t>
      </w:r>
      <w:r w:rsidRPr="008B39B9" w:rsidR="00C66D20">
        <w:rPr>
          <w:lang w:val="en-GB"/>
        </w:rPr>
        <w:t xml:space="preserve">Article 13 and </w:t>
      </w:r>
      <w:r w:rsidRPr="008B39B9" w:rsidR="004C6B6A">
        <w:rPr>
          <w:lang w:val="en-GB"/>
        </w:rPr>
        <w:t>Article 1 of Protocol No. </w:t>
      </w:r>
      <w:r w:rsidRPr="008B39B9" w:rsidR="00142059">
        <w:rPr>
          <w:lang w:val="en-GB"/>
        </w:rPr>
        <w:t xml:space="preserve">1 to the </w:t>
      </w:r>
      <w:r w:rsidRPr="008B39B9" w:rsidR="00C66D20">
        <w:rPr>
          <w:lang w:val="en-GB"/>
        </w:rPr>
        <w:t>C</w:t>
      </w:r>
      <w:r w:rsidRPr="008B39B9" w:rsidR="00142059">
        <w:rPr>
          <w:lang w:val="en-GB"/>
        </w:rPr>
        <w:t>onvention</w:t>
      </w:r>
      <w:r w:rsidRPr="008B39B9" w:rsidR="00C66D20">
        <w:rPr>
          <w:lang w:val="en-GB"/>
        </w:rPr>
        <w:t>.</w:t>
      </w:r>
    </w:p>
    <w:p w:rsidRPr="008B39B9" w:rsidR="00C66D20" w:rsidP="008B39B9" w:rsidRDefault="00C66D20">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38</w:t>
      </w:r>
      <w:r w:rsidRPr="008B39B9">
        <w:rPr>
          <w:lang w:val="en-GB"/>
        </w:rPr>
        <w:fldChar w:fldCharType="end"/>
      </w:r>
      <w:r w:rsidRPr="008B39B9">
        <w:rPr>
          <w:lang w:val="en-GB"/>
        </w:rPr>
        <w:t>.  The Government contested that argument.</w:t>
      </w:r>
    </w:p>
    <w:p w:rsidRPr="008B39B9" w:rsidR="00014566" w:rsidP="008B39B9" w:rsidRDefault="00C66D20">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39</w:t>
      </w:r>
      <w:r w:rsidRPr="008B39B9">
        <w:rPr>
          <w:lang w:val="en-GB"/>
        </w:rPr>
        <w:fldChar w:fldCharType="end"/>
      </w:r>
      <w:r w:rsidRPr="008B39B9">
        <w:rPr>
          <w:lang w:val="en-GB"/>
        </w:rPr>
        <w:t>.  The Court considers that this complaint should be examined under Article 1 of Protocol No. 1 to the Convention, which</w:t>
      </w:r>
      <w:r w:rsidRPr="008B39B9" w:rsidR="00014566">
        <w:rPr>
          <w:lang w:val="en-GB"/>
        </w:rPr>
        <w:t xml:space="preserve"> reads as follows:</w:t>
      </w:r>
    </w:p>
    <w:p w:rsidRPr="008B39B9" w:rsidR="00142059" w:rsidP="008B39B9" w:rsidRDefault="00142059">
      <w:pPr>
        <w:pStyle w:val="ECHRParaQuote"/>
        <w:rPr>
          <w:lang w:val="en-GB"/>
        </w:rPr>
      </w:pPr>
      <w:r w:rsidRPr="008B39B9">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B39B9" w:rsidR="00142059" w:rsidP="008B39B9" w:rsidRDefault="00142059">
      <w:pPr>
        <w:pStyle w:val="ECHRParaQuote"/>
        <w:rPr>
          <w:lang w:val="en-GB"/>
        </w:rPr>
      </w:pPr>
      <w:r w:rsidRPr="008B39B9">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B39B9" w:rsidR="00014566" w:rsidP="008B39B9" w:rsidRDefault="00014566">
      <w:pPr>
        <w:pStyle w:val="ECHRHeading2"/>
      </w:pPr>
      <w:r w:rsidRPr="008B39B9">
        <w:t>A.  Admissibility</w:t>
      </w:r>
    </w:p>
    <w:p w:rsidRPr="008B39B9" w:rsidR="006031A5" w:rsidP="008B39B9" w:rsidRDefault="006031A5">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40</w:t>
      </w:r>
      <w:r w:rsidRPr="008B39B9">
        <w:rPr>
          <w:lang w:val="en-GB"/>
        </w:rPr>
        <w:fldChar w:fldCharType="end"/>
      </w:r>
      <w:r w:rsidRPr="008B39B9">
        <w:rPr>
          <w:lang w:val="en-GB"/>
        </w:rPr>
        <w:t>.  The Government stated that this complaint should be</w:t>
      </w:r>
      <w:r w:rsidRPr="008B39B9" w:rsidR="00C81B91">
        <w:rPr>
          <w:lang w:val="en-GB"/>
        </w:rPr>
        <w:t xml:space="preserve"> rejected for non</w:t>
      </w:r>
      <w:r w:rsidRPr="008B39B9" w:rsidR="00C81B91">
        <w:rPr>
          <w:lang w:val="en-GB"/>
        </w:rPr>
        <w:noBreakHyphen/>
      </w:r>
      <w:r w:rsidRPr="008B39B9">
        <w:rPr>
          <w:lang w:val="en-GB"/>
        </w:rPr>
        <w:t>exhaustion of domestic remedies, as the applicant had failed to bring compensation proceedings before the domestic courts pursuant to Article</w:t>
      </w:r>
      <w:r w:rsidRPr="008B39B9" w:rsidR="00AC4D3E">
        <w:rPr>
          <w:lang w:val="en-GB"/>
        </w:rPr>
        <w:t> </w:t>
      </w:r>
      <w:r w:rsidRPr="008B39B9">
        <w:rPr>
          <w:lang w:val="en-GB"/>
        </w:rPr>
        <w:t>12 of the Administra</w:t>
      </w:r>
      <w:r w:rsidRPr="008B39B9" w:rsidR="008A5287">
        <w:rPr>
          <w:lang w:val="en-GB"/>
        </w:rPr>
        <w:t xml:space="preserve">tive Procedure Code and Article </w:t>
      </w:r>
      <w:r w:rsidRPr="008B39B9">
        <w:rPr>
          <w:lang w:val="en-GB"/>
        </w:rPr>
        <w:t>125 of the Constitution.</w:t>
      </w:r>
    </w:p>
    <w:p w:rsidRPr="008B39B9" w:rsidR="006031A5" w:rsidP="008B39B9" w:rsidRDefault="006031A5">
      <w:pPr>
        <w:pStyle w:val="ECHRPara"/>
        <w:rPr>
          <w:i/>
          <w:szCs w:val="24"/>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41</w:t>
      </w:r>
      <w:r w:rsidRPr="008B39B9">
        <w:rPr>
          <w:lang w:val="en-GB"/>
        </w:rPr>
        <w:fldChar w:fldCharType="end"/>
      </w:r>
      <w:r w:rsidRPr="008B39B9">
        <w:rPr>
          <w:lang w:val="en-GB"/>
        </w:rPr>
        <w:t xml:space="preserve">.   </w:t>
      </w:r>
      <w:r w:rsidRPr="008B39B9" w:rsidR="00487807">
        <w:rPr>
          <w:lang w:val="en-GB"/>
        </w:rPr>
        <w:t xml:space="preserve">The Court recalls that an applicant must have made normal use of domestic remedies which are likely to be effective and sufficient and that, when a remedy has been pursued, use of another remedy which has essentially the same objective is not required (see </w:t>
      </w:r>
      <w:r w:rsidRPr="008B39B9" w:rsidR="00487807">
        <w:rPr>
          <w:i/>
          <w:lang w:val="en-GB"/>
        </w:rPr>
        <w:t xml:space="preserve">Kozacıoğlu v. Turkey </w:t>
      </w:r>
      <w:r w:rsidRPr="008B39B9" w:rsidR="00487807">
        <w:rPr>
          <w:lang w:val="en-GB"/>
        </w:rPr>
        <w:t xml:space="preserve">[GC], no. 2334/03, § 40, 19 February 2009). </w:t>
      </w:r>
      <w:r w:rsidRPr="008B39B9" w:rsidR="00683E1C">
        <w:rPr>
          <w:lang w:val="en-GB"/>
        </w:rPr>
        <w:t>In the present case,</w:t>
      </w:r>
      <w:r w:rsidRPr="008B39B9" w:rsidR="008033CC">
        <w:rPr>
          <w:lang w:val="en-GB"/>
        </w:rPr>
        <w:t xml:space="preserve"> the </w:t>
      </w:r>
      <w:r w:rsidRPr="008B39B9">
        <w:rPr>
          <w:lang w:val="en-GB"/>
        </w:rPr>
        <w:t xml:space="preserve">applicant sought the enforcement of the court </w:t>
      </w:r>
      <w:r w:rsidRPr="008B39B9" w:rsidR="00487807">
        <w:rPr>
          <w:lang w:val="en-GB"/>
        </w:rPr>
        <w:t>de</w:t>
      </w:r>
      <w:r w:rsidRPr="008B39B9">
        <w:rPr>
          <w:lang w:val="en-GB"/>
        </w:rPr>
        <w:t xml:space="preserve">cisions, but no action was taken by the administrative authorities, which were constitutionally bound to take all necessary measures to restore the </w:t>
      </w:r>
      <w:r w:rsidRPr="008B39B9">
        <w:rPr>
          <w:i/>
          <w:lang w:val="en-GB"/>
        </w:rPr>
        <w:t>de facto</w:t>
      </w:r>
      <w:r w:rsidRPr="008B39B9">
        <w:rPr>
          <w:lang w:val="en-GB"/>
        </w:rPr>
        <w:t xml:space="preserve"> and </w:t>
      </w:r>
      <w:r w:rsidRPr="008B39B9">
        <w:rPr>
          <w:i/>
          <w:lang w:val="en-GB"/>
        </w:rPr>
        <w:t>de jure</w:t>
      </w:r>
      <w:r w:rsidRPr="008B39B9">
        <w:rPr>
          <w:lang w:val="en-GB"/>
        </w:rPr>
        <w:t xml:space="preserve"> situation that was likely to have prevailed had Demirbank not been unlawfully transferred to the Fund. </w:t>
      </w:r>
      <w:r w:rsidRPr="008B39B9" w:rsidR="008033CC">
        <w:rPr>
          <w:lang w:val="en-GB"/>
        </w:rPr>
        <w:t>I</w:t>
      </w:r>
      <w:r w:rsidRPr="008B39B9">
        <w:rPr>
          <w:lang w:val="en-GB"/>
        </w:rPr>
        <w:t>n th</w:t>
      </w:r>
      <w:r w:rsidRPr="008B39B9" w:rsidR="008033CC">
        <w:rPr>
          <w:lang w:val="en-GB"/>
        </w:rPr>
        <w:t>e</w:t>
      </w:r>
      <w:r w:rsidRPr="008B39B9">
        <w:rPr>
          <w:lang w:val="en-GB"/>
        </w:rPr>
        <w:t xml:space="preserve">se circumstances, the applicant </w:t>
      </w:r>
      <w:r w:rsidRPr="008B39B9" w:rsidR="00050FA9">
        <w:rPr>
          <w:lang w:val="en-GB"/>
        </w:rPr>
        <w:t xml:space="preserve">could not have been </w:t>
      </w:r>
      <w:r w:rsidRPr="008B39B9">
        <w:rPr>
          <w:lang w:val="en-GB"/>
        </w:rPr>
        <w:t xml:space="preserve">expected to </w:t>
      </w:r>
      <w:r w:rsidRPr="008B39B9" w:rsidR="00050FA9">
        <w:rPr>
          <w:lang w:val="en-GB"/>
        </w:rPr>
        <w:t>bring</w:t>
      </w:r>
      <w:r w:rsidRPr="008B39B9">
        <w:rPr>
          <w:lang w:val="en-GB"/>
        </w:rPr>
        <w:t xml:space="preserve"> further actions against the State. It </w:t>
      </w:r>
      <w:r w:rsidRPr="008B39B9" w:rsidR="00487807">
        <w:rPr>
          <w:lang w:val="en-GB"/>
        </w:rPr>
        <w:t>therefore</w:t>
      </w:r>
      <w:r w:rsidRPr="008B39B9">
        <w:rPr>
          <w:lang w:val="en-GB"/>
        </w:rPr>
        <w:t xml:space="preserve"> concludes that the applicant ha</w:t>
      </w:r>
      <w:r w:rsidRPr="008B39B9" w:rsidR="00487807">
        <w:rPr>
          <w:lang w:val="en-GB"/>
        </w:rPr>
        <w:t>s</w:t>
      </w:r>
      <w:r w:rsidRPr="008B39B9">
        <w:rPr>
          <w:lang w:val="en-GB"/>
        </w:rPr>
        <w:t xml:space="preserve"> complied with the requirement of e</w:t>
      </w:r>
      <w:r w:rsidRPr="008B39B9" w:rsidR="00C81B91">
        <w:rPr>
          <w:lang w:val="en-GB"/>
        </w:rPr>
        <w:t xml:space="preserve">xhaustion of domestic remedies. </w:t>
      </w:r>
      <w:r w:rsidRPr="008B39B9">
        <w:rPr>
          <w:lang w:val="en-GB"/>
        </w:rPr>
        <w:t xml:space="preserve">It </w:t>
      </w:r>
      <w:r w:rsidRPr="008B39B9" w:rsidR="00855961">
        <w:rPr>
          <w:lang w:val="en-GB"/>
        </w:rPr>
        <w:t>consequently</w:t>
      </w:r>
      <w:r w:rsidRPr="008B39B9">
        <w:rPr>
          <w:lang w:val="en-GB"/>
        </w:rPr>
        <w:t xml:space="preserve"> rejects the Government</w:t>
      </w:r>
      <w:r w:rsidRPr="008B39B9" w:rsidR="008B39B9">
        <w:rPr>
          <w:lang w:val="en-GB"/>
        </w:rPr>
        <w:t>’</w:t>
      </w:r>
      <w:r w:rsidRPr="008B39B9">
        <w:rPr>
          <w:lang w:val="en-GB"/>
        </w:rPr>
        <w:t>s objection in this respect.</w:t>
      </w:r>
    </w:p>
    <w:p w:rsidRPr="008B39B9" w:rsidR="00014566" w:rsidP="008B39B9" w:rsidRDefault="00142059">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42</w:t>
      </w:r>
      <w:r w:rsidRPr="008B39B9">
        <w:rPr>
          <w:lang w:val="en-GB"/>
        </w:rPr>
        <w:fldChar w:fldCharType="end"/>
      </w:r>
      <w:r w:rsidRPr="008B39B9">
        <w:rPr>
          <w:lang w:val="en-GB"/>
        </w:rPr>
        <w:t>.  </w:t>
      </w:r>
      <w:r w:rsidRPr="008B39B9" w:rsidR="00014566">
        <w:rPr>
          <w:lang w:val="en-GB"/>
        </w:rPr>
        <w:t>The Court notes that this complaint is not manifestly ill-founded within the meaning of Article 35 § 3 (a) of the Convention. It further notes that it is not inadmissible on any other grounds. It must therefore be declared admissible.</w:t>
      </w:r>
    </w:p>
    <w:p w:rsidRPr="008B39B9" w:rsidR="00014566" w:rsidP="008B39B9" w:rsidRDefault="00014566">
      <w:pPr>
        <w:pStyle w:val="ECHRHeading2"/>
      </w:pPr>
      <w:r w:rsidRPr="008B39B9">
        <w:t>B.  Merits</w:t>
      </w:r>
    </w:p>
    <w:p w:rsidRPr="008B39B9" w:rsidR="007D53F1" w:rsidP="008B39B9" w:rsidRDefault="0001444B">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43</w:t>
      </w:r>
      <w:r w:rsidRPr="008B39B9">
        <w:rPr>
          <w:lang w:val="en-GB"/>
        </w:rPr>
        <w:fldChar w:fldCharType="end"/>
      </w:r>
      <w:r w:rsidRPr="008B39B9">
        <w:rPr>
          <w:lang w:val="en-GB"/>
        </w:rPr>
        <w:t>.  </w:t>
      </w:r>
      <w:r w:rsidRPr="008B39B9" w:rsidR="00586AEF">
        <w:rPr>
          <w:lang w:val="en-GB"/>
        </w:rPr>
        <w:t xml:space="preserve">The applicant complained that he </w:t>
      </w:r>
      <w:r w:rsidRPr="008B39B9" w:rsidR="008033CC">
        <w:rPr>
          <w:lang w:val="en-GB"/>
        </w:rPr>
        <w:t>had been</w:t>
      </w:r>
      <w:r w:rsidRPr="008B39B9" w:rsidR="00586AEF">
        <w:rPr>
          <w:lang w:val="en-GB"/>
        </w:rPr>
        <w:t xml:space="preserve"> deprived of his shares in Demirbank as a result of the illegal actions of the State and that he had not been compensated for his loss.</w:t>
      </w:r>
    </w:p>
    <w:p w:rsidRPr="008B39B9" w:rsidR="006031A5" w:rsidP="008B39B9" w:rsidRDefault="006031A5">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44</w:t>
      </w:r>
      <w:r w:rsidRPr="008B39B9">
        <w:rPr>
          <w:lang w:val="en-GB"/>
        </w:rPr>
        <w:fldChar w:fldCharType="end"/>
      </w:r>
      <w:r w:rsidRPr="008B39B9">
        <w:rPr>
          <w:lang w:val="en-GB"/>
        </w:rPr>
        <w:t>.  The Government</w:t>
      </w:r>
      <w:r w:rsidRPr="008B39B9" w:rsidR="00F33E3F">
        <w:rPr>
          <w:lang w:val="en-GB"/>
        </w:rPr>
        <w:t xml:space="preserve"> firstly argued that the applicant</w:t>
      </w:r>
      <w:r w:rsidRPr="008B39B9" w:rsidR="00586AEF">
        <w:rPr>
          <w:lang w:val="en-GB"/>
        </w:rPr>
        <w:t>, as a minor shareholder,</w:t>
      </w:r>
      <w:r w:rsidRPr="008B39B9" w:rsidR="00F33E3F">
        <w:rPr>
          <w:lang w:val="en-GB"/>
        </w:rPr>
        <w:t xml:space="preserve"> did not have a</w:t>
      </w:r>
      <w:r w:rsidRPr="008B39B9" w:rsidR="0001444B">
        <w:rPr>
          <w:lang w:val="en-GB"/>
        </w:rPr>
        <w:t>ny</w:t>
      </w:r>
      <w:r w:rsidRPr="008B39B9" w:rsidR="00F33E3F">
        <w:rPr>
          <w:lang w:val="en-GB"/>
        </w:rPr>
        <w:t xml:space="preserve"> </w:t>
      </w:r>
      <w:r w:rsidRPr="008B39B9" w:rsidR="0001444B">
        <w:rPr>
          <w:lang w:val="en-GB"/>
        </w:rPr>
        <w:t>“</w:t>
      </w:r>
      <w:r w:rsidRPr="008B39B9" w:rsidR="00F33E3F">
        <w:rPr>
          <w:lang w:val="en-GB"/>
        </w:rPr>
        <w:t>possession</w:t>
      </w:r>
      <w:r w:rsidRPr="008B39B9" w:rsidR="0001444B">
        <w:rPr>
          <w:lang w:val="en-GB"/>
        </w:rPr>
        <w:t>”</w:t>
      </w:r>
      <w:r w:rsidRPr="008B39B9" w:rsidR="00F33E3F">
        <w:rPr>
          <w:lang w:val="en-GB"/>
        </w:rPr>
        <w:t xml:space="preserve"> within the meaning of Article</w:t>
      </w:r>
      <w:r w:rsidRPr="008B39B9" w:rsidR="00C81B91">
        <w:rPr>
          <w:lang w:val="en-GB"/>
        </w:rPr>
        <w:t> </w:t>
      </w:r>
      <w:r w:rsidRPr="008B39B9" w:rsidR="00F33E3F">
        <w:rPr>
          <w:lang w:val="en-GB"/>
        </w:rPr>
        <w:t xml:space="preserve">1 </w:t>
      </w:r>
      <w:r w:rsidRPr="008B39B9" w:rsidR="008A5287">
        <w:rPr>
          <w:lang w:val="en-GB"/>
        </w:rPr>
        <w:t xml:space="preserve">of Protocol No. 1. </w:t>
      </w:r>
      <w:r w:rsidRPr="008B39B9" w:rsidR="00F33E3F">
        <w:rPr>
          <w:lang w:val="en-GB"/>
        </w:rPr>
        <w:t xml:space="preserve">They further </w:t>
      </w:r>
      <w:r w:rsidRPr="008B39B9">
        <w:rPr>
          <w:lang w:val="en-GB"/>
        </w:rPr>
        <w:t xml:space="preserve">maintained that it had been impossible </w:t>
      </w:r>
      <w:r w:rsidRPr="008B39B9">
        <w:rPr>
          <w:i/>
          <w:lang w:val="en-GB"/>
        </w:rPr>
        <w:t>de jure</w:t>
      </w:r>
      <w:r w:rsidRPr="008B39B9">
        <w:rPr>
          <w:lang w:val="en-GB"/>
        </w:rPr>
        <w:t xml:space="preserve"> and </w:t>
      </w:r>
      <w:r w:rsidRPr="008B39B9">
        <w:rPr>
          <w:i/>
          <w:lang w:val="en-GB"/>
        </w:rPr>
        <w:t>de facto</w:t>
      </w:r>
      <w:r w:rsidRPr="008B39B9">
        <w:rPr>
          <w:lang w:val="en-GB"/>
        </w:rPr>
        <w:t xml:space="preserve"> to enforce the </w:t>
      </w:r>
      <w:r w:rsidRPr="008B39B9" w:rsidR="008033CC">
        <w:rPr>
          <w:lang w:val="en-GB"/>
        </w:rPr>
        <w:t>c</w:t>
      </w:r>
      <w:r w:rsidRPr="008B39B9">
        <w:rPr>
          <w:lang w:val="en-GB"/>
        </w:rPr>
        <w:t>ourt decision</w:t>
      </w:r>
      <w:r w:rsidRPr="008B39B9" w:rsidR="008033CC">
        <w:rPr>
          <w:lang w:val="en-GB"/>
        </w:rPr>
        <w:t xml:space="preserve"> in question</w:t>
      </w:r>
      <w:r w:rsidRPr="008B39B9" w:rsidR="00C650C1">
        <w:rPr>
          <w:lang w:val="en-GB"/>
        </w:rPr>
        <w:t>,</w:t>
      </w:r>
      <w:r w:rsidRPr="008B39B9">
        <w:rPr>
          <w:lang w:val="en-GB"/>
        </w:rPr>
        <w:t xml:space="preserve"> because Demirbank had been struck off the re</w:t>
      </w:r>
      <w:r w:rsidRPr="008B39B9" w:rsidR="008033CC">
        <w:rPr>
          <w:lang w:val="en-GB"/>
        </w:rPr>
        <w:t>gister</w:t>
      </w:r>
      <w:r w:rsidRPr="008B39B9">
        <w:rPr>
          <w:lang w:val="en-GB"/>
        </w:rPr>
        <w:t xml:space="preserve"> and its legal personality had therefore ceased to exist. They </w:t>
      </w:r>
      <w:r w:rsidRPr="008B39B9" w:rsidR="00586AEF">
        <w:rPr>
          <w:lang w:val="en-GB"/>
        </w:rPr>
        <w:t xml:space="preserve">also submitted </w:t>
      </w:r>
      <w:r w:rsidRPr="008B39B9">
        <w:rPr>
          <w:lang w:val="en-GB"/>
        </w:rPr>
        <w:t xml:space="preserve">that it had been impossible to revive Demirbank </w:t>
      </w:r>
      <w:r w:rsidRPr="008B39B9" w:rsidR="00586AEF">
        <w:rPr>
          <w:lang w:val="en-GB"/>
        </w:rPr>
        <w:t xml:space="preserve">or the shares, </w:t>
      </w:r>
      <w:r w:rsidRPr="008B39B9">
        <w:rPr>
          <w:lang w:val="en-GB"/>
        </w:rPr>
        <w:t>as the authorities had had no authority to do so.</w:t>
      </w:r>
    </w:p>
    <w:p w:rsidRPr="008B39B9" w:rsidR="0001444B" w:rsidP="008B39B9" w:rsidRDefault="0001444B">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45</w:t>
      </w:r>
      <w:r w:rsidRPr="008B39B9">
        <w:rPr>
          <w:lang w:val="en-GB"/>
        </w:rPr>
        <w:fldChar w:fldCharType="end"/>
      </w:r>
      <w:r w:rsidRPr="008B39B9">
        <w:rPr>
          <w:lang w:val="en-GB"/>
        </w:rPr>
        <w:t xml:space="preserve">.  The Court </w:t>
      </w:r>
      <w:r w:rsidRPr="008B39B9" w:rsidR="00586AEF">
        <w:rPr>
          <w:lang w:val="en-GB"/>
        </w:rPr>
        <w:t>notes in the first place that the Government d</w:t>
      </w:r>
      <w:r w:rsidRPr="008B39B9" w:rsidR="008033CC">
        <w:rPr>
          <w:lang w:val="en-GB"/>
        </w:rPr>
        <w:t>o</w:t>
      </w:r>
      <w:r w:rsidRPr="008B39B9" w:rsidR="00586AEF">
        <w:rPr>
          <w:lang w:val="en-GB"/>
        </w:rPr>
        <w:t xml:space="preserve"> not dispute that the applicant was the owner of the share</w:t>
      </w:r>
      <w:r w:rsidRPr="008B39B9" w:rsidR="00C81B91">
        <w:rPr>
          <w:lang w:val="en-GB"/>
        </w:rPr>
        <w:t xml:space="preserve">s concerned. </w:t>
      </w:r>
      <w:r w:rsidRPr="008B39B9" w:rsidR="008033CC">
        <w:rPr>
          <w:lang w:val="en-GB"/>
        </w:rPr>
        <w:t>I</w:t>
      </w:r>
      <w:r w:rsidRPr="008B39B9" w:rsidR="00586AEF">
        <w:rPr>
          <w:lang w:val="en-GB"/>
        </w:rPr>
        <w:t xml:space="preserve">t </w:t>
      </w:r>
      <w:r w:rsidRPr="008B39B9">
        <w:rPr>
          <w:lang w:val="en-GB"/>
        </w:rPr>
        <w:t>reiterates in th</w:t>
      </w:r>
      <w:r w:rsidRPr="008B39B9" w:rsidR="00855961">
        <w:rPr>
          <w:lang w:val="en-GB"/>
        </w:rPr>
        <w:t>at</w:t>
      </w:r>
      <w:r w:rsidRPr="008B39B9">
        <w:rPr>
          <w:lang w:val="en-GB"/>
        </w:rPr>
        <w:t xml:space="preserve"> </w:t>
      </w:r>
      <w:r w:rsidRPr="008B39B9" w:rsidR="00855961">
        <w:rPr>
          <w:lang w:val="en-GB"/>
        </w:rPr>
        <w:t>respect</w:t>
      </w:r>
      <w:r w:rsidRPr="008B39B9">
        <w:rPr>
          <w:lang w:val="en-GB"/>
        </w:rPr>
        <w:t xml:space="preserve"> that a share in a company is a complex object. It certifies that the holder possesses a share in a company together with the corresponding rights</w:t>
      </w:r>
      <w:r w:rsidRPr="008B39B9" w:rsidR="007E3ECD">
        <w:rPr>
          <w:lang w:val="en-GB"/>
        </w:rPr>
        <w:t xml:space="preserve">. The Court </w:t>
      </w:r>
      <w:r w:rsidRPr="008B39B9" w:rsidR="00586AEF">
        <w:rPr>
          <w:lang w:val="en-GB"/>
        </w:rPr>
        <w:t xml:space="preserve">further </w:t>
      </w:r>
      <w:r w:rsidRPr="008B39B9" w:rsidR="00050FA9">
        <w:rPr>
          <w:lang w:val="en-GB"/>
        </w:rPr>
        <w:t>notes</w:t>
      </w:r>
      <w:r w:rsidRPr="008B39B9" w:rsidR="00586AEF">
        <w:rPr>
          <w:lang w:val="en-GB"/>
        </w:rPr>
        <w:t xml:space="preserve"> that the shares held by the applicant had an economic value and </w:t>
      </w:r>
      <w:r w:rsidRPr="008B39B9" w:rsidR="008033CC">
        <w:rPr>
          <w:lang w:val="en-GB"/>
        </w:rPr>
        <w:t xml:space="preserve">thus </w:t>
      </w:r>
      <w:r w:rsidRPr="008B39B9" w:rsidR="00586AEF">
        <w:rPr>
          <w:lang w:val="en-GB"/>
        </w:rPr>
        <w:t>constituted “possessions”</w:t>
      </w:r>
      <w:r w:rsidRPr="008B39B9" w:rsidR="00050FA9">
        <w:rPr>
          <w:lang w:val="en-GB"/>
        </w:rPr>
        <w:t>,</w:t>
      </w:r>
      <w:r w:rsidRPr="008B39B9" w:rsidR="00586AEF">
        <w:rPr>
          <w:lang w:val="en-GB"/>
        </w:rPr>
        <w:t xml:space="preserve"> and as a result of the measures complained of the shares l</w:t>
      </w:r>
      <w:r w:rsidRPr="008B39B9" w:rsidR="004C6B6A">
        <w:rPr>
          <w:lang w:val="en-GB"/>
        </w:rPr>
        <w:t>ost their entire value. Article </w:t>
      </w:r>
      <w:r w:rsidRPr="008B39B9" w:rsidR="00586AEF">
        <w:rPr>
          <w:lang w:val="en-GB"/>
        </w:rPr>
        <w:t>1 of Protocol No.</w:t>
      </w:r>
      <w:r w:rsidRPr="008B39B9" w:rsidR="008033CC">
        <w:rPr>
          <w:lang w:val="en-GB"/>
        </w:rPr>
        <w:t xml:space="preserve"> </w:t>
      </w:r>
      <w:r w:rsidRPr="008B39B9" w:rsidR="00586AEF">
        <w:rPr>
          <w:lang w:val="en-GB"/>
        </w:rPr>
        <w:t xml:space="preserve">1 is </w:t>
      </w:r>
      <w:r w:rsidRPr="008B39B9" w:rsidR="007E3ECD">
        <w:rPr>
          <w:lang w:val="en-GB"/>
        </w:rPr>
        <w:t xml:space="preserve">therefore </w:t>
      </w:r>
      <w:r w:rsidRPr="008B39B9" w:rsidR="00586AEF">
        <w:rPr>
          <w:lang w:val="en-GB"/>
        </w:rPr>
        <w:t xml:space="preserve">applicable in the present case (see </w:t>
      </w:r>
      <w:r w:rsidRPr="008B39B9" w:rsidR="008A5287">
        <w:rPr>
          <w:i/>
          <w:lang w:val="en-GB"/>
        </w:rPr>
        <w:t>Olczak v. </w:t>
      </w:r>
      <w:r w:rsidRPr="008B39B9" w:rsidR="00586AEF">
        <w:rPr>
          <w:i/>
          <w:lang w:val="en-GB"/>
        </w:rPr>
        <w:t xml:space="preserve">Poland </w:t>
      </w:r>
      <w:r w:rsidRPr="008B39B9" w:rsidR="00AC4D3E">
        <w:rPr>
          <w:lang w:val="en-GB"/>
        </w:rPr>
        <w:t xml:space="preserve">(dec.), no. 30417/96, § 60, </w:t>
      </w:r>
      <w:r w:rsidRPr="008B39B9" w:rsidR="001E7214">
        <w:rPr>
          <w:lang w:val="en-GB"/>
        </w:rPr>
        <w:t>ECHR</w:t>
      </w:r>
      <w:r w:rsidRPr="008B39B9" w:rsidR="00586AEF">
        <w:rPr>
          <w:lang w:val="en-GB"/>
        </w:rPr>
        <w:t xml:space="preserve"> 2002</w:t>
      </w:r>
      <w:r w:rsidRPr="008B39B9" w:rsidR="001E7214">
        <w:rPr>
          <w:lang w:val="en-GB"/>
        </w:rPr>
        <w:noBreakHyphen/>
        <w:t>X (extracts</w:t>
      </w:r>
      <w:r w:rsidRPr="008B39B9" w:rsidR="00586AEF">
        <w:rPr>
          <w:lang w:val="en-GB"/>
        </w:rPr>
        <w:t>)</w:t>
      </w:r>
      <w:r w:rsidRPr="008B39B9" w:rsidR="008A5287">
        <w:rPr>
          <w:lang w:val="en-GB"/>
        </w:rPr>
        <w:t>)</w:t>
      </w:r>
      <w:r w:rsidRPr="008B39B9" w:rsidR="00586AEF">
        <w:rPr>
          <w:lang w:val="en-GB"/>
        </w:rPr>
        <w:t>.</w:t>
      </w:r>
    </w:p>
    <w:p w:rsidRPr="008B39B9" w:rsidR="007D53F1" w:rsidP="008B39B9" w:rsidRDefault="00683E1C">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46</w:t>
      </w:r>
      <w:r w:rsidRPr="008B39B9">
        <w:rPr>
          <w:lang w:val="en-GB"/>
        </w:rPr>
        <w:fldChar w:fldCharType="end"/>
      </w:r>
      <w:r w:rsidRPr="008B39B9">
        <w:rPr>
          <w:lang w:val="en-GB"/>
        </w:rPr>
        <w:t>.  </w:t>
      </w:r>
      <w:r w:rsidRPr="008B39B9" w:rsidR="009F5969">
        <w:rPr>
          <w:lang w:val="en-GB"/>
        </w:rPr>
        <w:t>As the Court has stated on many o</w:t>
      </w:r>
      <w:r w:rsidRPr="008B39B9" w:rsidR="007D53F1">
        <w:rPr>
          <w:lang w:val="en-GB"/>
        </w:rPr>
        <w:t>ccasions, Article 1 of Protocol </w:t>
      </w:r>
      <w:r w:rsidRPr="008B39B9" w:rsidR="009F5969">
        <w:rPr>
          <w:lang w:val="en-GB"/>
        </w:rPr>
        <w:t xml:space="preserve">No. 1 comprises three rules: the first rule, set out in the first sentence of the first paragraph, is of a general nature and enunciates the principle of the peaceful enjoyment of property; the second rule, contained in the second sentence of the first paragraph, covers the deprivation of property and subjects it to conditions; the third rule, stated in the second paragraph, recognises that the States are entitled, amongst other things, to control the use of property in accordance with the general interest. The second and third rules, which are concerned with particular instances of interference with the right to peaceful enjoyment of property, must be read in the light of the general principle laid down in the first rule (see, among other authorities, </w:t>
      </w:r>
      <w:r w:rsidRPr="008B39B9" w:rsidR="00487807">
        <w:rPr>
          <w:i/>
          <w:lang w:val="en-GB"/>
        </w:rPr>
        <w:t>Ališić and Others v. Bosnia and Herzegovina, Croatia, Serbia, Slovenia and the former Yugoslav Republic of Macedonia</w:t>
      </w:r>
      <w:r w:rsidRPr="008B39B9" w:rsidR="00487807">
        <w:t xml:space="preserve"> [GC], </w:t>
      </w:r>
      <w:r w:rsidRPr="008B39B9" w:rsidR="00487807">
        <w:rPr>
          <w:snapToGrid w:val="0"/>
        </w:rPr>
        <w:t>no.</w:t>
      </w:r>
      <w:r w:rsidRPr="008B39B9" w:rsidR="007D53F1">
        <w:t> </w:t>
      </w:r>
      <w:r w:rsidRPr="008B39B9" w:rsidR="00487807">
        <w:t>60642/08</w:t>
      </w:r>
      <w:r w:rsidRPr="008B39B9" w:rsidR="004C6B6A">
        <w:rPr>
          <w:lang w:val="en-GB"/>
        </w:rPr>
        <w:t>, § </w:t>
      </w:r>
      <w:r w:rsidRPr="008B39B9" w:rsidR="00487807">
        <w:rPr>
          <w:lang w:val="en-GB"/>
        </w:rPr>
        <w:t>98, ECHR 2014).</w:t>
      </w:r>
    </w:p>
    <w:p w:rsidRPr="008B39B9" w:rsidR="00F43F0F" w:rsidP="008B39B9" w:rsidRDefault="004A6395">
      <w:pPr>
        <w:ind w:firstLine="284"/>
        <w:rPr>
          <w:rFonts w:ascii="Times New Roman" w:hAnsi="Times New Roman" w:eastAsia="Calibri" w:cs="Times New Roman"/>
          <w:i/>
          <w:iCs/>
          <w:szCs w:val="24"/>
          <w:lang w:val="en-GB"/>
        </w:rPr>
      </w:pPr>
      <w:r w:rsidRPr="008B39B9">
        <w:rPr>
          <w:snapToGrid w:val="0"/>
        </w:rPr>
        <w:fldChar w:fldCharType="begin"/>
      </w:r>
      <w:r w:rsidRPr="008B39B9">
        <w:rPr>
          <w:snapToGrid w:val="0"/>
        </w:rPr>
        <w:instrText xml:space="preserve"> SEQ level0 \*arabic </w:instrText>
      </w:r>
      <w:r w:rsidRPr="008B39B9">
        <w:rPr>
          <w:snapToGrid w:val="0"/>
        </w:rPr>
        <w:fldChar w:fldCharType="separate"/>
      </w:r>
      <w:r w:rsidRPr="008B39B9" w:rsidR="008B39B9">
        <w:rPr>
          <w:noProof/>
          <w:snapToGrid w:val="0"/>
        </w:rPr>
        <w:t>47</w:t>
      </w:r>
      <w:r w:rsidRPr="008B39B9">
        <w:rPr>
          <w:snapToGrid w:val="0"/>
        </w:rPr>
        <w:fldChar w:fldCharType="end"/>
      </w:r>
      <w:r w:rsidRPr="008B39B9">
        <w:rPr>
          <w:snapToGrid w:val="0"/>
        </w:rPr>
        <w:t>.  </w:t>
      </w:r>
      <w:r w:rsidRPr="008B39B9" w:rsidR="009B324D">
        <w:rPr>
          <w:snapToGrid w:val="0"/>
        </w:rPr>
        <w:t>The Court observes that the applicant was a shareholder in Demirbank before it was taken over by the State authorities. His shares in Demirbank became null and void when Demirbank</w:t>
      </w:r>
      <w:r w:rsidRPr="008B39B9" w:rsidR="008B39B9">
        <w:rPr>
          <w:snapToGrid w:val="0"/>
        </w:rPr>
        <w:t>’</w:t>
      </w:r>
      <w:r w:rsidRPr="008B39B9" w:rsidR="009B324D">
        <w:rPr>
          <w:snapToGrid w:val="0"/>
        </w:rPr>
        <w:t>s legal personality was extinguished and it was struck off the commercial registry following its sale to HSBC. In the Court</w:t>
      </w:r>
      <w:r w:rsidRPr="008B39B9" w:rsidR="008B39B9">
        <w:rPr>
          <w:snapToGrid w:val="0"/>
        </w:rPr>
        <w:t>’</w:t>
      </w:r>
      <w:r w:rsidRPr="008B39B9" w:rsidR="009B324D">
        <w:rPr>
          <w:snapToGrid w:val="0"/>
        </w:rPr>
        <w:t>s view, there has therefore been an interference with his right o</w:t>
      </w:r>
      <w:r w:rsidRPr="008B39B9" w:rsidR="00855961">
        <w:rPr>
          <w:snapToGrid w:val="0"/>
        </w:rPr>
        <w:t>f</w:t>
      </w:r>
      <w:r w:rsidRPr="008B39B9" w:rsidR="009B324D">
        <w:rPr>
          <w:snapToGrid w:val="0"/>
        </w:rPr>
        <w:t xml:space="preserve"> property (</w:t>
      </w:r>
      <w:r w:rsidRPr="008B39B9" w:rsidR="009B324D">
        <w:rPr>
          <w:i/>
          <w:lang w:val="en-GB"/>
        </w:rPr>
        <w:t>Süzer and Eksen Holding A.Ş. v. Turkey</w:t>
      </w:r>
      <w:r w:rsidRPr="008B39B9" w:rsidR="004C6B6A">
        <w:rPr>
          <w:lang w:val="en-GB"/>
        </w:rPr>
        <w:t>, no. </w:t>
      </w:r>
      <w:r w:rsidRPr="008B39B9" w:rsidR="009B324D">
        <w:rPr>
          <w:lang w:val="en-GB"/>
        </w:rPr>
        <w:t>6334/05, §</w:t>
      </w:r>
      <w:r w:rsidRPr="008B39B9" w:rsidR="004C6B6A">
        <w:rPr>
          <w:lang w:val="en-GB"/>
        </w:rPr>
        <w:t> </w:t>
      </w:r>
      <w:r w:rsidRPr="008B39B9" w:rsidR="009B324D">
        <w:rPr>
          <w:lang w:val="en-GB"/>
        </w:rPr>
        <w:t>143, 23 October 2012). The Court further observes that the Board</w:t>
      </w:r>
      <w:r w:rsidRPr="008B39B9" w:rsidR="008B39B9">
        <w:rPr>
          <w:lang w:val="en-GB"/>
        </w:rPr>
        <w:t>’</w:t>
      </w:r>
      <w:r w:rsidRPr="008B39B9" w:rsidR="009B324D">
        <w:rPr>
          <w:lang w:val="en-GB"/>
        </w:rPr>
        <w:t>s decision to t</w:t>
      </w:r>
      <w:r w:rsidRPr="008B39B9" w:rsidR="00F43F0F">
        <w:rPr>
          <w:lang w:val="en-GB"/>
        </w:rPr>
        <w:t>ake</w:t>
      </w:r>
      <w:r w:rsidRPr="008B39B9" w:rsidR="00855961">
        <w:rPr>
          <w:lang w:val="en-GB"/>
        </w:rPr>
        <w:t xml:space="preserve"> </w:t>
      </w:r>
      <w:r w:rsidRPr="008B39B9" w:rsidR="00F43F0F">
        <w:rPr>
          <w:lang w:val="en-GB"/>
        </w:rPr>
        <w:t>o</w:t>
      </w:r>
      <w:r w:rsidRPr="008B39B9" w:rsidR="009B324D">
        <w:rPr>
          <w:lang w:val="en-GB"/>
        </w:rPr>
        <w:t xml:space="preserve">ver the bank was </w:t>
      </w:r>
      <w:r w:rsidRPr="008B39B9" w:rsidR="00F43F0F">
        <w:rPr>
          <w:lang w:val="en-GB"/>
        </w:rPr>
        <w:t>adopted</w:t>
      </w:r>
      <w:r w:rsidRPr="008B39B9" w:rsidR="009B324D">
        <w:rPr>
          <w:lang w:val="en-GB"/>
        </w:rPr>
        <w:t xml:space="preserve"> </w:t>
      </w:r>
      <w:r w:rsidRPr="008B39B9" w:rsidR="007C7B99">
        <w:rPr>
          <w:lang w:val="en-GB"/>
        </w:rPr>
        <w:t xml:space="preserve">as </w:t>
      </w:r>
      <w:r w:rsidRPr="008B39B9" w:rsidR="009B324D">
        <w:rPr>
          <w:lang w:val="en-GB"/>
        </w:rPr>
        <w:t>a measure to control the banking sector in the country. It is true that it involved a deprivation of property, but in these circumstances the deprivation formed a constituent element of a scheme for controlling the banking industry. It is therefore the second paragraph of Article 1 of Protocol No. 1 which is applicable in the present case (</w:t>
      </w:r>
      <w:r w:rsidRPr="008B39B9" w:rsidR="009B324D">
        <w:rPr>
          <w:i/>
          <w:lang w:val="en-GB"/>
        </w:rPr>
        <w:t>Süzer and Eksen Holding A.Ş.</w:t>
      </w:r>
      <w:r w:rsidRPr="008B39B9" w:rsidR="009B324D">
        <w:rPr>
          <w:lang w:val="en-GB"/>
        </w:rPr>
        <w:t>, cited above, §</w:t>
      </w:r>
      <w:r w:rsidRPr="008B39B9" w:rsidR="004C6B6A">
        <w:rPr>
          <w:lang w:val="en-GB"/>
        </w:rPr>
        <w:t>§ </w:t>
      </w:r>
      <w:r w:rsidRPr="008B39B9" w:rsidR="009B324D">
        <w:rPr>
          <w:lang w:val="en-GB"/>
        </w:rPr>
        <w:t>146</w:t>
      </w:r>
      <w:r w:rsidRPr="008B39B9" w:rsidR="004C6B6A">
        <w:rPr>
          <w:lang w:val="en-GB"/>
        </w:rPr>
        <w:noBreakHyphen/>
      </w:r>
      <w:r w:rsidRPr="008B39B9" w:rsidR="00411ED8">
        <w:rPr>
          <w:lang w:val="en-GB"/>
        </w:rPr>
        <w:t>147</w:t>
      </w:r>
      <w:r w:rsidRPr="008B39B9" w:rsidR="009B324D">
        <w:rPr>
          <w:lang w:val="en-GB"/>
        </w:rPr>
        <w:t>).</w:t>
      </w:r>
      <w:r w:rsidRPr="008B39B9" w:rsidR="007D53F1">
        <w:t xml:space="preserve"> </w:t>
      </w:r>
      <w:r w:rsidRPr="008B39B9" w:rsidR="00F43F0F">
        <w:rPr>
          <w:rFonts w:ascii="Times New Roman" w:hAnsi="Times New Roman" w:eastAsia="Calibri" w:cs="Times New Roman"/>
          <w:szCs w:val="24"/>
        </w:rPr>
        <w:t>However, as stated above, that provision must be construed in the light of the general principle enunciated in the opening sentence of the first paragraph of Article 1 of Protocol No. 1. The Court must therefore determine whether the interference in question was lawful, and “in the public interest”, and whether it struck a fair balance between the owner</w:t>
      </w:r>
      <w:r w:rsidRPr="008B39B9" w:rsidR="008B39B9">
        <w:rPr>
          <w:rFonts w:ascii="Times New Roman" w:hAnsi="Times New Roman" w:eastAsia="Calibri" w:cs="Times New Roman"/>
          <w:szCs w:val="24"/>
        </w:rPr>
        <w:t>’</w:t>
      </w:r>
      <w:r w:rsidRPr="008B39B9" w:rsidR="00F43F0F">
        <w:rPr>
          <w:rFonts w:ascii="Times New Roman" w:hAnsi="Times New Roman" w:eastAsia="Calibri" w:cs="Times New Roman"/>
          <w:szCs w:val="24"/>
        </w:rPr>
        <w:t>s rights and the interests of the community. The Cou</w:t>
      </w:r>
      <w:r w:rsidRPr="008B39B9" w:rsidR="00855961">
        <w:rPr>
          <w:rFonts w:ascii="Times New Roman" w:hAnsi="Times New Roman" w:eastAsia="Calibri" w:cs="Times New Roman"/>
          <w:szCs w:val="24"/>
        </w:rPr>
        <w:t>rt will examine whether those three conditions have</w:t>
      </w:r>
      <w:r w:rsidRPr="008B39B9" w:rsidR="00F43F0F">
        <w:rPr>
          <w:rFonts w:ascii="Times New Roman" w:hAnsi="Times New Roman" w:eastAsia="Calibri" w:cs="Times New Roman"/>
          <w:szCs w:val="24"/>
        </w:rPr>
        <w:t xml:space="preserve"> been fulfilled in the present case.</w:t>
      </w:r>
    </w:p>
    <w:p w:rsidRPr="008B39B9" w:rsidR="00D26ADE" w:rsidP="008B39B9" w:rsidRDefault="004A6395">
      <w:pPr>
        <w:pStyle w:val="ECHRPara"/>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48</w:t>
      </w:r>
      <w:r w:rsidRPr="008B39B9">
        <w:rPr>
          <w:lang w:val="en-GB"/>
        </w:rPr>
        <w:fldChar w:fldCharType="end"/>
      </w:r>
      <w:r w:rsidRPr="008B39B9">
        <w:rPr>
          <w:lang w:val="en-GB"/>
        </w:rPr>
        <w:t>.  </w:t>
      </w:r>
      <w:r w:rsidRPr="008B39B9" w:rsidR="003827C6">
        <w:rPr>
          <w:lang w:val="en-GB"/>
        </w:rPr>
        <w:t>The first and most important requi</w:t>
      </w:r>
      <w:r w:rsidRPr="008B39B9" w:rsidR="007D53F1">
        <w:rPr>
          <w:lang w:val="en-GB"/>
        </w:rPr>
        <w:t>rement of Article 1 of Protocol </w:t>
      </w:r>
      <w:r w:rsidRPr="008B39B9" w:rsidR="003827C6">
        <w:rPr>
          <w:lang w:val="en-GB"/>
        </w:rPr>
        <w:t>No. 1 is that any interference by a public authority with the peaceful enjoyment of possessions should be lawful</w:t>
      </w:r>
      <w:r w:rsidRPr="008B39B9" w:rsidR="007C7B99">
        <w:rPr>
          <w:lang w:val="en-GB"/>
        </w:rPr>
        <w:t xml:space="preserve"> (see </w:t>
      </w:r>
      <w:r w:rsidRPr="008B39B9" w:rsidR="007C7B99">
        <w:rPr>
          <w:i/>
        </w:rPr>
        <w:t>Microintelect OOD</w:t>
      </w:r>
      <w:r w:rsidRPr="008B39B9" w:rsidR="007C7B99">
        <w:t xml:space="preserve"> </w:t>
      </w:r>
      <w:r w:rsidRPr="008B39B9" w:rsidR="004C6B6A">
        <w:rPr>
          <w:i/>
        </w:rPr>
        <w:t>v. </w:t>
      </w:r>
      <w:r w:rsidRPr="008B39B9" w:rsidR="007C7B99">
        <w:rPr>
          <w:i/>
        </w:rPr>
        <w:t>Bulgaria</w:t>
      </w:r>
      <w:r w:rsidRPr="008B39B9" w:rsidR="007C7B99">
        <w:t>, no. 34129/03</w:t>
      </w:r>
      <w:r w:rsidRPr="008B39B9" w:rsidR="007C7B99">
        <w:rPr>
          <w:snapToGrid w:val="0"/>
        </w:rPr>
        <w:t xml:space="preserve">, § 38, </w:t>
      </w:r>
      <w:r w:rsidRPr="008B39B9" w:rsidR="007C7B99">
        <w:t>4 March</w:t>
      </w:r>
      <w:r w:rsidRPr="008B39B9" w:rsidR="007C7B99">
        <w:rPr>
          <w:snapToGrid w:val="0"/>
        </w:rPr>
        <w:t xml:space="preserve"> 2014)</w:t>
      </w:r>
      <w:r w:rsidRPr="008B39B9" w:rsidR="003827C6">
        <w:rPr>
          <w:lang w:val="en-GB"/>
        </w:rPr>
        <w:t xml:space="preserve">. </w:t>
      </w:r>
      <w:r w:rsidRPr="008B39B9" w:rsidR="007C7B99">
        <w:rPr>
          <w:lang w:val="en-GB"/>
        </w:rPr>
        <w:t>In this connection, t</w:t>
      </w:r>
      <w:r w:rsidRPr="008B39B9" w:rsidR="00455226">
        <w:t xml:space="preserve">he Court notes that </w:t>
      </w:r>
      <w:r w:rsidRPr="008B39B9" w:rsidR="00D26ADE">
        <w:t xml:space="preserve">in the present case, </w:t>
      </w:r>
      <w:r w:rsidRPr="008B39B9" w:rsidR="007A0B1E">
        <w:t xml:space="preserve">the domestic courts annulled the decision pertaining to the takeover of Demirbank to the Fund and its subsequent sale to HSBC bank. </w:t>
      </w:r>
      <w:r w:rsidRPr="008B39B9" w:rsidR="00D26ADE">
        <w:t>In doing so, the courts respectively held that the administrative acts had been unlawful. By t</w:t>
      </w:r>
      <w:r w:rsidRPr="008B39B9" w:rsidR="00455226">
        <w:t>he</w:t>
      </w:r>
      <w:r w:rsidRPr="008B39B9" w:rsidR="00D26ADE">
        <w:t>se</w:t>
      </w:r>
      <w:r w:rsidRPr="008B39B9" w:rsidR="00455226">
        <w:t xml:space="preserve"> decision</w:t>
      </w:r>
      <w:r w:rsidRPr="008B39B9" w:rsidR="00D26ADE">
        <w:t>s, the administrative acts in question were declared null and void with retrospective (</w:t>
      </w:r>
      <w:r w:rsidRPr="008B39B9" w:rsidR="00D26ADE">
        <w:rPr>
          <w:i/>
        </w:rPr>
        <w:t>ex tunc</w:t>
      </w:r>
      <w:r w:rsidRPr="008B39B9" w:rsidR="00D26ADE">
        <w:t>) effect. That being so, the Court considers that the interference with the applica</w:t>
      </w:r>
      <w:r w:rsidRPr="008B39B9" w:rsidR="00CF153C">
        <w:t>n</w:t>
      </w:r>
      <w:r w:rsidRPr="008B39B9" w:rsidR="00D26ADE">
        <w:t>t</w:t>
      </w:r>
      <w:r w:rsidRPr="008B39B9" w:rsidR="008B39B9">
        <w:t>’</w:t>
      </w:r>
      <w:r w:rsidRPr="008B39B9" w:rsidR="00D26ADE">
        <w:t>s right to enjoyment of his possessions cannot be considered as lawful within the m</w:t>
      </w:r>
      <w:r w:rsidRPr="008B39B9" w:rsidR="007D53F1">
        <w:t>eaning of Article 1 of Protocol </w:t>
      </w:r>
      <w:r w:rsidRPr="008B39B9" w:rsidR="00D26ADE">
        <w:t xml:space="preserve">No. 1 to the Convention (see </w:t>
      </w:r>
      <w:r w:rsidRPr="008B39B9" w:rsidR="00D26ADE">
        <w:rPr>
          <w:i/>
          <w:lang w:val="en-GB"/>
        </w:rPr>
        <w:t>Süzer and Eksen Holding A.Ş</w:t>
      </w:r>
      <w:r w:rsidRPr="008B39B9" w:rsidR="00D26ADE">
        <w:rPr>
          <w:lang w:val="en-GB"/>
        </w:rPr>
        <w:t>, cited above,</w:t>
      </w:r>
      <w:r w:rsidRPr="008B39B9" w:rsidR="004C6B6A">
        <w:rPr>
          <w:lang w:val="en-GB"/>
        </w:rPr>
        <w:t xml:space="preserve"> § </w:t>
      </w:r>
      <w:r w:rsidRPr="008B39B9" w:rsidR="00D26ADE">
        <w:rPr>
          <w:lang w:val="en-GB"/>
        </w:rPr>
        <w:t>148)</w:t>
      </w:r>
    </w:p>
    <w:p w:rsidRPr="008B39B9" w:rsidR="007D53F1" w:rsidP="008B39B9" w:rsidRDefault="008B39B9">
      <w:pPr>
        <w:pStyle w:val="ECHRPara"/>
        <w:rPr>
          <w:lang w:val="en-GB"/>
        </w:rPr>
      </w:pPr>
      <w:fldSimple w:instr=" SEQ level0 \*arabic ">
        <w:r w:rsidRPr="008B39B9">
          <w:rPr>
            <w:noProof/>
          </w:rPr>
          <w:t>49</w:t>
        </w:r>
      </w:fldSimple>
      <w:r w:rsidRPr="008B39B9" w:rsidR="00CF153C">
        <w:t>.  </w:t>
      </w:r>
      <w:r w:rsidRPr="008B39B9" w:rsidR="002B1B8E">
        <w:t xml:space="preserve">The Court </w:t>
      </w:r>
      <w:r w:rsidRPr="008B39B9" w:rsidR="008033CC">
        <w:t xml:space="preserve">has </w:t>
      </w:r>
      <w:r w:rsidRPr="008B39B9" w:rsidR="002B1B8E">
        <w:t xml:space="preserve">also had due regard to the procedural guarantees provided to the applicant to defend his interests. It notes in this regard that although the applicant </w:t>
      </w:r>
      <w:r w:rsidRPr="008B39B9" w:rsidR="00C650C1">
        <w:t>was</w:t>
      </w:r>
      <w:r w:rsidRPr="008B39B9" w:rsidR="002B1B8E">
        <w:t xml:space="preserve"> able to initiate proceedings before the Ankara Administrative Court, at the end of the proceedings it was concluded that the execution of the judgment annulling the tak</w:t>
      </w:r>
      <w:r w:rsidRPr="008B39B9" w:rsidR="00CE7152">
        <w:t>eover</w:t>
      </w:r>
      <w:r w:rsidRPr="008B39B9" w:rsidR="002B1B8E">
        <w:t xml:space="preserve"> of Demirbank </w:t>
      </w:r>
      <w:r w:rsidRPr="008B39B9" w:rsidR="00C650C1">
        <w:t>was</w:t>
      </w:r>
      <w:r w:rsidRPr="008B39B9" w:rsidR="002B1B8E">
        <w:t xml:space="preserve"> impossible. The Court notes that t</w:t>
      </w:r>
      <w:r w:rsidRPr="008B39B9" w:rsidR="002B1B8E">
        <w:rPr>
          <w:lang w:val="en-GB"/>
        </w:rPr>
        <w:t xml:space="preserve">he complexity of the domestic enforcement procedure or of the State budgetary system cannot relieve the State of its obligation under the Convention to guarantee to everyone the right to have a binding and enforceable judicial decision enforced within a reasonable time. Nor is it open to a State authority to cite lack of funds or other resources as an excuse for not honouring a judgment debt (see </w:t>
      </w:r>
      <w:r w:rsidRPr="008B39B9" w:rsidR="002B1B8E">
        <w:rPr>
          <w:i/>
          <w:lang w:val="it-IT"/>
        </w:rPr>
        <w:t>Burdov v. Russia (no. 2)</w:t>
      </w:r>
      <w:r w:rsidRPr="008B39B9" w:rsidR="002B1B8E">
        <w:rPr>
          <w:lang w:val="it-IT"/>
        </w:rPr>
        <w:t>, no. 33509/04, § 70, ECHR 2009</w:t>
      </w:r>
      <w:r w:rsidRPr="008B39B9" w:rsidR="006B4D51">
        <w:rPr>
          <w:lang w:val="it-IT"/>
        </w:rPr>
        <w:t>,</w:t>
      </w:r>
      <w:r w:rsidRPr="008B39B9" w:rsidR="002B1B8E">
        <w:rPr>
          <w:lang w:val="it-IT"/>
        </w:rPr>
        <w:t xml:space="preserve"> and </w:t>
      </w:r>
      <w:r w:rsidRPr="008B39B9" w:rsidR="00712D51">
        <w:rPr>
          <w:i/>
          <w:lang w:val="en-GB"/>
        </w:rPr>
        <w:t>Süzer and Eksen Holding A.Ş.</w:t>
      </w:r>
      <w:r w:rsidRPr="008B39B9" w:rsidR="00712D51">
        <w:rPr>
          <w:lang w:val="en-GB"/>
        </w:rPr>
        <w:t>,</w:t>
      </w:r>
      <w:r w:rsidRPr="008B39B9" w:rsidR="00733A06">
        <w:rPr>
          <w:lang w:val="en-GB"/>
        </w:rPr>
        <w:t xml:space="preserve"> cited above,</w:t>
      </w:r>
      <w:r w:rsidRPr="008B39B9" w:rsidR="002B1B8E">
        <w:rPr>
          <w:lang w:val="en-GB"/>
        </w:rPr>
        <w:t xml:space="preserve"> § 116). </w:t>
      </w:r>
      <w:r w:rsidRPr="008B39B9" w:rsidR="00C650C1">
        <w:rPr>
          <w:lang w:val="en-GB"/>
        </w:rPr>
        <w:t xml:space="preserve">In this case </w:t>
      </w:r>
      <w:r w:rsidRPr="008B39B9" w:rsidR="007E3ECD">
        <w:rPr>
          <w:lang w:val="en-GB"/>
        </w:rPr>
        <w:t xml:space="preserve">the applicant, whose shares had been </w:t>
      </w:r>
      <w:r w:rsidRPr="008B39B9" w:rsidR="00CE7152">
        <w:rPr>
          <w:lang w:val="en-GB"/>
        </w:rPr>
        <w:t>removed from his possession</w:t>
      </w:r>
      <w:r w:rsidRPr="008B39B9" w:rsidR="007E3ECD">
        <w:rPr>
          <w:lang w:val="en-GB"/>
        </w:rPr>
        <w:t xml:space="preserve"> on the basis of an administrative action that was subsequently found to be </w:t>
      </w:r>
      <w:r w:rsidRPr="008B39B9" w:rsidR="00D26ADE">
        <w:rPr>
          <w:lang w:val="en-GB"/>
        </w:rPr>
        <w:t>unlawful</w:t>
      </w:r>
      <w:r w:rsidRPr="008B39B9" w:rsidR="007E3ECD">
        <w:rPr>
          <w:lang w:val="en-GB"/>
        </w:rPr>
        <w:t>, received no compensation for his loss.</w:t>
      </w:r>
    </w:p>
    <w:p w:rsidRPr="008B39B9" w:rsidR="007D53F1" w:rsidP="008B39B9" w:rsidRDefault="006031A5">
      <w:pPr>
        <w:pStyle w:val="ECHRPara"/>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50</w:t>
      </w:r>
      <w:r w:rsidRPr="008B39B9">
        <w:rPr>
          <w:lang w:val="en-GB"/>
        </w:rPr>
        <w:fldChar w:fldCharType="end"/>
      </w:r>
      <w:r w:rsidRPr="008B39B9">
        <w:rPr>
          <w:lang w:val="en-GB"/>
        </w:rPr>
        <w:t>.  </w:t>
      </w:r>
      <w:r w:rsidRPr="008B39B9" w:rsidR="002B1B8E">
        <w:t xml:space="preserve">Having regard to the above considerations, the Court finds that the </w:t>
      </w:r>
      <w:r w:rsidRPr="008B39B9" w:rsidR="00D26ADE">
        <w:t>interference on the applicant</w:t>
      </w:r>
      <w:r w:rsidRPr="008B39B9" w:rsidR="008B39B9">
        <w:t>’</w:t>
      </w:r>
      <w:r w:rsidRPr="008B39B9" w:rsidR="00D26ADE">
        <w:t>s right to enjoyment of his possessions cannot be considered as lawful within the meani</w:t>
      </w:r>
      <w:r w:rsidRPr="008B39B9" w:rsidR="004C6B6A">
        <w:t>ng of Article 1 of Protocol No. </w:t>
      </w:r>
      <w:r w:rsidRPr="008B39B9" w:rsidR="00CF153C">
        <w:t xml:space="preserve">1 </w:t>
      </w:r>
      <w:r w:rsidRPr="008B39B9" w:rsidR="00D26ADE">
        <w:t xml:space="preserve">and that the </w:t>
      </w:r>
      <w:r w:rsidRPr="008B39B9" w:rsidR="002B1B8E">
        <w:t>applicant was made to bear a disproportionate individual burden.</w:t>
      </w:r>
    </w:p>
    <w:p w:rsidRPr="008B39B9" w:rsidR="00D26ADE" w:rsidP="008B39B9" w:rsidRDefault="008B39B9">
      <w:pPr>
        <w:pStyle w:val="ECHRPara"/>
      </w:pPr>
      <w:fldSimple w:instr=" SEQ level0 \*arabic ">
        <w:r w:rsidRPr="008B39B9">
          <w:rPr>
            <w:noProof/>
          </w:rPr>
          <w:t>51</w:t>
        </w:r>
      </w:fldSimple>
      <w:r w:rsidRPr="008B39B9" w:rsidR="00D26ADE">
        <w:t>.  </w:t>
      </w:r>
      <w:r w:rsidRPr="008B39B9" w:rsidR="002B1B8E">
        <w:t>Consequently, there has been a violati</w:t>
      </w:r>
      <w:r w:rsidRPr="008B39B9" w:rsidR="007D53F1">
        <w:t>on of Article 1 of Protocol </w:t>
      </w:r>
      <w:r w:rsidRPr="008B39B9" w:rsidR="00855961">
        <w:t>No. </w:t>
      </w:r>
      <w:r w:rsidRPr="008B39B9" w:rsidR="002B1B8E">
        <w:t>1</w:t>
      </w:r>
      <w:r w:rsidRPr="008B39B9" w:rsidR="00D26ADE">
        <w:t xml:space="preserve"> to the Convention.</w:t>
      </w:r>
    </w:p>
    <w:p w:rsidRPr="008B39B9" w:rsidR="006031A5" w:rsidP="008B39B9" w:rsidRDefault="006031A5">
      <w:pPr>
        <w:pStyle w:val="ECHRPara"/>
        <w:rPr>
          <w:lang w:val="en-GB"/>
        </w:rPr>
      </w:pPr>
    </w:p>
    <w:p w:rsidRPr="008B39B9" w:rsidR="00014566" w:rsidP="008B39B9" w:rsidRDefault="00EB7F57">
      <w:pPr>
        <w:pStyle w:val="ECHRHeading1"/>
        <w:rPr>
          <w:lang w:val="en-GB"/>
        </w:rPr>
      </w:pPr>
      <w:r w:rsidRPr="008B39B9">
        <w:rPr>
          <w:lang w:val="en-GB"/>
        </w:rPr>
        <w:t>III</w:t>
      </w:r>
      <w:r w:rsidRPr="008B39B9" w:rsidR="00014566">
        <w:rPr>
          <w:lang w:val="en-GB"/>
        </w:rPr>
        <w:t xml:space="preserve">.  ALLEGED VIOLATION OF ARTICLE </w:t>
      </w:r>
      <w:r w:rsidRPr="008B39B9">
        <w:rPr>
          <w:lang w:val="en-GB"/>
        </w:rPr>
        <w:t>6</w:t>
      </w:r>
      <w:r w:rsidRPr="008B39B9" w:rsidR="00014566">
        <w:rPr>
          <w:lang w:val="en-GB"/>
        </w:rPr>
        <w:t xml:space="preserve"> OF THE CONVENTION</w:t>
      </w:r>
    </w:p>
    <w:p w:rsidRPr="008B39B9" w:rsidR="00ED2933" w:rsidP="008B39B9" w:rsidRDefault="000505C1">
      <w:pPr>
        <w:pStyle w:val="ECHRPara"/>
        <w:rPr>
          <w:rFonts w:ascii="Times New Roman" w:hAnsi="Times New Roman" w:eastAsia="Times New Roman" w:cs="Times New Roman"/>
          <w:szCs w:val="20"/>
          <w:lang w:val="en-GB" w:eastAsia="fr-FR"/>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52</w:t>
      </w:r>
      <w:r w:rsidRPr="008B39B9">
        <w:rPr>
          <w:lang w:val="en-GB"/>
        </w:rPr>
        <w:fldChar w:fldCharType="end"/>
      </w:r>
      <w:r w:rsidRPr="008B39B9">
        <w:rPr>
          <w:lang w:val="en-GB"/>
        </w:rPr>
        <w:t>.  </w:t>
      </w:r>
      <w:r w:rsidRPr="008B39B9" w:rsidR="00D13554">
        <w:rPr>
          <w:lang w:val="en-GB"/>
        </w:rPr>
        <w:t xml:space="preserve">In connection with the third set of proceedings (see </w:t>
      </w:r>
      <w:r w:rsidRPr="008B39B9" w:rsidR="00712D51">
        <w:rPr>
          <w:lang w:val="en-GB"/>
        </w:rPr>
        <w:t xml:space="preserve">paragraphs </w:t>
      </w:r>
      <w:r w:rsidRPr="008B39B9" w:rsidR="004C6B6A">
        <w:rPr>
          <w:lang w:val="en-GB"/>
        </w:rPr>
        <w:t>30</w:t>
      </w:r>
      <w:r w:rsidRPr="008B39B9" w:rsidR="004C6B6A">
        <w:rPr>
          <w:lang w:val="en-GB"/>
        </w:rPr>
        <w:noBreakHyphen/>
      </w:r>
      <w:r w:rsidRPr="008B39B9" w:rsidR="00D13554">
        <w:rPr>
          <w:lang w:val="en-GB"/>
        </w:rPr>
        <w:t>33 above), t</w:t>
      </w:r>
      <w:r w:rsidRPr="008B39B9" w:rsidR="00ED2933">
        <w:rPr>
          <w:lang w:val="en-GB"/>
        </w:rPr>
        <w:t xml:space="preserve">he applicant complained that he had been deprived of his right </w:t>
      </w:r>
      <w:r w:rsidRPr="008B39B9" w:rsidR="009E41D0">
        <w:rPr>
          <w:lang w:val="en-GB"/>
        </w:rPr>
        <w:t>of</w:t>
      </w:r>
      <w:r w:rsidRPr="008B39B9" w:rsidR="00ED2933">
        <w:rPr>
          <w:lang w:val="en-GB"/>
        </w:rPr>
        <w:t xml:space="preserve"> access to a court on the ground that the Istanbul Administrative Court </w:t>
      </w:r>
      <w:r w:rsidRPr="008B39B9" w:rsidR="00CE7152">
        <w:rPr>
          <w:lang w:val="en-GB"/>
        </w:rPr>
        <w:t xml:space="preserve">had </w:t>
      </w:r>
      <w:r w:rsidRPr="008B39B9" w:rsidR="00ED2933">
        <w:rPr>
          <w:lang w:val="en-GB"/>
        </w:rPr>
        <w:t>rejected his case as out of time.</w:t>
      </w:r>
      <w:r w:rsidRPr="008B39B9" w:rsidR="00ED2933">
        <w:rPr>
          <w:rFonts w:ascii="Times New Roman" w:hAnsi="Times New Roman" w:eastAsia="Times New Roman" w:cs="Times New Roman"/>
          <w:szCs w:val="20"/>
          <w:lang w:val="en-GB" w:eastAsia="fr-FR"/>
        </w:rPr>
        <w:t xml:space="preserve"> He relied on Article 6 of the Convention, the relevant passages of which provide as follows:</w:t>
      </w:r>
    </w:p>
    <w:p w:rsidRPr="008B39B9" w:rsidR="00ED2933" w:rsidP="008B39B9" w:rsidRDefault="00ED2933">
      <w:pPr>
        <w:pStyle w:val="ECHRParaQuote"/>
        <w:rPr>
          <w:lang w:val="en-GB"/>
        </w:rPr>
      </w:pPr>
      <w:r w:rsidRPr="008B39B9">
        <w:rPr>
          <w:lang w:val="en-GB"/>
        </w:rPr>
        <w:t>“1.  In the determination of his civil rights and obligations ... everyone is entitled to a fair and public hearing ... by [a] tribunal.”</w:t>
      </w:r>
    </w:p>
    <w:p w:rsidRPr="008B39B9" w:rsidR="00ED2933" w:rsidP="008B39B9" w:rsidRDefault="00ED2933">
      <w:pPr>
        <w:pStyle w:val="ECHRPara"/>
        <w:rPr>
          <w:rFonts w:ascii="Times New Roman" w:hAnsi="Times New Roman" w:eastAsia="Times New Roman" w:cs="Times New Roman"/>
          <w:szCs w:val="20"/>
          <w:lang w:val="en-GB" w:eastAsia="fr-FR"/>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53</w:t>
      </w:r>
      <w:r w:rsidRPr="008B39B9">
        <w:rPr>
          <w:lang w:val="en-GB"/>
        </w:rPr>
        <w:fldChar w:fldCharType="end"/>
      </w:r>
      <w:r w:rsidRPr="008B39B9">
        <w:rPr>
          <w:lang w:val="en-GB"/>
        </w:rPr>
        <w:t>.  </w:t>
      </w:r>
      <w:r w:rsidRPr="008B39B9">
        <w:rPr>
          <w:rFonts w:ascii="Times New Roman" w:hAnsi="Times New Roman" w:eastAsia="Times New Roman" w:cs="Times New Roman"/>
          <w:szCs w:val="20"/>
          <w:lang w:val="en-GB" w:eastAsia="fr-FR"/>
        </w:rPr>
        <w:t>The Government challenged that assertion</w:t>
      </w:r>
      <w:r w:rsidRPr="008B39B9" w:rsidR="00440E4B">
        <w:rPr>
          <w:rFonts w:ascii="Times New Roman" w:hAnsi="Times New Roman" w:eastAsia="Times New Roman" w:cs="Times New Roman"/>
          <w:szCs w:val="20"/>
          <w:lang w:val="en-GB" w:eastAsia="fr-FR"/>
        </w:rPr>
        <w:t>. Referring to the reasoning of the Istanbul Administrative Court, they argued that the applicant should have initiated compensation proceedings within the time-limits foreseen in the Administrative Procedure Code, namely within sixty days following 31 January 2001</w:t>
      </w:r>
      <w:r w:rsidRPr="008B39B9" w:rsidR="00C650C1">
        <w:rPr>
          <w:rFonts w:ascii="Times New Roman" w:hAnsi="Times New Roman" w:eastAsia="Times New Roman" w:cs="Times New Roman"/>
          <w:szCs w:val="20"/>
          <w:lang w:val="en-GB" w:eastAsia="fr-FR"/>
        </w:rPr>
        <w:t>,</w:t>
      </w:r>
      <w:r w:rsidRPr="008B39B9" w:rsidR="00440E4B">
        <w:rPr>
          <w:rFonts w:ascii="Times New Roman" w:hAnsi="Times New Roman" w:eastAsia="Times New Roman" w:cs="Times New Roman"/>
          <w:szCs w:val="20"/>
          <w:lang w:val="en-GB" w:eastAsia="fr-FR"/>
        </w:rPr>
        <w:t xml:space="preserve"> when all equities of Demirbank, including the applicant</w:t>
      </w:r>
      <w:r w:rsidRPr="008B39B9" w:rsidR="008B39B9">
        <w:rPr>
          <w:rFonts w:ascii="Times New Roman" w:hAnsi="Times New Roman" w:eastAsia="Times New Roman" w:cs="Times New Roman"/>
          <w:szCs w:val="20"/>
          <w:lang w:val="en-GB" w:eastAsia="fr-FR"/>
        </w:rPr>
        <w:t>’</w:t>
      </w:r>
      <w:r w:rsidRPr="008B39B9" w:rsidR="00440E4B">
        <w:rPr>
          <w:rFonts w:ascii="Times New Roman" w:hAnsi="Times New Roman" w:eastAsia="Times New Roman" w:cs="Times New Roman"/>
          <w:szCs w:val="20"/>
          <w:lang w:val="en-GB" w:eastAsia="fr-FR"/>
        </w:rPr>
        <w:t>s shares</w:t>
      </w:r>
      <w:r w:rsidRPr="008B39B9" w:rsidR="00CE7152">
        <w:rPr>
          <w:rFonts w:ascii="Times New Roman" w:hAnsi="Times New Roman" w:eastAsia="Times New Roman" w:cs="Times New Roman"/>
          <w:szCs w:val="20"/>
          <w:lang w:val="en-GB" w:eastAsia="fr-FR"/>
        </w:rPr>
        <w:t>,</w:t>
      </w:r>
      <w:r w:rsidRPr="008B39B9" w:rsidR="00440E4B">
        <w:rPr>
          <w:rFonts w:ascii="Times New Roman" w:hAnsi="Times New Roman" w:eastAsia="Times New Roman" w:cs="Times New Roman"/>
          <w:szCs w:val="20"/>
          <w:lang w:val="en-GB" w:eastAsia="fr-FR"/>
        </w:rPr>
        <w:t xml:space="preserve"> were removed fr</w:t>
      </w:r>
      <w:r w:rsidRPr="008B39B9" w:rsidR="00712D51">
        <w:rPr>
          <w:rFonts w:ascii="Times New Roman" w:hAnsi="Times New Roman" w:eastAsia="Times New Roman" w:cs="Times New Roman"/>
          <w:szCs w:val="20"/>
          <w:lang w:val="en-GB" w:eastAsia="fr-FR"/>
        </w:rPr>
        <w:t>om the Istanbul Stock Exchange.</w:t>
      </w:r>
    </w:p>
    <w:p w:rsidRPr="008B39B9" w:rsidR="00440E4B" w:rsidP="008B39B9" w:rsidRDefault="00440E4B">
      <w:pPr>
        <w:pStyle w:val="ECHRPara"/>
        <w:rPr>
          <w:rFonts w:ascii="Times New Roman" w:hAnsi="Times New Roman" w:eastAsia="Times New Roman" w:cs="Times New Roman"/>
          <w:szCs w:val="20"/>
          <w:lang w:val="en-GB" w:eastAsia="fr-FR"/>
        </w:rPr>
      </w:pPr>
      <w:r w:rsidRPr="008B39B9">
        <w:rPr>
          <w:rFonts w:ascii="Times New Roman" w:hAnsi="Times New Roman" w:eastAsia="Times New Roman" w:cs="Times New Roman"/>
          <w:szCs w:val="20"/>
          <w:lang w:val="en-GB" w:eastAsia="fr-FR"/>
        </w:rPr>
        <w:fldChar w:fldCharType="begin"/>
      </w:r>
      <w:r w:rsidRPr="008B39B9">
        <w:rPr>
          <w:rFonts w:ascii="Times New Roman" w:hAnsi="Times New Roman" w:eastAsia="Times New Roman" w:cs="Times New Roman"/>
          <w:szCs w:val="20"/>
          <w:lang w:val="en-GB" w:eastAsia="fr-FR"/>
        </w:rPr>
        <w:instrText xml:space="preserve"> SEQ level0 \*arabic </w:instrText>
      </w:r>
      <w:r w:rsidRPr="008B39B9">
        <w:rPr>
          <w:rFonts w:ascii="Times New Roman" w:hAnsi="Times New Roman" w:eastAsia="Times New Roman" w:cs="Times New Roman"/>
          <w:szCs w:val="20"/>
          <w:lang w:val="en-GB" w:eastAsia="fr-FR"/>
        </w:rPr>
        <w:fldChar w:fldCharType="separate"/>
      </w:r>
      <w:r w:rsidRPr="008B39B9" w:rsidR="008B39B9">
        <w:rPr>
          <w:rFonts w:ascii="Times New Roman" w:hAnsi="Times New Roman" w:eastAsia="Times New Roman" w:cs="Times New Roman"/>
          <w:noProof/>
          <w:szCs w:val="20"/>
          <w:lang w:val="en-GB" w:eastAsia="fr-FR"/>
        </w:rPr>
        <w:t>54</w:t>
      </w:r>
      <w:r w:rsidRPr="008B39B9">
        <w:rPr>
          <w:rFonts w:ascii="Times New Roman" w:hAnsi="Times New Roman" w:eastAsia="Times New Roman" w:cs="Times New Roman"/>
          <w:szCs w:val="20"/>
          <w:lang w:val="en-GB" w:eastAsia="fr-FR"/>
        </w:rPr>
        <w:fldChar w:fldCharType="end"/>
      </w:r>
      <w:r w:rsidRPr="008B39B9">
        <w:rPr>
          <w:rFonts w:ascii="Times New Roman" w:hAnsi="Times New Roman" w:eastAsia="Times New Roman" w:cs="Times New Roman"/>
          <w:szCs w:val="20"/>
          <w:lang w:val="en-GB" w:eastAsia="fr-FR"/>
        </w:rPr>
        <w:t>.  The Court notes that this complaint is not manifestly ill-founded within the meaning of Article 35 § 3 (a) of the Convention. It further notes that it is not inadmissible on any other grounds. It must therefore be declared admissible.</w:t>
      </w:r>
    </w:p>
    <w:p w:rsidRPr="008B39B9" w:rsidR="00ED2933" w:rsidP="008B39B9" w:rsidRDefault="00ED2933">
      <w:pPr>
        <w:pStyle w:val="ECHRPara"/>
        <w:rPr>
          <w:rFonts w:ascii="Times New Roman" w:hAnsi="Times New Roman" w:eastAsia="Times New Roman" w:cs="Times New Roman"/>
          <w:szCs w:val="20"/>
          <w:lang w:val="en-GB"/>
        </w:rPr>
      </w:pPr>
      <w:r w:rsidRPr="008B39B9">
        <w:rPr>
          <w:rFonts w:ascii="Times New Roman" w:hAnsi="Times New Roman" w:eastAsia="Times New Roman" w:cs="Times New Roman"/>
          <w:szCs w:val="20"/>
          <w:lang w:val="en-GB" w:eastAsia="fr-FR"/>
        </w:rPr>
        <w:fldChar w:fldCharType="begin"/>
      </w:r>
      <w:r w:rsidRPr="008B39B9">
        <w:rPr>
          <w:rFonts w:ascii="Times New Roman" w:hAnsi="Times New Roman" w:eastAsia="Times New Roman" w:cs="Times New Roman"/>
          <w:szCs w:val="20"/>
          <w:lang w:val="en-GB" w:eastAsia="fr-FR"/>
        </w:rPr>
        <w:instrText xml:space="preserve"> SEQ level0 \*arabic </w:instrText>
      </w:r>
      <w:r w:rsidRPr="008B39B9">
        <w:rPr>
          <w:rFonts w:ascii="Times New Roman" w:hAnsi="Times New Roman" w:eastAsia="Times New Roman" w:cs="Times New Roman"/>
          <w:szCs w:val="20"/>
          <w:lang w:val="en-GB" w:eastAsia="fr-FR"/>
        </w:rPr>
        <w:fldChar w:fldCharType="separate"/>
      </w:r>
      <w:r w:rsidRPr="008B39B9" w:rsidR="008B39B9">
        <w:rPr>
          <w:rFonts w:ascii="Times New Roman" w:hAnsi="Times New Roman" w:eastAsia="Times New Roman" w:cs="Times New Roman"/>
          <w:noProof/>
          <w:szCs w:val="20"/>
          <w:lang w:val="en-GB" w:eastAsia="fr-FR"/>
        </w:rPr>
        <w:t>55</w:t>
      </w:r>
      <w:r w:rsidRPr="008B39B9">
        <w:rPr>
          <w:rFonts w:ascii="Times New Roman" w:hAnsi="Times New Roman" w:eastAsia="Times New Roman" w:cs="Times New Roman"/>
          <w:szCs w:val="20"/>
          <w:lang w:val="en-GB" w:eastAsia="fr-FR"/>
        </w:rPr>
        <w:fldChar w:fldCharType="end"/>
      </w:r>
      <w:r w:rsidRPr="008B39B9">
        <w:rPr>
          <w:rFonts w:ascii="Times New Roman" w:hAnsi="Times New Roman" w:eastAsia="Times New Roman" w:cs="Times New Roman"/>
          <w:szCs w:val="20"/>
          <w:lang w:val="en-GB" w:eastAsia="fr-FR"/>
        </w:rPr>
        <w:t xml:space="preserve">.  The Court reiterates at the outset that the right to a fair trial, guaranteed by Article 6 § 1 of the Convention, must be construed in the light of the rule of law, which requires an effective judicial remedy enabling [litigants] to assert their civil rights (see </w:t>
      </w:r>
      <w:r w:rsidRPr="008B39B9">
        <w:rPr>
          <w:rFonts w:ascii="Times New Roman" w:hAnsi="Times New Roman" w:eastAsia="Times New Roman" w:cs="Times New Roman"/>
          <w:i/>
          <w:szCs w:val="20"/>
          <w:lang w:val="en-GB" w:eastAsia="fr-FR"/>
        </w:rPr>
        <w:t>Běleš and Others v. the Czech Republic</w:t>
      </w:r>
      <w:r w:rsidRPr="008B39B9">
        <w:rPr>
          <w:rFonts w:ascii="Times New Roman" w:hAnsi="Times New Roman" w:eastAsia="Times New Roman" w:cs="Times New Roman"/>
          <w:szCs w:val="20"/>
          <w:lang w:val="en-GB" w:eastAsia="fr-FR"/>
        </w:rPr>
        <w:t xml:space="preserve">, no. 47273/99, § 49, ECHR 2002-IX). Everyone has the right to have any claim relating to his civil rights and obligations brought before a court or tribunal. In this way the Article embodies the “right to a court”, of which the right of access, that is the right to institute proceedings before courts in civil matters, constitutes one aspect only (see </w:t>
      </w:r>
      <w:r w:rsidRPr="008B39B9" w:rsidR="007D53F1">
        <w:rPr>
          <w:rFonts w:ascii="Times New Roman" w:hAnsi="Times New Roman" w:eastAsia="Times New Roman" w:cs="Times New Roman"/>
          <w:i/>
          <w:szCs w:val="20"/>
          <w:lang w:val="en-GB"/>
        </w:rPr>
        <w:t>Golder v. the United </w:t>
      </w:r>
      <w:r w:rsidRPr="008B39B9">
        <w:rPr>
          <w:rFonts w:ascii="Times New Roman" w:hAnsi="Times New Roman" w:eastAsia="Times New Roman" w:cs="Times New Roman"/>
          <w:i/>
          <w:szCs w:val="20"/>
          <w:lang w:val="en-GB"/>
        </w:rPr>
        <w:t>Kingdom</w:t>
      </w:r>
      <w:r w:rsidRPr="008B39B9">
        <w:rPr>
          <w:rFonts w:ascii="Times New Roman" w:hAnsi="Times New Roman" w:eastAsia="Times New Roman" w:cs="Times New Roman"/>
          <w:szCs w:val="20"/>
          <w:lang w:val="en-GB"/>
        </w:rPr>
        <w:t>, 21 Febru</w:t>
      </w:r>
      <w:r w:rsidRPr="008B39B9" w:rsidR="006B4D51">
        <w:rPr>
          <w:rFonts w:ascii="Times New Roman" w:hAnsi="Times New Roman" w:eastAsia="Times New Roman" w:cs="Times New Roman"/>
          <w:szCs w:val="20"/>
          <w:lang w:val="en-GB"/>
        </w:rPr>
        <w:t>ary 1975, § 36, Series A no. 18,</w:t>
      </w:r>
      <w:r w:rsidRPr="008B39B9">
        <w:rPr>
          <w:rFonts w:ascii="Times New Roman" w:hAnsi="Times New Roman" w:eastAsia="Times New Roman" w:cs="Times New Roman"/>
          <w:szCs w:val="20"/>
          <w:lang w:val="en-GB" w:eastAsia="fr-FR"/>
        </w:rPr>
        <w:t xml:space="preserve"> and </w:t>
      </w:r>
      <w:r w:rsidRPr="008B39B9" w:rsidR="007D53F1">
        <w:rPr>
          <w:rFonts w:ascii="Times New Roman" w:hAnsi="Times New Roman" w:eastAsia="Times New Roman" w:cs="Times New Roman"/>
          <w:i/>
          <w:szCs w:val="20"/>
          <w:lang w:val="en-GB" w:eastAsia="fr-FR"/>
        </w:rPr>
        <w:t>Prince </w:t>
      </w:r>
      <w:r w:rsidRPr="008B39B9" w:rsidR="00DB3E87">
        <w:rPr>
          <w:rFonts w:ascii="Times New Roman" w:hAnsi="Times New Roman" w:eastAsia="Times New Roman" w:cs="Times New Roman"/>
          <w:i/>
          <w:szCs w:val="20"/>
          <w:lang w:val="en-GB" w:eastAsia="fr-FR"/>
        </w:rPr>
        <w:t>Hans</w:t>
      </w:r>
      <w:r w:rsidRPr="008B39B9" w:rsidR="00DB3E87">
        <w:rPr>
          <w:rFonts w:ascii="Times New Roman" w:hAnsi="Times New Roman" w:eastAsia="Times New Roman" w:cs="Times New Roman"/>
          <w:i/>
          <w:szCs w:val="20"/>
          <w:lang w:val="en-GB" w:eastAsia="fr-FR"/>
        </w:rPr>
        <w:noBreakHyphen/>
      </w:r>
      <w:r w:rsidRPr="008B39B9">
        <w:rPr>
          <w:rFonts w:ascii="Times New Roman" w:hAnsi="Times New Roman" w:eastAsia="Times New Roman" w:cs="Times New Roman"/>
          <w:i/>
          <w:szCs w:val="20"/>
          <w:lang w:val="en-GB" w:eastAsia="fr-FR"/>
        </w:rPr>
        <w:t>Adam II of Liechtenstein v. Germany</w:t>
      </w:r>
      <w:r w:rsidRPr="008B39B9" w:rsidR="00DB3E87">
        <w:rPr>
          <w:rFonts w:ascii="Times New Roman" w:hAnsi="Times New Roman" w:eastAsia="Times New Roman" w:cs="Times New Roman"/>
          <w:szCs w:val="20"/>
          <w:lang w:val="en-GB" w:eastAsia="fr-FR"/>
        </w:rPr>
        <w:t xml:space="preserve"> [GC], no. 42527/98, § </w:t>
      </w:r>
      <w:r w:rsidRPr="008B39B9" w:rsidR="007D53F1">
        <w:rPr>
          <w:rFonts w:ascii="Times New Roman" w:hAnsi="Times New Roman" w:eastAsia="Times New Roman" w:cs="Times New Roman"/>
          <w:szCs w:val="20"/>
          <w:lang w:val="en-GB" w:eastAsia="fr-FR"/>
        </w:rPr>
        <w:t>43, ECHR </w:t>
      </w:r>
      <w:r w:rsidRPr="008B39B9">
        <w:rPr>
          <w:rFonts w:ascii="Times New Roman" w:hAnsi="Times New Roman" w:eastAsia="Times New Roman" w:cs="Times New Roman"/>
          <w:szCs w:val="20"/>
          <w:lang w:val="en-GB" w:eastAsia="fr-FR"/>
        </w:rPr>
        <w:t>2001-VIII).</w:t>
      </w:r>
    </w:p>
    <w:p w:rsidRPr="008B39B9" w:rsidR="00ED2933" w:rsidP="008B39B9" w:rsidRDefault="00ED2933">
      <w:pPr>
        <w:pStyle w:val="ECHRPara"/>
        <w:rPr>
          <w:rFonts w:ascii="Times New Roman" w:hAnsi="Times New Roman" w:eastAsia="Times New Roman" w:cs="Times New Roman"/>
          <w:noProof/>
          <w:szCs w:val="20"/>
          <w:lang w:val="en-GB" w:eastAsia="fr-FR"/>
        </w:rPr>
      </w:pPr>
      <w:r w:rsidRPr="008B39B9">
        <w:rPr>
          <w:rFonts w:ascii="Times New Roman" w:hAnsi="Times New Roman" w:eastAsia="Times New Roman" w:cs="Times New Roman"/>
          <w:noProof/>
          <w:szCs w:val="20"/>
          <w:lang w:val="en-GB" w:eastAsia="fr-FR"/>
        </w:rPr>
        <w:fldChar w:fldCharType="begin"/>
      </w:r>
      <w:r w:rsidRPr="008B39B9">
        <w:rPr>
          <w:rFonts w:ascii="Times New Roman" w:hAnsi="Times New Roman" w:eastAsia="Times New Roman" w:cs="Times New Roman"/>
          <w:noProof/>
          <w:szCs w:val="20"/>
          <w:lang w:val="en-GB" w:eastAsia="fr-FR"/>
        </w:rPr>
        <w:instrText xml:space="preserve"> SEQ level0 \*arabic </w:instrText>
      </w:r>
      <w:r w:rsidRPr="008B39B9">
        <w:rPr>
          <w:rFonts w:ascii="Times New Roman" w:hAnsi="Times New Roman" w:eastAsia="Times New Roman" w:cs="Times New Roman"/>
          <w:noProof/>
          <w:szCs w:val="20"/>
          <w:lang w:val="en-GB" w:eastAsia="fr-FR"/>
        </w:rPr>
        <w:fldChar w:fldCharType="separate"/>
      </w:r>
      <w:r w:rsidRPr="008B39B9" w:rsidR="008B39B9">
        <w:rPr>
          <w:rFonts w:ascii="Times New Roman" w:hAnsi="Times New Roman" w:eastAsia="Times New Roman" w:cs="Times New Roman"/>
          <w:noProof/>
          <w:szCs w:val="20"/>
          <w:lang w:val="en-GB" w:eastAsia="fr-FR"/>
        </w:rPr>
        <w:t>56</w:t>
      </w:r>
      <w:r w:rsidRPr="008B39B9">
        <w:rPr>
          <w:rFonts w:ascii="Times New Roman" w:hAnsi="Times New Roman" w:eastAsia="Times New Roman" w:cs="Times New Roman"/>
          <w:noProof/>
          <w:szCs w:val="20"/>
          <w:lang w:val="en-GB" w:eastAsia="fr-FR"/>
        </w:rPr>
        <w:fldChar w:fldCharType="end"/>
      </w:r>
      <w:r w:rsidRPr="008B39B9">
        <w:rPr>
          <w:rFonts w:ascii="Times New Roman" w:hAnsi="Times New Roman" w:eastAsia="Times New Roman" w:cs="Times New Roman"/>
          <w:noProof/>
          <w:szCs w:val="20"/>
          <w:lang w:val="en-GB" w:eastAsia="fr-FR"/>
        </w:rPr>
        <w:t>.  The “right to a court” is not absolute; it is subject to limitations permitted by implication, in particular where the conditions of admissibility of an appeal are concerned, since by its very nature it calls for regulation by the State, which enjoys a certain margin of a</w:t>
      </w:r>
      <w:r w:rsidRPr="008B39B9" w:rsidR="007D53F1">
        <w:rPr>
          <w:rFonts w:ascii="Times New Roman" w:hAnsi="Times New Roman" w:eastAsia="Times New Roman" w:cs="Times New Roman"/>
          <w:noProof/>
          <w:szCs w:val="20"/>
          <w:lang w:val="en-GB" w:eastAsia="fr-FR"/>
        </w:rPr>
        <w:t xml:space="preserve">ppreciation in this regard (see </w:t>
      </w:r>
      <w:r w:rsidRPr="008B39B9">
        <w:rPr>
          <w:rFonts w:ascii="Times New Roman" w:hAnsi="Times New Roman" w:eastAsia="Times New Roman" w:cs="Times New Roman"/>
          <w:i/>
          <w:noProof/>
          <w:szCs w:val="20"/>
          <w:lang w:val="en-GB" w:eastAsia="fr-FR"/>
        </w:rPr>
        <w:t>García Manibardo v. Spain</w:t>
      </w:r>
      <w:r w:rsidRPr="008B39B9">
        <w:rPr>
          <w:rFonts w:ascii="Times New Roman" w:hAnsi="Times New Roman" w:eastAsia="Times New Roman" w:cs="Times New Roman"/>
          <w:noProof/>
          <w:szCs w:val="20"/>
          <w:lang w:val="en-GB" w:eastAsia="fr-FR"/>
        </w:rPr>
        <w:t>, no. 38695/97, § 36, ECHR 2000-II</w:t>
      </w:r>
      <w:r w:rsidRPr="008B39B9" w:rsidR="006B4D51">
        <w:rPr>
          <w:rFonts w:ascii="Times New Roman" w:hAnsi="Times New Roman" w:eastAsia="Times New Roman" w:cs="Times New Roman"/>
          <w:noProof/>
          <w:szCs w:val="20"/>
          <w:lang w:val="en-GB" w:eastAsia="fr-FR"/>
        </w:rPr>
        <w:t>,</w:t>
      </w:r>
      <w:r w:rsidRPr="008B39B9">
        <w:rPr>
          <w:rFonts w:ascii="Times New Roman" w:hAnsi="Times New Roman" w:eastAsia="Times New Roman" w:cs="Times New Roman"/>
          <w:noProof/>
          <w:szCs w:val="20"/>
          <w:lang w:val="en-GB" w:eastAsia="fr-FR"/>
        </w:rPr>
        <w:t xml:space="preserve"> and </w:t>
      </w:r>
      <w:r w:rsidRPr="008B39B9">
        <w:rPr>
          <w:rFonts w:ascii="Times New Roman" w:hAnsi="Times New Roman" w:eastAsia="Times New Roman" w:cs="Times New Roman"/>
          <w:i/>
          <w:noProof/>
          <w:szCs w:val="20"/>
          <w:lang w:val="en-GB" w:eastAsia="fr-FR"/>
        </w:rPr>
        <w:t>Mortier v. France</w:t>
      </w:r>
      <w:r w:rsidRPr="008B39B9">
        <w:rPr>
          <w:rFonts w:ascii="Times New Roman" w:hAnsi="Times New Roman" w:eastAsia="Times New Roman" w:cs="Times New Roman"/>
          <w:noProof/>
          <w:szCs w:val="20"/>
          <w:lang w:val="en-GB" w:eastAsia="fr-FR"/>
        </w:rPr>
        <w:t>, no. 42195/98, § 33, 31 July 2001). However, these limitations must not restrict or reduce a person</w:t>
      </w:r>
      <w:r w:rsidRPr="008B39B9" w:rsidR="008B39B9">
        <w:rPr>
          <w:rFonts w:ascii="Times New Roman" w:hAnsi="Times New Roman" w:eastAsia="Times New Roman" w:cs="Times New Roman"/>
          <w:noProof/>
          <w:szCs w:val="20"/>
          <w:lang w:val="en-GB" w:eastAsia="fr-FR"/>
        </w:rPr>
        <w:t>’</w:t>
      </w:r>
      <w:r w:rsidRPr="008B39B9">
        <w:rPr>
          <w:rFonts w:ascii="Times New Roman" w:hAnsi="Times New Roman" w:eastAsia="Times New Roman" w:cs="Times New Roman"/>
          <w:noProof/>
          <w:szCs w:val="20"/>
          <w:lang w:val="en-GB" w:eastAsia="fr-FR"/>
        </w:rPr>
        <w:t xml:space="preserve">s access in such a way or to such an extent that the very essence of the right is impaired. Lastly, such limitations will not be compatible with Article 6 § 1 if they do not pursue a legitimate aim or if there is not a reasonable relationship of proportionality between the means employed and the aim pursued (see </w:t>
      </w:r>
      <w:r w:rsidRPr="008B39B9">
        <w:rPr>
          <w:rFonts w:ascii="Times New Roman" w:hAnsi="Times New Roman" w:eastAsia="Times New Roman" w:cs="Times New Roman"/>
          <w:i/>
          <w:noProof/>
          <w:szCs w:val="20"/>
          <w:lang w:val="en-GB" w:eastAsia="fr-FR"/>
        </w:rPr>
        <w:t>Guérin v. France</w:t>
      </w:r>
      <w:r w:rsidRPr="008B39B9">
        <w:rPr>
          <w:rFonts w:ascii="Times New Roman" w:hAnsi="Times New Roman" w:eastAsia="Times New Roman" w:cs="Times New Roman"/>
          <w:noProof/>
          <w:szCs w:val="20"/>
          <w:lang w:val="en-GB" w:eastAsia="fr-FR"/>
        </w:rPr>
        <w:t xml:space="preserve">, 29 July 1998, § 37, </w:t>
      </w:r>
      <w:r w:rsidRPr="008B39B9">
        <w:rPr>
          <w:rFonts w:ascii="Times New Roman" w:hAnsi="Times New Roman" w:eastAsia="Times New Roman" w:cs="Times New Roman"/>
          <w:i/>
          <w:noProof/>
          <w:szCs w:val="20"/>
          <w:lang w:val="en-GB" w:eastAsia="fr-FR"/>
        </w:rPr>
        <w:t>Reports of Judgments and Decisions</w:t>
      </w:r>
      <w:r w:rsidRPr="008B39B9">
        <w:rPr>
          <w:rFonts w:ascii="Times New Roman" w:hAnsi="Times New Roman" w:eastAsia="Times New Roman" w:cs="Times New Roman"/>
          <w:noProof/>
          <w:szCs w:val="20"/>
          <w:lang w:val="en-GB" w:eastAsia="fr-FR"/>
        </w:rPr>
        <w:t xml:space="preserve"> 1998-V</w:t>
      </w:r>
      <w:r w:rsidRPr="008B39B9" w:rsidR="006B4D51">
        <w:rPr>
          <w:rFonts w:ascii="Times New Roman" w:hAnsi="Times New Roman" w:eastAsia="Times New Roman" w:cs="Times New Roman"/>
          <w:noProof/>
          <w:szCs w:val="20"/>
          <w:lang w:val="en-GB" w:eastAsia="fr-FR"/>
        </w:rPr>
        <w:t>,</w:t>
      </w:r>
      <w:r w:rsidRPr="008B39B9">
        <w:rPr>
          <w:rFonts w:ascii="Times New Roman" w:hAnsi="Times New Roman" w:eastAsia="Times New Roman" w:cs="Times New Roman"/>
          <w:noProof/>
          <w:szCs w:val="20"/>
          <w:lang w:val="en-GB" w:eastAsia="fr-FR"/>
        </w:rPr>
        <w:t xml:space="preserve"> and </w:t>
      </w:r>
      <w:r w:rsidRPr="008B39B9">
        <w:rPr>
          <w:rFonts w:ascii="Times New Roman" w:hAnsi="Times New Roman" w:eastAsia="Times New Roman" w:cs="Times New Roman"/>
          <w:i/>
          <w:noProof/>
          <w:szCs w:val="20"/>
          <w:lang w:val="en-GB" w:eastAsia="fr-FR"/>
        </w:rPr>
        <w:t>Stubbings an</w:t>
      </w:r>
      <w:r w:rsidRPr="008B39B9" w:rsidR="00712D51">
        <w:rPr>
          <w:rFonts w:ascii="Times New Roman" w:hAnsi="Times New Roman" w:eastAsia="Times New Roman" w:cs="Times New Roman"/>
          <w:i/>
          <w:noProof/>
          <w:szCs w:val="20"/>
          <w:lang w:val="en-GB" w:eastAsia="fr-FR"/>
        </w:rPr>
        <w:t xml:space="preserve">d Others v. </w:t>
      </w:r>
      <w:r w:rsidRPr="008B39B9">
        <w:rPr>
          <w:rFonts w:ascii="Times New Roman" w:hAnsi="Times New Roman" w:eastAsia="Times New Roman" w:cs="Times New Roman"/>
          <w:i/>
          <w:noProof/>
          <w:szCs w:val="20"/>
          <w:lang w:val="en-GB" w:eastAsia="fr-FR"/>
        </w:rPr>
        <w:t>the United Kingdom</w:t>
      </w:r>
      <w:r w:rsidRPr="008B39B9" w:rsidR="00AC4D3E">
        <w:rPr>
          <w:rFonts w:ascii="Times New Roman" w:hAnsi="Times New Roman" w:eastAsia="Times New Roman" w:cs="Times New Roman"/>
          <w:noProof/>
          <w:szCs w:val="20"/>
          <w:lang w:val="en-GB" w:eastAsia="fr-FR"/>
        </w:rPr>
        <w:t>, 22 October 1996, § </w:t>
      </w:r>
      <w:r w:rsidRPr="008B39B9">
        <w:rPr>
          <w:rFonts w:ascii="Times New Roman" w:hAnsi="Times New Roman" w:eastAsia="Times New Roman" w:cs="Times New Roman"/>
          <w:noProof/>
          <w:szCs w:val="20"/>
          <w:lang w:val="en-GB" w:eastAsia="fr-FR"/>
        </w:rPr>
        <w:t xml:space="preserve">50, </w:t>
      </w:r>
      <w:r w:rsidRPr="008B39B9">
        <w:rPr>
          <w:rFonts w:ascii="Times New Roman" w:hAnsi="Times New Roman" w:eastAsia="Times New Roman" w:cs="Times New Roman"/>
          <w:i/>
          <w:noProof/>
          <w:szCs w:val="20"/>
          <w:lang w:val="en-GB" w:eastAsia="fr-FR"/>
        </w:rPr>
        <w:t>Reports</w:t>
      </w:r>
      <w:r w:rsidRPr="008B39B9">
        <w:rPr>
          <w:rFonts w:ascii="Times New Roman" w:hAnsi="Times New Roman" w:eastAsia="Times New Roman" w:cs="Times New Roman"/>
          <w:noProof/>
          <w:szCs w:val="20"/>
          <w:lang w:val="en-GB" w:eastAsia="fr-FR"/>
        </w:rPr>
        <w:t xml:space="preserve"> 1996 IV).</w:t>
      </w:r>
    </w:p>
    <w:p w:rsidRPr="008B39B9" w:rsidR="00ED2933" w:rsidP="008B39B9" w:rsidRDefault="00ED2933">
      <w:pPr>
        <w:pStyle w:val="ECHRPara"/>
        <w:rPr>
          <w:rFonts w:ascii="Times New Roman" w:hAnsi="Times New Roman" w:eastAsia="Times New Roman" w:cs="Times New Roman"/>
          <w:noProof/>
          <w:szCs w:val="20"/>
          <w:lang w:val="en-GB" w:eastAsia="fr-FR"/>
        </w:rPr>
      </w:pPr>
      <w:r w:rsidRPr="008B39B9">
        <w:rPr>
          <w:rFonts w:ascii="Times New Roman" w:hAnsi="Times New Roman" w:eastAsia="Times New Roman" w:cs="Times New Roman"/>
          <w:noProof/>
          <w:szCs w:val="20"/>
          <w:lang w:val="en-GB" w:eastAsia="fr-FR"/>
        </w:rPr>
        <w:fldChar w:fldCharType="begin"/>
      </w:r>
      <w:r w:rsidRPr="008B39B9">
        <w:rPr>
          <w:rFonts w:ascii="Times New Roman" w:hAnsi="Times New Roman" w:eastAsia="Times New Roman" w:cs="Times New Roman"/>
          <w:noProof/>
          <w:szCs w:val="20"/>
          <w:lang w:val="en-GB" w:eastAsia="fr-FR"/>
        </w:rPr>
        <w:instrText xml:space="preserve"> SEQ level0 \*arabic </w:instrText>
      </w:r>
      <w:r w:rsidRPr="008B39B9">
        <w:rPr>
          <w:rFonts w:ascii="Times New Roman" w:hAnsi="Times New Roman" w:eastAsia="Times New Roman" w:cs="Times New Roman"/>
          <w:noProof/>
          <w:szCs w:val="20"/>
          <w:lang w:val="en-GB" w:eastAsia="fr-FR"/>
        </w:rPr>
        <w:fldChar w:fldCharType="separate"/>
      </w:r>
      <w:r w:rsidRPr="008B39B9" w:rsidR="008B39B9">
        <w:rPr>
          <w:rFonts w:ascii="Times New Roman" w:hAnsi="Times New Roman" w:eastAsia="Times New Roman" w:cs="Times New Roman"/>
          <w:noProof/>
          <w:szCs w:val="20"/>
          <w:lang w:val="en-GB" w:eastAsia="fr-FR"/>
        </w:rPr>
        <w:t>57</w:t>
      </w:r>
      <w:r w:rsidRPr="008B39B9">
        <w:rPr>
          <w:rFonts w:ascii="Times New Roman" w:hAnsi="Times New Roman" w:eastAsia="Times New Roman" w:cs="Times New Roman"/>
          <w:noProof/>
          <w:szCs w:val="20"/>
          <w:lang w:val="en-GB" w:eastAsia="fr-FR"/>
        </w:rPr>
        <w:fldChar w:fldCharType="end"/>
      </w:r>
      <w:r w:rsidRPr="008B39B9">
        <w:rPr>
          <w:rFonts w:ascii="Times New Roman" w:hAnsi="Times New Roman" w:eastAsia="Times New Roman" w:cs="Times New Roman"/>
          <w:noProof/>
          <w:szCs w:val="20"/>
          <w:lang w:val="en-GB" w:eastAsia="fr-FR"/>
        </w:rPr>
        <w:t>.  Furthermore, it is in the first place for the national authorities, and notably the courts, to interpret domestic law. The Court</w:t>
      </w:r>
      <w:r w:rsidRPr="008B39B9" w:rsidR="008B39B9">
        <w:rPr>
          <w:rFonts w:ascii="Times New Roman" w:hAnsi="Times New Roman" w:eastAsia="Times New Roman" w:cs="Times New Roman"/>
          <w:noProof/>
          <w:szCs w:val="20"/>
          <w:lang w:val="en-GB" w:eastAsia="fr-FR"/>
        </w:rPr>
        <w:t>’</w:t>
      </w:r>
      <w:r w:rsidRPr="008B39B9">
        <w:rPr>
          <w:rFonts w:ascii="Times New Roman" w:hAnsi="Times New Roman" w:eastAsia="Times New Roman" w:cs="Times New Roman"/>
          <w:noProof/>
          <w:szCs w:val="20"/>
          <w:lang w:val="en-GB" w:eastAsia="fr-FR"/>
        </w:rPr>
        <w:t>s role is limited to verifying compatibility with the Convention of the effects of such an interpretation. This applies in particular to the interpretation by courts of rules of a procedural nature</w:t>
      </w:r>
      <w:r w:rsidRPr="008B39B9" w:rsidR="009E41D0">
        <w:rPr>
          <w:rFonts w:ascii="Times New Roman" w:hAnsi="Times New Roman" w:eastAsia="Times New Roman" w:cs="Times New Roman"/>
          <w:noProof/>
          <w:szCs w:val="20"/>
          <w:lang w:val="en-GB" w:eastAsia="fr-FR"/>
        </w:rPr>
        <w:t>,</w:t>
      </w:r>
      <w:r w:rsidRPr="008B39B9">
        <w:rPr>
          <w:rFonts w:ascii="Times New Roman" w:hAnsi="Times New Roman" w:eastAsia="Times New Roman" w:cs="Times New Roman"/>
          <w:noProof/>
          <w:szCs w:val="20"/>
          <w:lang w:val="en-GB" w:eastAsia="fr-FR"/>
        </w:rPr>
        <w:t xml:space="preserve"> such as time-limits governing the lodging of appeals (see </w:t>
      </w:r>
      <w:r w:rsidRPr="008B39B9">
        <w:rPr>
          <w:rFonts w:ascii="Times New Roman" w:hAnsi="Times New Roman" w:eastAsia="Times New Roman" w:cs="Times New Roman"/>
          <w:i/>
          <w:noProof/>
          <w:szCs w:val="20"/>
          <w:lang w:val="en-GB" w:eastAsia="fr-FR"/>
        </w:rPr>
        <w:t>Tejedor García v. Spain</w:t>
      </w:r>
      <w:r w:rsidRPr="008B39B9">
        <w:rPr>
          <w:rFonts w:ascii="Times New Roman" w:hAnsi="Times New Roman" w:eastAsia="Times New Roman" w:cs="Times New Roman"/>
          <w:noProof/>
          <w:szCs w:val="20"/>
          <w:lang w:val="en-GB" w:eastAsia="fr-FR"/>
        </w:rPr>
        <w:t xml:space="preserve">, 16 December 1997, § 31, </w:t>
      </w:r>
      <w:r w:rsidRPr="008B39B9">
        <w:rPr>
          <w:rFonts w:ascii="Times New Roman" w:hAnsi="Times New Roman" w:eastAsia="Times New Roman" w:cs="Times New Roman"/>
          <w:i/>
          <w:noProof/>
          <w:szCs w:val="20"/>
          <w:lang w:val="en-GB" w:eastAsia="fr-FR"/>
        </w:rPr>
        <w:t>Reports</w:t>
      </w:r>
      <w:r w:rsidRPr="008B39B9" w:rsidR="007D53F1">
        <w:rPr>
          <w:rFonts w:ascii="Times New Roman" w:hAnsi="Times New Roman" w:eastAsia="Times New Roman" w:cs="Times New Roman"/>
          <w:noProof/>
          <w:szCs w:val="20"/>
          <w:lang w:val="en-GB" w:eastAsia="fr-FR"/>
        </w:rPr>
        <w:t> </w:t>
      </w:r>
      <w:r w:rsidRPr="008B39B9">
        <w:rPr>
          <w:rFonts w:ascii="Times New Roman" w:hAnsi="Times New Roman" w:eastAsia="Times New Roman" w:cs="Times New Roman"/>
          <w:noProof/>
          <w:szCs w:val="20"/>
          <w:lang w:val="en-GB" w:eastAsia="fr-FR"/>
        </w:rPr>
        <w:t xml:space="preserve">1997-VIII). The rules governing the time-limits for appeals are intended to ensure a proper administration of justice. That being so, the rules in question, or their application, should not prevent litigants from using an available remedy. Furthermore, the Court must make its assessment in each case in the light of the special features of the proceedings in question and by reference to the object and purpose of Article 6 § 1 (see, </w:t>
      </w:r>
      <w:r w:rsidRPr="008B39B9">
        <w:rPr>
          <w:rFonts w:ascii="Times New Roman" w:hAnsi="Times New Roman" w:eastAsia="Times New Roman" w:cs="Times New Roman"/>
          <w:i/>
          <w:noProof/>
          <w:szCs w:val="20"/>
          <w:lang w:val="en-GB" w:eastAsia="fr-FR"/>
        </w:rPr>
        <w:t>mutatis mutandis</w:t>
      </w:r>
      <w:r w:rsidRPr="008B39B9">
        <w:rPr>
          <w:rFonts w:ascii="Times New Roman" w:hAnsi="Times New Roman" w:eastAsia="Times New Roman" w:cs="Times New Roman"/>
          <w:noProof/>
          <w:szCs w:val="20"/>
          <w:lang w:val="en-GB" w:eastAsia="fr-FR"/>
        </w:rPr>
        <w:t xml:space="preserve">, </w:t>
      </w:r>
      <w:r w:rsidRPr="008B39B9">
        <w:rPr>
          <w:rFonts w:ascii="Times New Roman" w:hAnsi="Times New Roman" w:eastAsia="Times New Roman" w:cs="Times New Roman"/>
          <w:i/>
          <w:noProof/>
          <w:szCs w:val="20"/>
          <w:lang w:val="en-GB" w:eastAsia="fr-FR"/>
        </w:rPr>
        <w:t>Miragall Escolano and Others v. Spain</w:t>
      </w:r>
      <w:r w:rsidRPr="008B39B9">
        <w:rPr>
          <w:rFonts w:ascii="Times New Roman" w:hAnsi="Times New Roman" w:eastAsia="Times New Roman" w:cs="Times New Roman"/>
          <w:noProof/>
          <w:szCs w:val="20"/>
          <w:lang w:val="en-GB" w:eastAsia="fr-FR"/>
        </w:rPr>
        <w:t>, nos. 38366/97, 38688/97, 40777/98, 40843/98, 41015/98, 41400/98, 4</w:t>
      </w:r>
      <w:r w:rsidRPr="008B39B9" w:rsidR="007D53F1">
        <w:rPr>
          <w:rFonts w:ascii="Times New Roman" w:hAnsi="Times New Roman" w:eastAsia="Times New Roman" w:cs="Times New Roman"/>
          <w:noProof/>
          <w:szCs w:val="20"/>
          <w:lang w:val="en-GB" w:eastAsia="fr-FR"/>
        </w:rPr>
        <w:t>1446/98, 41484/98, 41487/98 and </w:t>
      </w:r>
      <w:r w:rsidRPr="008B39B9">
        <w:rPr>
          <w:rFonts w:ascii="Times New Roman" w:hAnsi="Times New Roman" w:eastAsia="Times New Roman" w:cs="Times New Roman"/>
          <w:noProof/>
          <w:szCs w:val="20"/>
          <w:lang w:val="en-GB" w:eastAsia="fr-FR"/>
        </w:rPr>
        <w:t>41509/98, § 36, ECHR 2000</w:t>
      </w:r>
      <w:r w:rsidRPr="008B39B9" w:rsidR="00C15B6F">
        <w:rPr>
          <w:rFonts w:ascii="Times New Roman" w:hAnsi="Times New Roman" w:eastAsia="Times New Roman" w:cs="Times New Roman"/>
          <w:noProof/>
          <w:szCs w:val="20"/>
          <w:lang w:val="en-GB" w:eastAsia="fr-FR"/>
        </w:rPr>
        <w:noBreakHyphen/>
      </w:r>
      <w:r w:rsidRPr="008B39B9">
        <w:rPr>
          <w:rFonts w:ascii="Times New Roman" w:hAnsi="Times New Roman" w:eastAsia="Times New Roman" w:cs="Times New Roman"/>
          <w:noProof/>
          <w:szCs w:val="20"/>
          <w:lang w:val="en-GB" w:eastAsia="fr-FR"/>
        </w:rPr>
        <w:t>I).</w:t>
      </w:r>
    </w:p>
    <w:p w:rsidRPr="008B39B9" w:rsidR="00ED2933" w:rsidP="008B39B9" w:rsidRDefault="00ED2933">
      <w:pPr>
        <w:pStyle w:val="ECHRPara"/>
        <w:rPr>
          <w:rFonts w:ascii="Times New Roman" w:hAnsi="Times New Roman" w:eastAsia="Times New Roman" w:cs="Times New Roman"/>
          <w:noProof/>
          <w:szCs w:val="20"/>
          <w:lang w:val="en-GB" w:eastAsia="fr-FR"/>
        </w:rPr>
      </w:pPr>
      <w:r w:rsidRPr="008B39B9">
        <w:rPr>
          <w:rFonts w:ascii="Times New Roman" w:hAnsi="Times New Roman" w:eastAsia="Times New Roman" w:cs="Times New Roman"/>
          <w:noProof/>
          <w:szCs w:val="20"/>
          <w:lang w:val="en-GB" w:eastAsia="fr-FR"/>
        </w:rPr>
        <w:fldChar w:fldCharType="begin"/>
      </w:r>
      <w:r w:rsidRPr="008B39B9">
        <w:rPr>
          <w:rFonts w:ascii="Times New Roman" w:hAnsi="Times New Roman" w:eastAsia="Times New Roman" w:cs="Times New Roman"/>
          <w:noProof/>
          <w:szCs w:val="20"/>
          <w:lang w:val="en-GB" w:eastAsia="fr-FR"/>
        </w:rPr>
        <w:instrText xml:space="preserve"> SEQ level0 \*arabic </w:instrText>
      </w:r>
      <w:r w:rsidRPr="008B39B9">
        <w:rPr>
          <w:rFonts w:ascii="Times New Roman" w:hAnsi="Times New Roman" w:eastAsia="Times New Roman" w:cs="Times New Roman"/>
          <w:noProof/>
          <w:szCs w:val="20"/>
          <w:lang w:val="en-GB" w:eastAsia="fr-FR"/>
        </w:rPr>
        <w:fldChar w:fldCharType="separate"/>
      </w:r>
      <w:r w:rsidRPr="008B39B9" w:rsidR="008B39B9">
        <w:rPr>
          <w:rFonts w:ascii="Times New Roman" w:hAnsi="Times New Roman" w:eastAsia="Times New Roman" w:cs="Times New Roman"/>
          <w:noProof/>
          <w:szCs w:val="20"/>
          <w:lang w:val="en-GB" w:eastAsia="fr-FR"/>
        </w:rPr>
        <w:t>58</w:t>
      </w:r>
      <w:r w:rsidRPr="008B39B9">
        <w:rPr>
          <w:rFonts w:ascii="Times New Roman" w:hAnsi="Times New Roman" w:eastAsia="Times New Roman" w:cs="Times New Roman"/>
          <w:noProof/>
          <w:szCs w:val="20"/>
          <w:lang w:val="en-GB" w:eastAsia="fr-FR"/>
        </w:rPr>
        <w:fldChar w:fldCharType="end"/>
      </w:r>
      <w:r w:rsidRPr="008B39B9">
        <w:rPr>
          <w:rFonts w:ascii="Times New Roman" w:hAnsi="Times New Roman" w:eastAsia="Times New Roman" w:cs="Times New Roman"/>
          <w:noProof/>
          <w:szCs w:val="20"/>
          <w:lang w:val="en-GB" w:eastAsia="fr-FR"/>
        </w:rPr>
        <w:t xml:space="preserve">.  In accordance with those principles, while the right to bring an action is of course subject to statutory requirements, the courts are bound to apply the rules of procedure avoiding both excessive formalism that would impair the fairness of the proceedings and excessive flexibility such as would render nugatory the procedural requirements laid down in statutes (see </w:t>
      </w:r>
      <w:r w:rsidRPr="008B39B9">
        <w:rPr>
          <w:rFonts w:ascii="Times New Roman" w:hAnsi="Times New Roman" w:eastAsia="Times New Roman" w:cs="Times New Roman"/>
          <w:i/>
          <w:noProof/>
          <w:szCs w:val="20"/>
          <w:lang w:val="en-GB" w:eastAsia="fr-FR"/>
        </w:rPr>
        <w:t>Walchli v. France</w:t>
      </w:r>
      <w:r w:rsidRPr="008B39B9">
        <w:rPr>
          <w:rFonts w:ascii="Times New Roman" w:hAnsi="Times New Roman" w:eastAsia="Times New Roman" w:cs="Times New Roman"/>
          <w:noProof/>
          <w:szCs w:val="20"/>
          <w:lang w:val="en-GB" w:eastAsia="fr-FR"/>
        </w:rPr>
        <w:t xml:space="preserve">, no. 35787/03, § 29, 26 July 2007). In fact, the right of access to a court is impaired when the rules cease to serve the aims of legal certainty and the proper administration of justice and form a sort of barrier preventing the litigant from having his or her case determined on the merits by the competent court (see </w:t>
      </w:r>
      <w:r w:rsidRPr="008B39B9" w:rsidR="00AC4D3E">
        <w:rPr>
          <w:rFonts w:ascii="Times New Roman" w:hAnsi="Times New Roman" w:eastAsia="Times New Roman" w:cs="Times New Roman"/>
          <w:i/>
          <w:noProof/>
          <w:szCs w:val="20"/>
          <w:lang w:val="en-GB" w:eastAsia="fr-FR"/>
        </w:rPr>
        <w:t>Efstathiou and Others v. </w:t>
      </w:r>
      <w:r w:rsidRPr="008B39B9">
        <w:rPr>
          <w:rFonts w:ascii="Times New Roman" w:hAnsi="Times New Roman" w:eastAsia="Times New Roman" w:cs="Times New Roman"/>
          <w:i/>
          <w:noProof/>
          <w:szCs w:val="20"/>
          <w:lang w:val="en-GB" w:eastAsia="fr-FR"/>
        </w:rPr>
        <w:t>Greece</w:t>
      </w:r>
      <w:r w:rsidRPr="008B39B9">
        <w:rPr>
          <w:rFonts w:ascii="Times New Roman" w:hAnsi="Times New Roman" w:eastAsia="Times New Roman" w:cs="Times New Roman"/>
          <w:noProof/>
          <w:szCs w:val="20"/>
          <w:lang w:val="en-GB" w:eastAsia="fr-FR"/>
        </w:rPr>
        <w:t>, no. 36998/02, § 24, 27 July 2006).</w:t>
      </w:r>
    </w:p>
    <w:p w:rsidRPr="008B39B9" w:rsidR="007D53F1" w:rsidP="008B39B9" w:rsidRDefault="00ED2933">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59</w:t>
      </w:r>
      <w:r w:rsidRPr="008B39B9">
        <w:rPr>
          <w:lang w:val="en-GB"/>
        </w:rPr>
        <w:fldChar w:fldCharType="end"/>
      </w:r>
      <w:r w:rsidRPr="008B39B9">
        <w:rPr>
          <w:lang w:val="en-GB"/>
        </w:rPr>
        <w:t>.  </w:t>
      </w:r>
      <w:r w:rsidRPr="008B39B9" w:rsidR="00440E4B">
        <w:rPr>
          <w:lang w:val="en-GB"/>
        </w:rPr>
        <w:t>T</w:t>
      </w:r>
      <w:r w:rsidRPr="008B39B9" w:rsidR="005C6A4A">
        <w:rPr>
          <w:lang w:val="en-GB"/>
        </w:rPr>
        <w:t xml:space="preserve">he Court </w:t>
      </w:r>
      <w:r w:rsidRPr="008B39B9" w:rsidR="0052224B">
        <w:rPr>
          <w:lang w:val="en-GB"/>
        </w:rPr>
        <w:t xml:space="preserve">notes </w:t>
      </w:r>
      <w:r w:rsidRPr="008B39B9" w:rsidR="005C6A4A">
        <w:rPr>
          <w:lang w:val="en-GB"/>
        </w:rPr>
        <w:t xml:space="preserve">that the applicant had </w:t>
      </w:r>
      <w:r w:rsidRPr="008B39B9" w:rsidR="0052224B">
        <w:rPr>
          <w:lang w:val="en-GB"/>
        </w:rPr>
        <w:t>to bear a</w:t>
      </w:r>
      <w:r w:rsidRPr="008B39B9" w:rsidR="00411ED8">
        <w:rPr>
          <w:lang w:val="en-GB"/>
        </w:rPr>
        <w:t xml:space="preserve"> disproportionate</w:t>
      </w:r>
      <w:r w:rsidRPr="008B39B9" w:rsidR="0052224B">
        <w:rPr>
          <w:lang w:val="en-GB"/>
        </w:rPr>
        <w:t xml:space="preserve"> individual burden </w:t>
      </w:r>
      <w:r w:rsidRPr="008B39B9" w:rsidR="00CE7152">
        <w:rPr>
          <w:lang w:val="en-GB"/>
        </w:rPr>
        <w:t>following</w:t>
      </w:r>
      <w:r w:rsidRPr="008B39B9" w:rsidR="0052224B">
        <w:rPr>
          <w:lang w:val="en-GB"/>
        </w:rPr>
        <w:t xml:space="preserve"> t</w:t>
      </w:r>
      <w:r w:rsidRPr="008B39B9" w:rsidR="005C6A4A">
        <w:rPr>
          <w:lang w:val="en-GB"/>
        </w:rPr>
        <w:t>he illegal tak</w:t>
      </w:r>
      <w:r w:rsidRPr="008B39B9" w:rsidR="00CE7152">
        <w:rPr>
          <w:lang w:val="en-GB"/>
        </w:rPr>
        <w:t>eover</w:t>
      </w:r>
      <w:r w:rsidRPr="008B39B9" w:rsidR="005C6A4A">
        <w:rPr>
          <w:lang w:val="en-GB"/>
        </w:rPr>
        <w:t xml:space="preserve"> of the Demirbank</w:t>
      </w:r>
      <w:r w:rsidRPr="008B39B9" w:rsidR="00440E4B">
        <w:rPr>
          <w:lang w:val="en-GB"/>
        </w:rPr>
        <w:t xml:space="preserve"> (see para</w:t>
      </w:r>
      <w:r w:rsidRPr="008B39B9" w:rsidR="00CE7152">
        <w:rPr>
          <w:lang w:val="en-GB"/>
        </w:rPr>
        <w:t>graph</w:t>
      </w:r>
      <w:r w:rsidRPr="008B39B9" w:rsidR="00DB3E87">
        <w:rPr>
          <w:lang w:val="en-GB"/>
        </w:rPr>
        <w:t>s 45</w:t>
      </w:r>
      <w:r w:rsidRPr="008B39B9" w:rsidR="00DB3E87">
        <w:rPr>
          <w:lang w:val="en-GB"/>
        </w:rPr>
        <w:noBreakHyphen/>
      </w:r>
      <w:r w:rsidRPr="008B39B9" w:rsidR="00440E4B">
        <w:rPr>
          <w:lang w:val="en-GB"/>
        </w:rPr>
        <w:t>47 above)</w:t>
      </w:r>
      <w:r w:rsidRPr="008B39B9" w:rsidR="005C6A4A">
        <w:rPr>
          <w:lang w:val="en-GB"/>
        </w:rPr>
        <w:t xml:space="preserve">. </w:t>
      </w:r>
      <w:r w:rsidRPr="008B39B9" w:rsidR="0052224B">
        <w:rPr>
          <w:lang w:val="en-GB"/>
        </w:rPr>
        <w:t>I</w:t>
      </w:r>
      <w:r w:rsidRPr="008B39B9" w:rsidR="005C6A4A">
        <w:rPr>
          <w:lang w:val="en-GB"/>
        </w:rPr>
        <w:t>t further observe</w:t>
      </w:r>
      <w:r w:rsidRPr="008B39B9" w:rsidR="0052224B">
        <w:rPr>
          <w:lang w:val="en-GB"/>
        </w:rPr>
        <w:t>s</w:t>
      </w:r>
      <w:r w:rsidRPr="008B39B9" w:rsidR="005C6A4A">
        <w:rPr>
          <w:lang w:val="en-GB"/>
        </w:rPr>
        <w:t xml:space="preserve"> that the restitution of </w:t>
      </w:r>
      <w:r w:rsidRPr="008B39B9" w:rsidR="0052224B">
        <w:rPr>
          <w:lang w:val="en-GB"/>
        </w:rPr>
        <w:t>the applicant</w:t>
      </w:r>
      <w:r w:rsidRPr="008B39B9" w:rsidR="008B39B9">
        <w:rPr>
          <w:lang w:val="en-GB"/>
        </w:rPr>
        <w:t>’</w:t>
      </w:r>
      <w:r w:rsidRPr="008B39B9" w:rsidR="0052224B">
        <w:rPr>
          <w:lang w:val="en-GB"/>
        </w:rPr>
        <w:t xml:space="preserve">s </w:t>
      </w:r>
      <w:r w:rsidRPr="008B39B9" w:rsidR="005C6A4A">
        <w:rPr>
          <w:lang w:val="en-GB"/>
        </w:rPr>
        <w:t xml:space="preserve">shares proved </w:t>
      </w:r>
      <w:r w:rsidRPr="008B39B9" w:rsidR="0052224B">
        <w:rPr>
          <w:lang w:val="en-GB"/>
        </w:rPr>
        <w:t xml:space="preserve">to be </w:t>
      </w:r>
      <w:r w:rsidRPr="008B39B9" w:rsidR="005C6A4A">
        <w:rPr>
          <w:lang w:val="en-GB"/>
        </w:rPr>
        <w:t>impossible</w:t>
      </w:r>
      <w:r w:rsidRPr="008B39B9" w:rsidR="0052224B">
        <w:rPr>
          <w:lang w:val="en-GB"/>
        </w:rPr>
        <w:t xml:space="preserve"> due to the </w:t>
      </w:r>
      <w:r w:rsidRPr="008B39B9" w:rsidR="00CE7152">
        <w:rPr>
          <w:lang w:val="en-GB"/>
        </w:rPr>
        <w:t>absorption</w:t>
      </w:r>
      <w:r w:rsidRPr="008B39B9" w:rsidR="0052224B">
        <w:rPr>
          <w:lang w:val="en-GB"/>
        </w:rPr>
        <w:t xml:space="preserve"> of Demirbank </w:t>
      </w:r>
      <w:r w:rsidRPr="008B39B9" w:rsidR="00CE7152">
        <w:rPr>
          <w:lang w:val="en-GB"/>
        </w:rPr>
        <w:t>by</w:t>
      </w:r>
      <w:r w:rsidRPr="008B39B9" w:rsidR="0052224B">
        <w:rPr>
          <w:lang w:val="en-GB"/>
        </w:rPr>
        <w:t xml:space="preserve"> HSBC, which was also found to be illegal and annulled by a fina</w:t>
      </w:r>
      <w:r w:rsidRPr="008B39B9" w:rsidR="00DB3E87">
        <w:rPr>
          <w:lang w:val="en-GB"/>
        </w:rPr>
        <w:t>l decision on 24 </w:t>
      </w:r>
      <w:r w:rsidRPr="008B39B9" w:rsidR="0052224B">
        <w:rPr>
          <w:lang w:val="en-GB"/>
        </w:rPr>
        <w:t>February 2006</w:t>
      </w:r>
      <w:r w:rsidRPr="008B39B9" w:rsidR="00440E4B">
        <w:rPr>
          <w:lang w:val="en-GB"/>
        </w:rPr>
        <w:t xml:space="preserve"> (see para</w:t>
      </w:r>
      <w:r w:rsidRPr="008B39B9" w:rsidR="00CE7152">
        <w:rPr>
          <w:lang w:val="en-GB"/>
        </w:rPr>
        <w:t>graph</w:t>
      </w:r>
      <w:r w:rsidRPr="008B39B9" w:rsidR="00440E4B">
        <w:rPr>
          <w:lang w:val="en-GB"/>
        </w:rPr>
        <w:t>s 15-16 above)</w:t>
      </w:r>
      <w:r w:rsidRPr="008B39B9" w:rsidR="0052224B">
        <w:rPr>
          <w:lang w:val="en-GB"/>
        </w:rPr>
        <w:t xml:space="preserve">. The applicant initiated compensation proceedings </w:t>
      </w:r>
      <w:r w:rsidRPr="008B39B9" w:rsidR="00CE7152">
        <w:rPr>
          <w:lang w:val="en-GB"/>
        </w:rPr>
        <w:t xml:space="preserve">after that </w:t>
      </w:r>
      <w:r w:rsidRPr="008B39B9" w:rsidR="0052224B">
        <w:rPr>
          <w:lang w:val="en-GB"/>
        </w:rPr>
        <w:t xml:space="preserve">date, as it was </w:t>
      </w:r>
      <w:r w:rsidRPr="008B39B9" w:rsidR="00CE7152">
        <w:rPr>
          <w:lang w:val="en-GB"/>
        </w:rPr>
        <w:t xml:space="preserve">only </w:t>
      </w:r>
      <w:r w:rsidRPr="008B39B9" w:rsidR="0052224B">
        <w:rPr>
          <w:lang w:val="en-GB"/>
        </w:rPr>
        <w:t>on that date that the trans</w:t>
      </w:r>
      <w:r w:rsidRPr="008B39B9" w:rsidR="008033CC">
        <w:rPr>
          <w:lang w:val="en-GB"/>
        </w:rPr>
        <w:t>fer</w:t>
      </w:r>
      <w:r w:rsidRPr="008B39B9" w:rsidR="0052224B">
        <w:rPr>
          <w:lang w:val="en-GB"/>
        </w:rPr>
        <w:t xml:space="preserve"> was annulled. It would have been </w:t>
      </w:r>
      <w:r w:rsidRPr="008B39B9" w:rsidR="00440E4B">
        <w:rPr>
          <w:lang w:val="en-GB"/>
        </w:rPr>
        <w:t>un</w:t>
      </w:r>
      <w:r w:rsidRPr="008B39B9" w:rsidR="0052224B">
        <w:rPr>
          <w:lang w:val="en-GB"/>
        </w:rPr>
        <w:t>reasonable to expect the applicant to lodge a compensation claim before that date</w:t>
      </w:r>
      <w:r w:rsidRPr="008B39B9" w:rsidR="00440E4B">
        <w:rPr>
          <w:lang w:val="en-GB"/>
        </w:rPr>
        <w:t xml:space="preserve">, because </w:t>
      </w:r>
      <w:r w:rsidRPr="008B39B9" w:rsidR="0052224B">
        <w:rPr>
          <w:lang w:val="en-GB"/>
        </w:rPr>
        <w:t xml:space="preserve">the illegality of the action </w:t>
      </w:r>
      <w:r w:rsidRPr="008B39B9" w:rsidR="00CE7152">
        <w:rPr>
          <w:lang w:val="en-GB"/>
        </w:rPr>
        <w:t>was finally determined</w:t>
      </w:r>
      <w:r w:rsidRPr="008B39B9" w:rsidR="0052224B">
        <w:rPr>
          <w:lang w:val="en-GB"/>
        </w:rPr>
        <w:t xml:space="preserve"> only </w:t>
      </w:r>
      <w:r w:rsidRPr="008B39B9" w:rsidR="00440E4B">
        <w:rPr>
          <w:lang w:val="en-GB"/>
        </w:rPr>
        <w:t>in 2006</w:t>
      </w:r>
      <w:r w:rsidRPr="008B39B9" w:rsidR="0052224B">
        <w:rPr>
          <w:lang w:val="en-GB"/>
        </w:rPr>
        <w:t>.</w:t>
      </w:r>
    </w:p>
    <w:p w:rsidRPr="008B39B9" w:rsidR="007D53F1" w:rsidP="008B39B9" w:rsidRDefault="0052224B">
      <w:pPr>
        <w:pStyle w:val="ECHRPara"/>
        <w:rPr>
          <w:rFonts w:ascii="Times New Roman" w:hAnsi="Times New Roman" w:eastAsia="Times New Roman" w:cs="Times New Roman"/>
          <w:szCs w:val="20"/>
          <w:lang w:val="en-GB" w:eastAsia="fr-FR"/>
        </w:rPr>
      </w:pPr>
      <w:r w:rsidRPr="008B39B9">
        <w:rPr>
          <w:rFonts w:ascii="Times New Roman" w:hAnsi="Times New Roman" w:eastAsia="Times New Roman" w:cs="Times New Roman"/>
          <w:szCs w:val="20"/>
          <w:lang w:val="en-GB" w:eastAsia="fr-FR"/>
        </w:rPr>
        <w:fldChar w:fldCharType="begin"/>
      </w:r>
      <w:r w:rsidRPr="008B39B9">
        <w:rPr>
          <w:rFonts w:ascii="Times New Roman" w:hAnsi="Times New Roman" w:eastAsia="Times New Roman" w:cs="Times New Roman"/>
          <w:szCs w:val="20"/>
          <w:lang w:val="en-GB" w:eastAsia="fr-FR"/>
        </w:rPr>
        <w:instrText xml:space="preserve"> SEQ level0 \*arabic </w:instrText>
      </w:r>
      <w:r w:rsidRPr="008B39B9">
        <w:rPr>
          <w:rFonts w:ascii="Times New Roman" w:hAnsi="Times New Roman" w:eastAsia="Times New Roman" w:cs="Times New Roman"/>
          <w:szCs w:val="20"/>
          <w:lang w:val="en-GB" w:eastAsia="fr-FR"/>
        </w:rPr>
        <w:fldChar w:fldCharType="separate"/>
      </w:r>
      <w:r w:rsidRPr="008B39B9" w:rsidR="008B39B9">
        <w:rPr>
          <w:rFonts w:ascii="Times New Roman" w:hAnsi="Times New Roman" w:eastAsia="Times New Roman" w:cs="Times New Roman"/>
          <w:noProof/>
          <w:szCs w:val="20"/>
          <w:lang w:val="en-GB" w:eastAsia="fr-FR"/>
        </w:rPr>
        <w:t>60</w:t>
      </w:r>
      <w:r w:rsidRPr="008B39B9">
        <w:rPr>
          <w:rFonts w:ascii="Times New Roman" w:hAnsi="Times New Roman" w:eastAsia="Times New Roman" w:cs="Times New Roman"/>
          <w:szCs w:val="20"/>
          <w:lang w:val="en-GB" w:eastAsia="fr-FR"/>
        </w:rPr>
        <w:fldChar w:fldCharType="end"/>
      </w:r>
      <w:r w:rsidRPr="008B39B9">
        <w:rPr>
          <w:rFonts w:ascii="Times New Roman" w:hAnsi="Times New Roman" w:eastAsia="Times New Roman" w:cs="Times New Roman"/>
          <w:szCs w:val="20"/>
          <w:lang w:val="en-GB" w:eastAsia="fr-FR"/>
        </w:rPr>
        <w:t xml:space="preserve">.  In the light of the above, the Court concludes that </w:t>
      </w:r>
      <w:r w:rsidRPr="008B39B9" w:rsidR="007B2CC7">
        <w:rPr>
          <w:rFonts w:ascii="Times New Roman" w:hAnsi="Times New Roman" w:eastAsia="Times New Roman" w:cs="Times New Roman"/>
          <w:szCs w:val="20"/>
          <w:lang w:val="en-GB" w:eastAsia="fr-FR"/>
        </w:rPr>
        <w:t>the domestic court</w:t>
      </w:r>
      <w:r w:rsidRPr="008B39B9" w:rsidR="008B39B9">
        <w:rPr>
          <w:rFonts w:ascii="Times New Roman" w:hAnsi="Times New Roman" w:eastAsia="Times New Roman" w:cs="Times New Roman"/>
          <w:szCs w:val="20"/>
          <w:lang w:val="en-GB" w:eastAsia="fr-FR"/>
        </w:rPr>
        <w:t>’</w:t>
      </w:r>
      <w:r w:rsidRPr="008B39B9" w:rsidR="007B2CC7">
        <w:rPr>
          <w:rFonts w:ascii="Times New Roman" w:hAnsi="Times New Roman" w:eastAsia="Times New Roman" w:cs="Times New Roman"/>
          <w:szCs w:val="20"/>
          <w:lang w:val="en-GB" w:eastAsia="fr-FR"/>
        </w:rPr>
        <w:t>s strict interpretation of the time-limit precluded a full examination of the merits of the case</w:t>
      </w:r>
      <w:r w:rsidRPr="008B39B9" w:rsidR="009E41D0">
        <w:rPr>
          <w:rFonts w:ascii="Times New Roman" w:hAnsi="Times New Roman" w:eastAsia="Times New Roman" w:cs="Times New Roman"/>
          <w:szCs w:val="20"/>
          <w:lang w:val="en-GB" w:eastAsia="fr-FR"/>
        </w:rPr>
        <w:t>,</w:t>
      </w:r>
      <w:r w:rsidRPr="008B39B9" w:rsidR="007B2CC7">
        <w:rPr>
          <w:rFonts w:ascii="Times New Roman" w:hAnsi="Times New Roman" w:eastAsia="Times New Roman" w:cs="Times New Roman"/>
          <w:szCs w:val="20"/>
          <w:lang w:val="en-GB" w:eastAsia="fr-FR"/>
        </w:rPr>
        <w:t xml:space="preserve"> and impaired the very essence of the applicant</w:t>
      </w:r>
      <w:r w:rsidRPr="008B39B9" w:rsidR="008B39B9">
        <w:rPr>
          <w:rFonts w:ascii="Times New Roman" w:hAnsi="Times New Roman" w:eastAsia="Times New Roman" w:cs="Times New Roman"/>
          <w:szCs w:val="20"/>
          <w:lang w:val="en-GB" w:eastAsia="fr-FR"/>
        </w:rPr>
        <w:t>’</w:t>
      </w:r>
      <w:r w:rsidRPr="008B39B9" w:rsidR="007B2CC7">
        <w:rPr>
          <w:rFonts w:ascii="Times New Roman" w:hAnsi="Times New Roman" w:eastAsia="Times New Roman" w:cs="Times New Roman"/>
          <w:szCs w:val="20"/>
          <w:lang w:val="en-GB" w:eastAsia="fr-FR"/>
        </w:rPr>
        <w:t>s right of access to a court.</w:t>
      </w:r>
    </w:p>
    <w:p w:rsidRPr="008B39B9" w:rsidR="007B2CC7" w:rsidP="008B39B9" w:rsidRDefault="0052224B">
      <w:pPr>
        <w:pStyle w:val="ECHRPara"/>
        <w:rPr>
          <w:lang w:val="en-GB"/>
        </w:rPr>
      </w:pPr>
      <w:r w:rsidRPr="008B39B9">
        <w:rPr>
          <w:rFonts w:ascii="Times New Roman" w:hAnsi="Times New Roman" w:eastAsia="Times New Roman" w:cs="Times New Roman"/>
          <w:szCs w:val="20"/>
          <w:lang w:val="en-GB" w:eastAsia="fr-FR"/>
        </w:rPr>
        <w:fldChar w:fldCharType="begin"/>
      </w:r>
      <w:r w:rsidRPr="008B39B9">
        <w:rPr>
          <w:rFonts w:ascii="Times New Roman" w:hAnsi="Times New Roman" w:eastAsia="Times New Roman" w:cs="Times New Roman"/>
          <w:szCs w:val="20"/>
          <w:lang w:val="en-GB" w:eastAsia="fr-FR"/>
        </w:rPr>
        <w:instrText xml:space="preserve"> SEQ level0 \*arabic </w:instrText>
      </w:r>
      <w:r w:rsidRPr="008B39B9">
        <w:rPr>
          <w:rFonts w:ascii="Times New Roman" w:hAnsi="Times New Roman" w:eastAsia="Times New Roman" w:cs="Times New Roman"/>
          <w:szCs w:val="20"/>
          <w:lang w:val="en-GB" w:eastAsia="fr-FR"/>
        </w:rPr>
        <w:fldChar w:fldCharType="separate"/>
      </w:r>
      <w:r w:rsidRPr="008B39B9" w:rsidR="008B39B9">
        <w:rPr>
          <w:rFonts w:ascii="Times New Roman" w:hAnsi="Times New Roman" w:eastAsia="Times New Roman" w:cs="Times New Roman"/>
          <w:noProof/>
          <w:szCs w:val="20"/>
          <w:lang w:val="en-GB" w:eastAsia="fr-FR"/>
        </w:rPr>
        <w:t>61</w:t>
      </w:r>
      <w:r w:rsidRPr="008B39B9">
        <w:rPr>
          <w:rFonts w:ascii="Times New Roman" w:hAnsi="Times New Roman" w:eastAsia="Times New Roman" w:cs="Times New Roman"/>
          <w:szCs w:val="20"/>
          <w:lang w:val="en-GB" w:eastAsia="fr-FR"/>
        </w:rPr>
        <w:fldChar w:fldCharType="end"/>
      </w:r>
      <w:r w:rsidRPr="008B39B9">
        <w:rPr>
          <w:rFonts w:ascii="Times New Roman" w:hAnsi="Times New Roman" w:eastAsia="Times New Roman" w:cs="Times New Roman"/>
          <w:szCs w:val="20"/>
          <w:lang w:val="en-GB" w:eastAsia="fr-FR"/>
        </w:rPr>
        <w:t>.  It follows that the applicant</w:t>
      </w:r>
      <w:r w:rsidRPr="008B39B9" w:rsidR="008B39B9">
        <w:rPr>
          <w:rFonts w:ascii="Times New Roman" w:hAnsi="Times New Roman" w:eastAsia="Times New Roman" w:cs="Times New Roman"/>
          <w:szCs w:val="20"/>
          <w:lang w:val="en-GB" w:eastAsia="fr-FR"/>
        </w:rPr>
        <w:t>’</w:t>
      </w:r>
      <w:r w:rsidRPr="008B39B9">
        <w:rPr>
          <w:rFonts w:ascii="Times New Roman" w:hAnsi="Times New Roman" w:eastAsia="Times New Roman" w:cs="Times New Roman"/>
          <w:szCs w:val="20"/>
          <w:lang w:val="en-GB" w:eastAsia="fr-FR"/>
        </w:rPr>
        <w:t xml:space="preserve">s right of access to court, in the third set of proceedings, has been </w:t>
      </w:r>
      <w:r w:rsidRPr="008B39B9" w:rsidR="00440E4B">
        <w:rPr>
          <w:rFonts w:ascii="Times New Roman" w:hAnsi="Times New Roman" w:eastAsia="Times New Roman" w:cs="Times New Roman"/>
          <w:szCs w:val="20"/>
          <w:lang w:val="en-GB" w:eastAsia="fr-FR"/>
        </w:rPr>
        <w:t xml:space="preserve">breached and that there has therefore been </w:t>
      </w:r>
      <w:r w:rsidRPr="008B39B9">
        <w:rPr>
          <w:rFonts w:ascii="Times New Roman" w:hAnsi="Times New Roman" w:eastAsia="Times New Roman" w:cs="Times New Roman"/>
          <w:szCs w:val="20"/>
          <w:lang w:val="en-GB" w:eastAsia="fr-FR"/>
        </w:rPr>
        <w:t>a violation of Article 6 § 1 of the Convention</w:t>
      </w:r>
      <w:r w:rsidRPr="008B39B9" w:rsidR="00440E4B">
        <w:rPr>
          <w:rFonts w:ascii="Times New Roman" w:hAnsi="Times New Roman" w:eastAsia="Times New Roman" w:cs="Times New Roman"/>
          <w:szCs w:val="20"/>
          <w:lang w:val="en-GB" w:eastAsia="fr-FR"/>
        </w:rPr>
        <w:t>.</w:t>
      </w:r>
    </w:p>
    <w:p w:rsidRPr="008B39B9" w:rsidR="00014566" w:rsidP="008B39B9" w:rsidRDefault="00EB7F57">
      <w:pPr>
        <w:pStyle w:val="ECHRHeading1"/>
        <w:rPr>
          <w:lang w:val="en-GB"/>
        </w:rPr>
      </w:pPr>
      <w:r w:rsidRPr="008B39B9">
        <w:rPr>
          <w:lang w:val="en-GB"/>
        </w:rPr>
        <w:t>IV</w:t>
      </w:r>
      <w:r w:rsidRPr="008B39B9" w:rsidR="00014566">
        <w:rPr>
          <w:lang w:val="en-GB"/>
        </w:rPr>
        <w:t>.  OTHER ALLEGED VIOLATIONS OF THE CONVENTION</w:t>
      </w:r>
    </w:p>
    <w:p w:rsidRPr="008B39B9" w:rsidR="007D53F1"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62</w:t>
      </w:r>
      <w:r w:rsidRPr="008B39B9">
        <w:rPr>
          <w:lang w:val="en-GB"/>
        </w:rPr>
        <w:fldChar w:fldCharType="end"/>
      </w:r>
      <w:r w:rsidRPr="008B39B9" w:rsidR="00014566">
        <w:rPr>
          <w:lang w:val="en-GB"/>
        </w:rPr>
        <w:t xml:space="preserve">.  Lastly, the applicant complained </w:t>
      </w:r>
      <w:r w:rsidRPr="008B39B9" w:rsidR="00CE7152">
        <w:rPr>
          <w:lang w:val="en-GB"/>
        </w:rPr>
        <w:t>that</w:t>
      </w:r>
      <w:r w:rsidRPr="008B39B9" w:rsidR="006031A5">
        <w:rPr>
          <w:lang w:val="en-GB"/>
        </w:rPr>
        <w:t xml:space="preserve"> the first set of proceedings</w:t>
      </w:r>
      <w:r w:rsidRPr="008B39B9" w:rsidR="00CE7152">
        <w:rPr>
          <w:lang w:val="en-GB"/>
        </w:rPr>
        <w:t xml:space="preserve"> had been unfair</w:t>
      </w:r>
      <w:r w:rsidRPr="008B39B9" w:rsidR="006031A5">
        <w:rPr>
          <w:lang w:val="en-GB"/>
        </w:rPr>
        <w:t xml:space="preserve">. </w:t>
      </w:r>
      <w:r w:rsidRPr="008B39B9" w:rsidR="00F33E3F">
        <w:rPr>
          <w:lang w:val="en-GB"/>
        </w:rPr>
        <w:t>He also alleged that the length of proceedings had been unreasonable.</w:t>
      </w:r>
    </w:p>
    <w:p w:rsidRPr="008B39B9" w:rsidR="00F33E3F" w:rsidP="008B39B9" w:rsidRDefault="006031A5">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63</w:t>
      </w:r>
      <w:r w:rsidRPr="008B39B9">
        <w:rPr>
          <w:lang w:val="en-GB"/>
        </w:rPr>
        <w:fldChar w:fldCharType="end"/>
      </w:r>
      <w:r w:rsidRPr="008B39B9">
        <w:rPr>
          <w:lang w:val="en-GB"/>
        </w:rPr>
        <w:t xml:space="preserve">.   </w:t>
      </w:r>
      <w:r w:rsidRPr="008B39B9" w:rsidR="00F33E3F">
        <w:rPr>
          <w:lang w:val="en-GB"/>
        </w:rPr>
        <w:t>An examination by the Court of the material submitted to it does not disclose any appearance of a violation of these provisions. It follows that this part of the application is manifestly ill-founded and must be declared inadmissible pursuant to Article 35 §§ 3 and 4 of the Convention.</w:t>
      </w:r>
    </w:p>
    <w:p w:rsidRPr="008B39B9" w:rsidR="00014566" w:rsidP="008B39B9" w:rsidRDefault="00EB7F57">
      <w:pPr>
        <w:pStyle w:val="ECHRHeading1"/>
        <w:rPr>
          <w:lang w:val="en-GB"/>
        </w:rPr>
      </w:pPr>
      <w:r w:rsidRPr="008B39B9">
        <w:rPr>
          <w:lang w:val="en-GB"/>
        </w:rPr>
        <w:t>V</w:t>
      </w:r>
      <w:r w:rsidRPr="008B39B9" w:rsidR="00014566">
        <w:rPr>
          <w:lang w:val="en-GB"/>
        </w:rPr>
        <w:t>.  APPLICATION OF ARTICLE 41 OF THE CONVENTION</w:t>
      </w:r>
    </w:p>
    <w:p w:rsidRPr="008B39B9" w:rsidR="00014566" w:rsidP="008B39B9" w:rsidRDefault="00734E21">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64</w:t>
      </w:r>
      <w:r w:rsidRPr="008B39B9">
        <w:rPr>
          <w:lang w:val="en-GB"/>
        </w:rPr>
        <w:fldChar w:fldCharType="end"/>
      </w:r>
      <w:r w:rsidRPr="008B39B9" w:rsidR="00014566">
        <w:rPr>
          <w:lang w:val="en-GB"/>
        </w:rPr>
        <w:t>.  Article 41 of the Convention provides:</w:t>
      </w:r>
    </w:p>
    <w:p w:rsidRPr="008B39B9" w:rsidR="00014566" w:rsidP="008B39B9" w:rsidRDefault="00014566">
      <w:pPr>
        <w:pStyle w:val="ECHRParaQuote"/>
        <w:keepNext/>
        <w:keepLines/>
        <w:rPr>
          <w:lang w:val="en-GB"/>
        </w:rPr>
      </w:pPr>
      <w:r w:rsidRPr="008B39B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39B9" w:rsidR="007D53F1" w:rsidP="008B39B9" w:rsidRDefault="00AC6C16">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65</w:t>
      </w:r>
      <w:r w:rsidRPr="008B39B9">
        <w:rPr>
          <w:lang w:val="en-GB"/>
        </w:rPr>
        <w:fldChar w:fldCharType="end"/>
      </w:r>
      <w:r w:rsidRPr="008B39B9">
        <w:rPr>
          <w:lang w:val="en-GB"/>
        </w:rPr>
        <w:t>.  </w:t>
      </w:r>
      <w:r w:rsidRPr="008B39B9" w:rsidR="006B385F">
        <w:rPr>
          <w:lang w:val="en-GB"/>
        </w:rPr>
        <w:t xml:space="preserve">The applicant requested </w:t>
      </w:r>
      <w:r w:rsidRPr="008B39B9" w:rsidR="00CE7152">
        <w:rPr>
          <w:lang w:val="en-GB"/>
        </w:rPr>
        <w:t xml:space="preserve">compensation for </w:t>
      </w:r>
      <w:r w:rsidRPr="008B39B9" w:rsidR="006B385F">
        <w:rPr>
          <w:lang w:val="en-GB"/>
        </w:rPr>
        <w:t xml:space="preserve">pecuniary damage. To calculate his financial loss, he </w:t>
      </w:r>
      <w:r w:rsidRPr="008B39B9" w:rsidR="00D75029">
        <w:rPr>
          <w:lang w:val="en-GB"/>
        </w:rPr>
        <w:t xml:space="preserve">relied on </w:t>
      </w:r>
      <w:r w:rsidRPr="008B39B9" w:rsidR="006B385F">
        <w:rPr>
          <w:lang w:val="en-GB"/>
        </w:rPr>
        <w:t xml:space="preserve">three different </w:t>
      </w:r>
      <w:r w:rsidRPr="008B39B9" w:rsidR="00D75029">
        <w:rPr>
          <w:lang w:val="en-GB"/>
        </w:rPr>
        <w:t>calculation methods</w:t>
      </w:r>
      <w:r w:rsidRPr="008B39B9" w:rsidR="00CE7152">
        <w:rPr>
          <w:lang w:val="en-GB"/>
        </w:rPr>
        <w:t>, the</w:t>
      </w:r>
      <w:r w:rsidRPr="008B39B9" w:rsidR="00D75029">
        <w:rPr>
          <w:lang w:val="en-GB"/>
        </w:rPr>
        <w:t xml:space="preserve"> </w:t>
      </w:r>
      <w:r w:rsidRPr="008B39B9" w:rsidR="006B385F">
        <w:rPr>
          <w:lang w:val="en-GB"/>
        </w:rPr>
        <w:t>result</w:t>
      </w:r>
      <w:r w:rsidRPr="008B39B9" w:rsidR="00D75029">
        <w:rPr>
          <w:lang w:val="en-GB"/>
        </w:rPr>
        <w:t>s of which differed (</w:t>
      </w:r>
      <w:r w:rsidRPr="008B39B9" w:rsidR="006B385F">
        <w:rPr>
          <w:lang w:val="en-GB"/>
        </w:rPr>
        <w:t>2,371 Euros (EUR), EUR</w:t>
      </w:r>
      <w:r w:rsidRPr="008B39B9" w:rsidR="00265207">
        <w:rPr>
          <w:lang w:val="en-GB"/>
        </w:rPr>
        <w:t> </w:t>
      </w:r>
      <w:r w:rsidRPr="008B39B9" w:rsidR="006B385F">
        <w:rPr>
          <w:lang w:val="en-GB"/>
        </w:rPr>
        <w:t>4</w:t>
      </w:r>
      <w:r w:rsidRPr="008B39B9" w:rsidR="00D75029">
        <w:rPr>
          <w:lang w:val="en-GB"/>
        </w:rPr>
        <w:t>,</w:t>
      </w:r>
      <w:r w:rsidRPr="008B39B9" w:rsidR="00AC4D3E">
        <w:rPr>
          <w:lang w:val="en-GB"/>
        </w:rPr>
        <w:t>189.93</w:t>
      </w:r>
      <w:r w:rsidRPr="008B39B9" w:rsidR="00CE7152">
        <w:rPr>
          <w:lang w:val="en-GB"/>
        </w:rPr>
        <w:t>,</w:t>
      </w:r>
      <w:r w:rsidRPr="008B39B9" w:rsidR="00AC4D3E">
        <w:rPr>
          <w:lang w:val="en-GB"/>
        </w:rPr>
        <w:t xml:space="preserve"> and EUR </w:t>
      </w:r>
      <w:r w:rsidRPr="008B39B9" w:rsidR="006B385F">
        <w:rPr>
          <w:lang w:val="en-GB"/>
        </w:rPr>
        <w:t>1</w:t>
      </w:r>
      <w:r w:rsidRPr="008B39B9" w:rsidR="00D75029">
        <w:rPr>
          <w:lang w:val="en-GB"/>
        </w:rPr>
        <w:t>,</w:t>
      </w:r>
      <w:r w:rsidRPr="008B39B9" w:rsidR="006B385F">
        <w:rPr>
          <w:lang w:val="en-GB"/>
        </w:rPr>
        <w:t>196.97</w:t>
      </w:r>
      <w:r w:rsidRPr="008B39B9" w:rsidR="00D75029">
        <w:rPr>
          <w:lang w:val="en-GB"/>
        </w:rPr>
        <w:t xml:space="preserve"> respectively)</w:t>
      </w:r>
      <w:r w:rsidRPr="008B39B9" w:rsidR="006B385F">
        <w:rPr>
          <w:lang w:val="en-GB"/>
        </w:rPr>
        <w:t>.</w:t>
      </w:r>
      <w:r w:rsidRPr="008B39B9" w:rsidR="00D75029">
        <w:rPr>
          <w:lang w:val="en-GB"/>
        </w:rPr>
        <w:t xml:space="preserve"> He </w:t>
      </w:r>
      <w:r w:rsidRPr="008B39B9" w:rsidR="006B385F">
        <w:rPr>
          <w:lang w:val="en-GB"/>
        </w:rPr>
        <w:t>further claimed EUR</w:t>
      </w:r>
      <w:r w:rsidRPr="008B39B9" w:rsidR="00265207">
        <w:rPr>
          <w:lang w:val="en-GB"/>
        </w:rPr>
        <w:t> </w:t>
      </w:r>
      <w:r w:rsidRPr="008B39B9" w:rsidR="006B385F">
        <w:rPr>
          <w:lang w:val="en-GB"/>
        </w:rPr>
        <w:t>1,000 in respect of non-pecuniary damage.</w:t>
      </w:r>
    </w:p>
    <w:p w:rsidRPr="008B39B9" w:rsidR="007D53F1" w:rsidP="008B39B9" w:rsidRDefault="00D75029">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66</w:t>
      </w:r>
      <w:r w:rsidRPr="008B39B9">
        <w:rPr>
          <w:lang w:val="en-GB"/>
        </w:rPr>
        <w:fldChar w:fldCharType="end"/>
      </w:r>
      <w:r w:rsidRPr="008B39B9">
        <w:rPr>
          <w:lang w:val="en-GB"/>
        </w:rPr>
        <w:t>.  </w:t>
      </w:r>
      <w:r w:rsidRPr="008B39B9" w:rsidR="009E41D0">
        <w:rPr>
          <w:lang w:val="en-GB"/>
        </w:rPr>
        <w:t>T</w:t>
      </w:r>
      <w:r w:rsidRPr="008B39B9" w:rsidR="006B385F">
        <w:rPr>
          <w:lang w:val="en-GB"/>
        </w:rPr>
        <w:t xml:space="preserve">he applicant </w:t>
      </w:r>
      <w:r w:rsidRPr="008B39B9" w:rsidR="009E41D0">
        <w:rPr>
          <w:lang w:val="en-GB"/>
        </w:rPr>
        <w:t xml:space="preserve">also </w:t>
      </w:r>
      <w:r w:rsidRPr="008B39B9" w:rsidR="006B385F">
        <w:rPr>
          <w:lang w:val="en-GB"/>
        </w:rPr>
        <w:t>requested EUR 745 for lawyers</w:t>
      </w:r>
      <w:r w:rsidRPr="008B39B9" w:rsidR="008B39B9">
        <w:rPr>
          <w:lang w:val="en-GB"/>
        </w:rPr>
        <w:t>’</w:t>
      </w:r>
      <w:r w:rsidRPr="008B39B9" w:rsidR="006B385F">
        <w:rPr>
          <w:lang w:val="en-GB"/>
        </w:rPr>
        <w:t xml:space="preserve"> fee</w:t>
      </w:r>
      <w:r w:rsidRPr="008B39B9">
        <w:rPr>
          <w:lang w:val="en-GB"/>
        </w:rPr>
        <w:t>s</w:t>
      </w:r>
      <w:r w:rsidRPr="008B39B9" w:rsidR="00DB3E87">
        <w:rPr>
          <w:lang w:val="en-GB"/>
        </w:rPr>
        <w:t xml:space="preserve"> and EUR </w:t>
      </w:r>
      <w:r w:rsidRPr="008B39B9" w:rsidR="006B385F">
        <w:rPr>
          <w:lang w:val="en-GB"/>
        </w:rPr>
        <w:t>1,252 for costs and expenses.</w:t>
      </w:r>
    </w:p>
    <w:p w:rsidRPr="008B39B9" w:rsidR="007D53F1" w:rsidP="008B39B9" w:rsidRDefault="00BB1705">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67</w:t>
      </w:r>
      <w:r w:rsidRPr="008B39B9">
        <w:rPr>
          <w:lang w:val="en-GB"/>
        </w:rPr>
        <w:fldChar w:fldCharType="end"/>
      </w:r>
      <w:r w:rsidRPr="008B39B9">
        <w:rPr>
          <w:lang w:val="en-GB"/>
        </w:rPr>
        <w:t>.  </w:t>
      </w:r>
      <w:r w:rsidRPr="008B39B9" w:rsidR="00AC6C16">
        <w:rPr>
          <w:lang w:val="en-GB"/>
        </w:rPr>
        <w:t>The Government contested the claims.</w:t>
      </w:r>
    </w:p>
    <w:p w:rsidRPr="008B39B9" w:rsidR="00AC6C16" w:rsidP="008B39B9" w:rsidRDefault="00AC6C16">
      <w:pPr>
        <w:pStyle w:val="ECHRPara"/>
        <w:rPr>
          <w:lang w:val="en-GB"/>
        </w:rPr>
      </w:pPr>
      <w:r w:rsidRPr="008B39B9">
        <w:rPr>
          <w:lang w:val="en-GB"/>
        </w:rPr>
        <w:fldChar w:fldCharType="begin"/>
      </w:r>
      <w:r w:rsidRPr="008B39B9">
        <w:rPr>
          <w:lang w:val="en-GB"/>
        </w:rPr>
        <w:instrText xml:space="preserve"> SEQ level0 \*arabic </w:instrText>
      </w:r>
      <w:r w:rsidRPr="008B39B9">
        <w:rPr>
          <w:lang w:val="en-GB"/>
        </w:rPr>
        <w:fldChar w:fldCharType="separate"/>
      </w:r>
      <w:r w:rsidRPr="008B39B9" w:rsidR="008B39B9">
        <w:rPr>
          <w:noProof/>
          <w:lang w:val="en-GB"/>
        </w:rPr>
        <w:t>68</w:t>
      </w:r>
      <w:r w:rsidRPr="008B39B9">
        <w:rPr>
          <w:lang w:val="en-GB"/>
        </w:rPr>
        <w:fldChar w:fldCharType="end"/>
      </w:r>
      <w:r w:rsidRPr="008B39B9">
        <w:rPr>
          <w:lang w:val="en-GB"/>
        </w:rPr>
        <w:t>.  In the particular circumstances of the present case, the Court considers that the question of application of Article 41 is not ready for decision. It is therefore necessary to reserve the matter, due regard b</w:t>
      </w:r>
      <w:r w:rsidRPr="008B39B9" w:rsidR="00BC372C">
        <w:rPr>
          <w:lang w:val="en-GB"/>
        </w:rPr>
        <w:t>eing had to the possibility of an agreement between the respondent State and the applicant (Rule 75 §§ 1 and 4 of the Rules of Court).</w:t>
      </w:r>
    </w:p>
    <w:p w:rsidRPr="008B39B9" w:rsidR="00014566" w:rsidP="008B39B9" w:rsidRDefault="00BB5883">
      <w:pPr>
        <w:pStyle w:val="ECHRTitle1"/>
        <w:rPr>
          <w:lang w:val="en-GB"/>
        </w:rPr>
      </w:pPr>
      <w:r w:rsidRPr="008B39B9">
        <w:rPr>
          <w:lang w:val="en-GB"/>
        </w:rPr>
        <w:t>FOR THESE REASONS, THE COURT</w:t>
      </w:r>
      <w:r w:rsidRPr="008B39B9" w:rsidR="00734E21">
        <w:rPr>
          <w:lang w:val="en-GB"/>
        </w:rPr>
        <w:t>, UNANIMOUSLY,</w:t>
      </w:r>
    </w:p>
    <w:p w:rsidRPr="008B39B9" w:rsidR="00014566" w:rsidP="008B39B9" w:rsidRDefault="00734E21">
      <w:pPr>
        <w:pStyle w:val="JuList"/>
        <w:rPr>
          <w:lang w:val="en-GB"/>
        </w:rPr>
      </w:pPr>
      <w:r w:rsidRPr="008B39B9">
        <w:rPr>
          <w:lang w:val="en-GB"/>
        </w:rPr>
        <w:t>1.  </w:t>
      </w:r>
      <w:r w:rsidRPr="008B39B9">
        <w:rPr>
          <w:i/>
          <w:lang w:val="en-GB"/>
        </w:rPr>
        <w:t>Declares</w:t>
      </w:r>
      <w:r w:rsidRPr="008B39B9">
        <w:rPr>
          <w:lang w:val="en-GB"/>
        </w:rPr>
        <w:t xml:space="preserve"> </w:t>
      </w:r>
      <w:r w:rsidRPr="008B39B9" w:rsidR="00440E4B">
        <w:rPr>
          <w:color w:val="000000"/>
          <w:lang w:val="en-GB"/>
        </w:rPr>
        <w:t xml:space="preserve">the </w:t>
      </w:r>
      <w:r w:rsidRPr="008B39B9" w:rsidR="00142059">
        <w:rPr>
          <w:lang w:val="en-GB"/>
        </w:rPr>
        <w:t>complaint</w:t>
      </w:r>
      <w:r w:rsidRPr="008B39B9" w:rsidR="00440E4B">
        <w:rPr>
          <w:lang w:val="en-GB"/>
        </w:rPr>
        <w:t>s</w:t>
      </w:r>
      <w:r w:rsidRPr="008B39B9" w:rsidR="00142059">
        <w:rPr>
          <w:lang w:val="en-GB"/>
        </w:rPr>
        <w:t xml:space="preserve"> under Article</w:t>
      </w:r>
      <w:r w:rsidRPr="008B39B9" w:rsidR="0031664E">
        <w:rPr>
          <w:lang w:val="en-GB"/>
        </w:rPr>
        <w:t> </w:t>
      </w:r>
      <w:r w:rsidRPr="008B39B9" w:rsidR="00142059">
        <w:rPr>
          <w:lang w:val="en-GB"/>
        </w:rPr>
        <w:t>1 of Protocol No.</w:t>
      </w:r>
      <w:r w:rsidRPr="008B39B9" w:rsidR="00855961">
        <w:rPr>
          <w:lang w:val="en-GB"/>
        </w:rPr>
        <w:t xml:space="preserve"> </w:t>
      </w:r>
      <w:r w:rsidRPr="008B39B9" w:rsidR="00440E4B">
        <w:rPr>
          <w:lang w:val="en-GB"/>
        </w:rPr>
        <w:t>1 and Article</w:t>
      </w:r>
      <w:r w:rsidRPr="008B39B9" w:rsidR="004C6B6A">
        <w:rPr>
          <w:lang w:val="en-GB"/>
        </w:rPr>
        <w:t> </w:t>
      </w:r>
      <w:r w:rsidRPr="008B39B9" w:rsidR="00440E4B">
        <w:rPr>
          <w:lang w:val="en-GB"/>
        </w:rPr>
        <w:t>6</w:t>
      </w:r>
      <w:r w:rsidRPr="008B39B9" w:rsidR="00142059">
        <w:rPr>
          <w:lang w:val="en-GB"/>
        </w:rPr>
        <w:t xml:space="preserve"> </w:t>
      </w:r>
      <w:r w:rsidRPr="008B39B9" w:rsidR="00071D07">
        <w:rPr>
          <w:lang w:val="en-GB"/>
        </w:rPr>
        <w:t xml:space="preserve">in respect of the third set of proceedings </w:t>
      </w:r>
      <w:r w:rsidRPr="008B39B9">
        <w:rPr>
          <w:lang w:val="en-GB"/>
        </w:rPr>
        <w:t>admissible</w:t>
      </w:r>
      <w:r w:rsidRPr="008B39B9" w:rsidR="00142059">
        <w:rPr>
          <w:lang w:val="en-GB"/>
        </w:rPr>
        <w:t xml:space="preserve"> and the rem</w:t>
      </w:r>
      <w:r w:rsidRPr="008B39B9" w:rsidR="009E720F">
        <w:rPr>
          <w:lang w:val="en-GB"/>
        </w:rPr>
        <w:t>a</w:t>
      </w:r>
      <w:r w:rsidRPr="008B39B9" w:rsidR="00142059">
        <w:rPr>
          <w:lang w:val="en-GB"/>
        </w:rPr>
        <w:t>inder of the application inadmissible</w:t>
      </w:r>
      <w:r w:rsidRPr="008B39B9">
        <w:rPr>
          <w:lang w:val="en-GB"/>
        </w:rPr>
        <w:t>;</w:t>
      </w:r>
    </w:p>
    <w:p w:rsidRPr="008B39B9" w:rsidR="00014566" w:rsidP="008B39B9" w:rsidRDefault="00014566">
      <w:pPr>
        <w:pStyle w:val="JuList"/>
        <w:ind w:left="0" w:firstLine="0"/>
        <w:rPr>
          <w:lang w:val="en-GB"/>
        </w:rPr>
      </w:pPr>
    </w:p>
    <w:p w:rsidRPr="008B39B9" w:rsidR="00014566" w:rsidP="008B39B9" w:rsidRDefault="00142059">
      <w:pPr>
        <w:pStyle w:val="JuList"/>
        <w:rPr>
          <w:lang w:val="en-GB"/>
        </w:rPr>
      </w:pPr>
      <w:r w:rsidRPr="008B39B9">
        <w:rPr>
          <w:lang w:val="en-GB"/>
        </w:rPr>
        <w:t>2</w:t>
      </w:r>
      <w:r w:rsidRPr="008B39B9" w:rsidR="00014566">
        <w:rPr>
          <w:lang w:val="en-GB"/>
        </w:rPr>
        <w:t>.  </w:t>
      </w:r>
      <w:r w:rsidRPr="008B39B9" w:rsidR="00014566">
        <w:rPr>
          <w:i/>
          <w:lang w:val="en-GB"/>
        </w:rPr>
        <w:t>Holds</w:t>
      </w:r>
      <w:r w:rsidRPr="008B39B9" w:rsidR="00734E21">
        <w:rPr>
          <w:lang w:val="en-GB"/>
        </w:rPr>
        <w:t xml:space="preserve"> </w:t>
      </w:r>
      <w:r w:rsidRPr="008B39B9" w:rsidR="00014566">
        <w:rPr>
          <w:lang w:val="en-GB"/>
        </w:rPr>
        <w:t>that there has been a violation of Article</w:t>
      </w:r>
      <w:r w:rsidRPr="008B39B9">
        <w:rPr>
          <w:lang w:val="en-GB"/>
        </w:rPr>
        <w:t xml:space="preserve"> 1 of Protocol No. 1 to</w:t>
      </w:r>
      <w:r w:rsidRPr="008B39B9" w:rsidR="00014566">
        <w:rPr>
          <w:lang w:val="en-GB"/>
        </w:rPr>
        <w:t xml:space="preserve"> the Convention;</w:t>
      </w:r>
    </w:p>
    <w:p w:rsidRPr="008B39B9" w:rsidR="00440E4B" w:rsidP="008B39B9" w:rsidRDefault="00440E4B">
      <w:pPr>
        <w:pStyle w:val="JuList"/>
        <w:rPr>
          <w:lang w:val="en-GB"/>
        </w:rPr>
      </w:pPr>
    </w:p>
    <w:p w:rsidRPr="008B39B9" w:rsidR="00440E4B" w:rsidP="008B39B9" w:rsidRDefault="00440E4B">
      <w:pPr>
        <w:pStyle w:val="JuList"/>
        <w:rPr>
          <w:lang w:val="en-GB"/>
        </w:rPr>
      </w:pPr>
      <w:r w:rsidRPr="008B39B9">
        <w:rPr>
          <w:i/>
          <w:lang w:val="en-GB"/>
        </w:rPr>
        <w:t>3. Holds</w:t>
      </w:r>
      <w:r w:rsidRPr="008B39B9">
        <w:rPr>
          <w:lang w:val="en-GB"/>
        </w:rPr>
        <w:t xml:space="preserve"> that there has been a violation of Article 6 § 1</w:t>
      </w:r>
      <w:r w:rsidRPr="008B39B9" w:rsidR="008033CC">
        <w:rPr>
          <w:lang w:val="en-GB"/>
        </w:rPr>
        <w:t xml:space="preserve"> </w:t>
      </w:r>
      <w:r w:rsidRPr="008B39B9">
        <w:rPr>
          <w:lang w:val="en-GB"/>
        </w:rPr>
        <w:t>of the Convention in respect of the third set of proceedings;</w:t>
      </w:r>
    </w:p>
    <w:p w:rsidRPr="008B39B9" w:rsidR="00014566" w:rsidP="008B39B9" w:rsidRDefault="00014566">
      <w:pPr>
        <w:pStyle w:val="JuList"/>
        <w:rPr>
          <w:lang w:val="en-GB"/>
        </w:rPr>
      </w:pPr>
    </w:p>
    <w:p w:rsidRPr="008B39B9" w:rsidR="00142059" w:rsidP="008B39B9" w:rsidRDefault="00440E4B">
      <w:pPr>
        <w:pStyle w:val="JuList"/>
      </w:pPr>
      <w:r w:rsidRPr="008B39B9">
        <w:rPr>
          <w:lang w:val="en-GB"/>
        </w:rPr>
        <w:t>4</w:t>
      </w:r>
      <w:r w:rsidRPr="008B39B9" w:rsidR="00142059">
        <w:rPr>
          <w:lang w:val="en-GB"/>
        </w:rPr>
        <w:t>.  </w:t>
      </w:r>
      <w:r w:rsidRPr="008B39B9" w:rsidR="00142059">
        <w:rPr>
          <w:i/>
        </w:rPr>
        <w:t>Holds</w:t>
      </w:r>
      <w:r w:rsidRPr="008B39B9" w:rsidR="00142059">
        <w:t xml:space="preserve"> that the question of </w:t>
      </w:r>
      <w:r w:rsidRPr="008B39B9" w:rsidR="00071D07">
        <w:t>just satisfaction</w:t>
      </w:r>
      <w:r w:rsidRPr="008B39B9" w:rsidR="00142059">
        <w:t xml:space="preserve"> under Article 41 of the Convention is not ready for decision, and accordingly:</w:t>
      </w:r>
    </w:p>
    <w:p w:rsidRPr="008B39B9" w:rsidR="00142059" w:rsidP="008B39B9" w:rsidRDefault="00142059">
      <w:pPr>
        <w:pStyle w:val="JuList"/>
        <w:rPr>
          <w:lang w:val="en-GB"/>
        </w:rPr>
      </w:pPr>
    </w:p>
    <w:p w:rsidRPr="008B39B9" w:rsidR="00142059" w:rsidP="008B39B9" w:rsidRDefault="00142059">
      <w:pPr>
        <w:pStyle w:val="JuLista"/>
        <w:rPr>
          <w:lang w:val="en-GB"/>
        </w:rPr>
      </w:pPr>
      <w:r w:rsidRPr="008B39B9">
        <w:rPr>
          <w:lang w:val="en-GB"/>
        </w:rPr>
        <w:t>(a)  </w:t>
      </w:r>
      <w:r w:rsidRPr="008B39B9">
        <w:rPr>
          <w:i/>
          <w:lang w:val="en-GB"/>
        </w:rPr>
        <w:t>reserves</w:t>
      </w:r>
      <w:r w:rsidRPr="008B39B9">
        <w:rPr>
          <w:lang w:val="en-GB"/>
        </w:rPr>
        <w:t xml:space="preserve"> the said question in whole;</w:t>
      </w:r>
    </w:p>
    <w:p w:rsidRPr="008B39B9" w:rsidR="00142059" w:rsidP="008B39B9" w:rsidRDefault="00142059">
      <w:pPr>
        <w:pStyle w:val="JuLista"/>
        <w:rPr>
          <w:lang w:val="en-GB"/>
        </w:rPr>
      </w:pPr>
      <w:r w:rsidRPr="008B39B9">
        <w:rPr>
          <w:lang w:val="en-GB"/>
        </w:rPr>
        <w:t>(b)  </w:t>
      </w:r>
      <w:r w:rsidRPr="008B39B9">
        <w:rPr>
          <w:i/>
          <w:lang w:val="en-GB"/>
        </w:rPr>
        <w:t>invites</w:t>
      </w:r>
      <w:r w:rsidRPr="008B39B9">
        <w:rPr>
          <w:lang w:val="en-GB"/>
        </w:rPr>
        <w:t xml:space="preserve"> the Government and the applicant to submit, within three months from the date on which the judgment becomes final, in accordance with Article 44 § 2 of the Convention, their written observations on the matter and, in particular, to notify the Court of any agreement that they may reach;</w:t>
      </w:r>
    </w:p>
    <w:p w:rsidRPr="008B39B9" w:rsidR="00142059" w:rsidP="008B39B9" w:rsidRDefault="00142059">
      <w:pPr>
        <w:pStyle w:val="JuLista"/>
        <w:rPr>
          <w:lang w:val="en-GB"/>
        </w:rPr>
      </w:pPr>
      <w:r w:rsidRPr="008B39B9">
        <w:rPr>
          <w:lang w:val="en-GB"/>
        </w:rPr>
        <w:t>(c)  </w:t>
      </w:r>
      <w:r w:rsidRPr="008B39B9">
        <w:rPr>
          <w:i/>
          <w:lang w:val="en-GB"/>
        </w:rPr>
        <w:t>reserves</w:t>
      </w:r>
      <w:r w:rsidRPr="008B39B9">
        <w:rPr>
          <w:lang w:val="en-GB"/>
        </w:rPr>
        <w:t xml:space="preserve"> the further procedure and delegates to the President of the Chamber the power to fix the same if need be.</w:t>
      </w:r>
    </w:p>
    <w:p w:rsidRPr="008B39B9" w:rsidR="00014566" w:rsidP="008B39B9" w:rsidRDefault="00014566">
      <w:pPr>
        <w:pStyle w:val="JuParaLast"/>
        <w:rPr>
          <w:lang w:val="en-GB"/>
        </w:rPr>
      </w:pPr>
      <w:r w:rsidRPr="008B39B9">
        <w:rPr>
          <w:lang w:val="en-GB"/>
        </w:rPr>
        <w:t xml:space="preserve">Done in English, and notified in writing on </w:t>
      </w:r>
      <w:r w:rsidRPr="008B39B9" w:rsidR="00652EEC">
        <w:rPr>
          <w:lang w:val="en-GB"/>
        </w:rPr>
        <w:t>21 July 2015, pursuant to Rule </w:t>
      </w:r>
      <w:r w:rsidRPr="008B39B9">
        <w:rPr>
          <w:lang w:val="en-GB"/>
        </w:rPr>
        <w:t>77 §§ 2 and 3 of the Rules of Court.</w:t>
      </w:r>
    </w:p>
    <w:p w:rsidRPr="008B39B9" w:rsidR="00014566" w:rsidP="008B39B9" w:rsidRDefault="00014566">
      <w:pPr>
        <w:pStyle w:val="JuSigned"/>
        <w:rPr>
          <w:lang w:val="en-GB"/>
        </w:rPr>
      </w:pPr>
      <w:r w:rsidRPr="008B39B9">
        <w:rPr>
          <w:lang w:val="en-GB"/>
        </w:rPr>
        <w:tab/>
      </w:r>
      <w:r w:rsidRPr="008B39B9" w:rsidR="00734E21">
        <w:rPr>
          <w:lang w:val="en-GB"/>
        </w:rPr>
        <w:t>Stanley Naismith</w:t>
      </w:r>
      <w:r w:rsidRPr="008B39B9">
        <w:rPr>
          <w:lang w:val="en-GB"/>
        </w:rPr>
        <w:tab/>
      </w:r>
      <w:r w:rsidRPr="008B39B9" w:rsidR="00734E21">
        <w:rPr>
          <w:szCs w:val="24"/>
          <w:lang w:val="en-GB"/>
        </w:rPr>
        <w:t>András Sajó</w:t>
      </w:r>
      <w:r w:rsidRPr="008B39B9" w:rsidR="00E1557C">
        <w:rPr>
          <w:szCs w:val="24"/>
          <w:lang w:val="en-GB"/>
        </w:rPr>
        <w:br/>
      </w:r>
      <w:r w:rsidRPr="008B39B9">
        <w:rPr>
          <w:lang w:val="en-GB"/>
        </w:rPr>
        <w:tab/>
      </w:r>
      <w:r w:rsidRPr="008B39B9" w:rsidR="00734E21">
        <w:rPr>
          <w:iCs/>
          <w:lang w:val="en-GB"/>
        </w:rPr>
        <w:t>Registrar</w:t>
      </w:r>
      <w:r w:rsidRPr="008B39B9">
        <w:rPr>
          <w:lang w:val="en-GB"/>
        </w:rPr>
        <w:tab/>
        <w:t>President</w:t>
      </w:r>
    </w:p>
    <w:sectPr w:rsidRPr="008B39B9" w:rsidR="00014566" w:rsidSect="00652EEC">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933" w:rsidRDefault="00ED2933" w:rsidP="00014566">
      <w:r>
        <w:separator/>
      </w:r>
    </w:p>
  </w:endnote>
  <w:endnote w:type="continuationSeparator" w:id="0">
    <w:p w:rsidR="00ED2933" w:rsidRDefault="00ED2933"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EC" w:rsidRPr="00150BFA" w:rsidRDefault="00652EEC" w:rsidP="0020718E">
    <w:pPr>
      <w:jc w:val="center"/>
    </w:pPr>
    <w:r>
      <w:rPr>
        <w:noProof/>
        <w:lang w:eastAsia="ja-JP"/>
      </w:rPr>
      <w:drawing>
        <wp:inline distT="0" distB="0" distL="0" distR="0" wp14:anchorId="511DD294" wp14:editId="002466D0">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52EEC" w:rsidRDefault="00652E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933" w:rsidRDefault="00ED2933" w:rsidP="00014566">
      <w:r>
        <w:separator/>
      </w:r>
    </w:p>
  </w:footnote>
  <w:footnote w:type="continuationSeparator" w:id="0">
    <w:p w:rsidR="00ED2933" w:rsidRDefault="00ED2933"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933" w:rsidRPr="00652EEC" w:rsidRDefault="00ED2933" w:rsidP="00652EE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EC" w:rsidRPr="00A45145" w:rsidRDefault="00652EEC" w:rsidP="00A45145">
    <w:pPr>
      <w:jc w:val="center"/>
    </w:pPr>
    <w:r>
      <w:rPr>
        <w:noProof/>
        <w:lang w:eastAsia="ja-JP"/>
      </w:rPr>
      <w:drawing>
        <wp:inline distT="0" distB="0" distL="0" distR="0" wp14:anchorId="0C7FEA60" wp14:editId="224F23D1">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52EEC" w:rsidRDefault="00652E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EC" w:rsidRPr="00FF2306" w:rsidRDefault="00652EEC"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B39B9">
      <w:rPr>
        <w:rStyle w:val="PageNumber"/>
        <w:noProof/>
        <w:szCs w:val="18"/>
        <w:lang w:val="en-GB"/>
      </w:rPr>
      <w:t>10</w:t>
    </w:r>
    <w:r>
      <w:rPr>
        <w:rStyle w:val="PageNumber"/>
        <w:szCs w:val="18"/>
        <w:lang w:val="en-GB"/>
      </w:rPr>
      <w:fldChar w:fldCharType="end"/>
    </w:r>
    <w:r w:rsidRPr="00FF2306">
      <w:rPr>
        <w:lang w:val="en-GB"/>
      </w:rPr>
      <w:tab/>
    </w:r>
    <w:r>
      <w:rPr>
        <w:lang w:val="en-GB"/>
      </w:rPr>
      <w:t>REISNER v. TURKEY</w:t>
    </w:r>
    <w:r w:rsidRPr="00FF2306">
      <w:rPr>
        <w:lang w:val="en-GB"/>
      </w:rPr>
      <w:t xml:space="preserve"> </w:t>
    </w:r>
    <w:r>
      <w:rPr>
        <w:lang w:val="en-GB"/>
      </w:rPr>
      <w:t>JUDGMENT</w:t>
    </w:r>
    <w:r w:rsidR="00012EDE">
      <w:rPr>
        <w:lang w:val="en-GB"/>
      </w:rPr>
      <w:t xml:space="preserve"> (MERITS)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EEC" w:rsidRPr="00D60D87" w:rsidRDefault="00652EEC" w:rsidP="00D60D87">
    <w:pPr>
      <w:pStyle w:val="ECHRHeader"/>
      <w:rPr>
        <w:lang w:val="en-GB"/>
      </w:rPr>
    </w:pPr>
    <w:r w:rsidRPr="00D60D87">
      <w:rPr>
        <w:lang w:val="en-GB"/>
      </w:rPr>
      <w:tab/>
    </w:r>
    <w:r>
      <w:rPr>
        <w:lang w:val="en-GB"/>
      </w:rPr>
      <w:t>REISNER v. TURKEY</w:t>
    </w:r>
    <w:r w:rsidRPr="00D60D87">
      <w:rPr>
        <w:lang w:val="en-GB"/>
      </w:rPr>
      <w:t xml:space="preserve"> </w:t>
    </w:r>
    <w:r>
      <w:rPr>
        <w:lang w:val="en-GB"/>
      </w:rPr>
      <w:t>JUDGMENT</w:t>
    </w:r>
    <w:r w:rsidR="00012EDE">
      <w:rPr>
        <w:lang w:val="en-GB"/>
      </w:rPr>
      <w:t xml:space="preserve"> (MERITS)</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8B39B9">
      <w:rPr>
        <w:rStyle w:val="PageNumber"/>
        <w:noProof/>
        <w:szCs w:val="18"/>
        <w:lang w:val="en-GB"/>
      </w:rPr>
      <w:t>11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German"/>
    <w:docVar w:name="NBEMMDOC" w:val="0"/>
    <w:docVar w:name="SignForeName" w:val="0"/>
  </w:docVars>
  <w:rsids>
    <w:rsidRoot w:val="00734E21"/>
    <w:rsid w:val="000041F8"/>
    <w:rsid w:val="000042A8"/>
    <w:rsid w:val="00004308"/>
    <w:rsid w:val="00005BF0"/>
    <w:rsid w:val="00007154"/>
    <w:rsid w:val="000103AE"/>
    <w:rsid w:val="00011D69"/>
    <w:rsid w:val="00012AD3"/>
    <w:rsid w:val="00012EDE"/>
    <w:rsid w:val="0001444B"/>
    <w:rsid w:val="00014566"/>
    <w:rsid w:val="00015C2D"/>
    <w:rsid w:val="00015F00"/>
    <w:rsid w:val="00022C1D"/>
    <w:rsid w:val="00034987"/>
    <w:rsid w:val="000505C1"/>
    <w:rsid w:val="00050FA9"/>
    <w:rsid w:val="000602DF"/>
    <w:rsid w:val="00061B05"/>
    <w:rsid w:val="00062973"/>
    <w:rsid w:val="00062D5D"/>
    <w:rsid w:val="000632D5"/>
    <w:rsid w:val="000644EE"/>
    <w:rsid w:val="00071D07"/>
    <w:rsid w:val="000925AD"/>
    <w:rsid w:val="000A24EB"/>
    <w:rsid w:val="000B6923"/>
    <w:rsid w:val="000C033C"/>
    <w:rsid w:val="000C5F3C"/>
    <w:rsid w:val="000C6DCC"/>
    <w:rsid w:val="000D47AA"/>
    <w:rsid w:val="000D721F"/>
    <w:rsid w:val="000E069B"/>
    <w:rsid w:val="000E0E82"/>
    <w:rsid w:val="000E1DC5"/>
    <w:rsid w:val="000E223F"/>
    <w:rsid w:val="000E5C57"/>
    <w:rsid w:val="000E7D45"/>
    <w:rsid w:val="000F7851"/>
    <w:rsid w:val="00104E23"/>
    <w:rsid w:val="00111B0C"/>
    <w:rsid w:val="00116D85"/>
    <w:rsid w:val="00120D6C"/>
    <w:rsid w:val="001257EC"/>
    <w:rsid w:val="00132C6A"/>
    <w:rsid w:val="00133D33"/>
    <w:rsid w:val="00134D64"/>
    <w:rsid w:val="00135A30"/>
    <w:rsid w:val="0013612C"/>
    <w:rsid w:val="00137FF6"/>
    <w:rsid w:val="00141650"/>
    <w:rsid w:val="00142059"/>
    <w:rsid w:val="00162A12"/>
    <w:rsid w:val="00166530"/>
    <w:rsid w:val="00167DE8"/>
    <w:rsid w:val="001832BD"/>
    <w:rsid w:val="001943B5"/>
    <w:rsid w:val="00195134"/>
    <w:rsid w:val="001A145B"/>
    <w:rsid w:val="001A674C"/>
    <w:rsid w:val="001B0BB5"/>
    <w:rsid w:val="001B3B24"/>
    <w:rsid w:val="001C0F98"/>
    <w:rsid w:val="001C2A42"/>
    <w:rsid w:val="001D63ED"/>
    <w:rsid w:val="001D7348"/>
    <w:rsid w:val="001E035B"/>
    <w:rsid w:val="001E0961"/>
    <w:rsid w:val="001E3EAE"/>
    <w:rsid w:val="001E6F32"/>
    <w:rsid w:val="001E7214"/>
    <w:rsid w:val="001F2145"/>
    <w:rsid w:val="001F6262"/>
    <w:rsid w:val="001F67B0"/>
    <w:rsid w:val="001F7B3D"/>
    <w:rsid w:val="00205F9F"/>
    <w:rsid w:val="00210338"/>
    <w:rsid w:val="002115FC"/>
    <w:rsid w:val="002133F8"/>
    <w:rsid w:val="0021423C"/>
    <w:rsid w:val="00230D00"/>
    <w:rsid w:val="00231DF7"/>
    <w:rsid w:val="00231FD1"/>
    <w:rsid w:val="002339E0"/>
    <w:rsid w:val="00233CF8"/>
    <w:rsid w:val="0023575D"/>
    <w:rsid w:val="00237148"/>
    <w:rsid w:val="0024222D"/>
    <w:rsid w:val="00244B0E"/>
    <w:rsid w:val="00244F6C"/>
    <w:rsid w:val="002532C5"/>
    <w:rsid w:val="00260C03"/>
    <w:rsid w:val="00265207"/>
    <w:rsid w:val="0026540E"/>
    <w:rsid w:val="00275123"/>
    <w:rsid w:val="00282240"/>
    <w:rsid w:val="0028572A"/>
    <w:rsid w:val="002948AD"/>
    <w:rsid w:val="00294C92"/>
    <w:rsid w:val="002A01CC"/>
    <w:rsid w:val="002A61B1"/>
    <w:rsid w:val="002A663C"/>
    <w:rsid w:val="002B1B8E"/>
    <w:rsid w:val="002B444B"/>
    <w:rsid w:val="002B5887"/>
    <w:rsid w:val="002C0692"/>
    <w:rsid w:val="002C0E27"/>
    <w:rsid w:val="002C3040"/>
    <w:rsid w:val="002D022D"/>
    <w:rsid w:val="002D24BB"/>
    <w:rsid w:val="002F2AF7"/>
    <w:rsid w:val="002F43EE"/>
    <w:rsid w:val="002F7E1C"/>
    <w:rsid w:val="00301A75"/>
    <w:rsid w:val="00302F70"/>
    <w:rsid w:val="0030336F"/>
    <w:rsid w:val="0030375E"/>
    <w:rsid w:val="00312A30"/>
    <w:rsid w:val="0031664E"/>
    <w:rsid w:val="00320F72"/>
    <w:rsid w:val="00324545"/>
    <w:rsid w:val="0032463E"/>
    <w:rsid w:val="00326224"/>
    <w:rsid w:val="0033008B"/>
    <w:rsid w:val="00337EE4"/>
    <w:rsid w:val="00340FFD"/>
    <w:rsid w:val="003506B1"/>
    <w:rsid w:val="00356AC7"/>
    <w:rsid w:val="003609FA"/>
    <w:rsid w:val="003710C8"/>
    <w:rsid w:val="003750BE"/>
    <w:rsid w:val="003827C6"/>
    <w:rsid w:val="00387B9D"/>
    <w:rsid w:val="003934C3"/>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1ED8"/>
    <w:rsid w:val="00414300"/>
    <w:rsid w:val="00425C67"/>
    <w:rsid w:val="00427E7A"/>
    <w:rsid w:val="00436307"/>
    <w:rsid w:val="00436C49"/>
    <w:rsid w:val="00440E4B"/>
    <w:rsid w:val="00445366"/>
    <w:rsid w:val="00447F5B"/>
    <w:rsid w:val="00455226"/>
    <w:rsid w:val="00461DB0"/>
    <w:rsid w:val="00463926"/>
    <w:rsid w:val="004646E0"/>
    <w:rsid w:val="00464C9A"/>
    <w:rsid w:val="00474F3D"/>
    <w:rsid w:val="00477E3A"/>
    <w:rsid w:val="00483E5F"/>
    <w:rsid w:val="00485FF9"/>
    <w:rsid w:val="004867E3"/>
    <w:rsid w:val="00487807"/>
    <w:rsid w:val="004907F0"/>
    <w:rsid w:val="0049140B"/>
    <w:rsid w:val="004923A5"/>
    <w:rsid w:val="00496BFB"/>
    <w:rsid w:val="004A15C7"/>
    <w:rsid w:val="004A6395"/>
    <w:rsid w:val="004B013B"/>
    <w:rsid w:val="004B112B"/>
    <w:rsid w:val="004B57D3"/>
    <w:rsid w:val="004C01E4"/>
    <w:rsid w:val="004C086C"/>
    <w:rsid w:val="004C1F56"/>
    <w:rsid w:val="004C27BC"/>
    <w:rsid w:val="004C6B6A"/>
    <w:rsid w:val="004D15F3"/>
    <w:rsid w:val="004D5311"/>
    <w:rsid w:val="004D5DCC"/>
    <w:rsid w:val="004F10AF"/>
    <w:rsid w:val="004F11A4"/>
    <w:rsid w:val="004F2389"/>
    <w:rsid w:val="004F304D"/>
    <w:rsid w:val="004F61BE"/>
    <w:rsid w:val="004F66B1"/>
    <w:rsid w:val="00511C07"/>
    <w:rsid w:val="005173A6"/>
    <w:rsid w:val="00520BAA"/>
    <w:rsid w:val="0052224B"/>
    <w:rsid w:val="00525208"/>
    <w:rsid w:val="005257A5"/>
    <w:rsid w:val="005264C0"/>
    <w:rsid w:val="00526A8A"/>
    <w:rsid w:val="00531DF2"/>
    <w:rsid w:val="005442EE"/>
    <w:rsid w:val="00547353"/>
    <w:rsid w:val="005474E7"/>
    <w:rsid w:val="005512A3"/>
    <w:rsid w:val="005578CE"/>
    <w:rsid w:val="00562781"/>
    <w:rsid w:val="00563E83"/>
    <w:rsid w:val="0057271C"/>
    <w:rsid w:val="00572845"/>
    <w:rsid w:val="005857F9"/>
    <w:rsid w:val="00586AEF"/>
    <w:rsid w:val="00592772"/>
    <w:rsid w:val="0059574A"/>
    <w:rsid w:val="005A1B9B"/>
    <w:rsid w:val="005A6751"/>
    <w:rsid w:val="005B092E"/>
    <w:rsid w:val="005B152C"/>
    <w:rsid w:val="005B1EE0"/>
    <w:rsid w:val="005B2B24"/>
    <w:rsid w:val="005B4425"/>
    <w:rsid w:val="005B4B94"/>
    <w:rsid w:val="005C3EE8"/>
    <w:rsid w:val="005C6A4A"/>
    <w:rsid w:val="005D34F9"/>
    <w:rsid w:val="005D4190"/>
    <w:rsid w:val="005D67A3"/>
    <w:rsid w:val="005E2988"/>
    <w:rsid w:val="005E2A43"/>
    <w:rsid w:val="005E3085"/>
    <w:rsid w:val="005E4843"/>
    <w:rsid w:val="005F3DC7"/>
    <w:rsid w:val="005F51E1"/>
    <w:rsid w:val="006031A5"/>
    <w:rsid w:val="00611C80"/>
    <w:rsid w:val="00620692"/>
    <w:rsid w:val="006242CA"/>
    <w:rsid w:val="00627507"/>
    <w:rsid w:val="00633717"/>
    <w:rsid w:val="006344E1"/>
    <w:rsid w:val="00652EEC"/>
    <w:rsid w:val="006545C4"/>
    <w:rsid w:val="00661971"/>
    <w:rsid w:val="00661CE8"/>
    <w:rsid w:val="006623D9"/>
    <w:rsid w:val="0066550C"/>
    <w:rsid w:val="006716F2"/>
    <w:rsid w:val="006724A7"/>
    <w:rsid w:val="00682BF2"/>
    <w:rsid w:val="00683E1C"/>
    <w:rsid w:val="006859CE"/>
    <w:rsid w:val="00691270"/>
    <w:rsid w:val="00694BA8"/>
    <w:rsid w:val="006A037C"/>
    <w:rsid w:val="006A36F4"/>
    <w:rsid w:val="006A406F"/>
    <w:rsid w:val="006A5D3A"/>
    <w:rsid w:val="006A5E82"/>
    <w:rsid w:val="006B0BD5"/>
    <w:rsid w:val="006B385F"/>
    <w:rsid w:val="006B4D51"/>
    <w:rsid w:val="006C23D4"/>
    <w:rsid w:val="006C7BB0"/>
    <w:rsid w:val="006D3237"/>
    <w:rsid w:val="006E2E37"/>
    <w:rsid w:val="006E3CF1"/>
    <w:rsid w:val="006E7E80"/>
    <w:rsid w:val="006F1DF9"/>
    <w:rsid w:val="006F24DB"/>
    <w:rsid w:val="006F48CA"/>
    <w:rsid w:val="006F64DD"/>
    <w:rsid w:val="00712D51"/>
    <w:rsid w:val="00715127"/>
    <w:rsid w:val="00715E8E"/>
    <w:rsid w:val="00723580"/>
    <w:rsid w:val="00723755"/>
    <w:rsid w:val="0073136C"/>
    <w:rsid w:val="00731F0F"/>
    <w:rsid w:val="00733250"/>
    <w:rsid w:val="00733A06"/>
    <w:rsid w:val="00734E21"/>
    <w:rsid w:val="00741404"/>
    <w:rsid w:val="007449E5"/>
    <w:rsid w:val="00746C5A"/>
    <w:rsid w:val="00747FF0"/>
    <w:rsid w:val="00764D4E"/>
    <w:rsid w:val="00765A1F"/>
    <w:rsid w:val="007725DA"/>
    <w:rsid w:val="00775B6D"/>
    <w:rsid w:val="00776D68"/>
    <w:rsid w:val="007850EE"/>
    <w:rsid w:val="00785B95"/>
    <w:rsid w:val="00790E96"/>
    <w:rsid w:val="00793366"/>
    <w:rsid w:val="007A0B1E"/>
    <w:rsid w:val="007A716F"/>
    <w:rsid w:val="007B270A"/>
    <w:rsid w:val="007B2CC7"/>
    <w:rsid w:val="007C0695"/>
    <w:rsid w:val="007C419A"/>
    <w:rsid w:val="007C4CC8"/>
    <w:rsid w:val="007C5426"/>
    <w:rsid w:val="007C5798"/>
    <w:rsid w:val="007C5C60"/>
    <w:rsid w:val="007C7B99"/>
    <w:rsid w:val="007D4832"/>
    <w:rsid w:val="007D53F1"/>
    <w:rsid w:val="007E21B2"/>
    <w:rsid w:val="007E2C4E"/>
    <w:rsid w:val="007E3ECD"/>
    <w:rsid w:val="007F1905"/>
    <w:rsid w:val="00801300"/>
    <w:rsid w:val="00802C64"/>
    <w:rsid w:val="008033CC"/>
    <w:rsid w:val="00805E52"/>
    <w:rsid w:val="008061D0"/>
    <w:rsid w:val="00810B38"/>
    <w:rsid w:val="008204C7"/>
    <w:rsid w:val="00820992"/>
    <w:rsid w:val="00823602"/>
    <w:rsid w:val="008255F5"/>
    <w:rsid w:val="0083014E"/>
    <w:rsid w:val="0083214A"/>
    <w:rsid w:val="00834220"/>
    <w:rsid w:val="00835C4C"/>
    <w:rsid w:val="00845723"/>
    <w:rsid w:val="00851EF9"/>
    <w:rsid w:val="0085237E"/>
    <w:rsid w:val="00855961"/>
    <w:rsid w:val="00855FCC"/>
    <w:rsid w:val="008577FD"/>
    <w:rsid w:val="00860B03"/>
    <w:rsid w:val="0086497A"/>
    <w:rsid w:val="008713A1"/>
    <w:rsid w:val="008754AB"/>
    <w:rsid w:val="0088060C"/>
    <w:rsid w:val="00893576"/>
    <w:rsid w:val="00893E73"/>
    <w:rsid w:val="008978BA"/>
    <w:rsid w:val="008A43C4"/>
    <w:rsid w:val="008A5287"/>
    <w:rsid w:val="008B02DC"/>
    <w:rsid w:val="008B39B9"/>
    <w:rsid w:val="008B4D80"/>
    <w:rsid w:val="008B57CE"/>
    <w:rsid w:val="008B659F"/>
    <w:rsid w:val="008C26DE"/>
    <w:rsid w:val="008D2225"/>
    <w:rsid w:val="008D4752"/>
    <w:rsid w:val="008D68F2"/>
    <w:rsid w:val="008E271C"/>
    <w:rsid w:val="008E418E"/>
    <w:rsid w:val="008E5BC6"/>
    <w:rsid w:val="008E6A25"/>
    <w:rsid w:val="008F5193"/>
    <w:rsid w:val="009013A7"/>
    <w:rsid w:val="009017FB"/>
    <w:rsid w:val="009017FC"/>
    <w:rsid w:val="00903B43"/>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2F93"/>
    <w:rsid w:val="009630C7"/>
    <w:rsid w:val="00963F2F"/>
    <w:rsid w:val="00972B55"/>
    <w:rsid w:val="009743B7"/>
    <w:rsid w:val="0097757F"/>
    <w:rsid w:val="0098228B"/>
    <w:rsid w:val="009828DA"/>
    <w:rsid w:val="00985BAB"/>
    <w:rsid w:val="00997F03"/>
    <w:rsid w:val="009A46DF"/>
    <w:rsid w:val="009B1B5F"/>
    <w:rsid w:val="009B2EC2"/>
    <w:rsid w:val="009B324D"/>
    <w:rsid w:val="009B6673"/>
    <w:rsid w:val="009C191B"/>
    <w:rsid w:val="009C2BD6"/>
    <w:rsid w:val="009E1F32"/>
    <w:rsid w:val="009E41D0"/>
    <w:rsid w:val="009E5829"/>
    <w:rsid w:val="009E720F"/>
    <w:rsid w:val="009E776C"/>
    <w:rsid w:val="009F5969"/>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598A"/>
    <w:rsid w:val="00A82359"/>
    <w:rsid w:val="00A865D2"/>
    <w:rsid w:val="00A94C20"/>
    <w:rsid w:val="00A96ED6"/>
    <w:rsid w:val="00AA227F"/>
    <w:rsid w:val="00AA3BC7"/>
    <w:rsid w:val="00AA754A"/>
    <w:rsid w:val="00AB099E"/>
    <w:rsid w:val="00AB4328"/>
    <w:rsid w:val="00AB5FA0"/>
    <w:rsid w:val="00AC4D3E"/>
    <w:rsid w:val="00AC6C16"/>
    <w:rsid w:val="00AD0138"/>
    <w:rsid w:val="00AE0A2E"/>
    <w:rsid w:val="00AE354C"/>
    <w:rsid w:val="00AE37C7"/>
    <w:rsid w:val="00AF4B07"/>
    <w:rsid w:val="00AF6186"/>
    <w:rsid w:val="00AF7A3A"/>
    <w:rsid w:val="00B042D9"/>
    <w:rsid w:val="00B160DB"/>
    <w:rsid w:val="00B20836"/>
    <w:rsid w:val="00B235BB"/>
    <w:rsid w:val="00B27A44"/>
    <w:rsid w:val="00B30BBF"/>
    <w:rsid w:val="00B33C03"/>
    <w:rsid w:val="00B44E56"/>
    <w:rsid w:val="00B46543"/>
    <w:rsid w:val="00B47D33"/>
    <w:rsid w:val="00B52BE0"/>
    <w:rsid w:val="00B54133"/>
    <w:rsid w:val="00B63C27"/>
    <w:rsid w:val="00B701ED"/>
    <w:rsid w:val="00B8086C"/>
    <w:rsid w:val="00B861B4"/>
    <w:rsid w:val="00B86DFE"/>
    <w:rsid w:val="00B90990"/>
    <w:rsid w:val="00B922FF"/>
    <w:rsid w:val="00B9281E"/>
    <w:rsid w:val="00B93925"/>
    <w:rsid w:val="00B95187"/>
    <w:rsid w:val="00BA2D55"/>
    <w:rsid w:val="00BA71B1"/>
    <w:rsid w:val="00BB0637"/>
    <w:rsid w:val="00BB1705"/>
    <w:rsid w:val="00BB345F"/>
    <w:rsid w:val="00BB5883"/>
    <w:rsid w:val="00BB68EA"/>
    <w:rsid w:val="00BC07BD"/>
    <w:rsid w:val="00BC1C27"/>
    <w:rsid w:val="00BC372C"/>
    <w:rsid w:val="00BC5508"/>
    <w:rsid w:val="00BC6BBF"/>
    <w:rsid w:val="00BD1572"/>
    <w:rsid w:val="00BE14E3"/>
    <w:rsid w:val="00BE3774"/>
    <w:rsid w:val="00BE41E5"/>
    <w:rsid w:val="00BF0BBB"/>
    <w:rsid w:val="00BF4109"/>
    <w:rsid w:val="00BF4CC3"/>
    <w:rsid w:val="00C054C7"/>
    <w:rsid w:val="00C057B5"/>
    <w:rsid w:val="00C15B6F"/>
    <w:rsid w:val="00C22687"/>
    <w:rsid w:val="00C32E4D"/>
    <w:rsid w:val="00C333A0"/>
    <w:rsid w:val="00C36A81"/>
    <w:rsid w:val="00C37F53"/>
    <w:rsid w:val="00C41266"/>
    <w:rsid w:val="00C41974"/>
    <w:rsid w:val="00C447AD"/>
    <w:rsid w:val="00C53E7A"/>
    <w:rsid w:val="00C53F4A"/>
    <w:rsid w:val="00C54125"/>
    <w:rsid w:val="00C55B54"/>
    <w:rsid w:val="00C6098E"/>
    <w:rsid w:val="00C6152C"/>
    <w:rsid w:val="00C621C2"/>
    <w:rsid w:val="00C650C1"/>
    <w:rsid w:val="00C66D20"/>
    <w:rsid w:val="00C74810"/>
    <w:rsid w:val="00C81B91"/>
    <w:rsid w:val="00C90AB9"/>
    <w:rsid w:val="00C90D68"/>
    <w:rsid w:val="00C939FE"/>
    <w:rsid w:val="00CA4BDA"/>
    <w:rsid w:val="00CB1F66"/>
    <w:rsid w:val="00CB2951"/>
    <w:rsid w:val="00CD282B"/>
    <w:rsid w:val="00CD4C35"/>
    <w:rsid w:val="00CD7369"/>
    <w:rsid w:val="00CE0B0E"/>
    <w:rsid w:val="00CE3831"/>
    <w:rsid w:val="00CE7152"/>
    <w:rsid w:val="00CF153C"/>
    <w:rsid w:val="00D00ABB"/>
    <w:rsid w:val="00D02EEC"/>
    <w:rsid w:val="00D03551"/>
    <w:rsid w:val="00D06A63"/>
    <w:rsid w:val="00D07E0E"/>
    <w:rsid w:val="00D11478"/>
    <w:rsid w:val="00D13554"/>
    <w:rsid w:val="00D15ED0"/>
    <w:rsid w:val="00D21B3E"/>
    <w:rsid w:val="00D21FED"/>
    <w:rsid w:val="00D24251"/>
    <w:rsid w:val="00D2448C"/>
    <w:rsid w:val="00D26ADE"/>
    <w:rsid w:val="00D334C1"/>
    <w:rsid w:val="00D343E2"/>
    <w:rsid w:val="00D361A2"/>
    <w:rsid w:val="00D42923"/>
    <w:rsid w:val="00D44C2E"/>
    <w:rsid w:val="00D45414"/>
    <w:rsid w:val="00D53C0F"/>
    <w:rsid w:val="00D566BD"/>
    <w:rsid w:val="00D57A4D"/>
    <w:rsid w:val="00D60AA7"/>
    <w:rsid w:val="00D60D87"/>
    <w:rsid w:val="00D6435F"/>
    <w:rsid w:val="00D7129F"/>
    <w:rsid w:val="00D75029"/>
    <w:rsid w:val="00D75E28"/>
    <w:rsid w:val="00D772C2"/>
    <w:rsid w:val="00D8008E"/>
    <w:rsid w:val="00D82C45"/>
    <w:rsid w:val="00D908A8"/>
    <w:rsid w:val="00D977B6"/>
    <w:rsid w:val="00DA3F91"/>
    <w:rsid w:val="00DA4A31"/>
    <w:rsid w:val="00DA7B04"/>
    <w:rsid w:val="00DB36C2"/>
    <w:rsid w:val="00DB3E87"/>
    <w:rsid w:val="00DB7196"/>
    <w:rsid w:val="00DC169B"/>
    <w:rsid w:val="00DC2AB9"/>
    <w:rsid w:val="00DC63F0"/>
    <w:rsid w:val="00DD6EE5"/>
    <w:rsid w:val="00DE386C"/>
    <w:rsid w:val="00DE4D35"/>
    <w:rsid w:val="00DF0549"/>
    <w:rsid w:val="00DF098B"/>
    <w:rsid w:val="00DF11C4"/>
    <w:rsid w:val="00DF210C"/>
    <w:rsid w:val="00DF4B6A"/>
    <w:rsid w:val="00DF4E38"/>
    <w:rsid w:val="00E009CB"/>
    <w:rsid w:val="00E02C09"/>
    <w:rsid w:val="00E04D59"/>
    <w:rsid w:val="00E07DA1"/>
    <w:rsid w:val="00E123CB"/>
    <w:rsid w:val="00E1557C"/>
    <w:rsid w:val="00E20E13"/>
    <w:rsid w:val="00E21DBC"/>
    <w:rsid w:val="00E24727"/>
    <w:rsid w:val="00E275D7"/>
    <w:rsid w:val="00E27DBE"/>
    <w:rsid w:val="00E32AB1"/>
    <w:rsid w:val="00E36C71"/>
    <w:rsid w:val="00E40404"/>
    <w:rsid w:val="00E459C6"/>
    <w:rsid w:val="00E47589"/>
    <w:rsid w:val="00E522EE"/>
    <w:rsid w:val="00E64915"/>
    <w:rsid w:val="00E661D4"/>
    <w:rsid w:val="00E70091"/>
    <w:rsid w:val="00E720F5"/>
    <w:rsid w:val="00E76D47"/>
    <w:rsid w:val="00E849F7"/>
    <w:rsid w:val="00E857C9"/>
    <w:rsid w:val="00E90302"/>
    <w:rsid w:val="00E9597F"/>
    <w:rsid w:val="00E97396"/>
    <w:rsid w:val="00EA185E"/>
    <w:rsid w:val="00EA592A"/>
    <w:rsid w:val="00EB14E4"/>
    <w:rsid w:val="00EB32A5"/>
    <w:rsid w:val="00EB34ED"/>
    <w:rsid w:val="00EB7BE0"/>
    <w:rsid w:val="00EB7F57"/>
    <w:rsid w:val="00EC315E"/>
    <w:rsid w:val="00ED077C"/>
    <w:rsid w:val="00ED1190"/>
    <w:rsid w:val="00ED2933"/>
    <w:rsid w:val="00ED6544"/>
    <w:rsid w:val="00EE0277"/>
    <w:rsid w:val="00EE1DA9"/>
    <w:rsid w:val="00EE3E00"/>
    <w:rsid w:val="00EE5DD2"/>
    <w:rsid w:val="00EF41F1"/>
    <w:rsid w:val="00EF4F08"/>
    <w:rsid w:val="00F00A79"/>
    <w:rsid w:val="00F00E86"/>
    <w:rsid w:val="00F07C1E"/>
    <w:rsid w:val="00F105DB"/>
    <w:rsid w:val="00F132BC"/>
    <w:rsid w:val="00F13D80"/>
    <w:rsid w:val="00F16AAA"/>
    <w:rsid w:val="00F21161"/>
    <w:rsid w:val="00F218EF"/>
    <w:rsid w:val="00F21BC7"/>
    <w:rsid w:val="00F266A2"/>
    <w:rsid w:val="00F27670"/>
    <w:rsid w:val="00F32269"/>
    <w:rsid w:val="00F33E3F"/>
    <w:rsid w:val="00F43F0F"/>
    <w:rsid w:val="00F56A6F"/>
    <w:rsid w:val="00F5709C"/>
    <w:rsid w:val="00F64EF1"/>
    <w:rsid w:val="00F67079"/>
    <w:rsid w:val="00F71E6C"/>
    <w:rsid w:val="00F76264"/>
    <w:rsid w:val="00F8765F"/>
    <w:rsid w:val="00F90767"/>
    <w:rsid w:val="00FA685B"/>
    <w:rsid w:val="00FB0C01"/>
    <w:rsid w:val="00FC18F2"/>
    <w:rsid w:val="00FC39E5"/>
    <w:rsid w:val="00FC3A78"/>
    <w:rsid w:val="00FC5FFE"/>
    <w:rsid w:val="00FD1005"/>
    <w:rsid w:val="00FD3180"/>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34C1"/>
    <w:pPr>
      <w:jc w:val="both"/>
    </w:pPr>
    <w:rPr>
      <w:rFonts w:eastAsiaTheme="minorEastAsia"/>
      <w:sz w:val="24"/>
    </w:rPr>
  </w:style>
  <w:style w:type="paragraph" w:styleId="Heading1">
    <w:name w:val="heading 1"/>
    <w:basedOn w:val="Normal"/>
    <w:next w:val="Normal"/>
    <w:link w:val="Heading1Char"/>
    <w:uiPriority w:val="99"/>
    <w:semiHidden/>
    <w:rsid w:val="00D334C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34C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34C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34C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334C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D334C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334C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334C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334C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34C1"/>
    <w:rPr>
      <w:rFonts w:ascii="Tahoma" w:hAnsi="Tahoma" w:cs="Tahoma"/>
      <w:sz w:val="16"/>
      <w:szCs w:val="16"/>
    </w:rPr>
  </w:style>
  <w:style w:type="character" w:customStyle="1" w:styleId="BalloonTextChar">
    <w:name w:val="Balloon Text Char"/>
    <w:basedOn w:val="DefaultParagraphFont"/>
    <w:link w:val="BalloonText"/>
    <w:uiPriority w:val="99"/>
    <w:semiHidden/>
    <w:rsid w:val="00D334C1"/>
    <w:rPr>
      <w:rFonts w:ascii="Tahoma" w:eastAsiaTheme="minorEastAsia" w:hAnsi="Tahoma" w:cs="Tahoma"/>
      <w:sz w:val="16"/>
      <w:szCs w:val="16"/>
    </w:rPr>
  </w:style>
  <w:style w:type="character" w:styleId="BookTitle">
    <w:name w:val="Book Title"/>
    <w:uiPriority w:val="99"/>
    <w:semiHidden/>
    <w:qFormat/>
    <w:rsid w:val="00D334C1"/>
    <w:rPr>
      <w:i/>
      <w:iCs/>
      <w:smallCaps/>
      <w:spacing w:val="5"/>
    </w:rPr>
  </w:style>
  <w:style w:type="paragraph" w:customStyle="1" w:styleId="ECHRHeader">
    <w:name w:val="ECHR_Header"/>
    <w:aliases w:val="Ju_Header"/>
    <w:basedOn w:val="Header"/>
    <w:uiPriority w:val="4"/>
    <w:qFormat/>
    <w:rsid w:val="00D334C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34C1"/>
    <w:pPr>
      <w:jc w:val="left"/>
    </w:pPr>
    <w:rPr>
      <w:sz w:val="8"/>
    </w:rPr>
  </w:style>
  <w:style w:type="character" w:styleId="Strong">
    <w:name w:val="Strong"/>
    <w:uiPriority w:val="99"/>
    <w:semiHidden/>
    <w:qFormat/>
    <w:rsid w:val="00D334C1"/>
    <w:rPr>
      <w:b/>
      <w:bCs/>
    </w:rPr>
  </w:style>
  <w:style w:type="paragraph" w:styleId="NoSpacing">
    <w:name w:val="No Spacing"/>
    <w:basedOn w:val="Normal"/>
    <w:link w:val="NoSpacingChar"/>
    <w:semiHidden/>
    <w:qFormat/>
    <w:rsid w:val="00D334C1"/>
    <w:rPr>
      <w:sz w:val="22"/>
    </w:rPr>
  </w:style>
  <w:style w:type="character" w:customStyle="1" w:styleId="NoSpacingChar">
    <w:name w:val="No Spacing Char"/>
    <w:basedOn w:val="DefaultParagraphFont"/>
    <w:link w:val="NoSpacing"/>
    <w:semiHidden/>
    <w:rsid w:val="00D334C1"/>
    <w:rPr>
      <w:rFonts w:eastAsiaTheme="minorEastAsia"/>
    </w:rPr>
  </w:style>
  <w:style w:type="paragraph" w:customStyle="1" w:styleId="ECHRFooterLine">
    <w:name w:val="ECHR_Footer_Line"/>
    <w:aliases w:val="Footer_Line"/>
    <w:basedOn w:val="Normal"/>
    <w:next w:val="ECHRFooter"/>
    <w:uiPriority w:val="57"/>
    <w:semiHidden/>
    <w:rsid w:val="00D334C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D334C1"/>
    <w:pPr>
      <w:numPr>
        <w:numId w:val="14"/>
      </w:numPr>
      <w:jc w:val="left"/>
    </w:pPr>
    <w:rPr>
      <w:b/>
    </w:rPr>
  </w:style>
  <w:style w:type="paragraph" w:customStyle="1" w:styleId="OpiPara">
    <w:name w:val="Opi_Para"/>
    <w:basedOn w:val="ECHRPara"/>
    <w:uiPriority w:val="46"/>
    <w:qFormat/>
    <w:rsid w:val="00D334C1"/>
  </w:style>
  <w:style w:type="paragraph" w:customStyle="1" w:styleId="JuParaSub">
    <w:name w:val="Ju_Para_Sub"/>
    <w:basedOn w:val="ECHRPara"/>
    <w:uiPriority w:val="13"/>
    <w:qFormat/>
    <w:rsid w:val="00D334C1"/>
    <w:pPr>
      <w:ind w:left="284"/>
    </w:pPr>
  </w:style>
  <w:style w:type="paragraph" w:customStyle="1" w:styleId="ECHRTitleCentre3">
    <w:name w:val="ECHR_Title_Centre_3"/>
    <w:aliases w:val="Ju_H_Article"/>
    <w:basedOn w:val="Normal"/>
    <w:next w:val="ECHRParaQuote"/>
    <w:uiPriority w:val="27"/>
    <w:qFormat/>
    <w:rsid w:val="00D334C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334C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D334C1"/>
  </w:style>
  <w:style w:type="paragraph" w:customStyle="1" w:styleId="OpiQuot">
    <w:name w:val="Opi_Quot"/>
    <w:basedOn w:val="ECHRParaQuote"/>
    <w:uiPriority w:val="48"/>
    <w:qFormat/>
    <w:rsid w:val="00D334C1"/>
  </w:style>
  <w:style w:type="paragraph" w:customStyle="1" w:styleId="OpiQuotSub">
    <w:name w:val="Opi_Quot_Sub"/>
    <w:basedOn w:val="JuQuotSub"/>
    <w:uiPriority w:val="49"/>
    <w:qFormat/>
    <w:rsid w:val="00D334C1"/>
  </w:style>
  <w:style w:type="paragraph" w:customStyle="1" w:styleId="ECHRTitleCentre2">
    <w:name w:val="ECHR_Title_Centre_2"/>
    <w:aliases w:val="Dec_H_Case"/>
    <w:basedOn w:val="Normal"/>
    <w:next w:val="ECHRPara"/>
    <w:uiPriority w:val="8"/>
    <w:rsid w:val="00D334C1"/>
    <w:pPr>
      <w:spacing w:after="240"/>
      <w:jc w:val="center"/>
      <w:outlineLvl w:val="0"/>
    </w:pPr>
    <w:rPr>
      <w:rFonts w:asciiTheme="majorHAnsi" w:hAnsiTheme="majorHAnsi"/>
    </w:rPr>
  </w:style>
  <w:style w:type="paragraph" w:customStyle="1" w:styleId="JuTitle">
    <w:name w:val="Ju_Title"/>
    <w:basedOn w:val="Normal"/>
    <w:next w:val="ECHRPara"/>
    <w:uiPriority w:val="3"/>
    <w:rsid w:val="00D334C1"/>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D334C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334C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334C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334C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334C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334C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334C1"/>
    <w:pPr>
      <w:keepNext/>
      <w:keepLines/>
      <w:spacing w:before="240" w:after="120"/>
      <w:ind w:left="1236"/>
    </w:pPr>
    <w:rPr>
      <w:sz w:val="20"/>
    </w:rPr>
  </w:style>
  <w:style w:type="paragraph" w:customStyle="1" w:styleId="JuQuotSub">
    <w:name w:val="Ju_Quot_Sub"/>
    <w:basedOn w:val="ECHRParaQuote"/>
    <w:uiPriority w:val="15"/>
    <w:qFormat/>
    <w:rsid w:val="00D334C1"/>
    <w:pPr>
      <w:ind w:left="567"/>
    </w:pPr>
  </w:style>
  <w:style w:type="paragraph" w:customStyle="1" w:styleId="JuInitialled">
    <w:name w:val="Ju_Initialled"/>
    <w:basedOn w:val="Normal"/>
    <w:uiPriority w:val="31"/>
    <w:qFormat/>
    <w:rsid w:val="00D334C1"/>
    <w:pPr>
      <w:tabs>
        <w:tab w:val="center" w:pos="6407"/>
      </w:tabs>
      <w:spacing w:before="720"/>
      <w:jc w:val="right"/>
    </w:pPr>
  </w:style>
  <w:style w:type="paragraph" w:customStyle="1" w:styleId="OpiHA">
    <w:name w:val="Opi_H_A"/>
    <w:basedOn w:val="ECHRHeading1"/>
    <w:next w:val="OpiPara"/>
    <w:uiPriority w:val="41"/>
    <w:qFormat/>
    <w:rsid w:val="00D334C1"/>
    <w:pPr>
      <w:tabs>
        <w:tab w:val="clear" w:pos="357"/>
      </w:tabs>
      <w:outlineLvl w:val="1"/>
    </w:pPr>
    <w:rPr>
      <w:b/>
    </w:rPr>
  </w:style>
  <w:style w:type="paragraph" w:styleId="Header">
    <w:name w:val="header"/>
    <w:basedOn w:val="Normal"/>
    <w:link w:val="HeaderChar"/>
    <w:uiPriority w:val="57"/>
    <w:semiHidden/>
    <w:rsid w:val="00D334C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34C1"/>
    <w:rPr>
      <w:sz w:val="24"/>
    </w:rPr>
  </w:style>
  <w:style w:type="character" w:customStyle="1" w:styleId="Heading1Char">
    <w:name w:val="Heading 1 Char"/>
    <w:basedOn w:val="DefaultParagraphFont"/>
    <w:link w:val="Heading1"/>
    <w:uiPriority w:val="99"/>
    <w:semiHidden/>
    <w:rsid w:val="00D334C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D334C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334C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34C1"/>
    <w:rPr>
      <w:rFonts w:asciiTheme="majorHAnsi" w:eastAsiaTheme="majorEastAsia" w:hAnsiTheme="majorHAnsi" w:cstheme="majorBidi"/>
      <w:b/>
      <w:bCs/>
      <w:color w:val="4D4D4D"/>
      <w:sz w:val="26"/>
      <w:szCs w:val="26"/>
    </w:rPr>
  </w:style>
  <w:style w:type="character" w:customStyle="1" w:styleId="JUNAMES">
    <w:name w:val="JU_NAMES"/>
    <w:uiPriority w:val="17"/>
    <w:qFormat/>
    <w:rsid w:val="00D334C1"/>
    <w:rPr>
      <w:caps w:val="0"/>
      <w:smallCaps/>
    </w:rPr>
  </w:style>
  <w:style w:type="paragraph" w:customStyle="1" w:styleId="JuCase">
    <w:name w:val="Ju_Case"/>
    <w:basedOn w:val="Normal"/>
    <w:next w:val="ECHRPara"/>
    <w:uiPriority w:val="10"/>
    <w:rsid w:val="00D334C1"/>
    <w:pPr>
      <w:ind w:firstLine="284"/>
    </w:pPr>
    <w:rPr>
      <w:b/>
    </w:rPr>
  </w:style>
  <w:style w:type="character" w:customStyle="1" w:styleId="Heading3Char">
    <w:name w:val="Heading 3 Char"/>
    <w:basedOn w:val="DefaultParagraphFont"/>
    <w:link w:val="Heading3"/>
    <w:uiPriority w:val="99"/>
    <w:semiHidden/>
    <w:rsid w:val="00D334C1"/>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D334C1"/>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D334C1"/>
    <w:rPr>
      <w:rFonts w:asciiTheme="majorHAnsi" w:eastAsiaTheme="majorEastAsia" w:hAnsiTheme="majorHAnsi" w:cstheme="majorBidi"/>
      <w:b/>
      <w:bCs/>
      <w:color w:val="808080"/>
    </w:rPr>
  </w:style>
  <w:style w:type="character" w:styleId="SubtleEmphasis">
    <w:name w:val="Subtle Emphasis"/>
    <w:uiPriority w:val="99"/>
    <w:semiHidden/>
    <w:qFormat/>
    <w:rsid w:val="00D334C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334C1"/>
    <w:pPr>
      <w:keepNext/>
      <w:keepLines/>
      <w:spacing w:before="720" w:after="240"/>
      <w:outlineLvl w:val="0"/>
    </w:pPr>
    <w:rPr>
      <w:rFonts w:asciiTheme="majorHAnsi" w:hAnsiTheme="majorHAnsi"/>
      <w:sz w:val="28"/>
    </w:rPr>
  </w:style>
  <w:style w:type="character" w:styleId="Emphasis">
    <w:name w:val="Emphasis"/>
    <w:uiPriority w:val="99"/>
    <w:semiHidden/>
    <w:qFormat/>
    <w:rsid w:val="00D334C1"/>
    <w:rPr>
      <w:b/>
      <w:bCs/>
      <w:i/>
      <w:iCs/>
      <w:spacing w:val="10"/>
      <w:bdr w:val="none" w:sz="0" w:space="0" w:color="auto"/>
      <w:shd w:val="clear" w:color="auto" w:fill="auto"/>
    </w:rPr>
  </w:style>
  <w:style w:type="paragraph" w:styleId="Footer">
    <w:name w:val="footer"/>
    <w:basedOn w:val="Normal"/>
    <w:link w:val="FooterChar"/>
    <w:uiPriority w:val="57"/>
    <w:semiHidden/>
    <w:rsid w:val="00D334C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34C1"/>
    <w:rPr>
      <w:sz w:val="24"/>
    </w:rPr>
  </w:style>
  <w:style w:type="character" w:styleId="FootnoteReference">
    <w:name w:val="footnote reference"/>
    <w:basedOn w:val="DefaultParagraphFont"/>
    <w:uiPriority w:val="99"/>
    <w:semiHidden/>
    <w:rsid w:val="00D334C1"/>
    <w:rPr>
      <w:vertAlign w:val="superscript"/>
    </w:rPr>
  </w:style>
  <w:style w:type="paragraph" w:styleId="FootnoteText">
    <w:name w:val="footnote text"/>
    <w:basedOn w:val="Normal"/>
    <w:link w:val="FootnoteTextChar"/>
    <w:uiPriority w:val="99"/>
    <w:semiHidden/>
    <w:rsid w:val="00D334C1"/>
    <w:rPr>
      <w:sz w:val="20"/>
      <w:szCs w:val="20"/>
    </w:rPr>
  </w:style>
  <w:style w:type="character" w:customStyle="1" w:styleId="FootnoteTextChar">
    <w:name w:val="Footnote Text Char"/>
    <w:basedOn w:val="DefaultParagraphFont"/>
    <w:link w:val="FootnoteText"/>
    <w:uiPriority w:val="99"/>
    <w:semiHidden/>
    <w:rsid w:val="00D334C1"/>
    <w:rPr>
      <w:rFonts w:eastAsiaTheme="minorEastAsia"/>
      <w:sz w:val="20"/>
      <w:szCs w:val="20"/>
    </w:rPr>
  </w:style>
  <w:style w:type="character" w:customStyle="1" w:styleId="Heading6Char">
    <w:name w:val="Heading 6 Char"/>
    <w:basedOn w:val="DefaultParagraphFont"/>
    <w:link w:val="Heading6"/>
    <w:uiPriority w:val="99"/>
    <w:semiHidden/>
    <w:rsid w:val="00D334C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334C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334C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334C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34C1"/>
    <w:rPr>
      <w:color w:val="0072BC" w:themeColor="hyperlink"/>
      <w:u w:val="single"/>
    </w:rPr>
  </w:style>
  <w:style w:type="character" w:styleId="IntenseEmphasis">
    <w:name w:val="Intense Emphasis"/>
    <w:uiPriority w:val="99"/>
    <w:semiHidden/>
    <w:qFormat/>
    <w:rsid w:val="00D334C1"/>
    <w:rPr>
      <w:b/>
      <w:bCs/>
    </w:rPr>
  </w:style>
  <w:style w:type="paragraph" w:styleId="IntenseQuote">
    <w:name w:val="Intense Quote"/>
    <w:basedOn w:val="Normal"/>
    <w:next w:val="Normal"/>
    <w:link w:val="IntenseQuoteChar"/>
    <w:uiPriority w:val="99"/>
    <w:semiHidden/>
    <w:qFormat/>
    <w:rsid w:val="00D334C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334C1"/>
    <w:rPr>
      <w:rFonts w:eastAsiaTheme="minorEastAsia"/>
      <w:b/>
      <w:bCs/>
      <w:i/>
      <w:iCs/>
      <w:lang w:bidi="en-US"/>
    </w:rPr>
  </w:style>
  <w:style w:type="character" w:styleId="IntenseReference">
    <w:name w:val="Intense Reference"/>
    <w:uiPriority w:val="99"/>
    <w:semiHidden/>
    <w:qFormat/>
    <w:rsid w:val="00D334C1"/>
    <w:rPr>
      <w:smallCaps/>
      <w:spacing w:val="5"/>
      <w:u w:val="single"/>
    </w:rPr>
  </w:style>
  <w:style w:type="paragraph" w:styleId="ListParagraph">
    <w:name w:val="List Paragraph"/>
    <w:basedOn w:val="Normal"/>
    <w:uiPriority w:val="99"/>
    <w:semiHidden/>
    <w:qFormat/>
    <w:rsid w:val="00D334C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334C1"/>
    <w:pPr>
      <w:spacing w:before="200"/>
      <w:ind w:left="360" w:right="360"/>
    </w:pPr>
    <w:rPr>
      <w:i/>
      <w:iCs/>
      <w:sz w:val="22"/>
      <w:lang w:bidi="en-US"/>
    </w:rPr>
  </w:style>
  <w:style w:type="character" w:customStyle="1" w:styleId="QuoteChar">
    <w:name w:val="Quote Char"/>
    <w:basedOn w:val="DefaultParagraphFont"/>
    <w:link w:val="Quote"/>
    <w:uiPriority w:val="99"/>
    <w:semiHidden/>
    <w:rsid w:val="00D334C1"/>
    <w:rPr>
      <w:rFonts w:eastAsiaTheme="minorEastAsia"/>
      <w:i/>
      <w:iCs/>
      <w:lang w:bidi="en-US"/>
    </w:rPr>
  </w:style>
  <w:style w:type="character" w:styleId="SubtleReference">
    <w:name w:val="Subtle Reference"/>
    <w:uiPriority w:val="99"/>
    <w:semiHidden/>
    <w:qFormat/>
    <w:rsid w:val="00D334C1"/>
    <w:rPr>
      <w:smallCaps/>
    </w:rPr>
  </w:style>
  <w:style w:type="table" w:styleId="TableGrid">
    <w:name w:val="Table Grid"/>
    <w:basedOn w:val="TableNormal"/>
    <w:uiPriority w:val="59"/>
    <w:semiHidden/>
    <w:rsid w:val="00D334C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34C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334C1"/>
    <w:pPr>
      <w:spacing w:after="60"/>
      <w:ind w:left="680" w:right="340" w:hanging="340"/>
    </w:pPr>
  </w:style>
  <w:style w:type="paragraph" w:styleId="TOC3">
    <w:name w:val="toc 3"/>
    <w:basedOn w:val="Normal"/>
    <w:next w:val="Normal"/>
    <w:autoRedefine/>
    <w:uiPriority w:val="99"/>
    <w:semiHidden/>
    <w:rsid w:val="00D334C1"/>
    <w:pPr>
      <w:spacing w:after="60"/>
      <w:ind w:left="1020" w:right="340" w:hanging="340"/>
    </w:pPr>
  </w:style>
  <w:style w:type="paragraph" w:styleId="TOC4">
    <w:name w:val="toc 4"/>
    <w:basedOn w:val="Normal"/>
    <w:next w:val="Normal"/>
    <w:autoRedefine/>
    <w:uiPriority w:val="99"/>
    <w:semiHidden/>
    <w:rsid w:val="00D334C1"/>
    <w:pPr>
      <w:tabs>
        <w:tab w:val="right" w:leader="dot" w:pos="9017"/>
      </w:tabs>
      <w:spacing w:after="60"/>
      <w:ind w:left="1361" w:right="340" w:hanging="340"/>
    </w:pPr>
  </w:style>
  <w:style w:type="paragraph" w:styleId="TOC5">
    <w:name w:val="toc 5"/>
    <w:basedOn w:val="Normal"/>
    <w:next w:val="Normal"/>
    <w:autoRedefine/>
    <w:uiPriority w:val="99"/>
    <w:semiHidden/>
    <w:rsid w:val="00D334C1"/>
    <w:pPr>
      <w:spacing w:after="60"/>
      <w:ind w:left="1701" w:right="340" w:hanging="340"/>
    </w:pPr>
  </w:style>
  <w:style w:type="paragraph" w:styleId="TOCHeading">
    <w:name w:val="TOC Heading"/>
    <w:basedOn w:val="Heading1"/>
    <w:next w:val="Normal"/>
    <w:uiPriority w:val="99"/>
    <w:semiHidden/>
    <w:qFormat/>
    <w:rsid w:val="00D334C1"/>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34C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D334C1"/>
    <w:pPr>
      <w:spacing w:before="120" w:after="120"/>
      <w:ind w:left="425" w:firstLine="142"/>
    </w:pPr>
    <w:rPr>
      <w:sz w:val="20"/>
    </w:rPr>
  </w:style>
  <w:style w:type="paragraph" w:customStyle="1" w:styleId="ECHRPara">
    <w:name w:val="ECHR_Para"/>
    <w:aliases w:val="Ju_Para"/>
    <w:basedOn w:val="Normal"/>
    <w:link w:val="ECHRParaChar"/>
    <w:uiPriority w:val="12"/>
    <w:qFormat/>
    <w:rsid w:val="00D334C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34C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334C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D334C1"/>
    <w:pPr>
      <w:ind w:left="340" w:hanging="340"/>
    </w:pPr>
  </w:style>
  <w:style w:type="paragraph" w:customStyle="1" w:styleId="JuSigned">
    <w:name w:val="Ju_Signed"/>
    <w:basedOn w:val="Normal"/>
    <w:next w:val="JuParaLast"/>
    <w:uiPriority w:val="32"/>
    <w:qFormat/>
    <w:rsid w:val="00D334C1"/>
    <w:pPr>
      <w:tabs>
        <w:tab w:val="center" w:pos="851"/>
        <w:tab w:val="center" w:pos="6407"/>
      </w:tabs>
      <w:spacing w:before="720"/>
      <w:jc w:val="left"/>
    </w:pPr>
  </w:style>
  <w:style w:type="paragraph" w:customStyle="1" w:styleId="JuParaLast">
    <w:name w:val="Ju_Para_Last"/>
    <w:basedOn w:val="Normal"/>
    <w:next w:val="ECHRPara"/>
    <w:uiPriority w:val="30"/>
    <w:qFormat/>
    <w:rsid w:val="00D334C1"/>
    <w:pPr>
      <w:keepNext/>
      <w:keepLines/>
      <w:spacing w:before="240"/>
      <w:ind w:firstLine="284"/>
    </w:pPr>
  </w:style>
  <w:style w:type="paragraph" w:customStyle="1" w:styleId="OpiTranslation">
    <w:name w:val="Opi_Translation"/>
    <w:basedOn w:val="Normal"/>
    <w:next w:val="OpiPara"/>
    <w:uiPriority w:val="40"/>
    <w:qFormat/>
    <w:rsid w:val="00D334C1"/>
    <w:pPr>
      <w:jc w:val="center"/>
      <w:outlineLvl w:val="0"/>
    </w:pPr>
    <w:rPr>
      <w:i/>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D334C1"/>
    <w:pPr>
      <w:ind w:left="346" w:firstLine="0"/>
    </w:pPr>
  </w:style>
  <w:style w:type="paragraph" w:customStyle="1" w:styleId="DecHTitle">
    <w:name w:val="Dec_H_Title"/>
    <w:basedOn w:val="ECHRTitleCentre1"/>
    <w:uiPriority w:val="7"/>
    <w:rsid w:val="00D334C1"/>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D334C1"/>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D334C1"/>
    <w:rPr>
      <w:vanish w:val="0"/>
      <w:color w:val="auto"/>
      <w:sz w:val="14"/>
    </w:rPr>
  </w:style>
  <w:style w:type="paragraph" w:styleId="Subtitle">
    <w:name w:val="Subtitle"/>
    <w:basedOn w:val="Normal"/>
    <w:next w:val="Normal"/>
    <w:link w:val="SubtitleChar"/>
    <w:uiPriority w:val="99"/>
    <w:semiHidden/>
    <w:qFormat/>
    <w:rsid w:val="00D334C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334C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DecList">
    <w:name w:val="Dec_List"/>
    <w:basedOn w:val="Normal"/>
    <w:uiPriority w:val="9"/>
    <w:rsid w:val="00D334C1"/>
    <w:pPr>
      <w:spacing w:before="240"/>
      <w:ind w:left="284"/>
    </w:pPr>
  </w:style>
  <w:style w:type="paragraph" w:customStyle="1" w:styleId="JuListi">
    <w:name w:val="Ju_List_i"/>
    <w:basedOn w:val="Normal"/>
    <w:next w:val="JuLista"/>
    <w:uiPriority w:val="28"/>
    <w:qFormat/>
    <w:rsid w:val="00D334C1"/>
    <w:pPr>
      <w:ind w:left="794"/>
    </w:pPr>
  </w:style>
  <w:style w:type="paragraph" w:customStyle="1" w:styleId="OpiH1">
    <w:name w:val="Opi_H_1"/>
    <w:basedOn w:val="ECHRHeading2"/>
    <w:uiPriority w:val="42"/>
    <w:qFormat/>
    <w:rsid w:val="00D334C1"/>
    <w:pPr>
      <w:ind w:left="635" w:hanging="357"/>
      <w:outlineLvl w:val="2"/>
    </w:pPr>
  </w:style>
  <w:style w:type="paragraph" w:customStyle="1" w:styleId="OpiHa0">
    <w:name w:val="Opi_H_a"/>
    <w:basedOn w:val="ECHRHeading3"/>
    <w:uiPriority w:val="43"/>
    <w:qFormat/>
    <w:rsid w:val="00D334C1"/>
    <w:pPr>
      <w:ind w:left="833" w:hanging="357"/>
      <w:outlineLvl w:val="3"/>
    </w:pPr>
    <w:rPr>
      <w:b/>
      <w:i w:val="0"/>
      <w:sz w:val="20"/>
    </w:rPr>
  </w:style>
  <w:style w:type="paragraph" w:customStyle="1" w:styleId="OpiHi">
    <w:name w:val="Opi_H_i"/>
    <w:basedOn w:val="ECHRHeading4"/>
    <w:uiPriority w:val="44"/>
    <w:qFormat/>
    <w:rsid w:val="00D334C1"/>
    <w:pPr>
      <w:ind w:left="1037" w:hanging="357"/>
      <w:outlineLvl w:val="4"/>
    </w:pPr>
    <w:rPr>
      <w:b w:val="0"/>
      <w:i/>
    </w:rPr>
  </w:style>
  <w:style w:type="paragraph" w:customStyle="1" w:styleId="DummyStyle">
    <w:name w:val="Dummy_Style"/>
    <w:basedOn w:val="Normal"/>
    <w:semiHidden/>
    <w:qFormat/>
    <w:rsid w:val="00D334C1"/>
    <w:rPr>
      <w:color w:val="00B050"/>
    </w:rPr>
  </w:style>
  <w:style w:type="character" w:customStyle="1" w:styleId="ECHRParaChar">
    <w:name w:val="ECHR_Para Char"/>
    <w:aliases w:val="Ju_Para Char"/>
    <w:basedOn w:val="DefaultParagraphFont"/>
    <w:link w:val="ECHRPara"/>
    <w:uiPriority w:val="12"/>
    <w:rsid w:val="00962F93"/>
    <w:rPr>
      <w:rFonts w:eastAsiaTheme="minorEastAsia"/>
      <w:sz w:val="24"/>
    </w:rPr>
  </w:style>
  <w:style w:type="paragraph" w:customStyle="1" w:styleId="jupara">
    <w:name w:val="jupara"/>
    <w:basedOn w:val="Normal"/>
    <w:rsid w:val="008B39B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B39B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16176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513081-73C4-408E-8845-68FDC7C75F9D}"/>
</file>

<file path=customXml/itemProps2.xml><?xml version="1.0" encoding="utf-8"?>
<ds:datastoreItem xmlns:ds="http://schemas.openxmlformats.org/officeDocument/2006/customXml" ds:itemID="{2A6DC73F-D2FF-4021-8FC6-268439C72B35}"/>
</file>

<file path=customXml/itemProps3.xml><?xml version="1.0" encoding="utf-8"?>
<ds:datastoreItem xmlns:ds="http://schemas.openxmlformats.org/officeDocument/2006/customXml" ds:itemID="{7ADAA214-B01B-4517-BAEC-A00A07DB102B}"/>
</file>

<file path=customXml/itemProps4.xml><?xml version="1.0" encoding="utf-8"?>
<ds:datastoreItem xmlns:ds="http://schemas.openxmlformats.org/officeDocument/2006/customXml" ds:itemID="{4990A2B7-04D7-45F5-82B4-ECE5F4F983EF}"/>
</file>

<file path=docProps/app.xml><?xml version="1.0" encoding="utf-8"?>
<Properties xmlns="http://schemas.openxmlformats.org/officeDocument/2006/extended-properties" xmlns:vt="http://schemas.openxmlformats.org/officeDocument/2006/docPropsVTypes">
  <Template>Normal.dotm</Template>
  <TotalTime>0</TotalTime>
  <Pages>1</Pages>
  <Words>5537</Words>
  <Characters>31563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2015-12-21T12:57:00Z</dcterms:created>
  <dcterms:modified xsi:type="dcterms:W3CDTF">2015-12-21T12:57:00Z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