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notes.xml" ContentType="application/vnd.openxmlformats-officedocument.wordprocessingml.footnot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C841F3" w:rsidR="00E93FC7" w:rsidP="00881D4C" w:rsidRDefault="00E93FC7">
      <w:pPr>
        <w:jc w:val="center"/>
        <w:rPr>
          <w:sz w:val="4"/>
          <w:szCs w:val="4"/>
          <w:lang w:val="en-GB"/>
        </w:rPr>
      </w:pPr>
      <w:bookmarkStart w:name="_GoBack" w:id="0"/>
      <w:bookmarkEnd w:id="0"/>
    </w:p>
    <w:p w:rsidRPr="00C841F3" w:rsidR="00E93FC7" w:rsidP="00881D4C" w:rsidRDefault="00C930D7">
      <w:pPr>
        <w:pStyle w:val="DecHTitle"/>
        <w:rPr>
          <w:lang w:val="en-GB"/>
        </w:rPr>
      </w:pPr>
      <w:r>
        <w:rPr>
          <w:szCs w:val="24"/>
          <w:lang w:val="en-GB"/>
        </w:rPr>
        <w:t>FOURTH SECTION</w:t>
      </w:r>
    </w:p>
    <w:p w:rsidRPr="00C841F3" w:rsidR="00E93FC7" w:rsidP="00881D4C" w:rsidRDefault="00E93FC7">
      <w:pPr>
        <w:pStyle w:val="DecHTitle"/>
        <w:rPr>
          <w:lang w:val="en-GB"/>
        </w:rPr>
      </w:pPr>
      <w:r w:rsidRPr="00C841F3">
        <w:rPr>
          <w:lang w:val="en-GB"/>
        </w:rPr>
        <w:t>DECISION</w:t>
      </w:r>
    </w:p>
    <w:p w:rsidR="00EE3667" w:rsidP="00C75D1C" w:rsidRDefault="00C930D7">
      <w:pPr>
        <w:pStyle w:val="ECHRTitleCentre2"/>
        <w:rPr>
          <w:lang w:val="en-GB"/>
        </w:rPr>
      </w:pPr>
      <w:r w:rsidRPr="00C841F3">
        <w:rPr>
          <w:lang w:val="en-GB"/>
        </w:rPr>
        <w:t>Application no</w:t>
      </w:r>
      <w:r w:rsidRPr="00C841F3" w:rsidR="00E93FC7">
        <w:rPr>
          <w:lang w:val="en-GB"/>
        </w:rPr>
        <w:t xml:space="preserve">. </w:t>
      </w:r>
      <w:r>
        <w:rPr>
          <w:lang w:val="en-GB"/>
        </w:rPr>
        <w:t>38147/12</w:t>
      </w:r>
      <w:r w:rsidRPr="00C841F3" w:rsidR="00E93FC7">
        <w:rPr>
          <w:lang w:val="en-GB"/>
        </w:rPr>
        <w:br/>
      </w:r>
      <w:proofErr w:type="spellStart"/>
      <w:r>
        <w:rPr>
          <w:lang w:val="en-GB"/>
        </w:rPr>
        <w:t>Ilpo</w:t>
      </w:r>
      <w:proofErr w:type="spellEnd"/>
      <w:r w:rsidRPr="00C841F3">
        <w:rPr>
          <w:lang w:val="en-GB"/>
        </w:rPr>
        <w:t xml:space="preserve"> </w:t>
      </w:r>
      <w:r>
        <w:rPr>
          <w:lang w:val="en-GB"/>
        </w:rPr>
        <w:t>KUOKKANEN</w:t>
      </w:r>
      <w:r w:rsidRPr="00C841F3">
        <w:rPr>
          <w:lang w:val="en-GB"/>
        </w:rPr>
        <w:t xml:space="preserve"> and </w:t>
      </w:r>
      <w:proofErr w:type="spellStart"/>
      <w:r>
        <w:rPr>
          <w:lang w:val="en-GB"/>
        </w:rPr>
        <w:t>Harri</w:t>
      </w:r>
      <w:proofErr w:type="spellEnd"/>
      <w:r w:rsidRPr="00C841F3">
        <w:rPr>
          <w:lang w:val="en-GB"/>
        </w:rPr>
        <w:t xml:space="preserve"> </w:t>
      </w:r>
      <w:r>
        <w:rPr>
          <w:lang w:val="en-GB"/>
        </w:rPr>
        <w:t>JOHANNESDAHL</w:t>
      </w:r>
      <w:r w:rsidRPr="00C841F3">
        <w:rPr>
          <w:lang w:val="en-GB"/>
        </w:rPr>
        <w:br/>
      </w:r>
      <w:r w:rsidRPr="00C841F3" w:rsidR="00E93FC7">
        <w:rPr>
          <w:lang w:val="en-GB"/>
        </w:rPr>
        <w:t xml:space="preserve">against </w:t>
      </w:r>
      <w:r>
        <w:rPr>
          <w:lang w:val="en-GB"/>
        </w:rPr>
        <w:t>Finland</w:t>
      </w:r>
    </w:p>
    <w:p w:rsidRPr="00B84278" w:rsidR="00C930D7" w:rsidP="00C238F3" w:rsidRDefault="00C930D7">
      <w:pPr>
        <w:pStyle w:val="ECHRPara"/>
        <w:rPr>
          <w:lang w:val="en-GB"/>
        </w:rPr>
      </w:pPr>
      <w:r w:rsidRPr="00B84278">
        <w:rPr>
          <w:lang w:val="en-GB"/>
        </w:rPr>
        <w:t>The European Court of Human Rights (</w:t>
      </w:r>
      <w:r>
        <w:rPr>
          <w:lang w:val="en-GB"/>
        </w:rPr>
        <w:t>Fourth Section</w:t>
      </w:r>
      <w:r w:rsidRPr="00B84278">
        <w:rPr>
          <w:lang w:val="en-GB"/>
        </w:rPr>
        <w:t xml:space="preserve">), sitting on </w:t>
      </w:r>
      <w:r>
        <w:rPr>
          <w:lang w:val="en-GB"/>
        </w:rPr>
        <w:t>2 June </w:t>
      </w:r>
      <w:r w:rsidR="001C1C1B">
        <w:rPr>
          <w:lang w:val="en-GB"/>
        </w:rPr>
        <w:t>2015</w:t>
      </w:r>
      <w:r w:rsidRPr="00B84278">
        <w:rPr>
          <w:lang w:val="en-GB"/>
        </w:rPr>
        <w:t xml:space="preserve"> as a </w:t>
      </w:r>
      <w:r>
        <w:rPr>
          <w:lang w:val="en-GB"/>
        </w:rPr>
        <w:t>Chamber</w:t>
      </w:r>
      <w:r w:rsidRPr="00B84278">
        <w:rPr>
          <w:lang w:val="en-GB"/>
        </w:rPr>
        <w:t xml:space="preserve"> composed of:</w:t>
      </w:r>
    </w:p>
    <w:p w:rsidRPr="00C930D7" w:rsidR="00C930D7" w:rsidP="00C930D7" w:rsidRDefault="00C930D7">
      <w:pPr>
        <w:pStyle w:val="ECHRDecisionBody"/>
        <w:rPr>
          <w:lang w:val="en-GB"/>
        </w:rPr>
      </w:pPr>
      <w:r w:rsidRPr="00C930D7">
        <w:rPr>
          <w:lang w:val="en-GB"/>
        </w:rPr>
        <w:tab/>
        <w:t>Guido</w:t>
      </w:r>
      <w:r>
        <w:rPr>
          <w:lang w:val="en-GB"/>
        </w:rPr>
        <w:t xml:space="preserve"> </w:t>
      </w:r>
      <w:r w:rsidRPr="00C930D7">
        <w:rPr>
          <w:lang w:val="en-GB"/>
        </w:rPr>
        <w:t>Raimondi</w:t>
      </w:r>
      <w:r>
        <w:rPr>
          <w:lang w:val="en-GB"/>
        </w:rPr>
        <w:t>,</w:t>
      </w:r>
      <w:r w:rsidRPr="00C930D7">
        <w:rPr>
          <w:i/>
          <w:lang w:val="en-GB"/>
        </w:rPr>
        <w:t xml:space="preserve"> President,</w:t>
      </w:r>
      <w:r>
        <w:rPr>
          <w:i/>
          <w:lang w:val="en-GB"/>
        </w:rPr>
        <w:br/>
      </w:r>
      <w:r w:rsidRPr="00C930D7">
        <w:rPr>
          <w:lang w:val="en-GB"/>
        </w:rPr>
        <w:tab/>
      </w:r>
      <w:proofErr w:type="spellStart"/>
      <w:r w:rsidRPr="00C930D7">
        <w:rPr>
          <w:lang w:val="en-GB"/>
        </w:rPr>
        <w:t>Päivi</w:t>
      </w:r>
      <w:proofErr w:type="spellEnd"/>
      <w:r>
        <w:rPr>
          <w:lang w:val="en-GB"/>
        </w:rPr>
        <w:t xml:space="preserve"> </w:t>
      </w:r>
      <w:proofErr w:type="spellStart"/>
      <w:r w:rsidRPr="00C930D7">
        <w:rPr>
          <w:lang w:val="en-GB"/>
        </w:rPr>
        <w:t>Hirvelä</w:t>
      </w:r>
      <w:proofErr w:type="spellEnd"/>
      <w:r>
        <w:rPr>
          <w:lang w:val="en-GB"/>
        </w:rPr>
        <w:t>,</w:t>
      </w:r>
      <w:r>
        <w:rPr>
          <w:i/>
          <w:lang w:val="en-GB"/>
        </w:rPr>
        <w:br/>
      </w:r>
      <w:r w:rsidRPr="00C930D7">
        <w:rPr>
          <w:lang w:val="en-GB"/>
        </w:rPr>
        <w:tab/>
      </w:r>
      <w:proofErr w:type="spellStart"/>
      <w:r w:rsidRPr="00C930D7">
        <w:rPr>
          <w:lang w:val="en-GB"/>
        </w:rPr>
        <w:t>Ledi</w:t>
      </w:r>
      <w:proofErr w:type="spellEnd"/>
      <w:r>
        <w:rPr>
          <w:lang w:val="en-GB"/>
        </w:rPr>
        <w:t xml:space="preserve"> </w:t>
      </w:r>
      <w:proofErr w:type="spellStart"/>
      <w:r w:rsidRPr="00C930D7">
        <w:rPr>
          <w:lang w:val="en-GB"/>
        </w:rPr>
        <w:t>Bianku</w:t>
      </w:r>
      <w:proofErr w:type="spellEnd"/>
      <w:r>
        <w:rPr>
          <w:lang w:val="en-GB"/>
        </w:rPr>
        <w:t>,</w:t>
      </w:r>
      <w:r>
        <w:rPr>
          <w:i/>
          <w:lang w:val="en-GB"/>
        </w:rPr>
        <w:br/>
      </w:r>
      <w:r w:rsidRPr="00C930D7">
        <w:rPr>
          <w:lang w:val="en-GB"/>
        </w:rPr>
        <w:tab/>
        <w:t>Nona</w:t>
      </w:r>
      <w:r>
        <w:rPr>
          <w:lang w:val="en-GB"/>
        </w:rPr>
        <w:t xml:space="preserve"> </w:t>
      </w:r>
      <w:proofErr w:type="spellStart"/>
      <w:r w:rsidRPr="00C930D7">
        <w:rPr>
          <w:lang w:val="en-GB"/>
        </w:rPr>
        <w:t>Tsotsoria</w:t>
      </w:r>
      <w:proofErr w:type="spellEnd"/>
      <w:r>
        <w:rPr>
          <w:lang w:val="en-GB"/>
        </w:rPr>
        <w:t>,</w:t>
      </w:r>
      <w:r>
        <w:rPr>
          <w:i/>
          <w:lang w:val="en-GB"/>
        </w:rPr>
        <w:br/>
      </w:r>
      <w:r w:rsidRPr="00C930D7">
        <w:rPr>
          <w:lang w:val="en-GB"/>
        </w:rPr>
        <w:tab/>
        <w:t>Paul</w:t>
      </w:r>
      <w:r>
        <w:rPr>
          <w:lang w:val="en-GB"/>
        </w:rPr>
        <w:t xml:space="preserve"> </w:t>
      </w:r>
      <w:r w:rsidRPr="00C930D7">
        <w:rPr>
          <w:lang w:val="en-GB"/>
        </w:rPr>
        <w:t>Mahoney</w:t>
      </w:r>
      <w:r>
        <w:rPr>
          <w:lang w:val="en-GB"/>
        </w:rPr>
        <w:t>,</w:t>
      </w:r>
      <w:r>
        <w:rPr>
          <w:i/>
          <w:lang w:val="en-GB"/>
        </w:rPr>
        <w:br/>
      </w:r>
      <w:r w:rsidRPr="00C930D7">
        <w:rPr>
          <w:lang w:val="en-GB"/>
        </w:rPr>
        <w:tab/>
      </w:r>
      <w:proofErr w:type="spellStart"/>
      <w:r w:rsidRPr="00C930D7">
        <w:rPr>
          <w:lang w:val="en-GB"/>
        </w:rPr>
        <w:t>Faris</w:t>
      </w:r>
      <w:proofErr w:type="spellEnd"/>
      <w:r>
        <w:rPr>
          <w:lang w:val="en-GB"/>
        </w:rPr>
        <w:t xml:space="preserve"> </w:t>
      </w:r>
      <w:proofErr w:type="spellStart"/>
      <w:r w:rsidRPr="00C930D7">
        <w:rPr>
          <w:lang w:val="en-GB"/>
        </w:rPr>
        <w:t>Vehabović</w:t>
      </w:r>
      <w:proofErr w:type="spellEnd"/>
      <w:r>
        <w:rPr>
          <w:lang w:val="en-GB"/>
        </w:rPr>
        <w:t>,</w:t>
      </w:r>
      <w:r>
        <w:rPr>
          <w:i/>
          <w:lang w:val="en-GB"/>
        </w:rPr>
        <w:br/>
      </w:r>
      <w:r w:rsidRPr="00C930D7">
        <w:rPr>
          <w:lang w:val="en-GB"/>
        </w:rPr>
        <w:tab/>
      </w:r>
      <w:proofErr w:type="spellStart"/>
      <w:r w:rsidRPr="00C930D7">
        <w:rPr>
          <w:lang w:val="en-GB"/>
        </w:rPr>
        <w:t>Yonko</w:t>
      </w:r>
      <w:proofErr w:type="spellEnd"/>
      <w:r>
        <w:rPr>
          <w:lang w:val="en-GB"/>
        </w:rPr>
        <w:t xml:space="preserve"> </w:t>
      </w:r>
      <w:proofErr w:type="spellStart"/>
      <w:r w:rsidRPr="00C930D7">
        <w:rPr>
          <w:lang w:val="en-GB"/>
        </w:rPr>
        <w:t>Grozev</w:t>
      </w:r>
      <w:proofErr w:type="spellEnd"/>
      <w:r>
        <w:rPr>
          <w:lang w:val="en-GB"/>
        </w:rPr>
        <w:t>,</w:t>
      </w:r>
      <w:r w:rsidRPr="00C930D7">
        <w:rPr>
          <w:i/>
          <w:lang w:val="en-GB"/>
        </w:rPr>
        <w:t xml:space="preserve"> judges,</w:t>
      </w:r>
      <w:r>
        <w:rPr>
          <w:i/>
          <w:lang w:val="en-GB"/>
        </w:rPr>
        <w:br/>
      </w:r>
      <w:r w:rsidRPr="00C930D7">
        <w:rPr>
          <w:lang w:val="en-GB"/>
        </w:rPr>
        <w:t>and</w:t>
      </w:r>
      <w:r>
        <w:rPr>
          <w:lang w:val="en-GB"/>
        </w:rPr>
        <w:t xml:space="preserve"> </w:t>
      </w:r>
      <w:proofErr w:type="spellStart"/>
      <w:r>
        <w:t>Fatoş</w:t>
      </w:r>
      <w:proofErr w:type="spellEnd"/>
      <w:r w:rsidRPr="009C6FA9">
        <w:t xml:space="preserve"> </w:t>
      </w:r>
      <w:proofErr w:type="spellStart"/>
      <w:r>
        <w:t>Aracı</w:t>
      </w:r>
      <w:proofErr w:type="spellEnd"/>
      <w:r w:rsidRPr="009C6FA9">
        <w:t xml:space="preserve">, </w:t>
      </w:r>
      <w:r>
        <w:rPr>
          <w:i/>
          <w:iCs/>
        </w:rPr>
        <w:t>Deputy Section Registrar.</w:t>
      </w:r>
    </w:p>
    <w:p w:rsidRPr="00B84278" w:rsidR="00C930D7" w:rsidP="00C238F3" w:rsidRDefault="00C930D7">
      <w:pPr>
        <w:pStyle w:val="ECHRPara"/>
        <w:rPr>
          <w:lang w:val="en-GB"/>
        </w:rPr>
      </w:pPr>
      <w:r w:rsidRPr="00B84278">
        <w:rPr>
          <w:lang w:val="en-GB"/>
        </w:rPr>
        <w:t xml:space="preserve">Having regard to the above application lodged on </w:t>
      </w:r>
      <w:r>
        <w:rPr>
          <w:lang w:val="en-GB"/>
        </w:rPr>
        <w:t>15 June 2012</w:t>
      </w:r>
      <w:r w:rsidRPr="00B84278">
        <w:rPr>
          <w:lang w:val="en-GB"/>
        </w:rPr>
        <w:t>,</w:t>
      </w:r>
    </w:p>
    <w:p w:rsidRPr="00B84278" w:rsidR="00C930D7" w:rsidP="00C238F3" w:rsidRDefault="00C930D7">
      <w:pPr>
        <w:pStyle w:val="ECHRPara"/>
        <w:rPr>
          <w:lang w:val="en-GB"/>
        </w:rPr>
      </w:pPr>
      <w:r w:rsidRPr="00B84278">
        <w:rPr>
          <w:lang w:val="en-GB"/>
        </w:rPr>
        <w:t>Having regard to the observations submitted by the respondent Government and the observations in reply submitted by the applicants,</w:t>
      </w:r>
    </w:p>
    <w:p w:rsidRPr="00B84278" w:rsidR="00C930D7" w:rsidP="00C238F3" w:rsidRDefault="00C930D7">
      <w:pPr>
        <w:pStyle w:val="ECHRPara"/>
        <w:rPr>
          <w:lang w:val="en-GB"/>
        </w:rPr>
      </w:pPr>
      <w:r w:rsidRPr="00B84278">
        <w:rPr>
          <w:lang w:val="en-GB"/>
        </w:rPr>
        <w:t>Having deliberated, decides as follows:</w:t>
      </w:r>
    </w:p>
    <w:p w:rsidRPr="00B84278" w:rsidR="00C930D7" w:rsidP="00C238F3" w:rsidRDefault="00C930D7">
      <w:pPr>
        <w:pStyle w:val="ECHRTitle1"/>
        <w:rPr>
          <w:lang w:val="en-GB"/>
        </w:rPr>
      </w:pPr>
      <w:r w:rsidRPr="00B84278">
        <w:rPr>
          <w:lang w:val="en-GB"/>
        </w:rPr>
        <w:t>THE FACTS</w:t>
      </w:r>
    </w:p>
    <w:p w:rsidRPr="00B84278" w:rsidR="00C930D7" w:rsidP="00C238F3" w:rsidRDefault="00C930D7">
      <w:pPr>
        <w:pStyle w:val="ECHRPara"/>
        <w:rPr>
          <w:lang w:val="en-GB"/>
        </w:rPr>
      </w:pPr>
      <w:r>
        <w:rPr>
          <w:lang w:val="en-GB"/>
        </w:rPr>
        <w:t>1</w:t>
      </w:r>
      <w:r w:rsidRPr="001D6BF4">
        <w:rPr>
          <w:lang w:val="en-GB"/>
        </w:rPr>
        <w:t>.  The ap</w:t>
      </w:r>
      <w:r w:rsidRPr="00B84278">
        <w:rPr>
          <w:lang w:val="en-GB"/>
        </w:rPr>
        <w:t xml:space="preserve">plicants, </w:t>
      </w:r>
      <w:r>
        <w:rPr>
          <w:lang w:val="en-GB"/>
        </w:rPr>
        <w:t>Mr</w:t>
      </w:r>
      <w:r w:rsidRPr="00B84278">
        <w:rPr>
          <w:lang w:val="en-GB"/>
        </w:rPr>
        <w:t xml:space="preserve"> </w:t>
      </w:r>
      <w:proofErr w:type="spellStart"/>
      <w:r>
        <w:rPr>
          <w:lang w:val="en-GB"/>
        </w:rPr>
        <w:t>Ilpo</w:t>
      </w:r>
      <w:proofErr w:type="spellEnd"/>
      <w:r w:rsidRPr="00B84278">
        <w:rPr>
          <w:lang w:val="en-GB"/>
        </w:rPr>
        <w:t xml:space="preserve"> </w:t>
      </w:r>
      <w:proofErr w:type="spellStart"/>
      <w:r>
        <w:rPr>
          <w:lang w:val="en-GB"/>
        </w:rPr>
        <w:t>Kuokkanen</w:t>
      </w:r>
      <w:proofErr w:type="spellEnd"/>
      <w:r w:rsidRPr="00B84278">
        <w:rPr>
          <w:lang w:val="en-GB"/>
        </w:rPr>
        <w:t xml:space="preserve"> and </w:t>
      </w:r>
      <w:r>
        <w:rPr>
          <w:lang w:val="en-GB"/>
        </w:rPr>
        <w:t>Mr</w:t>
      </w:r>
      <w:r w:rsidRPr="00B84278">
        <w:rPr>
          <w:lang w:val="en-GB"/>
        </w:rPr>
        <w:t xml:space="preserve"> </w:t>
      </w:r>
      <w:proofErr w:type="spellStart"/>
      <w:r>
        <w:rPr>
          <w:lang w:val="en-GB"/>
        </w:rPr>
        <w:t>Harri</w:t>
      </w:r>
      <w:proofErr w:type="spellEnd"/>
      <w:r w:rsidRPr="00B84278">
        <w:rPr>
          <w:lang w:val="en-GB"/>
        </w:rPr>
        <w:t xml:space="preserve"> </w:t>
      </w:r>
      <w:proofErr w:type="spellStart"/>
      <w:r>
        <w:rPr>
          <w:lang w:val="en-GB"/>
        </w:rPr>
        <w:t>Johannesdahl</w:t>
      </w:r>
      <w:proofErr w:type="spellEnd"/>
      <w:r w:rsidRPr="00B84278">
        <w:rPr>
          <w:lang w:val="en-GB"/>
        </w:rPr>
        <w:t xml:space="preserve">, are </w:t>
      </w:r>
      <w:r>
        <w:rPr>
          <w:lang w:val="en-GB"/>
        </w:rPr>
        <w:t>Finnish</w:t>
      </w:r>
      <w:r w:rsidRPr="00B84278">
        <w:rPr>
          <w:lang w:val="en-GB"/>
        </w:rPr>
        <w:t xml:space="preserve"> nationals who live in </w:t>
      </w:r>
      <w:r>
        <w:rPr>
          <w:lang w:val="en-GB"/>
        </w:rPr>
        <w:t>Helsinki</w:t>
      </w:r>
      <w:r w:rsidRPr="00B84278">
        <w:rPr>
          <w:lang w:val="en-GB"/>
        </w:rPr>
        <w:t>. They</w:t>
      </w:r>
      <w:r>
        <w:rPr>
          <w:lang w:val="en-GB"/>
        </w:rPr>
        <w:t xml:space="preserve"> </w:t>
      </w:r>
      <w:r w:rsidRPr="00B84278">
        <w:rPr>
          <w:lang w:val="en-GB"/>
        </w:rPr>
        <w:t xml:space="preserve">were represented before the Court by </w:t>
      </w:r>
      <w:r>
        <w:rPr>
          <w:lang w:val="en-GB"/>
        </w:rPr>
        <w:t>Mr</w:t>
      </w:r>
      <w:r w:rsidRPr="00B84278">
        <w:rPr>
          <w:lang w:val="en-GB"/>
        </w:rPr>
        <w:t xml:space="preserve"> </w:t>
      </w:r>
      <w:r>
        <w:rPr>
          <w:lang w:val="en-GB"/>
        </w:rPr>
        <w:t>Kari</w:t>
      </w:r>
      <w:r w:rsidRPr="00B84278">
        <w:rPr>
          <w:lang w:val="en-GB"/>
        </w:rPr>
        <w:t xml:space="preserve"> </w:t>
      </w:r>
      <w:proofErr w:type="spellStart"/>
      <w:r>
        <w:rPr>
          <w:lang w:val="en-GB"/>
        </w:rPr>
        <w:t>Uoti</w:t>
      </w:r>
      <w:proofErr w:type="spellEnd"/>
      <w:r w:rsidRPr="00B84278">
        <w:rPr>
          <w:lang w:val="en-GB"/>
        </w:rPr>
        <w:t xml:space="preserve">, a lawyer practising in </w:t>
      </w:r>
      <w:r>
        <w:rPr>
          <w:lang w:val="en-GB"/>
        </w:rPr>
        <w:t>Helsinki</w:t>
      </w:r>
      <w:r w:rsidRPr="00B84278">
        <w:rPr>
          <w:lang w:val="en-GB"/>
        </w:rPr>
        <w:t>.</w:t>
      </w:r>
    </w:p>
    <w:p w:rsidR="00C930D7" w:rsidP="00C238F3" w:rsidRDefault="00C930D7">
      <w:pPr>
        <w:pStyle w:val="ECHRPara"/>
        <w:rPr>
          <w:lang w:val="en-GB"/>
        </w:rPr>
      </w:pPr>
      <w:r>
        <w:rPr>
          <w:lang w:val="en-GB"/>
        </w:rPr>
        <w:t>2.  </w:t>
      </w:r>
      <w:r w:rsidRPr="00B84278">
        <w:rPr>
          <w:lang w:val="en-GB"/>
        </w:rPr>
        <w:t xml:space="preserve">The </w:t>
      </w:r>
      <w:r>
        <w:rPr>
          <w:lang w:val="en-GB"/>
        </w:rPr>
        <w:t>Finnish</w:t>
      </w:r>
      <w:r w:rsidRPr="00B84278">
        <w:rPr>
          <w:lang w:val="en-GB"/>
        </w:rPr>
        <w:t xml:space="preserve"> Government (“the Government”) were represented by their Agent, Mr</w:t>
      </w:r>
      <w:r w:rsidRPr="00F93355">
        <w:rPr>
          <w:lang w:val="en-GB"/>
        </w:rPr>
        <w:t xml:space="preserve"> </w:t>
      </w:r>
      <w:proofErr w:type="spellStart"/>
      <w:r w:rsidRPr="00F93355">
        <w:rPr>
          <w:lang w:val="en-GB"/>
        </w:rPr>
        <w:t>Arto</w:t>
      </w:r>
      <w:proofErr w:type="spellEnd"/>
      <w:r w:rsidRPr="00F93355">
        <w:rPr>
          <w:lang w:val="en-GB"/>
        </w:rPr>
        <w:t xml:space="preserve"> </w:t>
      </w:r>
      <w:proofErr w:type="spellStart"/>
      <w:r w:rsidRPr="00F93355">
        <w:rPr>
          <w:lang w:val="en-GB"/>
        </w:rPr>
        <w:t>Kosonen</w:t>
      </w:r>
      <w:proofErr w:type="spellEnd"/>
      <w:r w:rsidRPr="00F93355">
        <w:rPr>
          <w:lang w:val="en-GB"/>
        </w:rPr>
        <w:t xml:space="preserve"> of the Ministry for Foreign Affairs.</w:t>
      </w:r>
    </w:p>
    <w:p w:rsidRPr="00B84278" w:rsidR="00C930D7" w:rsidP="00C238F3" w:rsidRDefault="00C930D7">
      <w:pPr>
        <w:pStyle w:val="ECHRHeading2"/>
        <w:rPr>
          <w:lang w:val="en-GB"/>
        </w:rPr>
      </w:pPr>
      <w:r w:rsidRPr="00B84278">
        <w:rPr>
          <w:lang w:val="en-GB"/>
        </w:rPr>
        <w:t>A.  The circumstances of the case</w:t>
      </w:r>
    </w:p>
    <w:p w:rsidRPr="00B84278" w:rsidR="00C930D7" w:rsidP="00C238F3" w:rsidRDefault="00C930D7">
      <w:pPr>
        <w:pStyle w:val="ECHRPara"/>
        <w:rPr>
          <w:lang w:val="en-GB"/>
        </w:rPr>
      </w:pPr>
      <w:r>
        <w:rPr>
          <w:lang w:val="en-GB"/>
        </w:rPr>
        <w:t>3.  </w:t>
      </w:r>
      <w:r w:rsidRPr="00B84278">
        <w:rPr>
          <w:lang w:val="en-GB"/>
        </w:rPr>
        <w:t>The facts of the case, as submitted by the parties, may be summarised as follows.</w:t>
      </w:r>
    </w:p>
    <w:p w:rsidRPr="008A298E" w:rsidR="00C930D7" w:rsidP="00C238F3" w:rsidRDefault="00C930D7">
      <w:pPr>
        <w:pStyle w:val="ECHRPara"/>
        <w:rPr>
          <w:lang w:val="en-GB"/>
        </w:rPr>
      </w:pPr>
      <w:r>
        <w:rPr>
          <w:lang w:val="en-GB"/>
        </w:rPr>
        <w:t>4.  </w:t>
      </w:r>
      <w:r w:rsidRPr="008A298E">
        <w:rPr>
          <w:lang w:val="en-GB"/>
        </w:rPr>
        <w:t>The case concerns criminal proceedings in which a judgment was rendered against the applicants by the Helsinki Appeal Court (</w:t>
      </w:r>
      <w:proofErr w:type="spellStart"/>
      <w:r w:rsidRPr="008A298E">
        <w:rPr>
          <w:rStyle w:val="ju-005fpara-002cleft-002cfirst-0020line-003a-0020-00200-0020cm--char"/>
          <w:i/>
          <w:iCs/>
          <w:lang w:val="en-GB"/>
        </w:rPr>
        <w:t>hovioikeus</w:t>
      </w:r>
      <w:proofErr w:type="spellEnd"/>
      <w:r w:rsidRPr="008A298E">
        <w:rPr>
          <w:rStyle w:val="ju-005fpara-002cleft-002cfirst-0020line-003a-0020-00200-0020cm--char"/>
          <w:i/>
          <w:iCs/>
          <w:lang w:val="en-GB"/>
        </w:rPr>
        <w:t xml:space="preserve">, </w:t>
      </w:r>
      <w:proofErr w:type="spellStart"/>
      <w:r w:rsidRPr="008A298E">
        <w:rPr>
          <w:rStyle w:val="ju-005fpara-002cleft-002cfirst-0020line-003a-0020-00200-0020cm--char"/>
          <w:i/>
          <w:iCs/>
          <w:lang w:val="en-GB"/>
        </w:rPr>
        <w:t>hovrätten</w:t>
      </w:r>
      <w:proofErr w:type="spellEnd"/>
      <w:r w:rsidRPr="008A298E">
        <w:rPr>
          <w:lang w:val="en-GB"/>
        </w:rPr>
        <w:t>) on 28 May 2009. On 10 March 2010 the Supreme Court (</w:t>
      </w:r>
      <w:proofErr w:type="spellStart"/>
      <w:r w:rsidRPr="008A298E">
        <w:rPr>
          <w:rStyle w:val="ju-005fpara-002cleft-002cfirst-0020line-003a-0020-00200-0020cm--char"/>
          <w:i/>
          <w:iCs/>
          <w:lang w:val="en-GB"/>
        </w:rPr>
        <w:t>korkein</w:t>
      </w:r>
      <w:proofErr w:type="spellEnd"/>
      <w:r w:rsidRPr="008A298E">
        <w:rPr>
          <w:rStyle w:val="ju-005fpara-002cleft-002cfirst-0020line-003a-0020-00200-0020cm--char"/>
          <w:i/>
          <w:iCs/>
          <w:lang w:val="en-GB"/>
        </w:rPr>
        <w:t xml:space="preserve"> </w:t>
      </w:r>
      <w:proofErr w:type="spellStart"/>
      <w:r w:rsidRPr="008A298E">
        <w:rPr>
          <w:rStyle w:val="ju-005fpara-002cleft-002cfirst-0020line-003a-0020-00200-0020cm--char"/>
          <w:i/>
          <w:iCs/>
          <w:lang w:val="en-GB"/>
        </w:rPr>
        <w:t>oikeus</w:t>
      </w:r>
      <w:proofErr w:type="spellEnd"/>
      <w:r w:rsidRPr="008A298E">
        <w:rPr>
          <w:rStyle w:val="ju-005fpara-002cleft-002cfirst-0020line-003a-0020-00200-0020cm--char"/>
          <w:i/>
          <w:iCs/>
          <w:lang w:val="en-GB"/>
        </w:rPr>
        <w:t xml:space="preserve">, </w:t>
      </w:r>
      <w:proofErr w:type="spellStart"/>
      <w:r w:rsidRPr="008A298E">
        <w:rPr>
          <w:rStyle w:val="ju-005fpara-002cleft-002cfirst-0020line-003a-0020-00200-0020cm--char"/>
          <w:i/>
          <w:iCs/>
          <w:lang w:val="en-GB"/>
        </w:rPr>
        <w:t>högsta</w:t>
      </w:r>
      <w:proofErr w:type="spellEnd"/>
      <w:r w:rsidRPr="008A298E">
        <w:rPr>
          <w:rStyle w:val="ju-005fpara-002cleft-002cfirst-0020line-003a-0020-00200-0020cm--char"/>
          <w:i/>
          <w:iCs/>
          <w:lang w:val="en-GB"/>
        </w:rPr>
        <w:t xml:space="preserve"> </w:t>
      </w:r>
      <w:proofErr w:type="spellStart"/>
      <w:r w:rsidRPr="008A298E">
        <w:rPr>
          <w:rStyle w:val="ju-005fpara-002cleft-002cfirst-0020line-003a-0020-00200-0020cm--char"/>
          <w:i/>
          <w:iCs/>
          <w:lang w:val="en-GB"/>
        </w:rPr>
        <w:t>domstolen</w:t>
      </w:r>
      <w:proofErr w:type="spellEnd"/>
      <w:r w:rsidRPr="008A298E">
        <w:rPr>
          <w:lang w:val="en-GB"/>
        </w:rPr>
        <w:t xml:space="preserve">) refused the applicants leave to appeal and the Appeal Court judgment </w:t>
      </w:r>
      <w:r>
        <w:rPr>
          <w:lang w:val="en-GB"/>
        </w:rPr>
        <w:t xml:space="preserve">thus </w:t>
      </w:r>
      <w:r w:rsidRPr="008A298E">
        <w:rPr>
          <w:lang w:val="en-GB"/>
        </w:rPr>
        <w:t>became final.</w:t>
      </w:r>
    </w:p>
    <w:p w:rsidRPr="008A298E" w:rsidR="00C930D7" w:rsidP="00C238F3" w:rsidRDefault="00C930D7">
      <w:pPr>
        <w:pStyle w:val="ECHRPara"/>
        <w:rPr>
          <w:lang w:val="en-GB"/>
        </w:rPr>
      </w:pPr>
      <w:r>
        <w:rPr>
          <w:lang w:val="en-GB"/>
        </w:rPr>
        <w:t>5.  </w:t>
      </w:r>
      <w:r w:rsidRPr="008A298E">
        <w:rPr>
          <w:lang w:val="en-GB"/>
        </w:rPr>
        <w:t xml:space="preserve">On 6 April 2010 the first applicant lodged an extraordinary appeal before the Supreme Court, requesting it to annul </w:t>
      </w:r>
      <w:r>
        <w:rPr>
          <w:lang w:val="en-GB"/>
        </w:rPr>
        <w:t xml:space="preserve">the Appeal Court judgment of 28 </w:t>
      </w:r>
      <w:r w:rsidRPr="008A298E">
        <w:rPr>
          <w:lang w:val="en-GB"/>
        </w:rPr>
        <w:t>May 2009 and to refer the matter back to it for a new examination. He claimed that the composition of the court had not been competent (</w:t>
      </w:r>
      <w:proofErr w:type="spellStart"/>
      <w:r w:rsidRPr="008A298E">
        <w:rPr>
          <w:i/>
          <w:lang w:val="en-GB"/>
        </w:rPr>
        <w:t>päätösvaltainen</w:t>
      </w:r>
      <w:proofErr w:type="spellEnd"/>
      <w:r w:rsidRPr="008A298E">
        <w:rPr>
          <w:i/>
          <w:lang w:val="en-GB"/>
        </w:rPr>
        <w:t xml:space="preserve">, </w:t>
      </w:r>
      <w:proofErr w:type="spellStart"/>
      <w:r w:rsidRPr="008A298E">
        <w:rPr>
          <w:i/>
          <w:lang w:val="en-GB"/>
        </w:rPr>
        <w:t>domför</w:t>
      </w:r>
      <w:proofErr w:type="spellEnd"/>
      <w:r w:rsidRPr="008A298E">
        <w:rPr>
          <w:lang w:val="en-GB"/>
        </w:rPr>
        <w:t>) as one of the appeal court justices had been biased in the matter.</w:t>
      </w:r>
    </w:p>
    <w:p w:rsidRPr="008A298E" w:rsidR="00C930D7" w:rsidP="00C238F3" w:rsidRDefault="00C930D7">
      <w:pPr>
        <w:pStyle w:val="ECHRPara"/>
        <w:rPr>
          <w:lang w:val="en-GB"/>
        </w:rPr>
      </w:pPr>
      <w:r>
        <w:rPr>
          <w:lang w:val="en-GB"/>
        </w:rPr>
        <w:t>6.  </w:t>
      </w:r>
      <w:r w:rsidRPr="008A298E">
        <w:rPr>
          <w:lang w:val="en-GB"/>
        </w:rPr>
        <w:t>On 1 November 2010 the Supreme Court found that the justice in question had been biased in the case and that therefore the composition of the court had not been competent. The Supreme Court thus annulled the Appeal Court judgment as far as the first applicant was concerned and referred the matter back to the Appeal Court for a new examination.</w:t>
      </w:r>
    </w:p>
    <w:p w:rsidRPr="008A298E" w:rsidR="00C930D7" w:rsidP="00C238F3" w:rsidRDefault="00C930D7">
      <w:pPr>
        <w:pStyle w:val="ECHRPara"/>
        <w:rPr>
          <w:lang w:val="en-GB"/>
        </w:rPr>
      </w:pPr>
      <w:r>
        <w:rPr>
          <w:lang w:val="en-GB"/>
        </w:rPr>
        <w:t>7.  </w:t>
      </w:r>
      <w:r w:rsidRPr="008A298E">
        <w:rPr>
          <w:lang w:val="en-GB"/>
        </w:rPr>
        <w:t>Subsequently</w:t>
      </w:r>
      <w:r>
        <w:rPr>
          <w:lang w:val="en-GB"/>
        </w:rPr>
        <w:t>,</w:t>
      </w:r>
      <w:r w:rsidRPr="008A298E">
        <w:rPr>
          <w:lang w:val="en-GB"/>
        </w:rPr>
        <w:t xml:space="preserve"> the second applicant</w:t>
      </w:r>
      <w:r>
        <w:rPr>
          <w:lang w:val="en-GB"/>
        </w:rPr>
        <w:t xml:space="preserve"> also</w:t>
      </w:r>
      <w:r w:rsidRPr="008A298E">
        <w:rPr>
          <w:lang w:val="en-GB"/>
        </w:rPr>
        <w:t xml:space="preserve"> requested the annulment of the Appeal Court judgment</w:t>
      </w:r>
      <w:r w:rsidRPr="00421688">
        <w:rPr>
          <w:lang w:val="en-GB"/>
        </w:rPr>
        <w:t xml:space="preserve"> </w:t>
      </w:r>
      <w:r>
        <w:rPr>
          <w:lang w:val="en-GB"/>
        </w:rPr>
        <w:t xml:space="preserve">of 28 </w:t>
      </w:r>
      <w:r w:rsidRPr="008A298E">
        <w:rPr>
          <w:lang w:val="en-GB"/>
        </w:rPr>
        <w:t xml:space="preserve">May 2009 as far as he was concerned. The outcome of his request was the </w:t>
      </w:r>
      <w:r>
        <w:rPr>
          <w:lang w:val="en-GB"/>
        </w:rPr>
        <w:t>same as for the first applicant: t</w:t>
      </w:r>
      <w:r w:rsidRPr="008A298E">
        <w:rPr>
          <w:lang w:val="en-GB"/>
        </w:rPr>
        <w:t>he Supreme Court annulled the Appeal Court judgment as far as he was concerned and referred the matter back to the Appeal Court for a new examination.</w:t>
      </w:r>
      <w:r>
        <w:rPr>
          <w:lang w:val="en-GB"/>
        </w:rPr>
        <w:t xml:space="preserve"> </w:t>
      </w:r>
      <w:r w:rsidRPr="008A298E">
        <w:rPr>
          <w:lang w:val="en-GB"/>
        </w:rPr>
        <w:t>The public prosecutors never requested annulment of the Appeal Court judgment</w:t>
      </w:r>
      <w:r>
        <w:rPr>
          <w:lang w:val="en-GB"/>
        </w:rPr>
        <w:t xml:space="preserve"> of 28 </w:t>
      </w:r>
      <w:r w:rsidRPr="008A298E">
        <w:rPr>
          <w:lang w:val="en-GB"/>
        </w:rPr>
        <w:t>May 2009.</w:t>
      </w:r>
    </w:p>
    <w:p w:rsidRPr="008A298E" w:rsidR="00C930D7" w:rsidP="00C238F3" w:rsidRDefault="00C930D7">
      <w:pPr>
        <w:pStyle w:val="ECHRPara"/>
        <w:rPr>
          <w:lang w:val="en-GB"/>
        </w:rPr>
      </w:pPr>
      <w:r>
        <w:rPr>
          <w:lang w:val="en-GB"/>
        </w:rPr>
        <w:t>8.  </w:t>
      </w:r>
      <w:r w:rsidRPr="008A298E">
        <w:rPr>
          <w:lang w:val="en-GB"/>
        </w:rPr>
        <w:t>During the reopened Appeal Court proceedings the applicants claimed that the Appeal Court could no longer examine those charges which had been dismissed by the final Appeal Court judgment of 28 May 2009 as the applicants</w:t>
      </w:r>
      <w:r w:rsidR="00871DC9">
        <w:rPr>
          <w:lang w:val="en-GB"/>
        </w:rPr>
        <w:t>’</w:t>
      </w:r>
      <w:r w:rsidRPr="008A298E">
        <w:rPr>
          <w:lang w:val="en-GB"/>
        </w:rPr>
        <w:t xml:space="preserve"> request for reopening did not concern these parts of the case. They referred both to the prohibition of </w:t>
      </w:r>
      <w:proofErr w:type="spellStart"/>
      <w:r w:rsidRPr="008A298E">
        <w:rPr>
          <w:i/>
          <w:lang w:val="en-GB"/>
        </w:rPr>
        <w:t>reformatio</w:t>
      </w:r>
      <w:proofErr w:type="spellEnd"/>
      <w:r w:rsidRPr="008A298E">
        <w:rPr>
          <w:i/>
          <w:lang w:val="en-GB"/>
        </w:rPr>
        <w:t xml:space="preserve"> in </w:t>
      </w:r>
      <w:proofErr w:type="spellStart"/>
      <w:r w:rsidRPr="008A298E">
        <w:rPr>
          <w:i/>
          <w:lang w:val="en-GB"/>
        </w:rPr>
        <w:t>peius</w:t>
      </w:r>
      <w:proofErr w:type="spellEnd"/>
      <w:r w:rsidRPr="008A298E">
        <w:rPr>
          <w:lang w:val="en-GB"/>
        </w:rPr>
        <w:t xml:space="preserve"> a</w:t>
      </w:r>
      <w:r>
        <w:rPr>
          <w:lang w:val="en-GB"/>
        </w:rPr>
        <w:t>nd</w:t>
      </w:r>
      <w:r w:rsidRPr="008A298E">
        <w:rPr>
          <w:lang w:val="en-GB"/>
        </w:rPr>
        <w:t xml:space="preserve"> to the </w:t>
      </w:r>
      <w:proofErr w:type="spellStart"/>
      <w:r w:rsidRPr="008A298E">
        <w:rPr>
          <w:i/>
          <w:lang w:val="en-GB"/>
        </w:rPr>
        <w:t>ne</w:t>
      </w:r>
      <w:proofErr w:type="spellEnd"/>
      <w:r w:rsidRPr="008A298E">
        <w:rPr>
          <w:i/>
          <w:lang w:val="en-GB"/>
        </w:rPr>
        <w:t xml:space="preserve"> </w:t>
      </w:r>
      <w:proofErr w:type="spellStart"/>
      <w:r w:rsidRPr="008A298E">
        <w:rPr>
          <w:i/>
          <w:lang w:val="en-GB"/>
        </w:rPr>
        <w:t>bis</w:t>
      </w:r>
      <w:proofErr w:type="spellEnd"/>
      <w:r w:rsidRPr="008A298E">
        <w:rPr>
          <w:i/>
          <w:lang w:val="en-GB"/>
        </w:rPr>
        <w:t xml:space="preserve"> in idem </w:t>
      </w:r>
      <w:r w:rsidRPr="008A298E">
        <w:rPr>
          <w:lang w:val="en-GB"/>
        </w:rPr>
        <w:t xml:space="preserve">principle. On the other hand, the public prosecutors claimed that the case had been referred back to the Appeal Court in its entirety. They claimed that, as the competency of the composition was a matter that concerned all parties, the prohibition of </w:t>
      </w:r>
      <w:proofErr w:type="spellStart"/>
      <w:r w:rsidRPr="008A298E">
        <w:rPr>
          <w:i/>
          <w:lang w:val="en-GB"/>
        </w:rPr>
        <w:t>reformatio</w:t>
      </w:r>
      <w:proofErr w:type="spellEnd"/>
      <w:r w:rsidRPr="008A298E">
        <w:rPr>
          <w:i/>
          <w:lang w:val="en-GB"/>
        </w:rPr>
        <w:t xml:space="preserve"> in </w:t>
      </w:r>
      <w:proofErr w:type="spellStart"/>
      <w:r w:rsidRPr="008A298E">
        <w:rPr>
          <w:i/>
          <w:lang w:val="en-GB"/>
        </w:rPr>
        <w:t>peius</w:t>
      </w:r>
      <w:proofErr w:type="spellEnd"/>
      <w:r w:rsidRPr="008A298E">
        <w:rPr>
          <w:lang w:val="en-GB"/>
        </w:rPr>
        <w:t xml:space="preserve"> did not apply and the examination of the case was to be conducted as if the case had only now become pending before the Appeal Court.</w:t>
      </w:r>
    </w:p>
    <w:p w:rsidRPr="008A298E" w:rsidR="00C930D7" w:rsidP="00C238F3" w:rsidRDefault="00C930D7">
      <w:pPr>
        <w:pStyle w:val="ECHRPara"/>
        <w:rPr>
          <w:lang w:val="en-GB"/>
        </w:rPr>
      </w:pPr>
      <w:r>
        <w:rPr>
          <w:lang w:val="en-GB"/>
        </w:rPr>
        <w:t>9.  </w:t>
      </w:r>
      <w:r w:rsidRPr="008A298E">
        <w:rPr>
          <w:lang w:val="en-GB"/>
        </w:rPr>
        <w:t>On 15 April 2011 the Appeal Court dismissed</w:t>
      </w:r>
      <w:r>
        <w:rPr>
          <w:lang w:val="en-GB"/>
        </w:rPr>
        <w:t>,</w:t>
      </w:r>
      <w:r w:rsidRPr="008A298E">
        <w:rPr>
          <w:lang w:val="en-GB"/>
        </w:rPr>
        <w:t xml:space="preserve"> without examining the merits</w:t>
      </w:r>
      <w:r>
        <w:rPr>
          <w:lang w:val="en-GB"/>
        </w:rPr>
        <w:t>,</w:t>
      </w:r>
      <w:r w:rsidRPr="008A298E">
        <w:rPr>
          <w:lang w:val="en-GB"/>
        </w:rPr>
        <w:t xml:space="preserve"> those charges which had already been finally decided by the Appeal Court judgment of 28 May 2009. The court noted that the public prosecutors had not challenged the impartiality of the composition of the court but that only the applicants had made such claims. Therefore, </w:t>
      </w:r>
      <w:r>
        <w:rPr>
          <w:lang w:val="en-GB"/>
        </w:rPr>
        <w:t xml:space="preserve">also </w:t>
      </w:r>
      <w:r w:rsidRPr="008A298E">
        <w:rPr>
          <w:lang w:val="en-GB"/>
        </w:rPr>
        <w:t xml:space="preserve">taking into account the case-law of the </w:t>
      </w:r>
      <w:r>
        <w:rPr>
          <w:lang w:val="en-GB"/>
        </w:rPr>
        <w:t xml:space="preserve">Strasbourg </w:t>
      </w:r>
      <w:r w:rsidRPr="008A298E">
        <w:rPr>
          <w:lang w:val="en-GB"/>
        </w:rPr>
        <w:t>Court, the previously dismissed charges could no longer be examined.</w:t>
      </w:r>
    </w:p>
    <w:p w:rsidRPr="008A298E" w:rsidR="00C930D7" w:rsidP="00C238F3" w:rsidRDefault="00C930D7">
      <w:pPr>
        <w:pStyle w:val="ECHRPara"/>
        <w:rPr>
          <w:lang w:val="en-GB"/>
        </w:rPr>
      </w:pPr>
      <w:r>
        <w:rPr>
          <w:lang w:val="en-GB"/>
        </w:rPr>
        <w:t>10.  </w:t>
      </w:r>
      <w:r w:rsidRPr="008A298E">
        <w:rPr>
          <w:lang w:val="en-GB"/>
        </w:rPr>
        <w:t>By letter dated 31 May 2011 the public prosecutors appealed</w:t>
      </w:r>
      <w:r>
        <w:rPr>
          <w:lang w:val="en-GB"/>
        </w:rPr>
        <w:t xml:space="preserve"> to the Supreme Court</w:t>
      </w:r>
      <w:r w:rsidRPr="008A298E">
        <w:rPr>
          <w:lang w:val="en-GB"/>
        </w:rPr>
        <w:t xml:space="preserve"> </w:t>
      </w:r>
      <w:r>
        <w:rPr>
          <w:lang w:val="en-GB"/>
        </w:rPr>
        <w:t xml:space="preserve">against </w:t>
      </w:r>
      <w:r w:rsidRPr="008A298E">
        <w:rPr>
          <w:lang w:val="en-GB"/>
        </w:rPr>
        <w:t xml:space="preserve">this Appeal Court decision. They claimed that the rules on impartiality were designed to protect all parties </w:t>
      </w:r>
      <w:r>
        <w:rPr>
          <w:lang w:val="en-GB"/>
        </w:rPr>
        <w:t>t</w:t>
      </w:r>
      <w:r w:rsidRPr="008A298E">
        <w:rPr>
          <w:lang w:val="en-GB"/>
        </w:rPr>
        <w:t xml:space="preserve">o the proceedings. In such a situation the prohibition of </w:t>
      </w:r>
      <w:proofErr w:type="spellStart"/>
      <w:r w:rsidRPr="008A298E">
        <w:rPr>
          <w:i/>
          <w:lang w:val="en-GB"/>
        </w:rPr>
        <w:t>reformatio</w:t>
      </w:r>
      <w:proofErr w:type="spellEnd"/>
      <w:r w:rsidRPr="008A298E">
        <w:rPr>
          <w:i/>
          <w:lang w:val="en-GB"/>
        </w:rPr>
        <w:t xml:space="preserve"> in </w:t>
      </w:r>
      <w:proofErr w:type="spellStart"/>
      <w:r w:rsidRPr="008A298E">
        <w:rPr>
          <w:i/>
          <w:lang w:val="en-GB"/>
        </w:rPr>
        <w:t>peius</w:t>
      </w:r>
      <w:proofErr w:type="spellEnd"/>
      <w:r w:rsidRPr="008A298E">
        <w:rPr>
          <w:lang w:val="en-GB"/>
        </w:rPr>
        <w:t xml:space="preserve"> was no longer applicable. As the earlier judgment </w:t>
      </w:r>
      <w:r>
        <w:rPr>
          <w:lang w:val="en-GB"/>
        </w:rPr>
        <w:t>had been</w:t>
      </w:r>
      <w:r w:rsidRPr="008A298E">
        <w:rPr>
          <w:lang w:val="en-GB"/>
        </w:rPr>
        <w:t xml:space="preserve"> annulled in respect of the applicants, there existed no earlier final judgment concerning them. The applicants disagreed with the public prosecutors</w:t>
      </w:r>
      <w:r w:rsidR="00871DC9">
        <w:rPr>
          <w:lang w:val="en-GB"/>
        </w:rPr>
        <w:t>’</w:t>
      </w:r>
      <w:r w:rsidRPr="008A298E">
        <w:rPr>
          <w:lang w:val="en-GB"/>
        </w:rPr>
        <w:t xml:space="preserve"> conclusions. They pointed out that they did not even have any interest or right to appeal</w:t>
      </w:r>
      <w:r>
        <w:rPr>
          <w:lang w:val="en-GB"/>
        </w:rPr>
        <w:t xml:space="preserve"> against</w:t>
      </w:r>
      <w:r w:rsidRPr="008A298E">
        <w:rPr>
          <w:lang w:val="en-GB"/>
        </w:rPr>
        <w:t xml:space="preserve"> the Appeal Court judgment of 28 May 2009 </w:t>
      </w:r>
      <w:r>
        <w:rPr>
          <w:lang w:val="en-GB"/>
        </w:rPr>
        <w:t>in so far as it was</w:t>
      </w:r>
      <w:r w:rsidRPr="008A298E">
        <w:rPr>
          <w:lang w:val="en-GB"/>
        </w:rPr>
        <w:t xml:space="preserve"> favourable to them. A final judgment could not be annulled without any specific request to that effect.</w:t>
      </w:r>
    </w:p>
    <w:p w:rsidRPr="008A298E" w:rsidR="00C930D7" w:rsidP="00C238F3" w:rsidRDefault="00C930D7">
      <w:pPr>
        <w:pStyle w:val="ECHRPara"/>
        <w:rPr>
          <w:lang w:val="en-GB"/>
        </w:rPr>
      </w:pPr>
      <w:r>
        <w:rPr>
          <w:lang w:val="en-GB"/>
        </w:rPr>
        <w:t>11.  </w:t>
      </w:r>
      <w:r w:rsidRPr="008A298E">
        <w:rPr>
          <w:lang w:val="en-GB"/>
        </w:rPr>
        <w:t>On 26 September 2011 the Supreme Court granted the public prosecutors leave to appeal.</w:t>
      </w:r>
    </w:p>
    <w:p w:rsidRPr="00B84278" w:rsidR="00C930D7" w:rsidP="00C238F3" w:rsidRDefault="00C930D7">
      <w:pPr>
        <w:pStyle w:val="ECHRPara"/>
        <w:rPr>
          <w:lang w:val="en-GB"/>
        </w:rPr>
      </w:pPr>
      <w:r>
        <w:rPr>
          <w:lang w:val="en-GB"/>
        </w:rPr>
        <w:t>12.  </w:t>
      </w:r>
      <w:r w:rsidRPr="008A298E">
        <w:rPr>
          <w:lang w:val="en-GB"/>
        </w:rPr>
        <w:t xml:space="preserve">On 29 December 2011 the Supreme Court quashed the Appeal Court decision and referred the case back to it for a new examination. It found that the prohibition of </w:t>
      </w:r>
      <w:proofErr w:type="spellStart"/>
      <w:r w:rsidRPr="008A298E">
        <w:rPr>
          <w:i/>
          <w:lang w:val="en-GB"/>
        </w:rPr>
        <w:t>reformatio</w:t>
      </w:r>
      <w:proofErr w:type="spellEnd"/>
      <w:r w:rsidRPr="008A298E">
        <w:rPr>
          <w:i/>
          <w:lang w:val="en-GB"/>
        </w:rPr>
        <w:t xml:space="preserve"> in </w:t>
      </w:r>
      <w:proofErr w:type="spellStart"/>
      <w:r w:rsidRPr="008A298E">
        <w:rPr>
          <w:i/>
          <w:lang w:val="en-GB"/>
        </w:rPr>
        <w:t>peius</w:t>
      </w:r>
      <w:proofErr w:type="spellEnd"/>
      <w:r w:rsidRPr="008A298E">
        <w:rPr>
          <w:i/>
          <w:lang w:val="en-GB"/>
        </w:rPr>
        <w:t xml:space="preserve"> </w:t>
      </w:r>
      <w:r w:rsidRPr="008A298E">
        <w:rPr>
          <w:lang w:val="en-GB"/>
        </w:rPr>
        <w:t>was valid in the Finnish legal system and that it was applied both in ordinary and extraordinary appeal proceedings. The question</w:t>
      </w:r>
      <w:r>
        <w:rPr>
          <w:lang w:val="en-GB"/>
        </w:rPr>
        <w:t xml:space="preserve"> of</w:t>
      </w:r>
      <w:r w:rsidRPr="008A298E">
        <w:rPr>
          <w:lang w:val="en-GB"/>
        </w:rPr>
        <w:t xml:space="preserve"> whether a case was annulled and referred back for a new examination in its entirety or only in part depended on the nature of the procedural error in the case at hand. If the procedural error affected the whole judgment and the proceedings, the case was referred back in its entirety</w:t>
      </w:r>
      <w:r>
        <w:rPr>
          <w:lang w:val="en-GB"/>
        </w:rPr>
        <w:t>,</w:t>
      </w:r>
      <w:r w:rsidRPr="008A298E">
        <w:rPr>
          <w:lang w:val="en-GB"/>
        </w:rPr>
        <w:t xml:space="preserve"> even if the judgment had been favourable to the appellant. The court noted that in the Convention or in its Protocols there was no specific mention </w:t>
      </w:r>
      <w:r>
        <w:rPr>
          <w:lang w:val="en-GB"/>
        </w:rPr>
        <w:t>of</w:t>
      </w:r>
      <w:r w:rsidRPr="008A298E">
        <w:rPr>
          <w:lang w:val="en-GB"/>
        </w:rPr>
        <w:t xml:space="preserve"> the prohibition of </w:t>
      </w:r>
      <w:proofErr w:type="spellStart"/>
      <w:r w:rsidRPr="008A298E">
        <w:rPr>
          <w:i/>
          <w:lang w:val="en-GB"/>
        </w:rPr>
        <w:t>reformatio</w:t>
      </w:r>
      <w:proofErr w:type="spellEnd"/>
      <w:r w:rsidRPr="008A298E">
        <w:rPr>
          <w:i/>
          <w:lang w:val="en-GB"/>
        </w:rPr>
        <w:t xml:space="preserve"> in </w:t>
      </w:r>
      <w:proofErr w:type="spellStart"/>
      <w:r w:rsidRPr="008A298E">
        <w:rPr>
          <w:i/>
          <w:lang w:val="en-GB"/>
        </w:rPr>
        <w:t>peius</w:t>
      </w:r>
      <w:proofErr w:type="spellEnd"/>
      <w:r w:rsidRPr="008A298E">
        <w:rPr>
          <w:i/>
          <w:lang w:val="en-GB"/>
        </w:rPr>
        <w:t xml:space="preserve"> </w:t>
      </w:r>
      <w:r w:rsidRPr="008A298E">
        <w:rPr>
          <w:lang w:val="en-GB"/>
        </w:rPr>
        <w:t xml:space="preserve">but that it formed a part of the general fair trial guarantees. The Committee of Ministers had </w:t>
      </w:r>
      <w:r>
        <w:rPr>
          <w:lang w:val="en-GB"/>
        </w:rPr>
        <w:t>made</w:t>
      </w:r>
      <w:r w:rsidRPr="008A298E">
        <w:rPr>
          <w:lang w:val="en-GB"/>
        </w:rPr>
        <w:t xml:space="preserve"> a Recommendation </w:t>
      </w:r>
      <w:r>
        <w:rPr>
          <w:lang w:val="en-GB"/>
        </w:rPr>
        <w:t>on this subject</w:t>
      </w:r>
      <w:r w:rsidRPr="008A298E">
        <w:rPr>
          <w:lang w:val="en-GB"/>
        </w:rPr>
        <w:t xml:space="preserve"> in 1992. However, in the case-law of the Court no similar case was to be found. On the other hand, there was case</w:t>
      </w:r>
      <w:r>
        <w:rPr>
          <w:lang w:val="en-GB"/>
        </w:rPr>
        <w:noBreakHyphen/>
      </w:r>
      <w:r w:rsidRPr="008A298E">
        <w:rPr>
          <w:lang w:val="en-GB"/>
        </w:rPr>
        <w:t>law about a judge</w:t>
      </w:r>
      <w:r w:rsidR="00871DC9">
        <w:rPr>
          <w:lang w:val="en-GB"/>
        </w:rPr>
        <w:t>’</w:t>
      </w:r>
      <w:r w:rsidRPr="008A298E">
        <w:rPr>
          <w:lang w:val="en-GB"/>
        </w:rPr>
        <w:t xml:space="preserve">s partiality, which issue had been considered by the Court </w:t>
      </w:r>
      <w:r>
        <w:rPr>
          <w:lang w:val="en-GB"/>
        </w:rPr>
        <w:t>to be</w:t>
      </w:r>
      <w:r w:rsidRPr="008A298E">
        <w:rPr>
          <w:lang w:val="en-GB"/>
        </w:rPr>
        <w:t xml:space="preserve"> such a grave procedural error that it always led to </w:t>
      </w:r>
      <w:r>
        <w:rPr>
          <w:lang w:val="en-GB"/>
        </w:rPr>
        <w:t>the</w:t>
      </w:r>
      <w:r w:rsidRPr="008A298E">
        <w:rPr>
          <w:lang w:val="en-GB"/>
        </w:rPr>
        <w:t xml:space="preserve"> annulment of a judgment. </w:t>
      </w:r>
      <w:r>
        <w:rPr>
          <w:lang w:val="en-GB"/>
        </w:rPr>
        <w:t>T</w:t>
      </w:r>
      <w:r w:rsidRPr="008A298E">
        <w:rPr>
          <w:lang w:val="en-GB"/>
        </w:rPr>
        <w:t xml:space="preserve">he principle of </w:t>
      </w:r>
      <w:r w:rsidRPr="008A298E">
        <w:rPr>
          <w:i/>
          <w:lang w:val="en-GB"/>
        </w:rPr>
        <w:t xml:space="preserve">ne </w:t>
      </w:r>
      <w:proofErr w:type="spellStart"/>
      <w:r w:rsidRPr="008A298E">
        <w:rPr>
          <w:i/>
          <w:lang w:val="en-GB"/>
        </w:rPr>
        <w:t>bis</w:t>
      </w:r>
      <w:proofErr w:type="spellEnd"/>
      <w:r w:rsidRPr="008A298E">
        <w:rPr>
          <w:i/>
          <w:lang w:val="en-GB"/>
        </w:rPr>
        <w:t xml:space="preserve"> in idem</w:t>
      </w:r>
      <w:r w:rsidRPr="008A298E">
        <w:rPr>
          <w:lang w:val="en-GB"/>
        </w:rPr>
        <w:t xml:space="preserve"> </w:t>
      </w:r>
      <w:r>
        <w:rPr>
          <w:lang w:val="en-GB"/>
        </w:rPr>
        <w:t xml:space="preserve">did not </w:t>
      </w:r>
      <w:r w:rsidRPr="008A298E">
        <w:rPr>
          <w:lang w:val="en-GB"/>
        </w:rPr>
        <w:t xml:space="preserve">prevent new examination of the case if in earlier proceedings a grave procedural error had taken place. All partiality grounds were unconditional. In the present case the lack of competence of the composition concerned the whole Appeal Court proceedings and the judgment in its entirety. Therefore the court had earlier annulled the Appeal Court judgment of 28 May 2009 in its entirety. As the prohibition of </w:t>
      </w:r>
      <w:proofErr w:type="spellStart"/>
      <w:r w:rsidRPr="008A298E">
        <w:rPr>
          <w:i/>
          <w:lang w:val="en-GB"/>
        </w:rPr>
        <w:t>reformatio</w:t>
      </w:r>
      <w:proofErr w:type="spellEnd"/>
      <w:r w:rsidRPr="008A298E">
        <w:rPr>
          <w:i/>
          <w:lang w:val="en-GB"/>
        </w:rPr>
        <w:t xml:space="preserve"> in </w:t>
      </w:r>
      <w:proofErr w:type="spellStart"/>
      <w:r w:rsidRPr="008A298E">
        <w:rPr>
          <w:i/>
          <w:lang w:val="en-GB"/>
        </w:rPr>
        <w:t>peius</w:t>
      </w:r>
      <w:proofErr w:type="spellEnd"/>
      <w:r w:rsidRPr="008A298E">
        <w:rPr>
          <w:i/>
          <w:lang w:val="en-GB"/>
        </w:rPr>
        <w:t xml:space="preserve"> </w:t>
      </w:r>
      <w:r w:rsidRPr="008A298E">
        <w:rPr>
          <w:lang w:val="en-GB"/>
        </w:rPr>
        <w:t>only applied to judgments which had become partially final, it did not apply to the present case in which a final judgment had been completely annulled. The Appeal Court judgment of 28</w:t>
      </w:r>
      <w:r>
        <w:rPr>
          <w:lang w:val="en-GB"/>
        </w:rPr>
        <w:t xml:space="preserve"> </w:t>
      </w:r>
      <w:r w:rsidRPr="008A298E">
        <w:rPr>
          <w:lang w:val="en-GB"/>
        </w:rPr>
        <w:t>May 2009 was thus no longer binding in any respect. The Supreme Court reached this conclusion by 3</w:t>
      </w:r>
      <w:r>
        <w:rPr>
          <w:lang w:val="en-GB"/>
        </w:rPr>
        <w:t xml:space="preserve"> votes to </w:t>
      </w:r>
      <w:r w:rsidRPr="008A298E">
        <w:rPr>
          <w:lang w:val="en-GB"/>
        </w:rPr>
        <w:t>2. The decision contains two dissenting opinions.</w:t>
      </w:r>
    </w:p>
    <w:p w:rsidRPr="00B84278" w:rsidR="00C930D7" w:rsidP="00C238F3" w:rsidRDefault="00C930D7">
      <w:pPr>
        <w:pStyle w:val="ECHRHeading2"/>
        <w:rPr>
          <w:lang w:val="en-GB"/>
        </w:rPr>
      </w:pPr>
      <w:r w:rsidRPr="00B84278">
        <w:rPr>
          <w:lang w:val="en-GB"/>
        </w:rPr>
        <w:t xml:space="preserve">B.  Relevant domestic </w:t>
      </w:r>
      <w:r w:rsidRPr="007E0C86">
        <w:rPr>
          <w:lang w:val="en-GB"/>
        </w:rPr>
        <w:t>law and practice</w:t>
      </w:r>
    </w:p>
    <w:p w:rsidRPr="007E0C86" w:rsidR="00C930D7" w:rsidP="00C238F3" w:rsidRDefault="00C930D7">
      <w:pPr>
        <w:pStyle w:val="ECHRPara"/>
        <w:rPr>
          <w:szCs w:val="24"/>
          <w:lang w:val="en-GB"/>
        </w:rPr>
      </w:pPr>
      <w:r>
        <w:rPr>
          <w:bCs/>
          <w:szCs w:val="24"/>
          <w:lang w:val="en-GB"/>
        </w:rPr>
        <w:t>13</w:t>
      </w:r>
      <w:r w:rsidRPr="001A1175">
        <w:rPr>
          <w:bCs/>
          <w:szCs w:val="24"/>
          <w:lang w:val="en-GB"/>
        </w:rPr>
        <w:t xml:space="preserve">.  There is no explicit provision concerning the principle of </w:t>
      </w:r>
      <w:proofErr w:type="spellStart"/>
      <w:r w:rsidRPr="001A1175">
        <w:rPr>
          <w:i/>
          <w:lang w:val="en-GB"/>
        </w:rPr>
        <w:t>reformatio</w:t>
      </w:r>
      <w:proofErr w:type="spellEnd"/>
      <w:r w:rsidRPr="008A298E">
        <w:rPr>
          <w:i/>
          <w:lang w:val="en-GB"/>
        </w:rPr>
        <w:t xml:space="preserve"> in </w:t>
      </w:r>
      <w:proofErr w:type="spellStart"/>
      <w:r w:rsidRPr="008A298E">
        <w:rPr>
          <w:i/>
          <w:lang w:val="en-GB"/>
        </w:rPr>
        <w:t>peius</w:t>
      </w:r>
      <w:proofErr w:type="spellEnd"/>
      <w:r w:rsidRPr="008A298E">
        <w:rPr>
          <w:i/>
          <w:lang w:val="en-GB"/>
        </w:rPr>
        <w:t xml:space="preserve"> </w:t>
      </w:r>
      <w:r>
        <w:rPr>
          <w:lang w:val="en-GB"/>
        </w:rPr>
        <w:t xml:space="preserve">in the domestic law. The established interpretation is, largely on the basis of the national case-law, that this principle is valid in the national legal system. This principle is inferable </w:t>
      </w:r>
      <w:r w:rsidRPr="007E0C86">
        <w:rPr>
          <w:lang w:val="en-GB"/>
        </w:rPr>
        <w:t xml:space="preserve">from </w:t>
      </w:r>
      <w:r w:rsidRPr="007E0C86">
        <w:rPr>
          <w:bCs/>
          <w:szCs w:val="24"/>
          <w:lang w:val="en-GB"/>
        </w:rPr>
        <w:t xml:space="preserve">Chapter 26, section 2, subsection 1, </w:t>
      </w:r>
      <w:r w:rsidRPr="007E0C86">
        <w:rPr>
          <w:rStyle w:val="sb8d990e2"/>
          <w:szCs w:val="24"/>
          <w:lang w:val="en-GB"/>
        </w:rPr>
        <w:t>of the Code of Judicial Procedure (</w:t>
      </w:r>
      <w:proofErr w:type="spellStart"/>
      <w:r w:rsidRPr="007E0C86">
        <w:rPr>
          <w:rStyle w:val="wordhighlighted"/>
          <w:i/>
          <w:szCs w:val="24"/>
          <w:lang w:val="en-GB"/>
        </w:rPr>
        <w:t>oikeudenkäymiskaari</w:t>
      </w:r>
      <w:proofErr w:type="spellEnd"/>
      <w:r w:rsidRPr="007E0C86">
        <w:rPr>
          <w:rStyle w:val="s6b621b36"/>
          <w:i/>
          <w:szCs w:val="24"/>
          <w:lang w:val="en-GB"/>
        </w:rPr>
        <w:t xml:space="preserve">, </w:t>
      </w:r>
      <w:proofErr w:type="spellStart"/>
      <w:r w:rsidRPr="007E0C86">
        <w:rPr>
          <w:rStyle w:val="s6b621b36"/>
          <w:i/>
          <w:szCs w:val="24"/>
          <w:lang w:val="en-GB"/>
        </w:rPr>
        <w:t>rättegångsbalken</w:t>
      </w:r>
      <w:proofErr w:type="spellEnd"/>
      <w:r w:rsidRPr="007E0C86">
        <w:rPr>
          <w:rStyle w:val="sb8d990e2"/>
          <w:szCs w:val="24"/>
          <w:lang w:val="en-GB"/>
        </w:rPr>
        <w:t>; as amended by Act no.</w:t>
      </w:r>
      <w:r>
        <w:rPr>
          <w:rStyle w:val="sb8d990e2"/>
          <w:szCs w:val="24"/>
          <w:lang w:val="en-GB"/>
        </w:rPr>
        <w:t xml:space="preserve"> </w:t>
      </w:r>
      <w:r w:rsidRPr="007E0C86">
        <w:rPr>
          <w:rStyle w:val="sb8d990e2"/>
          <w:szCs w:val="24"/>
          <w:lang w:val="en-GB"/>
        </w:rPr>
        <w:t>381/2003</w:t>
      </w:r>
      <w:r w:rsidRPr="007E0C86">
        <w:rPr>
          <w:szCs w:val="24"/>
          <w:lang w:val="en-GB"/>
        </w:rPr>
        <w:t>) which reads as follows:</w:t>
      </w:r>
    </w:p>
    <w:p w:rsidR="00C930D7" w:rsidP="00C238F3" w:rsidRDefault="00C930D7">
      <w:pPr>
        <w:pStyle w:val="ECHRParaQuote"/>
        <w:rPr>
          <w:lang w:val="en-GB"/>
        </w:rPr>
      </w:pPr>
      <w:r w:rsidRPr="007E0C86">
        <w:rPr>
          <w:lang w:val="en-GB"/>
        </w:rPr>
        <w:t>“[</w:t>
      </w:r>
      <w:proofErr w:type="spellStart"/>
      <w:r w:rsidRPr="007E0C86">
        <w:rPr>
          <w:lang w:val="en-GB"/>
        </w:rPr>
        <w:t>i</w:t>
      </w:r>
      <w:proofErr w:type="spellEnd"/>
      <w:r w:rsidRPr="007E0C86">
        <w:rPr>
          <w:lang w:val="en-GB"/>
        </w:rPr>
        <w:t>]n a criminal case, the Court of Appeal may amend, in favour of the defendant, the judgment that the District Court has given on the charges even if only the public prosecutor has appealed against this.”</w:t>
      </w:r>
    </w:p>
    <w:p w:rsidRPr="007E0C86" w:rsidR="00C930D7" w:rsidP="00C238F3" w:rsidRDefault="00C930D7">
      <w:pPr>
        <w:pStyle w:val="ECHRPara"/>
        <w:rPr>
          <w:lang w:val="en-GB"/>
        </w:rPr>
      </w:pPr>
      <w:r>
        <w:rPr>
          <w:lang w:val="en-GB"/>
        </w:rPr>
        <w:t xml:space="preserve">14.  The Supreme Court has dealt with </w:t>
      </w:r>
      <w:r w:rsidRPr="001A1175">
        <w:rPr>
          <w:bCs/>
          <w:szCs w:val="24"/>
          <w:lang w:val="en-GB"/>
        </w:rPr>
        <w:t xml:space="preserve">the principle of </w:t>
      </w:r>
      <w:proofErr w:type="spellStart"/>
      <w:r w:rsidRPr="001A1175">
        <w:rPr>
          <w:i/>
          <w:lang w:val="en-GB"/>
        </w:rPr>
        <w:t>reformatio</w:t>
      </w:r>
      <w:proofErr w:type="spellEnd"/>
      <w:r w:rsidRPr="008A298E">
        <w:rPr>
          <w:i/>
          <w:lang w:val="en-GB"/>
        </w:rPr>
        <w:t xml:space="preserve"> in </w:t>
      </w:r>
      <w:proofErr w:type="spellStart"/>
      <w:r w:rsidRPr="008A298E">
        <w:rPr>
          <w:i/>
          <w:lang w:val="en-GB"/>
        </w:rPr>
        <w:t>peius</w:t>
      </w:r>
      <w:proofErr w:type="spellEnd"/>
      <w:r>
        <w:rPr>
          <w:i/>
          <w:lang w:val="en-GB"/>
        </w:rPr>
        <w:t xml:space="preserve"> </w:t>
      </w:r>
      <w:r>
        <w:rPr>
          <w:lang w:val="en-GB"/>
        </w:rPr>
        <w:t>in some of its precedent cases.</w:t>
      </w:r>
    </w:p>
    <w:p w:rsidR="00C930D7" w:rsidP="00C238F3" w:rsidRDefault="00C930D7">
      <w:pPr>
        <w:pStyle w:val="ECHRParaQuote"/>
      </w:pPr>
      <w:r w:rsidRPr="00924A6D">
        <w:rPr>
          <w:i/>
        </w:rPr>
        <w:t>KKO:1998:161:</w:t>
      </w:r>
      <w:r w:rsidRPr="007E0C86">
        <w:t xml:space="preserve"> After the </w:t>
      </w:r>
      <w:r>
        <w:t xml:space="preserve">Appeal </w:t>
      </w:r>
      <w:r w:rsidRPr="007E0C86">
        <w:t>Court had re</w:t>
      </w:r>
      <w:r>
        <w:t xml:space="preserve">ferred </w:t>
      </w:r>
      <w:r w:rsidRPr="007E0C86">
        <w:t xml:space="preserve">the criminal case </w:t>
      </w:r>
      <w:r>
        <w:t xml:space="preserve">back </w:t>
      </w:r>
      <w:r w:rsidRPr="007E0C86">
        <w:t>to the District Court</w:t>
      </w:r>
      <w:r>
        <w:t xml:space="preserve"> on the basis of the defendant</w:t>
      </w:r>
      <w:r w:rsidR="00871DC9">
        <w:t>’</w:t>
      </w:r>
      <w:r w:rsidRPr="003317C6">
        <w:t>s appeal, the complainant claimed damages in the retrial proceedings, although he had declared in the earlier proceedings that he had no claims for damages. Because the</w:t>
      </w:r>
      <w:r>
        <w:t xml:space="preserve"> question about the complainant</w:t>
      </w:r>
      <w:r w:rsidR="00871DC9">
        <w:t>’</w:t>
      </w:r>
      <w:r w:rsidRPr="003317C6">
        <w:t>s right to damages had not been examined or determined by a judgment before, no impediment existed for examining the claim for damages.</w:t>
      </w:r>
    </w:p>
    <w:p w:rsidR="00C930D7" w:rsidP="00C238F3" w:rsidRDefault="00C930D7">
      <w:pPr>
        <w:pStyle w:val="ECHRParaQuote"/>
      </w:pPr>
      <w:r w:rsidRPr="00924A6D">
        <w:rPr>
          <w:i/>
        </w:rPr>
        <w:t>KKO</w:t>
      </w:r>
      <w:proofErr w:type="gramStart"/>
      <w:r w:rsidRPr="00924A6D">
        <w:rPr>
          <w:i/>
        </w:rPr>
        <w:t>:2008:97</w:t>
      </w:r>
      <w:proofErr w:type="gramEnd"/>
      <w:r w:rsidRPr="00924A6D">
        <w:rPr>
          <w:i/>
        </w:rPr>
        <w:t>:</w:t>
      </w:r>
      <w:r w:rsidRPr="007E0C86">
        <w:t xml:space="preserve"> When sentencing the defendant to a punishment for robbery, the District Court had obliged him to pay the complainant damages for mental suffering. When the defendant appealed to the </w:t>
      </w:r>
      <w:r>
        <w:t xml:space="preserve">Appeal </w:t>
      </w:r>
      <w:r w:rsidRPr="007E0C86">
        <w:t xml:space="preserve">Court, the complainant, in a counter-appeal, claimed an increase </w:t>
      </w:r>
      <w:r>
        <w:t>i</w:t>
      </w:r>
      <w:r w:rsidRPr="007E0C86">
        <w:t xml:space="preserve">n the damages for mental suffering. The </w:t>
      </w:r>
      <w:r>
        <w:t xml:space="preserve">Appeal </w:t>
      </w:r>
      <w:r w:rsidRPr="007E0C86">
        <w:t xml:space="preserve">Court upheld the judgment of the District Court. The complainant abided by the </w:t>
      </w:r>
      <w:r>
        <w:t xml:space="preserve">Appeal </w:t>
      </w:r>
      <w:r w:rsidRPr="007E0C86">
        <w:t>Court</w:t>
      </w:r>
      <w:r>
        <w:t xml:space="preserve"> judgment</w:t>
      </w:r>
      <w:r w:rsidRPr="007E0C86">
        <w:t xml:space="preserve"> but</w:t>
      </w:r>
      <w:r>
        <w:t>, on the basis of the defendant</w:t>
      </w:r>
      <w:r w:rsidR="00871DC9">
        <w:t>’</w:t>
      </w:r>
      <w:r w:rsidRPr="007E0C86">
        <w:t>s appeal</w:t>
      </w:r>
      <w:r>
        <w:t>,</w:t>
      </w:r>
      <w:r w:rsidRPr="007E0C86">
        <w:t xml:space="preserve"> the Supreme Court re</w:t>
      </w:r>
      <w:r>
        <w:t>ferre</w:t>
      </w:r>
      <w:r w:rsidRPr="007E0C86">
        <w:t xml:space="preserve">d the matter </w:t>
      </w:r>
      <w:r>
        <w:t xml:space="preserve">back </w:t>
      </w:r>
      <w:r w:rsidRPr="007E0C86">
        <w:t xml:space="preserve">to the </w:t>
      </w:r>
      <w:r>
        <w:t xml:space="preserve">Appeal </w:t>
      </w:r>
      <w:r w:rsidRPr="007E0C86">
        <w:t xml:space="preserve">Court for a main hearing. In the new proceedings the complainant, on the basis of the counter-appeal, continued to claim an increase </w:t>
      </w:r>
      <w:r>
        <w:t>i</w:t>
      </w:r>
      <w:r w:rsidRPr="007E0C86">
        <w:t>n the damages. The Supreme Court held that the counter-appeal could be examined in the retrial proceedings.</w:t>
      </w:r>
    </w:p>
    <w:p w:rsidRPr="001D3AEB" w:rsidR="00C930D7" w:rsidP="00C238F3" w:rsidRDefault="00C930D7">
      <w:pPr>
        <w:pStyle w:val="ECHRPara"/>
        <w:rPr>
          <w:rFonts w:ascii="Times New Roman" w:hAnsi="Times New Roman" w:eastAsia="Calibri" w:cs="Times New Roman"/>
        </w:rPr>
      </w:pPr>
      <w:r>
        <w:rPr>
          <w:rFonts w:ascii="Times New Roman" w:hAnsi="Times New Roman" w:cs="Times New Roman"/>
        </w:rPr>
        <w:t>15</w:t>
      </w:r>
      <w:r w:rsidRPr="001D3AEB">
        <w:rPr>
          <w:rFonts w:ascii="Times New Roman" w:hAnsi="Times New Roman" w:cs="Times New Roman"/>
        </w:rPr>
        <w:t xml:space="preserve">.  Moreover, Chapter 31, section 1, </w:t>
      </w:r>
      <w:r>
        <w:rPr>
          <w:rFonts w:ascii="Times New Roman" w:hAnsi="Times New Roman" w:cs="Times New Roman"/>
        </w:rPr>
        <w:t xml:space="preserve">subsection 1, </w:t>
      </w:r>
      <w:r w:rsidRPr="001D3AEB">
        <w:rPr>
          <w:rFonts w:ascii="Times New Roman" w:hAnsi="Times New Roman" w:cs="Times New Roman"/>
        </w:rPr>
        <w:t xml:space="preserve">of the Code of Judicial Procedure </w:t>
      </w:r>
      <w:r w:rsidRPr="001D3AEB">
        <w:rPr>
          <w:rFonts w:ascii="Times New Roman" w:hAnsi="Times New Roman" w:eastAsia="Calibri" w:cs="Times New Roman"/>
        </w:rPr>
        <w:t>(</w:t>
      </w:r>
      <w:r w:rsidRPr="001D3AEB">
        <w:rPr>
          <w:rStyle w:val="sb8d990e2"/>
          <w:rFonts w:ascii="Times New Roman" w:hAnsi="Times New Roman" w:cs="Times New Roman"/>
          <w:szCs w:val="24"/>
          <w:lang w:val="en-GB"/>
        </w:rPr>
        <w:t xml:space="preserve">as amended by Act no. </w:t>
      </w:r>
      <w:r w:rsidRPr="001D3AEB">
        <w:rPr>
          <w:rFonts w:ascii="Times New Roman" w:hAnsi="Times New Roman" w:eastAsia="Calibri" w:cs="Times New Roman"/>
        </w:rPr>
        <w:t>109/1960) provides that:</w:t>
      </w:r>
    </w:p>
    <w:p w:rsidRPr="00A30CD4" w:rsidR="00C930D7" w:rsidP="00C238F3" w:rsidRDefault="00C930D7">
      <w:pPr>
        <w:pStyle w:val="ECHRParaQuote"/>
      </w:pPr>
      <w:r>
        <w:t>“</w:t>
      </w:r>
      <w:r w:rsidRPr="00A30CD4">
        <w:t xml:space="preserve">On the basis of a complaint </w:t>
      </w:r>
      <w:r>
        <w:t xml:space="preserve">invoking </w:t>
      </w:r>
      <w:r w:rsidRPr="00A30CD4">
        <w:t xml:space="preserve">procedural fault, a </w:t>
      </w:r>
      <w:r>
        <w:t>final judgment may be annulled:</w:t>
      </w:r>
    </w:p>
    <w:p w:rsidR="00C930D7" w:rsidP="00C238F3" w:rsidRDefault="00C930D7">
      <w:pPr>
        <w:pStyle w:val="ECHRParaQuote"/>
      </w:pPr>
      <w:r>
        <w:t xml:space="preserve">1) </w:t>
      </w:r>
      <w:proofErr w:type="gramStart"/>
      <w:r w:rsidRPr="00A30CD4">
        <w:t>if</w:t>
      </w:r>
      <w:proofErr w:type="gramEnd"/>
      <w:r w:rsidRPr="00A30CD4">
        <w:t xml:space="preserve"> the court had no quorum or if the case had been taken up for consideration of the merits even though there was a circumstance on the basis of which the court should have dismissed the case on its own motion without considering the merits;</w:t>
      </w:r>
    </w:p>
    <w:p w:rsidRPr="00A30CD4" w:rsidR="00C930D7" w:rsidP="00C238F3" w:rsidRDefault="00C930D7">
      <w:pPr>
        <w:pStyle w:val="ECHRParaQuote"/>
      </w:pPr>
      <w:r>
        <w:t>...”</w:t>
      </w:r>
    </w:p>
    <w:p w:rsidR="00C930D7" w:rsidP="00C238F3" w:rsidRDefault="00C930D7">
      <w:pPr>
        <w:pStyle w:val="ECHRPara"/>
      </w:pPr>
      <w:r>
        <w:t>16.  According to Chapter 31, section 6, of the same Code,</w:t>
      </w:r>
    </w:p>
    <w:p w:rsidRPr="00A30CD4" w:rsidR="00C930D7" w:rsidP="00C238F3" w:rsidRDefault="00C930D7">
      <w:pPr>
        <w:pStyle w:val="ECHRParaQuote"/>
      </w:pPr>
      <w:r>
        <w:t>“[</w:t>
      </w:r>
      <w:proofErr w:type="spellStart"/>
      <w:r>
        <w:t>i</w:t>
      </w:r>
      <w:proofErr w:type="spellEnd"/>
      <w:r>
        <w:t>]</w:t>
      </w:r>
      <w:r w:rsidRPr="00A30CD4">
        <w:t>f it is found that a procedural fault has occurred, the judgment shall be annulled in full or for the part necessary and, if the case is to be retried, it shall be re</w:t>
      </w:r>
      <w:r>
        <w:t xml:space="preserve">ferred back </w:t>
      </w:r>
      <w:r w:rsidRPr="00A30CD4">
        <w:t>to the court where the procedural fault had occurred. In this event, the Supreme Court shall also order the deadline and manner for the bringing of the case to a retrial.</w:t>
      </w:r>
      <w:r>
        <w:t>”</w:t>
      </w:r>
    </w:p>
    <w:p w:rsidRPr="00BC3E2C" w:rsidR="00C930D7" w:rsidP="00C238F3" w:rsidRDefault="00C930D7">
      <w:pPr>
        <w:pStyle w:val="ECHRTitle1"/>
      </w:pPr>
      <w:r w:rsidRPr="00B84278">
        <w:rPr>
          <w:lang w:val="en-GB"/>
        </w:rPr>
        <w:t>COMPLAINT</w:t>
      </w:r>
    </w:p>
    <w:p w:rsidRPr="008A298E" w:rsidR="00C930D7" w:rsidP="00C238F3" w:rsidRDefault="00C930D7">
      <w:pPr>
        <w:pStyle w:val="ECHRPara"/>
        <w:rPr>
          <w:lang w:val="en-GB"/>
        </w:rPr>
      </w:pPr>
      <w:r>
        <w:rPr>
          <w:lang w:val="en-GB"/>
        </w:rPr>
        <w:t>17.  </w:t>
      </w:r>
      <w:r w:rsidRPr="00B84278">
        <w:rPr>
          <w:lang w:val="en-GB"/>
        </w:rPr>
        <w:t xml:space="preserve">The applicants complained </w:t>
      </w:r>
      <w:r w:rsidRPr="008A298E">
        <w:rPr>
          <w:lang w:val="en-GB"/>
        </w:rPr>
        <w:t xml:space="preserve">under Article 6 of the Convention </w:t>
      </w:r>
      <w:r>
        <w:rPr>
          <w:lang w:val="en-GB"/>
        </w:rPr>
        <w:t>of</w:t>
      </w:r>
      <w:r w:rsidRPr="008A298E">
        <w:rPr>
          <w:lang w:val="en-GB"/>
        </w:rPr>
        <w:t xml:space="preserve"> </w:t>
      </w:r>
      <w:r>
        <w:rPr>
          <w:lang w:val="en-GB"/>
        </w:rPr>
        <w:t>the</w:t>
      </w:r>
      <w:r w:rsidRPr="008A298E">
        <w:rPr>
          <w:lang w:val="en-GB"/>
        </w:rPr>
        <w:t xml:space="preserve"> lack of a fair trial as the prohibition of </w:t>
      </w:r>
      <w:proofErr w:type="spellStart"/>
      <w:r w:rsidRPr="008A298E">
        <w:rPr>
          <w:i/>
          <w:lang w:val="en-GB"/>
        </w:rPr>
        <w:t>reformatio</w:t>
      </w:r>
      <w:proofErr w:type="spellEnd"/>
      <w:r w:rsidRPr="008A298E">
        <w:rPr>
          <w:i/>
          <w:lang w:val="en-GB"/>
        </w:rPr>
        <w:t xml:space="preserve"> in </w:t>
      </w:r>
      <w:proofErr w:type="spellStart"/>
      <w:r w:rsidRPr="008A298E">
        <w:rPr>
          <w:i/>
          <w:lang w:val="en-GB"/>
        </w:rPr>
        <w:t>peius</w:t>
      </w:r>
      <w:proofErr w:type="spellEnd"/>
      <w:r w:rsidRPr="008A298E">
        <w:rPr>
          <w:lang w:val="en-GB"/>
        </w:rPr>
        <w:t xml:space="preserve"> </w:t>
      </w:r>
      <w:r>
        <w:rPr>
          <w:lang w:val="en-GB"/>
        </w:rPr>
        <w:t xml:space="preserve">had </w:t>
      </w:r>
      <w:r w:rsidRPr="008A298E">
        <w:rPr>
          <w:lang w:val="en-GB"/>
        </w:rPr>
        <w:t xml:space="preserve">not </w:t>
      </w:r>
      <w:r>
        <w:rPr>
          <w:lang w:val="en-GB"/>
        </w:rPr>
        <w:t xml:space="preserve">been </w:t>
      </w:r>
      <w:r w:rsidRPr="008A298E">
        <w:rPr>
          <w:lang w:val="en-GB"/>
        </w:rPr>
        <w:t>respected by the Supreme Court in its decision of 29 December 2011. The</w:t>
      </w:r>
      <w:r>
        <w:rPr>
          <w:lang w:val="en-GB"/>
        </w:rPr>
        <w:t> </w:t>
      </w:r>
      <w:r w:rsidRPr="008A298E">
        <w:rPr>
          <w:lang w:val="en-GB"/>
        </w:rPr>
        <w:t xml:space="preserve">court </w:t>
      </w:r>
      <w:r>
        <w:rPr>
          <w:lang w:val="en-GB"/>
        </w:rPr>
        <w:t xml:space="preserve">had </w:t>
      </w:r>
      <w:r w:rsidRPr="008A298E">
        <w:rPr>
          <w:lang w:val="en-GB"/>
        </w:rPr>
        <w:t xml:space="preserve">acknowledged that this prohibition was valid in the Finnish legal system but it </w:t>
      </w:r>
      <w:r>
        <w:rPr>
          <w:lang w:val="en-GB"/>
        </w:rPr>
        <w:t xml:space="preserve">had </w:t>
      </w:r>
      <w:r w:rsidRPr="008A298E">
        <w:rPr>
          <w:lang w:val="en-GB"/>
        </w:rPr>
        <w:t>still</w:t>
      </w:r>
      <w:r>
        <w:rPr>
          <w:lang w:val="en-GB"/>
        </w:rPr>
        <w:t xml:space="preserve"> </w:t>
      </w:r>
      <w:r w:rsidRPr="008A298E">
        <w:rPr>
          <w:lang w:val="en-GB"/>
        </w:rPr>
        <w:t>decided the case at hand in a manner that completely ignored this prohibition.</w:t>
      </w:r>
    </w:p>
    <w:p w:rsidR="00C930D7" w:rsidP="00C238F3" w:rsidRDefault="00C930D7">
      <w:pPr>
        <w:pStyle w:val="ECHRTitle1"/>
        <w:rPr>
          <w:lang w:val="en-GB"/>
        </w:rPr>
      </w:pPr>
      <w:r w:rsidRPr="00B84278">
        <w:rPr>
          <w:lang w:val="en-GB"/>
        </w:rPr>
        <w:t>THE LAW</w:t>
      </w:r>
    </w:p>
    <w:p w:rsidR="00C930D7" w:rsidP="00C238F3" w:rsidRDefault="00C930D7">
      <w:pPr>
        <w:pStyle w:val="ECHRPara"/>
        <w:rPr>
          <w:lang w:val="en-GB"/>
        </w:rPr>
      </w:pPr>
      <w:r>
        <w:rPr>
          <w:lang w:val="en-GB"/>
        </w:rPr>
        <w:t>18.  </w:t>
      </w:r>
      <w:r w:rsidRPr="00B84278">
        <w:rPr>
          <w:lang w:val="en-GB"/>
        </w:rPr>
        <w:t xml:space="preserve">The applicants complained </w:t>
      </w:r>
      <w:r w:rsidRPr="008A298E">
        <w:rPr>
          <w:lang w:val="en-GB"/>
        </w:rPr>
        <w:t xml:space="preserve">under Article 6 of the Convention </w:t>
      </w:r>
      <w:r>
        <w:rPr>
          <w:lang w:val="en-GB"/>
        </w:rPr>
        <w:t>of the</w:t>
      </w:r>
      <w:r w:rsidRPr="008A298E">
        <w:rPr>
          <w:lang w:val="en-GB"/>
        </w:rPr>
        <w:t xml:space="preserve"> lack of a fair trial as the prohibition of </w:t>
      </w:r>
      <w:proofErr w:type="spellStart"/>
      <w:r w:rsidRPr="008A298E">
        <w:rPr>
          <w:i/>
          <w:lang w:val="en-GB"/>
        </w:rPr>
        <w:t>reformatio</w:t>
      </w:r>
      <w:proofErr w:type="spellEnd"/>
      <w:r w:rsidRPr="008A298E">
        <w:rPr>
          <w:i/>
          <w:lang w:val="en-GB"/>
        </w:rPr>
        <w:t xml:space="preserve"> in </w:t>
      </w:r>
      <w:proofErr w:type="spellStart"/>
      <w:r w:rsidRPr="008A298E">
        <w:rPr>
          <w:i/>
          <w:lang w:val="en-GB"/>
        </w:rPr>
        <w:t>peius</w:t>
      </w:r>
      <w:proofErr w:type="spellEnd"/>
      <w:r>
        <w:rPr>
          <w:i/>
          <w:lang w:val="en-GB"/>
        </w:rPr>
        <w:t xml:space="preserve"> </w:t>
      </w:r>
      <w:r>
        <w:rPr>
          <w:lang w:val="en-GB"/>
        </w:rPr>
        <w:t>was not respected.</w:t>
      </w:r>
    </w:p>
    <w:p w:rsidR="00C930D7" w:rsidP="00C238F3" w:rsidRDefault="00C930D7">
      <w:pPr>
        <w:pStyle w:val="ECHRPara"/>
      </w:pPr>
      <w:r>
        <w:rPr>
          <w:lang w:val="en-GB"/>
        </w:rPr>
        <w:t xml:space="preserve">19.  Article </w:t>
      </w:r>
      <w:r>
        <w:t>6</w:t>
      </w:r>
      <w:r w:rsidRPr="00854B4C">
        <w:t xml:space="preserve"> of the Convention reads </w:t>
      </w:r>
      <w:r>
        <w:t xml:space="preserve">in the relevant parts </w:t>
      </w:r>
      <w:r w:rsidRPr="00854B4C">
        <w:t>as follows:</w:t>
      </w:r>
    </w:p>
    <w:p w:rsidR="00C930D7" w:rsidP="00C238F3" w:rsidRDefault="00C930D7">
      <w:pPr>
        <w:pStyle w:val="ECHRParaQuote"/>
      </w:pPr>
      <w:r>
        <w:t xml:space="preserve"> “In the determination of ... any criminal charge against him, everyone is entitled to a fair ... hearing ... by an independent and impartial tribunal ...”</w:t>
      </w:r>
    </w:p>
    <w:p w:rsidR="00C930D7" w:rsidP="00C238F3" w:rsidRDefault="00C930D7">
      <w:pPr>
        <w:pStyle w:val="ECHRPara"/>
        <w:rPr>
          <w:lang w:val="en-GB"/>
        </w:rPr>
      </w:pPr>
      <w:r>
        <w:rPr>
          <w:lang w:val="en-GB"/>
        </w:rPr>
        <w:t xml:space="preserve">20.  The Government argued that the principle of </w:t>
      </w:r>
      <w:proofErr w:type="spellStart"/>
      <w:r w:rsidRPr="008A298E">
        <w:rPr>
          <w:i/>
          <w:lang w:val="en-GB"/>
        </w:rPr>
        <w:t>reformatio</w:t>
      </w:r>
      <w:proofErr w:type="spellEnd"/>
      <w:r w:rsidRPr="008A298E">
        <w:rPr>
          <w:i/>
          <w:lang w:val="en-GB"/>
        </w:rPr>
        <w:t xml:space="preserve"> in </w:t>
      </w:r>
      <w:proofErr w:type="spellStart"/>
      <w:r w:rsidRPr="008A298E">
        <w:rPr>
          <w:i/>
          <w:lang w:val="en-GB"/>
        </w:rPr>
        <w:t>peius</w:t>
      </w:r>
      <w:proofErr w:type="spellEnd"/>
      <w:r>
        <w:rPr>
          <w:i/>
          <w:lang w:val="en-GB"/>
        </w:rPr>
        <w:t xml:space="preserve"> </w:t>
      </w:r>
      <w:r>
        <w:rPr>
          <w:lang w:val="en-GB"/>
        </w:rPr>
        <w:t xml:space="preserve">was not mentioned in the provisions of the Convention or those of the Protocols thereto, nor could it be derived from them. It was thus not included in the concept of a fair trial. The application was thus incompatible </w:t>
      </w:r>
      <w:proofErr w:type="spellStart"/>
      <w:r w:rsidRPr="0030208D">
        <w:rPr>
          <w:i/>
          <w:lang w:val="en-GB"/>
        </w:rPr>
        <w:t>ratione</w:t>
      </w:r>
      <w:proofErr w:type="spellEnd"/>
      <w:r w:rsidRPr="0030208D">
        <w:rPr>
          <w:i/>
          <w:lang w:val="en-GB"/>
        </w:rPr>
        <w:t xml:space="preserve"> </w:t>
      </w:r>
      <w:proofErr w:type="spellStart"/>
      <w:r w:rsidRPr="0030208D">
        <w:rPr>
          <w:i/>
          <w:lang w:val="en-GB"/>
        </w:rPr>
        <w:t>materiae</w:t>
      </w:r>
      <w:proofErr w:type="spellEnd"/>
      <w:r>
        <w:rPr>
          <w:lang w:val="en-GB"/>
        </w:rPr>
        <w:t xml:space="preserve"> with the provisions of the Convention or its Protocols and should be declared inadmissible under Article 35 §§ 3(a) and 4 of the Convention. Were the Court to have another opinion, the Government argued that the applicants</w:t>
      </w:r>
      <w:r w:rsidR="00871DC9">
        <w:rPr>
          <w:lang w:val="en-GB"/>
        </w:rPr>
        <w:t>’</w:t>
      </w:r>
      <w:r>
        <w:rPr>
          <w:lang w:val="en-GB"/>
        </w:rPr>
        <w:t xml:space="preserve"> application concerned abstract interpretation of the principle of </w:t>
      </w:r>
      <w:proofErr w:type="spellStart"/>
      <w:r w:rsidRPr="008A298E">
        <w:rPr>
          <w:i/>
          <w:lang w:val="en-GB"/>
        </w:rPr>
        <w:t>reformatio</w:t>
      </w:r>
      <w:proofErr w:type="spellEnd"/>
      <w:r w:rsidRPr="008A298E">
        <w:rPr>
          <w:i/>
          <w:lang w:val="en-GB"/>
        </w:rPr>
        <w:t xml:space="preserve"> in </w:t>
      </w:r>
      <w:proofErr w:type="spellStart"/>
      <w:r w:rsidRPr="008A298E">
        <w:rPr>
          <w:i/>
          <w:lang w:val="en-GB"/>
        </w:rPr>
        <w:t>peius</w:t>
      </w:r>
      <w:proofErr w:type="spellEnd"/>
      <w:r>
        <w:rPr>
          <w:i/>
          <w:lang w:val="en-GB"/>
        </w:rPr>
        <w:t xml:space="preserve"> </w:t>
      </w:r>
      <w:r>
        <w:rPr>
          <w:lang w:val="en-GB"/>
        </w:rPr>
        <w:t>instead of its concrete application in legal proceedings. The applicants could not therefore claim to be victims within the meaning of Article 34 of the Convention. In any event, in the Government</w:t>
      </w:r>
      <w:r w:rsidR="00871DC9">
        <w:rPr>
          <w:lang w:val="en-GB"/>
        </w:rPr>
        <w:t>’</w:t>
      </w:r>
      <w:r>
        <w:rPr>
          <w:lang w:val="en-GB"/>
        </w:rPr>
        <w:t>s view the application was manifestly ill-founded and should be declared inadmissible under Article 35 §§ 3(a) and 4 of the Convention.</w:t>
      </w:r>
    </w:p>
    <w:p w:rsidRPr="006D5801" w:rsidR="00C930D7" w:rsidP="00C238F3" w:rsidRDefault="00C930D7">
      <w:pPr>
        <w:pStyle w:val="ECHRPara"/>
        <w:rPr>
          <w:i/>
          <w:lang w:val="en-GB"/>
        </w:rPr>
      </w:pPr>
      <w:r>
        <w:rPr>
          <w:lang w:val="en-GB"/>
        </w:rPr>
        <w:t xml:space="preserve">21.  The Government maintained that the Supreme Court had interpreted the prohibition of </w:t>
      </w:r>
      <w:proofErr w:type="spellStart"/>
      <w:r w:rsidRPr="008A298E">
        <w:rPr>
          <w:i/>
          <w:lang w:val="en-GB"/>
        </w:rPr>
        <w:t>reformatio</w:t>
      </w:r>
      <w:proofErr w:type="spellEnd"/>
      <w:r w:rsidRPr="008A298E">
        <w:rPr>
          <w:i/>
          <w:lang w:val="en-GB"/>
        </w:rPr>
        <w:t xml:space="preserve"> in </w:t>
      </w:r>
      <w:proofErr w:type="spellStart"/>
      <w:r w:rsidRPr="008A298E">
        <w:rPr>
          <w:i/>
          <w:lang w:val="en-GB"/>
        </w:rPr>
        <w:t>peius</w:t>
      </w:r>
      <w:proofErr w:type="spellEnd"/>
      <w:r>
        <w:rPr>
          <w:i/>
          <w:lang w:val="en-GB"/>
        </w:rPr>
        <w:t xml:space="preserve"> </w:t>
      </w:r>
      <w:r>
        <w:rPr>
          <w:lang w:val="en-GB"/>
        </w:rPr>
        <w:t xml:space="preserve">in the abstract without applying it to the case at hand. Formally the interpretations by the Supreme Court were not binding on lower courts, although the latter rarely deviated from them. This prohibition could not be derived from Article 6 of the Convention or any other treaty obligation. Therefore </w:t>
      </w:r>
      <w:r w:rsidRPr="008A298E">
        <w:rPr>
          <w:lang w:val="en-GB"/>
        </w:rPr>
        <w:t>Recommendation</w:t>
      </w:r>
      <w:r>
        <w:rPr>
          <w:lang w:val="en-GB"/>
        </w:rPr>
        <w:t xml:space="preserve"> </w:t>
      </w:r>
      <w:proofErr w:type="gramStart"/>
      <w:r>
        <w:rPr>
          <w:lang w:val="en-GB"/>
        </w:rPr>
        <w:t>R(</w:t>
      </w:r>
      <w:proofErr w:type="gramEnd"/>
      <w:r>
        <w:rPr>
          <w:lang w:val="en-GB"/>
        </w:rPr>
        <w:t xml:space="preserve">92)17 of 1992 by the Committee of Ministers was not relevant either. Even though this prohibition was valid in the legal systems of many Contracting States, not all of them contained this prohibition. The Government notes that, in the case </w:t>
      </w:r>
      <w:proofErr w:type="spellStart"/>
      <w:r w:rsidRPr="00B668D2">
        <w:rPr>
          <w:i/>
          <w:szCs w:val="24"/>
          <w:lang w:val="en-GB"/>
        </w:rPr>
        <w:t>Alkes</w:t>
      </w:r>
      <w:proofErr w:type="spellEnd"/>
      <w:r w:rsidRPr="00B668D2">
        <w:rPr>
          <w:i/>
          <w:szCs w:val="24"/>
          <w:lang w:val="en-GB"/>
        </w:rPr>
        <w:t xml:space="preserve"> v. Turkey (no. 2)</w:t>
      </w:r>
      <w:r w:rsidRPr="00B668D2">
        <w:rPr>
          <w:szCs w:val="24"/>
          <w:lang w:val="en-GB"/>
        </w:rPr>
        <w:t>, no. 16047/04</w:t>
      </w:r>
      <w:r w:rsidRPr="00B668D2">
        <w:rPr>
          <w:snapToGrid w:val="0"/>
          <w:szCs w:val="24"/>
          <w:lang w:val="en-GB"/>
        </w:rPr>
        <w:t xml:space="preserve">, § </w:t>
      </w:r>
      <w:r>
        <w:rPr>
          <w:snapToGrid w:val="0"/>
          <w:szCs w:val="24"/>
          <w:lang w:val="en-GB"/>
        </w:rPr>
        <w:t>21</w:t>
      </w:r>
      <w:r w:rsidRPr="00B668D2">
        <w:rPr>
          <w:snapToGrid w:val="0"/>
          <w:szCs w:val="24"/>
          <w:lang w:val="en-GB"/>
        </w:rPr>
        <w:t>, 8 June 2010</w:t>
      </w:r>
      <w:r>
        <w:rPr>
          <w:i/>
          <w:lang w:val="en-GB"/>
        </w:rPr>
        <w:t>,</w:t>
      </w:r>
      <w:r>
        <w:rPr>
          <w:lang w:val="en-GB"/>
        </w:rPr>
        <w:t xml:space="preserve"> the Court found that it was for the domestic courts to apply the domestic prohibition of </w:t>
      </w:r>
      <w:proofErr w:type="spellStart"/>
      <w:r w:rsidRPr="008A298E">
        <w:rPr>
          <w:i/>
          <w:lang w:val="en-GB"/>
        </w:rPr>
        <w:t>reformatio</w:t>
      </w:r>
      <w:proofErr w:type="spellEnd"/>
      <w:r w:rsidRPr="008A298E">
        <w:rPr>
          <w:i/>
          <w:lang w:val="en-GB"/>
        </w:rPr>
        <w:t xml:space="preserve"> in </w:t>
      </w:r>
      <w:proofErr w:type="spellStart"/>
      <w:r w:rsidRPr="008A298E">
        <w:rPr>
          <w:i/>
          <w:lang w:val="en-GB"/>
        </w:rPr>
        <w:t>peius</w:t>
      </w:r>
      <w:proofErr w:type="spellEnd"/>
      <w:r>
        <w:rPr>
          <w:i/>
          <w:lang w:val="en-GB"/>
        </w:rPr>
        <w:t xml:space="preserve"> </w:t>
      </w:r>
      <w:r>
        <w:rPr>
          <w:lang w:val="en-GB"/>
        </w:rPr>
        <w:t>when no elements of arbitrary application were disclosed. The Court had not taken any stand on such complaints in its subsequent case-law.</w:t>
      </w:r>
    </w:p>
    <w:p w:rsidR="00C930D7" w:rsidP="00C238F3" w:rsidRDefault="00C930D7">
      <w:pPr>
        <w:pStyle w:val="ECHRPara"/>
        <w:rPr>
          <w:lang w:val="en-GB"/>
        </w:rPr>
      </w:pPr>
      <w:r>
        <w:rPr>
          <w:lang w:val="en-GB"/>
        </w:rPr>
        <w:t>22.  </w:t>
      </w:r>
      <w:r w:rsidRPr="00CD5B78">
        <w:rPr>
          <w:lang w:val="en-GB"/>
        </w:rPr>
        <w:t xml:space="preserve">The Government argued that the present case was not about the prohibition of </w:t>
      </w:r>
      <w:proofErr w:type="spellStart"/>
      <w:r w:rsidRPr="00CD5B78">
        <w:rPr>
          <w:i/>
          <w:lang w:val="en-GB"/>
        </w:rPr>
        <w:t>reformatio</w:t>
      </w:r>
      <w:proofErr w:type="spellEnd"/>
      <w:r w:rsidRPr="00CD5B78">
        <w:rPr>
          <w:i/>
          <w:lang w:val="en-GB"/>
        </w:rPr>
        <w:t xml:space="preserve"> in </w:t>
      </w:r>
      <w:proofErr w:type="spellStart"/>
      <w:r w:rsidRPr="00CD5B78">
        <w:rPr>
          <w:i/>
          <w:lang w:val="en-GB"/>
        </w:rPr>
        <w:t>peius</w:t>
      </w:r>
      <w:proofErr w:type="spellEnd"/>
      <w:r w:rsidRPr="00CD5B78">
        <w:rPr>
          <w:i/>
          <w:lang w:val="en-GB"/>
        </w:rPr>
        <w:t xml:space="preserve"> </w:t>
      </w:r>
      <w:r w:rsidRPr="00CD5B78">
        <w:rPr>
          <w:lang w:val="en-GB"/>
        </w:rPr>
        <w:t xml:space="preserve">but rather whether the reopening of the case and the subsequent procedure complied with the Convention. </w:t>
      </w:r>
      <w:r>
        <w:rPr>
          <w:lang w:val="en-GB"/>
        </w:rPr>
        <w:t xml:space="preserve">In Finland the prohibition of </w:t>
      </w:r>
      <w:proofErr w:type="spellStart"/>
      <w:r w:rsidRPr="00CD5B78">
        <w:rPr>
          <w:i/>
          <w:lang w:val="en-GB"/>
        </w:rPr>
        <w:t>reformatio</w:t>
      </w:r>
      <w:proofErr w:type="spellEnd"/>
      <w:r w:rsidRPr="00CD5B78">
        <w:rPr>
          <w:i/>
          <w:lang w:val="en-GB"/>
        </w:rPr>
        <w:t xml:space="preserve"> in </w:t>
      </w:r>
      <w:proofErr w:type="spellStart"/>
      <w:r w:rsidRPr="00CD5B78">
        <w:rPr>
          <w:i/>
          <w:lang w:val="en-GB"/>
        </w:rPr>
        <w:t>peius</w:t>
      </w:r>
      <w:proofErr w:type="spellEnd"/>
      <w:r>
        <w:rPr>
          <w:i/>
          <w:lang w:val="en-GB"/>
        </w:rPr>
        <w:t xml:space="preserve"> </w:t>
      </w:r>
      <w:r>
        <w:rPr>
          <w:lang w:val="en-GB"/>
        </w:rPr>
        <w:t xml:space="preserve">was valid in the national legal system. It was largely based on case-law but could also be inferred from Chapter 26, section 2, of the Code of Judicial Procedure. It was obvious that the prohibition was valid in ordinary appeal proceedings and that it could also be applied in the context of extraordinary appeal proceedings, but it was not without exceptions when a matter was returned to a lower level court. The Government considered that the prohibition did not apply to the present case and this position was supported by legal literature. Nor could it be inferred from Chapter 31 of the Code of Judicial Procedure that the prohibition of </w:t>
      </w:r>
      <w:proofErr w:type="spellStart"/>
      <w:r w:rsidRPr="00CD5B78">
        <w:rPr>
          <w:i/>
          <w:lang w:val="en-GB"/>
        </w:rPr>
        <w:t>reformatio</w:t>
      </w:r>
      <w:proofErr w:type="spellEnd"/>
      <w:r w:rsidRPr="00CD5B78">
        <w:rPr>
          <w:i/>
          <w:lang w:val="en-GB"/>
        </w:rPr>
        <w:t xml:space="preserve"> in </w:t>
      </w:r>
      <w:proofErr w:type="spellStart"/>
      <w:r w:rsidRPr="00CD5B78">
        <w:rPr>
          <w:i/>
          <w:lang w:val="en-GB"/>
        </w:rPr>
        <w:t>peius</w:t>
      </w:r>
      <w:proofErr w:type="spellEnd"/>
      <w:r>
        <w:rPr>
          <w:i/>
          <w:lang w:val="en-GB"/>
        </w:rPr>
        <w:t xml:space="preserve"> </w:t>
      </w:r>
      <w:r>
        <w:rPr>
          <w:lang w:val="en-GB"/>
        </w:rPr>
        <w:t xml:space="preserve">was valid after referral for retrial. The quorum requirement was an important procedural requirement which had to be ensured by the courts </w:t>
      </w:r>
      <w:r w:rsidRPr="002225C0">
        <w:rPr>
          <w:i/>
          <w:lang w:val="en-GB"/>
        </w:rPr>
        <w:t>ex officio</w:t>
      </w:r>
      <w:r>
        <w:rPr>
          <w:lang w:val="en-GB"/>
        </w:rPr>
        <w:t xml:space="preserve">. It was a precondition for lawful proceedings and therefore the disqualification of a judge affected the lawfulness of the proceedings as a whole. The prohibition of </w:t>
      </w:r>
      <w:proofErr w:type="spellStart"/>
      <w:r w:rsidRPr="00CD5B78">
        <w:rPr>
          <w:i/>
          <w:lang w:val="en-GB"/>
        </w:rPr>
        <w:t>reformatio</w:t>
      </w:r>
      <w:proofErr w:type="spellEnd"/>
      <w:r w:rsidRPr="00CD5B78">
        <w:rPr>
          <w:i/>
          <w:lang w:val="en-GB"/>
        </w:rPr>
        <w:t xml:space="preserve"> in </w:t>
      </w:r>
      <w:proofErr w:type="spellStart"/>
      <w:r w:rsidRPr="00CD5B78">
        <w:rPr>
          <w:i/>
          <w:lang w:val="en-GB"/>
        </w:rPr>
        <w:t>peius</w:t>
      </w:r>
      <w:proofErr w:type="spellEnd"/>
      <w:r>
        <w:rPr>
          <w:i/>
          <w:lang w:val="en-GB"/>
        </w:rPr>
        <w:t xml:space="preserve"> </w:t>
      </w:r>
      <w:r>
        <w:rPr>
          <w:lang w:val="en-GB"/>
        </w:rPr>
        <w:t>had been foreseeable for the applicants when they considered whether to use extraordinary appeal. As to the principle of legal certainty, the Government noted that final judgments could be annulled only under limited conditions. No contradictory domestic case-law existed either regarding comparable cases, but the legal issue in the present case was an open question. Therefore, in the Government</w:t>
      </w:r>
      <w:r w:rsidR="00871DC9">
        <w:rPr>
          <w:lang w:val="en-GB"/>
        </w:rPr>
        <w:t>’</w:t>
      </w:r>
      <w:r>
        <w:rPr>
          <w:lang w:val="en-GB"/>
        </w:rPr>
        <w:t>s view, the application was manifestly ill-founded and should be declared inadmissible under Article 35 §§ 3(a) and 4 of the Convention.</w:t>
      </w:r>
    </w:p>
    <w:p w:rsidR="00C930D7" w:rsidP="00C238F3" w:rsidRDefault="00C930D7">
      <w:pPr>
        <w:pStyle w:val="ECHRPara"/>
        <w:rPr>
          <w:lang w:val="en-GB"/>
        </w:rPr>
      </w:pPr>
      <w:r>
        <w:rPr>
          <w:lang w:val="en-GB"/>
        </w:rPr>
        <w:t>23</w:t>
      </w:r>
      <w:r w:rsidRPr="00356DA2">
        <w:rPr>
          <w:lang w:val="en-GB"/>
        </w:rPr>
        <w:t xml:space="preserve">.  The applicants did not comment on the </w:t>
      </w:r>
      <w:r>
        <w:rPr>
          <w:lang w:val="en-GB"/>
        </w:rPr>
        <w:t xml:space="preserve">admissibility or </w:t>
      </w:r>
      <w:r w:rsidRPr="00356DA2">
        <w:rPr>
          <w:lang w:val="en-GB"/>
        </w:rPr>
        <w:t>merits of the case.</w:t>
      </w:r>
    </w:p>
    <w:p w:rsidR="00C930D7" w:rsidP="00C238F3" w:rsidRDefault="00C930D7">
      <w:pPr>
        <w:pStyle w:val="ECHRPara"/>
        <w:rPr>
          <w:lang w:val="en-GB"/>
        </w:rPr>
      </w:pPr>
      <w:r>
        <w:rPr>
          <w:lang w:val="en-GB"/>
        </w:rPr>
        <w:t xml:space="preserve">24.  The Court </w:t>
      </w:r>
      <w:r>
        <w:rPr>
          <w:rStyle w:val="sb8d990e2"/>
        </w:rPr>
        <w:t>notes first of all that it is not necessary for it to examine the Government</w:t>
      </w:r>
      <w:r w:rsidR="00871DC9">
        <w:rPr>
          <w:rStyle w:val="sb8d990e2"/>
        </w:rPr>
        <w:t>’</w:t>
      </w:r>
      <w:r>
        <w:rPr>
          <w:rStyle w:val="sb8d990e2"/>
        </w:rPr>
        <w:t>s preliminary objections as the applicants</w:t>
      </w:r>
      <w:r w:rsidR="00871DC9">
        <w:rPr>
          <w:rStyle w:val="sb8d990e2"/>
        </w:rPr>
        <w:t>’</w:t>
      </w:r>
      <w:r>
        <w:rPr>
          <w:rStyle w:val="sb8d990e2"/>
        </w:rPr>
        <w:t xml:space="preserve"> application is in any event manifestly ill-founded.</w:t>
      </w:r>
    </w:p>
    <w:p w:rsidR="00C930D7" w:rsidP="00C238F3" w:rsidRDefault="00C930D7">
      <w:pPr>
        <w:pStyle w:val="ECHRPara"/>
      </w:pPr>
      <w:r>
        <w:rPr>
          <w:lang w:val="en-GB"/>
        </w:rPr>
        <w:t>25</w:t>
      </w:r>
      <w:r w:rsidRPr="00741C18">
        <w:rPr>
          <w:lang w:val="en-GB"/>
        </w:rPr>
        <w:t xml:space="preserve">.  The Court </w:t>
      </w:r>
      <w:r>
        <w:rPr>
          <w:lang w:val="en-GB"/>
        </w:rPr>
        <w:t xml:space="preserve">observes that </w:t>
      </w:r>
      <w:r w:rsidRPr="00CD5B78">
        <w:rPr>
          <w:lang w:val="en-GB"/>
        </w:rPr>
        <w:t xml:space="preserve">the present case </w:t>
      </w:r>
      <w:r>
        <w:rPr>
          <w:lang w:val="en-GB"/>
        </w:rPr>
        <w:t>doe</w:t>
      </w:r>
      <w:r w:rsidRPr="00CD5B78">
        <w:rPr>
          <w:lang w:val="en-GB"/>
        </w:rPr>
        <w:t xml:space="preserve">s not </w:t>
      </w:r>
      <w:r>
        <w:rPr>
          <w:lang w:val="en-GB"/>
        </w:rPr>
        <w:t xml:space="preserve">concern the acceptability of </w:t>
      </w:r>
      <w:r w:rsidRPr="00CD5B78">
        <w:rPr>
          <w:lang w:val="en-GB"/>
        </w:rPr>
        <w:t xml:space="preserve">the reopening of the case </w:t>
      </w:r>
      <w:r>
        <w:rPr>
          <w:lang w:val="en-GB"/>
        </w:rPr>
        <w:t xml:space="preserve">as such but rather </w:t>
      </w:r>
      <w:r w:rsidRPr="00CD5B78">
        <w:rPr>
          <w:lang w:val="en-GB"/>
        </w:rPr>
        <w:t xml:space="preserve">the </w:t>
      </w:r>
      <w:r>
        <w:rPr>
          <w:lang w:val="en-GB"/>
        </w:rPr>
        <w:t xml:space="preserve">question of whether the </w:t>
      </w:r>
      <w:r w:rsidRPr="00CD5B78">
        <w:rPr>
          <w:lang w:val="en-GB"/>
        </w:rPr>
        <w:t xml:space="preserve">prohibition of </w:t>
      </w:r>
      <w:proofErr w:type="spellStart"/>
      <w:r w:rsidRPr="00CD5B78">
        <w:rPr>
          <w:i/>
          <w:lang w:val="en-GB"/>
        </w:rPr>
        <w:t>reformatio</w:t>
      </w:r>
      <w:proofErr w:type="spellEnd"/>
      <w:r w:rsidRPr="00CD5B78">
        <w:rPr>
          <w:i/>
          <w:lang w:val="en-GB"/>
        </w:rPr>
        <w:t xml:space="preserve"> in </w:t>
      </w:r>
      <w:proofErr w:type="spellStart"/>
      <w:r w:rsidRPr="00CD5B78">
        <w:rPr>
          <w:i/>
          <w:lang w:val="en-GB"/>
        </w:rPr>
        <w:t>peius</w:t>
      </w:r>
      <w:proofErr w:type="spellEnd"/>
      <w:r w:rsidRPr="00CD5B78">
        <w:rPr>
          <w:i/>
          <w:lang w:val="en-GB"/>
        </w:rPr>
        <w:t xml:space="preserve"> </w:t>
      </w:r>
      <w:r w:rsidRPr="00100754">
        <w:rPr>
          <w:lang w:val="en-GB"/>
        </w:rPr>
        <w:t xml:space="preserve">is applicable </w:t>
      </w:r>
      <w:r>
        <w:rPr>
          <w:lang w:val="en-GB"/>
        </w:rPr>
        <w:t xml:space="preserve">in reopened proceedings under Article 6 of the Convention. The Court </w:t>
      </w:r>
      <w:r>
        <w:rPr>
          <w:rStyle w:val="sb8d990e2"/>
        </w:rPr>
        <w:t xml:space="preserve">reiterates in the first place that it is not its function to deal with errors of </w:t>
      </w:r>
      <w:r w:rsidRPr="00741C18">
        <w:t>fact or law allegedly made by a national court, unless and insofar as they may have infringed rights and freedoms protected by the Convention (</w:t>
      </w:r>
      <w:r>
        <w:t xml:space="preserve">see </w:t>
      </w:r>
      <w:proofErr w:type="spellStart"/>
      <w:r>
        <w:rPr>
          <w:i/>
        </w:rPr>
        <w:t>García</w:t>
      </w:r>
      <w:proofErr w:type="spellEnd"/>
      <w:r>
        <w:rPr>
          <w:i/>
        </w:rPr>
        <w:t> Ruiz </w:t>
      </w:r>
      <w:r w:rsidRPr="00741C18">
        <w:rPr>
          <w:i/>
        </w:rPr>
        <w:t>v. Spain</w:t>
      </w:r>
      <w:r w:rsidRPr="00741C18">
        <w:t xml:space="preserve"> [GC], no. </w:t>
      </w:r>
      <w:hyperlink w:tgtFrame="_blank" w:history="1" w:anchor="{&quot;appno&quot;:[&quot;30544/96&quot;]}" r:id="rId7">
        <w:proofErr w:type="gramStart"/>
        <w:r w:rsidRPr="00741C18">
          <w:t>30544/96</w:t>
        </w:r>
      </w:hyperlink>
      <w:r w:rsidRPr="00741C18">
        <w:t>, § 28, ECHR 1999</w:t>
      </w:r>
      <w:r w:rsidRPr="00741C18">
        <w:noBreakHyphen/>
        <w:t>I).</w:t>
      </w:r>
      <w:proofErr w:type="gramEnd"/>
      <w:r w:rsidRPr="00741C18">
        <w:t xml:space="preserve"> In any event, it is primarily for the national authorities, notably the courts, to resolve problems of interpretation of national legislation. This applies in particular to the interpretation by the courts of rules of a procedural nature (</w:t>
      </w:r>
      <w:r>
        <w:t xml:space="preserve">see </w:t>
      </w:r>
      <w:proofErr w:type="spellStart"/>
      <w:r w:rsidRPr="00741C18">
        <w:rPr>
          <w:i/>
        </w:rPr>
        <w:t>Pekinel</w:t>
      </w:r>
      <w:proofErr w:type="spellEnd"/>
      <w:r w:rsidRPr="00741C18">
        <w:rPr>
          <w:i/>
        </w:rPr>
        <w:t xml:space="preserve"> v. Turkey</w:t>
      </w:r>
      <w:r w:rsidRPr="00741C18">
        <w:t xml:space="preserve">, no. </w:t>
      </w:r>
      <w:hyperlink w:tgtFrame="_blank" w:history="1" w:anchor="{&quot;appno&quot;:[&quot;9939/02&quot;]}" r:id="rId8">
        <w:r w:rsidRPr="00741C18">
          <w:t>9939/02</w:t>
        </w:r>
      </w:hyperlink>
      <w:r w:rsidRPr="00741C18">
        <w:t xml:space="preserve">, </w:t>
      </w:r>
      <w:r>
        <w:t>§ 53, 18 March 2008). The Court</w:t>
      </w:r>
      <w:r w:rsidR="00871DC9">
        <w:t>’</w:t>
      </w:r>
      <w:r w:rsidRPr="00741C18">
        <w:t>s role is confined to ascertaining whether the effects of such an interpretation are compatible with the Convention in general and with the principle of legal certainty, guaranteed by Article 6</w:t>
      </w:r>
      <w:r>
        <w:t>,</w:t>
      </w:r>
      <w:r w:rsidRPr="00741C18">
        <w:t xml:space="preserve"> in particular.</w:t>
      </w:r>
    </w:p>
    <w:p w:rsidR="00C930D7" w:rsidP="00C238F3" w:rsidRDefault="00C930D7">
      <w:pPr>
        <w:pStyle w:val="ECHRPara"/>
        <w:rPr>
          <w:lang w:val="en-GB"/>
        </w:rPr>
      </w:pPr>
      <w:r>
        <w:rPr>
          <w:rStyle w:val="sb8d990e2"/>
        </w:rPr>
        <w:t xml:space="preserve">26.  Turning to the facts of the present case, the Court observes that the </w:t>
      </w:r>
      <w:r w:rsidRPr="00741C18">
        <w:rPr>
          <w:rStyle w:val="sb8d990e2"/>
        </w:rPr>
        <w:t>applicants</w:t>
      </w:r>
      <w:r w:rsidR="00871DC9">
        <w:rPr>
          <w:rStyle w:val="sb8d990e2"/>
        </w:rPr>
        <w:t>’</w:t>
      </w:r>
      <w:r w:rsidRPr="00741C18">
        <w:rPr>
          <w:rStyle w:val="sb8d990e2"/>
        </w:rPr>
        <w:t xml:space="preserve"> complaint relates to their inability to benefit from the pr</w:t>
      </w:r>
      <w:r>
        <w:rPr>
          <w:rStyle w:val="sb8d990e2"/>
        </w:rPr>
        <w:t xml:space="preserve">ohibition </w:t>
      </w:r>
      <w:r w:rsidRPr="00741C18">
        <w:rPr>
          <w:rStyle w:val="sb8d990e2"/>
        </w:rPr>
        <w:t xml:space="preserve">of </w:t>
      </w:r>
      <w:proofErr w:type="spellStart"/>
      <w:r w:rsidRPr="00741C18">
        <w:rPr>
          <w:rStyle w:val="s6b621b36"/>
          <w:i/>
        </w:rPr>
        <w:t>reformatio</w:t>
      </w:r>
      <w:proofErr w:type="spellEnd"/>
      <w:r w:rsidRPr="00741C18">
        <w:rPr>
          <w:rStyle w:val="s6b621b36"/>
          <w:i/>
        </w:rPr>
        <w:t xml:space="preserve"> in </w:t>
      </w:r>
      <w:proofErr w:type="spellStart"/>
      <w:r w:rsidRPr="00741C18">
        <w:rPr>
          <w:rStyle w:val="s6b621b36"/>
          <w:i/>
        </w:rPr>
        <w:t>peius</w:t>
      </w:r>
      <w:proofErr w:type="spellEnd"/>
      <w:r w:rsidRPr="00741C18">
        <w:rPr>
          <w:rStyle w:val="sb8d990e2"/>
        </w:rPr>
        <w:t xml:space="preserve"> in the reopened proceedings which </w:t>
      </w:r>
      <w:r>
        <w:rPr>
          <w:rStyle w:val="sb8d990e2"/>
        </w:rPr>
        <w:t>had been commenced due to the fact that the Supreme Court had found, on the basis of the applicants</w:t>
      </w:r>
      <w:r w:rsidR="00871DC9">
        <w:rPr>
          <w:rStyle w:val="sb8d990e2"/>
        </w:rPr>
        <w:t>’</w:t>
      </w:r>
      <w:r>
        <w:rPr>
          <w:rStyle w:val="sb8d990e2"/>
        </w:rPr>
        <w:t xml:space="preserve"> application, a procedural error in the ordinary proceedings and referred the case back to the Appeal Court for a new examination. T</w:t>
      </w:r>
      <w:r w:rsidRPr="00741C18">
        <w:rPr>
          <w:rStyle w:val="sb8d990e2"/>
        </w:rPr>
        <w:t xml:space="preserve">he </w:t>
      </w:r>
      <w:r>
        <w:rPr>
          <w:rStyle w:val="sb8d990e2"/>
        </w:rPr>
        <w:t xml:space="preserve">applicants claimed that the </w:t>
      </w:r>
      <w:r w:rsidRPr="00741C18">
        <w:rPr>
          <w:rStyle w:val="sb8d990e2"/>
        </w:rPr>
        <w:t>pr</w:t>
      </w:r>
      <w:r>
        <w:rPr>
          <w:rStyle w:val="sb8d990e2"/>
        </w:rPr>
        <w:t xml:space="preserve">ohibition </w:t>
      </w:r>
      <w:r w:rsidRPr="00741C18">
        <w:rPr>
          <w:rStyle w:val="sb8d990e2"/>
        </w:rPr>
        <w:t xml:space="preserve">of </w:t>
      </w:r>
      <w:proofErr w:type="spellStart"/>
      <w:r w:rsidRPr="00741C18">
        <w:rPr>
          <w:rStyle w:val="s6b621b36"/>
          <w:i/>
        </w:rPr>
        <w:t>reformatio</w:t>
      </w:r>
      <w:proofErr w:type="spellEnd"/>
      <w:r w:rsidRPr="00741C18">
        <w:rPr>
          <w:rStyle w:val="s6b621b36"/>
          <w:i/>
        </w:rPr>
        <w:t xml:space="preserve"> in </w:t>
      </w:r>
      <w:proofErr w:type="spellStart"/>
      <w:r w:rsidRPr="00741C18">
        <w:rPr>
          <w:rStyle w:val="s6b621b36"/>
          <w:i/>
        </w:rPr>
        <w:t>peius</w:t>
      </w:r>
      <w:proofErr w:type="spellEnd"/>
      <w:r w:rsidRPr="00741C18">
        <w:rPr>
          <w:rStyle w:val="sb8d990e2"/>
        </w:rPr>
        <w:t xml:space="preserve"> </w:t>
      </w:r>
      <w:r>
        <w:rPr>
          <w:rStyle w:val="sb8d990e2"/>
        </w:rPr>
        <w:t>was applicable and that, relying on this principle, their case could not have been re</w:t>
      </w:r>
      <w:r>
        <w:rPr>
          <w:rStyle w:val="sb8d990e2"/>
        </w:rPr>
        <w:noBreakHyphen/>
        <w:t xml:space="preserve">examined again in its entirety, </w:t>
      </w:r>
      <w:r>
        <w:rPr>
          <w:lang w:val="en-GB"/>
        </w:rPr>
        <w:t xml:space="preserve">even if </w:t>
      </w:r>
      <w:r w:rsidRPr="008A298E">
        <w:rPr>
          <w:lang w:val="en-GB"/>
        </w:rPr>
        <w:t>the Appeal Court judgment of 28</w:t>
      </w:r>
      <w:r>
        <w:rPr>
          <w:lang w:val="en-GB"/>
        </w:rPr>
        <w:t> </w:t>
      </w:r>
      <w:r w:rsidRPr="008A298E">
        <w:rPr>
          <w:lang w:val="en-GB"/>
        </w:rPr>
        <w:t xml:space="preserve">May 2009 </w:t>
      </w:r>
      <w:r>
        <w:rPr>
          <w:lang w:val="en-GB"/>
        </w:rPr>
        <w:t xml:space="preserve">had been annulled and referred back in its entirety by the Supreme Court on </w:t>
      </w:r>
      <w:r w:rsidRPr="008A298E">
        <w:rPr>
          <w:lang w:val="en-GB"/>
        </w:rPr>
        <w:t>1 November 2010</w:t>
      </w:r>
      <w:r>
        <w:rPr>
          <w:lang w:val="en-GB"/>
        </w:rPr>
        <w:t xml:space="preserve"> (see paragraph </w:t>
      </w:r>
      <w:r w:rsidRPr="00C930D7">
        <w:rPr>
          <w:lang w:val="en-GB"/>
        </w:rPr>
        <w:t>12</w:t>
      </w:r>
      <w:r>
        <w:rPr>
          <w:lang w:val="en-GB"/>
        </w:rPr>
        <w:t xml:space="preserve">), </w:t>
      </w:r>
      <w:r>
        <w:rPr>
          <w:rStyle w:val="sb8d990e2"/>
        </w:rPr>
        <w:t xml:space="preserve">as the former judgment had been partly </w:t>
      </w:r>
      <w:r>
        <w:rPr>
          <w:lang w:val="en-GB"/>
        </w:rPr>
        <w:t>favourable to them.</w:t>
      </w:r>
    </w:p>
    <w:p w:rsidRPr="00741C18" w:rsidR="00C930D7" w:rsidP="00C238F3" w:rsidRDefault="00C930D7">
      <w:pPr>
        <w:pStyle w:val="ECHRPara"/>
        <w:rPr>
          <w:lang w:val="en-GB"/>
        </w:rPr>
      </w:pPr>
      <w:r>
        <w:rPr>
          <w:lang w:val="en-GB"/>
        </w:rPr>
        <w:t>27</w:t>
      </w:r>
      <w:r w:rsidRPr="009A03A6">
        <w:rPr>
          <w:lang w:val="en-GB"/>
        </w:rPr>
        <w:t>.  A</w:t>
      </w:r>
      <w:r w:rsidRPr="009A03A6">
        <w:rPr>
          <w:rStyle w:val="sb8d990e2"/>
        </w:rPr>
        <w:t>s stated above, the domestic courts are in a better position to interpret domestic legislation, in particular laws relating to procedural matters, as in the present case. The Court takes note of the fact that the applicants</w:t>
      </w:r>
      <w:r w:rsidR="00871DC9">
        <w:rPr>
          <w:rStyle w:val="sb8d990e2"/>
        </w:rPr>
        <w:t>’</w:t>
      </w:r>
      <w:r w:rsidRPr="009A03A6">
        <w:rPr>
          <w:rStyle w:val="sb8d990e2"/>
        </w:rPr>
        <w:t xml:space="preserve"> allegations were thoroughly examined by the domestic courts at two levels of jurisdiction and that, in its judgment of </w:t>
      </w:r>
      <w:r w:rsidRPr="009A03A6">
        <w:rPr>
          <w:lang w:val="en-GB"/>
        </w:rPr>
        <w:t>29 December 2011</w:t>
      </w:r>
      <w:r w:rsidRPr="009A03A6">
        <w:rPr>
          <w:rStyle w:val="sb8d990e2"/>
        </w:rPr>
        <w:t xml:space="preserve">, the </w:t>
      </w:r>
      <w:r w:rsidRPr="00632189">
        <w:rPr>
          <w:rStyle w:val="sb8d990e2"/>
        </w:rPr>
        <w:t xml:space="preserve">Supreme Court explicitly found that </w:t>
      </w:r>
      <w:r>
        <w:rPr>
          <w:rStyle w:val="sb8d990e2"/>
        </w:rPr>
        <w:t>all</w:t>
      </w:r>
      <w:r w:rsidRPr="00632189">
        <w:rPr>
          <w:lang w:val="en-GB"/>
        </w:rPr>
        <w:t xml:space="preserve"> partiality grounds were</w:t>
      </w:r>
      <w:r w:rsidRPr="008A298E">
        <w:rPr>
          <w:lang w:val="en-GB"/>
        </w:rPr>
        <w:t xml:space="preserve"> unconditional</w:t>
      </w:r>
      <w:r>
        <w:rPr>
          <w:lang w:val="en-GB"/>
        </w:rPr>
        <w:t xml:space="preserve">, that </w:t>
      </w:r>
      <w:r w:rsidRPr="008A298E">
        <w:rPr>
          <w:lang w:val="en-GB"/>
        </w:rPr>
        <w:t xml:space="preserve">the lack of competence of the composition </w:t>
      </w:r>
      <w:r>
        <w:rPr>
          <w:lang w:val="en-GB"/>
        </w:rPr>
        <w:t xml:space="preserve">in the present case had </w:t>
      </w:r>
      <w:r w:rsidRPr="008A298E">
        <w:rPr>
          <w:lang w:val="en-GB"/>
        </w:rPr>
        <w:t>concerned the whole Appeal Court proceedings and the judgment in its entirety</w:t>
      </w:r>
      <w:r>
        <w:rPr>
          <w:lang w:val="en-GB"/>
        </w:rPr>
        <w:t>, and that t</w:t>
      </w:r>
      <w:r w:rsidRPr="008A298E">
        <w:rPr>
          <w:lang w:val="en-GB"/>
        </w:rPr>
        <w:t xml:space="preserve">herefore the court had earlier annulled the Appeal Court judgment of 28 May 2009 in its entirety. </w:t>
      </w:r>
      <w:r>
        <w:rPr>
          <w:lang w:val="en-GB"/>
        </w:rPr>
        <w:t>The Supreme Court considered that, a</w:t>
      </w:r>
      <w:r w:rsidRPr="008A298E">
        <w:rPr>
          <w:lang w:val="en-GB"/>
        </w:rPr>
        <w:t xml:space="preserve">s the prohibition of </w:t>
      </w:r>
      <w:proofErr w:type="spellStart"/>
      <w:r w:rsidRPr="008A298E">
        <w:rPr>
          <w:i/>
          <w:lang w:val="en-GB"/>
        </w:rPr>
        <w:t>reformatio</w:t>
      </w:r>
      <w:proofErr w:type="spellEnd"/>
      <w:r w:rsidRPr="008A298E">
        <w:rPr>
          <w:i/>
          <w:lang w:val="en-GB"/>
        </w:rPr>
        <w:t xml:space="preserve"> in </w:t>
      </w:r>
      <w:proofErr w:type="spellStart"/>
      <w:r w:rsidRPr="008A298E">
        <w:rPr>
          <w:i/>
          <w:lang w:val="en-GB"/>
        </w:rPr>
        <w:t>peius</w:t>
      </w:r>
      <w:proofErr w:type="spellEnd"/>
      <w:r w:rsidRPr="008A298E">
        <w:rPr>
          <w:i/>
          <w:lang w:val="en-GB"/>
        </w:rPr>
        <w:t xml:space="preserve"> </w:t>
      </w:r>
      <w:r w:rsidRPr="008A298E">
        <w:rPr>
          <w:lang w:val="en-GB"/>
        </w:rPr>
        <w:t xml:space="preserve">only applied to judgments which had become partially final, it did not apply to the present case in which a final judgment had been completely annulled. </w:t>
      </w:r>
      <w:r>
        <w:rPr>
          <w:lang w:val="en-GB"/>
        </w:rPr>
        <w:t xml:space="preserve">The Court notes that </w:t>
      </w:r>
      <w:r w:rsidRPr="00632189">
        <w:rPr>
          <w:lang w:val="en-GB"/>
        </w:rPr>
        <w:t xml:space="preserve">it </w:t>
      </w:r>
      <w:r w:rsidRPr="00632189">
        <w:rPr>
          <w:rStyle w:val="sb8d990e2"/>
        </w:rPr>
        <w:t>cannot substitute its own view for that of the domestic courts</w:t>
      </w:r>
      <w:r w:rsidR="00871DC9">
        <w:rPr>
          <w:rStyle w:val="sb8d990e2"/>
        </w:rPr>
        <w:t>’</w:t>
      </w:r>
      <w:r w:rsidRPr="00632189">
        <w:rPr>
          <w:rStyle w:val="sb8d990e2"/>
        </w:rPr>
        <w:t xml:space="preserve"> findings in this specific case. The Court finds that the applicant</w:t>
      </w:r>
      <w:r>
        <w:rPr>
          <w:rStyle w:val="sb8d990e2"/>
        </w:rPr>
        <w:t>s</w:t>
      </w:r>
      <w:r w:rsidRPr="00632189">
        <w:rPr>
          <w:rStyle w:val="sb8d990e2"/>
        </w:rPr>
        <w:t xml:space="preserve"> w</w:t>
      </w:r>
      <w:r>
        <w:rPr>
          <w:rStyle w:val="sb8d990e2"/>
        </w:rPr>
        <w:t>ere</w:t>
      </w:r>
      <w:r w:rsidRPr="00632189">
        <w:rPr>
          <w:rStyle w:val="sb8d990e2"/>
        </w:rPr>
        <w:t xml:space="preserve"> able to submit </w:t>
      </w:r>
      <w:r>
        <w:rPr>
          <w:rStyle w:val="sb8d990e2"/>
        </w:rPr>
        <w:t xml:space="preserve">their </w:t>
      </w:r>
      <w:r w:rsidRPr="00632189">
        <w:rPr>
          <w:rStyle w:val="sb8d990e2"/>
        </w:rPr>
        <w:t>arguments to the domestic courts, which addressed those arguments in judgments which were duly reasoned and disclose</w:t>
      </w:r>
      <w:r>
        <w:rPr>
          <w:rStyle w:val="sb8d990e2"/>
        </w:rPr>
        <w:t>d</w:t>
      </w:r>
      <w:r w:rsidRPr="00632189">
        <w:rPr>
          <w:rStyle w:val="sb8d990e2"/>
        </w:rPr>
        <w:t xml:space="preserve"> no elements of arbitrariness (see </w:t>
      </w:r>
      <w:proofErr w:type="spellStart"/>
      <w:r w:rsidRPr="00632189">
        <w:rPr>
          <w:i/>
          <w:szCs w:val="24"/>
          <w:lang w:val="en-GB"/>
        </w:rPr>
        <w:t>Alkes</w:t>
      </w:r>
      <w:proofErr w:type="spellEnd"/>
      <w:r w:rsidRPr="00632189">
        <w:rPr>
          <w:i/>
          <w:szCs w:val="24"/>
          <w:lang w:val="en-GB"/>
        </w:rPr>
        <w:t xml:space="preserve"> v. Turkey (no. 2)</w:t>
      </w:r>
      <w:r w:rsidRPr="00632189">
        <w:rPr>
          <w:szCs w:val="24"/>
          <w:lang w:val="en-GB"/>
        </w:rPr>
        <w:t>, cited above, § 21</w:t>
      </w:r>
      <w:r w:rsidRPr="00632189">
        <w:rPr>
          <w:rStyle w:val="sb8d990e2"/>
        </w:rPr>
        <w:t>).</w:t>
      </w:r>
    </w:p>
    <w:p w:rsidRPr="00C930D7" w:rsidR="00C930D7" w:rsidP="00C930D7" w:rsidRDefault="00C930D7">
      <w:pPr>
        <w:pStyle w:val="ECHRPara"/>
      </w:pPr>
      <w:r>
        <w:rPr>
          <w:lang w:val="en-GB"/>
        </w:rPr>
        <w:t>28.  </w:t>
      </w:r>
      <w:r>
        <w:rPr>
          <w:rStyle w:val="sb8d990e2"/>
        </w:rPr>
        <w:t>In the light of the above, the Court finds that the applicants</w:t>
      </w:r>
      <w:r w:rsidR="00871DC9">
        <w:rPr>
          <w:rStyle w:val="sb8d990e2"/>
        </w:rPr>
        <w:t>’</w:t>
      </w:r>
      <w:r>
        <w:rPr>
          <w:rStyle w:val="sb8d990e2"/>
        </w:rPr>
        <w:t xml:space="preserve"> complaint </w:t>
      </w:r>
      <w:r w:rsidRPr="00380E1C">
        <w:rPr>
          <w:lang w:val="en-GB"/>
        </w:rPr>
        <w:t xml:space="preserve">under Article </w:t>
      </w:r>
      <w:r>
        <w:rPr>
          <w:lang w:val="en-GB"/>
        </w:rPr>
        <w:t>6</w:t>
      </w:r>
      <w:r w:rsidRPr="00380E1C">
        <w:rPr>
          <w:lang w:val="en-GB"/>
        </w:rPr>
        <w:t xml:space="preserve"> of the Convention must be rejected as manifestly ill-founded and declared inadmissible pursuant to </w:t>
      </w:r>
      <w:r>
        <w:rPr>
          <w:rStyle w:val="sb8d990e2"/>
        </w:rPr>
        <w:t>Article 35 §§ 3 (a) and 4 of the Convention.</w:t>
      </w:r>
    </w:p>
    <w:p w:rsidRPr="00B84278" w:rsidR="00C930D7" w:rsidP="00C238F3" w:rsidRDefault="00C930D7">
      <w:pPr>
        <w:pStyle w:val="JuParaLast"/>
        <w:rPr>
          <w:lang w:val="en-GB"/>
        </w:rPr>
      </w:pPr>
      <w:r w:rsidRPr="00B84278">
        <w:rPr>
          <w:lang w:val="en-GB"/>
        </w:rPr>
        <w:t>For these reasons, the Court, unanimously,</w:t>
      </w:r>
    </w:p>
    <w:p w:rsidRPr="00B84278" w:rsidR="00C930D7" w:rsidP="00C238F3" w:rsidRDefault="00C930D7">
      <w:pPr>
        <w:pStyle w:val="DecList"/>
        <w:rPr>
          <w:lang w:val="en-GB"/>
        </w:rPr>
      </w:pPr>
      <w:proofErr w:type="gramStart"/>
      <w:r w:rsidRPr="00B84278">
        <w:rPr>
          <w:i/>
          <w:lang w:val="en-GB"/>
        </w:rPr>
        <w:t>Declares</w:t>
      </w:r>
      <w:r w:rsidRPr="00B84278">
        <w:rPr>
          <w:lang w:val="en-GB"/>
        </w:rPr>
        <w:t xml:space="preserve"> the application inadmissible.</w:t>
      </w:r>
      <w:proofErr w:type="gramEnd"/>
    </w:p>
    <w:p w:rsidRPr="007718BF" w:rsidR="00E93FC7" w:rsidP="00EE3667" w:rsidRDefault="00E93FC7">
      <w:pPr>
        <w:pStyle w:val="ECHRPara"/>
        <w:rPr>
          <w:sz w:val="2"/>
          <w:szCs w:val="2"/>
          <w:lang w:val="en-GB"/>
        </w:rPr>
      </w:pPr>
    </w:p>
    <w:p w:rsidRPr="00AB6E9F" w:rsidR="009912DE" w:rsidP="009912DE" w:rsidRDefault="00C75E0F">
      <w:pPr>
        <w:pStyle w:val="DecList"/>
      </w:pPr>
      <w:r w:rsidRPr="00B90EA9">
        <w:rPr>
          <w:lang w:val="en-GB"/>
        </w:rPr>
        <w:t xml:space="preserve">Done in English and notified in writing on </w:t>
      </w:r>
      <w:r w:rsidR="00C930D7">
        <w:rPr>
          <w:szCs w:val="24"/>
          <w:lang w:val="en-GB"/>
        </w:rPr>
        <w:t>25 June 2015</w:t>
      </w:r>
      <w:r w:rsidRPr="00B90EA9">
        <w:rPr>
          <w:lang w:val="en-GB"/>
        </w:rPr>
        <w:t>.</w:t>
      </w:r>
    </w:p>
    <w:p w:rsidRPr="00C930D7" w:rsidR="00206A52" w:rsidP="00C930D7" w:rsidRDefault="00C930D7">
      <w:pPr>
        <w:pStyle w:val="JuSigned"/>
      </w:pPr>
      <w:r w:rsidRPr="00AB6E9F">
        <w:tab/>
      </w:r>
      <w:proofErr w:type="spellStart"/>
      <w:r>
        <w:t>Fatoş</w:t>
      </w:r>
      <w:proofErr w:type="spellEnd"/>
      <w:r w:rsidRPr="009C6FA9">
        <w:t xml:space="preserve"> </w:t>
      </w:r>
      <w:proofErr w:type="spellStart"/>
      <w:r>
        <w:t>Aracı</w:t>
      </w:r>
      <w:proofErr w:type="spellEnd"/>
      <w:r w:rsidRPr="00871DC9" w:rsidR="009912DE">
        <w:rPr>
          <w:lang w:val="en-GB"/>
        </w:rPr>
        <w:tab/>
      </w:r>
      <w:r w:rsidRPr="00871DC9">
        <w:rPr>
          <w:szCs w:val="24"/>
          <w:lang w:val="en-GB"/>
        </w:rPr>
        <w:t>Guido Raimondi</w:t>
      </w:r>
      <w:r w:rsidRPr="00871DC9" w:rsidR="009912DE">
        <w:rPr>
          <w:lang w:val="en-GB"/>
        </w:rPr>
        <w:br/>
      </w:r>
      <w:r w:rsidRPr="00871DC9" w:rsidR="009912DE">
        <w:rPr>
          <w:lang w:val="en-GB"/>
        </w:rPr>
        <w:tab/>
      </w:r>
      <w:r w:rsidRPr="00871DC9">
        <w:rPr>
          <w:lang w:val="en-GB"/>
        </w:rPr>
        <w:t xml:space="preserve">Deputy </w:t>
      </w:r>
      <w:r w:rsidRPr="00871DC9">
        <w:rPr>
          <w:iCs/>
          <w:lang w:val="en-GB"/>
        </w:rPr>
        <w:t>Registrar</w:t>
      </w:r>
      <w:r w:rsidRPr="00871DC9" w:rsidR="009912DE">
        <w:rPr>
          <w:lang w:val="en-GB"/>
        </w:rPr>
        <w:tab/>
      </w:r>
      <w:r w:rsidRPr="00FE37AD" w:rsidR="009912DE">
        <w:t>President</w:t>
      </w:r>
    </w:p>
    <w:sectPr w:rsidRPr="00C930D7" w:rsidR="00206A52" w:rsidSect="0076040F">
      <w:headerReference w:type="even" r:id="rId9"/>
      <w:headerReference w:type="default" r:id="rId10"/>
      <w:headerReference w:type="first" r:id="rId11"/>
      <w:footerReference w:type="first" r:id="rId12"/>
      <w:footnotePr>
        <w:numRestart w:val="eachPage"/>
      </w:footnotePr>
      <w:pgSz w:w="11906" w:h="16838" w:code="9"/>
      <w:pgMar w:top="2274" w:right="2274" w:bottom="2274" w:left="2274" w:header="1701"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930D7" w:rsidRDefault="00C930D7" w:rsidP="005C4C1E">
      <w:r>
        <w:separator/>
      </w:r>
    </w:p>
  </w:endnote>
  <w:endnote w:type="continuationSeparator" w:id="0">
    <w:p w:rsidR="00C930D7" w:rsidRDefault="00C930D7" w:rsidP="005C4C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30D7" w:rsidRPr="00C930D7" w:rsidRDefault="00C930D7" w:rsidP="0020718E">
    <w:pPr>
      <w:jc w:val="center"/>
      <w:rPr>
        <w:lang w:val="en-GB"/>
      </w:rPr>
    </w:pPr>
    <w:r>
      <w:rPr>
        <w:noProof/>
        <w:lang w:eastAsia="ja-JP"/>
      </w:rPr>
      <w:drawing>
        <wp:inline distT="0" distB="0" distL="0" distR="0" wp14:anchorId="6B3B4448" wp14:editId="5BB76ED9">
          <wp:extent cx="771525" cy="619125"/>
          <wp:effectExtent l="0" t="0" r="9525" b="9525"/>
          <wp:docPr id="5" name="Picture 5"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F05C7B" w:rsidRPr="005C4C1E" w:rsidRDefault="0088397C" w:rsidP="002E2C77">
    <w:pPr>
      <w:jc w:val="center"/>
      <w:rPr>
        <w:lang w:val="en-G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930D7" w:rsidRDefault="00C930D7" w:rsidP="005C4C1E">
      <w:r>
        <w:separator/>
      </w:r>
    </w:p>
  </w:footnote>
  <w:footnote w:type="continuationSeparator" w:id="0">
    <w:p w:rsidR="00C930D7" w:rsidRDefault="00C930D7" w:rsidP="005C4C1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5C7B" w:rsidRPr="0076040F" w:rsidRDefault="00C930D7" w:rsidP="0076040F">
    <w:pPr>
      <w:pStyle w:val="ECHRHeader"/>
      <w:rPr>
        <w:lang w:val="en-GB"/>
      </w:rPr>
    </w:pPr>
    <w:r>
      <w:rPr>
        <w:rStyle w:val="PageNumber"/>
        <w:lang w:val="en-GB"/>
      </w:rPr>
      <w:fldChar w:fldCharType="begin"/>
    </w:r>
    <w:r>
      <w:rPr>
        <w:rStyle w:val="PageNumber"/>
        <w:lang w:val="en-GB"/>
      </w:rPr>
      <w:instrText xml:space="preserve"> PAGE </w:instrText>
    </w:r>
    <w:r>
      <w:rPr>
        <w:rStyle w:val="PageNumber"/>
        <w:lang w:val="en-GB"/>
      </w:rPr>
      <w:fldChar w:fldCharType="separate"/>
    </w:r>
    <w:r w:rsidR="00871DC9">
      <w:rPr>
        <w:rStyle w:val="PageNumber"/>
        <w:noProof/>
        <w:lang w:val="en-GB"/>
      </w:rPr>
      <w:t>6</w:t>
    </w:r>
    <w:r>
      <w:rPr>
        <w:rStyle w:val="PageNumber"/>
        <w:lang w:val="en-GB"/>
      </w:rPr>
      <w:fldChar w:fldCharType="end"/>
    </w:r>
    <w:r w:rsidR="00C72A0D" w:rsidRPr="0076040F">
      <w:rPr>
        <w:lang w:val="en-GB"/>
      </w:rPr>
      <w:tab/>
    </w:r>
    <w:r>
      <w:rPr>
        <w:lang w:val="en-GB"/>
      </w:rPr>
      <w:t>KUOKKANEN AND JOHANNESDAHL v. FINLAND</w:t>
    </w:r>
    <w:r w:rsidR="00C72A0D" w:rsidRPr="0076040F">
      <w:rPr>
        <w:lang w:val="en-GB"/>
      </w:rPr>
      <w:t xml:space="preserve"> DECISION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5C7B" w:rsidRPr="0076040F" w:rsidRDefault="00C72A0D" w:rsidP="0076040F">
    <w:pPr>
      <w:pStyle w:val="ECHRHeader"/>
      <w:rPr>
        <w:lang w:val="en-GB"/>
      </w:rPr>
    </w:pPr>
    <w:r w:rsidRPr="0076040F">
      <w:rPr>
        <w:lang w:val="en-GB"/>
      </w:rPr>
      <w:tab/>
    </w:r>
    <w:r w:rsidR="00C930D7">
      <w:rPr>
        <w:lang w:val="en-GB"/>
      </w:rPr>
      <w:t>KUOKKANEN AND JOHANNESDAHL v. FINLAND</w:t>
    </w:r>
    <w:r w:rsidRPr="0076040F">
      <w:rPr>
        <w:lang w:val="en-GB"/>
      </w:rPr>
      <w:t xml:space="preserve"> DECISION</w:t>
    </w:r>
    <w:r w:rsidRPr="0076040F">
      <w:rPr>
        <w:lang w:val="en-GB"/>
      </w:rPr>
      <w:tab/>
    </w:r>
    <w:r w:rsidR="00C930D7">
      <w:rPr>
        <w:rStyle w:val="PageNumber"/>
        <w:lang w:val="en-GB"/>
      </w:rPr>
      <w:fldChar w:fldCharType="begin"/>
    </w:r>
    <w:r w:rsidR="00C930D7">
      <w:rPr>
        <w:rStyle w:val="PageNumber"/>
        <w:lang w:val="en-GB"/>
      </w:rPr>
      <w:instrText xml:space="preserve"> PAGE </w:instrText>
    </w:r>
    <w:r w:rsidR="00C930D7">
      <w:rPr>
        <w:rStyle w:val="PageNumber"/>
        <w:lang w:val="en-GB"/>
      </w:rPr>
      <w:fldChar w:fldCharType="separate"/>
    </w:r>
    <w:r w:rsidR="00871DC9">
      <w:rPr>
        <w:rStyle w:val="PageNumber"/>
        <w:noProof/>
        <w:lang w:val="en-GB"/>
      </w:rPr>
      <w:t>7</w:t>
    </w:r>
    <w:r w:rsidR="00C930D7">
      <w:rPr>
        <w:rStyle w:val="PageNumber"/>
        <w:lang w:val="en-GB"/>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30D7" w:rsidRPr="00A45145" w:rsidRDefault="00C930D7" w:rsidP="00A45145">
    <w:pPr>
      <w:jc w:val="center"/>
    </w:pPr>
    <w:r>
      <w:rPr>
        <w:noProof/>
        <w:lang w:eastAsia="ja-JP"/>
      </w:rPr>
      <w:drawing>
        <wp:inline distT="0" distB="0" distL="0" distR="0" wp14:anchorId="1F8A0E0C" wp14:editId="0E49B383">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F05C7B" w:rsidRPr="005C4C1E" w:rsidRDefault="0088397C" w:rsidP="00EA1004">
    <w:pPr>
      <w:jc w:val="center"/>
      <w:rPr>
        <w:lang w:val="en-G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B87C151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1A2597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AE02580"/>
    <w:lvl w:ilvl="0">
      <w:start w:val="1"/>
      <w:numFmt w:val="decimal"/>
      <w:pStyle w:val="ListNumber3"/>
      <w:lvlText w:val="%1."/>
      <w:lvlJc w:val="left"/>
      <w:pPr>
        <w:tabs>
          <w:tab w:val="num" w:pos="926"/>
        </w:tabs>
        <w:ind w:left="926" w:hanging="360"/>
      </w:pPr>
    </w:lvl>
  </w:abstractNum>
  <w:abstractNum w:abstractNumId="3">
    <w:nsid w:val="FFFFFF7F"/>
    <w:multiLevelType w:val="singleLevel"/>
    <w:tmpl w:val="0D8C0106"/>
    <w:lvl w:ilvl="0">
      <w:start w:val="1"/>
      <w:numFmt w:val="decimal"/>
      <w:pStyle w:val="ListNumber2"/>
      <w:lvlText w:val="%1."/>
      <w:lvlJc w:val="left"/>
      <w:pPr>
        <w:tabs>
          <w:tab w:val="num" w:pos="643"/>
        </w:tabs>
        <w:ind w:left="643" w:hanging="360"/>
      </w:pPr>
    </w:lvl>
  </w:abstractNum>
  <w:abstractNum w:abstractNumId="4">
    <w:nsid w:val="FFFFFF80"/>
    <w:multiLevelType w:val="singleLevel"/>
    <w:tmpl w:val="BBBCB4B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BE6B42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A124C6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38ADC3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4C40F8C"/>
    <w:lvl w:ilvl="0">
      <w:start w:val="1"/>
      <w:numFmt w:val="decimal"/>
      <w:pStyle w:val="ListNumber"/>
      <w:lvlText w:val="%1."/>
      <w:lvlJc w:val="left"/>
      <w:pPr>
        <w:tabs>
          <w:tab w:val="num" w:pos="360"/>
        </w:tabs>
        <w:ind w:left="360" w:hanging="360"/>
      </w:pPr>
    </w:lvl>
  </w:abstractNum>
  <w:abstractNum w:abstractNumId="9">
    <w:nsid w:val="FFFFFF89"/>
    <w:multiLevelType w:val="singleLevel"/>
    <w:tmpl w:val="429247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8920C14"/>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175C4D5D"/>
    <w:multiLevelType w:val="multilevel"/>
    <w:tmpl w:val="04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3BB25E07"/>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13"/>
  </w:num>
  <w:num w:numId="2">
    <w:abstractNumId w:val="13"/>
  </w:num>
  <w:num w:numId="3">
    <w:abstractNumId w:val="12"/>
  </w:num>
  <w:num w:numId="4">
    <w:abstractNumId w:val="10"/>
  </w:num>
  <w:num w:numId="5">
    <w:abstractNumId w:val="11"/>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1"/>
  <w:defaultTabStop w:val="720"/>
  <w:hyphenationZone w:val="425"/>
  <w:evenAndOddHeaders/>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AppNatAutre" w:val="0"/>
    <w:docVar w:name="DocVarPREMATURE" w:val="0"/>
    <w:docVar w:name="EMM" w:val="0"/>
    <w:docVar w:name="ETRANSMISSION" w:val=" "/>
    <w:docVar w:name="L4_1Annex" w:val="0"/>
    <w:docVar w:name="L4_1Anonymity" w:val="0"/>
    <w:docVar w:name="NBEMMDOC" w:val="0"/>
    <w:docVar w:name="Plural" w:val="1"/>
    <w:docVar w:name="SignForeName" w:val="0"/>
  </w:docVars>
  <w:rsids>
    <w:rsidRoot w:val="00C930D7"/>
    <w:rsid w:val="000D2AA5"/>
    <w:rsid w:val="001818B5"/>
    <w:rsid w:val="001C1C1B"/>
    <w:rsid w:val="00206A52"/>
    <w:rsid w:val="0029715C"/>
    <w:rsid w:val="003D2893"/>
    <w:rsid w:val="003F5BAF"/>
    <w:rsid w:val="005C4C1E"/>
    <w:rsid w:val="00623174"/>
    <w:rsid w:val="00750F4F"/>
    <w:rsid w:val="0076040F"/>
    <w:rsid w:val="007718BF"/>
    <w:rsid w:val="00871DC9"/>
    <w:rsid w:val="00883450"/>
    <w:rsid w:val="009912DE"/>
    <w:rsid w:val="009A722F"/>
    <w:rsid w:val="00A567CA"/>
    <w:rsid w:val="00A92649"/>
    <w:rsid w:val="00B2397A"/>
    <w:rsid w:val="00B67325"/>
    <w:rsid w:val="00B90EA9"/>
    <w:rsid w:val="00C138D4"/>
    <w:rsid w:val="00C664EC"/>
    <w:rsid w:val="00C72A0D"/>
    <w:rsid w:val="00C75D1C"/>
    <w:rsid w:val="00C75E0F"/>
    <w:rsid w:val="00C841F3"/>
    <w:rsid w:val="00C930D7"/>
    <w:rsid w:val="00DF27F6"/>
    <w:rsid w:val="00E50569"/>
    <w:rsid w:val="00E906BA"/>
    <w:rsid w:val="00E93FC7"/>
    <w:rsid w:val="00ED04C3"/>
    <w:rsid w:val="00EE3667"/>
    <w:rsid w:val="00F24A83"/>
    <w:rsid w:val="00FE395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nhideWhenUsed="1" w:qFormat="1"/>
    <w:lsdException w:name="heading 6" w:semiHidden="1" w:uiPriority="9" w:unhideWhenUsed="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1818B5"/>
    <w:pPr>
      <w:jc w:val="both"/>
    </w:pPr>
    <w:rPr>
      <w:rFonts w:eastAsiaTheme="minorEastAsia"/>
      <w:sz w:val="24"/>
    </w:rPr>
  </w:style>
  <w:style w:type="paragraph" w:styleId="Heading1">
    <w:name w:val="heading 1"/>
    <w:basedOn w:val="Normal"/>
    <w:next w:val="Normal"/>
    <w:link w:val="Heading1Char"/>
    <w:uiPriority w:val="9"/>
    <w:semiHidden/>
    <w:rsid w:val="00E93FC7"/>
    <w:pPr>
      <w:keepNext/>
      <w:keepLines/>
      <w:spacing w:before="480"/>
      <w:outlineLvl w:val="0"/>
    </w:pPr>
    <w:rPr>
      <w:rFonts w:asciiTheme="majorHAnsi" w:eastAsiaTheme="majorEastAsia" w:hAnsiTheme="majorHAnsi" w:cstheme="majorBidi"/>
      <w:b/>
      <w:bCs/>
      <w:color w:val="00548C" w:themeColor="accent1" w:themeShade="BF"/>
      <w:sz w:val="28"/>
      <w:szCs w:val="28"/>
    </w:rPr>
  </w:style>
  <w:style w:type="paragraph" w:styleId="Heading2">
    <w:name w:val="heading 2"/>
    <w:basedOn w:val="Normal"/>
    <w:next w:val="Normal"/>
    <w:link w:val="Heading2Char"/>
    <w:uiPriority w:val="9"/>
    <w:semiHidden/>
    <w:rsid w:val="00E93FC7"/>
    <w:pPr>
      <w:keepNext/>
      <w:keepLines/>
      <w:spacing w:before="200"/>
      <w:outlineLvl w:val="1"/>
    </w:pPr>
    <w:rPr>
      <w:rFonts w:asciiTheme="majorHAnsi" w:eastAsiaTheme="majorEastAsia" w:hAnsiTheme="majorHAnsi" w:cstheme="majorBidi"/>
      <w:b/>
      <w:bCs/>
      <w:color w:val="0072BC" w:themeColor="accent1"/>
      <w:sz w:val="26"/>
      <w:szCs w:val="26"/>
    </w:rPr>
  </w:style>
  <w:style w:type="paragraph" w:styleId="Heading3">
    <w:name w:val="heading 3"/>
    <w:basedOn w:val="Normal"/>
    <w:next w:val="Normal"/>
    <w:link w:val="Heading3Char"/>
    <w:uiPriority w:val="9"/>
    <w:semiHidden/>
    <w:unhideWhenUsed/>
    <w:rsid w:val="00E93FC7"/>
    <w:pPr>
      <w:keepNext/>
      <w:keepLines/>
      <w:spacing w:before="200"/>
      <w:outlineLvl w:val="2"/>
    </w:pPr>
    <w:rPr>
      <w:rFonts w:asciiTheme="majorHAnsi" w:eastAsiaTheme="majorEastAsia" w:hAnsiTheme="majorHAnsi" w:cstheme="majorBidi"/>
      <w:b/>
      <w:bCs/>
      <w:color w:val="0072BC" w:themeColor="accent1"/>
    </w:rPr>
  </w:style>
  <w:style w:type="paragraph" w:styleId="Heading4">
    <w:name w:val="heading 4"/>
    <w:basedOn w:val="Normal"/>
    <w:next w:val="Normal"/>
    <w:link w:val="Heading4Char"/>
    <w:uiPriority w:val="9"/>
    <w:semiHidden/>
    <w:unhideWhenUsed/>
    <w:rsid w:val="00E93FC7"/>
    <w:pPr>
      <w:keepNext/>
      <w:keepLines/>
      <w:spacing w:before="200"/>
      <w:outlineLvl w:val="3"/>
    </w:pPr>
    <w:rPr>
      <w:rFonts w:asciiTheme="majorHAnsi" w:eastAsiaTheme="majorEastAsia" w:hAnsiTheme="majorHAnsi" w:cstheme="majorBidi"/>
      <w:b/>
      <w:bCs/>
      <w:i/>
      <w:iCs/>
      <w:color w:val="0072BC" w:themeColor="accent1"/>
    </w:rPr>
  </w:style>
  <w:style w:type="paragraph" w:styleId="Heading5">
    <w:name w:val="heading 5"/>
    <w:basedOn w:val="Normal"/>
    <w:next w:val="Normal"/>
    <w:link w:val="Heading5Char"/>
    <w:uiPriority w:val="99"/>
    <w:semiHidden/>
    <w:qFormat/>
    <w:rsid w:val="00E93FC7"/>
    <w:pPr>
      <w:spacing w:before="200"/>
      <w:outlineLvl w:val="4"/>
    </w:pPr>
    <w:rPr>
      <w:rFonts w:asciiTheme="majorHAnsi" w:eastAsiaTheme="majorEastAsia" w:hAnsiTheme="majorHAnsi" w:cstheme="majorBidi"/>
      <w:b/>
      <w:bCs/>
      <w:color w:val="808080"/>
      <w:sz w:val="22"/>
    </w:rPr>
  </w:style>
  <w:style w:type="paragraph" w:styleId="Heading6">
    <w:name w:val="heading 6"/>
    <w:basedOn w:val="Normal"/>
    <w:next w:val="Normal"/>
    <w:link w:val="Heading6Char"/>
    <w:uiPriority w:val="9"/>
    <w:semiHidden/>
    <w:unhideWhenUsed/>
    <w:rsid w:val="00E93FC7"/>
    <w:pPr>
      <w:keepNext/>
      <w:keepLines/>
      <w:spacing w:before="200"/>
      <w:outlineLvl w:val="5"/>
    </w:pPr>
    <w:rPr>
      <w:rFonts w:asciiTheme="majorHAnsi" w:eastAsiaTheme="majorEastAsia" w:hAnsiTheme="majorHAnsi" w:cstheme="majorBidi"/>
      <w:i/>
      <w:iCs/>
      <w:color w:val="00385D" w:themeColor="accent1" w:themeShade="7F"/>
    </w:rPr>
  </w:style>
  <w:style w:type="paragraph" w:styleId="Heading7">
    <w:name w:val="heading 7"/>
    <w:basedOn w:val="Normal"/>
    <w:next w:val="Normal"/>
    <w:link w:val="Heading7Char"/>
    <w:uiPriority w:val="99"/>
    <w:semiHidden/>
    <w:qFormat/>
    <w:rsid w:val="00E93FC7"/>
    <w:pPr>
      <w:outlineLvl w:val="6"/>
    </w:pPr>
    <w:rPr>
      <w:rFonts w:asciiTheme="majorHAnsi" w:eastAsiaTheme="majorEastAsia" w:hAnsiTheme="majorHAnsi" w:cstheme="majorBidi"/>
      <w:i/>
      <w:iCs/>
      <w:sz w:val="22"/>
      <w:lang w:bidi="en-US"/>
    </w:rPr>
  </w:style>
  <w:style w:type="paragraph" w:styleId="Heading8">
    <w:name w:val="heading 8"/>
    <w:basedOn w:val="Normal"/>
    <w:next w:val="Normal"/>
    <w:link w:val="Heading8Char"/>
    <w:uiPriority w:val="99"/>
    <w:semiHidden/>
    <w:qFormat/>
    <w:rsid w:val="00E93FC7"/>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E93FC7"/>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uSigned">
    <w:name w:val="Ju_Signed"/>
    <w:basedOn w:val="Normal"/>
    <w:next w:val="JuParaLast"/>
    <w:uiPriority w:val="32"/>
    <w:qFormat/>
    <w:rsid w:val="005C4C1E"/>
    <w:pPr>
      <w:tabs>
        <w:tab w:val="center" w:pos="851"/>
        <w:tab w:val="center" w:pos="6407"/>
      </w:tabs>
      <w:spacing w:before="720"/>
      <w:jc w:val="left"/>
    </w:pPr>
  </w:style>
  <w:style w:type="paragraph" w:customStyle="1" w:styleId="ECHRPara">
    <w:name w:val="ECHR_Para"/>
    <w:aliases w:val="Ju_Para,Para,Left,First line:  0 cm"/>
    <w:basedOn w:val="Normal"/>
    <w:link w:val="JuParaCar"/>
    <w:uiPriority w:val="12"/>
    <w:qFormat/>
    <w:rsid w:val="00C72A0D"/>
    <w:pPr>
      <w:ind w:firstLine="284"/>
    </w:pPr>
  </w:style>
  <w:style w:type="character" w:styleId="PageNumber">
    <w:name w:val="page number"/>
    <w:uiPriority w:val="99"/>
    <w:semiHidden/>
    <w:rsid w:val="00E93FC7"/>
    <w:rPr>
      <w:sz w:val="18"/>
    </w:rPr>
  </w:style>
  <w:style w:type="character" w:styleId="CommentReference">
    <w:name w:val="annotation reference"/>
    <w:uiPriority w:val="99"/>
    <w:semiHidden/>
    <w:rsid w:val="00E93FC7"/>
    <w:rPr>
      <w:sz w:val="16"/>
    </w:rPr>
  </w:style>
  <w:style w:type="paragraph" w:styleId="CommentText">
    <w:name w:val="annotation text"/>
    <w:basedOn w:val="Normal"/>
    <w:link w:val="CommentTextChar"/>
    <w:semiHidden/>
    <w:rsid w:val="00E93FC7"/>
    <w:rPr>
      <w:sz w:val="20"/>
    </w:rPr>
  </w:style>
  <w:style w:type="character" w:customStyle="1" w:styleId="CommentTextChar">
    <w:name w:val="Comment Text Char"/>
    <w:basedOn w:val="DefaultParagraphFont"/>
    <w:link w:val="CommentText"/>
    <w:semiHidden/>
    <w:rsid w:val="00E93FC7"/>
    <w:rPr>
      <w:rFonts w:eastAsiaTheme="minorEastAsia"/>
      <w:sz w:val="20"/>
    </w:rPr>
  </w:style>
  <w:style w:type="paragraph" w:customStyle="1" w:styleId="DecHTitle">
    <w:name w:val="Dec_H_Title"/>
    <w:basedOn w:val="ECHRTitleCentre1"/>
    <w:uiPriority w:val="7"/>
    <w:qFormat/>
    <w:rsid w:val="00E93FC7"/>
  </w:style>
  <w:style w:type="paragraph" w:customStyle="1" w:styleId="ECHRTitleCentre2">
    <w:name w:val="ECHR_Title_Centre_2"/>
    <w:aliases w:val="Dec_H_Case"/>
    <w:basedOn w:val="Normal"/>
    <w:next w:val="Normal"/>
    <w:uiPriority w:val="8"/>
    <w:qFormat/>
    <w:rsid w:val="00E93FC7"/>
    <w:pPr>
      <w:spacing w:after="240"/>
      <w:jc w:val="center"/>
      <w:outlineLvl w:val="0"/>
    </w:pPr>
    <w:rPr>
      <w:rFonts w:asciiTheme="majorHAnsi" w:hAnsiTheme="majorHAnsi"/>
    </w:rPr>
  </w:style>
  <w:style w:type="paragraph" w:customStyle="1" w:styleId="JuTitle">
    <w:name w:val="Ju_Title"/>
    <w:basedOn w:val="Normal"/>
    <w:next w:val="Normal"/>
    <w:uiPriority w:val="3"/>
    <w:qFormat/>
    <w:rsid w:val="00E93FC7"/>
    <w:pPr>
      <w:spacing w:before="720" w:after="240"/>
      <w:jc w:val="center"/>
      <w:outlineLvl w:val="0"/>
    </w:pPr>
    <w:rPr>
      <w:rFonts w:asciiTheme="majorHAnsi" w:hAnsiTheme="majorHAnsi"/>
      <w:b/>
      <w:caps/>
    </w:rPr>
  </w:style>
  <w:style w:type="paragraph" w:customStyle="1" w:styleId="ECHRHeader">
    <w:name w:val="ECHR_Header"/>
    <w:aliases w:val="Ju_Header"/>
    <w:basedOn w:val="Header"/>
    <w:uiPriority w:val="4"/>
    <w:qFormat/>
    <w:rsid w:val="00E93FC7"/>
    <w:pPr>
      <w:tabs>
        <w:tab w:val="clear" w:pos="4680"/>
        <w:tab w:val="clear" w:pos="9360"/>
        <w:tab w:val="center" w:pos="3686"/>
        <w:tab w:val="right" w:pos="7371"/>
      </w:tabs>
      <w:jc w:val="left"/>
    </w:pPr>
    <w:rPr>
      <w:rFonts w:eastAsiaTheme="minorHAnsi"/>
      <w:sz w:val="18"/>
    </w:rPr>
  </w:style>
  <w:style w:type="paragraph" w:styleId="Header">
    <w:name w:val="header"/>
    <w:basedOn w:val="Normal"/>
    <w:link w:val="HeaderChar"/>
    <w:uiPriority w:val="99"/>
    <w:semiHidden/>
    <w:unhideWhenUsed/>
    <w:rsid w:val="00E93FC7"/>
    <w:pPr>
      <w:tabs>
        <w:tab w:val="center" w:pos="4680"/>
        <w:tab w:val="right" w:pos="9360"/>
      </w:tabs>
    </w:pPr>
  </w:style>
  <w:style w:type="character" w:customStyle="1" w:styleId="HeaderChar">
    <w:name w:val="Header Char"/>
    <w:basedOn w:val="DefaultParagraphFont"/>
    <w:link w:val="Header"/>
    <w:uiPriority w:val="99"/>
    <w:semiHidden/>
    <w:rsid w:val="00E93FC7"/>
    <w:rPr>
      <w:rFonts w:eastAsiaTheme="minorEastAsia"/>
      <w:sz w:val="24"/>
    </w:rPr>
  </w:style>
  <w:style w:type="paragraph" w:styleId="BalloonText">
    <w:name w:val="Balloon Text"/>
    <w:basedOn w:val="Normal"/>
    <w:link w:val="BalloonTextChar"/>
    <w:uiPriority w:val="99"/>
    <w:semiHidden/>
    <w:unhideWhenUsed/>
    <w:rsid w:val="00E93FC7"/>
    <w:rPr>
      <w:rFonts w:ascii="Tahoma" w:hAnsi="Tahoma" w:cs="Tahoma"/>
      <w:sz w:val="16"/>
      <w:szCs w:val="16"/>
    </w:rPr>
  </w:style>
  <w:style w:type="character" w:customStyle="1" w:styleId="BalloonTextChar">
    <w:name w:val="Balloon Text Char"/>
    <w:basedOn w:val="DefaultParagraphFont"/>
    <w:link w:val="BalloonText"/>
    <w:uiPriority w:val="99"/>
    <w:semiHidden/>
    <w:rsid w:val="00E93FC7"/>
    <w:rPr>
      <w:rFonts w:ascii="Tahoma" w:eastAsiaTheme="minorEastAsia" w:hAnsi="Tahoma" w:cs="Tahoma"/>
      <w:sz w:val="16"/>
      <w:szCs w:val="16"/>
    </w:rPr>
  </w:style>
  <w:style w:type="paragraph" w:customStyle="1" w:styleId="JuAppQuestion">
    <w:name w:val="Ju_App_Question"/>
    <w:basedOn w:val="Normal"/>
    <w:uiPriority w:val="5"/>
    <w:qFormat/>
    <w:rsid w:val="00E93FC7"/>
    <w:pPr>
      <w:numPr>
        <w:numId w:val="2"/>
      </w:numPr>
      <w:jc w:val="left"/>
    </w:pPr>
    <w:rPr>
      <w:b/>
    </w:rPr>
  </w:style>
  <w:style w:type="paragraph" w:customStyle="1" w:styleId="OpiPara">
    <w:name w:val="Opi_Para"/>
    <w:basedOn w:val="Normal"/>
    <w:uiPriority w:val="46"/>
    <w:semiHidden/>
    <w:qFormat/>
    <w:rsid w:val="00C72A0D"/>
    <w:pPr>
      <w:ind w:firstLine="284"/>
    </w:pPr>
  </w:style>
  <w:style w:type="paragraph" w:customStyle="1" w:styleId="ECHRParaQuote">
    <w:name w:val="ECHR_Para_Quote"/>
    <w:aliases w:val="Ju_Quot"/>
    <w:basedOn w:val="Normal"/>
    <w:qFormat/>
    <w:rsid w:val="00E93FC7"/>
    <w:pPr>
      <w:spacing w:before="120" w:after="120"/>
      <w:ind w:left="425" w:firstLine="142"/>
    </w:pPr>
    <w:rPr>
      <w:sz w:val="20"/>
    </w:rPr>
  </w:style>
  <w:style w:type="paragraph" w:customStyle="1" w:styleId="JuParaSub">
    <w:name w:val="Ju_Para_Sub"/>
    <w:basedOn w:val="Normal"/>
    <w:uiPriority w:val="13"/>
    <w:qFormat/>
    <w:rsid w:val="00C72A0D"/>
    <w:pPr>
      <w:ind w:left="284" w:firstLine="284"/>
    </w:pPr>
  </w:style>
  <w:style w:type="paragraph" w:customStyle="1" w:styleId="OpiParaSub">
    <w:name w:val="Opi_Para_Sub"/>
    <w:basedOn w:val="JuParaSub"/>
    <w:uiPriority w:val="47"/>
    <w:semiHidden/>
    <w:qFormat/>
    <w:rsid w:val="00E93FC7"/>
  </w:style>
  <w:style w:type="paragraph" w:customStyle="1" w:styleId="OpiQuot">
    <w:name w:val="Opi_Quot"/>
    <w:basedOn w:val="ECHRParaQuote"/>
    <w:uiPriority w:val="48"/>
    <w:semiHidden/>
    <w:qFormat/>
    <w:rsid w:val="00E93FC7"/>
  </w:style>
  <w:style w:type="paragraph" w:customStyle="1" w:styleId="OpiQuotSub">
    <w:name w:val="Opi_Quot_Sub"/>
    <w:basedOn w:val="JuQuotSub"/>
    <w:uiPriority w:val="49"/>
    <w:semiHidden/>
    <w:qFormat/>
    <w:rsid w:val="00E93FC7"/>
  </w:style>
  <w:style w:type="paragraph" w:customStyle="1" w:styleId="ECHRTitleCentre3">
    <w:name w:val="ECHR_Title_Centre_3"/>
    <w:aliases w:val="Ju_H_Article"/>
    <w:basedOn w:val="Normal"/>
    <w:next w:val="ECHRParaQuote"/>
    <w:uiPriority w:val="27"/>
    <w:qFormat/>
    <w:rsid w:val="00E93FC7"/>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semiHidden/>
    <w:qFormat/>
    <w:rsid w:val="00E93FC7"/>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E93FC7"/>
    <w:pPr>
      <w:ind w:left="567"/>
    </w:pPr>
  </w:style>
  <w:style w:type="paragraph" w:customStyle="1" w:styleId="ECHRTitle1">
    <w:name w:val="ECHR_Title_1"/>
    <w:aliases w:val="Ju_H_Head"/>
    <w:basedOn w:val="Normal"/>
    <w:next w:val="Normal"/>
    <w:uiPriority w:val="18"/>
    <w:qFormat/>
    <w:rsid w:val="00E93FC7"/>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E93FC7"/>
    <w:pPr>
      <w:tabs>
        <w:tab w:val="center" w:pos="6407"/>
      </w:tabs>
      <w:spacing w:before="720"/>
      <w:jc w:val="right"/>
    </w:pPr>
  </w:style>
  <w:style w:type="paragraph" w:customStyle="1" w:styleId="OpiHA">
    <w:name w:val="Opi_H_A"/>
    <w:basedOn w:val="ECHRHeading1"/>
    <w:next w:val="OpiPara"/>
    <w:uiPriority w:val="41"/>
    <w:semiHidden/>
    <w:qFormat/>
    <w:rsid w:val="00E93FC7"/>
    <w:pPr>
      <w:tabs>
        <w:tab w:val="clear" w:pos="357"/>
      </w:tabs>
      <w:outlineLvl w:val="1"/>
    </w:pPr>
    <w:rPr>
      <w:b/>
    </w:rPr>
  </w:style>
  <w:style w:type="character" w:customStyle="1" w:styleId="JUNAMES">
    <w:name w:val="JU_NAMES"/>
    <w:uiPriority w:val="17"/>
    <w:qFormat/>
    <w:rsid w:val="00E93FC7"/>
    <w:rPr>
      <w:caps w:val="0"/>
      <w:smallCaps/>
    </w:rPr>
  </w:style>
  <w:style w:type="character" w:customStyle="1" w:styleId="JuITMark">
    <w:name w:val="Ju_ITMark"/>
    <w:basedOn w:val="DefaultParagraphFont"/>
    <w:uiPriority w:val="38"/>
    <w:qFormat/>
    <w:rsid w:val="00E93FC7"/>
    <w:rPr>
      <w:vanish/>
      <w:color w:val="339966"/>
      <w:sz w:val="14"/>
    </w:rPr>
  </w:style>
  <w:style w:type="paragraph" w:customStyle="1" w:styleId="OpiTranslation">
    <w:name w:val="Opi_Translation"/>
    <w:basedOn w:val="Normal"/>
    <w:next w:val="OpiPara"/>
    <w:uiPriority w:val="40"/>
    <w:semiHidden/>
    <w:qFormat/>
    <w:rsid w:val="00E93FC7"/>
    <w:pPr>
      <w:jc w:val="center"/>
      <w:outlineLvl w:val="0"/>
    </w:pPr>
    <w:rPr>
      <w:i/>
    </w:rPr>
  </w:style>
  <w:style w:type="paragraph" w:customStyle="1" w:styleId="JuCourt">
    <w:name w:val="Ju_Court"/>
    <w:basedOn w:val="Normal"/>
    <w:next w:val="Normal"/>
    <w:uiPriority w:val="16"/>
    <w:qFormat/>
    <w:rsid w:val="00E93FC7"/>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Normal"/>
    <w:uiPriority w:val="19"/>
    <w:qFormat/>
    <w:rsid w:val="00E93FC7"/>
    <w:pPr>
      <w:tabs>
        <w:tab w:val="left" w:pos="357"/>
      </w:tabs>
      <w:spacing w:before="360" w:after="240"/>
      <w:ind w:left="357" w:hanging="357"/>
    </w:pPr>
    <w:rPr>
      <w:b w:val="0"/>
      <w:color w:val="auto"/>
      <w:sz w:val="24"/>
    </w:rPr>
  </w:style>
  <w:style w:type="character" w:customStyle="1" w:styleId="Heading1Char">
    <w:name w:val="Heading 1 Char"/>
    <w:basedOn w:val="DefaultParagraphFont"/>
    <w:link w:val="Heading1"/>
    <w:uiPriority w:val="9"/>
    <w:rsid w:val="00E93FC7"/>
    <w:rPr>
      <w:rFonts w:asciiTheme="majorHAnsi" w:eastAsiaTheme="majorEastAsia" w:hAnsiTheme="majorHAnsi" w:cstheme="majorBidi"/>
      <w:b/>
      <w:bCs/>
      <w:color w:val="00548C" w:themeColor="accent1" w:themeShade="BF"/>
      <w:sz w:val="28"/>
      <w:szCs w:val="28"/>
    </w:rPr>
  </w:style>
  <w:style w:type="paragraph" w:customStyle="1" w:styleId="ECHRHeading2">
    <w:name w:val="ECHR_Heading_2"/>
    <w:aliases w:val="Ju_H_A,Head_2"/>
    <w:basedOn w:val="Heading2"/>
    <w:next w:val="Normal"/>
    <w:uiPriority w:val="20"/>
    <w:qFormat/>
    <w:rsid w:val="00E93FC7"/>
    <w:pPr>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
    <w:semiHidden/>
    <w:rsid w:val="005C4C1E"/>
    <w:rPr>
      <w:rFonts w:asciiTheme="majorHAnsi" w:eastAsiaTheme="majorEastAsia" w:hAnsiTheme="majorHAnsi" w:cstheme="majorBidi"/>
      <w:b/>
      <w:bCs/>
      <w:color w:val="0072BC" w:themeColor="accent1"/>
      <w:sz w:val="26"/>
      <w:szCs w:val="26"/>
    </w:rPr>
  </w:style>
  <w:style w:type="paragraph" w:customStyle="1" w:styleId="ECHRHeading3">
    <w:name w:val="ECHR_Heading_3"/>
    <w:aliases w:val="Ju_H_1."/>
    <w:basedOn w:val="Heading3"/>
    <w:next w:val="Normal"/>
    <w:uiPriority w:val="21"/>
    <w:qFormat/>
    <w:rsid w:val="00E93FC7"/>
    <w:pPr>
      <w:tabs>
        <w:tab w:val="left" w:pos="731"/>
      </w:tabs>
      <w:spacing w:before="240" w:after="120"/>
      <w:ind w:left="732" w:hanging="301"/>
    </w:pPr>
    <w:rPr>
      <w:b w:val="0"/>
      <w:i/>
      <w:color w:val="auto"/>
    </w:rPr>
  </w:style>
  <w:style w:type="character" w:customStyle="1" w:styleId="Heading3Char">
    <w:name w:val="Heading 3 Char"/>
    <w:basedOn w:val="DefaultParagraphFont"/>
    <w:link w:val="Heading3"/>
    <w:uiPriority w:val="9"/>
    <w:semiHidden/>
    <w:rsid w:val="00E93FC7"/>
    <w:rPr>
      <w:rFonts w:asciiTheme="majorHAnsi" w:eastAsiaTheme="majorEastAsia" w:hAnsiTheme="majorHAnsi" w:cstheme="majorBidi"/>
      <w:b/>
      <w:bCs/>
      <w:color w:val="0072BC" w:themeColor="accent1"/>
      <w:sz w:val="24"/>
    </w:rPr>
  </w:style>
  <w:style w:type="paragraph" w:customStyle="1" w:styleId="ECHRHeading4">
    <w:name w:val="ECHR_Heading_4"/>
    <w:aliases w:val="Ju_H_a"/>
    <w:basedOn w:val="Heading4"/>
    <w:next w:val="Normal"/>
    <w:uiPriority w:val="22"/>
    <w:qFormat/>
    <w:rsid w:val="00E93FC7"/>
    <w:pPr>
      <w:tabs>
        <w:tab w:val="left" w:pos="975"/>
      </w:tabs>
      <w:spacing w:before="240" w:after="120"/>
      <w:ind w:left="975" w:hanging="340"/>
    </w:pPr>
    <w:rPr>
      <w:i w:val="0"/>
      <w:color w:val="auto"/>
      <w:sz w:val="20"/>
    </w:rPr>
  </w:style>
  <w:style w:type="character" w:customStyle="1" w:styleId="Heading4Char">
    <w:name w:val="Heading 4 Char"/>
    <w:basedOn w:val="DefaultParagraphFont"/>
    <w:link w:val="Heading4"/>
    <w:uiPriority w:val="9"/>
    <w:semiHidden/>
    <w:rsid w:val="00E93FC7"/>
    <w:rPr>
      <w:rFonts w:asciiTheme="majorHAnsi" w:eastAsiaTheme="majorEastAsia" w:hAnsiTheme="majorHAnsi" w:cstheme="majorBidi"/>
      <w:b/>
      <w:bCs/>
      <w:i/>
      <w:iCs/>
      <w:color w:val="0072BC" w:themeColor="accent1"/>
      <w:sz w:val="24"/>
    </w:rPr>
  </w:style>
  <w:style w:type="paragraph" w:customStyle="1" w:styleId="ECHRHeading5">
    <w:name w:val="ECHR_Heading_5"/>
    <w:aliases w:val="Ju_H_i"/>
    <w:basedOn w:val="Heading5"/>
    <w:next w:val="Normal"/>
    <w:uiPriority w:val="23"/>
    <w:qFormat/>
    <w:rsid w:val="00E93FC7"/>
    <w:pPr>
      <w:keepNext/>
      <w:keepLines/>
      <w:tabs>
        <w:tab w:val="left" w:pos="1191"/>
      </w:tabs>
      <w:spacing w:before="240" w:after="120"/>
      <w:ind w:left="1190" w:hanging="357"/>
    </w:pPr>
    <w:rPr>
      <w:b w:val="0"/>
      <w:i/>
      <w:color w:val="auto"/>
      <w:sz w:val="20"/>
    </w:rPr>
  </w:style>
  <w:style w:type="character" w:customStyle="1" w:styleId="Heading5Char">
    <w:name w:val="Heading 5 Char"/>
    <w:basedOn w:val="DefaultParagraphFont"/>
    <w:link w:val="Heading5"/>
    <w:uiPriority w:val="99"/>
    <w:semiHidden/>
    <w:rsid w:val="00E93FC7"/>
    <w:rPr>
      <w:rFonts w:asciiTheme="majorHAnsi" w:eastAsiaTheme="majorEastAsia" w:hAnsiTheme="majorHAnsi" w:cstheme="majorBidi"/>
      <w:b/>
      <w:bCs/>
      <w:color w:val="808080"/>
    </w:rPr>
  </w:style>
  <w:style w:type="paragraph" w:customStyle="1" w:styleId="ECHRHeading6">
    <w:name w:val="ECHR_Heading_6"/>
    <w:aliases w:val="Ju_H_alpha"/>
    <w:basedOn w:val="Heading6"/>
    <w:next w:val="Normal"/>
    <w:uiPriority w:val="24"/>
    <w:qFormat/>
    <w:rsid w:val="00E93FC7"/>
    <w:pPr>
      <w:tabs>
        <w:tab w:val="left" w:pos="1372"/>
      </w:tabs>
      <w:spacing w:before="240" w:after="120"/>
      <w:ind w:left="1373" w:hanging="335"/>
    </w:pPr>
    <w:rPr>
      <w:bCs/>
      <w:color w:val="auto"/>
      <w:sz w:val="20"/>
      <w:lang w:bidi="en-US"/>
    </w:rPr>
  </w:style>
  <w:style w:type="character" w:customStyle="1" w:styleId="Heading6Char">
    <w:name w:val="Heading 6 Char"/>
    <w:basedOn w:val="DefaultParagraphFont"/>
    <w:link w:val="Heading6"/>
    <w:uiPriority w:val="9"/>
    <w:semiHidden/>
    <w:rsid w:val="00E93FC7"/>
    <w:rPr>
      <w:rFonts w:asciiTheme="majorHAnsi" w:eastAsiaTheme="majorEastAsia" w:hAnsiTheme="majorHAnsi" w:cstheme="majorBidi"/>
      <w:i/>
      <w:iCs/>
      <w:color w:val="00385D" w:themeColor="accent1" w:themeShade="7F"/>
      <w:sz w:val="24"/>
    </w:rPr>
  </w:style>
  <w:style w:type="paragraph" w:customStyle="1" w:styleId="ECHRHeading7">
    <w:name w:val="ECHR_Heading_7"/>
    <w:aliases w:val="Ju_H_–"/>
    <w:basedOn w:val="Heading7"/>
    <w:next w:val="Normal"/>
    <w:uiPriority w:val="25"/>
    <w:qFormat/>
    <w:rsid w:val="00E93FC7"/>
    <w:pPr>
      <w:keepNext/>
      <w:keepLines/>
      <w:spacing w:before="240" w:after="120"/>
      <w:ind w:left="1236"/>
    </w:pPr>
    <w:rPr>
      <w:sz w:val="20"/>
    </w:rPr>
  </w:style>
  <w:style w:type="character" w:customStyle="1" w:styleId="Heading7Char">
    <w:name w:val="Heading 7 Char"/>
    <w:basedOn w:val="DefaultParagraphFont"/>
    <w:link w:val="Heading7"/>
    <w:uiPriority w:val="99"/>
    <w:semiHidden/>
    <w:rsid w:val="00E93FC7"/>
    <w:rPr>
      <w:rFonts w:asciiTheme="majorHAnsi" w:eastAsiaTheme="majorEastAsia" w:hAnsiTheme="majorHAnsi" w:cstheme="majorBidi"/>
      <w:i/>
      <w:iCs/>
      <w:lang w:bidi="en-US"/>
    </w:rPr>
  </w:style>
  <w:style w:type="paragraph" w:customStyle="1" w:styleId="JuParaLast">
    <w:name w:val="Ju_Para_Last"/>
    <w:basedOn w:val="Normal"/>
    <w:next w:val="Normal"/>
    <w:uiPriority w:val="30"/>
    <w:qFormat/>
    <w:rsid w:val="00E93FC7"/>
    <w:pPr>
      <w:keepNext/>
      <w:keepLines/>
      <w:spacing w:before="240"/>
      <w:ind w:firstLine="284"/>
    </w:pPr>
  </w:style>
  <w:style w:type="paragraph" w:customStyle="1" w:styleId="DecList">
    <w:name w:val="Dec_List"/>
    <w:basedOn w:val="Normal"/>
    <w:uiPriority w:val="9"/>
    <w:qFormat/>
    <w:rsid w:val="00E93FC7"/>
    <w:pPr>
      <w:spacing w:before="240"/>
      <w:ind w:left="284"/>
    </w:pPr>
  </w:style>
  <w:style w:type="paragraph" w:customStyle="1" w:styleId="ECHRDecisionBody">
    <w:name w:val="ECHR_Decision_Body"/>
    <w:aliases w:val="Ju_Judges"/>
    <w:basedOn w:val="Normal"/>
    <w:uiPriority w:val="11"/>
    <w:qFormat/>
    <w:rsid w:val="00E93FC7"/>
    <w:pPr>
      <w:tabs>
        <w:tab w:val="left" w:pos="567"/>
        <w:tab w:val="left" w:pos="1134"/>
      </w:tabs>
      <w:jc w:val="left"/>
    </w:pPr>
  </w:style>
  <w:style w:type="paragraph" w:customStyle="1" w:styleId="JuList">
    <w:name w:val="Ju_List"/>
    <w:basedOn w:val="Normal"/>
    <w:uiPriority w:val="28"/>
    <w:qFormat/>
    <w:rsid w:val="00E93FC7"/>
    <w:pPr>
      <w:ind w:left="340" w:hanging="340"/>
    </w:pPr>
  </w:style>
  <w:style w:type="paragraph" w:customStyle="1" w:styleId="JuLista">
    <w:name w:val="Ju_List_a"/>
    <w:basedOn w:val="JuList"/>
    <w:uiPriority w:val="28"/>
    <w:qFormat/>
    <w:rsid w:val="00E93FC7"/>
    <w:pPr>
      <w:ind w:left="346" w:firstLine="0"/>
    </w:pPr>
  </w:style>
  <w:style w:type="paragraph" w:customStyle="1" w:styleId="JuListi">
    <w:name w:val="Ju_List_i"/>
    <w:basedOn w:val="Normal"/>
    <w:next w:val="JuLista"/>
    <w:uiPriority w:val="28"/>
    <w:qFormat/>
    <w:rsid w:val="00E93FC7"/>
    <w:pPr>
      <w:ind w:left="794"/>
    </w:pPr>
  </w:style>
  <w:style w:type="paragraph" w:customStyle="1" w:styleId="OpiH1">
    <w:name w:val="Opi_H_1"/>
    <w:basedOn w:val="ECHRHeading2"/>
    <w:uiPriority w:val="42"/>
    <w:semiHidden/>
    <w:qFormat/>
    <w:rsid w:val="00E93FC7"/>
    <w:pPr>
      <w:ind w:left="635" w:hanging="357"/>
      <w:outlineLvl w:val="2"/>
    </w:pPr>
  </w:style>
  <w:style w:type="paragraph" w:customStyle="1" w:styleId="OpiHa0">
    <w:name w:val="Opi_H_a"/>
    <w:basedOn w:val="ECHRHeading3"/>
    <w:uiPriority w:val="43"/>
    <w:semiHidden/>
    <w:qFormat/>
    <w:rsid w:val="00E93FC7"/>
    <w:pPr>
      <w:ind w:left="833" w:hanging="357"/>
      <w:outlineLvl w:val="3"/>
    </w:pPr>
    <w:rPr>
      <w:b/>
      <w:i w:val="0"/>
      <w:sz w:val="20"/>
    </w:rPr>
  </w:style>
  <w:style w:type="paragraph" w:customStyle="1" w:styleId="OpiHi">
    <w:name w:val="Opi_H_i"/>
    <w:basedOn w:val="ECHRHeading4"/>
    <w:uiPriority w:val="44"/>
    <w:semiHidden/>
    <w:qFormat/>
    <w:rsid w:val="00E93FC7"/>
    <w:pPr>
      <w:ind w:left="1037" w:hanging="357"/>
      <w:outlineLvl w:val="4"/>
    </w:pPr>
    <w:rPr>
      <w:b w:val="0"/>
      <w:i/>
    </w:rPr>
  </w:style>
  <w:style w:type="character" w:customStyle="1" w:styleId="Heading8Char">
    <w:name w:val="Heading 8 Char"/>
    <w:basedOn w:val="DefaultParagraphFont"/>
    <w:link w:val="Heading8"/>
    <w:uiPriority w:val="99"/>
    <w:semiHidden/>
    <w:rsid w:val="00E93FC7"/>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E93FC7"/>
    <w:rPr>
      <w:rFonts w:asciiTheme="majorHAnsi" w:eastAsiaTheme="majorEastAsia" w:hAnsiTheme="majorHAnsi" w:cstheme="majorBidi"/>
      <w:i/>
      <w:iCs/>
      <w:spacing w:val="5"/>
      <w:sz w:val="20"/>
      <w:szCs w:val="20"/>
      <w:lang w:bidi="en-US"/>
    </w:rPr>
  </w:style>
  <w:style w:type="paragraph" w:styleId="Title">
    <w:name w:val="Title"/>
    <w:basedOn w:val="Normal"/>
    <w:next w:val="Normal"/>
    <w:link w:val="TitleChar"/>
    <w:uiPriority w:val="99"/>
    <w:semiHidden/>
    <w:qFormat/>
    <w:rsid w:val="00E93FC7"/>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rsid w:val="00E93FC7"/>
    <w:rPr>
      <w:rFonts w:asciiTheme="majorHAnsi" w:eastAsiaTheme="majorEastAsia" w:hAnsiTheme="majorHAnsi" w:cstheme="majorBidi"/>
      <w:spacing w:val="5"/>
      <w:sz w:val="52"/>
      <w:szCs w:val="52"/>
      <w:lang w:bidi="en-US"/>
    </w:rPr>
  </w:style>
  <w:style w:type="paragraph" w:styleId="Subtitle">
    <w:name w:val="Subtitle"/>
    <w:basedOn w:val="Normal"/>
    <w:next w:val="Normal"/>
    <w:link w:val="SubtitleChar"/>
    <w:uiPriority w:val="99"/>
    <w:semiHidden/>
    <w:qFormat/>
    <w:rsid w:val="00E93FC7"/>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rsid w:val="00E93FC7"/>
    <w:rPr>
      <w:rFonts w:asciiTheme="majorHAnsi" w:eastAsiaTheme="majorEastAsia" w:hAnsiTheme="majorHAnsi" w:cstheme="majorBidi"/>
      <w:i/>
      <w:iCs/>
      <w:spacing w:val="13"/>
      <w:sz w:val="24"/>
      <w:szCs w:val="24"/>
      <w:lang w:bidi="en-US"/>
    </w:rPr>
  </w:style>
  <w:style w:type="character" w:styleId="Strong">
    <w:name w:val="Strong"/>
    <w:uiPriority w:val="99"/>
    <w:semiHidden/>
    <w:qFormat/>
    <w:rsid w:val="00E93FC7"/>
    <w:rPr>
      <w:b/>
      <w:bCs/>
    </w:rPr>
  </w:style>
  <w:style w:type="character" w:styleId="Emphasis">
    <w:name w:val="Emphasis"/>
    <w:uiPriority w:val="99"/>
    <w:semiHidden/>
    <w:qFormat/>
    <w:rsid w:val="00E93FC7"/>
    <w:rPr>
      <w:b/>
      <w:bCs/>
      <w:i/>
      <w:iCs/>
      <w:spacing w:val="10"/>
      <w:bdr w:val="none" w:sz="0" w:space="0" w:color="auto"/>
      <w:shd w:val="clear" w:color="auto" w:fill="auto"/>
    </w:rPr>
  </w:style>
  <w:style w:type="paragraph" w:styleId="NoSpacing">
    <w:name w:val="No Spacing"/>
    <w:basedOn w:val="Normal"/>
    <w:link w:val="NoSpacingChar"/>
    <w:semiHidden/>
    <w:qFormat/>
    <w:rsid w:val="00E93FC7"/>
    <w:rPr>
      <w:sz w:val="22"/>
    </w:rPr>
  </w:style>
  <w:style w:type="character" w:customStyle="1" w:styleId="NoSpacingChar">
    <w:name w:val="No Spacing Char"/>
    <w:basedOn w:val="DefaultParagraphFont"/>
    <w:link w:val="NoSpacing"/>
    <w:rsid w:val="00E93FC7"/>
    <w:rPr>
      <w:rFonts w:eastAsiaTheme="minorEastAsia"/>
    </w:rPr>
  </w:style>
  <w:style w:type="paragraph" w:styleId="ListParagraph">
    <w:name w:val="List Paragraph"/>
    <w:basedOn w:val="Normal"/>
    <w:uiPriority w:val="99"/>
    <w:semiHidden/>
    <w:qFormat/>
    <w:rsid w:val="00E93FC7"/>
    <w:pPr>
      <w:ind w:left="720"/>
      <w:contextualSpacing/>
    </w:pPr>
  </w:style>
  <w:style w:type="paragraph" w:styleId="Quote">
    <w:name w:val="Quote"/>
    <w:basedOn w:val="Normal"/>
    <w:next w:val="Normal"/>
    <w:link w:val="QuoteChar"/>
    <w:uiPriority w:val="99"/>
    <w:semiHidden/>
    <w:qFormat/>
    <w:rsid w:val="00E93FC7"/>
    <w:pPr>
      <w:spacing w:before="200"/>
      <w:ind w:left="360" w:right="360"/>
    </w:pPr>
    <w:rPr>
      <w:i/>
      <w:iCs/>
      <w:sz w:val="22"/>
      <w:lang w:bidi="en-US"/>
    </w:rPr>
  </w:style>
  <w:style w:type="character" w:customStyle="1" w:styleId="QuoteChar">
    <w:name w:val="Quote Char"/>
    <w:basedOn w:val="DefaultParagraphFont"/>
    <w:link w:val="Quote"/>
    <w:uiPriority w:val="99"/>
    <w:rsid w:val="00E93FC7"/>
    <w:rPr>
      <w:rFonts w:eastAsiaTheme="minorEastAsia"/>
      <w:i/>
      <w:iCs/>
      <w:lang w:bidi="en-US"/>
    </w:rPr>
  </w:style>
  <w:style w:type="paragraph" w:styleId="IntenseQuote">
    <w:name w:val="Intense Quote"/>
    <w:basedOn w:val="Normal"/>
    <w:next w:val="Normal"/>
    <w:link w:val="IntenseQuoteChar"/>
    <w:uiPriority w:val="99"/>
    <w:semiHidden/>
    <w:qFormat/>
    <w:rsid w:val="00E93FC7"/>
    <w:pPr>
      <w:pBdr>
        <w:bottom w:val="single" w:sz="4" w:space="1" w:color="auto"/>
      </w:pBdr>
      <w:spacing w:before="200" w:after="280"/>
      <w:ind w:left="1008" w:right="1152"/>
    </w:pPr>
    <w:rPr>
      <w:b/>
      <w:bCs/>
      <w:i/>
      <w:iCs/>
      <w:sz w:val="22"/>
      <w:lang w:bidi="en-US"/>
    </w:rPr>
  </w:style>
  <w:style w:type="character" w:customStyle="1" w:styleId="IntenseQuoteChar">
    <w:name w:val="Intense Quote Char"/>
    <w:basedOn w:val="DefaultParagraphFont"/>
    <w:link w:val="IntenseQuote"/>
    <w:uiPriority w:val="99"/>
    <w:rsid w:val="00E93FC7"/>
    <w:rPr>
      <w:rFonts w:eastAsiaTheme="minorEastAsia"/>
      <w:b/>
      <w:bCs/>
      <w:i/>
      <w:iCs/>
      <w:lang w:bidi="en-US"/>
    </w:rPr>
  </w:style>
  <w:style w:type="character" w:styleId="SubtleEmphasis">
    <w:name w:val="Subtle Emphasis"/>
    <w:uiPriority w:val="99"/>
    <w:semiHidden/>
    <w:qFormat/>
    <w:rsid w:val="00E93FC7"/>
    <w:rPr>
      <w:i/>
      <w:iCs/>
    </w:rPr>
  </w:style>
  <w:style w:type="character" w:styleId="IntenseEmphasis">
    <w:name w:val="Intense Emphasis"/>
    <w:uiPriority w:val="99"/>
    <w:semiHidden/>
    <w:qFormat/>
    <w:rsid w:val="00E93FC7"/>
    <w:rPr>
      <w:b/>
      <w:bCs/>
    </w:rPr>
  </w:style>
  <w:style w:type="character" w:styleId="SubtleReference">
    <w:name w:val="Subtle Reference"/>
    <w:uiPriority w:val="99"/>
    <w:semiHidden/>
    <w:qFormat/>
    <w:rsid w:val="00E93FC7"/>
    <w:rPr>
      <w:smallCaps/>
    </w:rPr>
  </w:style>
  <w:style w:type="character" w:styleId="IntenseReference">
    <w:name w:val="Intense Reference"/>
    <w:uiPriority w:val="99"/>
    <w:semiHidden/>
    <w:qFormat/>
    <w:rsid w:val="00E93FC7"/>
    <w:rPr>
      <w:smallCaps/>
      <w:spacing w:val="5"/>
      <w:u w:val="single"/>
    </w:rPr>
  </w:style>
  <w:style w:type="character" w:styleId="BookTitle">
    <w:name w:val="Book Title"/>
    <w:uiPriority w:val="99"/>
    <w:semiHidden/>
    <w:qFormat/>
    <w:rsid w:val="00E93FC7"/>
    <w:rPr>
      <w:i/>
      <w:iCs/>
      <w:smallCaps/>
      <w:spacing w:val="5"/>
    </w:rPr>
  </w:style>
  <w:style w:type="paragraph" w:styleId="TOCHeading">
    <w:name w:val="TOC Heading"/>
    <w:basedOn w:val="Heading1"/>
    <w:next w:val="Normal"/>
    <w:uiPriority w:val="99"/>
    <w:semiHidden/>
    <w:qFormat/>
    <w:rsid w:val="00E93FC7"/>
    <w:pPr>
      <w:keepNext w:val="0"/>
      <w:keepLines w:val="0"/>
      <w:contextualSpacing/>
      <w:outlineLvl w:val="9"/>
    </w:pPr>
    <w:rPr>
      <w:color w:val="474747" w:themeColor="accent3" w:themeShade="BF"/>
    </w:rPr>
  </w:style>
  <w:style w:type="numbering" w:styleId="111111">
    <w:name w:val="Outline List 2"/>
    <w:basedOn w:val="NoList"/>
    <w:uiPriority w:val="99"/>
    <w:semiHidden/>
    <w:unhideWhenUsed/>
    <w:rsid w:val="00E93FC7"/>
    <w:pPr>
      <w:numPr>
        <w:numId w:val="3"/>
      </w:numPr>
    </w:pPr>
  </w:style>
  <w:style w:type="numbering" w:styleId="1ai">
    <w:name w:val="Outline List 1"/>
    <w:basedOn w:val="NoList"/>
    <w:uiPriority w:val="99"/>
    <w:semiHidden/>
    <w:unhideWhenUsed/>
    <w:rsid w:val="00E93FC7"/>
    <w:pPr>
      <w:numPr>
        <w:numId w:val="4"/>
      </w:numPr>
    </w:pPr>
  </w:style>
  <w:style w:type="numbering" w:styleId="ArticleSection">
    <w:name w:val="Outline List 3"/>
    <w:basedOn w:val="NoList"/>
    <w:uiPriority w:val="99"/>
    <w:semiHidden/>
    <w:unhideWhenUsed/>
    <w:rsid w:val="00E93FC7"/>
    <w:pPr>
      <w:numPr>
        <w:numId w:val="5"/>
      </w:numPr>
    </w:pPr>
  </w:style>
  <w:style w:type="paragraph" w:styleId="Bibliography">
    <w:name w:val="Bibliography"/>
    <w:basedOn w:val="Normal"/>
    <w:next w:val="Normal"/>
    <w:uiPriority w:val="37"/>
    <w:semiHidden/>
    <w:unhideWhenUsed/>
    <w:rsid w:val="00E93FC7"/>
  </w:style>
  <w:style w:type="paragraph" w:styleId="BlockText">
    <w:name w:val="Block Text"/>
    <w:basedOn w:val="Normal"/>
    <w:uiPriority w:val="99"/>
    <w:semiHidden/>
    <w:unhideWhenUsed/>
    <w:rsid w:val="00E93FC7"/>
    <w:pPr>
      <w:pBdr>
        <w:top w:val="single" w:sz="2" w:space="10" w:color="0072BC" w:themeColor="accent1" w:frame="1"/>
        <w:left w:val="single" w:sz="2" w:space="10" w:color="0072BC" w:themeColor="accent1" w:frame="1"/>
        <w:bottom w:val="single" w:sz="2" w:space="10" w:color="0072BC" w:themeColor="accent1" w:frame="1"/>
        <w:right w:val="single" w:sz="2" w:space="10" w:color="0072BC" w:themeColor="accent1" w:frame="1"/>
      </w:pBdr>
      <w:ind w:left="1152" w:right="1152"/>
    </w:pPr>
    <w:rPr>
      <w:i/>
      <w:iCs/>
      <w:color w:val="0072BC" w:themeColor="accent1"/>
    </w:rPr>
  </w:style>
  <w:style w:type="paragraph" w:styleId="BodyText">
    <w:name w:val="Body Text"/>
    <w:basedOn w:val="Normal"/>
    <w:link w:val="BodyTextChar"/>
    <w:uiPriority w:val="99"/>
    <w:semiHidden/>
    <w:unhideWhenUsed/>
    <w:rsid w:val="00E93FC7"/>
    <w:pPr>
      <w:spacing w:after="120"/>
    </w:pPr>
  </w:style>
  <w:style w:type="character" w:customStyle="1" w:styleId="BodyTextChar">
    <w:name w:val="Body Text Char"/>
    <w:basedOn w:val="DefaultParagraphFont"/>
    <w:link w:val="BodyText"/>
    <w:uiPriority w:val="99"/>
    <w:semiHidden/>
    <w:rsid w:val="00E93FC7"/>
    <w:rPr>
      <w:rFonts w:eastAsiaTheme="minorEastAsia"/>
      <w:sz w:val="24"/>
    </w:rPr>
  </w:style>
  <w:style w:type="paragraph" w:styleId="BodyText2">
    <w:name w:val="Body Text 2"/>
    <w:basedOn w:val="Normal"/>
    <w:link w:val="BodyText2Char"/>
    <w:uiPriority w:val="99"/>
    <w:semiHidden/>
    <w:unhideWhenUsed/>
    <w:rsid w:val="00E93FC7"/>
    <w:pPr>
      <w:spacing w:after="120" w:line="480" w:lineRule="auto"/>
    </w:pPr>
  </w:style>
  <w:style w:type="character" w:customStyle="1" w:styleId="BodyText2Char">
    <w:name w:val="Body Text 2 Char"/>
    <w:basedOn w:val="DefaultParagraphFont"/>
    <w:link w:val="BodyText2"/>
    <w:uiPriority w:val="99"/>
    <w:semiHidden/>
    <w:rsid w:val="00E93FC7"/>
    <w:rPr>
      <w:rFonts w:eastAsiaTheme="minorEastAsia"/>
      <w:sz w:val="24"/>
    </w:rPr>
  </w:style>
  <w:style w:type="paragraph" w:styleId="BodyText3">
    <w:name w:val="Body Text 3"/>
    <w:basedOn w:val="Normal"/>
    <w:link w:val="BodyText3Char"/>
    <w:uiPriority w:val="99"/>
    <w:semiHidden/>
    <w:unhideWhenUsed/>
    <w:rsid w:val="00E93FC7"/>
    <w:pPr>
      <w:spacing w:after="120"/>
    </w:pPr>
    <w:rPr>
      <w:sz w:val="16"/>
      <w:szCs w:val="16"/>
    </w:rPr>
  </w:style>
  <w:style w:type="character" w:customStyle="1" w:styleId="BodyText3Char">
    <w:name w:val="Body Text 3 Char"/>
    <w:basedOn w:val="DefaultParagraphFont"/>
    <w:link w:val="BodyText3"/>
    <w:uiPriority w:val="99"/>
    <w:semiHidden/>
    <w:rsid w:val="00E93FC7"/>
    <w:rPr>
      <w:rFonts w:eastAsiaTheme="minorEastAsia"/>
      <w:sz w:val="16"/>
      <w:szCs w:val="16"/>
    </w:rPr>
  </w:style>
  <w:style w:type="paragraph" w:styleId="BodyTextFirstIndent">
    <w:name w:val="Body Text First Indent"/>
    <w:basedOn w:val="BodyText"/>
    <w:link w:val="BodyTextFirstIndentChar"/>
    <w:uiPriority w:val="99"/>
    <w:semiHidden/>
    <w:unhideWhenUsed/>
    <w:rsid w:val="00E93FC7"/>
    <w:pPr>
      <w:spacing w:after="0"/>
      <w:ind w:firstLine="360"/>
    </w:pPr>
  </w:style>
  <w:style w:type="character" w:customStyle="1" w:styleId="BodyTextFirstIndentChar">
    <w:name w:val="Body Text First Indent Char"/>
    <w:basedOn w:val="BodyTextChar"/>
    <w:link w:val="BodyTextFirstIndent"/>
    <w:uiPriority w:val="99"/>
    <w:semiHidden/>
    <w:rsid w:val="00E93FC7"/>
    <w:rPr>
      <w:rFonts w:eastAsiaTheme="minorEastAsia"/>
      <w:sz w:val="24"/>
    </w:rPr>
  </w:style>
  <w:style w:type="paragraph" w:styleId="BodyTextIndent">
    <w:name w:val="Body Text Indent"/>
    <w:basedOn w:val="Normal"/>
    <w:link w:val="BodyTextIndentChar"/>
    <w:uiPriority w:val="99"/>
    <w:semiHidden/>
    <w:unhideWhenUsed/>
    <w:rsid w:val="00E93FC7"/>
    <w:pPr>
      <w:spacing w:after="120"/>
      <w:ind w:left="283"/>
    </w:pPr>
  </w:style>
  <w:style w:type="character" w:customStyle="1" w:styleId="BodyTextIndentChar">
    <w:name w:val="Body Text Indent Char"/>
    <w:basedOn w:val="DefaultParagraphFont"/>
    <w:link w:val="BodyTextIndent"/>
    <w:uiPriority w:val="99"/>
    <w:semiHidden/>
    <w:rsid w:val="00E93FC7"/>
    <w:rPr>
      <w:rFonts w:eastAsiaTheme="minorEastAsia"/>
      <w:sz w:val="24"/>
    </w:rPr>
  </w:style>
  <w:style w:type="paragraph" w:styleId="BodyTextFirstIndent2">
    <w:name w:val="Body Text First Indent 2"/>
    <w:basedOn w:val="BodyTextIndent"/>
    <w:link w:val="BodyTextFirstIndent2Char"/>
    <w:uiPriority w:val="99"/>
    <w:semiHidden/>
    <w:unhideWhenUsed/>
    <w:rsid w:val="00E93FC7"/>
    <w:pPr>
      <w:spacing w:after="0"/>
      <w:ind w:left="360" w:firstLine="360"/>
    </w:pPr>
  </w:style>
  <w:style w:type="character" w:customStyle="1" w:styleId="BodyTextFirstIndent2Char">
    <w:name w:val="Body Text First Indent 2 Char"/>
    <w:basedOn w:val="BodyTextIndentChar"/>
    <w:link w:val="BodyTextFirstIndent2"/>
    <w:uiPriority w:val="99"/>
    <w:semiHidden/>
    <w:rsid w:val="00E93FC7"/>
    <w:rPr>
      <w:rFonts w:eastAsiaTheme="minorEastAsia"/>
      <w:sz w:val="24"/>
    </w:rPr>
  </w:style>
  <w:style w:type="paragraph" w:styleId="BodyTextIndent2">
    <w:name w:val="Body Text Indent 2"/>
    <w:basedOn w:val="Normal"/>
    <w:link w:val="BodyTextIndent2Char"/>
    <w:uiPriority w:val="99"/>
    <w:semiHidden/>
    <w:unhideWhenUsed/>
    <w:rsid w:val="00E93FC7"/>
    <w:pPr>
      <w:spacing w:after="120" w:line="480" w:lineRule="auto"/>
      <w:ind w:left="283"/>
    </w:pPr>
  </w:style>
  <w:style w:type="character" w:customStyle="1" w:styleId="BodyTextIndent2Char">
    <w:name w:val="Body Text Indent 2 Char"/>
    <w:basedOn w:val="DefaultParagraphFont"/>
    <w:link w:val="BodyTextIndent2"/>
    <w:uiPriority w:val="99"/>
    <w:semiHidden/>
    <w:rsid w:val="00E93FC7"/>
    <w:rPr>
      <w:rFonts w:eastAsiaTheme="minorEastAsia"/>
      <w:sz w:val="24"/>
    </w:rPr>
  </w:style>
  <w:style w:type="paragraph" w:styleId="BodyTextIndent3">
    <w:name w:val="Body Text Indent 3"/>
    <w:basedOn w:val="Normal"/>
    <w:link w:val="BodyTextIndent3Char"/>
    <w:uiPriority w:val="99"/>
    <w:semiHidden/>
    <w:unhideWhenUsed/>
    <w:rsid w:val="00E93FC7"/>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E93FC7"/>
    <w:rPr>
      <w:rFonts w:eastAsiaTheme="minorEastAsia"/>
      <w:sz w:val="16"/>
      <w:szCs w:val="16"/>
    </w:rPr>
  </w:style>
  <w:style w:type="paragraph" w:styleId="Caption">
    <w:name w:val="caption"/>
    <w:basedOn w:val="Normal"/>
    <w:next w:val="Normal"/>
    <w:uiPriority w:val="99"/>
    <w:semiHidden/>
    <w:qFormat/>
    <w:rsid w:val="00E93FC7"/>
    <w:pPr>
      <w:spacing w:after="200"/>
    </w:pPr>
    <w:rPr>
      <w:b/>
      <w:bCs/>
      <w:color w:val="0072BC" w:themeColor="accent1"/>
      <w:sz w:val="18"/>
      <w:szCs w:val="18"/>
    </w:rPr>
  </w:style>
  <w:style w:type="paragraph" w:styleId="Closing">
    <w:name w:val="Closing"/>
    <w:basedOn w:val="Normal"/>
    <w:link w:val="ClosingChar"/>
    <w:uiPriority w:val="99"/>
    <w:semiHidden/>
    <w:unhideWhenUsed/>
    <w:rsid w:val="00E93FC7"/>
    <w:pPr>
      <w:ind w:left="4252"/>
    </w:pPr>
  </w:style>
  <w:style w:type="character" w:customStyle="1" w:styleId="ClosingChar">
    <w:name w:val="Closing Char"/>
    <w:basedOn w:val="DefaultParagraphFont"/>
    <w:link w:val="Closing"/>
    <w:uiPriority w:val="99"/>
    <w:semiHidden/>
    <w:rsid w:val="00E93FC7"/>
    <w:rPr>
      <w:rFonts w:eastAsiaTheme="minorEastAsia"/>
      <w:sz w:val="24"/>
    </w:rPr>
  </w:style>
  <w:style w:type="table" w:styleId="ColorfulGrid">
    <w:name w:val="Colorful Grid"/>
    <w:basedOn w:val="TableNormal"/>
    <w:uiPriority w:val="73"/>
    <w:semiHidden/>
    <w:rsid w:val="00E93FC7"/>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E93FC7"/>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E93FC7"/>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E93FC7"/>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E93FC7"/>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E93FC7"/>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E93FC7"/>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E93FC7"/>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E93FC7"/>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E93FC7"/>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E93FC7"/>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E93FC7"/>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E93FC7"/>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E93FC7"/>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E93FC7"/>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E93FC7"/>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E93FC7"/>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E93FC7"/>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E93FC7"/>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E93FC7"/>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E93FC7"/>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9"/>
    <w:semiHidden/>
    <w:unhideWhenUsed/>
    <w:rsid w:val="00E93FC7"/>
    <w:rPr>
      <w:b/>
      <w:bCs/>
      <w:szCs w:val="20"/>
    </w:rPr>
  </w:style>
  <w:style w:type="character" w:customStyle="1" w:styleId="CommentSubjectChar">
    <w:name w:val="Comment Subject Char"/>
    <w:basedOn w:val="CommentTextChar"/>
    <w:link w:val="CommentSubject"/>
    <w:uiPriority w:val="99"/>
    <w:semiHidden/>
    <w:rsid w:val="00E93FC7"/>
    <w:rPr>
      <w:rFonts w:eastAsiaTheme="minorEastAsia"/>
      <w:b/>
      <w:bCs/>
      <w:sz w:val="20"/>
      <w:szCs w:val="20"/>
    </w:rPr>
  </w:style>
  <w:style w:type="table" w:styleId="DarkList">
    <w:name w:val="Dark List"/>
    <w:basedOn w:val="TableNormal"/>
    <w:uiPriority w:val="70"/>
    <w:semiHidden/>
    <w:rsid w:val="00E93FC7"/>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E93FC7"/>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E93FC7"/>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E93FC7"/>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E93FC7"/>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E93FC7"/>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E93FC7"/>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unhideWhenUsed/>
    <w:rsid w:val="00E93FC7"/>
  </w:style>
  <w:style w:type="character" w:customStyle="1" w:styleId="DateChar">
    <w:name w:val="Date Char"/>
    <w:basedOn w:val="DefaultParagraphFont"/>
    <w:link w:val="Date"/>
    <w:uiPriority w:val="99"/>
    <w:semiHidden/>
    <w:rsid w:val="00E93FC7"/>
    <w:rPr>
      <w:rFonts w:eastAsiaTheme="minorEastAsia"/>
      <w:sz w:val="24"/>
    </w:rPr>
  </w:style>
  <w:style w:type="paragraph" w:styleId="DocumentMap">
    <w:name w:val="Document Map"/>
    <w:basedOn w:val="Normal"/>
    <w:link w:val="DocumentMapChar"/>
    <w:uiPriority w:val="99"/>
    <w:semiHidden/>
    <w:unhideWhenUsed/>
    <w:rsid w:val="00E93FC7"/>
    <w:rPr>
      <w:rFonts w:ascii="Tahoma" w:hAnsi="Tahoma" w:cs="Tahoma"/>
      <w:sz w:val="16"/>
      <w:szCs w:val="16"/>
    </w:rPr>
  </w:style>
  <w:style w:type="character" w:customStyle="1" w:styleId="DocumentMapChar">
    <w:name w:val="Document Map Char"/>
    <w:basedOn w:val="DefaultParagraphFont"/>
    <w:link w:val="DocumentMap"/>
    <w:uiPriority w:val="99"/>
    <w:semiHidden/>
    <w:rsid w:val="00E93FC7"/>
    <w:rPr>
      <w:rFonts w:ascii="Tahoma" w:eastAsiaTheme="minorEastAsia" w:hAnsi="Tahoma" w:cs="Tahoma"/>
      <w:sz w:val="16"/>
      <w:szCs w:val="16"/>
    </w:rPr>
  </w:style>
  <w:style w:type="paragraph" w:styleId="E-mailSignature">
    <w:name w:val="E-mail Signature"/>
    <w:basedOn w:val="Normal"/>
    <w:link w:val="E-mailSignatureChar"/>
    <w:uiPriority w:val="99"/>
    <w:semiHidden/>
    <w:unhideWhenUsed/>
    <w:rsid w:val="00E93FC7"/>
  </w:style>
  <w:style w:type="character" w:customStyle="1" w:styleId="E-mailSignatureChar">
    <w:name w:val="E-mail Signature Char"/>
    <w:basedOn w:val="DefaultParagraphFont"/>
    <w:link w:val="E-mailSignature"/>
    <w:uiPriority w:val="99"/>
    <w:semiHidden/>
    <w:rsid w:val="00E93FC7"/>
    <w:rPr>
      <w:rFonts w:eastAsiaTheme="minorEastAsia"/>
      <w:sz w:val="24"/>
    </w:rPr>
  </w:style>
  <w:style w:type="character" w:styleId="EndnoteReference">
    <w:name w:val="endnote reference"/>
    <w:basedOn w:val="DefaultParagraphFont"/>
    <w:uiPriority w:val="99"/>
    <w:semiHidden/>
    <w:unhideWhenUsed/>
    <w:rsid w:val="00E93FC7"/>
    <w:rPr>
      <w:vertAlign w:val="superscript"/>
    </w:rPr>
  </w:style>
  <w:style w:type="paragraph" w:styleId="EndnoteText">
    <w:name w:val="endnote text"/>
    <w:basedOn w:val="Normal"/>
    <w:link w:val="EndnoteTextChar"/>
    <w:uiPriority w:val="99"/>
    <w:semiHidden/>
    <w:unhideWhenUsed/>
    <w:rsid w:val="00E93FC7"/>
    <w:rPr>
      <w:sz w:val="20"/>
      <w:szCs w:val="20"/>
    </w:rPr>
  </w:style>
  <w:style w:type="character" w:customStyle="1" w:styleId="EndnoteTextChar">
    <w:name w:val="Endnote Text Char"/>
    <w:basedOn w:val="DefaultParagraphFont"/>
    <w:link w:val="EndnoteText"/>
    <w:uiPriority w:val="99"/>
    <w:semiHidden/>
    <w:rsid w:val="00E93FC7"/>
    <w:rPr>
      <w:rFonts w:eastAsiaTheme="minorEastAsia"/>
      <w:sz w:val="20"/>
      <w:szCs w:val="20"/>
    </w:rPr>
  </w:style>
  <w:style w:type="paragraph" w:styleId="EnvelopeAddress">
    <w:name w:val="envelope address"/>
    <w:basedOn w:val="Normal"/>
    <w:uiPriority w:val="99"/>
    <w:semiHidden/>
    <w:unhideWhenUsed/>
    <w:rsid w:val="00E93FC7"/>
    <w:pPr>
      <w:framePr w:w="7920" w:h="1980" w:hRule="exact" w:hSpace="180" w:wrap="auto" w:hAnchor="page" w:xAlign="center" w:yAlign="bottom"/>
      <w:ind w:left="2880"/>
    </w:pPr>
    <w:rPr>
      <w:rFonts w:asciiTheme="majorHAnsi" w:eastAsiaTheme="majorEastAsia" w:hAnsiTheme="majorHAnsi" w:cstheme="majorBidi"/>
      <w:szCs w:val="24"/>
    </w:rPr>
  </w:style>
  <w:style w:type="paragraph" w:styleId="EnvelopeReturn">
    <w:name w:val="envelope return"/>
    <w:basedOn w:val="Normal"/>
    <w:uiPriority w:val="99"/>
    <w:semiHidden/>
    <w:unhideWhenUsed/>
    <w:rsid w:val="00E93FC7"/>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E93FC7"/>
    <w:rPr>
      <w:color w:val="7030A0" w:themeColor="followedHyperlink"/>
      <w:u w:val="single"/>
    </w:rPr>
  </w:style>
  <w:style w:type="character" w:styleId="FootnoteReference">
    <w:name w:val="footnote reference"/>
    <w:basedOn w:val="DefaultParagraphFont"/>
    <w:uiPriority w:val="99"/>
    <w:semiHidden/>
    <w:unhideWhenUsed/>
    <w:rsid w:val="00E93FC7"/>
    <w:rPr>
      <w:vertAlign w:val="superscript"/>
    </w:rPr>
  </w:style>
  <w:style w:type="paragraph" w:styleId="FootnoteText">
    <w:name w:val="footnote text"/>
    <w:basedOn w:val="Normal"/>
    <w:link w:val="FootnoteTextChar"/>
    <w:uiPriority w:val="99"/>
    <w:semiHidden/>
    <w:unhideWhenUsed/>
    <w:rsid w:val="00E93FC7"/>
    <w:rPr>
      <w:sz w:val="20"/>
      <w:szCs w:val="20"/>
    </w:rPr>
  </w:style>
  <w:style w:type="character" w:customStyle="1" w:styleId="FootnoteTextChar">
    <w:name w:val="Footnote Text Char"/>
    <w:basedOn w:val="DefaultParagraphFont"/>
    <w:link w:val="FootnoteText"/>
    <w:uiPriority w:val="99"/>
    <w:semiHidden/>
    <w:rsid w:val="00E93FC7"/>
    <w:rPr>
      <w:rFonts w:eastAsiaTheme="minorEastAsia"/>
      <w:sz w:val="20"/>
      <w:szCs w:val="20"/>
    </w:rPr>
  </w:style>
  <w:style w:type="character" w:styleId="HTMLAcronym">
    <w:name w:val="HTML Acronym"/>
    <w:basedOn w:val="DefaultParagraphFont"/>
    <w:uiPriority w:val="99"/>
    <w:semiHidden/>
    <w:unhideWhenUsed/>
    <w:rsid w:val="00E93FC7"/>
  </w:style>
  <w:style w:type="paragraph" w:styleId="HTMLAddress">
    <w:name w:val="HTML Address"/>
    <w:basedOn w:val="Normal"/>
    <w:link w:val="HTMLAddressChar"/>
    <w:uiPriority w:val="99"/>
    <w:semiHidden/>
    <w:unhideWhenUsed/>
    <w:rsid w:val="00E93FC7"/>
    <w:rPr>
      <w:i/>
      <w:iCs/>
    </w:rPr>
  </w:style>
  <w:style w:type="character" w:customStyle="1" w:styleId="HTMLAddressChar">
    <w:name w:val="HTML Address Char"/>
    <w:basedOn w:val="DefaultParagraphFont"/>
    <w:link w:val="HTMLAddress"/>
    <w:uiPriority w:val="99"/>
    <w:semiHidden/>
    <w:rsid w:val="00E93FC7"/>
    <w:rPr>
      <w:rFonts w:eastAsiaTheme="minorEastAsia"/>
      <w:i/>
      <w:iCs/>
      <w:sz w:val="24"/>
    </w:rPr>
  </w:style>
  <w:style w:type="character" w:styleId="HTMLCite">
    <w:name w:val="HTML Cite"/>
    <w:basedOn w:val="DefaultParagraphFont"/>
    <w:uiPriority w:val="99"/>
    <w:semiHidden/>
    <w:unhideWhenUsed/>
    <w:rsid w:val="00E93FC7"/>
    <w:rPr>
      <w:i/>
      <w:iCs/>
    </w:rPr>
  </w:style>
  <w:style w:type="character" w:styleId="HTMLCode">
    <w:name w:val="HTML Code"/>
    <w:basedOn w:val="DefaultParagraphFont"/>
    <w:uiPriority w:val="99"/>
    <w:semiHidden/>
    <w:unhideWhenUsed/>
    <w:rsid w:val="00E93FC7"/>
    <w:rPr>
      <w:rFonts w:ascii="Consolas" w:hAnsi="Consolas" w:cs="Consolas"/>
      <w:sz w:val="20"/>
      <w:szCs w:val="20"/>
    </w:rPr>
  </w:style>
  <w:style w:type="character" w:styleId="HTMLDefinition">
    <w:name w:val="HTML Definition"/>
    <w:basedOn w:val="DefaultParagraphFont"/>
    <w:uiPriority w:val="99"/>
    <w:semiHidden/>
    <w:unhideWhenUsed/>
    <w:rsid w:val="00E93FC7"/>
    <w:rPr>
      <w:i/>
      <w:iCs/>
    </w:rPr>
  </w:style>
  <w:style w:type="character" w:styleId="HTMLKeyboard">
    <w:name w:val="HTML Keyboard"/>
    <w:basedOn w:val="DefaultParagraphFont"/>
    <w:uiPriority w:val="99"/>
    <w:semiHidden/>
    <w:unhideWhenUsed/>
    <w:rsid w:val="00E93FC7"/>
    <w:rPr>
      <w:rFonts w:ascii="Consolas" w:hAnsi="Consolas" w:cs="Consolas"/>
      <w:sz w:val="20"/>
      <w:szCs w:val="20"/>
    </w:rPr>
  </w:style>
  <w:style w:type="paragraph" w:styleId="HTMLPreformatted">
    <w:name w:val="HTML Preformatted"/>
    <w:basedOn w:val="Normal"/>
    <w:link w:val="HTMLPreformattedChar"/>
    <w:uiPriority w:val="99"/>
    <w:semiHidden/>
    <w:unhideWhenUsed/>
    <w:rsid w:val="00E93FC7"/>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E93FC7"/>
    <w:rPr>
      <w:rFonts w:ascii="Consolas" w:eastAsiaTheme="minorEastAsia" w:hAnsi="Consolas" w:cs="Consolas"/>
      <w:sz w:val="20"/>
      <w:szCs w:val="20"/>
    </w:rPr>
  </w:style>
  <w:style w:type="character" w:styleId="HTMLSample">
    <w:name w:val="HTML Sample"/>
    <w:basedOn w:val="DefaultParagraphFont"/>
    <w:uiPriority w:val="99"/>
    <w:semiHidden/>
    <w:unhideWhenUsed/>
    <w:rsid w:val="00E93FC7"/>
    <w:rPr>
      <w:rFonts w:ascii="Consolas" w:hAnsi="Consolas" w:cs="Consolas"/>
      <w:sz w:val="24"/>
      <w:szCs w:val="24"/>
    </w:rPr>
  </w:style>
  <w:style w:type="character" w:styleId="HTMLTypewriter">
    <w:name w:val="HTML Typewriter"/>
    <w:basedOn w:val="DefaultParagraphFont"/>
    <w:uiPriority w:val="99"/>
    <w:semiHidden/>
    <w:unhideWhenUsed/>
    <w:rsid w:val="00E93FC7"/>
    <w:rPr>
      <w:rFonts w:ascii="Consolas" w:hAnsi="Consolas" w:cs="Consolas"/>
      <w:sz w:val="20"/>
      <w:szCs w:val="20"/>
    </w:rPr>
  </w:style>
  <w:style w:type="character" w:styleId="HTMLVariable">
    <w:name w:val="HTML Variable"/>
    <w:basedOn w:val="DefaultParagraphFont"/>
    <w:uiPriority w:val="99"/>
    <w:semiHidden/>
    <w:unhideWhenUsed/>
    <w:rsid w:val="00E93FC7"/>
    <w:rPr>
      <w:i/>
      <w:iCs/>
    </w:rPr>
  </w:style>
  <w:style w:type="character" w:styleId="Hyperlink">
    <w:name w:val="Hyperlink"/>
    <w:basedOn w:val="DefaultParagraphFont"/>
    <w:uiPriority w:val="99"/>
    <w:semiHidden/>
    <w:unhideWhenUsed/>
    <w:rsid w:val="00E93FC7"/>
    <w:rPr>
      <w:color w:val="0072BC" w:themeColor="hyperlink"/>
      <w:u w:val="single"/>
    </w:rPr>
  </w:style>
  <w:style w:type="paragraph" w:styleId="Index1">
    <w:name w:val="index 1"/>
    <w:basedOn w:val="Normal"/>
    <w:next w:val="Normal"/>
    <w:autoRedefine/>
    <w:uiPriority w:val="99"/>
    <w:semiHidden/>
    <w:unhideWhenUsed/>
    <w:rsid w:val="00E93FC7"/>
    <w:pPr>
      <w:ind w:left="240" w:hanging="240"/>
    </w:pPr>
  </w:style>
  <w:style w:type="paragraph" w:styleId="Index2">
    <w:name w:val="index 2"/>
    <w:basedOn w:val="Normal"/>
    <w:next w:val="Normal"/>
    <w:autoRedefine/>
    <w:uiPriority w:val="99"/>
    <w:semiHidden/>
    <w:unhideWhenUsed/>
    <w:rsid w:val="00E93FC7"/>
    <w:pPr>
      <w:ind w:left="480" w:hanging="240"/>
    </w:pPr>
  </w:style>
  <w:style w:type="paragraph" w:styleId="Index3">
    <w:name w:val="index 3"/>
    <w:basedOn w:val="Normal"/>
    <w:next w:val="Normal"/>
    <w:autoRedefine/>
    <w:uiPriority w:val="99"/>
    <w:semiHidden/>
    <w:unhideWhenUsed/>
    <w:rsid w:val="00E93FC7"/>
    <w:pPr>
      <w:ind w:left="720" w:hanging="240"/>
    </w:pPr>
  </w:style>
  <w:style w:type="paragraph" w:styleId="Index4">
    <w:name w:val="index 4"/>
    <w:basedOn w:val="Normal"/>
    <w:next w:val="Normal"/>
    <w:autoRedefine/>
    <w:uiPriority w:val="99"/>
    <w:semiHidden/>
    <w:unhideWhenUsed/>
    <w:rsid w:val="00E93FC7"/>
    <w:pPr>
      <w:ind w:left="960" w:hanging="240"/>
    </w:pPr>
  </w:style>
  <w:style w:type="paragraph" w:styleId="Index5">
    <w:name w:val="index 5"/>
    <w:basedOn w:val="Normal"/>
    <w:next w:val="Normal"/>
    <w:autoRedefine/>
    <w:uiPriority w:val="99"/>
    <w:semiHidden/>
    <w:unhideWhenUsed/>
    <w:rsid w:val="00E93FC7"/>
    <w:pPr>
      <w:ind w:left="1200" w:hanging="240"/>
    </w:pPr>
  </w:style>
  <w:style w:type="paragraph" w:styleId="Index6">
    <w:name w:val="index 6"/>
    <w:basedOn w:val="Normal"/>
    <w:next w:val="Normal"/>
    <w:autoRedefine/>
    <w:uiPriority w:val="99"/>
    <w:semiHidden/>
    <w:unhideWhenUsed/>
    <w:rsid w:val="00E93FC7"/>
    <w:pPr>
      <w:ind w:left="1440" w:hanging="240"/>
    </w:pPr>
  </w:style>
  <w:style w:type="paragraph" w:styleId="Index7">
    <w:name w:val="index 7"/>
    <w:basedOn w:val="Normal"/>
    <w:next w:val="Normal"/>
    <w:autoRedefine/>
    <w:uiPriority w:val="99"/>
    <w:semiHidden/>
    <w:unhideWhenUsed/>
    <w:rsid w:val="00E93FC7"/>
    <w:pPr>
      <w:ind w:left="1680" w:hanging="240"/>
    </w:pPr>
  </w:style>
  <w:style w:type="paragraph" w:styleId="Index8">
    <w:name w:val="index 8"/>
    <w:basedOn w:val="Normal"/>
    <w:next w:val="Normal"/>
    <w:autoRedefine/>
    <w:uiPriority w:val="99"/>
    <w:semiHidden/>
    <w:unhideWhenUsed/>
    <w:rsid w:val="00E93FC7"/>
    <w:pPr>
      <w:ind w:left="1920" w:hanging="240"/>
    </w:pPr>
  </w:style>
  <w:style w:type="paragraph" w:styleId="Index9">
    <w:name w:val="index 9"/>
    <w:basedOn w:val="Normal"/>
    <w:next w:val="Normal"/>
    <w:autoRedefine/>
    <w:uiPriority w:val="99"/>
    <w:semiHidden/>
    <w:unhideWhenUsed/>
    <w:rsid w:val="00E93FC7"/>
    <w:pPr>
      <w:ind w:left="2160" w:hanging="240"/>
    </w:pPr>
  </w:style>
  <w:style w:type="paragraph" w:styleId="IndexHeading">
    <w:name w:val="index heading"/>
    <w:basedOn w:val="Normal"/>
    <w:next w:val="Index1"/>
    <w:uiPriority w:val="99"/>
    <w:semiHidden/>
    <w:unhideWhenUsed/>
    <w:rsid w:val="00E93FC7"/>
    <w:rPr>
      <w:rFonts w:asciiTheme="majorHAnsi" w:eastAsiaTheme="majorEastAsia" w:hAnsiTheme="majorHAnsi" w:cstheme="majorBidi"/>
      <w:b/>
      <w:bCs/>
    </w:rPr>
  </w:style>
  <w:style w:type="table" w:styleId="LightGrid">
    <w:name w:val="Light Grid"/>
    <w:basedOn w:val="TableNormal"/>
    <w:uiPriority w:val="62"/>
    <w:semiHidden/>
    <w:rsid w:val="00E93FC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E93FC7"/>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E93FC7"/>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E93FC7"/>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E93FC7"/>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E93FC7"/>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E93FC7"/>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E93FC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E93FC7"/>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E93FC7"/>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E93FC7"/>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E93FC7"/>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E93FC7"/>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E93FC7"/>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E93FC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E93FC7"/>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E93FC7"/>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E93FC7"/>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E93FC7"/>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E93FC7"/>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E93FC7"/>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unhideWhenUsed/>
    <w:rsid w:val="00E93FC7"/>
  </w:style>
  <w:style w:type="paragraph" w:styleId="List">
    <w:name w:val="List"/>
    <w:basedOn w:val="Normal"/>
    <w:uiPriority w:val="99"/>
    <w:semiHidden/>
    <w:unhideWhenUsed/>
    <w:rsid w:val="00E93FC7"/>
    <w:pPr>
      <w:ind w:left="283" w:hanging="283"/>
      <w:contextualSpacing/>
    </w:pPr>
  </w:style>
  <w:style w:type="paragraph" w:styleId="List2">
    <w:name w:val="List 2"/>
    <w:basedOn w:val="Normal"/>
    <w:uiPriority w:val="99"/>
    <w:semiHidden/>
    <w:unhideWhenUsed/>
    <w:rsid w:val="00E93FC7"/>
    <w:pPr>
      <w:ind w:left="566" w:hanging="283"/>
      <w:contextualSpacing/>
    </w:pPr>
  </w:style>
  <w:style w:type="paragraph" w:styleId="List3">
    <w:name w:val="List 3"/>
    <w:basedOn w:val="Normal"/>
    <w:uiPriority w:val="99"/>
    <w:semiHidden/>
    <w:unhideWhenUsed/>
    <w:rsid w:val="00E93FC7"/>
    <w:pPr>
      <w:ind w:left="849" w:hanging="283"/>
      <w:contextualSpacing/>
    </w:pPr>
  </w:style>
  <w:style w:type="paragraph" w:styleId="List4">
    <w:name w:val="List 4"/>
    <w:basedOn w:val="Normal"/>
    <w:uiPriority w:val="99"/>
    <w:semiHidden/>
    <w:unhideWhenUsed/>
    <w:rsid w:val="00E93FC7"/>
    <w:pPr>
      <w:ind w:left="1132" w:hanging="283"/>
      <w:contextualSpacing/>
    </w:pPr>
  </w:style>
  <w:style w:type="paragraph" w:styleId="List5">
    <w:name w:val="List 5"/>
    <w:basedOn w:val="Normal"/>
    <w:uiPriority w:val="99"/>
    <w:semiHidden/>
    <w:unhideWhenUsed/>
    <w:rsid w:val="00E93FC7"/>
    <w:pPr>
      <w:ind w:left="1415" w:hanging="283"/>
      <w:contextualSpacing/>
    </w:pPr>
  </w:style>
  <w:style w:type="paragraph" w:styleId="ListBullet">
    <w:name w:val="List Bullet"/>
    <w:basedOn w:val="Normal"/>
    <w:uiPriority w:val="99"/>
    <w:semiHidden/>
    <w:unhideWhenUsed/>
    <w:rsid w:val="00E93FC7"/>
    <w:pPr>
      <w:numPr>
        <w:numId w:val="6"/>
      </w:numPr>
      <w:contextualSpacing/>
    </w:pPr>
  </w:style>
  <w:style w:type="paragraph" w:styleId="ListBullet2">
    <w:name w:val="List Bullet 2"/>
    <w:basedOn w:val="Normal"/>
    <w:uiPriority w:val="99"/>
    <w:semiHidden/>
    <w:unhideWhenUsed/>
    <w:rsid w:val="00E93FC7"/>
    <w:pPr>
      <w:numPr>
        <w:numId w:val="7"/>
      </w:numPr>
      <w:contextualSpacing/>
    </w:pPr>
  </w:style>
  <w:style w:type="paragraph" w:styleId="ListBullet3">
    <w:name w:val="List Bullet 3"/>
    <w:basedOn w:val="Normal"/>
    <w:uiPriority w:val="99"/>
    <w:semiHidden/>
    <w:unhideWhenUsed/>
    <w:rsid w:val="00E93FC7"/>
    <w:pPr>
      <w:numPr>
        <w:numId w:val="8"/>
      </w:numPr>
      <w:contextualSpacing/>
    </w:pPr>
  </w:style>
  <w:style w:type="paragraph" w:styleId="ListBullet4">
    <w:name w:val="List Bullet 4"/>
    <w:basedOn w:val="Normal"/>
    <w:uiPriority w:val="99"/>
    <w:semiHidden/>
    <w:unhideWhenUsed/>
    <w:rsid w:val="00E93FC7"/>
    <w:pPr>
      <w:numPr>
        <w:numId w:val="9"/>
      </w:numPr>
      <w:contextualSpacing/>
    </w:pPr>
  </w:style>
  <w:style w:type="paragraph" w:styleId="ListBullet5">
    <w:name w:val="List Bullet 5"/>
    <w:basedOn w:val="Normal"/>
    <w:uiPriority w:val="99"/>
    <w:semiHidden/>
    <w:unhideWhenUsed/>
    <w:rsid w:val="00E93FC7"/>
    <w:pPr>
      <w:numPr>
        <w:numId w:val="10"/>
      </w:numPr>
      <w:contextualSpacing/>
    </w:pPr>
  </w:style>
  <w:style w:type="paragraph" w:styleId="ListContinue">
    <w:name w:val="List Continue"/>
    <w:basedOn w:val="Normal"/>
    <w:uiPriority w:val="99"/>
    <w:semiHidden/>
    <w:unhideWhenUsed/>
    <w:rsid w:val="00E93FC7"/>
    <w:pPr>
      <w:spacing w:after="120"/>
      <w:ind w:left="283"/>
      <w:contextualSpacing/>
    </w:pPr>
  </w:style>
  <w:style w:type="paragraph" w:styleId="ListContinue2">
    <w:name w:val="List Continue 2"/>
    <w:basedOn w:val="Normal"/>
    <w:uiPriority w:val="99"/>
    <w:semiHidden/>
    <w:unhideWhenUsed/>
    <w:rsid w:val="00E93FC7"/>
    <w:pPr>
      <w:spacing w:after="120"/>
      <w:ind w:left="566"/>
      <w:contextualSpacing/>
    </w:pPr>
  </w:style>
  <w:style w:type="paragraph" w:styleId="ListContinue3">
    <w:name w:val="List Continue 3"/>
    <w:basedOn w:val="Normal"/>
    <w:uiPriority w:val="99"/>
    <w:semiHidden/>
    <w:unhideWhenUsed/>
    <w:rsid w:val="00E93FC7"/>
    <w:pPr>
      <w:spacing w:after="120"/>
      <w:ind w:left="849"/>
      <w:contextualSpacing/>
    </w:pPr>
  </w:style>
  <w:style w:type="paragraph" w:styleId="ListContinue4">
    <w:name w:val="List Continue 4"/>
    <w:basedOn w:val="Normal"/>
    <w:uiPriority w:val="99"/>
    <w:semiHidden/>
    <w:unhideWhenUsed/>
    <w:rsid w:val="00E93FC7"/>
    <w:pPr>
      <w:spacing w:after="120"/>
      <w:ind w:left="1132"/>
      <w:contextualSpacing/>
    </w:pPr>
  </w:style>
  <w:style w:type="paragraph" w:styleId="ListContinue5">
    <w:name w:val="List Continue 5"/>
    <w:basedOn w:val="Normal"/>
    <w:uiPriority w:val="99"/>
    <w:semiHidden/>
    <w:unhideWhenUsed/>
    <w:rsid w:val="00E93FC7"/>
    <w:pPr>
      <w:spacing w:after="120"/>
      <w:ind w:left="1415"/>
      <w:contextualSpacing/>
    </w:pPr>
  </w:style>
  <w:style w:type="paragraph" w:styleId="ListNumber">
    <w:name w:val="List Number"/>
    <w:basedOn w:val="Normal"/>
    <w:uiPriority w:val="99"/>
    <w:semiHidden/>
    <w:unhideWhenUsed/>
    <w:rsid w:val="00E93FC7"/>
    <w:pPr>
      <w:numPr>
        <w:numId w:val="11"/>
      </w:numPr>
      <w:contextualSpacing/>
    </w:pPr>
  </w:style>
  <w:style w:type="paragraph" w:styleId="ListNumber2">
    <w:name w:val="List Number 2"/>
    <w:basedOn w:val="Normal"/>
    <w:uiPriority w:val="99"/>
    <w:semiHidden/>
    <w:unhideWhenUsed/>
    <w:rsid w:val="00E93FC7"/>
    <w:pPr>
      <w:numPr>
        <w:numId w:val="12"/>
      </w:numPr>
      <w:contextualSpacing/>
    </w:pPr>
  </w:style>
  <w:style w:type="paragraph" w:styleId="ListNumber3">
    <w:name w:val="List Number 3"/>
    <w:basedOn w:val="Normal"/>
    <w:uiPriority w:val="99"/>
    <w:semiHidden/>
    <w:unhideWhenUsed/>
    <w:rsid w:val="00E93FC7"/>
    <w:pPr>
      <w:numPr>
        <w:numId w:val="13"/>
      </w:numPr>
      <w:contextualSpacing/>
    </w:pPr>
  </w:style>
  <w:style w:type="paragraph" w:styleId="ListNumber4">
    <w:name w:val="List Number 4"/>
    <w:basedOn w:val="Normal"/>
    <w:uiPriority w:val="99"/>
    <w:semiHidden/>
    <w:unhideWhenUsed/>
    <w:rsid w:val="00E93FC7"/>
    <w:pPr>
      <w:numPr>
        <w:numId w:val="14"/>
      </w:numPr>
      <w:contextualSpacing/>
    </w:pPr>
  </w:style>
  <w:style w:type="paragraph" w:styleId="ListNumber5">
    <w:name w:val="List Number 5"/>
    <w:basedOn w:val="Normal"/>
    <w:uiPriority w:val="99"/>
    <w:semiHidden/>
    <w:unhideWhenUsed/>
    <w:rsid w:val="00E93FC7"/>
    <w:pPr>
      <w:numPr>
        <w:numId w:val="15"/>
      </w:numPr>
      <w:contextualSpacing/>
    </w:pPr>
  </w:style>
  <w:style w:type="paragraph" w:styleId="MacroText">
    <w:name w:val="macro"/>
    <w:link w:val="MacroTextChar"/>
    <w:uiPriority w:val="99"/>
    <w:semiHidden/>
    <w:unhideWhenUsed/>
    <w:rsid w:val="00E93FC7"/>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E93FC7"/>
    <w:rPr>
      <w:rFonts w:ascii="Consolas" w:eastAsiaTheme="minorEastAsia" w:hAnsi="Consolas" w:cs="Consolas"/>
      <w:sz w:val="20"/>
      <w:szCs w:val="20"/>
    </w:rPr>
  </w:style>
  <w:style w:type="table" w:styleId="MediumGrid1">
    <w:name w:val="Medium Grid 1"/>
    <w:basedOn w:val="TableNormal"/>
    <w:uiPriority w:val="67"/>
    <w:semiHidden/>
    <w:rsid w:val="00E93FC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E93FC7"/>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E93FC7"/>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E93FC7"/>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E93FC7"/>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E93FC7"/>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E93FC7"/>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E93FC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E93FC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E93FC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E93FC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E93FC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E93FC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E93FC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E93FC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E93FC7"/>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E93FC7"/>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E93FC7"/>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E93FC7"/>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E93FC7"/>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E93FC7"/>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E93FC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E93FC7"/>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E93FC7"/>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E93FC7"/>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E93FC7"/>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E93FC7"/>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E93FC7"/>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E93FC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E93FC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E93FC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E93FC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E93FC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E93FC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E93FC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E93FC7"/>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E93FC7"/>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unhideWhenUsed/>
    <w:rsid w:val="00E93FC7"/>
    <w:rPr>
      <w:rFonts w:ascii="Times New Roman" w:hAnsi="Times New Roman" w:cs="Times New Roman"/>
      <w:szCs w:val="24"/>
    </w:rPr>
  </w:style>
  <w:style w:type="paragraph" w:styleId="NormalIndent">
    <w:name w:val="Normal Indent"/>
    <w:basedOn w:val="Normal"/>
    <w:uiPriority w:val="99"/>
    <w:semiHidden/>
    <w:unhideWhenUsed/>
    <w:rsid w:val="00E93FC7"/>
    <w:pPr>
      <w:ind w:left="720"/>
    </w:pPr>
  </w:style>
  <w:style w:type="paragraph" w:styleId="NoteHeading">
    <w:name w:val="Note Heading"/>
    <w:basedOn w:val="Normal"/>
    <w:next w:val="Normal"/>
    <w:link w:val="NoteHeadingChar"/>
    <w:uiPriority w:val="99"/>
    <w:semiHidden/>
    <w:unhideWhenUsed/>
    <w:rsid w:val="00E93FC7"/>
  </w:style>
  <w:style w:type="character" w:customStyle="1" w:styleId="NoteHeadingChar">
    <w:name w:val="Note Heading Char"/>
    <w:basedOn w:val="DefaultParagraphFont"/>
    <w:link w:val="NoteHeading"/>
    <w:uiPriority w:val="99"/>
    <w:semiHidden/>
    <w:rsid w:val="00E93FC7"/>
    <w:rPr>
      <w:rFonts w:eastAsiaTheme="minorEastAsia"/>
      <w:sz w:val="24"/>
    </w:rPr>
  </w:style>
  <w:style w:type="character" w:styleId="PlaceholderText">
    <w:name w:val="Placeholder Text"/>
    <w:basedOn w:val="DefaultParagraphFont"/>
    <w:uiPriority w:val="99"/>
    <w:semiHidden/>
    <w:rsid w:val="00E93FC7"/>
    <w:rPr>
      <w:color w:val="808080"/>
    </w:rPr>
  </w:style>
  <w:style w:type="paragraph" w:styleId="PlainText">
    <w:name w:val="Plain Text"/>
    <w:basedOn w:val="Normal"/>
    <w:link w:val="PlainTextChar"/>
    <w:uiPriority w:val="99"/>
    <w:semiHidden/>
    <w:unhideWhenUsed/>
    <w:rsid w:val="00E93FC7"/>
    <w:rPr>
      <w:rFonts w:ascii="Consolas" w:hAnsi="Consolas" w:cs="Consolas"/>
      <w:sz w:val="21"/>
      <w:szCs w:val="21"/>
    </w:rPr>
  </w:style>
  <w:style w:type="character" w:customStyle="1" w:styleId="PlainTextChar">
    <w:name w:val="Plain Text Char"/>
    <w:basedOn w:val="DefaultParagraphFont"/>
    <w:link w:val="PlainText"/>
    <w:uiPriority w:val="99"/>
    <w:semiHidden/>
    <w:rsid w:val="00E93FC7"/>
    <w:rPr>
      <w:rFonts w:ascii="Consolas" w:eastAsiaTheme="minorEastAsia" w:hAnsi="Consolas" w:cs="Consolas"/>
      <w:sz w:val="21"/>
      <w:szCs w:val="21"/>
    </w:rPr>
  </w:style>
  <w:style w:type="paragraph" w:styleId="Salutation">
    <w:name w:val="Salutation"/>
    <w:basedOn w:val="Normal"/>
    <w:next w:val="Normal"/>
    <w:link w:val="SalutationChar"/>
    <w:uiPriority w:val="99"/>
    <w:semiHidden/>
    <w:unhideWhenUsed/>
    <w:rsid w:val="00E93FC7"/>
  </w:style>
  <w:style w:type="character" w:customStyle="1" w:styleId="SalutationChar">
    <w:name w:val="Salutation Char"/>
    <w:basedOn w:val="DefaultParagraphFont"/>
    <w:link w:val="Salutation"/>
    <w:uiPriority w:val="99"/>
    <w:semiHidden/>
    <w:rsid w:val="00E93FC7"/>
    <w:rPr>
      <w:rFonts w:eastAsiaTheme="minorEastAsia"/>
      <w:sz w:val="24"/>
    </w:rPr>
  </w:style>
  <w:style w:type="paragraph" w:styleId="Signature">
    <w:name w:val="Signature"/>
    <w:basedOn w:val="Normal"/>
    <w:link w:val="SignatureChar"/>
    <w:uiPriority w:val="99"/>
    <w:semiHidden/>
    <w:unhideWhenUsed/>
    <w:rsid w:val="00E93FC7"/>
    <w:pPr>
      <w:ind w:left="4252"/>
    </w:pPr>
  </w:style>
  <w:style w:type="character" w:customStyle="1" w:styleId="SignatureChar">
    <w:name w:val="Signature Char"/>
    <w:basedOn w:val="DefaultParagraphFont"/>
    <w:link w:val="Signature"/>
    <w:uiPriority w:val="99"/>
    <w:semiHidden/>
    <w:rsid w:val="00E93FC7"/>
    <w:rPr>
      <w:rFonts w:eastAsiaTheme="minorEastAsia"/>
      <w:sz w:val="24"/>
    </w:rPr>
  </w:style>
  <w:style w:type="table" w:styleId="Table3Deffects1">
    <w:name w:val="Table 3D effects 1"/>
    <w:basedOn w:val="TableNormal"/>
    <w:uiPriority w:val="99"/>
    <w:semiHidden/>
    <w:unhideWhenUsed/>
    <w:rsid w:val="00E93FC7"/>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E93FC7"/>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E93FC7"/>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E93FC7"/>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E93FC7"/>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E93FC7"/>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E93FC7"/>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E93FC7"/>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E93FC7"/>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E93FC7"/>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E93FC7"/>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E93FC7"/>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E93FC7"/>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E93FC7"/>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E93FC7"/>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E93FC7"/>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E93FC7"/>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semiHidden/>
    <w:rsid w:val="00E93F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E93FC7"/>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E93FC7"/>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E93FC7"/>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E93FC7"/>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E93FC7"/>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E93FC7"/>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E93FC7"/>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E93FC7"/>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E93FC7"/>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E93FC7"/>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E93FC7"/>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E93FC7"/>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E93FC7"/>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E93FC7"/>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E93FC7"/>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E93FC7"/>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E93FC7"/>
    <w:pPr>
      <w:ind w:left="240" w:hanging="240"/>
    </w:pPr>
  </w:style>
  <w:style w:type="paragraph" w:styleId="TableofFigures">
    <w:name w:val="table of figures"/>
    <w:basedOn w:val="Normal"/>
    <w:next w:val="Normal"/>
    <w:uiPriority w:val="99"/>
    <w:semiHidden/>
    <w:unhideWhenUsed/>
    <w:rsid w:val="00E93FC7"/>
  </w:style>
  <w:style w:type="table" w:styleId="TableProfessional">
    <w:name w:val="Table Professional"/>
    <w:basedOn w:val="TableNormal"/>
    <w:uiPriority w:val="99"/>
    <w:semiHidden/>
    <w:unhideWhenUsed/>
    <w:rsid w:val="00E93FC7"/>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E93FC7"/>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E93FC7"/>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E93FC7"/>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E93FC7"/>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E93FC7"/>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E93FC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E93FC7"/>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E93FC7"/>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E93FC7"/>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E93FC7"/>
    <w:pPr>
      <w:spacing w:before="120"/>
    </w:pPr>
    <w:rPr>
      <w:rFonts w:asciiTheme="majorHAnsi" w:eastAsiaTheme="majorEastAsia" w:hAnsiTheme="majorHAnsi" w:cstheme="majorBidi"/>
      <w:b/>
      <w:bCs/>
      <w:szCs w:val="24"/>
    </w:rPr>
  </w:style>
  <w:style w:type="paragraph" w:styleId="TOC1">
    <w:name w:val="toc 1"/>
    <w:basedOn w:val="Normal"/>
    <w:next w:val="Normal"/>
    <w:autoRedefine/>
    <w:uiPriority w:val="39"/>
    <w:semiHidden/>
    <w:unhideWhenUsed/>
    <w:rsid w:val="00E93FC7"/>
    <w:pPr>
      <w:spacing w:after="100"/>
    </w:pPr>
  </w:style>
  <w:style w:type="paragraph" w:styleId="TOC2">
    <w:name w:val="toc 2"/>
    <w:basedOn w:val="Normal"/>
    <w:next w:val="Normal"/>
    <w:autoRedefine/>
    <w:uiPriority w:val="39"/>
    <w:semiHidden/>
    <w:unhideWhenUsed/>
    <w:rsid w:val="00E93FC7"/>
    <w:pPr>
      <w:spacing w:after="100"/>
      <w:ind w:left="240"/>
    </w:pPr>
  </w:style>
  <w:style w:type="paragraph" w:styleId="TOC3">
    <w:name w:val="toc 3"/>
    <w:basedOn w:val="Normal"/>
    <w:next w:val="Normal"/>
    <w:autoRedefine/>
    <w:uiPriority w:val="39"/>
    <w:semiHidden/>
    <w:unhideWhenUsed/>
    <w:rsid w:val="00E93FC7"/>
    <w:pPr>
      <w:spacing w:after="100"/>
      <w:ind w:left="480"/>
    </w:pPr>
  </w:style>
  <w:style w:type="paragraph" w:styleId="TOC4">
    <w:name w:val="toc 4"/>
    <w:basedOn w:val="Normal"/>
    <w:next w:val="Normal"/>
    <w:autoRedefine/>
    <w:uiPriority w:val="39"/>
    <w:semiHidden/>
    <w:unhideWhenUsed/>
    <w:rsid w:val="00E93FC7"/>
    <w:pPr>
      <w:spacing w:after="100"/>
      <w:ind w:left="720"/>
    </w:pPr>
  </w:style>
  <w:style w:type="paragraph" w:styleId="TOC5">
    <w:name w:val="toc 5"/>
    <w:basedOn w:val="Normal"/>
    <w:next w:val="Normal"/>
    <w:autoRedefine/>
    <w:uiPriority w:val="39"/>
    <w:semiHidden/>
    <w:unhideWhenUsed/>
    <w:rsid w:val="00E93FC7"/>
    <w:pPr>
      <w:spacing w:after="100"/>
      <w:ind w:left="960"/>
    </w:pPr>
  </w:style>
  <w:style w:type="paragraph" w:styleId="TOC6">
    <w:name w:val="toc 6"/>
    <w:basedOn w:val="Normal"/>
    <w:next w:val="Normal"/>
    <w:autoRedefine/>
    <w:uiPriority w:val="39"/>
    <w:semiHidden/>
    <w:unhideWhenUsed/>
    <w:rsid w:val="00E93FC7"/>
    <w:pPr>
      <w:spacing w:after="100"/>
      <w:ind w:left="1200"/>
    </w:pPr>
  </w:style>
  <w:style w:type="paragraph" w:styleId="TOC7">
    <w:name w:val="toc 7"/>
    <w:basedOn w:val="Normal"/>
    <w:next w:val="Normal"/>
    <w:autoRedefine/>
    <w:uiPriority w:val="39"/>
    <w:semiHidden/>
    <w:unhideWhenUsed/>
    <w:rsid w:val="00E93FC7"/>
    <w:pPr>
      <w:spacing w:after="100"/>
      <w:ind w:left="1440"/>
    </w:pPr>
  </w:style>
  <w:style w:type="paragraph" w:styleId="TOC8">
    <w:name w:val="toc 8"/>
    <w:basedOn w:val="Normal"/>
    <w:next w:val="Normal"/>
    <w:autoRedefine/>
    <w:uiPriority w:val="39"/>
    <w:semiHidden/>
    <w:unhideWhenUsed/>
    <w:rsid w:val="00E93FC7"/>
    <w:pPr>
      <w:spacing w:after="100"/>
      <w:ind w:left="1680"/>
    </w:pPr>
  </w:style>
  <w:style w:type="paragraph" w:styleId="TOC9">
    <w:name w:val="toc 9"/>
    <w:basedOn w:val="Normal"/>
    <w:next w:val="Normal"/>
    <w:autoRedefine/>
    <w:uiPriority w:val="39"/>
    <w:semiHidden/>
    <w:unhideWhenUsed/>
    <w:rsid w:val="00E93FC7"/>
    <w:pPr>
      <w:spacing w:after="100"/>
      <w:ind w:left="1920"/>
    </w:pPr>
  </w:style>
  <w:style w:type="paragraph" w:customStyle="1" w:styleId="ECHRFooter">
    <w:name w:val="ECHR_Footer"/>
    <w:aliases w:val="Footer_ECHR"/>
    <w:basedOn w:val="Normal"/>
    <w:uiPriority w:val="57"/>
    <w:semiHidden/>
    <w:rsid w:val="001818B5"/>
    <w:pPr>
      <w:tabs>
        <w:tab w:val="center" w:pos="4536"/>
        <w:tab w:val="right" w:pos="9696"/>
      </w:tabs>
      <w:ind w:left="-680" w:right="-680"/>
      <w:jc w:val="left"/>
    </w:pPr>
    <w:rPr>
      <w:rFonts w:eastAsiaTheme="minorHAnsi"/>
      <w:sz w:val="8"/>
    </w:rPr>
  </w:style>
  <w:style w:type="character" w:customStyle="1" w:styleId="JuParaCar">
    <w:name w:val="Ju_Para Car"/>
    <w:link w:val="ECHRPara"/>
    <w:uiPriority w:val="12"/>
    <w:rsid w:val="00C930D7"/>
    <w:rPr>
      <w:rFonts w:eastAsiaTheme="minorEastAsia"/>
      <w:sz w:val="24"/>
    </w:rPr>
  </w:style>
  <w:style w:type="character" w:customStyle="1" w:styleId="ju-005fpara-002cleft-002cfirst-0020line-003a-0020-00200-0020cm--char">
    <w:name w:val="ju-005fpara-002cleft-002cfirst-0020line-003a-0020-00200-0020cm--char"/>
    <w:basedOn w:val="DefaultParagraphFont"/>
    <w:rsid w:val="00C930D7"/>
  </w:style>
  <w:style w:type="character" w:customStyle="1" w:styleId="sb8d990e2">
    <w:name w:val="sb8d990e2"/>
    <w:basedOn w:val="DefaultParagraphFont"/>
    <w:rsid w:val="00C930D7"/>
  </w:style>
  <w:style w:type="character" w:customStyle="1" w:styleId="s6b621b36">
    <w:name w:val="s6b621b36"/>
    <w:basedOn w:val="DefaultParagraphFont"/>
    <w:rsid w:val="00C930D7"/>
  </w:style>
  <w:style w:type="character" w:customStyle="1" w:styleId="wordhighlighted">
    <w:name w:val="wordhighlighted"/>
    <w:basedOn w:val="DefaultParagraphFont"/>
    <w:rsid w:val="00C930D7"/>
  </w:style>
  <w:style w:type="paragraph" w:styleId="Footer">
    <w:name w:val="footer"/>
    <w:basedOn w:val="Normal"/>
    <w:link w:val="FooterChar"/>
    <w:uiPriority w:val="99"/>
    <w:unhideWhenUsed/>
    <w:rsid w:val="00C930D7"/>
    <w:pPr>
      <w:tabs>
        <w:tab w:val="center" w:pos="4680"/>
        <w:tab w:val="right" w:pos="9360"/>
      </w:tabs>
    </w:pPr>
  </w:style>
  <w:style w:type="character" w:customStyle="1" w:styleId="FooterChar">
    <w:name w:val="Footer Char"/>
    <w:basedOn w:val="DefaultParagraphFont"/>
    <w:link w:val="Footer"/>
    <w:uiPriority w:val="99"/>
    <w:rsid w:val="00C930D7"/>
    <w:rPr>
      <w:rFonts w:eastAsiaTheme="minorEastAsi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hudoc.echr.coe.int/sites/eng/Pages/search.aspx"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hudoc.echr.coe.int/sites/eng/Pages/search.aspx" TargetMode="External"/><Relationship Id="rId12" Type="http://schemas.openxmlformats.org/officeDocument/2006/relationships/footer" Target="footer1.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13379E7-96A2-4AA5-8610-714DCABACE7C}"/>
</file>

<file path=customXml/itemProps2.xml><?xml version="1.0" encoding="utf-8"?>
<ds:datastoreItem xmlns:ds="http://schemas.openxmlformats.org/officeDocument/2006/customXml" ds:itemID="{E9673B11-B246-426E-81D1-7178515B5EA6}"/>
</file>

<file path=customXml/itemProps3.xml><?xml version="1.0" encoding="utf-8"?>
<ds:datastoreItem xmlns:ds="http://schemas.openxmlformats.org/officeDocument/2006/customXml" ds:itemID="{4156DDE7-7A21-450B-A1AB-AE4E9AC2B1FF}"/>
</file>

<file path=docProps/app.xml><?xml version="1.0" encoding="utf-8"?>
<Properties xmlns="http://schemas.openxmlformats.org/officeDocument/2006/extended-properties" xmlns:vt="http://schemas.openxmlformats.org/officeDocument/2006/docPropsVTypes">
  <Template>Normal.dotm</Template>
  <TotalTime>0</TotalTime>
  <Pages>1</Pages>
  <Words>2731</Words>
  <Characters>15571</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Decision</vt:lpstr>
    </vt:vector>
  </TitlesOfParts>
  <Manager/>
  <Company/>
  <LinksUpToDate>false</LinksUpToDate>
  <CharactersWithSpaces>18266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DC</dc:subject>
  <dc:creator/>
  <cp:lastModifiedBy/>
  <cp:revision>1</cp:revision>
  <dcterms:created xsi:type="dcterms:W3CDTF">2015-07-21T08:05:00Z</dcterms:created>
  <dcterms:modified xsi:type="dcterms:W3CDTF">2015-07-21T08:05:00Z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