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5.xml" ContentType="application/vnd.openxmlformats-officedocument.wordprocessingml.header+xml"/>
  <Override PartName="/word/header3.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4.xml" ContentType="application/vnd.openxmlformats-officedocument.wordprocessingml.header+xml"/>
  <Override PartName="/word/header2.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A3D05" w:rsidP="00D67F3D" w:rsidRDefault="00EA3D05" w14:paraId="7A25DC62" w14:textId="77777777">
      <w:pPr>
        <w:jc w:val="center"/>
        <w:rPr>
          <w:lang w:val="en-GB"/>
        </w:rPr>
      </w:pPr>
    </w:p>
    <w:p w:rsidRPr="00D67F3D" w:rsidR="00DF592F" w:rsidP="00D67F3D" w:rsidRDefault="00DF592F" w14:paraId="19849909" w14:textId="77777777">
      <w:pPr>
        <w:jc w:val="center"/>
        <w:rPr>
          <w:lang w:val="en-GB"/>
        </w:rPr>
      </w:pPr>
    </w:p>
    <w:p w:rsidRPr="0093514B" w:rsidR="0093514B" w:rsidP="00D67F3D" w:rsidRDefault="0093514B" w14:paraId="0EEFA472" w14:textId="77777777">
      <w:pPr>
        <w:jc w:val="center"/>
        <w:rPr>
          <w:lang w:val="en-GB"/>
        </w:rPr>
      </w:pPr>
    </w:p>
    <w:p w:rsidRPr="0093514B" w:rsidR="0093514B" w:rsidP="0093514B" w:rsidRDefault="0093514B" w14:paraId="1A846968" w14:textId="77777777">
      <w:pPr>
        <w:jc w:val="center"/>
        <w:rPr>
          <w:lang w:val="en-GB"/>
        </w:rPr>
      </w:pPr>
      <w:r w:rsidRPr="0093514B">
        <w:rPr>
          <w:lang w:val="en-GB"/>
        </w:rPr>
        <w:t>GRAND CHAMBER</w:t>
      </w:r>
    </w:p>
    <w:p w:rsidRPr="0093514B" w:rsidR="0093514B" w:rsidP="0093514B" w:rsidRDefault="0093514B" w14:paraId="64CC72E7" w14:textId="77777777">
      <w:pPr>
        <w:jc w:val="center"/>
        <w:rPr>
          <w:lang w:val="en-GB"/>
        </w:rPr>
      </w:pPr>
    </w:p>
    <w:p w:rsidRPr="0093514B" w:rsidR="0093514B" w:rsidP="0093514B" w:rsidRDefault="0093514B" w14:paraId="1260E3A2" w14:textId="77777777">
      <w:pPr>
        <w:jc w:val="center"/>
        <w:rPr>
          <w:lang w:val="en-GB"/>
        </w:rPr>
      </w:pPr>
    </w:p>
    <w:p w:rsidR="0093514B" w:rsidP="0093514B" w:rsidRDefault="0093514B" w14:paraId="2A097DEB" w14:textId="77777777">
      <w:pPr>
        <w:jc w:val="center"/>
        <w:rPr>
          <w:lang w:val="en-GB"/>
        </w:rPr>
      </w:pPr>
    </w:p>
    <w:p w:rsidR="00DF592F" w:rsidP="0093514B" w:rsidRDefault="00DF592F" w14:paraId="49305F76" w14:textId="77777777">
      <w:pPr>
        <w:jc w:val="center"/>
        <w:rPr>
          <w:lang w:val="en-GB"/>
        </w:rPr>
      </w:pPr>
    </w:p>
    <w:p w:rsidR="00D67F3D" w:rsidP="0093514B" w:rsidRDefault="00D67F3D" w14:paraId="5FCB0975" w14:textId="77777777">
      <w:pPr>
        <w:jc w:val="center"/>
        <w:rPr>
          <w:lang w:val="en-GB"/>
        </w:rPr>
      </w:pPr>
    </w:p>
    <w:p w:rsidRPr="0093514B" w:rsidR="00DF592F" w:rsidP="0093514B" w:rsidRDefault="00DF592F" w14:paraId="0B36B44F" w14:textId="77777777">
      <w:pPr>
        <w:jc w:val="center"/>
        <w:rPr>
          <w:lang w:val="en-GB"/>
        </w:rPr>
      </w:pPr>
    </w:p>
    <w:p w:rsidRPr="0093514B" w:rsidR="0093514B" w:rsidP="0093514B" w:rsidRDefault="0093514B" w14:paraId="4CAFF644" w14:textId="77777777">
      <w:pPr>
        <w:jc w:val="center"/>
        <w:rPr>
          <w:lang w:val="en-GB"/>
        </w:rPr>
      </w:pPr>
    </w:p>
    <w:p w:rsidRPr="0093514B" w:rsidR="0093514B" w:rsidP="0093514B" w:rsidRDefault="0093514B" w14:paraId="1587780E" w14:textId="77777777">
      <w:pPr>
        <w:jc w:val="center"/>
        <w:rPr>
          <w:b/>
          <w:lang w:val="en-GB"/>
        </w:rPr>
      </w:pPr>
      <w:bookmarkStart w:name="To" w:id="0"/>
      <w:r w:rsidRPr="0093514B">
        <w:rPr>
          <w:b/>
          <w:lang w:val="en-GB"/>
        </w:rPr>
        <w:t xml:space="preserve">CASE OF </w:t>
      </w:r>
      <w:bookmarkEnd w:id="0"/>
      <w:r w:rsidRPr="0093514B">
        <w:rPr>
          <w:b/>
          <w:lang w:val="en-GB"/>
        </w:rPr>
        <w:t>ROHLENA v. THE CZECH REPUBLIC</w:t>
      </w:r>
    </w:p>
    <w:p w:rsidRPr="0093514B" w:rsidR="0093514B" w:rsidP="0093514B" w:rsidRDefault="0093514B" w14:paraId="09157367" w14:textId="77777777">
      <w:pPr>
        <w:jc w:val="center"/>
        <w:rPr>
          <w:lang w:val="en-GB"/>
        </w:rPr>
      </w:pPr>
    </w:p>
    <w:p w:rsidRPr="0093514B" w:rsidR="0093514B" w:rsidP="0093514B" w:rsidRDefault="0093514B" w14:paraId="16F8E061" w14:textId="77777777">
      <w:pPr>
        <w:jc w:val="center"/>
        <w:rPr>
          <w:i/>
          <w:lang w:val="en-GB"/>
        </w:rPr>
      </w:pPr>
      <w:r w:rsidRPr="0093514B">
        <w:rPr>
          <w:i/>
          <w:lang w:val="en-GB"/>
        </w:rPr>
        <w:t>(Application no. 59552/08)</w:t>
      </w:r>
    </w:p>
    <w:p w:rsidRPr="0093514B" w:rsidR="0093514B" w:rsidP="0093514B" w:rsidRDefault="0093514B" w14:paraId="64C4B849" w14:textId="77777777">
      <w:pPr>
        <w:jc w:val="center"/>
        <w:rPr>
          <w:lang w:val="en-GB"/>
        </w:rPr>
      </w:pPr>
    </w:p>
    <w:p w:rsidRPr="0093514B" w:rsidR="0093514B" w:rsidP="0093514B" w:rsidRDefault="0093514B" w14:paraId="69DEBA8F" w14:textId="77777777">
      <w:pPr>
        <w:jc w:val="center"/>
        <w:rPr>
          <w:lang w:val="en-GB"/>
        </w:rPr>
      </w:pPr>
    </w:p>
    <w:p w:rsidRPr="0093514B" w:rsidR="0093514B" w:rsidP="0093514B" w:rsidRDefault="0093514B" w14:paraId="20A7EB53" w14:textId="77777777">
      <w:pPr>
        <w:jc w:val="center"/>
        <w:rPr>
          <w:lang w:val="en-GB"/>
        </w:rPr>
      </w:pPr>
    </w:p>
    <w:p w:rsidRPr="0093514B" w:rsidR="0093514B" w:rsidP="0093514B" w:rsidRDefault="0093514B" w14:paraId="64FB8DCA" w14:textId="77777777">
      <w:pPr>
        <w:jc w:val="center"/>
        <w:rPr>
          <w:lang w:val="en-GB"/>
        </w:rPr>
      </w:pPr>
    </w:p>
    <w:p w:rsidRPr="0093514B" w:rsidR="0093514B" w:rsidP="0093514B" w:rsidRDefault="0093514B" w14:paraId="217B78E5" w14:textId="77777777">
      <w:pPr>
        <w:jc w:val="center"/>
        <w:rPr>
          <w:lang w:val="en-GB"/>
        </w:rPr>
      </w:pPr>
    </w:p>
    <w:p w:rsidR="00EA3D05" w:rsidP="0093514B" w:rsidRDefault="00EA3D05" w14:paraId="18D99BFF" w14:textId="77777777">
      <w:pPr>
        <w:jc w:val="center"/>
        <w:rPr>
          <w:szCs w:val="24"/>
          <w:u w:val="single"/>
          <w:lang w:val="en-GB"/>
        </w:rPr>
      </w:pPr>
    </w:p>
    <w:p w:rsidR="00EA3D05" w:rsidP="0093514B" w:rsidRDefault="00EA3D05" w14:paraId="6F423EF4" w14:textId="77777777">
      <w:pPr>
        <w:jc w:val="center"/>
        <w:rPr>
          <w:szCs w:val="24"/>
          <w:u w:val="single"/>
          <w:lang w:val="en-GB"/>
        </w:rPr>
      </w:pPr>
    </w:p>
    <w:p w:rsidR="00EA3D05" w:rsidP="0093514B" w:rsidRDefault="00EA3D05" w14:paraId="5B76151E" w14:textId="77777777">
      <w:pPr>
        <w:jc w:val="center"/>
        <w:rPr>
          <w:szCs w:val="24"/>
          <w:u w:val="single"/>
          <w:lang w:val="en-GB"/>
        </w:rPr>
      </w:pPr>
    </w:p>
    <w:p w:rsidR="00EA3D05" w:rsidP="0093514B" w:rsidRDefault="00EA3D05" w14:paraId="5C15111D" w14:textId="77777777">
      <w:pPr>
        <w:jc w:val="center"/>
        <w:rPr>
          <w:szCs w:val="24"/>
          <w:u w:val="single"/>
          <w:lang w:val="en-GB"/>
        </w:rPr>
      </w:pPr>
    </w:p>
    <w:p w:rsidRPr="00E520A5" w:rsidR="0093514B" w:rsidP="0093514B" w:rsidRDefault="00EA3D05" w14:paraId="2F3E70FC" w14:textId="77777777">
      <w:pPr>
        <w:jc w:val="center"/>
        <w:rPr>
          <w:szCs w:val="24"/>
          <w:lang w:val="en-GB"/>
        </w:rPr>
      </w:pPr>
      <w:r w:rsidRPr="00E520A5">
        <w:rPr>
          <w:szCs w:val="24"/>
          <w:lang w:val="en-GB"/>
        </w:rPr>
        <w:t>JUDGMENT</w:t>
      </w:r>
    </w:p>
    <w:p w:rsidRPr="0093514B" w:rsidR="0093514B" w:rsidP="00D67F3D" w:rsidRDefault="0093514B" w14:paraId="09813929" w14:textId="77777777">
      <w:pPr>
        <w:jc w:val="center"/>
        <w:rPr>
          <w:szCs w:val="24"/>
          <w:lang w:val="en-GB"/>
        </w:rPr>
      </w:pPr>
    </w:p>
    <w:p w:rsidRPr="00D67F3D" w:rsidR="00EA3D05" w:rsidP="00D67F3D" w:rsidRDefault="00EA3D05" w14:paraId="3D7A838E" w14:textId="77777777">
      <w:pPr>
        <w:jc w:val="center"/>
        <w:rPr>
          <w:szCs w:val="24"/>
          <w:lang w:val="en-GB"/>
        </w:rPr>
      </w:pPr>
    </w:p>
    <w:p w:rsidR="00EA3D05" w:rsidP="00D67F3D" w:rsidRDefault="00EA3D05" w14:paraId="2015B821" w14:textId="77777777">
      <w:pPr>
        <w:jc w:val="center"/>
        <w:rPr>
          <w:b/>
          <w:lang w:val="en-GB"/>
        </w:rPr>
      </w:pPr>
    </w:p>
    <w:p w:rsidRPr="00EA3D05" w:rsidR="00EA3D05" w:rsidP="00EA3D05" w:rsidRDefault="00EA3D05" w14:paraId="7C457FC9" w14:textId="77777777">
      <w:pPr>
        <w:ind w:firstLine="284"/>
        <w:jc w:val="center"/>
        <w:rPr>
          <w:lang w:val="en-GB"/>
        </w:rPr>
      </w:pPr>
      <w:r w:rsidRPr="00EA3D05">
        <w:rPr>
          <w:lang w:val="en-GB"/>
        </w:rPr>
        <w:t>STRASBOURG</w:t>
      </w:r>
    </w:p>
    <w:p w:rsidR="00EA3D05" w:rsidP="00D67F3D" w:rsidRDefault="00EA3D05" w14:paraId="11442BE5" w14:textId="77777777">
      <w:pPr>
        <w:jc w:val="center"/>
        <w:rPr>
          <w:szCs w:val="24"/>
          <w:lang w:val="en-GB"/>
        </w:rPr>
      </w:pPr>
    </w:p>
    <w:p w:rsidRPr="00D67F3D" w:rsidR="00E520A5" w:rsidP="00D67F3D" w:rsidRDefault="00E520A5" w14:paraId="7F54BCFD" w14:textId="77777777">
      <w:pPr>
        <w:jc w:val="center"/>
        <w:rPr>
          <w:szCs w:val="24"/>
          <w:lang w:val="en-GB"/>
        </w:rPr>
      </w:pPr>
    </w:p>
    <w:p w:rsidRPr="00EA3D05" w:rsidR="00EA3D05" w:rsidP="00EA3D05" w:rsidRDefault="0004530A" w14:paraId="70E33D14" w14:textId="77777777">
      <w:pPr>
        <w:ind w:firstLine="284"/>
        <w:jc w:val="center"/>
        <w:rPr>
          <w:lang w:val="en-GB"/>
        </w:rPr>
      </w:pPr>
      <w:r>
        <w:rPr>
          <w:lang w:val="en-GB"/>
        </w:rPr>
        <w:t>27 January 2015</w:t>
      </w:r>
    </w:p>
    <w:p w:rsidRPr="00D67F3D" w:rsidR="00EA3D05" w:rsidP="00D67F3D" w:rsidRDefault="00EA3D05" w14:paraId="58AB1C2E" w14:textId="77777777">
      <w:pPr>
        <w:jc w:val="center"/>
        <w:rPr>
          <w:szCs w:val="24"/>
          <w:lang w:val="en-GB"/>
        </w:rPr>
      </w:pPr>
    </w:p>
    <w:p w:rsidR="00EA3D05" w:rsidP="00D67F3D" w:rsidRDefault="00EA3D05" w14:paraId="3764EA8D" w14:textId="77777777">
      <w:pPr>
        <w:jc w:val="center"/>
        <w:rPr>
          <w:szCs w:val="24"/>
          <w:lang w:val="en-GB"/>
        </w:rPr>
      </w:pPr>
    </w:p>
    <w:p w:rsidR="00E520A5" w:rsidP="00D67F3D" w:rsidRDefault="00E520A5" w14:paraId="3586F4E5" w14:textId="77777777">
      <w:pPr>
        <w:jc w:val="center"/>
        <w:rPr>
          <w:szCs w:val="24"/>
          <w:lang w:val="en-GB"/>
        </w:rPr>
      </w:pPr>
    </w:p>
    <w:p w:rsidRPr="00D67F3D" w:rsidR="00E520A5" w:rsidP="00D67F3D" w:rsidRDefault="00E520A5" w14:paraId="156DCE95" w14:textId="77777777">
      <w:pPr>
        <w:jc w:val="center"/>
        <w:rPr>
          <w:szCs w:val="24"/>
          <w:lang w:val="en-GB"/>
        </w:rPr>
      </w:pPr>
    </w:p>
    <w:p w:rsidR="00DF592F" w:rsidP="00E520A5" w:rsidRDefault="00EA3D05" w14:paraId="309AF85B" w14:textId="472CE35C">
      <w:pPr>
        <w:jc w:val="left"/>
        <w:rPr>
          <w:i/>
          <w:lang w:val="en-GB"/>
        </w:rPr>
      </w:pPr>
      <w:r w:rsidRPr="00EA3D05">
        <w:rPr>
          <w:i/>
          <w:lang w:val="en-GB"/>
        </w:rPr>
        <w:t>This judgment is final.</w:t>
      </w:r>
    </w:p>
    <w:p w:rsidR="006172BC" w:rsidP="00E520A5" w:rsidRDefault="006172BC" w14:paraId="443686D0" w14:textId="77777777">
      <w:pPr>
        <w:jc w:val="left"/>
        <w:rPr>
          <w:i/>
          <w:lang w:val="en-GB"/>
        </w:rPr>
      </w:pPr>
      <w:r>
        <w:rPr>
          <w:i/>
          <w:lang w:val="en-GB"/>
        </w:rPr>
        <w:br w:type="page"/>
      </w:r>
    </w:p>
    <w:p w:rsidR="006172BC" w:rsidP="00EA3D05" w:rsidRDefault="006172BC" w14:paraId="7ADEA589" w14:textId="77777777">
      <w:pPr>
        <w:rPr>
          <w:i/>
          <w:lang w:val="en-GB"/>
        </w:rPr>
        <w:sectPr w:rsidR="006172BC" w:rsidSect="00EA3D05">
          <w:headerReference w:type="default" r:id="rId8"/>
          <w:footnotePr>
            <w:numRestart w:val="eachPage"/>
          </w:footnotePr>
          <w:pgSz w:w="11906" w:h="16838" w:code="9"/>
          <w:pgMar w:top="2274" w:right="2274" w:bottom="2274" w:left="2274" w:header="1701" w:footer="720" w:gutter="0"/>
          <w:pgNumType w:start="1"/>
          <w:cols w:space="720"/>
          <w:docGrid w:linePitch="326"/>
        </w:sectPr>
      </w:pPr>
    </w:p>
    <w:p w:rsidRPr="0093514B" w:rsidR="0093514B" w:rsidP="000E2315" w:rsidRDefault="0093514B" w14:paraId="4A818004" w14:textId="77777777">
      <w:pPr>
        <w:pStyle w:val="JuCase"/>
        <w:rPr>
          <w:bCs/>
          <w:lang w:val="en-GB"/>
        </w:rPr>
      </w:pPr>
      <w:r w:rsidRPr="0093514B">
        <w:rPr>
          <w:lang w:val="en-GB"/>
        </w:rPr>
        <w:t>In the case of Rohlena v. the Czech Republic,</w:t>
      </w:r>
    </w:p>
    <w:p w:rsidRPr="0093514B" w:rsidR="0093514B" w:rsidP="000E2315" w:rsidRDefault="0093514B" w14:paraId="6518EE0C" w14:textId="201B0F8C">
      <w:pPr>
        <w:pStyle w:val="ECHRPara"/>
        <w:rPr>
          <w:lang w:val="en-GB"/>
        </w:rPr>
      </w:pPr>
      <w:r w:rsidRPr="0093514B">
        <w:rPr>
          <w:lang w:val="en-GB"/>
        </w:rPr>
        <w:t>The European Court of Human Right</w:t>
      </w:r>
      <w:r w:rsidR="00A12825">
        <w:rPr>
          <w:lang w:val="en-GB"/>
        </w:rPr>
        <w:t>s, sitting as a</w:t>
      </w:r>
      <w:r w:rsidR="00127F16">
        <w:rPr>
          <w:lang w:val="en-GB"/>
        </w:rPr>
        <w:t xml:space="preserve"> </w:t>
      </w:r>
      <w:r w:rsidRPr="0093514B">
        <w:rPr>
          <w:lang w:val="en-GB"/>
        </w:rPr>
        <w:t>Grand Chamber composed of:</w:t>
      </w:r>
    </w:p>
    <w:p w:rsidRPr="00C60A75" w:rsidR="0093514B" w:rsidP="000E2315" w:rsidRDefault="00A12825" w14:paraId="08711EF9" w14:textId="77777777">
      <w:pPr>
        <w:pStyle w:val="ECHRDecisionBody"/>
        <w:rPr>
          <w:lang w:val="en-GB"/>
        </w:rPr>
      </w:pPr>
      <w:r w:rsidRPr="00A12825">
        <w:tab/>
        <w:t>Dean</w:t>
      </w:r>
      <w:r>
        <w:t xml:space="preserve"> </w:t>
      </w:r>
      <w:r w:rsidRPr="00A12825">
        <w:t>Spielmann</w:t>
      </w:r>
      <w:r>
        <w:t>,</w:t>
      </w:r>
      <w:r w:rsidRPr="00A12825">
        <w:rPr>
          <w:i/>
        </w:rPr>
        <w:t xml:space="preserve"> President</w:t>
      </w:r>
      <w:r w:rsidRPr="00BD3433">
        <w:t>,</w:t>
      </w:r>
      <w:r>
        <w:rPr>
          <w:i/>
        </w:rPr>
        <w:br/>
      </w:r>
      <w:r w:rsidRPr="00A12825">
        <w:tab/>
        <w:t>Josep</w:t>
      </w:r>
      <w:r>
        <w:t xml:space="preserve"> </w:t>
      </w:r>
      <w:r w:rsidRPr="00A12825">
        <w:t>Casadevall</w:t>
      </w:r>
      <w:r>
        <w:t>,</w:t>
      </w:r>
      <w:r>
        <w:rPr>
          <w:i/>
        </w:rPr>
        <w:br/>
      </w:r>
      <w:r w:rsidRPr="00A12825">
        <w:tab/>
        <w:t>Guido</w:t>
      </w:r>
      <w:r>
        <w:t xml:space="preserve"> </w:t>
      </w:r>
      <w:r w:rsidRPr="00A12825">
        <w:t>Raimondi</w:t>
      </w:r>
      <w:r>
        <w:t>,</w:t>
      </w:r>
      <w:r>
        <w:rPr>
          <w:i/>
        </w:rPr>
        <w:br/>
      </w:r>
      <w:r w:rsidRPr="00A12825">
        <w:tab/>
        <w:t>Ineta</w:t>
      </w:r>
      <w:r>
        <w:t xml:space="preserve"> </w:t>
      </w:r>
      <w:r w:rsidRPr="00A12825">
        <w:t>Ziemele</w:t>
      </w:r>
      <w:r>
        <w:t>,</w:t>
      </w:r>
      <w:r>
        <w:rPr>
          <w:i/>
        </w:rPr>
        <w:br/>
      </w:r>
      <w:r w:rsidRPr="00A12825">
        <w:tab/>
        <w:t>Isabelle</w:t>
      </w:r>
      <w:r>
        <w:t xml:space="preserve"> </w:t>
      </w:r>
      <w:r w:rsidRPr="00A12825">
        <w:t>Berro</w:t>
      </w:r>
      <w:r>
        <w:t>,</w:t>
      </w:r>
      <w:r>
        <w:rPr>
          <w:i/>
        </w:rPr>
        <w:br/>
      </w:r>
      <w:r w:rsidRPr="00A12825">
        <w:tab/>
        <w:t>Elisabeth</w:t>
      </w:r>
      <w:r>
        <w:t xml:space="preserve"> </w:t>
      </w:r>
      <w:r w:rsidRPr="00A12825">
        <w:t>Steiner</w:t>
      </w:r>
      <w:r>
        <w:t>,</w:t>
      </w:r>
      <w:r>
        <w:rPr>
          <w:i/>
        </w:rPr>
        <w:br/>
      </w:r>
      <w:r w:rsidRPr="00A12825">
        <w:tab/>
        <w:t>Päivi</w:t>
      </w:r>
      <w:r>
        <w:t xml:space="preserve"> </w:t>
      </w:r>
      <w:r w:rsidRPr="00A12825">
        <w:t>Hirvelä</w:t>
      </w:r>
      <w:r>
        <w:t>,</w:t>
      </w:r>
      <w:r>
        <w:rPr>
          <w:i/>
        </w:rPr>
        <w:br/>
      </w:r>
      <w:r w:rsidRPr="00A12825">
        <w:tab/>
        <w:t>Mirjana</w:t>
      </w:r>
      <w:r>
        <w:t xml:space="preserve"> </w:t>
      </w:r>
      <w:r w:rsidRPr="00A12825">
        <w:t>Lazarova Trajkovska</w:t>
      </w:r>
      <w:r>
        <w:t>,</w:t>
      </w:r>
      <w:r>
        <w:rPr>
          <w:i/>
        </w:rPr>
        <w:br/>
      </w:r>
      <w:r w:rsidRPr="00A12825">
        <w:tab/>
        <w:t>Işıl</w:t>
      </w:r>
      <w:r>
        <w:t xml:space="preserve"> </w:t>
      </w:r>
      <w:r w:rsidRPr="00A12825">
        <w:t>Karakaş</w:t>
      </w:r>
      <w:r>
        <w:t>,</w:t>
      </w:r>
      <w:r>
        <w:rPr>
          <w:i/>
        </w:rPr>
        <w:br/>
      </w:r>
      <w:r w:rsidRPr="00A12825">
        <w:tab/>
        <w:t>Kristina</w:t>
      </w:r>
      <w:r>
        <w:t xml:space="preserve"> </w:t>
      </w:r>
      <w:r w:rsidRPr="00A12825">
        <w:t>Pardalos</w:t>
      </w:r>
      <w:r>
        <w:t>,</w:t>
      </w:r>
      <w:r>
        <w:rPr>
          <w:i/>
        </w:rPr>
        <w:br/>
      </w:r>
      <w:r w:rsidRPr="00A12825">
        <w:tab/>
        <w:t>Paulo</w:t>
      </w:r>
      <w:r>
        <w:t xml:space="preserve"> </w:t>
      </w:r>
      <w:r w:rsidRPr="00A12825">
        <w:t>Pinto de Albuquerque</w:t>
      </w:r>
      <w:r>
        <w:t>,</w:t>
      </w:r>
      <w:r>
        <w:rPr>
          <w:i/>
        </w:rPr>
        <w:br/>
      </w:r>
      <w:r w:rsidRPr="00A12825">
        <w:tab/>
        <w:t>Aleš</w:t>
      </w:r>
      <w:r>
        <w:t xml:space="preserve"> </w:t>
      </w:r>
      <w:r w:rsidRPr="00A12825">
        <w:t>Pejchal</w:t>
      </w:r>
      <w:r>
        <w:t>,</w:t>
      </w:r>
      <w:r>
        <w:rPr>
          <w:i/>
        </w:rPr>
        <w:br/>
      </w:r>
      <w:r w:rsidRPr="00A12825">
        <w:tab/>
        <w:t>Valeriu</w:t>
      </w:r>
      <w:r>
        <w:t xml:space="preserve"> </w:t>
      </w:r>
      <w:r w:rsidRPr="00A12825">
        <w:t>Griţco</w:t>
      </w:r>
      <w:r>
        <w:t>,</w:t>
      </w:r>
      <w:r>
        <w:rPr>
          <w:i/>
        </w:rPr>
        <w:br/>
      </w:r>
      <w:r w:rsidRPr="00A12825">
        <w:tab/>
        <w:t>Faris</w:t>
      </w:r>
      <w:r>
        <w:t xml:space="preserve"> </w:t>
      </w:r>
      <w:r w:rsidRPr="00A12825">
        <w:t>Vehabović</w:t>
      </w:r>
      <w:r>
        <w:t>,</w:t>
      </w:r>
      <w:r>
        <w:rPr>
          <w:i/>
        </w:rPr>
        <w:br/>
      </w:r>
      <w:r w:rsidRPr="00A12825">
        <w:tab/>
        <w:t>Dmitry</w:t>
      </w:r>
      <w:r>
        <w:t xml:space="preserve"> </w:t>
      </w:r>
      <w:r w:rsidRPr="00A12825">
        <w:t>Dedov</w:t>
      </w:r>
      <w:r>
        <w:t>,</w:t>
      </w:r>
      <w:r>
        <w:rPr>
          <w:i/>
        </w:rPr>
        <w:br/>
      </w:r>
      <w:r w:rsidRPr="00A12825">
        <w:tab/>
        <w:t>Egidijus</w:t>
      </w:r>
      <w:r>
        <w:t xml:space="preserve"> </w:t>
      </w:r>
      <w:r w:rsidRPr="00A12825">
        <w:t>Kūris</w:t>
      </w:r>
      <w:r>
        <w:t>,</w:t>
      </w:r>
      <w:r>
        <w:rPr>
          <w:i/>
        </w:rPr>
        <w:br/>
      </w:r>
      <w:r w:rsidRPr="00A12825">
        <w:tab/>
        <w:t>Robert</w:t>
      </w:r>
      <w:r>
        <w:t xml:space="preserve"> </w:t>
      </w:r>
      <w:r w:rsidRPr="00A12825">
        <w:t>Spano</w:t>
      </w:r>
      <w:r>
        <w:t>,</w:t>
      </w:r>
      <w:r w:rsidRPr="00A12825">
        <w:rPr>
          <w:i/>
        </w:rPr>
        <w:t xml:space="preserve"> judges</w:t>
      </w:r>
      <w:r w:rsidRPr="00BD3433">
        <w:t>,</w:t>
      </w:r>
      <w:r w:rsidRPr="0093514B" w:rsidR="0093514B">
        <w:rPr>
          <w:szCs w:val="24"/>
          <w:lang w:val="en-GB"/>
        </w:rPr>
        <w:br/>
      </w:r>
      <w:r w:rsidRPr="000E2315" w:rsidR="0093514B">
        <w:t>and</w:t>
      </w:r>
      <w:r w:rsidRPr="0093514B" w:rsidR="0093514B">
        <w:rPr>
          <w:lang w:val="en-GB"/>
        </w:rPr>
        <w:t xml:space="preserve"> Michael O</w:t>
      </w:r>
      <w:r w:rsidR="001D00E3">
        <w:rPr>
          <w:lang w:val="en-GB"/>
        </w:rPr>
        <w:t>’</w:t>
      </w:r>
      <w:r w:rsidRPr="0093514B" w:rsidR="0093514B">
        <w:rPr>
          <w:lang w:val="en-GB"/>
        </w:rPr>
        <w:t xml:space="preserve">Boyle, </w:t>
      </w:r>
      <w:r w:rsidRPr="0093514B" w:rsidR="0093514B">
        <w:rPr>
          <w:i/>
          <w:lang w:val="en-GB"/>
        </w:rPr>
        <w:t xml:space="preserve">Deputy </w:t>
      </w:r>
      <w:r w:rsidRPr="0093514B" w:rsidR="0093514B">
        <w:rPr>
          <w:i/>
          <w:iCs/>
          <w:lang w:val="en-GB"/>
        </w:rPr>
        <w:t>Registrar</w:t>
      </w:r>
      <w:r w:rsidRPr="00BD3433" w:rsidR="0093514B">
        <w:rPr>
          <w:lang w:val="en-GB"/>
        </w:rPr>
        <w:t>,</w:t>
      </w:r>
    </w:p>
    <w:p w:rsidRPr="0093514B" w:rsidR="0093514B" w:rsidP="000E2315" w:rsidRDefault="0093514B" w14:paraId="76BDFD69" w14:textId="098DED12">
      <w:pPr>
        <w:pStyle w:val="ECHRPara"/>
        <w:rPr>
          <w:lang w:val="en-GB"/>
        </w:rPr>
      </w:pPr>
      <w:r w:rsidRPr="0093514B">
        <w:rPr>
          <w:lang w:val="en-GB"/>
        </w:rPr>
        <w:t xml:space="preserve">Having deliberated in private on 9 April 2014 and </w:t>
      </w:r>
      <w:r w:rsidR="0040553D">
        <w:rPr>
          <w:lang w:val="en-GB"/>
        </w:rPr>
        <w:t>19 November 2014</w:t>
      </w:r>
      <w:r w:rsidRPr="0093514B">
        <w:rPr>
          <w:lang w:val="en-GB"/>
        </w:rPr>
        <w:t>,</w:t>
      </w:r>
    </w:p>
    <w:p w:rsidRPr="0093514B" w:rsidR="0093514B" w:rsidP="000E2315" w:rsidRDefault="0093514B" w14:paraId="71AFA5DE" w14:textId="49304081">
      <w:pPr>
        <w:pStyle w:val="ECHRPara"/>
        <w:rPr>
          <w:lang w:val="en-GB"/>
        </w:rPr>
      </w:pPr>
      <w:r w:rsidRPr="0093514B">
        <w:rPr>
          <w:lang w:val="en-GB"/>
        </w:rPr>
        <w:t>Delivers the following judgment, which was adopted on the last</w:t>
      </w:r>
      <w:r w:rsidR="00C60A75">
        <w:rPr>
          <w:lang w:val="en-GB"/>
        </w:rPr>
        <w:t>-</w:t>
      </w:r>
      <w:r w:rsidRPr="0093514B">
        <w:rPr>
          <w:lang w:val="en-GB"/>
        </w:rPr>
        <w:t>mentioned date:</w:t>
      </w:r>
    </w:p>
    <w:p w:rsidRPr="0093514B" w:rsidR="0093514B" w:rsidP="000E2315" w:rsidRDefault="0093514B" w14:paraId="7A7B383F" w14:textId="77777777">
      <w:pPr>
        <w:pStyle w:val="ECHRTitle1"/>
        <w:rPr>
          <w:lang w:val="en-GB"/>
        </w:rPr>
      </w:pPr>
      <w:r w:rsidRPr="0093514B">
        <w:rPr>
          <w:lang w:val="en-GB"/>
        </w:rPr>
        <w:t>PROCEDURE</w:t>
      </w:r>
    </w:p>
    <w:p w:rsidRPr="0093514B" w:rsidR="0093514B" w:rsidP="000E2315" w:rsidRDefault="0093514B" w14:paraId="6429B9CD" w14:textId="77777777">
      <w:pPr>
        <w:pStyle w:val="ECHRPara"/>
        <w:rPr>
          <w:lang w:val="en-GB"/>
        </w:rPr>
      </w:pPr>
      <w:r w:rsidRPr="0093514B">
        <w:rPr>
          <w:lang w:val="en-GB"/>
        </w:rPr>
        <w:fldChar w:fldCharType="begin"/>
      </w:r>
      <w:r w:rsidRPr="0093514B">
        <w:rPr>
          <w:lang w:val="en-GB"/>
        </w:rPr>
        <w:instrText xml:space="preserve"> SEQ level0 \*arabic </w:instrText>
      </w:r>
      <w:r w:rsidRPr="0093514B">
        <w:rPr>
          <w:lang w:val="en-GB"/>
        </w:rPr>
        <w:fldChar w:fldCharType="separate"/>
      </w:r>
      <w:r w:rsidR="002D5843">
        <w:rPr>
          <w:noProof/>
          <w:lang w:val="en-GB"/>
        </w:rPr>
        <w:t>1</w:t>
      </w:r>
      <w:r w:rsidRPr="0093514B">
        <w:rPr>
          <w:lang w:val="en-GB"/>
        </w:rPr>
        <w:fldChar w:fldCharType="end"/>
      </w:r>
      <w:r w:rsidRPr="0093514B">
        <w:rPr>
          <w:lang w:val="en-GB"/>
        </w:rPr>
        <w:t xml:space="preserve">.  The case originated in an application (no. 59552/08) against the Czech Republic lodged with the Court under Article 34 of the Convention for the Protection of Human Rights and Fundamental Freedoms (“the Convention”) by a Czech national, Mr Petr Rohlena </w:t>
      </w:r>
      <w:r w:rsidR="00B36A69">
        <w:rPr>
          <w:lang w:val="en-GB"/>
        </w:rPr>
        <w:t>(“the applicant”), on 4 </w:t>
      </w:r>
      <w:r w:rsidRPr="0093514B">
        <w:rPr>
          <w:lang w:val="en-GB"/>
        </w:rPr>
        <w:t>December 2008.</w:t>
      </w:r>
    </w:p>
    <w:p w:rsidRPr="0093514B" w:rsidR="0093514B" w:rsidP="000E2315" w:rsidRDefault="0093514B" w14:paraId="2FC9E37C" w14:textId="77777777">
      <w:pPr>
        <w:pStyle w:val="ECHRPara"/>
        <w:rPr>
          <w:lang w:val="en-GB"/>
        </w:rPr>
      </w:pPr>
      <w:r w:rsidRPr="0093514B">
        <w:rPr>
          <w:lang w:val="en-GB"/>
        </w:rPr>
        <w:fldChar w:fldCharType="begin"/>
      </w:r>
      <w:r w:rsidRPr="0093514B">
        <w:rPr>
          <w:lang w:val="en-GB"/>
        </w:rPr>
        <w:instrText xml:space="preserve"> SEQ level0 \*arabic </w:instrText>
      </w:r>
      <w:r w:rsidRPr="0093514B">
        <w:rPr>
          <w:lang w:val="en-GB"/>
        </w:rPr>
        <w:fldChar w:fldCharType="separate"/>
      </w:r>
      <w:r w:rsidR="002D5843">
        <w:rPr>
          <w:noProof/>
          <w:lang w:val="en-GB"/>
        </w:rPr>
        <w:t>2</w:t>
      </w:r>
      <w:r w:rsidRPr="0093514B">
        <w:rPr>
          <w:lang w:val="en-GB"/>
        </w:rPr>
        <w:fldChar w:fldCharType="end"/>
      </w:r>
      <w:r w:rsidRPr="0093514B">
        <w:rPr>
          <w:lang w:val="en-GB"/>
        </w:rPr>
        <w:t>.  The applicant was represented by Mr J. Kru</w:t>
      </w:r>
      <w:r w:rsidRPr="0093514B">
        <w:rPr>
          <w:rFonts w:cstheme="minorHAnsi"/>
          <w:lang w:val="en-GB"/>
        </w:rPr>
        <w:t>ž</w:t>
      </w:r>
      <w:r w:rsidRPr="0093514B">
        <w:rPr>
          <w:lang w:val="en-GB"/>
        </w:rPr>
        <w:t xml:space="preserve">ík, </w:t>
      </w:r>
      <w:r w:rsidR="006537FB">
        <w:rPr>
          <w:lang w:val="en-GB"/>
        </w:rPr>
        <w:t xml:space="preserve">a </w:t>
      </w:r>
      <w:r w:rsidRPr="0093514B">
        <w:rPr>
          <w:lang w:val="en-GB"/>
        </w:rPr>
        <w:t xml:space="preserve">lawyer practising in Brno. The Czech Government (“the Government”) were represented by their Agent, Mr V.A. Schorm, </w:t>
      </w:r>
      <w:r w:rsidR="006537FB">
        <w:rPr>
          <w:lang w:val="en-GB"/>
        </w:rPr>
        <w:t>of</w:t>
      </w:r>
      <w:r w:rsidRPr="0093514B" w:rsidR="006537FB">
        <w:rPr>
          <w:lang w:val="en-GB"/>
        </w:rPr>
        <w:t xml:space="preserve"> </w:t>
      </w:r>
      <w:r w:rsidRPr="0093514B">
        <w:rPr>
          <w:lang w:val="en-GB"/>
        </w:rPr>
        <w:t>the Ministry of Justice.</w:t>
      </w:r>
    </w:p>
    <w:p w:rsidRPr="0093514B" w:rsidR="0093514B" w:rsidP="000E2315" w:rsidRDefault="0093514B" w14:paraId="6F28E91B" w14:textId="77777777">
      <w:pPr>
        <w:pStyle w:val="ECHRPara"/>
        <w:rPr>
          <w:lang w:val="en-GB"/>
        </w:rPr>
      </w:pPr>
      <w:r w:rsidRPr="0093514B">
        <w:rPr>
          <w:lang w:val="en-GB"/>
        </w:rPr>
        <w:fldChar w:fldCharType="begin"/>
      </w:r>
      <w:r w:rsidRPr="0093514B">
        <w:rPr>
          <w:lang w:val="en-GB"/>
        </w:rPr>
        <w:instrText xml:space="preserve"> SEQ level0 \*arabic </w:instrText>
      </w:r>
      <w:r w:rsidRPr="0093514B">
        <w:rPr>
          <w:lang w:val="en-GB"/>
        </w:rPr>
        <w:fldChar w:fldCharType="separate"/>
      </w:r>
      <w:r w:rsidR="002D5843">
        <w:rPr>
          <w:noProof/>
          <w:lang w:val="en-GB"/>
        </w:rPr>
        <w:t>3</w:t>
      </w:r>
      <w:r w:rsidRPr="0093514B">
        <w:rPr>
          <w:lang w:val="en-GB"/>
        </w:rPr>
        <w:fldChar w:fldCharType="end"/>
      </w:r>
      <w:r w:rsidRPr="0093514B">
        <w:rPr>
          <w:lang w:val="en-GB"/>
        </w:rPr>
        <w:t xml:space="preserve">.  Relying on Article 7 of the Convention, the applicant alleged in particular that, </w:t>
      </w:r>
      <w:r w:rsidR="009C6C37">
        <w:rPr>
          <w:lang w:val="en-GB"/>
        </w:rPr>
        <w:t>in</w:t>
      </w:r>
      <w:r w:rsidRPr="0093514B" w:rsidR="009C6C37">
        <w:rPr>
          <w:lang w:val="en-GB"/>
        </w:rPr>
        <w:t xml:space="preserve"> </w:t>
      </w:r>
      <w:r w:rsidRPr="0093514B">
        <w:rPr>
          <w:lang w:val="en-GB"/>
        </w:rPr>
        <w:t xml:space="preserve">convicting him of a </w:t>
      </w:r>
      <w:r w:rsidR="009C1BE0">
        <w:rPr>
          <w:lang w:val="en-GB"/>
        </w:rPr>
        <w:t>continuous</w:t>
      </w:r>
      <w:r w:rsidRPr="0093514B">
        <w:rPr>
          <w:lang w:val="en-GB"/>
        </w:rPr>
        <w:t xml:space="preserve"> criminal offence, the domestic courts had </w:t>
      </w:r>
      <w:r w:rsidR="006537FB">
        <w:rPr>
          <w:lang w:val="en-GB"/>
        </w:rPr>
        <w:t>applied</w:t>
      </w:r>
      <w:r w:rsidRPr="0093514B">
        <w:rPr>
          <w:lang w:val="en-GB"/>
        </w:rPr>
        <w:t xml:space="preserve"> the criminal law</w:t>
      </w:r>
      <w:r w:rsidR="006537FB">
        <w:rPr>
          <w:lang w:val="en-GB"/>
        </w:rPr>
        <w:t xml:space="preserve"> retro</w:t>
      </w:r>
      <w:r w:rsidR="00F015A0">
        <w:rPr>
          <w:lang w:val="en-GB"/>
        </w:rPr>
        <w:t>a</w:t>
      </w:r>
      <w:r w:rsidR="006537FB">
        <w:rPr>
          <w:lang w:val="en-GB"/>
        </w:rPr>
        <w:t>ctively</w:t>
      </w:r>
      <w:r w:rsidRPr="0093514B">
        <w:rPr>
          <w:lang w:val="en-GB"/>
        </w:rPr>
        <w:t>, to his detriment.</w:t>
      </w:r>
    </w:p>
    <w:p w:rsidRPr="0093514B" w:rsidR="0093514B" w:rsidP="000E2315" w:rsidRDefault="0093514B" w14:paraId="0F83A194" w14:textId="24CC9485">
      <w:pPr>
        <w:pStyle w:val="ECHRPara"/>
      </w:pPr>
      <w:r w:rsidRPr="0093514B">
        <w:rPr>
          <w:lang w:val="en-GB"/>
        </w:rPr>
        <w:fldChar w:fldCharType="begin"/>
      </w:r>
      <w:r w:rsidRPr="0093514B">
        <w:rPr>
          <w:lang w:val="en-GB"/>
        </w:rPr>
        <w:instrText xml:space="preserve"> SEQ level0 \*arabic </w:instrText>
      </w:r>
      <w:r w:rsidRPr="0093514B">
        <w:rPr>
          <w:lang w:val="en-GB"/>
        </w:rPr>
        <w:fldChar w:fldCharType="separate"/>
      </w:r>
      <w:r w:rsidR="002D5843">
        <w:rPr>
          <w:noProof/>
          <w:lang w:val="en-GB"/>
        </w:rPr>
        <w:t>4</w:t>
      </w:r>
      <w:r w:rsidRPr="0093514B">
        <w:rPr>
          <w:lang w:val="en-GB"/>
        </w:rPr>
        <w:fldChar w:fldCharType="end"/>
      </w:r>
      <w:r w:rsidRPr="0093514B">
        <w:rPr>
          <w:lang w:val="en-GB"/>
        </w:rPr>
        <w:t>.  </w:t>
      </w:r>
      <w:r w:rsidRPr="0093514B">
        <w:t>The application was allocated to the Fifth Section of the Court (Rule</w:t>
      </w:r>
      <w:r w:rsidR="00B56338">
        <w:t> </w:t>
      </w:r>
      <w:r w:rsidRPr="0093514B">
        <w:t>52 § 1 of the Rules of Court). On 14 November 2011 the President of the Fifth Section decided to give notice of the application to the Government. On 18 April 2013 a Chamber of that Section, composed of Mark Villiger, President, Angelika Nu</w:t>
      </w:r>
      <w:r w:rsidRPr="0093514B">
        <w:rPr>
          <w:rFonts w:cstheme="minorHAnsi"/>
        </w:rPr>
        <w:t>β</w:t>
      </w:r>
      <w:r w:rsidRPr="0093514B">
        <w:t xml:space="preserve">berger, Ganna Yudkivska, André Potocki, Paul Lemmens, Helena Jäderblom, Aleš Pejchal, judges, and Claudia Westerdiek, Section Registrar, gave judgment. They unanimously declared the complaint under Article 7 of the Convention admissible and the remainder of the application inadmissible, </w:t>
      </w:r>
      <w:r w:rsidR="006537FB">
        <w:t>and</w:t>
      </w:r>
      <w:r w:rsidRPr="0093514B" w:rsidR="006537FB">
        <w:t xml:space="preserve"> </w:t>
      </w:r>
      <w:r w:rsidRPr="0093514B">
        <w:t xml:space="preserve">held that there had been no violation of </w:t>
      </w:r>
      <w:r w:rsidR="00670C2F">
        <w:t>Article 7</w:t>
      </w:r>
      <w:r w:rsidRPr="0093514B">
        <w:t>. Judge Lemmens expressed a separate concurring opinion which was annexed to the judgment.</w:t>
      </w:r>
    </w:p>
    <w:p w:rsidRPr="0093514B" w:rsidR="0093514B" w:rsidP="000E2315" w:rsidRDefault="008807FE" w14:paraId="47DA6C7A" w14:textId="77777777">
      <w:pPr>
        <w:pStyle w:val="ECHRPara"/>
      </w:pPr>
      <w:r>
        <w:fldChar w:fldCharType="begin"/>
      </w:r>
      <w:r>
        <w:instrText xml:space="preserve"> SEQ level0 \*arabic </w:instrText>
      </w:r>
      <w:r>
        <w:fldChar w:fldCharType="separate"/>
      </w:r>
      <w:r w:rsidR="002D5843">
        <w:rPr>
          <w:noProof/>
        </w:rPr>
        <w:t>5</w:t>
      </w:r>
      <w:r>
        <w:rPr>
          <w:noProof/>
        </w:rPr>
        <w:fldChar w:fldCharType="end"/>
      </w:r>
      <w:r w:rsidRPr="0093514B" w:rsidR="0093514B">
        <w:t>.  On 9 September 2013, following a re</w:t>
      </w:r>
      <w:r w:rsidR="00B36A69">
        <w:t>quest by the applicant dated 11 </w:t>
      </w:r>
      <w:r w:rsidRPr="0093514B" w:rsidR="0093514B">
        <w:t>July 2013, a panel of the Grand Chamber decided to refer the case to the Grand Chamber under Article 43 of the Convention.</w:t>
      </w:r>
    </w:p>
    <w:p w:rsidRPr="0093514B" w:rsidR="0093514B" w:rsidP="000E2315" w:rsidRDefault="008807FE" w14:paraId="218069A0" w14:textId="576A8902">
      <w:pPr>
        <w:pStyle w:val="ECHRPara"/>
      </w:pPr>
      <w:r>
        <w:fldChar w:fldCharType="begin"/>
      </w:r>
      <w:r>
        <w:instrText xml:space="preserve"> SEQ level0 \*arabic </w:instrText>
      </w:r>
      <w:r>
        <w:fldChar w:fldCharType="separate"/>
      </w:r>
      <w:r w:rsidR="002D5843">
        <w:rPr>
          <w:noProof/>
        </w:rPr>
        <w:t>6</w:t>
      </w:r>
      <w:r>
        <w:rPr>
          <w:noProof/>
        </w:rPr>
        <w:fldChar w:fldCharType="end"/>
      </w:r>
      <w:r w:rsidRPr="0093514B" w:rsidR="0093514B">
        <w:t>.  The composition of the Grand Chamber was determined according to the provisions of Article 26 §§ 4 and 5 of the Convention and Rule 24.</w:t>
      </w:r>
    </w:p>
    <w:p w:rsidRPr="0093514B" w:rsidR="0093514B" w:rsidP="000E2315" w:rsidRDefault="008807FE" w14:paraId="5660E8C7" w14:textId="77777777">
      <w:pPr>
        <w:pStyle w:val="ECHRPara"/>
      </w:pPr>
      <w:r>
        <w:fldChar w:fldCharType="begin"/>
      </w:r>
      <w:r>
        <w:instrText xml:space="preserve"> SEQ level0 \*arabic </w:instrText>
      </w:r>
      <w:r>
        <w:fldChar w:fldCharType="separate"/>
      </w:r>
      <w:r w:rsidR="002D5843">
        <w:rPr>
          <w:noProof/>
        </w:rPr>
        <w:t>7</w:t>
      </w:r>
      <w:r>
        <w:rPr>
          <w:noProof/>
        </w:rPr>
        <w:fldChar w:fldCharType="end"/>
      </w:r>
      <w:r w:rsidRPr="0093514B" w:rsidR="0093514B">
        <w:t>.  On 16 January 2014 the President of the Court decided to cancel the hearing scheduled in the case and to pursue the written procedure.</w:t>
      </w:r>
    </w:p>
    <w:p w:rsidRPr="0093514B" w:rsidR="0093514B" w:rsidP="000E2315" w:rsidRDefault="008807FE" w14:paraId="5ECF0956" w14:textId="77777777">
      <w:pPr>
        <w:pStyle w:val="ECHRPara"/>
      </w:pPr>
      <w:r>
        <w:fldChar w:fldCharType="begin"/>
      </w:r>
      <w:r>
        <w:instrText xml:space="preserve"> SEQ level0 \*arabic </w:instrText>
      </w:r>
      <w:r>
        <w:fldChar w:fldCharType="separate"/>
      </w:r>
      <w:r w:rsidR="002D5843">
        <w:rPr>
          <w:noProof/>
        </w:rPr>
        <w:t>8</w:t>
      </w:r>
      <w:r>
        <w:rPr>
          <w:noProof/>
        </w:rPr>
        <w:fldChar w:fldCharType="end"/>
      </w:r>
      <w:r w:rsidRPr="0093514B" w:rsidR="0093514B">
        <w:t xml:space="preserve">.  The applicant and the Government each filed further written observations on the merits </w:t>
      </w:r>
      <w:r w:rsidRPr="0093514B" w:rsidR="00F46E4C">
        <w:t xml:space="preserve">(Rule 59 § 1) </w:t>
      </w:r>
      <w:r w:rsidRPr="0093514B" w:rsidR="0093514B">
        <w:t>and replied to the specific questions put to them by the Grand Chamber.</w:t>
      </w:r>
    </w:p>
    <w:p w:rsidRPr="0093514B" w:rsidR="0093514B" w:rsidP="002755F6" w:rsidRDefault="0093514B" w14:paraId="47A6096D" w14:textId="77777777">
      <w:pPr>
        <w:pStyle w:val="ECHRTitle1"/>
        <w:rPr>
          <w:lang w:val="en-GB"/>
        </w:rPr>
      </w:pPr>
      <w:r w:rsidRPr="0093514B">
        <w:rPr>
          <w:lang w:val="en-GB"/>
        </w:rPr>
        <w:t>THE FACTS</w:t>
      </w:r>
    </w:p>
    <w:p w:rsidRPr="0093514B" w:rsidR="0093514B" w:rsidP="002755F6" w:rsidRDefault="0093514B" w14:paraId="47C464A0" w14:textId="77777777">
      <w:pPr>
        <w:pStyle w:val="ECHRHeading1"/>
        <w:rPr>
          <w:lang w:val="en-GB"/>
        </w:rPr>
      </w:pPr>
      <w:r w:rsidRPr="0093514B">
        <w:rPr>
          <w:lang w:val="en-GB"/>
        </w:rPr>
        <w:t>I.  THE CIRCUMSTANCES OF THE CASE</w:t>
      </w:r>
    </w:p>
    <w:p w:rsidRPr="0093514B" w:rsidR="0093514B" w:rsidP="002755F6" w:rsidRDefault="0093514B" w14:paraId="545539A5" w14:textId="77777777">
      <w:pPr>
        <w:pStyle w:val="ECHRPara"/>
        <w:rPr>
          <w:lang w:val="en-GB"/>
        </w:rPr>
      </w:pPr>
      <w:r w:rsidRPr="0093514B">
        <w:rPr>
          <w:lang w:val="en-GB"/>
        </w:rPr>
        <w:fldChar w:fldCharType="begin"/>
      </w:r>
      <w:r w:rsidRPr="0093514B">
        <w:rPr>
          <w:lang w:val="en-GB"/>
        </w:rPr>
        <w:instrText xml:space="preserve"> SEQ level0 \*arabic </w:instrText>
      </w:r>
      <w:r w:rsidRPr="0093514B">
        <w:rPr>
          <w:lang w:val="en-GB"/>
        </w:rPr>
        <w:fldChar w:fldCharType="separate"/>
      </w:r>
      <w:r w:rsidR="002D5843">
        <w:rPr>
          <w:noProof/>
          <w:lang w:val="en-GB"/>
        </w:rPr>
        <w:t>9</w:t>
      </w:r>
      <w:r w:rsidRPr="0093514B">
        <w:rPr>
          <w:lang w:val="en-GB"/>
        </w:rPr>
        <w:fldChar w:fldCharType="end"/>
      </w:r>
      <w:r w:rsidRPr="0093514B">
        <w:rPr>
          <w:lang w:val="en-GB"/>
        </w:rPr>
        <w:t>.  The applicant was born in 1966 and lives in Brno.</w:t>
      </w:r>
    </w:p>
    <w:bookmarkStart w:name="par10" w:id="1"/>
    <w:p w:rsidRPr="0093514B" w:rsidR="0093514B" w:rsidP="002755F6" w:rsidRDefault="0093514B" w14:paraId="649161E1" w14:textId="6440C0DF">
      <w:pPr>
        <w:pStyle w:val="ECHRPara"/>
        <w:rPr>
          <w:lang w:val="en-GB"/>
        </w:rPr>
      </w:pPr>
      <w:r w:rsidRPr="0093514B">
        <w:rPr>
          <w:lang w:val="en-GB"/>
        </w:rPr>
        <w:fldChar w:fldCharType="begin"/>
      </w:r>
      <w:r w:rsidRPr="0093514B">
        <w:rPr>
          <w:lang w:val="en-GB"/>
        </w:rPr>
        <w:instrText xml:space="preserve"> SEQ level0 \*arabic </w:instrText>
      </w:r>
      <w:r w:rsidRPr="0093514B">
        <w:rPr>
          <w:lang w:val="en-GB"/>
        </w:rPr>
        <w:fldChar w:fldCharType="separate"/>
      </w:r>
      <w:r w:rsidR="002D5843">
        <w:rPr>
          <w:noProof/>
          <w:lang w:val="en-GB"/>
        </w:rPr>
        <w:t>10</w:t>
      </w:r>
      <w:r w:rsidRPr="0093514B">
        <w:rPr>
          <w:lang w:val="en-GB"/>
        </w:rPr>
        <w:fldChar w:fldCharType="end"/>
      </w:r>
      <w:bookmarkEnd w:id="1"/>
      <w:r w:rsidRPr="0093514B">
        <w:rPr>
          <w:lang w:val="en-GB"/>
        </w:rPr>
        <w:t xml:space="preserve">.  On 29 May 2006 the applicant was formally indicted by the Brno municipal prosecutor </w:t>
      </w:r>
      <w:r w:rsidR="0006479D">
        <w:rPr>
          <w:lang w:val="en-GB"/>
        </w:rPr>
        <w:t>for</w:t>
      </w:r>
      <w:r w:rsidRPr="0093514B" w:rsidR="0006479D">
        <w:rPr>
          <w:lang w:val="en-GB"/>
        </w:rPr>
        <w:t xml:space="preserve"> </w:t>
      </w:r>
      <w:r w:rsidRPr="0093514B">
        <w:rPr>
          <w:lang w:val="en-GB"/>
        </w:rPr>
        <w:t>having, at least between 2000 and 8</w:t>
      </w:r>
      <w:r w:rsidR="005F2AA0">
        <w:rPr>
          <w:lang w:val="en-GB"/>
        </w:rPr>
        <w:t> </w:t>
      </w:r>
      <w:r w:rsidRPr="0093514B">
        <w:rPr>
          <w:lang w:val="en-GB"/>
        </w:rPr>
        <w:t xml:space="preserve">February 2006, repeatedly abused his wife </w:t>
      </w:r>
      <w:r w:rsidR="005F2AA0">
        <w:rPr>
          <w:lang w:val="en-GB"/>
        </w:rPr>
        <w:t xml:space="preserve">both </w:t>
      </w:r>
      <w:r w:rsidRPr="0093514B" w:rsidR="005F2AA0">
        <w:rPr>
          <w:lang w:val="en-GB"/>
        </w:rPr>
        <w:t xml:space="preserve">physically and mentally </w:t>
      </w:r>
      <w:r w:rsidRPr="0093514B">
        <w:rPr>
          <w:lang w:val="en-GB"/>
        </w:rPr>
        <w:t>while</w:t>
      </w:r>
      <w:r w:rsidR="006537FB">
        <w:rPr>
          <w:lang w:val="en-GB"/>
        </w:rPr>
        <w:t xml:space="preserve"> he was</w:t>
      </w:r>
      <w:r w:rsidRPr="0093514B">
        <w:rPr>
          <w:lang w:val="en-GB"/>
        </w:rPr>
        <w:t xml:space="preserve"> drunk. He was accused of having subjected her to verbal abuse, hit her on the head with his hand and fist, slapped her, held her by the throat, tried to strangle her, thrown her against the furniture or onto the ground, pushed her down stairs and kicked her. He was further accused of having hit the children, gambled away the household</w:t>
      </w:r>
      <w:r w:rsidR="001D00E3">
        <w:rPr>
          <w:lang w:val="en-GB"/>
        </w:rPr>
        <w:t>’</w:t>
      </w:r>
      <w:r w:rsidRPr="0093514B">
        <w:rPr>
          <w:lang w:val="en-GB"/>
        </w:rPr>
        <w:t>s money on gaming machines and smashed the crockery. As a result, his wife had sustained haematomas, bruising and a fractured nose and had been obliged to seek medical assistance on that account on 26 June 2000, 18 July 2003 and 8</w:t>
      </w:r>
      <w:r w:rsidR="00B56338">
        <w:rPr>
          <w:lang w:val="en-GB"/>
        </w:rPr>
        <w:t xml:space="preserve"> </w:t>
      </w:r>
      <w:r w:rsidRPr="0093514B">
        <w:rPr>
          <w:lang w:val="en-GB"/>
        </w:rPr>
        <w:t xml:space="preserve">February 2006 following assaults </w:t>
      </w:r>
      <w:r w:rsidR="006537FB">
        <w:rPr>
          <w:lang w:val="en-GB"/>
        </w:rPr>
        <w:t>committed on</w:t>
      </w:r>
      <w:r w:rsidRPr="0093514B" w:rsidR="006537FB">
        <w:rPr>
          <w:lang w:val="en-GB"/>
        </w:rPr>
        <w:t xml:space="preserve"> </w:t>
      </w:r>
      <w:r w:rsidRPr="0093514B">
        <w:rPr>
          <w:lang w:val="en-GB"/>
        </w:rPr>
        <w:t>2</w:t>
      </w:r>
      <w:r w:rsidR="00B36A69">
        <w:rPr>
          <w:lang w:val="en-GB"/>
        </w:rPr>
        <w:t>4 June 2000, 17 July 2003 and 8 </w:t>
      </w:r>
      <w:r w:rsidRPr="0093514B">
        <w:rPr>
          <w:lang w:val="en-GB"/>
        </w:rPr>
        <w:t>February 2006</w:t>
      </w:r>
      <w:r w:rsidR="006537FB">
        <w:rPr>
          <w:lang w:val="en-GB"/>
        </w:rPr>
        <w:t xml:space="preserve"> respectively</w:t>
      </w:r>
      <w:r w:rsidRPr="0093514B">
        <w:rPr>
          <w:lang w:val="en-GB"/>
        </w:rPr>
        <w:t xml:space="preserve">. The applicant had allegedly sought to undermine his wife psychologically in order to control her. According to the prosecutor, the applicant had thus committed the </w:t>
      </w:r>
      <w:r w:rsidR="00A027E5">
        <w:rPr>
          <w:lang w:val="en-GB"/>
        </w:rPr>
        <w:t>“</w:t>
      </w:r>
      <w:r w:rsidRPr="00AC3AF6">
        <w:rPr>
          <w:lang w:val="en-GB"/>
        </w:rPr>
        <w:t>continuing</w:t>
      </w:r>
      <w:r w:rsidR="00A027E5">
        <w:rPr>
          <w:lang w:val="en-GB"/>
        </w:rPr>
        <w:t>”</w:t>
      </w:r>
      <w:r w:rsidRPr="0093514B">
        <w:rPr>
          <w:lang w:val="en-GB"/>
        </w:rPr>
        <w:t xml:space="preserve"> criminal offence </w:t>
      </w:r>
      <w:r w:rsidRPr="0093514B">
        <w:rPr>
          <w:i/>
          <w:lang w:val="en-GB"/>
        </w:rPr>
        <w:t xml:space="preserve">(trvající trestný </w:t>
      </w:r>
      <w:r w:rsidRPr="0093514B">
        <w:rPr>
          <w:rFonts w:cstheme="minorHAnsi"/>
          <w:i/>
          <w:lang w:val="en-GB"/>
        </w:rPr>
        <w:t>č</w:t>
      </w:r>
      <w:r w:rsidRPr="0093514B">
        <w:rPr>
          <w:i/>
          <w:lang w:val="en-GB"/>
        </w:rPr>
        <w:t>in)</w:t>
      </w:r>
      <w:r w:rsidRPr="0093514B">
        <w:rPr>
          <w:lang w:val="en-GB"/>
        </w:rPr>
        <w:t xml:space="preserve"> of abusing a person living under the same roof within the meaning of Article 215a §§ 1 and 2</w:t>
      </w:r>
      <w:r w:rsidR="00B56338">
        <w:rPr>
          <w:lang w:val="en-GB"/>
        </w:rPr>
        <w:t xml:space="preserve"> </w:t>
      </w:r>
      <w:r w:rsidRPr="0093514B">
        <w:rPr>
          <w:lang w:val="en-GB"/>
        </w:rPr>
        <w:t>(b) of the Criminal Code, given that his conduct prior to the introduction of that offence on 1 June 2004 had amounted to the offence of violence against an individual or group of individuals under Article 197a of the Criminal Code and assault occasioning bodily harm under Article 221 of the Code.</w:t>
      </w:r>
    </w:p>
    <w:p w:rsidRPr="0093514B" w:rsidR="0093514B" w:rsidP="002755F6" w:rsidRDefault="0093514B" w14:paraId="3864E701" w14:textId="5FF0BE39">
      <w:pPr>
        <w:pStyle w:val="ECHRPara"/>
        <w:rPr>
          <w:lang w:val="en-GB"/>
        </w:rPr>
      </w:pPr>
      <w:r w:rsidRPr="0093514B">
        <w:rPr>
          <w:lang w:val="en-GB"/>
        </w:rPr>
        <w:fldChar w:fldCharType="begin"/>
      </w:r>
      <w:r w:rsidRPr="0093514B">
        <w:rPr>
          <w:lang w:val="en-GB"/>
        </w:rPr>
        <w:instrText xml:space="preserve"> SEQ level0 \*arabic </w:instrText>
      </w:r>
      <w:r w:rsidRPr="0093514B">
        <w:rPr>
          <w:lang w:val="en-GB"/>
        </w:rPr>
        <w:fldChar w:fldCharType="separate"/>
      </w:r>
      <w:r w:rsidR="002D5843">
        <w:rPr>
          <w:noProof/>
          <w:lang w:val="en-GB"/>
        </w:rPr>
        <w:t>11</w:t>
      </w:r>
      <w:r w:rsidRPr="0093514B">
        <w:rPr>
          <w:lang w:val="en-GB"/>
        </w:rPr>
        <w:fldChar w:fldCharType="end"/>
      </w:r>
      <w:r w:rsidRPr="0093514B">
        <w:rPr>
          <w:lang w:val="en-GB"/>
        </w:rPr>
        <w:t xml:space="preserve">.  On 18 April 2007 the Brno Municipal Court found the applicant guilty of the offence of abusing a person living under the same roof, committed at least between 2000 and 8 February 2006, as described in the bill of indictment, </w:t>
      </w:r>
      <w:r w:rsidR="006537FB">
        <w:rPr>
          <w:lang w:val="en-GB"/>
        </w:rPr>
        <w:t>which also referred to</w:t>
      </w:r>
      <w:r w:rsidRPr="0093514B" w:rsidR="006537FB">
        <w:rPr>
          <w:lang w:val="en-GB"/>
        </w:rPr>
        <w:t xml:space="preserve"> </w:t>
      </w:r>
      <w:r w:rsidRPr="0093514B">
        <w:rPr>
          <w:lang w:val="en-GB"/>
        </w:rPr>
        <w:t>the fact that the abuse had occurred repeatedly. It sentenced him to a suspended term of two and a half years</w:t>
      </w:r>
      <w:r w:rsidR="001D00E3">
        <w:rPr>
          <w:lang w:val="en-GB"/>
        </w:rPr>
        <w:t>’</w:t>
      </w:r>
      <w:r w:rsidRPr="0093514B">
        <w:rPr>
          <w:lang w:val="en-GB"/>
        </w:rPr>
        <w:t xml:space="preserve"> imprisonment and placed him on probation for five years. The applicant was also placed under supervision and ordered to undergo treatment for alcohol dependency. The court based its decision on the statements given by the applicant, the victim (his wife) and several witnesses, including the couple</w:t>
      </w:r>
      <w:r w:rsidR="001D00E3">
        <w:rPr>
          <w:lang w:val="en-GB"/>
        </w:rPr>
        <w:t>’</w:t>
      </w:r>
      <w:r w:rsidRPr="0093514B">
        <w:rPr>
          <w:lang w:val="en-GB"/>
        </w:rPr>
        <w:t xml:space="preserve">s two children </w:t>
      </w:r>
      <w:r w:rsidR="006537FB">
        <w:rPr>
          <w:lang w:val="en-GB"/>
        </w:rPr>
        <w:t>–</w:t>
      </w:r>
      <w:r w:rsidRPr="0093514B" w:rsidR="006537FB">
        <w:rPr>
          <w:lang w:val="en-GB"/>
        </w:rPr>
        <w:t xml:space="preserve"> </w:t>
      </w:r>
      <w:r w:rsidRPr="0093514B">
        <w:t>who reported, among other</w:t>
      </w:r>
      <w:r w:rsidR="006537FB">
        <w:t xml:space="preserve"> incidents</w:t>
      </w:r>
      <w:r w:rsidRPr="0093514B">
        <w:t>, ten instances of the applicant verbally insulting his wife, four instances of the applicant grabbing his wife by the arms and strangling her</w:t>
      </w:r>
      <w:r w:rsidR="00442CD9">
        <w:t>,</w:t>
      </w:r>
      <w:r w:rsidRPr="0093514B">
        <w:t xml:space="preserve"> </w:t>
      </w:r>
      <w:r w:rsidR="006537FB">
        <w:t xml:space="preserve">and </w:t>
      </w:r>
      <w:r w:rsidRPr="0093514B">
        <w:t xml:space="preserve">verbal and/or physical assaults </w:t>
      </w:r>
      <w:r w:rsidR="00442CD9">
        <w:t xml:space="preserve">committed </w:t>
      </w:r>
      <w:r w:rsidRPr="0093514B">
        <w:t>by the applicant on his wife</w:t>
      </w:r>
      <w:r w:rsidR="006537FB">
        <w:t xml:space="preserve"> </w:t>
      </w:r>
      <w:r w:rsidRPr="00BA2F7C" w:rsidR="006537FB">
        <w:t>at monthly intervals</w:t>
      </w:r>
      <w:r w:rsidRPr="0093514B">
        <w:t xml:space="preserve"> </w:t>
      </w:r>
      <w:r w:rsidR="006537FB">
        <w:t>–</w:t>
      </w:r>
      <w:r w:rsidRPr="0093514B" w:rsidR="006537FB">
        <w:rPr>
          <w:lang w:val="en-GB"/>
        </w:rPr>
        <w:t xml:space="preserve"> </w:t>
      </w:r>
      <w:r w:rsidRPr="0093514B">
        <w:rPr>
          <w:lang w:val="en-GB"/>
        </w:rPr>
        <w:t xml:space="preserve">and on documentary evidence and expert reports. It also took </w:t>
      </w:r>
      <w:r w:rsidR="006537FB">
        <w:rPr>
          <w:lang w:val="en-GB"/>
        </w:rPr>
        <w:t xml:space="preserve">into </w:t>
      </w:r>
      <w:r w:rsidRPr="0093514B">
        <w:rPr>
          <w:lang w:val="en-GB"/>
        </w:rPr>
        <w:t>account</w:t>
      </w:r>
      <w:r w:rsidR="006537FB">
        <w:rPr>
          <w:lang w:val="en-GB"/>
        </w:rPr>
        <w:t xml:space="preserve"> the fact</w:t>
      </w:r>
      <w:r w:rsidRPr="0093514B">
        <w:rPr>
          <w:lang w:val="en-GB"/>
        </w:rPr>
        <w:t xml:space="preserve"> that the applicant had confessed to quarrels and physical violence in his </w:t>
      </w:r>
      <w:r w:rsidR="006537FB">
        <w:rPr>
          <w:lang w:val="en-GB"/>
        </w:rPr>
        <w:t>relationship with his wife</w:t>
      </w:r>
      <w:r w:rsidRPr="0093514B">
        <w:rPr>
          <w:lang w:val="en-GB"/>
        </w:rPr>
        <w:t xml:space="preserve">; he admitted </w:t>
      </w:r>
      <w:r w:rsidR="006537FB">
        <w:rPr>
          <w:lang w:val="en-GB"/>
        </w:rPr>
        <w:t xml:space="preserve">in particular </w:t>
      </w:r>
      <w:r w:rsidRPr="0093514B">
        <w:rPr>
          <w:lang w:val="en-GB"/>
        </w:rPr>
        <w:t>that he had sometimes slapped his wife or hit her with his fist.</w:t>
      </w:r>
    </w:p>
    <w:p w:rsidRPr="0093514B" w:rsidR="0093514B" w:rsidP="002755F6" w:rsidRDefault="0093514B" w14:paraId="11FEEB48" w14:textId="659B2A7E">
      <w:pPr>
        <w:pStyle w:val="ECHRPara"/>
        <w:rPr>
          <w:lang w:val="en-GB"/>
        </w:rPr>
      </w:pPr>
      <w:r w:rsidRPr="0093514B">
        <w:rPr>
          <w:lang w:val="en-GB"/>
        </w:rPr>
        <w:t>The court adopted the classification of the offence as abuse of a person living under the same roof within the meaning of Article 215a §§ 1 and 2</w:t>
      </w:r>
      <w:r w:rsidR="00B56338">
        <w:rPr>
          <w:lang w:val="en-GB"/>
        </w:rPr>
        <w:t> </w:t>
      </w:r>
      <w:r w:rsidRPr="0093514B">
        <w:rPr>
          <w:lang w:val="en-GB"/>
        </w:rPr>
        <w:t xml:space="preserve">(b) of the Criminal Code as in force </w:t>
      </w:r>
      <w:r w:rsidR="004E4816">
        <w:rPr>
          <w:lang w:val="en-GB"/>
        </w:rPr>
        <w:t>since</w:t>
      </w:r>
      <w:r w:rsidRPr="0093514B" w:rsidR="004E4816">
        <w:rPr>
          <w:lang w:val="en-GB"/>
        </w:rPr>
        <w:t xml:space="preserve"> </w:t>
      </w:r>
      <w:r w:rsidRPr="0093514B">
        <w:rPr>
          <w:lang w:val="en-GB"/>
        </w:rPr>
        <w:t>1 June 2004, taking the view that this classification also extended to the acts committed by the applicant prior to that date since they had been punishable at the material time</w:t>
      </w:r>
      <w:r w:rsidR="00B5769F">
        <w:rPr>
          <w:lang w:val="en-GB"/>
        </w:rPr>
        <w:t xml:space="preserve"> and amounted</w:t>
      </w:r>
      <w:r w:rsidRPr="0093514B">
        <w:rPr>
          <w:lang w:val="en-GB"/>
        </w:rPr>
        <w:t xml:space="preserve"> at least to the offence of violence against an individual or group of individuals under Article 197a of the Criminal Code. Lastly, the court considered that, owing to the duration of the conduct in question, the offence committed in the present case presented a relatively high degree of danger which justified a sentence ranging from two to eight years</w:t>
      </w:r>
      <w:r w:rsidR="001D00E3">
        <w:rPr>
          <w:lang w:val="en-GB"/>
        </w:rPr>
        <w:t>’</w:t>
      </w:r>
      <w:r w:rsidRPr="0093514B">
        <w:rPr>
          <w:lang w:val="en-GB"/>
        </w:rPr>
        <w:t xml:space="preserve"> imprisonment under paragraph 2 of Article 215a of the Criminal Code. Taking into consideration the extenuating circumstances (in particular the fact that the applicant had confessed and that he had no previous convictions), it imposed a suspended sentence situated at the lower end of the range.</w:t>
      </w:r>
    </w:p>
    <w:p w:rsidRPr="0093514B" w:rsidR="0093514B" w:rsidP="002755F6" w:rsidRDefault="0093514B" w14:paraId="7B94DB6E" w14:textId="77777777">
      <w:pPr>
        <w:pStyle w:val="ECHRPara"/>
        <w:rPr>
          <w:lang w:val="en-GB"/>
        </w:rPr>
      </w:pPr>
      <w:r w:rsidRPr="0093514B">
        <w:rPr>
          <w:lang w:val="en-GB"/>
        </w:rPr>
        <w:fldChar w:fldCharType="begin"/>
      </w:r>
      <w:r w:rsidRPr="0093514B">
        <w:rPr>
          <w:lang w:val="en-GB"/>
        </w:rPr>
        <w:instrText xml:space="preserve"> SEQ level0 \*arabic </w:instrText>
      </w:r>
      <w:r w:rsidRPr="0093514B">
        <w:rPr>
          <w:lang w:val="en-GB"/>
        </w:rPr>
        <w:fldChar w:fldCharType="separate"/>
      </w:r>
      <w:r w:rsidR="002D5843">
        <w:rPr>
          <w:noProof/>
          <w:lang w:val="en-GB"/>
        </w:rPr>
        <w:t>12</w:t>
      </w:r>
      <w:r w:rsidRPr="0093514B">
        <w:rPr>
          <w:lang w:val="en-GB"/>
        </w:rPr>
        <w:fldChar w:fldCharType="end"/>
      </w:r>
      <w:r w:rsidRPr="0093514B">
        <w:rPr>
          <w:lang w:val="en-GB"/>
        </w:rPr>
        <w:t>.  On 6 September 2007 the Brno Regional Court dismissed an appeal by the applicant in which he contested the facts as established by the Municipal Court and the unilateral assessment of the evidence. The Regional Court found no defects in the previous proceedings and considered that the classification of the applicant</w:t>
      </w:r>
      <w:r w:rsidR="001D00E3">
        <w:rPr>
          <w:lang w:val="en-GB"/>
        </w:rPr>
        <w:t>’</w:t>
      </w:r>
      <w:r w:rsidRPr="0093514B">
        <w:rPr>
          <w:lang w:val="en-GB"/>
        </w:rPr>
        <w:t>s conduct was in conformity with the provisions of the Criminal Code.</w:t>
      </w:r>
    </w:p>
    <w:bookmarkStart w:name="par13" w:id="2"/>
    <w:p w:rsidRPr="0093514B" w:rsidR="0093514B" w:rsidP="002755F6" w:rsidRDefault="0093514B" w14:paraId="18B30698" w14:textId="14561BF8">
      <w:pPr>
        <w:pStyle w:val="ECHRPara"/>
        <w:rPr>
          <w:lang w:val="en-GB"/>
        </w:rPr>
      </w:pPr>
      <w:r w:rsidRPr="0093514B">
        <w:rPr>
          <w:lang w:val="en-GB"/>
        </w:rPr>
        <w:fldChar w:fldCharType="begin"/>
      </w:r>
      <w:r w:rsidRPr="0093514B">
        <w:rPr>
          <w:lang w:val="en-GB"/>
        </w:rPr>
        <w:instrText xml:space="preserve"> SEQ level0 \*arabic </w:instrText>
      </w:r>
      <w:r w:rsidRPr="0093514B">
        <w:rPr>
          <w:lang w:val="en-GB"/>
        </w:rPr>
        <w:fldChar w:fldCharType="separate"/>
      </w:r>
      <w:r w:rsidR="002D5843">
        <w:rPr>
          <w:noProof/>
          <w:lang w:val="en-GB"/>
        </w:rPr>
        <w:t>13</w:t>
      </w:r>
      <w:r w:rsidRPr="0093514B">
        <w:rPr>
          <w:lang w:val="en-GB"/>
        </w:rPr>
        <w:fldChar w:fldCharType="end"/>
      </w:r>
      <w:bookmarkEnd w:id="2"/>
      <w:r w:rsidRPr="0093514B">
        <w:rPr>
          <w:lang w:val="en-GB"/>
        </w:rPr>
        <w:t>.  On 21 February 2008 the Supreme Court dismissed as manifestly ill</w:t>
      </w:r>
      <w:r w:rsidRPr="0093514B">
        <w:rPr>
          <w:lang w:val="en-GB"/>
        </w:rPr>
        <w:noBreakHyphen/>
        <w:t xml:space="preserve">founded an appeal on points of law lodged by the applicant in which he complained that the trial court had applied Article 215a of the Criminal Code even to his conduct prior to 1 June 2004, when the offence of abuse had not yet existed in domestic law. On this point the Supreme Court noted, referring to its ruling Tzn 12/93 of 8 December 1993, that where there was, as in the case at hand, a </w:t>
      </w:r>
      <w:r w:rsidR="00B5769F">
        <w:rPr>
          <w:lang w:val="en-GB"/>
        </w:rPr>
        <w:t>“</w:t>
      </w:r>
      <w:r w:rsidRPr="0093514B">
        <w:rPr>
          <w:lang w:val="en-GB"/>
        </w:rPr>
        <w:t xml:space="preserve">continuation </w:t>
      </w:r>
      <w:r w:rsidR="00B5769F">
        <w:rPr>
          <w:lang w:val="en-GB"/>
        </w:rPr>
        <w:t>of</w:t>
      </w:r>
      <w:r w:rsidRPr="0093514B" w:rsidR="00B5769F">
        <w:rPr>
          <w:lang w:val="en-GB"/>
        </w:rPr>
        <w:t xml:space="preserve"> </w:t>
      </w:r>
      <w:r w:rsidRPr="0093514B">
        <w:rPr>
          <w:lang w:val="en-GB"/>
        </w:rPr>
        <w:t>the criminal offence</w:t>
      </w:r>
      <w:r w:rsidR="00B5769F">
        <w:rPr>
          <w:lang w:val="en-GB"/>
        </w:rPr>
        <w:t>”</w:t>
      </w:r>
      <w:r w:rsidRPr="0093514B">
        <w:rPr>
          <w:lang w:val="en-GB"/>
        </w:rPr>
        <w:t xml:space="preserve"> </w:t>
      </w:r>
      <w:r w:rsidRPr="002B285A">
        <w:t>(</w:t>
      </w:r>
      <w:r w:rsidRPr="0093514B">
        <w:rPr>
          <w:i/>
        </w:rPr>
        <w:t>pokračování v trestném činu</w:t>
      </w:r>
      <w:r w:rsidRPr="002B285A">
        <w:t>)</w:t>
      </w:r>
      <w:r w:rsidRPr="002B285A" w:rsidR="00B5769F">
        <w:t>,</w:t>
      </w:r>
      <w:r w:rsidRPr="0093514B">
        <w:rPr>
          <w:i/>
        </w:rPr>
        <w:t xml:space="preserve"> </w:t>
      </w:r>
      <w:r w:rsidRPr="0093514B">
        <w:rPr>
          <w:lang w:val="en-GB"/>
        </w:rPr>
        <w:t xml:space="preserve">which was considered to constitute a single act, its classification in criminal law had to be assessed under the law in force </w:t>
      </w:r>
      <w:r w:rsidR="00C00EF9">
        <w:rPr>
          <w:lang w:val="en-GB"/>
        </w:rPr>
        <w:t>at the time of</w:t>
      </w:r>
      <w:r w:rsidRPr="0093514B" w:rsidR="00C00EF9">
        <w:rPr>
          <w:lang w:val="en-GB"/>
        </w:rPr>
        <w:t xml:space="preserve"> </w:t>
      </w:r>
      <w:r w:rsidRPr="0093514B">
        <w:rPr>
          <w:lang w:val="en-GB"/>
        </w:rPr>
        <w:t xml:space="preserve">completion of the last occurrence of the offence. That law therefore also applied to the earlier </w:t>
      </w:r>
      <w:r w:rsidR="00FC41C6">
        <w:rPr>
          <w:lang w:val="en-GB"/>
        </w:rPr>
        <w:t>acts</w:t>
      </w:r>
      <w:r w:rsidRPr="0093514B">
        <w:rPr>
          <w:lang w:val="en-GB"/>
        </w:rPr>
        <w:t>, provided that these would have amounted to criminal conduct under the previous law. In the instant case the Supreme Court considered that the applicant</w:t>
      </w:r>
      <w:r w:rsidR="001D00E3">
        <w:rPr>
          <w:lang w:val="en-GB"/>
        </w:rPr>
        <w:t>’</w:t>
      </w:r>
      <w:r w:rsidRPr="0093514B">
        <w:rPr>
          <w:lang w:val="en-GB"/>
        </w:rPr>
        <w:t xml:space="preserve">s conduct prior to the amendment of the Criminal Code on 1 June 2004 had amounted at least to an offence punishable under Article 197a or Article 221 § 1 of the Criminal Code. </w:t>
      </w:r>
      <w:r w:rsidRPr="0093514B">
        <w:t xml:space="preserve">After </w:t>
      </w:r>
      <w:r w:rsidR="000A48B6">
        <w:t>examining</w:t>
      </w:r>
      <w:r w:rsidRPr="0093514B">
        <w:t xml:space="preserve"> the file it also concluded that the accused</w:t>
      </w:r>
      <w:r w:rsidR="001D00E3">
        <w:t>’</w:t>
      </w:r>
      <w:r w:rsidR="00B5769F">
        <w:t>s</w:t>
      </w:r>
      <w:r w:rsidRPr="0093514B">
        <w:t xml:space="preserve"> action</w:t>
      </w:r>
      <w:r w:rsidR="00B5769F">
        <w:t>s as</w:t>
      </w:r>
      <w:r w:rsidRPr="0093514B">
        <w:t xml:space="preserve"> described in the </w:t>
      </w:r>
      <w:r w:rsidR="00B5769F">
        <w:t>operative</w:t>
      </w:r>
      <w:r w:rsidRPr="0093514B" w:rsidR="00B5769F">
        <w:t xml:space="preserve"> </w:t>
      </w:r>
      <w:r w:rsidRPr="0093514B">
        <w:t>part of the first</w:t>
      </w:r>
      <w:r w:rsidR="00B5769F">
        <w:t>-</w:t>
      </w:r>
      <w:r w:rsidRPr="0093514B">
        <w:t>instance court</w:t>
      </w:r>
      <w:r w:rsidR="000A48B6">
        <w:t>’s</w:t>
      </w:r>
      <w:r w:rsidRPr="0093514B">
        <w:t xml:space="preserve"> judgment </w:t>
      </w:r>
      <w:r w:rsidR="00442CD9">
        <w:t>disclosed</w:t>
      </w:r>
      <w:r w:rsidRPr="0093514B" w:rsidR="00296225">
        <w:t xml:space="preserve"> </w:t>
      </w:r>
      <w:r w:rsidRPr="0093514B">
        <w:t xml:space="preserve">all the legal elements </w:t>
      </w:r>
      <w:r w:rsidRPr="0093514B">
        <w:rPr>
          <w:lang w:val="en-GB"/>
        </w:rPr>
        <w:t xml:space="preserve">of the offence of </w:t>
      </w:r>
      <w:r w:rsidRPr="0093514B">
        <w:t>abusing a person living under the same roof within the meaning of Article 215a §§ 1 and 2</w:t>
      </w:r>
      <w:r w:rsidR="00B56338">
        <w:t xml:space="preserve"> </w:t>
      </w:r>
      <w:r w:rsidRPr="0093514B">
        <w:t xml:space="preserve">(b) of the Criminal Code. Concerning the continuation </w:t>
      </w:r>
      <w:r w:rsidR="00296225">
        <w:t>of</w:t>
      </w:r>
      <w:r w:rsidRPr="0093514B" w:rsidR="00296225">
        <w:t xml:space="preserve"> </w:t>
      </w:r>
      <w:r w:rsidRPr="0093514B">
        <w:t xml:space="preserve">the offence, the Supreme Court noted that the abuse itself </w:t>
      </w:r>
      <w:r w:rsidR="00296225">
        <w:t>amounted to</w:t>
      </w:r>
      <w:r w:rsidRPr="0093514B">
        <w:t xml:space="preserve"> ill-treatment </w:t>
      </w:r>
      <w:r w:rsidRPr="00B36A69" w:rsidR="00296225">
        <w:rPr>
          <w:lang w:val="en-GB"/>
        </w:rPr>
        <w:t>characterised</w:t>
      </w:r>
      <w:r w:rsidRPr="0093514B" w:rsidR="00296225">
        <w:t xml:space="preserve"> </w:t>
      </w:r>
      <w:r w:rsidRPr="0093514B">
        <w:t xml:space="preserve">by a certain duration. </w:t>
      </w:r>
      <w:r w:rsidRPr="00442CD9">
        <w:t xml:space="preserve">For the offence to be </w:t>
      </w:r>
      <w:r w:rsidR="00442CD9">
        <w:t xml:space="preserve">regarded as having </w:t>
      </w:r>
      <w:r w:rsidRPr="00442CD9">
        <w:t xml:space="preserve">continued over a long period of time </w:t>
      </w:r>
      <w:r w:rsidR="00442CD9">
        <w:t>it</w:t>
      </w:r>
      <w:r w:rsidRPr="00442CD9">
        <w:t xml:space="preserve"> had to </w:t>
      </w:r>
      <w:r w:rsidR="00442CD9">
        <w:t xml:space="preserve">have </w:t>
      </w:r>
      <w:r w:rsidRPr="00442CD9">
        <w:t>last</w:t>
      </w:r>
      <w:r w:rsidR="00442CD9">
        <w:t>ed</w:t>
      </w:r>
      <w:r w:rsidRPr="00442CD9">
        <w:t xml:space="preserve"> </w:t>
      </w:r>
      <w:r w:rsidR="00442CD9">
        <w:t>for some</w:t>
      </w:r>
      <w:r w:rsidRPr="00442CD9" w:rsidR="00442CD9">
        <w:t xml:space="preserve"> </w:t>
      </w:r>
      <w:r w:rsidRPr="00442CD9">
        <w:t>months</w:t>
      </w:r>
      <w:r w:rsidRPr="0093514B">
        <w:t xml:space="preserve">. As the applicant </w:t>
      </w:r>
      <w:r w:rsidR="00296225">
        <w:t xml:space="preserve">had </w:t>
      </w:r>
      <w:r w:rsidRPr="0093514B">
        <w:t>perpetrated the offence in question at least from 2000 until 8</w:t>
      </w:r>
      <w:r w:rsidR="000A48B6">
        <w:t xml:space="preserve"> </w:t>
      </w:r>
      <w:r w:rsidRPr="0093514B">
        <w:t xml:space="preserve">February 2006, </w:t>
      </w:r>
      <w:r w:rsidR="00296225">
        <w:t>that is, over a period of</w:t>
      </w:r>
      <w:r w:rsidRPr="0093514B">
        <w:t xml:space="preserve"> several years, </w:t>
      </w:r>
      <w:r w:rsidR="00442CD9">
        <w:t>his conduct</w:t>
      </w:r>
      <w:r w:rsidRPr="0093514B" w:rsidR="00442CD9">
        <w:t xml:space="preserve"> </w:t>
      </w:r>
      <w:r w:rsidRPr="0093514B">
        <w:t xml:space="preserve">certainly </w:t>
      </w:r>
      <w:r w:rsidR="00442CD9">
        <w:t>disclosed</w:t>
      </w:r>
      <w:r w:rsidRPr="0093514B" w:rsidR="00442CD9">
        <w:t xml:space="preserve"> </w:t>
      </w:r>
      <w:r w:rsidRPr="0093514B">
        <w:t xml:space="preserve">the material element of continuation </w:t>
      </w:r>
      <w:r w:rsidR="00442CD9">
        <w:t>of</w:t>
      </w:r>
      <w:r w:rsidRPr="0093514B" w:rsidR="00442CD9">
        <w:t xml:space="preserve"> </w:t>
      </w:r>
      <w:r w:rsidRPr="0093514B">
        <w:t xml:space="preserve">the offence of abuse </w:t>
      </w:r>
      <w:r w:rsidR="00442CD9">
        <w:t>under</w:t>
      </w:r>
      <w:r w:rsidRPr="0093514B">
        <w:t xml:space="preserve"> Article</w:t>
      </w:r>
      <w:r w:rsidR="000A48B6">
        <w:t> </w:t>
      </w:r>
      <w:r w:rsidRPr="0093514B">
        <w:t>215a § 2</w:t>
      </w:r>
      <w:r w:rsidR="00B56338">
        <w:t xml:space="preserve"> </w:t>
      </w:r>
      <w:r w:rsidRPr="0093514B">
        <w:t>(b) of the Criminal Code.</w:t>
      </w:r>
    </w:p>
    <w:p w:rsidRPr="0093514B" w:rsidR="0093514B" w:rsidP="002755F6" w:rsidRDefault="0093514B" w14:paraId="2710C3F8" w14:textId="77777777">
      <w:pPr>
        <w:pStyle w:val="ECHRPara"/>
        <w:rPr>
          <w:lang w:val="en-GB"/>
        </w:rPr>
      </w:pPr>
      <w:r w:rsidRPr="0093514B">
        <w:rPr>
          <w:lang w:val="en-GB"/>
        </w:rPr>
        <w:fldChar w:fldCharType="begin"/>
      </w:r>
      <w:r w:rsidRPr="0093514B">
        <w:rPr>
          <w:lang w:val="en-GB"/>
        </w:rPr>
        <w:instrText xml:space="preserve"> SEQ level0 \*arabic </w:instrText>
      </w:r>
      <w:r w:rsidRPr="0093514B">
        <w:rPr>
          <w:lang w:val="en-GB"/>
        </w:rPr>
        <w:fldChar w:fldCharType="separate"/>
      </w:r>
      <w:r w:rsidR="002D5843">
        <w:rPr>
          <w:noProof/>
          <w:lang w:val="en-GB"/>
        </w:rPr>
        <w:t>14</w:t>
      </w:r>
      <w:r w:rsidRPr="0093514B">
        <w:rPr>
          <w:lang w:val="en-GB"/>
        </w:rPr>
        <w:fldChar w:fldCharType="end"/>
      </w:r>
      <w:r w:rsidRPr="0093514B">
        <w:rPr>
          <w:lang w:val="en-GB"/>
        </w:rPr>
        <w:t>.  On 10 June 2008 the Constitutional Court dismissed as manifestly ill-founded a constitutional appeal lodged by the applicant in which he complained that the proceedings had been unfair and that the Criminal Code had been applied retro</w:t>
      </w:r>
      <w:r w:rsidR="00FC41C6">
        <w:rPr>
          <w:lang w:val="en-GB"/>
        </w:rPr>
        <w:t>a</w:t>
      </w:r>
      <w:r w:rsidRPr="0093514B">
        <w:rPr>
          <w:lang w:val="en-GB"/>
        </w:rPr>
        <w:t>ctively, to his detriment. Referring to the ruling of the Supreme Court and to its relevant case-law, the Constitutional Court held that the decisions given by the courts in the present case had been logical and coherent and had not had any retro</w:t>
      </w:r>
      <w:r w:rsidR="00FC41C6">
        <w:rPr>
          <w:lang w:val="en-GB"/>
        </w:rPr>
        <w:t>a</w:t>
      </w:r>
      <w:r w:rsidRPr="0093514B">
        <w:rPr>
          <w:lang w:val="en-GB"/>
        </w:rPr>
        <w:t>ctive effect prohibited by the Constitution.</w:t>
      </w:r>
    </w:p>
    <w:p w:rsidRPr="0093514B" w:rsidR="0093514B" w:rsidP="002755F6" w:rsidRDefault="0093514B" w14:paraId="493AD743" w14:textId="77777777">
      <w:pPr>
        <w:pStyle w:val="ECHRPara"/>
      </w:pPr>
      <w:r w:rsidRPr="0093514B">
        <w:rPr>
          <w:lang w:val="en-GB"/>
        </w:rPr>
        <w:fldChar w:fldCharType="begin"/>
      </w:r>
      <w:r w:rsidRPr="0093514B">
        <w:rPr>
          <w:lang w:val="en-GB"/>
        </w:rPr>
        <w:instrText xml:space="preserve"> SEQ level0 \*arabic </w:instrText>
      </w:r>
      <w:r w:rsidRPr="0093514B">
        <w:rPr>
          <w:lang w:val="en-GB"/>
        </w:rPr>
        <w:fldChar w:fldCharType="separate"/>
      </w:r>
      <w:r w:rsidR="002D5843">
        <w:rPr>
          <w:noProof/>
          <w:lang w:val="en-GB"/>
        </w:rPr>
        <w:t>15</w:t>
      </w:r>
      <w:r w:rsidRPr="0093514B">
        <w:rPr>
          <w:lang w:val="en-GB"/>
        </w:rPr>
        <w:fldChar w:fldCharType="end"/>
      </w:r>
      <w:r w:rsidRPr="0093514B">
        <w:rPr>
          <w:lang w:val="en-GB"/>
        </w:rPr>
        <w:t xml:space="preserve">.  As the applicant committed another offence while on probation and did not undergo any treatment for his alcohol dependency, he was required to serve the prison sentence imposed by the judgment of 18 April 2007. </w:t>
      </w:r>
      <w:r w:rsidRPr="0093514B">
        <w:t xml:space="preserve">He </w:t>
      </w:r>
      <w:r w:rsidR="00296225">
        <w:t>began serving his</w:t>
      </w:r>
      <w:r w:rsidRPr="0093514B">
        <w:t xml:space="preserve"> prison </w:t>
      </w:r>
      <w:r w:rsidR="00296225">
        <w:t>sentence on</w:t>
      </w:r>
      <w:r w:rsidRPr="0093514B" w:rsidR="00296225">
        <w:t xml:space="preserve"> </w:t>
      </w:r>
      <w:r w:rsidRPr="0093514B">
        <w:t xml:space="preserve">3 January 2011. According to the Government, he was </w:t>
      </w:r>
      <w:r w:rsidR="00296225">
        <w:t>granted conditional</w:t>
      </w:r>
      <w:r w:rsidRPr="0093514B" w:rsidR="00296225">
        <w:t xml:space="preserve"> </w:t>
      </w:r>
      <w:r w:rsidRPr="0093514B">
        <w:t>release on 17 May 2012.</w:t>
      </w:r>
    </w:p>
    <w:p w:rsidRPr="0093514B" w:rsidR="0093514B" w:rsidP="002755F6" w:rsidRDefault="0093514B" w14:paraId="7160FAD5" w14:textId="77777777">
      <w:pPr>
        <w:pStyle w:val="ECHRHeading1"/>
        <w:rPr>
          <w:lang w:val="en-GB"/>
        </w:rPr>
      </w:pPr>
      <w:r w:rsidRPr="0093514B">
        <w:rPr>
          <w:lang w:val="en-GB"/>
        </w:rPr>
        <w:t>II.  RELEVANT DOMESTIC LAW AND PRACTICE</w:t>
      </w:r>
    </w:p>
    <w:p w:rsidRPr="0093514B" w:rsidR="0093514B" w:rsidP="002755F6" w:rsidRDefault="0093514B" w14:paraId="3083A0E3" w14:textId="77777777">
      <w:pPr>
        <w:pStyle w:val="ECHRHeading2"/>
      </w:pPr>
      <w:r w:rsidRPr="0093514B">
        <w:t>A.  Criminal Code (</w:t>
      </w:r>
      <w:r w:rsidR="00296225">
        <w:t>Law no.</w:t>
      </w:r>
      <w:r w:rsidRPr="0093514B">
        <w:t xml:space="preserve"> 140/1961, as in force until 31 December 2009)</w:t>
      </w:r>
    </w:p>
    <w:p w:rsidRPr="0093514B" w:rsidR="0093514B" w:rsidP="00AC4AA0" w:rsidRDefault="008807FE" w14:paraId="44BFE055" w14:textId="77777777">
      <w:pPr>
        <w:pStyle w:val="ECHRPara"/>
      </w:pPr>
      <w:r>
        <w:fldChar w:fldCharType="begin"/>
      </w:r>
      <w:r>
        <w:instrText xml:space="preserve"> SEQ level0 \*arabic </w:instrText>
      </w:r>
      <w:r>
        <w:fldChar w:fldCharType="separate"/>
      </w:r>
      <w:r w:rsidR="002D5843">
        <w:rPr>
          <w:noProof/>
        </w:rPr>
        <w:t>16</w:t>
      </w:r>
      <w:r>
        <w:rPr>
          <w:noProof/>
        </w:rPr>
        <w:fldChar w:fldCharType="end"/>
      </w:r>
      <w:r w:rsidRPr="0093514B" w:rsidR="0093514B">
        <w:t xml:space="preserve">.  Pursuant to Article 16 § 1, the criminal nature of an act was assessed under the law in force at the time the act was committed. A </w:t>
      </w:r>
      <w:r w:rsidR="00296225">
        <w:t>subsequent</w:t>
      </w:r>
      <w:r w:rsidRPr="0093514B" w:rsidR="00296225">
        <w:t xml:space="preserve"> </w:t>
      </w:r>
      <w:r w:rsidRPr="0093514B" w:rsidR="0093514B">
        <w:t xml:space="preserve">law </w:t>
      </w:r>
      <w:r w:rsidR="00296225">
        <w:t>had</w:t>
      </w:r>
      <w:r w:rsidRPr="0093514B" w:rsidR="00296225">
        <w:t xml:space="preserve"> </w:t>
      </w:r>
      <w:r w:rsidRPr="0093514B" w:rsidR="0093514B">
        <w:t xml:space="preserve">to be applied if it was more </w:t>
      </w:r>
      <w:r w:rsidR="009D382C">
        <w:t>favourable</w:t>
      </w:r>
      <w:r w:rsidRPr="0093514B" w:rsidR="009D382C">
        <w:t xml:space="preserve"> </w:t>
      </w:r>
      <w:r w:rsidRPr="0093514B" w:rsidR="0093514B">
        <w:t>to the offender.</w:t>
      </w:r>
    </w:p>
    <w:p w:rsidRPr="0093514B" w:rsidR="0093514B" w:rsidP="00AC4AA0" w:rsidRDefault="0093514B" w14:paraId="100DFBBE" w14:textId="227AB518">
      <w:pPr>
        <w:pStyle w:val="ECHRPara"/>
      </w:pPr>
      <w:r w:rsidRPr="0093514B">
        <w:rPr>
          <w:bCs/>
        </w:rPr>
        <w:fldChar w:fldCharType="begin"/>
      </w:r>
      <w:r w:rsidRPr="0093514B">
        <w:rPr>
          <w:bCs/>
        </w:rPr>
        <w:instrText xml:space="preserve"> SEQ level0 \*arabic </w:instrText>
      </w:r>
      <w:r w:rsidRPr="0093514B">
        <w:rPr>
          <w:bCs/>
        </w:rPr>
        <w:fldChar w:fldCharType="separate"/>
      </w:r>
      <w:r w:rsidR="002D5843">
        <w:rPr>
          <w:bCs/>
          <w:noProof/>
        </w:rPr>
        <w:t>17</w:t>
      </w:r>
      <w:r w:rsidRPr="0093514B">
        <w:rPr>
          <w:bCs/>
        </w:rPr>
        <w:fldChar w:fldCharType="end"/>
      </w:r>
      <w:r w:rsidRPr="0093514B">
        <w:rPr>
          <w:bCs/>
        </w:rPr>
        <w:t>.  Under Article 34k, when im</w:t>
      </w:r>
      <w:r w:rsidRPr="0093514B">
        <w:t xml:space="preserve">posing a sentence the court </w:t>
      </w:r>
      <w:r w:rsidR="00296225">
        <w:t>had</w:t>
      </w:r>
      <w:r w:rsidRPr="0093514B" w:rsidR="00296225">
        <w:t xml:space="preserve"> </w:t>
      </w:r>
      <w:r w:rsidRPr="0093514B">
        <w:t xml:space="preserve">to consider as an </w:t>
      </w:r>
      <w:r w:rsidRPr="00AC4AA0">
        <w:t>aggravating</w:t>
      </w:r>
      <w:r w:rsidRPr="0093514B">
        <w:t xml:space="preserve"> circumstance in particular the fact that the offender </w:t>
      </w:r>
      <w:r w:rsidR="00296225">
        <w:t xml:space="preserve">had </w:t>
      </w:r>
      <w:r w:rsidRPr="0093514B">
        <w:t>committed several offences.</w:t>
      </w:r>
    </w:p>
    <w:p w:rsidRPr="0093514B" w:rsidR="0093514B" w:rsidP="00AC4AA0" w:rsidRDefault="008807FE" w14:paraId="037F59DB" w14:textId="77777777">
      <w:pPr>
        <w:pStyle w:val="ECHRPara"/>
      </w:pPr>
      <w:r>
        <w:fldChar w:fldCharType="begin"/>
      </w:r>
      <w:r>
        <w:instrText xml:space="preserve"> SEQ level0 \*arabic </w:instrText>
      </w:r>
      <w:r>
        <w:fldChar w:fldCharType="separate"/>
      </w:r>
      <w:r w:rsidR="002D5843">
        <w:rPr>
          <w:noProof/>
        </w:rPr>
        <w:t>18</w:t>
      </w:r>
      <w:r>
        <w:rPr>
          <w:noProof/>
        </w:rPr>
        <w:fldChar w:fldCharType="end"/>
      </w:r>
      <w:r w:rsidRPr="0093514B" w:rsidR="0093514B">
        <w:t>.  Article 35 § 1</w:t>
      </w:r>
      <w:r w:rsidR="00347FD0">
        <w:t xml:space="preserve"> stated that</w:t>
      </w:r>
      <w:r w:rsidRPr="0093514B" w:rsidR="0093514B">
        <w:t xml:space="preserve">, when a court sentenced a perpetrator for two or more criminal offences, a concurrent sentence </w:t>
      </w:r>
      <w:r w:rsidRPr="002B285A" w:rsidR="0093514B">
        <w:t>(</w:t>
      </w:r>
      <w:r w:rsidRPr="0093514B" w:rsidR="0093514B">
        <w:rPr>
          <w:i/>
        </w:rPr>
        <w:t>úhrnný trest</w:t>
      </w:r>
      <w:r w:rsidRPr="002B285A" w:rsidR="0093514B">
        <w:t>)</w:t>
      </w:r>
      <w:r w:rsidRPr="0093514B" w:rsidR="0093514B">
        <w:rPr>
          <w:i/>
        </w:rPr>
        <w:t xml:space="preserve"> </w:t>
      </w:r>
      <w:r w:rsidR="00347FD0">
        <w:t>was</w:t>
      </w:r>
      <w:r w:rsidRPr="0093514B" w:rsidR="00296225">
        <w:t xml:space="preserve"> </w:t>
      </w:r>
      <w:r w:rsidRPr="0093514B" w:rsidR="0093514B">
        <w:t xml:space="preserve">to be </w:t>
      </w:r>
      <w:r w:rsidR="00296225">
        <w:t>imposed on the basis of</w:t>
      </w:r>
      <w:r w:rsidRPr="0093514B" w:rsidR="0093514B">
        <w:t xml:space="preserve"> the legal provision concerning the most serious of the offences. </w:t>
      </w:r>
      <w:r w:rsidR="00296225">
        <w:t>Where</w:t>
      </w:r>
      <w:r w:rsidRPr="0093514B" w:rsidR="0093514B">
        <w:t xml:space="preserve"> the minimum </w:t>
      </w:r>
      <w:r w:rsidR="00296225">
        <w:t>prison</w:t>
      </w:r>
      <w:r w:rsidRPr="0093514B" w:rsidR="00296225">
        <w:t xml:space="preserve"> </w:t>
      </w:r>
      <w:r w:rsidRPr="0093514B" w:rsidR="0093514B">
        <w:t xml:space="preserve">terms </w:t>
      </w:r>
      <w:r w:rsidR="00296225">
        <w:t>differed</w:t>
      </w:r>
      <w:r w:rsidRPr="0093514B" w:rsidR="0093514B">
        <w:t xml:space="preserve">, the </w:t>
      </w:r>
      <w:r w:rsidR="00296225">
        <w:t xml:space="preserve">longest one </w:t>
      </w:r>
      <w:r w:rsidRPr="0093514B" w:rsidR="0093514B">
        <w:t>constitute</w:t>
      </w:r>
      <w:r w:rsidR="00C31EC2">
        <w:t>d</w:t>
      </w:r>
      <w:r w:rsidRPr="0093514B" w:rsidR="0093514B">
        <w:t xml:space="preserve"> the minimum term for the concurrent</w:t>
      </w:r>
      <w:r w:rsidR="00296225">
        <w:t xml:space="preserve"> sentence</w:t>
      </w:r>
      <w:r w:rsidRPr="0093514B" w:rsidR="0093514B">
        <w:t>.</w:t>
      </w:r>
    </w:p>
    <w:p w:rsidRPr="0093514B" w:rsidR="0093514B" w:rsidP="00AC4AA0" w:rsidRDefault="008807FE" w14:paraId="47A6D204" w14:textId="500A9694">
      <w:pPr>
        <w:pStyle w:val="ECHRPara"/>
        <w:rPr>
          <w:lang w:val="cs-CZ"/>
        </w:rPr>
      </w:pPr>
      <w:r>
        <w:fldChar w:fldCharType="begin"/>
      </w:r>
      <w:r>
        <w:instrText xml:space="preserve"> SEQ level0 \*arabic </w:instrText>
      </w:r>
      <w:r>
        <w:fldChar w:fldCharType="separate"/>
      </w:r>
      <w:r w:rsidR="002D5843">
        <w:rPr>
          <w:noProof/>
        </w:rPr>
        <w:t>19</w:t>
      </w:r>
      <w:r>
        <w:rPr>
          <w:noProof/>
        </w:rPr>
        <w:fldChar w:fldCharType="end"/>
      </w:r>
      <w:r w:rsidRPr="0093514B" w:rsidR="0093514B">
        <w:t>.  Under Article 67 § 1</w:t>
      </w:r>
      <w:r w:rsidR="000A48B6">
        <w:t xml:space="preserve"> </w:t>
      </w:r>
      <w:r w:rsidRPr="0093514B" w:rsidR="0093514B">
        <w:t xml:space="preserve">(d), criminal liability for an offence punishable by a maximum sentence </w:t>
      </w:r>
      <w:r w:rsidR="00E85F0E">
        <w:t>of less</w:t>
      </w:r>
      <w:r w:rsidRPr="0093514B" w:rsidR="0093514B">
        <w:t xml:space="preserve"> than three years </w:t>
      </w:r>
      <w:r w:rsidR="00E85F0E">
        <w:t>became</w:t>
      </w:r>
      <w:r w:rsidRPr="0093514B" w:rsidR="0093514B">
        <w:t xml:space="preserve"> statute</w:t>
      </w:r>
      <w:r w:rsidR="00E85F0E">
        <w:t>-</w:t>
      </w:r>
      <w:r w:rsidRPr="0093514B" w:rsidR="0093514B">
        <w:t xml:space="preserve">barred on expiry of the limitation period of three years. Pursuant to Article 67 §§ 3 and 4, this period was interrupted and a new period </w:t>
      </w:r>
      <w:r w:rsidR="00E85F0E">
        <w:t>began</w:t>
      </w:r>
      <w:r w:rsidRPr="0093514B" w:rsidR="0093514B">
        <w:t xml:space="preserve"> running (a) </w:t>
      </w:r>
      <w:r w:rsidRPr="002313A4" w:rsidR="002313A4">
        <w:t>when the offender was charged with the offence in question and when subsequent measures were taken with a view to his criminal prosecution</w:t>
      </w:r>
      <w:r w:rsidR="002313A4">
        <w:t xml:space="preserve"> (such as </w:t>
      </w:r>
      <w:r w:rsidR="00E85F0E">
        <w:t xml:space="preserve">a </w:t>
      </w:r>
      <w:r w:rsidR="002313A4">
        <w:t>prosecutor</w:t>
      </w:r>
      <w:r w:rsidR="001D00E3">
        <w:t>’</w:t>
      </w:r>
      <w:r w:rsidR="002313A4">
        <w:t xml:space="preserve">s indictment, court summons, </w:t>
      </w:r>
      <w:r w:rsidR="00E85F0E">
        <w:t>and so forth</w:t>
      </w:r>
      <w:r w:rsidR="002313A4">
        <w:t>),</w:t>
      </w:r>
      <w:r w:rsidRPr="002313A4" w:rsidR="002313A4">
        <w:t xml:space="preserve"> </w:t>
      </w:r>
      <w:r w:rsidRPr="0093514B" w:rsidR="0093514B">
        <w:t xml:space="preserve">or (b) </w:t>
      </w:r>
      <w:r w:rsidR="00E85F0E">
        <w:t>if,</w:t>
      </w:r>
      <w:r w:rsidRPr="0093514B" w:rsidR="00E85F0E">
        <w:t xml:space="preserve"> </w:t>
      </w:r>
      <w:r w:rsidRPr="0093514B" w:rsidR="0093514B">
        <w:t>during that period</w:t>
      </w:r>
      <w:r w:rsidR="00E85F0E">
        <w:t>,</w:t>
      </w:r>
      <w:r w:rsidRPr="0093514B" w:rsidR="0093514B">
        <w:t xml:space="preserve"> the offender commit</w:t>
      </w:r>
      <w:r w:rsidR="002313A4">
        <w:t>t</w:t>
      </w:r>
      <w:r w:rsidRPr="0093514B" w:rsidR="0093514B">
        <w:t xml:space="preserve">ed a </w:t>
      </w:r>
      <w:r w:rsidR="009D382C">
        <w:t>further</w:t>
      </w:r>
      <w:r w:rsidRPr="0093514B" w:rsidR="009D382C">
        <w:t xml:space="preserve"> </w:t>
      </w:r>
      <w:r w:rsidRPr="0093514B" w:rsidR="0093514B">
        <w:t xml:space="preserve">crime punishable by the same or </w:t>
      </w:r>
      <w:r w:rsidR="00E85F0E">
        <w:t>a more severe</w:t>
      </w:r>
      <w:r w:rsidRPr="0093514B" w:rsidR="00E85F0E">
        <w:t xml:space="preserve"> </w:t>
      </w:r>
      <w:r w:rsidRPr="0093514B" w:rsidR="0093514B">
        <w:t>sentence.</w:t>
      </w:r>
      <w:bookmarkStart w:name="p67-1-a" w:id="3"/>
      <w:bookmarkStart w:name="p67-1-b" w:id="4"/>
      <w:bookmarkStart w:name="p67-1-c" w:id="5"/>
      <w:bookmarkStart w:name="p67-1-d" w:id="6"/>
      <w:bookmarkStart w:name="p67-2" w:id="7"/>
      <w:bookmarkStart w:name="p67-2-a" w:id="8"/>
      <w:bookmarkStart w:name="p67-2-b" w:id="9"/>
      <w:bookmarkStart w:name="p67-2-c" w:id="10"/>
      <w:bookmarkStart w:name="p67-3" w:id="11"/>
      <w:bookmarkStart w:name="p67-3-a" w:id="12"/>
      <w:bookmarkStart w:name="p67-3-b" w:id="13"/>
      <w:bookmarkStart w:name="p67-4" w:id="14"/>
      <w:bookmarkEnd w:id="3"/>
      <w:bookmarkEnd w:id="4"/>
      <w:bookmarkEnd w:id="5"/>
      <w:bookmarkEnd w:id="6"/>
      <w:bookmarkEnd w:id="7"/>
      <w:bookmarkEnd w:id="8"/>
      <w:bookmarkEnd w:id="9"/>
      <w:bookmarkEnd w:id="10"/>
      <w:bookmarkEnd w:id="11"/>
      <w:bookmarkEnd w:id="12"/>
      <w:bookmarkEnd w:id="13"/>
      <w:bookmarkEnd w:id="14"/>
    </w:p>
    <w:bookmarkStart w:name="par18" w:id="15"/>
    <w:p w:rsidRPr="0093514B" w:rsidR="0093514B" w:rsidP="00AC4AA0" w:rsidRDefault="0093514B" w14:paraId="65D3CAC7" w14:textId="1FA57379">
      <w:pPr>
        <w:pStyle w:val="ECHRPara"/>
      </w:pPr>
      <w:r w:rsidRPr="0093514B">
        <w:fldChar w:fldCharType="begin"/>
      </w:r>
      <w:r w:rsidRPr="0093514B">
        <w:instrText xml:space="preserve"> SEQ level0 \*arabic </w:instrText>
      </w:r>
      <w:r w:rsidRPr="0093514B">
        <w:fldChar w:fldCharType="separate"/>
      </w:r>
      <w:r w:rsidR="002D5843">
        <w:rPr>
          <w:noProof/>
        </w:rPr>
        <w:t>20</w:t>
      </w:r>
      <w:r w:rsidRPr="0093514B">
        <w:rPr>
          <w:lang w:val="en-GB"/>
        </w:rPr>
        <w:fldChar w:fldCharType="end"/>
      </w:r>
      <w:bookmarkEnd w:id="15"/>
      <w:r w:rsidRPr="0093514B">
        <w:t xml:space="preserve">.  Under Article 89 § 3, which was introduced into the Criminal Code by </w:t>
      </w:r>
      <w:r w:rsidR="00E85F0E">
        <w:t>Law no.</w:t>
      </w:r>
      <w:r w:rsidRPr="0093514B">
        <w:t xml:space="preserve"> 290/1993 </w:t>
      </w:r>
      <w:r w:rsidR="00E85F0E">
        <w:t xml:space="preserve">which </w:t>
      </w:r>
      <w:r w:rsidR="00DE2122">
        <w:t>came</w:t>
      </w:r>
      <w:r w:rsidRPr="0093514B" w:rsidR="00DE2122">
        <w:t xml:space="preserve"> </w:t>
      </w:r>
      <w:r w:rsidRPr="0093514B">
        <w:t xml:space="preserve">into force on 1 January 1994, </w:t>
      </w:r>
      <w:r w:rsidR="009D382C">
        <w:t>the</w:t>
      </w:r>
      <w:r w:rsidRPr="0093514B" w:rsidR="009D382C">
        <w:t xml:space="preserve"> </w:t>
      </w:r>
      <w:r w:rsidRPr="0093514B">
        <w:t xml:space="preserve">continuation </w:t>
      </w:r>
      <w:r w:rsidR="00E85F0E">
        <w:t>of</w:t>
      </w:r>
      <w:r w:rsidRPr="0093514B" w:rsidR="00E85F0E">
        <w:t xml:space="preserve"> </w:t>
      </w:r>
      <w:r w:rsidRPr="0093514B">
        <w:t xml:space="preserve">a criminal offence </w:t>
      </w:r>
      <w:r w:rsidRPr="002B285A">
        <w:t>(</w:t>
      </w:r>
      <w:r w:rsidRPr="0093514B">
        <w:rPr>
          <w:i/>
        </w:rPr>
        <w:t>pokračování v trestném činu</w:t>
      </w:r>
      <w:r w:rsidRPr="002B285A">
        <w:t>)</w:t>
      </w:r>
      <w:r w:rsidRPr="0093514B">
        <w:t xml:space="preserve"> was to be understood as consisting of individual </w:t>
      </w:r>
      <w:r w:rsidR="00E85F0E">
        <w:t>acts</w:t>
      </w:r>
      <w:r w:rsidRPr="0093514B" w:rsidR="00E85F0E">
        <w:t xml:space="preserve"> </w:t>
      </w:r>
      <w:r w:rsidRPr="002B285A">
        <w:t>(</w:t>
      </w:r>
      <w:r w:rsidRPr="0093514B">
        <w:rPr>
          <w:i/>
        </w:rPr>
        <w:t>jednotlivé dílčí útoky</w:t>
      </w:r>
      <w:r w:rsidRPr="002B285A">
        <w:t>)</w:t>
      </w:r>
      <w:r w:rsidRPr="0093514B">
        <w:t xml:space="preserve"> </w:t>
      </w:r>
      <w:r w:rsidR="00E85F0E">
        <w:t xml:space="preserve">which were </w:t>
      </w:r>
      <w:r w:rsidRPr="00C31EC2">
        <w:t>driven by the same purpose</w:t>
      </w:r>
      <w:r w:rsidR="00C31EC2">
        <w:t>,</w:t>
      </w:r>
      <w:r w:rsidRPr="00C31EC2">
        <w:t xml:space="preserve"> </w:t>
      </w:r>
      <w:r w:rsidR="00531C75">
        <w:t>comprised</w:t>
      </w:r>
      <w:r w:rsidRPr="00C31EC2">
        <w:t xml:space="preserve"> the elements of the same offence and were linked by virtue of being carried out in an identical or similar manner, occurring close </w:t>
      </w:r>
      <w:r w:rsidR="00C31EC2">
        <w:t>together</w:t>
      </w:r>
      <w:r w:rsidRPr="00C31EC2" w:rsidR="00C31EC2">
        <w:t xml:space="preserve"> </w:t>
      </w:r>
      <w:r w:rsidRPr="00C31EC2">
        <w:t xml:space="preserve">in time and </w:t>
      </w:r>
      <w:r w:rsidR="00C31EC2">
        <w:t>pursuing</w:t>
      </w:r>
      <w:r w:rsidRPr="00C31EC2">
        <w:t xml:space="preserve"> the same object.</w:t>
      </w:r>
    </w:p>
    <w:p w:rsidRPr="0093514B" w:rsidR="0093514B" w:rsidP="00AC4AA0" w:rsidRDefault="008807FE" w14:paraId="091720A5" w14:textId="294BB769">
      <w:pPr>
        <w:pStyle w:val="ECHRPara"/>
      </w:pPr>
      <w:r>
        <w:fldChar w:fldCharType="begin"/>
      </w:r>
      <w:r>
        <w:instrText xml:space="preserve"> SEQ </w:instrText>
      </w:r>
      <w:r>
        <w:instrText xml:space="preserve">level0 \*arabic </w:instrText>
      </w:r>
      <w:r>
        <w:fldChar w:fldCharType="separate"/>
      </w:r>
      <w:r w:rsidR="002D5843">
        <w:rPr>
          <w:noProof/>
        </w:rPr>
        <w:t>21</w:t>
      </w:r>
      <w:r>
        <w:rPr>
          <w:noProof/>
        </w:rPr>
        <w:fldChar w:fldCharType="end"/>
      </w:r>
      <w:r w:rsidRPr="0093514B" w:rsidR="0093514B">
        <w:t xml:space="preserve">.  Pursuant to Article 197a, a person who threatened to kill another person or </w:t>
      </w:r>
      <w:r w:rsidR="00A20CA9">
        <w:t>to</w:t>
      </w:r>
      <w:r w:rsidRPr="0093514B" w:rsidR="0093514B">
        <w:t xml:space="preserve"> cause him or her bodily harm or other serious harm</w:t>
      </w:r>
      <w:r w:rsidR="00A20CA9">
        <w:t>,</w:t>
      </w:r>
      <w:r w:rsidRPr="0093514B" w:rsidR="0093514B">
        <w:t xml:space="preserve"> in a manner giving reasonable </w:t>
      </w:r>
      <w:r w:rsidR="00352D17">
        <w:t xml:space="preserve">grounds for </w:t>
      </w:r>
      <w:r w:rsidRPr="0093514B" w:rsidR="0093514B">
        <w:t>fear</w:t>
      </w:r>
      <w:r w:rsidR="009D382C">
        <w:t>,</w:t>
      </w:r>
      <w:r w:rsidRPr="0093514B" w:rsidR="0093514B">
        <w:t xml:space="preserve"> </w:t>
      </w:r>
      <w:r w:rsidR="00C31EC2">
        <w:t>was liable to</w:t>
      </w:r>
      <w:r w:rsidRPr="0093514B" w:rsidR="0093514B">
        <w:t xml:space="preserve"> a term of imprisonment of up to one year or </w:t>
      </w:r>
      <w:r w:rsidR="00C31EC2">
        <w:t>to</w:t>
      </w:r>
      <w:r w:rsidRPr="0093514B" w:rsidR="00C31EC2">
        <w:t xml:space="preserve"> </w:t>
      </w:r>
      <w:r w:rsidRPr="0093514B" w:rsidR="0093514B">
        <w:t>a fine.</w:t>
      </w:r>
    </w:p>
    <w:p w:rsidRPr="0093514B" w:rsidR="0093514B" w:rsidP="00AC4AA0" w:rsidRDefault="008807FE" w14:paraId="574C0014" w14:textId="413F8BC0">
      <w:pPr>
        <w:pStyle w:val="ECHRPara"/>
      </w:pPr>
      <w:r>
        <w:fldChar w:fldCharType="begin"/>
      </w:r>
      <w:r>
        <w:instrText xml:space="preserve"> SEQ level0 \*arabic </w:instrText>
      </w:r>
      <w:r>
        <w:fldChar w:fldCharType="separate"/>
      </w:r>
      <w:r w:rsidR="002D5843">
        <w:rPr>
          <w:noProof/>
        </w:rPr>
        <w:t>22</w:t>
      </w:r>
      <w:r>
        <w:rPr>
          <w:noProof/>
        </w:rPr>
        <w:fldChar w:fldCharType="end"/>
      </w:r>
      <w:r w:rsidRPr="0093514B" w:rsidR="0093514B">
        <w:t xml:space="preserve">.  Under paragraph 1 of Article 215a, introduced on 1 June 2004, </w:t>
      </w:r>
      <w:r w:rsidR="00C31EC2">
        <w:t>anyone who</w:t>
      </w:r>
      <w:r w:rsidRPr="0093514B" w:rsidR="00C31EC2">
        <w:t xml:space="preserve"> </w:t>
      </w:r>
      <w:r w:rsidRPr="0093514B" w:rsidR="0093514B">
        <w:t xml:space="preserve">abused a </w:t>
      </w:r>
      <w:r w:rsidR="00C31EC2">
        <w:t>relative</w:t>
      </w:r>
      <w:r w:rsidRPr="0093514B" w:rsidR="00C31EC2">
        <w:t xml:space="preserve"> </w:t>
      </w:r>
      <w:r w:rsidRPr="0093514B" w:rsidR="0093514B">
        <w:t xml:space="preserve">or other person living under the same roof </w:t>
      </w:r>
      <w:r w:rsidR="00C31EC2">
        <w:t>was liable to</w:t>
      </w:r>
      <w:r w:rsidRPr="0093514B" w:rsidR="0093514B">
        <w:t xml:space="preserve"> a sentence of up to three years</w:t>
      </w:r>
      <w:r w:rsidR="001D00E3">
        <w:t>’</w:t>
      </w:r>
      <w:r w:rsidRPr="0093514B" w:rsidR="0093514B">
        <w:t xml:space="preserve"> imprisonment. According to paragraph 2, the perpetrator of such an offence faced between two and eight years</w:t>
      </w:r>
      <w:r w:rsidR="001D00E3">
        <w:t>’</w:t>
      </w:r>
      <w:r w:rsidRPr="0093514B" w:rsidR="0093514B">
        <w:t xml:space="preserve"> imprisonment if (a) he or she acted in a particularly brutal manner or committed the offence against several persons</w:t>
      </w:r>
      <w:r w:rsidR="000A48B6">
        <w:t>,</w:t>
      </w:r>
      <w:r w:rsidRPr="0093514B" w:rsidR="0093514B">
        <w:t xml:space="preserve"> or (b) he or she continued the conduct in question over a </w:t>
      </w:r>
      <w:r w:rsidR="00C31EC2">
        <w:t>lengthy</w:t>
      </w:r>
      <w:r w:rsidRPr="0093514B" w:rsidR="00C31EC2">
        <w:t xml:space="preserve"> </w:t>
      </w:r>
      <w:r w:rsidRPr="0093514B" w:rsidR="0093514B">
        <w:t>period.</w:t>
      </w:r>
    </w:p>
    <w:p w:rsidRPr="0093514B" w:rsidR="0093514B" w:rsidP="00AC4AA0" w:rsidRDefault="0093514B" w14:paraId="19ABEA91" w14:textId="60F8F612">
      <w:pPr>
        <w:pStyle w:val="ECHRPara"/>
      </w:pPr>
      <w:r w:rsidRPr="0093514B">
        <w:t>The relevant explanatory report stated that the purpose of introducing the above provision had been to address the lack of specific legislation in this area</w:t>
      </w:r>
      <w:r w:rsidR="00381616">
        <w:t>,</w:t>
      </w:r>
      <w:r w:rsidRPr="0093514B">
        <w:t xml:space="preserve"> </w:t>
      </w:r>
      <w:r w:rsidR="00381616">
        <w:t>since</w:t>
      </w:r>
      <w:r w:rsidRPr="0093514B">
        <w:t xml:space="preserve"> the general </w:t>
      </w:r>
      <w:r w:rsidR="00381616">
        <w:t>criminal-law</w:t>
      </w:r>
      <w:r w:rsidRPr="0093514B" w:rsidR="00381616">
        <w:t xml:space="preserve"> </w:t>
      </w:r>
      <w:r w:rsidRPr="0093514B">
        <w:t xml:space="preserve">provisions that were applicable allowed prosecution </w:t>
      </w:r>
      <w:r w:rsidR="000A48B6">
        <w:t>of</w:t>
      </w:r>
      <w:r w:rsidRPr="0093514B" w:rsidR="000A48B6">
        <w:t xml:space="preserve"> </w:t>
      </w:r>
      <w:r w:rsidRPr="0093514B">
        <w:t>only</w:t>
      </w:r>
      <w:r w:rsidR="00381616">
        <w:t xml:space="preserve"> </w:t>
      </w:r>
      <w:r w:rsidRPr="0093514B">
        <w:t xml:space="preserve">the most serious acts of physical domestic violence (for example, </w:t>
      </w:r>
      <w:r w:rsidR="00381616">
        <w:t xml:space="preserve">the </w:t>
      </w:r>
      <w:r w:rsidRPr="0093514B">
        <w:t xml:space="preserve">offences set forth in Articles 197a or 221 </w:t>
      </w:r>
      <w:r w:rsidR="00381616">
        <w:t>which, according to</w:t>
      </w:r>
      <w:r w:rsidRPr="0093514B" w:rsidR="00381616">
        <w:t xml:space="preserve"> </w:t>
      </w:r>
      <w:r w:rsidRPr="0093514B">
        <w:t>judicial practice</w:t>
      </w:r>
      <w:r w:rsidR="00381616">
        <w:t>,</w:t>
      </w:r>
      <w:r w:rsidRPr="0093514B">
        <w:t xml:space="preserve"> </w:t>
      </w:r>
      <w:r w:rsidR="00381616">
        <w:t>had to result in</w:t>
      </w:r>
      <w:r w:rsidRPr="0093514B" w:rsidR="00381616">
        <w:t xml:space="preserve"> </w:t>
      </w:r>
      <w:r w:rsidR="00367555">
        <w:t xml:space="preserve">at least </w:t>
      </w:r>
      <w:r w:rsidRPr="0093514B">
        <w:t>seven days</w:t>
      </w:r>
      <w:r w:rsidR="001D00E3">
        <w:t>’</w:t>
      </w:r>
      <w:r w:rsidRPr="0093514B">
        <w:t xml:space="preserve"> incapacity</w:t>
      </w:r>
      <w:r w:rsidR="00381616">
        <w:t xml:space="preserve"> to work</w:t>
      </w:r>
      <w:r w:rsidRPr="0093514B">
        <w:t xml:space="preserve">, which was rarely the case in situations of domestic violence). </w:t>
      </w:r>
      <w:r w:rsidR="00381616">
        <w:t>T</w:t>
      </w:r>
      <w:r w:rsidRPr="0093514B">
        <w:t xml:space="preserve">he new provision </w:t>
      </w:r>
      <w:r w:rsidR="00381616">
        <w:t xml:space="preserve">required </w:t>
      </w:r>
      <w:r w:rsidRPr="0093514B">
        <w:t xml:space="preserve">neither physical violence nor </w:t>
      </w:r>
      <w:r w:rsidR="00381616">
        <w:t xml:space="preserve">any </w:t>
      </w:r>
      <w:r w:rsidRPr="0093514B">
        <w:t xml:space="preserve">consequences </w:t>
      </w:r>
      <w:r w:rsidR="00381616">
        <w:t>for</w:t>
      </w:r>
      <w:r w:rsidRPr="0093514B" w:rsidR="00381616">
        <w:t xml:space="preserve"> </w:t>
      </w:r>
      <w:r w:rsidRPr="0093514B">
        <w:t>the victim</w:t>
      </w:r>
      <w:r w:rsidR="001D00E3">
        <w:t>’</w:t>
      </w:r>
      <w:r w:rsidRPr="0093514B">
        <w:t xml:space="preserve">s health. It also pursued the aim of overcoming the difficulties faced by the prosecuting authorities in </w:t>
      </w:r>
      <w:r w:rsidR="00347FD0">
        <w:t>view of</w:t>
      </w:r>
      <w:r w:rsidRPr="0093514B">
        <w:t xml:space="preserve"> </w:t>
      </w:r>
      <w:r w:rsidR="00381616">
        <w:t xml:space="preserve">the </w:t>
      </w:r>
      <w:r w:rsidRPr="0093514B">
        <w:t>specific features of domestic violence.</w:t>
      </w:r>
    </w:p>
    <w:p w:rsidRPr="0093514B" w:rsidR="0093514B" w:rsidP="00AC4AA0" w:rsidRDefault="0093514B" w14:paraId="73527458" w14:textId="77777777">
      <w:pPr>
        <w:pStyle w:val="ECHRPara"/>
      </w:pPr>
      <w:r w:rsidRPr="0093514B">
        <w:t xml:space="preserve">It was noted that the term “abuse/ill-treatment” was not new since there was already an offence of abuse/ill-treatment of a </w:t>
      </w:r>
      <w:r w:rsidRPr="00352D17">
        <w:t xml:space="preserve">person in </w:t>
      </w:r>
      <w:r w:rsidR="00352D17">
        <w:t>one</w:t>
      </w:r>
      <w:r w:rsidR="001D00E3">
        <w:t>’</w:t>
      </w:r>
      <w:r w:rsidR="00352D17">
        <w:t>s care</w:t>
      </w:r>
      <w:r w:rsidRPr="0093514B">
        <w:t xml:space="preserve">. </w:t>
      </w:r>
      <w:r w:rsidR="00381616">
        <w:t>This</w:t>
      </w:r>
      <w:r w:rsidRPr="0093514B" w:rsidR="00381616">
        <w:t xml:space="preserve"> </w:t>
      </w:r>
      <w:r w:rsidRPr="0093514B">
        <w:t xml:space="preserve">was interpreted </w:t>
      </w:r>
      <w:r w:rsidR="00381616">
        <w:t>to mean</w:t>
      </w:r>
      <w:r w:rsidR="007F4FAA">
        <w:t xml:space="preserve"> persistent</w:t>
      </w:r>
      <w:r w:rsidRPr="0093514B" w:rsidR="00381616">
        <w:t xml:space="preserve"> </w:t>
      </w:r>
      <w:r w:rsidRPr="0093514B">
        <w:t xml:space="preserve">ill-treatment </w:t>
      </w:r>
      <w:r w:rsidR="007F4FAA">
        <w:t>involving a particularly</w:t>
      </w:r>
      <w:r w:rsidRPr="0093514B" w:rsidR="007F4FAA">
        <w:t xml:space="preserve"> </w:t>
      </w:r>
      <w:r w:rsidRPr="0093514B">
        <w:t xml:space="preserve">high degree of cruelty and </w:t>
      </w:r>
      <w:r w:rsidR="00352D17">
        <w:t>impassivity</w:t>
      </w:r>
      <w:r w:rsidR="007F4FAA">
        <w:t xml:space="preserve"> and</w:t>
      </w:r>
      <w:r w:rsidRPr="0093514B">
        <w:t xml:space="preserve"> which the victim perceived as a serious wrong. It was not necessarily a systematic </w:t>
      </w:r>
      <w:r w:rsidR="009D382C">
        <w:t xml:space="preserve">course of </w:t>
      </w:r>
      <w:r w:rsidRPr="0093514B">
        <w:t xml:space="preserve">conduct or conduct spanning a </w:t>
      </w:r>
      <w:r w:rsidR="007F4FAA">
        <w:t>lengthy</w:t>
      </w:r>
      <w:r w:rsidRPr="0093514B" w:rsidR="007F4FAA">
        <w:t xml:space="preserve"> </w:t>
      </w:r>
      <w:r w:rsidRPr="0093514B">
        <w:t>period.</w:t>
      </w:r>
    </w:p>
    <w:p w:rsidRPr="0093514B" w:rsidR="0093514B" w:rsidP="00926AF8" w:rsidRDefault="008807FE" w14:paraId="3D465299" w14:textId="58C7F170">
      <w:pPr>
        <w:pStyle w:val="ECHRPara"/>
      </w:pPr>
      <w:r>
        <w:fldChar w:fldCharType="begin"/>
      </w:r>
      <w:r>
        <w:instrText xml:space="preserve"> SEQ level0 \*arabic </w:instrText>
      </w:r>
      <w:r>
        <w:fldChar w:fldCharType="separate"/>
      </w:r>
      <w:r w:rsidR="002D5843">
        <w:rPr>
          <w:noProof/>
        </w:rPr>
        <w:t>23</w:t>
      </w:r>
      <w:r>
        <w:rPr>
          <w:noProof/>
        </w:rPr>
        <w:fldChar w:fldCharType="end"/>
      </w:r>
      <w:r w:rsidRPr="0093514B" w:rsidR="0093514B">
        <w:t>.  Under Article 221 § 1, the offence of assault with intent to cause bodily harm was punishable by a prison term of up to two years. Paragraph</w:t>
      </w:r>
      <w:r w:rsidR="00A35336">
        <w:t> </w:t>
      </w:r>
      <w:r w:rsidRPr="0093514B" w:rsidR="0093514B">
        <w:t>2 provided for a prison term ranging from one to five years where, among other factors, the perpetrator caused serious bodily harm to the victim; under paragraph 3, where the perpetrator</w:t>
      </w:r>
      <w:r w:rsidR="001D00E3">
        <w:t>’</w:t>
      </w:r>
      <w:r w:rsidRPr="0093514B" w:rsidR="0093514B">
        <w:t>s conduct resulted in death, he or she was liable to a prison sentence of between three and eight years.</w:t>
      </w:r>
    </w:p>
    <w:p w:rsidRPr="0093514B" w:rsidR="0093514B" w:rsidP="00926AF8" w:rsidRDefault="0093514B" w14:paraId="4DDB9085" w14:textId="77777777">
      <w:pPr>
        <w:pStyle w:val="ECHRHeading2"/>
      </w:pPr>
      <w:r w:rsidRPr="0093514B">
        <w:t>B.  Legal literature and case-law of the Supreme Court</w:t>
      </w:r>
    </w:p>
    <w:bookmarkStart w:name="par23" w:id="16"/>
    <w:p w:rsidRPr="0093514B" w:rsidR="0093514B" w:rsidP="00926AF8" w:rsidRDefault="0093514B" w14:paraId="7B442F74" w14:textId="6CDF36DB">
      <w:pPr>
        <w:pStyle w:val="ECHRPara"/>
      </w:pPr>
      <w:r w:rsidRPr="0093514B">
        <w:fldChar w:fldCharType="begin"/>
      </w:r>
      <w:r w:rsidRPr="0093514B">
        <w:instrText xml:space="preserve"> SEQ level0 \*arabic </w:instrText>
      </w:r>
      <w:r w:rsidRPr="0093514B">
        <w:fldChar w:fldCharType="separate"/>
      </w:r>
      <w:r w:rsidR="002D5843">
        <w:rPr>
          <w:noProof/>
        </w:rPr>
        <w:t>24</w:t>
      </w:r>
      <w:r w:rsidRPr="0093514B">
        <w:rPr>
          <w:lang w:val="en-GB"/>
        </w:rPr>
        <w:fldChar w:fldCharType="end"/>
      </w:r>
      <w:bookmarkEnd w:id="16"/>
      <w:r w:rsidRPr="0093514B">
        <w:t>.  According to</w:t>
      </w:r>
      <w:r w:rsidR="00381616">
        <w:t xml:space="preserve"> the</w:t>
      </w:r>
      <w:r w:rsidRPr="0093514B">
        <w:t xml:space="preserve"> </w:t>
      </w:r>
      <w:r w:rsidR="00291FEC">
        <w:t xml:space="preserve">Czech </w:t>
      </w:r>
      <w:r w:rsidRPr="0093514B">
        <w:t xml:space="preserve">legal literature, </w:t>
      </w:r>
      <w:r w:rsidR="007F54B1">
        <w:t>the</w:t>
      </w:r>
      <w:r w:rsidRPr="0093514B" w:rsidR="007F54B1">
        <w:t xml:space="preserve"> </w:t>
      </w:r>
      <w:r w:rsidRPr="0093514B">
        <w:t xml:space="preserve">continuation </w:t>
      </w:r>
      <w:r w:rsidR="007F54B1">
        <w:t>of</w:t>
      </w:r>
      <w:r w:rsidRPr="0093514B" w:rsidR="007F54B1">
        <w:t xml:space="preserve"> </w:t>
      </w:r>
      <w:r w:rsidRPr="0093514B">
        <w:t>a criminal offence, that is, a “</w:t>
      </w:r>
      <w:r w:rsidR="009C1BE0">
        <w:t>continuous</w:t>
      </w:r>
      <w:r w:rsidRPr="0093514B">
        <w:t xml:space="preserve">” criminal offence </w:t>
      </w:r>
      <w:r w:rsidRPr="002B285A">
        <w:t>(</w:t>
      </w:r>
      <w:r w:rsidRPr="0093514B">
        <w:rPr>
          <w:i/>
        </w:rPr>
        <w:t>pokra</w:t>
      </w:r>
      <w:r w:rsidRPr="0093514B">
        <w:rPr>
          <w:rFonts w:cstheme="minorHAnsi"/>
          <w:i/>
        </w:rPr>
        <w:t>č</w:t>
      </w:r>
      <w:r w:rsidRPr="0093514B">
        <w:rPr>
          <w:i/>
        </w:rPr>
        <w:t xml:space="preserve">ující trestný </w:t>
      </w:r>
      <w:r w:rsidRPr="0093514B">
        <w:rPr>
          <w:rFonts w:cstheme="minorHAnsi"/>
          <w:i/>
        </w:rPr>
        <w:t>č</w:t>
      </w:r>
      <w:r w:rsidRPr="0093514B">
        <w:rPr>
          <w:i/>
        </w:rPr>
        <w:t>in</w:t>
      </w:r>
      <w:r w:rsidRPr="002B285A">
        <w:t>)</w:t>
      </w:r>
      <w:r w:rsidRPr="0093514B">
        <w:t xml:space="preserve">, was considered to constitute a single act; when one of the elements referred to in Article 89 § 3 of the Criminal Code was absent, the offence in question was characterised as </w:t>
      </w:r>
      <w:r w:rsidR="00ED459F">
        <w:t>“</w:t>
      </w:r>
      <w:r w:rsidR="00A06427">
        <w:t>repeated</w:t>
      </w:r>
      <w:r w:rsidR="00ED459F">
        <w:t>”</w:t>
      </w:r>
      <w:r w:rsidRPr="0093514B">
        <w:t>.</w:t>
      </w:r>
    </w:p>
    <w:bookmarkStart w:name="par24" w:id="17"/>
    <w:p w:rsidRPr="0093514B" w:rsidR="0093514B" w:rsidP="00926AF8" w:rsidRDefault="0093514B" w14:paraId="01DD7FFD" w14:textId="717D6228">
      <w:pPr>
        <w:pStyle w:val="ECHRPara"/>
      </w:pPr>
      <w:r w:rsidRPr="0093514B">
        <w:fldChar w:fldCharType="begin"/>
      </w:r>
      <w:r w:rsidRPr="0093514B">
        <w:instrText xml:space="preserve"> SEQ level0 \*arabic </w:instrText>
      </w:r>
      <w:r w:rsidRPr="0093514B">
        <w:fldChar w:fldCharType="separate"/>
      </w:r>
      <w:r w:rsidR="002D5843">
        <w:rPr>
          <w:noProof/>
        </w:rPr>
        <w:t>25</w:t>
      </w:r>
      <w:r w:rsidRPr="0093514B">
        <w:rPr>
          <w:lang w:val="en-GB"/>
        </w:rPr>
        <w:fldChar w:fldCharType="end"/>
      </w:r>
      <w:bookmarkEnd w:id="17"/>
      <w:r w:rsidRPr="0093514B">
        <w:t>.  </w:t>
      </w:r>
      <w:r w:rsidRPr="007538BE">
        <w:t xml:space="preserve">As established </w:t>
      </w:r>
      <w:r w:rsidR="007F54B1">
        <w:t>by</w:t>
      </w:r>
      <w:r w:rsidRPr="0093514B" w:rsidR="007F54B1">
        <w:t xml:space="preserve"> </w:t>
      </w:r>
      <w:r w:rsidR="007F54B1">
        <w:t xml:space="preserve">the </w:t>
      </w:r>
      <w:r w:rsidRPr="0093514B">
        <w:t>settled and long</w:t>
      </w:r>
      <w:r w:rsidR="007F54B1">
        <w:t>-</w:t>
      </w:r>
      <w:r w:rsidRPr="0093514B">
        <w:t xml:space="preserve">standing case-law of the Supreme Court (decisions nos. 3 Tz 155/2000, 3 Tdo 1115/2003, 6 Tdo 1314/2003, 11 Tdo 272/2007, 6 Tdo 181/2012, 11 Tdo 258/2012 and 6 Tdo 1553/2012), a </w:t>
      </w:r>
      <w:r w:rsidR="009C1BE0">
        <w:t>continuous</w:t>
      </w:r>
      <w:r w:rsidRPr="0093514B">
        <w:t xml:space="preserve"> offence was deemed to have come to an end on completion of the last occurrence of the offence. The Government addition</w:t>
      </w:r>
      <w:r w:rsidR="007F54B1">
        <w:t>ally</w:t>
      </w:r>
      <w:r w:rsidRPr="0093514B">
        <w:t xml:space="preserve"> referred to the decisions published in the </w:t>
      </w:r>
      <w:r w:rsidRPr="002B285A">
        <w:rPr>
          <w:i/>
        </w:rPr>
        <w:t>Reports of Judicial Decisions and Opinions</w:t>
      </w:r>
      <w:r w:rsidRPr="0093514B">
        <w:t xml:space="preserve"> under </w:t>
      </w:r>
      <w:r w:rsidR="00FB514B">
        <w:t>nos.</w:t>
      </w:r>
      <w:r w:rsidRPr="0093514B">
        <w:t xml:space="preserve"> 103/1953, 44/1970 and 7/1994 and to Supreme Court decision </w:t>
      </w:r>
      <w:r w:rsidR="00F56AD6">
        <w:t>no.</w:t>
      </w:r>
      <w:r w:rsidRPr="0093514B" w:rsidR="00F56AD6">
        <w:t xml:space="preserve"> </w:t>
      </w:r>
      <w:r w:rsidRPr="0093514B">
        <w:t xml:space="preserve">5 Tdo 593/2005. </w:t>
      </w:r>
      <w:r w:rsidRPr="007538BE">
        <w:t>Thus,</w:t>
      </w:r>
      <w:r w:rsidRPr="0093514B">
        <w:t xml:space="preserve"> </w:t>
      </w:r>
      <w:r w:rsidR="00064764">
        <w:t xml:space="preserve">when </w:t>
      </w:r>
      <w:r w:rsidRPr="0093514B">
        <w:t xml:space="preserve">a </w:t>
      </w:r>
      <w:r w:rsidR="009C1BE0">
        <w:t>continuous</w:t>
      </w:r>
      <w:r w:rsidRPr="0093514B">
        <w:t xml:space="preserve"> offence </w:t>
      </w:r>
      <w:r w:rsidR="008D5B6E">
        <w:t xml:space="preserve">extended over </w:t>
      </w:r>
      <w:r w:rsidR="00064764">
        <w:t xml:space="preserve">a period of time during which the applicable legislation changed, it </w:t>
      </w:r>
      <w:r w:rsidRPr="0093514B">
        <w:t xml:space="preserve">was considered to be covered by the new legislation provided that at least </w:t>
      </w:r>
      <w:r w:rsidR="0069502C">
        <w:t>some</w:t>
      </w:r>
      <w:r w:rsidRPr="0093514B">
        <w:t xml:space="preserve"> of the punishable acts had been committed after the entry into force of the new law and that the previous acts had constituted a criminal offence at the time they were committed (see Supreme Court decision </w:t>
      </w:r>
      <w:r w:rsidR="00F56AD6">
        <w:t>no.</w:t>
      </w:r>
      <w:r w:rsidRPr="0093514B" w:rsidR="00F56AD6">
        <w:t xml:space="preserve"> </w:t>
      </w:r>
      <w:r w:rsidRPr="0093514B">
        <w:rPr>
          <w:lang w:val="en-GB"/>
        </w:rPr>
        <w:t>Tzn 12/93)</w:t>
      </w:r>
      <w:r w:rsidRPr="0093514B">
        <w:t>, even if that offence carried a lighter sentence.</w:t>
      </w:r>
    </w:p>
    <w:bookmarkStart w:name="par19" w:id="18"/>
    <w:p w:rsidRPr="0093514B" w:rsidR="0093514B" w:rsidP="00926AF8" w:rsidRDefault="0093514B" w14:paraId="2983B05A" w14:textId="722B968F">
      <w:pPr>
        <w:pStyle w:val="ECHRPara"/>
      </w:pPr>
      <w:r w:rsidRPr="0093514B">
        <w:fldChar w:fldCharType="begin"/>
      </w:r>
      <w:r w:rsidRPr="0093514B">
        <w:instrText xml:space="preserve"> SEQ level0 \*arabic </w:instrText>
      </w:r>
      <w:r w:rsidRPr="0093514B">
        <w:fldChar w:fldCharType="separate"/>
      </w:r>
      <w:r w:rsidR="002D5843">
        <w:rPr>
          <w:noProof/>
        </w:rPr>
        <w:t>26</w:t>
      </w:r>
      <w:r w:rsidRPr="0093514B">
        <w:rPr>
          <w:lang w:val="en-GB"/>
        </w:rPr>
        <w:fldChar w:fldCharType="end"/>
      </w:r>
      <w:bookmarkEnd w:id="18"/>
      <w:r w:rsidRPr="0093514B">
        <w:t>.  By judgment no. 11 Tdo 272/2007 of 27 August 2007 in a factually similar case, the Supreme Court quashed the lower courts</w:t>
      </w:r>
      <w:r w:rsidR="001D00E3">
        <w:t>’</w:t>
      </w:r>
      <w:r w:rsidRPr="0093514B">
        <w:t xml:space="preserve"> decisions </w:t>
      </w:r>
      <w:r w:rsidR="00F56AD6">
        <w:t>by</w:t>
      </w:r>
      <w:r w:rsidRPr="0093514B" w:rsidR="00F56AD6">
        <w:t xml:space="preserve"> </w:t>
      </w:r>
      <w:r w:rsidRPr="0093514B">
        <w:t xml:space="preserve">which the person concerned had been </w:t>
      </w:r>
      <w:r w:rsidR="00F56AD6">
        <w:t>found guilty</w:t>
      </w:r>
      <w:r w:rsidR="00D23015">
        <w:t xml:space="preserve"> of</w:t>
      </w:r>
      <w:r w:rsidRPr="0093514B">
        <w:t xml:space="preserve"> two criminal offences (violence against </w:t>
      </w:r>
      <w:r w:rsidR="00F56AD6">
        <w:t xml:space="preserve">an </w:t>
      </w:r>
      <w:r w:rsidRPr="0093514B">
        <w:t xml:space="preserve">individual </w:t>
      </w:r>
      <w:r w:rsidR="00F56AD6">
        <w:t>under</w:t>
      </w:r>
      <w:r w:rsidRPr="0093514B">
        <w:t xml:space="preserve"> Article 197a of the Criminal Code committed before 1 June 2004</w:t>
      </w:r>
      <w:r w:rsidR="00F56AD6">
        <w:t>,</w:t>
      </w:r>
      <w:r w:rsidRPr="0093514B">
        <w:t xml:space="preserve"> and abuse of a person living under the same roof committed after that date) and </w:t>
      </w:r>
      <w:r w:rsidR="00F56AD6">
        <w:t xml:space="preserve">had </w:t>
      </w:r>
      <w:r w:rsidRPr="0093514B">
        <w:t xml:space="preserve">imposed a concurrent sentence of two years and six months. </w:t>
      </w:r>
      <w:r w:rsidR="00F56AD6">
        <w:t>The Supreme Court</w:t>
      </w:r>
      <w:r w:rsidRPr="0093514B" w:rsidR="00F56AD6">
        <w:t xml:space="preserve"> </w:t>
      </w:r>
      <w:r w:rsidRPr="0093514B">
        <w:t xml:space="preserve">held that </w:t>
      </w:r>
      <w:r w:rsidR="00F56AD6">
        <w:t>this</w:t>
      </w:r>
      <w:r w:rsidRPr="0093514B" w:rsidR="00F56AD6">
        <w:t xml:space="preserve"> </w:t>
      </w:r>
      <w:r w:rsidRPr="0093514B">
        <w:t xml:space="preserve">interpretation by the courts, distinguishing between acts committed before and after the entry into force of Article 215a of the Criminal Code, was incorrect since the situation amounted to a </w:t>
      </w:r>
      <w:r w:rsidR="009C1BE0">
        <w:t>continuous</w:t>
      </w:r>
      <w:r w:rsidRPr="0093514B">
        <w:t xml:space="preserve"> offence</w:t>
      </w:r>
      <w:r w:rsidR="00DE1991">
        <w:t>;</w:t>
      </w:r>
      <w:r w:rsidRPr="0093514B">
        <w:t xml:space="preserve"> </w:t>
      </w:r>
      <w:r w:rsidR="00DE1991">
        <w:t>the court nevertheless upheld the</w:t>
      </w:r>
      <w:r w:rsidRPr="00DE1991">
        <w:t xml:space="preserve"> sentence</w:t>
      </w:r>
      <w:r w:rsidRPr="0093514B">
        <w:t xml:space="preserve">. </w:t>
      </w:r>
      <w:r w:rsidR="00DE1991">
        <w:t>It</w:t>
      </w:r>
      <w:r w:rsidRPr="0093514B">
        <w:t xml:space="preserve"> stated in particular:</w:t>
      </w:r>
    </w:p>
    <w:p w:rsidRPr="0093514B" w:rsidR="0093514B" w:rsidP="00926AF8" w:rsidRDefault="0093514B" w14:paraId="3C114351" w14:textId="3BB424FC">
      <w:pPr>
        <w:pStyle w:val="ECHRParaQuote"/>
      </w:pPr>
      <w:r w:rsidRPr="0093514B">
        <w:t xml:space="preserve">“The question is whether a </w:t>
      </w:r>
      <w:r w:rsidR="009C1BE0">
        <w:t>continuous</w:t>
      </w:r>
      <w:r w:rsidRPr="0093514B">
        <w:t xml:space="preserve"> criminal offence can encompass </w:t>
      </w:r>
      <w:r w:rsidR="00355E4C">
        <w:t>conduct the individual occurrences of which</w:t>
      </w:r>
      <w:r w:rsidRPr="0093514B">
        <w:t xml:space="preserve"> were perpetrated part</w:t>
      </w:r>
      <w:r w:rsidR="00355E4C">
        <w:t>ly</w:t>
      </w:r>
      <w:r w:rsidRPr="0093514B">
        <w:t xml:space="preserve"> before and part</w:t>
      </w:r>
      <w:r w:rsidR="00355E4C">
        <w:t>ly</w:t>
      </w:r>
      <w:r w:rsidRPr="0093514B">
        <w:t xml:space="preserve"> after the entry into force of the </w:t>
      </w:r>
      <w:r w:rsidR="00F56AD6">
        <w:t>applicable</w:t>
      </w:r>
      <w:r w:rsidRPr="0093514B" w:rsidR="00F56AD6">
        <w:t xml:space="preserve"> </w:t>
      </w:r>
      <w:r w:rsidRPr="0093514B">
        <w:t xml:space="preserve">criminal rules, without infringing the provisions of Article 16 § 1 of the Criminal Code. ... In the case of the continuation </w:t>
      </w:r>
      <w:r w:rsidR="00531C75">
        <w:t>of</w:t>
      </w:r>
      <w:r w:rsidRPr="0093514B" w:rsidR="00531C75">
        <w:t xml:space="preserve"> </w:t>
      </w:r>
      <w:r w:rsidRPr="0093514B">
        <w:t xml:space="preserve">an offence which, from a material point of view, is understood as a single act </w:t>
      </w:r>
      <w:r w:rsidR="000A48B6">
        <w:t>[</w:t>
      </w:r>
      <w:r w:rsidRPr="0093514B">
        <w:rPr>
          <w:i/>
        </w:rPr>
        <w:t>skutek</w:t>
      </w:r>
      <w:r w:rsidR="000A48B6">
        <w:t>]</w:t>
      </w:r>
      <w:r w:rsidRPr="0093514B">
        <w:t xml:space="preserve">, the time of its commission is considered to be that of completion of the last </w:t>
      </w:r>
      <w:r w:rsidR="00291FEC">
        <w:t>occurrence of the offence</w:t>
      </w:r>
      <w:r w:rsidRPr="0093514B">
        <w:t xml:space="preserve"> (which forms a unity with the previous ones). It follows that the continuation </w:t>
      </w:r>
      <w:r w:rsidR="00531C75">
        <w:t>of</w:t>
      </w:r>
      <w:r w:rsidRPr="0093514B" w:rsidR="00531C75">
        <w:t xml:space="preserve"> </w:t>
      </w:r>
      <w:r w:rsidRPr="0093514B">
        <w:t xml:space="preserve">the offence is to be examined under the new law, </w:t>
      </w:r>
      <w:r w:rsidR="00DE1991">
        <w:t xml:space="preserve">which may </w:t>
      </w:r>
      <w:r w:rsidRPr="00DE1991">
        <w:t>be stricter</w:t>
      </w:r>
      <w:r w:rsidRPr="0093514B">
        <w:t xml:space="preserve">, as in force at the time when the offence was </w:t>
      </w:r>
      <w:r w:rsidR="00DE1991">
        <w:t>completed</w:t>
      </w:r>
      <w:r w:rsidRPr="0093514B">
        <w:t xml:space="preserve">, even if part of the </w:t>
      </w:r>
      <w:r w:rsidR="007F4FAA">
        <w:t>offence</w:t>
      </w:r>
      <w:r w:rsidRPr="0093514B" w:rsidR="007F4FAA">
        <w:t xml:space="preserve"> </w:t>
      </w:r>
      <w:r w:rsidRPr="0093514B">
        <w:t xml:space="preserve">(irrespective of its extent) falls within the temporal </w:t>
      </w:r>
      <w:r w:rsidR="00531C75">
        <w:t>scope</w:t>
      </w:r>
      <w:r w:rsidRPr="0093514B" w:rsidR="00531C75">
        <w:t xml:space="preserve"> </w:t>
      </w:r>
      <w:r w:rsidRPr="0093514B">
        <w:t xml:space="preserve">of the older criminal provisions which </w:t>
      </w:r>
      <w:r w:rsidR="00531C75">
        <w:t>are</w:t>
      </w:r>
      <w:r w:rsidRPr="0093514B" w:rsidR="00531C75">
        <w:t xml:space="preserve"> </w:t>
      </w:r>
      <w:r w:rsidRPr="0093514B">
        <w:t xml:space="preserve">more </w:t>
      </w:r>
      <w:r w:rsidR="00D23015">
        <w:t>favourable</w:t>
      </w:r>
      <w:r w:rsidRPr="0093514B" w:rsidR="00D23015">
        <w:t xml:space="preserve"> </w:t>
      </w:r>
      <w:r w:rsidRPr="0093514B">
        <w:t>to the offender.</w:t>
      </w:r>
    </w:p>
    <w:p w:rsidRPr="0093514B" w:rsidR="0093514B" w:rsidP="00926AF8" w:rsidRDefault="0093514B" w14:paraId="7D504400" w14:textId="77777777">
      <w:pPr>
        <w:pStyle w:val="ECHRParaQuote"/>
      </w:pPr>
      <w:r w:rsidRPr="0093514B">
        <w:t xml:space="preserve">This conclusion is in line with the existing case-law, according to which </w:t>
      </w:r>
      <w:r w:rsidR="009C1BE0">
        <w:t>continuous</w:t>
      </w:r>
      <w:r w:rsidRPr="0093514B">
        <w:t xml:space="preserve"> offences are considered to </w:t>
      </w:r>
      <w:r w:rsidR="00DE1991">
        <w:t xml:space="preserve">have </w:t>
      </w:r>
      <w:r w:rsidRPr="0093514B">
        <w:t>be</w:t>
      </w:r>
      <w:r w:rsidR="00DE1991">
        <w:t>en</w:t>
      </w:r>
      <w:r w:rsidRPr="0093514B">
        <w:t xml:space="preserve"> committed under a new (later) law provided that at least part of </w:t>
      </w:r>
      <w:r w:rsidR="00355E4C">
        <w:t>the</w:t>
      </w:r>
      <w:r w:rsidRPr="0093514B" w:rsidR="00355E4C">
        <w:t xml:space="preserve"> </w:t>
      </w:r>
      <w:r w:rsidRPr="0093514B">
        <w:t>offence (</w:t>
      </w:r>
      <w:r w:rsidR="00355E4C">
        <w:t>that is to say,</w:t>
      </w:r>
      <w:r w:rsidRPr="0093514B">
        <w:t xml:space="preserve"> </w:t>
      </w:r>
      <w:r w:rsidR="00DE1991">
        <w:t>individual acts</w:t>
      </w:r>
      <w:r w:rsidRPr="0093514B">
        <w:t xml:space="preserve">) was committed after this new law came into force. Such offences are deemed to have been committed </w:t>
      </w:r>
      <w:r w:rsidRPr="0093514B" w:rsidR="00355E4C">
        <w:t xml:space="preserve">in their entirety </w:t>
      </w:r>
      <w:r w:rsidRPr="0093514B">
        <w:t xml:space="preserve">under the new, later law ... provided that the conduct in question was </w:t>
      </w:r>
      <w:r w:rsidR="00355E4C">
        <w:t xml:space="preserve">also </w:t>
      </w:r>
      <w:r w:rsidRPr="0093514B">
        <w:t>punishable under the previous law.”</w:t>
      </w:r>
    </w:p>
    <w:bookmarkStart w:name="para26" w:id="19"/>
    <w:p w:rsidRPr="0093514B" w:rsidR="0093514B" w:rsidP="00926AF8" w:rsidRDefault="0093514B" w14:paraId="0B4DC271" w14:textId="08FBB5CF">
      <w:pPr>
        <w:pStyle w:val="ECHRPara"/>
      </w:pPr>
      <w:r w:rsidRPr="0093514B">
        <w:fldChar w:fldCharType="begin"/>
      </w:r>
      <w:r w:rsidRPr="0093514B">
        <w:instrText xml:space="preserve"> SEQ level0 \*arabic </w:instrText>
      </w:r>
      <w:r w:rsidRPr="0093514B">
        <w:fldChar w:fldCharType="separate"/>
      </w:r>
      <w:r w:rsidR="002D5843">
        <w:rPr>
          <w:noProof/>
        </w:rPr>
        <w:t>27</w:t>
      </w:r>
      <w:r w:rsidRPr="0093514B">
        <w:rPr>
          <w:lang w:val="en-GB"/>
        </w:rPr>
        <w:fldChar w:fldCharType="end"/>
      </w:r>
      <w:bookmarkEnd w:id="19"/>
      <w:r w:rsidRPr="0093514B">
        <w:t xml:space="preserve">.  With regard to the application of Article 89 § 3 of the Criminal Code </w:t>
      </w:r>
      <w:r w:rsidR="005B5432">
        <w:t>specifically to</w:t>
      </w:r>
      <w:r w:rsidRPr="0093514B">
        <w:t xml:space="preserve"> conduct covered by Articles 197a, 215a and 221 of the Criminal Code or </w:t>
      </w:r>
      <w:r w:rsidRPr="00DE1991">
        <w:t>comparable</w:t>
      </w:r>
      <w:r w:rsidR="00DE1991">
        <w:t xml:space="preserve"> conduct</w:t>
      </w:r>
      <w:r w:rsidRPr="0093514B">
        <w:t xml:space="preserve">, the Government also referred to Supreme Court decisions nos. 3 Tdo </w:t>
      </w:r>
      <w:r w:rsidR="00B36A69">
        <w:t>1431/2006 of 10 January 2007, 6 </w:t>
      </w:r>
      <w:r w:rsidRPr="0093514B">
        <w:t xml:space="preserve">Tdo 548/2008 of 28 May 2008 and 7 Tdo 415/2013 of 21 May 2013. They pointed out </w:t>
      </w:r>
      <w:r w:rsidR="00B86C60">
        <w:t xml:space="preserve">in particular </w:t>
      </w:r>
      <w:r w:rsidRPr="0093514B">
        <w:t>that in th</w:t>
      </w:r>
      <w:r w:rsidR="00B86C60">
        <w:t>o</w:t>
      </w:r>
      <w:r w:rsidRPr="0093514B">
        <w:t xml:space="preserve">se decisions the Supreme Court had confirmed that the </w:t>
      </w:r>
      <w:r w:rsidR="00B86C60">
        <w:t xml:space="preserve">notion of a </w:t>
      </w:r>
      <w:r w:rsidRPr="0093514B">
        <w:t xml:space="preserve">close temporal connection had not been defined precisely and that each particular case therefore required a comprehensive assessment of all its circumstances and </w:t>
      </w:r>
      <w:r w:rsidR="00D23015">
        <w:t xml:space="preserve">of </w:t>
      </w:r>
      <w:r w:rsidR="00B86C60">
        <w:t xml:space="preserve">the </w:t>
      </w:r>
      <w:r w:rsidRPr="0093514B">
        <w:t>relevant formal criteria set out in Article 89 § 3. Moreover, the constitu</w:t>
      </w:r>
      <w:r w:rsidR="00D23015">
        <w:t>ent</w:t>
      </w:r>
      <w:r w:rsidRPr="0093514B">
        <w:t xml:space="preserve"> elements of a crime could be </w:t>
      </w:r>
      <w:r w:rsidR="00B86C60">
        <w:t>made out</w:t>
      </w:r>
      <w:r w:rsidRPr="0093514B" w:rsidR="00B86C60">
        <w:t xml:space="preserve"> </w:t>
      </w:r>
      <w:r w:rsidRPr="0093514B">
        <w:t xml:space="preserve">in various ways; </w:t>
      </w:r>
      <w:r w:rsidR="00B86C60">
        <w:t xml:space="preserve">hence, </w:t>
      </w:r>
      <w:r w:rsidRPr="0093514B">
        <w:t>the manner of execution of an offence did not always have to be identical as long as the a</w:t>
      </w:r>
      <w:r w:rsidR="00696BED">
        <w:t>ct</w:t>
      </w:r>
      <w:r w:rsidRPr="0093514B">
        <w:t xml:space="preserve"> </w:t>
      </w:r>
      <w:r w:rsidR="00531C0E">
        <w:t>was directed against</w:t>
      </w:r>
      <w:r w:rsidRPr="0093514B">
        <w:t xml:space="preserve"> the same protected interest.</w:t>
      </w:r>
    </w:p>
    <w:p w:rsidRPr="0093514B" w:rsidR="0093514B" w:rsidP="00926AF8" w:rsidRDefault="0093514B" w14:paraId="41292811" w14:textId="77777777">
      <w:pPr>
        <w:pStyle w:val="ECHRHeading1"/>
        <w:rPr>
          <w:lang w:val="en-GB"/>
        </w:rPr>
      </w:pPr>
      <w:r w:rsidRPr="0093514B">
        <w:rPr>
          <w:lang w:val="en-GB"/>
        </w:rPr>
        <w:t>III.  RELEVANT COMPARATIVE AND INTERNATIONAL LAW</w:t>
      </w:r>
    </w:p>
    <w:p w:rsidRPr="0093514B" w:rsidR="0093514B" w:rsidP="00926AF8" w:rsidRDefault="00262674" w14:paraId="62F2E4CC" w14:textId="77777777">
      <w:pPr>
        <w:pStyle w:val="ECHRHeading2"/>
      </w:pPr>
      <w:r>
        <w:t>A.  </w:t>
      </w:r>
      <w:r w:rsidRPr="0093514B" w:rsidR="0093514B">
        <w:t>Terminology</w:t>
      </w:r>
    </w:p>
    <w:bookmarkStart w:name="par26" w:id="20"/>
    <w:p w:rsidRPr="0093514B" w:rsidR="0093514B" w:rsidP="00926AF8" w:rsidRDefault="0093514B" w14:paraId="1B405109" w14:textId="77777777">
      <w:pPr>
        <w:pStyle w:val="ECHRPara"/>
      </w:pPr>
      <w:r w:rsidRPr="0093514B">
        <w:fldChar w:fldCharType="begin"/>
      </w:r>
      <w:r w:rsidRPr="0093514B">
        <w:instrText xml:space="preserve"> SEQ level0 \*arabic </w:instrText>
      </w:r>
      <w:r w:rsidRPr="0093514B">
        <w:fldChar w:fldCharType="separate"/>
      </w:r>
      <w:r w:rsidR="002D5843">
        <w:rPr>
          <w:noProof/>
        </w:rPr>
        <w:t>28</w:t>
      </w:r>
      <w:r w:rsidRPr="0093514B">
        <w:fldChar w:fldCharType="end"/>
      </w:r>
      <w:bookmarkEnd w:id="20"/>
      <w:r w:rsidRPr="0093514B">
        <w:t>.  It transpires from the legal systems of the Contracting States that there is a need to distinguish between two situations, the second of which is in issue in the present case:</w:t>
      </w:r>
    </w:p>
    <w:p w:rsidRPr="0093514B" w:rsidR="0093514B" w:rsidP="00926AF8" w:rsidRDefault="0093514B" w14:paraId="0D718177" w14:textId="73ABE142">
      <w:pPr>
        <w:pStyle w:val="ECHRPara"/>
        <w:rPr>
          <w:lang w:val="en-GB"/>
        </w:rPr>
      </w:pPr>
      <w:r w:rsidRPr="0093514B">
        <w:t>(a)</w:t>
      </w:r>
      <w:r w:rsidR="004C6B38">
        <w:t>  </w:t>
      </w:r>
      <w:r w:rsidRPr="0093514B">
        <w:t xml:space="preserve">a </w:t>
      </w:r>
      <w:r w:rsidR="00E1087E">
        <w:t>“</w:t>
      </w:r>
      <w:r w:rsidRPr="0093514B">
        <w:t>continuing</w:t>
      </w:r>
      <w:r w:rsidR="00E1087E">
        <w:t>”</w:t>
      </w:r>
      <w:r w:rsidRPr="0093514B">
        <w:t xml:space="preserve"> criminal offence (</w:t>
      </w:r>
      <w:r w:rsidRPr="00A757DC" w:rsidR="00A757DC">
        <w:rPr>
          <w:i/>
        </w:rPr>
        <w:t>trvající trestný čin</w:t>
      </w:r>
      <w:r w:rsidR="00A757DC">
        <w:rPr>
          <w:i/>
        </w:rPr>
        <w:t>,</w:t>
      </w:r>
      <w:r w:rsidRPr="00A757DC" w:rsidR="00A757DC">
        <w:rPr>
          <w:i/>
        </w:rPr>
        <w:t xml:space="preserve"> </w:t>
      </w:r>
      <w:r w:rsidRPr="0093514B">
        <w:rPr>
          <w:i/>
        </w:rPr>
        <w:t>Dauerdelikt, infraction continue, reato permanente</w:t>
      </w:r>
      <w:r w:rsidRPr="0093514B">
        <w:t>)</w:t>
      </w:r>
      <w:r w:rsidR="00E1087E">
        <w:t>,</w:t>
      </w:r>
      <w:r w:rsidRPr="0093514B">
        <w:t xml:space="preserve"> defined as an act (or omission) which has to last over a certain period of time </w:t>
      </w:r>
      <w:r w:rsidR="00B86C60">
        <w:t>–</w:t>
      </w:r>
      <w:r w:rsidRPr="0093514B" w:rsidR="00B86C60">
        <w:t xml:space="preserve"> </w:t>
      </w:r>
      <w:r w:rsidRPr="0093514B">
        <w:t xml:space="preserve">such as </w:t>
      </w:r>
      <w:r w:rsidRPr="0093514B">
        <w:rPr>
          <w:lang w:val="en-GB"/>
        </w:rPr>
        <w:t>the act of assisting and giving shelter to members of an illegal organisation</w:t>
      </w:r>
      <w:r w:rsidR="00A06427">
        <w:rPr>
          <w:lang w:val="en-GB"/>
        </w:rPr>
        <w:t>,</w:t>
      </w:r>
      <w:r w:rsidRPr="0093514B">
        <w:rPr>
          <w:lang w:val="en-GB"/>
        </w:rPr>
        <w:t xml:space="preserve"> dealt with by the Court in </w:t>
      </w:r>
      <w:r w:rsidRPr="0093514B">
        <w:rPr>
          <w:i/>
          <w:lang w:val="en-GB"/>
        </w:rPr>
        <w:t>Ecer and Zeyrek v. Turkey</w:t>
      </w:r>
      <w:r w:rsidRPr="0093514B">
        <w:rPr>
          <w:lang w:val="en-GB"/>
        </w:rPr>
        <w:t xml:space="preserve"> (nos. 29295/95 and 29363/95, ECHR 2001</w:t>
      </w:r>
      <w:r w:rsidRPr="0093514B">
        <w:rPr>
          <w:lang w:val="en-GB"/>
        </w:rPr>
        <w:noBreakHyphen/>
        <w:t>II); and</w:t>
      </w:r>
    </w:p>
    <w:p w:rsidRPr="00EA3D05" w:rsidR="0093514B" w:rsidP="00926AF8" w:rsidRDefault="0093514B" w14:paraId="568078BD" w14:textId="5B8BCEDA">
      <w:pPr>
        <w:pStyle w:val="ECHRPara"/>
      </w:pPr>
      <w:r w:rsidRPr="0093514B">
        <w:rPr>
          <w:lang w:val="en-GB"/>
        </w:rPr>
        <w:t>(b)</w:t>
      </w:r>
      <w:r w:rsidR="004C6B38">
        <w:rPr>
          <w:lang w:val="en-GB"/>
        </w:rPr>
        <w:t>  </w:t>
      </w:r>
      <w:r w:rsidRPr="0093514B">
        <w:rPr>
          <w:lang w:val="en-GB"/>
        </w:rPr>
        <w:t xml:space="preserve">a </w:t>
      </w:r>
      <w:r w:rsidR="00A06427">
        <w:rPr>
          <w:lang w:val="en-GB"/>
        </w:rPr>
        <w:t>“</w:t>
      </w:r>
      <w:r w:rsidR="009C1BE0">
        <w:rPr>
          <w:lang w:val="en-GB"/>
        </w:rPr>
        <w:t>continuous</w:t>
      </w:r>
      <w:r w:rsidR="00A06427">
        <w:rPr>
          <w:lang w:val="en-GB"/>
        </w:rPr>
        <w:t>”</w:t>
      </w:r>
      <w:r w:rsidRPr="0093514B">
        <w:rPr>
          <w:lang w:val="en-GB"/>
        </w:rPr>
        <w:t xml:space="preserve"> criminal offence (</w:t>
      </w:r>
      <w:r w:rsidRPr="00A757DC" w:rsidR="00A757DC">
        <w:rPr>
          <w:i/>
          <w:lang w:val="en-GB"/>
        </w:rPr>
        <w:t xml:space="preserve">pokračující trestný </w:t>
      </w:r>
      <w:r w:rsidRPr="00A757DC" w:rsidR="00A757DC">
        <w:rPr>
          <w:i/>
        </w:rPr>
        <w:t>čin</w:t>
      </w:r>
      <w:r w:rsidR="00A757DC">
        <w:rPr>
          <w:i/>
        </w:rPr>
        <w:t>,</w:t>
      </w:r>
      <w:r w:rsidRPr="00A757DC" w:rsidR="00A757DC">
        <w:rPr>
          <w:i/>
          <w:lang w:val="en-GB"/>
        </w:rPr>
        <w:t xml:space="preserve"> </w:t>
      </w:r>
      <w:r w:rsidR="00E1087E">
        <w:rPr>
          <w:i/>
          <w:lang w:val="en-GB"/>
        </w:rPr>
        <w:t>f</w:t>
      </w:r>
      <w:r w:rsidRPr="0093514B">
        <w:rPr>
          <w:i/>
          <w:lang w:val="en-GB"/>
        </w:rPr>
        <w:t>ortgesetzte Handlung, infraction continuée, reato continua</w:t>
      </w:r>
      <w:r w:rsidRPr="002B285A">
        <w:rPr>
          <w:rStyle w:val="JuParaCar"/>
          <w:i/>
        </w:rPr>
        <w:t>t</w:t>
      </w:r>
      <w:r w:rsidRPr="0093514B">
        <w:rPr>
          <w:i/>
          <w:lang w:val="en-GB"/>
        </w:rPr>
        <w:t>o</w:t>
      </w:r>
      <w:r w:rsidRPr="0093514B">
        <w:rPr>
          <w:lang w:val="en-GB"/>
        </w:rPr>
        <w:t>)</w:t>
      </w:r>
      <w:r w:rsidR="00E1087E">
        <w:rPr>
          <w:lang w:val="en-GB"/>
        </w:rPr>
        <w:t>,</w:t>
      </w:r>
      <w:r w:rsidRPr="0093514B">
        <w:rPr>
          <w:lang w:val="en-GB"/>
        </w:rPr>
        <w:t xml:space="preserve"> defined as an offence consisting of several acts all of which contain the elements of the same (or similar) offence comm</w:t>
      </w:r>
      <w:r w:rsidRPr="00926AF8">
        <w:rPr>
          <w:rStyle w:val="JuParaCar"/>
        </w:rPr>
        <w:t xml:space="preserve">itted </w:t>
      </w:r>
      <w:r w:rsidRPr="00926AF8" w:rsidR="00B86C60">
        <w:rPr>
          <w:rStyle w:val="JuParaCar"/>
        </w:rPr>
        <w:t xml:space="preserve">over </w:t>
      </w:r>
      <w:r w:rsidRPr="00926AF8">
        <w:rPr>
          <w:rStyle w:val="JuParaCar"/>
        </w:rPr>
        <w:t xml:space="preserve">a certain period of time – such as </w:t>
      </w:r>
      <w:r w:rsidRPr="00926AF8" w:rsidR="00B86C60">
        <w:rPr>
          <w:rStyle w:val="JuParaCar"/>
        </w:rPr>
        <w:t xml:space="preserve">the </w:t>
      </w:r>
      <w:r w:rsidRPr="00926AF8">
        <w:rPr>
          <w:rStyle w:val="JuParaCar"/>
        </w:rPr>
        <w:t xml:space="preserve">intentional, </w:t>
      </w:r>
      <w:r w:rsidRPr="00926AF8" w:rsidR="00B86C60">
        <w:rPr>
          <w:rStyle w:val="JuParaCar"/>
        </w:rPr>
        <w:t>continuous</w:t>
      </w:r>
      <w:r w:rsidRPr="0093514B" w:rsidR="00B86C60">
        <w:rPr>
          <w:lang w:val="en-GB"/>
        </w:rPr>
        <w:t xml:space="preserve"> </w:t>
      </w:r>
      <w:r w:rsidRPr="0093514B">
        <w:rPr>
          <w:lang w:val="en-GB"/>
        </w:rPr>
        <w:t>and large-scale concealment of taxable amounts that was in issue in</w:t>
      </w:r>
      <w:r w:rsidRPr="0093514B">
        <w:t xml:space="preserve"> </w:t>
      </w:r>
      <w:r w:rsidRPr="00EA3D05">
        <w:rPr>
          <w:i/>
        </w:rPr>
        <w:t>Veeber v. Estonia (no. 2)</w:t>
      </w:r>
      <w:r w:rsidRPr="00EA3D05">
        <w:t xml:space="preserve"> (no. 45771/99, ECHR 2003</w:t>
      </w:r>
      <w:r w:rsidRPr="00EA3D05">
        <w:noBreakHyphen/>
        <w:t>I).</w:t>
      </w:r>
    </w:p>
    <w:p w:rsidRPr="002465C6" w:rsidR="0093514B" w:rsidP="00926AF8" w:rsidRDefault="0093514B" w14:paraId="19A4C194" w14:textId="77777777">
      <w:pPr>
        <w:pStyle w:val="ECHRPara"/>
        <w:rPr>
          <w:lang w:val="en-GB"/>
        </w:rPr>
      </w:pPr>
      <w:r w:rsidRPr="002465C6">
        <w:rPr>
          <w:lang w:val="en-GB"/>
        </w:rPr>
        <w:fldChar w:fldCharType="begin"/>
      </w:r>
      <w:r w:rsidRPr="002465C6">
        <w:rPr>
          <w:lang w:val="en-GB"/>
        </w:rPr>
        <w:instrText xml:space="preserve"> SEQ level0 \*arabic </w:instrText>
      </w:r>
      <w:r w:rsidRPr="002465C6">
        <w:rPr>
          <w:lang w:val="en-GB"/>
        </w:rPr>
        <w:fldChar w:fldCharType="separate"/>
      </w:r>
      <w:r w:rsidR="002D5843">
        <w:rPr>
          <w:noProof/>
          <w:lang w:val="en-GB"/>
        </w:rPr>
        <w:t>29</w:t>
      </w:r>
      <w:r w:rsidRPr="002465C6">
        <w:rPr>
          <w:lang w:val="en-GB"/>
        </w:rPr>
        <w:fldChar w:fldCharType="end"/>
      </w:r>
      <w:r w:rsidRPr="002465C6">
        <w:rPr>
          <w:lang w:val="en-GB"/>
        </w:rPr>
        <w:t xml:space="preserve">.  Moreover, several types of sentence exist in the Contracting States </w:t>
      </w:r>
      <w:r w:rsidR="00696BED">
        <w:rPr>
          <w:lang w:val="en-GB"/>
        </w:rPr>
        <w:t>when more than one offence is committed</w:t>
      </w:r>
      <w:r w:rsidRPr="002465C6">
        <w:rPr>
          <w:lang w:val="en-GB"/>
        </w:rPr>
        <w:t>:</w:t>
      </w:r>
    </w:p>
    <w:p w:rsidRPr="002465C6" w:rsidR="0093514B" w:rsidP="00926AF8" w:rsidRDefault="0096517F" w14:paraId="60A31937" w14:textId="3452F029">
      <w:pPr>
        <w:pStyle w:val="ECHRPara"/>
        <w:rPr>
          <w:lang w:val="en-GB"/>
        </w:rPr>
      </w:pPr>
      <w:r>
        <w:rPr>
          <w:lang w:val="en-GB"/>
        </w:rPr>
        <w:t>(a)  </w:t>
      </w:r>
      <w:r w:rsidRPr="002465C6" w:rsidR="0093514B">
        <w:rPr>
          <w:lang w:val="en-GB"/>
        </w:rPr>
        <w:t>a consecutive or cumulative sentence (</w:t>
      </w:r>
      <w:r w:rsidRPr="002465C6" w:rsidR="0093514B">
        <w:rPr>
          <w:i/>
          <w:lang w:val="en-GB"/>
        </w:rPr>
        <w:t>peine cumulée ou</w:t>
      </w:r>
      <w:r w:rsidRPr="002465C6" w:rsidR="0093514B">
        <w:rPr>
          <w:lang w:val="en-GB"/>
        </w:rPr>
        <w:t xml:space="preserve"> </w:t>
      </w:r>
      <w:r w:rsidRPr="002465C6" w:rsidR="0093514B">
        <w:rPr>
          <w:i/>
          <w:lang w:val="en-GB"/>
        </w:rPr>
        <w:t>peines consécutives</w:t>
      </w:r>
      <w:r w:rsidRPr="002465C6" w:rsidR="0093514B">
        <w:rPr>
          <w:lang w:val="en-GB"/>
        </w:rPr>
        <w:t>)</w:t>
      </w:r>
      <w:r w:rsidR="000A48B6">
        <w:rPr>
          <w:lang w:val="en-GB"/>
        </w:rPr>
        <w:t>,</w:t>
      </w:r>
      <w:r w:rsidRPr="002465C6" w:rsidR="0093514B">
        <w:rPr>
          <w:lang w:val="en-GB"/>
        </w:rPr>
        <w:t xml:space="preserve"> where a </w:t>
      </w:r>
      <w:r w:rsidRPr="002465C6" w:rsidR="00981CBF">
        <w:rPr>
          <w:lang w:val="en-GB"/>
        </w:rPr>
        <w:t xml:space="preserve">separate </w:t>
      </w:r>
      <w:r w:rsidRPr="002465C6" w:rsidR="0093514B">
        <w:rPr>
          <w:lang w:val="en-GB"/>
        </w:rPr>
        <w:t>sentence is imposed in respect of each offence committed and all of these sentences are added up or served one after the other;</w:t>
      </w:r>
    </w:p>
    <w:p w:rsidRPr="002465C6" w:rsidR="0093514B" w:rsidP="00926AF8" w:rsidRDefault="0093514B" w14:paraId="6C0B33A3" w14:textId="6CD41FE5">
      <w:pPr>
        <w:pStyle w:val="ECHRPara"/>
        <w:rPr>
          <w:lang w:val="en-GB"/>
        </w:rPr>
      </w:pPr>
      <w:r w:rsidRPr="002465C6">
        <w:rPr>
          <w:lang w:val="en-GB"/>
        </w:rPr>
        <w:t>(b)</w:t>
      </w:r>
      <w:r w:rsidR="0096517F">
        <w:rPr>
          <w:lang w:val="en-GB"/>
        </w:rPr>
        <w:t>  </w:t>
      </w:r>
      <w:r w:rsidRPr="002465C6">
        <w:rPr>
          <w:lang w:val="en-GB"/>
        </w:rPr>
        <w:t>a concurrent sentence (</w:t>
      </w:r>
      <w:r w:rsidRPr="002F5E31" w:rsidR="002F5E31">
        <w:rPr>
          <w:i/>
          <w:lang w:val="en-GB"/>
        </w:rPr>
        <w:t>úhrnný trest</w:t>
      </w:r>
      <w:r w:rsidR="002F5E31">
        <w:rPr>
          <w:i/>
          <w:lang w:val="en-GB"/>
        </w:rPr>
        <w:t>,</w:t>
      </w:r>
      <w:r w:rsidRPr="002F5E31" w:rsidR="002F5E31">
        <w:rPr>
          <w:i/>
          <w:lang w:val="en-GB"/>
        </w:rPr>
        <w:t xml:space="preserve"> </w:t>
      </w:r>
      <w:r w:rsidRPr="002465C6">
        <w:rPr>
          <w:i/>
          <w:lang w:val="en-GB"/>
        </w:rPr>
        <w:t>peine confondue ou peines simultanées</w:t>
      </w:r>
      <w:r w:rsidRPr="002465C6">
        <w:rPr>
          <w:lang w:val="en-GB"/>
        </w:rPr>
        <w:t>)</w:t>
      </w:r>
      <w:r w:rsidR="000A48B6">
        <w:rPr>
          <w:lang w:val="en-GB"/>
        </w:rPr>
        <w:t>,</w:t>
      </w:r>
      <w:r w:rsidRPr="002465C6">
        <w:rPr>
          <w:lang w:val="en-GB"/>
        </w:rPr>
        <w:t xml:space="preserve"> where the offender is given the heaviest penalty </w:t>
      </w:r>
      <w:r w:rsidRPr="002465C6" w:rsidR="00B86C60">
        <w:rPr>
          <w:lang w:val="en-GB"/>
        </w:rPr>
        <w:t>in accordance with</w:t>
      </w:r>
      <w:r w:rsidRPr="002465C6">
        <w:rPr>
          <w:lang w:val="en-GB"/>
        </w:rPr>
        <w:t xml:space="preserve"> the legal provision concerning the most serious of the offences, or where he</w:t>
      </w:r>
      <w:r w:rsidRPr="002465C6" w:rsidR="00B86C60">
        <w:rPr>
          <w:lang w:val="en-GB"/>
        </w:rPr>
        <w:t xml:space="preserve"> or she</w:t>
      </w:r>
      <w:r w:rsidRPr="002465C6">
        <w:rPr>
          <w:lang w:val="en-GB"/>
        </w:rPr>
        <w:t xml:space="preserve"> is given several sentences which are to be served simultaneously;</w:t>
      </w:r>
    </w:p>
    <w:p w:rsidRPr="002465C6" w:rsidR="0093514B" w:rsidP="00926AF8" w:rsidRDefault="0096517F" w14:paraId="04C8DA32" w14:textId="20D88D94">
      <w:pPr>
        <w:pStyle w:val="ECHRPara"/>
        <w:rPr>
          <w:lang w:val="en-GB"/>
        </w:rPr>
      </w:pPr>
      <w:r>
        <w:rPr>
          <w:lang w:val="en-GB"/>
        </w:rPr>
        <w:t>(c)  </w:t>
      </w:r>
      <w:r w:rsidRPr="002465C6" w:rsidR="0093514B">
        <w:rPr>
          <w:lang w:val="en-GB"/>
        </w:rPr>
        <w:t>an aggregate, consolidated or overall sentence (</w:t>
      </w:r>
      <w:r w:rsidRPr="002F5E31" w:rsidR="002F5E31">
        <w:rPr>
          <w:i/>
          <w:lang w:val="en-GB"/>
        </w:rPr>
        <w:t>souhrnný trest</w:t>
      </w:r>
      <w:r w:rsidR="002F5E31">
        <w:rPr>
          <w:i/>
          <w:lang w:val="en-GB"/>
        </w:rPr>
        <w:t>,</w:t>
      </w:r>
      <w:r w:rsidRPr="002F5E31" w:rsidR="002F5E31">
        <w:rPr>
          <w:i/>
          <w:lang w:val="en-GB"/>
        </w:rPr>
        <w:t xml:space="preserve"> </w:t>
      </w:r>
      <w:r w:rsidRPr="002465C6" w:rsidR="0093514B">
        <w:rPr>
          <w:i/>
          <w:lang w:val="en-GB"/>
        </w:rPr>
        <w:t>peine globale ou peine d</w:t>
      </w:r>
      <w:r w:rsidR="001D00E3">
        <w:rPr>
          <w:i/>
          <w:lang w:val="en-GB"/>
        </w:rPr>
        <w:t>’</w:t>
      </w:r>
      <w:r w:rsidRPr="002465C6" w:rsidR="0093514B">
        <w:rPr>
          <w:i/>
          <w:lang w:val="en-GB"/>
        </w:rPr>
        <w:t>ensemble</w:t>
      </w:r>
      <w:r w:rsidRPr="002B285A" w:rsidR="0093514B">
        <w:rPr>
          <w:lang w:val="en-GB"/>
        </w:rPr>
        <w:t>)</w:t>
      </w:r>
      <w:r w:rsidR="000A48B6">
        <w:rPr>
          <w:lang w:val="en-GB"/>
        </w:rPr>
        <w:t>,</w:t>
      </w:r>
      <w:r w:rsidRPr="002B285A" w:rsidR="0093514B">
        <w:rPr>
          <w:lang w:val="en-GB"/>
        </w:rPr>
        <w:t xml:space="preserve"> </w:t>
      </w:r>
      <w:r w:rsidRPr="002465C6" w:rsidR="0093514B">
        <w:rPr>
          <w:lang w:val="en-GB"/>
        </w:rPr>
        <w:t>which is calculated according to different methods depend</w:t>
      </w:r>
      <w:r w:rsidRPr="002465C6" w:rsidR="00B86C60">
        <w:rPr>
          <w:lang w:val="en-GB"/>
        </w:rPr>
        <w:t>ing</w:t>
      </w:r>
      <w:r w:rsidRPr="002465C6" w:rsidR="0093514B">
        <w:rPr>
          <w:lang w:val="en-GB"/>
        </w:rPr>
        <w:t xml:space="preserve"> on whether the sentence is imposed for offences committed simultaneously or consecutively or whether it encompasses other penalties </w:t>
      </w:r>
      <w:r w:rsidRPr="002465C6" w:rsidR="00B86C60">
        <w:rPr>
          <w:lang w:val="en-GB"/>
        </w:rPr>
        <w:t xml:space="preserve">imposed </w:t>
      </w:r>
      <w:r w:rsidRPr="002465C6" w:rsidR="0093514B">
        <w:rPr>
          <w:lang w:val="en-GB"/>
        </w:rPr>
        <w:t>previously; it fluctuates between the sum of all the individual penalties and the heaviest one.</w:t>
      </w:r>
    </w:p>
    <w:p w:rsidRPr="002465C6" w:rsidR="0093514B" w:rsidP="00926AF8" w:rsidRDefault="00262674" w14:paraId="28676BE2" w14:textId="77777777">
      <w:pPr>
        <w:pStyle w:val="ECHRHeading2"/>
        <w:rPr>
          <w:lang w:val="en-GB"/>
        </w:rPr>
      </w:pPr>
      <w:r>
        <w:rPr>
          <w:lang w:val="en-GB"/>
        </w:rPr>
        <w:t>B.  </w:t>
      </w:r>
      <w:r w:rsidRPr="002465C6" w:rsidR="0093514B">
        <w:rPr>
          <w:lang w:val="en-GB"/>
        </w:rPr>
        <w:t>Comparative law</w:t>
      </w:r>
    </w:p>
    <w:bookmarkStart w:name="par28" w:id="21"/>
    <w:p w:rsidRPr="0093514B" w:rsidR="0093514B" w:rsidP="00926AF8" w:rsidRDefault="0093514B" w14:paraId="22A28E07" w14:textId="0AF8C2DA">
      <w:pPr>
        <w:pStyle w:val="ECHRPara"/>
      </w:pPr>
      <w:r w:rsidRPr="0093514B">
        <w:fldChar w:fldCharType="begin"/>
      </w:r>
      <w:r w:rsidRPr="0093514B">
        <w:instrText xml:space="preserve"> SEQ level0 \*arabic </w:instrText>
      </w:r>
      <w:r w:rsidRPr="0093514B">
        <w:fldChar w:fldCharType="separate"/>
      </w:r>
      <w:r w:rsidR="002D5843">
        <w:rPr>
          <w:noProof/>
        </w:rPr>
        <w:t>30</w:t>
      </w:r>
      <w:r w:rsidRPr="0093514B">
        <w:fldChar w:fldCharType="end"/>
      </w:r>
      <w:bookmarkEnd w:id="21"/>
      <w:r w:rsidRPr="0093514B">
        <w:t xml:space="preserve">.  The notion of a </w:t>
      </w:r>
      <w:r w:rsidR="009C1BE0">
        <w:t>continuous</w:t>
      </w:r>
      <w:r w:rsidRPr="0093514B">
        <w:t xml:space="preserve"> criminal offence </w:t>
      </w:r>
      <w:r w:rsidR="008063C6">
        <w:t xml:space="preserve">as understood in the present case </w:t>
      </w:r>
      <w:r w:rsidRPr="0093514B">
        <w:t xml:space="preserve">was introduced into European law in the Middle Ages with a view to softening the hard sentencing rule </w:t>
      </w:r>
      <w:r w:rsidRPr="0093514B">
        <w:rPr>
          <w:i/>
        </w:rPr>
        <w:t>quod criminae tot poenae</w:t>
      </w:r>
      <w:r w:rsidRPr="0093514B">
        <w:t xml:space="preserve"> (in other words, material accumulation of all penalties) </w:t>
      </w:r>
      <w:r w:rsidR="004D0005">
        <w:t>under</w:t>
      </w:r>
      <w:r w:rsidRPr="0093514B" w:rsidR="004D0005">
        <w:t xml:space="preserve"> </w:t>
      </w:r>
      <w:r w:rsidRPr="0093514B">
        <w:t xml:space="preserve">Roman law. Two different approaches </w:t>
      </w:r>
      <w:r w:rsidR="00805DAF">
        <w:t>were</w:t>
      </w:r>
      <w:r w:rsidRPr="0093514B">
        <w:t xml:space="preserve"> developed by scholars and legislat</w:t>
      </w:r>
      <w:r w:rsidR="00A2736A">
        <w:t>ures</w:t>
      </w:r>
      <w:r w:rsidR="006E22A5">
        <w:t>, based on a</w:t>
      </w:r>
      <w:r w:rsidRPr="0093514B">
        <w:t xml:space="preserve"> subjective and </w:t>
      </w:r>
      <w:r w:rsidR="00805DAF">
        <w:t xml:space="preserve">an </w:t>
      </w:r>
      <w:r w:rsidRPr="0093514B">
        <w:t xml:space="preserve">objective </w:t>
      </w:r>
      <w:r w:rsidR="00805DAF">
        <w:t>view</w:t>
      </w:r>
      <w:r w:rsidRPr="0093514B" w:rsidR="00805DAF">
        <w:t xml:space="preserve"> </w:t>
      </w:r>
      <w:r w:rsidRPr="0093514B">
        <w:t xml:space="preserve">of </w:t>
      </w:r>
      <w:r w:rsidR="00805DAF">
        <w:t xml:space="preserve">the notion of </w:t>
      </w:r>
      <w:r w:rsidRPr="0093514B">
        <w:t xml:space="preserve">a </w:t>
      </w:r>
      <w:r w:rsidR="009C1BE0">
        <w:t>continuous</w:t>
      </w:r>
      <w:r w:rsidR="00E357A0">
        <w:t xml:space="preserve"> </w:t>
      </w:r>
      <w:r w:rsidRPr="0093514B">
        <w:t xml:space="preserve">criminal offence. According to the subjective </w:t>
      </w:r>
      <w:r w:rsidR="00805DAF">
        <w:t>view</w:t>
      </w:r>
      <w:r w:rsidRPr="0093514B">
        <w:t>, which existed</w:t>
      </w:r>
      <w:r w:rsidR="00B86C60">
        <w:t>, for instance,</w:t>
      </w:r>
      <w:r w:rsidRPr="0093514B">
        <w:t xml:space="preserve"> in Italy (see, for example, Article 81 of the 1930 Italian </w:t>
      </w:r>
      <w:r w:rsidR="00577204">
        <w:t>Criminal</w:t>
      </w:r>
      <w:r w:rsidRPr="0093514B">
        <w:t xml:space="preserve"> Code), </w:t>
      </w:r>
      <w:r w:rsidRPr="00B86C60">
        <w:t>a</w:t>
      </w:r>
      <w:r w:rsidRPr="0093514B">
        <w:t xml:space="preserve"> </w:t>
      </w:r>
      <w:r w:rsidR="009C1BE0">
        <w:t>continuous</w:t>
      </w:r>
      <w:r w:rsidRPr="0093514B">
        <w:t xml:space="preserve"> criminal offence was a group of acts united by a </w:t>
      </w:r>
      <w:r w:rsidR="00A2736A">
        <w:t>single</w:t>
      </w:r>
      <w:r w:rsidRPr="0093514B" w:rsidR="00A2736A">
        <w:t xml:space="preserve"> </w:t>
      </w:r>
      <w:r w:rsidRPr="0093514B">
        <w:t xml:space="preserve">intention, by one single criminal plan. </w:t>
      </w:r>
      <w:r w:rsidR="00A2736A">
        <w:t>According</w:t>
      </w:r>
      <w:r w:rsidRPr="0093514B" w:rsidR="00A2736A">
        <w:t xml:space="preserve"> </w:t>
      </w:r>
      <w:r w:rsidRPr="0093514B">
        <w:t xml:space="preserve">to the objective </w:t>
      </w:r>
      <w:r w:rsidR="00805DAF">
        <w:t>view</w:t>
      </w:r>
      <w:r w:rsidRPr="0093514B">
        <w:t xml:space="preserve">, developed mainly in Germany (see, for example, Article 110 of the 1813 Bavarian </w:t>
      </w:r>
      <w:r w:rsidR="00577204">
        <w:t>Criminal</w:t>
      </w:r>
      <w:r w:rsidRPr="0093514B">
        <w:t xml:space="preserve"> Code), </w:t>
      </w:r>
      <w:r w:rsidR="00E357A0">
        <w:t>a</w:t>
      </w:r>
      <w:r w:rsidRPr="0093514B" w:rsidR="00E357A0">
        <w:t xml:space="preserve"> </w:t>
      </w:r>
      <w:r w:rsidR="009C1BE0">
        <w:t>continuous</w:t>
      </w:r>
      <w:r w:rsidRPr="0093514B">
        <w:t xml:space="preserve"> criminal offence was based on the </w:t>
      </w:r>
      <w:r w:rsidR="00A2736A">
        <w:t>repeated intention</w:t>
      </w:r>
      <w:r w:rsidRPr="0093514B">
        <w:t xml:space="preserve"> of the offender to attack the same or similar object or legal</w:t>
      </w:r>
      <w:r w:rsidR="006E22A5">
        <w:t>ly protected interest</w:t>
      </w:r>
      <w:r w:rsidRPr="0093514B">
        <w:t xml:space="preserve"> (</w:t>
      </w:r>
      <w:r w:rsidRPr="0093514B">
        <w:rPr>
          <w:i/>
        </w:rPr>
        <w:t>Rechtsgut</w:t>
      </w:r>
      <w:r w:rsidRPr="0093514B">
        <w:t xml:space="preserve">). Moreover, the fact that the repetition of the criminal acts and </w:t>
      </w:r>
      <w:r w:rsidR="006E22A5">
        <w:t xml:space="preserve">of </w:t>
      </w:r>
      <w:r w:rsidRPr="0093514B">
        <w:t xml:space="preserve">the criminal </w:t>
      </w:r>
      <w:r w:rsidR="006E22A5">
        <w:t>intention</w:t>
      </w:r>
      <w:r w:rsidRPr="0093514B" w:rsidR="006E22A5">
        <w:t xml:space="preserve"> </w:t>
      </w:r>
      <w:r w:rsidR="006E22A5">
        <w:t>was</w:t>
      </w:r>
      <w:r w:rsidRPr="0093514B" w:rsidR="006E22A5">
        <w:t xml:space="preserve"> </w:t>
      </w:r>
      <w:r w:rsidRPr="0093514B">
        <w:t xml:space="preserve">facilitated by the material circumstances </w:t>
      </w:r>
      <w:r w:rsidR="00A2736A">
        <w:t>–</w:t>
      </w:r>
      <w:r w:rsidRPr="0093514B" w:rsidR="00A2736A">
        <w:t xml:space="preserve"> </w:t>
      </w:r>
      <w:r w:rsidRPr="0093514B">
        <w:t>involving the offender, the close temporal connection and the identity of the legal</w:t>
      </w:r>
      <w:r w:rsidR="006E22A5">
        <w:t>ly protected interest</w:t>
      </w:r>
      <w:r w:rsidRPr="0093514B">
        <w:t xml:space="preserve"> affected </w:t>
      </w:r>
      <w:r w:rsidR="006E22A5">
        <w:t>–</w:t>
      </w:r>
      <w:r w:rsidRPr="0093514B" w:rsidR="006E22A5">
        <w:t xml:space="preserve"> </w:t>
      </w:r>
      <w:r w:rsidR="006E22A5">
        <w:t xml:space="preserve">was seen as </w:t>
      </w:r>
      <w:r w:rsidRPr="0093514B">
        <w:t>justif</w:t>
      </w:r>
      <w:r w:rsidR="006E22A5">
        <w:t>ying</w:t>
      </w:r>
      <w:r w:rsidRPr="0093514B">
        <w:t xml:space="preserve"> the imposition of a lighter penalty on the offender. This objective perspective gained support all over Europe, with some countries </w:t>
      </w:r>
      <w:r w:rsidR="006E22A5">
        <w:t>incorporating</w:t>
      </w:r>
      <w:r w:rsidRPr="0093514B" w:rsidR="006E22A5">
        <w:t xml:space="preserve"> </w:t>
      </w:r>
      <w:r w:rsidRPr="0093514B">
        <w:t xml:space="preserve">it in their legislation. However, in order to avoid excessive leniency towards </w:t>
      </w:r>
      <w:r w:rsidR="00A2736A">
        <w:t>repeat</w:t>
      </w:r>
      <w:r w:rsidRPr="0093514B" w:rsidR="00A2736A">
        <w:t xml:space="preserve"> </w:t>
      </w:r>
      <w:r w:rsidRPr="0093514B">
        <w:t>offenders, certain legislat</w:t>
      </w:r>
      <w:r w:rsidR="00A2736A">
        <w:t>ures</w:t>
      </w:r>
      <w:r w:rsidRPr="0093514B">
        <w:t xml:space="preserve"> restricted the application of this concept to specific categories of crimes.</w:t>
      </w:r>
    </w:p>
    <w:bookmarkStart w:name="par29" w:id="22"/>
    <w:bookmarkStart w:name="para31" w:id="23"/>
    <w:p w:rsidRPr="0093514B" w:rsidR="0093514B" w:rsidP="00926AF8" w:rsidRDefault="0093514B" w14:paraId="512F5C9D" w14:textId="77777777">
      <w:pPr>
        <w:pStyle w:val="ECHRPara"/>
      </w:pPr>
      <w:r w:rsidRPr="0093514B">
        <w:fldChar w:fldCharType="begin"/>
      </w:r>
      <w:r w:rsidRPr="0093514B">
        <w:instrText xml:space="preserve"> SEQ level0 \*arabic </w:instrText>
      </w:r>
      <w:r w:rsidRPr="0093514B">
        <w:fldChar w:fldCharType="separate"/>
      </w:r>
      <w:r w:rsidR="002D5843">
        <w:rPr>
          <w:noProof/>
        </w:rPr>
        <w:t>31</w:t>
      </w:r>
      <w:r w:rsidRPr="0093514B">
        <w:fldChar w:fldCharType="end"/>
      </w:r>
      <w:bookmarkEnd w:id="22"/>
      <w:bookmarkEnd w:id="23"/>
      <w:r w:rsidRPr="0093514B">
        <w:t xml:space="preserve">.  The existence of </w:t>
      </w:r>
      <w:r w:rsidR="006E22A5">
        <w:t xml:space="preserve">a </w:t>
      </w:r>
      <w:r w:rsidRPr="0093514B">
        <w:t xml:space="preserve">European tradition of a </w:t>
      </w:r>
      <w:r w:rsidR="009C1BE0">
        <w:t>continuous</w:t>
      </w:r>
      <w:r w:rsidRPr="0093514B">
        <w:t xml:space="preserve"> criminal offence</w:t>
      </w:r>
      <w:r w:rsidR="00E1087E">
        <w:t>,</w:t>
      </w:r>
      <w:r w:rsidRPr="0093514B">
        <w:t xml:space="preserve"> </w:t>
      </w:r>
      <w:r w:rsidR="006E22A5">
        <w:t>understood in an</w:t>
      </w:r>
      <w:r w:rsidRPr="0093514B">
        <w:t xml:space="preserve"> objective </w:t>
      </w:r>
      <w:r w:rsidR="006E22A5">
        <w:t>sense</w:t>
      </w:r>
      <w:r w:rsidR="00E1087E">
        <w:t>,</w:t>
      </w:r>
      <w:r w:rsidRPr="0093514B" w:rsidR="006E22A5">
        <w:t xml:space="preserve"> </w:t>
      </w:r>
      <w:r w:rsidRPr="0093514B">
        <w:t xml:space="preserve">is confirmed by the research undertaken by the Court in relation to all forty-seven Council of Europe member States. Indeed, the vast majority of them have introduced the notion of a </w:t>
      </w:r>
      <w:r w:rsidR="009C1BE0">
        <w:t>continuous</w:t>
      </w:r>
      <w:r w:rsidRPr="0093514B">
        <w:t xml:space="preserve"> criminal offence into their legal systems, either by </w:t>
      </w:r>
      <w:r w:rsidR="006E22A5">
        <w:t>means</w:t>
      </w:r>
      <w:r w:rsidRPr="0093514B" w:rsidR="006E22A5">
        <w:t xml:space="preserve"> </w:t>
      </w:r>
      <w:r w:rsidRPr="0093514B">
        <w:t xml:space="preserve">of specific legal provisions or </w:t>
      </w:r>
      <w:r w:rsidR="00DE7071">
        <w:t>via the legal literature</w:t>
      </w:r>
      <w:r w:rsidRPr="0093514B">
        <w:t xml:space="preserve"> and/or judicial practice.</w:t>
      </w:r>
    </w:p>
    <w:bookmarkStart w:name="par30" w:id="24"/>
    <w:p w:rsidRPr="0093514B" w:rsidR="0093514B" w:rsidP="00926AF8" w:rsidRDefault="0093514B" w14:paraId="2100C41C" w14:textId="77777777">
      <w:pPr>
        <w:pStyle w:val="ECHRPara"/>
        <w:rPr>
          <w:lang w:val="en-GB"/>
        </w:rPr>
      </w:pPr>
      <w:r w:rsidRPr="0093514B">
        <w:fldChar w:fldCharType="begin"/>
      </w:r>
      <w:r w:rsidRPr="0093514B">
        <w:instrText xml:space="preserve"> SEQ level0 \*arabic </w:instrText>
      </w:r>
      <w:r w:rsidRPr="0093514B">
        <w:fldChar w:fldCharType="separate"/>
      </w:r>
      <w:r w:rsidR="002D5843">
        <w:rPr>
          <w:noProof/>
        </w:rPr>
        <w:t>32</w:t>
      </w:r>
      <w:r w:rsidRPr="0093514B">
        <w:fldChar w:fldCharType="end"/>
      </w:r>
      <w:bookmarkEnd w:id="24"/>
      <w:r w:rsidRPr="0093514B">
        <w:t>.  </w:t>
      </w:r>
      <w:r w:rsidR="006E22A5">
        <w:t>On the basis of</w:t>
      </w:r>
      <w:r w:rsidRPr="0093514B">
        <w:t xml:space="preserve"> this </w:t>
      </w:r>
      <w:r w:rsidRPr="0093514B">
        <w:rPr>
          <w:lang w:val="en-GB"/>
        </w:rPr>
        <w:t>comparative survey, the Contracting States can be divided into three different groups:</w:t>
      </w:r>
    </w:p>
    <w:p w:rsidRPr="0093514B" w:rsidR="0093514B" w:rsidP="00926AF8" w:rsidRDefault="0096517F" w14:paraId="35702E2E" w14:textId="67805227">
      <w:pPr>
        <w:pStyle w:val="ECHRPara"/>
        <w:rPr>
          <w:lang w:val="en-GB"/>
        </w:rPr>
      </w:pPr>
      <w:r>
        <w:rPr>
          <w:lang w:val="en-GB"/>
        </w:rPr>
        <w:t>(a)  </w:t>
      </w:r>
      <w:r w:rsidR="0085331C">
        <w:rPr>
          <w:lang w:val="en-GB"/>
        </w:rPr>
        <w:t>thirty</w:t>
      </w:r>
      <w:r w:rsidRPr="0093514B" w:rsidR="0093514B">
        <w:rPr>
          <w:lang w:val="en-GB"/>
        </w:rPr>
        <w:t xml:space="preserve"> member States where the concept of a </w:t>
      </w:r>
      <w:r w:rsidR="009C1BE0">
        <w:rPr>
          <w:lang w:val="en-GB"/>
        </w:rPr>
        <w:t>continuous</w:t>
      </w:r>
      <w:r w:rsidRPr="0093514B" w:rsidR="0093514B">
        <w:rPr>
          <w:lang w:val="en-GB"/>
        </w:rPr>
        <w:t xml:space="preserve"> criminal offence is enshrined in law: Andorra (Article 59 of the Criminal Code), </w:t>
      </w:r>
      <w:r w:rsidR="00216100">
        <w:rPr>
          <w:lang w:val="en-GB"/>
        </w:rPr>
        <w:t>Armenia (Article 21 § 2 of the Criminal Code),</w:t>
      </w:r>
      <w:r w:rsidR="0085331C">
        <w:rPr>
          <w:lang w:val="en-GB"/>
        </w:rPr>
        <w:t xml:space="preserve"> </w:t>
      </w:r>
      <w:r w:rsidRPr="0085331C" w:rsidR="0085331C">
        <w:rPr>
          <w:lang w:val="en-GB"/>
        </w:rPr>
        <w:t>Belgium (</w:t>
      </w:r>
      <w:r w:rsidRPr="0085331C" w:rsidR="0085331C">
        <w:t>Article 65 § 1 of the Criminal Code),</w:t>
      </w:r>
      <w:r w:rsidR="00216100">
        <w:rPr>
          <w:lang w:val="en-GB"/>
        </w:rPr>
        <w:t xml:space="preserve"> </w:t>
      </w:r>
      <w:r w:rsidRPr="0093514B" w:rsidR="0093514B">
        <w:rPr>
          <w:lang w:val="en-GB"/>
        </w:rPr>
        <w:t xml:space="preserve">Bosnia and Herzegovina (Article 54 § 2 of the Criminal Code), Bulgaria (Article 26 of the Criminal Code), Croatia (Article 52 of the Criminal Code), the Czech Republic (Article 89 § 3 of the Criminal Code), </w:t>
      </w:r>
      <w:r w:rsidR="00A2736A">
        <w:t>t</w:t>
      </w:r>
      <w:r w:rsidRPr="0093514B" w:rsidR="0093514B">
        <w:t>he former Yugoslav Republic of Macedonia (Article 45 of the Criminal Code), Georgia (Article 14 of the Criminal Code), Greece (Article 98 § 1 of the Criminal Code), Hungary (Article 6 § 2 of the Criminal Code), Italy (Article 81 § 2 of the Criminal Code</w:t>
      </w:r>
      <w:r w:rsidR="000A48B6">
        <w:t>,</w:t>
      </w:r>
      <w:r w:rsidRPr="0093514B" w:rsidR="0093514B">
        <w:t xml:space="preserve"> referring to a </w:t>
      </w:r>
      <w:r w:rsidR="009C1BE0">
        <w:t>continuous</w:t>
      </w:r>
      <w:r w:rsidRPr="0093514B" w:rsidR="0093514B">
        <w:t xml:space="preserve"> offence </w:t>
      </w:r>
      <w:r w:rsidRPr="0093514B" w:rsidR="0093514B">
        <w:rPr>
          <w:i/>
        </w:rPr>
        <w:t>stricto sensu</w:t>
      </w:r>
      <w:r w:rsidRPr="0093514B" w:rsidR="0093514B">
        <w:t xml:space="preserve">), Latvia (Article 23 of the Criminal Code), Malta (Article 18 of the Criminal Code), </w:t>
      </w:r>
      <w:r w:rsidR="000A48B6">
        <w:t xml:space="preserve">the Republic of </w:t>
      </w:r>
      <w:r w:rsidRPr="0093514B" w:rsidR="0093514B">
        <w:t>Moldova (Article 29 of the Criminal Code), Montenegro (Article 49 of the Criminal Code), the Netherlands (Article 56 of the Criminal Code), Norway (Article 219 of the Criminal Code</w:t>
      </w:r>
      <w:r w:rsidR="000A48B6">
        <w:t>,</w:t>
      </w:r>
      <w:r w:rsidRPr="0093514B" w:rsidR="0093514B">
        <w:t xml:space="preserve"> specifically </w:t>
      </w:r>
      <w:r w:rsidRPr="0093514B" w:rsidR="008063C6">
        <w:t xml:space="preserve">concerning </w:t>
      </w:r>
      <w:r w:rsidRPr="0093514B" w:rsidR="0093514B">
        <w:t xml:space="preserve">domestic violence), Poland (Article 12 of the Criminal Code), Portugal (Article 30 § 2 of the Criminal Code), Romania (Article 35 of the new Criminal Code), </w:t>
      </w:r>
      <w:r w:rsidR="0072347B">
        <w:t xml:space="preserve">San Marino (Article 50 of the Criminal Code), </w:t>
      </w:r>
      <w:r w:rsidRPr="0093514B" w:rsidR="0093514B">
        <w:t>Serbia (Article 61 of the Criminal Code), Slovakia (Article</w:t>
      </w:r>
      <w:r w:rsidR="000A48B6">
        <w:t> </w:t>
      </w:r>
      <w:r w:rsidRPr="0093514B" w:rsidR="0093514B">
        <w:t>122 § 10 of the Criminal Code), Slovenia (Article 54 § 1 of the Criminal Code), Spain (Article 74 of the Criminal Code), Sweden (Article</w:t>
      </w:r>
      <w:r w:rsidR="000A48B6">
        <w:t> </w:t>
      </w:r>
      <w:r w:rsidRPr="0093514B" w:rsidR="0093514B">
        <w:t>4a of Chapter 4 of the Criminal Code), Turkey (Article 43 of the Criminal Code), Ukraine (Article 32 of the Criminal Code)</w:t>
      </w:r>
      <w:r w:rsidR="008063C6">
        <w:t xml:space="preserve"> and</w:t>
      </w:r>
      <w:r w:rsidRPr="0093514B" w:rsidR="0093514B">
        <w:t xml:space="preserve"> </w:t>
      </w:r>
      <w:r w:rsidR="00A2736A">
        <w:t xml:space="preserve">the </w:t>
      </w:r>
      <w:r w:rsidRPr="0093514B" w:rsidR="0093514B">
        <w:t>United</w:t>
      </w:r>
      <w:r w:rsidR="00A2736A">
        <w:t xml:space="preserve"> </w:t>
      </w:r>
      <w:r w:rsidRPr="0093514B" w:rsidR="0093514B">
        <w:t>Kingdom (Rule 14.2(2) of the Criminal Procedure Rules 2013);</w:t>
      </w:r>
    </w:p>
    <w:p w:rsidRPr="0093514B" w:rsidR="0093514B" w:rsidP="00926AF8" w:rsidRDefault="0096517F" w14:paraId="2BA8638B" w14:textId="77777777">
      <w:pPr>
        <w:pStyle w:val="ECHRPara"/>
        <w:rPr>
          <w:lang w:val="en-GB"/>
        </w:rPr>
      </w:pPr>
      <w:r>
        <w:rPr>
          <w:lang w:val="en-GB"/>
        </w:rPr>
        <w:t>(b)  </w:t>
      </w:r>
      <w:r w:rsidRPr="0085331C" w:rsidR="0085331C">
        <w:rPr>
          <w:lang w:val="en-GB"/>
        </w:rPr>
        <w:t>four</w:t>
      </w:r>
      <w:r w:rsidRPr="0085331C" w:rsidR="0093514B">
        <w:rPr>
          <w:lang w:val="en-GB"/>
        </w:rPr>
        <w:t>teen</w:t>
      </w:r>
      <w:r w:rsidRPr="0093514B" w:rsidR="0093514B">
        <w:rPr>
          <w:lang w:val="en-GB"/>
        </w:rPr>
        <w:t xml:space="preserve"> member States where the concept of a </w:t>
      </w:r>
      <w:r w:rsidR="009C1BE0">
        <w:rPr>
          <w:lang w:val="en-GB"/>
        </w:rPr>
        <w:t>continuous</w:t>
      </w:r>
      <w:r w:rsidRPr="0093514B" w:rsidR="0093514B">
        <w:rPr>
          <w:lang w:val="en-GB"/>
        </w:rPr>
        <w:t xml:space="preserve"> criminal offence </w:t>
      </w:r>
      <w:r w:rsidR="00A2736A">
        <w:rPr>
          <w:lang w:val="en-GB"/>
        </w:rPr>
        <w:t>has been</w:t>
      </w:r>
      <w:r w:rsidRPr="0093514B" w:rsidR="00A2736A">
        <w:rPr>
          <w:lang w:val="en-GB"/>
        </w:rPr>
        <w:t xml:space="preserve"> </w:t>
      </w:r>
      <w:r w:rsidRPr="0093514B" w:rsidR="0093514B">
        <w:rPr>
          <w:lang w:val="en-GB"/>
        </w:rPr>
        <w:t>developed by legal theory and practice: Albania, Austria, Azerbaijan, Denmark, Estonia, France, Germany,</w:t>
      </w:r>
      <w:r w:rsidR="00367555">
        <w:rPr>
          <w:lang w:val="en-GB"/>
        </w:rPr>
        <w:t xml:space="preserve"> </w:t>
      </w:r>
      <w:r w:rsidRPr="00367555" w:rsidR="00367555">
        <w:rPr>
          <w:lang w:val="en-GB"/>
        </w:rPr>
        <w:t>Iceland,</w:t>
      </w:r>
      <w:r w:rsidRPr="0093514B" w:rsidR="0093514B">
        <w:rPr>
          <w:lang w:val="en-GB"/>
        </w:rPr>
        <w:t xml:space="preserve"> Liechtenstein, </w:t>
      </w:r>
      <w:r w:rsidRPr="008C7BA8" w:rsidR="0093514B">
        <w:rPr>
          <w:lang w:val="en-GB"/>
        </w:rPr>
        <w:t>Lithuania</w:t>
      </w:r>
      <w:r w:rsidRPr="0093514B" w:rsidR="0093514B">
        <w:rPr>
          <w:lang w:val="en-GB"/>
        </w:rPr>
        <w:t>, Luxemb</w:t>
      </w:r>
      <w:r w:rsidR="008F204E">
        <w:rPr>
          <w:lang w:val="en-GB"/>
        </w:rPr>
        <w:t>o</w:t>
      </w:r>
      <w:r w:rsidRPr="0093514B" w:rsidR="0093514B">
        <w:rPr>
          <w:lang w:val="en-GB"/>
        </w:rPr>
        <w:t>urg, Monaco, Russia and Switzerland;</w:t>
      </w:r>
    </w:p>
    <w:p w:rsidRPr="0093514B" w:rsidR="0093514B" w:rsidP="00926AF8" w:rsidRDefault="0096517F" w14:paraId="75FF9440" w14:textId="77777777">
      <w:pPr>
        <w:pStyle w:val="ECHRPara"/>
        <w:rPr>
          <w:lang w:val="en-GB"/>
        </w:rPr>
      </w:pPr>
      <w:r>
        <w:rPr>
          <w:lang w:val="en-GB"/>
        </w:rPr>
        <w:t>(c)  </w:t>
      </w:r>
      <w:r w:rsidRPr="0093514B" w:rsidR="0093514B">
        <w:rPr>
          <w:lang w:val="en-GB"/>
        </w:rPr>
        <w:t xml:space="preserve">three member States which do not report the existence either in the law or in </w:t>
      </w:r>
      <w:r w:rsidR="00A2736A">
        <w:rPr>
          <w:lang w:val="en-GB"/>
        </w:rPr>
        <w:t>legal theory</w:t>
      </w:r>
      <w:r w:rsidRPr="0093514B" w:rsidR="0093514B">
        <w:rPr>
          <w:lang w:val="en-GB"/>
        </w:rPr>
        <w:t xml:space="preserve"> of the notion of a </w:t>
      </w:r>
      <w:r w:rsidR="009C1BE0">
        <w:rPr>
          <w:lang w:val="en-GB"/>
        </w:rPr>
        <w:t>continuous</w:t>
      </w:r>
      <w:r w:rsidRPr="0093514B" w:rsidR="0093514B">
        <w:rPr>
          <w:lang w:val="en-GB"/>
        </w:rPr>
        <w:t xml:space="preserve"> criminal offence as </w:t>
      </w:r>
      <w:r w:rsidR="00A2736A">
        <w:rPr>
          <w:lang w:val="en-GB"/>
        </w:rPr>
        <w:t>understood</w:t>
      </w:r>
      <w:r w:rsidRPr="0093514B" w:rsidR="00A2736A">
        <w:rPr>
          <w:lang w:val="en-GB"/>
        </w:rPr>
        <w:t xml:space="preserve"> </w:t>
      </w:r>
      <w:r w:rsidRPr="0093514B" w:rsidR="0093514B">
        <w:rPr>
          <w:lang w:val="en-GB"/>
        </w:rPr>
        <w:t>in the present case: Cyprus, Finland and Ireland.</w:t>
      </w:r>
    </w:p>
    <w:bookmarkStart w:name="para33" w:id="25"/>
    <w:p w:rsidRPr="0093514B" w:rsidR="0093514B" w:rsidP="00926AF8" w:rsidRDefault="0093514B" w14:paraId="68E74366" w14:textId="6720984A">
      <w:pPr>
        <w:pStyle w:val="ECHRPara"/>
        <w:rPr>
          <w:lang w:val="en-GB"/>
        </w:rPr>
      </w:pPr>
      <w:r w:rsidRPr="0093514B">
        <w:fldChar w:fldCharType="begin"/>
      </w:r>
      <w:r w:rsidRPr="0093514B">
        <w:instrText xml:space="preserve"> SEQ level0 \*arabic </w:instrText>
      </w:r>
      <w:r w:rsidRPr="0093514B">
        <w:fldChar w:fldCharType="separate"/>
      </w:r>
      <w:r w:rsidR="002D5843">
        <w:rPr>
          <w:noProof/>
        </w:rPr>
        <w:t>33</w:t>
      </w:r>
      <w:r w:rsidRPr="0093514B">
        <w:rPr>
          <w:noProof/>
        </w:rPr>
        <w:fldChar w:fldCharType="end"/>
      </w:r>
      <w:bookmarkEnd w:id="25"/>
      <w:r w:rsidRPr="0093514B">
        <w:t>.  The comparative</w:t>
      </w:r>
      <w:r w:rsidR="008F204E">
        <w:t>-</w:t>
      </w:r>
      <w:r w:rsidRPr="0093514B">
        <w:t xml:space="preserve">law material available to the Court </w:t>
      </w:r>
      <w:r w:rsidR="00A2736A">
        <w:t>concerning</w:t>
      </w:r>
      <w:r w:rsidRPr="0093514B" w:rsidR="00A2736A">
        <w:t xml:space="preserve"> </w:t>
      </w:r>
      <w:r w:rsidRPr="0093514B">
        <w:t xml:space="preserve">the existence of a concept of a </w:t>
      </w:r>
      <w:r w:rsidR="009C1BE0">
        <w:t>continuous</w:t>
      </w:r>
      <w:r w:rsidRPr="0093514B">
        <w:t xml:space="preserve"> criminal offence (see paragraphs</w:t>
      </w:r>
      <w:r w:rsidR="000A48B6">
        <w:t> </w:t>
      </w:r>
      <w:r w:rsidRPr="0093514B">
        <w:fldChar w:fldCharType="begin"/>
      </w:r>
      <w:r w:rsidRPr="0093514B">
        <w:instrText xml:space="preserve"> REF par29 \h </w:instrText>
      </w:r>
      <w:r w:rsidRPr="0093514B">
        <w:fldChar w:fldCharType="separate"/>
      </w:r>
      <w:r w:rsidR="002D5843">
        <w:rPr>
          <w:noProof/>
        </w:rPr>
        <w:t>31</w:t>
      </w:r>
      <w:r w:rsidRPr="0093514B">
        <w:fldChar w:fldCharType="end"/>
      </w:r>
      <w:r w:rsidR="000A48B6">
        <w:noBreakHyphen/>
      </w:r>
      <w:r w:rsidRPr="0093514B">
        <w:fldChar w:fldCharType="begin"/>
      </w:r>
      <w:r w:rsidRPr="0093514B">
        <w:instrText xml:space="preserve"> REF par30 \h </w:instrText>
      </w:r>
      <w:r w:rsidRPr="0093514B">
        <w:fldChar w:fldCharType="separate"/>
      </w:r>
      <w:r w:rsidR="002D5843">
        <w:rPr>
          <w:noProof/>
        </w:rPr>
        <w:t>32</w:t>
      </w:r>
      <w:r w:rsidRPr="0093514B">
        <w:fldChar w:fldCharType="end"/>
      </w:r>
      <w:r w:rsidRPr="0093514B">
        <w:t xml:space="preserve"> above) shows</w:t>
      </w:r>
      <w:r w:rsidRPr="0093514B">
        <w:rPr>
          <w:lang w:val="en-GB"/>
        </w:rPr>
        <w:t xml:space="preserve"> a high degree of convergence between the domestic legal systems of the </w:t>
      </w:r>
      <w:r w:rsidRPr="0093514B">
        <w:t>Council of Europe member States</w:t>
      </w:r>
      <w:r w:rsidRPr="0093514B">
        <w:rPr>
          <w:lang w:val="en-GB"/>
        </w:rPr>
        <w:t xml:space="preserve"> in </w:t>
      </w:r>
      <w:r w:rsidR="002312F3">
        <w:rPr>
          <w:lang w:val="en-GB"/>
        </w:rPr>
        <w:t>this</w:t>
      </w:r>
      <w:r w:rsidRPr="0093514B" w:rsidR="002312F3">
        <w:rPr>
          <w:lang w:val="en-GB"/>
        </w:rPr>
        <w:t xml:space="preserve"> </w:t>
      </w:r>
      <w:r w:rsidRPr="0093514B">
        <w:rPr>
          <w:lang w:val="en-GB"/>
        </w:rPr>
        <w:t xml:space="preserve">particular area. There appears indeed to be a </w:t>
      </w:r>
      <w:r w:rsidR="00A2736A">
        <w:rPr>
          <w:lang w:val="en-GB"/>
        </w:rPr>
        <w:t>broad</w:t>
      </w:r>
      <w:r w:rsidRPr="0093514B" w:rsidR="00A2736A">
        <w:rPr>
          <w:lang w:val="en-GB"/>
        </w:rPr>
        <w:t xml:space="preserve"> </w:t>
      </w:r>
      <w:r w:rsidRPr="0093514B">
        <w:rPr>
          <w:lang w:val="en-GB"/>
        </w:rPr>
        <w:t>consensus</w:t>
      </w:r>
      <w:r w:rsidR="002312F3">
        <w:rPr>
          <w:lang w:val="en-GB"/>
        </w:rPr>
        <w:t xml:space="preserve"> arising out</w:t>
      </w:r>
      <w:r w:rsidRPr="0093514B">
        <w:rPr>
          <w:lang w:val="en-GB"/>
        </w:rPr>
        <w:t xml:space="preserve"> of a long European tradition (see paragraph </w:t>
      </w:r>
      <w:r w:rsidRPr="0093514B">
        <w:rPr>
          <w:lang w:val="en-GB"/>
        </w:rPr>
        <w:fldChar w:fldCharType="begin"/>
      </w:r>
      <w:r w:rsidRPr="0093514B">
        <w:rPr>
          <w:lang w:val="en-GB"/>
        </w:rPr>
        <w:instrText xml:space="preserve"> REF par28 \h </w:instrText>
      </w:r>
      <w:r w:rsidRPr="0093514B">
        <w:rPr>
          <w:lang w:val="en-GB"/>
        </w:rPr>
      </w:r>
      <w:r w:rsidRPr="0093514B">
        <w:rPr>
          <w:lang w:val="en-GB"/>
        </w:rPr>
        <w:fldChar w:fldCharType="separate"/>
      </w:r>
      <w:r w:rsidR="002D5843">
        <w:rPr>
          <w:noProof/>
        </w:rPr>
        <w:t>30</w:t>
      </w:r>
      <w:r w:rsidRPr="0093514B">
        <w:rPr>
          <w:lang w:val="en-GB"/>
        </w:rPr>
        <w:fldChar w:fldCharType="end"/>
      </w:r>
      <w:r w:rsidRPr="0093514B">
        <w:rPr>
          <w:lang w:val="en-GB"/>
        </w:rPr>
        <w:t xml:space="preserve"> above) </w:t>
      </w:r>
      <w:r w:rsidR="002312F3">
        <w:rPr>
          <w:lang w:val="en-GB"/>
        </w:rPr>
        <w:t>with</w:t>
      </w:r>
      <w:r w:rsidRPr="0093514B" w:rsidR="002312F3">
        <w:rPr>
          <w:lang w:val="en-GB"/>
        </w:rPr>
        <w:t xml:space="preserve"> </w:t>
      </w:r>
      <w:r w:rsidRPr="0093514B">
        <w:rPr>
          <w:lang w:val="en-GB"/>
        </w:rPr>
        <w:t xml:space="preserve">regard to the following features of a </w:t>
      </w:r>
      <w:r w:rsidR="009C1BE0">
        <w:rPr>
          <w:lang w:val="en-GB"/>
        </w:rPr>
        <w:t>continuous</w:t>
      </w:r>
      <w:r w:rsidRPr="0093514B">
        <w:rPr>
          <w:lang w:val="en-GB"/>
        </w:rPr>
        <w:t xml:space="preserve"> criminal offence</w:t>
      </w:r>
      <w:r w:rsidR="002312F3">
        <w:rPr>
          <w:lang w:val="en-GB"/>
        </w:rPr>
        <w:t>,</w:t>
      </w:r>
      <w:r w:rsidRPr="0093514B">
        <w:rPr>
          <w:lang w:val="en-GB"/>
        </w:rPr>
        <w:t xml:space="preserve"> which include both objective </w:t>
      </w:r>
      <w:r w:rsidRPr="002B285A">
        <w:rPr>
          <w:lang w:val="en-GB"/>
        </w:rPr>
        <w:t>(</w:t>
      </w:r>
      <w:r w:rsidRPr="0093514B">
        <w:rPr>
          <w:i/>
          <w:lang w:val="en-GB"/>
        </w:rPr>
        <w:t>actus reus</w:t>
      </w:r>
      <w:r w:rsidRPr="002B285A">
        <w:rPr>
          <w:lang w:val="en-GB"/>
        </w:rPr>
        <w:t>)</w:t>
      </w:r>
      <w:r w:rsidRPr="0093514B">
        <w:rPr>
          <w:i/>
          <w:lang w:val="en-GB"/>
        </w:rPr>
        <w:t xml:space="preserve"> </w:t>
      </w:r>
      <w:r w:rsidRPr="0093514B">
        <w:rPr>
          <w:lang w:val="en-GB"/>
        </w:rPr>
        <w:t xml:space="preserve">and subjective </w:t>
      </w:r>
      <w:r w:rsidRPr="002B285A">
        <w:rPr>
          <w:lang w:val="en-GB"/>
        </w:rPr>
        <w:t>(</w:t>
      </w:r>
      <w:r w:rsidRPr="0093514B">
        <w:rPr>
          <w:i/>
          <w:lang w:val="en-GB"/>
        </w:rPr>
        <w:t>mens rea</w:t>
      </w:r>
      <w:r w:rsidRPr="002B285A">
        <w:rPr>
          <w:lang w:val="en-GB"/>
        </w:rPr>
        <w:t>)</w:t>
      </w:r>
      <w:r w:rsidRPr="0093514B">
        <w:rPr>
          <w:i/>
          <w:lang w:val="en-GB"/>
        </w:rPr>
        <w:t xml:space="preserve"> </w:t>
      </w:r>
      <w:r w:rsidRPr="0093514B">
        <w:rPr>
          <w:lang w:val="en-GB"/>
        </w:rPr>
        <w:t xml:space="preserve">elements testifying </w:t>
      </w:r>
      <w:r w:rsidR="002312F3">
        <w:rPr>
          <w:lang w:val="en-GB"/>
        </w:rPr>
        <w:t>to</w:t>
      </w:r>
      <w:r w:rsidRPr="0093514B" w:rsidR="002312F3">
        <w:rPr>
          <w:lang w:val="en-GB"/>
        </w:rPr>
        <w:t xml:space="preserve"> </w:t>
      </w:r>
      <w:r w:rsidR="002312F3">
        <w:rPr>
          <w:lang w:val="en-GB"/>
        </w:rPr>
        <w:t>the</w:t>
      </w:r>
      <w:r w:rsidRPr="0093514B" w:rsidR="002312F3">
        <w:rPr>
          <w:lang w:val="en-GB"/>
        </w:rPr>
        <w:t xml:space="preserve"> </w:t>
      </w:r>
      <w:r w:rsidRPr="0093514B">
        <w:rPr>
          <w:lang w:val="en-GB"/>
        </w:rPr>
        <w:t>legal unity of the acts concerned:</w:t>
      </w:r>
    </w:p>
    <w:p w:rsidRPr="0093514B" w:rsidR="0093514B" w:rsidP="00926AF8" w:rsidRDefault="00617145" w14:paraId="0B118C7B" w14:textId="77777777">
      <w:pPr>
        <w:pStyle w:val="ECHRPara"/>
      </w:pPr>
      <w:r>
        <w:t>(a)  </w:t>
      </w:r>
      <w:r w:rsidRPr="0093514B" w:rsidR="0093514B">
        <w:t xml:space="preserve">the perpetrator commits a number of identical, similar or </w:t>
      </w:r>
      <w:r w:rsidR="008063C6">
        <w:t>different</w:t>
      </w:r>
      <w:r w:rsidRPr="0093514B" w:rsidR="008063C6">
        <w:t xml:space="preserve"> </w:t>
      </w:r>
      <w:r w:rsidRPr="0093514B" w:rsidR="0093514B">
        <w:t xml:space="preserve">criminal </w:t>
      </w:r>
      <w:r w:rsidR="008F204E">
        <w:t>acts</w:t>
      </w:r>
      <w:r w:rsidRPr="0093514B" w:rsidR="008F204E">
        <w:t xml:space="preserve"> </w:t>
      </w:r>
      <w:r w:rsidRPr="0093514B" w:rsidR="0093514B">
        <w:t>against the same legally protected interest (</w:t>
      </w:r>
      <w:r w:rsidRPr="0093514B" w:rsidR="0093514B">
        <w:rPr>
          <w:i/>
          <w:iCs/>
        </w:rPr>
        <w:t>Rechtsgut, bien juridique, bene giuridico</w:t>
      </w:r>
      <w:r w:rsidRPr="0093514B" w:rsidR="0093514B">
        <w:t xml:space="preserve">); </w:t>
      </w:r>
      <w:r w:rsidR="00391535">
        <w:t xml:space="preserve">in addition, </w:t>
      </w:r>
      <w:r w:rsidRPr="0093514B" w:rsidR="0093514B">
        <w:t>it is often required that the identity of the perpetrator and of the victim be the same</w:t>
      </w:r>
      <w:r w:rsidR="00C6480D">
        <w:t xml:space="preserve"> on each occasion</w:t>
      </w:r>
      <w:r w:rsidRPr="0093514B" w:rsidR="0093514B">
        <w:t>;</w:t>
      </w:r>
    </w:p>
    <w:p w:rsidRPr="0093514B" w:rsidR="0093514B" w:rsidP="00926AF8" w:rsidRDefault="00617145" w14:paraId="3B46F7CB" w14:textId="77777777">
      <w:pPr>
        <w:pStyle w:val="ECHRPara"/>
      </w:pPr>
      <w:r>
        <w:t>(b)  </w:t>
      </w:r>
      <w:r w:rsidRPr="0093514B" w:rsidR="0093514B">
        <w:t>there is at least a similar</w:t>
      </w:r>
      <w:r w:rsidR="00391535">
        <w:t>ity in the</w:t>
      </w:r>
      <w:r w:rsidRPr="0093514B" w:rsidR="0093514B">
        <w:t xml:space="preserve"> manner of execution of</w:t>
      </w:r>
      <w:r w:rsidR="00391535">
        <w:t xml:space="preserve"> the</w:t>
      </w:r>
      <w:r w:rsidRPr="0093514B" w:rsidR="0093514B">
        <w:t xml:space="preserve"> individual acts (</w:t>
      </w:r>
      <w:r w:rsidRPr="0093514B" w:rsidR="0093514B">
        <w:rPr>
          <w:i/>
          <w:iCs/>
        </w:rPr>
        <w:t>modus operandi</w:t>
      </w:r>
      <w:r w:rsidRPr="0093514B" w:rsidR="0093514B">
        <w:t>)</w:t>
      </w:r>
      <w:r w:rsidR="00391535">
        <w:t>,</w:t>
      </w:r>
      <w:r w:rsidRPr="0093514B" w:rsidR="0093514B">
        <w:t xml:space="preserve"> or there are other material circumstances connecting them which constitute a whole (</w:t>
      </w:r>
      <w:r w:rsidRPr="0093514B" w:rsidR="0093514B">
        <w:rPr>
          <w:i/>
          <w:iCs/>
        </w:rPr>
        <w:t>actus reus</w:t>
      </w:r>
      <w:r w:rsidRPr="0093514B" w:rsidR="0093514B">
        <w:t>);</w:t>
      </w:r>
    </w:p>
    <w:p w:rsidRPr="0093514B" w:rsidR="0093514B" w:rsidP="00926AF8" w:rsidRDefault="00617145" w14:paraId="2C9CE790" w14:textId="77777777">
      <w:pPr>
        <w:pStyle w:val="ECHRPara"/>
      </w:pPr>
      <w:r>
        <w:t>(c)  </w:t>
      </w:r>
      <w:r w:rsidRPr="0093514B" w:rsidR="0093514B">
        <w:t xml:space="preserve">there is a temporal connection between </w:t>
      </w:r>
      <w:r w:rsidR="00391535">
        <w:t xml:space="preserve">the </w:t>
      </w:r>
      <w:r w:rsidRPr="0093514B" w:rsidR="0093514B">
        <w:t>different individual acts, which is to be assessed in the particular circumstances of each case;</w:t>
      </w:r>
    </w:p>
    <w:p w:rsidRPr="0093514B" w:rsidR="0093514B" w:rsidP="00926AF8" w:rsidRDefault="00617145" w14:paraId="1A6C375D" w14:textId="687F4D23">
      <w:pPr>
        <w:pStyle w:val="ECHRPara"/>
      </w:pPr>
      <w:r>
        <w:t>(d)  </w:t>
      </w:r>
      <w:r w:rsidRPr="0093514B" w:rsidR="0093514B">
        <w:t xml:space="preserve">there is the same, </w:t>
      </w:r>
      <w:r w:rsidR="008063C6">
        <w:t>repeated</w:t>
      </w:r>
      <w:r w:rsidRPr="0093514B" w:rsidR="008063C6">
        <w:t xml:space="preserve"> </w:t>
      </w:r>
      <w:r w:rsidRPr="0093514B" w:rsidR="0093514B">
        <w:t>criminal intent or purpose (</w:t>
      </w:r>
      <w:r w:rsidRPr="0093514B" w:rsidR="0093514B">
        <w:rPr>
          <w:i/>
          <w:iCs/>
        </w:rPr>
        <w:t>mens rea</w:t>
      </w:r>
      <w:r w:rsidRPr="0093514B" w:rsidR="0093514B">
        <w:t xml:space="preserve">) for all </w:t>
      </w:r>
      <w:r w:rsidR="00391535">
        <w:t xml:space="preserve">the </w:t>
      </w:r>
      <w:r w:rsidRPr="0093514B" w:rsidR="0093514B">
        <w:t xml:space="preserve">individual acts, </w:t>
      </w:r>
      <w:r w:rsidR="00391535">
        <w:t>although they do not</w:t>
      </w:r>
      <w:r w:rsidRPr="0093514B" w:rsidR="0093514B">
        <w:t xml:space="preserve"> all hav</w:t>
      </w:r>
      <w:r w:rsidR="00391535">
        <w:t>e</w:t>
      </w:r>
      <w:r w:rsidRPr="0093514B" w:rsidR="0093514B">
        <w:t xml:space="preserve"> to be planned </w:t>
      </w:r>
      <w:r w:rsidRPr="0093514B" w:rsidR="0093514B">
        <w:rPr>
          <w:i/>
        </w:rPr>
        <w:t>ab initio</w:t>
      </w:r>
      <w:r w:rsidRPr="0093514B" w:rsidR="0093514B">
        <w:t>;</w:t>
      </w:r>
    </w:p>
    <w:p w:rsidRPr="0093514B" w:rsidR="0093514B" w:rsidP="00926AF8" w:rsidRDefault="00617145" w14:paraId="4494992A" w14:textId="77777777">
      <w:pPr>
        <w:pStyle w:val="ECHRPara"/>
        <w:rPr>
          <w:b/>
          <w:bCs/>
          <w:i/>
          <w:iCs/>
        </w:rPr>
      </w:pPr>
      <w:r>
        <w:t>(e)  </w:t>
      </w:r>
      <w:r w:rsidRPr="0093514B" w:rsidR="0093514B">
        <w:t xml:space="preserve">the individual acts </w:t>
      </w:r>
      <w:r w:rsidR="005A2966">
        <w:t>comprise</w:t>
      </w:r>
      <w:r w:rsidRPr="0093514B" w:rsidR="0093514B">
        <w:t>, either explicitly or implicitly, the constituent elements of the criminal offence(s).</w:t>
      </w:r>
    </w:p>
    <w:p w:rsidRPr="0093514B" w:rsidR="0093514B" w:rsidP="00926AF8" w:rsidRDefault="008807FE" w14:paraId="13C4CACF" w14:textId="77777777">
      <w:pPr>
        <w:pStyle w:val="ECHRPara"/>
      </w:pPr>
      <w:r>
        <w:fldChar w:fldCharType="begin"/>
      </w:r>
      <w:r>
        <w:instrText xml:space="preserve"> SEQ level0 \*arabic </w:instrText>
      </w:r>
      <w:r>
        <w:fldChar w:fldCharType="separate"/>
      </w:r>
      <w:r w:rsidR="002D5843">
        <w:rPr>
          <w:noProof/>
        </w:rPr>
        <w:t>34</w:t>
      </w:r>
      <w:r>
        <w:rPr>
          <w:noProof/>
        </w:rPr>
        <w:fldChar w:fldCharType="end"/>
      </w:r>
      <w:r w:rsidRPr="0093514B" w:rsidR="0093514B">
        <w:t xml:space="preserve">.  There is also agreement on the principle that the law in force at the time of the cessation of the </w:t>
      </w:r>
      <w:r w:rsidR="009C1BE0">
        <w:t>continuous</w:t>
      </w:r>
      <w:r w:rsidRPr="0093514B" w:rsidR="0093514B">
        <w:t xml:space="preserve"> criminal activity is applicable to the facts which occurred prior to its entry into force, provided that these facts </w:t>
      </w:r>
      <w:r w:rsidR="00A16365">
        <w:t>satisfy</w:t>
      </w:r>
      <w:r w:rsidRPr="0093514B" w:rsidR="00A16365">
        <w:t xml:space="preserve"> </w:t>
      </w:r>
      <w:r w:rsidRPr="0093514B" w:rsidR="0093514B">
        <w:t xml:space="preserve">the </w:t>
      </w:r>
      <w:r w:rsidR="00A16365">
        <w:t>conditions</w:t>
      </w:r>
      <w:r w:rsidRPr="0093514B" w:rsidR="0093514B">
        <w:t xml:space="preserve"> of the new law, and in most countries also of the previous law. This also </w:t>
      </w:r>
      <w:r w:rsidR="007A0821">
        <w:t>applies</w:t>
      </w:r>
      <w:r w:rsidRPr="0093514B" w:rsidR="0093514B">
        <w:t xml:space="preserve">, in the majority of member States, when the new law is more severe since the perpetrator is presumed to have tacitly agreed to a harsher sentence by continuing his </w:t>
      </w:r>
      <w:r w:rsidR="00BB4127">
        <w:t>unlawful</w:t>
      </w:r>
      <w:r w:rsidRPr="0093514B" w:rsidR="00BB4127">
        <w:t xml:space="preserve"> </w:t>
      </w:r>
      <w:r w:rsidRPr="0093514B" w:rsidR="0093514B">
        <w:t xml:space="preserve">conduct after the change </w:t>
      </w:r>
      <w:r w:rsidR="00BB4127">
        <w:t>in</w:t>
      </w:r>
      <w:r w:rsidRPr="0093514B" w:rsidR="00BB4127">
        <w:t xml:space="preserve"> </w:t>
      </w:r>
      <w:r w:rsidRPr="0093514B" w:rsidR="0093514B">
        <w:t>the law.</w:t>
      </w:r>
    </w:p>
    <w:p w:rsidRPr="0093514B" w:rsidR="0093514B" w:rsidP="00926AF8" w:rsidRDefault="008807FE" w14:paraId="7FA525E9" w14:textId="77777777">
      <w:pPr>
        <w:pStyle w:val="ECHRPara"/>
        <w:rPr>
          <w:lang w:val="en-GB"/>
        </w:rPr>
      </w:pPr>
      <w:r>
        <w:fldChar w:fldCharType="begin"/>
      </w:r>
      <w:r>
        <w:instrText xml:space="preserve"> SEQ level0 \*arabic </w:instrText>
      </w:r>
      <w:r>
        <w:fldChar w:fldCharType="separate"/>
      </w:r>
      <w:r w:rsidR="002D5843">
        <w:rPr>
          <w:noProof/>
        </w:rPr>
        <w:t>35</w:t>
      </w:r>
      <w:r>
        <w:rPr>
          <w:noProof/>
        </w:rPr>
        <w:fldChar w:fldCharType="end"/>
      </w:r>
      <w:r w:rsidRPr="0093514B" w:rsidR="0093514B">
        <w:t xml:space="preserve">.  Moreover, in all member States </w:t>
      </w:r>
      <w:r w:rsidR="00A16365">
        <w:t xml:space="preserve">a single penalty is imposed on </w:t>
      </w:r>
      <w:r w:rsidRPr="0093514B" w:rsidR="0093514B">
        <w:t>the perpetrator</w:t>
      </w:r>
      <w:r w:rsidRPr="0093514B" w:rsidR="0093514B">
        <w:rPr>
          <w:b/>
          <w:bCs/>
          <w:i/>
          <w:iCs/>
        </w:rPr>
        <w:t xml:space="preserve"> </w:t>
      </w:r>
      <w:r w:rsidRPr="0093514B" w:rsidR="0093514B">
        <w:rPr>
          <w:bCs/>
          <w:iCs/>
        </w:rPr>
        <w:t xml:space="preserve">of the </w:t>
      </w:r>
      <w:r w:rsidR="009C1BE0">
        <w:rPr>
          <w:bCs/>
          <w:iCs/>
        </w:rPr>
        <w:t>continuous</w:t>
      </w:r>
      <w:r w:rsidRPr="0093514B" w:rsidR="0093514B">
        <w:rPr>
          <w:bCs/>
          <w:iCs/>
        </w:rPr>
        <w:t xml:space="preserve"> criminal offence</w:t>
      </w:r>
      <w:r w:rsidRPr="0093514B" w:rsidR="0093514B">
        <w:t xml:space="preserve">. When </w:t>
      </w:r>
      <w:r w:rsidRPr="0093514B" w:rsidR="0093514B">
        <w:rPr>
          <w:lang w:val="en-GB"/>
        </w:rPr>
        <w:t xml:space="preserve">the </w:t>
      </w:r>
      <w:r w:rsidR="00D00611">
        <w:rPr>
          <w:lang w:val="en-GB"/>
        </w:rPr>
        <w:t xml:space="preserve">individual acts comprising a </w:t>
      </w:r>
      <w:r w:rsidR="009C1BE0">
        <w:rPr>
          <w:lang w:val="en-GB"/>
        </w:rPr>
        <w:t>continuous</w:t>
      </w:r>
      <w:r w:rsidRPr="0093514B" w:rsidR="0093514B">
        <w:rPr>
          <w:lang w:val="en-GB"/>
        </w:rPr>
        <w:t xml:space="preserve"> criminal offence</w:t>
      </w:r>
      <w:r w:rsidR="00A16365">
        <w:rPr>
          <w:lang w:val="en-GB"/>
        </w:rPr>
        <w:t xml:space="preserve"> </w:t>
      </w:r>
      <w:r w:rsidR="00D00611">
        <w:rPr>
          <w:lang w:val="en-GB"/>
        </w:rPr>
        <w:t>are</w:t>
      </w:r>
      <w:r w:rsidR="00A16365">
        <w:rPr>
          <w:lang w:val="en-GB"/>
        </w:rPr>
        <w:t xml:space="preserve"> covered by a number of different provisions</w:t>
      </w:r>
      <w:r w:rsidRPr="0093514B" w:rsidR="0093514B">
        <w:rPr>
          <w:lang w:val="en-GB"/>
        </w:rPr>
        <w:t xml:space="preserve">, the provision </w:t>
      </w:r>
      <w:r w:rsidR="00805DAF">
        <w:rPr>
          <w:lang w:val="en-GB"/>
        </w:rPr>
        <w:t>laying down</w:t>
      </w:r>
      <w:r w:rsidRPr="0093514B" w:rsidR="00805DAF">
        <w:rPr>
          <w:lang w:val="en-GB"/>
        </w:rPr>
        <w:t xml:space="preserve"> </w:t>
      </w:r>
      <w:r w:rsidRPr="0093514B" w:rsidR="0093514B">
        <w:rPr>
          <w:lang w:val="en-GB"/>
        </w:rPr>
        <w:t>the most severe penalty will apply.</w:t>
      </w:r>
    </w:p>
    <w:p w:rsidRPr="0093514B" w:rsidR="0093514B" w:rsidP="00926AF8" w:rsidRDefault="008807FE" w14:paraId="7DAC5D1E" w14:textId="77777777">
      <w:pPr>
        <w:pStyle w:val="ECHRPara"/>
      </w:pPr>
      <w:r>
        <w:fldChar w:fldCharType="begin"/>
      </w:r>
      <w:r>
        <w:instrText xml:space="preserve"> SEQ level0 \*arabic </w:instrText>
      </w:r>
      <w:r>
        <w:fldChar w:fldCharType="separate"/>
      </w:r>
      <w:r w:rsidR="002D5843">
        <w:rPr>
          <w:noProof/>
        </w:rPr>
        <w:t>36</w:t>
      </w:r>
      <w:r>
        <w:rPr>
          <w:noProof/>
        </w:rPr>
        <w:fldChar w:fldCharType="end"/>
      </w:r>
      <w:r w:rsidRPr="0093514B" w:rsidR="0093514B">
        <w:t xml:space="preserve">.  Finally, the </w:t>
      </w:r>
      <w:r w:rsidR="00A16365">
        <w:t>penalty imposed for</w:t>
      </w:r>
      <w:r w:rsidRPr="0093514B" w:rsidR="0093514B">
        <w:t xml:space="preserve"> a </w:t>
      </w:r>
      <w:r w:rsidR="009C1BE0">
        <w:t>continuous</w:t>
      </w:r>
      <w:r w:rsidRPr="0093514B" w:rsidR="0093514B">
        <w:t xml:space="preserve"> criminal offence is </w:t>
      </w:r>
      <w:r w:rsidR="00A16365">
        <w:t>invariably</w:t>
      </w:r>
      <w:r w:rsidRPr="0093514B" w:rsidR="00A16365">
        <w:t xml:space="preserve"> </w:t>
      </w:r>
      <w:r w:rsidRPr="0093514B" w:rsidR="0093514B">
        <w:t xml:space="preserve">more lenient than the cumulative, </w:t>
      </w:r>
      <w:r w:rsidRPr="00EA3D05" w:rsidR="0093514B">
        <w:rPr>
          <w:bCs/>
        </w:rPr>
        <w:t xml:space="preserve">consecutive or concurrent </w:t>
      </w:r>
      <w:r w:rsidR="00A16365">
        <w:t>sentences imposed for</w:t>
      </w:r>
      <w:r w:rsidRPr="0093514B" w:rsidR="0093514B">
        <w:t xml:space="preserve"> multiple criminal offences.</w:t>
      </w:r>
    </w:p>
    <w:bookmarkStart w:name="par54" w:id="26"/>
    <w:bookmarkStart w:name="para37" w:id="27"/>
    <w:p w:rsidRPr="0093514B" w:rsidR="0093514B" w:rsidP="00926AF8" w:rsidRDefault="0093514B" w14:paraId="587D434E" w14:textId="3A6D8128">
      <w:pPr>
        <w:pStyle w:val="ECHRPara"/>
      </w:pPr>
      <w:r w:rsidRPr="0093514B">
        <w:fldChar w:fldCharType="begin"/>
      </w:r>
      <w:r w:rsidRPr="0093514B">
        <w:instrText xml:space="preserve"> SEQ level0 \*arabic </w:instrText>
      </w:r>
      <w:r w:rsidRPr="0093514B">
        <w:fldChar w:fldCharType="separate"/>
      </w:r>
      <w:r w:rsidR="002D5843">
        <w:rPr>
          <w:noProof/>
        </w:rPr>
        <w:t>37</w:t>
      </w:r>
      <w:r w:rsidRPr="0093514B">
        <w:fldChar w:fldCharType="end"/>
      </w:r>
      <w:bookmarkEnd w:id="26"/>
      <w:bookmarkEnd w:id="27"/>
      <w:r w:rsidRPr="0093514B">
        <w:t>.  On the basis of the above considerations, the Court notes that</w:t>
      </w:r>
      <w:r w:rsidR="00A16365">
        <w:t xml:space="preserve"> the notion of</w:t>
      </w:r>
      <w:r w:rsidRPr="0093514B">
        <w:t xml:space="preserve"> a </w:t>
      </w:r>
      <w:r w:rsidR="009C1BE0">
        <w:t>continuous</w:t>
      </w:r>
      <w:r w:rsidRPr="0093514B">
        <w:t xml:space="preserve"> criminal offence is not only a commonly used legislative and judicial approach to penalising a particular type of conduct</w:t>
      </w:r>
      <w:r w:rsidR="00805DAF">
        <w:t>,</w:t>
      </w:r>
      <w:r w:rsidRPr="0093514B">
        <w:t xml:space="preserve"> but is also </w:t>
      </w:r>
      <w:r w:rsidRPr="0093514B">
        <w:rPr>
          <w:lang w:val="en-GB"/>
        </w:rPr>
        <w:t>specifically aimed at applying more lenient sentencing rules</w:t>
      </w:r>
      <w:r w:rsidRPr="0093514B">
        <w:t xml:space="preserve"> (see, </w:t>
      </w:r>
      <w:r w:rsidR="00A16365">
        <w:t>by way of</w:t>
      </w:r>
      <w:r w:rsidRPr="0093514B" w:rsidR="00A16365">
        <w:t xml:space="preserve"> </w:t>
      </w:r>
      <w:r w:rsidRPr="0093514B">
        <w:t xml:space="preserve">comparison, </w:t>
      </w:r>
      <w:r w:rsidRPr="0093514B">
        <w:rPr>
          <w:i/>
          <w:lang w:val="en-GB"/>
        </w:rPr>
        <w:t>Maktouf and Damjanović</w:t>
      </w:r>
      <w:r w:rsidRPr="00A16365" w:rsidR="00A16365">
        <w:rPr>
          <w:i/>
          <w:snapToGrid w:val="0"/>
          <w:sz w:val="22"/>
          <w:lang w:val="en-GB"/>
        </w:rPr>
        <w:t xml:space="preserve"> </w:t>
      </w:r>
      <w:r w:rsidRPr="00A16365" w:rsidR="00A16365">
        <w:rPr>
          <w:i/>
          <w:lang w:val="en-GB"/>
        </w:rPr>
        <w:t xml:space="preserve">v. Bosnia and Herzegovina </w:t>
      </w:r>
      <w:r w:rsidRPr="00A16365" w:rsidR="00A16365">
        <w:rPr>
          <w:lang w:val="en-GB"/>
        </w:rPr>
        <w:t xml:space="preserve">[GC], nos. 2312/08 and 34179/08, § </w:t>
      </w:r>
      <w:r w:rsidR="00A16365">
        <w:rPr>
          <w:lang w:val="en-GB"/>
        </w:rPr>
        <w:t>70</w:t>
      </w:r>
      <w:r w:rsidRPr="00A16365" w:rsidR="00A16365">
        <w:rPr>
          <w:lang w:val="en-GB"/>
        </w:rPr>
        <w:t>, ECHR 2013</w:t>
      </w:r>
      <w:r w:rsidRPr="0093514B">
        <w:rPr>
          <w:lang w:val="en-GB"/>
        </w:rPr>
        <w:t xml:space="preserve">). It can be said </w:t>
      </w:r>
      <w:r w:rsidRPr="0093514B">
        <w:t xml:space="preserve">that the concept of a </w:t>
      </w:r>
      <w:r w:rsidR="009C1BE0">
        <w:t>continuous</w:t>
      </w:r>
      <w:r w:rsidRPr="0093514B">
        <w:t xml:space="preserve"> criminal offence </w:t>
      </w:r>
      <w:r w:rsidR="00A16365">
        <w:t>confers</w:t>
      </w:r>
      <w:r w:rsidRPr="0093514B" w:rsidR="00A16365">
        <w:t xml:space="preserve"> </w:t>
      </w:r>
      <w:r w:rsidRPr="0093514B">
        <w:t xml:space="preserve">two benefits </w:t>
      </w:r>
      <w:r w:rsidR="00A16365">
        <w:t>on</w:t>
      </w:r>
      <w:r w:rsidRPr="0093514B" w:rsidR="00A16365">
        <w:t xml:space="preserve"> </w:t>
      </w:r>
      <w:r w:rsidRPr="0093514B">
        <w:t>the offender:</w:t>
      </w:r>
    </w:p>
    <w:p w:rsidRPr="0093514B" w:rsidR="0093514B" w:rsidP="00926AF8" w:rsidRDefault="00617145" w14:paraId="588BE778" w14:textId="1600A33E">
      <w:pPr>
        <w:pStyle w:val="ECHRPara"/>
      </w:pPr>
      <w:r>
        <w:t>(a)  </w:t>
      </w:r>
      <w:r w:rsidRPr="0093514B" w:rsidR="0093514B">
        <w:t xml:space="preserve">he or she is given one single sentence instead of a cumulative, consecutive or concurrent sentence imposed </w:t>
      </w:r>
      <w:r w:rsidRPr="00926AF8" w:rsidR="0093514B">
        <w:rPr>
          <w:rStyle w:val="JuParaCar"/>
        </w:rPr>
        <w:t>f</w:t>
      </w:r>
      <w:r w:rsidRPr="0093514B" w:rsidR="0093514B">
        <w:t>or several offences; and</w:t>
      </w:r>
    </w:p>
    <w:p w:rsidRPr="0093514B" w:rsidR="0093514B" w:rsidP="00926AF8" w:rsidRDefault="00617145" w14:paraId="0A3BC229" w14:textId="77777777">
      <w:pPr>
        <w:pStyle w:val="ECHRPara"/>
      </w:pPr>
      <w:r>
        <w:t>(b)  </w:t>
      </w:r>
      <w:r w:rsidRPr="0093514B" w:rsidR="0093514B">
        <w:t xml:space="preserve">there is a requirement that the </w:t>
      </w:r>
      <w:r w:rsidRPr="0093514B" w:rsidR="00A16365">
        <w:t>constitu</w:t>
      </w:r>
      <w:r w:rsidR="00A16365">
        <w:t>ent</w:t>
      </w:r>
      <w:r w:rsidRPr="0093514B" w:rsidR="00A16365">
        <w:t xml:space="preserve"> </w:t>
      </w:r>
      <w:r w:rsidRPr="0093514B" w:rsidR="0093514B">
        <w:t>elements of the offence defined by the new law</w:t>
      </w:r>
      <w:r w:rsidR="008D5B6E">
        <w:t>, if any,</w:t>
      </w:r>
      <w:r w:rsidRPr="0093514B" w:rsidR="0093514B">
        <w:t xml:space="preserve"> be </w:t>
      </w:r>
      <w:r w:rsidR="009A7810">
        <w:t>made out</w:t>
      </w:r>
      <w:r w:rsidRPr="0093514B" w:rsidR="009A7810">
        <w:t xml:space="preserve"> </w:t>
      </w:r>
      <w:r w:rsidRPr="0093514B" w:rsidR="0093514B">
        <w:t xml:space="preserve">from the </w:t>
      </w:r>
      <w:r w:rsidR="009A7810">
        <w:t>onset</w:t>
      </w:r>
      <w:r w:rsidRPr="0093514B" w:rsidR="0093514B">
        <w:t xml:space="preserve"> of the criminal conduct, that is</w:t>
      </w:r>
      <w:r w:rsidR="00805DAF">
        <w:t>,</w:t>
      </w:r>
      <w:r w:rsidRPr="0093514B" w:rsidR="0093514B">
        <w:t xml:space="preserve"> also with regard to the facts which occurred before the entry into force of </w:t>
      </w:r>
      <w:r w:rsidR="009A7810">
        <w:t>the</w:t>
      </w:r>
      <w:r w:rsidRPr="0093514B" w:rsidR="009A7810">
        <w:t xml:space="preserve"> </w:t>
      </w:r>
      <w:r w:rsidRPr="0093514B" w:rsidR="0093514B">
        <w:t>new law.</w:t>
      </w:r>
    </w:p>
    <w:p w:rsidRPr="0093514B" w:rsidR="0093514B" w:rsidP="00926AF8" w:rsidRDefault="00262674" w14:paraId="31945106" w14:textId="77777777">
      <w:pPr>
        <w:pStyle w:val="ECHRHeading2"/>
        <w:rPr>
          <w:lang w:val="en-GB"/>
        </w:rPr>
      </w:pPr>
      <w:r>
        <w:rPr>
          <w:lang w:val="en-GB"/>
        </w:rPr>
        <w:t>C.  </w:t>
      </w:r>
      <w:r w:rsidRPr="0093514B" w:rsidR="0093514B">
        <w:rPr>
          <w:lang w:val="en-GB"/>
        </w:rPr>
        <w:t>International law</w:t>
      </w:r>
    </w:p>
    <w:p w:rsidRPr="0093514B" w:rsidR="0093514B" w:rsidP="00926AF8" w:rsidRDefault="00262674" w14:paraId="21F51A83" w14:textId="76BF1406">
      <w:pPr>
        <w:pStyle w:val="ECHRHeading3"/>
      </w:pPr>
      <w:r>
        <w:t>1.  </w:t>
      </w:r>
      <w:r w:rsidRPr="0093514B" w:rsidR="0093514B">
        <w:t>Council of Europe Convention on preventing and combating violence against women and domestic violence (adopted by the Committee of Ministers on 7 April 2011</w:t>
      </w:r>
      <w:r w:rsidR="009E3E70">
        <w:t>,</w:t>
      </w:r>
      <w:r w:rsidRPr="0093514B" w:rsidR="009E3E70">
        <w:t xml:space="preserve"> </w:t>
      </w:r>
      <w:r w:rsidR="00DE2122">
        <w:t xml:space="preserve">came </w:t>
      </w:r>
      <w:r w:rsidR="00B36A69">
        <w:t>into force on 1 </w:t>
      </w:r>
      <w:r w:rsidRPr="0093514B" w:rsidR="0093514B">
        <w:t>August 2014)</w:t>
      </w:r>
    </w:p>
    <w:bookmarkStart w:name="par38" w:id="28"/>
    <w:p w:rsidRPr="0093514B" w:rsidR="0093514B" w:rsidP="00926AF8" w:rsidRDefault="0093514B" w14:paraId="5306EA6E" w14:textId="1B7021FE">
      <w:pPr>
        <w:pStyle w:val="ECHRPara"/>
      </w:pPr>
      <w:r w:rsidRPr="0093514B">
        <w:fldChar w:fldCharType="begin"/>
      </w:r>
      <w:r w:rsidRPr="0093514B">
        <w:instrText xml:space="preserve"> SEQ level0 \*arabic </w:instrText>
      </w:r>
      <w:r w:rsidRPr="0093514B">
        <w:fldChar w:fldCharType="separate"/>
      </w:r>
      <w:r w:rsidR="002D5843">
        <w:rPr>
          <w:noProof/>
        </w:rPr>
        <w:t>38</w:t>
      </w:r>
      <w:r w:rsidRPr="0093514B">
        <w:rPr>
          <w:noProof/>
        </w:rPr>
        <w:fldChar w:fldCharType="end"/>
      </w:r>
      <w:bookmarkEnd w:id="28"/>
      <w:r w:rsidRPr="0093514B">
        <w:t xml:space="preserve">.  Under this </w:t>
      </w:r>
      <w:r w:rsidR="009A7810">
        <w:t>C</w:t>
      </w:r>
      <w:r w:rsidRPr="0093514B">
        <w:t xml:space="preserve">onvention, which the Czech Republic has not ratified, the State </w:t>
      </w:r>
      <w:r w:rsidR="009A7810">
        <w:t xml:space="preserve">has an obligation </w:t>
      </w:r>
      <w:r w:rsidRPr="0093514B">
        <w:t xml:space="preserve">to address </w:t>
      </w:r>
      <w:r w:rsidRPr="0093514B" w:rsidR="009E3E70">
        <w:t xml:space="preserve">fully </w:t>
      </w:r>
      <w:r w:rsidRPr="0093514B">
        <w:t xml:space="preserve">violence against women in all its forms and to take measures to prevent it, protect its victims and prosecute the perpetrators. The </w:t>
      </w:r>
      <w:r w:rsidR="009A7810">
        <w:t>C</w:t>
      </w:r>
      <w:r w:rsidRPr="0093514B">
        <w:t xml:space="preserve">onvention provides, </w:t>
      </w:r>
      <w:r w:rsidRPr="0093514B">
        <w:rPr>
          <w:i/>
        </w:rPr>
        <w:t>inter alia</w:t>
      </w:r>
      <w:r w:rsidR="00297F54">
        <w:t>, as follows</w:t>
      </w:r>
      <w:r w:rsidRPr="0093514B">
        <w:t>:</w:t>
      </w:r>
    </w:p>
    <w:p w:rsidRPr="0093514B" w:rsidR="0093514B" w:rsidP="00926AF8" w:rsidRDefault="0093514B" w14:paraId="4B5C6BCE" w14:textId="77777777">
      <w:pPr>
        <w:pStyle w:val="ECHRTitleCentre3"/>
      </w:pPr>
      <w:r w:rsidRPr="0093514B">
        <w:t>Article 46 – Aggravating circumstances</w:t>
      </w:r>
    </w:p>
    <w:p w:rsidRPr="0093514B" w:rsidR="0093514B" w:rsidP="00926AF8" w:rsidRDefault="0093514B" w14:paraId="33A0A29E" w14:textId="77777777">
      <w:pPr>
        <w:pStyle w:val="ECHRParaQuote"/>
      </w:pPr>
      <w:r w:rsidRPr="0093514B">
        <w:t>“Parties shall take the necessary legislative or other measures to ensure that the following circumstances, insofar as they do not already form part of the constituent elements of the offence, may, in conformity with the relevant provisions of internal law, be taken into consideration as aggravating circumstances in the determination of the sentence in relation to the offences established in accordance with this Convention:</w:t>
      </w:r>
    </w:p>
    <w:p w:rsidRPr="0093514B" w:rsidR="0093514B" w:rsidP="00926AF8" w:rsidRDefault="0093514B" w14:paraId="348B46A4" w14:textId="77777777">
      <w:pPr>
        <w:pStyle w:val="ECHRParaQuote"/>
      </w:pPr>
      <w:r w:rsidRPr="0093514B">
        <w:t>...</w:t>
      </w:r>
    </w:p>
    <w:p w:rsidRPr="0093514B" w:rsidR="0093514B" w:rsidP="00926AF8" w:rsidRDefault="00D94120" w14:paraId="5E21C0BE" w14:textId="77777777">
      <w:pPr>
        <w:pStyle w:val="ECHRParaQuote"/>
      </w:pPr>
      <w:r>
        <w:t>b  </w:t>
      </w:r>
      <w:r w:rsidRPr="0093514B" w:rsidR="0093514B">
        <w:t>the offence, or related offences, were committed repeatedly;</w:t>
      </w:r>
    </w:p>
    <w:p w:rsidRPr="0093514B" w:rsidR="0093514B" w:rsidP="00926AF8" w:rsidRDefault="0093514B" w14:paraId="4FEC1795" w14:textId="77777777">
      <w:pPr>
        <w:pStyle w:val="ECHRParaQuote"/>
      </w:pPr>
      <w:r w:rsidRPr="0093514B">
        <w:t>...”</w:t>
      </w:r>
    </w:p>
    <w:p w:rsidRPr="0093514B" w:rsidR="0093514B" w:rsidP="00926AF8" w:rsidRDefault="0093514B" w14:paraId="2F5191D0" w14:textId="20DB4951">
      <w:pPr>
        <w:pStyle w:val="ECHRPara"/>
        <w:rPr>
          <w:rFonts w:eastAsiaTheme="majorEastAsia"/>
        </w:rPr>
      </w:pPr>
      <w:r w:rsidRPr="0093514B">
        <w:rPr>
          <w:rFonts w:eastAsiaTheme="majorEastAsia"/>
        </w:rPr>
        <w:fldChar w:fldCharType="begin"/>
      </w:r>
      <w:r w:rsidRPr="0093514B">
        <w:rPr>
          <w:rFonts w:eastAsiaTheme="majorEastAsia"/>
        </w:rPr>
        <w:instrText xml:space="preserve"> SEQ level0 \*arabic </w:instrText>
      </w:r>
      <w:r w:rsidRPr="0093514B">
        <w:rPr>
          <w:rFonts w:eastAsiaTheme="majorEastAsia"/>
        </w:rPr>
        <w:fldChar w:fldCharType="separate"/>
      </w:r>
      <w:r w:rsidR="002D5843">
        <w:rPr>
          <w:rFonts w:eastAsiaTheme="majorEastAsia"/>
          <w:noProof/>
        </w:rPr>
        <w:t>39</w:t>
      </w:r>
      <w:r w:rsidRPr="0093514B">
        <w:rPr>
          <w:rFonts w:eastAsiaTheme="majorEastAsia"/>
        </w:rPr>
        <w:fldChar w:fldCharType="end"/>
      </w:r>
      <w:r w:rsidRPr="0093514B">
        <w:rPr>
          <w:rFonts w:eastAsiaTheme="majorEastAsia"/>
        </w:rPr>
        <w:t xml:space="preserve">.  According to paragraph 237 of the explanatory report </w:t>
      </w:r>
      <w:r w:rsidR="007F3041">
        <w:rPr>
          <w:rFonts w:eastAsiaTheme="majorEastAsia"/>
        </w:rPr>
        <w:t>on</w:t>
      </w:r>
      <w:r w:rsidRPr="0093514B" w:rsidR="007F3041">
        <w:rPr>
          <w:rFonts w:eastAsiaTheme="majorEastAsia"/>
        </w:rPr>
        <w:t xml:space="preserve"> </w:t>
      </w:r>
      <w:r w:rsidRPr="0093514B">
        <w:rPr>
          <w:rFonts w:eastAsiaTheme="majorEastAsia"/>
        </w:rPr>
        <w:t xml:space="preserve">the </w:t>
      </w:r>
      <w:r w:rsidRPr="007538BE">
        <w:rPr>
          <w:rFonts w:eastAsiaTheme="majorEastAsia"/>
        </w:rPr>
        <w:t>above-mentioned Convention, the aggravating circumstance mentioned in Article</w:t>
      </w:r>
      <w:r w:rsidR="0067708B">
        <w:rPr>
          <w:rFonts w:eastAsiaTheme="majorEastAsia"/>
        </w:rPr>
        <w:t> </w:t>
      </w:r>
      <w:r w:rsidRPr="007538BE">
        <w:rPr>
          <w:rFonts w:eastAsiaTheme="majorEastAsia"/>
        </w:rPr>
        <w:t>46</w:t>
      </w:r>
      <w:r w:rsidR="009E3E70">
        <w:rPr>
          <w:rFonts w:eastAsiaTheme="majorEastAsia"/>
        </w:rPr>
        <w:t>,</w:t>
      </w:r>
      <w:r w:rsidRPr="007538BE">
        <w:rPr>
          <w:rFonts w:eastAsiaTheme="majorEastAsia"/>
        </w:rPr>
        <w:t xml:space="preserve"> sub-paragraph </w:t>
      </w:r>
      <w:r w:rsidRPr="007538BE">
        <w:rPr>
          <w:rFonts w:eastAsiaTheme="majorEastAsia"/>
          <w:iCs/>
        </w:rPr>
        <w:t>b</w:t>
      </w:r>
      <w:r w:rsidR="009E3E70">
        <w:rPr>
          <w:rFonts w:eastAsiaTheme="majorEastAsia"/>
          <w:iCs/>
        </w:rPr>
        <w:t>,</w:t>
      </w:r>
      <w:r w:rsidRPr="007538BE">
        <w:rPr>
          <w:rFonts w:eastAsiaTheme="majorEastAsia"/>
        </w:rPr>
        <w:t xml:space="preserve"> concerns offences that are committed repeatedly. This refers to any of the offences established by this Convention as well as</w:t>
      </w:r>
      <w:r w:rsidRPr="0093514B">
        <w:rPr>
          <w:rFonts w:eastAsiaTheme="majorEastAsia"/>
        </w:rPr>
        <w:t xml:space="preserve"> any related offence</w:t>
      </w:r>
      <w:r w:rsidR="00D962FA">
        <w:rPr>
          <w:rFonts w:eastAsiaTheme="majorEastAsia"/>
        </w:rPr>
        <w:t>s</w:t>
      </w:r>
      <w:r w:rsidRPr="0093514B">
        <w:rPr>
          <w:rFonts w:eastAsiaTheme="majorEastAsia"/>
        </w:rPr>
        <w:t xml:space="preserve"> which are committed by the same perpetrator more than once during a certain period of time. The drafters thereby decided to emphasise the particularly devastating effect on a victim who is repeatedly subjected to the same type of criminal act. This is often the case in situations of domestic violence, which inspired the drafters to require the possibility of increased court sentences. It is important to note that the facts of an offence of a similar nature which led to </w:t>
      </w:r>
      <w:r w:rsidR="008E4F31">
        <w:rPr>
          <w:rFonts w:eastAsiaTheme="majorEastAsia"/>
        </w:rPr>
        <w:t>the</w:t>
      </w:r>
      <w:r w:rsidRPr="0093514B" w:rsidR="008E4F31">
        <w:rPr>
          <w:rFonts w:eastAsiaTheme="majorEastAsia"/>
        </w:rPr>
        <w:t xml:space="preserve"> </w:t>
      </w:r>
      <w:r w:rsidRPr="0093514B">
        <w:rPr>
          <w:rFonts w:eastAsiaTheme="majorEastAsia"/>
        </w:rPr>
        <w:t xml:space="preserve">conviction of the same perpetrator may not be considered as a repeated act referred to under sub-paragraph </w:t>
      </w:r>
      <w:r w:rsidRPr="0093514B">
        <w:rPr>
          <w:rFonts w:eastAsiaTheme="majorEastAsia"/>
          <w:iCs/>
        </w:rPr>
        <w:t>b</w:t>
      </w:r>
      <w:r w:rsidR="009E3E70">
        <w:rPr>
          <w:rFonts w:eastAsiaTheme="majorEastAsia"/>
          <w:iCs/>
        </w:rPr>
        <w:t>,</w:t>
      </w:r>
      <w:r w:rsidRPr="0093514B">
        <w:rPr>
          <w:rFonts w:eastAsiaTheme="majorEastAsia"/>
          <w:iCs/>
        </w:rPr>
        <w:t xml:space="preserve"> </w:t>
      </w:r>
      <w:r w:rsidRPr="0093514B">
        <w:rPr>
          <w:rFonts w:eastAsiaTheme="majorEastAsia"/>
        </w:rPr>
        <w:t xml:space="preserve">but constitute an aggravating circumstance </w:t>
      </w:r>
      <w:r w:rsidR="00297F54">
        <w:rPr>
          <w:rFonts w:eastAsiaTheme="majorEastAsia"/>
        </w:rPr>
        <w:t>in</w:t>
      </w:r>
      <w:r w:rsidRPr="0093514B" w:rsidR="00297F54">
        <w:rPr>
          <w:rFonts w:eastAsiaTheme="majorEastAsia"/>
        </w:rPr>
        <w:t xml:space="preserve"> </w:t>
      </w:r>
      <w:r w:rsidRPr="0093514B">
        <w:rPr>
          <w:rFonts w:eastAsiaTheme="majorEastAsia"/>
        </w:rPr>
        <w:t>their own</w:t>
      </w:r>
      <w:r w:rsidR="00297F54">
        <w:rPr>
          <w:rFonts w:eastAsiaTheme="majorEastAsia"/>
        </w:rPr>
        <w:t xml:space="preserve"> right</w:t>
      </w:r>
      <w:r w:rsidRPr="0093514B">
        <w:rPr>
          <w:rFonts w:eastAsiaTheme="majorEastAsia"/>
        </w:rPr>
        <w:t xml:space="preserve"> under sub-paragraph </w:t>
      </w:r>
      <w:r w:rsidRPr="0093514B">
        <w:rPr>
          <w:rFonts w:eastAsiaTheme="majorEastAsia"/>
          <w:iCs/>
        </w:rPr>
        <w:t>i</w:t>
      </w:r>
      <w:r w:rsidRPr="0093514B">
        <w:rPr>
          <w:rFonts w:eastAsiaTheme="majorEastAsia"/>
        </w:rPr>
        <w:t>.</w:t>
      </w:r>
    </w:p>
    <w:p w:rsidRPr="0093514B" w:rsidR="0093514B" w:rsidP="00926AF8" w:rsidRDefault="00262674" w14:paraId="67539481" w14:textId="77777777">
      <w:pPr>
        <w:pStyle w:val="ECHRHeading3"/>
      </w:pPr>
      <w:r>
        <w:t>2.  </w:t>
      </w:r>
      <w:r w:rsidRPr="0093514B" w:rsidR="0093514B">
        <w:t>Case-law of the General Court of the European Union</w:t>
      </w:r>
    </w:p>
    <w:p w:rsidR="00112C8F" w:rsidP="00926AF8" w:rsidRDefault="0093514B" w14:paraId="0C74FEB2" w14:textId="5C4FC860">
      <w:pPr>
        <w:pStyle w:val="ECHRPara"/>
        <w:rPr>
          <w:rFonts w:eastAsiaTheme="majorEastAsia"/>
        </w:rPr>
      </w:pPr>
      <w:r w:rsidRPr="0093514B">
        <w:rPr>
          <w:rFonts w:eastAsiaTheme="majorEastAsia"/>
        </w:rPr>
        <w:fldChar w:fldCharType="begin"/>
      </w:r>
      <w:r w:rsidRPr="0093514B">
        <w:rPr>
          <w:rFonts w:eastAsiaTheme="majorEastAsia"/>
        </w:rPr>
        <w:instrText xml:space="preserve"> SEQ level0 \*arabic </w:instrText>
      </w:r>
      <w:r w:rsidRPr="0093514B">
        <w:rPr>
          <w:rFonts w:eastAsiaTheme="majorEastAsia"/>
        </w:rPr>
        <w:fldChar w:fldCharType="separate"/>
      </w:r>
      <w:r w:rsidR="002D5843">
        <w:rPr>
          <w:rFonts w:eastAsiaTheme="majorEastAsia"/>
          <w:noProof/>
        </w:rPr>
        <w:t>40</w:t>
      </w:r>
      <w:r w:rsidRPr="0093514B">
        <w:rPr>
          <w:rFonts w:eastAsiaTheme="majorEastAsia"/>
        </w:rPr>
        <w:fldChar w:fldCharType="end"/>
      </w:r>
      <w:r w:rsidRPr="0093514B">
        <w:rPr>
          <w:rFonts w:eastAsiaTheme="majorEastAsia"/>
        </w:rPr>
        <w:t xml:space="preserve">.  In its judgment of 17 May 2013 in </w:t>
      </w:r>
      <w:r w:rsidRPr="0093514B">
        <w:rPr>
          <w:rFonts w:eastAsiaTheme="majorEastAsia"/>
          <w:i/>
        </w:rPr>
        <w:t xml:space="preserve">Trelleborg Industrie SAS and Trelleborg AB v. European Commission </w:t>
      </w:r>
      <w:r w:rsidRPr="0093514B">
        <w:rPr>
          <w:rFonts w:eastAsiaTheme="majorEastAsia"/>
        </w:rPr>
        <w:t>(</w:t>
      </w:r>
      <w:r w:rsidR="00DF7493">
        <w:rPr>
          <w:rFonts w:eastAsiaTheme="majorEastAsia"/>
        </w:rPr>
        <w:t>j</w:t>
      </w:r>
      <w:r w:rsidRPr="0093514B">
        <w:rPr>
          <w:rFonts w:eastAsiaTheme="majorEastAsia"/>
        </w:rPr>
        <w:t xml:space="preserve">oined </w:t>
      </w:r>
      <w:r w:rsidR="00DF7493">
        <w:rPr>
          <w:rFonts w:eastAsiaTheme="majorEastAsia"/>
        </w:rPr>
        <w:t>c</w:t>
      </w:r>
      <w:r w:rsidRPr="0093514B">
        <w:rPr>
          <w:rFonts w:eastAsiaTheme="majorEastAsia"/>
        </w:rPr>
        <w:t>ases T-147/09 and T</w:t>
      </w:r>
      <w:r w:rsidR="00DF7493">
        <w:rPr>
          <w:rFonts w:eastAsiaTheme="majorEastAsia"/>
        </w:rPr>
        <w:noBreakHyphen/>
      </w:r>
      <w:r w:rsidRPr="0093514B">
        <w:rPr>
          <w:rFonts w:eastAsiaTheme="majorEastAsia"/>
        </w:rPr>
        <w:t xml:space="preserve">148/09), the General Court </w:t>
      </w:r>
      <w:r w:rsidR="007A618B">
        <w:rPr>
          <w:rFonts w:eastAsiaTheme="majorEastAsia"/>
        </w:rPr>
        <w:t xml:space="preserve">dealt with the distinction between a </w:t>
      </w:r>
      <w:r w:rsidR="002C70A9">
        <w:rPr>
          <w:rFonts w:eastAsiaTheme="majorEastAsia"/>
        </w:rPr>
        <w:t>“</w:t>
      </w:r>
      <w:r w:rsidR="007A618B">
        <w:rPr>
          <w:rFonts w:eastAsiaTheme="majorEastAsia"/>
        </w:rPr>
        <w:t>continuing</w:t>
      </w:r>
      <w:r w:rsidR="002C70A9">
        <w:rPr>
          <w:rFonts w:eastAsiaTheme="majorEastAsia"/>
        </w:rPr>
        <w:t>”</w:t>
      </w:r>
      <w:r w:rsidR="007A618B">
        <w:rPr>
          <w:rFonts w:eastAsiaTheme="majorEastAsia"/>
        </w:rPr>
        <w:t xml:space="preserve"> and a </w:t>
      </w:r>
      <w:r w:rsidR="002C70A9">
        <w:rPr>
          <w:rFonts w:eastAsiaTheme="majorEastAsia"/>
        </w:rPr>
        <w:t>“</w:t>
      </w:r>
      <w:r w:rsidR="007A618B">
        <w:rPr>
          <w:rFonts w:eastAsiaTheme="majorEastAsia"/>
        </w:rPr>
        <w:t>repeated</w:t>
      </w:r>
      <w:r w:rsidR="002C70A9">
        <w:rPr>
          <w:rFonts w:eastAsiaTheme="majorEastAsia"/>
        </w:rPr>
        <w:t>”</w:t>
      </w:r>
      <w:r w:rsidR="007A618B">
        <w:rPr>
          <w:rFonts w:eastAsiaTheme="majorEastAsia"/>
        </w:rPr>
        <w:t xml:space="preserve"> infringement.</w:t>
      </w:r>
    </w:p>
    <w:p w:rsidRPr="0093514B" w:rsidR="0093514B" w:rsidP="00926AF8" w:rsidRDefault="0093514B" w14:paraId="7F5BA05E" w14:textId="77777777">
      <w:pPr>
        <w:pStyle w:val="ECHRTitle1"/>
        <w:rPr>
          <w:lang w:val="en-GB"/>
        </w:rPr>
      </w:pPr>
      <w:r w:rsidRPr="0093514B">
        <w:rPr>
          <w:lang w:val="en-GB"/>
        </w:rPr>
        <w:t>THE LAW</w:t>
      </w:r>
    </w:p>
    <w:p w:rsidRPr="0093514B" w:rsidR="0093514B" w:rsidP="00926AF8" w:rsidRDefault="0093514B" w14:paraId="79242EB4" w14:textId="77777777">
      <w:pPr>
        <w:pStyle w:val="ECHRHeading1"/>
        <w:rPr>
          <w:lang w:val="en-GB"/>
        </w:rPr>
      </w:pPr>
      <w:r w:rsidRPr="0093514B">
        <w:rPr>
          <w:lang w:val="en-GB"/>
        </w:rPr>
        <w:t>ALLEGED VIOLATION OF ARTICLE 7 OF THE CONVENTION</w:t>
      </w:r>
    </w:p>
    <w:p w:rsidRPr="0093514B" w:rsidR="0093514B" w:rsidP="00926AF8" w:rsidRDefault="0093514B" w14:paraId="7C20B9A1" w14:textId="77777777">
      <w:pPr>
        <w:pStyle w:val="ECHRPara"/>
        <w:rPr>
          <w:lang w:val="en-GB"/>
        </w:rPr>
      </w:pPr>
      <w:r w:rsidRPr="0093514B">
        <w:rPr>
          <w:lang w:val="en-GB"/>
        </w:rPr>
        <w:fldChar w:fldCharType="begin"/>
      </w:r>
      <w:r w:rsidRPr="0093514B">
        <w:rPr>
          <w:lang w:val="en-GB"/>
        </w:rPr>
        <w:instrText xml:space="preserve"> SEQ level0 \*arabic </w:instrText>
      </w:r>
      <w:r w:rsidRPr="0093514B">
        <w:rPr>
          <w:lang w:val="en-GB"/>
        </w:rPr>
        <w:fldChar w:fldCharType="separate"/>
      </w:r>
      <w:r w:rsidR="002D5843">
        <w:rPr>
          <w:noProof/>
          <w:lang w:val="en-GB"/>
        </w:rPr>
        <w:t>41</w:t>
      </w:r>
      <w:r w:rsidRPr="0093514B">
        <w:rPr>
          <w:lang w:val="en-GB"/>
        </w:rPr>
        <w:fldChar w:fldCharType="end"/>
      </w:r>
      <w:r w:rsidRPr="0093514B">
        <w:rPr>
          <w:lang w:val="en-GB"/>
        </w:rPr>
        <w:t xml:space="preserve">.  The applicant complained </w:t>
      </w:r>
      <w:r w:rsidR="00497640">
        <w:rPr>
          <w:lang w:val="en-GB"/>
        </w:rPr>
        <w:t xml:space="preserve">that </w:t>
      </w:r>
      <w:r w:rsidRPr="0093514B">
        <w:rPr>
          <w:lang w:val="en-GB"/>
        </w:rPr>
        <w:t>the Criminal Code</w:t>
      </w:r>
      <w:r w:rsidR="00497640">
        <w:rPr>
          <w:lang w:val="en-GB"/>
        </w:rPr>
        <w:t xml:space="preserve"> had been applied retro</w:t>
      </w:r>
      <w:r w:rsidR="00F015A0">
        <w:rPr>
          <w:lang w:val="en-GB"/>
        </w:rPr>
        <w:t>a</w:t>
      </w:r>
      <w:r w:rsidR="00497640">
        <w:rPr>
          <w:lang w:val="en-GB"/>
        </w:rPr>
        <w:t>ctively</w:t>
      </w:r>
      <w:r w:rsidRPr="0093514B">
        <w:rPr>
          <w:lang w:val="en-GB"/>
        </w:rPr>
        <w:t xml:space="preserve"> in his case, pointing out that he had been convicted of a </w:t>
      </w:r>
      <w:r w:rsidR="009C1BE0">
        <w:rPr>
          <w:lang w:val="en-GB"/>
        </w:rPr>
        <w:t>continuous</w:t>
      </w:r>
      <w:r w:rsidRPr="0093514B">
        <w:rPr>
          <w:lang w:val="en-GB"/>
        </w:rPr>
        <w:t xml:space="preserve"> offence of abusing a person living under the same roof which, according to the courts, encompassed his conduct even before that offence had been introduced into the law. He also alleged that the courts had not duly examined whether his </w:t>
      </w:r>
      <w:r w:rsidR="00A9640A">
        <w:rPr>
          <w:lang w:val="en-GB"/>
        </w:rPr>
        <w:t>actions</w:t>
      </w:r>
      <w:r w:rsidRPr="0093514B" w:rsidR="00A9640A">
        <w:rPr>
          <w:lang w:val="en-GB"/>
        </w:rPr>
        <w:t xml:space="preserve"> </w:t>
      </w:r>
      <w:r w:rsidRPr="0093514B">
        <w:rPr>
          <w:lang w:val="en-GB"/>
        </w:rPr>
        <w:t>prior to that date would have amounted to</w:t>
      </w:r>
      <w:r w:rsidR="008E4F31">
        <w:rPr>
          <w:lang w:val="en-GB"/>
        </w:rPr>
        <w:t xml:space="preserve"> a</w:t>
      </w:r>
      <w:r w:rsidRPr="0093514B">
        <w:rPr>
          <w:lang w:val="en-GB"/>
        </w:rPr>
        <w:t xml:space="preserve"> criminal offence under the old law. He relied in that regard </w:t>
      </w:r>
      <w:r w:rsidR="00A9640A">
        <w:rPr>
          <w:lang w:val="en-GB"/>
        </w:rPr>
        <w:t>on</w:t>
      </w:r>
      <w:r w:rsidRPr="0093514B" w:rsidR="00A9640A">
        <w:rPr>
          <w:lang w:val="en-GB"/>
        </w:rPr>
        <w:t xml:space="preserve"> </w:t>
      </w:r>
      <w:r w:rsidRPr="0093514B">
        <w:rPr>
          <w:lang w:val="en-GB"/>
        </w:rPr>
        <w:t>Article 7 of the Convention, which reads as follows:</w:t>
      </w:r>
    </w:p>
    <w:p w:rsidRPr="0093514B" w:rsidR="0093514B" w:rsidP="00926AF8" w:rsidRDefault="0093514B" w14:paraId="0E7E5AA4" w14:textId="77777777">
      <w:pPr>
        <w:pStyle w:val="ECHRParaQuote"/>
      </w:pPr>
      <w:r w:rsidRPr="0093514B">
        <w:t>“1.  No one shall be held guilty of any criminal offence on account of any act or omission which did not constitute a criminal offence under national or international law at the time when it was committed. Nor shall a heavier penalty be imposed than the one that was applicable at the time the criminal offence was committed.</w:t>
      </w:r>
    </w:p>
    <w:p w:rsidRPr="0093514B" w:rsidR="0093514B" w:rsidP="00926AF8" w:rsidRDefault="0093514B" w14:paraId="2067F084" w14:textId="37D4D1D5">
      <w:pPr>
        <w:pStyle w:val="ECHRParaQuote"/>
        <w:rPr>
          <w:lang w:val="en-GB"/>
        </w:rPr>
      </w:pPr>
      <w:r w:rsidRPr="0093514B">
        <w:t xml:space="preserve">2.  This </w:t>
      </w:r>
      <w:r w:rsidR="009E3E70">
        <w:t>A</w:t>
      </w:r>
      <w:r w:rsidRPr="0093514B">
        <w:t>rticle shall not prejudice the trial and punishment of any person for any act or omission which, at the time when it was committed, was criminal according to the general principles of law recognised by civilised nations.”</w:t>
      </w:r>
    </w:p>
    <w:p w:rsidRPr="0093514B" w:rsidR="0093514B" w:rsidP="00926AF8" w:rsidRDefault="0093514B" w14:paraId="4E82AE80" w14:textId="77777777">
      <w:pPr>
        <w:pStyle w:val="ECHRPara"/>
        <w:rPr>
          <w:lang w:val="en-GB"/>
        </w:rPr>
      </w:pPr>
      <w:r w:rsidRPr="0093514B">
        <w:rPr>
          <w:lang w:val="en-GB"/>
        </w:rPr>
        <w:fldChar w:fldCharType="begin"/>
      </w:r>
      <w:r w:rsidRPr="0093514B">
        <w:rPr>
          <w:lang w:val="en-GB"/>
        </w:rPr>
        <w:instrText xml:space="preserve"> SEQ level0 \*arabic </w:instrText>
      </w:r>
      <w:r w:rsidRPr="0093514B">
        <w:rPr>
          <w:lang w:val="en-GB"/>
        </w:rPr>
        <w:fldChar w:fldCharType="separate"/>
      </w:r>
      <w:r w:rsidR="002D5843">
        <w:rPr>
          <w:noProof/>
          <w:lang w:val="en-GB"/>
        </w:rPr>
        <w:t>42</w:t>
      </w:r>
      <w:r w:rsidRPr="0093514B">
        <w:rPr>
          <w:lang w:val="en-GB"/>
        </w:rPr>
        <w:fldChar w:fldCharType="end"/>
      </w:r>
      <w:r w:rsidRPr="0093514B">
        <w:rPr>
          <w:lang w:val="en-GB"/>
        </w:rPr>
        <w:t>.  The Government contested that argument.</w:t>
      </w:r>
    </w:p>
    <w:p w:rsidRPr="0093514B" w:rsidR="0093514B" w:rsidP="00926AF8" w:rsidRDefault="0093514B" w14:paraId="066D4756" w14:textId="77777777">
      <w:pPr>
        <w:pStyle w:val="ECHRHeading2"/>
        <w:rPr>
          <w:lang w:val="en-GB"/>
        </w:rPr>
      </w:pPr>
      <w:r w:rsidRPr="0093514B">
        <w:rPr>
          <w:lang w:val="en-GB"/>
        </w:rPr>
        <w:t>A.  The Chamber judgment</w:t>
      </w:r>
    </w:p>
    <w:p w:rsidRPr="0093514B" w:rsidR="0093514B" w:rsidP="00926AF8" w:rsidRDefault="0093514B" w14:paraId="295651C3" w14:textId="4EED11D8">
      <w:pPr>
        <w:pStyle w:val="ECHRPara"/>
        <w:rPr>
          <w:lang w:val="en-GB"/>
        </w:rPr>
      </w:pPr>
      <w:r w:rsidRPr="0093514B">
        <w:rPr>
          <w:lang w:val="en-GB"/>
        </w:rPr>
        <w:fldChar w:fldCharType="begin"/>
      </w:r>
      <w:r w:rsidRPr="0093514B">
        <w:rPr>
          <w:lang w:val="en-GB"/>
        </w:rPr>
        <w:instrText xml:space="preserve"> SEQ level0 \*arabic </w:instrText>
      </w:r>
      <w:r w:rsidRPr="0093514B">
        <w:rPr>
          <w:lang w:val="en-GB"/>
        </w:rPr>
        <w:fldChar w:fldCharType="separate"/>
      </w:r>
      <w:r w:rsidR="002D5843">
        <w:rPr>
          <w:noProof/>
          <w:lang w:val="en-GB"/>
        </w:rPr>
        <w:t>43</w:t>
      </w:r>
      <w:r w:rsidRPr="0093514B">
        <w:rPr>
          <w:lang w:val="en-GB"/>
        </w:rPr>
        <w:fldChar w:fldCharType="end"/>
      </w:r>
      <w:r w:rsidRPr="0093514B">
        <w:rPr>
          <w:lang w:val="en-GB"/>
        </w:rPr>
        <w:t>.  </w:t>
      </w:r>
      <w:r w:rsidRPr="0093514B">
        <w:t>In its judgment of 18 April 2013</w:t>
      </w:r>
      <w:r w:rsidR="009E3E70">
        <w:t>,</w:t>
      </w:r>
      <w:r w:rsidRPr="0093514B">
        <w:t xml:space="preserve"> the Chamber found that there had been no violation of Article 7 of the Convention. It </w:t>
      </w:r>
      <w:r w:rsidRPr="0093514B">
        <w:rPr>
          <w:lang w:val="en-GB"/>
        </w:rPr>
        <w:t xml:space="preserve">accepted that, </w:t>
      </w:r>
      <w:r w:rsidR="00726F0A">
        <w:rPr>
          <w:lang w:val="en-GB"/>
        </w:rPr>
        <w:t>from the standpoint of</w:t>
      </w:r>
      <w:r w:rsidRPr="0093514B" w:rsidR="00726F0A">
        <w:rPr>
          <w:lang w:val="en-GB"/>
        </w:rPr>
        <w:t xml:space="preserve"> </w:t>
      </w:r>
      <w:r w:rsidRPr="0093514B">
        <w:rPr>
          <w:lang w:val="en-GB"/>
        </w:rPr>
        <w:t>Czech law</w:t>
      </w:r>
      <w:r w:rsidR="007309DC">
        <w:rPr>
          <w:lang w:val="en-GB"/>
        </w:rPr>
        <w:t>,</w:t>
      </w:r>
      <w:r w:rsidRPr="0093514B">
        <w:rPr>
          <w:lang w:val="en-GB"/>
        </w:rPr>
        <w:t xml:space="preserve"> </w:t>
      </w:r>
      <w:r w:rsidR="00726F0A">
        <w:rPr>
          <w:lang w:val="en-GB"/>
        </w:rPr>
        <w:t>extending</w:t>
      </w:r>
      <w:r w:rsidRPr="0093514B">
        <w:rPr>
          <w:lang w:val="en-GB"/>
        </w:rPr>
        <w:t xml:space="preserve"> the application of the Criminal Code, as worded after 1 June 2004, to acts committed by the applicant prior to that date</w:t>
      </w:r>
      <w:r w:rsidR="00726F0A">
        <w:rPr>
          <w:lang w:val="en-GB"/>
        </w:rPr>
        <w:t xml:space="preserve"> had not amounted to </w:t>
      </w:r>
      <w:r w:rsidRPr="00726F0A" w:rsidR="00726F0A">
        <w:rPr>
          <w:lang w:val="en-GB"/>
        </w:rPr>
        <w:t>retro</w:t>
      </w:r>
      <w:r w:rsidR="008D5B6E">
        <w:rPr>
          <w:lang w:val="en-GB"/>
        </w:rPr>
        <w:t>a</w:t>
      </w:r>
      <w:r w:rsidRPr="00726F0A" w:rsidR="00726F0A">
        <w:rPr>
          <w:lang w:val="en-GB"/>
        </w:rPr>
        <w:t>ctive application of the criminal law</w:t>
      </w:r>
      <w:r w:rsidRPr="0093514B">
        <w:rPr>
          <w:lang w:val="en-GB"/>
        </w:rPr>
        <w:t xml:space="preserve">. It also observed that the interpretation of the general concept of </w:t>
      </w:r>
      <w:r w:rsidR="00E357A0">
        <w:rPr>
          <w:lang w:val="en-GB"/>
        </w:rPr>
        <w:t xml:space="preserve">a </w:t>
      </w:r>
      <w:r w:rsidR="009C1BE0">
        <w:rPr>
          <w:lang w:val="en-GB"/>
        </w:rPr>
        <w:t>continu</w:t>
      </w:r>
      <w:r w:rsidR="008D5B6E">
        <w:rPr>
          <w:lang w:val="en-GB"/>
        </w:rPr>
        <w:t xml:space="preserve">ation of a criminal </w:t>
      </w:r>
      <w:r w:rsidRPr="0093514B">
        <w:rPr>
          <w:lang w:val="en-GB"/>
        </w:rPr>
        <w:t xml:space="preserve">offence as defined in Article 89 § 3 of the Criminal Code had been based on </w:t>
      </w:r>
      <w:r w:rsidR="00726F0A">
        <w:rPr>
          <w:lang w:val="en-GB"/>
        </w:rPr>
        <w:t xml:space="preserve">the </w:t>
      </w:r>
      <w:r w:rsidRPr="0093514B">
        <w:rPr>
          <w:lang w:val="en-GB"/>
        </w:rPr>
        <w:t xml:space="preserve">clear and established case-law of the Supreme Court which had </w:t>
      </w:r>
      <w:r w:rsidR="00726F0A">
        <w:rPr>
          <w:lang w:val="en-GB"/>
        </w:rPr>
        <w:t xml:space="preserve">been </w:t>
      </w:r>
      <w:r w:rsidRPr="0093514B">
        <w:rPr>
          <w:lang w:val="en-GB"/>
        </w:rPr>
        <w:t>developed prior to the date on which the applicant had first assaulted his wife. In so far as the applicant disputed the effects of that interpretation, which in his view had in fact resulted in retro</w:t>
      </w:r>
      <w:r w:rsidR="008D5B6E">
        <w:rPr>
          <w:lang w:val="en-GB"/>
        </w:rPr>
        <w:t>a</w:t>
      </w:r>
      <w:r w:rsidRPr="0093514B">
        <w:rPr>
          <w:lang w:val="en-GB"/>
        </w:rPr>
        <w:t xml:space="preserve">ctive application of the law, </w:t>
      </w:r>
      <w:r w:rsidRPr="007538BE">
        <w:rPr>
          <w:lang w:val="en-GB"/>
        </w:rPr>
        <w:t xml:space="preserve">the Chamber held that the interpretation adopted by the courts in the present case had not in </w:t>
      </w:r>
      <w:r w:rsidRPr="002903E8">
        <w:rPr>
          <w:lang w:val="en-GB"/>
        </w:rPr>
        <w:t>itself been</w:t>
      </w:r>
      <w:r w:rsidRPr="0093514B">
        <w:rPr>
          <w:lang w:val="en-GB"/>
        </w:rPr>
        <w:t xml:space="preserve"> unreasonable, given that a </w:t>
      </w:r>
      <w:r w:rsidR="009C1BE0">
        <w:rPr>
          <w:lang w:val="en-GB"/>
        </w:rPr>
        <w:t>continuous</w:t>
      </w:r>
      <w:r w:rsidRPr="0093514B">
        <w:rPr>
          <w:lang w:val="en-GB"/>
        </w:rPr>
        <w:t xml:space="preserve"> offence, by definition, extended over a certain period of time and that it was not arbitrary to consider that it </w:t>
      </w:r>
      <w:r w:rsidR="00726F0A">
        <w:rPr>
          <w:lang w:val="en-GB"/>
        </w:rPr>
        <w:t xml:space="preserve">had </w:t>
      </w:r>
      <w:r w:rsidRPr="0093514B">
        <w:rPr>
          <w:lang w:val="en-GB"/>
        </w:rPr>
        <w:t xml:space="preserve">ceased at the time of the last </w:t>
      </w:r>
      <w:r w:rsidR="008D5B6E">
        <w:rPr>
          <w:lang w:val="en-GB"/>
        </w:rPr>
        <w:t>occurrence</w:t>
      </w:r>
      <w:r w:rsidR="00F27569">
        <w:rPr>
          <w:lang w:val="en-GB"/>
        </w:rPr>
        <w:t xml:space="preserve"> of the offence</w:t>
      </w:r>
      <w:r w:rsidRPr="0093514B">
        <w:rPr>
          <w:lang w:val="en-GB"/>
        </w:rPr>
        <w:t>. Moreover, the Czech authorities had observed that the applicant</w:t>
      </w:r>
      <w:r w:rsidR="001D00E3">
        <w:rPr>
          <w:lang w:val="en-GB"/>
        </w:rPr>
        <w:t>’</w:t>
      </w:r>
      <w:r w:rsidRPr="0093514B">
        <w:rPr>
          <w:lang w:val="en-GB"/>
        </w:rPr>
        <w:t xml:space="preserve">s acts had at all times been punishable as criminal offences. In these circumstances the relevant legal provisions, together with </w:t>
      </w:r>
      <w:r w:rsidR="00726F0A">
        <w:rPr>
          <w:lang w:val="en-GB"/>
        </w:rPr>
        <w:t xml:space="preserve">the </w:t>
      </w:r>
      <w:r w:rsidRPr="0093514B">
        <w:rPr>
          <w:lang w:val="en-GB"/>
        </w:rPr>
        <w:t xml:space="preserve">interpretative case-law, </w:t>
      </w:r>
      <w:r w:rsidR="007309DC">
        <w:rPr>
          <w:lang w:val="en-GB"/>
        </w:rPr>
        <w:t xml:space="preserve">had been </w:t>
      </w:r>
      <w:r w:rsidR="00726F0A">
        <w:rPr>
          <w:lang w:val="en-GB"/>
        </w:rPr>
        <w:t>such as to</w:t>
      </w:r>
      <w:r w:rsidRPr="0093514B">
        <w:rPr>
          <w:lang w:val="en-GB"/>
        </w:rPr>
        <w:t xml:space="preserve"> enabl</w:t>
      </w:r>
      <w:r w:rsidR="00726F0A">
        <w:rPr>
          <w:lang w:val="en-GB"/>
        </w:rPr>
        <w:t>e</w:t>
      </w:r>
      <w:r w:rsidRPr="0093514B">
        <w:rPr>
          <w:lang w:val="en-GB"/>
        </w:rPr>
        <w:t xml:space="preserve"> the applicant to foresee the legal consequences of his acts and adapt his conduct accordingly.</w:t>
      </w:r>
    </w:p>
    <w:p w:rsidRPr="0093514B" w:rsidR="0093514B" w:rsidP="00926AF8" w:rsidRDefault="0093514B" w14:paraId="6F8B5D0F" w14:textId="77777777">
      <w:pPr>
        <w:pStyle w:val="ECHRHeading2"/>
        <w:rPr>
          <w:lang w:val="en-GB"/>
        </w:rPr>
      </w:pPr>
      <w:r w:rsidRPr="0093514B">
        <w:rPr>
          <w:lang w:val="en-GB"/>
        </w:rPr>
        <w:t>B.  The parties</w:t>
      </w:r>
      <w:r w:rsidR="001D00E3">
        <w:rPr>
          <w:lang w:val="en-GB"/>
        </w:rPr>
        <w:t>’</w:t>
      </w:r>
      <w:r w:rsidRPr="0093514B">
        <w:rPr>
          <w:lang w:val="en-GB"/>
        </w:rPr>
        <w:t xml:space="preserve"> submissions to the Grand Chamber</w:t>
      </w:r>
    </w:p>
    <w:p w:rsidRPr="0093514B" w:rsidR="0093514B" w:rsidP="00304EF3" w:rsidRDefault="00262674" w14:paraId="507E03A1" w14:textId="77777777">
      <w:pPr>
        <w:pStyle w:val="ECHRHeading3"/>
        <w:rPr>
          <w:lang w:val="en-GB"/>
        </w:rPr>
      </w:pPr>
      <w:r>
        <w:rPr>
          <w:lang w:val="en-GB"/>
        </w:rPr>
        <w:t>1.  </w:t>
      </w:r>
      <w:r w:rsidRPr="0093514B" w:rsidR="0093514B">
        <w:rPr>
          <w:lang w:val="en-GB"/>
        </w:rPr>
        <w:t>The applicant</w:t>
      </w:r>
    </w:p>
    <w:bookmarkStart w:name="par44" w:id="29"/>
    <w:p w:rsidRPr="0093514B" w:rsidR="0093514B" w:rsidP="00304EF3" w:rsidRDefault="0093514B" w14:paraId="0D5E2902" w14:textId="7A82B9EF">
      <w:pPr>
        <w:pStyle w:val="ECHRPara"/>
        <w:rPr>
          <w:lang w:val="en-GB" w:bidi="en-US"/>
        </w:rPr>
      </w:pPr>
      <w:r w:rsidRPr="0093514B">
        <w:rPr>
          <w:lang w:val="en-GB"/>
        </w:rPr>
        <w:fldChar w:fldCharType="begin"/>
      </w:r>
      <w:r w:rsidRPr="0093514B">
        <w:rPr>
          <w:lang w:val="en-GB"/>
        </w:rPr>
        <w:instrText xml:space="preserve"> SEQ level0 \*arabic </w:instrText>
      </w:r>
      <w:r w:rsidRPr="0093514B">
        <w:rPr>
          <w:lang w:val="en-GB"/>
        </w:rPr>
        <w:fldChar w:fldCharType="separate"/>
      </w:r>
      <w:r w:rsidR="002D5843">
        <w:rPr>
          <w:noProof/>
          <w:lang w:val="en-GB"/>
        </w:rPr>
        <w:t>44</w:t>
      </w:r>
      <w:r w:rsidRPr="0093514B">
        <w:rPr>
          <w:lang w:val="en-GB"/>
        </w:rPr>
        <w:fldChar w:fldCharType="end"/>
      </w:r>
      <w:r w:rsidRPr="0093514B">
        <w:rPr>
          <w:lang w:val="en-GB"/>
        </w:rPr>
        <w:t>.  </w:t>
      </w:r>
      <w:bookmarkEnd w:id="29"/>
      <w:r w:rsidRPr="0093514B">
        <w:t>W</w:t>
      </w:r>
      <w:r w:rsidRPr="0093514B">
        <w:rPr>
          <w:lang w:val="en-GB"/>
        </w:rPr>
        <w:t>hile admitting that the domestic courts</w:t>
      </w:r>
      <w:r w:rsidR="001D00E3">
        <w:rPr>
          <w:lang w:val="en-GB"/>
        </w:rPr>
        <w:t>’</w:t>
      </w:r>
      <w:r w:rsidR="00BD3959">
        <w:rPr>
          <w:lang w:val="en-GB"/>
        </w:rPr>
        <w:t xml:space="preserve"> interpretation of Article</w:t>
      </w:r>
      <w:r w:rsidR="009E3E70">
        <w:rPr>
          <w:lang w:val="en-GB"/>
        </w:rPr>
        <w:t> </w:t>
      </w:r>
      <w:r w:rsidR="00BD3959">
        <w:rPr>
          <w:lang w:val="en-GB"/>
        </w:rPr>
        <w:t>89 </w:t>
      </w:r>
      <w:r w:rsidRPr="0093514B">
        <w:rPr>
          <w:lang w:val="en-GB"/>
        </w:rPr>
        <w:t xml:space="preserve">§ 3 of the Criminal Code was foreseeable and </w:t>
      </w:r>
      <w:r w:rsidR="001253B8">
        <w:rPr>
          <w:lang w:val="en-GB"/>
        </w:rPr>
        <w:t>generally</w:t>
      </w:r>
      <w:r w:rsidRPr="0093514B" w:rsidR="001253B8">
        <w:rPr>
          <w:lang w:val="en-GB"/>
        </w:rPr>
        <w:t xml:space="preserve"> </w:t>
      </w:r>
      <w:r w:rsidRPr="0093514B">
        <w:rPr>
          <w:lang w:val="en-GB"/>
        </w:rPr>
        <w:t xml:space="preserve">accepted, the applicant asserted that it should not have been applied in his case since the conditions for applying </w:t>
      </w:r>
      <w:r w:rsidR="001253B8">
        <w:rPr>
          <w:lang w:val="en-GB"/>
        </w:rPr>
        <w:t>the</w:t>
      </w:r>
      <w:r w:rsidRPr="0093514B" w:rsidR="001253B8">
        <w:rPr>
          <w:lang w:val="en-GB"/>
        </w:rPr>
        <w:t xml:space="preserve"> </w:t>
      </w:r>
      <w:r w:rsidRPr="0093514B">
        <w:rPr>
          <w:lang w:val="en-GB"/>
        </w:rPr>
        <w:t>provision</w:t>
      </w:r>
      <w:r w:rsidR="001253B8">
        <w:rPr>
          <w:lang w:val="en-GB"/>
        </w:rPr>
        <w:t xml:space="preserve"> in question</w:t>
      </w:r>
      <w:r w:rsidRPr="0093514B">
        <w:rPr>
          <w:lang w:val="en-GB"/>
        </w:rPr>
        <w:t xml:space="preserve"> had not been met. In his opinion, the domestic authorities ought not to have </w:t>
      </w:r>
      <w:r w:rsidR="001253B8">
        <w:rPr>
          <w:lang w:val="en-GB"/>
        </w:rPr>
        <w:t>classified</w:t>
      </w:r>
      <w:r w:rsidRPr="0093514B" w:rsidR="001253B8">
        <w:rPr>
          <w:lang w:val="en-GB"/>
        </w:rPr>
        <w:t xml:space="preserve"> </w:t>
      </w:r>
      <w:r w:rsidRPr="0093514B">
        <w:rPr>
          <w:lang w:val="en-GB"/>
        </w:rPr>
        <w:t xml:space="preserve">his acts as a </w:t>
      </w:r>
      <w:r w:rsidR="009C1BE0">
        <w:rPr>
          <w:lang w:val="en-GB"/>
        </w:rPr>
        <w:t>continuous</w:t>
      </w:r>
      <w:r w:rsidRPr="0093514B">
        <w:rPr>
          <w:lang w:val="en-GB"/>
        </w:rPr>
        <w:t xml:space="preserve"> offence because his assaults had not been driven by the same intent, nor </w:t>
      </w:r>
      <w:r w:rsidR="001253B8">
        <w:rPr>
          <w:lang w:val="en-GB"/>
        </w:rPr>
        <w:t xml:space="preserve">had they </w:t>
      </w:r>
      <w:r w:rsidRPr="0093514B">
        <w:rPr>
          <w:lang w:val="en-GB"/>
        </w:rPr>
        <w:t xml:space="preserve">been closely connected in time since there </w:t>
      </w:r>
      <w:r w:rsidR="001253B8">
        <w:rPr>
          <w:lang w:val="en-GB"/>
        </w:rPr>
        <w:t>had been</w:t>
      </w:r>
      <w:r w:rsidRPr="0093514B" w:rsidR="001253B8">
        <w:rPr>
          <w:lang w:val="en-GB"/>
        </w:rPr>
        <w:t xml:space="preserve"> </w:t>
      </w:r>
      <w:r w:rsidRPr="0093514B">
        <w:rPr>
          <w:lang w:val="en-GB"/>
        </w:rPr>
        <w:t>an interval of several years between the different assaults. He also</w:t>
      </w:r>
      <w:r w:rsidRPr="0093514B">
        <w:rPr>
          <w:lang w:val="en-GB" w:bidi="en-US"/>
        </w:rPr>
        <w:t xml:space="preserve"> pointed out that when the proceedings took place before the first-instance court, the prosecution of two individual assaults </w:t>
      </w:r>
      <w:r w:rsidR="001253B8">
        <w:rPr>
          <w:lang w:val="en-GB" w:bidi="en-US"/>
        </w:rPr>
        <w:t>had</w:t>
      </w:r>
      <w:r w:rsidRPr="0093514B" w:rsidR="001253B8">
        <w:rPr>
          <w:lang w:val="en-GB" w:bidi="en-US"/>
        </w:rPr>
        <w:t xml:space="preserve"> </w:t>
      </w:r>
      <w:r w:rsidRPr="0093514B">
        <w:rPr>
          <w:lang w:val="en-GB" w:bidi="en-US"/>
        </w:rPr>
        <w:t>already</w:t>
      </w:r>
      <w:r w:rsidR="001253B8">
        <w:rPr>
          <w:lang w:val="en-GB" w:bidi="en-US"/>
        </w:rPr>
        <w:t xml:space="preserve"> been</w:t>
      </w:r>
      <w:r w:rsidRPr="0093514B">
        <w:rPr>
          <w:lang w:val="en-GB" w:bidi="en-US"/>
        </w:rPr>
        <w:t xml:space="preserve"> statute</w:t>
      </w:r>
      <w:r w:rsidR="001253B8">
        <w:rPr>
          <w:lang w:val="en-GB" w:bidi="en-US"/>
        </w:rPr>
        <w:t>-</w:t>
      </w:r>
      <w:r w:rsidRPr="0093514B">
        <w:rPr>
          <w:lang w:val="en-GB" w:bidi="en-US"/>
        </w:rPr>
        <w:t xml:space="preserve">barred and they could not </w:t>
      </w:r>
      <w:r w:rsidR="00497640">
        <w:rPr>
          <w:lang w:val="en-GB" w:bidi="en-US"/>
        </w:rPr>
        <w:t xml:space="preserve">therefore </w:t>
      </w:r>
      <w:r w:rsidRPr="0093514B">
        <w:rPr>
          <w:lang w:val="en-GB" w:bidi="en-US"/>
        </w:rPr>
        <w:t>be the subject of criminal proceedings.</w:t>
      </w:r>
    </w:p>
    <w:p w:rsidRPr="0093514B" w:rsidR="0093514B" w:rsidP="00304EF3" w:rsidRDefault="0093514B" w14:paraId="7057EC51" w14:textId="77777777">
      <w:pPr>
        <w:pStyle w:val="ECHRPara"/>
        <w:rPr>
          <w:lang w:val="en-GB"/>
        </w:rPr>
      </w:pPr>
      <w:r w:rsidRPr="0093514B">
        <w:rPr>
          <w:lang w:val="en-GB" w:bidi="en-US"/>
        </w:rPr>
        <w:fldChar w:fldCharType="begin"/>
      </w:r>
      <w:r w:rsidRPr="0093514B">
        <w:rPr>
          <w:lang w:val="en-GB" w:bidi="en-US"/>
        </w:rPr>
        <w:instrText xml:space="preserve"> SEQ level0 \*arabic </w:instrText>
      </w:r>
      <w:r w:rsidRPr="0093514B">
        <w:rPr>
          <w:lang w:val="en-GB" w:bidi="en-US"/>
        </w:rPr>
        <w:fldChar w:fldCharType="separate"/>
      </w:r>
      <w:r w:rsidR="002D5843">
        <w:rPr>
          <w:noProof/>
          <w:lang w:val="en-GB" w:bidi="en-US"/>
        </w:rPr>
        <w:t>45</w:t>
      </w:r>
      <w:r w:rsidRPr="0093514B">
        <w:rPr>
          <w:lang w:val="en-GB" w:bidi="en-US"/>
        </w:rPr>
        <w:fldChar w:fldCharType="end"/>
      </w:r>
      <w:r w:rsidRPr="0093514B">
        <w:rPr>
          <w:lang w:val="en-GB" w:bidi="en-US"/>
        </w:rPr>
        <w:t>.  </w:t>
      </w:r>
      <w:r w:rsidR="001253B8">
        <w:rPr>
          <w:lang w:val="en-GB"/>
        </w:rPr>
        <w:t>Furthermore</w:t>
      </w:r>
      <w:r w:rsidRPr="0093514B">
        <w:rPr>
          <w:lang w:val="en-GB"/>
        </w:rPr>
        <w:t>, the domestic courts had never established that all the constituent elements of the criminal offences defined by the Criminal Code as in force until 1 June 2004 (violence against an individual or group of individuals within the meaning of Article 197a, or assault occasioning bodily harm under Article 221) had been made out. In the applicant</w:t>
      </w:r>
      <w:r w:rsidR="001D00E3">
        <w:rPr>
          <w:lang w:val="en-GB"/>
        </w:rPr>
        <w:t>’</w:t>
      </w:r>
      <w:r w:rsidRPr="0093514B">
        <w:rPr>
          <w:lang w:val="en-GB"/>
        </w:rPr>
        <w:t xml:space="preserve">s opinion, his acts had not been punishable as criminal offences but simply as regulatory offences. He </w:t>
      </w:r>
      <w:r w:rsidR="001253B8">
        <w:rPr>
          <w:lang w:val="en-GB"/>
        </w:rPr>
        <w:t>had</w:t>
      </w:r>
      <w:r w:rsidRPr="0093514B" w:rsidR="001253B8">
        <w:rPr>
          <w:lang w:val="en-GB"/>
        </w:rPr>
        <w:t xml:space="preserve"> </w:t>
      </w:r>
      <w:r w:rsidRPr="0093514B">
        <w:rPr>
          <w:lang w:val="en-GB"/>
        </w:rPr>
        <w:t>thus</w:t>
      </w:r>
      <w:r w:rsidR="001253B8">
        <w:rPr>
          <w:lang w:val="en-GB"/>
        </w:rPr>
        <w:t xml:space="preserve"> been</w:t>
      </w:r>
      <w:r w:rsidRPr="0093514B">
        <w:rPr>
          <w:lang w:val="en-GB"/>
        </w:rPr>
        <w:t xml:space="preserve"> convicted of acts which did not constitute a criminal offence under national or international law at the time they were committed, in breach of Article 7 of the Convention.</w:t>
      </w:r>
    </w:p>
    <w:p w:rsidRPr="0093514B" w:rsidR="0093514B" w:rsidP="00304EF3" w:rsidRDefault="0093514B" w14:paraId="7811E146" w14:textId="77777777">
      <w:pPr>
        <w:pStyle w:val="ECHRPara"/>
        <w:rPr>
          <w:lang w:val="en-GB"/>
        </w:rPr>
      </w:pPr>
      <w:r w:rsidRPr="0093514B">
        <w:rPr>
          <w:lang w:val="en-GB"/>
        </w:rPr>
        <w:fldChar w:fldCharType="begin"/>
      </w:r>
      <w:r w:rsidRPr="0093514B">
        <w:rPr>
          <w:lang w:val="en-GB"/>
        </w:rPr>
        <w:instrText xml:space="preserve"> SEQ level0 \*arabic </w:instrText>
      </w:r>
      <w:r w:rsidRPr="0093514B">
        <w:rPr>
          <w:lang w:val="en-GB"/>
        </w:rPr>
        <w:fldChar w:fldCharType="separate"/>
      </w:r>
      <w:r w:rsidR="002D5843">
        <w:rPr>
          <w:noProof/>
          <w:lang w:val="en-GB"/>
        </w:rPr>
        <w:t>46</w:t>
      </w:r>
      <w:r w:rsidRPr="0093514B">
        <w:rPr>
          <w:lang w:val="en-GB"/>
        </w:rPr>
        <w:fldChar w:fldCharType="end"/>
      </w:r>
      <w:r w:rsidRPr="0093514B">
        <w:rPr>
          <w:lang w:val="en-GB"/>
        </w:rPr>
        <w:t>.  Finally, the applicant maintained that he did not enjoy sufficient safeguards against the imposition of a heavier penalty than the one applicable at the time of the commission of the offence. On the contrary, had the individual assaults been tried separately it would not have been possible to impose such a heavy sentence on him.</w:t>
      </w:r>
    </w:p>
    <w:p w:rsidRPr="0093514B" w:rsidR="0093514B" w:rsidP="00304EF3" w:rsidRDefault="0093514B" w14:paraId="60FC3263" w14:textId="77777777">
      <w:pPr>
        <w:pStyle w:val="ECHRHeading3"/>
        <w:rPr>
          <w:lang w:val="en-GB"/>
        </w:rPr>
      </w:pPr>
      <w:r w:rsidRPr="0093514B">
        <w:rPr>
          <w:lang w:val="en-GB"/>
        </w:rPr>
        <w:t>2.</w:t>
      </w:r>
      <w:r w:rsidR="00262674">
        <w:rPr>
          <w:lang w:val="en-GB"/>
        </w:rPr>
        <w:t>  </w:t>
      </w:r>
      <w:r w:rsidRPr="0093514B">
        <w:rPr>
          <w:lang w:val="en-GB"/>
        </w:rPr>
        <w:t>The Government</w:t>
      </w:r>
    </w:p>
    <w:p w:rsidRPr="0093514B" w:rsidR="0093514B" w:rsidP="00304EF3" w:rsidRDefault="0093514B" w14:paraId="4625F8D3" w14:textId="77777777">
      <w:pPr>
        <w:pStyle w:val="ECHRPara"/>
        <w:rPr>
          <w:bCs/>
          <w:lang w:bidi="en-US"/>
        </w:rPr>
      </w:pPr>
      <w:r w:rsidRPr="0093514B">
        <w:rPr>
          <w:lang w:val="en-GB"/>
        </w:rPr>
        <w:fldChar w:fldCharType="begin"/>
      </w:r>
      <w:r w:rsidRPr="0093514B">
        <w:rPr>
          <w:lang w:val="en-GB"/>
        </w:rPr>
        <w:instrText xml:space="preserve"> SEQ level0 \*arabic </w:instrText>
      </w:r>
      <w:r w:rsidRPr="0093514B">
        <w:rPr>
          <w:lang w:val="en-GB"/>
        </w:rPr>
        <w:fldChar w:fldCharType="separate"/>
      </w:r>
      <w:r w:rsidR="002D5843">
        <w:rPr>
          <w:noProof/>
          <w:lang w:val="en-GB"/>
        </w:rPr>
        <w:t>47</w:t>
      </w:r>
      <w:r w:rsidRPr="0093514B">
        <w:rPr>
          <w:lang w:val="en-GB"/>
        </w:rPr>
        <w:fldChar w:fldCharType="end"/>
      </w:r>
      <w:r w:rsidRPr="0093514B">
        <w:rPr>
          <w:lang w:val="en-GB"/>
        </w:rPr>
        <w:t xml:space="preserve">.  The Government </w:t>
      </w:r>
      <w:r w:rsidRPr="0093514B">
        <w:t xml:space="preserve">noted that both Article 89 § 3 and </w:t>
      </w:r>
      <w:r w:rsidR="001253B8">
        <w:t xml:space="preserve">Article </w:t>
      </w:r>
      <w:r w:rsidRPr="0093514B">
        <w:t xml:space="preserve">215a of the Criminal Code had been </w:t>
      </w:r>
      <w:r w:rsidR="001253B8">
        <w:t>incorporated</w:t>
      </w:r>
      <w:r w:rsidRPr="0093514B" w:rsidR="001253B8">
        <w:t xml:space="preserve"> </w:t>
      </w:r>
      <w:r w:rsidRPr="0093514B">
        <w:t xml:space="preserve">into the Czech legal system well before the applicant had </w:t>
      </w:r>
      <w:r w:rsidR="00497640">
        <w:t>ceased</w:t>
      </w:r>
      <w:r w:rsidRPr="0093514B" w:rsidR="00497640">
        <w:t xml:space="preserve"> </w:t>
      </w:r>
      <w:r w:rsidRPr="0093514B">
        <w:t xml:space="preserve">his criminal conduct in February 2006. At the relevant time there </w:t>
      </w:r>
      <w:r w:rsidR="001253B8">
        <w:t xml:space="preserve">had </w:t>
      </w:r>
      <w:r w:rsidRPr="0093514B">
        <w:t xml:space="preserve">also existed a considerable body of case-law in respect of </w:t>
      </w:r>
      <w:r w:rsidR="009C1BE0">
        <w:t>continuous</w:t>
      </w:r>
      <w:r w:rsidRPr="0093514B">
        <w:t xml:space="preserve"> offences and the interpretation of Article 89 § 3 of the Criminal Code which followed the same logic as </w:t>
      </w:r>
      <w:r w:rsidR="008C377C">
        <w:t>that</w:t>
      </w:r>
      <w:r w:rsidRPr="0093514B" w:rsidR="008C377C">
        <w:t xml:space="preserve"> </w:t>
      </w:r>
      <w:r w:rsidRPr="0093514B">
        <w:t xml:space="preserve">applied in the instant case. It was thus clearly </w:t>
      </w:r>
      <w:r w:rsidR="001253B8">
        <w:t>established</w:t>
      </w:r>
      <w:r w:rsidRPr="0093514B" w:rsidR="001253B8">
        <w:t xml:space="preserve"> </w:t>
      </w:r>
      <w:r w:rsidRPr="0093514B">
        <w:t xml:space="preserve">that the conduct </w:t>
      </w:r>
      <w:r w:rsidR="004A0650">
        <w:t>should</w:t>
      </w:r>
      <w:r w:rsidRPr="0093514B">
        <w:t xml:space="preserve"> be assessed as a single offence under the law in force at the </w:t>
      </w:r>
      <w:r w:rsidR="004A0650">
        <w:t>time</w:t>
      </w:r>
      <w:r w:rsidRPr="0093514B">
        <w:t xml:space="preserve"> it </w:t>
      </w:r>
      <w:r w:rsidRPr="0093514B">
        <w:rPr>
          <w:bCs/>
        </w:rPr>
        <w:t xml:space="preserve">came to an end. Moreover, </w:t>
      </w:r>
      <w:r w:rsidR="004A0650">
        <w:rPr>
          <w:bCs/>
        </w:rPr>
        <w:t xml:space="preserve">in </w:t>
      </w:r>
      <w:r w:rsidRPr="0093514B">
        <w:rPr>
          <w:bCs/>
        </w:rPr>
        <w:t>the Government</w:t>
      </w:r>
      <w:r w:rsidR="001D00E3">
        <w:rPr>
          <w:bCs/>
        </w:rPr>
        <w:t>’</w:t>
      </w:r>
      <w:r w:rsidR="004A0650">
        <w:rPr>
          <w:bCs/>
        </w:rPr>
        <w:t>s view,</w:t>
      </w:r>
      <w:r w:rsidRPr="0093514B">
        <w:rPr>
          <w:bCs/>
        </w:rPr>
        <w:t xml:space="preserve"> </w:t>
      </w:r>
      <w:r w:rsidRPr="0093514B">
        <w:rPr>
          <w:bCs/>
          <w:lang w:bidi="en-US"/>
        </w:rPr>
        <w:t>the introduction on 1 June 2004 of Article 21</w:t>
      </w:r>
      <w:r w:rsidRPr="0093514B">
        <w:rPr>
          <w:bCs/>
        </w:rPr>
        <w:t xml:space="preserve">5a of the Criminal Code had rendered the </w:t>
      </w:r>
      <w:r w:rsidRPr="0093514B">
        <w:rPr>
          <w:bCs/>
          <w:lang w:bidi="en-US"/>
        </w:rPr>
        <w:t>likelihood of the applicant</w:t>
      </w:r>
      <w:r w:rsidR="001D00E3">
        <w:rPr>
          <w:bCs/>
          <w:lang w:bidi="en-US"/>
        </w:rPr>
        <w:t>’</w:t>
      </w:r>
      <w:r w:rsidRPr="0093514B">
        <w:rPr>
          <w:bCs/>
          <w:lang w:bidi="en-US"/>
        </w:rPr>
        <w:t>s</w:t>
      </w:r>
      <w:r w:rsidR="00497640">
        <w:rPr>
          <w:bCs/>
          <w:lang w:bidi="en-US"/>
        </w:rPr>
        <w:t xml:space="preserve"> being </w:t>
      </w:r>
      <w:r w:rsidR="00DD419C">
        <w:rPr>
          <w:bCs/>
          <w:lang w:bidi="en-US"/>
        </w:rPr>
        <w:t>held</w:t>
      </w:r>
      <w:r w:rsidRPr="0093514B">
        <w:rPr>
          <w:bCs/>
          <w:lang w:bidi="en-US"/>
        </w:rPr>
        <w:t xml:space="preserve"> criminal</w:t>
      </w:r>
      <w:r w:rsidR="00497640">
        <w:rPr>
          <w:bCs/>
          <w:lang w:bidi="en-US"/>
        </w:rPr>
        <w:t>ly</w:t>
      </w:r>
      <w:r w:rsidRPr="0093514B">
        <w:rPr>
          <w:bCs/>
          <w:lang w:bidi="en-US"/>
        </w:rPr>
        <w:t xml:space="preserve"> </w:t>
      </w:r>
      <w:r w:rsidR="00497640">
        <w:rPr>
          <w:bCs/>
          <w:lang w:bidi="en-US"/>
        </w:rPr>
        <w:t>liable</w:t>
      </w:r>
      <w:r w:rsidRPr="0093514B" w:rsidR="00497640">
        <w:rPr>
          <w:bCs/>
          <w:lang w:bidi="en-US"/>
        </w:rPr>
        <w:t xml:space="preserve"> </w:t>
      </w:r>
      <w:r w:rsidRPr="0093514B">
        <w:rPr>
          <w:bCs/>
          <w:lang w:bidi="en-US"/>
        </w:rPr>
        <w:t xml:space="preserve">even clearer and more foreseeable. Indeed, the new Article 215a of the Criminal Code </w:t>
      </w:r>
      <w:r w:rsidR="004A0650">
        <w:rPr>
          <w:bCs/>
          <w:lang w:bidi="en-US"/>
        </w:rPr>
        <w:t>dealt with</w:t>
      </w:r>
      <w:r w:rsidRPr="0093514B" w:rsidR="004A0650">
        <w:rPr>
          <w:bCs/>
          <w:lang w:bidi="en-US"/>
        </w:rPr>
        <w:t xml:space="preserve"> </w:t>
      </w:r>
      <w:r w:rsidR="004A0650">
        <w:rPr>
          <w:bCs/>
          <w:lang w:bidi="en-US"/>
        </w:rPr>
        <w:t>unlawful</w:t>
      </w:r>
      <w:r w:rsidRPr="0093514B" w:rsidR="004A0650">
        <w:rPr>
          <w:bCs/>
          <w:lang w:bidi="en-US"/>
        </w:rPr>
        <w:t xml:space="preserve"> </w:t>
      </w:r>
      <w:r w:rsidRPr="0093514B">
        <w:rPr>
          <w:bCs/>
          <w:lang w:bidi="en-US"/>
        </w:rPr>
        <w:t xml:space="preserve">conduct in a more comprehensive manner than Articles 197a and 221. Since the applicant </w:t>
      </w:r>
      <w:r w:rsidR="004A0650">
        <w:rPr>
          <w:bCs/>
          <w:lang w:bidi="en-US"/>
        </w:rPr>
        <w:t xml:space="preserve">had </w:t>
      </w:r>
      <w:r w:rsidRPr="0093514B">
        <w:rPr>
          <w:bCs/>
          <w:lang w:bidi="en-US"/>
        </w:rPr>
        <w:t xml:space="preserve">continued his </w:t>
      </w:r>
      <w:r w:rsidR="004A0650">
        <w:rPr>
          <w:bCs/>
          <w:lang w:bidi="en-US"/>
        </w:rPr>
        <w:t>unlawful acts</w:t>
      </w:r>
      <w:r w:rsidRPr="0093514B">
        <w:rPr>
          <w:bCs/>
          <w:lang w:bidi="en-US"/>
        </w:rPr>
        <w:t xml:space="preserve"> after 1 June 2004, he could and should have expected to be </w:t>
      </w:r>
      <w:r w:rsidR="00DD419C">
        <w:rPr>
          <w:bCs/>
          <w:lang w:bidi="en-US"/>
        </w:rPr>
        <w:t>held</w:t>
      </w:r>
      <w:r w:rsidR="00497640">
        <w:rPr>
          <w:bCs/>
          <w:lang w:bidi="en-US"/>
        </w:rPr>
        <w:t xml:space="preserve"> </w:t>
      </w:r>
      <w:r w:rsidRPr="0093514B">
        <w:rPr>
          <w:bCs/>
          <w:lang w:bidi="en-US"/>
        </w:rPr>
        <w:t xml:space="preserve">criminally liable under Article 215a of the Criminal Code </w:t>
      </w:r>
      <w:r w:rsidR="004A0650">
        <w:rPr>
          <w:bCs/>
          <w:lang w:bidi="en-US"/>
        </w:rPr>
        <w:t xml:space="preserve">for all his acts </w:t>
      </w:r>
      <w:r w:rsidRPr="0093514B">
        <w:rPr>
          <w:bCs/>
          <w:lang w:bidi="en-US"/>
        </w:rPr>
        <w:t xml:space="preserve">including those that </w:t>
      </w:r>
      <w:r w:rsidR="004A0650">
        <w:rPr>
          <w:bCs/>
          <w:lang w:bidi="en-US"/>
        </w:rPr>
        <w:t xml:space="preserve">had </w:t>
      </w:r>
      <w:r w:rsidRPr="0093514B">
        <w:rPr>
          <w:bCs/>
          <w:lang w:bidi="en-US"/>
        </w:rPr>
        <w:t>preceded the change</w:t>
      </w:r>
      <w:r w:rsidR="004A0650">
        <w:rPr>
          <w:bCs/>
          <w:lang w:bidi="en-US"/>
        </w:rPr>
        <w:t xml:space="preserve"> in the legislation</w:t>
      </w:r>
      <w:r w:rsidRPr="0093514B">
        <w:rPr>
          <w:bCs/>
          <w:lang w:bidi="en-US"/>
        </w:rPr>
        <w:t>.</w:t>
      </w:r>
    </w:p>
    <w:p w:rsidRPr="0093514B" w:rsidR="0093514B" w:rsidP="00304EF3" w:rsidRDefault="008807FE" w14:paraId="39C78FF8" w14:textId="72226DA7">
      <w:pPr>
        <w:pStyle w:val="ECHRPara"/>
      </w:pPr>
      <w:r>
        <w:fldChar w:fldCharType="begin"/>
      </w:r>
      <w:r>
        <w:instrText xml:space="preserve"> SEQ level0 \*arabic </w:instrText>
      </w:r>
      <w:r>
        <w:fldChar w:fldCharType="separate"/>
      </w:r>
      <w:r w:rsidR="002D5843">
        <w:rPr>
          <w:noProof/>
        </w:rPr>
        <w:t>48</w:t>
      </w:r>
      <w:r>
        <w:rPr>
          <w:noProof/>
        </w:rPr>
        <w:fldChar w:fldCharType="end"/>
      </w:r>
      <w:r w:rsidRPr="0093514B" w:rsidR="0093514B">
        <w:t xml:space="preserve">.  Contrary to what </w:t>
      </w:r>
      <w:r w:rsidR="00806DF2">
        <w:t>had been</w:t>
      </w:r>
      <w:r w:rsidRPr="0093514B" w:rsidR="00806DF2">
        <w:t xml:space="preserve"> </w:t>
      </w:r>
      <w:r w:rsidRPr="0093514B" w:rsidR="0093514B">
        <w:t xml:space="preserve">suggested by the applicant, the Government asserted that the requirement of a close temporal connection between the assaults constituting the </w:t>
      </w:r>
      <w:r w:rsidR="009C1BE0">
        <w:t>continuous</w:t>
      </w:r>
      <w:r w:rsidRPr="0093514B" w:rsidR="0093514B">
        <w:t xml:space="preserve"> offence had also been </w:t>
      </w:r>
      <w:r w:rsidR="004A0650">
        <w:t>satisfied</w:t>
      </w:r>
      <w:r w:rsidRPr="0093514B" w:rsidR="004A0650">
        <w:t xml:space="preserve"> </w:t>
      </w:r>
      <w:r w:rsidRPr="0093514B" w:rsidR="0093514B">
        <w:t xml:space="preserve">in this case. They </w:t>
      </w:r>
      <w:r w:rsidR="004A0650">
        <w:t>conceded</w:t>
      </w:r>
      <w:r w:rsidRPr="0093514B" w:rsidR="004A0650">
        <w:t xml:space="preserve"> </w:t>
      </w:r>
      <w:r w:rsidRPr="0093514B" w:rsidR="0093514B">
        <w:t xml:space="preserve">that the close temporal connection as defined by domestic judicial practice generally </w:t>
      </w:r>
      <w:r w:rsidR="00806DF2">
        <w:t>referred to</w:t>
      </w:r>
      <w:r w:rsidRPr="0093514B" w:rsidR="00806DF2">
        <w:t xml:space="preserve"> </w:t>
      </w:r>
      <w:r w:rsidRPr="0093514B" w:rsidR="0093514B">
        <w:t xml:space="preserve">days, weeks or months. However, </w:t>
      </w:r>
      <w:r w:rsidR="004A0650">
        <w:t>a</w:t>
      </w:r>
      <w:r w:rsidRPr="0093514B" w:rsidR="004A0650">
        <w:t xml:space="preserve"> </w:t>
      </w:r>
      <w:r w:rsidRPr="0093514B" w:rsidR="0093514B">
        <w:t xml:space="preserve">maximum limit had never been set and the notion </w:t>
      </w:r>
      <w:r w:rsidR="004A0650">
        <w:t>necessarily</w:t>
      </w:r>
      <w:r w:rsidRPr="0093514B" w:rsidR="004A0650">
        <w:t xml:space="preserve"> </w:t>
      </w:r>
      <w:r w:rsidRPr="0093514B" w:rsidR="0093514B">
        <w:t>allowed for flexibility depending on the nature of the offence in question. It followed from the evidence gathered in the case and from the domestic courts</w:t>
      </w:r>
      <w:r w:rsidR="001D00E3">
        <w:t>’</w:t>
      </w:r>
      <w:r w:rsidRPr="0093514B" w:rsidR="0093514B">
        <w:t xml:space="preserve"> reasoning that the three incidents </w:t>
      </w:r>
      <w:r w:rsidR="009E3E70">
        <w:t>which occurred on</w:t>
      </w:r>
      <w:r w:rsidRPr="0093514B" w:rsidR="009E3E70">
        <w:t xml:space="preserve"> </w:t>
      </w:r>
      <w:r w:rsidRPr="0093514B" w:rsidR="0093514B">
        <w:t>24</w:t>
      </w:r>
      <w:r w:rsidR="009E3E70">
        <w:t> </w:t>
      </w:r>
      <w:r w:rsidRPr="0093514B" w:rsidR="0093514B">
        <w:t>June 2000, 17 July 2003 and 8 February</w:t>
      </w:r>
      <w:r w:rsidR="00806DF2">
        <w:t xml:space="preserve"> 2006</w:t>
      </w:r>
      <w:r w:rsidRPr="0093514B" w:rsidR="0093514B">
        <w:t xml:space="preserve"> </w:t>
      </w:r>
      <w:r w:rsidR="00806DF2">
        <w:t>had been</w:t>
      </w:r>
      <w:r w:rsidRPr="0093514B" w:rsidR="00806DF2">
        <w:t xml:space="preserve"> </w:t>
      </w:r>
      <w:r w:rsidRPr="0093514B" w:rsidR="0093514B">
        <w:t>singled out as the most violent. The courts had consistently held that the applicant</w:t>
      </w:r>
      <w:r w:rsidR="001D00E3">
        <w:t>’</w:t>
      </w:r>
      <w:r w:rsidRPr="0093514B" w:rsidR="0093514B">
        <w:t xml:space="preserve">s </w:t>
      </w:r>
      <w:r w:rsidR="004A0650">
        <w:t>unlawful</w:t>
      </w:r>
      <w:r w:rsidRPr="0093514B" w:rsidR="004A0650">
        <w:t xml:space="preserve"> </w:t>
      </w:r>
      <w:r w:rsidRPr="0093514B" w:rsidR="0093514B">
        <w:t>conduct had spanned a period of several years and that the individual assaults perpetrated by him had been of varying intensity and recurrent</w:t>
      </w:r>
      <w:r w:rsidR="004A0650">
        <w:t xml:space="preserve"> in</w:t>
      </w:r>
      <w:r w:rsidRPr="0093514B" w:rsidR="0093514B">
        <w:t xml:space="preserve"> nature, occurring within weeks</w:t>
      </w:r>
      <w:r w:rsidR="004A0650">
        <w:t xml:space="preserve"> of each other</w:t>
      </w:r>
      <w:r w:rsidRPr="0093514B" w:rsidR="0093514B">
        <w:t>. Furthermore, t</w:t>
      </w:r>
      <w:r w:rsidRPr="0093514B" w:rsidR="0093514B">
        <w:rPr>
          <w:lang w:val="en-GB"/>
        </w:rPr>
        <w:t>he bill of indictment as well as the domestic courts</w:t>
      </w:r>
      <w:r w:rsidR="001D00E3">
        <w:rPr>
          <w:lang w:val="en-GB"/>
        </w:rPr>
        <w:t>’</w:t>
      </w:r>
      <w:r w:rsidRPr="0093514B" w:rsidR="0093514B">
        <w:rPr>
          <w:lang w:val="en-GB"/>
        </w:rPr>
        <w:t xml:space="preserve"> decisions </w:t>
      </w:r>
      <w:r w:rsidR="00146F0D">
        <w:rPr>
          <w:lang w:val="en-GB"/>
        </w:rPr>
        <w:t xml:space="preserve">had </w:t>
      </w:r>
      <w:r w:rsidRPr="0093514B" w:rsidR="0093514B">
        <w:rPr>
          <w:lang w:val="en-GB"/>
        </w:rPr>
        <w:t xml:space="preserve">clearly stated that the applicant was </w:t>
      </w:r>
      <w:r w:rsidR="004A0650">
        <w:rPr>
          <w:lang w:val="en-GB"/>
        </w:rPr>
        <w:t xml:space="preserve">being </w:t>
      </w:r>
      <w:r w:rsidRPr="0093514B" w:rsidR="0093514B">
        <w:rPr>
          <w:lang w:val="en-GB"/>
        </w:rPr>
        <w:t xml:space="preserve">tried for actions carried out </w:t>
      </w:r>
      <w:r w:rsidRPr="0093514B" w:rsidR="0093514B">
        <w:t>before and after the entry into force of Article 215a</w:t>
      </w:r>
      <w:r w:rsidR="009620C0">
        <w:t>, actions</w:t>
      </w:r>
      <w:r w:rsidRPr="0093514B" w:rsidR="0093514B">
        <w:t xml:space="preserve"> which </w:t>
      </w:r>
      <w:r w:rsidRPr="0093514B" w:rsidR="0093514B">
        <w:rPr>
          <w:lang w:val="en-GB"/>
        </w:rPr>
        <w:t xml:space="preserve">could not be separated from each other. The requirement of legal certainty had thus been met </w:t>
      </w:r>
      <w:r w:rsidR="004A0650">
        <w:rPr>
          <w:lang w:val="en-GB"/>
        </w:rPr>
        <w:t>as a result of the</w:t>
      </w:r>
      <w:r w:rsidRPr="0093514B" w:rsidR="0093514B">
        <w:rPr>
          <w:lang w:val="en-GB"/>
        </w:rPr>
        <w:t xml:space="preserve"> consistent assessment of the case by the prosecution and the courts </w:t>
      </w:r>
      <w:r w:rsidRPr="0093514B" w:rsidR="0093514B">
        <w:t>(</w:t>
      </w:r>
      <w:r w:rsidR="004A0650">
        <w:t>the Government</w:t>
      </w:r>
      <w:r w:rsidR="009B1BA9">
        <w:t xml:space="preserve"> cited</w:t>
      </w:r>
      <w:r w:rsidRPr="0093514B" w:rsidR="0093514B">
        <w:t xml:space="preserve">, to </w:t>
      </w:r>
      <w:r w:rsidR="004A0650">
        <w:t>converse effect</w:t>
      </w:r>
      <w:r w:rsidRPr="0093514B" w:rsidR="0093514B">
        <w:t xml:space="preserve">, </w:t>
      </w:r>
      <w:r w:rsidRPr="0093514B" w:rsidR="0093514B">
        <w:rPr>
          <w:i/>
        </w:rPr>
        <w:t xml:space="preserve">Ecer </w:t>
      </w:r>
      <w:r w:rsidR="009B1BA9">
        <w:rPr>
          <w:i/>
        </w:rPr>
        <w:t>and</w:t>
      </w:r>
      <w:r w:rsidRPr="0093514B" w:rsidR="009B1BA9">
        <w:rPr>
          <w:i/>
        </w:rPr>
        <w:t xml:space="preserve"> </w:t>
      </w:r>
      <w:r w:rsidRPr="0093514B" w:rsidR="0093514B">
        <w:rPr>
          <w:i/>
        </w:rPr>
        <w:t xml:space="preserve">Zeyrek </w:t>
      </w:r>
      <w:r w:rsidR="009B1BA9">
        <w:rPr>
          <w:i/>
        </w:rPr>
        <w:t>v</w:t>
      </w:r>
      <w:r w:rsidRPr="0093514B" w:rsidR="0093514B">
        <w:rPr>
          <w:i/>
        </w:rPr>
        <w:t>. Tur</w:t>
      </w:r>
      <w:r w:rsidR="009B1BA9">
        <w:rPr>
          <w:i/>
        </w:rPr>
        <w:t>key</w:t>
      </w:r>
      <w:r w:rsidRPr="0093514B" w:rsidR="0093514B">
        <w:t xml:space="preserve">, </w:t>
      </w:r>
      <w:r w:rsidR="009B1BA9">
        <w:t xml:space="preserve">nos. </w:t>
      </w:r>
      <w:r w:rsidRPr="0093514B" w:rsidR="0093514B">
        <w:t xml:space="preserve">29295/95 </w:t>
      </w:r>
      <w:r w:rsidR="009B1BA9">
        <w:t>and</w:t>
      </w:r>
      <w:r w:rsidRPr="0093514B" w:rsidR="009B1BA9">
        <w:t xml:space="preserve"> </w:t>
      </w:r>
      <w:r w:rsidR="009E2D07">
        <w:t>29363/95, §§ </w:t>
      </w:r>
      <w:r w:rsidRPr="0093514B" w:rsidR="0093514B">
        <w:t xml:space="preserve">33-35, </w:t>
      </w:r>
      <w:r w:rsidR="009B1BA9">
        <w:t>ECHR</w:t>
      </w:r>
      <w:r w:rsidRPr="0093514B" w:rsidR="009B1BA9">
        <w:t xml:space="preserve"> </w:t>
      </w:r>
      <w:r w:rsidRPr="0093514B" w:rsidR="0093514B">
        <w:t>2001</w:t>
      </w:r>
      <w:r w:rsidRPr="0093514B" w:rsidR="0093514B">
        <w:noBreakHyphen/>
        <w:t>II). I</w:t>
      </w:r>
      <w:r w:rsidRPr="0093514B" w:rsidR="0093514B">
        <w:rPr>
          <w:bCs/>
        </w:rPr>
        <w:t xml:space="preserve">t </w:t>
      </w:r>
      <w:r w:rsidR="009B1BA9">
        <w:rPr>
          <w:bCs/>
        </w:rPr>
        <w:t>was clear</w:t>
      </w:r>
      <w:r w:rsidRPr="0093514B" w:rsidR="0093514B">
        <w:rPr>
          <w:bCs/>
        </w:rPr>
        <w:t xml:space="preserve"> from the conviction itself that the courts were also of the view that the applicant</w:t>
      </w:r>
      <w:r w:rsidR="001D00E3">
        <w:rPr>
          <w:bCs/>
        </w:rPr>
        <w:t>’</w:t>
      </w:r>
      <w:r w:rsidRPr="0093514B" w:rsidR="0093514B">
        <w:rPr>
          <w:bCs/>
        </w:rPr>
        <w:t>s action</w:t>
      </w:r>
      <w:r w:rsidR="009B1BA9">
        <w:rPr>
          <w:bCs/>
        </w:rPr>
        <w:t>s taken as a whole</w:t>
      </w:r>
      <w:r w:rsidRPr="0093514B" w:rsidR="0093514B">
        <w:rPr>
          <w:bCs/>
        </w:rPr>
        <w:t xml:space="preserve"> had </w:t>
      </w:r>
      <w:r w:rsidR="009B1BA9">
        <w:rPr>
          <w:bCs/>
        </w:rPr>
        <w:t>disclosed</w:t>
      </w:r>
      <w:r w:rsidRPr="0093514B" w:rsidR="009B1BA9">
        <w:rPr>
          <w:bCs/>
        </w:rPr>
        <w:t xml:space="preserve"> </w:t>
      </w:r>
      <w:r w:rsidRPr="0093514B" w:rsidR="0093514B">
        <w:rPr>
          <w:bCs/>
        </w:rPr>
        <w:t>the elements of the offence defined by Article 215a of the Criminal Code.</w:t>
      </w:r>
    </w:p>
    <w:bookmarkStart w:name="par25" w:id="30"/>
    <w:p w:rsidRPr="0093514B" w:rsidR="0093514B" w:rsidP="00304EF3" w:rsidRDefault="0093514B" w14:paraId="37EAE45A" w14:textId="77777777">
      <w:pPr>
        <w:pStyle w:val="ECHRPara"/>
      </w:pPr>
      <w:r w:rsidRPr="0093514B">
        <w:fldChar w:fldCharType="begin"/>
      </w:r>
      <w:r w:rsidRPr="0093514B">
        <w:instrText xml:space="preserve"> SEQ level0 \*arabic </w:instrText>
      </w:r>
      <w:r w:rsidRPr="0093514B">
        <w:fldChar w:fldCharType="separate"/>
      </w:r>
      <w:r w:rsidR="002D5843">
        <w:rPr>
          <w:noProof/>
        </w:rPr>
        <w:t>49</w:t>
      </w:r>
      <w:r w:rsidRPr="0093514B">
        <w:rPr>
          <w:lang w:val="en-GB"/>
        </w:rPr>
        <w:fldChar w:fldCharType="end"/>
      </w:r>
      <w:bookmarkEnd w:id="30"/>
      <w:r w:rsidRPr="0093514B">
        <w:t>.  The Government therefore concluded that the requirement of a sufficiently clear and foreseeable legal basis ha</w:t>
      </w:r>
      <w:r w:rsidR="009B1BA9">
        <w:t>d</w:t>
      </w:r>
      <w:r w:rsidRPr="0093514B">
        <w:t xml:space="preserve"> been satisfied, that the new criminal law </w:t>
      </w:r>
      <w:r w:rsidR="009B1BA9">
        <w:t>had</w:t>
      </w:r>
      <w:r w:rsidRPr="0093514B" w:rsidR="009B1BA9">
        <w:t xml:space="preserve"> </w:t>
      </w:r>
      <w:r w:rsidRPr="0093514B">
        <w:t xml:space="preserve">not </w:t>
      </w:r>
      <w:r w:rsidR="009B1BA9">
        <w:t xml:space="preserve">been </w:t>
      </w:r>
      <w:r w:rsidRPr="0093514B">
        <w:t>applied retro</w:t>
      </w:r>
      <w:r w:rsidR="00335D03">
        <w:t>a</w:t>
      </w:r>
      <w:r w:rsidRPr="0093514B">
        <w:t>ctive</w:t>
      </w:r>
      <w:r w:rsidR="009B1BA9">
        <w:t>ly</w:t>
      </w:r>
      <w:r w:rsidRPr="0093514B">
        <w:t xml:space="preserve"> and that the applicant </w:t>
      </w:r>
      <w:r w:rsidR="009B1BA9">
        <w:t>had</w:t>
      </w:r>
      <w:r w:rsidRPr="0093514B" w:rsidR="009B1BA9">
        <w:t xml:space="preserve"> </w:t>
      </w:r>
      <w:r w:rsidRPr="0093514B">
        <w:t xml:space="preserve">not </w:t>
      </w:r>
      <w:r w:rsidR="009B1BA9">
        <w:t xml:space="preserve">been </w:t>
      </w:r>
      <w:r w:rsidRPr="0093514B">
        <w:t xml:space="preserve">given a heavier penalty than under the old law. In this regard, they assumed that, </w:t>
      </w:r>
      <w:r w:rsidR="009B1BA9">
        <w:t>had</w:t>
      </w:r>
      <w:r w:rsidRPr="0093514B" w:rsidR="009B1BA9">
        <w:t xml:space="preserve"> </w:t>
      </w:r>
      <w:r w:rsidRPr="0093514B">
        <w:t xml:space="preserve">the concept of </w:t>
      </w:r>
      <w:r w:rsidR="009B1BA9">
        <w:t xml:space="preserve">a </w:t>
      </w:r>
      <w:r w:rsidR="009C1BE0">
        <w:t>continuous</w:t>
      </w:r>
      <w:r w:rsidRPr="0093514B">
        <w:t xml:space="preserve"> offence as understood by the Czech courts be</w:t>
      </w:r>
      <w:r w:rsidR="009B1BA9">
        <w:t>en</w:t>
      </w:r>
      <w:r w:rsidRPr="0093514B">
        <w:t xml:space="preserve"> abandoned and the applicant</w:t>
      </w:r>
      <w:r w:rsidR="001D00E3">
        <w:t>’</w:t>
      </w:r>
      <w:r w:rsidR="00B36A69">
        <w:t>s actions before and after 1 </w:t>
      </w:r>
      <w:r w:rsidRPr="0093514B">
        <w:t xml:space="preserve">June 2004 </w:t>
      </w:r>
      <w:r w:rsidR="009B1BA9">
        <w:t xml:space="preserve">been </w:t>
      </w:r>
      <w:r w:rsidRPr="0093514B">
        <w:t>assessed separately, the applicant</w:t>
      </w:r>
      <w:r w:rsidR="001D00E3">
        <w:t>’</w:t>
      </w:r>
      <w:r w:rsidRPr="0093514B">
        <w:t xml:space="preserve">s possible sentence would have been either the same or </w:t>
      </w:r>
      <w:r w:rsidR="009B1BA9">
        <w:t>more severe</w:t>
      </w:r>
      <w:r w:rsidRPr="0093514B" w:rsidR="009B1BA9">
        <w:t xml:space="preserve"> </w:t>
      </w:r>
      <w:r w:rsidRPr="0093514B">
        <w:t xml:space="preserve">than the one actually imposed. Indeed, in that event the applicant would have been tried for multiple offences punishable by a concurrent sentence which would have been defined </w:t>
      </w:r>
      <w:r w:rsidR="009B1BA9">
        <w:t>on the basis of</w:t>
      </w:r>
      <w:r w:rsidRPr="0093514B">
        <w:t xml:space="preserve"> the provision concerning the most serious offence, </w:t>
      </w:r>
      <w:r w:rsidR="009B1BA9">
        <w:t>that is to say,</w:t>
      </w:r>
      <w:r w:rsidRPr="0093514B">
        <w:t xml:space="preserve"> Article 215a of the Criminal Code. Moreover, </w:t>
      </w:r>
      <w:r w:rsidR="009B1BA9">
        <w:t>the existence</w:t>
      </w:r>
      <w:r w:rsidRPr="0093514B">
        <w:t xml:space="preserve"> of </w:t>
      </w:r>
      <w:r w:rsidR="009B1BA9">
        <w:t xml:space="preserve">multiple </w:t>
      </w:r>
      <w:r w:rsidRPr="0093514B">
        <w:t xml:space="preserve">criminal offences and the duration of </w:t>
      </w:r>
      <w:r w:rsidR="009B1BA9">
        <w:t>the</w:t>
      </w:r>
      <w:r w:rsidRPr="0093514B" w:rsidR="009B1BA9">
        <w:t xml:space="preserve"> </w:t>
      </w:r>
      <w:r w:rsidRPr="0093514B">
        <w:t>conduct</w:t>
      </w:r>
      <w:r w:rsidR="009B1BA9">
        <w:t xml:space="preserve"> in question</w:t>
      </w:r>
      <w:r w:rsidRPr="0093514B">
        <w:t xml:space="preserve"> would </w:t>
      </w:r>
      <w:r w:rsidR="009B1BA9">
        <w:t xml:space="preserve">have </w:t>
      </w:r>
      <w:r w:rsidRPr="0093514B">
        <w:t>constitute</w:t>
      </w:r>
      <w:r w:rsidR="009B1BA9">
        <w:t>d</w:t>
      </w:r>
      <w:r w:rsidRPr="0093514B">
        <w:t xml:space="preserve"> aggravating circumstances.</w:t>
      </w:r>
    </w:p>
    <w:p w:rsidRPr="0093514B" w:rsidR="0093514B" w:rsidP="00304EF3" w:rsidRDefault="00262674" w14:paraId="49472092" w14:textId="77777777">
      <w:pPr>
        <w:pStyle w:val="ECHRHeading2"/>
        <w:rPr>
          <w:lang w:val="en-GB"/>
        </w:rPr>
      </w:pPr>
      <w:r>
        <w:rPr>
          <w:lang w:val="en-GB"/>
        </w:rPr>
        <w:t>C.  </w:t>
      </w:r>
      <w:r w:rsidRPr="0093514B" w:rsidR="0093514B">
        <w:rPr>
          <w:lang w:val="en-GB"/>
        </w:rPr>
        <w:t>The Court</w:t>
      </w:r>
      <w:r w:rsidR="001D00E3">
        <w:rPr>
          <w:lang w:val="en-GB"/>
        </w:rPr>
        <w:t>’</w:t>
      </w:r>
      <w:r w:rsidRPr="0093514B" w:rsidR="0093514B">
        <w:rPr>
          <w:lang w:val="en-GB"/>
        </w:rPr>
        <w:t>s assessment</w:t>
      </w:r>
    </w:p>
    <w:p w:rsidRPr="0093514B" w:rsidR="0093514B" w:rsidP="00304EF3" w:rsidRDefault="00262674" w14:paraId="48B94CA4" w14:textId="77777777">
      <w:pPr>
        <w:pStyle w:val="ECHRHeading3"/>
      </w:pPr>
      <w:r>
        <w:t>1.  </w:t>
      </w:r>
      <w:r w:rsidRPr="0093514B" w:rsidR="0093514B">
        <w:t>General principles</w:t>
      </w:r>
    </w:p>
    <w:p w:rsidRPr="00EA3D05" w:rsidR="0093514B" w:rsidP="00304EF3" w:rsidRDefault="008807FE" w14:paraId="07BE13FC" w14:textId="62295ACF">
      <w:pPr>
        <w:pStyle w:val="ECHRPara"/>
        <w:rPr>
          <w:i/>
        </w:rPr>
      </w:pPr>
      <w:r>
        <w:fldChar w:fldCharType="begin"/>
      </w:r>
      <w:r>
        <w:instrText xml:space="preserve"> SEQ level0 \*arabic </w:instrText>
      </w:r>
      <w:r>
        <w:fldChar w:fldCharType="separate"/>
      </w:r>
      <w:r w:rsidR="002D5843">
        <w:rPr>
          <w:noProof/>
        </w:rPr>
        <w:t>50</w:t>
      </w:r>
      <w:r>
        <w:rPr>
          <w:noProof/>
        </w:rPr>
        <w:fldChar w:fldCharType="end"/>
      </w:r>
      <w:r w:rsidRPr="0093514B" w:rsidR="0093514B">
        <w:t xml:space="preserve">.  The Court </w:t>
      </w:r>
      <w:r w:rsidR="009A3B24">
        <w:t>observes</w:t>
      </w:r>
      <w:r w:rsidRPr="0093514B" w:rsidR="009A3B24">
        <w:t xml:space="preserve"> </w:t>
      </w:r>
      <w:r w:rsidRPr="0093514B" w:rsidR="0093514B">
        <w:t xml:space="preserve">that in </w:t>
      </w:r>
      <w:r w:rsidRPr="0093514B" w:rsidR="0093514B">
        <w:rPr>
          <w:i/>
        </w:rPr>
        <w:t>Del R</w:t>
      </w:r>
      <w:r w:rsidR="00A96F16">
        <w:rPr>
          <w:i/>
          <w:lang w:val="it-IT"/>
        </w:rPr>
        <w:t>í</w:t>
      </w:r>
      <w:r w:rsidRPr="0093514B" w:rsidR="0093514B">
        <w:rPr>
          <w:i/>
        </w:rPr>
        <w:t>o Prada</w:t>
      </w:r>
      <w:r w:rsidRPr="0093514B" w:rsidR="0093514B">
        <w:t xml:space="preserve"> </w:t>
      </w:r>
      <w:r w:rsidRPr="0093514B" w:rsidR="0093514B">
        <w:rPr>
          <w:i/>
        </w:rPr>
        <w:t xml:space="preserve">v. Spain </w:t>
      </w:r>
      <w:r w:rsidR="00B36A69">
        <w:t>([GC], no. </w:t>
      </w:r>
      <w:r w:rsidRPr="0093514B" w:rsidR="0093514B">
        <w:t>42750/09</w:t>
      </w:r>
      <w:r w:rsidRPr="0093514B" w:rsidR="0093514B">
        <w:rPr>
          <w:snapToGrid w:val="0"/>
        </w:rPr>
        <w:t xml:space="preserve">, </w:t>
      </w:r>
      <w:r w:rsidRPr="0093514B" w:rsidR="0093514B">
        <w:rPr>
          <w:lang w:val="en-GB"/>
        </w:rPr>
        <w:t xml:space="preserve">ECHR 2013), </w:t>
      </w:r>
      <w:r w:rsidRPr="0093514B" w:rsidR="0093514B">
        <w:t>its most recent Grand Chamber judgment concerning Article 7 of the Convention,</w:t>
      </w:r>
      <w:r w:rsidRPr="0093514B" w:rsidR="0093514B">
        <w:rPr>
          <w:lang w:val="en-GB"/>
        </w:rPr>
        <w:t xml:space="preserve"> it stated the following general principles </w:t>
      </w:r>
      <w:r w:rsidRPr="002903E8" w:rsidR="0093514B">
        <w:rPr>
          <w:lang w:val="en-GB"/>
        </w:rPr>
        <w:t>that are</w:t>
      </w:r>
      <w:r w:rsidRPr="0093514B" w:rsidR="0093514B">
        <w:rPr>
          <w:lang w:val="en-GB"/>
        </w:rPr>
        <w:t xml:space="preserve"> relevant to its determination of the present case:</w:t>
      </w:r>
    </w:p>
    <w:p w:rsidRPr="00BD3433" w:rsidR="0093514B" w:rsidP="001F3D06" w:rsidRDefault="0093514B" w14:paraId="22116D4F" w14:textId="77777777">
      <w:pPr>
        <w:pStyle w:val="ECHRParaQuote"/>
        <w:rPr>
          <w:b/>
          <w:lang w:val="it-IT"/>
        </w:rPr>
      </w:pPr>
      <w:r w:rsidRPr="00EA3D05">
        <w:rPr>
          <w:lang w:val="it-IT"/>
        </w:rPr>
        <w:t>“</w:t>
      </w:r>
      <w:r w:rsidRPr="00BD3433">
        <w:rPr>
          <w:b/>
          <w:lang w:val="it-IT"/>
        </w:rPr>
        <w:t>(a)  </w:t>
      </w:r>
      <w:r w:rsidRPr="00BD3433">
        <w:rPr>
          <w:b/>
          <w:i/>
          <w:lang w:val="it-IT"/>
        </w:rPr>
        <w:t>Nullum crimen, nulla poena sine lege</w:t>
      </w:r>
    </w:p>
    <w:p w:rsidRPr="0093514B" w:rsidR="0093514B" w:rsidP="005370FF" w:rsidRDefault="0093514B" w14:paraId="119B4379" w14:textId="41BD4E6A">
      <w:pPr>
        <w:pStyle w:val="ECHRParaQuote"/>
        <w:rPr>
          <w:lang w:val="en-GB"/>
        </w:rPr>
      </w:pPr>
      <w:r w:rsidRPr="0093514B">
        <w:rPr>
          <w:lang w:val="en-GB"/>
        </w:rPr>
        <w:t xml:space="preserve">77.  The guarantee enshrined in Article 7, which is an essential element of the rule of law, occupies a prominent place in the Convention system of protection, as is underlined by the fact that no derogation from it is permissible under Article 15 even in time of war or other public emergency threatening the life of the nation. It should be construed and applied, as follows from its object and purpose, in such a way as to provide effective safeguards against arbitrary prosecution, conviction and punishment (see </w:t>
      </w:r>
      <w:r w:rsidRPr="002B285A">
        <w:rPr>
          <w:i/>
          <w:iCs/>
          <w:lang w:val="en-GB"/>
        </w:rPr>
        <w:t>S.W. v. the United Kingdom</w:t>
      </w:r>
      <w:r w:rsidRPr="0093514B">
        <w:rPr>
          <w:lang w:val="en-GB"/>
        </w:rPr>
        <w:t>, 22</w:t>
      </w:r>
      <w:r w:rsidR="00884FC3">
        <w:rPr>
          <w:lang w:val="en-GB"/>
        </w:rPr>
        <w:t xml:space="preserve"> </w:t>
      </w:r>
      <w:r w:rsidRPr="0093514B">
        <w:rPr>
          <w:lang w:val="en-GB"/>
        </w:rPr>
        <w:t>November 1995, § 34, Series A no. 335-B</w:t>
      </w:r>
      <w:r w:rsidR="00BD5E04">
        <w:rPr>
          <w:lang w:val="en-GB"/>
        </w:rPr>
        <w:t xml:space="preserve">; </w:t>
      </w:r>
      <w:r w:rsidRPr="002B285A" w:rsidR="00BD5E04">
        <w:rPr>
          <w:i/>
          <w:lang w:val="en-GB"/>
        </w:rPr>
        <w:t>C.R. v. the United Kingdom</w:t>
      </w:r>
      <w:r w:rsidR="00BD5E04">
        <w:rPr>
          <w:lang w:val="en-GB"/>
        </w:rPr>
        <w:t>, 22 November 1995,</w:t>
      </w:r>
      <w:r w:rsidRPr="00081659" w:rsidR="00BD5E04">
        <w:rPr>
          <w:lang w:val="en-GB"/>
        </w:rPr>
        <w:t xml:space="preserve"> </w:t>
      </w:r>
      <w:r w:rsidRPr="0093514B" w:rsidR="00BD5E04">
        <w:rPr>
          <w:lang w:val="en-GB"/>
        </w:rPr>
        <w:t>§ 3</w:t>
      </w:r>
      <w:r w:rsidR="00BD5E04">
        <w:rPr>
          <w:lang w:val="en-GB"/>
        </w:rPr>
        <w:t xml:space="preserve">2, </w:t>
      </w:r>
      <w:r w:rsidRPr="00081659" w:rsidR="00BD5E04">
        <w:rPr>
          <w:lang w:val="en-GB"/>
        </w:rPr>
        <w:t>Series A no. 335</w:t>
      </w:r>
      <w:r w:rsidRPr="00081659" w:rsidR="00BD5E04">
        <w:rPr>
          <w:lang w:val="en-GB"/>
        </w:rPr>
        <w:noBreakHyphen/>
        <w:t>C</w:t>
      </w:r>
      <w:r w:rsidR="00BD5E04">
        <w:rPr>
          <w:lang w:val="en-GB"/>
        </w:rPr>
        <w:t xml:space="preserve">; </w:t>
      </w:r>
      <w:r w:rsidRPr="0093514B">
        <w:rPr>
          <w:lang w:val="en-GB"/>
        </w:rPr>
        <w:t xml:space="preserve">and </w:t>
      </w:r>
      <w:r w:rsidRPr="002B285A">
        <w:rPr>
          <w:i/>
          <w:lang w:val="en-GB"/>
        </w:rPr>
        <w:t>Kafkaris</w:t>
      </w:r>
      <w:r w:rsidR="001F3D06">
        <w:rPr>
          <w:lang w:val="en-GB"/>
        </w:rPr>
        <w:t xml:space="preserve"> [</w:t>
      </w:r>
      <w:r w:rsidRPr="002B285A" w:rsidR="001F3D06">
        <w:rPr>
          <w:i/>
          <w:szCs w:val="24"/>
          <w:lang w:val="en-GB"/>
        </w:rPr>
        <w:t>v. Cyprus</w:t>
      </w:r>
      <w:r w:rsidRPr="00B668D2" w:rsidR="001F3D06">
        <w:rPr>
          <w:szCs w:val="24"/>
          <w:lang w:val="en-GB"/>
        </w:rPr>
        <w:t xml:space="preserve"> [GC], no. 21906/04</w:t>
      </w:r>
      <w:r w:rsidR="001F3D06">
        <w:rPr>
          <w:szCs w:val="24"/>
          <w:lang w:val="en-GB"/>
        </w:rPr>
        <w:t>]</w:t>
      </w:r>
      <w:r w:rsidRPr="00B668D2" w:rsidR="001F3D06">
        <w:rPr>
          <w:lang w:val="en-GB"/>
        </w:rPr>
        <w:t>,</w:t>
      </w:r>
      <w:r w:rsidR="001F3D06">
        <w:rPr>
          <w:lang w:val="en-GB"/>
        </w:rPr>
        <w:t xml:space="preserve"> ...</w:t>
      </w:r>
      <w:r w:rsidRPr="00B668D2" w:rsidR="001F3D06">
        <w:rPr>
          <w:lang w:val="en-GB"/>
        </w:rPr>
        <w:t xml:space="preserve"> § </w:t>
      </w:r>
      <w:r w:rsidR="001F3D06">
        <w:rPr>
          <w:lang w:val="en-GB"/>
        </w:rPr>
        <w:t>137[</w:t>
      </w:r>
      <w:r w:rsidR="00884FC3">
        <w:rPr>
          <w:lang w:val="en-GB"/>
        </w:rPr>
        <w:t>,</w:t>
      </w:r>
      <w:r w:rsidRPr="00B668D2" w:rsidR="00884FC3">
        <w:rPr>
          <w:lang w:val="en-GB"/>
        </w:rPr>
        <w:t xml:space="preserve"> </w:t>
      </w:r>
      <w:r w:rsidRPr="00B668D2" w:rsidR="001F3D06">
        <w:rPr>
          <w:lang w:val="en-GB"/>
        </w:rPr>
        <w:t>ECHR 2008</w:t>
      </w:r>
      <w:r w:rsidR="001F3D06">
        <w:rPr>
          <w:lang w:val="en-GB"/>
        </w:rPr>
        <w:t>]).</w:t>
      </w:r>
    </w:p>
    <w:p w:rsidRPr="0093514B" w:rsidR="0093514B" w:rsidP="002465C6" w:rsidRDefault="0093514B" w14:paraId="0C782F49" w14:textId="4B5CE9FC">
      <w:pPr>
        <w:pStyle w:val="ECHRParaQuote"/>
        <w:rPr>
          <w:rFonts w:eastAsia="Times New Roman"/>
          <w:lang w:val="en-GB"/>
        </w:rPr>
      </w:pPr>
      <w:r w:rsidRPr="0093514B">
        <w:rPr>
          <w:rFonts w:eastAsia="Times New Roman"/>
          <w:lang w:val="en-GB"/>
        </w:rPr>
        <w:t>78</w:t>
      </w:r>
      <w:r w:rsidR="00FA1BDE">
        <w:rPr>
          <w:rFonts w:eastAsia="Times New Roman"/>
          <w:lang w:val="en-GB"/>
        </w:rPr>
        <w:t>.</w:t>
      </w:r>
      <w:r w:rsidRPr="0093514B">
        <w:rPr>
          <w:rFonts w:eastAsia="Times New Roman"/>
          <w:lang w:val="en-GB"/>
        </w:rPr>
        <w:t>  </w:t>
      </w:r>
      <w:r w:rsidRPr="0093514B">
        <w:rPr>
          <w:rFonts w:ascii="Times New (W1)" w:hAnsi="Times New (W1)" w:eastAsia="Times New Roman" w:cs="Times New (W1)"/>
          <w:lang w:val="en-GB"/>
        </w:rPr>
        <w:t>Article 7 of the Convention is not confined to prohibiting the retrospective application of the criminal law to an accused</w:t>
      </w:r>
      <w:r w:rsidR="001D00E3">
        <w:rPr>
          <w:rFonts w:ascii="Times New (W1)" w:hAnsi="Times New (W1)" w:eastAsia="Times New Roman" w:cs="Times New (W1)"/>
          <w:lang w:val="en-GB"/>
        </w:rPr>
        <w:t>’</w:t>
      </w:r>
      <w:r w:rsidRPr="0093514B">
        <w:rPr>
          <w:rFonts w:ascii="Times New (W1)" w:hAnsi="Times New (W1)" w:eastAsia="Times New Roman" w:cs="Times New (W1)"/>
          <w:lang w:val="en-GB"/>
        </w:rPr>
        <w:t xml:space="preserve">s disadvantage </w:t>
      </w:r>
      <w:r w:rsidRPr="0093514B">
        <w:rPr>
          <w:rFonts w:eastAsia="Times New Roman"/>
          <w:lang w:val="en-GB"/>
        </w:rPr>
        <w:t xml:space="preserve">(concerning the retrospective application of a penalty, see </w:t>
      </w:r>
      <w:r w:rsidRPr="0093514B">
        <w:rPr>
          <w:rFonts w:eastAsia="Times New Roman"/>
          <w:i/>
          <w:lang w:val="en-GB"/>
        </w:rPr>
        <w:t>Welch v. the United Kingdom</w:t>
      </w:r>
      <w:r w:rsidRPr="0093514B">
        <w:rPr>
          <w:rFonts w:eastAsia="Times New Roman"/>
          <w:lang w:val="en-GB"/>
        </w:rPr>
        <w:t>, 9 February 1995, § 36, Series A no. 307</w:t>
      </w:r>
      <w:r w:rsidRPr="0093514B">
        <w:rPr>
          <w:rFonts w:eastAsia="Times New Roman"/>
          <w:lang w:val="en-GB"/>
        </w:rPr>
        <w:noBreakHyphen/>
        <w:t xml:space="preserve">A; </w:t>
      </w:r>
      <w:r w:rsidRPr="0093514B">
        <w:rPr>
          <w:rFonts w:eastAsia="Times New Roman"/>
          <w:i/>
          <w:lang w:val="en-GB"/>
        </w:rPr>
        <w:t>Jamil v.</w:t>
      </w:r>
      <w:r w:rsidR="00884FC3">
        <w:rPr>
          <w:rFonts w:eastAsia="Times New Roman"/>
          <w:i/>
          <w:lang w:val="en-GB"/>
        </w:rPr>
        <w:t xml:space="preserve"> </w:t>
      </w:r>
      <w:r w:rsidRPr="0093514B">
        <w:rPr>
          <w:rFonts w:eastAsia="Times New Roman"/>
          <w:i/>
          <w:lang w:val="en-GB"/>
        </w:rPr>
        <w:t>France</w:t>
      </w:r>
      <w:r w:rsidRPr="0093514B">
        <w:rPr>
          <w:rFonts w:eastAsia="Times New Roman"/>
          <w:lang w:val="en-GB"/>
        </w:rPr>
        <w:t xml:space="preserve">, </w:t>
      </w:r>
      <w:r w:rsidR="00802BDE">
        <w:rPr>
          <w:rFonts w:eastAsia="Times New Roman"/>
          <w:lang w:val="en-GB"/>
        </w:rPr>
        <w:t>8 June 1995, § 35, Series A no. </w:t>
      </w:r>
      <w:r w:rsidRPr="0093514B">
        <w:rPr>
          <w:rFonts w:eastAsia="Times New Roman"/>
          <w:lang w:val="en-GB"/>
        </w:rPr>
        <w:t>317</w:t>
      </w:r>
      <w:r w:rsidRPr="0093514B">
        <w:rPr>
          <w:rFonts w:eastAsia="Times New Roman"/>
          <w:lang w:val="en-GB"/>
        </w:rPr>
        <w:noBreakHyphen/>
        <w:t xml:space="preserve">B; </w:t>
      </w:r>
      <w:r w:rsidRPr="0093514B">
        <w:rPr>
          <w:rFonts w:eastAsia="Times New Roman"/>
          <w:i/>
          <w:lang w:val="en-GB"/>
        </w:rPr>
        <w:t>Ecer and Zeyrek v.</w:t>
      </w:r>
      <w:r w:rsidR="00884FC3">
        <w:rPr>
          <w:rFonts w:eastAsia="Times New Roman"/>
          <w:i/>
          <w:lang w:val="en-GB"/>
        </w:rPr>
        <w:t xml:space="preserve"> </w:t>
      </w:r>
      <w:r w:rsidRPr="0093514B">
        <w:rPr>
          <w:rFonts w:eastAsia="Times New Roman"/>
          <w:i/>
          <w:lang w:val="en-GB"/>
        </w:rPr>
        <w:t>Turkey</w:t>
      </w:r>
      <w:r w:rsidRPr="0093514B">
        <w:rPr>
          <w:rFonts w:eastAsia="Times New Roman"/>
          <w:lang w:val="en-GB"/>
        </w:rPr>
        <w:t>, nos. 29295/95 and 29363/95, § 36, ECHR 2001</w:t>
      </w:r>
      <w:r w:rsidRPr="0093514B">
        <w:rPr>
          <w:rFonts w:eastAsia="Times New Roman"/>
          <w:lang w:val="en-GB"/>
        </w:rPr>
        <w:noBreakHyphen/>
        <w:t xml:space="preserve">II; and </w:t>
      </w:r>
      <w:r w:rsidRPr="0093514B">
        <w:rPr>
          <w:rFonts w:eastAsia="Times New Roman"/>
          <w:i/>
          <w:lang w:val="en-GB"/>
        </w:rPr>
        <w:t>Mihai Toma v. Romania</w:t>
      </w:r>
      <w:r w:rsidRPr="0093514B">
        <w:rPr>
          <w:rFonts w:eastAsia="Times New Roman"/>
          <w:lang w:val="en-GB"/>
        </w:rPr>
        <w:t>, no. 1051/06</w:t>
      </w:r>
      <w:r w:rsidRPr="0093514B">
        <w:rPr>
          <w:rFonts w:eastAsia="Times New Roman"/>
          <w:snapToGrid w:val="0"/>
          <w:szCs w:val="24"/>
          <w:lang w:val="en-GB"/>
        </w:rPr>
        <w:t xml:space="preserve">, §§ 26-31, 24 </w:t>
      </w:r>
      <w:r w:rsidRPr="0093514B">
        <w:rPr>
          <w:rFonts w:eastAsia="Times New Roman"/>
          <w:szCs w:val="24"/>
          <w:lang w:val="en-GB"/>
        </w:rPr>
        <w:t>January</w:t>
      </w:r>
      <w:r w:rsidRPr="0093514B">
        <w:rPr>
          <w:rFonts w:eastAsia="Times New Roman"/>
          <w:snapToGrid w:val="0"/>
          <w:szCs w:val="24"/>
          <w:lang w:val="en-GB"/>
        </w:rPr>
        <w:t xml:space="preserve"> 2012)</w:t>
      </w:r>
      <w:r w:rsidRPr="0093514B">
        <w:rPr>
          <w:rFonts w:eastAsia="Times New Roman"/>
          <w:lang w:val="en-GB"/>
        </w:rPr>
        <w:t>. It also embodies, more generally, the principle that only the law can define a crime and prescribe a penalty (</w:t>
      </w:r>
      <w:r w:rsidRPr="0093514B">
        <w:rPr>
          <w:rFonts w:eastAsia="Times New Roman"/>
          <w:i/>
          <w:lang w:val="en-GB"/>
        </w:rPr>
        <w:t>nullum crimen, nulla poena sine lege</w:t>
      </w:r>
      <w:r w:rsidR="005370FF">
        <w:rPr>
          <w:rFonts w:eastAsia="Times New Roman"/>
          <w:lang w:val="en-GB"/>
        </w:rPr>
        <w:t xml:space="preserve"> – </w:t>
      </w:r>
      <w:r w:rsidRPr="0093514B">
        <w:rPr>
          <w:rFonts w:eastAsia="Times New Roman"/>
          <w:lang w:val="en-GB"/>
        </w:rPr>
        <w:t xml:space="preserve">see </w:t>
      </w:r>
      <w:r w:rsidRPr="0093514B">
        <w:rPr>
          <w:rFonts w:eastAsia="Times New Roman"/>
          <w:i/>
          <w:iCs/>
          <w:lang w:val="en-GB"/>
        </w:rPr>
        <w:t>Kokkinakis v. Greece</w:t>
      </w:r>
      <w:r w:rsidRPr="0093514B">
        <w:rPr>
          <w:rFonts w:eastAsia="Times New Roman"/>
          <w:lang w:val="en-GB"/>
        </w:rPr>
        <w:t>, 25 May 1993, § 52, Series A no. 260-A). While it prohibits in particular extending the scope of existing offences to acts which previously were not criminal offences, it also lays down the principle that the criminal law must not be extensively construed to an accused</w:t>
      </w:r>
      <w:r w:rsidR="001D00E3">
        <w:rPr>
          <w:rFonts w:eastAsia="Times New Roman"/>
          <w:lang w:val="en-GB"/>
        </w:rPr>
        <w:t>’</w:t>
      </w:r>
      <w:r w:rsidRPr="0093514B">
        <w:rPr>
          <w:rFonts w:eastAsia="Times New Roman"/>
          <w:lang w:val="en-GB"/>
        </w:rPr>
        <w:t xml:space="preserve">s detriment, for instance by analogy (see </w:t>
      </w:r>
      <w:r w:rsidRPr="0093514B">
        <w:rPr>
          <w:rFonts w:eastAsia="Times New Roman"/>
          <w:i/>
          <w:iCs/>
          <w:lang w:val="en-GB"/>
        </w:rPr>
        <w:t>Coëme and Others v. Belgium</w:t>
      </w:r>
      <w:r w:rsidRPr="0093514B">
        <w:rPr>
          <w:rFonts w:eastAsia="Times New Roman"/>
          <w:lang w:val="en-GB"/>
        </w:rPr>
        <w:t xml:space="preserve">, nos. 32492/96, 32547/96, 32548/96, 33209/96 and 33210/96, § 145, ECHR 2000-VII; for an example of the application of a penalty by analogy, see </w:t>
      </w:r>
      <w:r w:rsidRPr="0093514B">
        <w:rPr>
          <w:rFonts w:eastAsia="Times New Roman"/>
          <w:i/>
          <w:lang w:val="en-GB"/>
        </w:rPr>
        <w:t>Başkaya and Okçuoğlu v. Turkey</w:t>
      </w:r>
      <w:r w:rsidRPr="0093514B">
        <w:rPr>
          <w:rFonts w:eastAsia="Times New Roman"/>
          <w:lang w:val="en-GB"/>
        </w:rPr>
        <w:t xml:space="preserve"> [GC], nos. 23536/94 and 24408/94, §§ 42</w:t>
      </w:r>
      <w:r w:rsidRPr="0093514B">
        <w:rPr>
          <w:rFonts w:eastAsia="Times New Roman"/>
          <w:lang w:val="en-GB"/>
        </w:rPr>
        <w:noBreakHyphen/>
        <w:t>43, ECHR 1999</w:t>
      </w:r>
      <w:r w:rsidRPr="0093514B">
        <w:rPr>
          <w:rFonts w:eastAsia="Times New Roman"/>
          <w:lang w:val="en-GB"/>
        </w:rPr>
        <w:noBreakHyphen/>
        <w:t>IV).</w:t>
      </w:r>
    </w:p>
    <w:p w:rsidRPr="0093514B" w:rsidR="0093514B" w:rsidP="002465C6" w:rsidRDefault="0093514B" w14:paraId="79BAAB14" w14:textId="77777777">
      <w:pPr>
        <w:pStyle w:val="ECHRParaQuote"/>
        <w:rPr>
          <w:rFonts w:eastAsia="Times New Roman"/>
          <w:lang w:val="en-GB"/>
        </w:rPr>
      </w:pPr>
      <w:r w:rsidRPr="0093514B">
        <w:rPr>
          <w:rFonts w:eastAsia="Times New Roman"/>
          <w:lang w:val="en-GB"/>
        </w:rPr>
        <w:t>79.  It follows that offences and the relevant penalties must be clearly defined by law. This requirement is satisfied where the individual can know from the wording of the relevant provision, if need be with the assistance of the courts</w:t>
      </w:r>
      <w:r w:rsidR="001D00E3">
        <w:rPr>
          <w:rFonts w:eastAsia="Times New Roman"/>
          <w:lang w:val="en-GB"/>
        </w:rPr>
        <w:t>’</w:t>
      </w:r>
      <w:r w:rsidRPr="0093514B">
        <w:rPr>
          <w:rFonts w:eastAsia="Times New Roman"/>
          <w:lang w:val="en-GB"/>
        </w:rPr>
        <w:t xml:space="preserve"> interpretation of it and after taking appropriate legal advice, what acts and omissions will make him criminally liable and what penalty he faces on that account (see </w:t>
      </w:r>
      <w:r w:rsidRPr="0093514B">
        <w:rPr>
          <w:rFonts w:eastAsia="Times New Roman"/>
          <w:i/>
          <w:lang w:val="en-GB"/>
        </w:rPr>
        <w:t>Cantoni v. France</w:t>
      </w:r>
      <w:r w:rsidR="00B36A69">
        <w:rPr>
          <w:rFonts w:eastAsia="Times New Roman"/>
          <w:lang w:val="en-GB"/>
        </w:rPr>
        <w:t>, 15 </w:t>
      </w:r>
      <w:r w:rsidRPr="0093514B">
        <w:rPr>
          <w:rFonts w:eastAsia="Times New Roman"/>
          <w:lang w:val="en-GB"/>
        </w:rPr>
        <w:t xml:space="preserve">November 1996, § 29, </w:t>
      </w:r>
      <w:r w:rsidRPr="0093514B">
        <w:rPr>
          <w:rFonts w:eastAsia="Times New Roman"/>
          <w:i/>
          <w:lang w:val="en-GB"/>
        </w:rPr>
        <w:t>Reports of Judgments and Decisions</w:t>
      </w:r>
      <w:r w:rsidRPr="0093514B">
        <w:rPr>
          <w:rFonts w:eastAsia="Times New Roman"/>
          <w:lang w:val="en-GB"/>
        </w:rPr>
        <w:t xml:space="preserve"> 1996</w:t>
      </w:r>
      <w:r w:rsidRPr="0093514B">
        <w:rPr>
          <w:rFonts w:eastAsia="Times New Roman"/>
          <w:lang w:val="en-GB"/>
        </w:rPr>
        <w:noBreakHyphen/>
        <w:t xml:space="preserve">V, and </w:t>
      </w:r>
      <w:r w:rsidRPr="0093514B">
        <w:rPr>
          <w:rFonts w:eastAsia="Times New Roman"/>
          <w:i/>
          <w:iCs/>
          <w:lang w:val="en-GB"/>
        </w:rPr>
        <w:t>Kafkaris</w:t>
      </w:r>
      <w:r w:rsidRPr="0093514B">
        <w:rPr>
          <w:rFonts w:eastAsia="Times New Roman"/>
          <w:lang w:val="en-GB"/>
        </w:rPr>
        <w:t>,</w:t>
      </w:r>
      <w:r w:rsidRPr="0093514B">
        <w:rPr>
          <w:rFonts w:eastAsia="Times New Roman"/>
          <w:i/>
          <w:iCs/>
          <w:lang w:val="en-GB"/>
        </w:rPr>
        <w:t xml:space="preserve"> </w:t>
      </w:r>
      <w:r w:rsidRPr="0093514B">
        <w:rPr>
          <w:rFonts w:eastAsia="Times New Roman"/>
          <w:lang w:val="en-GB"/>
        </w:rPr>
        <w:t>cited above, § 140).</w:t>
      </w:r>
    </w:p>
    <w:p w:rsidRPr="0093514B" w:rsidR="0093514B" w:rsidP="002465C6" w:rsidRDefault="0093514B" w14:paraId="09421AE0" w14:textId="77777777">
      <w:pPr>
        <w:pStyle w:val="ECHRParaQuote"/>
        <w:rPr>
          <w:rFonts w:eastAsia="Times New Roman"/>
          <w:lang w:val="en-GB"/>
        </w:rPr>
      </w:pPr>
      <w:r w:rsidRPr="0093514B">
        <w:rPr>
          <w:rFonts w:eastAsia="Times New Roman"/>
          <w:lang w:val="en-GB"/>
        </w:rPr>
        <w:t xml:space="preserve">80.  The Court must therefore verify that at the time when an accused person performed the act which led to his being prosecuted and convicted there was in force a legal provision which made that act punishable, and that the punishment imposed did not exceed the limits fixed by that provision (see </w:t>
      </w:r>
      <w:r w:rsidRPr="0093514B">
        <w:rPr>
          <w:rFonts w:eastAsia="Times New Roman"/>
          <w:i/>
          <w:lang w:val="en-GB"/>
        </w:rPr>
        <w:t>Coëme and Others</w:t>
      </w:r>
      <w:r w:rsidRPr="0093514B">
        <w:rPr>
          <w:rFonts w:eastAsia="Times New Roman"/>
          <w:lang w:val="en-GB"/>
        </w:rPr>
        <w:t>,</w:t>
      </w:r>
      <w:r w:rsidRPr="0093514B">
        <w:rPr>
          <w:rFonts w:eastAsia="Times New Roman"/>
          <w:i/>
          <w:lang w:val="en-GB"/>
        </w:rPr>
        <w:t xml:space="preserve"> </w:t>
      </w:r>
      <w:r w:rsidR="00B36A69">
        <w:rPr>
          <w:rFonts w:eastAsia="Times New Roman"/>
          <w:lang w:val="en-GB"/>
        </w:rPr>
        <w:t>cited above, § </w:t>
      </w:r>
      <w:r w:rsidRPr="0093514B">
        <w:rPr>
          <w:rFonts w:eastAsia="Times New Roman"/>
          <w:lang w:val="en-GB"/>
        </w:rPr>
        <w:t xml:space="preserve">145, and </w:t>
      </w:r>
      <w:r w:rsidRPr="0093514B">
        <w:rPr>
          <w:rFonts w:eastAsia="Times New Roman"/>
          <w:i/>
          <w:szCs w:val="24"/>
          <w:lang w:val="en-GB"/>
        </w:rPr>
        <w:t>Achour v. France</w:t>
      </w:r>
      <w:r w:rsidRPr="0093514B">
        <w:rPr>
          <w:rFonts w:eastAsia="Times New Roman"/>
          <w:szCs w:val="24"/>
          <w:lang w:val="en-GB"/>
        </w:rPr>
        <w:t xml:space="preserve"> [GC], no. 67335/01, § 43, ECHR 2006</w:t>
      </w:r>
      <w:r w:rsidRPr="0093514B">
        <w:rPr>
          <w:rFonts w:eastAsia="Times New Roman"/>
          <w:szCs w:val="24"/>
          <w:lang w:val="en-GB"/>
        </w:rPr>
        <w:noBreakHyphen/>
        <w:t>IV).</w:t>
      </w:r>
    </w:p>
    <w:p w:rsidRPr="00BD3433" w:rsidR="0093514B" w:rsidP="004E39FA" w:rsidRDefault="0093514B" w14:paraId="480DB98C" w14:textId="77777777">
      <w:pPr>
        <w:pStyle w:val="JuQuotSub"/>
        <w:rPr>
          <w:rFonts w:eastAsia="Times New Roman"/>
          <w:b/>
        </w:rPr>
      </w:pPr>
      <w:r w:rsidRPr="00BD3433">
        <w:rPr>
          <w:rFonts w:eastAsia="Times New Roman"/>
          <w:b/>
        </w:rPr>
        <w:t xml:space="preserve">(b)  The concept of a </w:t>
      </w:r>
      <w:r w:rsidRPr="00BD3433" w:rsidR="001D00E3">
        <w:rPr>
          <w:rFonts w:eastAsia="Times New Roman"/>
          <w:b/>
        </w:rPr>
        <w:t>‘</w:t>
      </w:r>
      <w:r w:rsidRPr="00BD3433">
        <w:rPr>
          <w:rFonts w:eastAsia="Times New Roman"/>
          <w:b/>
        </w:rPr>
        <w:t>penalty</w:t>
      </w:r>
      <w:r w:rsidRPr="00BD3433" w:rsidR="001D00E3">
        <w:rPr>
          <w:rFonts w:eastAsia="Times New Roman"/>
          <w:b/>
        </w:rPr>
        <w:t>’</w:t>
      </w:r>
      <w:r w:rsidRPr="00BD3433">
        <w:rPr>
          <w:rFonts w:eastAsia="Times New Roman"/>
          <w:b/>
        </w:rPr>
        <w:t xml:space="preserve"> and its scope</w:t>
      </w:r>
    </w:p>
    <w:p w:rsidRPr="0093514B" w:rsidR="0093514B" w:rsidP="004E39FA" w:rsidRDefault="0093514B" w14:paraId="51941636" w14:textId="77777777">
      <w:pPr>
        <w:pStyle w:val="JuQuotSub"/>
        <w:rPr>
          <w:rFonts w:eastAsia="Times New Roman"/>
          <w:lang w:val="en-GB"/>
        </w:rPr>
      </w:pPr>
      <w:r w:rsidRPr="0093514B">
        <w:rPr>
          <w:rFonts w:eastAsia="Times New Roman"/>
          <w:lang w:val="en-GB"/>
        </w:rPr>
        <w:t>...</w:t>
      </w:r>
    </w:p>
    <w:p w:rsidRPr="00BD3433" w:rsidR="0093514B" w:rsidP="004E39FA" w:rsidRDefault="0093514B" w14:paraId="3924F41A" w14:textId="77777777">
      <w:pPr>
        <w:pStyle w:val="JuQuotSub"/>
        <w:rPr>
          <w:rFonts w:eastAsia="Times New Roman"/>
          <w:b/>
        </w:rPr>
      </w:pPr>
      <w:r w:rsidRPr="00BD3433">
        <w:rPr>
          <w:rFonts w:eastAsia="Times New Roman"/>
          <w:b/>
        </w:rPr>
        <w:t>(c)  Foreseeability of criminal law</w:t>
      </w:r>
    </w:p>
    <w:p w:rsidRPr="0093514B" w:rsidR="0093514B" w:rsidP="002465C6" w:rsidRDefault="0093514B" w14:paraId="59B56528" w14:textId="78668198">
      <w:pPr>
        <w:pStyle w:val="ECHRParaQuote"/>
        <w:rPr>
          <w:rFonts w:eastAsia="Times New Roman"/>
          <w:lang w:val="en-GB"/>
        </w:rPr>
      </w:pPr>
      <w:r w:rsidRPr="0093514B">
        <w:rPr>
          <w:rFonts w:eastAsia="Times New Roman"/>
          <w:lang w:val="en-GB"/>
        </w:rPr>
        <w:t>91.  </w:t>
      </w:r>
      <w:r w:rsidRPr="0093514B">
        <w:rPr>
          <w:rFonts w:eastAsia="Times New Roman"/>
          <w:noProof/>
          <w:lang w:val="en-GB"/>
        </w:rPr>
        <w:t xml:space="preserve">When speaking of </w:t>
      </w:r>
      <w:r w:rsidR="001D00E3">
        <w:rPr>
          <w:rFonts w:eastAsia="Times New Roman"/>
          <w:noProof/>
          <w:lang w:val="en-GB"/>
        </w:rPr>
        <w:t>‘</w:t>
      </w:r>
      <w:r w:rsidRPr="0093514B">
        <w:rPr>
          <w:rFonts w:eastAsia="Times New Roman"/>
          <w:noProof/>
          <w:lang w:val="en-GB"/>
        </w:rPr>
        <w:t>law</w:t>
      </w:r>
      <w:r w:rsidR="001D00E3">
        <w:rPr>
          <w:rFonts w:eastAsia="Times New Roman"/>
          <w:noProof/>
          <w:lang w:val="en-GB"/>
        </w:rPr>
        <w:t>’</w:t>
      </w:r>
      <w:r w:rsidRPr="0093514B">
        <w:rPr>
          <w:rFonts w:eastAsia="Times New Roman"/>
          <w:noProof/>
          <w:lang w:val="en-GB"/>
        </w:rPr>
        <w:t xml:space="preserve"> Article 7 alludes to the very same concept as that to which the Convention refers elsewhere when using that term, a concept which comprises statutory law as well as case-law and implies qualitative requirements, notably those of accessibility and foreseeability </w:t>
      </w:r>
      <w:r w:rsidRPr="0093514B">
        <w:rPr>
          <w:rFonts w:eastAsia="Times New Roman"/>
          <w:lang w:val="en-GB"/>
        </w:rPr>
        <w:t xml:space="preserve">(see </w:t>
      </w:r>
      <w:r w:rsidRPr="0093514B">
        <w:rPr>
          <w:rFonts w:eastAsia="Times New Roman"/>
          <w:i/>
          <w:lang w:val="en-GB"/>
        </w:rPr>
        <w:t>Kokkinakis</w:t>
      </w:r>
      <w:r w:rsidRPr="0093514B">
        <w:rPr>
          <w:rFonts w:eastAsia="Times New Roman"/>
          <w:lang w:val="en-GB"/>
        </w:rPr>
        <w:t>, cited above, §§ 40</w:t>
      </w:r>
      <w:r w:rsidR="007538DD">
        <w:rPr>
          <w:rFonts w:eastAsia="Times New Roman"/>
          <w:lang w:val="en-GB"/>
        </w:rPr>
        <w:noBreakHyphen/>
      </w:r>
      <w:r w:rsidRPr="0093514B">
        <w:rPr>
          <w:rFonts w:eastAsia="Times New Roman"/>
          <w:lang w:val="en-GB"/>
        </w:rPr>
        <w:t>41;</w:t>
      </w:r>
      <w:r w:rsidRPr="0093514B">
        <w:rPr>
          <w:rFonts w:ascii="Times New (W1)" w:hAnsi="Times New (W1)" w:eastAsia="Times New Roman"/>
          <w:szCs w:val="24"/>
          <w:lang w:val="en-GB"/>
        </w:rPr>
        <w:t xml:space="preserve"> </w:t>
      </w:r>
      <w:r w:rsidRPr="0093514B">
        <w:rPr>
          <w:rFonts w:eastAsia="Times New Roman"/>
          <w:i/>
          <w:lang w:val="en-GB"/>
        </w:rPr>
        <w:t>Cantoni</w:t>
      </w:r>
      <w:r w:rsidRPr="0093514B">
        <w:rPr>
          <w:rFonts w:eastAsia="Times New Roman"/>
          <w:lang w:val="en-GB"/>
        </w:rPr>
        <w:t>,</w:t>
      </w:r>
      <w:r w:rsidRPr="0093514B">
        <w:rPr>
          <w:rFonts w:eastAsia="Times New Roman"/>
          <w:i/>
          <w:lang w:val="en-GB"/>
        </w:rPr>
        <w:t xml:space="preserve"> </w:t>
      </w:r>
      <w:r w:rsidRPr="0093514B">
        <w:rPr>
          <w:rFonts w:eastAsia="Times New Roman"/>
          <w:lang w:val="en-GB"/>
        </w:rPr>
        <w:t>cited above, §</w:t>
      </w:r>
      <w:r w:rsidR="007538DD">
        <w:rPr>
          <w:rFonts w:eastAsia="Times New Roman"/>
          <w:lang w:val="en-GB"/>
        </w:rPr>
        <w:t xml:space="preserve"> </w:t>
      </w:r>
      <w:r w:rsidRPr="0093514B">
        <w:rPr>
          <w:rFonts w:eastAsia="Times New Roman"/>
          <w:lang w:val="en-GB"/>
        </w:rPr>
        <w:t xml:space="preserve">29; </w:t>
      </w:r>
      <w:r w:rsidRPr="0093514B">
        <w:rPr>
          <w:rFonts w:ascii="Times New (W1)" w:hAnsi="Times New (W1)" w:eastAsia="Times New Roman"/>
          <w:i/>
          <w:szCs w:val="24"/>
          <w:lang w:val="en-GB"/>
        </w:rPr>
        <w:t>Coëme and Others</w:t>
      </w:r>
      <w:r w:rsidRPr="0093514B">
        <w:rPr>
          <w:rFonts w:ascii="Times New (W1)" w:hAnsi="Times New (W1)" w:eastAsia="Times New Roman"/>
          <w:szCs w:val="24"/>
          <w:lang w:val="en-GB"/>
        </w:rPr>
        <w:t>, cited above, § 145;</w:t>
      </w:r>
      <w:r w:rsidRPr="0093514B">
        <w:rPr>
          <w:rFonts w:eastAsia="Times New Roman"/>
          <w:lang w:val="en-GB"/>
        </w:rPr>
        <w:t xml:space="preserve"> and </w:t>
      </w:r>
      <w:r w:rsidR="00B36A69">
        <w:rPr>
          <w:rFonts w:ascii="Times New (W1)" w:hAnsi="Times New (W1)" w:eastAsia="Times New Roman"/>
          <w:i/>
          <w:szCs w:val="24"/>
          <w:lang w:val="en-GB"/>
        </w:rPr>
        <w:t>E.K. v.</w:t>
      </w:r>
      <w:r w:rsidR="007538DD">
        <w:rPr>
          <w:rFonts w:ascii="Times New (W1)" w:hAnsi="Times New (W1)" w:eastAsia="Times New Roman"/>
          <w:i/>
          <w:szCs w:val="24"/>
          <w:lang w:val="en-GB"/>
        </w:rPr>
        <w:t xml:space="preserve"> </w:t>
      </w:r>
      <w:r w:rsidRPr="0093514B">
        <w:rPr>
          <w:rFonts w:ascii="Times New (W1)" w:hAnsi="Times New (W1)" w:eastAsia="Times New Roman"/>
          <w:i/>
          <w:szCs w:val="24"/>
          <w:lang w:val="en-GB"/>
        </w:rPr>
        <w:t>Turkey</w:t>
      </w:r>
      <w:r w:rsidRPr="0093514B">
        <w:rPr>
          <w:rFonts w:ascii="Times New (W1)" w:hAnsi="Times New (W1)" w:eastAsia="Times New Roman"/>
          <w:szCs w:val="24"/>
          <w:lang w:val="en-GB"/>
        </w:rPr>
        <w:t>, no. 28496/95, § 51, 7</w:t>
      </w:r>
      <w:r w:rsidR="007538DD">
        <w:rPr>
          <w:rFonts w:ascii="Times New (W1)" w:hAnsi="Times New (W1)" w:eastAsia="Times New Roman"/>
          <w:szCs w:val="24"/>
          <w:lang w:val="en-GB"/>
        </w:rPr>
        <w:t xml:space="preserve"> </w:t>
      </w:r>
      <w:r w:rsidRPr="0093514B">
        <w:rPr>
          <w:rFonts w:ascii="Times New (W1)" w:hAnsi="Times New (W1)" w:eastAsia="Times New Roman"/>
          <w:szCs w:val="24"/>
          <w:lang w:val="en-GB"/>
        </w:rPr>
        <w:t>February 2002</w:t>
      </w:r>
      <w:r w:rsidRPr="0093514B">
        <w:rPr>
          <w:rFonts w:eastAsia="Times New Roman"/>
          <w:lang w:val="en-GB"/>
        </w:rPr>
        <w:t>). These qualitative requirements must be satisfied as regards both the definition of an offence and the penalty the offence carries.</w:t>
      </w:r>
    </w:p>
    <w:p w:rsidRPr="0093514B" w:rsidR="0093514B" w:rsidP="002465C6" w:rsidRDefault="0093514B" w14:paraId="1EF695F6" w14:textId="77777777">
      <w:pPr>
        <w:pStyle w:val="ECHRParaQuote"/>
        <w:rPr>
          <w:rFonts w:eastAsia="Times New Roman"/>
          <w:lang w:val="en-GB"/>
        </w:rPr>
      </w:pPr>
      <w:r w:rsidRPr="0093514B">
        <w:rPr>
          <w:rFonts w:eastAsia="Times New Roman"/>
          <w:lang w:val="en-GB"/>
        </w:rPr>
        <w:t xml:space="preserve">92.  It is a logical consequence of the principle that laws must be of general application that the wording of statutes is not always precise. One of the standard techniques of regulation by rules is to use general categorisations as opposed to exhaustive lists. Accordingly, many laws are inevitably couched in terms which, to a greater or lesser extent, are vague and whose interpretation and application are questions of practice (see </w:t>
      </w:r>
      <w:r w:rsidRPr="0093514B">
        <w:rPr>
          <w:rFonts w:eastAsia="Times New Roman"/>
          <w:i/>
          <w:lang w:val="en-GB"/>
        </w:rPr>
        <w:t>Kokkinakis</w:t>
      </w:r>
      <w:r w:rsidRPr="0093514B">
        <w:rPr>
          <w:rFonts w:eastAsia="Times New Roman"/>
          <w:lang w:val="en-GB"/>
        </w:rPr>
        <w:t>, cited above, § 40, and</w:t>
      </w:r>
      <w:r w:rsidRPr="0093514B">
        <w:rPr>
          <w:rFonts w:eastAsia="Times New Roman"/>
          <w:i/>
          <w:lang w:val="en-GB"/>
        </w:rPr>
        <w:t xml:space="preserve"> Cantoni</w:t>
      </w:r>
      <w:r w:rsidR="00B36A69">
        <w:rPr>
          <w:rFonts w:eastAsia="Times New Roman"/>
          <w:lang w:val="en-GB"/>
        </w:rPr>
        <w:t>, cited above, § </w:t>
      </w:r>
      <w:r w:rsidRPr="0093514B">
        <w:rPr>
          <w:rFonts w:eastAsia="Times New Roman"/>
          <w:lang w:val="en-GB"/>
        </w:rPr>
        <w:t xml:space="preserve">31). However clearly drafted a legal provision may be, in any system of law, including criminal law, there is an inevitable element of judicial interpretation. There will always be a need for elucidation of doubtful points and for adaptation to changing circumstances. Again, whilst certainty is highly desirable, it may bring in its train excessive rigidity and the law must be able to keep pace with changing circumstances (see </w:t>
      </w:r>
      <w:r w:rsidRPr="0093514B">
        <w:rPr>
          <w:rFonts w:eastAsia="Times New Roman"/>
          <w:i/>
          <w:lang w:val="en-GB"/>
        </w:rPr>
        <w:t>Kafkaris</w:t>
      </w:r>
      <w:r w:rsidRPr="0093514B">
        <w:rPr>
          <w:rFonts w:eastAsia="Times New Roman"/>
          <w:lang w:val="en-GB"/>
        </w:rPr>
        <w:t>, cited above, § 141).</w:t>
      </w:r>
    </w:p>
    <w:p w:rsidRPr="0093514B" w:rsidR="0093514B" w:rsidP="002465C6" w:rsidRDefault="0093514B" w14:paraId="74E3BD74" w14:textId="5CEE8E41">
      <w:pPr>
        <w:pStyle w:val="ECHRParaQuote"/>
        <w:rPr>
          <w:rFonts w:eastAsia="Times New Roman"/>
          <w:lang w:val="en-GB"/>
        </w:rPr>
      </w:pPr>
      <w:r w:rsidRPr="0093514B">
        <w:rPr>
          <w:rFonts w:eastAsia="Times New Roman"/>
          <w:lang w:val="en-GB"/>
        </w:rPr>
        <w:t>93.  The role of adjudication vested in the courts is precisely to dissipate such interpretational doubts as remain (</w:t>
      </w:r>
      <w:r w:rsidRPr="00BD3433">
        <w:rPr>
          <w:rFonts w:eastAsia="Times New Roman"/>
          <w:lang w:val="en-GB"/>
        </w:rPr>
        <w:t>ibid.</w:t>
      </w:r>
      <w:r w:rsidRPr="0093514B">
        <w:rPr>
          <w:rFonts w:eastAsia="Times New Roman"/>
          <w:lang w:val="en-GB"/>
        </w:rPr>
        <w:t xml:space="preserve">). The progressive development of the criminal law through judicial law-making is a well-entrenched and necessary part of legal tradition in the Convention States (see </w:t>
      </w:r>
      <w:r w:rsidRPr="0093514B">
        <w:rPr>
          <w:rFonts w:eastAsia="Times New Roman"/>
          <w:i/>
          <w:lang w:val="en-GB"/>
        </w:rPr>
        <w:t>Kruslin v. France</w:t>
      </w:r>
      <w:r w:rsidRPr="0093514B">
        <w:rPr>
          <w:rFonts w:eastAsia="Times New Roman"/>
          <w:lang w:val="en-GB"/>
        </w:rPr>
        <w:t>, 24 April 1990, § 29, Series</w:t>
      </w:r>
      <w:r w:rsidR="007C0FD7">
        <w:rPr>
          <w:rFonts w:eastAsia="Times New Roman"/>
          <w:lang w:val="en-GB"/>
        </w:rPr>
        <w:t> </w:t>
      </w:r>
      <w:r w:rsidRPr="0093514B">
        <w:rPr>
          <w:rFonts w:eastAsia="Times New Roman"/>
          <w:lang w:val="en-GB"/>
        </w:rPr>
        <w:t>A no. 176</w:t>
      </w:r>
      <w:r w:rsidRPr="0093514B">
        <w:rPr>
          <w:rFonts w:eastAsia="Times New Roman"/>
          <w:lang w:val="en-GB"/>
        </w:rPr>
        <w:noBreakHyphen/>
        <w:t xml:space="preserve">A). Article 7 of the Convention cannot be read as outlawing the gradual clarification of the rules of criminal liability through judicial interpretation from case to case, provided that the resultant development is consistent with the essence of the offence and could reasonably be foreseen (see </w:t>
      </w:r>
      <w:r w:rsidRPr="0093514B">
        <w:rPr>
          <w:rFonts w:eastAsia="Times New Roman"/>
          <w:i/>
          <w:iCs/>
          <w:lang w:val="en-GB"/>
        </w:rPr>
        <w:t>S.W. v. the United Kingdom</w:t>
      </w:r>
      <w:r w:rsidRPr="0093514B">
        <w:rPr>
          <w:rFonts w:eastAsia="Times New Roman"/>
          <w:lang w:val="en-GB"/>
        </w:rPr>
        <w:t>, cited above, § 36</w:t>
      </w:r>
      <w:r w:rsidR="007C0FD7">
        <w:rPr>
          <w:rFonts w:eastAsia="Times New Roman"/>
          <w:lang w:val="en-GB"/>
        </w:rPr>
        <w:t xml:space="preserve">; </w:t>
      </w:r>
      <w:r w:rsidR="007C0FD7">
        <w:rPr>
          <w:rFonts w:eastAsia="Times New Roman"/>
          <w:i/>
          <w:lang w:val="en-GB"/>
        </w:rPr>
        <w:t>C.R. v. the United Kingdom</w:t>
      </w:r>
      <w:r w:rsidR="007C0FD7">
        <w:rPr>
          <w:rFonts w:eastAsia="Times New Roman"/>
          <w:lang w:val="en-GB"/>
        </w:rPr>
        <w:t>, cited above,</w:t>
      </w:r>
      <w:r w:rsidRPr="0093514B">
        <w:rPr>
          <w:rFonts w:eastAsia="Times New Roman"/>
          <w:lang w:val="en-GB"/>
        </w:rPr>
        <w:t xml:space="preserve"> § 34; </w:t>
      </w:r>
      <w:r w:rsidRPr="0093514B">
        <w:rPr>
          <w:rFonts w:eastAsia="Times New Roman"/>
          <w:i/>
          <w:lang w:val="en-GB"/>
        </w:rPr>
        <w:t>Streletz, Kessler and Krenz</w:t>
      </w:r>
      <w:r w:rsidR="007538DD">
        <w:rPr>
          <w:rFonts w:eastAsia="Times New Roman"/>
          <w:i/>
          <w:lang w:val="en-GB"/>
        </w:rPr>
        <w:t xml:space="preserve"> </w:t>
      </w:r>
      <w:r w:rsidR="007538DD">
        <w:rPr>
          <w:rFonts w:eastAsia="Times New Roman"/>
          <w:lang w:val="en-GB"/>
        </w:rPr>
        <w:t>[</w:t>
      </w:r>
      <w:r w:rsidR="007538DD">
        <w:rPr>
          <w:rFonts w:eastAsia="Times New Roman"/>
          <w:i/>
          <w:lang w:val="en-GB"/>
        </w:rPr>
        <w:t xml:space="preserve">v. Germany </w:t>
      </w:r>
      <w:r w:rsidR="007538DD">
        <w:rPr>
          <w:rFonts w:eastAsia="Times New Roman"/>
          <w:lang w:val="en-GB"/>
        </w:rPr>
        <w:t>[GC], nos. 34044/96 and 2 others</w:t>
      </w:r>
      <w:r w:rsidRPr="0093514B">
        <w:rPr>
          <w:rFonts w:eastAsia="Times New Roman"/>
          <w:lang w:val="en-GB"/>
        </w:rPr>
        <w:t>, §</w:t>
      </w:r>
      <w:r w:rsidR="007538DD">
        <w:rPr>
          <w:rFonts w:eastAsia="Times New Roman"/>
          <w:lang w:val="en-GB"/>
        </w:rPr>
        <w:t xml:space="preserve"> </w:t>
      </w:r>
      <w:r w:rsidRPr="0093514B">
        <w:rPr>
          <w:rFonts w:eastAsia="Times New Roman"/>
          <w:lang w:val="en-GB"/>
        </w:rPr>
        <w:t>50</w:t>
      </w:r>
      <w:r w:rsidR="007538DD">
        <w:rPr>
          <w:rFonts w:eastAsia="Times New Roman"/>
          <w:lang w:val="en-GB"/>
        </w:rPr>
        <w:t>[, ECHR 2001</w:t>
      </w:r>
      <w:r w:rsidR="007538DD">
        <w:rPr>
          <w:rFonts w:eastAsia="Times New Roman"/>
          <w:lang w:val="en-GB"/>
        </w:rPr>
        <w:noBreakHyphen/>
        <w:t>II]</w:t>
      </w:r>
      <w:r w:rsidRPr="0093514B">
        <w:rPr>
          <w:rFonts w:eastAsia="Times New Roman"/>
          <w:lang w:val="en-GB"/>
        </w:rPr>
        <w:t xml:space="preserve">; </w:t>
      </w:r>
      <w:r w:rsidRPr="0093514B">
        <w:rPr>
          <w:rFonts w:eastAsia="Times New Roman"/>
          <w:i/>
          <w:lang w:val="en-GB"/>
        </w:rPr>
        <w:t xml:space="preserve">K.-H.W. v. Germany </w:t>
      </w:r>
      <w:r w:rsidRPr="0093514B">
        <w:rPr>
          <w:rFonts w:eastAsia="Times New Roman"/>
          <w:lang w:val="en-GB"/>
        </w:rPr>
        <w:t>[GC], no. 37201/97, § 85,</w:t>
      </w:r>
      <w:r w:rsidR="007C0FD7">
        <w:rPr>
          <w:rFonts w:eastAsia="Times New Roman"/>
          <w:lang w:val="en-GB"/>
        </w:rPr>
        <w:t xml:space="preserve"> 22 March 2001</w:t>
      </w:r>
      <w:r w:rsidRPr="0093514B">
        <w:rPr>
          <w:rFonts w:eastAsia="Times New Roman"/>
          <w:lang w:val="en-GB"/>
        </w:rPr>
        <w:t xml:space="preserve">; </w:t>
      </w:r>
      <w:r w:rsidR="00B36A69">
        <w:rPr>
          <w:rFonts w:eastAsia="Times New Roman"/>
          <w:i/>
          <w:lang w:val="en-GB"/>
        </w:rPr>
        <w:t>Korbely v.</w:t>
      </w:r>
      <w:r w:rsidR="007538DD">
        <w:rPr>
          <w:rFonts w:eastAsia="Times New Roman"/>
          <w:i/>
          <w:lang w:val="en-GB"/>
        </w:rPr>
        <w:t xml:space="preserve"> </w:t>
      </w:r>
      <w:r w:rsidRPr="0093514B">
        <w:rPr>
          <w:rFonts w:eastAsia="Times New Roman"/>
          <w:i/>
          <w:lang w:val="en-GB"/>
        </w:rPr>
        <w:t xml:space="preserve">Hungary </w:t>
      </w:r>
      <w:r w:rsidRPr="0093514B">
        <w:rPr>
          <w:rFonts w:eastAsia="Times New Roman"/>
          <w:lang w:val="en-GB"/>
        </w:rPr>
        <w:t>[GC], no. 9174/02, §</w:t>
      </w:r>
      <w:r w:rsidR="007538DD">
        <w:rPr>
          <w:rFonts w:eastAsia="Times New Roman"/>
          <w:lang w:val="en-GB"/>
        </w:rPr>
        <w:t xml:space="preserve"> </w:t>
      </w:r>
      <w:r w:rsidRPr="0093514B">
        <w:rPr>
          <w:rFonts w:eastAsia="Times New Roman"/>
          <w:lang w:val="en-GB"/>
        </w:rPr>
        <w:t xml:space="preserve">71, ECHR 2008; and </w:t>
      </w:r>
      <w:r w:rsidRPr="0093514B">
        <w:rPr>
          <w:rFonts w:eastAsia="Times New Roman"/>
          <w:i/>
          <w:lang w:val="en-GB"/>
        </w:rPr>
        <w:t xml:space="preserve">Kononov v. Latvia </w:t>
      </w:r>
      <w:r w:rsidR="00B36A69">
        <w:rPr>
          <w:rFonts w:eastAsia="Times New Roman"/>
          <w:lang w:val="en-GB"/>
        </w:rPr>
        <w:t>[GC], no. </w:t>
      </w:r>
      <w:r w:rsidRPr="0093514B">
        <w:rPr>
          <w:rFonts w:eastAsia="Times New Roman"/>
          <w:lang w:val="en-GB"/>
        </w:rPr>
        <w:t>36376/04, § 185, ECHR 2010). The lack of an accessible and reasonably foreseeable judicial interpretation can even lead to a finding of a violation of the accused</w:t>
      </w:r>
      <w:r w:rsidR="001D00E3">
        <w:rPr>
          <w:rFonts w:eastAsia="Times New Roman"/>
          <w:lang w:val="en-GB"/>
        </w:rPr>
        <w:t>’</w:t>
      </w:r>
      <w:r w:rsidRPr="0093514B">
        <w:rPr>
          <w:rFonts w:eastAsia="Times New Roman"/>
          <w:lang w:val="en-GB"/>
        </w:rPr>
        <w:t xml:space="preserve">s Article 7 rights (see, concerning the constituent elements of the offence, </w:t>
      </w:r>
      <w:r w:rsidRPr="0093514B">
        <w:rPr>
          <w:rFonts w:eastAsia="Times New Roman"/>
          <w:i/>
          <w:lang w:val="en-GB"/>
        </w:rPr>
        <w:t>Pessino v. France</w:t>
      </w:r>
      <w:r w:rsidRPr="0093514B">
        <w:rPr>
          <w:rFonts w:eastAsia="Times New Roman"/>
          <w:lang w:val="en-GB"/>
        </w:rPr>
        <w:t>, no. 40403/02, §§ 35-36, 10</w:t>
      </w:r>
      <w:r w:rsidR="001170A7">
        <w:rPr>
          <w:rFonts w:eastAsia="Times New Roman"/>
          <w:lang w:val="en-GB"/>
        </w:rPr>
        <w:t> </w:t>
      </w:r>
      <w:r w:rsidRPr="0093514B">
        <w:rPr>
          <w:rFonts w:eastAsia="Times New Roman"/>
          <w:lang w:val="en-GB"/>
        </w:rPr>
        <w:t xml:space="preserve">October 2006, and </w:t>
      </w:r>
      <w:r w:rsidRPr="0093514B">
        <w:rPr>
          <w:rFonts w:eastAsia="Times New Roman"/>
          <w:i/>
          <w:lang w:val="en-GB"/>
        </w:rPr>
        <w:t>Dragotoniu and Militaru-Pidhorni v. Romania</w:t>
      </w:r>
      <w:r w:rsidRPr="0093514B">
        <w:rPr>
          <w:rFonts w:eastAsia="Times New Roman"/>
          <w:lang w:val="en-GB"/>
        </w:rPr>
        <w:t xml:space="preserve">, nos. 77193/01 and 77196/01, §§ 43-44, 24 May 2007; as regards the penalty, see </w:t>
      </w:r>
      <w:r w:rsidRPr="0093514B">
        <w:rPr>
          <w:rFonts w:eastAsia="Times New Roman"/>
          <w:i/>
          <w:lang w:val="en-GB"/>
        </w:rPr>
        <w:t>Alimuçaj v. Albania</w:t>
      </w:r>
      <w:r w:rsidRPr="0093514B">
        <w:rPr>
          <w:rFonts w:eastAsia="Times New Roman"/>
          <w:lang w:val="en-GB"/>
        </w:rPr>
        <w:t>, no. 20134/05</w:t>
      </w:r>
      <w:r w:rsidRPr="0093514B">
        <w:rPr>
          <w:rFonts w:eastAsia="Times New Roman"/>
          <w:snapToGrid w:val="0"/>
          <w:szCs w:val="24"/>
          <w:lang w:val="en-GB"/>
        </w:rPr>
        <w:t>, §§ 154-62, 7 February 2012). Were that not the case, the object and the purpose of this provision – namely that no one should be subjected to arbitrary prosecution, conviction or punishment – would be defeated</w:t>
      </w:r>
      <w:r w:rsidRPr="0093514B">
        <w:rPr>
          <w:rFonts w:eastAsia="Times New Roman"/>
          <w:lang w:val="en-GB"/>
        </w:rPr>
        <w:t>.”</w:t>
      </w:r>
    </w:p>
    <w:bookmarkStart w:name="par51" w:id="31"/>
    <w:p w:rsidR="00112C8F" w:rsidP="00304EF3" w:rsidRDefault="0093514B" w14:paraId="5FE80918" w14:textId="77777777">
      <w:pPr>
        <w:pStyle w:val="ECHRPara"/>
      </w:pPr>
      <w:r w:rsidRPr="0093514B">
        <w:fldChar w:fldCharType="begin"/>
      </w:r>
      <w:r w:rsidRPr="0093514B">
        <w:instrText xml:space="preserve"> SEQ level0 \*arabic </w:instrText>
      </w:r>
      <w:r w:rsidRPr="0093514B">
        <w:fldChar w:fldCharType="separate"/>
      </w:r>
      <w:r w:rsidR="002D5843">
        <w:rPr>
          <w:noProof/>
        </w:rPr>
        <w:t>51</w:t>
      </w:r>
      <w:r w:rsidRPr="0093514B">
        <w:rPr>
          <w:noProof/>
        </w:rPr>
        <w:fldChar w:fldCharType="end"/>
      </w:r>
      <w:bookmarkEnd w:id="31"/>
      <w:r w:rsidRPr="0093514B">
        <w:t xml:space="preserve">.  The Court also reiterates that it is not its task to substitute itself for the domestic </w:t>
      </w:r>
      <w:r w:rsidR="00E357A0">
        <w:t>courts</w:t>
      </w:r>
      <w:r w:rsidRPr="0093514B" w:rsidR="00E357A0">
        <w:t xml:space="preserve"> </w:t>
      </w:r>
      <w:r w:rsidR="00E357A0">
        <w:t xml:space="preserve">as regards </w:t>
      </w:r>
      <w:r w:rsidRPr="0093514B">
        <w:t xml:space="preserve">the assessment of the facts and their legal classification, provided that these are based on a reasonable assessment of </w:t>
      </w:r>
      <w:r w:rsidR="00E357A0">
        <w:t xml:space="preserve">the </w:t>
      </w:r>
      <w:r w:rsidRPr="0093514B">
        <w:t xml:space="preserve">evidence (see, </w:t>
      </w:r>
      <w:r w:rsidRPr="0093514B">
        <w:rPr>
          <w:i/>
        </w:rPr>
        <w:t>mutatis mutandis</w:t>
      </w:r>
      <w:r w:rsidRPr="0093514B">
        <w:t xml:space="preserve">, </w:t>
      </w:r>
      <w:r w:rsidRPr="0093514B">
        <w:rPr>
          <w:i/>
          <w:lang w:val="en-GB"/>
        </w:rPr>
        <w:t>Florin Ionescu v. Romania</w:t>
      </w:r>
      <w:r w:rsidR="00B36A69">
        <w:rPr>
          <w:lang w:val="en-GB"/>
        </w:rPr>
        <w:t>, no. </w:t>
      </w:r>
      <w:r w:rsidRPr="0093514B">
        <w:rPr>
          <w:lang w:val="en-GB"/>
        </w:rPr>
        <w:t>24916/05</w:t>
      </w:r>
      <w:r w:rsidRPr="0093514B">
        <w:rPr>
          <w:snapToGrid w:val="0"/>
          <w:szCs w:val="24"/>
          <w:lang w:val="en-GB"/>
        </w:rPr>
        <w:t>, § 59, 24 May 2011)</w:t>
      </w:r>
      <w:r w:rsidRPr="0093514B">
        <w:t>.</w:t>
      </w:r>
      <w:r w:rsidRPr="0093514B">
        <w:rPr>
          <w:lang w:val="en-GB"/>
        </w:rPr>
        <w:t xml:space="preserve"> More generally, </w:t>
      </w:r>
      <w:r w:rsidRPr="0093514B">
        <w:t xml:space="preserve">the Court </w:t>
      </w:r>
      <w:r w:rsidRPr="00BB0C70" w:rsidR="00BB0C70">
        <w:t>points out that it is primarily for the national authorities, notably the courts, to resolve problems of interpretation of domestic legislation</w:t>
      </w:r>
      <w:r w:rsidR="007A1073">
        <w:t>. I</w:t>
      </w:r>
      <w:r w:rsidRPr="00BB0C70" w:rsidR="00BB0C70">
        <w:t xml:space="preserve">ts role is </w:t>
      </w:r>
      <w:r w:rsidR="007A1073">
        <w:t xml:space="preserve">thus </w:t>
      </w:r>
      <w:r w:rsidRPr="00BB0C70" w:rsidR="00BB0C70">
        <w:t xml:space="preserve">confined to ascertaining whether the effects of such an interpretation are compatible with the Convention (see </w:t>
      </w:r>
      <w:r w:rsidRPr="00BB0C70" w:rsidR="00BB0C70">
        <w:rPr>
          <w:i/>
          <w:iCs/>
        </w:rPr>
        <w:t>Waite and Kennedy v. Germany</w:t>
      </w:r>
      <w:r w:rsidR="00B36A69">
        <w:t xml:space="preserve"> [GC], no. </w:t>
      </w:r>
      <w:r w:rsidRPr="00BB0C70" w:rsidR="00BB0C70">
        <w:t>26083/94, § 54, ECHR 1999</w:t>
      </w:r>
      <w:r w:rsidRPr="00BB0C70" w:rsidR="00BB0C70">
        <w:noBreakHyphen/>
        <w:t>I</w:t>
      </w:r>
      <w:r w:rsidR="001C6C74">
        <w:t>;</w:t>
      </w:r>
      <w:r w:rsidRPr="00BB0C70" w:rsidR="00BB0C70">
        <w:t xml:space="preserve"> </w:t>
      </w:r>
      <w:r w:rsidRPr="00BB0C70" w:rsidR="00BB0C70">
        <w:rPr>
          <w:i/>
          <w:iCs/>
          <w:lang w:val="en-GB"/>
        </w:rPr>
        <w:t>Korbely v. Hungary</w:t>
      </w:r>
      <w:r w:rsidRPr="00BB0C70" w:rsidR="00BB0C70">
        <w:rPr>
          <w:lang w:val="en-GB"/>
        </w:rPr>
        <w:t xml:space="preserve"> [GC], no. 9174/02, §§ 72-73, ECHR 2008</w:t>
      </w:r>
      <w:r w:rsidR="001C6C74">
        <w:rPr>
          <w:lang w:val="en-GB"/>
        </w:rPr>
        <w:t>;</w:t>
      </w:r>
      <w:r w:rsidRPr="00BB0C70" w:rsidR="00BB0C70">
        <w:rPr>
          <w:lang w:val="en-GB"/>
        </w:rPr>
        <w:t xml:space="preserve"> and </w:t>
      </w:r>
      <w:r w:rsidRPr="00EA3D05" w:rsidR="00BB0C70">
        <w:rPr>
          <w:i/>
          <w:iCs/>
        </w:rPr>
        <w:t xml:space="preserve">Kononov v. Latvia </w:t>
      </w:r>
      <w:r w:rsidRPr="00EA3D05" w:rsidR="00BB0C70">
        <w:t>[GC], no. 36376/04, § 197, ECHR 2010</w:t>
      </w:r>
      <w:r w:rsidRPr="00BB0C70" w:rsidR="00BB0C70">
        <w:t>).</w:t>
      </w:r>
    </w:p>
    <w:bookmarkStart w:name="par52" w:id="32"/>
    <w:p w:rsidR="0065791F" w:rsidP="00304EF3" w:rsidRDefault="0093514B" w14:paraId="63B1C498" w14:textId="77777777">
      <w:pPr>
        <w:pStyle w:val="ECHRPara"/>
      </w:pPr>
      <w:r w:rsidRPr="0093514B">
        <w:fldChar w:fldCharType="begin"/>
      </w:r>
      <w:r w:rsidRPr="0093514B">
        <w:instrText xml:space="preserve"> SEQ level0 \*arabic </w:instrText>
      </w:r>
      <w:r w:rsidRPr="0093514B">
        <w:fldChar w:fldCharType="separate"/>
      </w:r>
      <w:r w:rsidR="002D5843">
        <w:rPr>
          <w:noProof/>
        </w:rPr>
        <w:t>52</w:t>
      </w:r>
      <w:r w:rsidRPr="0093514B">
        <w:rPr>
          <w:noProof/>
        </w:rPr>
        <w:fldChar w:fldCharType="end"/>
      </w:r>
      <w:bookmarkEnd w:id="32"/>
      <w:r w:rsidRPr="0093514B">
        <w:t>.  </w:t>
      </w:r>
      <w:r w:rsidRPr="0065791F" w:rsidR="0065791F">
        <w:rPr>
          <w:lang w:val="en-GB"/>
        </w:rPr>
        <w:t>However, the Court</w:t>
      </w:r>
      <w:r w:rsidR="001D00E3">
        <w:rPr>
          <w:lang w:val="en-GB"/>
        </w:rPr>
        <w:t>’</w:t>
      </w:r>
      <w:r w:rsidRPr="0065791F" w:rsidR="0065791F">
        <w:rPr>
          <w:lang w:val="en-GB"/>
        </w:rPr>
        <w:t xml:space="preserve">s powers of review must be greater when the Convention right itself, Article 7 in the present case, requires that there was a legal basis for a conviction and sentence. Article 7 § 1 requires the Court to examine whether there was a contemporaneous </w:t>
      </w:r>
      <w:r w:rsidRPr="0065791F" w:rsidR="0065791F">
        <w:t>legal basis for the applicant</w:t>
      </w:r>
      <w:r w:rsidR="001D00E3">
        <w:t>’</w:t>
      </w:r>
      <w:r w:rsidRPr="0065791F" w:rsidR="0065791F">
        <w:t xml:space="preserve">s conviction and, in particular, it must satisfy itself that the result reached by the relevant domestic courts was compatible with Article 7 of the Convention. To accord a lesser power of review to this Court would render Article 7 devoid of purpose (see </w:t>
      </w:r>
      <w:r w:rsidRPr="00EA3D05" w:rsidR="0065791F">
        <w:rPr>
          <w:i/>
          <w:iCs/>
        </w:rPr>
        <w:t>Kononov</w:t>
      </w:r>
      <w:r w:rsidRPr="00EA3D05" w:rsidR="0065791F">
        <w:t>, cited above, § 198)</w:t>
      </w:r>
      <w:r w:rsidRPr="0065791F" w:rsidR="0065791F">
        <w:t>.</w:t>
      </w:r>
    </w:p>
    <w:p w:rsidR="00112C8F" w:rsidP="00304EF3" w:rsidRDefault="008807FE" w14:paraId="35CFE41F" w14:textId="77777777">
      <w:pPr>
        <w:pStyle w:val="ECHRPara"/>
      </w:pPr>
      <w:r>
        <w:fldChar w:fldCharType="begin"/>
      </w:r>
      <w:r>
        <w:instrText xml:space="preserve"> SEQ level0 \*arabic </w:instrText>
      </w:r>
      <w:r>
        <w:fldChar w:fldCharType="separate"/>
      </w:r>
      <w:r w:rsidR="002D5843">
        <w:rPr>
          <w:noProof/>
        </w:rPr>
        <w:t>53</w:t>
      </w:r>
      <w:r>
        <w:rPr>
          <w:noProof/>
        </w:rPr>
        <w:fldChar w:fldCharType="end"/>
      </w:r>
      <w:r w:rsidR="0065791F">
        <w:t>.  </w:t>
      </w:r>
      <w:r w:rsidRPr="0065791F" w:rsidR="0065791F">
        <w:t>In sum, the Court must examine whether there was a sufficiently clear legal basis for the applicant</w:t>
      </w:r>
      <w:r w:rsidR="001D00E3">
        <w:t>’</w:t>
      </w:r>
      <w:r w:rsidRPr="0065791F" w:rsidR="0065791F">
        <w:t xml:space="preserve">s conviction (see </w:t>
      </w:r>
      <w:r w:rsidRPr="00EA3D05" w:rsidR="0065791F">
        <w:rPr>
          <w:i/>
          <w:iCs/>
        </w:rPr>
        <w:t>Kononov</w:t>
      </w:r>
      <w:r w:rsidR="00B36A69">
        <w:t>, cited above, § </w:t>
      </w:r>
      <w:r w:rsidRPr="00EA3D05" w:rsidR="0065791F">
        <w:t>199).</w:t>
      </w:r>
    </w:p>
    <w:p w:rsidRPr="0093514B" w:rsidR="0093514B" w:rsidP="00EA3D05" w:rsidRDefault="00262674" w14:paraId="036F3821" w14:textId="77777777">
      <w:pPr>
        <w:pStyle w:val="ECHRHeading3"/>
        <w:rPr>
          <w:lang w:val="en-GB"/>
        </w:rPr>
      </w:pPr>
      <w:r>
        <w:rPr>
          <w:lang w:val="en-GB"/>
        </w:rPr>
        <w:t>2.  </w:t>
      </w:r>
      <w:r w:rsidRPr="0093514B" w:rsidR="0093514B">
        <w:rPr>
          <w:lang w:val="en-GB"/>
        </w:rPr>
        <w:t>Application of the above principles to the present case</w:t>
      </w:r>
    </w:p>
    <w:p w:rsidRPr="0093514B" w:rsidR="0093514B" w:rsidP="00304EF3" w:rsidRDefault="008807FE" w14:paraId="5CC90CAC" w14:textId="07439398">
      <w:pPr>
        <w:pStyle w:val="ECHRPara"/>
        <w:rPr>
          <w:bCs/>
          <w:lang w:val="en-GB"/>
        </w:rPr>
      </w:pPr>
      <w:r>
        <w:fldChar w:fldCharType="begin"/>
      </w:r>
      <w:r>
        <w:instrText xml:space="preserve"> SEQ level0 \*arabic </w:instrText>
      </w:r>
      <w:r>
        <w:fldChar w:fldCharType="separate"/>
      </w:r>
      <w:r w:rsidR="002D5843">
        <w:rPr>
          <w:noProof/>
        </w:rPr>
        <w:t>54</w:t>
      </w:r>
      <w:r>
        <w:rPr>
          <w:noProof/>
        </w:rPr>
        <w:fldChar w:fldCharType="end"/>
      </w:r>
      <w:r w:rsidRPr="0093514B" w:rsidR="0093514B">
        <w:t>.  The Court observes that the core of the applicant</w:t>
      </w:r>
      <w:r w:rsidR="001D00E3">
        <w:t>’</w:t>
      </w:r>
      <w:r w:rsidRPr="0093514B" w:rsidR="0093514B">
        <w:t>s arguments consisted in maintaining, first</w:t>
      </w:r>
      <w:r w:rsidR="00C23368">
        <w:t>ly</w:t>
      </w:r>
      <w:r w:rsidRPr="0093514B" w:rsidR="0093514B">
        <w:t>, that his acts prior to 1 June 2004 had not been punishable under the criminal law</w:t>
      </w:r>
      <w:r w:rsidR="00C23368">
        <w:t xml:space="preserve"> applicable at </w:t>
      </w:r>
      <w:r w:rsidR="00146F0D">
        <w:t>the</w:t>
      </w:r>
      <w:r w:rsidR="00C23368">
        <w:t xml:space="preserve"> time</w:t>
      </w:r>
      <w:r w:rsidR="00146F0D">
        <w:t xml:space="preserve"> they were committed,</w:t>
      </w:r>
      <w:r w:rsidRPr="0093514B" w:rsidR="0093514B">
        <w:t xml:space="preserve"> since they had not </w:t>
      </w:r>
      <w:r w:rsidR="00C23368">
        <w:t>comprised</w:t>
      </w:r>
      <w:r w:rsidRPr="0093514B" w:rsidR="00C23368">
        <w:t xml:space="preserve"> </w:t>
      </w:r>
      <w:r w:rsidRPr="0093514B" w:rsidR="0093514B">
        <w:t xml:space="preserve">the constituent elements of the offences referred to by the authorities, </w:t>
      </w:r>
      <w:r w:rsidR="00146F0D">
        <w:t>namely those covered by</w:t>
      </w:r>
      <w:r w:rsidRPr="0093514B" w:rsidR="0093514B">
        <w:t xml:space="preserve"> Articles</w:t>
      </w:r>
      <w:r w:rsidR="004C6B38">
        <w:t> </w:t>
      </w:r>
      <w:r w:rsidRPr="0093514B" w:rsidR="0093514B">
        <w:t>197a and/or 221 of the Criminal Code</w:t>
      </w:r>
      <w:r w:rsidR="00C23368">
        <w:t>,</w:t>
      </w:r>
      <w:r w:rsidRPr="0093514B" w:rsidR="0093514B">
        <w:t xml:space="preserve"> </w:t>
      </w:r>
      <w:r w:rsidR="00C23368">
        <w:t>but</w:t>
      </w:r>
      <w:r w:rsidR="00F03BBC">
        <w:t xml:space="preserve"> had</w:t>
      </w:r>
      <w:r w:rsidRPr="0093514B" w:rsidR="00C23368">
        <w:t xml:space="preserve"> </w:t>
      </w:r>
      <w:r w:rsidRPr="0093514B" w:rsidR="0093514B">
        <w:t>amounted solely to regulatory offences</w:t>
      </w:r>
      <w:r w:rsidR="00C23368">
        <w:t>;</w:t>
      </w:r>
      <w:r w:rsidRPr="0093514B" w:rsidR="0093514B">
        <w:t xml:space="preserve"> and, second</w:t>
      </w:r>
      <w:r w:rsidR="00C23368">
        <w:t>ly</w:t>
      </w:r>
      <w:r w:rsidRPr="0093514B" w:rsidR="0093514B">
        <w:t xml:space="preserve">, that the different assaults could not be classified as a </w:t>
      </w:r>
      <w:r w:rsidR="009C1BE0">
        <w:t>continuous</w:t>
      </w:r>
      <w:r w:rsidRPr="0093514B" w:rsidR="0093514B">
        <w:t xml:space="preserve"> offence because they </w:t>
      </w:r>
      <w:r w:rsidRPr="0093514B" w:rsidR="0093514B">
        <w:rPr>
          <w:bCs/>
          <w:lang w:val="en-GB"/>
        </w:rPr>
        <w:t xml:space="preserve">had not been driven by the same intent or been closely connected in time, there being </w:t>
      </w:r>
      <w:r w:rsidRPr="0093514B" w:rsidR="0093514B">
        <w:rPr>
          <w:lang w:val="en-GB"/>
        </w:rPr>
        <w:t xml:space="preserve">no actual evidence to </w:t>
      </w:r>
      <w:r w:rsidR="00C23368">
        <w:rPr>
          <w:lang w:val="en-GB"/>
        </w:rPr>
        <w:t>that</w:t>
      </w:r>
      <w:r w:rsidRPr="0093514B" w:rsidR="00C23368">
        <w:rPr>
          <w:lang w:val="en-GB"/>
        </w:rPr>
        <w:t xml:space="preserve"> </w:t>
      </w:r>
      <w:r w:rsidRPr="0093514B" w:rsidR="0093514B">
        <w:rPr>
          <w:lang w:val="en-GB"/>
        </w:rPr>
        <w:t>effect.</w:t>
      </w:r>
    </w:p>
    <w:p w:rsidRPr="0093514B" w:rsidR="0093514B" w:rsidP="00304EF3" w:rsidRDefault="008807FE" w14:paraId="27F815A7" w14:textId="5FB6AF07">
      <w:pPr>
        <w:pStyle w:val="ECHRPara"/>
        <w:rPr>
          <w:lang w:val="en-GB"/>
        </w:rPr>
      </w:pPr>
      <w:r>
        <w:fldChar w:fldCharType="begin"/>
      </w:r>
      <w:r>
        <w:instrText xml:space="preserve"> SEQ level0 \*arabic </w:instrText>
      </w:r>
      <w:r>
        <w:fldChar w:fldCharType="separate"/>
      </w:r>
      <w:r w:rsidR="002D5843">
        <w:rPr>
          <w:noProof/>
        </w:rPr>
        <w:t>55</w:t>
      </w:r>
      <w:r>
        <w:rPr>
          <w:noProof/>
        </w:rPr>
        <w:fldChar w:fldCharType="end"/>
      </w:r>
      <w:r w:rsidRPr="0093514B" w:rsidR="0093514B">
        <w:t>.  However, it follows from the limitations referred to in paragraphs</w:t>
      </w:r>
      <w:r w:rsidR="007538DD">
        <w:t> </w:t>
      </w:r>
      <w:r w:rsidRPr="0093514B" w:rsidR="0093514B">
        <w:fldChar w:fldCharType="begin"/>
      </w:r>
      <w:r w:rsidRPr="0093514B" w:rsidR="0093514B">
        <w:instrText xml:space="preserve"> REF par51 \h </w:instrText>
      </w:r>
      <w:r w:rsidRPr="0093514B" w:rsidR="0093514B">
        <w:fldChar w:fldCharType="separate"/>
      </w:r>
      <w:r w:rsidR="002D5843">
        <w:rPr>
          <w:noProof/>
        </w:rPr>
        <w:t>51</w:t>
      </w:r>
      <w:r w:rsidRPr="0093514B" w:rsidR="0093514B">
        <w:fldChar w:fldCharType="end"/>
      </w:r>
      <w:r w:rsidR="00FE1923">
        <w:t xml:space="preserve"> and </w:t>
      </w:r>
      <w:bookmarkStart w:name="_GoBack" w:id="33"/>
      <w:bookmarkEnd w:id="33"/>
      <w:r w:rsidRPr="0093514B" w:rsidR="0093514B">
        <w:fldChar w:fldCharType="begin"/>
      </w:r>
      <w:r w:rsidRPr="0093514B" w:rsidR="0093514B">
        <w:instrText xml:space="preserve"> REF par52 \h </w:instrText>
      </w:r>
      <w:r w:rsidRPr="0093514B" w:rsidR="0093514B">
        <w:fldChar w:fldCharType="separate"/>
      </w:r>
      <w:r w:rsidR="002D5843">
        <w:rPr>
          <w:noProof/>
        </w:rPr>
        <w:t>52</w:t>
      </w:r>
      <w:r w:rsidRPr="0093514B" w:rsidR="0093514B">
        <w:fldChar w:fldCharType="end"/>
      </w:r>
      <w:r w:rsidRPr="0093514B" w:rsidR="0093514B">
        <w:t xml:space="preserve"> above </w:t>
      </w:r>
      <w:r w:rsidRPr="002903E8" w:rsidR="0093514B">
        <w:t>that</w:t>
      </w:r>
      <w:r w:rsidRPr="0093514B" w:rsidR="0093514B">
        <w:t xml:space="preserve"> the Court is not called upon to rule on the applicant</w:t>
      </w:r>
      <w:r w:rsidR="001D00E3">
        <w:t>’</w:t>
      </w:r>
      <w:r w:rsidRPr="0093514B" w:rsidR="0093514B">
        <w:t>s individual criminal responsibility, that being primarily a matter for assessment by the domestic courts. It was indeed for the domestic authorities to assess the findings of facts and the applicant</w:t>
      </w:r>
      <w:r w:rsidR="001D00E3">
        <w:t>’</w:t>
      </w:r>
      <w:r w:rsidRPr="0093514B" w:rsidR="0093514B">
        <w:t>s intent on the basis of the evidence presented before them and to decide, pursuant to the domestic law as interpreted in judicial practice, whether the applicant</w:t>
      </w:r>
      <w:r w:rsidR="001D00E3">
        <w:t>’</w:t>
      </w:r>
      <w:r w:rsidRPr="0093514B" w:rsidR="0093514B">
        <w:t xml:space="preserve">s conduct ought to </w:t>
      </w:r>
      <w:r w:rsidR="009A15AC">
        <w:t>be classified</w:t>
      </w:r>
      <w:r w:rsidRPr="0093514B" w:rsidR="009A15AC">
        <w:t xml:space="preserve"> </w:t>
      </w:r>
      <w:r w:rsidRPr="0093514B" w:rsidR="0093514B">
        <w:t xml:space="preserve">as a </w:t>
      </w:r>
      <w:r w:rsidR="009C1BE0">
        <w:t>continuous</w:t>
      </w:r>
      <w:r w:rsidRPr="0093514B" w:rsidR="0093514B">
        <w:t xml:space="preserve"> offence, a continuing offence or as </w:t>
      </w:r>
      <w:r w:rsidR="0063313C">
        <w:t xml:space="preserve">repeated </w:t>
      </w:r>
      <w:r w:rsidRPr="0093514B" w:rsidR="0093514B">
        <w:t xml:space="preserve">or </w:t>
      </w:r>
      <w:r w:rsidR="009A15AC">
        <w:t>cumulative</w:t>
      </w:r>
      <w:r w:rsidRPr="0093514B" w:rsidR="0093514B">
        <w:t xml:space="preserve"> offences. Thus, it is not for the Court </w:t>
      </w:r>
      <w:r w:rsidRPr="0093514B" w:rsidR="0093514B">
        <w:rPr>
          <w:iCs/>
        </w:rPr>
        <w:t>to express an opinion on whether the acts committed by the applicant before 1</w:t>
      </w:r>
      <w:r w:rsidR="007538DD">
        <w:rPr>
          <w:iCs/>
        </w:rPr>
        <w:t xml:space="preserve"> </w:t>
      </w:r>
      <w:r w:rsidRPr="0093514B" w:rsidR="0093514B">
        <w:rPr>
          <w:iCs/>
        </w:rPr>
        <w:t xml:space="preserve">June 2004 </w:t>
      </w:r>
      <w:r w:rsidR="009A15AC">
        <w:rPr>
          <w:iCs/>
        </w:rPr>
        <w:t>comprised</w:t>
      </w:r>
      <w:r w:rsidRPr="0093514B" w:rsidR="009A15AC">
        <w:rPr>
          <w:iCs/>
        </w:rPr>
        <w:t xml:space="preserve"> </w:t>
      </w:r>
      <w:r w:rsidRPr="0093514B" w:rsidR="0093514B">
        <w:rPr>
          <w:iCs/>
        </w:rPr>
        <w:t xml:space="preserve">the constituent elements of criminal offences defined by the above provisions (see, </w:t>
      </w:r>
      <w:r w:rsidRPr="0093514B" w:rsidR="0093514B">
        <w:rPr>
          <w:i/>
          <w:iCs/>
        </w:rPr>
        <w:t>mutatis mutandis</w:t>
      </w:r>
      <w:r w:rsidRPr="0093514B" w:rsidR="0093514B">
        <w:rPr>
          <w:iCs/>
        </w:rPr>
        <w:t xml:space="preserve">, </w:t>
      </w:r>
      <w:r w:rsidRPr="0093514B" w:rsidR="0093514B">
        <w:rPr>
          <w:i/>
          <w:lang w:val="en-GB"/>
        </w:rPr>
        <w:t>Lehideux and Isorni v. France</w:t>
      </w:r>
      <w:r w:rsidR="00B36A69">
        <w:rPr>
          <w:lang w:val="en-GB"/>
        </w:rPr>
        <w:t>, 23 </w:t>
      </w:r>
      <w:r w:rsidRPr="0093514B" w:rsidR="0093514B">
        <w:rPr>
          <w:lang w:val="en-GB"/>
        </w:rPr>
        <w:t xml:space="preserve">September 1998, § 50, </w:t>
      </w:r>
      <w:r w:rsidRPr="0093514B" w:rsidR="0093514B">
        <w:rPr>
          <w:i/>
          <w:lang w:val="en-GB"/>
        </w:rPr>
        <w:t>Reports of Judgments and Decisions</w:t>
      </w:r>
      <w:r w:rsidRPr="0093514B" w:rsidR="0093514B">
        <w:rPr>
          <w:lang w:val="en-GB"/>
        </w:rPr>
        <w:t xml:space="preserve"> 1998</w:t>
      </w:r>
      <w:r w:rsidRPr="0093514B" w:rsidR="0093514B">
        <w:rPr>
          <w:lang w:val="en-GB"/>
        </w:rPr>
        <w:noBreakHyphen/>
        <w:t>VII)</w:t>
      </w:r>
      <w:r w:rsidRPr="0093514B" w:rsidR="0093514B">
        <w:rPr>
          <w:iCs/>
        </w:rPr>
        <w:t xml:space="preserve"> </w:t>
      </w:r>
      <w:r w:rsidR="00F03BBC">
        <w:rPr>
          <w:iCs/>
        </w:rPr>
        <w:t>or</w:t>
      </w:r>
      <w:r w:rsidRPr="0093514B" w:rsidR="00F03BBC">
        <w:rPr>
          <w:iCs/>
        </w:rPr>
        <w:t xml:space="preserve"> </w:t>
      </w:r>
      <w:r w:rsidRPr="0093514B" w:rsidR="0093514B">
        <w:rPr>
          <w:iCs/>
        </w:rPr>
        <w:t>whether the applicant</w:t>
      </w:r>
      <w:r w:rsidR="001D00E3">
        <w:rPr>
          <w:iCs/>
        </w:rPr>
        <w:t>’</w:t>
      </w:r>
      <w:r w:rsidRPr="0093514B" w:rsidR="0093514B">
        <w:rPr>
          <w:iCs/>
        </w:rPr>
        <w:t xml:space="preserve">s conduct was to be classified as a </w:t>
      </w:r>
      <w:r w:rsidR="009C1BE0">
        <w:rPr>
          <w:iCs/>
        </w:rPr>
        <w:t>continuous</w:t>
      </w:r>
      <w:r w:rsidRPr="0093514B" w:rsidR="0093514B">
        <w:rPr>
          <w:iCs/>
        </w:rPr>
        <w:t xml:space="preserve"> offence under domestic law.</w:t>
      </w:r>
    </w:p>
    <w:p w:rsidRPr="0093514B" w:rsidR="0093514B" w:rsidP="00304EF3" w:rsidRDefault="008807FE" w14:paraId="7363621C" w14:textId="6DB482D5">
      <w:pPr>
        <w:pStyle w:val="ECHRPara"/>
        <w:rPr>
          <w:lang w:val="en-GB"/>
        </w:rPr>
      </w:pPr>
      <w:r>
        <w:fldChar w:fldCharType="begin"/>
      </w:r>
      <w:r>
        <w:instrText xml:space="preserve"> SEQ level0 \*arabic </w:instrText>
      </w:r>
      <w:r>
        <w:fldChar w:fldCharType="separate"/>
      </w:r>
      <w:r w:rsidR="002D5843">
        <w:rPr>
          <w:noProof/>
        </w:rPr>
        <w:t>56</w:t>
      </w:r>
      <w:r>
        <w:rPr>
          <w:noProof/>
        </w:rPr>
        <w:fldChar w:fldCharType="end"/>
      </w:r>
      <w:r w:rsidRPr="0093514B" w:rsidR="0093514B">
        <w:t>.  Rather, the Court</w:t>
      </w:r>
      <w:r w:rsidR="001D00E3">
        <w:t>’</w:t>
      </w:r>
      <w:r w:rsidRPr="0093514B" w:rsidR="0093514B">
        <w:t>s function under Article 7 § 1 is twofold in the present case</w:t>
      </w:r>
      <w:r w:rsidR="00F03BBC">
        <w:t>.</w:t>
      </w:r>
      <w:r w:rsidRPr="0093514B" w:rsidR="0093514B">
        <w:t xml:space="preserve"> </w:t>
      </w:r>
      <w:r w:rsidR="00F03BBC">
        <w:t>F</w:t>
      </w:r>
      <w:r w:rsidR="009A15AC">
        <w:t>irstly</w:t>
      </w:r>
      <w:r w:rsidRPr="0093514B" w:rsidR="0093514B">
        <w:t xml:space="preserve">, </w:t>
      </w:r>
      <w:r w:rsidR="009A15AC">
        <w:t>it must</w:t>
      </w:r>
      <w:r w:rsidRPr="0093514B" w:rsidR="009A15AC">
        <w:t xml:space="preserve"> </w:t>
      </w:r>
      <w:r w:rsidRPr="0093514B" w:rsidR="0093514B">
        <w:t>examine whether, at the time they were committed, the applicant</w:t>
      </w:r>
      <w:r w:rsidR="001D00E3">
        <w:t>’</w:t>
      </w:r>
      <w:r w:rsidRPr="0093514B" w:rsidR="0093514B">
        <w:t xml:space="preserve">s acts, including those </w:t>
      </w:r>
      <w:r w:rsidRPr="002903E8" w:rsidR="0093514B">
        <w:t xml:space="preserve">carried out before the entry into force of Article 215a of the Criminal Code on 1 June 2004, constituted an offence defined with sufficient foreseeability by domestic law (see </w:t>
      </w:r>
      <w:r w:rsidRPr="002903E8" w:rsidR="0093514B">
        <w:rPr>
          <w:i/>
          <w:lang w:val="en-GB"/>
        </w:rPr>
        <w:t>Streletz</w:t>
      </w:r>
      <w:r w:rsidRPr="002903E8" w:rsidR="0093514B">
        <w:rPr>
          <w:i/>
          <w:iCs/>
          <w:lang w:val="en-GB"/>
        </w:rPr>
        <w:t>,</w:t>
      </w:r>
      <w:r w:rsidRPr="002903E8" w:rsidR="0093514B">
        <w:rPr>
          <w:i/>
          <w:lang w:val="en-GB"/>
        </w:rPr>
        <w:t xml:space="preserve"> Kessler and Krenz v. Germany </w:t>
      </w:r>
      <w:r w:rsidRPr="002903E8" w:rsidR="0093514B">
        <w:rPr>
          <w:lang w:val="en-GB"/>
        </w:rPr>
        <w:t>[GC], nos. 34044/96</w:t>
      </w:r>
      <w:r w:rsidR="002922E9">
        <w:rPr>
          <w:lang w:val="en-GB"/>
        </w:rPr>
        <w:t xml:space="preserve"> and 2 others, § </w:t>
      </w:r>
      <w:r w:rsidRPr="002903E8" w:rsidR="0093514B">
        <w:rPr>
          <w:lang w:val="en-GB"/>
        </w:rPr>
        <w:t>51, ECHR 2001</w:t>
      </w:r>
      <w:r w:rsidRPr="002903E8" w:rsidR="0093514B">
        <w:rPr>
          <w:lang w:val="en-GB"/>
        </w:rPr>
        <w:noBreakHyphen/>
        <w:t>II</w:t>
      </w:r>
      <w:r w:rsidRPr="002903E8" w:rsidR="0093514B">
        <w:t xml:space="preserve">; </w:t>
      </w:r>
      <w:r w:rsidRPr="00EA3D05" w:rsidR="0093514B">
        <w:rPr>
          <w:i/>
        </w:rPr>
        <w:t>Veeber v. Estonia (no. 2)</w:t>
      </w:r>
      <w:r w:rsidRPr="00EA3D05" w:rsidR="0093514B">
        <w:t>,</w:t>
      </w:r>
      <w:r w:rsidRPr="00EA3D05" w:rsidR="0093514B">
        <w:rPr>
          <w:i/>
        </w:rPr>
        <w:t xml:space="preserve"> </w:t>
      </w:r>
      <w:r w:rsidR="00BE7633">
        <w:t>no. 45771/99</w:t>
      </w:r>
      <w:r w:rsidR="00B36A69">
        <w:t>, § </w:t>
      </w:r>
      <w:r w:rsidR="00CA5833">
        <w:t>33</w:t>
      </w:r>
      <w:r w:rsidR="00BE7633">
        <w:t>, ECHR 2003-I</w:t>
      </w:r>
      <w:r w:rsidRPr="00EA3D05" w:rsidR="0093514B">
        <w:t>;</w:t>
      </w:r>
      <w:r w:rsidRPr="00EA3D05" w:rsidR="009A15AC">
        <w:t xml:space="preserve"> and</w:t>
      </w:r>
      <w:r w:rsidRPr="00EA3D05" w:rsidR="0093514B">
        <w:t xml:space="preserve"> </w:t>
      </w:r>
      <w:r w:rsidRPr="002903E8" w:rsidR="0093514B">
        <w:rPr>
          <w:i/>
          <w:lang w:val="en-GB"/>
        </w:rPr>
        <w:t>Korbely</w:t>
      </w:r>
      <w:r w:rsidRPr="002903E8" w:rsidR="0093514B">
        <w:rPr>
          <w:lang w:val="en-GB"/>
        </w:rPr>
        <w:t xml:space="preserve">, cited above, §§ 72-73), the </w:t>
      </w:r>
      <w:r w:rsidR="009A15AC">
        <w:rPr>
          <w:lang w:val="en-GB"/>
        </w:rPr>
        <w:t xml:space="preserve">question of </w:t>
      </w:r>
      <w:r w:rsidRPr="002903E8" w:rsidR="0093514B">
        <w:rPr>
          <w:lang w:val="en-GB"/>
        </w:rPr>
        <w:t xml:space="preserve">accessibility not being </w:t>
      </w:r>
      <w:r w:rsidRPr="002903E8" w:rsidR="0093514B">
        <w:t>in issue here</w:t>
      </w:r>
      <w:r w:rsidR="00F03BBC">
        <w:t>.</w:t>
      </w:r>
      <w:r w:rsidRPr="002903E8" w:rsidR="0093514B">
        <w:t xml:space="preserve"> </w:t>
      </w:r>
      <w:r w:rsidR="00F03BBC">
        <w:t>S</w:t>
      </w:r>
      <w:r w:rsidRPr="002903E8" w:rsidR="0093514B">
        <w:t xml:space="preserve">econdly, </w:t>
      </w:r>
      <w:r w:rsidR="00F03BBC">
        <w:t>the Court</w:t>
      </w:r>
      <w:r w:rsidR="009A15AC">
        <w:t xml:space="preserve"> must</w:t>
      </w:r>
      <w:r w:rsidRPr="002903E8" w:rsidR="009A15AC">
        <w:t xml:space="preserve"> </w:t>
      </w:r>
      <w:r w:rsidRPr="002903E8" w:rsidR="0093514B">
        <w:t>determine whether the application of this provision</w:t>
      </w:r>
      <w:r w:rsidR="007D6AC4">
        <w:t xml:space="preserve"> by the national courts</w:t>
      </w:r>
      <w:r w:rsidRPr="002903E8" w:rsidR="0093514B">
        <w:t xml:space="preserve"> to </w:t>
      </w:r>
      <w:r w:rsidR="007D6AC4">
        <w:t xml:space="preserve">encompass </w:t>
      </w:r>
      <w:r w:rsidRPr="002903E8" w:rsidR="0093514B">
        <w:t xml:space="preserve">those acts that </w:t>
      </w:r>
      <w:r w:rsidR="007D6AC4">
        <w:t>were committed before</w:t>
      </w:r>
      <w:r w:rsidRPr="002903E8" w:rsidR="0093514B">
        <w:t xml:space="preserve"> 1 June 2004 entailed a real possibility of </w:t>
      </w:r>
      <w:r w:rsidR="00F03BBC">
        <w:t>the applicant</w:t>
      </w:r>
      <w:r w:rsidR="001D00E3">
        <w:t>’</w:t>
      </w:r>
      <w:r w:rsidR="00F03BBC">
        <w:t>s</w:t>
      </w:r>
      <w:r w:rsidRPr="002903E8" w:rsidR="00F03BBC">
        <w:t xml:space="preserve"> </w:t>
      </w:r>
      <w:r w:rsidRPr="002903E8" w:rsidR="0093514B">
        <w:t xml:space="preserve">being </w:t>
      </w:r>
      <w:r w:rsidR="007D6AC4">
        <w:t>subjected to</w:t>
      </w:r>
      <w:r w:rsidRPr="002903E8" w:rsidR="007D6AC4">
        <w:t xml:space="preserve"> </w:t>
      </w:r>
      <w:r w:rsidRPr="002903E8" w:rsidR="0093514B">
        <w:t xml:space="preserve">a heavier penalty in breach of Article 7 of the Convention (see, </w:t>
      </w:r>
      <w:r w:rsidRPr="002903E8" w:rsidR="0093514B">
        <w:rPr>
          <w:i/>
        </w:rPr>
        <w:t>mutatis mutandis</w:t>
      </w:r>
      <w:r w:rsidRPr="002903E8" w:rsidR="0093514B">
        <w:t xml:space="preserve">, </w:t>
      </w:r>
      <w:r w:rsidRPr="002903E8" w:rsidR="0093514B">
        <w:rPr>
          <w:i/>
          <w:lang w:val="en-GB"/>
        </w:rPr>
        <w:t>Maktouf and Damjanović</w:t>
      </w:r>
      <w:r w:rsidR="00BE7633">
        <w:rPr>
          <w:i/>
          <w:lang w:val="en-GB"/>
        </w:rPr>
        <w:t xml:space="preserve"> </w:t>
      </w:r>
      <w:r w:rsidR="00BE7633">
        <w:rPr>
          <w:lang w:val="en-GB"/>
        </w:rPr>
        <w:t>[GC]</w:t>
      </w:r>
      <w:r w:rsidRPr="002903E8" w:rsidR="0093514B">
        <w:rPr>
          <w:lang w:val="en-GB"/>
        </w:rPr>
        <w:t xml:space="preserve">, </w:t>
      </w:r>
      <w:r w:rsidR="00BE7633">
        <w:rPr>
          <w:lang w:val="en-GB"/>
        </w:rPr>
        <w:t>nos. 2312/08 and 34179/08</w:t>
      </w:r>
      <w:r w:rsidRPr="002903E8" w:rsidR="0093514B">
        <w:rPr>
          <w:lang w:val="en-GB"/>
        </w:rPr>
        <w:t>, § 70</w:t>
      </w:r>
      <w:r w:rsidR="00BE7633">
        <w:rPr>
          <w:lang w:val="en-GB"/>
        </w:rPr>
        <w:t>, ECHR 2013</w:t>
      </w:r>
      <w:r w:rsidRPr="002903E8" w:rsidR="0093514B">
        <w:rPr>
          <w:lang w:val="en-GB"/>
        </w:rPr>
        <w:t>).</w:t>
      </w:r>
    </w:p>
    <w:p w:rsidRPr="0093514B" w:rsidR="0093514B" w:rsidP="00304EF3" w:rsidRDefault="00C23368" w14:paraId="46B7C016" w14:textId="77777777">
      <w:pPr>
        <w:pStyle w:val="ECHRHeading4"/>
        <w:rPr>
          <w:lang w:val="en-GB"/>
        </w:rPr>
      </w:pPr>
      <w:r>
        <w:rPr>
          <w:lang w:val="en-GB"/>
        </w:rPr>
        <w:t>(</w:t>
      </w:r>
      <w:r w:rsidR="00FF716A">
        <w:rPr>
          <w:lang w:val="en-GB"/>
        </w:rPr>
        <w:t>a)  </w:t>
      </w:r>
      <w:r w:rsidRPr="0093514B" w:rsidR="0093514B">
        <w:rPr>
          <w:lang w:val="en-GB"/>
        </w:rPr>
        <w:t>Whether the offence was defined with sufficient foreseeability</w:t>
      </w:r>
    </w:p>
    <w:p w:rsidRPr="0093514B" w:rsidR="0093514B" w:rsidP="00304EF3" w:rsidRDefault="0093514B" w14:paraId="1250E5D6" w14:textId="1C3FEB70">
      <w:pPr>
        <w:pStyle w:val="ECHRPara"/>
        <w:rPr>
          <w:lang w:val="en-GB"/>
        </w:rPr>
      </w:pPr>
      <w:r w:rsidRPr="0093514B">
        <w:rPr>
          <w:lang w:val="en-GB"/>
        </w:rPr>
        <w:fldChar w:fldCharType="begin"/>
      </w:r>
      <w:r w:rsidRPr="0093514B">
        <w:rPr>
          <w:lang w:val="en-GB"/>
        </w:rPr>
        <w:instrText xml:space="preserve"> SEQ level0 \*arabic </w:instrText>
      </w:r>
      <w:r w:rsidRPr="0093514B">
        <w:rPr>
          <w:lang w:val="en-GB"/>
        </w:rPr>
        <w:fldChar w:fldCharType="separate"/>
      </w:r>
      <w:r w:rsidR="002D5843">
        <w:rPr>
          <w:noProof/>
          <w:lang w:val="en-GB"/>
        </w:rPr>
        <w:t>57</w:t>
      </w:r>
      <w:r w:rsidRPr="0093514B">
        <w:rPr>
          <w:lang w:val="en-GB"/>
        </w:rPr>
        <w:fldChar w:fldCharType="end"/>
      </w:r>
      <w:r w:rsidRPr="0093514B">
        <w:rPr>
          <w:lang w:val="en-GB"/>
        </w:rPr>
        <w:t xml:space="preserve">.  The Court has previously been </w:t>
      </w:r>
      <w:r w:rsidRPr="002903E8">
        <w:rPr>
          <w:lang w:val="en-GB"/>
        </w:rPr>
        <w:t xml:space="preserve">called upon to examine the merits of two cases concerning the conviction of an applicant for a continuing or </w:t>
      </w:r>
      <w:r w:rsidR="009C1BE0">
        <w:rPr>
          <w:lang w:val="en-GB"/>
        </w:rPr>
        <w:t>continuous</w:t>
      </w:r>
      <w:r w:rsidRPr="002903E8">
        <w:rPr>
          <w:lang w:val="en-GB"/>
        </w:rPr>
        <w:t xml:space="preserve"> criminal offence, </w:t>
      </w:r>
      <w:r w:rsidR="00F03BBC">
        <w:rPr>
          <w:lang w:val="en-GB"/>
        </w:rPr>
        <w:t>albeit without</w:t>
      </w:r>
      <w:r w:rsidRPr="002903E8">
        <w:rPr>
          <w:lang w:val="en-GB"/>
        </w:rPr>
        <w:t xml:space="preserve"> distinguishing between these two types of offence (see </w:t>
      </w:r>
      <w:r w:rsidRPr="002903E8">
        <w:rPr>
          <w:i/>
          <w:lang w:val="en-GB"/>
        </w:rPr>
        <w:t>Ecer and Zeyrek</w:t>
      </w:r>
      <w:r w:rsidR="00BE7633">
        <w:rPr>
          <w:i/>
          <w:lang w:val="en-GB"/>
        </w:rPr>
        <w:t xml:space="preserve"> v. Turkey</w:t>
      </w:r>
      <w:r w:rsidR="00BE7633">
        <w:rPr>
          <w:lang w:val="en-GB"/>
        </w:rPr>
        <w:t>, nos. 29295/95 and 29363/95, ECHR 2001-I</w:t>
      </w:r>
      <w:r w:rsidRPr="002903E8">
        <w:rPr>
          <w:i/>
          <w:lang w:val="en-GB"/>
        </w:rPr>
        <w:t xml:space="preserve"> </w:t>
      </w:r>
      <w:r w:rsidRPr="002903E8">
        <w:rPr>
          <w:lang w:val="en-GB"/>
        </w:rPr>
        <w:t xml:space="preserve">and </w:t>
      </w:r>
      <w:r w:rsidRPr="002903E8">
        <w:rPr>
          <w:i/>
          <w:lang w:val="en-GB"/>
        </w:rPr>
        <w:t>Veeber</w:t>
      </w:r>
      <w:r w:rsidRPr="002465C6" w:rsidR="007D6AC4">
        <w:rPr>
          <w:lang w:val="en-GB"/>
        </w:rPr>
        <w:t xml:space="preserve">, </w:t>
      </w:r>
      <w:r w:rsidRPr="002903E8">
        <w:rPr>
          <w:lang w:val="en-GB"/>
        </w:rPr>
        <w:t>cited above). In the aforementioned judgments</w:t>
      </w:r>
      <w:r w:rsidRPr="0093514B">
        <w:rPr>
          <w:lang w:val="en-GB"/>
        </w:rPr>
        <w:t xml:space="preserve"> </w:t>
      </w:r>
      <w:r w:rsidR="002F2673">
        <w:rPr>
          <w:lang w:val="en-GB"/>
        </w:rPr>
        <w:t>the Court</w:t>
      </w:r>
      <w:r w:rsidRPr="0093514B">
        <w:rPr>
          <w:lang w:val="en-GB"/>
        </w:rPr>
        <w:t xml:space="preserve"> observed that, by definition, such </w:t>
      </w:r>
      <w:r w:rsidR="00F03BBC">
        <w:rPr>
          <w:lang w:val="en-GB"/>
        </w:rPr>
        <w:t xml:space="preserve">an </w:t>
      </w:r>
      <w:r w:rsidRPr="0093514B">
        <w:rPr>
          <w:lang w:val="en-GB"/>
        </w:rPr>
        <w:t xml:space="preserve">offence was a type of crime committed over a period of time (see </w:t>
      </w:r>
      <w:r w:rsidRPr="0093514B">
        <w:rPr>
          <w:i/>
          <w:lang w:val="en-GB"/>
        </w:rPr>
        <w:t>Veeber</w:t>
      </w:r>
      <w:r w:rsidRPr="0093514B">
        <w:rPr>
          <w:lang w:val="en-GB"/>
        </w:rPr>
        <w:t>, cited above, §</w:t>
      </w:r>
      <w:r w:rsidR="00BE7633">
        <w:rPr>
          <w:lang w:val="en-GB"/>
        </w:rPr>
        <w:t> </w:t>
      </w:r>
      <w:r w:rsidRPr="0093514B">
        <w:rPr>
          <w:lang w:val="en-GB"/>
        </w:rPr>
        <w:t xml:space="preserve">35). It further held that, when an accused was charged with a “continuing” offence, the principle of legal certainty required that the acts which went to make up that offence, and which entailed his criminal liability, be clearly set out in the bill of indictment. Furthermore, the decision rendered by the domestic court also </w:t>
      </w:r>
      <w:r w:rsidR="007D6AC4">
        <w:rPr>
          <w:lang w:val="en-GB"/>
        </w:rPr>
        <w:t xml:space="preserve">had </w:t>
      </w:r>
      <w:r w:rsidRPr="0093514B">
        <w:rPr>
          <w:lang w:val="en-GB"/>
        </w:rPr>
        <w:t>to make it clear that the accused</w:t>
      </w:r>
      <w:r w:rsidR="001D00E3">
        <w:rPr>
          <w:lang w:val="en-GB"/>
        </w:rPr>
        <w:t>’</w:t>
      </w:r>
      <w:r w:rsidRPr="0093514B">
        <w:rPr>
          <w:lang w:val="en-GB"/>
        </w:rPr>
        <w:t xml:space="preserve">s conviction and sentence resulted from a finding that the elements of a “continuing” offence had been made out by the prosecution (see </w:t>
      </w:r>
      <w:r w:rsidRPr="0093514B">
        <w:rPr>
          <w:i/>
          <w:lang w:val="en-GB"/>
        </w:rPr>
        <w:t>Ecer and Zeyrek</w:t>
      </w:r>
      <w:r w:rsidRPr="0093514B">
        <w:rPr>
          <w:lang w:val="en-GB"/>
        </w:rPr>
        <w:t>, cited above, §</w:t>
      </w:r>
      <w:r w:rsidR="007538DD">
        <w:rPr>
          <w:lang w:val="en-GB"/>
        </w:rPr>
        <w:t> </w:t>
      </w:r>
      <w:r w:rsidRPr="0093514B">
        <w:rPr>
          <w:lang w:val="en-GB"/>
        </w:rPr>
        <w:t>33).</w:t>
      </w:r>
    </w:p>
    <w:p w:rsidRPr="0093514B" w:rsidR="0093514B" w:rsidP="00304EF3" w:rsidRDefault="0093514B" w14:paraId="448DEE0D" w14:textId="77777777">
      <w:pPr>
        <w:pStyle w:val="ECHRPara"/>
        <w:rPr>
          <w:lang w:val="en-GB"/>
        </w:rPr>
      </w:pPr>
      <w:r w:rsidRPr="0093514B">
        <w:rPr>
          <w:lang w:val="en-GB"/>
        </w:rPr>
        <w:fldChar w:fldCharType="begin"/>
      </w:r>
      <w:r w:rsidRPr="0093514B">
        <w:rPr>
          <w:lang w:val="en-GB"/>
        </w:rPr>
        <w:instrText xml:space="preserve"> SEQ level0 \*arabic </w:instrText>
      </w:r>
      <w:r w:rsidRPr="0093514B">
        <w:rPr>
          <w:lang w:val="en-GB"/>
        </w:rPr>
        <w:fldChar w:fldCharType="separate"/>
      </w:r>
      <w:r w:rsidR="002D5843">
        <w:rPr>
          <w:noProof/>
          <w:lang w:val="en-GB"/>
        </w:rPr>
        <w:t>58</w:t>
      </w:r>
      <w:r w:rsidRPr="0093514B">
        <w:rPr>
          <w:lang w:val="en-GB"/>
        </w:rPr>
        <w:fldChar w:fldCharType="end"/>
      </w:r>
      <w:r w:rsidRPr="0093514B">
        <w:rPr>
          <w:lang w:val="en-GB"/>
        </w:rPr>
        <w:t xml:space="preserve">.  The Court </w:t>
      </w:r>
      <w:r w:rsidRPr="002903E8">
        <w:rPr>
          <w:lang w:val="en-GB"/>
        </w:rPr>
        <w:t>also reiterates</w:t>
      </w:r>
      <w:r w:rsidRPr="0093514B">
        <w:rPr>
          <w:lang w:val="en-GB"/>
        </w:rPr>
        <w:t xml:space="preserve"> that in any system of law it is for the domestic courts to interpret the provisions of substantive criminal law in order to determine, by reference to the structure of each offence, the date on which, all the requirements of the offence being present, a punishable act was committed. The Convention may not act as a bar to this kind of judicial interpretation, provided that the conclusions reached by the domestic courts are reasonably foreseeable within the meaning of the Court</w:t>
      </w:r>
      <w:r w:rsidR="001D00E3">
        <w:rPr>
          <w:lang w:val="en-GB"/>
        </w:rPr>
        <w:t>’</w:t>
      </w:r>
      <w:r w:rsidRPr="0093514B">
        <w:rPr>
          <w:lang w:val="en-GB"/>
        </w:rPr>
        <w:t xml:space="preserve">s case-law </w:t>
      </w:r>
      <w:r w:rsidRPr="002903E8">
        <w:rPr>
          <w:lang w:val="en-GB"/>
        </w:rPr>
        <w:t>(see</w:t>
      </w:r>
      <w:r w:rsidRPr="0093514B">
        <w:rPr>
          <w:lang w:val="en-GB"/>
        </w:rPr>
        <w:t xml:space="preserve"> </w:t>
      </w:r>
      <w:r w:rsidRPr="0093514B">
        <w:rPr>
          <w:i/>
          <w:lang w:val="en-GB"/>
        </w:rPr>
        <w:t>Previti v. Italy</w:t>
      </w:r>
      <w:r w:rsidRPr="0093514B">
        <w:rPr>
          <w:lang w:val="en-GB"/>
        </w:rPr>
        <w:t xml:space="preserve"> (dec.), no. 45291/06, § 283, 8 December 2009).</w:t>
      </w:r>
    </w:p>
    <w:p w:rsidRPr="0093514B" w:rsidR="0093514B" w:rsidP="00304EF3" w:rsidRDefault="008807FE" w14:paraId="13F2421D" w14:textId="5B37E68D">
      <w:pPr>
        <w:pStyle w:val="ECHRPara"/>
        <w:rPr>
          <w:lang w:val="en-GB"/>
        </w:rPr>
      </w:pPr>
      <w:r>
        <w:fldChar w:fldCharType="begin"/>
      </w:r>
      <w:r>
        <w:instrText xml:space="preserve"> SEQ level0 \*arabic </w:instrText>
      </w:r>
      <w:r>
        <w:fldChar w:fldCharType="separate"/>
      </w:r>
      <w:r w:rsidR="002D5843">
        <w:rPr>
          <w:noProof/>
        </w:rPr>
        <w:t>59</w:t>
      </w:r>
      <w:r>
        <w:rPr>
          <w:noProof/>
        </w:rPr>
        <w:fldChar w:fldCharType="end"/>
      </w:r>
      <w:r w:rsidRPr="0093514B" w:rsidR="0093514B">
        <w:t xml:space="preserve">.  Turning to the specific circumstances of the present case, the Court notes from the outset that the applicant was convicted </w:t>
      </w:r>
      <w:r w:rsidR="0083627F">
        <w:t>as</w:t>
      </w:r>
      <w:r w:rsidRPr="0093514B" w:rsidR="0093514B">
        <w:t xml:space="preserve"> charge</w:t>
      </w:r>
      <w:r w:rsidR="0083627F">
        <w:t>d</w:t>
      </w:r>
      <w:r w:rsidRPr="0093514B" w:rsidR="0093514B">
        <w:t>, namely for having, at least between 2000 and 8 February 2006, repeatedly abused his wife</w:t>
      </w:r>
      <w:r w:rsidR="00F31F15">
        <w:t xml:space="preserve"> both </w:t>
      </w:r>
      <w:r w:rsidRPr="0093514B" w:rsidR="00F31F15">
        <w:t>physically and mentally</w:t>
      </w:r>
      <w:r w:rsidRPr="0093514B" w:rsidR="0093514B">
        <w:t xml:space="preserve"> while</w:t>
      </w:r>
      <w:r w:rsidR="0083627F">
        <w:t xml:space="preserve"> he was</w:t>
      </w:r>
      <w:r w:rsidRPr="0093514B" w:rsidR="0093514B">
        <w:t xml:space="preserve"> drunk (for further details</w:t>
      </w:r>
      <w:r w:rsidR="007538DD">
        <w:t>,</w:t>
      </w:r>
      <w:r w:rsidRPr="0093514B" w:rsidR="0093514B">
        <w:t xml:space="preserve"> see paragraph 10 above).</w:t>
      </w:r>
      <w:r w:rsidRPr="0093514B" w:rsidR="0093514B">
        <w:rPr>
          <w:lang w:val="en-GB"/>
        </w:rPr>
        <w:t xml:space="preserve"> As a result, his wife had sustained serious injuries obliging her to seek medical assistance on 26 June 2000, 18 July 2003 and 8 February 2006 (see paragraph </w:t>
      </w:r>
      <w:r w:rsidRPr="0093514B" w:rsidR="0093514B">
        <w:rPr>
          <w:lang w:val="en-GB"/>
        </w:rPr>
        <w:fldChar w:fldCharType="begin"/>
      </w:r>
      <w:r w:rsidRPr="0093514B" w:rsidR="0093514B">
        <w:rPr>
          <w:lang w:val="en-GB"/>
        </w:rPr>
        <w:instrText xml:space="preserve"> REF par10 \h </w:instrText>
      </w:r>
      <w:r w:rsidRPr="0093514B" w:rsidR="0093514B">
        <w:rPr>
          <w:lang w:val="en-GB"/>
        </w:rPr>
      </w:r>
      <w:r w:rsidRPr="0093514B" w:rsidR="0093514B">
        <w:rPr>
          <w:lang w:val="en-GB"/>
        </w:rPr>
        <w:fldChar w:fldCharType="separate"/>
      </w:r>
      <w:r w:rsidR="002D5843">
        <w:rPr>
          <w:noProof/>
          <w:lang w:val="en-GB"/>
        </w:rPr>
        <w:t>10</w:t>
      </w:r>
      <w:r w:rsidRPr="0093514B" w:rsidR="0093514B">
        <w:rPr>
          <w:lang w:val="en-GB"/>
        </w:rPr>
        <w:fldChar w:fldCharType="end"/>
      </w:r>
      <w:r w:rsidR="00B36A69">
        <w:rPr>
          <w:lang w:val="en-GB"/>
        </w:rPr>
        <w:t xml:space="preserve"> above). In its judgment of 21 </w:t>
      </w:r>
      <w:r w:rsidRPr="0093514B" w:rsidR="0093514B">
        <w:rPr>
          <w:lang w:val="en-GB"/>
        </w:rPr>
        <w:t>February 2008</w:t>
      </w:r>
      <w:r w:rsidR="007538DD">
        <w:rPr>
          <w:lang w:val="en-GB"/>
        </w:rPr>
        <w:t>,</w:t>
      </w:r>
      <w:r w:rsidRPr="0093514B" w:rsidR="0093514B">
        <w:rPr>
          <w:lang w:val="en-GB"/>
        </w:rPr>
        <w:t xml:space="preserve"> the Supreme Court upheld the lower courts</w:t>
      </w:r>
      <w:r w:rsidR="001D00E3">
        <w:rPr>
          <w:lang w:val="en-GB"/>
        </w:rPr>
        <w:t>’</w:t>
      </w:r>
      <w:r w:rsidRPr="0093514B" w:rsidR="0093514B">
        <w:rPr>
          <w:lang w:val="en-GB"/>
        </w:rPr>
        <w:t xml:space="preserve"> legal classification of the offence as abuse of a person living under the same roof within the meaning of Article 215a of the Criminal Code, as in force </w:t>
      </w:r>
      <w:r w:rsidR="00F03BBC">
        <w:rPr>
          <w:lang w:val="en-GB"/>
        </w:rPr>
        <w:t>since</w:t>
      </w:r>
      <w:r w:rsidRPr="0093514B" w:rsidR="00F03BBC">
        <w:rPr>
          <w:lang w:val="en-GB"/>
        </w:rPr>
        <w:t xml:space="preserve"> </w:t>
      </w:r>
      <w:r w:rsidR="00B36A69">
        <w:rPr>
          <w:lang w:val="en-GB"/>
        </w:rPr>
        <w:t>1 </w:t>
      </w:r>
      <w:r w:rsidRPr="0093514B" w:rsidR="0093514B">
        <w:rPr>
          <w:lang w:val="en-GB"/>
        </w:rPr>
        <w:t xml:space="preserve">June 2004, and applied </w:t>
      </w:r>
      <w:r w:rsidR="00F03BBC">
        <w:rPr>
          <w:lang w:val="en-GB"/>
        </w:rPr>
        <w:t>that</w:t>
      </w:r>
      <w:r w:rsidRPr="0093514B" w:rsidR="00F03BBC">
        <w:rPr>
          <w:lang w:val="en-GB"/>
        </w:rPr>
        <w:t xml:space="preserve"> </w:t>
      </w:r>
      <w:r w:rsidRPr="0093514B" w:rsidR="0093514B">
        <w:rPr>
          <w:lang w:val="en-GB"/>
        </w:rPr>
        <w:t xml:space="preserve">provision also to </w:t>
      </w:r>
      <w:r w:rsidR="0083627F">
        <w:rPr>
          <w:lang w:val="en-GB"/>
        </w:rPr>
        <w:t xml:space="preserve">the </w:t>
      </w:r>
      <w:r w:rsidRPr="0093514B" w:rsidR="0093514B">
        <w:rPr>
          <w:lang w:val="en-GB"/>
        </w:rPr>
        <w:t xml:space="preserve">abuse perpetrated by the applicant against his wife before that date. In </w:t>
      </w:r>
      <w:r w:rsidR="0083627F">
        <w:rPr>
          <w:lang w:val="en-GB"/>
        </w:rPr>
        <w:t>that</w:t>
      </w:r>
      <w:r w:rsidRPr="0093514B" w:rsidR="0083627F">
        <w:rPr>
          <w:lang w:val="en-GB"/>
        </w:rPr>
        <w:t xml:space="preserve"> </w:t>
      </w:r>
      <w:r w:rsidRPr="0093514B" w:rsidR="0093514B">
        <w:rPr>
          <w:lang w:val="en-GB"/>
        </w:rPr>
        <w:t>connection, the Supreme Court referred to its ruling (</w:t>
      </w:r>
      <w:r w:rsidRPr="0093514B" w:rsidR="0093514B">
        <w:rPr>
          <w:iCs/>
        </w:rPr>
        <w:t xml:space="preserve">Tzn 12/93) </w:t>
      </w:r>
      <w:r w:rsidRPr="0093514B" w:rsidR="0093514B">
        <w:rPr>
          <w:lang w:val="en-GB"/>
        </w:rPr>
        <w:t xml:space="preserve">of </w:t>
      </w:r>
      <w:r w:rsidRPr="0093514B" w:rsidR="0093514B">
        <w:rPr>
          <w:iCs/>
        </w:rPr>
        <w:t xml:space="preserve">8 December 1993 </w:t>
      </w:r>
      <w:r w:rsidRPr="0093514B" w:rsidR="0093514B">
        <w:rPr>
          <w:lang w:val="en-GB"/>
        </w:rPr>
        <w:t xml:space="preserve">to the effect that a </w:t>
      </w:r>
      <w:r w:rsidR="009C1BE0">
        <w:rPr>
          <w:lang w:val="en-GB"/>
        </w:rPr>
        <w:t>continuous</w:t>
      </w:r>
      <w:r w:rsidRPr="0093514B" w:rsidR="0093514B">
        <w:rPr>
          <w:lang w:val="en-GB"/>
        </w:rPr>
        <w:t xml:space="preserve"> criminal offence was to be considered as a single act and that its legal classification in criminal law had to be assesse</w:t>
      </w:r>
      <w:r w:rsidR="0083627F">
        <w:rPr>
          <w:lang w:val="en-GB"/>
        </w:rPr>
        <w:t>d</w:t>
      </w:r>
      <w:r w:rsidRPr="0093514B" w:rsidR="0093514B">
        <w:rPr>
          <w:lang w:val="en-GB"/>
        </w:rPr>
        <w:t xml:space="preserve"> under the law in force </w:t>
      </w:r>
      <w:r w:rsidR="00D47DE3">
        <w:rPr>
          <w:lang w:val="en-GB"/>
        </w:rPr>
        <w:t>at the time of</w:t>
      </w:r>
      <w:r w:rsidRPr="0093514B" w:rsidR="00D47DE3">
        <w:rPr>
          <w:lang w:val="en-GB"/>
        </w:rPr>
        <w:t xml:space="preserve"> </w:t>
      </w:r>
      <w:r w:rsidRPr="0093514B" w:rsidR="0093514B">
        <w:rPr>
          <w:lang w:val="en-GB"/>
        </w:rPr>
        <w:t>completion of the last occurrence of the offence. Thus Article 215a also applied to the earlier assaults, provided that these would have amounted to criminal conduct under the previous law, and the applicant</w:t>
      </w:r>
      <w:r w:rsidR="001D00E3">
        <w:rPr>
          <w:lang w:val="en-GB"/>
        </w:rPr>
        <w:t>’</w:t>
      </w:r>
      <w:r w:rsidRPr="0093514B" w:rsidR="0093514B">
        <w:rPr>
          <w:lang w:val="en-GB"/>
        </w:rPr>
        <w:t xml:space="preserve">s conduct prior to the </w:t>
      </w:r>
      <w:r w:rsidR="0063313C">
        <w:rPr>
          <w:lang w:val="en-GB"/>
        </w:rPr>
        <w:t xml:space="preserve">amendment of </w:t>
      </w:r>
      <w:r w:rsidRPr="0093514B" w:rsidR="0093514B">
        <w:rPr>
          <w:lang w:val="en-GB"/>
        </w:rPr>
        <w:t xml:space="preserve">1 June 2004 had amounted at least to an offence punishable under Article 197a or Article 221 § 1 of the Criminal Code. </w:t>
      </w:r>
      <w:r w:rsidRPr="0093514B" w:rsidR="0093514B">
        <w:t xml:space="preserve">After </w:t>
      </w:r>
      <w:r w:rsidR="007538DD">
        <w:t>examining</w:t>
      </w:r>
      <w:r w:rsidRPr="0093514B" w:rsidR="0093514B">
        <w:t xml:space="preserve"> the file, the Supreme Court concluded that the applicant</w:t>
      </w:r>
      <w:r w:rsidR="001D00E3">
        <w:t>’</w:t>
      </w:r>
      <w:r w:rsidR="0083627F">
        <w:t>s actions</w:t>
      </w:r>
      <w:r w:rsidRPr="0093514B" w:rsidR="0093514B">
        <w:t xml:space="preserve"> </w:t>
      </w:r>
      <w:r w:rsidR="0083627F">
        <w:t>disclosed</w:t>
      </w:r>
      <w:r w:rsidRPr="0093514B" w:rsidR="0093514B">
        <w:t xml:space="preserve"> all the </w:t>
      </w:r>
      <w:r w:rsidR="0083627F">
        <w:t>constituent</w:t>
      </w:r>
      <w:r w:rsidRPr="0093514B" w:rsidR="0083627F">
        <w:t xml:space="preserve"> </w:t>
      </w:r>
      <w:r w:rsidRPr="0093514B" w:rsidR="0093514B">
        <w:t xml:space="preserve">elements </w:t>
      </w:r>
      <w:r w:rsidRPr="0093514B" w:rsidR="0093514B">
        <w:rPr>
          <w:lang w:val="en-GB"/>
        </w:rPr>
        <w:t xml:space="preserve">of the offence of </w:t>
      </w:r>
      <w:r w:rsidRPr="0093514B" w:rsidR="0093514B">
        <w:t>abusing a person living under the same roof within the meaning of Article 215a §§ 1 and 2</w:t>
      </w:r>
      <w:r w:rsidR="00B56338">
        <w:t xml:space="preserve"> </w:t>
      </w:r>
      <w:r w:rsidRPr="0093514B" w:rsidR="0093514B">
        <w:t>(b)</w:t>
      </w:r>
      <w:r w:rsidR="0083627F">
        <w:t xml:space="preserve"> of the Code</w:t>
      </w:r>
      <w:r w:rsidRPr="0093514B" w:rsidR="0093514B">
        <w:t xml:space="preserve">. Since the offence in question had been perpetrated at least </w:t>
      </w:r>
      <w:r w:rsidR="00F37B44">
        <w:t>from 2000 until 8 February 2006,</w:t>
      </w:r>
      <w:r w:rsidRPr="0093514B" w:rsidR="0093514B">
        <w:t xml:space="preserve"> the material condition</w:t>
      </w:r>
      <w:r w:rsidR="0083627F">
        <w:t>s</w:t>
      </w:r>
      <w:r w:rsidRPr="0093514B" w:rsidR="0093514B">
        <w:t xml:space="preserve"> </w:t>
      </w:r>
      <w:r w:rsidRPr="00F37B44" w:rsidR="0093514B">
        <w:t>for considering the offence as aggravated on the ground of its long duration</w:t>
      </w:r>
      <w:r w:rsidR="0063313C">
        <w:t>,</w:t>
      </w:r>
      <w:r w:rsidRPr="00F37B44" w:rsidR="0093514B">
        <w:t xml:space="preserve"> </w:t>
      </w:r>
      <w:r w:rsidR="0083627F">
        <w:t>in accordance with</w:t>
      </w:r>
      <w:r w:rsidRPr="00F37B44" w:rsidR="0093514B">
        <w:t xml:space="preserve"> paragraph 2</w:t>
      </w:r>
      <w:r w:rsidR="00B56338">
        <w:t xml:space="preserve"> </w:t>
      </w:r>
      <w:r w:rsidRPr="00F37B44" w:rsidR="0093514B">
        <w:t>(b) of Article 215a</w:t>
      </w:r>
      <w:r w:rsidR="0063313C">
        <w:t>,</w:t>
      </w:r>
      <w:r w:rsidRPr="00F37B44" w:rsidR="0093514B">
        <w:t xml:space="preserve"> had been fulfilled (see paragraph 13 above).</w:t>
      </w:r>
    </w:p>
    <w:p w:rsidRPr="0093514B" w:rsidR="0093514B" w:rsidP="00304EF3" w:rsidRDefault="008807FE" w14:paraId="4FDF20C2" w14:textId="0A949847">
      <w:pPr>
        <w:pStyle w:val="ECHRPara"/>
        <w:rPr>
          <w:lang w:val="en-GB"/>
        </w:rPr>
      </w:pPr>
      <w:r>
        <w:fldChar w:fldCharType="begin"/>
      </w:r>
      <w:r>
        <w:instrText xml:space="preserve"> SEQ level0 \*arabic </w:instrText>
      </w:r>
      <w:r>
        <w:fldChar w:fldCharType="separate"/>
      </w:r>
      <w:r w:rsidR="002D5843">
        <w:rPr>
          <w:noProof/>
        </w:rPr>
        <w:t>60</w:t>
      </w:r>
      <w:r>
        <w:rPr>
          <w:noProof/>
        </w:rPr>
        <w:fldChar w:fldCharType="end"/>
      </w:r>
      <w:r w:rsidRPr="0093514B" w:rsidR="0093514B">
        <w:t xml:space="preserve">.  The Court further observes that </w:t>
      </w:r>
      <w:r w:rsidR="00F6788E">
        <w:t xml:space="preserve">it is implicit </w:t>
      </w:r>
      <w:r w:rsidR="007538DD">
        <w:t>in</w:t>
      </w:r>
      <w:r w:rsidRPr="0093514B" w:rsidR="007538DD">
        <w:t xml:space="preserve"> </w:t>
      </w:r>
      <w:r w:rsidRPr="0093514B" w:rsidR="0093514B">
        <w:t>the Supreme Court</w:t>
      </w:r>
      <w:r w:rsidR="001D00E3">
        <w:t>’</w:t>
      </w:r>
      <w:r w:rsidRPr="0093514B" w:rsidR="0093514B">
        <w:t>s reasoning</w:t>
      </w:r>
      <w:r w:rsidR="0083627F">
        <w:t xml:space="preserve"> </w:t>
      </w:r>
      <w:r w:rsidR="00E32B2C">
        <w:t xml:space="preserve">as </w:t>
      </w:r>
      <w:r w:rsidR="0083627F">
        <w:t>outlined above</w:t>
      </w:r>
      <w:r w:rsidRPr="0093514B" w:rsidR="0093514B">
        <w:t>, stated with reference to the</w:t>
      </w:r>
      <w:r w:rsidR="00E32B2C">
        <w:t xml:space="preserve"> ruling of</w:t>
      </w:r>
      <w:r w:rsidR="00B36A69">
        <w:t xml:space="preserve"> 8 </w:t>
      </w:r>
      <w:r w:rsidRPr="0093514B" w:rsidR="0093514B">
        <w:t>December 1993, that its interpretation did have regard to the particular standard contained in Article 89 § 3</w:t>
      </w:r>
      <w:r w:rsidR="00F6788E">
        <w:t>,</w:t>
      </w:r>
      <w:r w:rsidRPr="0093514B" w:rsidR="0093514B">
        <w:t xml:space="preserve"> </w:t>
      </w:r>
      <w:r w:rsidR="006A66BC">
        <w:t>by means of which</w:t>
      </w:r>
      <w:r w:rsidRPr="0093514B" w:rsidR="006A66BC">
        <w:t xml:space="preserve"> </w:t>
      </w:r>
      <w:r w:rsidRPr="0093514B" w:rsidR="0093514B">
        <w:t xml:space="preserve">the concept of </w:t>
      </w:r>
      <w:r w:rsidR="006A66BC">
        <w:t>a</w:t>
      </w:r>
      <w:r w:rsidRPr="0093514B" w:rsidR="006A66BC">
        <w:t xml:space="preserve"> </w:t>
      </w:r>
      <w:r w:rsidR="009C1BE0">
        <w:t>continu</w:t>
      </w:r>
      <w:r w:rsidR="0081685E">
        <w:t xml:space="preserve">ation of a </w:t>
      </w:r>
      <w:r w:rsidRPr="0093514B" w:rsidR="0093514B">
        <w:t>criminal offence</w:t>
      </w:r>
      <w:r w:rsidR="006A66BC">
        <w:t xml:space="preserve"> developed by the case-law</w:t>
      </w:r>
      <w:r w:rsidRPr="0093514B" w:rsidR="0093514B">
        <w:t xml:space="preserve"> </w:t>
      </w:r>
      <w:r w:rsidR="006A66BC">
        <w:t>was</w:t>
      </w:r>
      <w:r w:rsidRPr="0093514B" w:rsidR="0093514B">
        <w:t xml:space="preserve"> introduced into the Criminal Code in 1994 (see paragraphs </w:t>
      </w:r>
      <w:r w:rsidRPr="0093514B" w:rsidR="0093514B">
        <w:fldChar w:fldCharType="begin"/>
      </w:r>
      <w:r w:rsidRPr="0093514B" w:rsidR="0093514B">
        <w:instrText xml:space="preserve"> REF par18 \h  \* MERGEFORMAT </w:instrText>
      </w:r>
      <w:r w:rsidRPr="0093514B" w:rsidR="0093514B">
        <w:fldChar w:fldCharType="separate"/>
      </w:r>
      <w:r w:rsidR="002D5843">
        <w:rPr>
          <w:noProof/>
        </w:rPr>
        <w:t>20</w:t>
      </w:r>
      <w:r w:rsidRPr="0093514B" w:rsidR="0093514B">
        <w:fldChar w:fldCharType="end"/>
      </w:r>
      <w:r w:rsidRPr="0093514B" w:rsidR="0093514B">
        <w:t xml:space="preserve"> and </w:t>
      </w:r>
      <w:r w:rsidRPr="0093514B" w:rsidR="0093514B">
        <w:fldChar w:fldCharType="begin"/>
      </w:r>
      <w:r w:rsidRPr="0093514B" w:rsidR="0093514B">
        <w:instrText xml:space="preserve"> REF par23 \h  \* MERGEFORMAT </w:instrText>
      </w:r>
      <w:r w:rsidRPr="0093514B" w:rsidR="0093514B">
        <w:fldChar w:fldCharType="separate"/>
      </w:r>
      <w:r w:rsidRPr="002D5843" w:rsidR="002D5843">
        <w:rPr>
          <w:bCs/>
          <w:noProof/>
        </w:rPr>
        <w:t>24</w:t>
      </w:r>
      <w:r w:rsidRPr="0093514B" w:rsidR="0093514B">
        <w:fldChar w:fldCharType="end"/>
      </w:r>
      <w:r w:rsidRPr="0093514B" w:rsidR="0093514B">
        <w:t xml:space="preserve"> above)</w:t>
      </w:r>
      <w:r w:rsidR="00E32B2C">
        <w:t>,</w:t>
      </w:r>
      <w:r w:rsidRPr="0093514B" w:rsidR="0093514B">
        <w:t xml:space="preserve"> </w:t>
      </w:r>
      <w:r w:rsidR="00E32B2C">
        <w:t>that is to say, prior to</w:t>
      </w:r>
      <w:r w:rsidRPr="0093514B" w:rsidR="0093514B">
        <w:t xml:space="preserve"> the first assault </w:t>
      </w:r>
      <w:r w:rsidR="00C00EF9">
        <w:t>on</w:t>
      </w:r>
      <w:r w:rsidRPr="0093514B" w:rsidR="00C00EF9">
        <w:t xml:space="preserve"> </w:t>
      </w:r>
      <w:r w:rsidRPr="0093514B" w:rsidR="0093514B">
        <w:t xml:space="preserve">his wife </w:t>
      </w:r>
      <w:r w:rsidR="006A66BC">
        <w:t>of</w:t>
      </w:r>
      <w:r w:rsidRPr="0093514B" w:rsidR="006A66BC">
        <w:t xml:space="preserve"> </w:t>
      </w:r>
      <w:r w:rsidRPr="0093514B" w:rsidR="0093514B">
        <w:t xml:space="preserve">which </w:t>
      </w:r>
      <w:r w:rsidR="00C00EF9">
        <w:t>the applicant</w:t>
      </w:r>
      <w:r w:rsidRPr="0093514B" w:rsidR="00C00EF9">
        <w:t xml:space="preserve"> </w:t>
      </w:r>
      <w:r w:rsidRPr="0093514B" w:rsidR="0093514B">
        <w:t xml:space="preserve">was convicted (see, conversely, </w:t>
      </w:r>
      <w:r w:rsidRPr="0093514B" w:rsidR="0093514B">
        <w:rPr>
          <w:i/>
        </w:rPr>
        <w:t>Veeber</w:t>
      </w:r>
      <w:r w:rsidRPr="0093514B" w:rsidR="0093514B">
        <w:t>, cited above, § 37).</w:t>
      </w:r>
      <w:r w:rsidRPr="0093514B" w:rsidR="0093514B">
        <w:rPr>
          <w:lang w:val="en-GB"/>
        </w:rPr>
        <w:t xml:space="preserve"> Indeed, as the applicant confirmed in his pleadings to the Court, he did not dispute the foreseeability of the national courts</w:t>
      </w:r>
      <w:r w:rsidR="001D00E3">
        <w:rPr>
          <w:lang w:val="en-GB"/>
        </w:rPr>
        <w:t>’</w:t>
      </w:r>
      <w:r w:rsidR="00271592">
        <w:rPr>
          <w:lang w:val="en-GB"/>
        </w:rPr>
        <w:t xml:space="preserve"> application of the Article </w:t>
      </w:r>
      <w:r w:rsidR="00B36A69">
        <w:rPr>
          <w:lang w:val="en-GB"/>
        </w:rPr>
        <w:t>89 </w:t>
      </w:r>
      <w:r w:rsidRPr="0093514B" w:rsidR="0093514B">
        <w:rPr>
          <w:lang w:val="en-GB"/>
        </w:rPr>
        <w:t>§ 3 standard to his case.</w:t>
      </w:r>
    </w:p>
    <w:p w:rsidRPr="0093514B" w:rsidR="00C727A4" w:rsidP="00304EF3" w:rsidRDefault="0093514B" w14:paraId="3DF8A498" w14:textId="77777777">
      <w:pPr>
        <w:pStyle w:val="ECHRPara"/>
      </w:pPr>
      <w:r w:rsidRPr="0093514B">
        <w:rPr>
          <w:lang w:val="en-GB"/>
        </w:rPr>
        <w:fldChar w:fldCharType="begin"/>
      </w:r>
      <w:r w:rsidRPr="0093514B">
        <w:rPr>
          <w:lang w:val="en-GB"/>
        </w:rPr>
        <w:instrText xml:space="preserve"> SEQ level0 \*arabic </w:instrText>
      </w:r>
      <w:r w:rsidRPr="0093514B">
        <w:rPr>
          <w:lang w:val="en-GB"/>
        </w:rPr>
        <w:fldChar w:fldCharType="separate"/>
      </w:r>
      <w:r w:rsidR="002D5843">
        <w:rPr>
          <w:noProof/>
          <w:lang w:val="en-GB"/>
        </w:rPr>
        <w:t>61</w:t>
      </w:r>
      <w:r w:rsidRPr="0093514B">
        <w:rPr>
          <w:lang w:val="en-GB"/>
        </w:rPr>
        <w:fldChar w:fldCharType="end"/>
      </w:r>
      <w:r w:rsidRPr="0093514B">
        <w:rPr>
          <w:lang w:val="en-GB"/>
        </w:rPr>
        <w:t xml:space="preserve">.  Under this provision, a </w:t>
      </w:r>
      <w:r w:rsidR="009C1BE0">
        <w:rPr>
          <w:lang w:val="en-GB"/>
        </w:rPr>
        <w:t>continu</w:t>
      </w:r>
      <w:r w:rsidR="0081685E">
        <w:rPr>
          <w:lang w:val="en-GB"/>
        </w:rPr>
        <w:t xml:space="preserve">ation of a criminal </w:t>
      </w:r>
      <w:r w:rsidRPr="0093514B">
        <w:rPr>
          <w:lang w:val="en-GB"/>
        </w:rPr>
        <w:t xml:space="preserve">offence </w:t>
      </w:r>
      <w:r w:rsidRPr="0093514B">
        <w:t xml:space="preserve">was defined as consisting of individual </w:t>
      </w:r>
      <w:r w:rsidR="0081685E">
        <w:t xml:space="preserve">acts </w:t>
      </w:r>
      <w:r w:rsidRPr="0093514B">
        <w:t>driven by the same purpose, which constitute</w:t>
      </w:r>
      <w:r w:rsidR="006A66BC">
        <w:t>d</w:t>
      </w:r>
      <w:r w:rsidRPr="0093514B">
        <w:t xml:space="preserve"> the same offence and were linked by virtue of being carried out in an identical or similar manner, occurring close together in time and </w:t>
      </w:r>
      <w:r w:rsidR="006A66BC">
        <w:t>pursuing</w:t>
      </w:r>
      <w:r w:rsidRPr="0093514B">
        <w:t xml:space="preserve"> the same object. It emerges from the clear and settled case-law of the Supreme Court (see paragraphs </w:t>
      </w:r>
      <w:r w:rsidRPr="0093514B">
        <w:fldChar w:fldCharType="begin"/>
      </w:r>
      <w:r w:rsidRPr="0093514B">
        <w:instrText xml:space="preserve"> REF par24 \h  \* MERGEFORMAT </w:instrText>
      </w:r>
      <w:r w:rsidRPr="0093514B">
        <w:fldChar w:fldCharType="separate"/>
      </w:r>
      <w:r w:rsidRPr="002D5843" w:rsidR="002D5843">
        <w:rPr>
          <w:bCs/>
          <w:noProof/>
        </w:rPr>
        <w:t>25</w:t>
      </w:r>
      <w:r w:rsidRPr="0093514B">
        <w:fldChar w:fldCharType="end"/>
      </w:r>
      <w:r w:rsidRPr="0093514B">
        <w:t>-</w:t>
      </w:r>
      <w:r w:rsidRPr="0093514B">
        <w:fldChar w:fldCharType="begin"/>
      </w:r>
      <w:r w:rsidRPr="0093514B">
        <w:instrText xml:space="preserve"> REF para26 \h  \* MERGEFORMAT </w:instrText>
      </w:r>
      <w:r w:rsidRPr="0093514B">
        <w:fldChar w:fldCharType="separate"/>
      </w:r>
      <w:r w:rsidRPr="002D5843" w:rsidR="002D5843">
        <w:rPr>
          <w:bCs/>
          <w:noProof/>
        </w:rPr>
        <w:t>27</w:t>
      </w:r>
      <w:r w:rsidRPr="0093514B">
        <w:fldChar w:fldCharType="end"/>
      </w:r>
      <w:r w:rsidRPr="0093514B">
        <w:t xml:space="preserve"> above) and from the views expressed in the legal literature (see paragraph </w:t>
      </w:r>
      <w:r w:rsidRPr="0093514B">
        <w:fldChar w:fldCharType="begin"/>
      </w:r>
      <w:r w:rsidRPr="0093514B">
        <w:instrText xml:space="preserve"> REF par23 \h  \* MERGEFORMAT </w:instrText>
      </w:r>
      <w:r w:rsidRPr="0093514B">
        <w:fldChar w:fldCharType="separate"/>
      </w:r>
      <w:r w:rsidRPr="002D5843" w:rsidR="002D5843">
        <w:rPr>
          <w:bCs/>
          <w:noProof/>
        </w:rPr>
        <w:t>24</w:t>
      </w:r>
      <w:r w:rsidRPr="0093514B">
        <w:fldChar w:fldCharType="end"/>
      </w:r>
      <w:r w:rsidRPr="0093514B">
        <w:t xml:space="preserve"> above) that a </w:t>
      </w:r>
      <w:r w:rsidR="009C1BE0">
        <w:t>continuous</w:t>
      </w:r>
      <w:r w:rsidRPr="0093514B">
        <w:t xml:space="preserve"> offence was </w:t>
      </w:r>
      <w:r w:rsidRPr="0093514B">
        <w:rPr>
          <w:lang w:val="en-GB"/>
        </w:rPr>
        <w:t xml:space="preserve">considered to constitute a single act, whose classification in Czech criminal law had to be assessed under the rules in force </w:t>
      </w:r>
      <w:r w:rsidR="00C00EF9">
        <w:rPr>
          <w:lang w:val="en-GB"/>
        </w:rPr>
        <w:t>at the time of</w:t>
      </w:r>
      <w:r w:rsidRPr="0093514B" w:rsidR="00C00EF9">
        <w:rPr>
          <w:lang w:val="en-GB"/>
        </w:rPr>
        <w:t xml:space="preserve"> </w:t>
      </w:r>
      <w:r w:rsidRPr="0093514B">
        <w:rPr>
          <w:lang w:val="en-GB"/>
        </w:rPr>
        <w:t xml:space="preserve">completion of the last occurrence of the offence, provided that the </w:t>
      </w:r>
      <w:r w:rsidR="006A66BC">
        <w:rPr>
          <w:lang w:val="en-GB"/>
        </w:rPr>
        <w:t>acts</w:t>
      </w:r>
      <w:r w:rsidRPr="0093514B" w:rsidR="006A66BC">
        <w:rPr>
          <w:lang w:val="en-GB"/>
        </w:rPr>
        <w:t xml:space="preserve"> </w:t>
      </w:r>
      <w:r w:rsidRPr="0093514B">
        <w:rPr>
          <w:lang w:val="en-GB"/>
        </w:rPr>
        <w:t xml:space="preserve">committed under any previous law </w:t>
      </w:r>
      <w:r w:rsidRPr="0093514B">
        <w:t xml:space="preserve">would have been punishable also under </w:t>
      </w:r>
      <w:r w:rsidR="006A66BC">
        <w:t>the</w:t>
      </w:r>
      <w:r w:rsidRPr="0093514B" w:rsidR="006A66BC">
        <w:t xml:space="preserve"> </w:t>
      </w:r>
      <w:r w:rsidRPr="0093514B">
        <w:t>older law.</w:t>
      </w:r>
    </w:p>
    <w:p w:rsidRPr="0093514B" w:rsidR="00154020" w:rsidP="002465C6" w:rsidRDefault="0093514B" w14:paraId="06CF2733" w14:textId="2AB95625">
      <w:pPr>
        <w:pStyle w:val="ECHRPara"/>
      </w:pPr>
      <w:r w:rsidRPr="0093514B">
        <w:rPr>
          <w:lang w:val="en-GB"/>
        </w:rPr>
        <w:fldChar w:fldCharType="begin"/>
      </w:r>
      <w:r w:rsidRPr="0093514B">
        <w:rPr>
          <w:lang w:val="en-GB"/>
        </w:rPr>
        <w:instrText xml:space="preserve"> SEQ level0 \*arabic </w:instrText>
      </w:r>
      <w:r w:rsidRPr="0093514B">
        <w:rPr>
          <w:lang w:val="en-GB"/>
        </w:rPr>
        <w:fldChar w:fldCharType="separate"/>
      </w:r>
      <w:r w:rsidR="002D5843">
        <w:rPr>
          <w:noProof/>
          <w:lang w:val="en-GB"/>
        </w:rPr>
        <w:t>62</w:t>
      </w:r>
      <w:r w:rsidRPr="0093514B">
        <w:rPr>
          <w:lang w:val="en-GB"/>
        </w:rPr>
        <w:fldChar w:fldCharType="end"/>
      </w:r>
      <w:r w:rsidRPr="0093514B">
        <w:rPr>
          <w:lang w:val="en-GB"/>
        </w:rPr>
        <w:t>. </w:t>
      </w:r>
      <w:r w:rsidR="00617145">
        <w:rPr>
          <w:lang w:val="en-GB"/>
        </w:rPr>
        <w:t> </w:t>
      </w:r>
      <w:r w:rsidRPr="002465C6" w:rsidR="00154020">
        <w:rPr>
          <w:bCs/>
        </w:rPr>
        <w:t>Since the applicant</w:t>
      </w:r>
      <w:r w:rsidR="001D00E3">
        <w:rPr>
          <w:bCs/>
        </w:rPr>
        <w:t>’</w:t>
      </w:r>
      <w:r w:rsidRPr="002465C6" w:rsidR="00154020">
        <w:rPr>
          <w:bCs/>
        </w:rPr>
        <w:t>s conduct before 1 June 2004 amounted to punishable criminal offences under Article 197a or Article 221 § 1 of the Criminal Code and comprised the constituent elements of the Article 215a offence, the Court accepts that the fact of holding the applicant liable under the said provision also in respect of acts committed before that date did not constitute retro</w:t>
      </w:r>
      <w:r w:rsidR="0081685E">
        <w:rPr>
          <w:bCs/>
        </w:rPr>
        <w:t>a</w:t>
      </w:r>
      <w:r w:rsidRPr="002465C6" w:rsidR="00154020">
        <w:rPr>
          <w:bCs/>
        </w:rPr>
        <w:t>ctive application of more detrimental criminal law as prohibited by the Convention. Moreover, in its judgment of 10 June 2008</w:t>
      </w:r>
      <w:r w:rsidR="007538DD">
        <w:rPr>
          <w:bCs/>
        </w:rPr>
        <w:t>,</w:t>
      </w:r>
      <w:r w:rsidRPr="002465C6" w:rsidR="00154020">
        <w:rPr>
          <w:bCs/>
        </w:rPr>
        <w:t xml:space="preserve"> the Constitutional Court held that the national courts</w:t>
      </w:r>
      <w:r w:rsidR="001D00E3">
        <w:rPr>
          <w:bCs/>
        </w:rPr>
        <w:t>’</w:t>
      </w:r>
      <w:r w:rsidRPr="002465C6" w:rsidR="00154020">
        <w:rPr>
          <w:bCs/>
        </w:rPr>
        <w:t xml:space="preserve"> decisions in the applicant</w:t>
      </w:r>
      <w:r w:rsidR="001D00E3">
        <w:rPr>
          <w:bCs/>
        </w:rPr>
        <w:t>’</w:t>
      </w:r>
      <w:r w:rsidRPr="002465C6" w:rsidR="00154020">
        <w:rPr>
          <w:bCs/>
        </w:rPr>
        <w:t>s case had been logical and coherent and had not had any retro</w:t>
      </w:r>
      <w:r w:rsidR="00614A32">
        <w:rPr>
          <w:bCs/>
        </w:rPr>
        <w:t>a</w:t>
      </w:r>
      <w:r w:rsidRPr="002465C6" w:rsidR="00154020">
        <w:rPr>
          <w:bCs/>
        </w:rPr>
        <w:t xml:space="preserve">ctive effect prohibited by the Constitution. The Court finds nothing to indicate that this stance was in any way tainted with </w:t>
      </w:r>
      <w:r w:rsidRPr="00D00176" w:rsidR="00D00176">
        <w:rPr>
          <w:bCs/>
        </w:rPr>
        <w:t>unforeseeability</w:t>
      </w:r>
      <w:r w:rsidRPr="002465C6" w:rsidR="00154020">
        <w:rPr>
          <w:bCs/>
        </w:rPr>
        <w:t xml:space="preserve"> as proscribed by Article 7 of the Convention.</w:t>
      </w:r>
    </w:p>
    <w:p w:rsidRPr="0093514B" w:rsidR="0093514B" w:rsidP="00304EF3" w:rsidRDefault="008807FE" w14:paraId="541F8A0C" w14:textId="77777777">
      <w:pPr>
        <w:pStyle w:val="ECHRPara"/>
        <w:rPr>
          <w:szCs w:val="24"/>
          <w:lang w:val="en-GB"/>
        </w:rPr>
      </w:pPr>
      <w:r>
        <w:fldChar w:fldCharType="begin"/>
      </w:r>
      <w:r>
        <w:instrText xml:space="preserve"> SEQ level0 \*arabic </w:instrText>
      </w:r>
      <w:r>
        <w:fldChar w:fldCharType="separate"/>
      </w:r>
      <w:r w:rsidR="002D5843">
        <w:rPr>
          <w:noProof/>
        </w:rPr>
        <w:t>63</w:t>
      </w:r>
      <w:r>
        <w:rPr>
          <w:noProof/>
        </w:rPr>
        <w:fldChar w:fldCharType="end"/>
      </w:r>
      <w:r w:rsidRPr="0093514B" w:rsidR="0093514B">
        <w:t xml:space="preserve">.  In these circumstances, and </w:t>
      </w:r>
      <w:r w:rsidRPr="00F37B44" w:rsidR="0093514B">
        <w:t>bearing in mind</w:t>
      </w:r>
      <w:r w:rsidRPr="00F37B44" w:rsidR="0093514B">
        <w:rPr>
          <w:lang w:val="en-GB"/>
        </w:rPr>
        <w:t xml:space="preserve"> the clarity with which the relevant domestic provisions were formulated and further elucidated by the national courts</w:t>
      </w:r>
      <w:r w:rsidR="001D00E3">
        <w:rPr>
          <w:lang w:val="en-GB"/>
        </w:rPr>
        <w:t>’</w:t>
      </w:r>
      <w:r w:rsidRPr="00F37B44" w:rsidR="0093514B">
        <w:rPr>
          <w:lang w:val="en-GB"/>
        </w:rPr>
        <w:t xml:space="preserve"> interpretation</w:t>
      </w:r>
      <w:r w:rsidRPr="00F37B44" w:rsidR="0093514B">
        <w:t xml:space="preserve">, </w:t>
      </w:r>
      <w:r w:rsidRPr="00F37B44" w:rsidR="0093514B">
        <w:rPr>
          <w:lang w:val="en-GB"/>
        </w:rPr>
        <w:t>the Court is of the view that since</w:t>
      </w:r>
      <w:r w:rsidRPr="0093514B" w:rsidR="0093514B">
        <w:rPr>
          <w:lang w:val="en-GB"/>
        </w:rPr>
        <w:t xml:space="preserve"> the applicant</w:t>
      </w:r>
      <w:r w:rsidR="001D00E3">
        <w:rPr>
          <w:lang w:val="en-GB"/>
        </w:rPr>
        <w:t>’</w:t>
      </w:r>
      <w:r w:rsidRPr="0093514B" w:rsidR="0093514B">
        <w:rPr>
          <w:lang w:val="en-GB"/>
        </w:rPr>
        <w:t xml:space="preserve">s conduct continued after 1 June 2004, </w:t>
      </w:r>
      <w:r w:rsidRPr="0093514B" w:rsidR="0093514B">
        <w:t>the date on which the offence of abusing a person living under the same roof was introduced into the Criminal Code,</w:t>
      </w:r>
      <w:r w:rsidRPr="0093514B" w:rsidR="0093514B">
        <w:rPr>
          <w:lang w:val="en-GB"/>
        </w:rPr>
        <w:t xml:space="preserve"> he could and ought to have expected, if necessary with the appropriate legal advice, to be tried for a </w:t>
      </w:r>
      <w:r w:rsidR="009C1BE0">
        <w:rPr>
          <w:lang w:val="en-GB"/>
        </w:rPr>
        <w:t>continuous</w:t>
      </w:r>
      <w:r w:rsidRPr="0093514B" w:rsidR="0093514B">
        <w:rPr>
          <w:lang w:val="en-GB"/>
        </w:rPr>
        <w:t xml:space="preserve"> offence assessed according to the law in force at the time he committed the last assault, that is</w:t>
      </w:r>
      <w:r w:rsidR="0097571E">
        <w:rPr>
          <w:lang w:val="en-GB"/>
        </w:rPr>
        <w:t xml:space="preserve"> to say,</w:t>
      </w:r>
      <w:r w:rsidRPr="0093514B" w:rsidR="0093514B">
        <w:rPr>
          <w:lang w:val="en-GB"/>
        </w:rPr>
        <w:t xml:space="preserve"> Article 215a of the Criminal Code. It finds no reason to doubt that the applicant </w:t>
      </w:r>
      <w:r w:rsidRPr="0093514B" w:rsidR="0093514B">
        <w:t xml:space="preserve">was in a position to foresee, not only </w:t>
      </w:r>
      <w:r w:rsidR="00D47DE3">
        <w:t>as regards</w:t>
      </w:r>
      <w:r w:rsidRPr="0093514B" w:rsidR="00D47DE3">
        <w:t xml:space="preserve"> </w:t>
      </w:r>
      <w:r w:rsidRPr="0093514B" w:rsidR="0093514B">
        <w:t xml:space="preserve">the period after the entry into force of this provision on 1 June 2004 but also </w:t>
      </w:r>
      <w:r w:rsidR="00D47DE3">
        <w:t>as regards</w:t>
      </w:r>
      <w:r w:rsidRPr="0093514B" w:rsidR="00D47DE3">
        <w:t xml:space="preserve"> </w:t>
      </w:r>
      <w:r w:rsidRPr="0093514B" w:rsidR="0093514B">
        <w:t xml:space="preserve">the period from 2000 until that date, that he might be held criminally liable for a </w:t>
      </w:r>
      <w:r w:rsidR="009C1BE0">
        <w:t>continuous</w:t>
      </w:r>
      <w:r w:rsidRPr="0093514B" w:rsidR="0093514B">
        <w:t xml:space="preserve"> offence as described above, and to regulate his conduct accordingly (see, </w:t>
      </w:r>
      <w:r w:rsidRPr="0093514B" w:rsidR="0093514B">
        <w:rPr>
          <w:i/>
        </w:rPr>
        <w:t>mutatis mutandis</w:t>
      </w:r>
      <w:r w:rsidRPr="0093514B" w:rsidR="0093514B">
        <w:t xml:space="preserve">, </w:t>
      </w:r>
      <w:r w:rsidRPr="0093514B" w:rsidR="0093514B">
        <w:rPr>
          <w:i/>
        </w:rPr>
        <w:t xml:space="preserve">Streletz, Kessler </w:t>
      </w:r>
      <w:r w:rsidR="005A1AE4">
        <w:rPr>
          <w:i/>
        </w:rPr>
        <w:t>and</w:t>
      </w:r>
      <w:r w:rsidRPr="0093514B" w:rsidR="005A1AE4">
        <w:rPr>
          <w:i/>
        </w:rPr>
        <w:t xml:space="preserve"> </w:t>
      </w:r>
      <w:r w:rsidRPr="0093514B" w:rsidR="0093514B">
        <w:rPr>
          <w:i/>
        </w:rPr>
        <w:t>Krenz</w:t>
      </w:r>
      <w:r w:rsidRPr="0093514B" w:rsidR="0093514B">
        <w:t>, cited above, § 82</w:t>
      </w:r>
      <w:r w:rsidR="0097571E">
        <w:t>, and</w:t>
      </w:r>
      <w:r w:rsidRPr="0093514B" w:rsidR="0093514B">
        <w:t xml:space="preserve"> </w:t>
      </w:r>
      <w:r w:rsidRPr="0093514B" w:rsidR="0093514B">
        <w:rPr>
          <w:i/>
          <w:szCs w:val="24"/>
          <w:lang w:val="en-GB"/>
        </w:rPr>
        <w:t>Achour</w:t>
      </w:r>
      <w:r w:rsidRPr="005A1AE4" w:rsidR="005A1AE4">
        <w:rPr>
          <w:rFonts w:eastAsia="Times New Roman"/>
          <w:i/>
          <w:szCs w:val="24"/>
          <w:lang w:val="en-GB"/>
        </w:rPr>
        <w:t xml:space="preserve"> </w:t>
      </w:r>
      <w:r w:rsidRPr="0093514B" w:rsidR="005A1AE4">
        <w:rPr>
          <w:rFonts w:eastAsia="Times New Roman"/>
          <w:i/>
          <w:szCs w:val="24"/>
          <w:lang w:val="en-GB"/>
        </w:rPr>
        <w:t>v. France</w:t>
      </w:r>
      <w:r w:rsidRPr="0093514B" w:rsidR="005A1AE4">
        <w:rPr>
          <w:rFonts w:eastAsia="Times New Roman"/>
          <w:szCs w:val="24"/>
          <w:lang w:val="en-GB"/>
        </w:rPr>
        <w:t xml:space="preserve"> [GC], no. 67335/01, §</w:t>
      </w:r>
      <w:r w:rsidR="005A1AE4">
        <w:rPr>
          <w:rFonts w:eastAsia="Times New Roman"/>
          <w:szCs w:val="24"/>
          <w:lang w:val="en-GB"/>
        </w:rPr>
        <w:t>§ 52-53</w:t>
      </w:r>
      <w:r w:rsidR="00BF2F86">
        <w:rPr>
          <w:rFonts w:eastAsia="Times New Roman"/>
          <w:szCs w:val="24"/>
          <w:lang w:val="en-GB"/>
        </w:rPr>
        <w:t>, ECHR </w:t>
      </w:r>
      <w:r w:rsidRPr="0093514B" w:rsidR="005A1AE4">
        <w:rPr>
          <w:rFonts w:eastAsia="Times New Roman"/>
          <w:szCs w:val="24"/>
          <w:lang w:val="en-GB"/>
        </w:rPr>
        <w:t>2006</w:t>
      </w:r>
      <w:r w:rsidRPr="0093514B" w:rsidR="005A1AE4">
        <w:rPr>
          <w:rFonts w:eastAsia="Times New Roman"/>
          <w:szCs w:val="24"/>
          <w:lang w:val="en-GB"/>
        </w:rPr>
        <w:noBreakHyphen/>
        <w:t>IV</w:t>
      </w:r>
      <w:r w:rsidRPr="0093514B" w:rsidR="0093514B">
        <w:rPr>
          <w:szCs w:val="24"/>
          <w:lang w:val="en-GB"/>
        </w:rPr>
        <w:t>).</w:t>
      </w:r>
    </w:p>
    <w:p w:rsidRPr="0093514B" w:rsidR="0093514B" w:rsidP="00304EF3" w:rsidRDefault="0093514B" w14:paraId="58FFC2E1" w14:textId="77777777">
      <w:pPr>
        <w:pStyle w:val="ECHRPara"/>
        <w:rPr>
          <w:lang w:val="en-GB"/>
        </w:rPr>
      </w:pPr>
      <w:r w:rsidRPr="0093514B">
        <w:rPr>
          <w:lang w:val="en-GB"/>
        </w:rPr>
        <w:fldChar w:fldCharType="begin"/>
      </w:r>
      <w:r w:rsidRPr="0093514B">
        <w:rPr>
          <w:lang w:val="en-GB"/>
        </w:rPr>
        <w:instrText xml:space="preserve"> SEQ level0 \*arabic </w:instrText>
      </w:r>
      <w:r w:rsidRPr="0093514B">
        <w:rPr>
          <w:lang w:val="en-GB"/>
        </w:rPr>
        <w:fldChar w:fldCharType="separate"/>
      </w:r>
      <w:r w:rsidR="002D5843">
        <w:rPr>
          <w:noProof/>
          <w:lang w:val="en-GB"/>
        </w:rPr>
        <w:t>64</w:t>
      </w:r>
      <w:r w:rsidRPr="0093514B">
        <w:rPr>
          <w:lang w:val="en-GB"/>
        </w:rPr>
        <w:fldChar w:fldCharType="end"/>
      </w:r>
      <w:r w:rsidRPr="0093514B">
        <w:rPr>
          <w:lang w:val="en-GB"/>
        </w:rPr>
        <w:t xml:space="preserve">.  Against this background, the Court is satisfied that the offence </w:t>
      </w:r>
      <w:r w:rsidR="00F6788E">
        <w:rPr>
          <w:lang w:val="en-GB"/>
        </w:rPr>
        <w:t>of</w:t>
      </w:r>
      <w:r w:rsidRPr="0093514B" w:rsidR="00F6788E">
        <w:rPr>
          <w:lang w:val="en-GB"/>
        </w:rPr>
        <w:t xml:space="preserve"> </w:t>
      </w:r>
      <w:r w:rsidRPr="0093514B">
        <w:rPr>
          <w:lang w:val="en-GB"/>
        </w:rPr>
        <w:t>which the applicant was convicted not only had a basis in the relevant “national ... law at the time when it was committed” but also that this law defined the offence sufficiently clearly to meet the quality requirement of foreseeability flowing from the autonomous meaning of the notion of “law” under Article 7 of the Convention.</w:t>
      </w:r>
    </w:p>
    <w:p w:rsidRPr="0093514B" w:rsidR="0093514B" w:rsidP="00304EF3" w:rsidRDefault="0097571E" w14:paraId="66E40761" w14:textId="77777777">
      <w:pPr>
        <w:pStyle w:val="ECHRHeading4"/>
      </w:pPr>
      <w:r>
        <w:t>(</w:t>
      </w:r>
      <w:r w:rsidR="00FF716A">
        <w:t>b)  </w:t>
      </w:r>
      <w:r w:rsidRPr="0093514B" w:rsidR="0093514B">
        <w:t>Whether the penalty imposed on the applicant under Article 215a was more severe</w:t>
      </w:r>
    </w:p>
    <w:p w:rsidRPr="0093514B" w:rsidR="0093514B" w:rsidP="00304EF3" w:rsidRDefault="008807FE" w14:paraId="54FC05AE" w14:textId="69343134">
      <w:pPr>
        <w:pStyle w:val="ECHRPara"/>
      </w:pPr>
      <w:r>
        <w:fldChar w:fldCharType="begin"/>
      </w:r>
      <w:r>
        <w:instrText xml:space="preserve"> SEQ level0 \*arabic </w:instrText>
      </w:r>
      <w:r>
        <w:fldChar w:fldCharType="separate"/>
      </w:r>
      <w:r w:rsidR="002D5843">
        <w:rPr>
          <w:noProof/>
        </w:rPr>
        <w:t>65</w:t>
      </w:r>
      <w:r>
        <w:rPr>
          <w:noProof/>
        </w:rPr>
        <w:fldChar w:fldCharType="end"/>
      </w:r>
      <w:r w:rsidRPr="0093514B" w:rsidR="0093514B">
        <w:t>.  The Court is moreover unable to accept the applicant</w:t>
      </w:r>
      <w:r w:rsidR="001D00E3">
        <w:t>’</w:t>
      </w:r>
      <w:r w:rsidRPr="0093514B" w:rsidR="0093514B">
        <w:t>s argument that the national courts</w:t>
      </w:r>
      <w:r w:rsidR="001D00E3">
        <w:t>’</w:t>
      </w:r>
      <w:r w:rsidRPr="0093514B" w:rsidR="0093514B">
        <w:t xml:space="preserve"> imposition of a penalty under Article 215a also in respect of </w:t>
      </w:r>
      <w:r w:rsidR="0063011C">
        <w:t>acts committed before</w:t>
      </w:r>
      <w:r w:rsidRPr="0093514B" w:rsidR="0093514B">
        <w:t xml:space="preserve"> 1 June 2004 had </w:t>
      </w:r>
      <w:r w:rsidR="00C81291">
        <w:t>resulted in a more severe</w:t>
      </w:r>
      <w:r w:rsidRPr="0093514B" w:rsidR="0093514B">
        <w:t xml:space="preserve"> penalty than would otherwise</w:t>
      </w:r>
      <w:r w:rsidR="007F7BBC">
        <w:t xml:space="preserve"> have</w:t>
      </w:r>
      <w:r w:rsidR="0063011C">
        <w:t xml:space="preserve"> been the case</w:t>
      </w:r>
      <w:r w:rsidRPr="0093514B" w:rsidR="0093514B">
        <w:t>.</w:t>
      </w:r>
    </w:p>
    <w:p w:rsidRPr="0093514B" w:rsidR="0093514B" w:rsidP="00304EF3" w:rsidRDefault="0093514B" w14:paraId="6372BE33" w14:textId="0C1C02BE">
      <w:pPr>
        <w:pStyle w:val="ECHRPara"/>
      </w:pPr>
      <w:r w:rsidRPr="0093514B">
        <w:rPr>
          <w:lang w:val="en-GB"/>
        </w:rPr>
        <w:fldChar w:fldCharType="begin"/>
      </w:r>
      <w:r w:rsidRPr="0093514B">
        <w:rPr>
          <w:lang w:val="en-GB"/>
        </w:rPr>
        <w:instrText xml:space="preserve"> SEQ level0 \*arabic </w:instrText>
      </w:r>
      <w:r w:rsidRPr="0093514B">
        <w:rPr>
          <w:lang w:val="en-GB"/>
        </w:rPr>
        <w:fldChar w:fldCharType="separate"/>
      </w:r>
      <w:r w:rsidR="002D5843">
        <w:rPr>
          <w:noProof/>
          <w:lang w:val="en-GB"/>
        </w:rPr>
        <w:t>66</w:t>
      </w:r>
      <w:r w:rsidRPr="0093514B">
        <w:rPr>
          <w:lang w:val="en-GB"/>
        </w:rPr>
        <w:fldChar w:fldCharType="end"/>
      </w:r>
      <w:r w:rsidRPr="0093514B">
        <w:rPr>
          <w:lang w:val="en-GB"/>
        </w:rPr>
        <w:t xml:space="preserve">.  As already mentioned above, on the basis of the reasoning of the domestic courts, </w:t>
      </w:r>
      <w:r w:rsidR="0063011C">
        <w:rPr>
          <w:lang w:val="en-GB"/>
        </w:rPr>
        <w:t>and in particular</w:t>
      </w:r>
      <w:r w:rsidRPr="0093514B" w:rsidR="0063011C">
        <w:rPr>
          <w:lang w:val="en-GB"/>
        </w:rPr>
        <w:t xml:space="preserve"> </w:t>
      </w:r>
      <w:r w:rsidRPr="0093514B">
        <w:rPr>
          <w:lang w:val="en-GB"/>
        </w:rPr>
        <w:t xml:space="preserve">that of the Supreme Court in its judgment of 21 February 2008, it can be concluded that </w:t>
      </w:r>
      <w:r w:rsidRPr="0093514B">
        <w:t xml:space="preserve">all the </w:t>
      </w:r>
      <w:r w:rsidRPr="00F37B44">
        <w:t>constitu</w:t>
      </w:r>
      <w:r w:rsidR="0063011C">
        <w:t>ent</w:t>
      </w:r>
      <w:r w:rsidRPr="00F37B44">
        <w:t xml:space="preserve"> elements </w:t>
      </w:r>
      <w:r w:rsidRPr="00F37B44">
        <w:rPr>
          <w:lang w:val="en-GB"/>
        </w:rPr>
        <w:t>of the offence set forth in</w:t>
      </w:r>
      <w:r w:rsidRPr="00F37B44">
        <w:t xml:space="preserve"> Article 215a §§ 1 and 2</w:t>
      </w:r>
      <w:r w:rsidR="00B56338">
        <w:t xml:space="preserve"> </w:t>
      </w:r>
      <w:r w:rsidRPr="00F37B44">
        <w:t xml:space="preserve">(b) of the Criminal Code </w:t>
      </w:r>
      <w:r w:rsidR="0063011C">
        <w:t>were made out</w:t>
      </w:r>
      <w:r w:rsidRPr="00F37B44">
        <w:t xml:space="preserve"> also with regard to the acts committed by the applicant prior to the entry into force of that provision on 1 June 2004.</w:t>
      </w:r>
      <w:r w:rsidRPr="0093514B">
        <w:t xml:space="preserve"> With </w:t>
      </w:r>
      <w:r w:rsidR="0063011C">
        <w:t>reference</w:t>
      </w:r>
      <w:r w:rsidRPr="0093514B" w:rsidR="0063011C">
        <w:t xml:space="preserve"> </w:t>
      </w:r>
      <w:r w:rsidRPr="0093514B">
        <w:t>to th</w:t>
      </w:r>
      <w:r w:rsidR="0063011C">
        <w:t>o</w:t>
      </w:r>
      <w:r w:rsidRPr="0093514B">
        <w:t>se acts, the courts also expressly stated that they would have been punishable under the old law.</w:t>
      </w:r>
    </w:p>
    <w:p w:rsidRPr="00F37B44" w:rsidR="0093514B" w:rsidP="00304EF3" w:rsidRDefault="008807FE" w14:paraId="43F78A23" w14:textId="12508CDB">
      <w:pPr>
        <w:pStyle w:val="ECHRPara"/>
      </w:pPr>
      <w:r>
        <w:fldChar w:fldCharType="begin"/>
      </w:r>
      <w:r>
        <w:instrText xml:space="preserve"> SEQ level0 \*</w:instrText>
      </w:r>
      <w:r>
        <w:instrText xml:space="preserve">arabic </w:instrText>
      </w:r>
      <w:r>
        <w:fldChar w:fldCharType="separate"/>
      </w:r>
      <w:r w:rsidR="002D5843">
        <w:rPr>
          <w:noProof/>
        </w:rPr>
        <w:t>67</w:t>
      </w:r>
      <w:r>
        <w:rPr>
          <w:noProof/>
        </w:rPr>
        <w:fldChar w:fldCharType="end"/>
      </w:r>
      <w:r w:rsidRPr="0093514B" w:rsidR="0093514B">
        <w:t>.  </w:t>
      </w:r>
      <w:r w:rsidRPr="00F37B44" w:rsidR="0093514B">
        <w:t xml:space="preserve">There is nothing to indicate that the above-mentioned approach by the domestic courts </w:t>
      </w:r>
      <w:r w:rsidRPr="00F37B44" w:rsidR="0093514B">
        <w:rPr>
          <w:lang w:val="en-GB"/>
        </w:rPr>
        <w:t xml:space="preserve">had </w:t>
      </w:r>
      <w:r w:rsidR="0063011C">
        <w:rPr>
          <w:lang w:val="en-GB"/>
        </w:rPr>
        <w:t>the</w:t>
      </w:r>
      <w:r w:rsidRPr="00F37B44" w:rsidR="0063011C">
        <w:rPr>
          <w:lang w:val="en-GB"/>
        </w:rPr>
        <w:t xml:space="preserve"> </w:t>
      </w:r>
      <w:r w:rsidRPr="00F37B44" w:rsidR="0093514B">
        <w:rPr>
          <w:lang w:val="en-GB"/>
        </w:rPr>
        <w:t xml:space="preserve">adverse effect </w:t>
      </w:r>
      <w:r w:rsidR="0063011C">
        <w:rPr>
          <w:lang w:val="en-GB"/>
        </w:rPr>
        <w:t>of increasing</w:t>
      </w:r>
      <w:r w:rsidRPr="00F37B44" w:rsidR="0093514B">
        <w:rPr>
          <w:lang w:val="en-GB"/>
        </w:rPr>
        <w:t xml:space="preserve"> the severity of the applicant</w:t>
      </w:r>
      <w:r w:rsidR="001D00E3">
        <w:rPr>
          <w:lang w:val="en-GB"/>
        </w:rPr>
        <w:t>’</w:t>
      </w:r>
      <w:r w:rsidRPr="00F37B44" w:rsidR="0093514B">
        <w:rPr>
          <w:lang w:val="en-GB"/>
        </w:rPr>
        <w:t xml:space="preserve">s punishment (see, </w:t>
      </w:r>
      <w:r w:rsidR="0063011C">
        <w:rPr>
          <w:lang w:val="en-GB"/>
        </w:rPr>
        <w:t>conversely</w:t>
      </w:r>
      <w:r w:rsidRPr="00F37B44" w:rsidR="0093514B">
        <w:rPr>
          <w:lang w:val="en-GB"/>
        </w:rPr>
        <w:t xml:space="preserve">, </w:t>
      </w:r>
      <w:r w:rsidRPr="00F37B44" w:rsidR="0093514B">
        <w:rPr>
          <w:i/>
          <w:lang w:val="en-GB"/>
        </w:rPr>
        <w:t>Veeber</w:t>
      </w:r>
      <w:r w:rsidRPr="00F37B44" w:rsidR="0093514B">
        <w:rPr>
          <w:lang w:val="en-GB"/>
        </w:rPr>
        <w:t xml:space="preserve">, cited above, § 36). On the contrary, had the acts perpetrated by him prior to 1 June 2004 been assessed separately from those he committed after that date, the relevant sentencing rule in </w:t>
      </w:r>
      <w:r w:rsidRPr="00F37B44" w:rsidR="0093514B">
        <w:t xml:space="preserve">Article 35 § 1 of the Criminal Code </w:t>
      </w:r>
      <w:r w:rsidR="0063011C">
        <w:t>would have resulted in</w:t>
      </w:r>
      <w:r w:rsidRPr="00F37B44" w:rsidR="0093514B">
        <w:t xml:space="preserve"> sentence </w:t>
      </w:r>
      <w:r w:rsidR="0063011C">
        <w:t>being passed on the basis of</w:t>
      </w:r>
      <w:r w:rsidRPr="00F37B44" w:rsidR="0093514B">
        <w:t xml:space="preserve"> the legal provision concerning the most serious of the offences, namely Article 215a of the Criminal Code. In that event, as pointed out by the Government, he would have received </w:t>
      </w:r>
      <w:r w:rsidR="00C81291">
        <w:t xml:space="preserve">at least </w:t>
      </w:r>
      <w:r w:rsidRPr="00F37B44" w:rsidR="0093514B">
        <w:t>the same sentence as the one actually imposed, or even a harsher one</w:t>
      </w:r>
      <w:r w:rsidR="00C00EF9">
        <w:t>,</w:t>
      </w:r>
      <w:r w:rsidRPr="00F37B44" w:rsidR="0093514B">
        <w:t xml:space="preserve"> on the ground that </w:t>
      </w:r>
      <w:r w:rsidR="0063011C">
        <w:t>the existence</w:t>
      </w:r>
      <w:r w:rsidRPr="00F37B44" w:rsidR="0093514B">
        <w:t xml:space="preserve"> of </w:t>
      </w:r>
      <w:r w:rsidR="0063011C">
        <w:t xml:space="preserve">multiple </w:t>
      </w:r>
      <w:r w:rsidRPr="00F37B44" w:rsidR="0093514B">
        <w:t>offences was likely to</w:t>
      </w:r>
      <w:r w:rsidR="00E178DF">
        <w:t xml:space="preserve"> </w:t>
      </w:r>
      <w:r w:rsidRPr="00F37B44" w:rsidR="0093514B">
        <w:t xml:space="preserve">be deemed an aggravating circumstance </w:t>
      </w:r>
      <w:r w:rsidR="0063011C">
        <w:t>under</w:t>
      </w:r>
      <w:r w:rsidRPr="00F37B44" w:rsidR="0093514B">
        <w:t xml:space="preserve"> Article 34k of the Criminal Code.</w:t>
      </w:r>
    </w:p>
    <w:p w:rsidRPr="0093514B" w:rsidR="0093514B" w:rsidP="00304EF3" w:rsidRDefault="0093514B" w14:paraId="0A7B31DE" w14:textId="77777777">
      <w:pPr>
        <w:pStyle w:val="ECHRPara"/>
      </w:pPr>
      <w:r w:rsidRPr="00F37B44">
        <w:rPr>
          <w:lang w:val="en-GB"/>
        </w:rPr>
        <w:fldChar w:fldCharType="begin"/>
      </w:r>
      <w:r w:rsidRPr="00F37B44">
        <w:rPr>
          <w:lang w:val="en-GB"/>
        </w:rPr>
        <w:instrText xml:space="preserve"> SEQ level0 \*arabic </w:instrText>
      </w:r>
      <w:r w:rsidRPr="00F37B44">
        <w:rPr>
          <w:lang w:val="en-GB"/>
        </w:rPr>
        <w:fldChar w:fldCharType="separate"/>
      </w:r>
      <w:r w:rsidR="002D5843">
        <w:rPr>
          <w:noProof/>
          <w:lang w:val="en-GB"/>
        </w:rPr>
        <w:t>68</w:t>
      </w:r>
      <w:r w:rsidRPr="00F37B44">
        <w:rPr>
          <w:lang w:val="en-GB"/>
        </w:rPr>
        <w:fldChar w:fldCharType="end"/>
      </w:r>
      <w:r w:rsidRPr="00F37B44">
        <w:rPr>
          <w:lang w:val="en-GB"/>
        </w:rPr>
        <w:t>.  The Court also finds unpersuasive the applicant</w:t>
      </w:r>
      <w:r w:rsidR="001D00E3">
        <w:rPr>
          <w:lang w:val="en-GB"/>
        </w:rPr>
        <w:t>’</w:t>
      </w:r>
      <w:r w:rsidRPr="00F37B44">
        <w:rPr>
          <w:lang w:val="en-GB"/>
        </w:rPr>
        <w:t>s suggestion that</w:t>
      </w:r>
      <w:r w:rsidR="00C81291">
        <w:rPr>
          <w:lang w:val="en-GB"/>
        </w:rPr>
        <w:t>,</w:t>
      </w:r>
      <w:r w:rsidRPr="00F37B44">
        <w:rPr>
          <w:lang w:val="en-GB"/>
        </w:rPr>
        <w:t xml:space="preserve"> had his assaults been considered separately, the prosecution of two of them (presumably those of 24 June 2000 and 17 July 2003) would have been statute</w:t>
      </w:r>
      <w:r w:rsidR="0063011C">
        <w:rPr>
          <w:lang w:val="en-GB"/>
        </w:rPr>
        <w:t>-</w:t>
      </w:r>
      <w:r w:rsidRPr="00F37B44">
        <w:rPr>
          <w:lang w:val="en-GB"/>
        </w:rPr>
        <w:t>barred</w:t>
      </w:r>
      <w:r w:rsidRPr="00F37B44">
        <w:t xml:space="preserve">. </w:t>
      </w:r>
      <w:r w:rsidR="0063011C">
        <w:rPr>
          <w:lang w:val="en-GB"/>
        </w:rPr>
        <w:t>Under</w:t>
      </w:r>
      <w:r w:rsidRPr="00F37B44">
        <w:rPr>
          <w:lang w:val="en-GB"/>
        </w:rPr>
        <w:t xml:space="preserve"> Article 67 § 1 </w:t>
      </w:r>
      <w:r w:rsidR="00C81291">
        <w:rPr>
          <w:lang w:val="en-GB"/>
        </w:rPr>
        <w:t>(</w:t>
      </w:r>
      <w:r w:rsidRPr="00F37B44">
        <w:rPr>
          <w:lang w:val="en-GB"/>
        </w:rPr>
        <w:t xml:space="preserve">d) of the Criminal Code, the </w:t>
      </w:r>
      <w:r w:rsidRPr="00F37B44">
        <w:rPr>
          <w:iCs/>
          <w:lang w:val="en-GB"/>
        </w:rPr>
        <w:t xml:space="preserve">statutory limitation period was three years </w:t>
      </w:r>
      <w:r w:rsidR="0060363F">
        <w:rPr>
          <w:iCs/>
          <w:lang w:val="en-GB"/>
        </w:rPr>
        <w:t>in</w:t>
      </w:r>
      <w:r w:rsidRPr="00F37B44" w:rsidR="0060363F">
        <w:rPr>
          <w:iCs/>
          <w:lang w:val="en-GB"/>
        </w:rPr>
        <w:t xml:space="preserve"> </w:t>
      </w:r>
      <w:r w:rsidRPr="00F37B44">
        <w:rPr>
          <w:iCs/>
          <w:lang w:val="en-GB"/>
        </w:rPr>
        <w:t xml:space="preserve">respect </w:t>
      </w:r>
      <w:r w:rsidR="0060363F">
        <w:rPr>
          <w:iCs/>
          <w:lang w:val="en-GB"/>
        </w:rPr>
        <w:t>of</w:t>
      </w:r>
      <w:r w:rsidRPr="00F37B44" w:rsidR="0060363F">
        <w:rPr>
          <w:iCs/>
          <w:lang w:val="en-GB"/>
        </w:rPr>
        <w:t xml:space="preserve"> </w:t>
      </w:r>
      <w:r w:rsidRPr="00F37B44">
        <w:rPr>
          <w:iCs/>
          <w:lang w:val="en-GB"/>
        </w:rPr>
        <w:t xml:space="preserve">offences punishable by a maximum sentence </w:t>
      </w:r>
      <w:r w:rsidR="00A819F4">
        <w:rPr>
          <w:iCs/>
          <w:lang w:val="en-GB"/>
        </w:rPr>
        <w:t xml:space="preserve">of less </w:t>
      </w:r>
      <w:r w:rsidRPr="00F37B44">
        <w:rPr>
          <w:iCs/>
          <w:lang w:val="en-GB"/>
        </w:rPr>
        <w:t xml:space="preserve">than three years. Therefore, even if he had been prosecuted only in respect of the three incidents highlighted by the domestic courts, he could in any event have been tried at least </w:t>
      </w:r>
      <w:r w:rsidR="00A819F4">
        <w:rPr>
          <w:iCs/>
          <w:lang w:val="en-GB"/>
        </w:rPr>
        <w:t xml:space="preserve">for </w:t>
      </w:r>
      <w:r w:rsidRPr="00F37B44">
        <w:rPr>
          <w:iCs/>
          <w:lang w:val="en-GB"/>
        </w:rPr>
        <w:t>the assault committed under the old law on 17 July 2003 and the one committed under the new law on 8 February 2006.</w:t>
      </w:r>
    </w:p>
    <w:p w:rsidRPr="0093514B" w:rsidR="0093514B" w:rsidP="00304EF3" w:rsidRDefault="008807FE" w14:paraId="3334BA43" w14:textId="232AA12F">
      <w:pPr>
        <w:pStyle w:val="ECHRPara"/>
      </w:pPr>
      <w:r>
        <w:fldChar w:fldCharType="begin"/>
      </w:r>
      <w:r>
        <w:instrText xml:space="preserve"> SEQ level0 \*arabic </w:instrText>
      </w:r>
      <w:r>
        <w:fldChar w:fldCharType="separate"/>
      </w:r>
      <w:r w:rsidR="002D5843">
        <w:rPr>
          <w:noProof/>
        </w:rPr>
        <w:t>69</w:t>
      </w:r>
      <w:r>
        <w:rPr>
          <w:noProof/>
        </w:rPr>
        <w:fldChar w:fldCharType="end"/>
      </w:r>
      <w:r w:rsidRPr="0093514B" w:rsidR="0093514B">
        <w:t xml:space="preserve">.  In the light of the above, the Court is convinced that </w:t>
      </w:r>
      <w:r w:rsidR="00A819F4">
        <w:t>the fact that</w:t>
      </w:r>
      <w:r w:rsidRPr="0093514B" w:rsidR="0093514B">
        <w:t xml:space="preserve"> the acts committed before the entry into force of the new law </w:t>
      </w:r>
      <w:r w:rsidR="00A819F4">
        <w:t>were</w:t>
      </w:r>
      <w:r w:rsidRPr="0093514B" w:rsidR="0093514B">
        <w:t xml:space="preserve"> assessed under the latter did not </w:t>
      </w:r>
      <w:r w:rsidRPr="0093514B" w:rsidR="0093514B">
        <w:rPr>
          <w:lang w:val="en-GB"/>
        </w:rPr>
        <w:t>operate to the applicant</w:t>
      </w:r>
      <w:r w:rsidR="001D00E3">
        <w:rPr>
          <w:lang w:val="en-GB"/>
        </w:rPr>
        <w:t>’</w:t>
      </w:r>
      <w:r w:rsidRPr="0093514B" w:rsidR="0093514B">
        <w:rPr>
          <w:lang w:val="en-GB"/>
        </w:rPr>
        <w:t xml:space="preserve">s disadvantage as </w:t>
      </w:r>
      <w:r w:rsidR="00A819F4">
        <w:rPr>
          <w:lang w:val="en-GB"/>
        </w:rPr>
        <w:t>regards</w:t>
      </w:r>
      <w:r w:rsidRPr="0093514B" w:rsidR="00A819F4">
        <w:rPr>
          <w:lang w:val="en-GB"/>
        </w:rPr>
        <w:t xml:space="preserve"> </w:t>
      </w:r>
      <w:r w:rsidRPr="0093514B" w:rsidR="0093514B">
        <w:rPr>
          <w:lang w:val="en-GB"/>
        </w:rPr>
        <w:t xml:space="preserve">sentencing. Indeed, he was given one single sentence which he would have incurred </w:t>
      </w:r>
      <w:r w:rsidR="00A819F4">
        <w:rPr>
          <w:lang w:val="en-GB"/>
        </w:rPr>
        <w:t>in any event</w:t>
      </w:r>
      <w:r w:rsidRPr="0093514B" w:rsidR="00A819F4">
        <w:rPr>
          <w:lang w:val="en-GB"/>
        </w:rPr>
        <w:t xml:space="preserve"> </w:t>
      </w:r>
      <w:r w:rsidRPr="0093514B" w:rsidR="0093514B">
        <w:rPr>
          <w:lang w:val="en-GB"/>
        </w:rPr>
        <w:t xml:space="preserve">for the acts committed after the entry into force of the new law (see paragraph </w:t>
      </w:r>
      <w:r w:rsidRPr="0093514B" w:rsidR="0093514B">
        <w:rPr>
          <w:lang w:val="en-GB"/>
        </w:rPr>
        <w:fldChar w:fldCharType="begin"/>
      </w:r>
      <w:r w:rsidRPr="0093514B" w:rsidR="0093514B">
        <w:rPr>
          <w:lang w:val="en-GB"/>
        </w:rPr>
        <w:instrText xml:space="preserve"> REF par54 \h </w:instrText>
      </w:r>
      <w:r w:rsidRPr="0093514B" w:rsidR="0093514B">
        <w:rPr>
          <w:lang w:val="en-GB"/>
        </w:rPr>
      </w:r>
      <w:r w:rsidRPr="0093514B" w:rsidR="0093514B">
        <w:rPr>
          <w:lang w:val="en-GB"/>
        </w:rPr>
        <w:fldChar w:fldCharType="separate"/>
      </w:r>
      <w:r w:rsidR="002D5843">
        <w:rPr>
          <w:noProof/>
        </w:rPr>
        <w:t>37</w:t>
      </w:r>
      <w:r w:rsidRPr="0093514B" w:rsidR="0093514B">
        <w:rPr>
          <w:lang w:val="en-GB"/>
        </w:rPr>
        <w:fldChar w:fldCharType="end"/>
      </w:r>
      <w:r w:rsidRPr="0093514B" w:rsidR="0093514B">
        <w:rPr>
          <w:lang w:val="en-GB"/>
        </w:rPr>
        <w:t xml:space="preserve"> above</w:t>
      </w:r>
      <w:r w:rsidR="007538DD">
        <w:rPr>
          <w:lang w:val="en-GB"/>
        </w:rPr>
        <w:t>,</w:t>
      </w:r>
      <w:r w:rsidRPr="0093514B" w:rsidR="0093514B">
        <w:rPr>
          <w:lang w:val="en-GB"/>
        </w:rPr>
        <w:t xml:space="preserve"> and, conversely, </w:t>
      </w:r>
      <w:r w:rsidRPr="0093514B" w:rsidR="0093514B">
        <w:rPr>
          <w:i/>
          <w:lang w:val="en-GB"/>
        </w:rPr>
        <w:t>Maktouf and Damjanović</w:t>
      </w:r>
      <w:r w:rsidRPr="0093514B" w:rsidR="0093514B">
        <w:rPr>
          <w:lang w:val="en-GB"/>
        </w:rPr>
        <w:t>, cited above, § 70).</w:t>
      </w:r>
    </w:p>
    <w:p w:rsidRPr="0093514B" w:rsidR="0093514B" w:rsidP="00304EF3" w:rsidRDefault="00A819F4" w14:paraId="08DA610E" w14:textId="77777777">
      <w:pPr>
        <w:pStyle w:val="ECHRHeading4"/>
      </w:pPr>
      <w:r>
        <w:t>(</w:t>
      </w:r>
      <w:r w:rsidR="00FF716A">
        <w:t>c)  </w:t>
      </w:r>
      <w:r w:rsidRPr="0093514B" w:rsidR="0093514B">
        <w:t>Conclusion</w:t>
      </w:r>
    </w:p>
    <w:p w:rsidRPr="0093514B" w:rsidR="0093514B" w:rsidP="00304EF3" w:rsidRDefault="0093514B" w14:paraId="3CC9F8DA" w14:textId="77777777">
      <w:pPr>
        <w:pStyle w:val="ECHRPara"/>
      </w:pPr>
      <w:r w:rsidRPr="0093514B">
        <w:rPr>
          <w:lang w:val="en-GB"/>
        </w:rPr>
        <w:fldChar w:fldCharType="begin"/>
      </w:r>
      <w:r w:rsidRPr="0093514B">
        <w:rPr>
          <w:lang w:val="en-GB"/>
        </w:rPr>
        <w:instrText xml:space="preserve"> SEQ level0 \*arabic </w:instrText>
      </w:r>
      <w:r w:rsidRPr="0093514B">
        <w:rPr>
          <w:lang w:val="en-GB"/>
        </w:rPr>
        <w:fldChar w:fldCharType="separate"/>
      </w:r>
      <w:r w:rsidR="002D5843">
        <w:rPr>
          <w:noProof/>
          <w:lang w:val="en-GB"/>
        </w:rPr>
        <w:t>70</w:t>
      </w:r>
      <w:r w:rsidRPr="0093514B">
        <w:rPr>
          <w:lang w:val="en-GB"/>
        </w:rPr>
        <w:fldChar w:fldCharType="end"/>
      </w:r>
      <w:r w:rsidRPr="0093514B">
        <w:rPr>
          <w:lang w:val="en-GB"/>
        </w:rPr>
        <w:t xml:space="preserve">.  The foregoing considerations are sufficient to enable the Court to conclude that </w:t>
      </w:r>
      <w:r w:rsidRPr="0093514B">
        <w:t xml:space="preserve">the sentence imposed on the applicant, who was found guilty of the </w:t>
      </w:r>
      <w:r w:rsidR="009C1BE0">
        <w:t>continuous</w:t>
      </w:r>
      <w:r w:rsidRPr="0093514B">
        <w:t xml:space="preserve"> criminal offence of abusing a person living under the same roof, was applicable at the time when this offence was deemed to have been </w:t>
      </w:r>
      <w:r w:rsidR="00A819F4">
        <w:t>completed</w:t>
      </w:r>
      <w:r w:rsidRPr="0093514B">
        <w:t xml:space="preserve">, </w:t>
      </w:r>
      <w:r w:rsidR="00A819F4">
        <w:t>in accordance</w:t>
      </w:r>
      <w:r w:rsidR="00C81291">
        <w:t xml:space="preserve"> with</w:t>
      </w:r>
      <w:r w:rsidRPr="0093514B">
        <w:t xml:space="preserve"> a “law” which was foreseeable as to its effect. There was no retro</w:t>
      </w:r>
      <w:r w:rsidR="0081685E">
        <w:t>a</w:t>
      </w:r>
      <w:r w:rsidRPr="0093514B">
        <w:t xml:space="preserve">ctive application of the criminal law and the applicant </w:t>
      </w:r>
      <w:r w:rsidR="00A819F4">
        <w:t>was</w:t>
      </w:r>
      <w:r w:rsidRPr="0093514B" w:rsidR="00A819F4">
        <w:t xml:space="preserve"> </w:t>
      </w:r>
      <w:r w:rsidRPr="0093514B">
        <w:t xml:space="preserve">not subjected to </w:t>
      </w:r>
      <w:r w:rsidR="00A819F4">
        <w:t>more severe</w:t>
      </w:r>
      <w:r w:rsidRPr="0093514B">
        <w:t xml:space="preserve"> sentencing rules than those </w:t>
      </w:r>
      <w:r w:rsidR="00A819F4">
        <w:t>that</w:t>
      </w:r>
      <w:r w:rsidRPr="0093514B" w:rsidR="00A819F4">
        <w:t xml:space="preserve"> </w:t>
      </w:r>
      <w:r w:rsidRPr="0093514B">
        <w:t>would have been applicable had he been tried for several separate offences.</w:t>
      </w:r>
    </w:p>
    <w:p w:rsidRPr="00EA3D05" w:rsidR="0093514B" w:rsidP="00304EF3" w:rsidRDefault="008807FE" w14:paraId="2B5CA7D3" w14:textId="35765673">
      <w:pPr>
        <w:pStyle w:val="ECHRPara"/>
        <w:rPr>
          <w:i/>
        </w:rPr>
      </w:pPr>
      <w:r>
        <w:fldChar w:fldCharType="begin"/>
      </w:r>
      <w:r>
        <w:instrText xml:space="preserve"> SEQ level0 \*arabic </w:instrText>
      </w:r>
      <w:r>
        <w:fldChar w:fldCharType="separate"/>
      </w:r>
      <w:r w:rsidR="002D5843">
        <w:rPr>
          <w:noProof/>
        </w:rPr>
        <w:t>71</w:t>
      </w:r>
      <w:r>
        <w:rPr>
          <w:noProof/>
        </w:rPr>
        <w:fldChar w:fldCharType="end"/>
      </w:r>
      <w:r w:rsidRPr="0093514B" w:rsidR="0093514B">
        <w:t>.  </w:t>
      </w:r>
      <w:r w:rsidRPr="00F37B44" w:rsidR="0093514B">
        <w:t>The Court is satisfied that the approach followed by the Czech courts in the instant case is consonant with the object and purpose of Article 7 of the Convention, namely to ensure that no one should be subjected to arbitrary prosecution, conviction or punishment (see paragraph 50 above). In addition</w:t>
      </w:r>
      <w:r w:rsidR="00F37B44">
        <w:t>,</w:t>
      </w:r>
      <w:r w:rsidRPr="00F37B44" w:rsidR="0093514B">
        <w:t xml:space="preserve"> by reinforcing the national legal protection against domestic violence</w:t>
      </w:r>
      <w:r w:rsidR="00A819F4">
        <w:t xml:space="preserve"> –</w:t>
      </w:r>
      <w:r w:rsidRPr="00F37B44" w:rsidR="0093514B">
        <w:t xml:space="preserve"> </w:t>
      </w:r>
      <w:r w:rsidR="00A819F4">
        <w:t>such violence</w:t>
      </w:r>
      <w:r w:rsidRPr="00F37B44" w:rsidR="00A819F4">
        <w:t xml:space="preserve"> </w:t>
      </w:r>
      <w:r w:rsidRPr="00F37B44" w:rsidR="0093514B">
        <w:t xml:space="preserve">perpetrated against women being still a matter of grave concern in contemporary European societies (see paragraph </w:t>
      </w:r>
      <w:r w:rsidRPr="00F37B44" w:rsidR="0093514B">
        <w:fldChar w:fldCharType="begin"/>
      </w:r>
      <w:r w:rsidRPr="00F37B44" w:rsidR="0093514B">
        <w:instrText xml:space="preserve"> REF par38 \h  \* MERGEFORMAT </w:instrText>
      </w:r>
      <w:r w:rsidRPr="00F37B44" w:rsidR="0093514B">
        <w:fldChar w:fldCharType="separate"/>
      </w:r>
      <w:r w:rsidR="002D5843">
        <w:rPr>
          <w:noProof/>
        </w:rPr>
        <w:t>38</w:t>
      </w:r>
      <w:r w:rsidRPr="00F37B44" w:rsidR="0093514B">
        <w:fldChar w:fldCharType="end"/>
      </w:r>
      <w:r w:rsidRPr="00F37B44" w:rsidR="0093514B">
        <w:t xml:space="preserve"> above</w:t>
      </w:r>
      <w:r w:rsidR="007538DD">
        <w:t>,</w:t>
      </w:r>
      <w:r w:rsidRPr="00F37B44" w:rsidR="0093514B">
        <w:t xml:space="preserve"> and </w:t>
      </w:r>
      <w:r w:rsidRPr="00EA3D05" w:rsidR="0093514B">
        <w:rPr>
          <w:i/>
        </w:rPr>
        <w:t>Opuz v. Turkey</w:t>
      </w:r>
      <w:r w:rsidRPr="00EA3D05" w:rsidR="0093514B">
        <w:t>, no. 33401/02, ECHR 2009</w:t>
      </w:r>
      <w:r w:rsidRPr="00F37B44" w:rsidR="0093514B">
        <w:t>)</w:t>
      </w:r>
      <w:r w:rsidR="00777F17">
        <w:t xml:space="preserve"> –</w:t>
      </w:r>
      <w:r w:rsidRPr="00F37B44" w:rsidR="0093514B">
        <w:t xml:space="preserve"> it also conforms</w:t>
      </w:r>
      <w:r w:rsidRPr="0093514B" w:rsidR="0093514B">
        <w:t xml:space="preserve"> </w:t>
      </w:r>
      <w:r w:rsidR="00C81291">
        <w:t>to</w:t>
      </w:r>
      <w:r w:rsidRPr="0093514B" w:rsidR="00C81291">
        <w:t xml:space="preserve"> </w:t>
      </w:r>
      <w:r w:rsidRPr="0093514B" w:rsidR="0093514B">
        <w:t xml:space="preserve">the fundamental objectives of the Convention, the very essence of which is respect for human dignity and freedom (see, </w:t>
      </w:r>
      <w:r w:rsidRPr="0093514B" w:rsidR="0093514B">
        <w:rPr>
          <w:i/>
        </w:rPr>
        <w:t>mutatis mutandis</w:t>
      </w:r>
      <w:r w:rsidRPr="0093514B" w:rsidR="0093514B">
        <w:t xml:space="preserve">, </w:t>
      </w:r>
      <w:r w:rsidRPr="0093514B" w:rsidR="0093514B">
        <w:rPr>
          <w:i/>
          <w:lang w:val="en-GB"/>
        </w:rPr>
        <w:t>C.R. v. the United Kingdom</w:t>
      </w:r>
      <w:r w:rsidRPr="0093514B" w:rsidR="0093514B">
        <w:rPr>
          <w:lang w:val="en-GB"/>
        </w:rPr>
        <w:t>, 22 November 1995, § 42, Series A no. 335</w:t>
      </w:r>
      <w:r w:rsidRPr="0093514B" w:rsidR="0093514B">
        <w:rPr>
          <w:lang w:val="en-GB"/>
        </w:rPr>
        <w:noBreakHyphen/>
        <w:t>C).</w:t>
      </w:r>
    </w:p>
    <w:p w:rsidR="00F015A0" w:rsidP="00304EF3" w:rsidRDefault="0093514B" w14:paraId="1C9F2152" w14:textId="77777777">
      <w:pPr>
        <w:pStyle w:val="ECHRPara"/>
        <w:rPr>
          <w:iCs/>
        </w:rPr>
      </w:pPr>
      <w:r w:rsidRPr="0093514B">
        <w:rPr>
          <w:lang w:val="en-GB"/>
        </w:rPr>
        <w:fldChar w:fldCharType="begin"/>
      </w:r>
      <w:r w:rsidRPr="0093514B">
        <w:rPr>
          <w:lang w:val="en-GB"/>
        </w:rPr>
        <w:instrText xml:space="preserve"> SEQ level0 \*arabic </w:instrText>
      </w:r>
      <w:r w:rsidRPr="0093514B">
        <w:rPr>
          <w:lang w:val="en-GB"/>
        </w:rPr>
        <w:fldChar w:fldCharType="separate"/>
      </w:r>
      <w:r w:rsidR="002D5843">
        <w:rPr>
          <w:noProof/>
          <w:lang w:val="en-GB"/>
        </w:rPr>
        <w:t>72</w:t>
      </w:r>
      <w:r w:rsidRPr="0093514B">
        <w:rPr>
          <w:lang w:val="en-GB"/>
        </w:rPr>
        <w:fldChar w:fldCharType="end"/>
      </w:r>
      <w:r w:rsidRPr="0093514B">
        <w:rPr>
          <w:lang w:val="en-GB"/>
        </w:rPr>
        <w:t xml:space="preserve">.  In reaching the above conclusions, the Court has examined </w:t>
      </w:r>
      <w:r w:rsidR="0060363F">
        <w:rPr>
          <w:lang w:val="en-GB"/>
        </w:rPr>
        <w:t>from the standpoint of</w:t>
      </w:r>
      <w:r w:rsidRPr="0093514B" w:rsidR="0060363F">
        <w:rPr>
          <w:lang w:val="en-GB"/>
        </w:rPr>
        <w:t xml:space="preserve"> </w:t>
      </w:r>
      <w:r w:rsidRPr="0093514B">
        <w:rPr>
          <w:lang w:val="en-GB"/>
        </w:rPr>
        <w:t xml:space="preserve">Article 7 of the Convention the application </w:t>
      </w:r>
      <w:r w:rsidR="00242A80">
        <w:rPr>
          <w:lang w:val="en-GB"/>
        </w:rPr>
        <w:t>in</w:t>
      </w:r>
      <w:r w:rsidRPr="0093514B" w:rsidR="00242A80">
        <w:rPr>
          <w:lang w:val="en-GB"/>
        </w:rPr>
        <w:t xml:space="preserve"> </w:t>
      </w:r>
      <w:r w:rsidRPr="0093514B">
        <w:rPr>
          <w:lang w:val="en-GB"/>
        </w:rPr>
        <w:t>the applicant</w:t>
      </w:r>
      <w:r w:rsidR="001D00E3">
        <w:rPr>
          <w:lang w:val="en-GB"/>
        </w:rPr>
        <w:t>’</w:t>
      </w:r>
      <w:r w:rsidRPr="0093514B">
        <w:rPr>
          <w:lang w:val="en-GB"/>
        </w:rPr>
        <w:t xml:space="preserve">s case of the </w:t>
      </w:r>
      <w:r w:rsidR="009C1BE0">
        <w:rPr>
          <w:lang w:val="en-GB"/>
        </w:rPr>
        <w:t>continuous</w:t>
      </w:r>
      <w:r w:rsidRPr="0093514B">
        <w:rPr>
          <w:lang w:val="en-GB"/>
        </w:rPr>
        <w:t xml:space="preserve"> offence </w:t>
      </w:r>
      <w:r w:rsidR="00C13833">
        <w:rPr>
          <w:lang w:val="en-GB"/>
        </w:rPr>
        <w:t xml:space="preserve">under Czech law </w:t>
      </w:r>
      <w:r w:rsidRPr="0093514B">
        <w:rPr>
          <w:lang w:val="en-GB"/>
        </w:rPr>
        <w:t xml:space="preserve">of abuse of a person living under the same roof. By way of comparison it is </w:t>
      </w:r>
      <w:r w:rsidR="00777F17">
        <w:rPr>
          <w:lang w:val="en-GB"/>
        </w:rPr>
        <w:t>worth noting</w:t>
      </w:r>
      <w:r w:rsidRPr="0093514B" w:rsidR="00777F17">
        <w:rPr>
          <w:lang w:val="en-GB"/>
        </w:rPr>
        <w:t xml:space="preserve"> </w:t>
      </w:r>
      <w:r w:rsidRPr="0093514B">
        <w:rPr>
          <w:lang w:val="en-GB"/>
        </w:rPr>
        <w:t xml:space="preserve">in </w:t>
      </w:r>
      <w:r w:rsidRPr="0093514B">
        <w:rPr>
          <w:iCs/>
        </w:rPr>
        <w:t xml:space="preserve">this context that the notion of a </w:t>
      </w:r>
      <w:r w:rsidR="009C1BE0">
        <w:rPr>
          <w:iCs/>
        </w:rPr>
        <w:t>continuous</w:t>
      </w:r>
      <w:r w:rsidRPr="0093514B">
        <w:rPr>
          <w:iCs/>
        </w:rPr>
        <w:t xml:space="preserve"> criminal offence as defined in Czech law is </w:t>
      </w:r>
      <w:r w:rsidR="00777F17">
        <w:rPr>
          <w:iCs/>
        </w:rPr>
        <w:t>in line</w:t>
      </w:r>
      <w:r w:rsidRPr="0093514B" w:rsidR="00777F17">
        <w:rPr>
          <w:iCs/>
        </w:rPr>
        <w:t xml:space="preserve"> </w:t>
      </w:r>
      <w:r w:rsidRPr="0093514B">
        <w:rPr>
          <w:iCs/>
        </w:rPr>
        <w:t xml:space="preserve">with the </w:t>
      </w:r>
      <w:r w:rsidRPr="00C00C0E" w:rsidR="00C00C0E">
        <w:rPr>
          <w:iCs/>
        </w:rPr>
        <w:t xml:space="preserve">European tradition reflected in the national laws of </w:t>
      </w:r>
      <w:r w:rsidRPr="0093514B">
        <w:rPr>
          <w:iCs/>
        </w:rPr>
        <w:t>the vast majority of Council of Europe member States (see paragraph</w:t>
      </w:r>
      <w:r w:rsidR="00A76476">
        <w:rPr>
          <w:iCs/>
        </w:rPr>
        <w:t>s</w:t>
      </w:r>
      <w:r w:rsidRPr="0093514B">
        <w:rPr>
          <w:iCs/>
        </w:rPr>
        <w:t xml:space="preserve"> </w:t>
      </w:r>
      <w:r w:rsidRPr="0093514B">
        <w:rPr>
          <w:iCs/>
        </w:rPr>
        <w:fldChar w:fldCharType="begin"/>
      </w:r>
      <w:r w:rsidRPr="0093514B">
        <w:rPr>
          <w:iCs/>
        </w:rPr>
        <w:instrText xml:space="preserve"> REF para31 \h </w:instrText>
      </w:r>
      <w:r w:rsidRPr="0093514B">
        <w:rPr>
          <w:iCs/>
        </w:rPr>
      </w:r>
      <w:r w:rsidRPr="0093514B">
        <w:rPr>
          <w:iCs/>
        </w:rPr>
        <w:fldChar w:fldCharType="separate"/>
      </w:r>
      <w:r w:rsidR="002D5843">
        <w:rPr>
          <w:noProof/>
        </w:rPr>
        <w:t>31</w:t>
      </w:r>
      <w:r w:rsidRPr="0093514B">
        <w:rPr>
          <w:iCs/>
        </w:rPr>
        <w:fldChar w:fldCharType="end"/>
      </w:r>
      <w:r w:rsidRPr="0093514B">
        <w:rPr>
          <w:iCs/>
        </w:rPr>
        <w:t xml:space="preserve"> </w:t>
      </w:r>
      <w:r w:rsidR="00A76476">
        <w:rPr>
          <w:iCs/>
        </w:rPr>
        <w:t xml:space="preserve">and </w:t>
      </w:r>
      <w:r w:rsidR="00A76476">
        <w:rPr>
          <w:iCs/>
        </w:rPr>
        <w:fldChar w:fldCharType="begin"/>
      </w:r>
      <w:r w:rsidR="00A76476">
        <w:rPr>
          <w:iCs/>
        </w:rPr>
        <w:instrText xml:space="preserve"> REF para33 \h </w:instrText>
      </w:r>
      <w:r w:rsidR="00A76476">
        <w:rPr>
          <w:iCs/>
        </w:rPr>
      </w:r>
      <w:r w:rsidR="00A76476">
        <w:rPr>
          <w:iCs/>
        </w:rPr>
        <w:fldChar w:fldCharType="separate"/>
      </w:r>
      <w:r w:rsidR="002D5843">
        <w:rPr>
          <w:noProof/>
        </w:rPr>
        <w:t>33</w:t>
      </w:r>
      <w:r w:rsidR="00A76476">
        <w:rPr>
          <w:iCs/>
        </w:rPr>
        <w:fldChar w:fldCharType="end"/>
      </w:r>
      <w:r w:rsidR="00A76476">
        <w:rPr>
          <w:iCs/>
        </w:rPr>
        <w:t xml:space="preserve"> </w:t>
      </w:r>
      <w:r w:rsidRPr="0093514B">
        <w:rPr>
          <w:iCs/>
        </w:rPr>
        <w:t xml:space="preserve">above) and that, accordingly, the </w:t>
      </w:r>
      <w:r w:rsidR="00D50EB0">
        <w:rPr>
          <w:iCs/>
        </w:rPr>
        <w:t xml:space="preserve">situation as regards the </w:t>
      </w:r>
      <w:r w:rsidRPr="0093514B">
        <w:rPr>
          <w:iCs/>
        </w:rPr>
        <w:t xml:space="preserve">issue of foreseeability raised in the present </w:t>
      </w:r>
      <w:r w:rsidR="00D50EB0">
        <w:rPr>
          <w:iCs/>
        </w:rPr>
        <w:t>case appears</w:t>
      </w:r>
      <w:r w:rsidRPr="0093514B">
        <w:rPr>
          <w:iCs/>
        </w:rPr>
        <w:t xml:space="preserve"> not</w:t>
      </w:r>
      <w:r w:rsidR="00D50EB0">
        <w:rPr>
          <w:iCs/>
        </w:rPr>
        <w:t xml:space="preserve"> to be</w:t>
      </w:r>
      <w:r w:rsidRPr="0093514B">
        <w:rPr>
          <w:iCs/>
        </w:rPr>
        <w:t xml:space="preserve"> markedly different from </w:t>
      </w:r>
      <w:r w:rsidR="00D50EB0">
        <w:rPr>
          <w:iCs/>
        </w:rPr>
        <w:t>that obtaining in relation to</w:t>
      </w:r>
      <w:r w:rsidRPr="0093514B">
        <w:rPr>
          <w:iCs/>
        </w:rPr>
        <w:t xml:space="preserve"> such offences in the national legal systems of other Contracting Parties to the Convention. As can be seen from the domestic authorities</w:t>
      </w:r>
      <w:r w:rsidR="001D00E3">
        <w:rPr>
          <w:iCs/>
        </w:rPr>
        <w:t>’</w:t>
      </w:r>
      <w:r w:rsidRPr="0093514B">
        <w:rPr>
          <w:iCs/>
        </w:rPr>
        <w:t xml:space="preserve"> description of the applicant</w:t>
      </w:r>
      <w:r w:rsidR="001D00E3">
        <w:rPr>
          <w:iCs/>
        </w:rPr>
        <w:t>’</w:t>
      </w:r>
      <w:r w:rsidRPr="0093514B">
        <w:rPr>
          <w:iCs/>
        </w:rPr>
        <w:t xml:space="preserve">s conduct, his acts </w:t>
      </w:r>
      <w:r w:rsidR="00777F17">
        <w:rPr>
          <w:iCs/>
        </w:rPr>
        <w:t>were</w:t>
      </w:r>
      <w:r w:rsidRPr="0093514B">
        <w:rPr>
          <w:iCs/>
        </w:rPr>
        <w:t xml:space="preserve"> directed against a specific victim, </w:t>
      </w:r>
      <w:r w:rsidR="00777F17">
        <w:rPr>
          <w:iCs/>
        </w:rPr>
        <w:t>namely</w:t>
      </w:r>
      <w:r w:rsidRPr="0093514B">
        <w:rPr>
          <w:iCs/>
        </w:rPr>
        <w:t xml:space="preserve"> his wife, </w:t>
      </w:r>
      <w:r w:rsidR="00777F17">
        <w:rPr>
          <w:iCs/>
        </w:rPr>
        <w:t xml:space="preserve">and </w:t>
      </w:r>
      <w:r w:rsidRPr="0093514B">
        <w:rPr>
          <w:iCs/>
        </w:rPr>
        <w:t xml:space="preserve">particularly against her legal interests of physical and mental integrity as well as </w:t>
      </w:r>
      <w:r w:rsidRPr="00B36A69">
        <w:rPr>
          <w:iCs/>
          <w:lang w:val="en-GB"/>
        </w:rPr>
        <w:t>hono</w:t>
      </w:r>
      <w:r w:rsidRPr="00B36A69" w:rsidR="00777F17">
        <w:rPr>
          <w:iCs/>
          <w:lang w:val="en-GB"/>
        </w:rPr>
        <w:t>u</w:t>
      </w:r>
      <w:r w:rsidRPr="00B36A69">
        <w:rPr>
          <w:iCs/>
          <w:lang w:val="en-GB"/>
        </w:rPr>
        <w:t>r</w:t>
      </w:r>
      <w:r w:rsidR="00777F17">
        <w:rPr>
          <w:iCs/>
        </w:rPr>
        <w:t>.</w:t>
      </w:r>
      <w:r w:rsidRPr="0093514B">
        <w:rPr>
          <w:iCs/>
        </w:rPr>
        <w:t xml:space="preserve"> </w:t>
      </w:r>
      <w:r w:rsidR="00777F17">
        <w:rPr>
          <w:iCs/>
        </w:rPr>
        <w:t xml:space="preserve">It is also clear </w:t>
      </w:r>
      <w:r w:rsidRPr="0093514B">
        <w:rPr>
          <w:iCs/>
        </w:rPr>
        <w:t xml:space="preserve">that the </w:t>
      </w:r>
      <w:r w:rsidRPr="0093514B">
        <w:rPr>
          <w:i/>
          <w:iCs/>
        </w:rPr>
        <w:t xml:space="preserve">modus operandi </w:t>
      </w:r>
      <w:r w:rsidR="00777F17">
        <w:rPr>
          <w:iCs/>
        </w:rPr>
        <w:t xml:space="preserve">was the same, </w:t>
      </w:r>
      <w:r w:rsidRPr="0093514B">
        <w:rPr>
          <w:iCs/>
        </w:rPr>
        <w:t xml:space="preserve">consisting of </w:t>
      </w:r>
      <w:r w:rsidR="00777F17">
        <w:rPr>
          <w:iCs/>
        </w:rPr>
        <w:t>attacks committed</w:t>
      </w:r>
      <w:r w:rsidRPr="0093514B" w:rsidR="00777F17">
        <w:rPr>
          <w:iCs/>
        </w:rPr>
        <w:t xml:space="preserve"> </w:t>
      </w:r>
      <w:r w:rsidRPr="0093514B">
        <w:rPr>
          <w:iCs/>
        </w:rPr>
        <w:t xml:space="preserve">under the same roof; that there </w:t>
      </w:r>
      <w:r w:rsidR="00777F17">
        <w:rPr>
          <w:iCs/>
        </w:rPr>
        <w:t>was</w:t>
      </w:r>
      <w:r w:rsidRPr="0093514B">
        <w:rPr>
          <w:iCs/>
        </w:rPr>
        <w:t xml:space="preserve"> a temporal connection between the various acts</w:t>
      </w:r>
      <w:r w:rsidR="00C81291">
        <w:rPr>
          <w:iCs/>
        </w:rPr>
        <w:t>,</w:t>
      </w:r>
      <w:r w:rsidRPr="0093514B">
        <w:rPr>
          <w:iCs/>
        </w:rPr>
        <w:t xml:space="preserve"> which spanned several years; that each </w:t>
      </w:r>
      <w:r w:rsidR="00777F17">
        <w:rPr>
          <w:iCs/>
        </w:rPr>
        <w:t>assault</w:t>
      </w:r>
      <w:r w:rsidRPr="0093514B" w:rsidR="00777F17">
        <w:rPr>
          <w:iCs/>
        </w:rPr>
        <w:t xml:space="preserve"> </w:t>
      </w:r>
      <w:r w:rsidRPr="0093514B">
        <w:rPr>
          <w:iCs/>
        </w:rPr>
        <w:t xml:space="preserve">committed during this period of time </w:t>
      </w:r>
      <w:r w:rsidR="00777F17">
        <w:rPr>
          <w:iCs/>
        </w:rPr>
        <w:t>was</w:t>
      </w:r>
      <w:r w:rsidRPr="0093514B">
        <w:rPr>
          <w:iCs/>
        </w:rPr>
        <w:t xml:space="preserve"> driven by </w:t>
      </w:r>
      <w:r w:rsidR="00777F17">
        <w:rPr>
          <w:iCs/>
        </w:rPr>
        <w:t>the same</w:t>
      </w:r>
      <w:r w:rsidRPr="0093514B">
        <w:rPr>
          <w:iCs/>
        </w:rPr>
        <w:t xml:space="preserve"> criminal intent; and that the applicant</w:t>
      </w:r>
      <w:r w:rsidR="001D00E3">
        <w:rPr>
          <w:iCs/>
        </w:rPr>
        <w:t>’</w:t>
      </w:r>
      <w:r w:rsidRPr="0093514B">
        <w:rPr>
          <w:iCs/>
        </w:rPr>
        <w:t xml:space="preserve">s conduct </w:t>
      </w:r>
      <w:r w:rsidR="00777F17">
        <w:rPr>
          <w:iCs/>
        </w:rPr>
        <w:t>was</w:t>
      </w:r>
      <w:r w:rsidRPr="0093514B" w:rsidR="00777F17">
        <w:rPr>
          <w:iCs/>
        </w:rPr>
        <w:t xml:space="preserve"> </w:t>
      </w:r>
      <w:r w:rsidR="00777F17">
        <w:rPr>
          <w:iCs/>
        </w:rPr>
        <w:t>on each occasion</w:t>
      </w:r>
      <w:r w:rsidRPr="0093514B">
        <w:rPr>
          <w:iCs/>
        </w:rPr>
        <w:t xml:space="preserve"> </w:t>
      </w:r>
      <w:r w:rsidR="00777F17">
        <w:rPr>
          <w:iCs/>
        </w:rPr>
        <w:t>in breach of the criminal law</w:t>
      </w:r>
      <w:r w:rsidRPr="0093514B">
        <w:rPr>
          <w:iCs/>
        </w:rPr>
        <w:t xml:space="preserve">. </w:t>
      </w:r>
      <w:r w:rsidR="00777F17">
        <w:rPr>
          <w:iCs/>
        </w:rPr>
        <w:t>In other words, t</w:t>
      </w:r>
      <w:r w:rsidRPr="0093514B">
        <w:rPr>
          <w:iCs/>
        </w:rPr>
        <w:t xml:space="preserve">he offence </w:t>
      </w:r>
      <w:r w:rsidR="00777F17">
        <w:rPr>
          <w:iCs/>
        </w:rPr>
        <w:t>of</w:t>
      </w:r>
      <w:r w:rsidRPr="0093514B" w:rsidR="00777F17">
        <w:rPr>
          <w:iCs/>
        </w:rPr>
        <w:t xml:space="preserve"> </w:t>
      </w:r>
      <w:r w:rsidRPr="0093514B">
        <w:rPr>
          <w:iCs/>
        </w:rPr>
        <w:t xml:space="preserve">which the applicant was convicted </w:t>
      </w:r>
      <w:r w:rsidR="00777F17">
        <w:rPr>
          <w:iCs/>
        </w:rPr>
        <w:t>shared</w:t>
      </w:r>
      <w:r w:rsidRPr="0093514B">
        <w:rPr>
          <w:iCs/>
        </w:rPr>
        <w:t xml:space="preserve"> a number of characteristics common </w:t>
      </w:r>
      <w:r w:rsidR="00777F17">
        <w:rPr>
          <w:iCs/>
        </w:rPr>
        <w:t>to</w:t>
      </w:r>
      <w:r w:rsidRPr="0093514B" w:rsidR="00777F17">
        <w:rPr>
          <w:iCs/>
        </w:rPr>
        <w:t xml:space="preserve"> </w:t>
      </w:r>
      <w:r w:rsidRPr="0093514B">
        <w:rPr>
          <w:iCs/>
        </w:rPr>
        <w:t xml:space="preserve">such offences elsewhere in the Convention community, as </w:t>
      </w:r>
      <w:r w:rsidR="00777F17">
        <w:rPr>
          <w:iCs/>
        </w:rPr>
        <w:t>did</w:t>
      </w:r>
      <w:r w:rsidRPr="0093514B" w:rsidR="00777F17">
        <w:rPr>
          <w:iCs/>
        </w:rPr>
        <w:t xml:space="preserve"> </w:t>
      </w:r>
      <w:r w:rsidRPr="0093514B">
        <w:rPr>
          <w:iCs/>
        </w:rPr>
        <w:t xml:space="preserve">the </w:t>
      </w:r>
      <w:r w:rsidR="00777F17">
        <w:rPr>
          <w:iCs/>
        </w:rPr>
        <w:t>response of the criminal justice system,</w:t>
      </w:r>
      <w:r w:rsidRPr="0093514B">
        <w:rPr>
          <w:iCs/>
        </w:rPr>
        <w:t xml:space="preserve"> in the form of a sentence </w:t>
      </w:r>
      <w:r w:rsidR="00777F17">
        <w:rPr>
          <w:iCs/>
        </w:rPr>
        <w:t>handed down</w:t>
      </w:r>
      <w:r w:rsidRPr="0093514B">
        <w:rPr>
          <w:iCs/>
        </w:rPr>
        <w:t xml:space="preserve"> for one single offence (see paragraphs </w:t>
      </w:r>
      <w:r w:rsidRPr="0093514B">
        <w:rPr>
          <w:iCs/>
        </w:rPr>
        <w:fldChar w:fldCharType="begin"/>
      </w:r>
      <w:r w:rsidRPr="0093514B">
        <w:rPr>
          <w:iCs/>
        </w:rPr>
        <w:instrText xml:space="preserve"> REF para33 \h  \* MERGEFORMAT </w:instrText>
      </w:r>
      <w:r w:rsidRPr="0093514B">
        <w:rPr>
          <w:iCs/>
        </w:rPr>
      </w:r>
      <w:r w:rsidRPr="0093514B">
        <w:rPr>
          <w:iCs/>
        </w:rPr>
        <w:fldChar w:fldCharType="separate"/>
      </w:r>
      <w:r w:rsidR="002D5843">
        <w:rPr>
          <w:noProof/>
        </w:rPr>
        <w:t>33</w:t>
      </w:r>
      <w:r w:rsidRPr="0093514B">
        <w:rPr>
          <w:iCs/>
        </w:rPr>
        <w:fldChar w:fldCharType="end"/>
      </w:r>
      <w:r w:rsidRPr="0093514B">
        <w:rPr>
          <w:iCs/>
        </w:rPr>
        <w:t>-</w:t>
      </w:r>
      <w:r w:rsidRPr="0093514B">
        <w:rPr>
          <w:iCs/>
        </w:rPr>
        <w:fldChar w:fldCharType="begin"/>
      </w:r>
      <w:r w:rsidRPr="0093514B">
        <w:rPr>
          <w:iCs/>
        </w:rPr>
        <w:instrText xml:space="preserve"> REF para37 \h  \* MERGEFORMAT </w:instrText>
      </w:r>
      <w:r w:rsidRPr="0093514B">
        <w:rPr>
          <w:iCs/>
        </w:rPr>
      </w:r>
      <w:r w:rsidRPr="0093514B">
        <w:rPr>
          <w:iCs/>
        </w:rPr>
        <w:fldChar w:fldCharType="separate"/>
      </w:r>
      <w:r w:rsidR="002D5843">
        <w:rPr>
          <w:noProof/>
        </w:rPr>
        <w:t>37</w:t>
      </w:r>
      <w:r w:rsidRPr="0093514B">
        <w:rPr>
          <w:iCs/>
        </w:rPr>
        <w:fldChar w:fldCharType="end"/>
      </w:r>
      <w:r w:rsidRPr="0093514B">
        <w:rPr>
          <w:iCs/>
        </w:rPr>
        <w:t xml:space="preserve"> above).</w:t>
      </w:r>
    </w:p>
    <w:p w:rsidRPr="0093514B" w:rsidR="0093514B" w:rsidP="00304EF3" w:rsidRDefault="0093514B" w14:paraId="1FCE0E33" w14:textId="77777777">
      <w:pPr>
        <w:pStyle w:val="ECHRPara"/>
        <w:rPr>
          <w:lang w:val="en-GB"/>
        </w:rPr>
      </w:pPr>
      <w:r w:rsidRPr="0093514B">
        <w:rPr>
          <w:lang w:val="en-GB"/>
        </w:rPr>
        <w:fldChar w:fldCharType="begin"/>
      </w:r>
      <w:r w:rsidRPr="0093514B">
        <w:rPr>
          <w:lang w:val="en-GB"/>
        </w:rPr>
        <w:instrText xml:space="preserve"> SEQ level0 \*arabic </w:instrText>
      </w:r>
      <w:r w:rsidRPr="0093514B">
        <w:rPr>
          <w:lang w:val="en-GB"/>
        </w:rPr>
        <w:fldChar w:fldCharType="separate"/>
      </w:r>
      <w:r w:rsidR="002D5843">
        <w:rPr>
          <w:noProof/>
          <w:lang w:val="en-GB"/>
        </w:rPr>
        <w:t>73</w:t>
      </w:r>
      <w:r w:rsidRPr="0093514B">
        <w:rPr>
          <w:lang w:val="en-GB"/>
        </w:rPr>
        <w:fldChar w:fldCharType="end"/>
      </w:r>
      <w:r w:rsidRPr="0093514B">
        <w:rPr>
          <w:lang w:val="en-GB"/>
        </w:rPr>
        <w:t>.  In sum, there has been no violation of Article 7 of the Convention.</w:t>
      </w:r>
    </w:p>
    <w:p w:rsidRPr="0093514B" w:rsidR="0093514B" w:rsidP="00304EF3" w:rsidRDefault="0040553D" w14:paraId="3F0371FA" w14:textId="77777777">
      <w:pPr>
        <w:pStyle w:val="ECHRTitle1"/>
        <w:rPr>
          <w:lang w:val="en-GB"/>
        </w:rPr>
      </w:pPr>
      <w:r>
        <w:rPr>
          <w:lang w:val="en-GB"/>
        </w:rPr>
        <w:t>FOR THESE REASONS, THE COURT</w:t>
      </w:r>
      <w:r w:rsidRPr="0093514B" w:rsidR="0093514B">
        <w:rPr>
          <w:lang w:val="en-GB"/>
        </w:rPr>
        <w:t>, UNANIMOUSLY,</w:t>
      </w:r>
    </w:p>
    <w:p w:rsidR="0093514B" w:rsidP="00304EF3" w:rsidRDefault="0093514B" w14:paraId="0238472F" w14:textId="77777777">
      <w:pPr>
        <w:pStyle w:val="JuList"/>
        <w:rPr>
          <w:lang w:val="en-GB"/>
        </w:rPr>
      </w:pPr>
      <w:r w:rsidRPr="0093514B">
        <w:rPr>
          <w:i/>
          <w:lang w:val="en-GB"/>
        </w:rPr>
        <w:t>Holds</w:t>
      </w:r>
      <w:r w:rsidRPr="0093514B">
        <w:rPr>
          <w:lang w:val="en-GB"/>
        </w:rPr>
        <w:t xml:space="preserve"> that there has been no violation of Article 7 of the Convention.</w:t>
      </w:r>
    </w:p>
    <w:p w:rsidRPr="00FA1BDE" w:rsidR="0081685E" w:rsidP="00FA1BDE" w:rsidRDefault="0081685E" w14:paraId="440F94DD" w14:textId="77777777">
      <w:pPr>
        <w:pStyle w:val="JuParaLast"/>
        <w:rPr>
          <w:lang w:val="en-GB"/>
        </w:rPr>
      </w:pPr>
      <w:r w:rsidRPr="00FA1BDE">
        <w:rPr>
          <w:lang w:val="en-GB"/>
        </w:rPr>
        <w:t>Done</w:t>
      </w:r>
      <w:r w:rsidRPr="00E72FE2">
        <w:rPr>
          <w:sz w:val="22"/>
          <w:lang w:val="en-GB"/>
        </w:rPr>
        <w:t xml:space="preserve"> </w:t>
      </w:r>
      <w:r w:rsidRPr="00FA1BDE">
        <w:rPr>
          <w:lang w:val="en-GB"/>
        </w:rPr>
        <w:t>in</w:t>
      </w:r>
      <w:r w:rsidRPr="00E72FE2">
        <w:rPr>
          <w:sz w:val="22"/>
          <w:lang w:val="en-GB"/>
        </w:rPr>
        <w:t xml:space="preserve"> </w:t>
      </w:r>
      <w:r w:rsidRPr="00FA1BDE">
        <w:rPr>
          <w:lang w:val="en-GB"/>
        </w:rPr>
        <w:t>English</w:t>
      </w:r>
      <w:r w:rsidRPr="00E72FE2">
        <w:rPr>
          <w:sz w:val="22"/>
          <w:lang w:val="en-GB"/>
        </w:rPr>
        <w:t xml:space="preserve"> </w:t>
      </w:r>
      <w:r w:rsidRPr="00FA1BDE">
        <w:rPr>
          <w:lang w:val="en-GB"/>
        </w:rPr>
        <w:t>and</w:t>
      </w:r>
      <w:r w:rsidRPr="00E72FE2">
        <w:rPr>
          <w:sz w:val="22"/>
          <w:lang w:val="en-GB"/>
        </w:rPr>
        <w:t xml:space="preserve"> </w:t>
      </w:r>
      <w:r w:rsidRPr="00FA1BDE">
        <w:rPr>
          <w:lang w:val="en-GB"/>
        </w:rPr>
        <w:t>French</w:t>
      </w:r>
      <w:r w:rsidR="00474F72">
        <w:rPr>
          <w:lang w:val="en-GB"/>
        </w:rPr>
        <w:t>,</w:t>
      </w:r>
      <w:r w:rsidRPr="00E72FE2" w:rsidR="00847DF2">
        <w:rPr>
          <w:sz w:val="22"/>
          <w:lang w:val="en-GB"/>
        </w:rPr>
        <w:t xml:space="preserve"> </w:t>
      </w:r>
      <w:r w:rsidRPr="00FA1BDE" w:rsidR="00B36A69">
        <w:rPr>
          <w:lang w:val="en-GB"/>
        </w:rPr>
        <w:t>and</w:t>
      </w:r>
      <w:r w:rsidRPr="00E72FE2" w:rsidR="00B36A69">
        <w:rPr>
          <w:sz w:val="22"/>
          <w:lang w:val="en-GB"/>
        </w:rPr>
        <w:t xml:space="preserve"> </w:t>
      </w:r>
      <w:r w:rsidRPr="00FA1BDE" w:rsidR="00B36A69">
        <w:rPr>
          <w:lang w:val="en-GB"/>
        </w:rPr>
        <w:t>delivered</w:t>
      </w:r>
      <w:r w:rsidRPr="00E72FE2" w:rsidR="00B36A69">
        <w:rPr>
          <w:sz w:val="22"/>
          <w:lang w:val="en-GB"/>
        </w:rPr>
        <w:t xml:space="preserve"> </w:t>
      </w:r>
      <w:r w:rsidRPr="00FA1BDE" w:rsidR="00B36A69">
        <w:rPr>
          <w:lang w:val="en-GB"/>
        </w:rPr>
        <w:t>in</w:t>
      </w:r>
      <w:r w:rsidRPr="00E72FE2" w:rsidR="00B36A69">
        <w:rPr>
          <w:sz w:val="22"/>
          <w:lang w:val="en-GB"/>
        </w:rPr>
        <w:t xml:space="preserve"> </w:t>
      </w:r>
      <w:r w:rsidRPr="00FA1BDE" w:rsidR="00B36A69">
        <w:rPr>
          <w:lang w:val="en-GB"/>
        </w:rPr>
        <w:t>writing</w:t>
      </w:r>
      <w:r w:rsidRPr="00E72FE2" w:rsidR="00847DF2">
        <w:rPr>
          <w:sz w:val="22"/>
          <w:lang w:val="en-GB"/>
        </w:rPr>
        <w:t xml:space="preserve"> </w:t>
      </w:r>
      <w:r w:rsidRPr="00FA1BDE" w:rsidR="00847DF2">
        <w:rPr>
          <w:lang w:val="en-GB"/>
        </w:rPr>
        <w:t>on</w:t>
      </w:r>
      <w:r w:rsidRPr="00E72FE2" w:rsidR="00847DF2">
        <w:rPr>
          <w:sz w:val="22"/>
          <w:lang w:val="en-GB"/>
        </w:rPr>
        <w:t xml:space="preserve"> </w:t>
      </w:r>
      <w:r w:rsidRPr="00FA1BDE" w:rsidR="00B36A69">
        <w:rPr>
          <w:lang w:val="en-GB"/>
        </w:rPr>
        <w:t>27</w:t>
      </w:r>
      <w:r w:rsidRPr="00E72FE2" w:rsidR="00B36A69">
        <w:rPr>
          <w:sz w:val="22"/>
          <w:lang w:val="en-GB"/>
        </w:rPr>
        <w:t xml:space="preserve"> </w:t>
      </w:r>
      <w:r w:rsidRPr="00FA1BDE" w:rsidR="00B36A69">
        <w:rPr>
          <w:lang w:val="en-GB"/>
        </w:rPr>
        <w:t>January</w:t>
      </w:r>
      <w:r w:rsidRPr="00E72FE2" w:rsidR="00B36A69">
        <w:rPr>
          <w:sz w:val="22"/>
          <w:lang w:val="en-GB"/>
        </w:rPr>
        <w:t xml:space="preserve"> </w:t>
      </w:r>
      <w:r w:rsidRPr="00FA1BDE" w:rsidR="00B36A69">
        <w:rPr>
          <w:lang w:val="en-GB"/>
        </w:rPr>
        <w:t>2015</w:t>
      </w:r>
      <w:r w:rsidRPr="00FA1BDE" w:rsidR="00847DF2">
        <w:rPr>
          <w:lang w:val="en-GB"/>
        </w:rPr>
        <w:t>.</w:t>
      </w:r>
    </w:p>
    <w:p w:rsidRPr="0093514B" w:rsidR="0093514B" w:rsidP="00304EF3" w:rsidRDefault="0093514B" w14:paraId="24CEC45F" w14:textId="77777777">
      <w:pPr>
        <w:pStyle w:val="JuSigned"/>
        <w:rPr>
          <w:lang w:val="en-GB"/>
        </w:rPr>
      </w:pPr>
      <w:r w:rsidRPr="0093514B">
        <w:rPr>
          <w:lang w:val="en-GB"/>
        </w:rPr>
        <w:tab/>
        <w:t>Michael O</w:t>
      </w:r>
      <w:r w:rsidR="001D00E3">
        <w:rPr>
          <w:lang w:val="en-GB"/>
        </w:rPr>
        <w:t>’</w:t>
      </w:r>
      <w:r w:rsidRPr="0093514B">
        <w:rPr>
          <w:lang w:val="en-GB"/>
        </w:rPr>
        <w:t>Boyle</w:t>
      </w:r>
      <w:r w:rsidRPr="0093514B">
        <w:rPr>
          <w:lang w:val="en-GB"/>
        </w:rPr>
        <w:tab/>
      </w:r>
      <w:r w:rsidRPr="0093514B">
        <w:rPr>
          <w:szCs w:val="24"/>
          <w:lang w:val="en-GB"/>
        </w:rPr>
        <w:t>Dean Spielmann</w:t>
      </w:r>
      <w:r w:rsidR="00DF592F">
        <w:rPr>
          <w:szCs w:val="24"/>
          <w:lang w:val="en-GB"/>
        </w:rPr>
        <w:br/>
      </w:r>
      <w:r w:rsidRPr="0093514B">
        <w:rPr>
          <w:lang w:val="en-GB"/>
        </w:rPr>
        <w:tab/>
        <w:t xml:space="preserve">Deputy </w:t>
      </w:r>
      <w:r w:rsidRPr="0093514B">
        <w:rPr>
          <w:iCs/>
          <w:lang w:val="en-GB"/>
        </w:rPr>
        <w:t>Registrar</w:t>
      </w:r>
      <w:r w:rsidRPr="0093514B">
        <w:rPr>
          <w:lang w:val="en-GB"/>
        </w:rPr>
        <w:tab/>
        <w:t>President</w:t>
      </w:r>
    </w:p>
    <w:p w:rsidRPr="0093514B" w:rsidR="0093514B" w:rsidP="00304EF3" w:rsidRDefault="0093514B" w14:paraId="2B503213" w14:textId="77777777">
      <w:pPr>
        <w:pStyle w:val="JuParaLast"/>
        <w:rPr>
          <w:lang w:val="en-GB"/>
        </w:rPr>
      </w:pPr>
    </w:p>
    <w:p w:rsidRPr="00A83F4D" w:rsidR="0040553D" w:rsidP="00304EF3" w:rsidRDefault="0040553D" w14:paraId="3E9DDA45" w14:textId="77777777">
      <w:pPr>
        <w:pStyle w:val="JuParaLast"/>
      </w:pPr>
      <w:r w:rsidRPr="00A83F4D">
        <w:t>In accordance with Article 45 § 2 of the Convention and Rule 74 § 2 of the Rules of Court, the following separate opinions are annexed to this judgment:</w:t>
      </w:r>
    </w:p>
    <w:p w:rsidRPr="00A83F4D" w:rsidR="0040553D" w:rsidP="00C60A75" w:rsidRDefault="0040553D" w14:paraId="48CB5AF6" w14:textId="01A2823C">
      <w:pPr>
        <w:pStyle w:val="ECHRPara"/>
      </w:pPr>
      <w:r w:rsidRPr="00A83F4D">
        <w:t>(a)  </w:t>
      </w:r>
      <w:r w:rsidR="007538DD">
        <w:t>c</w:t>
      </w:r>
      <w:r>
        <w:t>oncurring</w:t>
      </w:r>
      <w:r w:rsidRPr="00A83F4D">
        <w:t xml:space="preserve"> opinion of Judge </w:t>
      </w:r>
      <w:r>
        <w:t>Ziemele</w:t>
      </w:r>
      <w:r w:rsidRPr="00A83F4D">
        <w:t>;</w:t>
      </w:r>
    </w:p>
    <w:p w:rsidRPr="00A83F4D" w:rsidR="0040553D" w:rsidP="00C60A75" w:rsidRDefault="0040553D" w14:paraId="3C6D7DAA" w14:textId="526AF23D">
      <w:pPr>
        <w:pStyle w:val="ECHRPara"/>
      </w:pPr>
      <w:r w:rsidRPr="00A83F4D">
        <w:t>(b)  </w:t>
      </w:r>
      <w:r w:rsidR="007538DD">
        <w:t>c</w:t>
      </w:r>
      <w:r w:rsidR="008854CB">
        <w:t>oncurring</w:t>
      </w:r>
      <w:r w:rsidRPr="00A83F4D">
        <w:t xml:space="preserve"> opinion of Judge </w:t>
      </w:r>
      <w:r w:rsidRPr="009D121E">
        <w:t>Pinto de Albuquerque</w:t>
      </w:r>
      <w:r w:rsidRPr="00A83F4D">
        <w:t>.</w:t>
      </w:r>
    </w:p>
    <w:p w:rsidR="0040553D" w:rsidP="00860261" w:rsidRDefault="0040553D" w14:paraId="4F7AA49F" w14:textId="77777777">
      <w:pPr>
        <w:pStyle w:val="JuInitialled"/>
      </w:pPr>
      <w:r>
        <w:t>D.S.</w:t>
      </w:r>
      <w:r w:rsidRPr="00A83F4D">
        <w:br/>
      </w:r>
      <w:r>
        <w:t>M.O</w:t>
      </w:r>
      <w:r w:rsidR="001D00E3">
        <w:t>’</w:t>
      </w:r>
      <w:r w:rsidR="00C10A26">
        <w:t>B</w:t>
      </w:r>
      <w:r>
        <w:t>.</w:t>
      </w:r>
    </w:p>
    <w:p w:rsidR="00DA37A6" w:rsidP="0069329A" w:rsidRDefault="00DA37A6" w14:paraId="2F0A34A4" w14:textId="77777777">
      <w:pPr>
        <w:pStyle w:val="ECHRTitleCentre1"/>
        <w:sectPr w:rsidR="00DA37A6" w:rsidSect="006172BC">
          <w:headerReference w:type="even" r:id="rId9"/>
          <w:headerReference w:type="default" r:id="rId10"/>
          <w:pgSz w:w="11906" w:h="16838" w:code="9"/>
          <w:pgMar w:top="2274" w:right="2274" w:bottom="2274" w:left="2274" w:header="1701" w:footer="720" w:gutter="0"/>
          <w:pgNumType w:start="1"/>
          <w:cols w:space="720"/>
          <w:docGrid w:linePitch="326"/>
        </w:sectPr>
      </w:pPr>
    </w:p>
    <w:p w:rsidRPr="00AC1720" w:rsidR="0069329A" w:rsidP="0069329A" w:rsidRDefault="009D121E" w14:paraId="359238FE" w14:textId="77777777">
      <w:pPr>
        <w:pStyle w:val="ECHRTitleCentre1"/>
        <w:rPr>
          <w:lang w:val="en-GB"/>
        </w:rPr>
      </w:pPr>
      <w:r>
        <w:br w:type="page"/>
      </w:r>
      <w:r w:rsidRPr="00AC1720" w:rsidR="0069329A">
        <w:rPr>
          <w:lang w:val="en-GB"/>
        </w:rPr>
        <w:t>CONCURRING OPINION OF JUDGE ZIEMELE</w:t>
      </w:r>
    </w:p>
    <w:p w:rsidRPr="00AC1720" w:rsidR="0069329A" w:rsidP="0069329A" w:rsidRDefault="0069329A" w14:paraId="45A131B4" w14:textId="77777777">
      <w:pPr>
        <w:pStyle w:val="OpiPara"/>
        <w:rPr>
          <w:lang w:val="en-GB"/>
        </w:rPr>
      </w:pPr>
      <w:r w:rsidRPr="00AC1720">
        <w:rPr>
          <w:lang w:val="en-GB"/>
        </w:rPr>
        <w:t>1.</w:t>
      </w:r>
      <w:r w:rsidR="00617145">
        <w:rPr>
          <w:lang w:val="en-GB"/>
        </w:rPr>
        <w:t>  </w:t>
      </w:r>
      <w:r w:rsidRPr="00AC1720">
        <w:rPr>
          <w:lang w:val="en-GB"/>
        </w:rPr>
        <w:t>I fully agree with the outcome in the present case. However, I believe that readers, when studying the Court</w:t>
      </w:r>
      <w:r w:rsidR="001D00E3">
        <w:rPr>
          <w:lang w:val="en-GB"/>
        </w:rPr>
        <w:t>’</w:t>
      </w:r>
      <w:r w:rsidRPr="00AC1720">
        <w:rPr>
          <w:lang w:val="en-GB"/>
        </w:rPr>
        <w:t xml:space="preserve">s reasoning and the information that the Court considered relevant for the purposes of this case, will ask the question whether pronouncing on the existence of a </w:t>
      </w:r>
      <w:r w:rsidRPr="00AC1720">
        <w:rPr>
          <w:i/>
          <w:lang w:val="en-GB"/>
        </w:rPr>
        <w:t>European consensus</w:t>
      </w:r>
      <w:r w:rsidRPr="00AC1720">
        <w:rPr>
          <w:lang w:val="en-GB"/>
        </w:rPr>
        <w:t xml:space="preserve"> concerning the notion of a continuous criminal offence was at all necessary in this case. They may ask: if only the Czech Republic recognised this notion, would the Court have found it problematic in the light of the applicable principles of Article 7?</w:t>
      </w:r>
    </w:p>
    <w:p w:rsidRPr="00AC1720" w:rsidR="0069329A" w:rsidP="0069329A" w:rsidRDefault="00617145" w14:paraId="53FCA087" w14:textId="611440BC">
      <w:pPr>
        <w:pStyle w:val="OpiPara"/>
        <w:rPr>
          <w:lang w:val="en-GB"/>
        </w:rPr>
      </w:pPr>
      <w:r>
        <w:rPr>
          <w:lang w:val="en-GB"/>
        </w:rPr>
        <w:t>2.  </w:t>
      </w:r>
      <w:r w:rsidRPr="00AC1720" w:rsidR="0069329A">
        <w:rPr>
          <w:lang w:val="en-GB"/>
        </w:rPr>
        <w:t xml:space="preserve">This is yet another case in which the Court is tempted to engage in a discussion on the existence of a European consensus. The notion remains controversial, and the controversy is not limited to the term “consensus” itself, which would, at least in the ordinary meaning, require agreement on the part of those concerned (see L. Wildhaber, A. Hjartarson and S. Donnelly, “No consensus on consensus”, </w:t>
      </w:r>
      <w:r w:rsidRPr="00AC1720" w:rsidR="0069329A">
        <w:rPr>
          <w:i/>
          <w:lang w:val="en-GB"/>
        </w:rPr>
        <w:t>Human Rights Journal</w:t>
      </w:r>
      <w:r w:rsidR="007F7039">
        <w:rPr>
          <w:lang w:val="en-GB"/>
        </w:rPr>
        <w:t>, 2013, pp. 248-</w:t>
      </w:r>
      <w:r w:rsidRPr="00AC1720" w:rsidR="0069329A">
        <w:rPr>
          <w:lang w:val="en-GB"/>
        </w:rPr>
        <w:t>63, and S. Besson and A.-L. Graf-Brugère, “Le droit de vote des expatriés, le consensus européen et la marge d</w:t>
      </w:r>
      <w:r w:rsidR="001D00E3">
        <w:rPr>
          <w:lang w:val="en-GB"/>
        </w:rPr>
        <w:t>’</w:t>
      </w:r>
      <w:r w:rsidRPr="00AC1720" w:rsidR="0069329A">
        <w:rPr>
          <w:lang w:val="en-GB"/>
        </w:rPr>
        <w:t xml:space="preserve">appréciation des États”, </w:t>
      </w:r>
      <w:r w:rsidRPr="00AC1720" w:rsidR="0069329A">
        <w:rPr>
          <w:i/>
          <w:lang w:val="en-GB"/>
        </w:rPr>
        <w:t>Revue trimestrielle des droits de l</w:t>
      </w:r>
      <w:r w:rsidR="001D00E3">
        <w:rPr>
          <w:i/>
          <w:lang w:val="en-GB"/>
        </w:rPr>
        <w:t>’</w:t>
      </w:r>
      <w:r w:rsidRPr="00AC1720" w:rsidR="0069329A">
        <w:rPr>
          <w:i/>
          <w:lang w:val="en-GB"/>
        </w:rPr>
        <w:t>homme</w:t>
      </w:r>
      <w:r w:rsidRPr="00AC1720" w:rsidR="0069329A">
        <w:rPr>
          <w:lang w:val="en-GB"/>
        </w:rPr>
        <w:t>, 2014, pp. 942 et seq.). I have noted</w:t>
      </w:r>
      <w:r w:rsidR="00A84A71">
        <w:rPr>
          <w:lang w:val="en-GB"/>
        </w:rPr>
        <w:t xml:space="preserve"> </w:t>
      </w:r>
      <w:r w:rsidRPr="00AC1720" w:rsidR="00A84A71">
        <w:rPr>
          <w:lang w:val="en-GB"/>
        </w:rPr>
        <w:t>elsewhere</w:t>
      </w:r>
      <w:r w:rsidRPr="00AC1720" w:rsidR="0069329A">
        <w:rPr>
          <w:lang w:val="en-GB"/>
        </w:rPr>
        <w:t xml:space="preserve"> that a more orthodox way for the Court to proceed would have been to rely on the tools that international law offers anyway (see I. Ziemele, “Customary International Law in the Case </w:t>
      </w:r>
      <w:r w:rsidR="00A84A71">
        <w:rPr>
          <w:lang w:val="en-GB"/>
        </w:rPr>
        <w:t>L</w:t>
      </w:r>
      <w:r w:rsidRPr="00AC1720" w:rsidR="0069329A">
        <w:rPr>
          <w:lang w:val="en-GB"/>
        </w:rPr>
        <w:t xml:space="preserve">aw of the European Court of Human Rights”, in </w:t>
      </w:r>
      <w:r w:rsidRPr="00AC1720" w:rsidR="0069329A">
        <w:rPr>
          <w:i/>
          <w:lang w:val="en-GB"/>
        </w:rPr>
        <w:t>The Judge and International Custom</w:t>
      </w:r>
      <w:r w:rsidR="00A84A71">
        <w:rPr>
          <w:lang w:val="en-GB"/>
        </w:rPr>
        <w:t>,</w:t>
      </w:r>
      <w:r w:rsidRPr="00AC1720" w:rsidR="0069329A">
        <w:rPr>
          <w:lang w:val="en-GB"/>
        </w:rPr>
        <w:t xml:space="preserve"> Council of Europe, 2012). In my view this means that the Court, when it examines domestic laws and practices and the positions which European States may have expressed on the issue in question in other international fora, is in fact looking for a particular regional practice that the States consider it necessary to follow, in other words, regional custom. (Incidentally, the notion of custom has also evolved in international law and is most likely no longer as rigid as may have been the case some time ago.) If the Court establishes the existence of a practice which the European States by and large follow (for instance, soft custom), there is no question but that it needs to keep that State practice in mind when interpreting the Convention in the light of modern-day developments. However, there is nothing new about applying the law over time and assessing the applicability of the right in issue then and now. Had the Court better linked its use of the consensus and living</w:t>
      </w:r>
      <w:r w:rsidR="007538DD">
        <w:rPr>
          <w:lang w:val="en-GB"/>
        </w:rPr>
        <w:t>-</w:t>
      </w:r>
      <w:r w:rsidRPr="00AC1720" w:rsidR="0069329A">
        <w:rPr>
          <w:lang w:val="en-GB"/>
        </w:rPr>
        <w:t>instrument doctrines to analogous concepts in international law, there might have been less ground for discussion on the Court</w:t>
      </w:r>
      <w:r w:rsidR="001D00E3">
        <w:rPr>
          <w:lang w:val="en-GB"/>
        </w:rPr>
        <w:t>’</w:t>
      </w:r>
      <w:r w:rsidRPr="00AC1720" w:rsidR="0069329A">
        <w:rPr>
          <w:lang w:val="en-GB"/>
        </w:rPr>
        <w:t>s expansive interpretation of the Convention.</w:t>
      </w:r>
    </w:p>
    <w:p w:rsidRPr="00AC1720" w:rsidR="0069329A" w:rsidP="0069329A" w:rsidRDefault="00617145" w14:paraId="1DA74897" w14:textId="7DCD55D2">
      <w:pPr>
        <w:pStyle w:val="OpiPara"/>
        <w:rPr>
          <w:lang w:val="en-GB"/>
        </w:rPr>
      </w:pPr>
      <w:r>
        <w:rPr>
          <w:lang w:val="en-GB"/>
        </w:rPr>
        <w:t>3.  </w:t>
      </w:r>
      <w:r w:rsidRPr="00AC1720" w:rsidR="0069329A">
        <w:rPr>
          <w:lang w:val="en-GB"/>
        </w:rPr>
        <w:t xml:space="preserve">There are, however, instances in which there is no need to search for the existence of a binding regional practice. In my view the case at hand is one such case. For the purposes of the present case it is instructive to note that the notion of a continuous criminal offence has long been known to European criminal-law systems. There are probably many common approaches to this notion in domestic criminal law (see paragraph 33 of the </w:t>
      </w:r>
      <w:r w:rsidR="007538DD">
        <w:rPr>
          <w:lang w:val="en-GB"/>
        </w:rPr>
        <w:t xml:space="preserve">present </w:t>
      </w:r>
      <w:r w:rsidRPr="00AC1720" w:rsidR="0069329A">
        <w:rPr>
          <w:lang w:val="en-GB"/>
        </w:rPr>
        <w:t>judgment). However, there are certainly also differences. It is not necessary in the comparative-law part of the judgment to make a statement as to the existence of a broad consensus among States. Taking into consideration the specific use of the notion of consensus in the case-law as normally applied in cases in which States enjoy a margin of appreciation, one may wonder what the purpose of the statement in paragraph 33 is in an Article 7 case.</w:t>
      </w:r>
    </w:p>
    <w:p w:rsidRPr="00AC1720" w:rsidR="0069329A" w:rsidP="0069329A" w:rsidRDefault="0069329A" w14:paraId="359891C3" w14:textId="77777777">
      <w:pPr>
        <w:pStyle w:val="OpiPara"/>
        <w:rPr>
          <w:lang w:val="en-GB"/>
        </w:rPr>
      </w:pPr>
      <w:r w:rsidRPr="00AC1720">
        <w:rPr>
          <w:lang w:val="en-GB"/>
        </w:rPr>
        <w:t>I would submit that the statement in this paragraph is not to be equated with the Court</w:t>
      </w:r>
      <w:r w:rsidR="001D00E3">
        <w:rPr>
          <w:lang w:val="en-GB"/>
        </w:rPr>
        <w:t>’</w:t>
      </w:r>
      <w:r w:rsidRPr="00AC1720">
        <w:rPr>
          <w:lang w:val="en-GB"/>
        </w:rPr>
        <w:t>s efforts to establish the existence or otherwise of a consensus with a view to identifying the boundaries of the margin of appreciation in some new societal circumstances. I would have preferred the Court not to pronounce on the existence of a broad consensus in this part of the judgment.</w:t>
      </w:r>
    </w:p>
    <w:p w:rsidRPr="00AC1720" w:rsidR="0069329A" w:rsidP="0069329A" w:rsidRDefault="00617145" w14:paraId="391CB590" w14:textId="6135731C">
      <w:pPr>
        <w:pStyle w:val="OpiPara"/>
        <w:rPr>
          <w:lang w:val="en-GB"/>
        </w:rPr>
      </w:pPr>
      <w:r>
        <w:rPr>
          <w:lang w:val="en-GB"/>
        </w:rPr>
        <w:t>4.  </w:t>
      </w:r>
      <w:r w:rsidR="007538DD">
        <w:rPr>
          <w:lang w:val="en-GB"/>
        </w:rPr>
        <w:t>This</w:t>
      </w:r>
      <w:r w:rsidRPr="00AC1720" w:rsidR="007538DD">
        <w:rPr>
          <w:lang w:val="en-GB"/>
        </w:rPr>
        <w:t xml:space="preserve"> </w:t>
      </w:r>
      <w:r w:rsidRPr="00AC1720" w:rsidR="0069329A">
        <w:rPr>
          <w:lang w:val="en-GB"/>
        </w:rPr>
        <w:t>case is about the foreseeability of domestic criminal law and the potential for a more severe penalty to be imposed. In the light of Article 7 case-law</w:t>
      </w:r>
      <w:r w:rsidR="007538DD">
        <w:rPr>
          <w:lang w:val="en-GB"/>
        </w:rPr>
        <w:t>,</w:t>
      </w:r>
      <w:r w:rsidRPr="00AC1720" w:rsidR="0069329A">
        <w:rPr>
          <w:lang w:val="en-GB"/>
        </w:rPr>
        <w:t xml:space="preserve"> the Court</w:t>
      </w:r>
      <w:r w:rsidR="001D00E3">
        <w:rPr>
          <w:lang w:val="en-GB"/>
        </w:rPr>
        <w:t>’</w:t>
      </w:r>
      <w:r w:rsidRPr="00AC1720" w:rsidR="0069329A">
        <w:rPr>
          <w:lang w:val="en-GB"/>
        </w:rPr>
        <w:t>s task is very clearly defined in paragraph 55, namely to ascertain whether prior to 1 June 2004 domestic law provided for the punishment of the acts committed by the applicant. The Court examines the domestic legislation and the practice of the domestic courts and in this case does not find the domestic practice, which has been the subject of in-depth reasoning by the domestic courts, arbitrary or indeed unlawful for the purposes of Article 7. The fact that in other countries such facts may have received similar treatment in domestic criminal law is interesting but not really pertinent for the kind of assessment for which Article 7 provides. In sum, I have difficulty seeing how a European consensus could be relevant for the assessment of the individual features of certain notions in domestic criminal law. There are certainly similarities rooted in Europe</w:t>
      </w:r>
      <w:r w:rsidR="001D00E3">
        <w:rPr>
          <w:lang w:val="en-GB"/>
        </w:rPr>
        <w:t>’</w:t>
      </w:r>
      <w:r w:rsidRPr="00AC1720" w:rsidR="0069329A">
        <w:rPr>
          <w:lang w:val="en-GB"/>
        </w:rPr>
        <w:t>s history, but there must also be differences linked to the choices of the respective legislatures.</w:t>
      </w:r>
    </w:p>
    <w:p w:rsidRPr="00AC1720" w:rsidR="0069329A" w:rsidP="0069329A" w:rsidRDefault="00617145" w14:paraId="1D6E3958" w14:textId="77777777">
      <w:pPr>
        <w:pStyle w:val="OpiPara"/>
        <w:rPr>
          <w:lang w:val="en-GB"/>
        </w:rPr>
      </w:pPr>
      <w:r>
        <w:rPr>
          <w:lang w:val="en-GB"/>
        </w:rPr>
        <w:t>5.  </w:t>
      </w:r>
      <w:r w:rsidRPr="00AC1720" w:rsidR="0069329A">
        <w:rPr>
          <w:lang w:val="en-GB"/>
        </w:rPr>
        <w:t>The notion of European consensus needs careful reflection and fine</w:t>
      </w:r>
      <w:r w:rsidRPr="00AC1720" w:rsidR="0069329A">
        <w:rPr>
          <w:lang w:val="en-GB"/>
        </w:rPr>
        <w:noBreakHyphen/>
        <w:t>tuning in the Court</w:t>
      </w:r>
      <w:r w:rsidR="001D00E3">
        <w:rPr>
          <w:lang w:val="en-GB"/>
        </w:rPr>
        <w:t>’</w:t>
      </w:r>
      <w:r w:rsidRPr="00AC1720" w:rsidR="0069329A">
        <w:rPr>
          <w:lang w:val="en-GB"/>
        </w:rPr>
        <w:t>s future case-law. I would like to hope that this will be done keeping the relevant elements of international law in mind. The use of this notion should not be unpredictable.</w:t>
      </w:r>
    </w:p>
    <w:p w:rsidR="0069329A" w:rsidRDefault="0069329A" w14:paraId="289AAB41" w14:textId="77777777">
      <w:pPr>
        <w:jc w:val="left"/>
        <w:rPr>
          <w:lang w:val="en-GB"/>
        </w:rPr>
      </w:pPr>
      <w:r>
        <w:rPr>
          <w:lang w:val="en-GB"/>
        </w:rPr>
        <w:br w:type="page"/>
      </w:r>
    </w:p>
    <w:p w:rsidRPr="00D95C70" w:rsidR="0069329A" w:rsidP="0069329A" w:rsidRDefault="0069329A" w14:paraId="50A89EA0" w14:textId="77777777">
      <w:pPr>
        <w:pStyle w:val="ECHRTitleCentre1"/>
        <w:rPr>
          <w:lang w:val="en-GB"/>
        </w:rPr>
      </w:pPr>
      <w:r w:rsidRPr="00E148F4">
        <w:rPr>
          <w:lang w:val="en-GB"/>
        </w:rPr>
        <w:t>CONC</w:t>
      </w:r>
      <w:r w:rsidRPr="00214A21">
        <w:rPr>
          <w:lang w:val="en-GB"/>
        </w:rPr>
        <w:t>URR</w:t>
      </w:r>
      <w:r w:rsidRPr="00D95C70">
        <w:rPr>
          <w:lang w:val="en-GB"/>
        </w:rPr>
        <w:t>ING OPINION OF JUDGE PINTO DE ALBUQUERQUE</w:t>
      </w:r>
    </w:p>
    <w:p w:rsidRPr="00105A3A" w:rsidR="0069329A" w:rsidP="0069329A" w:rsidRDefault="0069329A" w14:paraId="6FDA3AEF" w14:textId="7794CB6B">
      <w:pPr>
        <w:pStyle w:val="OpiPara"/>
        <w:rPr>
          <w:lang w:val="en-GB"/>
        </w:rPr>
      </w:pPr>
      <w:r w:rsidRPr="00105A3A">
        <w:rPr>
          <w:lang w:val="en-GB"/>
        </w:rPr>
        <w:t>1.  I wholeheartedly support the Grand Chamber</w:t>
      </w:r>
      <w:r w:rsidR="001D00E3">
        <w:rPr>
          <w:lang w:val="en-GB"/>
        </w:rPr>
        <w:t>’</w:t>
      </w:r>
      <w:r w:rsidRPr="00105A3A">
        <w:rPr>
          <w:lang w:val="en-GB"/>
        </w:rPr>
        <w:t xml:space="preserve">s judgment in the present case and its methodology. In fact, it is the very first time that the Court has addressed in a single judgment </w:t>
      </w:r>
      <w:r w:rsidRPr="00105A3A">
        <w:rPr>
          <w:i/>
          <w:lang w:val="en-GB"/>
        </w:rPr>
        <w:t>ex professo</w:t>
      </w:r>
      <w:r w:rsidRPr="00105A3A">
        <w:rPr>
          <w:lang w:val="en-GB"/>
        </w:rPr>
        <w:t xml:space="preserve"> the accuracy of the terminology used with regard to an important concept of criminal law, the historical background to that concept and its current regulation in the </w:t>
      </w:r>
      <w:r w:rsidR="00042BAB">
        <w:rPr>
          <w:lang w:val="en-GB"/>
        </w:rPr>
        <w:t>forty-seven</w:t>
      </w:r>
      <w:r w:rsidRPr="00105A3A">
        <w:rPr>
          <w:lang w:val="en-GB"/>
        </w:rPr>
        <w:t xml:space="preserve"> legal systems of the Council of Europe. A linguistic, historical and comparative-law survey of such dimensions has never been carried out before and is most welcome. Yet precisely in view of the rich history of this concept and its manifold variations in the nat</w:t>
      </w:r>
      <w:r w:rsidR="00B51066">
        <w:rPr>
          <w:lang w:val="en-GB"/>
        </w:rPr>
        <w:t>ional legal systems surveyed, I </w:t>
      </w:r>
      <w:r w:rsidRPr="00105A3A">
        <w:rPr>
          <w:lang w:val="en-GB"/>
        </w:rPr>
        <w:t xml:space="preserve">feel obliged to make a few additional remarks aimed at clarification of the principle established by the Grand Chamber and its practical impact on the definition of the criminal-law policies of the </w:t>
      </w:r>
      <w:r>
        <w:rPr>
          <w:lang w:val="en-GB"/>
        </w:rPr>
        <w:t>m</w:t>
      </w:r>
      <w:r w:rsidRPr="00105A3A">
        <w:rPr>
          <w:lang w:val="en-GB"/>
        </w:rPr>
        <w:t>ember States.</w:t>
      </w:r>
    </w:p>
    <w:p w:rsidR="0069329A" w:rsidP="0069329A" w:rsidRDefault="0069329A" w14:paraId="2213E8B9" w14:textId="77777777">
      <w:pPr>
        <w:pStyle w:val="OpiPara"/>
        <w:rPr>
          <w:lang w:val="en-GB"/>
        </w:rPr>
      </w:pPr>
      <w:r w:rsidRPr="00105A3A">
        <w:rPr>
          <w:lang w:val="en-GB"/>
        </w:rPr>
        <w:t xml:space="preserve">According to the Grand Chamber, there is a broad consensus arising out of a long European tradition with regard to the particular features of a continuous offence. The Court considers that the application of domestic </w:t>
      </w:r>
      <w:r w:rsidRPr="001B49C1">
        <w:t xml:space="preserve">provisions </w:t>
      </w:r>
      <w:r>
        <w:t xml:space="preserve">to deal with </w:t>
      </w:r>
      <w:r>
        <w:rPr>
          <w:rFonts w:ascii="Times New Roman" w:hAnsi="Times New Roman" w:cs="Times New Roman"/>
          <w:szCs w:val="24"/>
        </w:rPr>
        <w:t>offences</w:t>
      </w:r>
      <w:r w:rsidRPr="00351F5A">
        <w:rPr>
          <w:rFonts w:ascii="Times New Roman" w:hAnsi="Times New Roman" w:cs="Times New Roman"/>
          <w:szCs w:val="24"/>
        </w:rPr>
        <w:t xml:space="preserve"> </w:t>
      </w:r>
      <w:r w:rsidRPr="00105A3A">
        <w:rPr>
          <w:lang w:val="en-GB"/>
        </w:rPr>
        <w:t>of this type does not, in principle, infringe Article 7 of the Convention, so long as the individual acts in question are directed against the same legally protected interest, there is at least a similarity in the manner of execution, a temporal connection exists between the different acts, the same, repeated criminal purpose underlies all the acts and the individual acts comprise, either explicitly or implicitly, the constituent elements of the criminal offences. The present opinion will seek to clarify the substantive scope of this principle and its practical implications, in the light of the past and present status of the concept of a continuous offence in European law</w:t>
      </w:r>
      <w:r w:rsidRPr="00105A3A">
        <w:rPr>
          <w:rStyle w:val="FootnoteReference"/>
          <w:rFonts w:ascii="Times New Roman" w:hAnsi="Times New Roman" w:cs="Times New Roman"/>
          <w:szCs w:val="24"/>
          <w:lang w:val="en-GB"/>
        </w:rPr>
        <w:footnoteReference w:id="1"/>
      </w:r>
      <w:r w:rsidRPr="00105A3A">
        <w:rPr>
          <w:lang w:val="en-GB"/>
        </w:rPr>
        <w:t>.</w:t>
      </w:r>
    </w:p>
    <w:p w:rsidRPr="00105A3A" w:rsidR="0069329A" w:rsidP="00AC3E3E" w:rsidRDefault="0069329A" w14:paraId="083147EF" w14:textId="77777777">
      <w:pPr>
        <w:pStyle w:val="OpiHA"/>
        <w:rPr>
          <w:lang w:val="en-GB"/>
        </w:rPr>
      </w:pPr>
      <w:r w:rsidRPr="00105A3A">
        <w:rPr>
          <w:lang w:val="en-GB"/>
        </w:rPr>
        <w:t>The history of the continuous offence</w:t>
      </w:r>
    </w:p>
    <w:p w:rsidRPr="00AD5D24" w:rsidR="0069329A" w:rsidP="0069329A" w:rsidRDefault="0069329A" w14:paraId="65A15C30" w14:textId="77777777">
      <w:pPr>
        <w:pStyle w:val="OpiPara"/>
        <w:rPr>
          <w:rFonts w:ascii="Times New Roman" w:hAnsi="Times New Roman" w:cs="Times New Roman"/>
          <w:szCs w:val="24"/>
        </w:rPr>
      </w:pPr>
      <w:r w:rsidRPr="00105A3A">
        <w:rPr>
          <w:lang w:val="en-GB"/>
        </w:rPr>
        <w:t>2.  Roman law did not recognise the concept of a continuous offence. It was only during the Middle Ages that schol</w:t>
      </w:r>
      <w:r w:rsidR="00805BB9">
        <w:rPr>
          <w:lang w:val="en-GB"/>
        </w:rPr>
        <w:t>ars like Bartolus de Saxoferrato</w:t>
      </w:r>
      <w:r w:rsidRPr="00105A3A">
        <w:rPr>
          <w:rStyle w:val="FootnoteReference"/>
          <w:rFonts w:ascii="Times New Roman" w:hAnsi="Times New Roman" w:cs="Times New Roman"/>
          <w:szCs w:val="24"/>
          <w:lang w:val="en-GB"/>
        </w:rPr>
        <w:footnoteReference w:id="2"/>
      </w:r>
      <w:r w:rsidRPr="00105A3A">
        <w:rPr>
          <w:lang w:val="en-GB"/>
        </w:rPr>
        <w:t>, Baldus de Ubaldis</w:t>
      </w:r>
      <w:r w:rsidRPr="00105A3A">
        <w:rPr>
          <w:rStyle w:val="FootnoteReference"/>
          <w:rFonts w:ascii="Times New Roman" w:hAnsi="Times New Roman" w:cs="Times New Roman"/>
          <w:szCs w:val="24"/>
          <w:lang w:val="en-GB"/>
        </w:rPr>
        <w:footnoteReference w:id="3"/>
      </w:r>
      <w:r w:rsidRPr="00105A3A">
        <w:rPr>
          <w:lang w:val="en-GB"/>
        </w:rPr>
        <w:t xml:space="preserve"> and Prosperus Farinacius</w:t>
      </w:r>
      <w:r w:rsidRPr="00105A3A">
        <w:rPr>
          <w:rStyle w:val="FootnoteReference"/>
          <w:rFonts w:ascii="Times New Roman" w:hAnsi="Times New Roman" w:cs="Times New Roman"/>
          <w:szCs w:val="24"/>
          <w:lang w:val="en-GB"/>
        </w:rPr>
        <w:footnoteReference w:id="4"/>
      </w:r>
      <w:r w:rsidRPr="00105A3A">
        <w:rPr>
          <w:lang w:val="en-GB"/>
        </w:rPr>
        <w:t xml:space="preserve"> introduced the concept with the purpose of softening the hard sentencing rule of </w:t>
      </w:r>
      <w:r>
        <w:rPr>
          <w:lang w:val="en-GB"/>
        </w:rPr>
        <w:t>strict</w:t>
      </w:r>
      <w:r w:rsidRPr="00105A3A">
        <w:rPr>
          <w:lang w:val="en-GB"/>
        </w:rPr>
        <w:t xml:space="preserve"> accumulation of penalties or consecutive sentences (</w:t>
      </w:r>
      <w:r w:rsidRPr="00105A3A">
        <w:rPr>
          <w:i/>
          <w:lang w:val="en-GB"/>
        </w:rPr>
        <w:t>quod criminae tot poenae</w:t>
      </w:r>
      <w:r w:rsidRPr="00105A3A">
        <w:rPr>
          <w:lang w:val="en-GB"/>
        </w:rPr>
        <w:t xml:space="preserve">) </w:t>
      </w:r>
      <w:r>
        <w:t>under</w:t>
      </w:r>
      <w:r w:rsidRPr="00A14EF4">
        <w:t xml:space="preserve"> Roman </w:t>
      </w:r>
      <w:r w:rsidRPr="00105A3A">
        <w:rPr>
          <w:lang w:val="en-GB"/>
        </w:rPr>
        <w:t>law</w:t>
      </w:r>
      <w:r w:rsidRPr="00105A3A">
        <w:rPr>
          <w:rStyle w:val="FootnoteReference"/>
          <w:rFonts w:ascii="Times New Roman" w:hAnsi="Times New Roman" w:cs="Times New Roman"/>
          <w:szCs w:val="24"/>
          <w:lang w:val="en-GB"/>
        </w:rPr>
        <w:footnoteReference w:id="5"/>
      </w:r>
      <w:r w:rsidRPr="00105A3A">
        <w:rPr>
          <w:lang w:val="en-GB"/>
        </w:rPr>
        <w:t xml:space="preserve">. According to these scholars, there were two major criteria for the punishment of a succession of individual criminal acts as a continuous offence: a short </w:t>
      </w:r>
      <w:r>
        <w:rPr>
          <w:lang w:val="en-GB"/>
        </w:rPr>
        <w:t>period</w:t>
      </w:r>
      <w:r w:rsidRPr="00105A3A">
        <w:rPr>
          <w:lang w:val="en-GB"/>
        </w:rPr>
        <w:t xml:space="preserve"> of time between the different individual criminal acts committed by the offender (</w:t>
      </w:r>
      <w:r w:rsidRPr="00105A3A">
        <w:rPr>
          <w:i/>
          <w:lang w:val="en-GB"/>
        </w:rPr>
        <w:t>cum temporis intervallo</w:t>
      </w:r>
      <w:r w:rsidRPr="00105A3A">
        <w:rPr>
          <w:lang w:val="en-GB"/>
        </w:rPr>
        <w:t>, as Baldus said) and the existence of a single intention or purpose underlying those individual acts (</w:t>
      </w:r>
      <w:r w:rsidRPr="00105A3A">
        <w:rPr>
          <w:i/>
          <w:lang w:val="en-GB"/>
        </w:rPr>
        <w:t>ad eundem finem</w:t>
      </w:r>
      <w:r w:rsidRPr="00105A3A">
        <w:rPr>
          <w:lang w:val="en-GB"/>
        </w:rPr>
        <w:t xml:space="preserve">, as Bartolus put it). In fact, the close temporal connection between the individual acts was considered as evidence of that same intention. A continuous offence was a group of individual acts united by the same intention and the same criminal purpose, and committed within a short period of time, </w:t>
      </w:r>
      <w:r w:rsidRPr="00AD5D24">
        <w:rPr>
          <w:rFonts w:ascii="Times New Roman" w:hAnsi="Times New Roman" w:cs="Times New Roman"/>
          <w:szCs w:val="24"/>
        </w:rPr>
        <w:t xml:space="preserve">which </w:t>
      </w:r>
      <w:r>
        <w:rPr>
          <w:rFonts w:ascii="Times New Roman" w:hAnsi="Times New Roman" w:cs="Times New Roman"/>
          <w:szCs w:val="24"/>
        </w:rPr>
        <w:t>was punishable by a</w:t>
      </w:r>
      <w:r w:rsidRPr="00AD5D24">
        <w:rPr>
          <w:rFonts w:ascii="Times New Roman" w:hAnsi="Times New Roman" w:cs="Times New Roman"/>
          <w:szCs w:val="24"/>
        </w:rPr>
        <w:t xml:space="preserve"> single prison term</w:t>
      </w:r>
      <w:r w:rsidRPr="00AD5D24">
        <w:rPr>
          <w:rStyle w:val="FootnoteReference"/>
          <w:rFonts w:ascii="Times New Roman" w:hAnsi="Times New Roman" w:cs="Times New Roman"/>
          <w:szCs w:val="24"/>
        </w:rPr>
        <w:footnoteReference w:id="6"/>
      </w:r>
      <w:r w:rsidRPr="00AD5D24">
        <w:rPr>
          <w:rFonts w:ascii="Times New Roman" w:hAnsi="Times New Roman" w:cs="Times New Roman"/>
          <w:szCs w:val="24"/>
        </w:rPr>
        <w:t>.</w:t>
      </w:r>
    </w:p>
    <w:p w:rsidRPr="00105A3A" w:rsidR="0069329A" w:rsidP="0069329A" w:rsidRDefault="0069329A" w14:paraId="7A5A7866" w14:textId="3FB8D433">
      <w:pPr>
        <w:pStyle w:val="OpiPara"/>
        <w:rPr>
          <w:lang w:val="en-GB"/>
        </w:rPr>
      </w:pPr>
      <w:r w:rsidRPr="00105A3A">
        <w:rPr>
          <w:lang w:val="en-GB"/>
        </w:rPr>
        <w:t>3.  The concept of a continuous offence was enshrined in statute for the first time in Tuscany by the Law of 30 August 1795</w:t>
      </w:r>
      <w:r w:rsidR="00332479">
        <w:rPr>
          <w:lang w:val="en-GB"/>
        </w:rPr>
        <w:t>, which</w:t>
      </w:r>
      <w:r w:rsidRPr="00105A3A">
        <w:rPr>
          <w:lang w:val="en-GB"/>
        </w:rPr>
        <w:t xml:space="preserve"> punished as a continuous offence all thefts committed to the detriment of one or more persons as long as they had been committed within a </w:t>
      </w:r>
      <w:r w:rsidR="00332479">
        <w:rPr>
          <w:lang w:val="en-GB"/>
        </w:rPr>
        <w:t xml:space="preserve">twenty-four </w:t>
      </w:r>
      <w:r w:rsidRPr="00105A3A">
        <w:rPr>
          <w:lang w:val="en-GB"/>
        </w:rPr>
        <w:t>hour period</w:t>
      </w:r>
      <w:r w:rsidR="00794682">
        <w:rPr>
          <w:lang w:val="en-GB"/>
        </w:rPr>
        <w:t>. Article</w:t>
      </w:r>
      <w:r w:rsidR="00332479">
        <w:rPr>
          <w:lang w:val="en-GB"/>
        </w:rPr>
        <w:t xml:space="preserve"> </w:t>
      </w:r>
      <w:r w:rsidRPr="00105A3A">
        <w:rPr>
          <w:lang w:val="en-GB"/>
        </w:rPr>
        <w:t xml:space="preserve">80 of the 1853 </w:t>
      </w:r>
      <w:r w:rsidR="00332479">
        <w:rPr>
          <w:lang w:val="en-GB"/>
        </w:rPr>
        <w:t>Criminal</w:t>
      </w:r>
      <w:r w:rsidRPr="00105A3A" w:rsidR="00332479">
        <w:rPr>
          <w:lang w:val="en-GB"/>
        </w:rPr>
        <w:t xml:space="preserve"> </w:t>
      </w:r>
      <w:r w:rsidRPr="00105A3A">
        <w:rPr>
          <w:lang w:val="en-GB"/>
        </w:rPr>
        <w:t>Code of Tuscany included a general provision extending this concept to crimes other than theft</w:t>
      </w:r>
      <w:r w:rsidRPr="00105A3A">
        <w:rPr>
          <w:rStyle w:val="FootnoteReference"/>
          <w:rFonts w:ascii="Times New Roman" w:hAnsi="Times New Roman" w:cs="Times New Roman"/>
          <w:szCs w:val="24"/>
          <w:lang w:val="en-GB"/>
        </w:rPr>
        <w:footnoteReference w:id="7"/>
      </w:r>
      <w:r w:rsidRPr="00105A3A">
        <w:rPr>
          <w:lang w:val="en-GB"/>
        </w:rPr>
        <w:t xml:space="preserve">. This provision was adopted, with minor changes, in Article 79 of the first unified </w:t>
      </w:r>
      <w:r w:rsidR="00042BAB">
        <w:rPr>
          <w:lang w:val="en-GB"/>
        </w:rPr>
        <w:t>C</w:t>
      </w:r>
      <w:r w:rsidRPr="00105A3A">
        <w:rPr>
          <w:lang w:val="en-GB"/>
        </w:rPr>
        <w:t xml:space="preserve">riminal </w:t>
      </w:r>
      <w:r w:rsidR="00042BAB">
        <w:rPr>
          <w:lang w:val="en-GB"/>
        </w:rPr>
        <w:t>C</w:t>
      </w:r>
      <w:r w:rsidRPr="00105A3A">
        <w:rPr>
          <w:lang w:val="en-GB"/>
        </w:rPr>
        <w:t xml:space="preserve">ode of the Kingdom of Italy, the 1889 </w:t>
      </w:r>
      <w:r w:rsidR="00332479">
        <w:rPr>
          <w:lang w:val="en-GB"/>
        </w:rPr>
        <w:t>Criminal</w:t>
      </w:r>
      <w:r w:rsidRPr="00105A3A" w:rsidR="00332479">
        <w:rPr>
          <w:lang w:val="en-GB"/>
        </w:rPr>
        <w:t xml:space="preserve"> </w:t>
      </w:r>
      <w:r w:rsidRPr="00105A3A">
        <w:rPr>
          <w:lang w:val="en-GB"/>
        </w:rPr>
        <w:t xml:space="preserve">Code, known as the </w:t>
      </w:r>
      <w:r w:rsidRPr="00105A3A">
        <w:rPr>
          <w:i/>
          <w:lang w:val="en-GB"/>
        </w:rPr>
        <w:t>Codice Zanardelli.</w:t>
      </w:r>
    </w:p>
    <w:p w:rsidRPr="00105A3A" w:rsidR="0069329A" w:rsidP="0069329A" w:rsidRDefault="0069329A" w14:paraId="7BC9CE86" w14:textId="2253BF4F">
      <w:pPr>
        <w:pStyle w:val="OpiPara"/>
        <w:rPr>
          <w:lang w:val="en-GB"/>
        </w:rPr>
      </w:pPr>
      <w:r w:rsidRPr="00105A3A">
        <w:rPr>
          <w:lang w:val="en-GB"/>
        </w:rPr>
        <w:t xml:space="preserve">In his well-known </w:t>
      </w:r>
      <w:r w:rsidRPr="00105A3A">
        <w:rPr>
          <w:i/>
          <w:lang w:val="en-GB"/>
        </w:rPr>
        <w:t>Programa del corso di diritto penale</w:t>
      </w:r>
      <w:r w:rsidRPr="00105A3A">
        <w:rPr>
          <w:lang w:val="en-GB"/>
        </w:rPr>
        <w:t xml:space="preserve">, Francesco Carrara </w:t>
      </w:r>
      <w:r>
        <w:rPr>
          <w:lang w:val="en-GB"/>
        </w:rPr>
        <w:t>provided the definitive wording for</w:t>
      </w:r>
      <w:r w:rsidRPr="00123B40">
        <w:t xml:space="preserve"> the concept </w:t>
      </w:r>
      <w:r w:rsidRPr="00105A3A">
        <w:rPr>
          <w:lang w:val="en-GB"/>
        </w:rPr>
        <w:t>of a continuous offence</w:t>
      </w:r>
      <w:r w:rsidRPr="00105A3A">
        <w:rPr>
          <w:rStyle w:val="FootnoteReference"/>
          <w:rFonts w:ascii="Times New Roman" w:hAnsi="Times New Roman" w:cs="Times New Roman"/>
          <w:szCs w:val="24"/>
          <w:lang w:val="en-GB"/>
        </w:rPr>
        <w:footnoteReference w:id="8"/>
      </w:r>
      <w:r w:rsidRPr="00105A3A">
        <w:rPr>
          <w:lang w:val="en-GB"/>
        </w:rPr>
        <w:t xml:space="preserve">, the one that would be included in Article 81 of the 1930 </w:t>
      </w:r>
      <w:r w:rsidR="00332479">
        <w:rPr>
          <w:lang w:val="en-GB"/>
        </w:rPr>
        <w:t>Criminal</w:t>
      </w:r>
      <w:r w:rsidRPr="00105A3A" w:rsidR="00332479">
        <w:rPr>
          <w:lang w:val="en-GB"/>
        </w:rPr>
        <w:t xml:space="preserve"> </w:t>
      </w:r>
      <w:r w:rsidRPr="00105A3A">
        <w:rPr>
          <w:lang w:val="en-GB"/>
        </w:rPr>
        <w:t xml:space="preserve">Code, known as the </w:t>
      </w:r>
      <w:r w:rsidRPr="00105A3A">
        <w:rPr>
          <w:i/>
          <w:lang w:val="en-GB"/>
        </w:rPr>
        <w:t>Codice Rocco</w:t>
      </w:r>
      <w:r w:rsidRPr="00105A3A">
        <w:rPr>
          <w:lang w:val="en-GB"/>
        </w:rPr>
        <w:t>. As Carrara had proposed, Article 81 referred to the “same criminal design” (</w:t>
      </w:r>
      <w:r w:rsidR="00332479">
        <w:rPr>
          <w:i/>
          <w:lang w:val="en-GB"/>
        </w:rPr>
        <w:t>medesimo</w:t>
      </w:r>
      <w:r w:rsidRPr="00105A3A" w:rsidR="00332479">
        <w:rPr>
          <w:i/>
          <w:lang w:val="en-GB"/>
        </w:rPr>
        <w:t xml:space="preserve"> </w:t>
      </w:r>
      <w:r w:rsidRPr="00105A3A">
        <w:rPr>
          <w:i/>
          <w:lang w:val="en-GB"/>
        </w:rPr>
        <w:t>disegno criminoso</w:t>
      </w:r>
      <w:r w:rsidRPr="00105A3A">
        <w:rPr>
          <w:lang w:val="en-GB"/>
        </w:rPr>
        <w:t xml:space="preserve">). According to Carrara, it was not the voluntary element of the </w:t>
      </w:r>
      <w:r w:rsidRPr="00105A3A">
        <w:rPr>
          <w:i/>
          <w:lang w:val="en-GB"/>
        </w:rPr>
        <w:t>dolus</w:t>
      </w:r>
      <w:r w:rsidRPr="00105A3A">
        <w:rPr>
          <w:lang w:val="en-GB"/>
        </w:rPr>
        <w:t xml:space="preserve"> that unified the various criminal acts of the offender, but its intellectual element, that is to say, the existence of the same odious idea underlying all his or her acts. Manzini talked about the same criminal project, Carnelutti about the same interest and Leone about the same desire, these diverse formulations being nothing more than variations of the subjective doctrine of Carrara</w:t>
      </w:r>
      <w:r w:rsidRPr="00105A3A">
        <w:rPr>
          <w:rStyle w:val="FootnoteReference"/>
          <w:rFonts w:ascii="Times New Roman" w:hAnsi="Times New Roman" w:cs="Times New Roman"/>
          <w:szCs w:val="24"/>
          <w:lang w:val="en-GB"/>
        </w:rPr>
        <w:footnoteReference w:id="9"/>
      </w:r>
      <w:r w:rsidRPr="00105A3A">
        <w:rPr>
          <w:lang w:val="en-GB"/>
        </w:rPr>
        <w:t xml:space="preserve">. Seen as a mere sentencing rule imposed by the principle of justice, the broadness of this subjective doctrine would permit, for example, the unification of different acts committed against </w:t>
      </w:r>
      <w:r>
        <w:rPr>
          <w:lang w:val="en-GB"/>
        </w:rPr>
        <w:t xml:space="preserve">the </w:t>
      </w:r>
      <w:r w:rsidRPr="00105A3A">
        <w:rPr>
          <w:lang w:val="en-GB"/>
        </w:rPr>
        <w:t>life and limb of different persons.</w:t>
      </w:r>
    </w:p>
    <w:p w:rsidRPr="00105A3A" w:rsidR="0069329A" w:rsidP="0069329A" w:rsidRDefault="0069329A" w14:paraId="0804D30F" w14:textId="01DEFF9D">
      <w:pPr>
        <w:pStyle w:val="OpiPara"/>
        <w:rPr>
          <w:lang w:val="en-GB"/>
        </w:rPr>
      </w:pPr>
      <w:r w:rsidRPr="00105A3A">
        <w:rPr>
          <w:lang w:val="en-GB"/>
        </w:rPr>
        <w:t xml:space="preserve">4.  In France, Article 365 of the Code of Criminal Investigation provided for </w:t>
      </w:r>
      <w:r w:rsidRPr="006D797C">
        <w:t>a</w:t>
      </w:r>
      <w:r>
        <w:t>n overall</w:t>
      </w:r>
      <w:r w:rsidRPr="006D797C">
        <w:t xml:space="preserve"> solution in case</w:t>
      </w:r>
      <w:r>
        <w:t>s</w:t>
      </w:r>
      <w:r w:rsidRPr="006D797C">
        <w:t xml:space="preserve"> </w:t>
      </w:r>
      <w:r>
        <w:t>where</w:t>
      </w:r>
      <w:r w:rsidRPr="006D797C">
        <w:t xml:space="preserve"> various criminal </w:t>
      </w:r>
      <w:r w:rsidRPr="00105A3A">
        <w:rPr>
          <w:lang w:val="en-GB"/>
        </w:rPr>
        <w:t>acts were committed by the same offender: the most severe penalty was always to be applied, regardless of how many acts had been committed or the relationship between them (</w:t>
      </w:r>
      <w:r w:rsidRPr="00105A3A">
        <w:rPr>
          <w:i/>
          <w:lang w:val="en-GB"/>
        </w:rPr>
        <w:t>delictum majus absorvet minus</w:t>
      </w:r>
      <w:r w:rsidRPr="00105A3A">
        <w:rPr>
          <w:lang w:val="en-GB"/>
        </w:rPr>
        <w:t xml:space="preserve">). In view of the principle of absorption, the punishment of a continuous offence was less problematic. The discussion of the problem was transferred to the domain of </w:t>
      </w:r>
      <w:r>
        <w:rPr>
          <w:lang w:val="en-GB"/>
        </w:rPr>
        <w:t>criminal</w:t>
      </w:r>
      <w:r w:rsidRPr="00105A3A">
        <w:rPr>
          <w:lang w:val="en-GB"/>
        </w:rPr>
        <w:t xml:space="preserve"> procedure. When faced with the problem of successive criminal acts committed with the same purpose, the French doctrine, spearheaded by the general prosecutor at the Court of Cassation, Faustin Helie, </w:t>
      </w:r>
      <w:r>
        <w:rPr>
          <w:lang w:val="en-GB"/>
        </w:rPr>
        <w:t>reiterated</w:t>
      </w:r>
      <w:r w:rsidRPr="00105A3A">
        <w:rPr>
          <w:lang w:val="en-GB"/>
        </w:rPr>
        <w:t xml:space="preserve"> the point of view of </w:t>
      </w:r>
      <w:r>
        <w:rPr>
          <w:lang w:val="en-GB"/>
        </w:rPr>
        <w:t xml:space="preserve">the </w:t>
      </w:r>
      <w:r w:rsidRPr="00105A3A">
        <w:rPr>
          <w:lang w:val="en-GB"/>
        </w:rPr>
        <w:t>Italian scholars. The novelty of Helie</w:t>
      </w:r>
      <w:r w:rsidR="001D00E3">
        <w:rPr>
          <w:lang w:val="en-GB"/>
        </w:rPr>
        <w:t>’</w:t>
      </w:r>
      <w:r w:rsidRPr="00105A3A">
        <w:rPr>
          <w:lang w:val="en-GB"/>
        </w:rPr>
        <w:t xml:space="preserve">s approach lay in the procedural inference he drew from the Italian doctrine: when an offender was charged with one or more individual acts making up the continuous offence, he or she could not be charged a second time with a view to being tried for other individual acts making up the continuous offence which </w:t>
      </w:r>
      <w:r>
        <w:rPr>
          <w:lang w:val="en-GB"/>
        </w:rPr>
        <w:t>had</w:t>
      </w:r>
      <w:r w:rsidRPr="00105A3A">
        <w:rPr>
          <w:lang w:val="en-GB"/>
        </w:rPr>
        <w:t xml:space="preserve"> not</w:t>
      </w:r>
      <w:r>
        <w:rPr>
          <w:lang w:val="en-GB"/>
        </w:rPr>
        <w:t xml:space="preserve"> been</w:t>
      </w:r>
      <w:r w:rsidRPr="00105A3A">
        <w:rPr>
          <w:lang w:val="en-GB"/>
        </w:rPr>
        <w:t xml:space="preserve"> taken </w:t>
      </w:r>
      <w:r w:rsidR="00332479">
        <w:rPr>
          <w:lang w:val="en-GB"/>
        </w:rPr>
        <w:t>into</w:t>
      </w:r>
      <w:r w:rsidRPr="00105A3A" w:rsidR="00332479">
        <w:rPr>
          <w:lang w:val="en-GB"/>
        </w:rPr>
        <w:t xml:space="preserve"> </w:t>
      </w:r>
      <w:r w:rsidRPr="00105A3A">
        <w:rPr>
          <w:lang w:val="en-GB"/>
        </w:rPr>
        <w:t>account in the first trial</w:t>
      </w:r>
      <w:r w:rsidRPr="00105A3A">
        <w:rPr>
          <w:rStyle w:val="FootnoteReference"/>
          <w:rFonts w:ascii="Times New Roman" w:hAnsi="Times New Roman" w:cs="Times New Roman"/>
          <w:szCs w:val="24"/>
          <w:lang w:val="en-GB"/>
        </w:rPr>
        <w:footnoteReference w:id="10"/>
      </w:r>
      <w:r w:rsidRPr="00105A3A">
        <w:rPr>
          <w:lang w:val="en-GB"/>
        </w:rPr>
        <w:t xml:space="preserve">. </w:t>
      </w:r>
      <w:r>
        <w:rPr>
          <w:lang w:val="en-GB"/>
        </w:rPr>
        <w:t xml:space="preserve">The principle of </w:t>
      </w:r>
      <w:r>
        <w:rPr>
          <w:i/>
          <w:lang w:val="en-GB"/>
        </w:rPr>
        <w:t>non</w:t>
      </w:r>
      <w:r w:rsidRPr="00105A3A">
        <w:rPr>
          <w:i/>
          <w:lang w:val="en-GB"/>
        </w:rPr>
        <w:t xml:space="preserve"> bis in idem</w:t>
      </w:r>
      <w:r w:rsidRPr="00105A3A">
        <w:rPr>
          <w:lang w:val="en-GB"/>
        </w:rPr>
        <w:t xml:space="preserve"> acted as a bar to such a second trial.</w:t>
      </w:r>
    </w:p>
    <w:p w:rsidRPr="00105A3A" w:rsidR="0069329A" w:rsidP="0069329A" w:rsidRDefault="0069329A" w14:paraId="3C219AF9" w14:textId="6300C934">
      <w:pPr>
        <w:pStyle w:val="OpiPara"/>
        <w:rPr>
          <w:lang w:val="en-GB"/>
        </w:rPr>
      </w:pPr>
      <w:r w:rsidRPr="00105A3A">
        <w:rPr>
          <w:lang w:val="en-GB"/>
        </w:rPr>
        <w:t>5.  The doctrinal discussion took a dramatic turn in Germany, owing to the efforts of some enlightened scholars and open-minded legislat</w:t>
      </w:r>
      <w:r>
        <w:rPr>
          <w:lang w:val="en-GB"/>
        </w:rPr>
        <w:t>ures</w:t>
      </w:r>
      <w:r w:rsidRPr="00105A3A">
        <w:rPr>
          <w:lang w:val="en-GB"/>
        </w:rPr>
        <w:t xml:space="preserve">. Paragraph 110 of the 1813 Bavarian </w:t>
      </w:r>
      <w:r w:rsidR="00577204">
        <w:rPr>
          <w:lang w:val="en-GB"/>
        </w:rPr>
        <w:t>Criminal</w:t>
      </w:r>
      <w:r w:rsidRPr="00105A3A" w:rsidR="00577204">
        <w:rPr>
          <w:lang w:val="en-GB"/>
        </w:rPr>
        <w:t xml:space="preserve"> </w:t>
      </w:r>
      <w:r w:rsidRPr="00105A3A">
        <w:rPr>
          <w:lang w:val="en-GB"/>
        </w:rPr>
        <w:t xml:space="preserve">Code, paragraph 106 of the 1840 Hanover </w:t>
      </w:r>
      <w:r w:rsidR="00577204">
        <w:rPr>
          <w:lang w:val="en-GB"/>
        </w:rPr>
        <w:t>Criminal</w:t>
      </w:r>
      <w:r w:rsidRPr="00105A3A">
        <w:rPr>
          <w:lang w:val="en-GB"/>
        </w:rPr>
        <w:t xml:space="preserve"> Code, paragraph 56 of the B</w:t>
      </w:r>
      <w:r w:rsidR="00C10A26">
        <w:rPr>
          <w:lang w:val="en-GB"/>
        </w:rPr>
        <w:t xml:space="preserve">raunschweig </w:t>
      </w:r>
      <w:r w:rsidR="00577204">
        <w:rPr>
          <w:lang w:val="en-GB"/>
        </w:rPr>
        <w:t>Criminal</w:t>
      </w:r>
      <w:r w:rsidR="00C10A26">
        <w:rPr>
          <w:lang w:val="en-GB"/>
        </w:rPr>
        <w:t xml:space="preserve"> Code, Article</w:t>
      </w:r>
      <w:r w:rsidR="00332479">
        <w:rPr>
          <w:lang w:val="en-GB"/>
        </w:rPr>
        <w:t xml:space="preserve"> </w:t>
      </w:r>
      <w:r w:rsidRPr="00105A3A">
        <w:rPr>
          <w:lang w:val="en-GB"/>
        </w:rPr>
        <w:t xml:space="preserve">112 of the 1841 Hessen </w:t>
      </w:r>
      <w:r w:rsidR="00577204">
        <w:rPr>
          <w:lang w:val="en-GB"/>
        </w:rPr>
        <w:t>Criminal</w:t>
      </w:r>
      <w:r w:rsidRPr="00105A3A">
        <w:rPr>
          <w:lang w:val="en-GB"/>
        </w:rPr>
        <w:t xml:space="preserve"> Code, Article 180 of the 1845 Baden </w:t>
      </w:r>
      <w:r w:rsidR="00577204">
        <w:rPr>
          <w:lang w:val="en-GB"/>
        </w:rPr>
        <w:t>Criminal</w:t>
      </w:r>
      <w:r w:rsidRPr="00105A3A">
        <w:rPr>
          <w:lang w:val="en-GB"/>
        </w:rPr>
        <w:t xml:space="preserve"> Code, and others, introduced a new concept that would spread slowly across all of Europe.</w:t>
      </w:r>
    </w:p>
    <w:p w:rsidRPr="00105A3A" w:rsidR="0069329A" w:rsidP="0069329A" w:rsidRDefault="0069329A" w14:paraId="704328F5" w14:textId="3033BF50">
      <w:pPr>
        <w:pStyle w:val="OpiPara"/>
        <w:rPr>
          <w:lang w:val="en-GB"/>
        </w:rPr>
      </w:pPr>
      <w:r w:rsidRPr="00105A3A">
        <w:rPr>
          <w:lang w:val="en-GB"/>
        </w:rPr>
        <w:t xml:space="preserve">The Bavarian </w:t>
      </w:r>
      <w:r w:rsidR="00577204">
        <w:rPr>
          <w:lang w:val="en-GB"/>
        </w:rPr>
        <w:t>Criminal</w:t>
      </w:r>
      <w:r w:rsidRPr="00105A3A">
        <w:rPr>
          <w:lang w:val="en-GB"/>
        </w:rPr>
        <w:t xml:space="preserve"> Code, under the influence of Feuerbach, made a distinction between </w:t>
      </w:r>
      <w:r w:rsidRPr="006D797C">
        <w:rPr>
          <w:i/>
        </w:rPr>
        <w:t>wiederholtes Verbrechen</w:t>
      </w:r>
      <w:r w:rsidRPr="006D797C">
        <w:t xml:space="preserve">, </w:t>
      </w:r>
      <w:r w:rsidRPr="00105A3A">
        <w:rPr>
          <w:lang w:val="en-GB"/>
        </w:rPr>
        <w:t>a “repeated crime” punished by several penalties when the acts of the offender relate</w:t>
      </w:r>
      <w:r>
        <w:rPr>
          <w:lang w:val="en-GB"/>
        </w:rPr>
        <w:t>d</w:t>
      </w:r>
      <w:r w:rsidRPr="00105A3A">
        <w:rPr>
          <w:lang w:val="en-GB"/>
        </w:rPr>
        <w:t xml:space="preserve"> to different objects, and </w:t>
      </w:r>
      <w:r w:rsidRPr="006D797C">
        <w:rPr>
          <w:i/>
        </w:rPr>
        <w:t>fortgesetztes Verbrechen</w:t>
      </w:r>
      <w:r w:rsidRPr="006D797C">
        <w:t xml:space="preserve">, </w:t>
      </w:r>
      <w:r>
        <w:t xml:space="preserve">a </w:t>
      </w:r>
      <w:r w:rsidRPr="00105A3A">
        <w:rPr>
          <w:lang w:val="en-GB"/>
        </w:rPr>
        <w:t>“continuous crime” punished by a single penalty when the</w:t>
      </w:r>
      <w:r>
        <w:rPr>
          <w:lang w:val="en-GB"/>
        </w:rPr>
        <w:t xml:space="preserve"> offender</w:t>
      </w:r>
      <w:r w:rsidR="001D00E3">
        <w:rPr>
          <w:lang w:val="en-GB"/>
        </w:rPr>
        <w:t>’</w:t>
      </w:r>
      <w:r>
        <w:rPr>
          <w:lang w:val="en-GB"/>
        </w:rPr>
        <w:t>s</w:t>
      </w:r>
      <w:r w:rsidRPr="00105A3A">
        <w:rPr>
          <w:lang w:val="en-GB"/>
        </w:rPr>
        <w:t xml:space="preserve"> acts </w:t>
      </w:r>
      <w:r>
        <w:rPr>
          <w:lang w:val="en-GB"/>
        </w:rPr>
        <w:t>related</w:t>
      </w:r>
      <w:r w:rsidRPr="00105A3A">
        <w:rPr>
          <w:lang w:val="en-GB"/>
        </w:rPr>
        <w:t xml:space="preserve"> to a single object </w:t>
      </w:r>
      <w:r w:rsidRPr="003F52B5">
        <w:t>(</w:t>
      </w:r>
      <w:r w:rsidRPr="003F52B5">
        <w:rPr>
          <w:i/>
        </w:rPr>
        <w:t>an demselben Gegenst</w:t>
      </w:r>
      <w:r w:rsidRPr="002B285A" w:rsidR="00332479">
        <w:rPr>
          <w:i/>
        </w:rPr>
        <w:t>ä</w:t>
      </w:r>
      <w:r w:rsidRPr="003F52B5">
        <w:rPr>
          <w:i/>
        </w:rPr>
        <w:t>nde oder an einer und derselben Person</w:t>
      </w:r>
      <w:r w:rsidRPr="00105A3A">
        <w:rPr>
          <w:lang w:val="en-GB"/>
        </w:rPr>
        <w:t>)</w:t>
      </w:r>
      <w:r w:rsidRPr="00105A3A">
        <w:rPr>
          <w:rStyle w:val="FootnoteReference"/>
          <w:rFonts w:ascii="Times New Roman" w:hAnsi="Times New Roman" w:cs="Times New Roman"/>
          <w:szCs w:val="24"/>
          <w:lang w:val="en-GB"/>
        </w:rPr>
        <w:footnoteReference w:id="11"/>
      </w:r>
      <w:r w:rsidRPr="00105A3A">
        <w:rPr>
          <w:lang w:val="en-GB"/>
        </w:rPr>
        <w:t>. Mittermaier</w:t>
      </w:r>
      <w:r w:rsidR="001D00E3">
        <w:rPr>
          <w:lang w:val="en-GB"/>
        </w:rPr>
        <w:t>’</w:t>
      </w:r>
      <w:r w:rsidRPr="00105A3A">
        <w:rPr>
          <w:lang w:val="en-GB"/>
        </w:rPr>
        <w:t xml:space="preserve">s famous critique of the terms of this distinction had the immense value of opening up a theoretical discussion on the meaning of the concept of “one and the same object”, </w:t>
      </w:r>
      <w:r>
        <w:rPr>
          <w:lang w:val="en-GB"/>
        </w:rPr>
        <w:t xml:space="preserve">a discussion </w:t>
      </w:r>
      <w:r w:rsidRPr="00105A3A">
        <w:rPr>
          <w:lang w:val="en-GB"/>
        </w:rPr>
        <w:t>which is not yet closed</w:t>
      </w:r>
      <w:r w:rsidRPr="00105A3A">
        <w:rPr>
          <w:rStyle w:val="FootnoteReference"/>
          <w:rFonts w:ascii="Times New Roman" w:hAnsi="Times New Roman" w:cs="Times New Roman"/>
          <w:szCs w:val="24"/>
          <w:lang w:val="en-GB"/>
        </w:rPr>
        <w:footnoteReference w:id="12"/>
      </w:r>
      <w:r w:rsidRPr="00105A3A">
        <w:rPr>
          <w:lang w:val="en-GB"/>
        </w:rPr>
        <w:t>. It was not, as Feuerbach claimed, the sole fact that the object of the offence was the same, nor, as the Italian scholars taught, the intellectual element alone that unified the various individual acts committed by the offender, but rather the unity of the offender</w:t>
      </w:r>
      <w:r w:rsidR="001D00E3">
        <w:rPr>
          <w:lang w:val="en-GB"/>
        </w:rPr>
        <w:t>’</w:t>
      </w:r>
      <w:r w:rsidRPr="00105A3A">
        <w:rPr>
          <w:lang w:val="en-GB"/>
        </w:rPr>
        <w:t>s overall resolve to commit the crime, the homogeneity of the various individual acts and the violation of the same legal</w:t>
      </w:r>
      <w:r>
        <w:rPr>
          <w:lang w:val="en-GB"/>
        </w:rPr>
        <w:t>ly protected</w:t>
      </w:r>
      <w:r w:rsidRPr="00105A3A">
        <w:rPr>
          <w:lang w:val="en-GB"/>
        </w:rPr>
        <w:t xml:space="preserve"> interest (</w:t>
      </w:r>
      <w:r w:rsidRPr="00105A3A">
        <w:rPr>
          <w:i/>
          <w:lang w:val="en-GB"/>
        </w:rPr>
        <w:t>Rechtsgut</w:t>
      </w:r>
      <w:r w:rsidRPr="00105A3A">
        <w:rPr>
          <w:lang w:val="en-GB"/>
        </w:rPr>
        <w:t>)</w:t>
      </w:r>
      <w:r w:rsidRPr="00105A3A">
        <w:rPr>
          <w:rStyle w:val="FootnoteReference"/>
          <w:rFonts w:ascii="Times New Roman" w:hAnsi="Times New Roman" w:cs="Times New Roman"/>
          <w:szCs w:val="24"/>
          <w:lang w:val="en-GB"/>
        </w:rPr>
        <w:footnoteReference w:id="13"/>
      </w:r>
      <w:r w:rsidRPr="00105A3A">
        <w:rPr>
          <w:lang w:val="en-GB"/>
        </w:rPr>
        <w:t xml:space="preserve">. </w:t>
      </w:r>
      <w:r w:rsidRPr="003F52B5">
        <w:t xml:space="preserve">Mittermaier </w:t>
      </w:r>
      <w:r>
        <w:t>was correct in his</w:t>
      </w:r>
      <w:r w:rsidRPr="003F52B5">
        <w:t xml:space="preserve"> intuition that </w:t>
      </w:r>
      <w:r>
        <w:t xml:space="preserve">imposing </w:t>
      </w:r>
      <w:r w:rsidRPr="003F52B5">
        <w:t xml:space="preserve">a lighter punishment </w:t>
      </w:r>
      <w:r>
        <w:t>for</w:t>
      </w:r>
      <w:r w:rsidRPr="003F52B5">
        <w:t xml:space="preserve"> a </w:t>
      </w:r>
      <w:r w:rsidRPr="00105A3A">
        <w:rPr>
          <w:lang w:val="en-GB"/>
        </w:rPr>
        <w:t>continuous offence was justified by the fact that the repetition of the individual criminal acts and the offender</w:t>
      </w:r>
      <w:r w:rsidR="001D00E3">
        <w:rPr>
          <w:lang w:val="en-GB"/>
        </w:rPr>
        <w:t>’</w:t>
      </w:r>
      <w:r w:rsidRPr="00105A3A">
        <w:rPr>
          <w:lang w:val="en-GB"/>
        </w:rPr>
        <w:t>s renewed criminal purpose were “facilitated” by the material circumstances involving the offender</w:t>
      </w:r>
      <w:r w:rsidRPr="00105A3A">
        <w:rPr>
          <w:rStyle w:val="FootnoteReference"/>
          <w:rFonts w:ascii="Times New Roman" w:hAnsi="Times New Roman" w:cs="Times New Roman"/>
          <w:szCs w:val="24"/>
          <w:lang w:val="en-GB"/>
        </w:rPr>
        <w:footnoteReference w:id="14"/>
      </w:r>
      <w:r w:rsidRPr="00105A3A">
        <w:rPr>
          <w:lang w:val="en-GB"/>
        </w:rPr>
        <w:t>: it is the favo</w:t>
      </w:r>
      <w:r>
        <w:rPr>
          <w:lang w:val="en-GB"/>
        </w:rPr>
        <w:t>u</w:t>
      </w:r>
      <w:r w:rsidRPr="00105A3A">
        <w:rPr>
          <w:lang w:val="en-GB"/>
        </w:rPr>
        <w:t xml:space="preserve">rable external situation surrounding the offender which leads him or her to violate the same or similar legal interest on two or more occasions within a short period of time. The justification for imposing a more lenient punishment lies precisely in </w:t>
      </w:r>
      <w:r w:rsidRPr="003F52B5">
        <w:t xml:space="preserve">the </w:t>
      </w:r>
      <w:r>
        <w:t>lesser</w:t>
      </w:r>
      <w:r w:rsidRPr="003F52B5">
        <w:t xml:space="preserve"> guilt of </w:t>
      </w:r>
      <w:r w:rsidRPr="00105A3A">
        <w:rPr>
          <w:lang w:val="en-GB"/>
        </w:rPr>
        <w:t>the offender, who is driven by favo</w:t>
      </w:r>
      <w:r>
        <w:rPr>
          <w:lang w:val="en-GB"/>
        </w:rPr>
        <w:t>u</w:t>
      </w:r>
      <w:r w:rsidRPr="00105A3A">
        <w:rPr>
          <w:lang w:val="en-GB"/>
        </w:rPr>
        <w:t xml:space="preserve">rable external circumstances to repeat the crime. This perspective gained support in the German Imperial Court, which acknowledged the concept of </w:t>
      </w:r>
      <w:r>
        <w:rPr>
          <w:lang w:val="en-GB"/>
        </w:rPr>
        <w:t xml:space="preserve">a </w:t>
      </w:r>
      <w:r w:rsidRPr="00105A3A">
        <w:rPr>
          <w:lang w:val="en-GB"/>
        </w:rPr>
        <w:t xml:space="preserve">continuous offence in spite of the silence of the Imperial </w:t>
      </w:r>
      <w:r w:rsidR="00577204">
        <w:rPr>
          <w:lang w:val="en-GB"/>
        </w:rPr>
        <w:t>Criminal</w:t>
      </w:r>
      <w:r w:rsidRPr="00105A3A">
        <w:rPr>
          <w:lang w:val="en-GB"/>
        </w:rPr>
        <w:t xml:space="preserve"> Code of 1871 and the partial abolition of the rule of </w:t>
      </w:r>
      <w:r w:rsidRPr="00B37369">
        <w:rPr>
          <w:lang w:val="en-GB"/>
        </w:rPr>
        <w:t xml:space="preserve">strict </w:t>
      </w:r>
      <w:r w:rsidRPr="00105A3A">
        <w:rPr>
          <w:lang w:val="en-GB"/>
        </w:rPr>
        <w:t>accumulation of penalties</w:t>
      </w:r>
      <w:r w:rsidRPr="00105A3A">
        <w:rPr>
          <w:rStyle w:val="FootnoteReference"/>
          <w:rFonts w:ascii="Times New Roman" w:hAnsi="Times New Roman" w:cs="Times New Roman"/>
          <w:szCs w:val="24"/>
          <w:lang w:val="en-GB"/>
        </w:rPr>
        <w:footnoteReference w:id="15"/>
      </w:r>
      <w:r w:rsidRPr="00105A3A">
        <w:rPr>
          <w:lang w:val="en-GB"/>
        </w:rPr>
        <w:t xml:space="preserve">. Subsequently, the concept spread all over Europe, in some countries </w:t>
      </w:r>
      <w:r>
        <w:rPr>
          <w:lang w:val="en-GB"/>
        </w:rPr>
        <w:t xml:space="preserve">even </w:t>
      </w:r>
      <w:r w:rsidRPr="00105A3A">
        <w:rPr>
          <w:lang w:val="en-GB"/>
        </w:rPr>
        <w:t>being converted into statute law. Understood as a case of legal unity of the offender</w:t>
      </w:r>
      <w:r w:rsidR="001D00E3">
        <w:rPr>
          <w:lang w:val="en-GB"/>
        </w:rPr>
        <w:t>’</w:t>
      </w:r>
      <w:r w:rsidRPr="00105A3A">
        <w:rPr>
          <w:lang w:val="en-GB"/>
        </w:rPr>
        <w:t>s conduct (</w:t>
      </w:r>
      <w:r w:rsidRPr="00105A3A">
        <w:rPr>
          <w:i/>
          <w:lang w:val="en-GB"/>
        </w:rPr>
        <w:t>juristische Handlungseinheit</w:t>
      </w:r>
      <w:r w:rsidRPr="00105A3A">
        <w:rPr>
          <w:lang w:val="en-GB"/>
        </w:rPr>
        <w:t xml:space="preserve">) in criminal </w:t>
      </w:r>
      <w:r>
        <w:rPr>
          <w:lang w:val="en-GB"/>
        </w:rPr>
        <w:t>responsibility</w:t>
      </w:r>
      <w:r w:rsidRPr="00105A3A">
        <w:rPr>
          <w:lang w:val="en-GB"/>
        </w:rPr>
        <w:t xml:space="preserve"> theory, the continuous offence is based on the renewed purpose of the offender to take advantage of a constant set of favourable external circumstances </w:t>
      </w:r>
      <w:r>
        <w:rPr>
          <w:lang w:val="en-GB"/>
        </w:rPr>
        <w:t xml:space="preserve">in order </w:t>
      </w:r>
      <w:r w:rsidRPr="00105A3A">
        <w:rPr>
          <w:lang w:val="en-GB"/>
        </w:rPr>
        <w:t xml:space="preserve">to attack the same or similar legal </w:t>
      </w:r>
      <w:r>
        <w:rPr>
          <w:lang w:val="en-GB"/>
        </w:rPr>
        <w:t>interest</w:t>
      </w:r>
      <w:r w:rsidRPr="00105A3A">
        <w:rPr>
          <w:lang w:val="en-GB"/>
        </w:rPr>
        <w:t xml:space="preserve"> and not necessari</w:t>
      </w:r>
      <w:r w:rsidR="00D71E61">
        <w:rPr>
          <w:lang w:val="en-GB"/>
        </w:rPr>
        <w:t>ly the same criminal provision.</w:t>
      </w:r>
    </w:p>
    <w:p w:rsidRPr="00105A3A" w:rsidR="0069329A" w:rsidP="0069329A" w:rsidRDefault="0069329A" w14:paraId="5B872B6C" w14:textId="77777777">
      <w:pPr>
        <w:pStyle w:val="OpiPara"/>
        <w:rPr>
          <w:lang w:val="en-GB"/>
        </w:rPr>
      </w:pPr>
      <w:r w:rsidRPr="00105A3A">
        <w:rPr>
          <w:lang w:val="en-GB"/>
        </w:rPr>
        <w:t xml:space="preserve">6.  It is noteworthy that </w:t>
      </w:r>
      <w:r>
        <w:rPr>
          <w:lang w:val="en-GB"/>
        </w:rPr>
        <w:t xml:space="preserve">Germany, </w:t>
      </w:r>
      <w:r w:rsidRPr="00105A3A">
        <w:rPr>
          <w:lang w:val="en-GB"/>
        </w:rPr>
        <w:t xml:space="preserve">the birthplace of this new, mixed substantive concept of a continuous offence, never took the additional step of enshrining it in criminal statute and almost abandoned </w:t>
      </w:r>
      <w:r>
        <w:rPr>
          <w:lang w:val="en-GB"/>
        </w:rPr>
        <w:t>the</w:t>
      </w:r>
      <w:r w:rsidRPr="00105A3A">
        <w:rPr>
          <w:lang w:val="en-GB"/>
        </w:rPr>
        <w:t xml:space="preserve"> concept in a guideline </w:t>
      </w:r>
      <w:r>
        <w:rPr>
          <w:lang w:val="en-GB"/>
        </w:rPr>
        <w:t>issued by</w:t>
      </w:r>
      <w:r w:rsidRPr="00105A3A">
        <w:rPr>
          <w:lang w:val="en-GB"/>
        </w:rPr>
        <w:t xml:space="preserve"> the Federal Supreme Court in 1994, which reserved the application of the continuous offence </w:t>
      </w:r>
      <w:r>
        <w:rPr>
          <w:lang w:val="en-GB"/>
        </w:rPr>
        <w:t>for</w:t>
      </w:r>
      <w:r w:rsidRPr="00105A3A">
        <w:rPr>
          <w:lang w:val="en-GB"/>
        </w:rPr>
        <w:t xml:space="preserve"> exceptional cases</w:t>
      </w:r>
      <w:r w:rsidRPr="00105A3A">
        <w:rPr>
          <w:rStyle w:val="FootnoteReference"/>
          <w:rFonts w:ascii="Times New Roman" w:hAnsi="Times New Roman" w:cs="Times New Roman"/>
          <w:szCs w:val="24"/>
          <w:lang w:val="en-GB"/>
        </w:rPr>
        <w:footnoteReference w:id="16"/>
      </w:r>
      <w:r w:rsidRPr="00105A3A">
        <w:rPr>
          <w:lang w:val="en-GB"/>
        </w:rPr>
        <w:t>. Criminal</w:t>
      </w:r>
      <w:r>
        <w:rPr>
          <w:lang w:val="en-GB"/>
        </w:rPr>
        <w:noBreakHyphen/>
      </w:r>
      <w:r w:rsidRPr="00105A3A">
        <w:rPr>
          <w:lang w:val="en-GB"/>
        </w:rPr>
        <w:t xml:space="preserve">policy reasons explain </w:t>
      </w:r>
      <w:r>
        <w:rPr>
          <w:lang w:val="en-GB"/>
        </w:rPr>
        <w:t>this move</w:t>
      </w:r>
      <w:r w:rsidRPr="00105A3A">
        <w:rPr>
          <w:rStyle w:val="FootnoteReference"/>
          <w:rFonts w:ascii="Times New Roman" w:hAnsi="Times New Roman" w:cs="Times New Roman"/>
          <w:szCs w:val="24"/>
          <w:lang w:val="en-GB"/>
        </w:rPr>
        <w:footnoteReference w:id="17"/>
      </w:r>
      <w:r w:rsidRPr="00105A3A">
        <w:rPr>
          <w:lang w:val="en-GB"/>
        </w:rPr>
        <w:t xml:space="preserve">. The frequent </w:t>
      </w:r>
      <w:r>
        <w:rPr>
          <w:lang w:val="en-GB"/>
        </w:rPr>
        <w:t>criticism</w:t>
      </w:r>
      <w:r w:rsidRPr="00105A3A">
        <w:rPr>
          <w:lang w:val="en-GB"/>
        </w:rPr>
        <w:t xml:space="preserve"> heard in the political arena was that </w:t>
      </w:r>
      <w:r>
        <w:rPr>
          <w:lang w:val="en-GB"/>
        </w:rPr>
        <w:t xml:space="preserve">the concept of a </w:t>
      </w:r>
      <w:r w:rsidRPr="00105A3A">
        <w:rPr>
          <w:lang w:val="en-GB"/>
        </w:rPr>
        <w:t>continuous offence favo</w:t>
      </w:r>
      <w:r>
        <w:rPr>
          <w:lang w:val="en-GB"/>
        </w:rPr>
        <w:t>u</w:t>
      </w:r>
      <w:r w:rsidRPr="00105A3A">
        <w:rPr>
          <w:lang w:val="en-GB"/>
        </w:rPr>
        <w:t xml:space="preserve">red recidivism and weakened the legal </w:t>
      </w:r>
      <w:r>
        <w:rPr>
          <w:lang w:val="en-GB"/>
        </w:rPr>
        <w:t>force</w:t>
      </w:r>
      <w:r w:rsidRPr="00105A3A">
        <w:rPr>
          <w:lang w:val="en-GB"/>
        </w:rPr>
        <w:t xml:space="preserve"> of social rules, since it treated offender</w:t>
      </w:r>
      <w:r>
        <w:rPr>
          <w:lang w:val="en-GB"/>
        </w:rPr>
        <w:t>s</w:t>
      </w:r>
      <w:r w:rsidRPr="00105A3A">
        <w:rPr>
          <w:lang w:val="en-GB"/>
        </w:rPr>
        <w:t xml:space="preserve"> who commit</w:t>
      </w:r>
      <w:r>
        <w:rPr>
          <w:lang w:val="en-GB"/>
        </w:rPr>
        <w:t>ted</w:t>
      </w:r>
      <w:r w:rsidRPr="00105A3A">
        <w:rPr>
          <w:lang w:val="en-GB"/>
        </w:rPr>
        <w:t xml:space="preserve"> various criminal acts </w:t>
      </w:r>
      <w:r>
        <w:rPr>
          <w:lang w:val="en-GB"/>
        </w:rPr>
        <w:t>with</w:t>
      </w:r>
      <w:r w:rsidRPr="00105A3A">
        <w:rPr>
          <w:lang w:val="en-GB"/>
        </w:rPr>
        <w:t xml:space="preserve">in a short period of time in an excessively lenient way. In line with this </w:t>
      </w:r>
      <w:r>
        <w:rPr>
          <w:lang w:val="en-GB"/>
        </w:rPr>
        <w:t>criticism</w:t>
      </w:r>
      <w:r w:rsidRPr="00105A3A">
        <w:rPr>
          <w:lang w:val="en-GB"/>
        </w:rPr>
        <w:t xml:space="preserve">, a harsh criminal policy </w:t>
      </w:r>
      <w:r>
        <w:rPr>
          <w:lang w:val="en-GB"/>
        </w:rPr>
        <w:t xml:space="preserve">prevailed that was </w:t>
      </w:r>
      <w:r w:rsidRPr="00105A3A">
        <w:rPr>
          <w:lang w:val="en-GB"/>
        </w:rPr>
        <w:t>incompatible with the liberal ratio</w:t>
      </w:r>
      <w:r>
        <w:rPr>
          <w:lang w:val="en-GB"/>
        </w:rPr>
        <w:t>nale behind</w:t>
      </w:r>
      <w:r w:rsidRPr="00105A3A">
        <w:rPr>
          <w:lang w:val="en-GB"/>
        </w:rPr>
        <w:t xml:space="preserve"> the concept of </w:t>
      </w:r>
      <w:r>
        <w:rPr>
          <w:lang w:val="en-GB"/>
        </w:rPr>
        <w:t xml:space="preserve">a </w:t>
      </w:r>
      <w:r w:rsidRPr="00105A3A">
        <w:rPr>
          <w:lang w:val="en-GB"/>
        </w:rPr>
        <w:t>continuous offence.</w:t>
      </w:r>
    </w:p>
    <w:p w:rsidRPr="00105A3A" w:rsidR="0069329A" w:rsidP="0069329A" w:rsidRDefault="0069329A" w14:paraId="6B99C824" w14:textId="0AD69B53">
      <w:pPr>
        <w:pStyle w:val="OpiPara"/>
        <w:rPr>
          <w:lang w:val="en-GB"/>
        </w:rPr>
      </w:pPr>
      <w:r w:rsidRPr="00105A3A">
        <w:rPr>
          <w:lang w:val="en-GB"/>
        </w:rPr>
        <w:t xml:space="preserve">It is not a minor achievement of this Grand Chamber judgment to prove that this rhetoric has not been heard in most European countries, which </w:t>
      </w:r>
      <w:r>
        <w:rPr>
          <w:lang w:val="en-GB"/>
        </w:rPr>
        <w:t xml:space="preserve">have </w:t>
      </w:r>
      <w:r w:rsidRPr="00105A3A">
        <w:rPr>
          <w:lang w:val="en-GB"/>
        </w:rPr>
        <w:t xml:space="preserve">kept their legislation as </w:t>
      </w:r>
      <w:r>
        <w:rPr>
          <w:lang w:val="en-GB"/>
        </w:rPr>
        <w:t>it was</w:t>
      </w:r>
      <w:r w:rsidRPr="00105A3A">
        <w:rPr>
          <w:lang w:val="en-GB"/>
        </w:rPr>
        <w:t xml:space="preserve"> prior to the</w:t>
      </w:r>
      <w:r>
        <w:rPr>
          <w:lang w:val="en-GB"/>
        </w:rPr>
        <w:t xml:space="preserve"> 1994</w:t>
      </w:r>
      <w:r w:rsidRPr="00105A3A">
        <w:rPr>
          <w:lang w:val="en-GB"/>
        </w:rPr>
        <w:t xml:space="preserve"> German judgment and even established the concept of </w:t>
      </w:r>
      <w:r>
        <w:rPr>
          <w:lang w:val="en-GB"/>
        </w:rPr>
        <w:t xml:space="preserve">a </w:t>
      </w:r>
      <w:r w:rsidRPr="00105A3A">
        <w:rPr>
          <w:lang w:val="en-GB"/>
        </w:rPr>
        <w:t xml:space="preserve">continuous offence in codes which were approved and </w:t>
      </w:r>
      <w:r w:rsidR="00910AB3">
        <w:rPr>
          <w:lang w:val="en-GB"/>
        </w:rPr>
        <w:t>came</w:t>
      </w:r>
      <w:r w:rsidRPr="00105A3A" w:rsidR="00910AB3">
        <w:rPr>
          <w:lang w:val="en-GB"/>
        </w:rPr>
        <w:t xml:space="preserve"> </w:t>
      </w:r>
      <w:r w:rsidRPr="00105A3A">
        <w:rPr>
          <w:lang w:val="en-GB"/>
        </w:rPr>
        <w:t>into force after that judgment</w:t>
      </w:r>
      <w:r w:rsidRPr="00105A3A">
        <w:rPr>
          <w:rStyle w:val="FootnoteReference"/>
          <w:rFonts w:ascii="Times New Roman" w:hAnsi="Times New Roman" w:cs="Times New Roman"/>
          <w:szCs w:val="24"/>
          <w:lang w:val="en-GB"/>
        </w:rPr>
        <w:footnoteReference w:id="18"/>
      </w:r>
      <w:r w:rsidRPr="00105A3A">
        <w:rPr>
          <w:lang w:val="en-GB"/>
        </w:rPr>
        <w:t>.</w:t>
      </w:r>
    </w:p>
    <w:p w:rsidRPr="00105A3A" w:rsidR="0069329A" w:rsidP="00AC3E3E" w:rsidRDefault="0069329A" w14:paraId="65759425" w14:textId="77777777">
      <w:pPr>
        <w:pStyle w:val="OpiHA"/>
        <w:rPr>
          <w:lang w:val="en-GB"/>
        </w:rPr>
      </w:pPr>
      <w:r w:rsidRPr="00105A3A">
        <w:rPr>
          <w:lang w:val="en-GB"/>
        </w:rPr>
        <w:t>The continuous offence</w:t>
      </w:r>
      <w:r>
        <w:rPr>
          <w:lang w:val="en-GB"/>
        </w:rPr>
        <w:t xml:space="preserve"> in the present day</w:t>
      </w:r>
    </w:p>
    <w:p w:rsidRPr="00105A3A" w:rsidR="0069329A" w:rsidP="0069329A" w:rsidRDefault="0069329A" w14:paraId="6AC1327F" w14:textId="536593A9">
      <w:pPr>
        <w:pStyle w:val="OpiPara"/>
        <w:rPr>
          <w:lang w:val="en-GB"/>
        </w:rPr>
      </w:pPr>
      <w:r w:rsidRPr="00105A3A">
        <w:rPr>
          <w:lang w:val="en-GB"/>
        </w:rPr>
        <w:t xml:space="preserve">7.  In European legal tradition, the rules on </w:t>
      </w:r>
      <w:r w:rsidRPr="00105A3A">
        <w:rPr>
          <w:i/>
          <w:lang w:val="en-GB"/>
        </w:rPr>
        <w:t>concursus delictorum</w:t>
      </w:r>
      <w:r w:rsidRPr="00105A3A">
        <w:rPr>
          <w:lang w:val="en-GB"/>
        </w:rPr>
        <w:t xml:space="preserve"> are strictly depend</w:t>
      </w:r>
      <w:r w:rsidR="002922E9">
        <w:rPr>
          <w:lang w:val="en-GB"/>
        </w:rPr>
        <w:t>ent on (a</w:t>
      </w:r>
      <w:r w:rsidRPr="00105A3A">
        <w:rPr>
          <w:lang w:val="en-GB"/>
        </w:rPr>
        <w:t xml:space="preserve">) </w:t>
      </w:r>
      <w:r>
        <w:rPr>
          <w:lang w:val="en-GB"/>
        </w:rPr>
        <w:t xml:space="preserve">the </w:t>
      </w:r>
      <w:r w:rsidRPr="00105A3A">
        <w:rPr>
          <w:lang w:val="en-GB"/>
        </w:rPr>
        <w:t xml:space="preserve">principle of legality, both in its </w:t>
      </w:r>
      <w:r>
        <w:rPr>
          <w:i/>
          <w:lang w:val="en-GB"/>
        </w:rPr>
        <w:t>nullum crimen</w:t>
      </w:r>
      <w:r w:rsidRPr="00105A3A">
        <w:rPr>
          <w:i/>
          <w:lang w:val="en-GB"/>
        </w:rPr>
        <w:t xml:space="preserve"> sine </w:t>
      </w:r>
      <w:r>
        <w:rPr>
          <w:i/>
          <w:lang w:val="en-GB"/>
        </w:rPr>
        <w:t>lege</w:t>
      </w:r>
      <w:r w:rsidRPr="00105A3A">
        <w:rPr>
          <w:i/>
          <w:lang w:val="en-GB"/>
        </w:rPr>
        <w:t xml:space="preserve"> praevia </w:t>
      </w:r>
      <w:r w:rsidRPr="00105A3A">
        <w:rPr>
          <w:lang w:val="en-GB"/>
        </w:rPr>
        <w:t>and</w:t>
      </w:r>
      <w:r w:rsidRPr="00105A3A">
        <w:rPr>
          <w:i/>
          <w:lang w:val="en-GB"/>
        </w:rPr>
        <w:t xml:space="preserve"> nulla poena sine </w:t>
      </w:r>
      <w:r>
        <w:rPr>
          <w:i/>
          <w:lang w:val="en-GB"/>
        </w:rPr>
        <w:t>lege</w:t>
      </w:r>
      <w:r w:rsidRPr="00105A3A">
        <w:rPr>
          <w:i/>
          <w:lang w:val="en-GB"/>
        </w:rPr>
        <w:t xml:space="preserve"> praevia </w:t>
      </w:r>
      <w:r w:rsidRPr="00105A3A">
        <w:rPr>
          <w:lang w:val="en-GB"/>
        </w:rPr>
        <w:t>components,</w:t>
      </w:r>
      <w:r w:rsidRPr="00105A3A">
        <w:rPr>
          <w:i/>
          <w:lang w:val="en-GB"/>
        </w:rPr>
        <w:t xml:space="preserve"> </w:t>
      </w:r>
      <w:r w:rsidRPr="00105A3A">
        <w:rPr>
          <w:lang w:val="en-GB"/>
        </w:rPr>
        <w:t xml:space="preserve">which requires the prosecutor to charge the offender with the exact offence committed under the law in force at the material time, and, </w:t>
      </w:r>
      <w:r>
        <w:rPr>
          <w:lang w:val="en-GB"/>
        </w:rPr>
        <w:t>once</w:t>
      </w:r>
      <w:r w:rsidRPr="00105A3A">
        <w:rPr>
          <w:lang w:val="en-GB"/>
        </w:rPr>
        <w:t xml:space="preserve"> its constituent elements</w:t>
      </w:r>
      <w:r>
        <w:rPr>
          <w:lang w:val="en-GB"/>
        </w:rPr>
        <w:t xml:space="preserve"> have been made out</w:t>
      </w:r>
      <w:r w:rsidRPr="00105A3A">
        <w:rPr>
          <w:lang w:val="en-GB"/>
        </w:rPr>
        <w:t xml:space="preserve">, </w:t>
      </w:r>
      <w:r>
        <w:rPr>
          <w:lang w:val="en-GB"/>
        </w:rPr>
        <w:t xml:space="preserve">requires </w:t>
      </w:r>
      <w:r w:rsidRPr="00105A3A">
        <w:rPr>
          <w:lang w:val="en-GB"/>
        </w:rPr>
        <w:t xml:space="preserve">the court to convict the offender of that offence and sentence him or her to the corresponding penalties set out in the law in force at that time, and thus precludes, in principle, alternative, cumulative or multiple </w:t>
      </w:r>
      <w:r>
        <w:rPr>
          <w:lang w:val="en-GB"/>
        </w:rPr>
        <w:t>charges</w:t>
      </w:r>
      <w:r w:rsidRPr="00105A3A">
        <w:rPr>
          <w:lang w:val="en-GB"/>
        </w:rPr>
        <w:t xml:space="preserve"> and </w:t>
      </w:r>
      <w:r>
        <w:rPr>
          <w:lang w:val="en-GB"/>
        </w:rPr>
        <w:t>convictions</w:t>
      </w:r>
      <w:r w:rsidRPr="00105A3A">
        <w:rPr>
          <w:lang w:val="en-GB"/>
        </w:rPr>
        <w:t xml:space="preserve"> for the same </w:t>
      </w:r>
      <w:r>
        <w:rPr>
          <w:lang w:val="en-GB"/>
        </w:rPr>
        <w:t>violation of a legally protected interest</w:t>
      </w:r>
      <w:r w:rsidRPr="00105A3A">
        <w:rPr>
          <w:lang w:val="en-GB"/>
        </w:rPr>
        <w:t xml:space="preserve"> and unforeseeable, indeterminate sentencing</w:t>
      </w:r>
      <w:r w:rsidRPr="00105A3A">
        <w:rPr>
          <w:rStyle w:val="FootnoteReference"/>
          <w:rFonts w:ascii="TimesNewRoman" w:hAnsi="TimesNewRoman" w:cs="TimesNewRoman"/>
          <w:szCs w:val="24"/>
          <w:lang w:val="en-GB"/>
        </w:rPr>
        <w:footnoteReference w:id="19"/>
      </w:r>
      <w:r>
        <w:rPr>
          <w:lang w:val="en-GB"/>
        </w:rPr>
        <w:t>;</w:t>
      </w:r>
      <w:r w:rsidR="002922E9">
        <w:rPr>
          <w:lang w:val="en-GB"/>
        </w:rPr>
        <w:t xml:space="preserve"> (b</w:t>
      </w:r>
      <w:r w:rsidRPr="00105A3A">
        <w:rPr>
          <w:lang w:val="en-GB"/>
        </w:rPr>
        <w:t xml:space="preserve">) the purposes of criminal penalties, and in particular the purpose </w:t>
      </w:r>
      <w:r w:rsidRPr="00351F5A">
        <w:rPr>
          <w:szCs w:val="24"/>
        </w:rPr>
        <w:t xml:space="preserve">of </w:t>
      </w:r>
      <w:r w:rsidRPr="00E66ADB">
        <w:t>resocialisation</w:t>
      </w:r>
      <w:r w:rsidRPr="00351F5A">
        <w:rPr>
          <w:szCs w:val="24"/>
        </w:rPr>
        <w:t xml:space="preserve">, </w:t>
      </w:r>
      <w:r w:rsidRPr="00105A3A">
        <w:rPr>
          <w:lang w:val="en-GB"/>
        </w:rPr>
        <w:t>in</w:t>
      </w:r>
      <w:r>
        <w:rPr>
          <w:lang w:val="en-GB"/>
        </w:rPr>
        <w:t xml:space="preserve"> </w:t>
      </w:r>
      <w:r w:rsidRPr="00105A3A">
        <w:rPr>
          <w:lang w:val="en-GB"/>
        </w:rPr>
        <w:t>so</w:t>
      </w:r>
      <w:r>
        <w:rPr>
          <w:lang w:val="en-GB"/>
        </w:rPr>
        <w:t xml:space="preserve"> </w:t>
      </w:r>
      <w:r w:rsidRPr="00105A3A">
        <w:rPr>
          <w:lang w:val="en-GB"/>
        </w:rPr>
        <w:t xml:space="preserve">far </w:t>
      </w:r>
      <w:r>
        <w:rPr>
          <w:lang w:val="en-GB"/>
        </w:rPr>
        <w:t>as</w:t>
      </w:r>
      <w:r w:rsidRPr="00105A3A">
        <w:rPr>
          <w:lang w:val="en-GB"/>
        </w:rPr>
        <w:t xml:space="preserve"> open-ended, indeterminate sentences, </w:t>
      </w:r>
      <w:r>
        <w:rPr>
          <w:lang w:val="en-GB"/>
        </w:rPr>
        <w:t xml:space="preserve">fixed-term </w:t>
      </w:r>
      <w:r w:rsidRPr="00105A3A">
        <w:rPr>
          <w:lang w:val="en-GB"/>
        </w:rPr>
        <w:t xml:space="preserve">sentences that exceed a normal life span or extremely long determinate sentences are at odds with that purpose and therefore the limitation of the </w:t>
      </w:r>
      <w:r>
        <w:rPr>
          <w:lang w:val="en-GB"/>
        </w:rPr>
        <w:t>strict</w:t>
      </w:r>
      <w:r w:rsidRPr="00105A3A">
        <w:rPr>
          <w:lang w:val="en-GB"/>
        </w:rPr>
        <w:t xml:space="preserve"> accumulation of penalties is warranted by it</w:t>
      </w:r>
      <w:r w:rsidRPr="00105A3A">
        <w:rPr>
          <w:rStyle w:val="FootnoteReference"/>
          <w:rFonts w:ascii="TimesNewRoman" w:hAnsi="TimesNewRoman" w:cs="TimesNewRoman"/>
          <w:szCs w:val="24"/>
          <w:lang w:val="en-GB"/>
        </w:rPr>
        <w:footnoteReference w:id="20"/>
      </w:r>
      <w:r>
        <w:rPr>
          <w:lang w:val="en-GB"/>
        </w:rPr>
        <w:t>;</w:t>
      </w:r>
      <w:r w:rsidR="002922E9">
        <w:rPr>
          <w:lang w:val="en-GB"/>
        </w:rPr>
        <w:t xml:space="preserve"> and (c</w:t>
      </w:r>
      <w:r w:rsidRPr="00105A3A">
        <w:rPr>
          <w:lang w:val="en-GB"/>
        </w:rPr>
        <w:t xml:space="preserve">) the principle of </w:t>
      </w:r>
      <w:r w:rsidRPr="00105A3A">
        <w:rPr>
          <w:i/>
          <w:lang w:val="en-GB"/>
        </w:rPr>
        <w:t>non bis in idem</w:t>
      </w:r>
      <w:r w:rsidRPr="00105A3A">
        <w:rPr>
          <w:lang w:val="en-GB"/>
        </w:rPr>
        <w:t>, which prevents an offender from being subject</w:t>
      </w:r>
      <w:r>
        <w:rPr>
          <w:lang w:val="en-GB"/>
        </w:rPr>
        <w:t>ed</w:t>
      </w:r>
      <w:r w:rsidRPr="00105A3A">
        <w:rPr>
          <w:lang w:val="en-GB"/>
        </w:rPr>
        <w:t xml:space="preserve"> to multiple prosecutions or punishments for the same offence and thus applies to </w:t>
      </w:r>
      <w:r>
        <w:rPr>
          <w:lang w:val="en-GB"/>
        </w:rPr>
        <w:t>repeated</w:t>
      </w:r>
      <w:r w:rsidRPr="00105A3A">
        <w:rPr>
          <w:lang w:val="en-GB"/>
        </w:rPr>
        <w:t xml:space="preserve"> punishment of the same offence </w:t>
      </w:r>
      <w:r>
        <w:rPr>
          <w:lang w:val="en-GB"/>
        </w:rPr>
        <w:t>in the course of</w:t>
      </w:r>
      <w:r w:rsidRPr="00105A3A">
        <w:rPr>
          <w:lang w:val="en-GB"/>
        </w:rPr>
        <w:t xml:space="preserve"> one or successive trials. The continuous offence is a case of </w:t>
      </w:r>
      <w:r w:rsidRPr="00105A3A">
        <w:rPr>
          <w:i/>
          <w:lang w:val="en-GB"/>
        </w:rPr>
        <w:t>concursus delictorum</w:t>
      </w:r>
      <w:r w:rsidRPr="00105A3A">
        <w:rPr>
          <w:lang w:val="en-GB"/>
        </w:rPr>
        <w:t xml:space="preserve"> and therefore the rules regulating continuous offence</w:t>
      </w:r>
      <w:r>
        <w:rPr>
          <w:lang w:val="en-GB"/>
        </w:rPr>
        <w:t>s</w:t>
      </w:r>
      <w:r w:rsidRPr="00105A3A">
        <w:rPr>
          <w:lang w:val="en-GB"/>
        </w:rPr>
        <w:t xml:space="preserve"> must </w:t>
      </w:r>
      <w:r>
        <w:rPr>
          <w:lang w:val="en-GB"/>
        </w:rPr>
        <w:t>defer</w:t>
      </w:r>
      <w:r w:rsidRPr="00105A3A">
        <w:rPr>
          <w:lang w:val="en-GB"/>
        </w:rPr>
        <w:t xml:space="preserve"> to the principles referred to above.</w:t>
      </w:r>
    </w:p>
    <w:p w:rsidRPr="00105A3A" w:rsidR="0069329A" w:rsidP="0069329A" w:rsidRDefault="0069329A" w14:paraId="10BB10ED" w14:textId="77777777">
      <w:pPr>
        <w:pStyle w:val="OpiPara"/>
        <w:rPr>
          <w:lang w:val="en-GB"/>
        </w:rPr>
      </w:pPr>
      <w:r w:rsidRPr="00105A3A">
        <w:rPr>
          <w:lang w:val="en-GB"/>
        </w:rPr>
        <w:t>8.  </w:t>
      </w:r>
      <w:r>
        <w:rPr>
          <w:lang w:val="en-GB"/>
        </w:rPr>
        <w:t>Bearing</w:t>
      </w:r>
      <w:r w:rsidRPr="00105A3A">
        <w:rPr>
          <w:lang w:val="en-GB"/>
        </w:rPr>
        <w:t xml:space="preserve"> these principles in mind, the features </w:t>
      </w:r>
      <w:r>
        <w:rPr>
          <w:lang w:val="en-GB"/>
        </w:rPr>
        <w:t>characterising</w:t>
      </w:r>
      <w:r w:rsidRPr="00105A3A">
        <w:rPr>
          <w:lang w:val="en-GB"/>
        </w:rPr>
        <w:t xml:space="preserve"> the concept of a continuous offence, as established by the Grand Chamber, can be further elucidated.</w:t>
      </w:r>
    </w:p>
    <w:p w:rsidRPr="00105A3A" w:rsidR="0069329A" w:rsidP="0069329A" w:rsidRDefault="0069329A" w14:paraId="7384FEF4" w14:textId="77777777">
      <w:pPr>
        <w:pStyle w:val="OpiPara"/>
        <w:rPr>
          <w:lang w:val="en-GB"/>
        </w:rPr>
      </w:pPr>
      <w:r w:rsidRPr="00105A3A">
        <w:rPr>
          <w:lang w:val="en-GB"/>
        </w:rPr>
        <w:t xml:space="preserve">A continuous offence may be established </w:t>
      </w:r>
      <w:r>
        <w:rPr>
          <w:lang w:val="en-GB"/>
        </w:rPr>
        <w:t>where</w:t>
      </w:r>
      <w:r w:rsidRPr="00105A3A">
        <w:rPr>
          <w:lang w:val="en-GB"/>
        </w:rPr>
        <w:t xml:space="preserve"> the perpetrator commits a number of identical </w:t>
      </w:r>
      <w:r>
        <w:rPr>
          <w:lang w:val="en-GB"/>
        </w:rPr>
        <w:t xml:space="preserve">or </w:t>
      </w:r>
      <w:r w:rsidRPr="00105A3A">
        <w:rPr>
          <w:lang w:val="en-GB"/>
        </w:rPr>
        <w:t>similar criminal offences against the same legally protected interest (</w:t>
      </w:r>
      <w:r w:rsidRPr="00105A3A">
        <w:rPr>
          <w:i/>
          <w:lang w:val="en-GB"/>
        </w:rPr>
        <w:t>Rechtsgut, bien juridique, bene giuridico, bem juridico</w:t>
      </w:r>
      <w:r w:rsidRPr="00105A3A">
        <w:rPr>
          <w:lang w:val="en-GB"/>
        </w:rPr>
        <w:t>)</w:t>
      </w:r>
      <w:r w:rsidRPr="00B1394E">
        <w:rPr>
          <w:i/>
        </w:rPr>
        <w:t xml:space="preserve"> </w:t>
      </w:r>
      <w:r w:rsidRPr="00B1394E">
        <w:t>and not necessarily against the same criminal</w:t>
      </w:r>
      <w:r>
        <w:t>-law</w:t>
      </w:r>
      <w:r w:rsidRPr="00B1394E">
        <w:t xml:space="preserve"> provision. Hence, according to the Grand Chamber</w:t>
      </w:r>
      <w:r w:rsidR="001D00E3">
        <w:t>’</w:t>
      </w:r>
      <w:r w:rsidRPr="00B1394E">
        <w:t xml:space="preserve">s reasoning, a continuous offence may include the basic criminal offence, lesser and aggravated forms of that same offence or similar offences </w:t>
      </w:r>
      <w:r>
        <w:rPr>
          <w:lang w:val="en-GB"/>
        </w:rPr>
        <w:t>against</w:t>
      </w:r>
      <w:r w:rsidRPr="00105A3A">
        <w:rPr>
          <w:lang w:val="en-GB"/>
        </w:rPr>
        <w:t xml:space="preserve"> the same legal interest. By contrast, </w:t>
      </w:r>
      <w:r>
        <w:rPr>
          <w:lang w:val="en-GB"/>
        </w:rPr>
        <w:t>a</w:t>
      </w:r>
      <w:r w:rsidRPr="00105A3A">
        <w:rPr>
          <w:lang w:val="en-GB"/>
        </w:rPr>
        <w:t xml:space="preserve"> succession of </w:t>
      </w:r>
      <w:r>
        <w:rPr>
          <w:lang w:val="en-GB"/>
        </w:rPr>
        <w:t xml:space="preserve">criminal acts and non-criminal </w:t>
      </w:r>
      <w:r w:rsidRPr="00105A3A">
        <w:rPr>
          <w:lang w:val="en-GB"/>
        </w:rPr>
        <w:t xml:space="preserve">acts affecting administrative interests (such as </w:t>
      </w:r>
      <w:r w:rsidRPr="00105A3A">
        <w:rPr>
          <w:i/>
          <w:lang w:val="en-GB"/>
        </w:rPr>
        <w:t>Ordnungswidri</w:t>
      </w:r>
      <w:r>
        <w:rPr>
          <w:i/>
          <w:lang w:val="en-GB"/>
        </w:rPr>
        <w:t>g</w:t>
      </w:r>
      <w:r w:rsidRPr="00105A3A">
        <w:rPr>
          <w:i/>
          <w:lang w:val="en-GB"/>
        </w:rPr>
        <w:t>keiten</w:t>
      </w:r>
      <w:r w:rsidRPr="00105A3A">
        <w:rPr>
          <w:lang w:val="en-GB"/>
        </w:rPr>
        <w:t xml:space="preserve">) </w:t>
      </w:r>
      <w:r w:rsidRPr="00B1394E">
        <w:t xml:space="preserve">may not be </w:t>
      </w:r>
      <w:r w:rsidRPr="00105A3A">
        <w:rPr>
          <w:lang w:val="en-GB"/>
        </w:rPr>
        <w:t>unified, and punished, as a continuous offence. In the case of highly personal legally protected interests (</w:t>
      </w:r>
      <w:r>
        <w:rPr>
          <w:i/>
          <w:lang w:val="en-GB"/>
        </w:rPr>
        <w:t>h</w:t>
      </w:r>
      <w:r w:rsidRPr="00105A3A">
        <w:rPr>
          <w:i/>
          <w:lang w:val="en-GB"/>
        </w:rPr>
        <w:t>öchtspersönlicher Rechtsgut</w:t>
      </w:r>
      <w:r w:rsidRPr="00105A3A">
        <w:rPr>
          <w:lang w:val="en-GB"/>
        </w:rPr>
        <w:t xml:space="preserve">), the individual acts must infringe the same legally protected interest, thus excluding </w:t>
      </w:r>
      <w:r>
        <w:rPr>
          <w:lang w:val="en-GB"/>
        </w:rPr>
        <w:t>punishment as a continuous offence</w:t>
      </w:r>
      <w:r w:rsidRPr="00105A3A">
        <w:rPr>
          <w:lang w:val="en-GB"/>
        </w:rPr>
        <w:t xml:space="preserve"> in cases </w:t>
      </w:r>
      <w:r>
        <w:rPr>
          <w:lang w:val="en-GB"/>
        </w:rPr>
        <w:t>involving</w:t>
      </w:r>
      <w:r w:rsidRPr="00105A3A">
        <w:rPr>
          <w:lang w:val="en-GB"/>
        </w:rPr>
        <w:t xml:space="preserve">, for example, </w:t>
      </w:r>
      <w:r>
        <w:rPr>
          <w:lang w:val="en-GB"/>
        </w:rPr>
        <w:t xml:space="preserve">the </w:t>
      </w:r>
      <w:r w:rsidRPr="00105A3A">
        <w:rPr>
          <w:lang w:val="en-GB"/>
        </w:rPr>
        <w:t>killing of several persons or sexual assault of different victims</w:t>
      </w:r>
      <w:r w:rsidRPr="00105A3A">
        <w:rPr>
          <w:rStyle w:val="FootnoteReference"/>
          <w:rFonts w:ascii="Times New Roman" w:hAnsi="Times New Roman" w:cs="Times New Roman"/>
          <w:szCs w:val="24"/>
          <w:lang w:val="en-GB"/>
        </w:rPr>
        <w:footnoteReference w:id="21"/>
      </w:r>
      <w:r w:rsidRPr="00105A3A">
        <w:rPr>
          <w:lang w:val="en-GB"/>
        </w:rPr>
        <w:t>.</w:t>
      </w:r>
    </w:p>
    <w:p w:rsidRPr="000B45E0" w:rsidR="0069329A" w:rsidP="0069329A" w:rsidRDefault="0069329A" w14:paraId="5035D2F2" w14:textId="77777777">
      <w:pPr>
        <w:pStyle w:val="OpiPara"/>
      </w:pPr>
      <w:r w:rsidRPr="00105A3A">
        <w:rPr>
          <w:lang w:val="en-GB"/>
        </w:rPr>
        <w:t>Furthermore, there must be at least a similar</w:t>
      </w:r>
      <w:r>
        <w:rPr>
          <w:lang w:val="en-GB"/>
        </w:rPr>
        <w:t>ity in the</w:t>
      </w:r>
      <w:r w:rsidRPr="00105A3A">
        <w:rPr>
          <w:lang w:val="en-GB"/>
        </w:rPr>
        <w:t xml:space="preserve"> manner of execution of </w:t>
      </w:r>
      <w:r>
        <w:rPr>
          <w:lang w:val="en-GB"/>
        </w:rPr>
        <w:t xml:space="preserve">the </w:t>
      </w:r>
      <w:r w:rsidRPr="00105A3A">
        <w:rPr>
          <w:lang w:val="en-GB"/>
        </w:rPr>
        <w:t>individual acts</w:t>
      </w:r>
      <w:r>
        <w:rPr>
          <w:lang w:val="en-GB"/>
        </w:rPr>
        <w:t>,</w:t>
      </w:r>
      <w:r w:rsidRPr="00105A3A">
        <w:rPr>
          <w:lang w:val="en-GB"/>
        </w:rPr>
        <w:t xml:space="preserve"> or other material circumstances connecting them which constitute a whole. </w:t>
      </w:r>
      <w:r>
        <w:rPr>
          <w:lang w:val="en-GB"/>
        </w:rPr>
        <w:t>This</w:t>
      </w:r>
      <w:r w:rsidRPr="00105A3A">
        <w:rPr>
          <w:lang w:val="en-GB"/>
        </w:rPr>
        <w:t xml:space="preserve"> objective requirement, pertaining to the </w:t>
      </w:r>
      <w:r w:rsidRPr="00105A3A">
        <w:rPr>
          <w:i/>
          <w:lang w:val="en-GB"/>
        </w:rPr>
        <w:t xml:space="preserve">actus </w:t>
      </w:r>
      <w:r w:rsidRPr="00B70D1B">
        <w:rPr>
          <w:i/>
        </w:rPr>
        <w:t>reus</w:t>
      </w:r>
      <w:r w:rsidRPr="00B70D1B">
        <w:t xml:space="preserve"> in the formulation of the Grand Chamber</w:t>
      </w:r>
      <w:r w:rsidRPr="00105A3A">
        <w:rPr>
          <w:lang w:val="en-GB"/>
        </w:rPr>
        <w:t xml:space="preserve">, </w:t>
      </w:r>
      <w:r w:rsidRPr="00214A21">
        <w:t xml:space="preserve">excludes the punishment </w:t>
      </w:r>
      <w:r w:rsidRPr="00105A3A">
        <w:rPr>
          <w:lang w:val="en-GB"/>
        </w:rPr>
        <w:t xml:space="preserve">as a continuous offence of successive criminal acts and omissions by the same offender, or of a succession of acts </w:t>
      </w:r>
      <w:r>
        <w:rPr>
          <w:lang w:val="en-GB"/>
        </w:rPr>
        <w:t xml:space="preserve">committed </w:t>
      </w:r>
      <w:r w:rsidRPr="00105A3A">
        <w:rPr>
          <w:lang w:val="en-GB"/>
        </w:rPr>
        <w:t xml:space="preserve">as a principal offender, an inciter or an accomplice, </w:t>
      </w:r>
      <w:r>
        <w:rPr>
          <w:lang w:val="en-GB"/>
        </w:rPr>
        <w:t>since the</w:t>
      </w:r>
      <w:r w:rsidRPr="00214A21">
        <w:t xml:space="preserve"> </w:t>
      </w:r>
      <w:r>
        <w:t>manner</w:t>
      </w:r>
      <w:r w:rsidRPr="00214A21">
        <w:t xml:space="preserve"> of execution o</w:t>
      </w:r>
      <w:r w:rsidRPr="00105A3A">
        <w:rPr>
          <w:lang w:val="en-GB"/>
        </w:rPr>
        <w:t xml:space="preserve">f the offences </w:t>
      </w:r>
      <w:r>
        <w:rPr>
          <w:lang w:val="en-GB"/>
        </w:rPr>
        <w:t>is fundamentally different</w:t>
      </w:r>
      <w:r w:rsidRPr="00105A3A">
        <w:rPr>
          <w:lang w:val="en-GB"/>
        </w:rPr>
        <w:t xml:space="preserve">, but does not </w:t>
      </w:r>
      <w:r w:rsidRPr="000B45E0">
        <w:t xml:space="preserve">exclude </w:t>
      </w:r>
      <w:r>
        <w:t>punishment as a continuous offence</w:t>
      </w:r>
      <w:r w:rsidRPr="000B45E0">
        <w:t xml:space="preserve"> of </w:t>
      </w:r>
      <w:r>
        <w:t xml:space="preserve">a succession of </w:t>
      </w:r>
      <w:r w:rsidRPr="000B45E0">
        <w:t>accomplished and attempted criminal acts.</w:t>
      </w:r>
    </w:p>
    <w:p w:rsidRPr="007A4A61" w:rsidR="0069329A" w:rsidP="0069329A" w:rsidRDefault="0069329A" w14:paraId="3BEA74F1" w14:textId="4592A5BB">
      <w:pPr>
        <w:pStyle w:val="OpiPara"/>
      </w:pPr>
      <w:r w:rsidRPr="00105A3A">
        <w:rPr>
          <w:lang w:val="en-GB"/>
        </w:rPr>
        <w:t xml:space="preserve">Moreover, the </w:t>
      </w:r>
      <w:r>
        <w:rPr>
          <w:lang w:val="en-GB"/>
        </w:rPr>
        <w:t xml:space="preserve">individual acts must be driven by the </w:t>
      </w:r>
      <w:r w:rsidRPr="00105A3A">
        <w:rPr>
          <w:lang w:val="en-GB"/>
        </w:rPr>
        <w:t>same, renewed criminal purpose</w:t>
      </w:r>
      <w:r w:rsidRPr="000B45E0">
        <w:t xml:space="preserve">, </w:t>
      </w:r>
      <w:r>
        <w:t>in the sense that</w:t>
      </w:r>
      <w:r w:rsidRPr="000B45E0">
        <w:t xml:space="preserve"> the repetition of the criminal intent </w:t>
      </w:r>
      <w:r>
        <w:t xml:space="preserve">must be </w:t>
      </w:r>
      <w:r w:rsidRPr="000B45E0">
        <w:t>determined by external circumstances</w:t>
      </w:r>
      <w:r w:rsidRPr="00105A3A">
        <w:rPr>
          <w:lang w:val="en-GB"/>
        </w:rPr>
        <w:t xml:space="preserve"> that favo</w:t>
      </w:r>
      <w:r>
        <w:rPr>
          <w:lang w:val="en-GB"/>
        </w:rPr>
        <w:t>u</w:t>
      </w:r>
      <w:r w:rsidRPr="00105A3A">
        <w:rPr>
          <w:lang w:val="en-GB"/>
        </w:rPr>
        <w:t xml:space="preserve">r the commission of the offence. Here, the Grand Chamber touches upon the subjective core of the concept, and two main conclusions derive from this subjective requirement. Firstly, it is not necessary </w:t>
      </w:r>
      <w:r>
        <w:rPr>
          <w:lang w:val="en-GB"/>
        </w:rPr>
        <w:t>for</w:t>
      </w:r>
      <w:r w:rsidRPr="00105A3A">
        <w:rPr>
          <w:lang w:val="en-GB"/>
        </w:rPr>
        <w:t xml:space="preserve"> all </w:t>
      </w:r>
      <w:r>
        <w:rPr>
          <w:lang w:val="en-GB"/>
        </w:rPr>
        <w:t xml:space="preserve">the </w:t>
      </w:r>
      <w:r w:rsidRPr="00105A3A">
        <w:rPr>
          <w:lang w:val="en-GB"/>
        </w:rPr>
        <w:t xml:space="preserve">individual acts </w:t>
      </w:r>
      <w:r>
        <w:rPr>
          <w:lang w:val="en-GB"/>
        </w:rPr>
        <w:t>to form part of</w:t>
      </w:r>
      <w:r w:rsidRPr="00105A3A">
        <w:rPr>
          <w:lang w:val="en-GB"/>
        </w:rPr>
        <w:t xml:space="preserve"> an initial plan or “</w:t>
      </w:r>
      <w:r>
        <w:rPr>
          <w:lang w:val="en-GB"/>
        </w:rPr>
        <w:t>overall</w:t>
      </w:r>
      <w:r w:rsidRPr="00105A3A">
        <w:rPr>
          <w:lang w:val="en-GB"/>
        </w:rPr>
        <w:t xml:space="preserve"> intention” (</w:t>
      </w:r>
      <w:r w:rsidRPr="00105A3A">
        <w:rPr>
          <w:i/>
          <w:lang w:val="en-GB"/>
        </w:rPr>
        <w:t>Gesamtvorsatz</w:t>
      </w:r>
      <w:r w:rsidRPr="00105A3A">
        <w:rPr>
          <w:lang w:val="en-GB"/>
        </w:rPr>
        <w:t>)</w:t>
      </w:r>
      <w:r w:rsidRPr="00105A3A">
        <w:rPr>
          <w:rStyle w:val="FootnoteReference"/>
          <w:rFonts w:ascii="Times New Roman" w:hAnsi="Times New Roman" w:cs="Times New Roman"/>
          <w:szCs w:val="24"/>
          <w:lang w:val="en-GB"/>
        </w:rPr>
        <w:footnoteReference w:id="22"/>
      </w:r>
      <w:r w:rsidRPr="00105A3A">
        <w:rPr>
          <w:lang w:val="en-GB"/>
        </w:rPr>
        <w:t xml:space="preserve">. It suffices </w:t>
      </w:r>
      <w:r>
        <w:rPr>
          <w:lang w:val="en-GB"/>
        </w:rPr>
        <w:t>for</w:t>
      </w:r>
      <w:r w:rsidRPr="00105A3A">
        <w:rPr>
          <w:lang w:val="en-GB"/>
        </w:rPr>
        <w:t xml:space="preserve"> each new individual act </w:t>
      </w:r>
      <w:r>
        <w:rPr>
          <w:lang w:val="en-GB"/>
        </w:rPr>
        <w:t xml:space="preserve">to </w:t>
      </w:r>
      <w:r w:rsidRPr="00105A3A">
        <w:rPr>
          <w:lang w:val="en-GB"/>
        </w:rPr>
        <w:t xml:space="preserve">be understood as a purposeful </w:t>
      </w:r>
      <w:r>
        <w:rPr>
          <w:lang w:val="en-GB"/>
        </w:rPr>
        <w:t>sequel to</w:t>
      </w:r>
      <w:r w:rsidRPr="00105A3A">
        <w:rPr>
          <w:lang w:val="en-GB"/>
        </w:rPr>
        <w:t xml:space="preserve"> the preceding one or ones (</w:t>
      </w:r>
      <w:r w:rsidRPr="00105A3A">
        <w:rPr>
          <w:i/>
          <w:lang w:val="en-GB"/>
        </w:rPr>
        <w:t xml:space="preserve">Fortsetztungsvorsatz </w:t>
      </w:r>
      <w:r w:rsidRPr="00105A3A">
        <w:rPr>
          <w:lang w:val="en-GB"/>
        </w:rPr>
        <w:t xml:space="preserve">or </w:t>
      </w:r>
      <w:r w:rsidRPr="00105A3A">
        <w:rPr>
          <w:i/>
          <w:lang w:val="en-GB"/>
        </w:rPr>
        <w:t>erweiterte</w:t>
      </w:r>
      <w:r>
        <w:rPr>
          <w:i/>
          <w:lang w:val="en-GB"/>
        </w:rPr>
        <w:t>r</w:t>
      </w:r>
      <w:r w:rsidRPr="00105A3A">
        <w:rPr>
          <w:i/>
          <w:lang w:val="en-GB"/>
        </w:rPr>
        <w:t xml:space="preserve"> Gesamtvorsatz</w:t>
      </w:r>
      <w:r w:rsidRPr="00105A3A">
        <w:rPr>
          <w:lang w:val="en-GB"/>
        </w:rPr>
        <w:t>)</w:t>
      </w:r>
      <w:r w:rsidRPr="00105A3A">
        <w:rPr>
          <w:rStyle w:val="FootnoteReference"/>
          <w:rFonts w:ascii="Times New Roman" w:hAnsi="Times New Roman" w:cs="Times New Roman"/>
          <w:szCs w:val="24"/>
          <w:lang w:val="en-GB"/>
        </w:rPr>
        <w:footnoteReference w:id="23"/>
      </w:r>
      <w:r w:rsidRPr="00105A3A">
        <w:rPr>
          <w:lang w:val="en-GB"/>
        </w:rPr>
        <w:t xml:space="preserve">. As a matter of principle, </w:t>
      </w:r>
      <w:r>
        <w:rPr>
          <w:lang w:val="en-GB"/>
        </w:rPr>
        <w:t>a</w:t>
      </w:r>
      <w:r w:rsidRPr="00105A3A">
        <w:rPr>
          <w:lang w:val="en-GB"/>
        </w:rPr>
        <w:t xml:space="preserve"> cold-blooded offender who </w:t>
      </w:r>
      <w:r w:rsidRPr="007A4A61">
        <w:t xml:space="preserve">plans the commission of </w:t>
      </w:r>
      <w:r w:rsidRPr="00105A3A">
        <w:rPr>
          <w:lang w:val="en-GB"/>
        </w:rPr>
        <w:t xml:space="preserve">a series of criminal acts </w:t>
      </w:r>
      <w:r>
        <w:rPr>
          <w:lang w:val="en-GB"/>
        </w:rPr>
        <w:t xml:space="preserve">in advance </w:t>
      </w:r>
      <w:r w:rsidRPr="00105A3A">
        <w:rPr>
          <w:lang w:val="en-GB"/>
        </w:rPr>
        <w:t xml:space="preserve">does not deserve to be treated better, in terms of </w:t>
      </w:r>
      <w:r>
        <w:rPr>
          <w:lang w:val="en-GB"/>
        </w:rPr>
        <w:t xml:space="preserve">the </w:t>
      </w:r>
      <w:r w:rsidRPr="00105A3A">
        <w:rPr>
          <w:lang w:val="en-GB"/>
        </w:rPr>
        <w:t xml:space="preserve">imputation of criminal liability and sentencing, than </w:t>
      </w:r>
      <w:r>
        <w:rPr>
          <w:lang w:val="en-GB"/>
        </w:rPr>
        <w:t>an</w:t>
      </w:r>
      <w:r w:rsidRPr="00105A3A">
        <w:rPr>
          <w:lang w:val="en-GB"/>
        </w:rPr>
        <w:t xml:space="preserve"> offender who did not plan to commit the successive criminal acts but could not resist the temptation </w:t>
      </w:r>
      <w:r w:rsidR="00762973">
        <w:rPr>
          <w:lang w:val="en-GB"/>
        </w:rPr>
        <w:t>to</w:t>
      </w:r>
      <w:r w:rsidRPr="00105A3A">
        <w:rPr>
          <w:lang w:val="en-GB"/>
        </w:rPr>
        <w:t xml:space="preserve"> commit them in the same </w:t>
      </w:r>
      <w:r>
        <w:rPr>
          <w:lang w:val="en-GB"/>
        </w:rPr>
        <w:t xml:space="preserve">favourable </w:t>
      </w:r>
      <w:r w:rsidRPr="00105A3A">
        <w:rPr>
          <w:lang w:val="en-GB"/>
        </w:rPr>
        <w:t xml:space="preserve">external context. </w:t>
      </w:r>
      <w:r>
        <w:rPr>
          <w:lang w:val="en-GB"/>
        </w:rPr>
        <w:t>As</w:t>
      </w:r>
      <w:r w:rsidRPr="00105A3A">
        <w:rPr>
          <w:lang w:val="en-GB"/>
        </w:rPr>
        <w:t xml:space="preserve"> the Grand Chamber</w:t>
      </w:r>
      <w:r>
        <w:rPr>
          <w:lang w:val="en-GB"/>
        </w:rPr>
        <w:t xml:space="preserve"> puts it clearly</w:t>
      </w:r>
      <w:r w:rsidRPr="00105A3A">
        <w:rPr>
          <w:lang w:val="en-GB"/>
        </w:rPr>
        <w:t xml:space="preserve">, “the individual acts do not have to be planned </w:t>
      </w:r>
      <w:r w:rsidRPr="00105A3A">
        <w:rPr>
          <w:i/>
          <w:lang w:val="en-GB"/>
        </w:rPr>
        <w:t>ab initio</w:t>
      </w:r>
      <w:r w:rsidRPr="00105A3A">
        <w:rPr>
          <w:lang w:val="en-GB"/>
        </w:rPr>
        <w:t xml:space="preserve">”, which means that the overall </w:t>
      </w:r>
      <w:r w:rsidRPr="00105A3A">
        <w:rPr>
          <w:i/>
          <w:lang w:val="en-GB"/>
        </w:rPr>
        <w:t>mens rea</w:t>
      </w:r>
      <w:r w:rsidRPr="00105A3A">
        <w:rPr>
          <w:lang w:val="en-GB"/>
        </w:rPr>
        <w:t xml:space="preserve"> </w:t>
      </w:r>
      <w:r>
        <w:rPr>
          <w:lang w:val="en-GB"/>
        </w:rPr>
        <w:t>underlying</w:t>
      </w:r>
      <w:r w:rsidRPr="00105A3A">
        <w:rPr>
          <w:lang w:val="en-GB"/>
        </w:rPr>
        <w:t xml:space="preserve"> the various individual acts need not be present at the commission of the first individual act or even </w:t>
      </w:r>
      <w:r>
        <w:rPr>
          <w:lang w:val="en-GB"/>
        </w:rPr>
        <w:t>when each</w:t>
      </w:r>
      <w:r w:rsidRPr="00105A3A">
        <w:rPr>
          <w:lang w:val="en-GB"/>
        </w:rPr>
        <w:t xml:space="preserve"> individual act forming part of the legally unified conduct </w:t>
      </w:r>
      <w:r>
        <w:rPr>
          <w:lang w:val="en-GB"/>
        </w:rPr>
        <w:t xml:space="preserve">is committed, </w:t>
      </w:r>
      <w:r w:rsidRPr="007A4A61">
        <w:t xml:space="preserve">and may </w:t>
      </w:r>
      <w:r>
        <w:t>not</w:t>
      </w:r>
      <w:r w:rsidRPr="007A4A61">
        <w:t xml:space="preserve"> arise </w:t>
      </w:r>
      <w:r>
        <w:t>until the</w:t>
      </w:r>
      <w:r w:rsidRPr="007A4A61">
        <w:t xml:space="preserve"> final individual act</w:t>
      </w:r>
      <w:r>
        <w:t xml:space="preserve"> is committed</w:t>
      </w:r>
      <w:r w:rsidRPr="007A4A61">
        <w:rPr>
          <w:rStyle w:val="FootnoteReference"/>
          <w:rFonts w:ascii="Times New Roman" w:hAnsi="Times New Roman" w:cs="Times New Roman"/>
          <w:szCs w:val="24"/>
        </w:rPr>
        <w:footnoteReference w:id="24"/>
      </w:r>
      <w:r w:rsidRPr="007A4A61">
        <w:t>.</w:t>
      </w:r>
    </w:p>
    <w:p w:rsidRPr="00105A3A" w:rsidR="0069329A" w:rsidP="0069329A" w:rsidRDefault="0069329A" w14:paraId="2C951206" w14:textId="77777777">
      <w:pPr>
        <w:pStyle w:val="OpiPara"/>
        <w:rPr>
          <w:lang w:val="en-GB"/>
        </w:rPr>
      </w:pPr>
      <w:r w:rsidRPr="00105A3A">
        <w:rPr>
          <w:lang w:val="en-GB"/>
        </w:rPr>
        <w:t xml:space="preserve">Secondly, negligent criminal offences are not </w:t>
      </w:r>
      <w:r w:rsidRPr="00105A3A">
        <w:rPr>
          <w:i/>
          <w:lang w:val="en-GB"/>
        </w:rPr>
        <w:t>per se</w:t>
      </w:r>
      <w:r w:rsidRPr="00105A3A">
        <w:rPr>
          <w:lang w:val="en-GB"/>
        </w:rPr>
        <w:t xml:space="preserve"> excluded from </w:t>
      </w:r>
      <w:r>
        <w:t>punishment as a</w:t>
      </w:r>
      <w:r w:rsidRPr="00C26DC4">
        <w:t xml:space="preserve"> continuous offence</w:t>
      </w:r>
      <w:r w:rsidRPr="00105A3A">
        <w:rPr>
          <w:lang w:val="en-GB"/>
        </w:rPr>
        <w:t xml:space="preserve">. </w:t>
      </w:r>
      <w:r w:rsidRPr="007A4A61">
        <w:t xml:space="preserve">There may be a </w:t>
      </w:r>
      <w:r>
        <w:t xml:space="preserve">continuous offence made up </w:t>
      </w:r>
      <w:r w:rsidRPr="007A4A61">
        <w:t xml:space="preserve">of </w:t>
      </w:r>
      <w:r w:rsidRPr="00105A3A">
        <w:rPr>
          <w:lang w:val="en-GB"/>
        </w:rPr>
        <w:t xml:space="preserve">individual </w:t>
      </w:r>
      <w:r w:rsidRPr="00972991">
        <w:rPr>
          <w:lang w:val="en-GB"/>
        </w:rPr>
        <w:t xml:space="preserve">negligent </w:t>
      </w:r>
      <w:r w:rsidRPr="00105A3A">
        <w:rPr>
          <w:lang w:val="en-GB"/>
        </w:rPr>
        <w:t>acts</w:t>
      </w:r>
      <w:r w:rsidRPr="00105A3A">
        <w:rPr>
          <w:rStyle w:val="FootnoteReference"/>
          <w:rFonts w:ascii="Times New Roman" w:hAnsi="Times New Roman" w:cs="Times New Roman"/>
          <w:szCs w:val="24"/>
          <w:lang w:val="en-GB"/>
        </w:rPr>
        <w:footnoteReference w:id="25"/>
      </w:r>
      <w:r w:rsidRPr="00105A3A">
        <w:rPr>
          <w:lang w:val="en-GB"/>
        </w:rPr>
        <w:t xml:space="preserve">, as well as a continuous offence </w:t>
      </w:r>
      <w:r>
        <w:rPr>
          <w:lang w:val="en-GB"/>
        </w:rPr>
        <w:t>comprising</w:t>
      </w:r>
      <w:r w:rsidRPr="00105A3A">
        <w:rPr>
          <w:lang w:val="en-GB"/>
        </w:rPr>
        <w:t xml:space="preserve"> intentional and negligent individual acts, in view of the subjective broadness of the </w:t>
      </w:r>
      <w:r w:rsidRPr="00105A3A">
        <w:rPr>
          <w:i/>
          <w:lang w:val="en-GB"/>
        </w:rPr>
        <w:t>erweiterte</w:t>
      </w:r>
      <w:r>
        <w:rPr>
          <w:i/>
          <w:lang w:val="en-GB"/>
        </w:rPr>
        <w:t>r</w:t>
      </w:r>
      <w:r w:rsidRPr="00105A3A">
        <w:rPr>
          <w:i/>
          <w:lang w:val="en-GB"/>
        </w:rPr>
        <w:t xml:space="preserve"> Gesamtvorsatz</w:t>
      </w:r>
      <w:r w:rsidRPr="00105A3A">
        <w:rPr>
          <w:rStyle w:val="FootnoteReference"/>
          <w:rFonts w:ascii="Times New Roman" w:hAnsi="Times New Roman" w:cs="Times New Roman"/>
          <w:szCs w:val="24"/>
          <w:lang w:val="en-GB"/>
        </w:rPr>
        <w:footnoteReference w:id="26"/>
      </w:r>
      <w:r w:rsidRPr="00105A3A">
        <w:rPr>
          <w:lang w:val="en-GB"/>
        </w:rPr>
        <w:t>.</w:t>
      </w:r>
    </w:p>
    <w:p w:rsidRPr="00105A3A" w:rsidR="0069329A" w:rsidP="0069329A" w:rsidRDefault="0069329A" w14:paraId="6DE14D2A" w14:textId="4C3F2E5D">
      <w:pPr>
        <w:pStyle w:val="OpiPara"/>
        <w:rPr>
          <w:lang w:val="en-GB"/>
        </w:rPr>
      </w:pPr>
      <w:r w:rsidRPr="00351F5A">
        <w:t>The need for a</w:t>
      </w:r>
      <w:r w:rsidRPr="00105A3A">
        <w:t xml:space="preserve"> temporal connection between the individual acts has also been asserted by the Grand Chamber</w:t>
      </w:r>
      <w:r w:rsidRPr="0066019E">
        <w:t xml:space="preserve">. This </w:t>
      </w:r>
      <w:r w:rsidRPr="00105A3A">
        <w:rPr>
          <w:lang w:val="en-GB"/>
        </w:rPr>
        <w:t xml:space="preserve">element is certainly to be examined in the circumstances of each case, without any </w:t>
      </w:r>
      <w:r>
        <w:rPr>
          <w:lang w:val="en-GB"/>
        </w:rPr>
        <w:t>pre</w:t>
      </w:r>
      <w:r w:rsidRPr="00105A3A">
        <w:rPr>
          <w:lang w:val="en-GB"/>
        </w:rPr>
        <w:t>defined time</w:t>
      </w:r>
      <w:r>
        <w:rPr>
          <w:lang w:val="en-GB"/>
        </w:rPr>
        <w:noBreakHyphen/>
      </w:r>
      <w:r w:rsidRPr="00105A3A">
        <w:rPr>
          <w:lang w:val="en-GB"/>
        </w:rPr>
        <w:t>limit</w:t>
      </w:r>
      <w:r w:rsidRPr="00105A3A">
        <w:rPr>
          <w:rStyle w:val="FootnoteReference"/>
          <w:rFonts w:ascii="Times New Roman" w:hAnsi="Times New Roman" w:cs="Times New Roman"/>
          <w:szCs w:val="24"/>
          <w:lang w:val="en-GB"/>
        </w:rPr>
        <w:footnoteReference w:id="27"/>
      </w:r>
      <w:r w:rsidRPr="00105A3A">
        <w:rPr>
          <w:lang w:val="en-GB"/>
        </w:rPr>
        <w:t xml:space="preserve">. Nevertheless, </w:t>
      </w:r>
      <w:r>
        <w:rPr>
          <w:lang w:val="en-GB"/>
        </w:rPr>
        <w:t>according to</w:t>
      </w:r>
      <w:r w:rsidRPr="00105A3A">
        <w:rPr>
          <w:lang w:val="en-GB"/>
        </w:rPr>
        <w:t xml:space="preserve"> the Grand Chamber</w:t>
      </w:r>
      <w:r w:rsidR="001D00E3">
        <w:rPr>
          <w:lang w:val="en-GB"/>
        </w:rPr>
        <w:t>’</w:t>
      </w:r>
      <w:r w:rsidRPr="00105A3A">
        <w:rPr>
          <w:lang w:val="en-GB"/>
        </w:rPr>
        <w:t>s own logic, an inherent time</w:t>
      </w:r>
      <w:r>
        <w:rPr>
          <w:lang w:val="en-GB"/>
        </w:rPr>
        <w:t>-</w:t>
      </w:r>
      <w:r w:rsidRPr="00105A3A">
        <w:rPr>
          <w:lang w:val="en-GB"/>
        </w:rPr>
        <w:t>limit must be inferred from the fact that the individual acts must be interconnected</w:t>
      </w:r>
      <w:r>
        <w:rPr>
          <w:lang w:val="en-GB"/>
        </w:rPr>
        <w:t xml:space="preserve"> to such a degree</w:t>
      </w:r>
      <w:r w:rsidRPr="00105A3A">
        <w:rPr>
          <w:lang w:val="en-GB"/>
        </w:rPr>
        <w:t xml:space="preserve"> that they </w:t>
      </w:r>
      <w:r>
        <w:rPr>
          <w:lang w:val="en-GB"/>
        </w:rPr>
        <w:t>disclose</w:t>
      </w:r>
      <w:r w:rsidRPr="00105A3A">
        <w:rPr>
          <w:lang w:val="en-GB"/>
        </w:rPr>
        <w:t xml:space="preserve"> the </w:t>
      </w:r>
      <w:r>
        <w:rPr>
          <w:lang w:val="en-GB"/>
        </w:rPr>
        <w:t>continuing existence</w:t>
      </w:r>
      <w:r w:rsidRPr="00105A3A">
        <w:rPr>
          <w:lang w:val="en-GB"/>
        </w:rPr>
        <w:t xml:space="preserve"> of the same external favo</w:t>
      </w:r>
      <w:r>
        <w:rPr>
          <w:lang w:val="en-GB"/>
        </w:rPr>
        <w:t>u</w:t>
      </w:r>
      <w:r w:rsidRPr="00105A3A">
        <w:rPr>
          <w:lang w:val="en-GB"/>
        </w:rPr>
        <w:t xml:space="preserve">rable context for the commission of the offences and of the overall criminal purpose, and concomitantly </w:t>
      </w:r>
      <w:r>
        <w:rPr>
          <w:lang w:val="en-GB"/>
        </w:rPr>
        <w:t>disclose</w:t>
      </w:r>
      <w:r w:rsidRPr="00105A3A">
        <w:rPr>
          <w:lang w:val="en-GB"/>
        </w:rPr>
        <w:t xml:space="preserve"> a homogenous, lesser degree of guilt </w:t>
      </w:r>
      <w:r>
        <w:rPr>
          <w:lang w:val="en-GB"/>
        </w:rPr>
        <w:t xml:space="preserve">on the part </w:t>
      </w:r>
      <w:r w:rsidRPr="00105A3A">
        <w:rPr>
          <w:lang w:val="en-GB"/>
        </w:rPr>
        <w:t xml:space="preserve">of the offender. In any case, the longer the timespan between the individual acts, the looser the psychological relationship between them, </w:t>
      </w:r>
      <w:r w:rsidRPr="00804E1F">
        <w:t xml:space="preserve">the </w:t>
      </w:r>
      <w:r>
        <w:t>greater</w:t>
      </w:r>
      <w:r w:rsidRPr="00804E1F">
        <w:t xml:space="preserve"> the offender</w:t>
      </w:r>
      <w:r w:rsidR="001D00E3">
        <w:t>’</w:t>
      </w:r>
      <w:r w:rsidRPr="00804E1F">
        <w:t xml:space="preserve">s </w:t>
      </w:r>
      <w:r w:rsidRPr="00105A3A">
        <w:rPr>
          <w:lang w:val="en-GB"/>
        </w:rPr>
        <w:t xml:space="preserve">guilt and therefore the less </w:t>
      </w:r>
      <w:r>
        <w:rPr>
          <w:lang w:val="en-GB"/>
        </w:rPr>
        <w:t>likely</w:t>
      </w:r>
      <w:r w:rsidRPr="00105A3A">
        <w:rPr>
          <w:lang w:val="en-GB"/>
        </w:rPr>
        <w:t xml:space="preserve"> </w:t>
      </w:r>
      <w:r>
        <w:rPr>
          <w:lang w:val="en-GB"/>
        </w:rPr>
        <w:t>that the acts will be dealt with as</w:t>
      </w:r>
      <w:r w:rsidRPr="00105A3A">
        <w:rPr>
          <w:lang w:val="en-GB"/>
        </w:rPr>
        <w:t xml:space="preserve"> a continuous offence.</w:t>
      </w:r>
    </w:p>
    <w:p w:rsidRPr="00105A3A" w:rsidR="0069329A" w:rsidP="0069329A" w:rsidRDefault="0069329A" w14:paraId="775A2E0E" w14:textId="77777777">
      <w:pPr>
        <w:pStyle w:val="OpiPara"/>
        <w:rPr>
          <w:lang w:val="en-GB"/>
        </w:rPr>
      </w:pPr>
      <w:r w:rsidRPr="00105A3A">
        <w:rPr>
          <w:lang w:val="en-GB"/>
        </w:rPr>
        <w:t>Finally, in the Grand Chamber</w:t>
      </w:r>
      <w:r w:rsidR="001D00E3">
        <w:rPr>
          <w:lang w:val="en-GB"/>
        </w:rPr>
        <w:t>’</w:t>
      </w:r>
      <w:r w:rsidRPr="00105A3A">
        <w:rPr>
          <w:lang w:val="en-GB"/>
        </w:rPr>
        <w:t>s view, in order to treat several successive criminal acts as a continuous offence, the individual acts must fulfil, either explicitly or implicitly, the constituent</w:t>
      </w:r>
      <w:r>
        <w:rPr>
          <w:lang w:val="en-GB"/>
        </w:rPr>
        <w:t xml:space="preserve"> –</w:t>
      </w:r>
      <w:r w:rsidRPr="00105A3A">
        <w:rPr>
          <w:lang w:val="en-GB"/>
        </w:rPr>
        <w:t xml:space="preserve"> objective and subjective</w:t>
      </w:r>
      <w:r>
        <w:rPr>
          <w:lang w:val="en-GB"/>
        </w:rPr>
        <w:t xml:space="preserve"> –</w:t>
      </w:r>
      <w:r w:rsidRPr="00105A3A">
        <w:rPr>
          <w:lang w:val="en-GB"/>
        </w:rPr>
        <w:t xml:space="preserve"> elements of the criminal offence(s). To put it negatively, </w:t>
      </w:r>
      <w:r w:rsidRPr="00804E1F">
        <w:t xml:space="preserve">acts </w:t>
      </w:r>
      <w:r>
        <w:t>in respect of which there are</w:t>
      </w:r>
      <w:r w:rsidRPr="00804E1F">
        <w:t xml:space="preserve"> grounds for excluding criminal responsibility, </w:t>
      </w:r>
      <w:r w:rsidRPr="00105A3A">
        <w:rPr>
          <w:lang w:val="en-GB"/>
        </w:rPr>
        <w:t xml:space="preserve">such as mental </w:t>
      </w:r>
      <w:r>
        <w:rPr>
          <w:lang w:val="en-GB"/>
        </w:rPr>
        <w:t>illness</w:t>
      </w:r>
      <w:r w:rsidRPr="00105A3A">
        <w:rPr>
          <w:lang w:val="en-GB"/>
        </w:rPr>
        <w:t>, intoxication, self-defen</w:t>
      </w:r>
      <w:r>
        <w:rPr>
          <w:lang w:val="en-GB"/>
        </w:rPr>
        <w:t>c</w:t>
      </w:r>
      <w:r w:rsidRPr="00105A3A">
        <w:rPr>
          <w:lang w:val="en-GB"/>
        </w:rPr>
        <w:t>e, necessity, duress</w:t>
      </w:r>
      <w:r>
        <w:rPr>
          <w:lang w:val="en-GB"/>
        </w:rPr>
        <w:t xml:space="preserve"> or a</w:t>
      </w:r>
      <w:r w:rsidRPr="00105A3A">
        <w:rPr>
          <w:lang w:val="en-GB"/>
        </w:rPr>
        <w:t xml:space="preserve"> conflict of duties, cannot be part of a continuous offence, but acts committed </w:t>
      </w:r>
      <w:r>
        <w:rPr>
          <w:lang w:val="en-GB"/>
        </w:rPr>
        <w:t>as a result of an error</w:t>
      </w:r>
      <w:r w:rsidRPr="00105A3A">
        <w:rPr>
          <w:lang w:val="en-GB"/>
        </w:rPr>
        <w:t xml:space="preserve"> of fact or law may be part of it when the </w:t>
      </w:r>
      <w:r>
        <w:rPr>
          <w:lang w:val="en-GB"/>
        </w:rPr>
        <w:t>error</w:t>
      </w:r>
      <w:r w:rsidRPr="00105A3A">
        <w:rPr>
          <w:lang w:val="en-GB"/>
        </w:rPr>
        <w:t xml:space="preserve"> is imputable </w:t>
      </w:r>
      <w:r>
        <w:rPr>
          <w:lang w:val="en-GB"/>
        </w:rPr>
        <w:t xml:space="preserve">to </w:t>
      </w:r>
      <w:r w:rsidRPr="00105A3A">
        <w:rPr>
          <w:lang w:val="en-GB"/>
        </w:rPr>
        <w:t xml:space="preserve">and can be blamed </w:t>
      </w:r>
      <w:r>
        <w:rPr>
          <w:lang w:val="en-GB"/>
        </w:rPr>
        <w:t>on</w:t>
      </w:r>
      <w:r w:rsidRPr="00105A3A">
        <w:rPr>
          <w:lang w:val="en-GB"/>
        </w:rPr>
        <w:t xml:space="preserve"> the offender.</w:t>
      </w:r>
    </w:p>
    <w:p w:rsidRPr="00105A3A" w:rsidR="0069329A" w:rsidP="0069329A" w:rsidRDefault="0069329A" w14:paraId="59A5BB35" w14:textId="77777777">
      <w:pPr>
        <w:pStyle w:val="OpiPara"/>
        <w:rPr>
          <w:lang w:val="en-GB"/>
        </w:rPr>
      </w:pPr>
      <w:r w:rsidRPr="00105A3A">
        <w:rPr>
          <w:lang w:val="en-GB"/>
        </w:rPr>
        <w:t xml:space="preserve">9.  Among others, four major practical consequences </w:t>
      </w:r>
      <w:r>
        <w:rPr>
          <w:lang w:val="en-GB"/>
        </w:rPr>
        <w:t>follow</w:t>
      </w:r>
      <w:r w:rsidRPr="00105A3A">
        <w:rPr>
          <w:lang w:val="en-GB"/>
        </w:rPr>
        <w:t xml:space="preserve"> from the unified treatment of individual acts as a continuous offence. </w:t>
      </w:r>
      <w:r>
        <w:rPr>
          <w:lang w:val="en-GB"/>
        </w:rPr>
        <w:t>Subject to the existence</w:t>
      </w:r>
      <w:r w:rsidRPr="00105A3A">
        <w:rPr>
          <w:lang w:val="en-GB"/>
        </w:rPr>
        <w:t xml:space="preserve"> of an external situation that facilitates the repetition of the violation of the same legally protected interest and hence diminishes the offender</w:t>
      </w:r>
      <w:r w:rsidR="001D00E3">
        <w:rPr>
          <w:lang w:val="en-GB"/>
        </w:rPr>
        <w:t>’</w:t>
      </w:r>
      <w:r w:rsidRPr="00105A3A">
        <w:rPr>
          <w:lang w:val="en-GB"/>
        </w:rPr>
        <w:t xml:space="preserve">s guilt, </w:t>
      </w:r>
      <w:r w:rsidRPr="009748F6">
        <w:t xml:space="preserve">it is a requirement of the principle of justice that the successive individual acts </w:t>
      </w:r>
      <w:r w:rsidRPr="00804E1F">
        <w:t xml:space="preserve">be seen </w:t>
      </w:r>
      <w:r>
        <w:t xml:space="preserve">in legal terms </w:t>
      </w:r>
      <w:r w:rsidRPr="00804E1F">
        <w:t xml:space="preserve">as </w:t>
      </w:r>
      <w:r>
        <w:t>a unified whole</w:t>
      </w:r>
      <w:r w:rsidRPr="00804E1F">
        <w:t xml:space="preserve"> and be </w:t>
      </w:r>
      <w:r>
        <w:rPr>
          <w:lang w:val="en-GB"/>
        </w:rPr>
        <w:t>punished by</w:t>
      </w:r>
      <w:r w:rsidRPr="00105A3A">
        <w:rPr>
          <w:lang w:val="en-GB"/>
        </w:rPr>
        <w:t xml:space="preserve"> a single sentence </w:t>
      </w:r>
      <w:r>
        <w:rPr>
          <w:lang w:val="en-GB"/>
        </w:rPr>
        <w:t>rather than</w:t>
      </w:r>
      <w:r w:rsidRPr="00105A3A">
        <w:rPr>
          <w:lang w:val="en-GB"/>
        </w:rPr>
        <w:t xml:space="preserve"> a cumulative sentence. This is the major practical consequence of legal unification. If various criminal acts of different</w:t>
      </w:r>
      <w:r>
        <w:rPr>
          <w:lang w:val="en-GB"/>
        </w:rPr>
        <w:t xml:space="preserve"> degrees of</w:t>
      </w:r>
      <w:r w:rsidRPr="00105A3A">
        <w:rPr>
          <w:lang w:val="en-GB"/>
        </w:rPr>
        <w:t xml:space="preserve"> gravity are </w:t>
      </w:r>
      <w:r>
        <w:rPr>
          <w:lang w:val="en-GB"/>
        </w:rPr>
        <w:t>involved</w:t>
      </w:r>
      <w:r w:rsidRPr="00105A3A">
        <w:rPr>
          <w:lang w:val="en-GB"/>
        </w:rPr>
        <w:t xml:space="preserve">, the offender may be punished for the most serious of the acts, </w:t>
      </w:r>
      <w:r>
        <w:rPr>
          <w:lang w:val="en-GB"/>
        </w:rPr>
        <w:t xml:space="preserve">with </w:t>
      </w:r>
      <w:r w:rsidRPr="00105A3A">
        <w:rPr>
          <w:lang w:val="en-GB"/>
        </w:rPr>
        <w:t xml:space="preserve">the sentencing court </w:t>
      </w:r>
      <w:r>
        <w:rPr>
          <w:lang w:val="en-GB"/>
        </w:rPr>
        <w:t>taking</w:t>
      </w:r>
      <w:r w:rsidRPr="00105A3A">
        <w:rPr>
          <w:lang w:val="en-GB"/>
        </w:rPr>
        <w:t xml:space="preserve"> in</w:t>
      </w:r>
      <w:r>
        <w:rPr>
          <w:lang w:val="en-GB"/>
        </w:rPr>
        <w:t>to</w:t>
      </w:r>
      <w:r w:rsidRPr="00105A3A">
        <w:rPr>
          <w:lang w:val="en-GB"/>
        </w:rPr>
        <w:t xml:space="preserve"> account the legally unified conduct as whole</w:t>
      </w:r>
      <w:r w:rsidRPr="00105A3A">
        <w:rPr>
          <w:rStyle w:val="FootnoteReference"/>
          <w:rFonts w:ascii="Times New Roman" w:hAnsi="Times New Roman" w:cs="Times New Roman"/>
          <w:szCs w:val="24"/>
          <w:lang w:val="en-GB"/>
        </w:rPr>
        <w:footnoteReference w:id="28"/>
      </w:r>
      <w:r w:rsidRPr="00105A3A">
        <w:rPr>
          <w:lang w:val="en-GB"/>
        </w:rPr>
        <w:t>.</w:t>
      </w:r>
    </w:p>
    <w:p w:rsidRPr="00105A3A" w:rsidR="0069329A" w:rsidP="0069329A" w:rsidRDefault="0069329A" w14:paraId="460BBE4A" w14:textId="77777777">
      <w:pPr>
        <w:pStyle w:val="OpiPara"/>
        <w:rPr>
          <w:lang w:val="en-GB"/>
        </w:rPr>
      </w:pPr>
      <w:r w:rsidRPr="00105A3A">
        <w:rPr>
          <w:lang w:val="en-GB"/>
        </w:rPr>
        <w:t xml:space="preserve">The second practical consequence is that the law in force at the time of the cessation of the continuous offence is applicable to the individual acts which occurred prior to its entry into force, provided that these acts </w:t>
      </w:r>
      <w:r w:rsidRPr="00B20711">
        <w:t xml:space="preserve">fulfil the </w:t>
      </w:r>
      <w:r>
        <w:t>conditions</w:t>
      </w:r>
      <w:r w:rsidRPr="00B20711">
        <w:t xml:space="preserve"> of the </w:t>
      </w:r>
      <w:r w:rsidRPr="00105A3A">
        <w:rPr>
          <w:lang w:val="en-GB"/>
        </w:rPr>
        <w:t>new law. There is a requirement that the constitutive elements of the offence defined by the new law be fulfilled from the very beginning of the criminal behavio</w:t>
      </w:r>
      <w:r>
        <w:rPr>
          <w:lang w:val="en-GB"/>
        </w:rPr>
        <w:t>u</w:t>
      </w:r>
      <w:r w:rsidRPr="00105A3A">
        <w:rPr>
          <w:lang w:val="en-GB"/>
        </w:rPr>
        <w:t xml:space="preserve">r, </w:t>
      </w:r>
      <w:r>
        <w:rPr>
          <w:lang w:val="en-GB"/>
        </w:rPr>
        <w:t>that is to say,</w:t>
      </w:r>
      <w:r w:rsidRPr="00105A3A">
        <w:rPr>
          <w:lang w:val="en-GB"/>
        </w:rPr>
        <w:t xml:space="preserve"> also with regard to the acts which occurred before the entry into force of </w:t>
      </w:r>
      <w:r>
        <w:rPr>
          <w:lang w:val="en-GB"/>
        </w:rPr>
        <w:t>the</w:t>
      </w:r>
      <w:r w:rsidRPr="00105A3A">
        <w:rPr>
          <w:lang w:val="en-GB"/>
        </w:rPr>
        <w:t xml:space="preserve"> new law</w:t>
      </w:r>
      <w:r w:rsidRPr="00105A3A">
        <w:rPr>
          <w:rStyle w:val="FootnoteReference"/>
          <w:rFonts w:ascii="Times New Roman" w:hAnsi="Times New Roman" w:cs="Times New Roman"/>
          <w:szCs w:val="24"/>
          <w:lang w:val="en-GB"/>
        </w:rPr>
        <w:footnoteReference w:id="29"/>
      </w:r>
      <w:r w:rsidRPr="00105A3A">
        <w:rPr>
          <w:lang w:val="en-GB"/>
        </w:rPr>
        <w:t xml:space="preserve">. One caveat must be added to this: should the continuous conduct in question not be </w:t>
      </w:r>
      <w:r>
        <w:rPr>
          <w:lang w:val="en-GB"/>
        </w:rPr>
        <w:t>subject to any criminal sanctions</w:t>
      </w:r>
      <w:r w:rsidRPr="00105A3A">
        <w:rPr>
          <w:lang w:val="en-GB"/>
        </w:rPr>
        <w:t xml:space="preserve"> under the earlier law, only acts perpetrated after the entry into force of the law criminali</w:t>
      </w:r>
      <w:r>
        <w:rPr>
          <w:lang w:val="en-GB"/>
        </w:rPr>
        <w:t>s</w:t>
      </w:r>
      <w:r w:rsidRPr="00105A3A">
        <w:rPr>
          <w:lang w:val="en-GB"/>
        </w:rPr>
        <w:t>ing the conduct are to be taken in</w:t>
      </w:r>
      <w:r>
        <w:rPr>
          <w:lang w:val="en-GB"/>
        </w:rPr>
        <w:t>to</w:t>
      </w:r>
      <w:r w:rsidRPr="00105A3A">
        <w:rPr>
          <w:lang w:val="en-GB"/>
        </w:rPr>
        <w:t xml:space="preserve"> account and punished.</w:t>
      </w:r>
    </w:p>
    <w:p w:rsidRPr="006B7DF6" w:rsidR="0069329A" w:rsidP="0069329A" w:rsidRDefault="0069329A" w14:paraId="4B8FF526" w14:textId="6CDFEC9B">
      <w:pPr>
        <w:pStyle w:val="OpiPara"/>
      </w:pPr>
      <w:r w:rsidRPr="00105A3A">
        <w:rPr>
          <w:lang w:val="en-GB"/>
        </w:rPr>
        <w:t xml:space="preserve">The third consequence is that the continuous offence is </w:t>
      </w:r>
      <w:r>
        <w:rPr>
          <w:lang w:val="en-GB"/>
        </w:rPr>
        <w:t>initiated</w:t>
      </w:r>
      <w:r w:rsidRPr="00105A3A">
        <w:rPr>
          <w:lang w:val="en-GB"/>
        </w:rPr>
        <w:t xml:space="preserve"> with the first individual act, but is only </w:t>
      </w:r>
      <w:r>
        <w:rPr>
          <w:lang w:val="en-GB"/>
        </w:rPr>
        <w:t>completed</w:t>
      </w:r>
      <w:r w:rsidRPr="00105A3A">
        <w:rPr>
          <w:lang w:val="en-GB"/>
        </w:rPr>
        <w:t xml:space="preserve"> once the last individual act forming p</w:t>
      </w:r>
      <w:r w:rsidRPr="00AE2B9C">
        <w:t xml:space="preserve">art of the </w:t>
      </w:r>
      <w:r>
        <w:t>offence</w:t>
      </w:r>
      <w:r w:rsidRPr="00AE2B9C">
        <w:t xml:space="preserve"> has been </w:t>
      </w:r>
      <w:r w:rsidRPr="00105A3A">
        <w:rPr>
          <w:lang w:val="en-GB"/>
        </w:rPr>
        <w:t>committed. From this two logical consequences follow</w:t>
      </w:r>
      <w:r>
        <w:rPr>
          <w:lang w:val="en-GB"/>
        </w:rPr>
        <w:t>.</w:t>
      </w:r>
      <w:r w:rsidRPr="00105A3A">
        <w:rPr>
          <w:lang w:val="en-GB"/>
        </w:rPr>
        <w:t xml:space="preserve"> </w:t>
      </w:r>
      <w:r>
        <w:rPr>
          <w:lang w:val="en-GB"/>
        </w:rPr>
        <w:t>First</w:t>
      </w:r>
      <w:r w:rsidR="00BB1809">
        <w:rPr>
          <w:lang w:val="en-GB"/>
        </w:rPr>
        <w:t>ly</w:t>
      </w:r>
      <w:r>
        <w:rPr>
          <w:lang w:val="en-GB"/>
        </w:rPr>
        <w:t xml:space="preserve">, </w:t>
      </w:r>
      <w:r w:rsidRPr="00105A3A">
        <w:rPr>
          <w:lang w:val="en-GB"/>
        </w:rPr>
        <w:t xml:space="preserve">any relevant limitation </w:t>
      </w:r>
      <w:r>
        <w:rPr>
          <w:lang w:val="en-GB"/>
        </w:rPr>
        <w:t xml:space="preserve">periods will </w:t>
      </w:r>
      <w:r w:rsidRPr="00105A3A">
        <w:rPr>
          <w:lang w:val="en-GB"/>
        </w:rPr>
        <w:t xml:space="preserve">start running </w:t>
      </w:r>
      <w:r>
        <w:rPr>
          <w:lang w:val="en-GB"/>
        </w:rPr>
        <w:t xml:space="preserve">only </w:t>
      </w:r>
      <w:r w:rsidRPr="00105A3A">
        <w:rPr>
          <w:lang w:val="en-GB"/>
        </w:rPr>
        <w:t xml:space="preserve">once the offence is </w:t>
      </w:r>
      <w:r>
        <w:rPr>
          <w:lang w:val="en-GB"/>
        </w:rPr>
        <w:t>completed</w:t>
      </w:r>
      <w:r w:rsidRPr="00105A3A">
        <w:rPr>
          <w:lang w:val="en-GB"/>
        </w:rPr>
        <w:t xml:space="preserve">, </w:t>
      </w:r>
      <w:r>
        <w:rPr>
          <w:lang w:val="en-GB"/>
        </w:rPr>
        <w:t>that is</w:t>
      </w:r>
      <w:r w:rsidRPr="00105A3A">
        <w:rPr>
          <w:lang w:val="en-GB"/>
        </w:rPr>
        <w:t>, once the last individual act has been committed, and</w:t>
      </w:r>
      <w:r>
        <w:rPr>
          <w:lang w:val="en-GB"/>
        </w:rPr>
        <w:t>, second</w:t>
      </w:r>
      <w:r w:rsidR="00BB1809">
        <w:rPr>
          <w:lang w:val="en-GB"/>
        </w:rPr>
        <w:t>ly</w:t>
      </w:r>
      <w:r>
        <w:rPr>
          <w:lang w:val="en-GB"/>
        </w:rPr>
        <w:t>,</w:t>
      </w:r>
      <w:r w:rsidRPr="00105A3A">
        <w:rPr>
          <w:lang w:val="en-GB"/>
        </w:rPr>
        <w:t xml:space="preserve"> statute-barred individual acts are not excluded </w:t>
      </w:r>
      <w:r w:rsidRPr="006B7DF6">
        <w:t xml:space="preserve">from </w:t>
      </w:r>
      <w:r>
        <w:t>punishment</w:t>
      </w:r>
      <w:r w:rsidRPr="006B7DF6">
        <w:t xml:space="preserve"> </w:t>
      </w:r>
      <w:r>
        <w:t xml:space="preserve">as part of a continuous </w:t>
      </w:r>
      <w:r w:rsidRPr="006B7DF6">
        <w:t xml:space="preserve">criminal </w:t>
      </w:r>
      <w:r>
        <w:t>offence</w:t>
      </w:r>
      <w:r w:rsidRPr="006B7DF6">
        <w:rPr>
          <w:rStyle w:val="FootnoteReference"/>
          <w:rFonts w:ascii="Times New Roman" w:hAnsi="Times New Roman" w:cs="Times New Roman"/>
          <w:szCs w:val="24"/>
        </w:rPr>
        <w:footnoteReference w:id="30"/>
      </w:r>
      <w:r w:rsidRPr="006B7DF6">
        <w:t>.</w:t>
      </w:r>
    </w:p>
    <w:p w:rsidRPr="00105A3A" w:rsidR="0069329A" w:rsidP="0069329A" w:rsidRDefault="0069329A" w14:paraId="6CBC8B98" w14:textId="77777777">
      <w:pPr>
        <w:pStyle w:val="OpiPara"/>
        <w:rPr>
          <w:lang w:val="en-GB"/>
        </w:rPr>
      </w:pPr>
      <w:r w:rsidRPr="00105A3A">
        <w:rPr>
          <w:lang w:val="en-GB"/>
        </w:rPr>
        <w:t xml:space="preserve">The fourth consequence, of a procedural nature, is that the </w:t>
      </w:r>
      <w:r w:rsidRPr="00105A3A">
        <w:rPr>
          <w:i/>
          <w:lang w:val="en-GB"/>
        </w:rPr>
        <w:t>non bis in idem</w:t>
      </w:r>
      <w:r w:rsidRPr="00105A3A">
        <w:rPr>
          <w:lang w:val="en-GB"/>
        </w:rPr>
        <w:t xml:space="preserve"> effect of a judgment </w:t>
      </w:r>
      <w:r>
        <w:rPr>
          <w:lang w:val="en-GB"/>
        </w:rPr>
        <w:t>concerning</w:t>
      </w:r>
      <w:r w:rsidRPr="00105A3A">
        <w:rPr>
          <w:lang w:val="en-GB"/>
        </w:rPr>
        <w:t xml:space="preserve"> a continuous </w:t>
      </w:r>
      <w:r w:rsidRPr="00C26DC4">
        <w:t xml:space="preserve">offence </w:t>
      </w:r>
      <w:r>
        <w:t>precludes</w:t>
      </w:r>
      <w:r w:rsidRPr="00C26DC4">
        <w:t xml:space="preserve"> a </w:t>
      </w:r>
      <w:r>
        <w:t>fresh</w:t>
      </w:r>
      <w:r w:rsidRPr="00C26DC4">
        <w:t xml:space="preserve"> </w:t>
      </w:r>
      <w:r w:rsidRPr="00105A3A">
        <w:rPr>
          <w:lang w:val="en-GB"/>
        </w:rPr>
        <w:t xml:space="preserve">trial on charges </w:t>
      </w:r>
      <w:r w:rsidRPr="0066019E">
        <w:t>relat</w:t>
      </w:r>
      <w:r>
        <w:t>ing</w:t>
      </w:r>
      <w:r w:rsidRPr="0066019E">
        <w:t xml:space="preserve"> to any new individual act included in the </w:t>
      </w:r>
      <w:r>
        <w:t xml:space="preserve">succession of </w:t>
      </w:r>
      <w:r w:rsidRPr="0066019E">
        <w:t xml:space="preserve">criminal </w:t>
      </w:r>
      <w:r>
        <w:t>acts</w:t>
      </w:r>
      <w:r w:rsidRPr="0066019E">
        <w:t xml:space="preserve">. </w:t>
      </w:r>
      <w:r w:rsidRPr="00105A3A">
        <w:rPr>
          <w:lang w:val="en-GB"/>
        </w:rPr>
        <w:t xml:space="preserve">To subject the sentenced offender to a new trial would be tantamount to </w:t>
      </w:r>
      <w:r>
        <w:rPr>
          <w:lang w:val="en-GB"/>
        </w:rPr>
        <w:t>exposing</w:t>
      </w:r>
      <w:r w:rsidRPr="00105A3A">
        <w:rPr>
          <w:lang w:val="en-GB"/>
        </w:rPr>
        <w:t xml:space="preserve"> him or her to the risk of being punished twice for the same legally unified offence. This holds true not only for individual acts committed before the final act forming part of the continuous offence</w:t>
      </w:r>
      <w:r>
        <w:rPr>
          <w:lang w:val="en-GB"/>
        </w:rPr>
        <w:t xml:space="preserve"> that has already been tried</w:t>
      </w:r>
      <w:r w:rsidRPr="00105A3A">
        <w:rPr>
          <w:lang w:val="en-GB"/>
        </w:rPr>
        <w:t xml:space="preserve">, but also </w:t>
      </w:r>
      <w:r>
        <w:rPr>
          <w:lang w:val="en-GB"/>
        </w:rPr>
        <w:t>for</w:t>
      </w:r>
      <w:r w:rsidRPr="00105A3A">
        <w:rPr>
          <w:lang w:val="en-GB"/>
        </w:rPr>
        <w:t xml:space="preserve"> individual acts </w:t>
      </w:r>
      <w:r>
        <w:rPr>
          <w:lang w:val="en-GB"/>
        </w:rPr>
        <w:t xml:space="preserve">which </w:t>
      </w:r>
      <w:r w:rsidRPr="00105A3A">
        <w:rPr>
          <w:lang w:val="en-GB"/>
        </w:rPr>
        <w:t>occur after it</w:t>
      </w:r>
      <w:r w:rsidRPr="00105A3A">
        <w:rPr>
          <w:rStyle w:val="FootnoteReference"/>
          <w:rFonts w:ascii="Times New Roman" w:hAnsi="Times New Roman" w:cs="Times New Roman"/>
          <w:szCs w:val="24"/>
          <w:lang w:val="en-GB"/>
        </w:rPr>
        <w:footnoteReference w:id="31"/>
      </w:r>
      <w:r w:rsidRPr="00105A3A">
        <w:rPr>
          <w:lang w:val="en-GB"/>
        </w:rPr>
        <w:t>.</w:t>
      </w:r>
    </w:p>
    <w:p w:rsidRPr="00105A3A" w:rsidR="0069329A" w:rsidP="0069329A" w:rsidRDefault="0069329A" w14:paraId="1844296D" w14:textId="25ECCE60">
      <w:pPr>
        <w:pStyle w:val="OpiPara"/>
        <w:rPr>
          <w:lang w:val="en-GB"/>
        </w:rPr>
      </w:pPr>
      <w:r w:rsidRPr="00105A3A">
        <w:rPr>
          <w:lang w:val="en-GB"/>
        </w:rPr>
        <w:t>In</w:t>
      </w:r>
      <w:r>
        <w:rPr>
          <w:lang w:val="en-GB"/>
        </w:rPr>
        <w:t xml:space="preserve"> the</w:t>
      </w:r>
      <w:r w:rsidRPr="00105A3A">
        <w:rPr>
          <w:lang w:val="en-GB"/>
        </w:rPr>
        <w:t xml:space="preserve"> light of the </w:t>
      </w:r>
      <w:r w:rsidRPr="0020382E">
        <w:t xml:space="preserve">principles </w:t>
      </w:r>
      <w:r>
        <w:t>set out</w:t>
      </w:r>
      <w:r w:rsidRPr="0020382E">
        <w:t xml:space="preserve"> above, it </w:t>
      </w:r>
      <w:r w:rsidRPr="00105A3A">
        <w:rPr>
          <w:lang w:val="en-GB"/>
        </w:rPr>
        <w:t xml:space="preserve">will be for the domestic courts to interpret and apply these rules to the particular facts of a case. Nevertheless, </w:t>
      </w:r>
      <w:r w:rsidR="00641267">
        <w:rPr>
          <w:lang w:val="en-GB"/>
        </w:rPr>
        <w:t>m</w:t>
      </w:r>
      <w:r w:rsidRPr="00105A3A">
        <w:rPr>
          <w:lang w:val="en-GB"/>
        </w:rPr>
        <w:t xml:space="preserve">ember States have an obligation </w:t>
      </w:r>
      <w:r w:rsidRPr="009F0692">
        <w:rPr>
          <w:lang w:val="en-GB"/>
        </w:rPr>
        <w:t>under Article 7 of the Convention</w:t>
      </w:r>
      <w:r w:rsidRPr="000F1641">
        <w:rPr>
          <w:lang w:val="en-GB"/>
        </w:rPr>
        <w:t xml:space="preserve"> </w:t>
      </w:r>
      <w:r w:rsidRPr="00105A3A">
        <w:rPr>
          <w:lang w:val="en-GB"/>
        </w:rPr>
        <w:t xml:space="preserve">not to provide for arbitrary or uncertain penalties. The punishment of </w:t>
      </w:r>
      <w:r w:rsidRPr="00105A3A">
        <w:rPr>
          <w:i/>
          <w:lang w:val="en-GB"/>
        </w:rPr>
        <w:t>concursu</w:t>
      </w:r>
      <w:r>
        <w:rPr>
          <w:i/>
          <w:lang w:val="en-GB"/>
        </w:rPr>
        <w:t>s</w:t>
      </w:r>
      <w:r w:rsidRPr="00105A3A">
        <w:rPr>
          <w:i/>
          <w:lang w:val="en-GB"/>
        </w:rPr>
        <w:t xml:space="preserve"> delictorum</w:t>
      </w:r>
      <w:r w:rsidRPr="00105A3A">
        <w:rPr>
          <w:lang w:val="en-GB"/>
        </w:rPr>
        <w:t xml:space="preserve"> must therefore occur within the </w:t>
      </w:r>
      <w:r>
        <w:rPr>
          <w:lang w:val="en-GB"/>
        </w:rPr>
        <w:t>boundaries outlined</w:t>
      </w:r>
      <w:r w:rsidRPr="00105A3A">
        <w:rPr>
          <w:lang w:val="en-GB"/>
        </w:rPr>
        <w:t xml:space="preserve"> above.</w:t>
      </w:r>
    </w:p>
    <w:p w:rsidRPr="00105A3A" w:rsidR="0069329A" w:rsidP="00AC3E3E" w:rsidRDefault="0069329A" w14:paraId="09F600F5" w14:textId="77777777">
      <w:pPr>
        <w:pStyle w:val="OpiHA"/>
        <w:rPr>
          <w:lang w:val="en-GB"/>
        </w:rPr>
      </w:pPr>
      <w:r w:rsidRPr="00C26DC4">
        <w:t xml:space="preserve">The present case </w:t>
      </w:r>
      <w:r>
        <w:t>in the light of</w:t>
      </w:r>
      <w:r w:rsidRPr="00C26DC4">
        <w:t xml:space="preserve"> the </w:t>
      </w:r>
      <w:r w:rsidRPr="000F1641">
        <w:t xml:space="preserve">European concept </w:t>
      </w:r>
      <w:r w:rsidRPr="00105A3A">
        <w:rPr>
          <w:lang w:val="en-GB"/>
        </w:rPr>
        <w:t xml:space="preserve">of </w:t>
      </w:r>
      <w:r>
        <w:rPr>
          <w:lang w:val="en-GB"/>
        </w:rPr>
        <w:t xml:space="preserve">a </w:t>
      </w:r>
      <w:r w:rsidRPr="00105A3A">
        <w:rPr>
          <w:lang w:val="en-GB"/>
        </w:rPr>
        <w:t>continuous offence</w:t>
      </w:r>
    </w:p>
    <w:p w:rsidRPr="00E148F4" w:rsidR="0069329A" w:rsidP="0069329A" w:rsidRDefault="0069329A" w14:paraId="3D8F7FFC" w14:textId="4BD369D5">
      <w:pPr>
        <w:pStyle w:val="OpiPara"/>
        <w:rPr>
          <w:lang w:val="en-GB"/>
        </w:rPr>
      </w:pPr>
      <w:r w:rsidRPr="00105A3A">
        <w:rPr>
          <w:lang w:val="en-GB"/>
        </w:rPr>
        <w:t>10.  The facts and the national legal framework of this case are clear. At least between 2000 and February 2006, the applicant abused his wife</w:t>
      </w:r>
      <w:r w:rsidR="00641267">
        <w:rPr>
          <w:lang w:val="en-GB"/>
        </w:rPr>
        <w:t xml:space="preserve"> both </w:t>
      </w:r>
      <w:r w:rsidRPr="00105A3A" w:rsidR="00641267">
        <w:rPr>
          <w:lang w:val="en-GB"/>
        </w:rPr>
        <w:t>physically and mentally</w:t>
      </w:r>
      <w:r w:rsidRPr="00105A3A">
        <w:rPr>
          <w:lang w:val="en-GB"/>
        </w:rPr>
        <w:t xml:space="preserve"> </w:t>
      </w:r>
      <w:r>
        <w:rPr>
          <w:lang w:val="en-GB"/>
        </w:rPr>
        <w:t>on</w:t>
      </w:r>
      <w:r w:rsidRPr="00105A3A">
        <w:rPr>
          <w:lang w:val="en-GB"/>
        </w:rPr>
        <w:t xml:space="preserve"> various occasions</w:t>
      </w:r>
      <w:r w:rsidRPr="00C26DC4">
        <w:rPr>
          <w:lang w:val="en-GB"/>
        </w:rPr>
        <w:t xml:space="preserve"> </w:t>
      </w:r>
      <w:r w:rsidRPr="00972991">
        <w:rPr>
          <w:lang w:val="en-GB"/>
        </w:rPr>
        <w:t>while drunk</w:t>
      </w:r>
      <w:r w:rsidRPr="00105A3A">
        <w:rPr>
          <w:lang w:val="en-GB"/>
        </w:rPr>
        <w:t>. As a result, his wife sustained haematomas, bruising and a fractured nose and was obliged to seek medical assistance on that account in June 2000, July 2003 and February 2006. The applicant was found guilty of the continuous offence of abusing a person living under the same roof, committed between 2000 and 8</w:t>
      </w:r>
      <w:r>
        <w:rPr>
          <w:lang w:val="en-GB"/>
        </w:rPr>
        <w:t> </w:t>
      </w:r>
      <w:r w:rsidRPr="00105A3A">
        <w:rPr>
          <w:lang w:val="en-GB"/>
        </w:rPr>
        <w:t>February 2006, under a provision, Article 215a, which had been introduced into the Criminal Code on 1 June 2004. Under Czech law, a continuous offence is considered to constitute a single act and its classification in criminal law has to be assessed under the law as in force on completion of the last occurrence of the offence (the last assault)</w:t>
      </w:r>
      <w:r w:rsidRPr="00E66ADB">
        <w:t xml:space="preserve">. In the </w:t>
      </w:r>
      <w:r w:rsidRPr="00105A3A">
        <w:rPr>
          <w:lang w:val="en-GB"/>
        </w:rPr>
        <w:t xml:space="preserve">instant case the applicant was of the opinion that his conviction and sentence pursuant to a penal provision that had </w:t>
      </w:r>
      <w:r w:rsidR="00DE2122">
        <w:rPr>
          <w:lang w:val="en-GB"/>
        </w:rPr>
        <w:t>come</w:t>
      </w:r>
      <w:r w:rsidRPr="00105A3A" w:rsidR="00DE2122">
        <w:rPr>
          <w:lang w:val="en-GB"/>
        </w:rPr>
        <w:t xml:space="preserve"> </w:t>
      </w:r>
      <w:r w:rsidRPr="00105A3A">
        <w:rPr>
          <w:lang w:val="en-GB"/>
        </w:rPr>
        <w:t xml:space="preserve">into force on 1 June 2004 had involved </w:t>
      </w:r>
      <w:r>
        <w:rPr>
          <w:lang w:val="en-GB"/>
        </w:rPr>
        <w:t>retroactive</w:t>
      </w:r>
      <w:r w:rsidRPr="00105A3A">
        <w:rPr>
          <w:lang w:val="en-GB"/>
        </w:rPr>
        <w:t xml:space="preserve"> application of the Criminal Code and had operated to his detriment, in breach of Article 7 § 1 of the Convention. He argued that the domestic courts had not examined whether he had actually committed the offences punishable before that date under Articles 197a and 221 § 1 of the Criminal Code.</w:t>
      </w:r>
    </w:p>
    <w:p w:rsidRPr="00D95C70" w:rsidR="0069329A" w:rsidP="0069329A" w:rsidRDefault="0069329A" w14:paraId="452DBD3D" w14:textId="29A1FB7B">
      <w:pPr>
        <w:pStyle w:val="OpiPara"/>
        <w:rPr>
          <w:lang w:val="en-GB"/>
        </w:rPr>
      </w:pPr>
      <w:r w:rsidRPr="00D95C70">
        <w:rPr>
          <w:lang w:val="en-GB"/>
        </w:rPr>
        <w:t>11.  Thus, the Grand Chamber</w:t>
      </w:r>
      <w:r w:rsidR="001D00E3">
        <w:rPr>
          <w:lang w:val="en-GB"/>
        </w:rPr>
        <w:t>’</w:t>
      </w:r>
      <w:r w:rsidRPr="00D95C70">
        <w:rPr>
          <w:lang w:val="en-GB"/>
        </w:rPr>
        <w:t>s task in this case was mainly to determine whether the domestic courts</w:t>
      </w:r>
      <w:r w:rsidR="001D00E3">
        <w:rPr>
          <w:lang w:val="en-GB"/>
        </w:rPr>
        <w:t>’</w:t>
      </w:r>
      <w:r w:rsidRPr="00D95C70">
        <w:rPr>
          <w:lang w:val="en-GB"/>
        </w:rPr>
        <w:t xml:space="preserve"> decision to apply Article 215a of the Criminal Code, which had </w:t>
      </w:r>
      <w:r w:rsidR="00641267">
        <w:rPr>
          <w:lang w:val="en-GB"/>
        </w:rPr>
        <w:t>come</w:t>
      </w:r>
      <w:r w:rsidRPr="00D95C70" w:rsidR="00641267">
        <w:rPr>
          <w:lang w:val="en-GB"/>
        </w:rPr>
        <w:t xml:space="preserve"> </w:t>
      </w:r>
      <w:r w:rsidRPr="00D95C70">
        <w:rPr>
          <w:lang w:val="en-GB"/>
        </w:rPr>
        <w:t>into force on 1 June 2004, also to the applicant</w:t>
      </w:r>
      <w:r w:rsidR="001D00E3">
        <w:rPr>
          <w:lang w:val="en-GB"/>
        </w:rPr>
        <w:t>’</w:t>
      </w:r>
      <w:r w:rsidRPr="00D95C70">
        <w:rPr>
          <w:lang w:val="en-GB"/>
        </w:rPr>
        <w:t xml:space="preserve">s actions committed prior to that date entailed negative consequences for him, </w:t>
      </w:r>
      <w:r>
        <w:rPr>
          <w:lang w:val="en-GB"/>
        </w:rPr>
        <w:t>for instance</w:t>
      </w:r>
      <w:r w:rsidRPr="00D95C70">
        <w:rPr>
          <w:lang w:val="en-GB"/>
        </w:rPr>
        <w:t xml:space="preserve"> in terms of </w:t>
      </w:r>
      <w:r>
        <w:rPr>
          <w:lang w:val="en-GB"/>
        </w:rPr>
        <w:t xml:space="preserve">his </w:t>
      </w:r>
      <w:r w:rsidRPr="00D95C70">
        <w:rPr>
          <w:lang w:val="en-GB"/>
        </w:rPr>
        <w:t>punishment. In the light of the Government</w:t>
      </w:r>
      <w:r w:rsidR="001D00E3">
        <w:rPr>
          <w:lang w:val="en-GB"/>
        </w:rPr>
        <w:t>’</w:t>
      </w:r>
      <w:r w:rsidRPr="00D95C70">
        <w:rPr>
          <w:lang w:val="en-GB"/>
        </w:rPr>
        <w:t>s observations and the sentencing rules defined by Czech law, the domestic courts</w:t>
      </w:r>
      <w:r w:rsidR="001D00E3">
        <w:rPr>
          <w:lang w:val="en-GB"/>
        </w:rPr>
        <w:t>’</w:t>
      </w:r>
      <w:r w:rsidRPr="00D95C70">
        <w:rPr>
          <w:lang w:val="en-GB"/>
        </w:rPr>
        <w:t xml:space="preserve"> approach could not, and did not</w:t>
      </w:r>
      <w:r>
        <w:rPr>
          <w:lang w:val="en-GB"/>
        </w:rPr>
        <w:t>,</w:t>
      </w:r>
      <w:r w:rsidRPr="00D95C70">
        <w:rPr>
          <w:lang w:val="en-GB"/>
        </w:rPr>
        <w:t xml:space="preserve"> have any detrimental effect on the severity of the applicant</w:t>
      </w:r>
      <w:r w:rsidR="001D00E3">
        <w:rPr>
          <w:lang w:val="en-GB"/>
        </w:rPr>
        <w:t>’</w:t>
      </w:r>
      <w:r w:rsidRPr="00D95C70">
        <w:rPr>
          <w:lang w:val="en-GB"/>
        </w:rPr>
        <w:t xml:space="preserve">s punishment. </w:t>
      </w:r>
      <w:r>
        <w:rPr>
          <w:lang w:val="en-GB"/>
        </w:rPr>
        <w:t>Albeit</w:t>
      </w:r>
      <w:r w:rsidRPr="00D95C70">
        <w:rPr>
          <w:lang w:val="en-GB"/>
        </w:rPr>
        <w:t xml:space="preserve"> summarily, the domestic courts did consider, correctly, that all the legal ingredients of the offence set forth in Article 215a §§ 1 and 2</w:t>
      </w:r>
      <w:r w:rsidR="00B56338">
        <w:rPr>
          <w:lang w:val="en-GB"/>
        </w:rPr>
        <w:t xml:space="preserve"> </w:t>
      </w:r>
      <w:r w:rsidRPr="00D95C70">
        <w:rPr>
          <w:lang w:val="en-GB"/>
        </w:rPr>
        <w:t>(b) of the Criminal Code were fulfilled also with regard to the assault committed prior to the entry into force of that provision.</w:t>
      </w:r>
    </w:p>
    <w:p w:rsidRPr="00D95C70" w:rsidR="0069329A" w:rsidP="00AC3E3E" w:rsidRDefault="0069329A" w14:paraId="06C1AD12" w14:textId="77777777">
      <w:pPr>
        <w:pStyle w:val="OpiHA"/>
        <w:rPr>
          <w:lang w:val="en-GB"/>
        </w:rPr>
      </w:pPr>
      <w:r w:rsidRPr="00D95C70">
        <w:rPr>
          <w:lang w:val="en-GB"/>
        </w:rPr>
        <w:t>Conclusion</w:t>
      </w:r>
    </w:p>
    <w:p w:rsidRPr="00274E7A" w:rsidR="0069329A" w:rsidP="0069329A" w:rsidRDefault="0069329A" w14:paraId="4F195232" w14:textId="77777777">
      <w:pPr>
        <w:pStyle w:val="OpiPara"/>
        <w:rPr>
          <w:rFonts w:cstheme="minorHAnsi"/>
          <w:lang w:val="en-GB"/>
        </w:rPr>
      </w:pPr>
      <w:r w:rsidRPr="00D95C70">
        <w:rPr>
          <w:lang w:val="en-GB"/>
        </w:rPr>
        <w:t xml:space="preserve">The concept of </w:t>
      </w:r>
      <w:r>
        <w:rPr>
          <w:lang w:val="en-GB"/>
        </w:rPr>
        <w:t xml:space="preserve">a </w:t>
      </w:r>
      <w:r w:rsidRPr="00D95C70">
        <w:rPr>
          <w:lang w:val="en-GB"/>
        </w:rPr>
        <w:t xml:space="preserve">continuous offence is not dead. On the contrary, this </w:t>
      </w:r>
      <w:r>
        <w:rPr>
          <w:lang w:val="en-GB"/>
        </w:rPr>
        <w:t>hall</w:t>
      </w:r>
      <w:r w:rsidRPr="00D95C70">
        <w:rPr>
          <w:lang w:val="en-GB"/>
        </w:rPr>
        <w:t>mark of a liberal criminal</w:t>
      </w:r>
      <w:r>
        <w:rPr>
          <w:lang w:val="en-GB"/>
        </w:rPr>
        <w:t>-</w:t>
      </w:r>
      <w:r w:rsidRPr="00D95C70">
        <w:rPr>
          <w:lang w:val="en-GB"/>
        </w:rPr>
        <w:t xml:space="preserve">law policy is still at the heart of the European </w:t>
      </w:r>
      <w:r w:rsidRPr="00274E7A">
        <w:rPr>
          <w:rFonts w:cstheme="minorHAnsi"/>
          <w:lang w:val="en-GB"/>
        </w:rPr>
        <w:t xml:space="preserve">law on </w:t>
      </w:r>
      <w:r w:rsidRPr="00BD3433">
        <w:rPr>
          <w:rFonts w:cstheme="minorHAnsi"/>
          <w:i/>
          <w:lang w:val="en-GB"/>
        </w:rPr>
        <w:t>concursus delictorum</w:t>
      </w:r>
      <w:r w:rsidRPr="00BD3433">
        <w:rPr>
          <w:rFonts w:cstheme="minorHAnsi"/>
          <w:lang w:val="en-GB"/>
        </w:rPr>
        <w:t>, if not of a universal system of criminal law, a “grammar of criminal law”, as George Fletcher put it (</w:t>
      </w:r>
      <w:r w:rsidRPr="00BD3433">
        <w:rPr>
          <w:rFonts w:cstheme="minorHAnsi"/>
          <w:i/>
          <w:lang w:val="en-GB"/>
        </w:rPr>
        <w:t>Verbrechenslehre, théorie des éléments de l</w:t>
      </w:r>
      <w:r w:rsidRPr="00BD3433" w:rsidR="001D00E3">
        <w:rPr>
          <w:rFonts w:cstheme="minorHAnsi"/>
          <w:i/>
          <w:lang w:val="en-GB"/>
        </w:rPr>
        <w:t>’</w:t>
      </w:r>
      <w:r w:rsidRPr="00BD3433">
        <w:rPr>
          <w:rFonts w:cstheme="minorHAnsi"/>
          <w:i/>
          <w:lang w:val="en-GB"/>
        </w:rPr>
        <w:t>infraction, teoria del reato, teoria del delito, teoria do crime</w:t>
      </w:r>
      <w:r w:rsidRPr="00BD3433">
        <w:rPr>
          <w:rFonts w:cstheme="minorHAnsi"/>
          <w:lang w:val="en-GB"/>
        </w:rPr>
        <w:t>)</w:t>
      </w:r>
      <w:r w:rsidRPr="00BD3433">
        <w:rPr>
          <w:rStyle w:val="FootnoteReference"/>
          <w:rFonts w:cstheme="minorHAnsi"/>
          <w:szCs w:val="24"/>
          <w:lang w:val="en-GB"/>
        </w:rPr>
        <w:footnoteReference w:id="32"/>
      </w:r>
      <w:r w:rsidRPr="00BD3433">
        <w:rPr>
          <w:rFonts w:cstheme="minorHAnsi"/>
          <w:lang w:val="en-GB"/>
        </w:rPr>
        <w:t>.</w:t>
      </w:r>
      <w:r w:rsidRPr="00BD3433">
        <w:rPr>
          <w:rFonts w:cstheme="minorHAnsi"/>
          <w:i/>
          <w:lang w:val="en-GB"/>
        </w:rPr>
        <w:t xml:space="preserve"> </w:t>
      </w:r>
      <w:r w:rsidRPr="00BD3433">
        <w:rPr>
          <w:rFonts w:cstheme="minorHAnsi"/>
          <w:lang w:val="en-GB"/>
        </w:rPr>
        <w:t>Legislatures and courts may make use of it as an instrument to attenuate the severity of punishment in cases where the offender was driven to commit successive criminal acts by favourable external circumstances and his or her guilt was therefore considerably diminished. This instrument may be applied even in those national systems where a</w:t>
      </w:r>
      <w:r w:rsidRPr="00274E7A">
        <w:rPr>
          <w:rFonts w:cstheme="minorHAnsi"/>
          <w:lang w:val="en-GB"/>
        </w:rPr>
        <w:t xml:space="preserve"> rule of strict accumulation of penalties or consecutive sentences is absent, but is particularly called for in those national systems where such a rule exists.</w:t>
      </w:r>
      <w:r w:rsidRPr="00BD3433">
        <w:rPr>
          <w:rFonts w:cstheme="minorHAnsi"/>
          <w:lang w:val="en-GB"/>
        </w:rPr>
        <w:t xml:space="preserve"> The resocialisation </w:t>
      </w:r>
      <w:r w:rsidRPr="00BD3433">
        <w:rPr>
          <w:rFonts w:cstheme="minorHAnsi"/>
        </w:rPr>
        <w:t xml:space="preserve">purpose of </w:t>
      </w:r>
      <w:r w:rsidRPr="00BD3433">
        <w:rPr>
          <w:rFonts w:cstheme="minorHAnsi"/>
          <w:lang w:val="en-GB"/>
        </w:rPr>
        <w:t xml:space="preserve">criminal penalties and the principles of legality and </w:t>
      </w:r>
      <w:r w:rsidRPr="00BD3433">
        <w:rPr>
          <w:rFonts w:cstheme="minorHAnsi"/>
          <w:i/>
          <w:lang w:val="en-GB"/>
        </w:rPr>
        <w:t>non bis in idem</w:t>
      </w:r>
      <w:r w:rsidRPr="00BD3433">
        <w:rPr>
          <w:rFonts w:cstheme="minorHAnsi"/>
          <w:lang w:val="en-GB"/>
        </w:rPr>
        <w:t xml:space="preserve"> favour that use. </w:t>
      </w:r>
      <w:r w:rsidRPr="00BD3433">
        <w:rPr>
          <w:rFonts w:cstheme="minorHAnsi"/>
        </w:rPr>
        <w:t xml:space="preserve">Where </w:t>
      </w:r>
      <w:r w:rsidRPr="00BD3433">
        <w:rPr>
          <w:rFonts w:cstheme="minorHAnsi"/>
          <w:lang w:val="en-GB"/>
        </w:rPr>
        <w:t>successive criminal laws are enacted, the offender may be punished under the new law when the conditions laid down in it are ful</w:t>
      </w:r>
      <w:r w:rsidRPr="00274E7A">
        <w:rPr>
          <w:rFonts w:cstheme="minorHAnsi"/>
          <w:lang w:val="en-GB"/>
        </w:rPr>
        <w:t>filled also by the acts committed prior to the entry into force of that law.</w:t>
      </w:r>
    </w:p>
    <w:sectPr w:rsidRPr="00274E7A" w:rsidR="0069329A" w:rsidSect="00DA37A6">
      <w:headerReference w:type="even" r:id="rId11"/>
      <w:headerReference w:type="default" r:id="rId12"/>
      <w:type w:val="continuous"/>
      <w:pgSz w:w="11906" w:h="16838" w:code="9"/>
      <w:pgMar w:top="2274" w:right="2274" w:bottom="2274" w:left="2274" w:header="1701" w:footer="72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D36671A" w14:textId="77777777" w:rsidR="00CE5947" w:rsidRDefault="00CE5947" w:rsidP="00014566">
      <w:r>
        <w:separator/>
      </w:r>
    </w:p>
    <w:p w14:paraId="1B1E196E" w14:textId="77777777" w:rsidR="00CE5947" w:rsidRDefault="00CE5947"/>
  </w:endnote>
  <w:endnote w:type="continuationSeparator" w:id="0">
    <w:p w14:paraId="734F93CA" w14:textId="77777777" w:rsidR="00CE5947" w:rsidRDefault="00CE5947" w:rsidP="00014566">
      <w:r>
        <w:continuationSeparator/>
      </w:r>
    </w:p>
    <w:p w14:paraId="4EE59967" w14:textId="77777777" w:rsidR="00CE5947" w:rsidRDefault="00CE594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 w:name="Times New (W1)">
    <w:altName w:val="Times New Roman"/>
    <w:charset w:val="00"/>
    <w:family w:val="roman"/>
    <w:pitch w:val="variable"/>
    <w:sig w:usb0="00000000" w:usb1="80000000" w:usb2="00000008" w:usb3="00000000" w:csb0="000001FF" w:csb1="00000000"/>
  </w:font>
  <w:font w:name="TimesNewRoman">
    <w:panose1 w:val="00000000000000000000"/>
    <w:charset w:val="00"/>
    <w:family w:val="roman"/>
    <w:notTrueType/>
    <w:pitch w:val="default"/>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08A1A4E" w14:textId="2EE27882" w:rsidR="00CE5947" w:rsidRDefault="00CE5947" w:rsidP="00332479">
      <w:r>
        <w:separator/>
      </w:r>
    </w:p>
  </w:footnote>
  <w:footnote w:type="continuationSeparator" w:id="0">
    <w:p w14:paraId="1718EF16" w14:textId="4135DB15" w:rsidR="00CE5947" w:rsidRDefault="00CE5947">
      <w:r>
        <w:continuationSeparator/>
      </w:r>
    </w:p>
  </w:footnote>
  <w:footnote w:id="1">
    <w:p w14:paraId="3FC13072" w14:textId="2BDCF677" w:rsidR="00CE5947" w:rsidRPr="009B492A" w:rsidRDefault="00CE5947" w:rsidP="0069329A">
      <w:pPr>
        <w:pStyle w:val="FootnoteText"/>
        <w:rPr>
          <w:rFonts w:ascii="Times New Roman" w:hAnsi="Times New Roman" w:cs="Times New Roman"/>
          <w:lang w:val="en-GB"/>
        </w:rPr>
      </w:pPr>
      <w:r w:rsidRPr="005B1222">
        <w:rPr>
          <w:rStyle w:val="FootnoteReference"/>
          <w:rFonts w:ascii="Times New Roman" w:hAnsi="Times New Roman" w:cs="Times New Roman"/>
          <w:vertAlign w:val="baseline"/>
          <w:lang w:val="en-GB"/>
        </w:rPr>
        <w:footnoteRef/>
      </w:r>
      <w:r>
        <w:rPr>
          <w:rFonts w:ascii="Times New Roman" w:hAnsi="Times New Roman" w:cs="Times New Roman"/>
          <w:lang w:val="en-GB"/>
        </w:rPr>
        <w:t>.  </w:t>
      </w:r>
      <w:r w:rsidRPr="009B492A">
        <w:rPr>
          <w:rFonts w:ascii="Times New Roman" w:hAnsi="Times New Roman" w:cs="Times New Roman"/>
          <w:lang w:val="en-GB"/>
        </w:rPr>
        <w:t xml:space="preserve">This opinion does not deal with the treatment of </w:t>
      </w:r>
      <w:r w:rsidRPr="009B492A">
        <w:rPr>
          <w:rFonts w:ascii="Times New Roman" w:hAnsi="Times New Roman" w:cs="Times New Roman"/>
          <w:i/>
          <w:lang w:val="en-GB"/>
        </w:rPr>
        <w:t>concursus delictorum</w:t>
      </w:r>
      <w:r w:rsidRPr="009B492A">
        <w:rPr>
          <w:rFonts w:ascii="Times New Roman" w:hAnsi="Times New Roman" w:cs="Times New Roman"/>
          <w:lang w:val="en-GB"/>
        </w:rPr>
        <w:t xml:space="preserve"> in international criminal law. In view of the silence of the </w:t>
      </w:r>
      <w:r w:rsidRPr="009B492A">
        <w:rPr>
          <w:rFonts w:ascii="Times New Roman" w:hAnsi="Times New Roman" w:cs="Times New Roman"/>
          <w:i/>
          <w:lang w:val="en-GB"/>
        </w:rPr>
        <w:t>ad</w:t>
      </w:r>
      <w:r>
        <w:rPr>
          <w:rFonts w:ascii="Times New Roman" w:hAnsi="Times New Roman" w:cs="Times New Roman"/>
          <w:i/>
          <w:lang w:val="en-GB"/>
        </w:rPr>
        <w:t xml:space="preserve"> </w:t>
      </w:r>
      <w:r w:rsidRPr="009B492A">
        <w:rPr>
          <w:rFonts w:ascii="Times New Roman" w:hAnsi="Times New Roman" w:cs="Times New Roman"/>
          <w:i/>
          <w:lang w:val="en-GB"/>
        </w:rPr>
        <w:t>hoc</w:t>
      </w:r>
      <w:r w:rsidRPr="009B492A">
        <w:rPr>
          <w:rFonts w:ascii="Times New Roman" w:hAnsi="Times New Roman" w:cs="Times New Roman"/>
          <w:lang w:val="en-GB"/>
        </w:rPr>
        <w:t xml:space="preserve"> criminal courts’ statutes on this issue and the limited scope of the rules set out in Article 78 </w:t>
      </w:r>
      <w:r w:rsidR="00332479" w:rsidRPr="002B285A">
        <w:rPr>
          <w:rFonts w:ascii="Times New Roman" w:hAnsi="Times New Roman" w:cs="Times New Roman"/>
        </w:rPr>
        <w:t xml:space="preserve">§ </w:t>
      </w:r>
      <w:r w:rsidRPr="009B492A">
        <w:rPr>
          <w:rFonts w:ascii="Times New Roman" w:hAnsi="Times New Roman" w:cs="Times New Roman"/>
          <w:lang w:val="en-GB"/>
        </w:rPr>
        <w:t xml:space="preserve">3 of the </w:t>
      </w:r>
      <w:r>
        <w:rPr>
          <w:rFonts w:ascii="Times New Roman" w:hAnsi="Times New Roman" w:cs="Times New Roman"/>
          <w:lang w:val="en-GB"/>
        </w:rPr>
        <w:t>Rome Statute of the International Criminal Court (ICC)</w:t>
      </w:r>
      <w:r w:rsidRPr="009B492A">
        <w:rPr>
          <w:rFonts w:ascii="Times New Roman" w:hAnsi="Times New Roman" w:cs="Times New Roman"/>
          <w:lang w:val="en-GB"/>
        </w:rPr>
        <w:t xml:space="preserve"> and Common Rule 87 (C) of the </w:t>
      </w:r>
      <w:r>
        <w:rPr>
          <w:rFonts w:ascii="Times New Roman" w:hAnsi="Times New Roman" w:cs="Times New Roman"/>
          <w:lang w:val="en-GB"/>
        </w:rPr>
        <w:t>International Criminal Tribunal for the former Yugoslavia (</w:t>
      </w:r>
      <w:r w:rsidRPr="009B492A">
        <w:rPr>
          <w:rFonts w:ascii="Times New Roman" w:hAnsi="Times New Roman" w:cs="Times New Roman"/>
          <w:lang w:val="en-GB"/>
        </w:rPr>
        <w:t>ICTY</w:t>
      </w:r>
      <w:r>
        <w:rPr>
          <w:rFonts w:ascii="Times New Roman" w:hAnsi="Times New Roman" w:cs="Times New Roman"/>
          <w:lang w:val="en-GB"/>
        </w:rPr>
        <w:t>)</w:t>
      </w:r>
      <w:r w:rsidRPr="009B492A">
        <w:rPr>
          <w:rFonts w:ascii="Times New Roman" w:hAnsi="Times New Roman" w:cs="Times New Roman"/>
          <w:lang w:val="en-GB"/>
        </w:rPr>
        <w:t xml:space="preserve"> and the </w:t>
      </w:r>
      <w:r>
        <w:rPr>
          <w:rFonts w:ascii="Times New Roman" w:hAnsi="Times New Roman" w:cs="Times New Roman"/>
          <w:lang w:val="en-GB"/>
        </w:rPr>
        <w:t>International Criminal Tribunal for Rwanda</w:t>
      </w:r>
      <w:r w:rsidRPr="009B492A">
        <w:rPr>
          <w:rFonts w:ascii="Times New Roman" w:hAnsi="Times New Roman" w:cs="Times New Roman"/>
          <w:lang w:val="en-GB"/>
        </w:rPr>
        <w:t xml:space="preserve"> </w:t>
      </w:r>
      <w:r>
        <w:rPr>
          <w:rFonts w:ascii="Times New Roman" w:hAnsi="Times New Roman" w:cs="Times New Roman"/>
          <w:lang w:val="en-GB"/>
        </w:rPr>
        <w:t>(</w:t>
      </w:r>
      <w:r w:rsidRPr="009B492A">
        <w:rPr>
          <w:rFonts w:ascii="Times New Roman" w:hAnsi="Times New Roman" w:cs="Times New Roman"/>
          <w:lang w:val="en-GB"/>
        </w:rPr>
        <w:t>ICTR</w:t>
      </w:r>
      <w:r>
        <w:rPr>
          <w:rFonts w:ascii="Times New Roman" w:hAnsi="Times New Roman" w:cs="Times New Roman"/>
          <w:lang w:val="en-GB"/>
        </w:rPr>
        <w:t>)</w:t>
      </w:r>
      <w:r w:rsidRPr="009B492A">
        <w:rPr>
          <w:rFonts w:ascii="Times New Roman" w:hAnsi="Times New Roman" w:cs="Times New Roman"/>
          <w:lang w:val="en-GB"/>
        </w:rPr>
        <w:t xml:space="preserve"> Rules of Procedure and Evidence, international criminal law today</w:t>
      </w:r>
      <w:r>
        <w:rPr>
          <w:rFonts w:ascii="Times New Roman" w:hAnsi="Times New Roman" w:cs="Times New Roman"/>
          <w:lang w:val="en-GB"/>
        </w:rPr>
        <w:t xml:space="preserve"> affords courts considerable discretion when it comes to sentencing</w:t>
      </w:r>
      <w:r w:rsidRPr="009B492A">
        <w:rPr>
          <w:rFonts w:ascii="Times New Roman" w:hAnsi="Times New Roman" w:cs="Times New Roman"/>
          <w:lang w:val="en-GB"/>
        </w:rPr>
        <w:t xml:space="preserve">. The almost unfettered discretion that </w:t>
      </w:r>
      <w:r>
        <w:rPr>
          <w:rFonts w:ascii="Times New Roman" w:hAnsi="Times New Roman" w:cs="Times New Roman"/>
          <w:lang w:val="en-GB"/>
        </w:rPr>
        <w:t xml:space="preserve">today </w:t>
      </w:r>
      <w:r w:rsidRPr="009B492A">
        <w:rPr>
          <w:rFonts w:ascii="Times New Roman" w:hAnsi="Times New Roman" w:cs="Times New Roman"/>
          <w:lang w:val="en-GB"/>
        </w:rPr>
        <w:t>still characteri</w:t>
      </w:r>
      <w:r>
        <w:rPr>
          <w:rFonts w:ascii="Times New Roman" w:hAnsi="Times New Roman" w:cs="Times New Roman"/>
          <w:lang w:val="en-GB"/>
        </w:rPr>
        <w:t>s</w:t>
      </w:r>
      <w:r w:rsidRPr="009B492A">
        <w:rPr>
          <w:rFonts w:ascii="Times New Roman" w:hAnsi="Times New Roman" w:cs="Times New Roman"/>
          <w:lang w:val="en-GB"/>
        </w:rPr>
        <w:t xml:space="preserve">es the practice of international courts, based on the “totality principle” of the ICTY, the ICTR, the </w:t>
      </w:r>
      <w:r>
        <w:rPr>
          <w:rFonts w:ascii="Times New Roman" w:hAnsi="Times New Roman" w:cs="Times New Roman"/>
          <w:lang w:val="en-GB"/>
        </w:rPr>
        <w:t>Special Court for Sierra Leone</w:t>
      </w:r>
      <w:r w:rsidRPr="009B492A">
        <w:rPr>
          <w:rFonts w:ascii="Times New Roman" w:hAnsi="Times New Roman" w:cs="Times New Roman"/>
          <w:lang w:val="en-GB"/>
        </w:rPr>
        <w:t xml:space="preserve">, the </w:t>
      </w:r>
      <w:r>
        <w:rPr>
          <w:rFonts w:ascii="Times New Roman" w:hAnsi="Times New Roman" w:cs="Times New Roman"/>
          <w:lang w:val="en-GB"/>
        </w:rPr>
        <w:t xml:space="preserve">Special Tribunal for Lebanon </w:t>
      </w:r>
      <w:r w:rsidRPr="009B492A">
        <w:rPr>
          <w:rFonts w:ascii="Times New Roman" w:hAnsi="Times New Roman" w:cs="Times New Roman"/>
          <w:lang w:val="en-GB"/>
        </w:rPr>
        <w:t xml:space="preserve">and the </w:t>
      </w:r>
      <w:r>
        <w:rPr>
          <w:rFonts w:ascii="Times New Roman" w:hAnsi="Times New Roman" w:cs="Times New Roman"/>
          <w:lang w:val="en-GB"/>
        </w:rPr>
        <w:t>Extraordinary Chambers in the Courts of Cambodia,</w:t>
      </w:r>
      <w:r w:rsidRPr="009B492A">
        <w:rPr>
          <w:rFonts w:ascii="Times New Roman" w:hAnsi="Times New Roman" w:cs="Times New Roman"/>
          <w:lang w:val="en-GB"/>
        </w:rPr>
        <w:t xml:space="preserve"> and the power to impose sentences which are either global, concurrent or consecutive, or even a mixture of concurrent and consecutive, provide little assistance to the specific topic of this opinion.</w:t>
      </w:r>
    </w:p>
  </w:footnote>
  <w:footnote w:id="2">
    <w:p w14:paraId="716C4E77" w14:textId="4F00C041" w:rsidR="00CE5947" w:rsidRPr="0069329A" w:rsidRDefault="00CE5947" w:rsidP="0069329A">
      <w:pPr>
        <w:pStyle w:val="FootnoteText"/>
        <w:rPr>
          <w:rFonts w:ascii="Times New Roman" w:hAnsi="Times New Roman" w:cs="Times New Roman"/>
          <w:lang w:val="it-IT"/>
        </w:rPr>
      </w:pPr>
      <w:r w:rsidRPr="00152081">
        <w:rPr>
          <w:rStyle w:val="FootnoteReference"/>
          <w:rFonts w:ascii="Times New Roman" w:hAnsi="Times New Roman" w:cs="Times New Roman"/>
          <w:vertAlign w:val="baseline"/>
          <w:lang w:val="en-GB"/>
        </w:rPr>
        <w:footnoteRef/>
      </w:r>
      <w:r w:rsidRPr="00BD3433">
        <w:rPr>
          <w:rFonts w:ascii="Times New Roman" w:hAnsi="Times New Roman" w:cs="Times New Roman"/>
          <w:lang w:val="fr-FR"/>
        </w:rPr>
        <w:t>.  </w:t>
      </w:r>
      <w:r w:rsidR="00577204" w:rsidRPr="00BD3433">
        <w:rPr>
          <w:rFonts w:ascii="Times New Roman" w:hAnsi="Times New Roman" w:cs="Times New Roman"/>
          <w:lang w:val="fr-FR"/>
        </w:rPr>
        <w:t>Bartolus de Saxoferrato,</w:t>
      </w:r>
      <w:r w:rsidR="00577204" w:rsidRPr="00BD3433">
        <w:rPr>
          <w:rFonts w:ascii="Times New Roman" w:hAnsi="Times New Roman" w:cs="Times New Roman"/>
          <w:i/>
          <w:lang w:val="fr-FR"/>
        </w:rPr>
        <w:t xml:space="preserve"> </w:t>
      </w:r>
      <w:r w:rsidRPr="00BD3433">
        <w:rPr>
          <w:rFonts w:ascii="Times New Roman" w:hAnsi="Times New Roman" w:cs="Times New Roman"/>
          <w:i/>
          <w:lang w:val="fr-FR"/>
        </w:rPr>
        <w:t xml:space="preserve">Lucernae Juris. </w:t>
      </w:r>
      <w:r w:rsidRPr="009B492A">
        <w:rPr>
          <w:rFonts w:ascii="Times New Roman" w:hAnsi="Times New Roman" w:cs="Times New Roman"/>
          <w:i/>
          <w:lang w:val="en-GB"/>
        </w:rPr>
        <w:t xml:space="preserve">Additio I. Ad Librum Nonum Digest. </w:t>
      </w:r>
      <w:r w:rsidRPr="0069329A">
        <w:rPr>
          <w:rFonts w:ascii="Times New Roman" w:hAnsi="Times New Roman" w:cs="Times New Roman"/>
          <w:i/>
          <w:lang w:val="it-IT"/>
        </w:rPr>
        <w:t>Lex XXXII</w:t>
      </w:r>
      <w:r w:rsidRPr="0069329A">
        <w:rPr>
          <w:rFonts w:ascii="Times New Roman" w:hAnsi="Times New Roman" w:cs="Times New Roman"/>
          <w:lang w:val="it-IT"/>
        </w:rPr>
        <w:t xml:space="preserve">, 1585. </w:t>
      </w:r>
    </w:p>
  </w:footnote>
  <w:footnote w:id="3">
    <w:p w14:paraId="630B2F41" w14:textId="6ADC6769" w:rsidR="00CE5947" w:rsidRPr="0069329A" w:rsidRDefault="00CE5947" w:rsidP="0069329A">
      <w:pPr>
        <w:pStyle w:val="FootnoteText"/>
        <w:rPr>
          <w:rFonts w:ascii="Times New Roman" w:hAnsi="Times New Roman" w:cs="Times New Roman"/>
          <w:lang w:val="it-IT"/>
        </w:rPr>
      </w:pPr>
      <w:r w:rsidRPr="00152081">
        <w:rPr>
          <w:rStyle w:val="FootnoteReference"/>
          <w:rFonts w:ascii="Times New Roman" w:hAnsi="Times New Roman" w:cs="Times New Roman"/>
          <w:vertAlign w:val="baseline"/>
          <w:lang w:val="en-GB"/>
        </w:rPr>
        <w:footnoteRef/>
      </w:r>
      <w:r>
        <w:rPr>
          <w:rFonts w:ascii="Times New Roman" w:hAnsi="Times New Roman" w:cs="Times New Roman"/>
          <w:lang w:val="it-IT"/>
        </w:rPr>
        <w:t>.  </w:t>
      </w:r>
      <w:r w:rsidR="00577204" w:rsidRPr="00BD3433">
        <w:rPr>
          <w:rFonts w:ascii="Times New Roman" w:hAnsi="Times New Roman" w:cs="Times New Roman"/>
          <w:lang w:val="fr-FR"/>
        </w:rPr>
        <w:t>Baldus de Ubaldis,</w:t>
      </w:r>
      <w:r w:rsidR="00577204" w:rsidRPr="00577204">
        <w:rPr>
          <w:rFonts w:ascii="Times New Roman" w:hAnsi="Times New Roman" w:cs="Times New Roman"/>
          <w:i/>
          <w:lang w:val="it-IT"/>
        </w:rPr>
        <w:t xml:space="preserve"> </w:t>
      </w:r>
      <w:r w:rsidRPr="0069329A">
        <w:rPr>
          <w:rFonts w:ascii="Times New Roman" w:hAnsi="Times New Roman" w:cs="Times New Roman"/>
          <w:i/>
          <w:lang w:val="it-IT"/>
        </w:rPr>
        <w:t>Perusini iurisconsulti … In sextum codicis librum commentaria</w:t>
      </w:r>
      <w:r w:rsidRPr="0069329A">
        <w:rPr>
          <w:rFonts w:ascii="Times New Roman" w:hAnsi="Times New Roman" w:cs="Times New Roman"/>
          <w:lang w:val="it-IT"/>
        </w:rPr>
        <w:t>, 1599.</w:t>
      </w:r>
    </w:p>
  </w:footnote>
  <w:footnote w:id="4">
    <w:p w14:paraId="3F20AC8D" w14:textId="24781345" w:rsidR="00CE5947" w:rsidRPr="002B285A" w:rsidRDefault="00CE5947" w:rsidP="0069329A">
      <w:pPr>
        <w:pStyle w:val="FootnoteText"/>
        <w:rPr>
          <w:rFonts w:ascii="Times New Roman" w:hAnsi="Times New Roman" w:cs="Times New Roman"/>
        </w:rPr>
      </w:pPr>
      <w:r w:rsidRPr="00152081">
        <w:rPr>
          <w:rStyle w:val="FootnoteReference"/>
          <w:rFonts w:ascii="Times New Roman" w:hAnsi="Times New Roman" w:cs="Times New Roman"/>
          <w:vertAlign w:val="baseline"/>
          <w:lang w:val="en-GB"/>
        </w:rPr>
        <w:footnoteRef/>
      </w:r>
      <w:r w:rsidRPr="002B285A">
        <w:rPr>
          <w:rFonts w:ascii="Times New Roman" w:hAnsi="Times New Roman" w:cs="Times New Roman"/>
        </w:rPr>
        <w:t>.  </w:t>
      </w:r>
      <w:r w:rsidR="00577204" w:rsidRPr="00577204">
        <w:rPr>
          <w:rFonts w:ascii="Times New Roman" w:hAnsi="Times New Roman" w:cs="Times New Roman"/>
          <w:lang w:val="en-GB"/>
        </w:rPr>
        <w:t>Prosperus Farinacius</w:t>
      </w:r>
      <w:r w:rsidR="00577204">
        <w:rPr>
          <w:rFonts w:ascii="Times New Roman" w:hAnsi="Times New Roman" w:cs="Times New Roman"/>
          <w:lang w:val="en-GB"/>
        </w:rPr>
        <w:t>,</w:t>
      </w:r>
      <w:r w:rsidR="00577204" w:rsidRPr="002B285A">
        <w:rPr>
          <w:rFonts w:ascii="Times New Roman" w:hAnsi="Times New Roman" w:cs="Times New Roman"/>
          <w:i/>
        </w:rPr>
        <w:t xml:space="preserve"> </w:t>
      </w:r>
      <w:r w:rsidRPr="002B285A">
        <w:rPr>
          <w:rFonts w:ascii="Times New Roman" w:hAnsi="Times New Roman" w:cs="Times New Roman"/>
          <w:i/>
        </w:rPr>
        <w:t>Praxis et theoriae criminalis. Quaestio CLXVII</w:t>
      </w:r>
      <w:r w:rsidRPr="002B285A">
        <w:rPr>
          <w:rFonts w:ascii="Times New Roman" w:hAnsi="Times New Roman" w:cs="Times New Roman"/>
        </w:rPr>
        <w:t>, 1597.</w:t>
      </w:r>
    </w:p>
  </w:footnote>
  <w:footnote w:id="5">
    <w:p w14:paraId="63887231" w14:textId="55D6AC36" w:rsidR="00CE5947" w:rsidRPr="009B492A" w:rsidRDefault="00CE5947" w:rsidP="0069329A">
      <w:pPr>
        <w:pStyle w:val="FootnoteText"/>
        <w:rPr>
          <w:rFonts w:ascii="Times New Roman" w:hAnsi="Times New Roman" w:cs="Times New Roman"/>
          <w:lang w:val="en-GB"/>
        </w:rPr>
      </w:pPr>
      <w:r w:rsidRPr="00152081">
        <w:rPr>
          <w:rStyle w:val="FootnoteReference"/>
          <w:rFonts w:ascii="Times New Roman" w:hAnsi="Times New Roman" w:cs="Times New Roman"/>
          <w:vertAlign w:val="baseline"/>
          <w:lang w:val="en-GB"/>
        </w:rPr>
        <w:footnoteRef/>
      </w:r>
      <w:r>
        <w:rPr>
          <w:rFonts w:ascii="Times New Roman" w:hAnsi="Times New Roman" w:cs="Times New Roman"/>
          <w:lang w:val="en-GB"/>
        </w:rPr>
        <w:t>.  </w:t>
      </w:r>
      <w:r w:rsidRPr="009B492A">
        <w:rPr>
          <w:rFonts w:ascii="Times New Roman" w:hAnsi="Times New Roman" w:cs="Times New Roman"/>
          <w:lang w:val="en-GB"/>
        </w:rPr>
        <w:t xml:space="preserve">For the sake of clarity, the Anglo-American expressions </w:t>
      </w:r>
      <w:r>
        <w:rPr>
          <w:rFonts w:ascii="Times New Roman" w:hAnsi="Times New Roman" w:cs="Times New Roman"/>
          <w:lang w:val="en-GB"/>
        </w:rPr>
        <w:t>“</w:t>
      </w:r>
      <w:r w:rsidRPr="009B492A">
        <w:rPr>
          <w:rFonts w:ascii="Times New Roman" w:hAnsi="Times New Roman" w:cs="Times New Roman"/>
          <w:lang w:val="en-GB"/>
        </w:rPr>
        <w:t>consecutive</w:t>
      </w:r>
      <w:r>
        <w:rPr>
          <w:rFonts w:ascii="Times New Roman" w:hAnsi="Times New Roman" w:cs="Times New Roman"/>
          <w:lang w:val="en-GB"/>
        </w:rPr>
        <w:t>”</w:t>
      </w:r>
      <w:r w:rsidRPr="009B492A">
        <w:rPr>
          <w:rFonts w:ascii="Times New Roman" w:hAnsi="Times New Roman" w:cs="Times New Roman"/>
          <w:lang w:val="en-GB"/>
        </w:rPr>
        <w:t xml:space="preserve"> and </w:t>
      </w:r>
      <w:r>
        <w:rPr>
          <w:rFonts w:ascii="Times New Roman" w:hAnsi="Times New Roman" w:cs="Times New Roman"/>
          <w:lang w:val="en-GB"/>
        </w:rPr>
        <w:t>“</w:t>
      </w:r>
      <w:r w:rsidRPr="009B492A">
        <w:rPr>
          <w:rFonts w:ascii="Times New Roman" w:hAnsi="Times New Roman" w:cs="Times New Roman"/>
          <w:lang w:val="en-GB"/>
        </w:rPr>
        <w:t>concurrent</w:t>
      </w:r>
      <w:r>
        <w:rPr>
          <w:rFonts w:ascii="Times New Roman" w:hAnsi="Times New Roman" w:cs="Times New Roman"/>
          <w:lang w:val="en-GB"/>
        </w:rPr>
        <w:t>”</w:t>
      </w:r>
      <w:r w:rsidRPr="009B492A">
        <w:rPr>
          <w:rFonts w:ascii="Times New Roman" w:hAnsi="Times New Roman" w:cs="Times New Roman"/>
          <w:lang w:val="en-GB"/>
        </w:rPr>
        <w:t xml:space="preserve"> sentences are used in this opinion with the meaning attributed</w:t>
      </w:r>
      <w:r>
        <w:rPr>
          <w:rFonts w:ascii="Times New Roman" w:hAnsi="Times New Roman" w:cs="Times New Roman"/>
          <w:lang w:val="en-GB"/>
        </w:rPr>
        <w:t xml:space="preserve"> to them</w:t>
      </w:r>
      <w:r w:rsidRPr="009B492A">
        <w:rPr>
          <w:rFonts w:ascii="Times New Roman" w:hAnsi="Times New Roman" w:cs="Times New Roman"/>
          <w:lang w:val="en-GB"/>
        </w:rPr>
        <w:t xml:space="preserve"> in paragraph 29 of the judgment, which equates to </w:t>
      </w:r>
      <w:r>
        <w:rPr>
          <w:rFonts w:ascii="Times New Roman" w:hAnsi="Times New Roman" w:cs="Times New Roman"/>
          <w:lang w:val="en-GB"/>
        </w:rPr>
        <w:t>the</w:t>
      </w:r>
      <w:r w:rsidRPr="009B492A">
        <w:rPr>
          <w:rFonts w:ascii="Times New Roman" w:hAnsi="Times New Roman" w:cs="Times New Roman"/>
          <w:lang w:val="en-GB"/>
        </w:rPr>
        <w:t xml:space="preserve"> classical meaning (see, for example, 18 USC § 3584 (a), and section</w:t>
      </w:r>
      <w:r w:rsidR="00332479">
        <w:rPr>
          <w:rFonts w:ascii="Times New Roman" w:hAnsi="Times New Roman" w:cs="Times New Roman"/>
          <w:lang w:val="en-GB"/>
        </w:rPr>
        <w:t>s</w:t>
      </w:r>
      <w:r w:rsidRPr="009B492A">
        <w:rPr>
          <w:rFonts w:ascii="Times New Roman" w:hAnsi="Times New Roman" w:cs="Times New Roman"/>
          <w:lang w:val="en-GB"/>
        </w:rPr>
        <w:t xml:space="preserve"> 718.2 and 718.4 </w:t>
      </w:r>
      <w:r>
        <w:rPr>
          <w:rFonts w:ascii="Times New Roman" w:hAnsi="Times New Roman" w:cs="Times New Roman"/>
          <w:lang w:val="en-GB"/>
        </w:rPr>
        <w:t xml:space="preserve">of the </w:t>
      </w:r>
      <w:r w:rsidRPr="009B492A">
        <w:rPr>
          <w:rFonts w:ascii="Times New Roman" w:hAnsi="Times New Roman" w:cs="Times New Roman"/>
          <w:lang w:val="en-GB"/>
        </w:rPr>
        <w:t xml:space="preserve">Canadian Criminal Code).  </w:t>
      </w:r>
    </w:p>
  </w:footnote>
  <w:footnote w:id="6">
    <w:p w14:paraId="04919AE5" w14:textId="53EB2BED" w:rsidR="00CE5947" w:rsidRPr="0069329A" w:rsidRDefault="00CE5947" w:rsidP="0069329A">
      <w:pPr>
        <w:pStyle w:val="FootnoteText"/>
        <w:rPr>
          <w:rFonts w:ascii="Times New Roman" w:hAnsi="Times New Roman" w:cs="Times New Roman"/>
          <w:lang w:val="it-IT"/>
        </w:rPr>
      </w:pPr>
      <w:r w:rsidRPr="00152081">
        <w:rPr>
          <w:rStyle w:val="FootnoteReference"/>
          <w:rFonts w:ascii="Times New Roman" w:hAnsi="Times New Roman" w:cs="Times New Roman"/>
          <w:vertAlign w:val="baseline"/>
          <w:lang w:val="en-GB"/>
        </w:rPr>
        <w:footnoteRef/>
      </w:r>
      <w:r>
        <w:rPr>
          <w:rFonts w:ascii="Times New Roman" w:hAnsi="Times New Roman" w:cs="Times New Roman"/>
          <w:lang w:val="it-IT"/>
        </w:rPr>
        <w:t>.  </w:t>
      </w:r>
      <w:r w:rsidRPr="0069329A">
        <w:rPr>
          <w:rFonts w:ascii="Times New Roman" w:hAnsi="Times New Roman" w:cs="Times New Roman"/>
          <w:lang w:val="it-IT"/>
        </w:rPr>
        <w:t xml:space="preserve">For an analysis of the Italian scholars, see Giovanni Leone, </w:t>
      </w:r>
      <w:r w:rsidRPr="0069329A">
        <w:rPr>
          <w:rFonts w:ascii="Times New Roman" w:hAnsi="Times New Roman" w:cs="Times New Roman"/>
          <w:i/>
          <w:lang w:val="it-IT"/>
        </w:rPr>
        <w:t>Del Reato Abituale, Continuato e Permanente</w:t>
      </w:r>
      <w:r w:rsidRPr="0069329A">
        <w:rPr>
          <w:rFonts w:ascii="Times New Roman" w:hAnsi="Times New Roman" w:cs="Times New Roman"/>
          <w:lang w:val="it-IT"/>
        </w:rPr>
        <w:t>, 1933, pp. 193 et seq.</w:t>
      </w:r>
    </w:p>
  </w:footnote>
  <w:footnote w:id="7">
    <w:p w14:paraId="60EFF58B" w14:textId="56E7F444" w:rsidR="00CE5947" w:rsidRPr="005E3110" w:rsidRDefault="00CE5947" w:rsidP="0069329A">
      <w:pPr>
        <w:pStyle w:val="FootnoteText"/>
        <w:rPr>
          <w:rFonts w:ascii="Times New Roman" w:hAnsi="Times New Roman" w:cs="Times New Roman"/>
          <w:lang w:val="it-IT"/>
        </w:rPr>
      </w:pPr>
      <w:r w:rsidRPr="00152081">
        <w:rPr>
          <w:rStyle w:val="FootnoteReference"/>
          <w:rFonts w:ascii="Times New Roman" w:hAnsi="Times New Roman" w:cs="Times New Roman"/>
          <w:vertAlign w:val="baseline"/>
        </w:rPr>
        <w:footnoteRef/>
      </w:r>
      <w:r>
        <w:rPr>
          <w:rFonts w:ascii="Times New Roman" w:hAnsi="Times New Roman" w:cs="Times New Roman"/>
          <w:lang w:val="it-IT"/>
        </w:rPr>
        <w:t>.  </w:t>
      </w:r>
      <w:r w:rsidRPr="005E3110">
        <w:rPr>
          <w:rFonts w:ascii="Times New Roman" w:hAnsi="Times New Roman" w:cs="Times New Roman"/>
          <w:lang w:val="it-IT"/>
        </w:rPr>
        <w:t>Article 80 read as follows: “</w:t>
      </w:r>
      <w:r w:rsidRPr="005E3110">
        <w:rPr>
          <w:rFonts w:ascii="Times New Roman" w:hAnsi="Times New Roman" w:cs="Times New Roman"/>
          <w:i/>
          <w:lang w:val="it-IT"/>
        </w:rPr>
        <w:t>Più violazioni della stessa legge p</w:t>
      </w:r>
      <w:r w:rsidR="00332479">
        <w:rPr>
          <w:rFonts w:ascii="Times New Roman" w:hAnsi="Times New Roman" w:cs="Times New Roman"/>
          <w:i/>
          <w:lang w:val="it-IT"/>
        </w:rPr>
        <w:t>e</w:t>
      </w:r>
      <w:r w:rsidRPr="005E3110">
        <w:rPr>
          <w:rFonts w:ascii="Times New Roman" w:hAnsi="Times New Roman" w:cs="Times New Roman"/>
          <w:i/>
          <w:lang w:val="it-IT"/>
        </w:rPr>
        <w:t>nale, commesse in uno stesso contesto di azione, o, anche in tempi diversi, con atti esecutivi della medesima risoluzion criminosa, si considerano per un solo delitto continuato: ma la continuazione del delitto accresce la pena entro i suoi limiti legali</w:t>
      </w:r>
      <w:r w:rsidRPr="005E3110">
        <w:rPr>
          <w:rFonts w:ascii="Times New Roman" w:hAnsi="Times New Roman" w:cs="Times New Roman"/>
          <w:lang w:val="it-IT"/>
        </w:rPr>
        <w:t>.”</w:t>
      </w:r>
    </w:p>
  </w:footnote>
  <w:footnote w:id="8">
    <w:p w14:paraId="70ABB1BB" w14:textId="40CC16AC" w:rsidR="00CE5947" w:rsidRPr="005E3110" w:rsidRDefault="00CE5947" w:rsidP="0069329A">
      <w:pPr>
        <w:pStyle w:val="FootnoteText"/>
        <w:rPr>
          <w:lang w:val="it-IT"/>
        </w:rPr>
      </w:pPr>
      <w:r w:rsidRPr="00152081">
        <w:rPr>
          <w:rStyle w:val="FootnoteReference"/>
          <w:vertAlign w:val="baseline"/>
        </w:rPr>
        <w:footnoteRef/>
      </w:r>
      <w:r>
        <w:rPr>
          <w:lang w:val="it-IT"/>
        </w:rPr>
        <w:t>.</w:t>
      </w:r>
      <w:r w:rsidR="00577204">
        <w:rPr>
          <w:lang w:val="it-IT"/>
        </w:rPr>
        <w:t>  </w:t>
      </w:r>
      <w:r w:rsidRPr="005E3110">
        <w:rPr>
          <w:rFonts w:ascii="Times New Roman" w:hAnsi="Times New Roman" w:cs="Times New Roman"/>
          <w:i/>
          <w:lang w:val="it-IT"/>
        </w:rPr>
        <w:t>Programa del corso di diritto penale</w:t>
      </w:r>
      <w:r w:rsidRPr="005E3110">
        <w:rPr>
          <w:rFonts w:ascii="Times New Roman" w:hAnsi="Times New Roman" w:cs="Times New Roman"/>
          <w:lang w:val="it-IT"/>
        </w:rPr>
        <w:t>, 1874, paragraph 536.</w:t>
      </w:r>
    </w:p>
  </w:footnote>
  <w:footnote w:id="9">
    <w:p w14:paraId="05CE43C8" w14:textId="708E8AD7" w:rsidR="00CE5947" w:rsidRPr="009B492A" w:rsidRDefault="00CE5947" w:rsidP="0069329A">
      <w:pPr>
        <w:pStyle w:val="FootnoteText"/>
        <w:rPr>
          <w:rFonts w:ascii="Times New Roman" w:hAnsi="Times New Roman" w:cs="Times New Roman"/>
          <w:lang w:val="en-GB"/>
        </w:rPr>
      </w:pPr>
      <w:r w:rsidRPr="00025958">
        <w:rPr>
          <w:rStyle w:val="FootnoteReference"/>
          <w:rFonts w:ascii="Times New Roman" w:hAnsi="Times New Roman" w:cs="Times New Roman"/>
          <w:vertAlign w:val="baseline"/>
          <w:lang w:val="en-GB"/>
        </w:rPr>
        <w:footnoteRef/>
      </w:r>
      <w:r>
        <w:rPr>
          <w:rFonts w:ascii="Times New Roman" w:hAnsi="Times New Roman" w:cs="Times New Roman"/>
          <w:lang w:val="en-GB"/>
        </w:rPr>
        <w:t>.  </w:t>
      </w:r>
      <w:r w:rsidRPr="009B492A">
        <w:rPr>
          <w:rFonts w:ascii="Times New Roman" w:hAnsi="Times New Roman" w:cs="Times New Roman"/>
          <w:lang w:val="en-GB"/>
        </w:rPr>
        <w:t xml:space="preserve">For an analysis of these positions, see Gian Domenico Pisapia, </w:t>
      </w:r>
      <w:r w:rsidRPr="005C23A9">
        <w:rPr>
          <w:rFonts w:ascii="Times New Roman" w:hAnsi="Times New Roman" w:cs="Times New Roman"/>
          <w:i/>
          <w:lang w:val="en-GB"/>
        </w:rPr>
        <w:t>Reato continuato</w:t>
      </w:r>
      <w:r w:rsidRPr="009B492A">
        <w:rPr>
          <w:rFonts w:ascii="Times New Roman" w:hAnsi="Times New Roman" w:cs="Times New Roman"/>
          <w:lang w:val="en-GB"/>
        </w:rPr>
        <w:t xml:space="preserve">, </w:t>
      </w:r>
      <w:r>
        <w:rPr>
          <w:rFonts w:ascii="Times New Roman" w:hAnsi="Times New Roman" w:cs="Times New Roman"/>
          <w:lang w:val="en-GB"/>
        </w:rPr>
        <w:t xml:space="preserve">1938, </w:t>
      </w:r>
      <w:r w:rsidRPr="009B492A">
        <w:rPr>
          <w:rFonts w:ascii="Times New Roman" w:hAnsi="Times New Roman" w:cs="Times New Roman"/>
          <w:lang w:val="en-GB"/>
        </w:rPr>
        <w:t>p</w:t>
      </w:r>
      <w:r>
        <w:rPr>
          <w:rFonts w:ascii="Times New Roman" w:hAnsi="Times New Roman" w:cs="Times New Roman"/>
          <w:lang w:val="en-GB"/>
        </w:rPr>
        <w:t>p</w:t>
      </w:r>
      <w:r w:rsidRPr="009B492A">
        <w:rPr>
          <w:rFonts w:ascii="Times New Roman" w:hAnsi="Times New Roman" w:cs="Times New Roman"/>
          <w:lang w:val="en-GB"/>
        </w:rPr>
        <w:t xml:space="preserve">. 111 </w:t>
      </w:r>
      <w:r>
        <w:rPr>
          <w:rFonts w:ascii="Times New Roman" w:hAnsi="Times New Roman" w:cs="Times New Roman"/>
          <w:lang w:val="en-GB"/>
        </w:rPr>
        <w:t>et seq</w:t>
      </w:r>
      <w:r w:rsidRPr="009B492A">
        <w:rPr>
          <w:rFonts w:ascii="Times New Roman" w:hAnsi="Times New Roman" w:cs="Times New Roman"/>
          <w:lang w:val="en-GB"/>
        </w:rPr>
        <w:t>.</w:t>
      </w:r>
    </w:p>
  </w:footnote>
  <w:footnote w:id="10">
    <w:p w14:paraId="550AF20C" w14:textId="27715750" w:rsidR="00CE5947" w:rsidRPr="00C03F7D" w:rsidRDefault="00CE5947" w:rsidP="0069329A">
      <w:pPr>
        <w:pStyle w:val="FootnoteText"/>
        <w:rPr>
          <w:rFonts w:ascii="Times New Roman" w:hAnsi="Times New Roman" w:cs="Times New Roman"/>
          <w:lang w:val="fr-FR"/>
        </w:rPr>
      </w:pPr>
      <w:r w:rsidRPr="00025958">
        <w:rPr>
          <w:rStyle w:val="FootnoteReference"/>
          <w:rFonts w:ascii="Times New Roman" w:hAnsi="Times New Roman" w:cs="Times New Roman"/>
          <w:vertAlign w:val="baseline"/>
          <w:lang w:val="en-GB"/>
        </w:rPr>
        <w:footnoteRef/>
      </w:r>
      <w:r>
        <w:rPr>
          <w:rFonts w:ascii="Times New Roman" w:hAnsi="Times New Roman" w:cs="Times New Roman"/>
          <w:lang w:val="fr-FR"/>
        </w:rPr>
        <w:t>.  </w:t>
      </w:r>
      <w:r w:rsidRPr="00C03F7D">
        <w:rPr>
          <w:rFonts w:ascii="Times New Roman" w:hAnsi="Times New Roman" w:cs="Times New Roman"/>
          <w:i/>
          <w:lang w:val="fr-FR"/>
        </w:rPr>
        <w:t>Traité de l’instruction criminelle</w:t>
      </w:r>
      <w:r w:rsidRPr="00C03F7D">
        <w:rPr>
          <w:rFonts w:ascii="Times New Roman" w:hAnsi="Times New Roman" w:cs="Times New Roman"/>
          <w:lang w:val="fr-FR"/>
        </w:rPr>
        <w:t>, volume III, 1848, p</w:t>
      </w:r>
      <w:r>
        <w:rPr>
          <w:rFonts w:ascii="Times New Roman" w:hAnsi="Times New Roman" w:cs="Times New Roman"/>
          <w:lang w:val="fr-FR"/>
        </w:rPr>
        <w:t>p</w:t>
      </w:r>
      <w:r w:rsidRPr="00C03F7D">
        <w:rPr>
          <w:rFonts w:ascii="Times New Roman" w:hAnsi="Times New Roman" w:cs="Times New Roman"/>
          <w:lang w:val="fr-FR"/>
        </w:rPr>
        <w:t xml:space="preserve">. </w:t>
      </w:r>
      <w:r>
        <w:rPr>
          <w:rFonts w:ascii="Times New Roman" w:hAnsi="Times New Roman" w:cs="Times New Roman"/>
          <w:lang w:val="fr-FR"/>
        </w:rPr>
        <w:t>587 et seq</w:t>
      </w:r>
      <w:r w:rsidRPr="00C03F7D">
        <w:rPr>
          <w:rFonts w:ascii="Times New Roman" w:hAnsi="Times New Roman" w:cs="Times New Roman"/>
          <w:lang w:val="fr-FR"/>
        </w:rPr>
        <w:t xml:space="preserve">. </w:t>
      </w:r>
    </w:p>
  </w:footnote>
  <w:footnote w:id="11">
    <w:p w14:paraId="1FF49E83" w14:textId="422F5F9F" w:rsidR="00CE5947" w:rsidRPr="009B492A" w:rsidRDefault="00CE5947" w:rsidP="0069329A">
      <w:pPr>
        <w:pStyle w:val="FootnoteText"/>
        <w:rPr>
          <w:rFonts w:ascii="Times New Roman" w:hAnsi="Times New Roman" w:cs="Times New Roman"/>
          <w:lang w:val="en-GB"/>
        </w:rPr>
      </w:pPr>
      <w:r w:rsidRPr="00025958">
        <w:rPr>
          <w:rStyle w:val="FootnoteReference"/>
          <w:rFonts w:ascii="Times New Roman" w:hAnsi="Times New Roman" w:cs="Times New Roman"/>
          <w:vertAlign w:val="baseline"/>
          <w:lang w:val="en-GB"/>
        </w:rPr>
        <w:footnoteRef/>
      </w:r>
      <w:r>
        <w:rPr>
          <w:rFonts w:ascii="Times New Roman" w:hAnsi="Times New Roman" w:cs="Times New Roman"/>
          <w:lang w:val="en-GB"/>
        </w:rPr>
        <w:t>.  </w:t>
      </w:r>
      <w:r w:rsidRPr="009B492A">
        <w:rPr>
          <w:rFonts w:ascii="Times New Roman" w:hAnsi="Times New Roman" w:cs="Times New Roman"/>
          <w:lang w:val="en-GB"/>
        </w:rPr>
        <w:t xml:space="preserve">This distinction had been presented in the </w:t>
      </w:r>
      <w:r w:rsidRPr="009B492A">
        <w:rPr>
          <w:rFonts w:ascii="Times New Roman" w:hAnsi="Times New Roman" w:cs="Times New Roman"/>
          <w:i/>
          <w:lang w:val="en-GB"/>
        </w:rPr>
        <w:t>Lehrbuch des gemeinen in Deutschland gültigen Peinlichen Rechts</w:t>
      </w:r>
      <w:r w:rsidRPr="009B492A">
        <w:rPr>
          <w:rFonts w:ascii="Times New Roman" w:hAnsi="Times New Roman" w:cs="Times New Roman"/>
          <w:lang w:val="en-GB"/>
        </w:rPr>
        <w:t xml:space="preserve">, </w:t>
      </w:r>
      <w:r>
        <w:rPr>
          <w:rFonts w:ascii="Times New Roman" w:hAnsi="Times New Roman" w:cs="Times New Roman"/>
          <w:lang w:val="en-GB"/>
        </w:rPr>
        <w:t>1801</w:t>
      </w:r>
      <w:r w:rsidRPr="009B492A">
        <w:rPr>
          <w:rFonts w:ascii="Times New Roman" w:hAnsi="Times New Roman" w:cs="Times New Roman"/>
          <w:lang w:val="en-GB"/>
        </w:rPr>
        <w:t>, § 1</w:t>
      </w:r>
      <w:r>
        <w:rPr>
          <w:rFonts w:ascii="Times New Roman" w:hAnsi="Times New Roman" w:cs="Times New Roman"/>
          <w:lang w:val="en-GB"/>
        </w:rPr>
        <w:t>52</w:t>
      </w:r>
      <w:r w:rsidRPr="009B492A">
        <w:rPr>
          <w:rFonts w:ascii="Times New Roman" w:hAnsi="Times New Roman" w:cs="Times New Roman"/>
          <w:lang w:val="en-GB"/>
        </w:rPr>
        <w:t>. I</w:t>
      </w:r>
      <w:r>
        <w:rPr>
          <w:rFonts w:ascii="Times New Roman" w:hAnsi="Times New Roman" w:cs="Times New Roman"/>
          <w:lang w:val="en-GB"/>
        </w:rPr>
        <w:t>n</w:t>
      </w:r>
      <w:r w:rsidRPr="009B492A">
        <w:rPr>
          <w:rFonts w:ascii="Times New Roman" w:hAnsi="Times New Roman" w:cs="Times New Roman"/>
          <w:lang w:val="en-GB"/>
        </w:rPr>
        <w:t xml:space="preserve"> the following paragraph Feuerbach also advocated the Roman rule of the </w:t>
      </w:r>
      <w:r>
        <w:rPr>
          <w:rFonts w:ascii="Times New Roman" w:hAnsi="Times New Roman" w:cs="Times New Roman"/>
          <w:lang w:val="en-GB"/>
        </w:rPr>
        <w:t>strict</w:t>
      </w:r>
      <w:r w:rsidRPr="009B492A">
        <w:rPr>
          <w:rFonts w:ascii="Times New Roman" w:hAnsi="Times New Roman" w:cs="Times New Roman"/>
          <w:lang w:val="en-GB"/>
        </w:rPr>
        <w:t xml:space="preserve"> accumulation of penalties. </w:t>
      </w:r>
      <w:r>
        <w:rPr>
          <w:rFonts w:ascii="Times New Roman" w:hAnsi="Times New Roman" w:cs="Times New Roman"/>
          <w:lang w:val="en-GB"/>
        </w:rPr>
        <w:t>It is worth mentioning t</w:t>
      </w:r>
      <w:r w:rsidRPr="009B492A">
        <w:rPr>
          <w:rFonts w:ascii="Times New Roman" w:hAnsi="Times New Roman" w:cs="Times New Roman"/>
          <w:lang w:val="en-GB"/>
        </w:rPr>
        <w:t xml:space="preserve">hat </w:t>
      </w:r>
      <w:r>
        <w:rPr>
          <w:rFonts w:ascii="Times New Roman" w:hAnsi="Times New Roman" w:cs="Times New Roman"/>
          <w:lang w:val="en-GB"/>
        </w:rPr>
        <w:t xml:space="preserve">the first edition of the </w:t>
      </w:r>
      <w:r w:rsidRPr="007D431C">
        <w:rPr>
          <w:rFonts w:ascii="Times New Roman" w:hAnsi="Times New Roman" w:cs="Times New Roman"/>
          <w:i/>
          <w:lang w:val="en-GB"/>
        </w:rPr>
        <w:t>Lehrbuch</w:t>
      </w:r>
      <w:r>
        <w:rPr>
          <w:rFonts w:ascii="Times New Roman" w:hAnsi="Times New Roman" w:cs="Times New Roman"/>
          <w:lang w:val="en-GB"/>
        </w:rPr>
        <w:t xml:space="preserve"> only mentioned “</w:t>
      </w:r>
      <w:r w:rsidRPr="007D431C">
        <w:rPr>
          <w:rFonts w:ascii="Times New Roman" w:hAnsi="Times New Roman" w:cs="Times New Roman"/>
          <w:i/>
          <w:lang w:val="en-GB"/>
        </w:rPr>
        <w:t>an einem und demselben Object</w:t>
      </w:r>
      <w:r>
        <w:rPr>
          <w:rFonts w:ascii="Times New Roman" w:hAnsi="Times New Roman" w:cs="Times New Roman"/>
          <w:lang w:val="en-GB"/>
        </w:rPr>
        <w:t>”, but later editions also contained the words “</w:t>
      </w:r>
      <w:r w:rsidRPr="007D431C">
        <w:rPr>
          <w:rFonts w:ascii="Times New Roman" w:hAnsi="Times New Roman" w:cs="Times New Roman"/>
          <w:i/>
          <w:lang w:val="en-GB"/>
        </w:rPr>
        <w:t>oder an einer und derselben Person</w:t>
      </w:r>
      <w:r>
        <w:rPr>
          <w:rFonts w:ascii="Times New Roman" w:hAnsi="Times New Roman" w:cs="Times New Roman"/>
          <w:lang w:val="en-GB"/>
        </w:rPr>
        <w:t>”</w:t>
      </w:r>
      <w:r w:rsidRPr="00017B9C">
        <w:rPr>
          <w:rFonts w:ascii="Times New Roman" w:hAnsi="Times New Roman" w:cs="Times New Roman"/>
          <w:lang w:val="en-GB"/>
        </w:rPr>
        <w:t>. In fact</w:t>
      </w:r>
      <w:r w:rsidRPr="009B492A">
        <w:rPr>
          <w:rFonts w:ascii="Times New Roman" w:hAnsi="Times New Roman" w:cs="Times New Roman"/>
          <w:lang w:val="en-GB"/>
        </w:rPr>
        <w:t xml:space="preserve">, Feuerbach adopted the views of Koch in his </w:t>
      </w:r>
      <w:r w:rsidRPr="009B492A">
        <w:rPr>
          <w:rFonts w:ascii="Times New Roman" w:hAnsi="Times New Roman" w:cs="Times New Roman"/>
          <w:i/>
          <w:lang w:val="en-GB"/>
        </w:rPr>
        <w:t>Institutiones Iuris Criminalis</w:t>
      </w:r>
      <w:r w:rsidRPr="009B492A">
        <w:rPr>
          <w:rFonts w:ascii="Times New Roman" w:hAnsi="Times New Roman" w:cs="Times New Roman"/>
          <w:lang w:val="en-GB"/>
        </w:rPr>
        <w:t xml:space="preserve">, 1758, who had made similar propositions. In his </w:t>
      </w:r>
      <w:r w:rsidRPr="009B492A">
        <w:rPr>
          <w:rFonts w:ascii="Times New Roman" w:hAnsi="Times New Roman" w:cs="Times New Roman"/>
          <w:i/>
          <w:lang w:val="en-GB"/>
        </w:rPr>
        <w:t>Grundsätze des Deutschen Peinlichen Rechts</w:t>
      </w:r>
      <w:r w:rsidRPr="009B492A">
        <w:rPr>
          <w:rFonts w:ascii="Times New Roman" w:hAnsi="Times New Roman" w:cs="Times New Roman"/>
          <w:lang w:val="en-GB"/>
        </w:rPr>
        <w:t xml:space="preserve">, 1794, Quistorp was the first to use the terminology of </w:t>
      </w:r>
      <w:r w:rsidRPr="009B492A">
        <w:rPr>
          <w:rFonts w:ascii="Times New Roman" w:hAnsi="Times New Roman" w:cs="Times New Roman"/>
          <w:i/>
          <w:lang w:val="en-GB"/>
        </w:rPr>
        <w:t>delictu</w:t>
      </w:r>
      <w:r>
        <w:rPr>
          <w:rFonts w:ascii="Times New Roman" w:hAnsi="Times New Roman" w:cs="Times New Roman"/>
          <w:i/>
          <w:lang w:val="en-GB"/>
        </w:rPr>
        <w:t>s</w:t>
      </w:r>
      <w:r w:rsidRPr="009B492A">
        <w:rPr>
          <w:rFonts w:ascii="Times New Roman" w:hAnsi="Times New Roman" w:cs="Times New Roman"/>
          <w:i/>
          <w:lang w:val="en-GB"/>
        </w:rPr>
        <w:t xml:space="preserve"> continuatu</w:t>
      </w:r>
      <w:r>
        <w:rPr>
          <w:rFonts w:ascii="Times New Roman" w:hAnsi="Times New Roman" w:cs="Times New Roman"/>
          <w:i/>
          <w:lang w:val="en-GB"/>
        </w:rPr>
        <w:t>s</w:t>
      </w:r>
      <w:r w:rsidRPr="009B492A">
        <w:rPr>
          <w:rFonts w:ascii="Times New Roman" w:hAnsi="Times New Roman" w:cs="Times New Roman"/>
          <w:lang w:val="en-GB"/>
        </w:rPr>
        <w:t xml:space="preserve"> (</w:t>
      </w:r>
      <w:r w:rsidRPr="009B492A">
        <w:rPr>
          <w:rFonts w:ascii="Times New Roman" w:hAnsi="Times New Roman" w:cs="Times New Roman"/>
          <w:i/>
          <w:lang w:val="en-GB"/>
        </w:rPr>
        <w:t>fortgesetzes Delikt</w:t>
      </w:r>
      <w:r w:rsidRPr="009B492A">
        <w:rPr>
          <w:rFonts w:ascii="Times New Roman" w:hAnsi="Times New Roman" w:cs="Times New Roman"/>
          <w:lang w:val="en-GB"/>
        </w:rPr>
        <w:t>), in the singular, since the expression had been used until then in the plural (</w:t>
      </w:r>
      <w:r w:rsidRPr="009B492A">
        <w:rPr>
          <w:rFonts w:ascii="Times New Roman" w:hAnsi="Times New Roman" w:cs="Times New Roman"/>
          <w:i/>
          <w:lang w:val="en-GB"/>
        </w:rPr>
        <w:t>delicta continuata</w:t>
      </w:r>
      <w:r>
        <w:rPr>
          <w:rFonts w:ascii="Times New Roman" w:hAnsi="Times New Roman" w:cs="Times New Roman"/>
          <w:i/>
          <w:lang w:val="en-GB"/>
        </w:rPr>
        <w:t>, fortgesetze Delikte</w:t>
      </w:r>
      <w:r w:rsidRPr="009B492A">
        <w:rPr>
          <w:rFonts w:ascii="Times New Roman" w:hAnsi="Times New Roman" w:cs="Times New Roman"/>
          <w:lang w:val="en-GB"/>
        </w:rPr>
        <w:t>).</w:t>
      </w:r>
    </w:p>
  </w:footnote>
  <w:footnote w:id="12">
    <w:p w14:paraId="0671CD80" w14:textId="2E741C26" w:rsidR="00CE5947" w:rsidRPr="009B492A" w:rsidRDefault="00CE5947" w:rsidP="0069329A">
      <w:pPr>
        <w:pStyle w:val="FootnoteText"/>
        <w:rPr>
          <w:rFonts w:ascii="Times New Roman" w:hAnsi="Times New Roman" w:cs="Times New Roman"/>
          <w:lang w:val="en-GB"/>
        </w:rPr>
      </w:pPr>
      <w:r w:rsidRPr="00461E47">
        <w:rPr>
          <w:rStyle w:val="FootnoteReference"/>
          <w:rFonts w:ascii="Times New Roman" w:hAnsi="Times New Roman" w:cs="Times New Roman"/>
          <w:vertAlign w:val="baseline"/>
          <w:lang w:val="en-GB"/>
        </w:rPr>
        <w:footnoteRef/>
      </w:r>
      <w:r>
        <w:rPr>
          <w:rFonts w:ascii="Times New Roman" w:hAnsi="Times New Roman" w:cs="Times New Roman"/>
          <w:lang w:val="en-GB"/>
        </w:rPr>
        <w:t xml:space="preserve">.  Mittermaier presented his critique in </w:t>
      </w:r>
      <w:r w:rsidRPr="009B492A">
        <w:rPr>
          <w:rFonts w:ascii="Times New Roman" w:hAnsi="Times New Roman" w:cs="Times New Roman"/>
          <w:i/>
          <w:lang w:val="en-GB"/>
        </w:rPr>
        <w:t>Über den Unterschied zwischen fortgesetztem und wiederholtem Verbrechen</w:t>
      </w:r>
      <w:r w:rsidRPr="009B492A">
        <w:rPr>
          <w:rFonts w:ascii="Times New Roman" w:hAnsi="Times New Roman" w:cs="Times New Roman"/>
          <w:lang w:val="en-GB"/>
        </w:rPr>
        <w:t xml:space="preserve">, </w:t>
      </w:r>
      <w:r w:rsidRPr="00CA4BFD">
        <w:rPr>
          <w:rFonts w:ascii="Times New Roman" w:hAnsi="Times New Roman" w:cs="Times New Roman"/>
          <w:lang w:val="en-GB"/>
        </w:rPr>
        <w:t xml:space="preserve">in </w:t>
      </w:r>
      <w:r w:rsidRPr="00105A3A">
        <w:rPr>
          <w:rFonts w:ascii="Times New Roman" w:hAnsi="Times New Roman" w:cs="Times New Roman"/>
          <w:lang w:val="en-GB"/>
        </w:rPr>
        <w:t>the</w:t>
      </w:r>
      <w:r w:rsidRPr="00CA4BFD">
        <w:rPr>
          <w:rFonts w:ascii="Times New Roman" w:hAnsi="Times New Roman" w:cs="Times New Roman"/>
          <w:i/>
          <w:lang w:val="en-GB"/>
        </w:rPr>
        <w:t xml:space="preserve"> Neues Archiv des Criminalrechts</w:t>
      </w:r>
      <w:r>
        <w:rPr>
          <w:rFonts w:ascii="Times New Roman" w:hAnsi="Times New Roman" w:cs="Times New Roman"/>
          <w:lang w:val="en-GB"/>
        </w:rPr>
        <w:t>,</w:t>
      </w:r>
      <w:r w:rsidRPr="00CA4BFD">
        <w:rPr>
          <w:rFonts w:ascii="Times New Roman" w:hAnsi="Times New Roman" w:cs="Times New Roman"/>
          <w:lang w:val="en-GB"/>
        </w:rPr>
        <w:t xml:space="preserve"> </w:t>
      </w:r>
      <w:r w:rsidRPr="009B492A">
        <w:rPr>
          <w:rFonts w:ascii="Times New Roman" w:hAnsi="Times New Roman" w:cs="Times New Roman"/>
          <w:lang w:val="en-GB"/>
        </w:rPr>
        <w:t xml:space="preserve">1818, which was followed by </w:t>
      </w:r>
      <w:r>
        <w:rPr>
          <w:rFonts w:ascii="Times New Roman" w:hAnsi="Times New Roman" w:cs="Times New Roman"/>
          <w:lang w:val="en-GB"/>
        </w:rPr>
        <w:t xml:space="preserve">his </w:t>
      </w:r>
      <w:r w:rsidRPr="009B492A">
        <w:rPr>
          <w:rFonts w:ascii="Times New Roman" w:hAnsi="Times New Roman" w:cs="Times New Roman"/>
          <w:i/>
          <w:lang w:val="en-GB"/>
        </w:rPr>
        <w:t>Über den Begriff fortgesetzter Verbrechen und die Aufstellung derselben in einem Strafgesetzbuch</w:t>
      </w:r>
      <w:r w:rsidRPr="009B492A">
        <w:rPr>
          <w:rFonts w:ascii="Times New Roman" w:hAnsi="Times New Roman" w:cs="Times New Roman"/>
          <w:lang w:val="en-GB"/>
        </w:rPr>
        <w:t xml:space="preserve">, in the </w:t>
      </w:r>
      <w:r w:rsidRPr="009B492A">
        <w:rPr>
          <w:rFonts w:ascii="Times New Roman" w:hAnsi="Times New Roman" w:cs="Times New Roman"/>
          <w:i/>
          <w:lang w:val="en-GB"/>
        </w:rPr>
        <w:t>Annalen der deutschen und ausländischen Criminalrechtspflege</w:t>
      </w:r>
      <w:r w:rsidRPr="009B492A">
        <w:rPr>
          <w:rFonts w:ascii="Times New Roman" w:hAnsi="Times New Roman" w:cs="Times New Roman"/>
          <w:lang w:val="en-GB"/>
        </w:rPr>
        <w:t xml:space="preserve">, 1837. </w:t>
      </w:r>
    </w:p>
  </w:footnote>
  <w:footnote w:id="13">
    <w:p w14:paraId="56E56D08" w14:textId="376898ED" w:rsidR="00CE5947" w:rsidRPr="009B492A" w:rsidRDefault="00CE5947" w:rsidP="0069329A">
      <w:pPr>
        <w:pStyle w:val="FootnoteText"/>
        <w:rPr>
          <w:rFonts w:ascii="Times New Roman" w:hAnsi="Times New Roman" w:cs="Times New Roman"/>
          <w:lang w:val="en-GB"/>
        </w:rPr>
      </w:pPr>
      <w:r w:rsidRPr="00461E47">
        <w:rPr>
          <w:rStyle w:val="FootnoteReference"/>
          <w:rFonts w:ascii="Times New Roman" w:hAnsi="Times New Roman" w:cs="Times New Roman"/>
          <w:vertAlign w:val="baseline"/>
          <w:lang w:val="en-GB"/>
        </w:rPr>
        <w:footnoteRef/>
      </w:r>
      <w:r>
        <w:rPr>
          <w:rFonts w:ascii="Times New Roman" w:hAnsi="Times New Roman" w:cs="Times New Roman"/>
          <w:lang w:val="en-GB"/>
        </w:rPr>
        <w:t>.  Of course</w:t>
      </w:r>
      <w:r w:rsidRPr="009B492A">
        <w:rPr>
          <w:rFonts w:ascii="Times New Roman" w:hAnsi="Times New Roman" w:cs="Times New Roman"/>
          <w:lang w:val="en-GB"/>
        </w:rPr>
        <w:t xml:space="preserve">, Feuerbach did not mention explicitly the concept of </w:t>
      </w:r>
      <w:r w:rsidRPr="009B492A">
        <w:rPr>
          <w:rFonts w:ascii="Times New Roman" w:hAnsi="Times New Roman" w:cs="Times New Roman"/>
          <w:i/>
          <w:lang w:val="en-GB"/>
        </w:rPr>
        <w:t>Rechtsgut</w:t>
      </w:r>
      <w:r w:rsidRPr="009B492A">
        <w:rPr>
          <w:rFonts w:ascii="Times New Roman" w:hAnsi="Times New Roman" w:cs="Times New Roman"/>
          <w:lang w:val="en-GB"/>
        </w:rPr>
        <w:t xml:space="preserve">, nor did Mittermaier, since it was Birnbaum who first </w:t>
      </w:r>
      <w:r>
        <w:rPr>
          <w:rFonts w:ascii="Times New Roman" w:hAnsi="Times New Roman" w:cs="Times New Roman"/>
          <w:lang w:val="en-GB"/>
        </w:rPr>
        <w:t>introduced</w:t>
      </w:r>
      <w:r w:rsidRPr="009B492A">
        <w:rPr>
          <w:rFonts w:ascii="Times New Roman" w:hAnsi="Times New Roman" w:cs="Times New Roman"/>
          <w:lang w:val="en-GB"/>
        </w:rPr>
        <w:t xml:space="preserve"> this concept in his </w:t>
      </w:r>
      <w:r w:rsidRPr="009B492A">
        <w:rPr>
          <w:rFonts w:ascii="Times New Roman" w:hAnsi="Times New Roman" w:cs="Times New Roman"/>
          <w:i/>
          <w:lang w:val="en-GB"/>
        </w:rPr>
        <w:t>Über das Erforderniß einer Rechtsgutverletzung zum Begriff des Verbrechens</w:t>
      </w:r>
      <w:r w:rsidRPr="009B492A">
        <w:rPr>
          <w:rFonts w:ascii="Times New Roman" w:hAnsi="Times New Roman" w:cs="Times New Roman"/>
          <w:lang w:val="en-GB"/>
        </w:rPr>
        <w:t>, 1834. In that article, Birnbaum critici</w:t>
      </w:r>
      <w:r>
        <w:rPr>
          <w:rFonts w:ascii="Times New Roman" w:hAnsi="Times New Roman" w:cs="Times New Roman"/>
          <w:lang w:val="en-GB"/>
        </w:rPr>
        <w:t>s</w:t>
      </w:r>
      <w:r w:rsidRPr="009B492A">
        <w:rPr>
          <w:rFonts w:ascii="Times New Roman" w:hAnsi="Times New Roman" w:cs="Times New Roman"/>
          <w:lang w:val="en-GB"/>
        </w:rPr>
        <w:t>ed Feuerbach</w:t>
      </w:r>
      <w:r>
        <w:rPr>
          <w:rFonts w:ascii="Times New Roman" w:hAnsi="Times New Roman" w:cs="Times New Roman"/>
          <w:lang w:val="en-GB"/>
        </w:rPr>
        <w:t>’</w:t>
      </w:r>
      <w:r w:rsidRPr="009B492A">
        <w:rPr>
          <w:rFonts w:ascii="Times New Roman" w:hAnsi="Times New Roman" w:cs="Times New Roman"/>
          <w:lang w:val="en-GB"/>
        </w:rPr>
        <w:t xml:space="preserve">s </w:t>
      </w:r>
      <w:r>
        <w:rPr>
          <w:rFonts w:ascii="Times New Roman" w:hAnsi="Times New Roman" w:cs="Times New Roman"/>
          <w:lang w:val="en-GB"/>
        </w:rPr>
        <w:t>view</w:t>
      </w:r>
      <w:r w:rsidRPr="009B492A">
        <w:rPr>
          <w:rFonts w:ascii="Times New Roman" w:hAnsi="Times New Roman" w:cs="Times New Roman"/>
          <w:lang w:val="en-GB"/>
        </w:rPr>
        <w:t xml:space="preserve"> of a criminal offence as a violation of the rights of individual victims, pointing out that this perspective was too narrow because it could not account for victimless criminal offences. But Mitterm</w:t>
      </w:r>
      <w:r>
        <w:rPr>
          <w:rFonts w:ascii="Times New Roman" w:hAnsi="Times New Roman" w:cs="Times New Roman"/>
          <w:lang w:val="en-GB"/>
        </w:rPr>
        <w:t>a</w:t>
      </w:r>
      <w:r w:rsidRPr="009B492A">
        <w:rPr>
          <w:rFonts w:ascii="Times New Roman" w:hAnsi="Times New Roman" w:cs="Times New Roman"/>
          <w:lang w:val="en-GB"/>
        </w:rPr>
        <w:t xml:space="preserve">ier’s critique of Feuerbach laid the foundations for a </w:t>
      </w:r>
      <w:r>
        <w:rPr>
          <w:rFonts w:ascii="Times New Roman" w:hAnsi="Times New Roman" w:cs="Times New Roman"/>
          <w:lang w:val="en-GB"/>
        </w:rPr>
        <w:t xml:space="preserve">future, </w:t>
      </w:r>
      <w:r w:rsidRPr="009B492A">
        <w:rPr>
          <w:rFonts w:ascii="Times New Roman" w:hAnsi="Times New Roman" w:cs="Times New Roman"/>
          <w:lang w:val="en-GB"/>
        </w:rPr>
        <w:t xml:space="preserve">mixed concept of </w:t>
      </w:r>
      <w:r>
        <w:rPr>
          <w:rFonts w:ascii="Times New Roman" w:hAnsi="Times New Roman" w:cs="Times New Roman"/>
          <w:lang w:val="en-GB"/>
        </w:rPr>
        <w:t>a</w:t>
      </w:r>
      <w:r w:rsidRPr="009B492A">
        <w:rPr>
          <w:rFonts w:ascii="Times New Roman" w:hAnsi="Times New Roman" w:cs="Times New Roman"/>
          <w:lang w:val="en-GB"/>
        </w:rPr>
        <w:t xml:space="preserve"> continuous offence detached both from the Italian scholars’ strictly subjective perspective and Feuerbach’s strictly objective counterproposal.</w:t>
      </w:r>
    </w:p>
  </w:footnote>
  <w:footnote w:id="14">
    <w:p w14:paraId="3A94BB53" w14:textId="42BF7BA3" w:rsidR="00CE5947" w:rsidRPr="004E1644" w:rsidRDefault="00CE5947" w:rsidP="0069329A">
      <w:pPr>
        <w:pStyle w:val="FootnoteText"/>
        <w:rPr>
          <w:rFonts w:ascii="Times New Roman" w:hAnsi="Times New Roman" w:cs="Times New Roman"/>
          <w:lang w:val="en-GB"/>
        </w:rPr>
      </w:pPr>
      <w:r w:rsidRPr="00910AB3">
        <w:rPr>
          <w:rStyle w:val="FootnoteReference"/>
          <w:rFonts w:ascii="Times New Roman" w:hAnsi="Times New Roman" w:cs="Times New Roman"/>
          <w:vertAlign w:val="baseline"/>
          <w:lang w:val="en-GB"/>
        </w:rPr>
        <w:footnoteRef/>
      </w:r>
      <w:r>
        <w:rPr>
          <w:rFonts w:ascii="Times New Roman" w:hAnsi="Times New Roman" w:cs="Times New Roman"/>
          <w:lang w:val="en-GB"/>
        </w:rPr>
        <w:t>.  </w:t>
      </w:r>
      <w:r w:rsidRPr="004E1644">
        <w:rPr>
          <w:rFonts w:ascii="Times New Roman" w:hAnsi="Times New Roman" w:cs="Times New Roman"/>
          <w:lang w:val="en-GB"/>
        </w:rPr>
        <w:t xml:space="preserve">Mittermaier, </w:t>
      </w:r>
      <w:r w:rsidRPr="004E1644">
        <w:rPr>
          <w:rFonts w:ascii="Times New Roman" w:hAnsi="Times New Roman" w:cs="Times New Roman"/>
          <w:i/>
          <w:lang w:val="en-GB"/>
        </w:rPr>
        <w:t>Über den Unterschied</w:t>
      </w:r>
      <w:r w:rsidRPr="004E1644">
        <w:rPr>
          <w:rFonts w:ascii="Times New Roman" w:hAnsi="Times New Roman" w:cs="Times New Roman"/>
          <w:lang w:val="en-GB"/>
        </w:rPr>
        <w:t>, cited abo</w:t>
      </w:r>
      <w:r>
        <w:rPr>
          <w:rFonts w:ascii="Times New Roman" w:hAnsi="Times New Roman" w:cs="Times New Roman"/>
          <w:lang w:val="en-GB"/>
        </w:rPr>
        <w:t>v</w:t>
      </w:r>
      <w:r w:rsidRPr="004E1644">
        <w:rPr>
          <w:rFonts w:ascii="Times New Roman" w:hAnsi="Times New Roman" w:cs="Times New Roman"/>
          <w:lang w:val="en-GB"/>
        </w:rPr>
        <w:t xml:space="preserve">e, p. 242. </w:t>
      </w:r>
    </w:p>
  </w:footnote>
  <w:footnote w:id="15">
    <w:p w14:paraId="76E33CCF" w14:textId="31A07BE1" w:rsidR="00CE5947" w:rsidRPr="009B492A" w:rsidRDefault="00CE5947" w:rsidP="0069329A">
      <w:pPr>
        <w:pStyle w:val="FootnoteText"/>
        <w:rPr>
          <w:rFonts w:ascii="Times New Roman" w:hAnsi="Times New Roman" w:cs="Times New Roman"/>
          <w:lang w:val="en-GB"/>
        </w:rPr>
      </w:pPr>
      <w:r w:rsidRPr="00910AB3">
        <w:rPr>
          <w:rStyle w:val="FootnoteReference"/>
          <w:rFonts w:ascii="Times New Roman" w:hAnsi="Times New Roman" w:cs="Times New Roman"/>
          <w:vertAlign w:val="baseline"/>
          <w:lang w:val="en-GB"/>
        </w:rPr>
        <w:footnoteRef/>
      </w:r>
      <w:r>
        <w:rPr>
          <w:rFonts w:ascii="Times New Roman" w:hAnsi="Times New Roman" w:cs="Times New Roman"/>
          <w:lang w:val="en-GB"/>
        </w:rPr>
        <w:t>.  </w:t>
      </w:r>
      <w:r w:rsidRPr="009B492A">
        <w:rPr>
          <w:rFonts w:ascii="Times New Roman" w:hAnsi="Times New Roman" w:cs="Times New Roman"/>
          <w:lang w:val="en-GB"/>
        </w:rPr>
        <w:t xml:space="preserve">The Prussian Law of 9 March 1853 tempered the principle of </w:t>
      </w:r>
      <w:r>
        <w:rPr>
          <w:rFonts w:ascii="Times New Roman" w:hAnsi="Times New Roman" w:cs="Times New Roman"/>
          <w:lang w:val="en-GB"/>
        </w:rPr>
        <w:t>strict</w:t>
      </w:r>
      <w:r w:rsidRPr="009B492A">
        <w:rPr>
          <w:rFonts w:ascii="Times New Roman" w:hAnsi="Times New Roman" w:cs="Times New Roman"/>
          <w:lang w:val="en-GB"/>
        </w:rPr>
        <w:t xml:space="preserve"> accumulation of penalties (</w:t>
      </w:r>
      <w:r w:rsidRPr="009B492A">
        <w:rPr>
          <w:rFonts w:ascii="Times New Roman" w:hAnsi="Times New Roman" w:cs="Times New Roman"/>
          <w:i/>
          <w:lang w:val="en-GB"/>
        </w:rPr>
        <w:t>Kumulationsprinzip</w:t>
      </w:r>
      <w:r w:rsidRPr="009B492A">
        <w:rPr>
          <w:rFonts w:ascii="Times New Roman" w:hAnsi="Times New Roman" w:cs="Times New Roman"/>
          <w:lang w:val="en-GB"/>
        </w:rPr>
        <w:t xml:space="preserve">) </w:t>
      </w:r>
      <w:r>
        <w:rPr>
          <w:rFonts w:ascii="Times New Roman" w:hAnsi="Times New Roman" w:cs="Times New Roman"/>
          <w:lang w:val="en-GB"/>
        </w:rPr>
        <w:t>contained in</w:t>
      </w:r>
      <w:r w:rsidRPr="009B492A">
        <w:rPr>
          <w:rFonts w:ascii="Times New Roman" w:hAnsi="Times New Roman" w:cs="Times New Roman"/>
          <w:lang w:val="en-GB"/>
        </w:rPr>
        <w:t xml:space="preserve"> paragraph 56 of the Prussian </w:t>
      </w:r>
      <w:r w:rsidR="00332479">
        <w:rPr>
          <w:rFonts w:ascii="Times New Roman" w:hAnsi="Times New Roman" w:cs="Times New Roman"/>
          <w:lang w:val="en-GB"/>
        </w:rPr>
        <w:t>Criminal</w:t>
      </w:r>
      <w:r w:rsidR="00332479" w:rsidRPr="009B492A">
        <w:rPr>
          <w:rFonts w:ascii="Times New Roman" w:hAnsi="Times New Roman" w:cs="Times New Roman"/>
          <w:lang w:val="en-GB"/>
        </w:rPr>
        <w:t xml:space="preserve"> </w:t>
      </w:r>
      <w:r w:rsidRPr="009B492A">
        <w:rPr>
          <w:rFonts w:ascii="Times New Roman" w:hAnsi="Times New Roman" w:cs="Times New Roman"/>
          <w:lang w:val="en-GB"/>
        </w:rPr>
        <w:t>Code with the “mitigation principle” (</w:t>
      </w:r>
      <w:r w:rsidRPr="009B492A">
        <w:rPr>
          <w:rFonts w:ascii="Times New Roman" w:hAnsi="Times New Roman" w:cs="Times New Roman"/>
          <w:i/>
          <w:lang w:val="en-GB"/>
        </w:rPr>
        <w:t>Milderungsprinzip</w:t>
      </w:r>
      <w:r w:rsidRPr="009B492A">
        <w:rPr>
          <w:rFonts w:ascii="Times New Roman" w:hAnsi="Times New Roman" w:cs="Times New Roman"/>
          <w:lang w:val="en-GB"/>
        </w:rPr>
        <w:t xml:space="preserve">), which was the precursor </w:t>
      </w:r>
      <w:r>
        <w:rPr>
          <w:rFonts w:ascii="Times New Roman" w:hAnsi="Times New Roman" w:cs="Times New Roman"/>
          <w:lang w:val="en-GB"/>
        </w:rPr>
        <w:t>to</w:t>
      </w:r>
      <w:r w:rsidRPr="009B492A">
        <w:rPr>
          <w:rFonts w:ascii="Times New Roman" w:hAnsi="Times New Roman" w:cs="Times New Roman"/>
          <w:lang w:val="en-GB"/>
        </w:rPr>
        <w:t xml:space="preserve"> paragraph</w:t>
      </w:r>
      <w:r w:rsidR="00332479">
        <w:rPr>
          <w:rFonts w:ascii="Times New Roman" w:hAnsi="Times New Roman" w:cs="Times New Roman"/>
          <w:lang w:val="en-GB"/>
        </w:rPr>
        <w:t> </w:t>
      </w:r>
      <w:r w:rsidRPr="009B492A">
        <w:rPr>
          <w:rFonts w:ascii="Times New Roman" w:hAnsi="Times New Roman" w:cs="Times New Roman"/>
          <w:lang w:val="en-GB"/>
        </w:rPr>
        <w:t xml:space="preserve">74 of the Imperial </w:t>
      </w:r>
      <w:r w:rsidR="00332479">
        <w:rPr>
          <w:rFonts w:ascii="Times New Roman" w:hAnsi="Times New Roman" w:cs="Times New Roman"/>
          <w:lang w:val="en-GB"/>
        </w:rPr>
        <w:t>Criminal</w:t>
      </w:r>
      <w:r w:rsidRPr="009B492A">
        <w:rPr>
          <w:rFonts w:ascii="Times New Roman" w:hAnsi="Times New Roman" w:cs="Times New Roman"/>
          <w:lang w:val="en-GB"/>
        </w:rPr>
        <w:t xml:space="preserve"> Code</w:t>
      </w:r>
      <w:r>
        <w:rPr>
          <w:rFonts w:ascii="Times New Roman" w:hAnsi="Times New Roman" w:cs="Times New Roman"/>
          <w:lang w:val="en-GB"/>
        </w:rPr>
        <w:t>. This paragraph</w:t>
      </w:r>
      <w:r w:rsidRPr="009B492A">
        <w:rPr>
          <w:rFonts w:ascii="Times New Roman" w:hAnsi="Times New Roman" w:cs="Times New Roman"/>
          <w:lang w:val="en-GB"/>
        </w:rPr>
        <w:t xml:space="preserve"> introduced the “a</w:t>
      </w:r>
      <w:r>
        <w:rPr>
          <w:rFonts w:ascii="Times New Roman" w:hAnsi="Times New Roman" w:cs="Times New Roman"/>
          <w:lang w:val="en-GB"/>
        </w:rPr>
        <w:t>bsorption</w:t>
      </w:r>
      <w:r w:rsidRPr="009B492A">
        <w:rPr>
          <w:rFonts w:ascii="Times New Roman" w:hAnsi="Times New Roman" w:cs="Times New Roman"/>
          <w:lang w:val="en-GB"/>
        </w:rPr>
        <w:t xml:space="preserve"> principle” (</w:t>
      </w:r>
      <w:r w:rsidRPr="009B492A">
        <w:rPr>
          <w:rFonts w:ascii="Times New Roman" w:hAnsi="Times New Roman" w:cs="Times New Roman"/>
          <w:i/>
          <w:lang w:val="en-GB"/>
        </w:rPr>
        <w:t>Asperationsprinzip</w:t>
      </w:r>
      <w:r w:rsidRPr="009B492A">
        <w:rPr>
          <w:rFonts w:ascii="Times New Roman" w:hAnsi="Times New Roman" w:cs="Times New Roman"/>
          <w:lang w:val="en-GB"/>
        </w:rPr>
        <w:t>)</w:t>
      </w:r>
      <w:r>
        <w:rPr>
          <w:rFonts w:ascii="Times New Roman" w:hAnsi="Times New Roman" w:cs="Times New Roman"/>
          <w:lang w:val="en-GB"/>
        </w:rPr>
        <w:t xml:space="preserve">, which still applies in German law today </w:t>
      </w:r>
      <w:r w:rsidR="00332479">
        <w:rPr>
          <w:rFonts w:ascii="Times New Roman" w:hAnsi="Times New Roman" w:cs="Times New Roman"/>
          <w:lang w:val="en-GB"/>
        </w:rPr>
        <w:t xml:space="preserve">(Article </w:t>
      </w:r>
      <w:r>
        <w:rPr>
          <w:rFonts w:ascii="Times New Roman" w:hAnsi="Times New Roman" w:cs="Times New Roman"/>
          <w:lang w:val="en-GB"/>
        </w:rPr>
        <w:t xml:space="preserve">52 </w:t>
      </w:r>
      <w:r w:rsidR="00332479">
        <w:rPr>
          <w:rFonts w:ascii="Times New Roman" w:hAnsi="Times New Roman" w:cs="Times New Roman"/>
          <w:lang w:val="en-GB"/>
        </w:rPr>
        <w:t xml:space="preserve">§ </w:t>
      </w:r>
      <w:r>
        <w:rPr>
          <w:rFonts w:ascii="Times New Roman" w:hAnsi="Times New Roman" w:cs="Times New Roman"/>
          <w:lang w:val="en-GB"/>
        </w:rPr>
        <w:t>2 of the German Criminal Code).</w:t>
      </w:r>
    </w:p>
  </w:footnote>
  <w:footnote w:id="16">
    <w:p w14:paraId="06A0D35A" w14:textId="0B7846B1" w:rsidR="00CE5947" w:rsidRPr="009B492A" w:rsidRDefault="00CE5947" w:rsidP="0069329A">
      <w:pPr>
        <w:pStyle w:val="FootnoteText"/>
        <w:rPr>
          <w:lang w:val="en-GB"/>
        </w:rPr>
      </w:pPr>
      <w:r w:rsidRPr="00910AB3">
        <w:rPr>
          <w:rStyle w:val="FootnoteReference"/>
          <w:rFonts w:ascii="Times New Roman" w:hAnsi="Times New Roman" w:cs="Times New Roman"/>
          <w:vertAlign w:val="baseline"/>
          <w:lang w:val="en-GB"/>
        </w:rPr>
        <w:footnoteRef/>
      </w:r>
      <w:r>
        <w:rPr>
          <w:rFonts w:ascii="Times New Roman" w:hAnsi="Times New Roman" w:cs="Times New Roman"/>
          <w:lang w:val="en-GB"/>
        </w:rPr>
        <w:t>.  </w:t>
      </w:r>
      <w:r w:rsidRPr="009B492A">
        <w:rPr>
          <w:rFonts w:ascii="Times New Roman" w:hAnsi="Times New Roman" w:cs="Times New Roman"/>
          <w:lang w:val="en-GB"/>
        </w:rPr>
        <w:t xml:space="preserve">Judgment of the </w:t>
      </w:r>
      <w:r>
        <w:rPr>
          <w:rFonts w:ascii="Times New Roman" w:hAnsi="Times New Roman" w:cs="Times New Roman"/>
          <w:lang w:val="en-GB"/>
        </w:rPr>
        <w:t>Criminal Division</w:t>
      </w:r>
      <w:r w:rsidRPr="009B492A">
        <w:rPr>
          <w:rFonts w:ascii="Times New Roman" w:hAnsi="Times New Roman" w:cs="Times New Roman"/>
          <w:lang w:val="en-GB"/>
        </w:rPr>
        <w:t xml:space="preserve"> of the Federal Supreme Court of 30 May 1994. On the causes and consequences of this judgment, see Guido Miller, </w:t>
      </w:r>
      <w:r w:rsidRPr="009B492A">
        <w:rPr>
          <w:rFonts w:ascii="Times New Roman" w:hAnsi="Times New Roman" w:cs="Times New Roman"/>
          <w:i/>
          <w:lang w:val="en-GB"/>
        </w:rPr>
        <w:t>Neuere Entwicklung zur fortgesetzten Handlung</w:t>
      </w:r>
      <w:r w:rsidRPr="009B492A">
        <w:rPr>
          <w:rFonts w:ascii="Times New Roman" w:hAnsi="Times New Roman" w:cs="Times New Roman"/>
          <w:lang w:val="en-GB"/>
        </w:rPr>
        <w:t>, Dissertation</w:t>
      </w:r>
      <w:r>
        <w:rPr>
          <w:rFonts w:ascii="Times New Roman" w:hAnsi="Times New Roman" w:cs="Times New Roman"/>
          <w:lang w:val="en-GB"/>
        </w:rPr>
        <w:t>,</w:t>
      </w:r>
      <w:r w:rsidRPr="009B492A">
        <w:rPr>
          <w:rFonts w:ascii="Times New Roman" w:hAnsi="Times New Roman" w:cs="Times New Roman"/>
          <w:lang w:val="en-GB"/>
        </w:rPr>
        <w:t xml:space="preserve"> Tübingen, 1997</w:t>
      </w:r>
      <w:r>
        <w:rPr>
          <w:rFonts w:ascii="Times New Roman" w:hAnsi="Times New Roman" w:cs="Times New Roman"/>
          <w:lang w:val="en-GB"/>
        </w:rPr>
        <w:t>;</w:t>
      </w:r>
      <w:r w:rsidRPr="009B492A">
        <w:rPr>
          <w:rFonts w:ascii="Times New Roman" w:hAnsi="Times New Roman" w:cs="Times New Roman"/>
          <w:lang w:val="en-GB"/>
        </w:rPr>
        <w:t xml:space="preserve"> Volker Brähler, </w:t>
      </w:r>
      <w:r w:rsidRPr="009B492A">
        <w:rPr>
          <w:rFonts w:ascii="Times New Roman" w:hAnsi="Times New Roman" w:cs="Times New Roman"/>
          <w:i/>
          <w:lang w:val="en-GB"/>
        </w:rPr>
        <w:t>Die rechtliche Behandlung von Serienstraftaten und –ordnungswidrigkeiten</w:t>
      </w:r>
      <w:r w:rsidRPr="009B492A">
        <w:rPr>
          <w:rFonts w:ascii="Times New Roman" w:hAnsi="Times New Roman" w:cs="Times New Roman"/>
          <w:lang w:val="en-GB"/>
        </w:rPr>
        <w:t>, Dissertation</w:t>
      </w:r>
      <w:r>
        <w:rPr>
          <w:rFonts w:ascii="Times New Roman" w:hAnsi="Times New Roman" w:cs="Times New Roman"/>
          <w:lang w:val="en-GB"/>
        </w:rPr>
        <w:t>,</w:t>
      </w:r>
      <w:r w:rsidRPr="009B492A">
        <w:rPr>
          <w:rFonts w:ascii="Times New Roman" w:hAnsi="Times New Roman" w:cs="Times New Roman"/>
          <w:lang w:val="en-GB"/>
        </w:rPr>
        <w:t xml:space="preserve"> Köln, 1998, </w:t>
      </w:r>
      <w:r>
        <w:rPr>
          <w:rFonts w:ascii="Times New Roman" w:hAnsi="Times New Roman" w:cs="Times New Roman"/>
          <w:lang w:val="en-GB"/>
        </w:rPr>
        <w:t xml:space="preserve">published by Duncker &amp; Humblot, 2000; </w:t>
      </w:r>
      <w:r w:rsidRPr="009B492A">
        <w:rPr>
          <w:rFonts w:ascii="Times New Roman" w:hAnsi="Times New Roman" w:cs="Times New Roman"/>
          <w:lang w:val="en-GB"/>
        </w:rPr>
        <w:t xml:space="preserve">and Ulrike Jasper, </w:t>
      </w:r>
      <w:r w:rsidRPr="009B492A">
        <w:rPr>
          <w:rFonts w:ascii="Times New Roman" w:hAnsi="Times New Roman" w:cs="Times New Roman"/>
          <w:i/>
          <w:lang w:val="en-GB"/>
        </w:rPr>
        <w:t>Die Entwicklung des Fortsetzungszusammenhangs</w:t>
      </w:r>
      <w:r w:rsidRPr="009B492A">
        <w:rPr>
          <w:rFonts w:ascii="Times New Roman" w:hAnsi="Times New Roman" w:cs="Times New Roman"/>
          <w:lang w:val="en-GB"/>
        </w:rPr>
        <w:t>, Dissertation</w:t>
      </w:r>
      <w:r>
        <w:rPr>
          <w:rFonts w:ascii="Times New Roman" w:hAnsi="Times New Roman" w:cs="Times New Roman"/>
          <w:lang w:val="en-GB"/>
        </w:rPr>
        <w:t>,</w:t>
      </w:r>
      <w:r w:rsidRPr="009B492A">
        <w:rPr>
          <w:rFonts w:ascii="Times New Roman" w:hAnsi="Times New Roman" w:cs="Times New Roman"/>
          <w:lang w:val="en-GB"/>
        </w:rPr>
        <w:t xml:space="preserve"> Tübingen, 2003.</w:t>
      </w:r>
    </w:p>
  </w:footnote>
  <w:footnote w:id="17">
    <w:p w14:paraId="62D8EACD" w14:textId="203CB21E" w:rsidR="00CE5947" w:rsidRPr="009B492A" w:rsidRDefault="00CE5947" w:rsidP="0069329A">
      <w:pPr>
        <w:pStyle w:val="FootnoteText"/>
        <w:rPr>
          <w:rFonts w:ascii="Times New Roman" w:hAnsi="Times New Roman" w:cs="Times New Roman"/>
          <w:lang w:val="en-GB"/>
        </w:rPr>
      </w:pPr>
      <w:r w:rsidRPr="00372D82">
        <w:rPr>
          <w:rStyle w:val="FootnoteReference"/>
          <w:rFonts w:ascii="Times New Roman" w:hAnsi="Times New Roman" w:cs="Times New Roman"/>
          <w:vertAlign w:val="baseline"/>
          <w:lang w:val="en-GB"/>
        </w:rPr>
        <w:footnoteRef/>
      </w:r>
      <w:r>
        <w:rPr>
          <w:rFonts w:ascii="Times New Roman" w:hAnsi="Times New Roman" w:cs="Times New Roman"/>
          <w:lang w:val="en-GB"/>
        </w:rPr>
        <w:t>.  </w:t>
      </w:r>
      <w:r w:rsidRPr="009B492A">
        <w:rPr>
          <w:rFonts w:ascii="Times New Roman" w:hAnsi="Times New Roman" w:cs="Times New Roman"/>
          <w:lang w:val="en-GB"/>
        </w:rPr>
        <w:t xml:space="preserve">In Germany, the </w:t>
      </w:r>
      <w:r>
        <w:rPr>
          <w:rFonts w:ascii="Times New Roman" w:hAnsi="Times New Roman" w:cs="Times New Roman"/>
          <w:lang w:val="en-GB"/>
        </w:rPr>
        <w:t xml:space="preserve">government’s 1958, 1960 and </w:t>
      </w:r>
      <w:r w:rsidRPr="009B492A">
        <w:rPr>
          <w:rFonts w:ascii="Times New Roman" w:hAnsi="Times New Roman" w:cs="Times New Roman"/>
          <w:lang w:val="en-GB"/>
        </w:rPr>
        <w:t xml:space="preserve">1962 </w:t>
      </w:r>
      <w:r>
        <w:rPr>
          <w:rFonts w:ascii="Times New Roman" w:hAnsi="Times New Roman" w:cs="Times New Roman"/>
          <w:lang w:val="en-GB"/>
        </w:rPr>
        <w:t>draft versions</w:t>
      </w:r>
      <w:r w:rsidRPr="009B492A">
        <w:rPr>
          <w:rFonts w:ascii="Times New Roman" w:hAnsi="Times New Roman" w:cs="Times New Roman"/>
          <w:lang w:val="en-GB"/>
        </w:rPr>
        <w:t xml:space="preserve"> of a new </w:t>
      </w:r>
      <w:r>
        <w:rPr>
          <w:rFonts w:ascii="Times New Roman" w:hAnsi="Times New Roman" w:cs="Times New Roman"/>
          <w:lang w:val="en-GB"/>
        </w:rPr>
        <w:t>Criminal</w:t>
      </w:r>
      <w:r w:rsidRPr="009B492A">
        <w:rPr>
          <w:rFonts w:ascii="Times New Roman" w:hAnsi="Times New Roman" w:cs="Times New Roman"/>
          <w:lang w:val="en-GB"/>
        </w:rPr>
        <w:t xml:space="preserve"> Code and the 1969 </w:t>
      </w:r>
      <w:r>
        <w:rPr>
          <w:rFonts w:ascii="Times New Roman" w:hAnsi="Times New Roman" w:cs="Times New Roman"/>
          <w:lang w:val="en-GB"/>
        </w:rPr>
        <w:t>a</w:t>
      </w:r>
      <w:r w:rsidRPr="009B492A">
        <w:rPr>
          <w:rFonts w:ascii="Times New Roman" w:hAnsi="Times New Roman" w:cs="Times New Roman"/>
          <w:lang w:val="en-GB"/>
        </w:rPr>
        <w:t xml:space="preserve">lternative </w:t>
      </w:r>
      <w:r>
        <w:rPr>
          <w:rFonts w:ascii="Times New Roman" w:hAnsi="Times New Roman" w:cs="Times New Roman"/>
          <w:lang w:val="en-GB"/>
        </w:rPr>
        <w:t>draft</w:t>
      </w:r>
      <w:r w:rsidRPr="009B492A">
        <w:rPr>
          <w:rFonts w:ascii="Times New Roman" w:hAnsi="Times New Roman" w:cs="Times New Roman"/>
          <w:lang w:val="en-GB"/>
        </w:rPr>
        <w:t xml:space="preserve"> rejected the insertion of a provision on continuous offence</w:t>
      </w:r>
      <w:r>
        <w:rPr>
          <w:rFonts w:ascii="Times New Roman" w:hAnsi="Times New Roman" w:cs="Times New Roman"/>
          <w:lang w:val="en-GB"/>
        </w:rPr>
        <w:t>s</w:t>
      </w:r>
      <w:r w:rsidRPr="009B492A">
        <w:rPr>
          <w:rFonts w:ascii="Times New Roman" w:hAnsi="Times New Roman" w:cs="Times New Roman"/>
          <w:lang w:val="en-GB"/>
        </w:rPr>
        <w:t>, on the basis that the features of the concept were not yet clearly determined in the case-law and doctrine, which should be free to further elaborate on them</w:t>
      </w:r>
      <w:r>
        <w:rPr>
          <w:rFonts w:ascii="Times New Roman" w:hAnsi="Times New Roman" w:cs="Times New Roman"/>
          <w:lang w:val="en-GB"/>
        </w:rPr>
        <w:t xml:space="preserve"> (</w:t>
      </w:r>
      <w:r w:rsidRPr="002D7DF3">
        <w:rPr>
          <w:rFonts w:ascii="Times New Roman" w:hAnsi="Times New Roman" w:cs="Times New Roman"/>
          <w:i/>
          <w:lang w:val="en-GB"/>
        </w:rPr>
        <w:t>Entwurf</w:t>
      </w:r>
      <w:r>
        <w:rPr>
          <w:rFonts w:ascii="Times New Roman" w:hAnsi="Times New Roman" w:cs="Times New Roman"/>
          <w:i/>
          <w:lang w:val="en-GB"/>
        </w:rPr>
        <w:t xml:space="preserve"> eines Strafgesetzbuches</w:t>
      </w:r>
      <w:r w:rsidRPr="002D7DF3">
        <w:rPr>
          <w:rFonts w:ascii="Times New Roman" w:hAnsi="Times New Roman" w:cs="Times New Roman"/>
          <w:i/>
          <w:lang w:val="en-GB"/>
        </w:rPr>
        <w:t>, Allgemeiner Teil</w:t>
      </w:r>
      <w:r>
        <w:rPr>
          <w:rFonts w:ascii="Times New Roman" w:hAnsi="Times New Roman" w:cs="Times New Roman"/>
          <w:lang w:val="en-GB"/>
        </w:rPr>
        <w:t xml:space="preserve">, 1958, p. 70, and </w:t>
      </w:r>
      <w:r w:rsidRPr="002D7DF3">
        <w:rPr>
          <w:rFonts w:ascii="Times New Roman" w:hAnsi="Times New Roman" w:cs="Times New Roman"/>
          <w:i/>
          <w:lang w:val="en-GB"/>
        </w:rPr>
        <w:t>Alternativentwurf</w:t>
      </w:r>
      <w:r>
        <w:rPr>
          <w:rFonts w:ascii="Times New Roman" w:hAnsi="Times New Roman" w:cs="Times New Roman"/>
          <w:i/>
          <w:lang w:val="en-GB"/>
        </w:rPr>
        <w:t xml:space="preserve"> eines Strafgesetzbuches</w:t>
      </w:r>
      <w:r w:rsidRPr="002D7DF3">
        <w:rPr>
          <w:rFonts w:ascii="Times New Roman" w:hAnsi="Times New Roman" w:cs="Times New Roman"/>
          <w:i/>
          <w:lang w:val="en-GB"/>
        </w:rPr>
        <w:t>, Allgemeiner Teil, 2</w:t>
      </w:r>
      <w:r>
        <w:rPr>
          <w:rFonts w:ascii="Times New Roman" w:hAnsi="Times New Roman" w:cs="Times New Roman"/>
          <w:i/>
          <w:lang w:val="en-GB"/>
        </w:rPr>
        <w:t>.</w:t>
      </w:r>
      <w:r w:rsidRPr="002D7DF3">
        <w:rPr>
          <w:rFonts w:ascii="Times New Roman" w:hAnsi="Times New Roman" w:cs="Times New Roman"/>
          <w:i/>
          <w:lang w:val="en-GB"/>
        </w:rPr>
        <w:t xml:space="preserve"> Auflage</w:t>
      </w:r>
      <w:r>
        <w:rPr>
          <w:rFonts w:ascii="Times New Roman" w:hAnsi="Times New Roman" w:cs="Times New Roman"/>
          <w:lang w:val="en-GB"/>
        </w:rPr>
        <w:t>, 1969, p. 123)</w:t>
      </w:r>
      <w:r w:rsidRPr="009B492A">
        <w:rPr>
          <w:rFonts w:ascii="Times New Roman" w:hAnsi="Times New Roman" w:cs="Times New Roman"/>
          <w:lang w:val="en-GB"/>
        </w:rPr>
        <w:t>. Ultimately, the decisive criminal</w:t>
      </w:r>
      <w:r>
        <w:rPr>
          <w:rFonts w:ascii="Times New Roman" w:hAnsi="Times New Roman" w:cs="Times New Roman"/>
          <w:lang w:val="en-GB"/>
        </w:rPr>
        <w:t>-</w:t>
      </w:r>
      <w:r w:rsidRPr="009B492A">
        <w:rPr>
          <w:rFonts w:ascii="Times New Roman" w:hAnsi="Times New Roman" w:cs="Times New Roman"/>
          <w:lang w:val="en-GB"/>
        </w:rPr>
        <w:t xml:space="preserve">policy argument against the insertion of such a provision was the consideration that it would </w:t>
      </w:r>
      <w:r>
        <w:rPr>
          <w:rFonts w:ascii="Times New Roman" w:hAnsi="Times New Roman" w:cs="Times New Roman"/>
          <w:lang w:val="en-GB"/>
        </w:rPr>
        <w:t>entail</w:t>
      </w:r>
      <w:r w:rsidRPr="009B492A">
        <w:rPr>
          <w:rFonts w:ascii="Times New Roman" w:hAnsi="Times New Roman" w:cs="Times New Roman"/>
          <w:lang w:val="en-GB"/>
        </w:rPr>
        <w:t xml:space="preserve"> the “danger of </w:t>
      </w:r>
      <w:r>
        <w:rPr>
          <w:rFonts w:ascii="Times New Roman" w:hAnsi="Times New Roman" w:cs="Times New Roman"/>
          <w:lang w:val="en-GB"/>
        </w:rPr>
        <w:t>broadened</w:t>
      </w:r>
      <w:r w:rsidRPr="009B492A">
        <w:rPr>
          <w:rFonts w:ascii="Times New Roman" w:hAnsi="Times New Roman" w:cs="Times New Roman"/>
          <w:lang w:val="en-GB"/>
        </w:rPr>
        <w:t xml:space="preserve"> application” (</w:t>
      </w:r>
      <w:r w:rsidRPr="009B492A">
        <w:rPr>
          <w:rFonts w:ascii="Times New Roman" w:hAnsi="Times New Roman" w:cs="Times New Roman"/>
          <w:i/>
          <w:lang w:val="en-GB"/>
        </w:rPr>
        <w:t>Gefahr einer erweiterten Anwendung</w:t>
      </w:r>
      <w:r w:rsidRPr="009B492A">
        <w:rPr>
          <w:rFonts w:ascii="Times New Roman" w:hAnsi="Times New Roman" w:cs="Times New Roman"/>
          <w:lang w:val="en-GB"/>
        </w:rPr>
        <w:t>) of the concept</w:t>
      </w:r>
      <w:r>
        <w:rPr>
          <w:rFonts w:ascii="Times New Roman" w:hAnsi="Times New Roman" w:cs="Times New Roman"/>
          <w:lang w:val="en-GB"/>
        </w:rPr>
        <w:t>, which for reasons of material justice (</w:t>
      </w:r>
      <w:r w:rsidRPr="0061593F">
        <w:rPr>
          <w:rFonts w:ascii="Times New Roman" w:hAnsi="Times New Roman" w:cs="Times New Roman"/>
          <w:i/>
          <w:lang w:val="en-GB"/>
        </w:rPr>
        <w:t>materielle Gerechtigkeit</w:t>
      </w:r>
      <w:r>
        <w:rPr>
          <w:rFonts w:ascii="Times New Roman" w:hAnsi="Times New Roman" w:cs="Times New Roman"/>
          <w:lang w:val="en-GB"/>
        </w:rPr>
        <w:t>) and detrimental procedural effects (</w:t>
      </w:r>
      <w:r w:rsidRPr="0061593F">
        <w:rPr>
          <w:rFonts w:ascii="Times New Roman" w:hAnsi="Times New Roman" w:cs="Times New Roman"/>
          <w:i/>
          <w:lang w:val="en-GB"/>
        </w:rPr>
        <w:t>prozessuale Unzutr</w:t>
      </w:r>
      <w:r>
        <w:rPr>
          <w:rFonts w:ascii="Times New Roman" w:hAnsi="Times New Roman" w:cs="Times New Roman"/>
          <w:i/>
          <w:lang w:val="en-GB"/>
        </w:rPr>
        <w:t>ä</w:t>
      </w:r>
      <w:r w:rsidRPr="0061593F">
        <w:rPr>
          <w:rFonts w:ascii="Times New Roman" w:hAnsi="Times New Roman" w:cs="Times New Roman"/>
          <w:i/>
          <w:lang w:val="en-GB"/>
        </w:rPr>
        <w:t>glichkeiten</w:t>
      </w:r>
      <w:r>
        <w:rPr>
          <w:rFonts w:ascii="Times New Roman" w:hAnsi="Times New Roman" w:cs="Times New Roman"/>
          <w:lang w:val="en-GB"/>
        </w:rPr>
        <w:t>) was not desirable (Bundesrat-Drucksache 270/60, p. 181, 200/61, p. 191, and Bundestags-Drucksache, III, 2150, p. 181).</w:t>
      </w:r>
    </w:p>
  </w:footnote>
  <w:footnote w:id="18">
    <w:p w14:paraId="36B4A2C6" w14:textId="70C005B5" w:rsidR="00CE5947" w:rsidRPr="009B492A" w:rsidRDefault="00CE5947" w:rsidP="0069329A">
      <w:pPr>
        <w:pStyle w:val="FootnoteText"/>
        <w:rPr>
          <w:rFonts w:ascii="Times New Roman" w:hAnsi="Times New Roman" w:cs="Times New Roman"/>
          <w:lang w:val="en-GB"/>
        </w:rPr>
      </w:pPr>
      <w:r w:rsidRPr="00372D82">
        <w:rPr>
          <w:rStyle w:val="FootnoteReference"/>
          <w:rFonts w:ascii="Times New Roman" w:hAnsi="Times New Roman" w:cs="Times New Roman"/>
          <w:vertAlign w:val="baseline"/>
          <w:lang w:val="en-GB"/>
        </w:rPr>
        <w:footnoteRef/>
      </w:r>
      <w:r>
        <w:rPr>
          <w:rFonts w:ascii="Times New Roman" w:hAnsi="Times New Roman" w:cs="Times New Roman"/>
          <w:lang w:val="en-GB"/>
        </w:rPr>
        <w:t>.  </w:t>
      </w:r>
      <w:r w:rsidRPr="009B492A">
        <w:rPr>
          <w:rFonts w:ascii="Times New Roman" w:hAnsi="Times New Roman" w:cs="Times New Roman"/>
          <w:lang w:val="en-GB"/>
        </w:rPr>
        <w:t xml:space="preserve">In any case, the political criticism of the concept of </w:t>
      </w:r>
      <w:r>
        <w:rPr>
          <w:rFonts w:ascii="Times New Roman" w:hAnsi="Times New Roman" w:cs="Times New Roman"/>
          <w:lang w:val="en-GB"/>
        </w:rPr>
        <w:t xml:space="preserve">a </w:t>
      </w:r>
      <w:r w:rsidRPr="009B492A">
        <w:rPr>
          <w:rFonts w:ascii="Times New Roman" w:hAnsi="Times New Roman" w:cs="Times New Roman"/>
          <w:lang w:val="en-GB"/>
        </w:rPr>
        <w:t xml:space="preserve">continuous offence had </w:t>
      </w:r>
      <w:r>
        <w:rPr>
          <w:rFonts w:ascii="Times New Roman" w:hAnsi="Times New Roman" w:cs="Times New Roman"/>
          <w:lang w:val="en-GB"/>
        </w:rPr>
        <w:t>an</w:t>
      </w:r>
      <w:r w:rsidRPr="009B492A">
        <w:rPr>
          <w:rFonts w:ascii="Times New Roman" w:hAnsi="Times New Roman" w:cs="Times New Roman"/>
          <w:lang w:val="en-GB"/>
        </w:rPr>
        <w:t xml:space="preserve"> impact in some countries, since some </w:t>
      </w:r>
      <w:r>
        <w:rPr>
          <w:rFonts w:ascii="Times New Roman" w:hAnsi="Times New Roman" w:cs="Times New Roman"/>
          <w:lang w:val="en-GB"/>
        </w:rPr>
        <w:t>legislatures</w:t>
      </w:r>
      <w:r w:rsidRPr="009B492A">
        <w:rPr>
          <w:rFonts w:ascii="Times New Roman" w:hAnsi="Times New Roman" w:cs="Times New Roman"/>
          <w:lang w:val="en-GB"/>
        </w:rPr>
        <w:t xml:space="preserve"> restricted the application of this concept with regard to certain categories of crimes (</w:t>
      </w:r>
      <w:r>
        <w:rPr>
          <w:rFonts w:ascii="Times New Roman" w:hAnsi="Times New Roman" w:cs="Times New Roman"/>
          <w:lang w:val="en-GB"/>
        </w:rPr>
        <w:t xml:space="preserve">see, </w:t>
      </w:r>
      <w:r w:rsidRPr="009B492A">
        <w:rPr>
          <w:rFonts w:ascii="Times New Roman" w:hAnsi="Times New Roman" w:cs="Times New Roman"/>
          <w:lang w:val="en-GB"/>
        </w:rPr>
        <w:t xml:space="preserve">for example, </w:t>
      </w:r>
      <w:r>
        <w:rPr>
          <w:rFonts w:ascii="Times New Roman" w:hAnsi="Times New Roman" w:cs="Times New Roman"/>
          <w:lang w:val="en-GB"/>
        </w:rPr>
        <w:t>A</w:t>
      </w:r>
      <w:r w:rsidRPr="009B492A">
        <w:rPr>
          <w:rFonts w:ascii="Times New Roman" w:hAnsi="Times New Roman" w:cs="Times New Roman"/>
          <w:lang w:val="en-GB"/>
        </w:rPr>
        <w:t xml:space="preserve">rticle 52 </w:t>
      </w:r>
      <w:r w:rsidR="00BB1809">
        <w:rPr>
          <w:rFonts w:ascii="Times New Roman" w:hAnsi="Times New Roman" w:cs="Times New Roman"/>
          <w:lang w:val="en-GB"/>
        </w:rPr>
        <w:t>§</w:t>
      </w:r>
      <w:r w:rsidR="00BB1809" w:rsidRPr="009B492A">
        <w:rPr>
          <w:rFonts w:ascii="Times New Roman" w:hAnsi="Times New Roman" w:cs="Times New Roman"/>
          <w:lang w:val="en-GB"/>
        </w:rPr>
        <w:t xml:space="preserve"> </w:t>
      </w:r>
      <w:r w:rsidRPr="009B492A">
        <w:rPr>
          <w:rFonts w:ascii="Times New Roman" w:hAnsi="Times New Roman" w:cs="Times New Roman"/>
          <w:lang w:val="en-GB"/>
        </w:rPr>
        <w:t xml:space="preserve">2 of the Croatian Criminal Code, Article 30 </w:t>
      </w:r>
      <w:r w:rsidR="00BB1809">
        <w:rPr>
          <w:rFonts w:ascii="Times New Roman" w:hAnsi="Times New Roman" w:cs="Times New Roman"/>
          <w:lang w:val="en-GB"/>
        </w:rPr>
        <w:t>§</w:t>
      </w:r>
      <w:r w:rsidR="00BB1809" w:rsidRPr="009B492A">
        <w:rPr>
          <w:rFonts w:ascii="Times New Roman" w:hAnsi="Times New Roman" w:cs="Times New Roman"/>
          <w:lang w:val="en-GB"/>
        </w:rPr>
        <w:t xml:space="preserve"> </w:t>
      </w:r>
      <w:r w:rsidRPr="009B492A">
        <w:rPr>
          <w:rFonts w:ascii="Times New Roman" w:hAnsi="Times New Roman" w:cs="Times New Roman"/>
          <w:lang w:val="en-GB"/>
        </w:rPr>
        <w:t xml:space="preserve">3 of the Portuguese </w:t>
      </w:r>
      <w:r w:rsidR="00332479">
        <w:rPr>
          <w:rFonts w:ascii="Times New Roman" w:hAnsi="Times New Roman" w:cs="Times New Roman"/>
          <w:lang w:val="en-GB"/>
        </w:rPr>
        <w:t>Criminal</w:t>
      </w:r>
      <w:r w:rsidRPr="009B492A">
        <w:rPr>
          <w:rFonts w:ascii="Times New Roman" w:hAnsi="Times New Roman" w:cs="Times New Roman"/>
          <w:lang w:val="en-GB"/>
        </w:rPr>
        <w:t xml:space="preserve"> Code and Article 43 </w:t>
      </w:r>
      <w:r w:rsidR="00BB1809">
        <w:rPr>
          <w:rFonts w:ascii="Times New Roman" w:hAnsi="Times New Roman" w:cs="Times New Roman"/>
          <w:lang w:val="en-GB"/>
        </w:rPr>
        <w:t>§</w:t>
      </w:r>
      <w:r w:rsidR="00BB1809" w:rsidRPr="009B492A">
        <w:rPr>
          <w:rFonts w:ascii="Times New Roman" w:hAnsi="Times New Roman" w:cs="Times New Roman"/>
          <w:lang w:val="en-GB"/>
        </w:rPr>
        <w:t xml:space="preserve"> </w:t>
      </w:r>
      <w:r w:rsidRPr="009B492A">
        <w:rPr>
          <w:rFonts w:ascii="Times New Roman" w:hAnsi="Times New Roman" w:cs="Times New Roman"/>
          <w:lang w:val="en-GB"/>
        </w:rPr>
        <w:t xml:space="preserve">3 of the Turkish Criminal </w:t>
      </w:r>
      <w:r>
        <w:rPr>
          <w:rFonts w:ascii="Times New Roman" w:hAnsi="Times New Roman" w:cs="Times New Roman"/>
          <w:lang w:val="en-GB"/>
        </w:rPr>
        <w:t>Code).</w:t>
      </w:r>
    </w:p>
  </w:footnote>
  <w:footnote w:id="19">
    <w:p w14:paraId="4AD559C6" w14:textId="0D7AC29A" w:rsidR="00CE5947" w:rsidRPr="009B492A" w:rsidRDefault="00CE5947" w:rsidP="0069329A">
      <w:pPr>
        <w:pStyle w:val="FootnoteText"/>
        <w:rPr>
          <w:rFonts w:ascii="Times New Roman" w:hAnsi="Times New Roman" w:cs="Times New Roman"/>
          <w:lang w:val="en-GB"/>
        </w:rPr>
      </w:pPr>
      <w:r w:rsidRPr="00372D82">
        <w:rPr>
          <w:rStyle w:val="FootnoteReference"/>
          <w:rFonts w:ascii="Times New Roman" w:hAnsi="Times New Roman" w:cs="Times New Roman"/>
          <w:vertAlign w:val="baseline"/>
          <w:lang w:val="en-GB"/>
        </w:rPr>
        <w:footnoteRef/>
      </w:r>
      <w:r>
        <w:rPr>
          <w:rFonts w:ascii="Times New Roman" w:hAnsi="Times New Roman" w:cs="Times New Roman"/>
          <w:lang w:val="en-GB"/>
        </w:rPr>
        <w:t>.  </w:t>
      </w:r>
      <w:r w:rsidRPr="009B492A">
        <w:rPr>
          <w:rFonts w:ascii="Times New Roman" w:hAnsi="Times New Roman" w:cs="Times New Roman"/>
          <w:lang w:val="en-GB"/>
        </w:rPr>
        <w:t>The principle of</w:t>
      </w:r>
      <w:r>
        <w:rPr>
          <w:rFonts w:ascii="Times New Roman" w:hAnsi="Times New Roman" w:cs="Times New Roman"/>
          <w:lang w:val="en-GB"/>
        </w:rPr>
        <w:t xml:space="preserve"> the</w:t>
      </w:r>
      <w:r w:rsidRPr="009B492A">
        <w:rPr>
          <w:rFonts w:ascii="Times New Roman" w:hAnsi="Times New Roman" w:cs="Times New Roman"/>
          <w:lang w:val="en-GB"/>
        </w:rPr>
        <w:t xml:space="preserve"> legality of penalties </w:t>
      </w:r>
      <w:r>
        <w:rPr>
          <w:rFonts w:ascii="Times New Roman" w:hAnsi="Times New Roman" w:cs="Times New Roman"/>
          <w:lang w:val="en-GB"/>
        </w:rPr>
        <w:t>should not</w:t>
      </w:r>
      <w:r w:rsidRPr="009B492A">
        <w:rPr>
          <w:rFonts w:ascii="Times New Roman" w:hAnsi="Times New Roman" w:cs="Times New Roman"/>
          <w:lang w:val="en-GB"/>
        </w:rPr>
        <w:t xml:space="preserve"> be circumvented by imposing concurrent and/or consecutive custodial sentences</w:t>
      </w:r>
      <w:r>
        <w:rPr>
          <w:rFonts w:ascii="Times New Roman" w:hAnsi="Times New Roman" w:cs="Times New Roman"/>
          <w:lang w:val="en-GB"/>
        </w:rPr>
        <w:t xml:space="preserve"> on a discretionary basis</w:t>
      </w:r>
      <w:r w:rsidRPr="009B492A">
        <w:rPr>
          <w:rFonts w:ascii="Times New Roman" w:hAnsi="Times New Roman" w:cs="Times New Roman"/>
          <w:lang w:val="en-GB"/>
        </w:rPr>
        <w:t>. On the principle of legality in international human rights law</w:t>
      </w:r>
      <w:r>
        <w:rPr>
          <w:rFonts w:ascii="Times New Roman" w:hAnsi="Times New Roman" w:cs="Times New Roman"/>
          <w:lang w:val="en-GB"/>
        </w:rPr>
        <w:t>,</w:t>
      </w:r>
      <w:r w:rsidRPr="009B492A">
        <w:rPr>
          <w:rFonts w:ascii="Times New Roman" w:hAnsi="Times New Roman" w:cs="Times New Roman"/>
          <w:lang w:val="en-GB"/>
        </w:rPr>
        <w:t xml:space="preserve"> see my separate opinion in </w:t>
      </w:r>
      <w:r>
        <w:rPr>
          <w:rFonts w:ascii="Times New Roman" w:hAnsi="Times New Roman" w:cs="Times New Roman"/>
          <w:i/>
          <w:lang w:val="en-GB"/>
        </w:rPr>
        <w:t xml:space="preserve">Maktouf and </w:t>
      </w:r>
      <w:r w:rsidRPr="009B492A">
        <w:rPr>
          <w:rFonts w:ascii="Times New Roman" w:hAnsi="Times New Roman" w:cs="Times New Roman"/>
          <w:i/>
          <w:lang w:val="en-GB"/>
        </w:rPr>
        <w:t>Damjanović v. Bosnia and Herzegovina</w:t>
      </w:r>
      <w:r w:rsidR="00BB1809">
        <w:rPr>
          <w:rFonts w:ascii="Times New Roman" w:hAnsi="Times New Roman" w:cs="Times New Roman"/>
          <w:lang w:val="en-GB"/>
        </w:rPr>
        <w:t xml:space="preserve"> [GC]</w:t>
      </w:r>
      <w:r w:rsidRPr="009B492A">
        <w:rPr>
          <w:rFonts w:ascii="Times New Roman" w:hAnsi="Times New Roman" w:cs="Times New Roman"/>
          <w:lang w:val="en-GB"/>
        </w:rPr>
        <w:t xml:space="preserve">, nos. 2312/08 and 34179/08, </w:t>
      </w:r>
      <w:r>
        <w:rPr>
          <w:rFonts w:ascii="Times New Roman" w:hAnsi="Times New Roman" w:cs="Times New Roman"/>
          <w:lang w:val="en-GB"/>
        </w:rPr>
        <w:t>ECHR</w:t>
      </w:r>
      <w:r w:rsidRPr="009B492A">
        <w:rPr>
          <w:rFonts w:ascii="Times New Roman" w:hAnsi="Times New Roman" w:cs="Times New Roman"/>
          <w:lang w:val="en-GB"/>
        </w:rPr>
        <w:t xml:space="preserve"> 2013.</w:t>
      </w:r>
    </w:p>
  </w:footnote>
  <w:footnote w:id="20">
    <w:p w14:paraId="75E1E495" w14:textId="11A7D802" w:rsidR="00CE5947" w:rsidRPr="009B492A" w:rsidRDefault="00CE5947" w:rsidP="0069329A">
      <w:pPr>
        <w:pStyle w:val="FootnoteText"/>
        <w:rPr>
          <w:rFonts w:ascii="Times New Roman" w:hAnsi="Times New Roman" w:cs="Times New Roman"/>
          <w:lang w:val="en-GB"/>
        </w:rPr>
      </w:pPr>
      <w:r w:rsidRPr="00372D82">
        <w:rPr>
          <w:rStyle w:val="FootnoteReference"/>
          <w:rFonts w:ascii="Times New Roman" w:hAnsi="Times New Roman" w:cs="Times New Roman"/>
          <w:vertAlign w:val="baseline"/>
          <w:lang w:val="en-GB"/>
        </w:rPr>
        <w:footnoteRef/>
      </w:r>
      <w:r>
        <w:rPr>
          <w:rFonts w:ascii="Times New Roman" w:hAnsi="Times New Roman" w:cs="Times New Roman"/>
          <w:lang w:val="en-GB"/>
        </w:rPr>
        <w:t>.  </w:t>
      </w:r>
      <w:r w:rsidRPr="009B492A">
        <w:rPr>
          <w:rFonts w:ascii="Times New Roman" w:hAnsi="Times New Roman" w:cs="Times New Roman"/>
          <w:lang w:val="en-GB"/>
        </w:rPr>
        <w:t>On the purposes of criminal penalties</w:t>
      </w:r>
      <w:r w:rsidR="00BB1809">
        <w:rPr>
          <w:rFonts w:ascii="Times New Roman" w:hAnsi="Times New Roman" w:cs="Times New Roman"/>
          <w:lang w:val="en-GB"/>
        </w:rPr>
        <w:t>,</w:t>
      </w:r>
      <w:r w:rsidRPr="009B492A">
        <w:rPr>
          <w:rFonts w:ascii="Times New Roman" w:hAnsi="Times New Roman" w:cs="Times New Roman"/>
          <w:lang w:val="en-GB"/>
        </w:rPr>
        <w:t xml:space="preserve"> see my separate opinion in </w:t>
      </w:r>
      <w:r>
        <w:rPr>
          <w:rFonts w:ascii="Times New Roman" w:hAnsi="Times New Roman" w:cs="Times New Roman"/>
          <w:i/>
          <w:lang w:val="en-GB"/>
        </w:rPr>
        <w:t>Ö</w:t>
      </w:r>
      <w:r w:rsidRPr="009B492A">
        <w:rPr>
          <w:rFonts w:ascii="Times New Roman" w:hAnsi="Times New Roman" w:cs="Times New Roman"/>
          <w:i/>
          <w:lang w:val="en-GB"/>
        </w:rPr>
        <w:t>çalan v. Turkey (</w:t>
      </w:r>
      <w:r>
        <w:rPr>
          <w:rFonts w:ascii="Times New Roman" w:hAnsi="Times New Roman" w:cs="Times New Roman"/>
          <w:i/>
          <w:lang w:val="en-GB"/>
        </w:rPr>
        <w:t>no. </w:t>
      </w:r>
      <w:r w:rsidRPr="009B492A">
        <w:rPr>
          <w:rFonts w:ascii="Times New Roman" w:hAnsi="Times New Roman" w:cs="Times New Roman"/>
          <w:i/>
          <w:lang w:val="en-GB"/>
        </w:rPr>
        <w:t>2)</w:t>
      </w:r>
      <w:r w:rsidRPr="009B492A">
        <w:rPr>
          <w:rFonts w:ascii="Times New Roman" w:hAnsi="Times New Roman" w:cs="Times New Roman"/>
          <w:lang w:val="en-GB"/>
        </w:rPr>
        <w:t>, nos</w:t>
      </w:r>
      <w:r>
        <w:rPr>
          <w:rFonts w:ascii="Times New Roman" w:hAnsi="Times New Roman" w:cs="Times New Roman"/>
          <w:lang w:val="en-GB"/>
        </w:rPr>
        <w:t>.</w:t>
      </w:r>
      <w:r w:rsidRPr="009B492A">
        <w:rPr>
          <w:rFonts w:ascii="Times New Roman" w:hAnsi="Times New Roman" w:cs="Times New Roman"/>
          <w:lang w:val="en-GB"/>
        </w:rPr>
        <w:t xml:space="preserve"> 24069/03</w:t>
      </w:r>
      <w:r w:rsidR="00BB1809">
        <w:rPr>
          <w:rFonts w:ascii="Times New Roman" w:hAnsi="Times New Roman" w:cs="Times New Roman"/>
          <w:lang w:val="en-GB"/>
        </w:rPr>
        <w:t xml:space="preserve"> and 3 others</w:t>
      </w:r>
      <w:r w:rsidRPr="009B492A">
        <w:rPr>
          <w:rFonts w:ascii="Times New Roman" w:hAnsi="Times New Roman" w:cs="Times New Roman"/>
          <w:lang w:val="en-GB"/>
        </w:rPr>
        <w:t>, 18 March 2014.</w:t>
      </w:r>
    </w:p>
  </w:footnote>
  <w:footnote w:id="21">
    <w:p w14:paraId="760B184B" w14:textId="0E4A73D8" w:rsidR="00CE5947" w:rsidRPr="009B492A" w:rsidRDefault="00CE5947" w:rsidP="0069329A">
      <w:pPr>
        <w:pStyle w:val="FootnoteText"/>
        <w:rPr>
          <w:rFonts w:ascii="Times New Roman" w:hAnsi="Times New Roman" w:cs="Times New Roman"/>
          <w:lang w:val="en-GB"/>
        </w:rPr>
      </w:pPr>
      <w:r w:rsidRPr="00D028AD">
        <w:rPr>
          <w:rStyle w:val="FootnoteReference"/>
          <w:rFonts w:ascii="Times New Roman" w:hAnsi="Times New Roman" w:cs="Times New Roman"/>
          <w:vertAlign w:val="baseline"/>
          <w:lang w:val="en-GB"/>
        </w:rPr>
        <w:footnoteRef/>
      </w:r>
      <w:r>
        <w:rPr>
          <w:rFonts w:ascii="Times New Roman" w:hAnsi="Times New Roman" w:cs="Times New Roman"/>
          <w:lang w:val="en-GB"/>
        </w:rPr>
        <w:t>.  See, f</w:t>
      </w:r>
      <w:r w:rsidRPr="009B492A">
        <w:rPr>
          <w:rFonts w:ascii="Times New Roman" w:hAnsi="Times New Roman" w:cs="Times New Roman"/>
          <w:lang w:val="en-GB"/>
        </w:rPr>
        <w:t xml:space="preserve">or instance, </w:t>
      </w:r>
      <w:r>
        <w:rPr>
          <w:rFonts w:ascii="Times New Roman" w:hAnsi="Times New Roman" w:cs="Times New Roman"/>
          <w:lang w:val="en-GB"/>
        </w:rPr>
        <w:t>s</w:t>
      </w:r>
      <w:r w:rsidRPr="009B492A">
        <w:rPr>
          <w:rFonts w:ascii="Times New Roman" w:hAnsi="Times New Roman" w:cs="Times New Roman"/>
          <w:lang w:val="en-GB"/>
        </w:rPr>
        <w:t>ection 6(2) of Hungarian Act. No. C of 2012 on the Criminal Code</w:t>
      </w:r>
      <w:r w:rsidRPr="009B492A">
        <w:rPr>
          <w:rFonts w:ascii="TimesNewRoman" w:hAnsi="TimesNewRoman" w:cs="TimesNewRoman"/>
          <w:lang w:val="en-GB"/>
        </w:rPr>
        <w:t xml:space="preserve">, </w:t>
      </w:r>
      <w:r w:rsidRPr="009B492A">
        <w:rPr>
          <w:rFonts w:ascii="Times New Roman" w:hAnsi="Times New Roman" w:cs="Times New Roman"/>
          <w:lang w:val="en-GB"/>
        </w:rPr>
        <w:t xml:space="preserve">section 49 of the Montenegro Criminal Code, Article 12 of the Polish Criminal Code, Article 30 </w:t>
      </w:r>
      <w:r w:rsidR="00BB1809">
        <w:rPr>
          <w:rFonts w:ascii="Times New Roman" w:hAnsi="Times New Roman" w:cs="Times New Roman"/>
          <w:lang w:val="en-GB"/>
        </w:rPr>
        <w:t>§</w:t>
      </w:r>
      <w:r w:rsidR="00BB1809" w:rsidRPr="009B492A">
        <w:rPr>
          <w:rFonts w:ascii="Times New Roman" w:hAnsi="Times New Roman" w:cs="Times New Roman"/>
          <w:lang w:val="en-GB"/>
        </w:rPr>
        <w:t xml:space="preserve"> </w:t>
      </w:r>
      <w:r w:rsidRPr="009B492A">
        <w:rPr>
          <w:rFonts w:ascii="Times New Roman" w:hAnsi="Times New Roman" w:cs="Times New Roman"/>
          <w:lang w:val="en-GB"/>
        </w:rPr>
        <w:t xml:space="preserve">3 of the Portuguese </w:t>
      </w:r>
      <w:r w:rsidR="00332479">
        <w:rPr>
          <w:rFonts w:ascii="Times New Roman" w:hAnsi="Times New Roman" w:cs="Times New Roman"/>
          <w:lang w:val="en-GB"/>
        </w:rPr>
        <w:t>Criminal</w:t>
      </w:r>
      <w:r w:rsidRPr="009B492A">
        <w:rPr>
          <w:rFonts w:ascii="Times New Roman" w:hAnsi="Times New Roman" w:cs="Times New Roman"/>
          <w:lang w:val="en-GB"/>
        </w:rPr>
        <w:t xml:space="preserve"> Code, Article 35 of the Romanian Criminal Code and Article 61 of the Serbian Criminal Code. Article 59 of the Andorran Criminal Code </w:t>
      </w:r>
      <w:r>
        <w:rPr>
          <w:rFonts w:ascii="Times New Roman" w:hAnsi="Times New Roman" w:cs="Times New Roman"/>
          <w:lang w:val="en-GB"/>
        </w:rPr>
        <w:t>allows some</w:t>
      </w:r>
      <w:r w:rsidRPr="009B492A">
        <w:rPr>
          <w:rFonts w:ascii="Times New Roman" w:hAnsi="Times New Roman" w:cs="Times New Roman"/>
          <w:lang w:val="en-GB"/>
        </w:rPr>
        <w:t xml:space="preserve"> offences against highly personal interest</w:t>
      </w:r>
      <w:r>
        <w:rPr>
          <w:rFonts w:ascii="Times New Roman" w:hAnsi="Times New Roman" w:cs="Times New Roman"/>
          <w:lang w:val="en-GB"/>
        </w:rPr>
        <w:t>s</w:t>
      </w:r>
      <w:r w:rsidRPr="009B492A">
        <w:rPr>
          <w:rFonts w:ascii="Times New Roman" w:hAnsi="Times New Roman" w:cs="Times New Roman"/>
          <w:lang w:val="en-GB"/>
        </w:rPr>
        <w:t>,</w:t>
      </w:r>
      <w:r>
        <w:rPr>
          <w:rFonts w:ascii="Times New Roman" w:hAnsi="Times New Roman" w:cs="Times New Roman"/>
          <w:lang w:val="en-GB"/>
        </w:rPr>
        <w:t xml:space="preserve"> that is,</w:t>
      </w:r>
      <w:r w:rsidRPr="009B492A">
        <w:rPr>
          <w:rFonts w:ascii="Times New Roman" w:hAnsi="Times New Roman" w:cs="Times New Roman"/>
          <w:lang w:val="en-GB"/>
        </w:rPr>
        <w:t xml:space="preserve"> </w:t>
      </w:r>
      <w:r>
        <w:rPr>
          <w:rFonts w:ascii="Times New Roman" w:hAnsi="Times New Roman" w:cs="Times New Roman"/>
          <w:lang w:val="en-GB"/>
        </w:rPr>
        <w:t>offences</w:t>
      </w:r>
      <w:r w:rsidRPr="009B492A">
        <w:rPr>
          <w:rFonts w:ascii="Times New Roman" w:hAnsi="Times New Roman" w:cs="Times New Roman"/>
          <w:lang w:val="en-GB"/>
        </w:rPr>
        <w:t xml:space="preserve"> against honour or sexual liberty</w:t>
      </w:r>
      <w:r>
        <w:rPr>
          <w:rFonts w:ascii="Times New Roman" w:hAnsi="Times New Roman" w:cs="Times New Roman"/>
          <w:lang w:val="en-GB"/>
        </w:rPr>
        <w:t>,</w:t>
      </w:r>
      <w:r w:rsidRPr="009B492A">
        <w:rPr>
          <w:rFonts w:ascii="Times New Roman" w:hAnsi="Times New Roman" w:cs="Times New Roman"/>
          <w:lang w:val="en-GB"/>
        </w:rPr>
        <w:t xml:space="preserve"> </w:t>
      </w:r>
      <w:r>
        <w:rPr>
          <w:rFonts w:ascii="Times New Roman" w:hAnsi="Times New Roman" w:cs="Times New Roman"/>
          <w:lang w:val="en-GB"/>
        </w:rPr>
        <w:t xml:space="preserve">to </w:t>
      </w:r>
      <w:r w:rsidRPr="009B492A">
        <w:rPr>
          <w:rFonts w:ascii="Times New Roman" w:hAnsi="Times New Roman" w:cs="Times New Roman"/>
          <w:lang w:val="en-GB"/>
        </w:rPr>
        <w:t>be inc</w:t>
      </w:r>
      <w:r>
        <w:rPr>
          <w:rFonts w:ascii="Times New Roman" w:hAnsi="Times New Roman" w:cs="Times New Roman"/>
          <w:lang w:val="en-GB"/>
        </w:rPr>
        <w:t>luded in a continuous offence.</w:t>
      </w:r>
    </w:p>
  </w:footnote>
  <w:footnote w:id="22">
    <w:p w14:paraId="22AFF24E" w14:textId="581B7D53" w:rsidR="00CE5947" w:rsidRPr="009B492A" w:rsidRDefault="00CE5947" w:rsidP="00794682">
      <w:pPr>
        <w:pStyle w:val="FootnoteText"/>
        <w:keepNext/>
        <w:rPr>
          <w:rFonts w:ascii="Times New Roman" w:hAnsi="Times New Roman" w:cs="Times New Roman"/>
          <w:lang w:val="en-GB"/>
        </w:rPr>
      </w:pPr>
      <w:r w:rsidRPr="00D028AD">
        <w:rPr>
          <w:rStyle w:val="FootnoteReference"/>
          <w:rFonts w:ascii="Times New Roman" w:hAnsi="Times New Roman" w:cs="Times New Roman"/>
          <w:vertAlign w:val="baseline"/>
          <w:lang w:val="en-GB"/>
        </w:rPr>
        <w:footnoteRef/>
      </w:r>
      <w:r>
        <w:rPr>
          <w:rFonts w:ascii="Times New Roman" w:hAnsi="Times New Roman" w:cs="Times New Roman"/>
          <w:lang w:val="en-GB"/>
        </w:rPr>
        <w:t>.  According to this subjective standard, the offender’s intention should include the most important features of the sequence of individual acts and the final “overall result” (</w:t>
      </w:r>
      <w:r w:rsidRPr="00691479">
        <w:rPr>
          <w:rFonts w:ascii="Times New Roman" w:hAnsi="Times New Roman" w:cs="Times New Roman"/>
          <w:i/>
          <w:lang w:val="en-GB"/>
        </w:rPr>
        <w:t>Gesamterfolg</w:t>
      </w:r>
      <w:r>
        <w:rPr>
          <w:rFonts w:ascii="Times New Roman" w:hAnsi="Times New Roman" w:cs="Times New Roman"/>
          <w:lang w:val="en-GB"/>
        </w:rPr>
        <w:t>). A</w:t>
      </w:r>
      <w:r w:rsidRPr="009B492A">
        <w:rPr>
          <w:rFonts w:ascii="Times New Roman" w:hAnsi="Times New Roman" w:cs="Times New Roman"/>
          <w:lang w:val="en-GB"/>
        </w:rPr>
        <w:t xml:space="preserve">n example is the planned </w:t>
      </w:r>
      <w:r>
        <w:rPr>
          <w:rFonts w:ascii="Times New Roman" w:hAnsi="Times New Roman" w:cs="Times New Roman"/>
          <w:lang w:val="en-GB"/>
        </w:rPr>
        <w:t>piecemeal</w:t>
      </w:r>
      <w:r w:rsidRPr="009B492A">
        <w:rPr>
          <w:rFonts w:ascii="Times New Roman" w:hAnsi="Times New Roman" w:cs="Times New Roman"/>
          <w:lang w:val="en-GB"/>
        </w:rPr>
        <w:t xml:space="preserve"> theft of a motorbike from a factory by a night </w:t>
      </w:r>
      <w:r>
        <w:rPr>
          <w:rFonts w:ascii="Times New Roman" w:hAnsi="Times New Roman" w:cs="Times New Roman"/>
          <w:lang w:val="en-GB"/>
        </w:rPr>
        <w:t>security officer</w:t>
      </w:r>
      <w:r w:rsidRPr="009B492A">
        <w:rPr>
          <w:rFonts w:ascii="Times New Roman" w:hAnsi="Times New Roman" w:cs="Times New Roman"/>
          <w:lang w:val="en-GB"/>
        </w:rPr>
        <w:t xml:space="preserve"> </w:t>
      </w:r>
      <w:r>
        <w:rPr>
          <w:rFonts w:ascii="Times New Roman" w:hAnsi="Times New Roman" w:cs="Times New Roman"/>
          <w:lang w:val="en-GB"/>
        </w:rPr>
        <w:t>over the course of</w:t>
      </w:r>
      <w:r w:rsidRPr="009B492A">
        <w:rPr>
          <w:rFonts w:ascii="Times New Roman" w:hAnsi="Times New Roman" w:cs="Times New Roman"/>
          <w:lang w:val="en-GB"/>
        </w:rPr>
        <w:t xml:space="preserve"> an </w:t>
      </w:r>
      <w:r>
        <w:rPr>
          <w:rFonts w:ascii="Times New Roman" w:hAnsi="Times New Roman" w:cs="Times New Roman"/>
          <w:lang w:val="en-GB"/>
        </w:rPr>
        <w:t>entire</w:t>
      </w:r>
      <w:r w:rsidRPr="009B492A">
        <w:rPr>
          <w:rFonts w:ascii="Times New Roman" w:hAnsi="Times New Roman" w:cs="Times New Roman"/>
          <w:lang w:val="en-GB"/>
        </w:rPr>
        <w:t xml:space="preserve"> week.</w:t>
      </w:r>
      <w:r>
        <w:rPr>
          <w:rFonts w:ascii="Times New Roman" w:hAnsi="Times New Roman" w:cs="Times New Roman"/>
          <w:lang w:val="en-GB"/>
        </w:rPr>
        <w:t xml:space="preserve"> The significance of each of the offender’s individual acts can only be understood in the light of the intended overall result. This strict subjective standard has met with criticism. It has even been argued that the </w:t>
      </w:r>
      <w:r w:rsidRPr="009B492A">
        <w:rPr>
          <w:rFonts w:ascii="Times New Roman" w:hAnsi="Times New Roman" w:cs="Times New Roman"/>
          <w:lang w:val="en-GB"/>
        </w:rPr>
        <w:t xml:space="preserve">concept of </w:t>
      </w:r>
      <w:r>
        <w:rPr>
          <w:rFonts w:ascii="Times New Roman" w:hAnsi="Times New Roman" w:cs="Times New Roman"/>
          <w:lang w:val="en-GB"/>
        </w:rPr>
        <w:t xml:space="preserve">a </w:t>
      </w:r>
      <w:r w:rsidRPr="009B492A">
        <w:rPr>
          <w:rFonts w:ascii="Times New Roman" w:hAnsi="Times New Roman" w:cs="Times New Roman"/>
          <w:lang w:val="en-GB"/>
        </w:rPr>
        <w:t>continuous offence</w:t>
      </w:r>
      <w:r>
        <w:rPr>
          <w:rFonts w:ascii="Times New Roman" w:hAnsi="Times New Roman" w:cs="Times New Roman"/>
          <w:lang w:val="en-GB"/>
        </w:rPr>
        <w:t xml:space="preserve"> which is</w:t>
      </w:r>
      <w:r w:rsidRPr="009B492A">
        <w:rPr>
          <w:rFonts w:ascii="Times New Roman" w:hAnsi="Times New Roman" w:cs="Times New Roman"/>
          <w:lang w:val="en-GB"/>
        </w:rPr>
        <w:t xml:space="preserve"> limited to the </w:t>
      </w:r>
      <w:r>
        <w:rPr>
          <w:rFonts w:ascii="Times New Roman" w:hAnsi="Times New Roman" w:cs="Times New Roman"/>
          <w:lang w:val="en-GB"/>
        </w:rPr>
        <w:t>planned achievement</w:t>
      </w:r>
      <w:r w:rsidRPr="009B492A">
        <w:rPr>
          <w:rFonts w:ascii="Times New Roman" w:hAnsi="Times New Roman" w:cs="Times New Roman"/>
          <w:lang w:val="en-GB"/>
        </w:rPr>
        <w:t xml:space="preserve"> of a </w:t>
      </w:r>
      <w:r>
        <w:rPr>
          <w:rFonts w:ascii="Times New Roman" w:hAnsi="Times New Roman" w:cs="Times New Roman"/>
          <w:lang w:val="en-GB"/>
        </w:rPr>
        <w:t>result</w:t>
      </w:r>
      <w:r w:rsidRPr="009B492A">
        <w:rPr>
          <w:rFonts w:ascii="Times New Roman" w:hAnsi="Times New Roman" w:cs="Times New Roman"/>
          <w:lang w:val="en-GB"/>
        </w:rPr>
        <w:t xml:space="preserve"> </w:t>
      </w:r>
      <w:r>
        <w:rPr>
          <w:rFonts w:ascii="Times New Roman" w:hAnsi="Times New Roman" w:cs="Times New Roman"/>
          <w:lang w:val="en-GB"/>
        </w:rPr>
        <w:t>through successive</w:t>
      </w:r>
      <w:r w:rsidRPr="009B492A">
        <w:rPr>
          <w:rFonts w:ascii="Times New Roman" w:hAnsi="Times New Roman" w:cs="Times New Roman"/>
          <w:lang w:val="en-GB"/>
        </w:rPr>
        <w:t xml:space="preserve"> acts </w:t>
      </w:r>
      <w:r>
        <w:rPr>
          <w:rFonts w:ascii="Times New Roman" w:hAnsi="Times New Roman" w:cs="Times New Roman"/>
          <w:lang w:val="en-GB"/>
        </w:rPr>
        <w:t xml:space="preserve">committed over a short period of time adds </w:t>
      </w:r>
      <w:r w:rsidRPr="009B492A">
        <w:rPr>
          <w:rFonts w:ascii="Times New Roman" w:hAnsi="Times New Roman" w:cs="Times New Roman"/>
          <w:lang w:val="en-GB"/>
        </w:rPr>
        <w:t xml:space="preserve">very little to criminal </w:t>
      </w:r>
      <w:r>
        <w:rPr>
          <w:rFonts w:ascii="Times New Roman" w:hAnsi="Times New Roman" w:cs="Times New Roman"/>
          <w:lang w:val="en-GB"/>
        </w:rPr>
        <w:t>responsibility theory, since the execution of such a plan represents a single and not a continuous offence.</w:t>
      </w:r>
    </w:p>
  </w:footnote>
  <w:footnote w:id="23">
    <w:p w14:paraId="52EF53F4" w14:textId="31A3AFFF" w:rsidR="00CE5947" w:rsidRPr="009B492A" w:rsidRDefault="00CE5947" w:rsidP="0069329A">
      <w:pPr>
        <w:pStyle w:val="FootnoteText"/>
        <w:rPr>
          <w:rFonts w:ascii="Times New Roman" w:hAnsi="Times New Roman" w:cs="Times New Roman"/>
          <w:lang w:val="en-GB"/>
        </w:rPr>
      </w:pPr>
      <w:r w:rsidRPr="00D028AD">
        <w:rPr>
          <w:rStyle w:val="FootnoteReference"/>
          <w:rFonts w:ascii="Times New Roman" w:hAnsi="Times New Roman" w:cs="Times New Roman"/>
          <w:vertAlign w:val="baseline"/>
          <w:lang w:val="en-GB"/>
        </w:rPr>
        <w:footnoteRef/>
      </w:r>
      <w:r>
        <w:rPr>
          <w:rFonts w:ascii="Times New Roman" w:hAnsi="Times New Roman" w:cs="Times New Roman"/>
          <w:lang w:val="en-GB"/>
        </w:rPr>
        <w:t>.  According to this broader subjective standard, the offender’s intention to commit additional criminal acts should be connected with the previous ones, as a sequel to them, in a</w:t>
      </w:r>
      <w:r w:rsidRPr="002C20B4">
        <w:rPr>
          <w:rFonts w:ascii="Times New Roman" w:hAnsi="Times New Roman" w:cs="Times New Roman"/>
          <w:lang w:val="en-GB"/>
        </w:rPr>
        <w:t xml:space="preserve"> continuing psychological line</w:t>
      </w:r>
      <w:r>
        <w:rPr>
          <w:rFonts w:ascii="Times New Roman" w:hAnsi="Times New Roman" w:cs="Times New Roman"/>
          <w:lang w:val="en-GB"/>
        </w:rPr>
        <w:t xml:space="preserve">. </w:t>
      </w:r>
      <w:r w:rsidRPr="009B492A">
        <w:rPr>
          <w:rFonts w:ascii="Times New Roman" w:hAnsi="Times New Roman" w:cs="Times New Roman"/>
          <w:lang w:val="en-GB"/>
        </w:rPr>
        <w:t xml:space="preserve">For </w:t>
      </w:r>
      <w:r>
        <w:rPr>
          <w:rFonts w:ascii="Times New Roman" w:hAnsi="Times New Roman" w:cs="Times New Roman"/>
          <w:lang w:val="en-GB"/>
        </w:rPr>
        <w:t>example: in different interviews and hearings forming part of the same criminal proceedings and before different prosecutorial and judicial authorities, the witness repeats the same false version of the facts while testifying under oath. The interconnection of each of the offender’s individual acts does not depend on an “overall result”, but on the progressive weakening of the offender’s capacity to resist the temptation of crime.</w:t>
      </w:r>
    </w:p>
  </w:footnote>
  <w:footnote w:id="24">
    <w:p w14:paraId="4274ABA1" w14:textId="6FA3911E" w:rsidR="00CE5947" w:rsidRPr="009B492A" w:rsidRDefault="00CE5947" w:rsidP="0069329A">
      <w:pPr>
        <w:pStyle w:val="FootnoteText"/>
        <w:rPr>
          <w:lang w:val="en-GB"/>
        </w:rPr>
      </w:pPr>
      <w:r w:rsidRPr="00762973">
        <w:rPr>
          <w:rStyle w:val="FootnoteReference"/>
          <w:vertAlign w:val="baseline"/>
          <w:lang w:val="en-GB"/>
        </w:rPr>
        <w:footnoteRef/>
      </w:r>
      <w:r>
        <w:rPr>
          <w:lang w:val="en-GB"/>
        </w:rPr>
        <w:t>.  </w:t>
      </w:r>
      <w:r>
        <w:rPr>
          <w:rFonts w:ascii="Times New Roman" w:hAnsi="Times New Roman" w:cs="Times New Roman"/>
          <w:lang w:val="en-GB"/>
        </w:rPr>
        <w:t>An example</w:t>
      </w:r>
      <w:r w:rsidRPr="009B492A">
        <w:rPr>
          <w:rFonts w:ascii="Times New Roman" w:hAnsi="Times New Roman" w:cs="Times New Roman"/>
          <w:lang w:val="en-GB"/>
        </w:rPr>
        <w:t xml:space="preserve">: a </w:t>
      </w:r>
      <w:r>
        <w:rPr>
          <w:rFonts w:ascii="Times New Roman" w:hAnsi="Times New Roman" w:cs="Times New Roman"/>
          <w:lang w:val="en-GB"/>
        </w:rPr>
        <w:t>cashier</w:t>
      </w:r>
      <w:r w:rsidRPr="009B492A">
        <w:rPr>
          <w:rFonts w:ascii="Times New Roman" w:hAnsi="Times New Roman" w:cs="Times New Roman"/>
          <w:lang w:val="en-GB"/>
        </w:rPr>
        <w:t xml:space="preserve"> withdraws a certain amount of money from the cash</w:t>
      </w:r>
      <w:r>
        <w:rPr>
          <w:rFonts w:ascii="Times New Roman" w:hAnsi="Times New Roman" w:cs="Times New Roman"/>
          <w:lang w:val="en-GB"/>
        </w:rPr>
        <w:t xml:space="preserve"> register</w:t>
      </w:r>
      <w:r w:rsidRPr="009B492A">
        <w:rPr>
          <w:rFonts w:ascii="Times New Roman" w:hAnsi="Times New Roman" w:cs="Times New Roman"/>
          <w:lang w:val="en-GB"/>
        </w:rPr>
        <w:t xml:space="preserve"> </w:t>
      </w:r>
      <w:r>
        <w:rPr>
          <w:rFonts w:ascii="Times New Roman" w:hAnsi="Times New Roman" w:cs="Times New Roman"/>
          <w:lang w:val="en-GB"/>
        </w:rPr>
        <w:t xml:space="preserve">one day </w:t>
      </w:r>
      <w:r w:rsidRPr="009B492A">
        <w:rPr>
          <w:rFonts w:ascii="Times New Roman" w:hAnsi="Times New Roman" w:cs="Times New Roman"/>
          <w:lang w:val="en-GB"/>
        </w:rPr>
        <w:t xml:space="preserve">with the purpose of returning it the next day, but the next day does not do </w:t>
      </w:r>
      <w:r>
        <w:rPr>
          <w:rFonts w:ascii="Times New Roman" w:hAnsi="Times New Roman" w:cs="Times New Roman"/>
          <w:lang w:val="en-GB"/>
        </w:rPr>
        <w:t>so</w:t>
      </w:r>
      <w:r w:rsidRPr="009B492A">
        <w:rPr>
          <w:rFonts w:ascii="Times New Roman" w:hAnsi="Times New Roman" w:cs="Times New Roman"/>
          <w:lang w:val="en-GB"/>
        </w:rPr>
        <w:t xml:space="preserve"> because he </w:t>
      </w:r>
      <w:r>
        <w:rPr>
          <w:rFonts w:ascii="Times New Roman" w:hAnsi="Times New Roman" w:cs="Times New Roman"/>
          <w:lang w:val="en-GB"/>
        </w:rPr>
        <w:t>cannot</w:t>
      </w:r>
      <w:r w:rsidRPr="009B492A">
        <w:rPr>
          <w:rFonts w:ascii="Times New Roman" w:hAnsi="Times New Roman" w:cs="Times New Roman"/>
          <w:lang w:val="en-GB"/>
        </w:rPr>
        <w:t xml:space="preserve"> find the </w:t>
      </w:r>
      <w:r>
        <w:rPr>
          <w:rFonts w:ascii="Times New Roman" w:hAnsi="Times New Roman" w:cs="Times New Roman"/>
          <w:lang w:val="en-GB"/>
        </w:rPr>
        <w:t>necessary funds</w:t>
      </w:r>
      <w:r w:rsidRPr="009B492A">
        <w:rPr>
          <w:rFonts w:ascii="Times New Roman" w:hAnsi="Times New Roman" w:cs="Times New Roman"/>
          <w:lang w:val="en-GB"/>
        </w:rPr>
        <w:t>, and withdraws the same amount from another cash</w:t>
      </w:r>
      <w:r>
        <w:rPr>
          <w:rFonts w:ascii="Times New Roman" w:hAnsi="Times New Roman" w:cs="Times New Roman"/>
          <w:lang w:val="en-GB"/>
        </w:rPr>
        <w:t xml:space="preserve"> register</w:t>
      </w:r>
      <w:r w:rsidRPr="009B492A">
        <w:rPr>
          <w:rFonts w:ascii="Times New Roman" w:hAnsi="Times New Roman" w:cs="Times New Roman"/>
          <w:lang w:val="en-GB"/>
        </w:rPr>
        <w:t xml:space="preserve"> to cover the missing money in the first</w:t>
      </w:r>
      <w:r>
        <w:rPr>
          <w:rFonts w:ascii="Times New Roman" w:hAnsi="Times New Roman" w:cs="Times New Roman"/>
          <w:lang w:val="en-GB"/>
        </w:rPr>
        <w:t xml:space="preserve"> one</w:t>
      </w:r>
      <w:r w:rsidRPr="009B492A">
        <w:rPr>
          <w:rFonts w:ascii="Times New Roman" w:hAnsi="Times New Roman" w:cs="Times New Roman"/>
          <w:lang w:val="en-GB"/>
        </w:rPr>
        <w:t xml:space="preserve">, expecting that the following day he </w:t>
      </w:r>
      <w:r>
        <w:rPr>
          <w:rFonts w:ascii="Times New Roman" w:hAnsi="Times New Roman" w:cs="Times New Roman"/>
          <w:lang w:val="en-GB"/>
        </w:rPr>
        <w:t>will</w:t>
      </w:r>
      <w:r w:rsidRPr="009B492A">
        <w:rPr>
          <w:rFonts w:ascii="Times New Roman" w:hAnsi="Times New Roman" w:cs="Times New Roman"/>
          <w:lang w:val="en-GB"/>
        </w:rPr>
        <w:t xml:space="preserve"> </w:t>
      </w:r>
      <w:r>
        <w:rPr>
          <w:rFonts w:ascii="Times New Roman" w:hAnsi="Times New Roman" w:cs="Times New Roman"/>
          <w:lang w:val="en-GB"/>
        </w:rPr>
        <w:t xml:space="preserve">be able to </w:t>
      </w:r>
      <w:r w:rsidRPr="009B492A">
        <w:rPr>
          <w:rFonts w:ascii="Times New Roman" w:hAnsi="Times New Roman" w:cs="Times New Roman"/>
          <w:lang w:val="en-GB"/>
        </w:rPr>
        <w:t xml:space="preserve">cover the second </w:t>
      </w:r>
      <w:r>
        <w:rPr>
          <w:rFonts w:ascii="Times New Roman" w:hAnsi="Times New Roman" w:cs="Times New Roman"/>
          <w:lang w:val="en-GB"/>
        </w:rPr>
        <w:t>loss;</w:t>
      </w:r>
      <w:r w:rsidRPr="009B492A">
        <w:rPr>
          <w:rFonts w:ascii="Times New Roman" w:hAnsi="Times New Roman" w:cs="Times New Roman"/>
          <w:lang w:val="en-GB"/>
        </w:rPr>
        <w:t xml:space="preserve"> </w:t>
      </w:r>
      <w:r>
        <w:rPr>
          <w:rFonts w:ascii="Times New Roman" w:hAnsi="Times New Roman" w:cs="Times New Roman"/>
          <w:lang w:val="en-GB"/>
        </w:rPr>
        <w:t>he</w:t>
      </w:r>
      <w:r w:rsidRPr="009B492A">
        <w:rPr>
          <w:rFonts w:ascii="Times New Roman" w:hAnsi="Times New Roman" w:cs="Times New Roman"/>
          <w:lang w:val="en-GB"/>
        </w:rPr>
        <w:t xml:space="preserve"> repeats this stratagem several times until he is discovered.</w:t>
      </w:r>
      <w:r>
        <w:rPr>
          <w:rFonts w:ascii="Times New Roman" w:hAnsi="Times New Roman" w:cs="Times New Roman"/>
          <w:lang w:val="en-GB"/>
        </w:rPr>
        <w:t xml:space="preserve"> Another example: knowing that the owners are away, a thief breaks into a holiday house and removes all the valuables with the exception of a wall safe, which he discovers but cannot open. He decides to return two days later to break the safe with the appropriate tools, which he does.</w:t>
      </w:r>
    </w:p>
  </w:footnote>
  <w:footnote w:id="25">
    <w:p w14:paraId="10E92039" w14:textId="710310AD" w:rsidR="00CE5947" w:rsidRPr="009B492A" w:rsidRDefault="00CE5947" w:rsidP="0069329A">
      <w:pPr>
        <w:pStyle w:val="FootnoteText"/>
        <w:rPr>
          <w:rFonts w:ascii="Times New Roman" w:hAnsi="Times New Roman" w:cs="Times New Roman"/>
          <w:lang w:val="en-GB"/>
        </w:rPr>
      </w:pPr>
      <w:r w:rsidRPr="00762973">
        <w:rPr>
          <w:rStyle w:val="FootnoteReference"/>
          <w:rFonts w:ascii="Times New Roman" w:hAnsi="Times New Roman" w:cs="Times New Roman"/>
          <w:vertAlign w:val="baseline"/>
          <w:lang w:val="en-GB"/>
        </w:rPr>
        <w:footnoteRef/>
      </w:r>
      <w:r>
        <w:rPr>
          <w:rFonts w:ascii="Times New Roman" w:hAnsi="Times New Roman" w:cs="Times New Roman"/>
          <w:lang w:val="en-GB"/>
        </w:rPr>
        <w:t>.  </w:t>
      </w:r>
      <w:r w:rsidRPr="009B492A">
        <w:rPr>
          <w:rFonts w:ascii="Times New Roman" w:hAnsi="Times New Roman" w:cs="Times New Roman"/>
          <w:lang w:val="en-GB"/>
        </w:rPr>
        <w:t xml:space="preserve">The usual example </w:t>
      </w:r>
      <w:r>
        <w:rPr>
          <w:rFonts w:ascii="Times New Roman" w:hAnsi="Times New Roman" w:cs="Times New Roman"/>
          <w:lang w:val="en-GB"/>
        </w:rPr>
        <w:t xml:space="preserve">in the literature </w:t>
      </w:r>
      <w:r w:rsidRPr="009B492A">
        <w:rPr>
          <w:rFonts w:ascii="Times New Roman" w:hAnsi="Times New Roman" w:cs="Times New Roman"/>
          <w:lang w:val="en-GB"/>
        </w:rPr>
        <w:t xml:space="preserve">is that of </w:t>
      </w:r>
      <w:r>
        <w:rPr>
          <w:rFonts w:ascii="Times New Roman" w:hAnsi="Times New Roman" w:cs="Times New Roman"/>
          <w:lang w:val="en-GB"/>
        </w:rPr>
        <w:t>a</w:t>
      </w:r>
      <w:r w:rsidRPr="009B492A">
        <w:rPr>
          <w:rFonts w:ascii="Times New Roman" w:hAnsi="Times New Roman" w:cs="Times New Roman"/>
          <w:lang w:val="en-GB"/>
        </w:rPr>
        <w:t xml:space="preserve"> doctor who inadvertently and repeatedly prescribes the same</w:t>
      </w:r>
      <w:r>
        <w:rPr>
          <w:rFonts w:ascii="Times New Roman" w:hAnsi="Times New Roman" w:cs="Times New Roman"/>
          <w:lang w:val="en-GB"/>
        </w:rPr>
        <w:t>, incorrect,</w:t>
      </w:r>
      <w:r w:rsidRPr="009B492A">
        <w:rPr>
          <w:rFonts w:ascii="Times New Roman" w:hAnsi="Times New Roman" w:cs="Times New Roman"/>
          <w:lang w:val="en-GB"/>
        </w:rPr>
        <w:t xml:space="preserve"> medicine </w:t>
      </w:r>
      <w:r>
        <w:rPr>
          <w:rFonts w:ascii="Times New Roman" w:hAnsi="Times New Roman" w:cs="Times New Roman"/>
          <w:lang w:val="en-GB"/>
        </w:rPr>
        <w:t>for</w:t>
      </w:r>
      <w:r w:rsidRPr="009B492A">
        <w:rPr>
          <w:rFonts w:ascii="Times New Roman" w:hAnsi="Times New Roman" w:cs="Times New Roman"/>
          <w:lang w:val="en-GB"/>
        </w:rPr>
        <w:t xml:space="preserve"> his or her patient. As psychology </w:t>
      </w:r>
      <w:r>
        <w:rPr>
          <w:rFonts w:ascii="Times New Roman" w:hAnsi="Times New Roman" w:cs="Times New Roman"/>
          <w:lang w:val="en-GB"/>
        </w:rPr>
        <w:t>h</w:t>
      </w:r>
      <w:r w:rsidRPr="009B492A">
        <w:rPr>
          <w:rFonts w:ascii="Times New Roman" w:hAnsi="Times New Roman" w:cs="Times New Roman"/>
          <w:lang w:val="en-GB"/>
        </w:rPr>
        <w:t>as shown, the impulse to repeat a wrongful action in the same set of circumstances may even be stronger in the case of a negligent offender than that of an offe</w:t>
      </w:r>
      <w:r>
        <w:rPr>
          <w:rFonts w:ascii="Times New Roman" w:hAnsi="Times New Roman" w:cs="Times New Roman"/>
          <w:lang w:val="en-GB"/>
        </w:rPr>
        <w:t>nder with a criminal intention.</w:t>
      </w:r>
    </w:p>
  </w:footnote>
  <w:footnote w:id="26">
    <w:p w14:paraId="5A85F14A" w14:textId="747BC781" w:rsidR="00CE5947" w:rsidRPr="009B492A" w:rsidRDefault="00CE5947" w:rsidP="0069329A">
      <w:pPr>
        <w:pStyle w:val="FootnoteText"/>
        <w:rPr>
          <w:rFonts w:ascii="Times New Roman" w:hAnsi="Times New Roman" w:cs="Times New Roman"/>
          <w:lang w:val="en-GB"/>
        </w:rPr>
      </w:pPr>
      <w:r w:rsidRPr="00762973">
        <w:rPr>
          <w:rStyle w:val="FootnoteReference"/>
          <w:rFonts w:ascii="Times New Roman" w:hAnsi="Times New Roman" w:cs="Times New Roman"/>
          <w:vertAlign w:val="baseline"/>
          <w:lang w:val="en-GB"/>
        </w:rPr>
        <w:footnoteRef/>
      </w:r>
      <w:r>
        <w:rPr>
          <w:rFonts w:ascii="Times New Roman" w:hAnsi="Times New Roman" w:cs="Times New Roman"/>
          <w:lang w:val="en-GB"/>
        </w:rPr>
        <w:t>.  </w:t>
      </w:r>
      <w:r w:rsidRPr="009B492A">
        <w:rPr>
          <w:rFonts w:ascii="Times New Roman" w:hAnsi="Times New Roman" w:cs="Times New Roman"/>
          <w:lang w:val="en-GB"/>
        </w:rPr>
        <w:t xml:space="preserve">Albeit </w:t>
      </w:r>
      <w:r>
        <w:rPr>
          <w:rFonts w:ascii="Times New Roman" w:hAnsi="Times New Roman" w:cs="Times New Roman"/>
          <w:lang w:val="en-GB"/>
        </w:rPr>
        <w:t>worded</w:t>
      </w:r>
      <w:r w:rsidRPr="009B492A">
        <w:rPr>
          <w:rFonts w:ascii="Times New Roman" w:hAnsi="Times New Roman" w:cs="Times New Roman"/>
          <w:lang w:val="en-GB"/>
        </w:rPr>
        <w:t xml:space="preserve"> in a </w:t>
      </w:r>
      <w:r>
        <w:rPr>
          <w:rFonts w:ascii="Times New Roman" w:hAnsi="Times New Roman" w:cs="Times New Roman"/>
          <w:lang w:val="en-GB"/>
        </w:rPr>
        <w:t>somewhat</w:t>
      </w:r>
      <w:r w:rsidRPr="009B492A">
        <w:rPr>
          <w:rFonts w:ascii="Times New Roman" w:hAnsi="Times New Roman" w:cs="Times New Roman"/>
          <w:lang w:val="en-GB"/>
        </w:rPr>
        <w:t xml:space="preserve"> restrictive way, the subjective element </w:t>
      </w:r>
      <w:r>
        <w:rPr>
          <w:rFonts w:ascii="Times New Roman" w:hAnsi="Times New Roman" w:cs="Times New Roman"/>
          <w:lang w:val="en-GB"/>
        </w:rPr>
        <w:t>was</w:t>
      </w:r>
      <w:r w:rsidRPr="009B492A">
        <w:rPr>
          <w:rFonts w:ascii="Times New Roman" w:hAnsi="Times New Roman" w:cs="Times New Roman"/>
          <w:lang w:val="en-GB"/>
        </w:rPr>
        <w:t xml:space="preserve"> emphasised by the General Court of the European Union in its judgment of 1</w:t>
      </w:r>
      <w:r>
        <w:rPr>
          <w:rFonts w:ascii="Times New Roman" w:hAnsi="Times New Roman" w:cs="Times New Roman"/>
          <w:lang w:val="en-GB"/>
        </w:rPr>
        <w:t>7</w:t>
      </w:r>
      <w:r w:rsidRPr="009B492A">
        <w:rPr>
          <w:rFonts w:ascii="Times New Roman" w:hAnsi="Times New Roman" w:cs="Times New Roman"/>
          <w:lang w:val="en-GB"/>
        </w:rPr>
        <w:t xml:space="preserve"> May 2013 in Joined Cases T</w:t>
      </w:r>
      <w:r>
        <w:rPr>
          <w:rFonts w:ascii="Times New Roman" w:hAnsi="Times New Roman" w:cs="Times New Roman"/>
          <w:lang w:val="en-GB"/>
        </w:rPr>
        <w:t>-</w:t>
      </w:r>
      <w:r w:rsidRPr="009B492A">
        <w:rPr>
          <w:rFonts w:ascii="Times New Roman" w:hAnsi="Times New Roman" w:cs="Times New Roman"/>
          <w:lang w:val="en-GB"/>
        </w:rPr>
        <w:t>147/09 and T</w:t>
      </w:r>
      <w:r>
        <w:rPr>
          <w:rFonts w:ascii="MS Mincho" w:eastAsia="MS Mincho" w:hAnsi="MS Mincho" w:cs="MS Mincho"/>
          <w:lang w:val="en-GB"/>
        </w:rPr>
        <w:t>-</w:t>
      </w:r>
      <w:r w:rsidRPr="009B492A">
        <w:rPr>
          <w:rFonts w:ascii="Times New Roman" w:hAnsi="Times New Roman" w:cs="Times New Roman"/>
          <w:lang w:val="en-GB"/>
        </w:rPr>
        <w:t xml:space="preserve">148/09, </w:t>
      </w:r>
      <w:r w:rsidRPr="009B492A">
        <w:rPr>
          <w:rFonts w:ascii="Times New Roman" w:hAnsi="Times New Roman" w:cs="Times New Roman"/>
          <w:i/>
          <w:lang w:val="en-GB"/>
        </w:rPr>
        <w:t>Trelleborg I</w:t>
      </w:r>
      <w:r>
        <w:rPr>
          <w:rFonts w:ascii="Times New Roman" w:hAnsi="Times New Roman" w:cs="Times New Roman"/>
          <w:i/>
          <w:lang w:val="en-GB"/>
        </w:rPr>
        <w:t xml:space="preserve">ndustrie SAS and Trelleborg AB </w:t>
      </w:r>
      <w:r w:rsidRPr="009B492A">
        <w:rPr>
          <w:rFonts w:ascii="Times New Roman" w:hAnsi="Times New Roman" w:cs="Times New Roman"/>
          <w:i/>
          <w:lang w:val="en-GB"/>
        </w:rPr>
        <w:t>v</w:t>
      </w:r>
      <w:r w:rsidR="00BB1809">
        <w:rPr>
          <w:rFonts w:ascii="Times New Roman" w:hAnsi="Times New Roman" w:cs="Times New Roman"/>
          <w:i/>
          <w:lang w:val="en-GB"/>
        </w:rPr>
        <w:t>.</w:t>
      </w:r>
      <w:r w:rsidRPr="009B492A">
        <w:rPr>
          <w:rFonts w:ascii="Times New Roman" w:hAnsi="Times New Roman" w:cs="Times New Roman"/>
          <w:i/>
          <w:lang w:val="en-GB"/>
        </w:rPr>
        <w:t xml:space="preserve"> European Commission</w:t>
      </w:r>
      <w:r w:rsidRPr="009B492A">
        <w:rPr>
          <w:rFonts w:ascii="Times New Roman" w:hAnsi="Times New Roman" w:cs="Times New Roman"/>
          <w:lang w:val="en-GB"/>
        </w:rPr>
        <w:t>, para</w:t>
      </w:r>
      <w:r>
        <w:rPr>
          <w:rFonts w:ascii="Times New Roman" w:hAnsi="Times New Roman" w:cs="Times New Roman"/>
          <w:lang w:val="en-GB"/>
        </w:rPr>
        <w:t>graph</w:t>
      </w:r>
      <w:r w:rsidRPr="009B492A">
        <w:rPr>
          <w:rFonts w:ascii="Times New Roman" w:hAnsi="Times New Roman" w:cs="Times New Roman"/>
          <w:lang w:val="en-GB"/>
        </w:rPr>
        <w:t>s 56-63, 83, 88</w:t>
      </w:r>
      <w:r>
        <w:rPr>
          <w:rFonts w:ascii="Times New Roman" w:hAnsi="Times New Roman" w:cs="Times New Roman"/>
          <w:lang w:val="en-GB"/>
        </w:rPr>
        <w:t xml:space="preserve"> and</w:t>
      </w:r>
      <w:r w:rsidRPr="009B492A">
        <w:rPr>
          <w:rFonts w:ascii="Times New Roman" w:hAnsi="Times New Roman" w:cs="Times New Roman"/>
          <w:lang w:val="en-GB"/>
        </w:rPr>
        <w:t xml:space="preserve"> 89, according to which the Commission may assume that the infringement of EU law or the participation of an undertaking in the infringement of EU law is a continuous offence provided that the various actions which form part of the infringement pursue a “single purpose”. Such a finding must be supported by objective and consistent indicia showing that an “overall plan” exists. If those conditions are satisfied, the concept of continuous infringement therefore allows the Commission to impose a fine in respect of the whole of the period of infringement taken into consideration and establishes the date on which the limitation period begins to run, namely the date on which the continuous infringement ceased. </w:t>
      </w:r>
      <w:r>
        <w:rPr>
          <w:rFonts w:ascii="Times New Roman" w:hAnsi="Times New Roman" w:cs="Times New Roman"/>
          <w:lang w:val="en-GB"/>
        </w:rPr>
        <w:t xml:space="preserve">The General Court has not demonstrated </w:t>
      </w:r>
      <w:r w:rsidRPr="009B492A">
        <w:rPr>
          <w:rFonts w:ascii="Times New Roman" w:hAnsi="Times New Roman" w:cs="Times New Roman"/>
          <w:lang w:val="en-GB"/>
        </w:rPr>
        <w:t xml:space="preserve">that administrative </w:t>
      </w:r>
      <w:r>
        <w:rPr>
          <w:rFonts w:ascii="Times New Roman" w:hAnsi="Times New Roman" w:cs="Times New Roman"/>
          <w:lang w:val="en-GB"/>
        </w:rPr>
        <w:t>infringements</w:t>
      </w:r>
      <w:r w:rsidRPr="009B492A">
        <w:rPr>
          <w:rFonts w:ascii="Times New Roman" w:hAnsi="Times New Roman" w:cs="Times New Roman"/>
          <w:lang w:val="en-GB"/>
        </w:rPr>
        <w:t xml:space="preserve"> </w:t>
      </w:r>
      <w:r>
        <w:rPr>
          <w:rFonts w:ascii="Times New Roman" w:hAnsi="Times New Roman" w:cs="Times New Roman"/>
          <w:lang w:val="en-GB"/>
        </w:rPr>
        <w:t>warrant</w:t>
      </w:r>
      <w:r w:rsidRPr="009B492A">
        <w:rPr>
          <w:rFonts w:ascii="Times New Roman" w:hAnsi="Times New Roman" w:cs="Times New Roman"/>
          <w:lang w:val="en-GB"/>
        </w:rPr>
        <w:t xml:space="preserve"> a stricter </w:t>
      </w:r>
      <w:r>
        <w:rPr>
          <w:rFonts w:ascii="Times New Roman" w:hAnsi="Times New Roman" w:cs="Times New Roman"/>
          <w:lang w:val="en-GB"/>
        </w:rPr>
        <w:t xml:space="preserve">approach to the </w:t>
      </w:r>
      <w:r w:rsidRPr="009B492A">
        <w:rPr>
          <w:rFonts w:ascii="Times New Roman" w:hAnsi="Times New Roman" w:cs="Times New Roman"/>
          <w:lang w:val="en-GB"/>
        </w:rPr>
        <w:t xml:space="preserve">concept of </w:t>
      </w:r>
      <w:r>
        <w:rPr>
          <w:rFonts w:ascii="Times New Roman" w:hAnsi="Times New Roman" w:cs="Times New Roman"/>
          <w:lang w:val="en-GB"/>
        </w:rPr>
        <w:t xml:space="preserve">a </w:t>
      </w:r>
      <w:r w:rsidRPr="009B492A">
        <w:rPr>
          <w:rFonts w:ascii="Times New Roman" w:hAnsi="Times New Roman" w:cs="Times New Roman"/>
          <w:lang w:val="en-GB"/>
        </w:rPr>
        <w:t xml:space="preserve">continuous </w:t>
      </w:r>
      <w:r>
        <w:rPr>
          <w:rFonts w:ascii="Times New Roman" w:hAnsi="Times New Roman" w:cs="Times New Roman"/>
          <w:lang w:val="en-GB"/>
        </w:rPr>
        <w:t>offence</w:t>
      </w:r>
      <w:r w:rsidRPr="009B492A">
        <w:rPr>
          <w:rFonts w:ascii="Times New Roman" w:hAnsi="Times New Roman" w:cs="Times New Roman"/>
          <w:lang w:val="en-GB"/>
        </w:rPr>
        <w:t xml:space="preserve"> than the o</w:t>
      </w:r>
      <w:r>
        <w:rPr>
          <w:rFonts w:ascii="Times New Roman" w:hAnsi="Times New Roman" w:cs="Times New Roman"/>
          <w:lang w:val="en-GB"/>
        </w:rPr>
        <w:t>ne prevailing in criminal law.</w:t>
      </w:r>
    </w:p>
  </w:footnote>
  <w:footnote w:id="27">
    <w:p w14:paraId="5F8681C4" w14:textId="299EDB41" w:rsidR="00CE5947" w:rsidRPr="009B492A" w:rsidRDefault="00CE5947" w:rsidP="0069329A">
      <w:pPr>
        <w:pStyle w:val="FootnoteText"/>
        <w:rPr>
          <w:rFonts w:ascii="Times New Roman" w:hAnsi="Times New Roman" w:cs="Times New Roman"/>
          <w:lang w:val="en-GB"/>
        </w:rPr>
      </w:pPr>
      <w:r w:rsidRPr="005F6B5A">
        <w:rPr>
          <w:rStyle w:val="FootnoteReference"/>
          <w:rFonts w:ascii="Times New Roman" w:hAnsi="Times New Roman" w:cs="Times New Roman"/>
          <w:vertAlign w:val="baseline"/>
          <w:lang w:val="en-GB"/>
        </w:rPr>
        <w:footnoteRef/>
      </w:r>
      <w:r>
        <w:rPr>
          <w:rFonts w:ascii="Times New Roman" w:hAnsi="Times New Roman" w:cs="Times New Roman"/>
          <w:lang w:val="en-GB"/>
        </w:rPr>
        <w:t>.  </w:t>
      </w:r>
      <w:r w:rsidRPr="009B492A">
        <w:rPr>
          <w:rFonts w:ascii="Times New Roman" w:hAnsi="Times New Roman" w:cs="Times New Roman"/>
          <w:lang w:val="en-GB"/>
        </w:rPr>
        <w:t xml:space="preserve">For example, Article 52 of the Croatian Criminal Code refers to the “temporal connection” between the </w:t>
      </w:r>
      <w:r>
        <w:rPr>
          <w:rFonts w:ascii="Times New Roman" w:hAnsi="Times New Roman" w:cs="Times New Roman"/>
          <w:lang w:val="en-GB"/>
        </w:rPr>
        <w:t xml:space="preserve">offender’s </w:t>
      </w:r>
      <w:r w:rsidRPr="009B492A">
        <w:rPr>
          <w:rFonts w:ascii="Times New Roman" w:hAnsi="Times New Roman" w:cs="Times New Roman"/>
          <w:lang w:val="en-GB"/>
        </w:rPr>
        <w:t>acts, Article 12 of the Polish Criminal Code mentions “short intervals” and Article 61 of the Serbian Criminal Code</w:t>
      </w:r>
      <w:r>
        <w:rPr>
          <w:rFonts w:ascii="Times New Roman" w:hAnsi="Times New Roman" w:cs="Times New Roman"/>
          <w:lang w:val="en-GB"/>
        </w:rPr>
        <w:t xml:space="preserve"> makes reference to “temporal continuity”.</w:t>
      </w:r>
    </w:p>
  </w:footnote>
  <w:footnote w:id="28">
    <w:p w14:paraId="462D2CE5" w14:textId="2A4BACBD" w:rsidR="00CE5947" w:rsidRPr="009B492A" w:rsidRDefault="00CE5947" w:rsidP="0069329A">
      <w:pPr>
        <w:pStyle w:val="FootnoteText"/>
        <w:rPr>
          <w:rFonts w:ascii="Times New Roman" w:hAnsi="Times New Roman" w:cs="Times New Roman"/>
          <w:lang w:val="en-GB"/>
        </w:rPr>
      </w:pPr>
      <w:r w:rsidRPr="005F6B5A">
        <w:rPr>
          <w:rStyle w:val="FootnoteReference"/>
          <w:rFonts w:ascii="Times New Roman" w:hAnsi="Times New Roman" w:cs="Times New Roman"/>
          <w:vertAlign w:val="baseline"/>
          <w:lang w:val="en-GB"/>
        </w:rPr>
        <w:footnoteRef/>
      </w:r>
      <w:r>
        <w:rPr>
          <w:rFonts w:ascii="Times New Roman" w:hAnsi="Times New Roman" w:cs="Times New Roman"/>
          <w:lang w:val="en-GB"/>
        </w:rPr>
        <w:t>.  </w:t>
      </w:r>
      <w:r w:rsidRPr="009B492A">
        <w:rPr>
          <w:rFonts w:ascii="Times New Roman" w:hAnsi="Times New Roman" w:cs="Times New Roman"/>
          <w:lang w:val="en-GB"/>
        </w:rPr>
        <w:t xml:space="preserve">This rule is applicable even in </w:t>
      </w:r>
      <w:r>
        <w:rPr>
          <w:rFonts w:ascii="Times New Roman" w:hAnsi="Times New Roman" w:cs="Times New Roman"/>
          <w:lang w:val="en-GB"/>
        </w:rPr>
        <w:t xml:space="preserve">Cyprus and Ireland, </w:t>
      </w:r>
      <w:r w:rsidRPr="009B492A">
        <w:rPr>
          <w:rFonts w:ascii="Times New Roman" w:hAnsi="Times New Roman" w:cs="Times New Roman"/>
          <w:lang w:val="en-GB"/>
        </w:rPr>
        <w:t>the only two common</w:t>
      </w:r>
      <w:r>
        <w:rPr>
          <w:rFonts w:ascii="Times New Roman" w:hAnsi="Times New Roman" w:cs="Times New Roman"/>
          <w:lang w:val="en-GB"/>
        </w:rPr>
        <w:t>-</w:t>
      </w:r>
      <w:r w:rsidRPr="009B492A">
        <w:rPr>
          <w:rFonts w:ascii="Times New Roman" w:hAnsi="Times New Roman" w:cs="Times New Roman"/>
          <w:lang w:val="en-GB"/>
        </w:rPr>
        <w:t xml:space="preserve">law </w:t>
      </w:r>
      <w:r>
        <w:rPr>
          <w:rFonts w:ascii="Times New Roman" w:hAnsi="Times New Roman" w:cs="Times New Roman"/>
          <w:lang w:val="en-GB"/>
        </w:rPr>
        <w:t>m</w:t>
      </w:r>
      <w:r w:rsidRPr="009B492A">
        <w:rPr>
          <w:rFonts w:ascii="Times New Roman" w:hAnsi="Times New Roman" w:cs="Times New Roman"/>
          <w:lang w:val="en-GB"/>
        </w:rPr>
        <w:t xml:space="preserve">ember States of the Council of Europe </w:t>
      </w:r>
      <w:r>
        <w:rPr>
          <w:rFonts w:ascii="Times New Roman" w:hAnsi="Times New Roman" w:cs="Times New Roman"/>
          <w:lang w:val="en-GB"/>
        </w:rPr>
        <w:t>that</w:t>
      </w:r>
      <w:r w:rsidRPr="009B492A">
        <w:rPr>
          <w:rFonts w:ascii="Times New Roman" w:hAnsi="Times New Roman" w:cs="Times New Roman"/>
          <w:lang w:val="en-GB"/>
        </w:rPr>
        <w:t xml:space="preserve"> do not report the existence in law and practice of the concept of </w:t>
      </w:r>
      <w:r>
        <w:rPr>
          <w:rFonts w:ascii="Times New Roman" w:hAnsi="Times New Roman" w:cs="Times New Roman"/>
          <w:lang w:val="en-GB"/>
        </w:rPr>
        <w:t xml:space="preserve">a </w:t>
      </w:r>
      <w:r w:rsidRPr="009B492A">
        <w:rPr>
          <w:rFonts w:ascii="Times New Roman" w:hAnsi="Times New Roman" w:cs="Times New Roman"/>
          <w:lang w:val="en-GB"/>
        </w:rPr>
        <w:t>continuous offence. The civil</w:t>
      </w:r>
      <w:r>
        <w:rPr>
          <w:rFonts w:ascii="Times New Roman" w:hAnsi="Times New Roman" w:cs="Times New Roman"/>
          <w:lang w:val="en-GB"/>
        </w:rPr>
        <w:t>-</w:t>
      </w:r>
      <w:r w:rsidRPr="009B492A">
        <w:rPr>
          <w:rFonts w:ascii="Times New Roman" w:hAnsi="Times New Roman" w:cs="Times New Roman"/>
          <w:lang w:val="en-GB"/>
        </w:rPr>
        <w:t>law country in a similar situation, Finland, introduced in 1992 the principle of global sentencing of offences when the offender is convicted on more than one count, without separate sentences</w:t>
      </w:r>
      <w:r>
        <w:rPr>
          <w:rFonts w:ascii="Times New Roman" w:hAnsi="Times New Roman" w:cs="Times New Roman"/>
          <w:lang w:val="en-GB"/>
        </w:rPr>
        <w:t xml:space="preserve"> being handed down</w:t>
      </w:r>
      <w:r w:rsidRPr="009B492A">
        <w:rPr>
          <w:rFonts w:ascii="Times New Roman" w:hAnsi="Times New Roman" w:cs="Times New Roman"/>
          <w:lang w:val="en-GB"/>
        </w:rPr>
        <w:t xml:space="preserve"> on each count, </w:t>
      </w:r>
      <w:r>
        <w:rPr>
          <w:rFonts w:ascii="Times New Roman" w:hAnsi="Times New Roman" w:cs="Times New Roman"/>
          <w:lang w:val="en-GB"/>
        </w:rPr>
        <w:t>and</w:t>
      </w:r>
      <w:r w:rsidRPr="009B492A">
        <w:rPr>
          <w:rFonts w:ascii="Times New Roman" w:hAnsi="Times New Roman" w:cs="Times New Roman"/>
          <w:lang w:val="en-GB"/>
        </w:rPr>
        <w:t xml:space="preserve"> abandoned </w:t>
      </w:r>
      <w:r>
        <w:rPr>
          <w:rFonts w:ascii="Times New Roman" w:hAnsi="Times New Roman" w:cs="Times New Roman"/>
          <w:lang w:val="en-GB"/>
        </w:rPr>
        <w:t xml:space="preserve">the </w:t>
      </w:r>
      <w:r w:rsidRPr="009B492A">
        <w:rPr>
          <w:rFonts w:ascii="Times New Roman" w:hAnsi="Times New Roman" w:cs="Times New Roman"/>
          <w:lang w:val="en-GB"/>
        </w:rPr>
        <w:t xml:space="preserve">previous </w:t>
      </w:r>
      <w:r>
        <w:rPr>
          <w:rFonts w:ascii="Times New Roman" w:hAnsi="Times New Roman" w:cs="Times New Roman"/>
          <w:lang w:val="en-GB"/>
        </w:rPr>
        <w:t xml:space="preserve">system </w:t>
      </w:r>
      <w:r w:rsidRPr="009B492A">
        <w:rPr>
          <w:rFonts w:ascii="Times New Roman" w:hAnsi="Times New Roman" w:cs="Times New Roman"/>
          <w:lang w:val="en-GB"/>
        </w:rPr>
        <w:t xml:space="preserve">of continuous offences. In Cyprus and Ireland, the general principle is that offences </w:t>
      </w:r>
      <w:r>
        <w:rPr>
          <w:rFonts w:ascii="Times New Roman" w:hAnsi="Times New Roman" w:cs="Times New Roman"/>
          <w:lang w:val="en-GB"/>
        </w:rPr>
        <w:t>arising from</w:t>
      </w:r>
      <w:r w:rsidRPr="009B492A">
        <w:rPr>
          <w:rFonts w:ascii="Times New Roman" w:hAnsi="Times New Roman" w:cs="Times New Roman"/>
          <w:lang w:val="en-GB"/>
        </w:rPr>
        <w:t xml:space="preserve"> the same incident should be sentenced concurrently (the one</w:t>
      </w:r>
      <w:r>
        <w:rPr>
          <w:rFonts w:ascii="Times New Roman" w:hAnsi="Times New Roman" w:cs="Times New Roman"/>
          <w:lang w:val="en-GB"/>
        </w:rPr>
        <w:t>-</w:t>
      </w:r>
      <w:r w:rsidRPr="009B492A">
        <w:rPr>
          <w:rFonts w:ascii="Times New Roman" w:hAnsi="Times New Roman" w:cs="Times New Roman"/>
          <w:lang w:val="en-GB"/>
        </w:rPr>
        <w:t xml:space="preserve">transaction rule), while those constituting or arising from separate incidents should be sentenced consecutively. Where sentences are concurrent, the aggregate term is the longest of the individual penalties. Where sentences are consecutive, the aggregate term is the total of </w:t>
      </w:r>
      <w:r>
        <w:rPr>
          <w:rFonts w:ascii="Times New Roman" w:hAnsi="Times New Roman" w:cs="Times New Roman"/>
          <w:lang w:val="en-GB"/>
        </w:rPr>
        <w:t xml:space="preserve">the </w:t>
      </w:r>
      <w:r w:rsidRPr="009B492A">
        <w:rPr>
          <w:rFonts w:ascii="Times New Roman" w:hAnsi="Times New Roman" w:cs="Times New Roman"/>
          <w:lang w:val="en-GB"/>
        </w:rPr>
        <w:t>individual penalties. In this case, the overall term should not be disproportionate. The essence of the one-transaction rule appears to be that all the offences taken together constitute a single invasion of the same legally protected interest, which justifies, for example, the imposition of a concurrent sentence in the case of successive incidents of sexual assault against the same victim and of a consecutive sentence in the case of various incidents of sexual assault against different victims (see</w:t>
      </w:r>
      <w:r>
        <w:rPr>
          <w:rFonts w:ascii="Times New Roman" w:hAnsi="Times New Roman" w:cs="Times New Roman"/>
          <w:lang w:val="en-GB"/>
        </w:rPr>
        <w:t>,</w:t>
      </w:r>
      <w:r w:rsidRPr="009B492A">
        <w:rPr>
          <w:rFonts w:ascii="Times New Roman" w:hAnsi="Times New Roman" w:cs="Times New Roman"/>
          <w:lang w:val="en-GB"/>
        </w:rPr>
        <w:t xml:space="preserve"> for example</w:t>
      </w:r>
      <w:r>
        <w:rPr>
          <w:rFonts w:ascii="Times New Roman" w:hAnsi="Times New Roman" w:cs="Times New Roman"/>
          <w:lang w:val="en-GB"/>
        </w:rPr>
        <w:t>,</w:t>
      </w:r>
      <w:r w:rsidRPr="009B492A">
        <w:rPr>
          <w:rFonts w:ascii="Times New Roman" w:hAnsi="Times New Roman" w:cs="Times New Roman"/>
          <w:lang w:val="en-GB"/>
        </w:rPr>
        <w:t xml:space="preserve"> </w:t>
      </w:r>
      <w:r w:rsidRPr="002B285A">
        <w:rPr>
          <w:rFonts w:ascii="Times New Roman" w:hAnsi="Times New Roman" w:cs="Times New Roman"/>
          <w:i/>
          <w:lang w:val="en-GB"/>
        </w:rPr>
        <w:t>DPP v. M</w:t>
      </w:r>
      <w:r w:rsidRPr="009B492A">
        <w:rPr>
          <w:rFonts w:ascii="Times New Roman" w:hAnsi="Times New Roman" w:cs="Times New Roman"/>
          <w:lang w:val="en-GB"/>
        </w:rPr>
        <w:t xml:space="preserve"> </w:t>
      </w:r>
      <w:r>
        <w:rPr>
          <w:rFonts w:ascii="Times New Roman" w:hAnsi="Times New Roman" w:cs="Times New Roman"/>
          <w:lang w:val="en-GB"/>
        </w:rPr>
        <w:t>[</w:t>
      </w:r>
      <w:r w:rsidRPr="009B492A">
        <w:rPr>
          <w:rFonts w:ascii="Times New Roman" w:hAnsi="Times New Roman" w:cs="Times New Roman"/>
          <w:lang w:val="en-GB"/>
        </w:rPr>
        <w:t>1994</w:t>
      </w:r>
      <w:r>
        <w:rPr>
          <w:rFonts w:ascii="Times New Roman" w:hAnsi="Times New Roman" w:cs="Times New Roman"/>
          <w:lang w:val="en-GB"/>
        </w:rPr>
        <w:t>]</w:t>
      </w:r>
      <w:r w:rsidRPr="009B492A">
        <w:rPr>
          <w:rFonts w:ascii="Times New Roman" w:hAnsi="Times New Roman" w:cs="Times New Roman"/>
          <w:lang w:val="en-GB"/>
        </w:rPr>
        <w:t xml:space="preserve">, 2 IRLM 541). If the court fails to determine when passing sentence whether a term is to be served concurrently </w:t>
      </w:r>
      <w:r>
        <w:rPr>
          <w:rFonts w:ascii="Times New Roman" w:hAnsi="Times New Roman" w:cs="Times New Roman"/>
          <w:lang w:val="en-GB"/>
        </w:rPr>
        <w:t xml:space="preserve">with </w:t>
      </w:r>
      <w:r w:rsidRPr="009B492A">
        <w:rPr>
          <w:rFonts w:ascii="Times New Roman" w:hAnsi="Times New Roman" w:cs="Times New Roman"/>
          <w:lang w:val="en-GB"/>
        </w:rPr>
        <w:t xml:space="preserve">or consecutive to another term, sentences are presumed to be concurrent. In England and Wales, the legal framework on </w:t>
      </w:r>
      <w:r w:rsidRPr="009B492A">
        <w:rPr>
          <w:rFonts w:ascii="Times New Roman" w:hAnsi="Times New Roman" w:cs="Times New Roman"/>
          <w:i/>
          <w:lang w:val="en-GB"/>
        </w:rPr>
        <w:t>concursus delictorum</w:t>
      </w:r>
      <w:r w:rsidRPr="009B492A">
        <w:rPr>
          <w:rFonts w:ascii="Times New Roman" w:hAnsi="Times New Roman" w:cs="Times New Roman"/>
          <w:lang w:val="en-GB"/>
        </w:rPr>
        <w:t xml:space="preserve"> has evolved recently. The reform of Rule 14.2</w:t>
      </w:r>
      <w:r w:rsidR="00BB1809">
        <w:rPr>
          <w:rFonts w:ascii="Times New Roman" w:hAnsi="Times New Roman" w:cs="Times New Roman"/>
          <w:lang w:val="en-GB"/>
        </w:rPr>
        <w:t xml:space="preserve"> §</w:t>
      </w:r>
      <w:r w:rsidR="00BB1809" w:rsidRPr="009B492A">
        <w:rPr>
          <w:rFonts w:ascii="Times New Roman" w:hAnsi="Times New Roman" w:cs="Times New Roman"/>
          <w:lang w:val="en-GB"/>
        </w:rPr>
        <w:t xml:space="preserve"> </w:t>
      </w:r>
      <w:r w:rsidRPr="009B492A">
        <w:rPr>
          <w:rFonts w:ascii="Times New Roman" w:hAnsi="Times New Roman" w:cs="Times New Roman"/>
          <w:lang w:val="en-GB"/>
        </w:rPr>
        <w:t>2 of the Criminal Procedure Rules 2013, which allows a single count to allege more than one incident of the commission of the same offence in certain circumstances, seems to have heard Ashworth</w:t>
      </w:r>
      <w:r>
        <w:rPr>
          <w:rFonts w:ascii="Times New Roman" w:hAnsi="Times New Roman" w:cs="Times New Roman"/>
          <w:lang w:val="en-GB"/>
        </w:rPr>
        <w:t>’s long-standing complaint</w:t>
      </w:r>
      <w:r w:rsidRPr="009B492A">
        <w:rPr>
          <w:rFonts w:ascii="Times New Roman" w:hAnsi="Times New Roman" w:cs="Times New Roman"/>
          <w:lang w:val="en-GB"/>
        </w:rPr>
        <w:t xml:space="preserve"> that the English sentencing process was a “disgrace</w:t>
      </w:r>
      <w:r>
        <w:rPr>
          <w:rFonts w:ascii="Times New Roman" w:hAnsi="Times New Roman" w:cs="Times New Roman"/>
          <w:lang w:val="en-GB"/>
        </w:rPr>
        <w:t xml:space="preserve"> to the common-law tradition”.</w:t>
      </w:r>
    </w:p>
  </w:footnote>
  <w:footnote w:id="29">
    <w:p w14:paraId="4E202E39" w14:textId="342E9D1C" w:rsidR="00CE5947" w:rsidRPr="009B492A" w:rsidRDefault="00CE5947" w:rsidP="0069329A">
      <w:pPr>
        <w:pStyle w:val="FootnoteText"/>
        <w:rPr>
          <w:lang w:val="en-GB"/>
        </w:rPr>
      </w:pPr>
      <w:r w:rsidRPr="005F6B5A">
        <w:rPr>
          <w:rStyle w:val="FootnoteReference"/>
          <w:vertAlign w:val="baseline"/>
          <w:lang w:val="en-GB"/>
        </w:rPr>
        <w:footnoteRef/>
      </w:r>
      <w:r>
        <w:rPr>
          <w:lang w:val="en-GB"/>
        </w:rPr>
        <w:t>.  </w:t>
      </w:r>
      <w:r w:rsidRPr="009B492A">
        <w:rPr>
          <w:rFonts w:ascii="Times New Roman" w:hAnsi="Times New Roman" w:cs="Times New Roman"/>
          <w:lang w:val="en-GB"/>
        </w:rPr>
        <w:t xml:space="preserve">Thus, the Grand Chamber clearly endorsed, in paragraph 62 of the </w:t>
      </w:r>
      <w:r w:rsidR="00BB1809">
        <w:rPr>
          <w:rFonts w:ascii="Times New Roman" w:hAnsi="Times New Roman" w:cs="Times New Roman"/>
          <w:lang w:val="en-GB"/>
        </w:rPr>
        <w:t xml:space="preserve">present </w:t>
      </w:r>
      <w:r w:rsidRPr="009B492A">
        <w:rPr>
          <w:rFonts w:ascii="Times New Roman" w:hAnsi="Times New Roman" w:cs="Times New Roman"/>
          <w:lang w:val="en-GB"/>
        </w:rPr>
        <w:t>judgment, Judge</w:t>
      </w:r>
      <w:r w:rsidR="00BB1809">
        <w:rPr>
          <w:rFonts w:ascii="Times New Roman" w:hAnsi="Times New Roman" w:cs="Times New Roman"/>
          <w:lang w:val="en-GB"/>
        </w:rPr>
        <w:t xml:space="preserve"> </w:t>
      </w:r>
      <w:r w:rsidRPr="009B492A">
        <w:rPr>
          <w:rFonts w:ascii="Times New Roman" w:hAnsi="Times New Roman" w:cs="Times New Roman"/>
          <w:lang w:val="en-GB"/>
        </w:rPr>
        <w:t>Lemmens</w:t>
      </w:r>
      <w:r>
        <w:rPr>
          <w:rFonts w:ascii="Times New Roman" w:hAnsi="Times New Roman" w:cs="Times New Roman"/>
          <w:lang w:val="en-GB"/>
        </w:rPr>
        <w:t>’s</w:t>
      </w:r>
      <w:r w:rsidRPr="009B492A">
        <w:rPr>
          <w:rFonts w:ascii="Times New Roman" w:hAnsi="Times New Roman" w:cs="Times New Roman"/>
          <w:lang w:val="en-GB"/>
        </w:rPr>
        <w:t xml:space="preserve"> concurring opinion, which coincides with the Belgi</w:t>
      </w:r>
      <w:r>
        <w:rPr>
          <w:rFonts w:ascii="Times New Roman" w:hAnsi="Times New Roman" w:cs="Times New Roman"/>
          <w:lang w:val="en-GB"/>
        </w:rPr>
        <w:t>an Court of</w:t>
      </w:r>
      <w:r w:rsidRPr="009B492A">
        <w:rPr>
          <w:rFonts w:ascii="Times New Roman" w:hAnsi="Times New Roman" w:cs="Times New Roman"/>
          <w:lang w:val="en-GB"/>
        </w:rPr>
        <w:t xml:space="preserve"> Cassation’s long-standing case-law (see</w:t>
      </w:r>
      <w:r>
        <w:rPr>
          <w:rFonts w:ascii="Times New Roman" w:hAnsi="Times New Roman" w:cs="Times New Roman"/>
          <w:lang w:val="en-GB"/>
        </w:rPr>
        <w:t>,</w:t>
      </w:r>
      <w:r w:rsidRPr="009B492A">
        <w:rPr>
          <w:rFonts w:ascii="Times New Roman" w:hAnsi="Times New Roman" w:cs="Times New Roman"/>
          <w:lang w:val="en-GB"/>
        </w:rPr>
        <w:t xml:space="preserve"> among others, </w:t>
      </w:r>
      <w:r>
        <w:rPr>
          <w:rFonts w:ascii="Times New Roman" w:hAnsi="Times New Roman" w:cs="Times New Roman"/>
          <w:lang w:val="en-GB"/>
        </w:rPr>
        <w:t xml:space="preserve">the </w:t>
      </w:r>
      <w:r w:rsidRPr="009B492A">
        <w:rPr>
          <w:rFonts w:ascii="Times New Roman" w:hAnsi="Times New Roman" w:cs="Times New Roman"/>
          <w:lang w:val="en-GB"/>
        </w:rPr>
        <w:t>judgments of 25 October 2006, Pasicrisie 2006, no. 514</w:t>
      </w:r>
      <w:r>
        <w:rPr>
          <w:rFonts w:ascii="Times New Roman" w:hAnsi="Times New Roman" w:cs="Times New Roman"/>
          <w:lang w:val="en-GB"/>
        </w:rPr>
        <w:t>;</w:t>
      </w:r>
      <w:r w:rsidRPr="009B492A">
        <w:rPr>
          <w:rFonts w:ascii="Times New Roman" w:hAnsi="Times New Roman" w:cs="Times New Roman"/>
          <w:lang w:val="en-GB"/>
        </w:rPr>
        <w:t xml:space="preserve"> 5 April 2005, Pasicrisie 2005, no. 198</w:t>
      </w:r>
      <w:r>
        <w:rPr>
          <w:rFonts w:ascii="Times New Roman" w:hAnsi="Times New Roman" w:cs="Times New Roman"/>
          <w:lang w:val="en-GB"/>
        </w:rPr>
        <w:t>;</w:t>
      </w:r>
      <w:r w:rsidRPr="009B492A">
        <w:rPr>
          <w:rFonts w:ascii="Times New Roman" w:hAnsi="Times New Roman" w:cs="Times New Roman"/>
          <w:lang w:val="en-GB"/>
        </w:rPr>
        <w:t xml:space="preserve"> 24 September 1974, Pasicrisie 1975, I, 8</w:t>
      </w:r>
      <w:r>
        <w:rPr>
          <w:rFonts w:ascii="Times New Roman" w:hAnsi="Times New Roman" w:cs="Times New Roman"/>
          <w:lang w:val="en-GB"/>
        </w:rPr>
        <w:t>;</w:t>
      </w:r>
      <w:r w:rsidRPr="009B492A">
        <w:rPr>
          <w:rFonts w:ascii="Times New Roman" w:hAnsi="Times New Roman" w:cs="Times New Roman"/>
          <w:lang w:val="en-GB"/>
        </w:rPr>
        <w:t xml:space="preserve"> 17 Ma</w:t>
      </w:r>
      <w:r>
        <w:rPr>
          <w:rFonts w:ascii="Times New Roman" w:hAnsi="Times New Roman" w:cs="Times New Roman"/>
          <w:lang w:val="en-GB"/>
        </w:rPr>
        <w:t>y</w:t>
      </w:r>
      <w:r w:rsidRPr="009B492A">
        <w:rPr>
          <w:rFonts w:ascii="Times New Roman" w:hAnsi="Times New Roman" w:cs="Times New Roman"/>
          <w:lang w:val="en-GB"/>
        </w:rPr>
        <w:t xml:space="preserve"> 1983, Pasicrisie 1983, I, no. 513</w:t>
      </w:r>
      <w:r>
        <w:rPr>
          <w:rFonts w:ascii="Times New Roman" w:hAnsi="Times New Roman" w:cs="Times New Roman"/>
          <w:lang w:val="en-GB"/>
        </w:rPr>
        <w:t>;</w:t>
      </w:r>
      <w:r w:rsidRPr="009B492A">
        <w:rPr>
          <w:rFonts w:ascii="Times New Roman" w:hAnsi="Times New Roman" w:cs="Times New Roman"/>
          <w:lang w:val="en-GB"/>
        </w:rPr>
        <w:t xml:space="preserve"> 27 January 1943, Pasicrisie 1943, I, 32</w:t>
      </w:r>
      <w:r>
        <w:rPr>
          <w:rFonts w:ascii="Times New Roman" w:hAnsi="Times New Roman" w:cs="Times New Roman"/>
          <w:lang w:val="en-GB"/>
        </w:rPr>
        <w:t>;</w:t>
      </w:r>
      <w:r w:rsidRPr="009B492A">
        <w:rPr>
          <w:rFonts w:ascii="Times New Roman" w:hAnsi="Times New Roman" w:cs="Times New Roman"/>
          <w:lang w:val="en-GB"/>
        </w:rPr>
        <w:t xml:space="preserve"> and 8 August 1924, Pasicrisie 1924, I, 518).</w:t>
      </w:r>
    </w:p>
  </w:footnote>
  <w:footnote w:id="30">
    <w:p w14:paraId="439A232A" w14:textId="1AA033B9" w:rsidR="00CE5947" w:rsidRPr="009B492A" w:rsidRDefault="00CE5947" w:rsidP="0069329A">
      <w:pPr>
        <w:pStyle w:val="FootnoteText"/>
        <w:rPr>
          <w:rFonts w:ascii="Times New Roman" w:hAnsi="Times New Roman" w:cs="Times New Roman"/>
          <w:lang w:val="en-GB"/>
        </w:rPr>
      </w:pPr>
      <w:r w:rsidRPr="00641267">
        <w:rPr>
          <w:rStyle w:val="FootnoteReference"/>
          <w:rFonts w:ascii="Times New Roman" w:hAnsi="Times New Roman" w:cs="Times New Roman"/>
          <w:vertAlign w:val="baseline"/>
          <w:lang w:val="en-GB"/>
        </w:rPr>
        <w:footnoteRef/>
      </w:r>
      <w:r>
        <w:rPr>
          <w:rFonts w:ascii="Times New Roman" w:hAnsi="Times New Roman" w:cs="Times New Roman"/>
          <w:lang w:val="en-GB"/>
        </w:rPr>
        <w:t>.  </w:t>
      </w:r>
      <w:r w:rsidRPr="009B492A">
        <w:rPr>
          <w:rFonts w:ascii="Times New Roman" w:hAnsi="Times New Roman" w:cs="Times New Roman"/>
          <w:lang w:val="en-GB"/>
        </w:rPr>
        <w:t>The argument that the unification of individual acts could defer the limitation period</w:t>
      </w:r>
      <w:r w:rsidRPr="001B49C1">
        <w:rPr>
          <w:rFonts w:ascii="Times New Roman" w:hAnsi="Times New Roman" w:cs="Times New Roman"/>
          <w:lang w:val="en-GB"/>
        </w:rPr>
        <w:t xml:space="preserve"> </w:t>
      </w:r>
      <w:r w:rsidRPr="009B492A">
        <w:rPr>
          <w:rFonts w:ascii="Times New Roman" w:hAnsi="Times New Roman" w:cs="Times New Roman"/>
          <w:lang w:val="en-GB"/>
        </w:rPr>
        <w:t>indefinitely and therefore render it worthless, which would be contrary to the principle of legal certainty, must be rejected, since the limitation period would in any case start runnin</w:t>
      </w:r>
      <w:r>
        <w:rPr>
          <w:rFonts w:ascii="Times New Roman" w:hAnsi="Times New Roman" w:cs="Times New Roman"/>
          <w:lang w:val="en-GB"/>
        </w:rPr>
        <w:t>g from the last individual act.</w:t>
      </w:r>
    </w:p>
  </w:footnote>
  <w:footnote w:id="31">
    <w:p w14:paraId="0B43CFAA" w14:textId="0EECF3FC" w:rsidR="00CE5947" w:rsidRPr="009B492A" w:rsidRDefault="00CE5947" w:rsidP="0069329A">
      <w:pPr>
        <w:pStyle w:val="FootnoteText"/>
        <w:rPr>
          <w:rFonts w:ascii="Times New Roman" w:hAnsi="Times New Roman" w:cs="Times New Roman"/>
          <w:lang w:val="en-GB"/>
        </w:rPr>
      </w:pPr>
      <w:r w:rsidRPr="00641267">
        <w:rPr>
          <w:rStyle w:val="FootnoteReference"/>
          <w:rFonts w:ascii="Times New Roman" w:hAnsi="Times New Roman" w:cs="Times New Roman"/>
          <w:vertAlign w:val="baseline"/>
          <w:lang w:val="en-GB"/>
        </w:rPr>
        <w:footnoteRef/>
      </w:r>
      <w:r>
        <w:rPr>
          <w:rFonts w:ascii="Times New Roman" w:hAnsi="Times New Roman" w:cs="Times New Roman"/>
          <w:lang w:val="en-GB"/>
        </w:rPr>
        <w:t>.  </w:t>
      </w:r>
      <w:r w:rsidRPr="009B492A">
        <w:rPr>
          <w:rFonts w:ascii="Times New Roman" w:hAnsi="Times New Roman" w:cs="Times New Roman"/>
          <w:lang w:val="en-GB"/>
        </w:rPr>
        <w:t xml:space="preserve">The guarantee of </w:t>
      </w:r>
      <w:r w:rsidRPr="009B492A">
        <w:rPr>
          <w:rFonts w:ascii="Times New Roman" w:hAnsi="Times New Roman" w:cs="Times New Roman"/>
          <w:i/>
          <w:lang w:val="en-GB"/>
        </w:rPr>
        <w:t>non bis in idem</w:t>
      </w:r>
      <w:r w:rsidRPr="009B492A">
        <w:rPr>
          <w:rFonts w:ascii="Times New Roman" w:hAnsi="Times New Roman" w:cs="Times New Roman"/>
          <w:lang w:val="en-GB"/>
        </w:rPr>
        <w:t xml:space="preserve"> </w:t>
      </w:r>
      <w:r>
        <w:rPr>
          <w:rFonts w:ascii="Times New Roman" w:hAnsi="Times New Roman" w:cs="Times New Roman"/>
          <w:lang w:val="en-GB"/>
        </w:rPr>
        <w:t>embraces</w:t>
      </w:r>
      <w:r w:rsidRPr="009B492A">
        <w:rPr>
          <w:rFonts w:ascii="Times New Roman" w:hAnsi="Times New Roman" w:cs="Times New Roman"/>
          <w:lang w:val="en-GB"/>
        </w:rPr>
        <w:t xml:space="preserve"> both the facts that were submitted to trial and those that should have been submitted, in accordance with the principle of legality. Prosecutors are not allowed to circumvent the principle of legality by </w:t>
      </w:r>
      <w:r>
        <w:rPr>
          <w:rFonts w:ascii="Times New Roman" w:hAnsi="Times New Roman" w:cs="Times New Roman"/>
          <w:lang w:val="en-GB"/>
        </w:rPr>
        <w:t>breaking down</w:t>
      </w:r>
      <w:r w:rsidRPr="009B492A">
        <w:rPr>
          <w:rFonts w:ascii="Times New Roman" w:hAnsi="Times New Roman" w:cs="Times New Roman"/>
          <w:lang w:val="en-GB"/>
        </w:rPr>
        <w:t xml:space="preserve"> the charging of </w:t>
      </w:r>
      <w:r>
        <w:rPr>
          <w:rFonts w:ascii="Times New Roman" w:hAnsi="Times New Roman" w:cs="Times New Roman"/>
          <w:lang w:val="en-GB"/>
        </w:rPr>
        <w:t>a</w:t>
      </w:r>
      <w:r w:rsidRPr="009B492A">
        <w:rPr>
          <w:rFonts w:ascii="Times New Roman" w:hAnsi="Times New Roman" w:cs="Times New Roman"/>
          <w:lang w:val="en-GB"/>
        </w:rPr>
        <w:t xml:space="preserve"> continuous offence into </w:t>
      </w:r>
      <w:r>
        <w:rPr>
          <w:rFonts w:ascii="Times New Roman" w:hAnsi="Times New Roman" w:cs="Times New Roman"/>
          <w:lang w:val="en-GB"/>
        </w:rPr>
        <w:t>multiple accusations.</w:t>
      </w:r>
    </w:p>
  </w:footnote>
  <w:footnote w:id="32">
    <w:p w14:paraId="43825239" w14:textId="34FB1EEA" w:rsidR="00CE5947" w:rsidRPr="009B492A" w:rsidRDefault="00CE5947" w:rsidP="0069329A">
      <w:pPr>
        <w:pStyle w:val="FootnoteText"/>
        <w:rPr>
          <w:rFonts w:ascii="Times New Roman" w:hAnsi="Times New Roman" w:cs="Times New Roman"/>
          <w:lang w:val="en-GB"/>
        </w:rPr>
      </w:pPr>
      <w:r w:rsidRPr="00ED66B6">
        <w:rPr>
          <w:rStyle w:val="FootnoteReference"/>
          <w:rFonts w:ascii="Times New Roman" w:hAnsi="Times New Roman" w:cs="Times New Roman"/>
          <w:vertAlign w:val="baseline"/>
          <w:lang w:val="en-GB"/>
        </w:rPr>
        <w:footnoteRef/>
      </w:r>
      <w:r>
        <w:rPr>
          <w:rFonts w:ascii="Times New Roman" w:hAnsi="Times New Roman" w:cs="Times New Roman"/>
          <w:lang w:val="en-GB"/>
        </w:rPr>
        <w:t>.  </w:t>
      </w:r>
      <w:r w:rsidRPr="009B492A">
        <w:rPr>
          <w:rFonts w:ascii="Times New Roman" w:hAnsi="Times New Roman" w:cs="Times New Roman"/>
          <w:lang w:val="en-GB"/>
        </w:rPr>
        <w:t>I refer</w:t>
      </w:r>
      <w:r w:rsidR="00BB1809">
        <w:rPr>
          <w:rFonts w:ascii="Times New Roman" w:hAnsi="Times New Roman" w:cs="Times New Roman"/>
          <w:lang w:val="en-GB"/>
        </w:rPr>
        <w:t>,</w:t>
      </w:r>
      <w:r w:rsidRPr="009B492A">
        <w:rPr>
          <w:rFonts w:ascii="Times New Roman" w:hAnsi="Times New Roman" w:cs="Times New Roman"/>
          <w:lang w:val="en-GB"/>
        </w:rPr>
        <w:t xml:space="preserve"> </w:t>
      </w:r>
      <w:r>
        <w:rPr>
          <w:rFonts w:ascii="Times New Roman" w:hAnsi="Times New Roman" w:cs="Times New Roman"/>
          <w:lang w:val="en-GB"/>
        </w:rPr>
        <w:t>of course</w:t>
      </w:r>
      <w:r w:rsidR="00BB1809">
        <w:rPr>
          <w:rFonts w:ascii="Times New Roman" w:hAnsi="Times New Roman" w:cs="Times New Roman"/>
          <w:lang w:val="en-GB"/>
        </w:rPr>
        <w:t>,</w:t>
      </w:r>
      <w:r w:rsidRPr="009B492A">
        <w:rPr>
          <w:rFonts w:ascii="Times New Roman" w:hAnsi="Times New Roman" w:cs="Times New Roman"/>
          <w:lang w:val="en-GB"/>
        </w:rPr>
        <w:t xml:space="preserve"> to George Fletcher’s “The Grammar of Criminal Law: American, Comparative, and International”, 2007, and to his earlier works as a laudable example of those scholars who </w:t>
      </w:r>
      <w:r>
        <w:rPr>
          <w:rFonts w:ascii="Times New Roman" w:hAnsi="Times New Roman" w:cs="Times New Roman"/>
          <w:lang w:val="en-GB"/>
        </w:rPr>
        <w:t>through</w:t>
      </w:r>
      <w:r w:rsidRPr="009B492A">
        <w:rPr>
          <w:rFonts w:ascii="Times New Roman" w:hAnsi="Times New Roman" w:cs="Times New Roman"/>
          <w:lang w:val="en-GB"/>
        </w:rPr>
        <w:t xml:space="preserve"> their long-standing efforts have contributed to the emergence of a un</w:t>
      </w:r>
      <w:r>
        <w:rPr>
          <w:rFonts w:ascii="Times New Roman" w:hAnsi="Times New Roman" w:cs="Times New Roman"/>
          <w:lang w:val="en-GB"/>
        </w:rPr>
        <w:t>iversal system of criminal law.</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27B80E6" w14:textId="77777777" w:rsidR="00CE5947" w:rsidRPr="00A45145" w:rsidRDefault="00CE5947" w:rsidP="00C60A75">
    <w:pPr>
      <w:jc w:val="center"/>
    </w:pPr>
    <w:r>
      <w:rPr>
        <w:noProof/>
        <w:lang w:eastAsia="ja-JP"/>
      </w:rPr>
      <w:drawing>
        <wp:inline distT="0" distB="0" distL="0" distR="0" wp14:anchorId="3FA2C724" wp14:editId="62BE75FC">
          <wp:extent cx="2962275" cy="1219200"/>
          <wp:effectExtent l="0" t="0" r="9525" b="0"/>
          <wp:docPr id="2" name="Picture 2"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14:paraId="170CD332" w14:textId="77777777" w:rsidR="00CE5947" w:rsidRPr="00D60D87" w:rsidRDefault="00CE5947" w:rsidP="00EA3D05">
    <w:pPr>
      <w:pStyle w:val="ECHRHeader"/>
      <w:jc w:val="center"/>
      <w:rPr>
        <w:lang w:val="en-GB"/>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7D6A750" w14:textId="77777777" w:rsidR="00CE5947" w:rsidRPr="00CE3A6A" w:rsidRDefault="00CE5947" w:rsidP="00CE3A6A">
    <w:pPr>
      <w:pStyle w:val="ECHRHeader"/>
      <w:rPr>
        <w:lang w:val="en-GB"/>
      </w:rPr>
    </w:pPr>
    <w:r>
      <w:rPr>
        <w:rStyle w:val="PageNumber"/>
        <w:szCs w:val="18"/>
        <w:lang w:val="en-GB"/>
      </w:rPr>
      <w:fldChar w:fldCharType="begin"/>
    </w:r>
    <w:r>
      <w:rPr>
        <w:rStyle w:val="PageNumber"/>
        <w:szCs w:val="18"/>
        <w:lang w:val="en-GB"/>
      </w:rPr>
      <w:instrText xml:space="preserve"> PAGE </w:instrText>
    </w:r>
    <w:r>
      <w:rPr>
        <w:rStyle w:val="PageNumber"/>
        <w:szCs w:val="18"/>
        <w:lang w:val="en-GB"/>
      </w:rPr>
      <w:fldChar w:fldCharType="separate"/>
    </w:r>
    <w:r w:rsidR="00FE1923">
      <w:rPr>
        <w:rStyle w:val="PageNumber"/>
        <w:noProof/>
        <w:szCs w:val="18"/>
        <w:lang w:val="en-GB"/>
      </w:rPr>
      <w:t>18</w:t>
    </w:r>
    <w:r>
      <w:rPr>
        <w:rStyle w:val="PageNumber"/>
        <w:szCs w:val="18"/>
        <w:lang w:val="en-GB"/>
      </w:rPr>
      <w:fldChar w:fldCharType="end"/>
    </w:r>
    <w:r w:rsidRPr="00FF2306">
      <w:rPr>
        <w:lang w:val="en-GB"/>
      </w:rPr>
      <w:tab/>
    </w:r>
    <w:r>
      <w:rPr>
        <w:lang w:val="en-GB"/>
      </w:rPr>
      <w:t>ROHLENA v. THE CZECH REPUBLIC JUDGMENT</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2310E96" w14:textId="77777777" w:rsidR="00CE5947" w:rsidRPr="00D60D87" w:rsidRDefault="00CE5947" w:rsidP="00D60D87">
    <w:pPr>
      <w:pStyle w:val="ECHRHeader"/>
      <w:rPr>
        <w:lang w:val="en-GB"/>
      </w:rPr>
    </w:pPr>
    <w:r w:rsidRPr="00D60D87">
      <w:rPr>
        <w:lang w:val="en-GB"/>
      </w:rPr>
      <w:tab/>
    </w:r>
    <w:r>
      <w:rPr>
        <w:lang w:val="en-GB"/>
      </w:rPr>
      <w:t>ROHLENA v. THE CZECH REPUBLIC JUDGMENT</w:t>
    </w:r>
    <w:r w:rsidRPr="00D60D87">
      <w:rPr>
        <w:lang w:val="en-GB"/>
      </w:rPr>
      <w:tab/>
    </w:r>
    <w:r>
      <w:rPr>
        <w:rStyle w:val="PageNumber"/>
        <w:szCs w:val="18"/>
        <w:lang w:val="en-GB"/>
      </w:rPr>
      <w:fldChar w:fldCharType="begin"/>
    </w:r>
    <w:r>
      <w:rPr>
        <w:rStyle w:val="PageNumber"/>
        <w:szCs w:val="18"/>
        <w:lang w:val="en-GB"/>
      </w:rPr>
      <w:instrText xml:space="preserve"> PAGE </w:instrText>
    </w:r>
    <w:r>
      <w:rPr>
        <w:rStyle w:val="PageNumber"/>
        <w:szCs w:val="18"/>
        <w:lang w:val="en-GB"/>
      </w:rPr>
      <w:fldChar w:fldCharType="separate"/>
    </w:r>
    <w:r w:rsidR="00FE1923">
      <w:rPr>
        <w:rStyle w:val="PageNumber"/>
        <w:noProof/>
        <w:szCs w:val="18"/>
        <w:lang w:val="en-GB"/>
      </w:rPr>
      <w:t>17</w:t>
    </w:r>
    <w:r>
      <w:rPr>
        <w:rStyle w:val="PageNumber"/>
        <w:szCs w:val="18"/>
        <w:lang w:val="en-GB"/>
      </w:rPr>
      <w:fldChar w:fldCharType="end"/>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ABF13CB" w14:textId="77777777" w:rsidR="00CE5947" w:rsidRPr="00617145" w:rsidRDefault="00CE5947" w:rsidP="00617145">
    <w:pPr>
      <w:pStyle w:val="ECHRHeader"/>
      <w:rPr>
        <w:lang w:val="en-GB"/>
      </w:rPr>
    </w:pPr>
    <w:r>
      <w:rPr>
        <w:rStyle w:val="PageNumber"/>
        <w:szCs w:val="18"/>
        <w:lang w:val="en-GB"/>
      </w:rPr>
      <w:fldChar w:fldCharType="begin"/>
    </w:r>
    <w:r>
      <w:rPr>
        <w:rStyle w:val="PageNumber"/>
        <w:szCs w:val="18"/>
        <w:lang w:val="en-GB"/>
      </w:rPr>
      <w:instrText xml:space="preserve"> PAGE </w:instrText>
    </w:r>
    <w:r>
      <w:rPr>
        <w:rStyle w:val="PageNumber"/>
        <w:szCs w:val="18"/>
        <w:lang w:val="en-GB"/>
      </w:rPr>
      <w:fldChar w:fldCharType="separate"/>
    </w:r>
    <w:r w:rsidR="00A96F16">
      <w:rPr>
        <w:rStyle w:val="PageNumber"/>
        <w:noProof/>
        <w:szCs w:val="18"/>
        <w:lang w:val="en-GB"/>
      </w:rPr>
      <w:t>36</w:t>
    </w:r>
    <w:r>
      <w:rPr>
        <w:rStyle w:val="PageNumber"/>
        <w:szCs w:val="18"/>
        <w:lang w:val="en-GB"/>
      </w:rPr>
      <w:fldChar w:fldCharType="end"/>
    </w:r>
    <w:r w:rsidRPr="00FF2306">
      <w:rPr>
        <w:lang w:val="en-GB"/>
      </w:rPr>
      <w:tab/>
    </w:r>
    <w:r>
      <w:rPr>
        <w:lang w:val="en-GB"/>
      </w:rPr>
      <w:t>ROHLENA v. THE CZECH REPUBLIC JUDGMENT – SEPARATE OPINIONS</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6486F97" w14:textId="77777777" w:rsidR="00CE5947" w:rsidRPr="00617145" w:rsidRDefault="00CE5947" w:rsidP="00617145">
    <w:pPr>
      <w:pStyle w:val="ECHRHeader"/>
      <w:rPr>
        <w:lang w:val="en-GB"/>
      </w:rPr>
    </w:pPr>
    <w:r w:rsidRPr="00D60D87">
      <w:rPr>
        <w:lang w:val="en-GB"/>
      </w:rPr>
      <w:tab/>
    </w:r>
    <w:r>
      <w:rPr>
        <w:lang w:val="en-GB"/>
      </w:rPr>
      <w:t>ROHLENA v. THE CZECH REPUBLIC JUDGMENT – SEPARATE OPINIONS</w:t>
    </w:r>
    <w:r w:rsidRPr="00D60D87">
      <w:rPr>
        <w:lang w:val="en-GB"/>
      </w:rPr>
      <w:tab/>
    </w:r>
    <w:r>
      <w:rPr>
        <w:rStyle w:val="PageNumber"/>
        <w:szCs w:val="18"/>
        <w:lang w:val="en-GB"/>
      </w:rPr>
      <w:fldChar w:fldCharType="begin"/>
    </w:r>
    <w:r>
      <w:rPr>
        <w:rStyle w:val="PageNumber"/>
        <w:szCs w:val="18"/>
        <w:lang w:val="en-GB"/>
      </w:rPr>
      <w:instrText xml:space="preserve"> PAGE </w:instrText>
    </w:r>
    <w:r>
      <w:rPr>
        <w:rStyle w:val="PageNumber"/>
        <w:szCs w:val="18"/>
        <w:lang w:val="en-GB"/>
      </w:rPr>
      <w:fldChar w:fldCharType="separate"/>
    </w:r>
    <w:r w:rsidR="00A96F16">
      <w:rPr>
        <w:rStyle w:val="PageNumber"/>
        <w:noProof/>
        <w:szCs w:val="18"/>
        <w:lang w:val="en-GB"/>
      </w:rPr>
      <w:t>37</w:t>
    </w:r>
    <w:r>
      <w:rPr>
        <w:rStyle w:val="PageNumber"/>
        <w:szCs w:val="18"/>
        <w:lang w:val="en-GB"/>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80462758"/>
    <w:multiLevelType w:val="hybridMultilevel"/>
    <w:tmpl w:val="F1F07814"/>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FFFFFF7C"/>
    <w:multiLevelType w:val="singleLevel"/>
    <w:tmpl w:val="00180FE6"/>
    <w:lvl w:ilvl="0">
      <w:start w:val="1"/>
      <w:numFmt w:val="decimal"/>
      <w:pStyle w:val="ListNumber5"/>
      <w:lvlText w:val="%1."/>
      <w:lvlJc w:val="left"/>
      <w:pPr>
        <w:tabs>
          <w:tab w:val="num" w:pos="1492"/>
        </w:tabs>
        <w:ind w:left="1492" w:hanging="360"/>
      </w:pPr>
    </w:lvl>
  </w:abstractNum>
  <w:abstractNum w:abstractNumId="2">
    <w:nsid w:val="FFFFFF7D"/>
    <w:multiLevelType w:val="singleLevel"/>
    <w:tmpl w:val="B90ECFBC"/>
    <w:lvl w:ilvl="0">
      <w:start w:val="1"/>
      <w:numFmt w:val="decimal"/>
      <w:pStyle w:val="ListNumber4"/>
      <w:lvlText w:val="%1."/>
      <w:lvlJc w:val="left"/>
      <w:pPr>
        <w:tabs>
          <w:tab w:val="num" w:pos="1209"/>
        </w:tabs>
        <w:ind w:left="1209" w:hanging="360"/>
      </w:pPr>
    </w:lvl>
  </w:abstractNum>
  <w:abstractNum w:abstractNumId="3">
    <w:nsid w:val="FFFFFF7E"/>
    <w:multiLevelType w:val="singleLevel"/>
    <w:tmpl w:val="C5B8BEFC"/>
    <w:lvl w:ilvl="0">
      <w:start w:val="1"/>
      <w:numFmt w:val="decimal"/>
      <w:pStyle w:val="ListNumber3"/>
      <w:lvlText w:val="%1."/>
      <w:lvlJc w:val="left"/>
      <w:pPr>
        <w:tabs>
          <w:tab w:val="num" w:pos="926"/>
        </w:tabs>
        <w:ind w:left="926" w:hanging="360"/>
      </w:pPr>
    </w:lvl>
  </w:abstractNum>
  <w:abstractNum w:abstractNumId="4">
    <w:nsid w:val="FFFFFF7F"/>
    <w:multiLevelType w:val="singleLevel"/>
    <w:tmpl w:val="6F1CF73A"/>
    <w:lvl w:ilvl="0">
      <w:start w:val="1"/>
      <w:numFmt w:val="decimal"/>
      <w:pStyle w:val="ListNumber2"/>
      <w:lvlText w:val="%1."/>
      <w:lvlJc w:val="left"/>
      <w:pPr>
        <w:tabs>
          <w:tab w:val="num" w:pos="643"/>
        </w:tabs>
        <w:ind w:left="643" w:hanging="360"/>
      </w:pPr>
    </w:lvl>
  </w:abstractNum>
  <w:abstractNum w:abstractNumId="5">
    <w:nsid w:val="FFFFFF80"/>
    <w:multiLevelType w:val="singleLevel"/>
    <w:tmpl w:val="23802660"/>
    <w:lvl w:ilvl="0">
      <w:start w:val="1"/>
      <w:numFmt w:val="bullet"/>
      <w:pStyle w:val="ListBullet5"/>
      <w:lvlText w:val=""/>
      <w:lvlJc w:val="left"/>
      <w:pPr>
        <w:tabs>
          <w:tab w:val="num" w:pos="1492"/>
        </w:tabs>
        <w:ind w:left="1492" w:hanging="360"/>
      </w:pPr>
      <w:rPr>
        <w:rFonts w:ascii="Symbol" w:hAnsi="Symbol" w:hint="default"/>
      </w:rPr>
    </w:lvl>
  </w:abstractNum>
  <w:abstractNum w:abstractNumId="6">
    <w:nsid w:val="FFFFFF81"/>
    <w:multiLevelType w:val="singleLevel"/>
    <w:tmpl w:val="A0C2C346"/>
    <w:lvl w:ilvl="0">
      <w:start w:val="1"/>
      <w:numFmt w:val="bullet"/>
      <w:pStyle w:val="ListBullet4"/>
      <w:lvlText w:val=""/>
      <w:lvlJc w:val="left"/>
      <w:pPr>
        <w:tabs>
          <w:tab w:val="num" w:pos="1209"/>
        </w:tabs>
        <w:ind w:left="1209" w:hanging="360"/>
      </w:pPr>
      <w:rPr>
        <w:rFonts w:ascii="Symbol" w:hAnsi="Symbol" w:hint="default"/>
      </w:rPr>
    </w:lvl>
  </w:abstractNum>
  <w:abstractNum w:abstractNumId="7">
    <w:nsid w:val="FFFFFF82"/>
    <w:multiLevelType w:val="singleLevel"/>
    <w:tmpl w:val="9482EC3A"/>
    <w:lvl w:ilvl="0">
      <w:start w:val="1"/>
      <w:numFmt w:val="bullet"/>
      <w:pStyle w:val="ListBullet3"/>
      <w:lvlText w:val=""/>
      <w:lvlJc w:val="left"/>
      <w:pPr>
        <w:tabs>
          <w:tab w:val="num" w:pos="926"/>
        </w:tabs>
        <w:ind w:left="926" w:hanging="360"/>
      </w:pPr>
      <w:rPr>
        <w:rFonts w:ascii="Symbol" w:hAnsi="Symbol" w:hint="default"/>
      </w:rPr>
    </w:lvl>
  </w:abstractNum>
  <w:abstractNum w:abstractNumId="8">
    <w:nsid w:val="FFFFFF83"/>
    <w:multiLevelType w:val="singleLevel"/>
    <w:tmpl w:val="7666B2C2"/>
    <w:lvl w:ilvl="0">
      <w:start w:val="1"/>
      <w:numFmt w:val="bullet"/>
      <w:pStyle w:val="ListBullet2"/>
      <w:lvlText w:val=""/>
      <w:lvlJc w:val="left"/>
      <w:pPr>
        <w:tabs>
          <w:tab w:val="num" w:pos="643"/>
        </w:tabs>
        <w:ind w:left="643" w:hanging="360"/>
      </w:pPr>
      <w:rPr>
        <w:rFonts w:ascii="Symbol" w:hAnsi="Symbol" w:hint="default"/>
      </w:rPr>
    </w:lvl>
  </w:abstractNum>
  <w:abstractNum w:abstractNumId="9">
    <w:nsid w:val="FFFFFF88"/>
    <w:multiLevelType w:val="singleLevel"/>
    <w:tmpl w:val="B2760110"/>
    <w:lvl w:ilvl="0">
      <w:start w:val="1"/>
      <w:numFmt w:val="decimal"/>
      <w:pStyle w:val="ListNumber"/>
      <w:lvlText w:val="%1."/>
      <w:lvlJc w:val="left"/>
      <w:pPr>
        <w:tabs>
          <w:tab w:val="num" w:pos="360"/>
        </w:tabs>
        <w:ind w:left="360" w:hanging="360"/>
      </w:pPr>
    </w:lvl>
  </w:abstractNum>
  <w:abstractNum w:abstractNumId="10">
    <w:nsid w:val="0066004F"/>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nsid w:val="163F153D"/>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nsid w:val="2AF7039A"/>
    <w:multiLevelType w:val="multilevel"/>
    <w:tmpl w:val="9B34AC6C"/>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3">
    <w:nsid w:val="388D47DE"/>
    <w:multiLevelType w:val="multilevel"/>
    <w:tmpl w:val="8012C870"/>
    <w:lvl w:ilvl="0">
      <w:start w:val="1"/>
      <w:numFmt w:val="decimal"/>
      <w:lvlText w:val="%1."/>
      <w:lvlJc w:val="left"/>
      <w:pPr>
        <w:ind w:left="992" w:hanging="425"/>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492F51A1"/>
    <w:multiLevelType w:val="multilevel"/>
    <w:tmpl w:val="F842BC8C"/>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5">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16">
    <w:nsid w:val="76903243"/>
    <w:multiLevelType w:val="multilevel"/>
    <w:tmpl w:val="E884A926"/>
    <w:lvl w:ilvl="0">
      <w:start w:val="1"/>
      <w:numFmt w:val="decimal"/>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7">
    <w:nsid w:val="7737461D"/>
    <w:multiLevelType w:val="multilevel"/>
    <w:tmpl w:val="040C0023"/>
    <w:styleLink w:val="ArticleSection"/>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lvlText w:val="%5)"/>
      <w:lvlJc w:val="left"/>
      <w:pPr>
        <w:ind w:left="1008" w:hanging="432"/>
      </w:pPr>
    </w:lvl>
    <w:lvl w:ilvl="5">
      <w:start w:val="1"/>
      <w:numFmt w:val="lowerLetter"/>
      <w:pStyle w:val="Heading6"/>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abstractNumId w:val="13"/>
  </w:num>
  <w:num w:numId="2">
    <w:abstractNumId w:val="14"/>
  </w:num>
  <w:num w:numId="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4"/>
  </w:num>
  <w:num w:numId="5">
    <w:abstractNumId w:val="12"/>
  </w:num>
  <w:num w:numId="6">
    <w:abstractNumId w:val="14"/>
  </w:num>
  <w:num w:numId="7">
    <w:abstractNumId w:val="12"/>
  </w:num>
  <w:num w:numId="8">
    <w:abstractNumId w:val="15"/>
  </w:num>
  <w:num w:numId="9">
    <w:abstractNumId w:val="11"/>
  </w:num>
  <w:num w:numId="10">
    <w:abstractNumId w:val="10"/>
  </w:num>
  <w:num w:numId="11">
    <w:abstractNumId w:val="17"/>
  </w:num>
  <w:num w:numId="12">
    <w:abstractNumId w:val="8"/>
  </w:num>
  <w:num w:numId="13">
    <w:abstractNumId w:val="7"/>
  </w:num>
  <w:num w:numId="14">
    <w:abstractNumId w:val="6"/>
  </w:num>
  <w:num w:numId="15">
    <w:abstractNumId w:val="5"/>
  </w:num>
  <w:num w:numId="16">
    <w:abstractNumId w:val="9"/>
  </w:num>
  <w:num w:numId="17">
    <w:abstractNumId w:val="4"/>
  </w:num>
  <w:num w:numId="18">
    <w:abstractNumId w:val="3"/>
  </w:num>
  <w:num w:numId="19">
    <w:abstractNumId w:val="2"/>
  </w:num>
  <w:num w:numId="20">
    <w:abstractNumId w:val="1"/>
  </w:num>
  <w:num w:numId="21">
    <w:abstractNumId w:val="16"/>
  </w:num>
  <w:num w:numId="22">
    <w:abstractNumId w:val="0"/>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stylePaneFormatFilter w:val="9008" w:allStyles="0" w:customStyles="0" w:latentStyles="0" w:stylesInUse="1" w:headingStyles="0" w:numberingStyles="0" w:tableStyles="0" w:directFormattingOnRuns="0" w:directFormattingOnParagraphs="0" w:directFormattingOnNumbering="0" w:directFormattingOnTables="0" w:clearFormatting="1" w:top3HeadingStyles="0" w:visibleStyles="0"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16385"/>
  </w:hdrShapeDefaults>
  <w:footnotePr>
    <w:numRestart w:val="eachPage"/>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26B68"/>
    <w:rsid w:val="00001F59"/>
    <w:rsid w:val="000041F8"/>
    <w:rsid w:val="000042A8"/>
    <w:rsid w:val="00004308"/>
    <w:rsid w:val="00005BF0"/>
    <w:rsid w:val="00005E21"/>
    <w:rsid w:val="00007154"/>
    <w:rsid w:val="000103AE"/>
    <w:rsid w:val="00011D69"/>
    <w:rsid w:val="00012AD3"/>
    <w:rsid w:val="00014566"/>
    <w:rsid w:val="00015C2D"/>
    <w:rsid w:val="00015F00"/>
    <w:rsid w:val="00016F3E"/>
    <w:rsid w:val="000173CC"/>
    <w:rsid w:val="00022C1D"/>
    <w:rsid w:val="00025958"/>
    <w:rsid w:val="000259EF"/>
    <w:rsid w:val="000343FF"/>
    <w:rsid w:val="00034987"/>
    <w:rsid w:val="00042BAB"/>
    <w:rsid w:val="0004529C"/>
    <w:rsid w:val="0004530A"/>
    <w:rsid w:val="00050397"/>
    <w:rsid w:val="0005520E"/>
    <w:rsid w:val="00057C32"/>
    <w:rsid w:val="00057FDE"/>
    <w:rsid w:val="000602DF"/>
    <w:rsid w:val="00061B05"/>
    <w:rsid w:val="000632D5"/>
    <w:rsid w:val="000644EE"/>
    <w:rsid w:val="00064764"/>
    <w:rsid w:val="0006479D"/>
    <w:rsid w:val="00074F77"/>
    <w:rsid w:val="000779D3"/>
    <w:rsid w:val="0008178F"/>
    <w:rsid w:val="0008455B"/>
    <w:rsid w:val="000925AD"/>
    <w:rsid w:val="000954B8"/>
    <w:rsid w:val="000A2341"/>
    <w:rsid w:val="000A24EB"/>
    <w:rsid w:val="000A2556"/>
    <w:rsid w:val="000A48B6"/>
    <w:rsid w:val="000A6E3B"/>
    <w:rsid w:val="000A6EF9"/>
    <w:rsid w:val="000B527F"/>
    <w:rsid w:val="000B6923"/>
    <w:rsid w:val="000C2BAD"/>
    <w:rsid w:val="000C31DD"/>
    <w:rsid w:val="000C5F3C"/>
    <w:rsid w:val="000C6DCC"/>
    <w:rsid w:val="000D3C0F"/>
    <w:rsid w:val="000D46D1"/>
    <w:rsid w:val="000D47AA"/>
    <w:rsid w:val="000D721F"/>
    <w:rsid w:val="000E069B"/>
    <w:rsid w:val="000E0E82"/>
    <w:rsid w:val="000E1DC5"/>
    <w:rsid w:val="000E2194"/>
    <w:rsid w:val="000E223F"/>
    <w:rsid w:val="000E2315"/>
    <w:rsid w:val="000E7B6B"/>
    <w:rsid w:val="000E7D45"/>
    <w:rsid w:val="000F0F50"/>
    <w:rsid w:val="000F1D16"/>
    <w:rsid w:val="000F3832"/>
    <w:rsid w:val="000F5314"/>
    <w:rsid w:val="000F7851"/>
    <w:rsid w:val="00100C3F"/>
    <w:rsid w:val="00104E23"/>
    <w:rsid w:val="00111B0C"/>
    <w:rsid w:val="00112C8F"/>
    <w:rsid w:val="001170A7"/>
    <w:rsid w:val="00120D6C"/>
    <w:rsid w:val="0012382C"/>
    <w:rsid w:val="001253B8"/>
    <w:rsid w:val="001257EC"/>
    <w:rsid w:val="00127F16"/>
    <w:rsid w:val="00127FC1"/>
    <w:rsid w:val="00133D33"/>
    <w:rsid w:val="00134D64"/>
    <w:rsid w:val="00135A30"/>
    <w:rsid w:val="0013612C"/>
    <w:rsid w:val="00137FF6"/>
    <w:rsid w:val="00141650"/>
    <w:rsid w:val="001461F7"/>
    <w:rsid w:val="00146F0D"/>
    <w:rsid w:val="00152081"/>
    <w:rsid w:val="00154020"/>
    <w:rsid w:val="001545D7"/>
    <w:rsid w:val="0015557E"/>
    <w:rsid w:val="001570A0"/>
    <w:rsid w:val="001606F5"/>
    <w:rsid w:val="00162A12"/>
    <w:rsid w:val="00162B97"/>
    <w:rsid w:val="00165BFA"/>
    <w:rsid w:val="00166530"/>
    <w:rsid w:val="0017338A"/>
    <w:rsid w:val="001821F8"/>
    <w:rsid w:val="0018304C"/>
    <w:rsid w:val="00183237"/>
    <w:rsid w:val="001832BD"/>
    <w:rsid w:val="00184BFB"/>
    <w:rsid w:val="001871EA"/>
    <w:rsid w:val="0018760D"/>
    <w:rsid w:val="001943B5"/>
    <w:rsid w:val="00195134"/>
    <w:rsid w:val="001A145B"/>
    <w:rsid w:val="001A3265"/>
    <w:rsid w:val="001A674C"/>
    <w:rsid w:val="001B3B24"/>
    <w:rsid w:val="001B53E7"/>
    <w:rsid w:val="001B781D"/>
    <w:rsid w:val="001C0F98"/>
    <w:rsid w:val="001C2A42"/>
    <w:rsid w:val="001C3B96"/>
    <w:rsid w:val="001C6501"/>
    <w:rsid w:val="001C6C74"/>
    <w:rsid w:val="001D00E3"/>
    <w:rsid w:val="001D63ED"/>
    <w:rsid w:val="001D721B"/>
    <w:rsid w:val="001D7348"/>
    <w:rsid w:val="001E035B"/>
    <w:rsid w:val="001E0961"/>
    <w:rsid w:val="001E3EAE"/>
    <w:rsid w:val="001E523F"/>
    <w:rsid w:val="001E6F32"/>
    <w:rsid w:val="001F2145"/>
    <w:rsid w:val="001F3D06"/>
    <w:rsid w:val="001F6262"/>
    <w:rsid w:val="001F67B0"/>
    <w:rsid w:val="001F6CE0"/>
    <w:rsid w:val="001F7B3D"/>
    <w:rsid w:val="00200722"/>
    <w:rsid w:val="00205F9F"/>
    <w:rsid w:val="00210338"/>
    <w:rsid w:val="002115FC"/>
    <w:rsid w:val="002140BD"/>
    <w:rsid w:val="0021423C"/>
    <w:rsid w:val="00216100"/>
    <w:rsid w:val="002162CF"/>
    <w:rsid w:val="00217566"/>
    <w:rsid w:val="00222AF6"/>
    <w:rsid w:val="00230D00"/>
    <w:rsid w:val="002312F3"/>
    <w:rsid w:val="002313A4"/>
    <w:rsid w:val="00231B61"/>
    <w:rsid w:val="00231DF7"/>
    <w:rsid w:val="00231FD1"/>
    <w:rsid w:val="00232424"/>
    <w:rsid w:val="002339A4"/>
    <w:rsid w:val="002339E0"/>
    <w:rsid w:val="00233CF8"/>
    <w:rsid w:val="002347F5"/>
    <w:rsid w:val="0023575D"/>
    <w:rsid w:val="00237148"/>
    <w:rsid w:val="0024222D"/>
    <w:rsid w:val="00242A80"/>
    <w:rsid w:val="0024435E"/>
    <w:rsid w:val="00244B0E"/>
    <w:rsid w:val="00244F6C"/>
    <w:rsid w:val="002465C6"/>
    <w:rsid w:val="00246A53"/>
    <w:rsid w:val="002532C5"/>
    <w:rsid w:val="00254FAA"/>
    <w:rsid w:val="002563CA"/>
    <w:rsid w:val="0025788B"/>
    <w:rsid w:val="0026040D"/>
    <w:rsid w:val="00260C03"/>
    <w:rsid w:val="00262674"/>
    <w:rsid w:val="002651A9"/>
    <w:rsid w:val="0026540E"/>
    <w:rsid w:val="002655A2"/>
    <w:rsid w:val="00271592"/>
    <w:rsid w:val="00274E7A"/>
    <w:rsid w:val="00275123"/>
    <w:rsid w:val="002755F6"/>
    <w:rsid w:val="002807FB"/>
    <w:rsid w:val="00282240"/>
    <w:rsid w:val="0028776A"/>
    <w:rsid w:val="002903E8"/>
    <w:rsid w:val="00291FEC"/>
    <w:rsid w:val="002922E9"/>
    <w:rsid w:val="00292547"/>
    <w:rsid w:val="00293996"/>
    <w:rsid w:val="002948AD"/>
    <w:rsid w:val="00294C92"/>
    <w:rsid w:val="00296225"/>
    <w:rsid w:val="00297F54"/>
    <w:rsid w:val="002A01CC"/>
    <w:rsid w:val="002A0F3F"/>
    <w:rsid w:val="002A1948"/>
    <w:rsid w:val="002A4216"/>
    <w:rsid w:val="002A61B1"/>
    <w:rsid w:val="002A663C"/>
    <w:rsid w:val="002B285A"/>
    <w:rsid w:val="002B444B"/>
    <w:rsid w:val="002B5887"/>
    <w:rsid w:val="002C0692"/>
    <w:rsid w:val="002C0E27"/>
    <w:rsid w:val="002C3040"/>
    <w:rsid w:val="002C70A9"/>
    <w:rsid w:val="002D022D"/>
    <w:rsid w:val="002D24BB"/>
    <w:rsid w:val="002D5843"/>
    <w:rsid w:val="002D7663"/>
    <w:rsid w:val="002E1FC0"/>
    <w:rsid w:val="002E4AEE"/>
    <w:rsid w:val="002F2673"/>
    <w:rsid w:val="002F2AF7"/>
    <w:rsid w:val="002F5E31"/>
    <w:rsid w:val="002F7E1C"/>
    <w:rsid w:val="00301A75"/>
    <w:rsid w:val="00302F70"/>
    <w:rsid w:val="0030336F"/>
    <w:rsid w:val="0030375E"/>
    <w:rsid w:val="00304EF3"/>
    <w:rsid w:val="003063FA"/>
    <w:rsid w:val="003110FF"/>
    <w:rsid w:val="00312A30"/>
    <w:rsid w:val="00314C29"/>
    <w:rsid w:val="0031534E"/>
    <w:rsid w:val="00320F72"/>
    <w:rsid w:val="00323BD9"/>
    <w:rsid w:val="0032463E"/>
    <w:rsid w:val="00325499"/>
    <w:rsid w:val="00326224"/>
    <w:rsid w:val="0033088B"/>
    <w:rsid w:val="00332479"/>
    <w:rsid w:val="00333139"/>
    <w:rsid w:val="00335433"/>
    <w:rsid w:val="003354CC"/>
    <w:rsid w:val="00335A59"/>
    <w:rsid w:val="00335D03"/>
    <w:rsid w:val="00337EE4"/>
    <w:rsid w:val="00340FFD"/>
    <w:rsid w:val="00344F2C"/>
    <w:rsid w:val="00347FD0"/>
    <w:rsid w:val="003506B1"/>
    <w:rsid w:val="00352D17"/>
    <w:rsid w:val="00355E4C"/>
    <w:rsid w:val="00356AC7"/>
    <w:rsid w:val="003609FA"/>
    <w:rsid w:val="003655C4"/>
    <w:rsid w:val="00367555"/>
    <w:rsid w:val="00370149"/>
    <w:rsid w:val="003710C8"/>
    <w:rsid w:val="00372D82"/>
    <w:rsid w:val="003750BE"/>
    <w:rsid w:val="0037680D"/>
    <w:rsid w:val="00381616"/>
    <w:rsid w:val="003848D9"/>
    <w:rsid w:val="00387B9D"/>
    <w:rsid w:val="0039096E"/>
    <w:rsid w:val="003912DF"/>
    <w:rsid w:val="00391535"/>
    <w:rsid w:val="003926C8"/>
    <w:rsid w:val="0039364F"/>
    <w:rsid w:val="00394B9B"/>
    <w:rsid w:val="0039621E"/>
    <w:rsid w:val="00396686"/>
    <w:rsid w:val="00397079"/>
    <w:rsid w:val="0039778E"/>
    <w:rsid w:val="003A404C"/>
    <w:rsid w:val="003B0892"/>
    <w:rsid w:val="003B097A"/>
    <w:rsid w:val="003B4941"/>
    <w:rsid w:val="003C42E8"/>
    <w:rsid w:val="003C5714"/>
    <w:rsid w:val="003C6B9F"/>
    <w:rsid w:val="003C6E2A"/>
    <w:rsid w:val="003D0299"/>
    <w:rsid w:val="003E6D80"/>
    <w:rsid w:val="003E6F4F"/>
    <w:rsid w:val="003F05FA"/>
    <w:rsid w:val="003F1F32"/>
    <w:rsid w:val="003F244A"/>
    <w:rsid w:val="003F30B8"/>
    <w:rsid w:val="003F3EAC"/>
    <w:rsid w:val="003F4C45"/>
    <w:rsid w:val="003F5F7B"/>
    <w:rsid w:val="003F7D64"/>
    <w:rsid w:val="0040553D"/>
    <w:rsid w:val="00414300"/>
    <w:rsid w:val="004225A5"/>
    <w:rsid w:val="00425C67"/>
    <w:rsid w:val="00427E7A"/>
    <w:rsid w:val="00436307"/>
    <w:rsid w:val="004368D5"/>
    <w:rsid w:val="00436C49"/>
    <w:rsid w:val="00441D62"/>
    <w:rsid w:val="00441FA9"/>
    <w:rsid w:val="00442CD9"/>
    <w:rsid w:val="00445366"/>
    <w:rsid w:val="00447F5B"/>
    <w:rsid w:val="0045223D"/>
    <w:rsid w:val="00452391"/>
    <w:rsid w:val="00457144"/>
    <w:rsid w:val="00461040"/>
    <w:rsid w:val="00461DB0"/>
    <w:rsid w:val="00461E47"/>
    <w:rsid w:val="00463926"/>
    <w:rsid w:val="004646E0"/>
    <w:rsid w:val="00464C9A"/>
    <w:rsid w:val="00471A11"/>
    <w:rsid w:val="0047437D"/>
    <w:rsid w:val="00474F3D"/>
    <w:rsid w:val="00474F72"/>
    <w:rsid w:val="004754C9"/>
    <w:rsid w:val="00477E3A"/>
    <w:rsid w:val="00480450"/>
    <w:rsid w:val="00483E5F"/>
    <w:rsid w:val="00485192"/>
    <w:rsid w:val="00485FF9"/>
    <w:rsid w:val="004907F0"/>
    <w:rsid w:val="0049140B"/>
    <w:rsid w:val="004923A5"/>
    <w:rsid w:val="00496BFB"/>
    <w:rsid w:val="00497640"/>
    <w:rsid w:val="00497F54"/>
    <w:rsid w:val="004A0650"/>
    <w:rsid w:val="004A15C7"/>
    <w:rsid w:val="004A563E"/>
    <w:rsid w:val="004A56DF"/>
    <w:rsid w:val="004A66CC"/>
    <w:rsid w:val="004A70F2"/>
    <w:rsid w:val="004B00A8"/>
    <w:rsid w:val="004B013B"/>
    <w:rsid w:val="004B112B"/>
    <w:rsid w:val="004B36C0"/>
    <w:rsid w:val="004C0069"/>
    <w:rsid w:val="004C01E4"/>
    <w:rsid w:val="004C086C"/>
    <w:rsid w:val="004C1F56"/>
    <w:rsid w:val="004C27BC"/>
    <w:rsid w:val="004C61A4"/>
    <w:rsid w:val="004C6B38"/>
    <w:rsid w:val="004D0005"/>
    <w:rsid w:val="004D15F3"/>
    <w:rsid w:val="004D2D30"/>
    <w:rsid w:val="004D5311"/>
    <w:rsid w:val="004D5DCC"/>
    <w:rsid w:val="004D7D0A"/>
    <w:rsid w:val="004E39FA"/>
    <w:rsid w:val="004E4816"/>
    <w:rsid w:val="004F0B03"/>
    <w:rsid w:val="004F10AF"/>
    <w:rsid w:val="004F11A4"/>
    <w:rsid w:val="004F175E"/>
    <w:rsid w:val="004F2389"/>
    <w:rsid w:val="004F304D"/>
    <w:rsid w:val="004F61BE"/>
    <w:rsid w:val="004F66B1"/>
    <w:rsid w:val="004F7C69"/>
    <w:rsid w:val="00503F70"/>
    <w:rsid w:val="00511C07"/>
    <w:rsid w:val="00511D22"/>
    <w:rsid w:val="005146CD"/>
    <w:rsid w:val="005152BF"/>
    <w:rsid w:val="005173A6"/>
    <w:rsid w:val="00520BAA"/>
    <w:rsid w:val="00521D0D"/>
    <w:rsid w:val="00525208"/>
    <w:rsid w:val="005257A5"/>
    <w:rsid w:val="00525AD2"/>
    <w:rsid w:val="005264C0"/>
    <w:rsid w:val="00526A8A"/>
    <w:rsid w:val="00531C0E"/>
    <w:rsid w:val="00531C75"/>
    <w:rsid w:val="00531DF2"/>
    <w:rsid w:val="005370FF"/>
    <w:rsid w:val="00543CE5"/>
    <w:rsid w:val="005442EE"/>
    <w:rsid w:val="00547353"/>
    <w:rsid w:val="005474E7"/>
    <w:rsid w:val="005512A3"/>
    <w:rsid w:val="00554316"/>
    <w:rsid w:val="005578CE"/>
    <w:rsid w:val="00560B8C"/>
    <w:rsid w:val="00562781"/>
    <w:rsid w:val="005649A3"/>
    <w:rsid w:val="0056587C"/>
    <w:rsid w:val="0057271C"/>
    <w:rsid w:val="00572845"/>
    <w:rsid w:val="00576E6C"/>
    <w:rsid w:val="00577204"/>
    <w:rsid w:val="00580459"/>
    <w:rsid w:val="00592772"/>
    <w:rsid w:val="0059574A"/>
    <w:rsid w:val="0059732D"/>
    <w:rsid w:val="005A1AE4"/>
    <w:rsid w:val="005A1B9B"/>
    <w:rsid w:val="005A2966"/>
    <w:rsid w:val="005A6751"/>
    <w:rsid w:val="005B0487"/>
    <w:rsid w:val="005B092E"/>
    <w:rsid w:val="005B1222"/>
    <w:rsid w:val="005B152C"/>
    <w:rsid w:val="005B1EE0"/>
    <w:rsid w:val="005B2B24"/>
    <w:rsid w:val="005B4425"/>
    <w:rsid w:val="005B4B94"/>
    <w:rsid w:val="005B5432"/>
    <w:rsid w:val="005C3EE8"/>
    <w:rsid w:val="005C528C"/>
    <w:rsid w:val="005D34F9"/>
    <w:rsid w:val="005D4190"/>
    <w:rsid w:val="005D67A3"/>
    <w:rsid w:val="005E2988"/>
    <w:rsid w:val="005E2A43"/>
    <w:rsid w:val="005E3085"/>
    <w:rsid w:val="005F2AA0"/>
    <w:rsid w:val="005F30F3"/>
    <w:rsid w:val="005F51E1"/>
    <w:rsid w:val="005F63C2"/>
    <w:rsid w:val="005F6B5A"/>
    <w:rsid w:val="005F7BD9"/>
    <w:rsid w:val="00600849"/>
    <w:rsid w:val="0060363F"/>
    <w:rsid w:val="00611839"/>
    <w:rsid w:val="00611C80"/>
    <w:rsid w:val="00612584"/>
    <w:rsid w:val="00614A32"/>
    <w:rsid w:val="00617145"/>
    <w:rsid w:val="006172BC"/>
    <w:rsid w:val="00620692"/>
    <w:rsid w:val="006242CA"/>
    <w:rsid w:val="00626254"/>
    <w:rsid w:val="00627507"/>
    <w:rsid w:val="0062790C"/>
    <w:rsid w:val="0063011C"/>
    <w:rsid w:val="00632BC6"/>
    <w:rsid w:val="0063313C"/>
    <w:rsid w:val="00633717"/>
    <w:rsid w:val="006344E1"/>
    <w:rsid w:val="00634738"/>
    <w:rsid w:val="00641267"/>
    <w:rsid w:val="0064196F"/>
    <w:rsid w:val="00643B00"/>
    <w:rsid w:val="006537FB"/>
    <w:rsid w:val="006545C4"/>
    <w:rsid w:val="00656AB1"/>
    <w:rsid w:val="0065791F"/>
    <w:rsid w:val="00661971"/>
    <w:rsid w:val="00661CE8"/>
    <w:rsid w:val="006623D9"/>
    <w:rsid w:val="0066550C"/>
    <w:rsid w:val="00667A00"/>
    <w:rsid w:val="006707E3"/>
    <w:rsid w:val="00670C2F"/>
    <w:rsid w:val="006716F2"/>
    <w:rsid w:val="00673104"/>
    <w:rsid w:val="0067708B"/>
    <w:rsid w:val="00680D5D"/>
    <w:rsid w:val="00682BF2"/>
    <w:rsid w:val="006859CE"/>
    <w:rsid w:val="00685D41"/>
    <w:rsid w:val="00691270"/>
    <w:rsid w:val="00691E79"/>
    <w:rsid w:val="00692869"/>
    <w:rsid w:val="0069329A"/>
    <w:rsid w:val="00693D5E"/>
    <w:rsid w:val="00694BA8"/>
    <w:rsid w:val="0069502C"/>
    <w:rsid w:val="00696BED"/>
    <w:rsid w:val="006A02AC"/>
    <w:rsid w:val="006A037C"/>
    <w:rsid w:val="006A36F4"/>
    <w:rsid w:val="006A406F"/>
    <w:rsid w:val="006A5D3A"/>
    <w:rsid w:val="006A66BC"/>
    <w:rsid w:val="006C0F02"/>
    <w:rsid w:val="006C23D4"/>
    <w:rsid w:val="006C7BB0"/>
    <w:rsid w:val="006D3237"/>
    <w:rsid w:val="006E22A5"/>
    <w:rsid w:val="006E2E37"/>
    <w:rsid w:val="006E3CF1"/>
    <w:rsid w:val="006E7E80"/>
    <w:rsid w:val="006F48CA"/>
    <w:rsid w:val="006F5147"/>
    <w:rsid w:val="006F5ADA"/>
    <w:rsid w:val="006F64DD"/>
    <w:rsid w:val="007008F3"/>
    <w:rsid w:val="00704DCF"/>
    <w:rsid w:val="00711AD6"/>
    <w:rsid w:val="00715127"/>
    <w:rsid w:val="00715E8E"/>
    <w:rsid w:val="0072112F"/>
    <w:rsid w:val="0072246D"/>
    <w:rsid w:val="0072347B"/>
    <w:rsid w:val="00723580"/>
    <w:rsid w:val="00723755"/>
    <w:rsid w:val="00726F0A"/>
    <w:rsid w:val="007309DC"/>
    <w:rsid w:val="00730A1A"/>
    <w:rsid w:val="0073136C"/>
    <w:rsid w:val="00731F0F"/>
    <w:rsid w:val="00733250"/>
    <w:rsid w:val="00741404"/>
    <w:rsid w:val="00743036"/>
    <w:rsid w:val="007449E5"/>
    <w:rsid w:val="00746C5A"/>
    <w:rsid w:val="00747818"/>
    <w:rsid w:val="00747FF0"/>
    <w:rsid w:val="007538BE"/>
    <w:rsid w:val="007538DD"/>
    <w:rsid w:val="007624A7"/>
    <w:rsid w:val="00762973"/>
    <w:rsid w:val="0076372A"/>
    <w:rsid w:val="00763DF7"/>
    <w:rsid w:val="00764D4E"/>
    <w:rsid w:val="00765A1F"/>
    <w:rsid w:val="00775B6D"/>
    <w:rsid w:val="00775E82"/>
    <w:rsid w:val="00776D68"/>
    <w:rsid w:val="00777F17"/>
    <w:rsid w:val="00783A49"/>
    <w:rsid w:val="00784C79"/>
    <w:rsid w:val="007850EE"/>
    <w:rsid w:val="00785909"/>
    <w:rsid w:val="00785B95"/>
    <w:rsid w:val="00785D6E"/>
    <w:rsid w:val="00790E96"/>
    <w:rsid w:val="00793366"/>
    <w:rsid w:val="00794682"/>
    <w:rsid w:val="007A06FE"/>
    <w:rsid w:val="007A0821"/>
    <w:rsid w:val="007A1073"/>
    <w:rsid w:val="007A618B"/>
    <w:rsid w:val="007A716F"/>
    <w:rsid w:val="007B270A"/>
    <w:rsid w:val="007B7893"/>
    <w:rsid w:val="007C0695"/>
    <w:rsid w:val="007C0746"/>
    <w:rsid w:val="007C0FD7"/>
    <w:rsid w:val="007C419A"/>
    <w:rsid w:val="007C4CC8"/>
    <w:rsid w:val="007C5426"/>
    <w:rsid w:val="007C5798"/>
    <w:rsid w:val="007C6FAF"/>
    <w:rsid w:val="007D1FC2"/>
    <w:rsid w:val="007D4832"/>
    <w:rsid w:val="007D6AC4"/>
    <w:rsid w:val="007D7D4E"/>
    <w:rsid w:val="007E21B2"/>
    <w:rsid w:val="007E2C4E"/>
    <w:rsid w:val="007E42C1"/>
    <w:rsid w:val="007E7879"/>
    <w:rsid w:val="007F1905"/>
    <w:rsid w:val="007F2EC5"/>
    <w:rsid w:val="007F3041"/>
    <w:rsid w:val="007F4FAA"/>
    <w:rsid w:val="007F54B1"/>
    <w:rsid w:val="007F7039"/>
    <w:rsid w:val="007F7BBC"/>
    <w:rsid w:val="0080096A"/>
    <w:rsid w:val="00801300"/>
    <w:rsid w:val="00801D24"/>
    <w:rsid w:val="00802BDE"/>
    <w:rsid w:val="00802C64"/>
    <w:rsid w:val="008048CA"/>
    <w:rsid w:val="00805BB9"/>
    <w:rsid w:val="00805DAF"/>
    <w:rsid w:val="00805E52"/>
    <w:rsid w:val="008061D0"/>
    <w:rsid w:val="008063C6"/>
    <w:rsid w:val="00806DF2"/>
    <w:rsid w:val="00810B38"/>
    <w:rsid w:val="0081685E"/>
    <w:rsid w:val="008204C7"/>
    <w:rsid w:val="008204D4"/>
    <w:rsid w:val="00820546"/>
    <w:rsid w:val="008206BC"/>
    <w:rsid w:val="00820992"/>
    <w:rsid w:val="00823602"/>
    <w:rsid w:val="008255F5"/>
    <w:rsid w:val="00827108"/>
    <w:rsid w:val="0083014E"/>
    <w:rsid w:val="008311BB"/>
    <w:rsid w:val="0083214A"/>
    <w:rsid w:val="00834220"/>
    <w:rsid w:val="0083627F"/>
    <w:rsid w:val="00845723"/>
    <w:rsid w:val="00845EE1"/>
    <w:rsid w:val="00847DF2"/>
    <w:rsid w:val="00851EF9"/>
    <w:rsid w:val="0085331C"/>
    <w:rsid w:val="008536FB"/>
    <w:rsid w:val="00855DBE"/>
    <w:rsid w:val="008577FD"/>
    <w:rsid w:val="00860261"/>
    <w:rsid w:val="00860B03"/>
    <w:rsid w:val="0086497A"/>
    <w:rsid w:val="00867CC0"/>
    <w:rsid w:val="008713A1"/>
    <w:rsid w:val="008754AB"/>
    <w:rsid w:val="008762C0"/>
    <w:rsid w:val="00880449"/>
    <w:rsid w:val="0088060C"/>
    <w:rsid w:val="0088072A"/>
    <w:rsid w:val="00883F85"/>
    <w:rsid w:val="00884FC3"/>
    <w:rsid w:val="008854CB"/>
    <w:rsid w:val="00892FC1"/>
    <w:rsid w:val="00893576"/>
    <w:rsid w:val="00893E73"/>
    <w:rsid w:val="008A53FE"/>
    <w:rsid w:val="008B02DC"/>
    <w:rsid w:val="008B51FC"/>
    <w:rsid w:val="008B57CE"/>
    <w:rsid w:val="008C26DE"/>
    <w:rsid w:val="008C377C"/>
    <w:rsid w:val="008C4CE7"/>
    <w:rsid w:val="008C7BA8"/>
    <w:rsid w:val="008D2225"/>
    <w:rsid w:val="008D4752"/>
    <w:rsid w:val="008D5B6E"/>
    <w:rsid w:val="008E0C6A"/>
    <w:rsid w:val="008E271C"/>
    <w:rsid w:val="008E318F"/>
    <w:rsid w:val="008E3635"/>
    <w:rsid w:val="008E3C62"/>
    <w:rsid w:val="008E418E"/>
    <w:rsid w:val="008E4F31"/>
    <w:rsid w:val="008E5BC6"/>
    <w:rsid w:val="008E6A25"/>
    <w:rsid w:val="008E6DE3"/>
    <w:rsid w:val="008E7179"/>
    <w:rsid w:val="008E7C61"/>
    <w:rsid w:val="008F13BE"/>
    <w:rsid w:val="008F204E"/>
    <w:rsid w:val="008F3555"/>
    <w:rsid w:val="008F5193"/>
    <w:rsid w:val="00900E8E"/>
    <w:rsid w:val="009013A7"/>
    <w:rsid w:val="009017FB"/>
    <w:rsid w:val="009017FC"/>
    <w:rsid w:val="0090506B"/>
    <w:rsid w:val="009050C9"/>
    <w:rsid w:val="009066FC"/>
    <w:rsid w:val="00906ABC"/>
    <w:rsid w:val="00910AB3"/>
    <w:rsid w:val="009140A3"/>
    <w:rsid w:val="009144A2"/>
    <w:rsid w:val="0091510C"/>
    <w:rsid w:val="00920EC8"/>
    <w:rsid w:val="009259AC"/>
    <w:rsid w:val="00926AF8"/>
    <w:rsid w:val="00926F38"/>
    <w:rsid w:val="00930C3E"/>
    <w:rsid w:val="00934301"/>
    <w:rsid w:val="0093514B"/>
    <w:rsid w:val="00936CD1"/>
    <w:rsid w:val="00941747"/>
    <w:rsid w:val="00941EFB"/>
    <w:rsid w:val="00947AFB"/>
    <w:rsid w:val="00951D7D"/>
    <w:rsid w:val="00954235"/>
    <w:rsid w:val="00954F39"/>
    <w:rsid w:val="00962034"/>
    <w:rsid w:val="009620C0"/>
    <w:rsid w:val="009628B1"/>
    <w:rsid w:val="009630C7"/>
    <w:rsid w:val="0096517F"/>
    <w:rsid w:val="009658E0"/>
    <w:rsid w:val="00971EF9"/>
    <w:rsid w:val="00972B55"/>
    <w:rsid w:val="009743B7"/>
    <w:rsid w:val="0097571E"/>
    <w:rsid w:val="00975DB3"/>
    <w:rsid w:val="00976266"/>
    <w:rsid w:val="00980354"/>
    <w:rsid w:val="00981CBF"/>
    <w:rsid w:val="0098228B"/>
    <w:rsid w:val="009828DA"/>
    <w:rsid w:val="00984C5A"/>
    <w:rsid w:val="00985BAB"/>
    <w:rsid w:val="00994625"/>
    <w:rsid w:val="00995ECE"/>
    <w:rsid w:val="0099737F"/>
    <w:rsid w:val="009A15AC"/>
    <w:rsid w:val="009A29F5"/>
    <w:rsid w:val="009A3B24"/>
    <w:rsid w:val="009A7810"/>
    <w:rsid w:val="009B1B5F"/>
    <w:rsid w:val="009B1BA9"/>
    <w:rsid w:val="009B62E5"/>
    <w:rsid w:val="009B6673"/>
    <w:rsid w:val="009C191B"/>
    <w:rsid w:val="009C1BE0"/>
    <w:rsid w:val="009C2BD6"/>
    <w:rsid w:val="009C4570"/>
    <w:rsid w:val="009C6479"/>
    <w:rsid w:val="009C6C37"/>
    <w:rsid w:val="009D121E"/>
    <w:rsid w:val="009D36B1"/>
    <w:rsid w:val="009D382C"/>
    <w:rsid w:val="009E1F32"/>
    <w:rsid w:val="009E2D07"/>
    <w:rsid w:val="009E3E70"/>
    <w:rsid w:val="009E776C"/>
    <w:rsid w:val="009F2C46"/>
    <w:rsid w:val="009F7B90"/>
    <w:rsid w:val="00A027E5"/>
    <w:rsid w:val="00A06427"/>
    <w:rsid w:val="00A11AEF"/>
    <w:rsid w:val="00A12825"/>
    <w:rsid w:val="00A16365"/>
    <w:rsid w:val="00A1726E"/>
    <w:rsid w:val="00A204CF"/>
    <w:rsid w:val="00A20CA9"/>
    <w:rsid w:val="00A23D49"/>
    <w:rsid w:val="00A2597F"/>
    <w:rsid w:val="00A27004"/>
    <w:rsid w:val="00A2736A"/>
    <w:rsid w:val="00A30C29"/>
    <w:rsid w:val="00A34DD6"/>
    <w:rsid w:val="00A35336"/>
    <w:rsid w:val="00A36819"/>
    <w:rsid w:val="00A36989"/>
    <w:rsid w:val="00A43628"/>
    <w:rsid w:val="00A54192"/>
    <w:rsid w:val="00A55142"/>
    <w:rsid w:val="00A55C9E"/>
    <w:rsid w:val="00A6035E"/>
    <w:rsid w:val="00A6144C"/>
    <w:rsid w:val="00A64A22"/>
    <w:rsid w:val="00A66617"/>
    <w:rsid w:val="00A671F8"/>
    <w:rsid w:val="00A673A4"/>
    <w:rsid w:val="00A724AE"/>
    <w:rsid w:val="00A73329"/>
    <w:rsid w:val="00A757DC"/>
    <w:rsid w:val="00A76476"/>
    <w:rsid w:val="00A819F4"/>
    <w:rsid w:val="00A82359"/>
    <w:rsid w:val="00A82A3F"/>
    <w:rsid w:val="00A84A71"/>
    <w:rsid w:val="00A853F2"/>
    <w:rsid w:val="00A865D2"/>
    <w:rsid w:val="00A94C20"/>
    <w:rsid w:val="00A94D0F"/>
    <w:rsid w:val="00A9640A"/>
    <w:rsid w:val="00A96C80"/>
    <w:rsid w:val="00A96F16"/>
    <w:rsid w:val="00A97833"/>
    <w:rsid w:val="00AA227F"/>
    <w:rsid w:val="00AA3998"/>
    <w:rsid w:val="00AA3BC7"/>
    <w:rsid w:val="00AA754A"/>
    <w:rsid w:val="00AB099E"/>
    <w:rsid w:val="00AB4328"/>
    <w:rsid w:val="00AB4950"/>
    <w:rsid w:val="00AB6828"/>
    <w:rsid w:val="00AC310F"/>
    <w:rsid w:val="00AC396B"/>
    <w:rsid w:val="00AC3AF6"/>
    <w:rsid w:val="00AC3E3E"/>
    <w:rsid w:val="00AC4AA0"/>
    <w:rsid w:val="00AC7B4F"/>
    <w:rsid w:val="00AE0A2E"/>
    <w:rsid w:val="00AE1D2C"/>
    <w:rsid w:val="00AE354C"/>
    <w:rsid w:val="00AE42DD"/>
    <w:rsid w:val="00AF3657"/>
    <w:rsid w:val="00AF4B07"/>
    <w:rsid w:val="00AF6186"/>
    <w:rsid w:val="00AF7A3A"/>
    <w:rsid w:val="00B01A53"/>
    <w:rsid w:val="00B160DB"/>
    <w:rsid w:val="00B20836"/>
    <w:rsid w:val="00B235BB"/>
    <w:rsid w:val="00B2505C"/>
    <w:rsid w:val="00B27A44"/>
    <w:rsid w:val="00B30BBF"/>
    <w:rsid w:val="00B31BEB"/>
    <w:rsid w:val="00B33C03"/>
    <w:rsid w:val="00B36A69"/>
    <w:rsid w:val="00B44902"/>
    <w:rsid w:val="00B44E56"/>
    <w:rsid w:val="00B46543"/>
    <w:rsid w:val="00B47B2B"/>
    <w:rsid w:val="00B47D33"/>
    <w:rsid w:val="00B51066"/>
    <w:rsid w:val="00B515FE"/>
    <w:rsid w:val="00B520D8"/>
    <w:rsid w:val="00B52BCE"/>
    <w:rsid w:val="00B52BE0"/>
    <w:rsid w:val="00B54133"/>
    <w:rsid w:val="00B56338"/>
    <w:rsid w:val="00B5769F"/>
    <w:rsid w:val="00B701ED"/>
    <w:rsid w:val="00B71C74"/>
    <w:rsid w:val="00B8086C"/>
    <w:rsid w:val="00B808A3"/>
    <w:rsid w:val="00B861B4"/>
    <w:rsid w:val="00B8686C"/>
    <w:rsid w:val="00B86C60"/>
    <w:rsid w:val="00B86DFE"/>
    <w:rsid w:val="00B90990"/>
    <w:rsid w:val="00B922FF"/>
    <w:rsid w:val="00B9281E"/>
    <w:rsid w:val="00B93925"/>
    <w:rsid w:val="00B95187"/>
    <w:rsid w:val="00BA2D55"/>
    <w:rsid w:val="00BA2F7C"/>
    <w:rsid w:val="00BA4D74"/>
    <w:rsid w:val="00BA71B1"/>
    <w:rsid w:val="00BB0637"/>
    <w:rsid w:val="00BB0C70"/>
    <w:rsid w:val="00BB1809"/>
    <w:rsid w:val="00BB345F"/>
    <w:rsid w:val="00BB4019"/>
    <w:rsid w:val="00BB4127"/>
    <w:rsid w:val="00BB68EA"/>
    <w:rsid w:val="00BC0D60"/>
    <w:rsid w:val="00BC1C27"/>
    <w:rsid w:val="00BC6BBF"/>
    <w:rsid w:val="00BD1572"/>
    <w:rsid w:val="00BD3433"/>
    <w:rsid w:val="00BD3959"/>
    <w:rsid w:val="00BD5E04"/>
    <w:rsid w:val="00BE14E3"/>
    <w:rsid w:val="00BE3774"/>
    <w:rsid w:val="00BE3DD5"/>
    <w:rsid w:val="00BE41E5"/>
    <w:rsid w:val="00BE7633"/>
    <w:rsid w:val="00BF2F86"/>
    <w:rsid w:val="00BF4109"/>
    <w:rsid w:val="00BF4CC3"/>
    <w:rsid w:val="00C00C0E"/>
    <w:rsid w:val="00C00EF9"/>
    <w:rsid w:val="00C054C7"/>
    <w:rsid w:val="00C057B5"/>
    <w:rsid w:val="00C10A26"/>
    <w:rsid w:val="00C11F12"/>
    <w:rsid w:val="00C12C9D"/>
    <w:rsid w:val="00C13833"/>
    <w:rsid w:val="00C15D23"/>
    <w:rsid w:val="00C22687"/>
    <w:rsid w:val="00C23368"/>
    <w:rsid w:val="00C31EC2"/>
    <w:rsid w:val="00C32E4D"/>
    <w:rsid w:val="00C333A0"/>
    <w:rsid w:val="00C36A81"/>
    <w:rsid w:val="00C41974"/>
    <w:rsid w:val="00C4349E"/>
    <w:rsid w:val="00C521F4"/>
    <w:rsid w:val="00C5346B"/>
    <w:rsid w:val="00C53C0C"/>
    <w:rsid w:val="00C53F4A"/>
    <w:rsid w:val="00C54125"/>
    <w:rsid w:val="00C55B54"/>
    <w:rsid w:val="00C6098E"/>
    <w:rsid w:val="00C60A75"/>
    <w:rsid w:val="00C6152C"/>
    <w:rsid w:val="00C621C2"/>
    <w:rsid w:val="00C6480D"/>
    <w:rsid w:val="00C649E8"/>
    <w:rsid w:val="00C722C9"/>
    <w:rsid w:val="00C727A4"/>
    <w:rsid w:val="00C74810"/>
    <w:rsid w:val="00C74A8E"/>
    <w:rsid w:val="00C81291"/>
    <w:rsid w:val="00C90D68"/>
    <w:rsid w:val="00C921C3"/>
    <w:rsid w:val="00C9265D"/>
    <w:rsid w:val="00C939FE"/>
    <w:rsid w:val="00C94C80"/>
    <w:rsid w:val="00CA0177"/>
    <w:rsid w:val="00CA0436"/>
    <w:rsid w:val="00CA10A2"/>
    <w:rsid w:val="00CA1514"/>
    <w:rsid w:val="00CA3666"/>
    <w:rsid w:val="00CA4BDA"/>
    <w:rsid w:val="00CA5833"/>
    <w:rsid w:val="00CB1F66"/>
    <w:rsid w:val="00CB2951"/>
    <w:rsid w:val="00CB477B"/>
    <w:rsid w:val="00CC25B5"/>
    <w:rsid w:val="00CD282B"/>
    <w:rsid w:val="00CD4C35"/>
    <w:rsid w:val="00CD7369"/>
    <w:rsid w:val="00CE0B0E"/>
    <w:rsid w:val="00CE3831"/>
    <w:rsid w:val="00CE3A6A"/>
    <w:rsid w:val="00CE5947"/>
    <w:rsid w:val="00CE7666"/>
    <w:rsid w:val="00CF24E8"/>
    <w:rsid w:val="00D00176"/>
    <w:rsid w:val="00D00611"/>
    <w:rsid w:val="00D00ABB"/>
    <w:rsid w:val="00D01CB8"/>
    <w:rsid w:val="00D028AD"/>
    <w:rsid w:val="00D02EEC"/>
    <w:rsid w:val="00D03551"/>
    <w:rsid w:val="00D06A63"/>
    <w:rsid w:val="00D07E0E"/>
    <w:rsid w:val="00D11478"/>
    <w:rsid w:val="00D15ED0"/>
    <w:rsid w:val="00D21B3E"/>
    <w:rsid w:val="00D21FED"/>
    <w:rsid w:val="00D23015"/>
    <w:rsid w:val="00D24251"/>
    <w:rsid w:val="00D343E2"/>
    <w:rsid w:val="00D361A2"/>
    <w:rsid w:val="00D428C9"/>
    <w:rsid w:val="00D44C2E"/>
    <w:rsid w:val="00D45414"/>
    <w:rsid w:val="00D45F84"/>
    <w:rsid w:val="00D47DE3"/>
    <w:rsid w:val="00D50EB0"/>
    <w:rsid w:val="00D54F43"/>
    <w:rsid w:val="00D566BD"/>
    <w:rsid w:val="00D57A4D"/>
    <w:rsid w:val="00D60AA7"/>
    <w:rsid w:val="00D60D87"/>
    <w:rsid w:val="00D6435F"/>
    <w:rsid w:val="00D679BF"/>
    <w:rsid w:val="00D67F3D"/>
    <w:rsid w:val="00D71B68"/>
    <w:rsid w:val="00D71E61"/>
    <w:rsid w:val="00D72206"/>
    <w:rsid w:val="00D741AF"/>
    <w:rsid w:val="00D75E28"/>
    <w:rsid w:val="00D772C2"/>
    <w:rsid w:val="00D8008E"/>
    <w:rsid w:val="00D80519"/>
    <w:rsid w:val="00D82009"/>
    <w:rsid w:val="00D82C45"/>
    <w:rsid w:val="00D908A8"/>
    <w:rsid w:val="00D94120"/>
    <w:rsid w:val="00D962FA"/>
    <w:rsid w:val="00D977B6"/>
    <w:rsid w:val="00DA37A6"/>
    <w:rsid w:val="00DA4A31"/>
    <w:rsid w:val="00DA6D75"/>
    <w:rsid w:val="00DA7B04"/>
    <w:rsid w:val="00DB36C2"/>
    <w:rsid w:val="00DB439B"/>
    <w:rsid w:val="00DB4522"/>
    <w:rsid w:val="00DC169B"/>
    <w:rsid w:val="00DC2AB9"/>
    <w:rsid w:val="00DC3867"/>
    <w:rsid w:val="00DC63F0"/>
    <w:rsid w:val="00DD245C"/>
    <w:rsid w:val="00DD36B7"/>
    <w:rsid w:val="00DD419C"/>
    <w:rsid w:val="00DD6EE5"/>
    <w:rsid w:val="00DE1991"/>
    <w:rsid w:val="00DE2122"/>
    <w:rsid w:val="00DE386C"/>
    <w:rsid w:val="00DE4D35"/>
    <w:rsid w:val="00DE7071"/>
    <w:rsid w:val="00DF0549"/>
    <w:rsid w:val="00DF098B"/>
    <w:rsid w:val="00DF11C4"/>
    <w:rsid w:val="00DF210C"/>
    <w:rsid w:val="00DF4B6A"/>
    <w:rsid w:val="00DF592F"/>
    <w:rsid w:val="00DF7493"/>
    <w:rsid w:val="00E01CC7"/>
    <w:rsid w:val="00E02C09"/>
    <w:rsid w:val="00E04D59"/>
    <w:rsid w:val="00E07DA1"/>
    <w:rsid w:val="00E1087E"/>
    <w:rsid w:val="00E123CB"/>
    <w:rsid w:val="00E178DF"/>
    <w:rsid w:val="00E20E13"/>
    <w:rsid w:val="00E21DBC"/>
    <w:rsid w:val="00E26B68"/>
    <w:rsid w:val="00E275D7"/>
    <w:rsid w:val="00E27DBE"/>
    <w:rsid w:val="00E32AB1"/>
    <w:rsid w:val="00E32B2C"/>
    <w:rsid w:val="00E357A0"/>
    <w:rsid w:val="00E36C71"/>
    <w:rsid w:val="00E40404"/>
    <w:rsid w:val="00E459C6"/>
    <w:rsid w:val="00E47589"/>
    <w:rsid w:val="00E520A5"/>
    <w:rsid w:val="00E532EB"/>
    <w:rsid w:val="00E604F6"/>
    <w:rsid w:val="00E623DE"/>
    <w:rsid w:val="00E64915"/>
    <w:rsid w:val="00E661D4"/>
    <w:rsid w:val="00E70091"/>
    <w:rsid w:val="00E717FB"/>
    <w:rsid w:val="00E720F5"/>
    <w:rsid w:val="00E72FE2"/>
    <w:rsid w:val="00E75ABD"/>
    <w:rsid w:val="00E76D47"/>
    <w:rsid w:val="00E80218"/>
    <w:rsid w:val="00E849F7"/>
    <w:rsid w:val="00E85F0E"/>
    <w:rsid w:val="00E90302"/>
    <w:rsid w:val="00E93B23"/>
    <w:rsid w:val="00E97396"/>
    <w:rsid w:val="00EA185E"/>
    <w:rsid w:val="00EA3D05"/>
    <w:rsid w:val="00EA592A"/>
    <w:rsid w:val="00EB08E6"/>
    <w:rsid w:val="00EB14E4"/>
    <w:rsid w:val="00EB32A5"/>
    <w:rsid w:val="00EB34ED"/>
    <w:rsid w:val="00EB7BE0"/>
    <w:rsid w:val="00EC315E"/>
    <w:rsid w:val="00EC3BB6"/>
    <w:rsid w:val="00ED077C"/>
    <w:rsid w:val="00ED1190"/>
    <w:rsid w:val="00ED14F1"/>
    <w:rsid w:val="00ED459F"/>
    <w:rsid w:val="00ED6544"/>
    <w:rsid w:val="00ED66B6"/>
    <w:rsid w:val="00EE0277"/>
    <w:rsid w:val="00EE1DA9"/>
    <w:rsid w:val="00EE20B3"/>
    <w:rsid w:val="00EE3E00"/>
    <w:rsid w:val="00EE5DD2"/>
    <w:rsid w:val="00EF5814"/>
    <w:rsid w:val="00F00A79"/>
    <w:rsid w:val="00F00E86"/>
    <w:rsid w:val="00F015A0"/>
    <w:rsid w:val="00F01E1A"/>
    <w:rsid w:val="00F02438"/>
    <w:rsid w:val="00F03BBC"/>
    <w:rsid w:val="00F04106"/>
    <w:rsid w:val="00F07C1E"/>
    <w:rsid w:val="00F105DB"/>
    <w:rsid w:val="00F132BC"/>
    <w:rsid w:val="00F13D80"/>
    <w:rsid w:val="00F154A8"/>
    <w:rsid w:val="00F15568"/>
    <w:rsid w:val="00F15569"/>
    <w:rsid w:val="00F158E6"/>
    <w:rsid w:val="00F16AAA"/>
    <w:rsid w:val="00F21161"/>
    <w:rsid w:val="00F218EF"/>
    <w:rsid w:val="00F21BC7"/>
    <w:rsid w:val="00F266A2"/>
    <w:rsid w:val="00F27569"/>
    <w:rsid w:val="00F31F15"/>
    <w:rsid w:val="00F32269"/>
    <w:rsid w:val="00F37B44"/>
    <w:rsid w:val="00F46E4C"/>
    <w:rsid w:val="00F5066C"/>
    <w:rsid w:val="00F51214"/>
    <w:rsid w:val="00F56028"/>
    <w:rsid w:val="00F56A6F"/>
    <w:rsid w:val="00F56AD6"/>
    <w:rsid w:val="00F5709C"/>
    <w:rsid w:val="00F57C05"/>
    <w:rsid w:val="00F64EF1"/>
    <w:rsid w:val="00F6516D"/>
    <w:rsid w:val="00F6788E"/>
    <w:rsid w:val="00F7063D"/>
    <w:rsid w:val="00F77327"/>
    <w:rsid w:val="00F77795"/>
    <w:rsid w:val="00F77E37"/>
    <w:rsid w:val="00F8765F"/>
    <w:rsid w:val="00F90767"/>
    <w:rsid w:val="00F90DB7"/>
    <w:rsid w:val="00F91A61"/>
    <w:rsid w:val="00F92908"/>
    <w:rsid w:val="00F953B6"/>
    <w:rsid w:val="00FA1BDE"/>
    <w:rsid w:val="00FA685B"/>
    <w:rsid w:val="00FA68BD"/>
    <w:rsid w:val="00FA68FC"/>
    <w:rsid w:val="00FB0C01"/>
    <w:rsid w:val="00FB4DE8"/>
    <w:rsid w:val="00FB514B"/>
    <w:rsid w:val="00FB6136"/>
    <w:rsid w:val="00FC18F2"/>
    <w:rsid w:val="00FC33D4"/>
    <w:rsid w:val="00FC39E5"/>
    <w:rsid w:val="00FC3A78"/>
    <w:rsid w:val="00FC41C6"/>
    <w:rsid w:val="00FC4D67"/>
    <w:rsid w:val="00FD07B5"/>
    <w:rsid w:val="00FD1005"/>
    <w:rsid w:val="00FD4C52"/>
    <w:rsid w:val="00FD6C75"/>
    <w:rsid w:val="00FE1923"/>
    <w:rsid w:val="00FE71B3"/>
    <w:rsid w:val="00FF42C5"/>
    <w:rsid w:val="00FF716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6385"/>
    <o:shapelayout v:ext="edit">
      <o:idmap v:ext="edit" data="1"/>
    </o:shapelayout>
  </w:shapeDefaults>
  <w:decimalSymbol w:val=","/>
  <w:listSeparator w:val=";"/>
  <w14:docId w14:val="3B9D67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iPriority="48"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0E2315"/>
    <w:pPr>
      <w:jc w:val="both"/>
    </w:pPr>
    <w:rPr>
      <w:rFonts w:eastAsiaTheme="minorEastAsia"/>
      <w:sz w:val="24"/>
    </w:rPr>
  </w:style>
  <w:style w:type="paragraph" w:styleId="Heading1">
    <w:name w:val="heading 1"/>
    <w:basedOn w:val="Normal"/>
    <w:next w:val="Normal"/>
    <w:link w:val="Heading1Char"/>
    <w:uiPriority w:val="99"/>
    <w:semiHidden/>
    <w:rsid w:val="00941747"/>
    <w:pPr>
      <w:numPr>
        <w:numId w:val="11"/>
      </w:numPr>
      <w:spacing w:before="480"/>
      <w:contextualSpacing/>
      <w:jc w:val="left"/>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941747"/>
    <w:pPr>
      <w:numPr>
        <w:ilvl w:val="1"/>
        <w:numId w:val="11"/>
      </w:numPr>
      <w:spacing w:before="200"/>
      <w:jc w:val="left"/>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941747"/>
    <w:pPr>
      <w:numPr>
        <w:ilvl w:val="2"/>
        <w:numId w:val="11"/>
      </w:numPr>
      <w:spacing w:before="200" w:line="271" w:lineRule="auto"/>
      <w:jc w:val="left"/>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941747"/>
    <w:pPr>
      <w:numPr>
        <w:ilvl w:val="3"/>
        <w:numId w:val="11"/>
      </w:numPr>
      <w:spacing w:before="200"/>
      <w:jc w:val="left"/>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0E2315"/>
    <w:pPr>
      <w:spacing w:before="200"/>
      <w:outlineLvl w:val="4"/>
    </w:pPr>
    <w:rPr>
      <w:rFonts w:asciiTheme="majorHAnsi" w:eastAsiaTheme="majorEastAsia" w:hAnsiTheme="majorHAnsi" w:cstheme="majorBidi"/>
      <w:b/>
      <w:bCs/>
      <w:color w:val="808080"/>
      <w:sz w:val="22"/>
    </w:rPr>
  </w:style>
  <w:style w:type="paragraph" w:styleId="Heading6">
    <w:name w:val="heading 6"/>
    <w:basedOn w:val="Normal"/>
    <w:next w:val="Normal"/>
    <w:link w:val="Heading6Char"/>
    <w:uiPriority w:val="99"/>
    <w:semiHidden/>
    <w:rsid w:val="00941747"/>
    <w:pPr>
      <w:numPr>
        <w:ilvl w:val="5"/>
        <w:numId w:val="11"/>
      </w:numPr>
      <w:spacing w:line="271" w:lineRule="auto"/>
      <w:jc w:val="left"/>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0E2315"/>
    <w:pPr>
      <w:outlineLvl w:val="6"/>
    </w:pPr>
    <w:rPr>
      <w:rFonts w:asciiTheme="majorHAnsi" w:eastAsiaTheme="majorEastAsia" w:hAnsiTheme="majorHAnsi" w:cstheme="majorBidi"/>
      <w:i/>
      <w:iCs/>
      <w:sz w:val="22"/>
      <w:lang w:bidi="en-US"/>
    </w:rPr>
  </w:style>
  <w:style w:type="paragraph" w:styleId="Heading8">
    <w:name w:val="heading 8"/>
    <w:basedOn w:val="Normal"/>
    <w:next w:val="Normal"/>
    <w:link w:val="Heading8Char"/>
    <w:uiPriority w:val="99"/>
    <w:semiHidden/>
    <w:qFormat/>
    <w:rsid w:val="000E2315"/>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0E2315"/>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941747"/>
    <w:rPr>
      <w:rFonts w:ascii="Tahoma" w:hAnsi="Tahoma" w:cs="Tahoma"/>
      <w:sz w:val="16"/>
      <w:szCs w:val="16"/>
    </w:rPr>
  </w:style>
  <w:style w:type="character" w:customStyle="1" w:styleId="BalloonTextChar">
    <w:name w:val="Balloon Text Char"/>
    <w:basedOn w:val="DefaultParagraphFont"/>
    <w:link w:val="BalloonText"/>
    <w:uiPriority w:val="99"/>
    <w:semiHidden/>
    <w:rsid w:val="00A671F8"/>
    <w:rPr>
      <w:rFonts w:ascii="Tahoma" w:eastAsiaTheme="minorEastAsia" w:hAnsi="Tahoma" w:cs="Tahoma"/>
      <w:sz w:val="16"/>
      <w:szCs w:val="16"/>
    </w:rPr>
  </w:style>
  <w:style w:type="character" w:styleId="BookTitle">
    <w:name w:val="Book Title"/>
    <w:uiPriority w:val="99"/>
    <w:semiHidden/>
    <w:qFormat/>
    <w:rsid w:val="000E2315"/>
    <w:rPr>
      <w:i/>
      <w:iCs/>
      <w:smallCaps/>
      <w:spacing w:val="5"/>
    </w:rPr>
  </w:style>
  <w:style w:type="paragraph" w:customStyle="1" w:styleId="ECHRHeader">
    <w:name w:val="ECHR_Header"/>
    <w:aliases w:val="Ju_Header"/>
    <w:basedOn w:val="Header"/>
    <w:uiPriority w:val="4"/>
    <w:qFormat/>
    <w:rsid w:val="000E2315"/>
    <w:pPr>
      <w:tabs>
        <w:tab w:val="clear" w:pos="4536"/>
        <w:tab w:val="clear" w:pos="9696"/>
        <w:tab w:val="center" w:pos="3686"/>
        <w:tab w:val="right" w:pos="7371"/>
      </w:tabs>
      <w:ind w:left="0" w:right="0"/>
      <w:jc w:val="left"/>
    </w:pPr>
    <w:rPr>
      <w:rFonts w:eastAsiaTheme="minorHAnsi"/>
      <w:sz w:val="18"/>
    </w:rPr>
  </w:style>
  <w:style w:type="paragraph" w:customStyle="1" w:styleId="OpiPara">
    <w:name w:val="Opi_Para"/>
    <w:basedOn w:val="ECHRPara"/>
    <w:uiPriority w:val="46"/>
    <w:qFormat/>
    <w:rsid w:val="000E2315"/>
  </w:style>
  <w:style w:type="character" w:styleId="Strong">
    <w:name w:val="Strong"/>
    <w:uiPriority w:val="99"/>
    <w:semiHidden/>
    <w:qFormat/>
    <w:rsid w:val="000E2315"/>
    <w:rPr>
      <w:b/>
      <w:bCs/>
    </w:rPr>
  </w:style>
  <w:style w:type="paragraph" w:styleId="NoSpacing">
    <w:name w:val="No Spacing"/>
    <w:basedOn w:val="Normal"/>
    <w:link w:val="NoSpacingChar"/>
    <w:semiHidden/>
    <w:qFormat/>
    <w:rsid w:val="000E2315"/>
    <w:rPr>
      <w:sz w:val="22"/>
    </w:rPr>
  </w:style>
  <w:style w:type="character" w:customStyle="1" w:styleId="NoSpacingChar">
    <w:name w:val="No Spacing Char"/>
    <w:basedOn w:val="DefaultParagraphFont"/>
    <w:link w:val="NoSpacing"/>
    <w:semiHidden/>
    <w:rsid w:val="000E2315"/>
    <w:rPr>
      <w:rFonts w:eastAsiaTheme="minorEastAsia"/>
    </w:rPr>
  </w:style>
  <w:style w:type="paragraph" w:customStyle="1" w:styleId="JuParaSub">
    <w:name w:val="Ju_Para_Sub"/>
    <w:basedOn w:val="ECHRPara"/>
    <w:uiPriority w:val="13"/>
    <w:qFormat/>
    <w:rsid w:val="000E2315"/>
    <w:pPr>
      <w:ind w:left="284"/>
    </w:pPr>
  </w:style>
  <w:style w:type="paragraph" w:customStyle="1" w:styleId="OpiParaSub">
    <w:name w:val="Opi_Para_Sub"/>
    <w:basedOn w:val="JuParaSub"/>
    <w:uiPriority w:val="47"/>
    <w:qFormat/>
    <w:rsid w:val="000E2315"/>
  </w:style>
  <w:style w:type="paragraph" w:customStyle="1" w:styleId="OpiQuot">
    <w:name w:val="Opi_Quot"/>
    <w:basedOn w:val="ECHRParaQuote"/>
    <w:uiPriority w:val="48"/>
    <w:qFormat/>
    <w:rsid w:val="000E2315"/>
  </w:style>
  <w:style w:type="paragraph" w:customStyle="1" w:styleId="OpiQuotSub">
    <w:name w:val="Opi_Quot_Sub"/>
    <w:basedOn w:val="JuQuotSub"/>
    <w:uiPriority w:val="49"/>
    <w:qFormat/>
    <w:rsid w:val="000E2315"/>
  </w:style>
  <w:style w:type="paragraph" w:customStyle="1" w:styleId="ECHRTitleCentre3">
    <w:name w:val="ECHR_Title_Centre_3"/>
    <w:aliases w:val="Ju_H_Article"/>
    <w:basedOn w:val="Normal"/>
    <w:next w:val="ECHRParaQuote"/>
    <w:uiPriority w:val="27"/>
    <w:qFormat/>
    <w:rsid w:val="000E2315"/>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OpiPara"/>
    <w:uiPriority w:val="39"/>
    <w:qFormat/>
    <w:rsid w:val="000E2315"/>
    <w:pPr>
      <w:keepNext/>
      <w:keepLines/>
      <w:spacing w:after="240"/>
      <w:jc w:val="center"/>
      <w:outlineLvl w:val="0"/>
    </w:pPr>
    <w:rPr>
      <w:rFonts w:asciiTheme="majorHAnsi" w:hAnsiTheme="majorHAnsi"/>
      <w:sz w:val="28"/>
    </w:rPr>
  </w:style>
  <w:style w:type="paragraph" w:customStyle="1" w:styleId="JuQuotSub">
    <w:name w:val="Ju_Quot_Sub"/>
    <w:basedOn w:val="ECHRParaQuote"/>
    <w:uiPriority w:val="15"/>
    <w:qFormat/>
    <w:rsid w:val="000E2315"/>
    <w:pPr>
      <w:ind w:left="567"/>
    </w:pPr>
  </w:style>
  <w:style w:type="paragraph" w:customStyle="1" w:styleId="JuInitialled">
    <w:name w:val="Ju_Initialled"/>
    <w:basedOn w:val="Normal"/>
    <w:qFormat/>
    <w:rsid w:val="000E2315"/>
    <w:pPr>
      <w:tabs>
        <w:tab w:val="center" w:pos="6407"/>
      </w:tabs>
      <w:spacing w:before="720"/>
      <w:jc w:val="right"/>
    </w:pPr>
  </w:style>
  <w:style w:type="paragraph" w:customStyle="1" w:styleId="OpiHA">
    <w:name w:val="Opi_H_A"/>
    <w:basedOn w:val="ECHRHeading1"/>
    <w:next w:val="OpiPara"/>
    <w:uiPriority w:val="41"/>
    <w:qFormat/>
    <w:rsid w:val="000E2315"/>
    <w:pPr>
      <w:tabs>
        <w:tab w:val="clear" w:pos="357"/>
      </w:tabs>
      <w:outlineLvl w:val="1"/>
    </w:pPr>
    <w:rPr>
      <w:b/>
    </w:rPr>
  </w:style>
  <w:style w:type="character" w:customStyle="1" w:styleId="JUNAMES">
    <w:name w:val="JU_NAMES"/>
    <w:uiPriority w:val="17"/>
    <w:qFormat/>
    <w:rsid w:val="000E2315"/>
    <w:rPr>
      <w:caps w:val="0"/>
      <w:smallCaps/>
    </w:rPr>
  </w:style>
  <w:style w:type="paragraph" w:customStyle="1" w:styleId="OpiTranslation">
    <w:name w:val="Opi_Translation"/>
    <w:basedOn w:val="Normal"/>
    <w:next w:val="OpiPara"/>
    <w:uiPriority w:val="40"/>
    <w:qFormat/>
    <w:rsid w:val="000E2315"/>
    <w:pPr>
      <w:jc w:val="center"/>
      <w:outlineLvl w:val="0"/>
    </w:pPr>
    <w:rPr>
      <w:i/>
    </w:rPr>
  </w:style>
  <w:style w:type="paragraph" w:styleId="Title">
    <w:name w:val="Title"/>
    <w:basedOn w:val="Normal"/>
    <w:next w:val="Normal"/>
    <w:link w:val="TitleChar"/>
    <w:uiPriority w:val="99"/>
    <w:semiHidden/>
    <w:qFormat/>
    <w:rsid w:val="000E2315"/>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semiHidden/>
    <w:rsid w:val="000E2315"/>
    <w:rPr>
      <w:rFonts w:asciiTheme="majorHAnsi" w:eastAsiaTheme="majorEastAsia" w:hAnsiTheme="majorHAnsi" w:cstheme="majorBidi"/>
      <w:spacing w:val="5"/>
      <w:sz w:val="52"/>
      <w:szCs w:val="52"/>
      <w:lang w:bidi="en-US"/>
    </w:rPr>
  </w:style>
  <w:style w:type="paragraph" w:customStyle="1" w:styleId="ECHRHeading3">
    <w:name w:val="ECHR_Heading_3"/>
    <w:aliases w:val="Ju_H_1."/>
    <w:basedOn w:val="Heading3"/>
    <w:next w:val="ECHRPara"/>
    <w:uiPriority w:val="21"/>
    <w:qFormat/>
    <w:rsid w:val="000E2315"/>
    <w:pPr>
      <w:keepNext/>
      <w:keepLines/>
      <w:numPr>
        <w:ilvl w:val="0"/>
        <w:numId w:val="0"/>
      </w:numPr>
      <w:tabs>
        <w:tab w:val="left" w:pos="731"/>
      </w:tabs>
      <w:spacing w:before="240" w:after="120" w:line="240" w:lineRule="auto"/>
      <w:ind w:left="732" w:hanging="301"/>
      <w:jc w:val="both"/>
    </w:pPr>
    <w:rPr>
      <w:b w:val="0"/>
      <w:i/>
      <w:color w:val="auto"/>
    </w:rPr>
  </w:style>
  <w:style w:type="paragraph" w:customStyle="1" w:styleId="ECHRHeading4">
    <w:name w:val="ECHR_Heading_4"/>
    <w:aliases w:val="Ju_H_a"/>
    <w:basedOn w:val="Heading4"/>
    <w:next w:val="ECHRPara"/>
    <w:uiPriority w:val="22"/>
    <w:qFormat/>
    <w:rsid w:val="000E2315"/>
    <w:pPr>
      <w:keepNext/>
      <w:keepLines/>
      <w:numPr>
        <w:ilvl w:val="0"/>
        <w:numId w:val="0"/>
      </w:numPr>
      <w:tabs>
        <w:tab w:val="left" w:pos="975"/>
      </w:tabs>
      <w:spacing w:before="240" w:after="120"/>
      <w:ind w:left="975" w:hanging="340"/>
      <w:jc w:val="both"/>
    </w:pPr>
    <w:rPr>
      <w:i w:val="0"/>
      <w:color w:val="auto"/>
      <w:sz w:val="20"/>
    </w:rPr>
  </w:style>
  <w:style w:type="paragraph" w:customStyle="1" w:styleId="ECHRHeading5">
    <w:name w:val="ECHR_Heading_5"/>
    <w:aliases w:val="Ju_H_i"/>
    <w:basedOn w:val="Heading5"/>
    <w:next w:val="ECHRPara"/>
    <w:uiPriority w:val="23"/>
    <w:qFormat/>
    <w:rsid w:val="000E2315"/>
    <w:pPr>
      <w:keepNext/>
      <w:keepLines/>
      <w:tabs>
        <w:tab w:val="left" w:pos="1191"/>
      </w:tabs>
      <w:spacing w:before="240" w:after="120"/>
      <w:ind w:left="1190" w:hanging="357"/>
    </w:pPr>
    <w:rPr>
      <w:b w:val="0"/>
      <w:i/>
      <w:color w:val="auto"/>
      <w:sz w:val="20"/>
    </w:rPr>
  </w:style>
  <w:style w:type="paragraph" w:customStyle="1" w:styleId="ECHRHeading6">
    <w:name w:val="ECHR_Heading_6"/>
    <w:aliases w:val="Ju_H_alpha"/>
    <w:basedOn w:val="Heading6"/>
    <w:next w:val="ECHRPara"/>
    <w:uiPriority w:val="24"/>
    <w:qFormat/>
    <w:rsid w:val="000E2315"/>
    <w:pPr>
      <w:keepNext/>
      <w:keepLines/>
      <w:numPr>
        <w:ilvl w:val="0"/>
        <w:numId w:val="0"/>
      </w:numPr>
      <w:tabs>
        <w:tab w:val="left" w:pos="1372"/>
      </w:tabs>
      <w:spacing w:before="240" w:after="120" w:line="240" w:lineRule="auto"/>
      <w:ind w:left="1373" w:hanging="335"/>
      <w:jc w:val="both"/>
    </w:pPr>
    <w:rPr>
      <w:b w:val="0"/>
      <w:color w:val="auto"/>
      <w:sz w:val="20"/>
    </w:rPr>
  </w:style>
  <w:style w:type="paragraph" w:customStyle="1" w:styleId="ECHRHeading7">
    <w:name w:val="ECHR_Heading_7"/>
    <w:aliases w:val="Ju_H_–"/>
    <w:basedOn w:val="Heading7"/>
    <w:next w:val="ECHRPara"/>
    <w:uiPriority w:val="25"/>
    <w:qFormat/>
    <w:rsid w:val="000E2315"/>
    <w:pPr>
      <w:keepNext/>
      <w:keepLines/>
      <w:spacing w:before="240" w:after="120"/>
      <w:ind w:left="1236"/>
    </w:pPr>
    <w:rPr>
      <w:sz w:val="20"/>
    </w:rPr>
  </w:style>
  <w:style w:type="paragraph" w:customStyle="1" w:styleId="OpiH1">
    <w:name w:val="Opi_H_1"/>
    <w:basedOn w:val="ECHRHeading2"/>
    <w:uiPriority w:val="42"/>
    <w:qFormat/>
    <w:rsid w:val="000E2315"/>
    <w:pPr>
      <w:ind w:left="635" w:hanging="357"/>
      <w:outlineLvl w:val="2"/>
    </w:pPr>
  </w:style>
  <w:style w:type="paragraph" w:customStyle="1" w:styleId="OpiHa0">
    <w:name w:val="Opi_H_a"/>
    <w:basedOn w:val="ECHRHeading3"/>
    <w:uiPriority w:val="43"/>
    <w:qFormat/>
    <w:rsid w:val="000E2315"/>
    <w:pPr>
      <w:ind w:left="833" w:hanging="357"/>
      <w:outlineLvl w:val="3"/>
    </w:pPr>
    <w:rPr>
      <w:b/>
      <w:i w:val="0"/>
      <w:sz w:val="20"/>
    </w:rPr>
  </w:style>
  <w:style w:type="paragraph" w:customStyle="1" w:styleId="OpiHi">
    <w:name w:val="Opi_H_i"/>
    <w:basedOn w:val="ECHRHeading4"/>
    <w:uiPriority w:val="44"/>
    <w:qFormat/>
    <w:rsid w:val="000E2315"/>
    <w:pPr>
      <w:ind w:left="1037" w:hanging="357"/>
      <w:outlineLvl w:val="4"/>
    </w:pPr>
    <w:rPr>
      <w:b w:val="0"/>
      <w:i/>
    </w:rPr>
  </w:style>
  <w:style w:type="paragraph" w:styleId="Header">
    <w:name w:val="header"/>
    <w:basedOn w:val="Normal"/>
    <w:link w:val="HeaderChar"/>
    <w:uiPriority w:val="48"/>
    <w:semiHidden/>
    <w:rsid w:val="00941747"/>
    <w:pPr>
      <w:tabs>
        <w:tab w:val="center" w:pos="4536"/>
        <w:tab w:val="right" w:pos="9696"/>
      </w:tabs>
      <w:ind w:left="-680" w:right="-680"/>
    </w:pPr>
  </w:style>
  <w:style w:type="character" w:customStyle="1" w:styleId="HeaderChar">
    <w:name w:val="Header Char"/>
    <w:basedOn w:val="DefaultParagraphFont"/>
    <w:link w:val="Header"/>
    <w:uiPriority w:val="48"/>
    <w:rsid w:val="008D4752"/>
  </w:style>
  <w:style w:type="character" w:customStyle="1" w:styleId="Heading1Char">
    <w:name w:val="Heading 1 Char"/>
    <w:basedOn w:val="DefaultParagraphFont"/>
    <w:link w:val="Heading1"/>
    <w:uiPriority w:val="99"/>
    <w:rsid w:val="00A671F8"/>
    <w:rPr>
      <w:rFonts w:asciiTheme="majorHAnsi" w:eastAsiaTheme="majorEastAsia" w:hAnsiTheme="majorHAnsi" w:cstheme="majorBidi"/>
      <w:b/>
      <w:bCs/>
      <w:color w:val="333333"/>
      <w:sz w:val="28"/>
      <w:szCs w:val="28"/>
    </w:rPr>
  </w:style>
  <w:style w:type="paragraph" w:customStyle="1" w:styleId="ECHRHeading1">
    <w:name w:val="ECHR_Heading_1"/>
    <w:aliases w:val="Ju_H_I_Roman"/>
    <w:basedOn w:val="Heading1"/>
    <w:next w:val="ECHRPara"/>
    <w:uiPriority w:val="19"/>
    <w:qFormat/>
    <w:rsid w:val="000E2315"/>
    <w:pPr>
      <w:keepNext/>
      <w:keepLines/>
      <w:numPr>
        <w:numId w:val="0"/>
      </w:numPr>
      <w:tabs>
        <w:tab w:val="left" w:pos="357"/>
      </w:tabs>
      <w:spacing w:before="360" w:after="240"/>
      <w:ind w:left="357" w:hanging="357"/>
      <w:contextualSpacing w:val="0"/>
      <w:jc w:val="both"/>
    </w:pPr>
    <w:rPr>
      <w:b w:val="0"/>
      <w:color w:val="auto"/>
      <w:sz w:val="24"/>
    </w:rPr>
  </w:style>
  <w:style w:type="paragraph" w:customStyle="1" w:styleId="ECHRHeading2">
    <w:name w:val="ECHR_Heading_2"/>
    <w:aliases w:val="Ju_H_A"/>
    <w:basedOn w:val="Heading2"/>
    <w:next w:val="ECHRPara"/>
    <w:uiPriority w:val="20"/>
    <w:qFormat/>
    <w:rsid w:val="000E2315"/>
    <w:pPr>
      <w:keepNext/>
      <w:keepLines/>
      <w:numPr>
        <w:ilvl w:val="0"/>
        <w:numId w:val="0"/>
      </w:numPr>
      <w:tabs>
        <w:tab w:val="left" w:pos="584"/>
      </w:tabs>
      <w:spacing w:before="360" w:after="240"/>
      <w:ind w:left="584" w:hanging="352"/>
      <w:jc w:val="both"/>
    </w:pPr>
    <w:rPr>
      <w:color w:val="auto"/>
      <w:sz w:val="24"/>
    </w:rPr>
  </w:style>
  <w:style w:type="character" w:customStyle="1" w:styleId="Heading2Char">
    <w:name w:val="Heading 2 Char"/>
    <w:basedOn w:val="DefaultParagraphFont"/>
    <w:link w:val="Heading2"/>
    <w:uiPriority w:val="99"/>
    <w:semiHidden/>
    <w:rsid w:val="00A671F8"/>
    <w:rPr>
      <w:rFonts w:asciiTheme="majorHAnsi" w:eastAsiaTheme="majorEastAsia" w:hAnsiTheme="majorHAnsi" w:cstheme="majorBidi"/>
      <w:b/>
      <w:bCs/>
      <w:color w:val="4D4D4D"/>
      <w:sz w:val="26"/>
      <w:szCs w:val="26"/>
    </w:rPr>
  </w:style>
  <w:style w:type="paragraph" w:customStyle="1" w:styleId="DummyStyle">
    <w:name w:val="Dummy_Style"/>
    <w:basedOn w:val="Normal"/>
    <w:semiHidden/>
    <w:qFormat/>
    <w:rsid w:val="000E2315"/>
    <w:rPr>
      <w:color w:val="00B050"/>
    </w:rPr>
  </w:style>
  <w:style w:type="paragraph" w:customStyle="1" w:styleId="JuCase">
    <w:name w:val="Ju_Case"/>
    <w:basedOn w:val="Normal"/>
    <w:next w:val="Normal"/>
    <w:uiPriority w:val="10"/>
    <w:rsid w:val="00D60D87"/>
    <w:pPr>
      <w:ind w:firstLine="284"/>
    </w:pPr>
    <w:rPr>
      <w:b/>
    </w:rPr>
  </w:style>
  <w:style w:type="character" w:customStyle="1" w:styleId="Heading3Char">
    <w:name w:val="Heading 3 Char"/>
    <w:basedOn w:val="DefaultParagraphFont"/>
    <w:link w:val="Heading3"/>
    <w:uiPriority w:val="99"/>
    <w:semiHidden/>
    <w:rsid w:val="00A671F8"/>
    <w:rPr>
      <w:rFonts w:asciiTheme="majorHAnsi" w:eastAsiaTheme="majorEastAsia" w:hAnsiTheme="majorHAnsi" w:cstheme="majorBidi"/>
      <w:b/>
      <w:bCs/>
      <w:color w:val="5F5F5F"/>
    </w:rPr>
  </w:style>
  <w:style w:type="character" w:customStyle="1" w:styleId="Heading4Char">
    <w:name w:val="Heading 4 Char"/>
    <w:basedOn w:val="DefaultParagraphFont"/>
    <w:link w:val="Heading4"/>
    <w:uiPriority w:val="99"/>
    <w:semiHidden/>
    <w:rsid w:val="00A671F8"/>
    <w:rPr>
      <w:rFonts w:asciiTheme="majorHAnsi" w:eastAsiaTheme="majorEastAsia" w:hAnsiTheme="majorHAnsi" w:cstheme="majorBidi"/>
      <w:b/>
      <w:bCs/>
      <w:i/>
      <w:iCs/>
      <w:color w:val="777777"/>
    </w:rPr>
  </w:style>
  <w:style w:type="character" w:customStyle="1" w:styleId="Heading5Char">
    <w:name w:val="Heading 5 Char"/>
    <w:basedOn w:val="DefaultParagraphFont"/>
    <w:link w:val="Heading5"/>
    <w:uiPriority w:val="99"/>
    <w:semiHidden/>
    <w:rsid w:val="000E2315"/>
    <w:rPr>
      <w:rFonts w:asciiTheme="majorHAnsi" w:eastAsiaTheme="majorEastAsia" w:hAnsiTheme="majorHAnsi" w:cstheme="majorBidi"/>
      <w:b/>
      <w:bCs/>
      <w:color w:val="808080"/>
    </w:rPr>
  </w:style>
  <w:style w:type="character" w:styleId="SubtleEmphasis">
    <w:name w:val="Subtle Emphasis"/>
    <w:uiPriority w:val="99"/>
    <w:semiHidden/>
    <w:qFormat/>
    <w:rsid w:val="000E2315"/>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ECHRTitle1">
    <w:name w:val="ECHR_Title_1"/>
    <w:aliases w:val="Ju_H_Head"/>
    <w:basedOn w:val="Normal"/>
    <w:next w:val="ECHRPara"/>
    <w:uiPriority w:val="18"/>
    <w:qFormat/>
    <w:rsid w:val="000E2315"/>
    <w:pPr>
      <w:keepNext/>
      <w:keepLines/>
      <w:spacing w:before="720" w:after="240"/>
      <w:outlineLvl w:val="0"/>
    </w:pPr>
    <w:rPr>
      <w:rFonts w:asciiTheme="majorHAnsi" w:hAnsiTheme="majorHAnsi"/>
      <w:sz w:val="28"/>
    </w:rPr>
  </w:style>
  <w:style w:type="character" w:styleId="Emphasis">
    <w:name w:val="Emphasis"/>
    <w:uiPriority w:val="99"/>
    <w:semiHidden/>
    <w:qFormat/>
    <w:rsid w:val="000E2315"/>
    <w:rPr>
      <w:b/>
      <w:bCs/>
      <w:i/>
      <w:iCs/>
      <w:spacing w:val="10"/>
      <w:bdr w:val="none" w:sz="0" w:space="0" w:color="auto"/>
      <w:shd w:val="clear" w:color="auto" w:fill="auto"/>
    </w:rPr>
  </w:style>
  <w:style w:type="paragraph" w:styleId="Footer">
    <w:name w:val="footer"/>
    <w:basedOn w:val="Normal"/>
    <w:link w:val="FooterChar"/>
    <w:uiPriority w:val="57"/>
    <w:semiHidden/>
    <w:rsid w:val="00941747"/>
    <w:pPr>
      <w:tabs>
        <w:tab w:val="center" w:pos="4536"/>
        <w:tab w:val="right" w:pos="9696"/>
      </w:tabs>
      <w:ind w:left="-680" w:right="-680"/>
    </w:pPr>
  </w:style>
  <w:style w:type="character" w:customStyle="1" w:styleId="FooterChar">
    <w:name w:val="Footer Char"/>
    <w:basedOn w:val="DefaultParagraphFont"/>
    <w:link w:val="Footer"/>
    <w:uiPriority w:val="57"/>
    <w:semiHidden/>
    <w:rsid w:val="008D4752"/>
  </w:style>
  <w:style w:type="character" w:styleId="FootnoteReference">
    <w:name w:val="footnote reference"/>
    <w:basedOn w:val="DefaultParagraphFont"/>
    <w:uiPriority w:val="99"/>
    <w:semiHidden/>
    <w:rsid w:val="00941747"/>
    <w:rPr>
      <w:vertAlign w:val="superscript"/>
    </w:rPr>
  </w:style>
  <w:style w:type="paragraph" w:styleId="FootnoteText">
    <w:name w:val="footnote text"/>
    <w:basedOn w:val="Normal"/>
    <w:link w:val="FootnoteTextChar"/>
    <w:uiPriority w:val="99"/>
    <w:semiHidden/>
    <w:rsid w:val="00941747"/>
    <w:rPr>
      <w:sz w:val="20"/>
      <w:szCs w:val="20"/>
    </w:rPr>
  </w:style>
  <w:style w:type="character" w:customStyle="1" w:styleId="FootnoteTextChar">
    <w:name w:val="Footnote Text Char"/>
    <w:basedOn w:val="DefaultParagraphFont"/>
    <w:link w:val="FootnoteText"/>
    <w:uiPriority w:val="99"/>
    <w:semiHidden/>
    <w:rsid w:val="00A671F8"/>
    <w:rPr>
      <w:rFonts w:eastAsiaTheme="minorEastAsia"/>
      <w:sz w:val="20"/>
      <w:szCs w:val="20"/>
    </w:rPr>
  </w:style>
  <w:style w:type="character" w:customStyle="1" w:styleId="Heading6Char">
    <w:name w:val="Heading 6 Char"/>
    <w:basedOn w:val="DefaultParagraphFont"/>
    <w:link w:val="Heading6"/>
    <w:uiPriority w:val="99"/>
    <w:semiHidden/>
    <w:rsid w:val="00A671F8"/>
    <w:rPr>
      <w:rFonts w:asciiTheme="majorHAnsi" w:eastAsiaTheme="majorEastAsia" w:hAnsiTheme="majorHAnsi" w:cstheme="majorBidi"/>
      <w:b/>
      <w:bCs/>
      <w:i/>
      <w:iCs/>
      <w:color w:val="7F7F7F" w:themeColor="text1" w:themeTint="80"/>
      <w:lang w:bidi="en-US"/>
    </w:rPr>
  </w:style>
  <w:style w:type="character" w:customStyle="1" w:styleId="Heading7Char">
    <w:name w:val="Heading 7 Char"/>
    <w:basedOn w:val="DefaultParagraphFont"/>
    <w:link w:val="Heading7"/>
    <w:uiPriority w:val="99"/>
    <w:semiHidden/>
    <w:rsid w:val="000E2315"/>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0E2315"/>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0E2315"/>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941747"/>
    <w:rPr>
      <w:color w:val="0072BC" w:themeColor="hyperlink"/>
      <w:u w:val="single"/>
    </w:rPr>
  </w:style>
  <w:style w:type="character" w:styleId="IntenseEmphasis">
    <w:name w:val="Intense Emphasis"/>
    <w:uiPriority w:val="99"/>
    <w:semiHidden/>
    <w:qFormat/>
    <w:rsid w:val="000E2315"/>
    <w:rPr>
      <w:b/>
      <w:bCs/>
    </w:rPr>
  </w:style>
  <w:style w:type="paragraph" w:styleId="IntenseQuote">
    <w:name w:val="Intense Quote"/>
    <w:basedOn w:val="Normal"/>
    <w:next w:val="Normal"/>
    <w:link w:val="IntenseQuoteChar"/>
    <w:uiPriority w:val="99"/>
    <w:semiHidden/>
    <w:qFormat/>
    <w:rsid w:val="000E2315"/>
    <w:pPr>
      <w:pBdr>
        <w:bottom w:val="single" w:sz="4" w:space="1" w:color="auto"/>
      </w:pBdr>
      <w:spacing w:before="200" w:after="280"/>
      <w:ind w:left="1008" w:right="1152"/>
    </w:pPr>
    <w:rPr>
      <w:b/>
      <w:bCs/>
      <w:i/>
      <w:iCs/>
      <w:sz w:val="22"/>
      <w:lang w:bidi="en-US"/>
    </w:rPr>
  </w:style>
  <w:style w:type="character" w:customStyle="1" w:styleId="IntenseQuoteChar">
    <w:name w:val="Intense Quote Char"/>
    <w:basedOn w:val="DefaultParagraphFont"/>
    <w:link w:val="IntenseQuote"/>
    <w:uiPriority w:val="99"/>
    <w:semiHidden/>
    <w:rsid w:val="000E2315"/>
    <w:rPr>
      <w:rFonts w:eastAsiaTheme="minorEastAsia"/>
      <w:b/>
      <w:bCs/>
      <w:i/>
      <w:iCs/>
      <w:lang w:bidi="en-US"/>
    </w:rPr>
  </w:style>
  <w:style w:type="character" w:styleId="IntenseReference">
    <w:name w:val="Intense Reference"/>
    <w:uiPriority w:val="99"/>
    <w:semiHidden/>
    <w:qFormat/>
    <w:rsid w:val="000E2315"/>
    <w:rPr>
      <w:smallCaps/>
      <w:spacing w:val="5"/>
      <w:u w:val="single"/>
    </w:rPr>
  </w:style>
  <w:style w:type="paragraph" w:styleId="ListParagraph">
    <w:name w:val="List Paragraph"/>
    <w:basedOn w:val="Normal"/>
    <w:uiPriority w:val="99"/>
    <w:semiHidden/>
    <w:qFormat/>
    <w:rsid w:val="000E2315"/>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0E2315"/>
    <w:pPr>
      <w:spacing w:before="200"/>
      <w:ind w:left="360" w:right="360"/>
    </w:pPr>
    <w:rPr>
      <w:i/>
      <w:iCs/>
      <w:sz w:val="22"/>
      <w:lang w:bidi="en-US"/>
    </w:rPr>
  </w:style>
  <w:style w:type="character" w:customStyle="1" w:styleId="QuoteChar">
    <w:name w:val="Quote Char"/>
    <w:basedOn w:val="DefaultParagraphFont"/>
    <w:link w:val="Quote"/>
    <w:uiPriority w:val="99"/>
    <w:semiHidden/>
    <w:rsid w:val="000E2315"/>
    <w:rPr>
      <w:rFonts w:eastAsiaTheme="minorEastAsia"/>
      <w:i/>
      <w:iCs/>
      <w:lang w:bidi="en-US"/>
    </w:rPr>
  </w:style>
  <w:style w:type="character" w:styleId="SubtleReference">
    <w:name w:val="Subtle Reference"/>
    <w:uiPriority w:val="99"/>
    <w:semiHidden/>
    <w:qFormat/>
    <w:rsid w:val="000E2315"/>
    <w:rPr>
      <w:smallCaps/>
    </w:rPr>
  </w:style>
  <w:style w:type="table" w:styleId="TableGrid">
    <w:name w:val="Table Grid"/>
    <w:basedOn w:val="TableNormal"/>
    <w:uiPriority w:val="59"/>
    <w:semiHidden/>
    <w:rsid w:val="00941747"/>
    <w:rPr>
      <w:rFonts w:eastAsiaTheme="minorEastAsia"/>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EA185E"/>
    <w:pPr>
      <w:spacing w:before="120" w:after="60"/>
      <w:ind w:left="340" w:right="340" w:hanging="340"/>
    </w:pPr>
    <w:rPr>
      <w:color w:val="0D0D0D" w:themeColor="text1" w:themeTint="F2"/>
    </w:rPr>
  </w:style>
  <w:style w:type="paragraph" w:styleId="TOC2">
    <w:name w:val="toc 2"/>
    <w:basedOn w:val="Normal"/>
    <w:next w:val="Normal"/>
    <w:autoRedefine/>
    <w:uiPriority w:val="99"/>
    <w:semiHidden/>
    <w:rsid w:val="00EA185E"/>
    <w:pPr>
      <w:spacing w:after="60"/>
      <w:ind w:left="680" w:right="340" w:hanging="340"/>
    </w:pPr>
  </w:style>
  <w:style w:type="paragraph" w:styleId="TOC3">
    <w:name w:val="toc 3"/>
    <w:basedOn w:val="Normal"/>
    <w:next w:val="Normal"/>
    <w:autoRedefine/>
    <w:uiPriority w:val="99"/>
    <w:semiHidden/>
    <w:rsid w:val="00EA185E"/>
    <w:pPr>
      <w:spacing w:after="60"/>
      <w:ind w:left="1020" w:right="340" w:hanging="340"/>
    </w:pPr>
  </w:style>
  <w:style w:type="paragraph" w:styleId="TOC4">
    <w:name w:val="toc 4"/>
    <w:basedOn w:val="Normal"/>
    <w:next w:val="Normal"/>
    <w:autoRedefine/>
    <w:uiPriority w:val="99"/>
    <w:semiHidden/>
    <w:rsid w:val="00EA185E"/>
    <w:pPr>
      <w:tabs>
        <w:tab w:val="right" w:leader="dot" w:pos="9017"/>
      </w:tabs>
      <w:spacing w:after="60"/>
      <w:ind w:left="1361" w:right="340" w:hanging="340"/>
    </w:pPr>
  </w:style>
  <w:style w:type="paragraph" w:styleId="TOC5">
    <w:name w:val="toc 5"/>
    <w:basedOn w:val="Normal"/>
    <w:next w:val="Normal"/>
    <w:autoRedefine/>
    <w:uiPriority w:val="99"/>
    <w:semiHidden/>
    <w:rsid w:val="00B46543"/>
    <w:pPr>
      <w:spacing w:after="60"/>
      <w:ind w:left="1701" w:right="340" w:hanging="340"/>
    </w:pPr>
  </w:style>
  <w:style w:type="paragraph" w:styleId="TOCHeading">
    <w:name w:val="TOC Heading"/>
    <w:basedOn w:val="Heading1"/>
    <w:next w:val="Normal"/>
    <w:uiPriority w:val="99"/>
    <w:semiHidden/>
    <w:qFormat/>
    <w:rsid w:val="000E2315"/>
    <w:pPr>
      <w:numPr>
        <w:numId w:val="0"/>
      </w:numPr>
      <w:jc w:val="both"/>
      <w:outlineLvl w:val="9"/>
    </w:pPr>
    <w:rPr>
      <w:color w:val="474747" w:themeColor="accent3" w:themeShade="BF"/>
    </w:rPr>
  </w:style>
  <w:style w:type="table" w:customStyle="1" w:styleId="UGTable">
    <w:name w:val="UG_Table"/>
    <w:basedOn w:val="TableNormal"/>
    <w:uiPriority w:val="99"/>
    <w:rsid w:val="00801300"/>
    <w:rPr>
      <w:rFonts w:eastAsiaTheme="minorEastAsia"/>
      <w:sz w:val="20"/>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801300"/>
    <w:rPr>
      <w:rFonts w:eastAsiaTheme="minorEastAsia"/>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C333A0"/>
    <w:pPr>
      <w:spacing w:before="120"/>
    </w:pPr>
    <w:rPr>
      <w:rFonts w:asciiTheme="majorHAnsi" w:eastAsiaTheme="majorEastAsia" w:hAnsiTheme="majorHAnsi" w:cstheme="majorBidi"/>
      <w:b/>
      <w:bCs/>
      <w:color w:val="474747" w:themeColor="accent3" w:themeShade="BF"/>
      <w:szCs w:val="24"/>
    </w:rPr>
  </w:style>
  <w:style w:type="paragraph" w:customStyle="1" w:styleId="ECHRParaQuote">
    <w:name w:val="ECHR_Para_Quote"/>
    <w:aliases w:val="Ju_Quot"/>
    <w:basedOn w:val="Normal"/>
    <w:uiPriority w:val="14"/>
    <w:qFormat/>
    <w:rsid w:val="000E2315"/>
    <w:pPr>
      <w:spacing w:before="120" w:after="120"/>
      <w:ind w:left="425" w:firstLine="142"/>
    </w:pPr>
    <w:rPr>
      <w:sz w:val="20"/>
    </w:rPr>
  </w:style>
  <w:style w:type="paragraph" w:customStyle="1" w:styleId="ECHRPara">
    <w:name w:val="ECHR_Para"/>
    <w:aliases w:val="Ju_Para"/>
    <w:basedOn w:val="Normal"/>
    <w:link w:val="JuParaCar"/>
    <w:uiPriority w:val="12"/>
    <w:qFormat/>
    <w:rsid w:val="000E2315"/>
    <w:pPr>
      <w:ind w:firstLine="284"/>
    </w:p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520BAA"/>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customStyle="1" w:styleId="ECHRDecisionBody">
    <w:name w:val="ECHR_Decision_Body"/>
    <w:aliases w:val="Ju_Judges"/>
    <w:basedOn w:val="Normal"/>
    <w:uiPriority w:val="11"/>
    <w:qFormat/>
    <w:rsid w:val="000E2315"/>
    <w:pPr>
      <w:tabs>
        <w:tab w:val="left" w:pos="567"/>
        <w:tab w:val="left" w:pos="1134"/>
      </w:tabs>
      <w:jc w:val="left"/>
    </w:pPr>
  </w:style>
  <w:style w:type="table" w:customStyle="1" w:styleId="ECHRHeaderTableReduced">
    <w:name w:val="ECHR_Header_Table_Reduced"/>
    <w:basedOn w:val="TableNormal"/>
    <w:uiPriority w:val="99"/>
    <w:rsid w:val="00B52BE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List">
    <w:name w:val="Ju_List"/>
    <w:basedOn w:val="Normal"/>
    <w:uiPriority w:val="28"/>
    <w:qFormat/>
    <w:rsid w:val="000E2315"/>
    <w:pPr>
      <w:ind w:left="340" w:hanging="340"/>
    </w:pPr>
  </w:style>
  <w:style w:type="paragraph" w:customStyle="1" w:styleId="JuSigned">
    <w:name w:val="Ju_Signed"/>
    <w:basedOn w:val="Normal"/>
    <w:next w:val="JuParaLast"/>
    <w:uiPriority w:val="32"/>
    <w:qFormat/>
    <w:rsid w:val="000E2315"/>
    <w:pPr>
      <w:tabs>
        <w:tab w:val="center" w:pos="851"/>
        <w:tab w:val="center" w:pos="6407"/>
      </w:tabs>
      <w:spacing w:before="720"/>
      <w:jc w:val="left"/>
    </w:pPr>
  </w:style>
  <w:style w:type="paragraph" w:customStyle="1" w:styleId="JuParaLast">
    <w:name w:val="Ju_Para_Last"/>
    <w:basedOn w:val="Normal"/>
    <w:next w:val="ECHRPara"/>
    <w:qFormat/>
    <w:rsid w:val="000E2315"/>
    <w:pPr>
      <w:keepNext/>
      <w:keepLines/>
      <w:spacing w:before="240"/>
      <w:ind w:firstLine="284"/>
    </w:pPr>
  </w:style>
  <w:style w:type="paragraph" w:customStyle="1" w:styleId="JuCourt">
    <w:name w:val="Ju_Court"/>
    <w:basedOn w:val="Normal"/>
    <w:next w:val="Normal"/>
    <w:uiPriority w:val="16"/>
    <w:qFormat/>
    <w:rsid w:val="000E2315"/>
    <w:pPr>
      <w:tabs>
        <w:tab w:val="left" w:pos="907"/>
        <w:tab w:val="left" w:pos="1701"/>
        <w:tab w:val="right" w:pos="7371"/>
      </w:tabs>
      <w:spacing w:before="240"/>
      <w:ind w:left="397" w:hanging="397"/>
      <w:jc w:val="left"/>
    </w:pPr>
    <w:rPr>
      <w:lang w:bidi="en-US"/>
    </w:rPr>
  </w:style>
  <w:style w:type="character" w:styleId="PageNumber">
    <w:name w:val="page number"/>
    <w:uiPriority w:val="99"/>
    <w:semiHidden/>
    <w:rsid w:val="00014566"/>
    <w:rPr>
      <w:sz w:val="18"/>
    </w:rPr>
  </w:style>
  <w:style w:type="paragraph" w:customStyle="1" w:styleId="JuLista">
    <w:name w:val="Ju_List_a"/>
    <w:basedOn w:val="JuList"/>
    <w:uiPriority w:val="28"/>
    <w:qFormat/>
    <w:rsid w:val="000E2315"/>
    <w:pPr>
      <w:ind w:left="346" w:firstLine="0"/>
    </w:pPr>
  </w:style>
  <w:style w:type="paragraph" w:customStyle="1" w:styleId="JuListi">
    <w:name w:val="Ju_List_i"/>
    <w:basedOn w:val="Normal"/>
    <w:next w:val="JuLista"/>
    <w:uiPriority w:val="28"/>
    <w:qFormat/>
    <w:rsid w:val="000E2315"/>
    <w:pPr>
      <w:ind w:left="794"/>
    </w:pPr>
  </w:style>
  <w:style w:type="character" w:styleId="CommentReference">
    <w:name w:val="annotation reference"/>
    <w:semiHidden/>
    <w:rsid w:val="00014566"/>
    <w:rPr>
      <w:sz w:val="16"/>
    </w:rPr>
  </w:style>
  <w:style w:type="paragraph" w:styleId="CommentText">
    <w:name w:val="annotation text"/>
    <w:basedOn w:val="Normal"/>
    <w:link w:val="CommentTextChar"/>
    <w:semiHidden/>
    <w:rsid w:val="00014566"/>
    <w:rPr>
      <w:sz w:val="20"/>
    </w:rPr>
  </w:style>
  <w:style w:type="character" w:customStyle="1" w:styleId="CommentTextChar">
    <w:name w:val="Comment Text Char"/>
    <w:basedOn w:val="DefaultParagraphFont"/>
    <w:link w:val="CommentText"/>
    <w:uiPriority w:val="99"/>
    <w:semiHidden/>
    <w:rsid w:val="00014566"/>
    <w:rPr>
      <w:rFonts w:eastAsiaTheme="minorEastAsia"/>
      <w:sz w:val="20"/>
    </w:rPr>
  </w:style>
  <w:style w:type="paragraph" w:styleId="CommentSubject">
    <w:name w:val="annotation subject"/>
    <w:basedOn w:val="CommentText"/>
    <w:next w:val="CommentText"/>
    <w:link w:val="CommentSubjectChar"/>
    <w:uiPriority w:val="99"/>
    <w:semiHidden/>
    <w:rsid w:val="00014566"/>
    <w:rPr>
      <w:b/>
      <w:bCs/>
    </w:rPr>
  </w:style>
  <w:style w:type="character" w:customStyle="1" w:styleId="CommentSubjectChar">
    <w:name w:val="Comment Subject Char"/>
    <w:basedOn w:val="CommentTextChar"/>
    <w:link w:val="CommentSubject"/>
    <w:uiPriority w:val="99"/>
    <w:semiHidden/>
    <w:rsid w:val="00014566"/>
    <w:rPr>
      <w:rFonts w:eastAsiaTheme="minorEastAsia"/>
      <w:b/>
      <w:bCs/>
      <w:sz w:val="20"/>
    </w:rPr>
  </w:style>
  <w:style w:type="character" w:styleId="EndnoteReference">
    <w:name w:val="endnote reference"/>
    <w:uiPriority w:val="99"/>
    <w:semiHidden/>
    <w:rsid w:val="00014566"/>
    <w:rPr>
      <w:vertAlign w:val="superscript"/>
    </w:rPr>
  </w:style>
  <w:style w:type="paragraph" w:styleId="EndnoteText">
    <w:name w:val="endnote text"/>
    <w:basedOn w:val="Normal"/>
    <w:link w:val="EndnoteTextChar"/>
    <w:uiPriority w:val="99"/>
    <w:semiHidden/>
    <w:rsid w:val="00014566"/>
    <w:rPr>
      <w:sz w:val="20"/>
    </w:rPr>
  </w:style>
  <w:style w:type="character" w:customStyle="1" w:styleId="EndnoteTextChar">
    <w:name w:val="Endnote Text Char"/>
    <w:basedOn w:val="DefaultParagraphFont"/>
    <w:link w:val="EndnoteText"/>
    <w:uiPriority w:val="99"/>
    <w:semiHidden/>
    <w:rsid w:val="00014566"/>
    <w:rPr>
      <w:rFonts w:eastAsiaTheme="minorEastAsia"/>
      <w:sz w:val="20"/>
    </w:rPr>
  </w:style>
  <w:style w:type="character" w:styleId="FollowedHyperlink">
    <w:name w:val="FollowedHyperlink"/>
    <w:uiPriority w:val="99"/>
    <w:semiHidden/>
    <w:rsid w:val="00014566"/>
    <w:rPr>
      <w:color w:val="800080"/>
      <w:u w:val="single"/>
    </w:rPr>
  </w:style>
  <w:style w:type="paragraph" w:styleId="DocumentMap">
    <w:name w:val="Document Map"/>
    <w:basedOn w:val="Normal"/>
    <w:link w:val="DocumentMapChar"/>
    <w:uiPriority w:val="99"/>
    <w:semiHidden/>
    <w:rsid w:val="00014566"/>
    <w:pPr>
      <w:shd w:val="clear" w:color="auto" w:fill="000080"/>
    </w:pPr>
    <w:rPr>
      <w:rFonts w:ascii="Tahoma" w:hAnsi="Tahoma" w:cs="Tahoma"/>
      <w:sz w:val="20"/>
    </w:rPr>
  </w:style>
  <w:style w:type="character" w:customStyle="1" w:styleId="DocumentMapChar">
    <w:name w:val="Document Map Char"/>
    <w:basedOn w:val="DefaultParagraphFont"/>
    <w:link w:val="DocumentMap"/>
    <w:uiPriority w:val="99"/>
    <w:semiHidden/>
    <w:rsid w:val="00014566"/>
    <w:rPr>
      <w:rFonts w:ascii="Tahoma" w:eastAsiaTheme="minorEastAsia" w:hAnsi="Tahoma" w:cs="Tahoma"/>
      <w:sz w:val="20"/>
      <w:shd w:val="clear" w:color="auto" w:fill="000080"/>
    </w:rPr>
  </w:style>
  <w:style w:type="character" w:customStyle="1" w:styleId="JuNames0">
    <w:name w:val="Ju_Names"/>
    <w:rsid w:val="00014566"/>
    <w:rPr>
      <w:smallCaps/>
    </w:rPr>
  </w:style>
  <w:style w:type="paragraph" w:styleId="ListBullet">
    <w:name w:val="List Bullet"/>
    <w:basedOn w:val="Normal"/>
    <w:uiPriority w:val="99"/>
    <w:semiHidden/>
    <w:rsid w:val="00014566"/>
    <w:pPr>
      <w:numPr>
        <w:numId w:val="8"/>
      </w:numPr>
    </w:pPr>
  </w:style>
  <w:style w:type="character" w:customStyle="1" w:styleId="JuITMark">
    <w:name w:val="Ju_ITMark"/>
    <w:basedOn w:val="DefaultParagraphFont"/>
    <w:uiPriority w:val="38"/>
    <w:qFormat/>
    <w:rsid w:val="000E2315"/>
    <w:rPr>
      <w:vanish w:val="0"/>
      <w:color w:val="auto"/>
      <w:sz w:val="14"/>
    </w:rPr>
  </w:style>
  <w:style w:type="paragraph" w:styleId="Subtitle">
    <w:name w:val="Subtitle"/>
    <w:basedOn w:val="Normal"/>
    <w:next w:val="Normal"/>
    <w:link w:val="SubtitleChar"/>
    <w:uiPriority w:val="99"/>
    <w:semiHidden/>
    <w:qFormat/>
    <w:rsid w:val="000E2315"/>
    <w:pPr>
      <w:spacing w:after="600"/>
    </w:pPr>
    <w:rPr>
      <w:rFonts w:asciiTheme="majorHAnsi" w:eastAsiaTheme="majorEastAsia" w:hAnsiTheme="majorHAnsi" w:cstheme="majorBidi"/>
      <w:i/>
      <w:iCs/>
      <w:spacing w:val="13"/>
      <w:szCs w:val="24"/>
      <w:lang w:bidi="en-US"/>
    </w:rPr>
  </w:style>
  <w:style w:type="character" w:customStyle="1" w:styleId="SubtitleChar">
    <w:name w:val="Subtitle Char"/>
    <w:basedOn w:val="DefaultParagraphFont"/>
    <w:link w:val="Subtitle"/>
    <w:uiPriority w:val="99"/>
    <w:semiHidden/>
    <w:rsid w:val="000E2315"/>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rsid w:val="00014566"/>
    <w:pPr>
      <w:numPr>
        <w:numId w:val="9"/>
      </w:numPr>
    </w:pPr>
  </w:style>
  <w:style w:type="numbering" w:styleId="1ai">
    <w:name w:val="Outline List 1"/>
    <w:basedOn w:val="NoList"/>
    <w:uiPriority w:val="99"/>
    <w:semiHidden/>
    <w:rsid w:val="00014566"/>
    <w:pPr>
      <w:numPr>
        <w:numId w:val="10"/>
      </w:numPr>
    </w:pPr>
  </w:style>
  <w:style w:type="numbering" w:styleId="ArticleSection">
    <w:name w:val="Outline List 3"/>
    <w:basedOn w:val="NoList"/>
    <w:uiPriority w:val="99"/>
    <w:semiHidden/>
    <w:rsid w:val="00014566"/>
    <w:pPr>
      <w:numPr>
        <w:numId w:val="11"/>
      </w:numPr>
    </w:pPr>
  </w:style>
  <w:style w:type="paragraph" w:styleId="Bibliography">
    <w:name w:val="Bibliography"/>
    <w:basedOn w:val="Normal"/>
    <w:next w:val="Normal"/>
    <w:uiPriority w:val="99"/>
    <w:semiHidden/>
    <w:unhideWhenUsed/>
    <w:rsid w:val="00014566"/>
  </w:style>
  <w:style w:type="paragraph" w:styleId="BlockText">
    <w:name w:val="Block Text"/>
    <w:basedOn w:val="Normal"/>
    <w:uiPriority w:val="99"/>
    <w:semiHidden/>
    <w:rsid w:val="00014566"/>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paragraph" w:styleId="BodyText">
    <w:name w:val="Body Text"/>
    <w:basedOn w:val="Normal"/>
    <w:link w:val="BodyTextChar"/>
    <w:uiPriority w:val="99"/>
    <w:semiHidden/>
    <w:rsid w:val="00014566"/>
    <w:pPr>
      <w:spacing w:after="120"/>
    </w:pPr>
  </w:style>
  <w:style w:type="character" w:customStyle="1" w:styleId="BodyTextChar">
    <w:name w:val="Body Text Char"/>
    <w:basedOn w:val="DefaultParagraphFont"/>
    <w:link w:val="BodyText"/>
    <w:uiPriority w:val="99"/>
    <w:semiHidden/>
    <w:rsid w:val="00014566"/>
    <w:rPr>
      <w:rFonts w:eastAsiaTheme="minorEastAsia"/>
      <w:sz w:val="24"/>
    </w:rPr>
  </w:style>
  <w:style w:type="paragraph" w:styleId="BodyText2">
    <w:name w:val="Body Text 2"/>
    <w:basedOn w:val="Normal"/>
    <w:link w:val="BodyText2Char"/>
    <w:uiPriority w:val="99"/>
    <w:semiHidden/>
    <w:rsid w:val="00014566"/>
    <w:pPr>
      <w:spacing w:after="120" w:line="480" w:lineRule="auto"/>
    </w:pPr>
  </w:style>
  <w:style w:type="character" w:customStyle="1" w:styleId="BodyText2Char">
    <w:name w:val="Body Text 2 Char"/>
    <w:basedOn w:val="DefaultParagraphFont"/>
    <w:link w:val="BodyText2"/>
    <w:uiPriority w:val="99"/>
    <w:semiHidden/>
    <w:rsid w:val="00014566"/>
    <w:rPr>
      <w:rFonts w:eastAsiaTheme="minorEastAsia"/>
      <w:sz w:val="24"/>
    </w:rPr>
  </w:style>
  <w:style w:type="paragraph" w:styleId="BodyText3">
    <w:name w:val="Body Text 3"/>
    <w:basedOn w:val="Normal"/>
    <w:link w:val="BodyText3Char"/>
    <w:uiPriority w:val="99"/>
    <w:semiHidden/>
    <w:rsid w:val="00014566"/>
    <w:pPr>
      <w:spacing w:after="120"/>
    </w:pPr>
    <w:rPr>
      <w:sz w:val="16"/>
      <w:szCs w:val="16"/>
    </w:rPr>
  </w:style>
  <w:style w:type="character" w:customStyle="1" w:styleId="BodyText3Char">
    <w:name w:val="Body Text 3 Char"/>
    <w:basedOn w:val="DefaultParagraphFont"/>
    <w:link w:val="BodyText3"/>
    <w:uiPriority w:val="99"/>
    <w:semiHidden/>
    <w:rsid w:val="00014566"/>
    <w:rPr>
      <w:rFonts w:eastAsiaTheme="minorEastAsia"/>
      <w:sz w:val="16"/>
      <w:szCs w:val="16"/>
    </w:rPr>
  </w:style>
  <w:style w:type="paragraph" w:styleId="BodyTextFirstIndent">
    <w:name w:val="Body Text First Indent"/>
    <w:basedOn w:val="BodyText"/>
    <w:link w:val="BodyTextFirstIndentChar"/>
    <w:uiPriority w:val="99"/>
    <w:semiHidden/>
    <w:rsid w:val="00014566"/>
    <w:pPr>
      <w:spacing w:after="0"/>
      <w:ind w:firstLine="360"/>
    </w:pPr>
  </w:style>
  <w:style w:type="character" w:customStyle="1" w:styleId="BodyTextFirstIndentChar">
    <w:name w:val="Body Text First Indent Char"/>
    <w:basedOn w:val="BodyTextChar"/>
    <w:link w:val="BodyTextFirstIndent"/>
    <w:uiPriority w:val="99"/>
    <w:semiHidden/>
    <w:rsid w:val="00014566"/>
    <w:rPr>
      <w:rFonts w:eastAsiaTheme="minorEastAsia"/>
      <w:sz w:val="24"/>
    </w:rPr>
  </w:style>
  <w:style w:type="paragraph" w:styleId="BodyTextIndent">
    <w:name w:val="Body Text Indent"/>
    <w:basedOn w:val="Normal"/>
    <w:link w:val="BodyTextIndentChar"/>
    <w:uiPriority w:val="99"/>
    <w:semiHidden/>
    <w:rsid w:val="00014566"/>
    <w:pPr>
      <w:spacing w:after="120"/>
      <w:ind w:left="283"/>
    </w:pPr>
  </w:style>
  <w:style w:type="character" w:customStyle="1" w:styleId="BodyTextIndentChar">
    <w:name w:val="Body Text Indent Char"/>
    <w:basedOn w:val="DefaultParagraphFont"/>
    <w:link w:val="BodyTextIndent"/>
    <w:uiPriority w:val="99"/>
    <w:semiHidden/>
    <w:rsid w:val="00014566"/>
    <w:rPr>
      <w:rFonts w:eastAsiaTheme="minorEastAsia"/>
      <w:sz w:val="24"/>
    </w:rPr>
  </w:style>
  <w:style w:type="paragraph" w:styleId="BodyTextFirstIndent2">
    <w:name w:val="Body Text First Indent 2"/>
    <w:basedOn w:val="BodyTextIndent"/>
    <w:link w:val="BodyTextFirstIndent2Char"/>
    <w:uiPriority w:val="99"/>
    <w:semiHidden/>
    <w:rsid w:val="00014566"/>
    <w:pPr>
      <w:spacing w:after="0"/>
      <w:ind w:left="360" w:firstLine="360"/>
    </w:pPr>
  </w:style>
  <w:style w:type="character" w:customStyle="1" w:styleId="BodyTextFirstIndent2Char">
    <w:name w:val="Body Text First Indent 2 Char"/>
    <w:basedOn w:val="BodyTextIndentChar"/>
    <w:link w:val="BodyTextFirstIndent2"/>
    <w:uiPriority w:val="99"/>
    <w:semiHidden/>
    <w:rsid w:val="00014566"/>
    <w:rPr>
      <w:rFonts w:eastAsiaTheme="minorEastAsia"/>
      <w:sz w:val="24"/>
    </w:rPr>
  </w:style>
  <w:style w:type="paragraph" w:styleId="BodyTextIndent2">
    <w:name w:val="Body Text Indent 2"/>
    <w:basedOn w:val="Normal"/>
    <w:link w:val="BodyTextIndent2Char"/>
    <w:uiPriority w:val="99"/>
    <w:semiHidden/>
    <w:rsid w:val="00014566"/>
    <w:pPr>
      <w:spacing w:after="120" w:line="480" w:lineRule="auto"/>
      <w:ind w:left="283"/>
    </w:pPr>
  </w:style>
  <w:style w:type="character" w:customStyle="1" w:styleId="BodyTextIndent2Char">
    <w:name w:val="Body Text Indent 2 Char"/>
    <w:basedOn w:val="DefaultParagraphFont"/>
    <w:link w:val="BodyTextIndent2"/>
    <w:uiPriority w:val="99"/>
    <w:semiHidden/>
    <w:rsid w:val="00014566"/>
    <w:rPr>
      <w:rFonts w:eastAsiaTheme="minorEastAsia"/>
      <w:sz w:val="24"/>
    </w:rPr>
  </w:style>
  <w:style w:type="paragraph" w:styleId="BodyTextIndent3">
    <w:name w:val="Body Text Indent 3"/>
    <w:basedOn w:val="Normal"/>
    <w:link w:val="BodyTextIndent3Char"/>
    <w:uiPriority w:val="99"/>
    <w:semiHidden/>
    <w:rsid w:val="00014566"/>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014566"/>
    <w:rPr>
      <w:rFonts w:eastAsiaTheme="minorEastAsia"/>
      <w:sz w:val="16"/>
      <w:szCs w:val="16"/>
    </w:rPr>
  </w:style>
  <w:style w:type="paragraph" w:styleId="Caption">
    <w:name w:val="caption"/>
    <w:basedOn w:val="Normal"/>
    <w:next w:val="Normal"/>
    <w:uiPriority w:val="99"/>
    <w:semiHidden/>
    <w:qFormat/>
    <w:rsid w:val="00014566"/>
    <w:pPr>
      <w:spacing w:after="200"/>
    </w:pPr>
    <w:rPr>
      <w:b/>
      <w:bCs/>
      <w:color w:val="0072BC" w:themeColor="accent1"/>
      <w:sz w:val="18"/>
      <w:szCs w:val="18"/>
    </w:rPr>
  </w:style>
  <w:style w:type="paragraph" w:styleId="Closing">
    <w:name w:val="Closing"/>
    <w:basedOn w:val="Normal"/>
    <w:link w:val="ClosingChar"/>
    <w:uiPriority w:val="99"/>
    <w:semiHidden/>
    <w:rsid w:val="00014566"/>
    <w:pPr>
      <w:ind w:left="4252"/>
    </w:pPr>
  </w:style>
  <w:style w:type="character" w:customStyle="1" w:styleId="ClosingChar">
    <w:name w:val="Closing Char"/>
    <w:basedOn w:val="DefaultParagraphFont"/>
    <w:link w:val="Closing"/>
    <w:uiPriority w:val="99"/>
    <w:semiHidden/>
    <w:rsid w:val="00014566"/>
    <w:rPr>
      <w:rFonts w:eastAsiaTheme="minorEastAsia"/>
      <w:sz w:val="24"/>
    </w:rPr>
  </w:style>
  <w:style w:type="table" w:styleId="ColorfulGrid">
    <w:name w:val="Colorful Grid"/>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99"/>
    <w:semiHidden/>
    <w:rsid w:val="00014566"/>
    <w:rPr>
      <w:color w:val="000000" w:themeColor="text1"/>
      <w:lang w:val="fr-FR" w:eastAsia="fr-FR"/>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9"/>
    <w:semiHidden/>
    <w:rsid w:val="00014566"/>
    <w:rPr>
      <w:color w:val="000000" w:themeColor="text1"/>
      <w:lang w:val="fr-FR" w:eastAsia="fr-FR"/>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99"/>
    <w:semiHidden/>
    <w:rsid w:val="00014566"/>
    <w:rPr>
      <w:color w:val="000000" w:themeColor="text1"/>
      <w:lang w:val="fr-FR" w:eastAsia="fr-FR"/>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99"/>
    <w:semiHidden/>
    <w:rsid w:val="00014566"/>
    <w:rPr>
      <w:color w:val="000000" w:themeColor="text1"/>
      <w:lang w:val="fr-FR" w:eastAsia="fr-FR"/>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99"/>
    <w:semiHidden/>
    <w:rsid w:val="00014566"/>
    <w:rPr>
      <w:color w:val="000000" w:themeColor="text1"/>
      <w:lang w:val="fr-FR" w:eastAsia="fr-FR"/>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99"/>
    <w:semiHidden/>
    <w:rsid w:val="00014566"/>
    <w:rPr>
      <w:color w:val="000000" w:themeColor="text1"/>
      <w:lang w:val="fr-FR" w:eastAsia="fr-FR"/>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99"/>
    <w:semiHidden/>
    <w:rsid w:val="00014566"/>
    <w:rPr>
      <w:color w:val="000000" w:themeColor="text1"/>
      <w:lang w:val="fr-FR" w:eastAsia="fr-FR"/>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9"/>
    <w:semiHidden/>
    <w:rsid w:val="00014566"/>
    <w:rPr>
      <w:color w:val="000000" w:themeColor="text1"/>
      <w:lang w:val="fr-FR" w:eastAsia="fr-FR"/>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99"/>
    <w:semiHidden/>
    <w:rsid w:val="00014566"/>
    <w:rPr>
      <w:color w:val="000000" w:themeColor="text1"/>
      <w:lang w:val="fr-FR" w:eastAsia="fr-FR"/>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9"/>
    <w:semiHidden/>
    <w:rsid w:val="00014566"/>
    <w:rPr>
      <w:color w:val="000000" w:themeColor="text1"/>
      <w:lang w:val="fr-FR" w:eastAsia="fr-FR"/>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9"/>
    <w:semiHidden/>
    <w:rsid w:val="00014566"/>
    <w:rPr>
      <w:color w:val="000000" w:themeColor="text1"/>
      <w:lang w:val="fr-FR" w:eastAsia="fr-FR"/>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99"/>
    <w:semiHidden/>
    <w:rsid w:val="00014566"/>
    <w:rPr>
      <w:color w:val="0072BC" w:themeColor="background1"/>
      <w:lang w:val="fr-FR" w:eastAsia="fr-FR"/>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semiHidden/>
    <w:rsid w:val="00014566"/>
    <w:rPr>
      <w:color w:val="0072BC" w:themeColor="background1"/>
      <w:lang w:val="fr-FR" w:eastAsia="fr-FR"/>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99"/>
    <w:semiHidden/>
    <w:rsid w:val="00014566"/>
    <w:rPr>
      <w:color w:val="0072BC" w:themeColor="background1"/>
      <w:lang w:val="fr-FR" w:eastAsia="fr-FR"/>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99"/>
    <w:semiHidden/>
    <w:rsid w:val="00014566"/>
    <w:rPr>
      <w:color w:val="0072BC" w:themeColor="background1"/>
      <w:lang w:val="fr-FR" w:eastAsia="fr-FR"/>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99"/>
    <w:semiHidden/>
    <w:rsid w:val="00014566"/>
    <w:rPr>
      <w:color w:val="0072BC" w:themeColor="background1"/>
      <w:lang w:val="fr-FR" w:eastAsia="fr-FR"/>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99"/>
    <w:semiHidden/>
    <w:rsid w:val="00014566"/>
    <w:rPr>
      <w:color w:val="0072BC" w:themeColor="background1"/>
      <w:lang w:val="fr-FR" w:eastAsia="fr-FR"/>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99"/>
    <w:semiHidden/>
    <w:rsid w:val="00014566"/>
    <w:rPr>
      <w:color w:val="0072BC" w:themeColor="background1"/>
      <w:lang w:val="fr-FR" w:eastAsia="fr-FR"/>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014566"/>
  </w:style>
  <w:style w:type="character" w:customStyle="1" w:styleId="DateChar">
    <w:name w:val="Date Char"/>
    <w:basedOn w:val="DefaultParagraphFont"/>
    <w:link w:val="Date"/>
    <w:uiPriority w:val="99"/>
    <w:semiHidden/>
    <w:rsid w:val="00014566"/>
    <w:rPr>
      <w:rFonts w:eastAsiaTheme="minorEastAsia"/>
      <w:sz w:val="24"/>
    </w:rPr>
  </w:style>
  <w:style w:type="paragraph" w:styleId="E-mailSignature">
    <w:name w:val="E-mail Signature"/>
    <w:basedOn w:val="Normal"/>
    <w:link w:val="E-mailSignatureChar"/>
    <w:uiPriority w:val="99"/>
    <w:semiHidden/>
    <w:rsid w:val="00014566"/>
  </w:style>
  <w:style w:type="character" w:customStyle="1" w:styleId="E-mailSignatureChar">
    <w:name w:val="E-mail Signature Char"/>
    <w:basedOn w:val="DefaultParagraphFont"/>
    <w:link w:val="E-mailSignature"/>
    <w:uiPriority w:val="99"/>
    <w:semiHidden/>
    <w:rsid w:val="00014566"/>
    <w:rPr>
      <w:rFonts w:eastAsiaTheme="minorEastAsia"/>
      <w:sz w:val="24"/>
    </w:rPr>
  </w:style>
  <w:style w:type="paragraph" w:styleId="EnvelopeAddress">
    <w:name w:val="envelope address"/>
    <w:basedOn w:val="Normal"/>
    <w:uiPriority w:val="99"/>
    <w:semiHidden/>
    <w:rsid w:val="00014566"/>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014566"/>
    <w:rPr>
      <w:rFonts w:asciiTheme="majorHAnsi" w:eastAsiaTheme="majorEastAsia" w:hAnsiTheme="majorHAnsi" w:cstheme="majorBidi"/>
      <w:sz w:val="20"/>
      <w:szCs w:val="20"/>
    </w:rPr>
  </w:style>
  <w:style w:type="character" w:styleId="HTMLAcronym">
    <w:name w:val="HTML Acronym"/>
    <w:basedOn w:val="DefaultParagraphFont"/>
    <w:uiPriority w:val="99"/>
    <w:semiHidden/>
    <w:rsid w:val="00014566"/>
  </w:style>
  <w:style w:type="paragraph" w:styleId="HTMLAddress">
    <w:name w:val="HTML Address"/>
    <w:basedOn w:val="Normal"/>
    <w:link w:val="HTMLAddressChar"/>
    <w:uiPriority w:val="99"/>
    <w:semiHidden/>
    <w:rsid w:val="00014566"/>
    <w:rPr>
      <w:i/>
      <w:iCs/>
    </w:rPr>
  </w:style>
  <w:style w:type="character" w:customStyle="1" w:styleId="HTMLAddressChar">
    <w:name w:val="HTML Address Char"/>
    <w:basedOn w:val="DefaultParagraphFont"/>
    <w:link w:val="HTMLAddress"/>
    <w:uiPriority w:val="99"/>
    <w:semiHidden/>
    <w:rsid w:val="00014566"/>
    <w:rPr>
      <w:rFonts w:eastAsiaTheme="minorEastAsia"/>
      <w:i/>
      <w:iCs/>
      <w:sz w:val="24"/>
    </w:rPr>
  </w:style>
  <w:style w:type="character" w:styleId="HTMLCite">
    <w:name w:val="HTML Cite"/>
    <w:basedOn w:val="DefaultParagraphFont"/>
    <w:uiPriority w:val="99"/>
    <w:semiHidden/>
    <w:rsid w:val="00014566"/>
    <w:rPr>
      <w:i/>
      <w:iCs/>
    </w:rPr>
  </w:style>
  <w:style w:type="character" w:styleId="HTMLCode">
    <w:name w:val="HTML Code"/>
    <w:basedOn w:val="DefaultParagraphFont"/>
    <w:uiPriority w:val="99"/>
    <w:semiHidden/>
    <w:rsid w:val="00014566"/>
    <w:rPr>
      <w:rFonts w:ascii="Consolas" w:hAnsi="Consolas" w:cs="Consolas"/>
      <w:sz w:val="20"/>
      <w:szCs w:val="20"/>
    </w:rPr>
  </w:style>
  <w:style w:type="character" w:styleId="HTMLDefinition">
    <w:name w:val="HTML Definition"/>
    <w:basedOn w:val="DefaultParagraphFont"/>
    <w:uiPriority w:val="99"/>
    <w:semiHidden/>
    <w:rsid w:val="00014566"/>
    <w:rPr>
      <w:i/>
      <w:iCs/>
    </w:rPr>
  </w:style>
  <w:style w:type="character" w:styleId="HTMLKeyboard">
    <w:name w:val="HTML Keyboard"/>
    <w:basedOn w:val="DefaultParagraphFont"/>
    <w:uiPriority w:val="99"/>
    <w:semiHidden/>
    <w:rsid w:val="00014566"/>
    <w:rPr>
      <w:rFonts w:ascii="Consolas" w:hAnsi="Consolas" w:cs="Consolas"/>
      <w:sz w:val="20"/>
      <w:szCs w:val="20"/>
    </w:rPr>
  </w:style>
  <w:style w:type="paragraph" w:styleId="HTMLPreformatted">
    <w:name w:val="HTML Preformatted"/>
    <w:basedOn w:val="Normal"/>
    <w:link w:val="HTMLPreformattedChar"/>
    <w:uiPriority w:val="99"/>
    <w:semiHidden/>
    <w:rsid w:val="00014566"/>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014566"/>
    <w:rPr>
      <w:rFonts w:ascii="Consolas" w:eastAsiaTheme="minorEastAsia" w:hAnsi="Consolas" w:cs="Consolas"/>
      <w:sz w:val="20"/>
      <w:szCs w:val="20"/>
    </w:rPr>
  </w:style>
  <w:style w:type="character" w:styleId="HTMLSample">
    <w:name w:val="HTML Sample"/>
    <w:basedOn w:val="DefaultParagraphFont"/>
    <w:uiPriority w:val="99"/>
    <w:semiHidden/>
    <w:rsid w:val="00014566"/>
    <w:rPr>
      <w:rFonts w:ascii="Consolas" w:hAnsi="Consolas" w:cs="Consolas"/>
      <w:sz w:val="24"/>
      <w:szCs w:val="24"/>
    </w:rPr>
  </w:style>
  <w:style w:type="character" w:styleId="HTMLTypewriter">
    <w:name w:val="HTML Typewriter"/>
    <w:basedOn w:val="DefaultParagraphFont"/>
    <w:uiPriority w:val="99"/>
    <w:semiHidden/>
    <w:rsid w:val="00014566"/>
    <w:rPr>
      <w:rFonts w:ascii="Consolas" w:hAnsi="Consolas" w:cs="Consolas"/>
      <w:sz w:val="20"/>
      <w:szCs w:val="20"/>
    </w:rPr>
  </w:style>
  <w:style w:type="character" w:styleId="HTMLVariable">
    <w:name w:val="HTML Variable"/>
    <w:basedOn w:val="DefaultParagraphFont"/>
    <w:uiPriority w:val="99"/>
    <w:semiHidden/>
    <w:rsid w:val="00014566"/>
    <w:rPr>
      <w:i/>
      <w:iCs/>
    </w:rPr>
  </w:style>
  <w:style w:type="paragraph" w:styleId="Index1">
    <w:name w:val="index 1"/>
    <w:basedOn w:val="Normal"/>
    <w:next w:val="Normal"/>
    <w:autoRedefine/>
    <w:uiPriority w:val="99"/>
    <w:semiHidden/>
    <w:rsid w:val="00014566"/>
    <w:pPr>
      <w:ind w:left="240" w:hanging="240"/>
    </w:pPr>
  </w:style>
  <w:style w:type="paragraph" w:styleId="Index2">
    <w:name w:val="index 2"/>
    <w:basedOn w:val="Normal"/>
    <w:next w:val="Normal"/>
    <w:autoRedefine/>
    <w:uiPriority w:val="99"/>
    <w:semiHidden/>
    <w:rsid w:val="00014566"/>
    <w:pPr>
      <w:ind w:left="480" w:hanging="240"/>
    </w:pPr>
  </w:style>
  <w:style w:type="paragraph" w:styleId="Index3">
    <w:name w:val="index 3"/>
    <w:basedOn w:val="Normal"/>
    <w:next w:val="Normal"/>
    <w:autoRedefine/>
    <w:uiPriority w:val="99"/>
    <w:semiHidden/>
    <w:rsid w:val="00014566"/>
    <w:pPr>
      <w:ind w:left="720" w:hanging="240"/>
    </w:pPr>
  </w:style>
  <w:style w:type="paragraph" w:styleId="Index4">
    <w:name w:val="index 4"/>
    <w:basedOn w:val="Normal"/>
    <w:next w:val="Normal"/>
    <w:autoRedefine/>
    <w:uiPriority w:val="99"/>
    <w:semiHidden/>
    <w:rsid w:val="00014566"/>
    <w:pPr>
      <w:ind w:left="960" w:hanging="240"/>
    </w:pPr>
  </w:style>
  <w:style w:type="paragraph" w:styleId="Index5">
    <w:name w:val="index 5"/>
    <w:basedOn w:val="Normal"/>
    <w:next w:val="Normal"/>
    <w:autoRedefine/>
    <w:uiPriority w:val="99"/>
    <w:semiHidden/>
    <w:rsid w:val="00014566"/>
    <w:pPr>
      <w:ind w:left="1200" w:hanging="240"/>
    </w:pPr>
  </w:style>
  <w:style w:type="paragraph" w:styleId="Index6">
    <w:name w:val="index 6"/>
    <w:basedOn w:val="Normal"/>
    <w:next w:val="Normal"/>
    <w:autoRedefine/>
    <w:uiPriority w:val="99"/>
    <w:semiHidden/>
    <w:rsid w:val="00014566"/>
    <w:pPr>
      <w:ind w:left="1440" w:hanging="240"/>
    </w:pPr>
  </w:style>
  <w:style w:type="paragraph" w:styleId="Index7">
    <w:name w:val="index 7"/>
    <w:basedOn w:val="Normal"/>
    <w:next w:val="Normal"/>
    <w:autoRedefine/>
    <w:uiPriority w:val="99"/>
    <w:semiHidden/>
    <w:rsid w:val="00014566"/>
    <w:pPr>
      <w:ind w:left="1680" w:hanging="240"/>
    </w:pPr>
  </w:style>
  <w:style w:type="paragraph" w:styleId="Index8">
    <w:name w:val="index 8"/>
    <w:basedOn w:val="Normal"/>
    <w:next w:val="Normal"/>
    <w:autoRedefine/>
    <w:uiPriority w:val="99"/>
    <w:semiHidden/>
    <w:rsid w:val="00014566"/>
    <w:pPr>
      <w:ind w:left="1920" w:hanging="240"/>
    </w:pPr>
  </w:style>
  <w:style w:type="paragraph" w:styleId="Index9">
    <w:name w:val="index 9"/>
    <w:basedOn w:val="Normal"/>
    <w:next w:val="Normal"/>
    <w:autoRedefine/>
    <w:uiPriority w:val="99"/>
    <w:semiHidden/>
    <w:rsid w:val="00014566"/>
    <w:pPr>
      <w:ind w:left="2160" w:hanging="240"/>
    </w:pPr>
  </w:style>
  <w:style w:type="paragraph" w:styleId="IndexHeading">
    <w:name w:val="index heading"/>
    <w:basedOn w:val="Normal"/>
    <w:next w:val="Index1"/>
    <w:uiPriority w:val="99"/>
    <w:semiHidden/>
    <w:rsid w:val="00014566"/>
    <w:rPr>
      <w:rFonts w:asciiTheme="majorHAnsi" w:eastAsiaTheme="majorEastAsia" w:hAnsiTheme="majorHAnsi" w:cstheme="majorBidi"/>
      <w:b/>
      <w:bCs/>
    </w:rPr>
  </w:style>
  <w:style w:type="table" w:styleId="LightGrid">
    <w:name w:val="Light Grid"/>
    <w:basedOn w:val="TableNormal"/>
    <w:uiPriority w:val="99"/>
    <w:semiHidden/>
    <w:rsid w:val="00014566"/>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9"/>
    <w:semiHidden/>
    <w:rsid w:val="00014566"/>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99"/>
    <w:semiHidden/>
    <w:rsid w:val="00014566"/>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99"/>
    <w:semiHidden/>
    <w:rsid w:val="00014566"/>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99"/>
    <w:semiHidden/>
    <w:rsid w:val="00014566"/>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99"/>
    <w:semiHidden/>
    <w:rsid w:val="00014566"/>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99"/>
    <w:semiHidden/>
    <w:rsid w:val="00014566"/>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99"/>
    <w:semiHidden/>
    <w:rsid w:val="00014566"/>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9"/>
    <w:semiHidden/>
    <w:rsid w:val="00014566"/>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99"/>
    <w:semiHidden/>
    <w:rsid w:val="00014566"/>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99"/>
    <w:semiHidden/>
    <w:rsid w:val="00014566"/>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99"/>
    <w:semiHidden/>
    <w:rsid w:val="00014566"/>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99"/>
    <w:semiHidden/>
    <w:rsid w:val="00014566"/>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99"/>
    <w:semiHidden/>
    <w:rsid w:val="00014566"/>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99"/>
    <w:semiHidden/>
    <w:rsid w:val="00014566"/>
    <w:rPr>
      <w:color w:val="000000" w:themeColor="text1" w:themeShade="BF"/>
      <w:lang w:val="fr-FR" w:eastAsia="fr-F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semiHidden/>
    <w:rsid w:val="00014566"/>
    <w:rPr>
      <w:color w:val="00548C" w:themeColor="accent1" w:themeShade="BF"/>
      <w:lang w:val="fr-FR" w:eastAsia="fr-FR"/>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99"/>
    <w:semiHidden/>
    <w:rsid w:val="00014566"/>
    <w:rPr>
      <w:color w:val="8F0000" w:themeColor="accent2" w:themeShade="BF"/>
      <w:lang w:val="fr-FR" w:eastAsia="fr-FR"/>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99"/>
    <w:semiHidden/>
    <w:rsid w:val="00014566"/>
    <w:rPr>
      <w:color w:val="474747" w:themeColor="accent3" w:themeShade="BF"/>
      <w:lang w:val="fr-FR" w:eastAsia="fr-FR"/>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99"/>
    <w:semiHidden/>
    <w:rsid w:val="00014566"/>
    <w:rPr>
      <w:color w:val="707070" w:themeColor="accent4" w:themeShade="BF"/>
      <w:lang w:val="fr-FR" w:eastAsia="fr-FR"/>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99"/>
    <w:semiHidden/>
    <w:rsid w:val="00014566"/>
    <w:rPr>
      <w:color w:val="474747" w:themeColor="accent5" w:themeShade="BF"/>
      <w:lang w:val="fr-FR" w:eastAsia="fr-FR"/>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99"/>
    <w:semiHidden/>
    <w:rsid w:val="00014566"/>
    <w:rPr>
      <w:color w:val="393939" w:themeColor="accent6" w:themeShade="BF"/>
      <w:lang w:val="fr-FR" w:eastAsia="fr-FR"/>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014566"/>
  </w:style>
  <w:style w:type="paragraph" w:styleId="List">
    <w:name w:val="List"/>
    <w:basedOn w:val="Normal"/>
    <w:uiPriority w:val="99"/>
    <w:semiHidden/>
    <w:rsid w:val="00014566"/>
    <w:pPr>
      <w:ind w:left="283" w:hanging="283"/>
      <w:contextualSpacing/>
    </w:pPr>
  </w:style>
  <w:style w:type="paragraph" w:styleId="List2">
    <w:name w:val="List 2"/>
    <w:basedOn w:val="Normal"/>
    <w:uiPriority w:val="99"/>
    <w:semiHidden/>
    <w:rsid w:val="00014566"/>
    <w:pPr>
      <w:ind w:left="566" w:hanging="283"/>
      <w:contextualSpacing/>
    </w:pPr>
  </w:style>
  <w:style w:type="paragraph" w:styleId="List3">
    <w:name w:val="List 3"/>
    <w:basedOn w:val="Normal"/>
    <w:uiPriority w:val="99"/>
    <w:semiHidden/>
    <w:rsid w:val="00014566"/>
    <w:pPr>
      <w:ind w:left="849" w:hanging="283"/>
      <w:contextualSpacing/>
    </w:pPr>
  </w:style>
  <w:style w:type="paragraph" w:styleId="List4">
    <w:name w:val="List 4"/>
    <w:basedOn w:val="Normal"/>
    <w:uiPriority w:val="99"/>
    <w:semiHidden/>
    <w:rsid w:val="00014566"/>
    <w:pPr>
      <w:ind w:left="1132" w:hanging="283"/>
      <w:contextualSpacing/>
    </w:pPr>
  </w:style>
  <w:style w:type="paragraph" w:styleId="List5">
    <w:name w:val="List 5"/>
    <w:basedOn w:val="Normal"/>
    <w:uiPriority w:val="99"/>
    <w:semiHidden/>
    <w:rsid w:val="00014566"/>
    <w:pPr>
      <w:ind w:left="1415" w:hanging="283"/>
      <w:contextualSpacing/>
    </w:pPr>
  </w:style>
  <w:style w:type="paragraph" w:styleId="ListBullet2">
    <w:name w:val="List Bullet 2"/>
    <w:basedOn w:val="Normal"/>
    <w:uiPriority w:val="99"/>
    <w:semiHidden/>
    <w:rsid w:val="00014566"/>
    <w:pPr>
      <w:numPr>
        <w:numId w:val="12"/>
      </w:numPr>
      <w:contextualSpacing/>
    </w:pPr>
  </w:style>
  <w:style w:type="paragraph" w:styleId="ListBullet3">
    <w:name w:val="List Bullet 3"/>
    <w:basedOn w:val="Normal"/>
    <w:uiPriority w:val="99"/>
    <w:semiHidden/>
    <w:rsid w:val="00014566"/>
    <w:pPr>
      <w:numPr>
        <w:numId w:val="13"/>
      </w:numPr>
      <w:contextualSpacing/>
    </w:pPr>
  </w:style>
  <w:style w:type="paragraph" w:styleId="ListBullet4">
    <w:name w:val="List Bullet 4"/>
    <w:basedOn w:val="Normal"/>
    <w:uiPriority w:val="99"/>
    <w:semiHidden/>
    <w:rsid w:val="00014566"/>
    <w:pPr>
      <w:numPr>
        <w:numId w:val="14"/>
      </w:numPr>
      <w:contextualSpacing/>
    </w:pPr>
  </w:style>
  <w:style w:type="paragraph" w:styleId="ListBullet5">
    <w:name w:val="List Bullet 5"/>
    <w:basedOn w:val="Normal"/>
    <w:uiPriority w:val="99"/>
    <w:semiHidden/>
    <w:rsid w:val="00014566"/>
    <w:pPr>
      <w:numPr>
        <w:numId w:val="15"/>
      </w:numPr>
      <w:contextualSpacing/>
    </w:pPr>
  </w:style>
  <w:style w:type="paragraph" w:styleId="ListContinue">
    <w:name w:val="List Continue"/>
    <w:basedOn w:val="Normal"/>
    <w:uiPriority w:val="99"/>
    <w:semiHidden/>
    <w:rsid w:val="00014566"/>
    <w:pPr>
      <w:spacing w:after="120"/>
      <w:ind w:left="283"/>
      <w:contextualSpacing/>
    </w:pPr>
  </w:style>
  <w:style w:type="paragraph" w:styleId="ListContinue2">
    <w:name w:val="List Continue 2"/>
    <w:basedOn w:val="Normal"/>
    <w:uiPriority w:val="99"/>
    <w:semiHidden/>
    <w:rsid w:val="00014566"/>
    <w:pPr>
      <w:spacing w:after="120"/>
      <w:ind w:left="566"/>
      <w:contextualSpacing/>
    </w:pPr>
  </w:style>
  <w:style w:type="paragraph" w:styleId="ListContinue3">
    <w:name w:val="List Continue 3"/>
    <w:basedOn w:val="Normal"/>
    <w:uiPriority w:val="99"/>
    <w:semiHidden/>
    <w:rsid w:val="00014566"/>
    <w:pPr>
      <w:spacing w:after="120"/>
      <w:ind w:left="849"/>
      <w:contextualSpacing/>
    </w:pPr>
  </w:style>
  <w:style w:type="paragraph" w:styleId="ListContinue4">
    <w:name w:val="List Continue 4"/>
    <w:basedOn w:val="Normal"/>
    <w:uiPriority w:val="99"/>
    <w:semiHidden/>
    <w:rsid w:val="00014566"/>
    <w:pPr>
      <w:spacing w:after="120"/>
      <w:ind w:left="1132"/>
      <w:contextualSpacing/>
    </w:pPr>
  </w:style>
  <w:style w:type="paragraph" w:styleId="ListContinue5">
    <w:name w:val="List Continue 5"/>
    <w:basedOn w:val="Normal"/>
    <w:uiPriority w:val="99"/>
    <w:semiHidden/>
    <w:rsid w:val="00014566"/>
    <w:pPr>
      <w:spacing w:after="120"/>
      <w:ind w:left="1415"/>
      <w:contextualSpacing/>
    </w:pPr>
  </w:style>
  <w:style w:type="paragraph" w:styleId="ListNumber">
    <w:name w:val="List Number"/>
    <w:basedOn w:val="Normal"/>
    <w:uiPriority w:val="99"/>
    <w:semiHidden/>
    <w:rsid w:val="00014566"/>
    <w:pPr>
      <w:numPr>
        <w:numId w:val="16"/>
      </w:numPr>
      <w:contextualSpacing/>
    </w:pPr>
  </w:style>
  <w:style w:type="paragraph" w:styleId="ListNumber2">
    <w:name w:val="List Number 2"/>
    <w:basedOn w:val="Normal"/>
    <w:uiPriority w:val="99"/>
    <w:semiHidden/>
    <w:rsid w:val="00014566"/>
    <w:pPr>
      <w:numPr>
        <w:numId w:val="17"/>
      </w:numPr>
      <w:contextualSpacing/>
    </w:pPr>
  </w:style>
  <w:style w:type="paragraph" w:styleId="ListNumber3">
    <w:name w:val="List Number 3"/>
    <w:basedOn w:val="Normal"/>
    <w:uiPriority w:val="99"/>
    <w:semiHidden/>
    <w:rsid w:val="00014566"/>
    <w:pPr>
      <w:numPr>
        <w:numId w:val="18"/>
      </w:numPr>
      <w:contextualSpacing/>
    </w:pPr>
  </w:style>
  <w:style w:type="paragraph" w:styleId="ListNumber4">
    <w:name w:val="List Number 4"/>
    <w:basedOn w:val="Normal"/>
    <w:uiPriority w:val="99"/>
    <w:semiHidden/>
    <w:rsid w:val="00014566"/>
    <w:pPr>
      <w:numPr>
        <w:numId w:val="19"/>
      </w:numPr>
      <w:contextualSpacing/>
    </w:pPr>
  </w:style>
  <w:style w:type="paragraph" w:styleId="ListNumber5">
    <w:name w:val="List Number 5"/>
    <w:basedOn w:val="Normal"/>
    <w:uiPriority w:val="99"/>
    <w:semiHidden/>
    <w:rsid w:val="00014566"/>
    <w:pPr>
      <w:numPr>
        <w:numId w:val="20"/>
      </w:numPr>
      <w:contextualSpacing/>
    </w:pPr>
  </w:style>
  <w:style w:type="paragraph" w:styleId="MacroText">
    <w:name w:val="macro"/>
    <w:link w:val="MacroTextChar"/>
    <w:uiPriority w:val="99"/>
    <w:semiHidden/>
    <w:rsid w:val="00014566"/>
    <w:pPr>
      <w:tabs>
        <w:tab w:val="left" w:pos="480"/>
        <w:tab w:val="left" w:pos="960"/>
        <w:tab w:val="left" w:pos="1440"/>
        <w:tab w:val="left" w:pos="1920"/>
        <w:tab w:val="left" w:pos="2400"/>
        <w:tab w:val="left" w:pos="2880"/>
        <w:tab w:val="left" w:pos="3360"/>
        <w:tab w:val="left" w:pos="3840"/>
        <w:tab w:val="left" w:pos="4320"/>
      </w:tabs>
      <w:suppressAutoHyphens/>
    </w:pPr>
    <w:rPr>
      <w:rFonts w:ascii="Consolas" w:hAnsi="Consolas" w:cs="Consolas"/>
      <w:sz w:val="20"/>
      <w:szCs w:val="20"/>
      <w:lang w:val="en-GB" w:eastAsia="fr-FR"/>
    </w:rPr>
  </w:style>
  <w:style w:type="character" w:customStyle="1" w:styleId="MacroTextChar">
    <w:name w:val="Macro Text Char"/>
    <w:basedOn w:val="DefaultParagraphFont"/>
    <w:link w:val="MacroText"/>
    <w:uiPriority w:val="99"/>
    <w:semiHidden/>
    <w:rsid w:val="00014566"/>
    <w:rPr>
      <w:rFonts w:ascii="Consolas" w:hAnsi="Consolas" w:cs="Consolas"/>
      <w:sz w:val="20"/>
      <w:szCs w:val="20"/>
      <w:lang w:val="en-GB" w:eastAsia="fr-FR"/>
    </w:rPr>
  </w:style>
  <w:style w:type="table" w:styleId="MediumGrid1">
    <w:name w:val="Medium Grid 1"/>
    <w:basedOn w:val="TableNormal"/>
    <w:uiPriority w:val="99"/>
    <w:semiHidden/>
    <w:rsid w:val="00014566"/>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semiHidden/>
    <w:rsid w:val="00014566"/>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99"/>
    <w:semiHidden/>
    <w:rsid w:val="00014566"/>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99"/>
    <w:semiHidden/>
    <w:rsid w:val="00014566"/>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99"/>
    <w:semiHidden/>
    <w:rsid w:val="00014566"/>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99"/>
    <w:semiHidden/>
    <w:rsid w:val="00014566"/>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99"/>
    <w:semiHidden/>
    <w:rsid w:val="00014566"/>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99"/>
    <w:semiHidden/>
    <w:rsid w:val="00014566"/>
    <w:rPr>
      <w:color w:val="000000" w:themeColor="text1"/>
      <w:lang w:val="fr-FR" w:eastAsia="fr-FR"/>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9"/>
    <w:semiHidden/>
    <w:rsid w:val="00014566"/>
    <w:rPr>
      <w:color w:val="000000" w:themeColor="text1"/>
      <w:lang w:val="fr-FR" w:eastAsia="fr-FR"/>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99"/>
    <w:semiHidden/>
    <w:rsid w:val="00014566"/>
    <w:rPr>
      <w:color w:val="000000" w:themeColor="text1"/>
      <w:lang w:val="fr-FR" w:eastAsia="fr-FR"/>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99"/>
    <w:semiHidden/>
    <w:rsid w:val="00014566"/>
    <w:rPr>
      <w:color w:val="000000" w:themeColor="text1"/>
      <w:lang w:val="fr-FR" w:eastAsia="fr-FR"/>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99"/>
    <w:semiHidden/>
    <w:rsid w:val="00014566"/>
    <w:rPr>
      <w:color w:val="000000" w:themeColor="text1"/>
      <w:lang w:val="fr-FR" w:eastAsia="fr-FR"/>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99"/>
    <w:semiHidden/>
    <w:rsid w:val="00014566"/>
    <w:rPr>
      <w:color w:val="000000" w:themeColor="text1"/>
      <w:lang w:val="fr-FR" w:eastAsia="fr-FR"/>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99"/>
    <w:semiHidden/>
    <w:rsid w:val="00014566"/>
    <w:rPr>
      <w:color w:val="000000" w:themeColor="text1"/>
      <w:lang w:val="fr-FR" w:eastAsia="fr-FR"/>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99"/>
    <w:semiHidden/>
    <w:rsid w:val="00014566"/>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rsid w:val="00014566"/>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rsid w:val="00014566"/>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rsid w:val="00014566"/>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rsid w:val="00014566"/>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rsid w:val="00014566"/>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rsid w:val="00014566"/>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014566"/>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014566"/>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014566"/>
    <w:rPr>
      <w:rFonts w:ascii="Times New Roman" w:hAnsi="Times New Roman" w:cs="Times New Roman"/>
      <w:szCs w:val="24"/>
    </w:rPr>
  </w:style>
  <w:style w:type="paragraph" w:styleId="NormalIndent">
    <w:name w:val="Normal Indent"/>
    <w:basedOn w:val="Normal"/>
    <w:uiPriority w:val="99"/>
    <w:semiHidden/>
    <w:rsid w:val="00014566"/>
    <w:pPr>
      <w:ind w:left="720"/>
    </w:pPr>
  </w:style>
  <w:style w:type="paragraph" w:styleId="NoteHeading">
    <w:name w:val="Note Heading"/>
    <w:basedOn w:val="Normal"/>
    <w:next w:val="Normal"/>
    <w:link w:val="NoteHeadingChar"/>
    <w:uiPriority w:val="99"/>
    <w:semiHidden/>
    <w:rsid w:val="00014566"/>
  </w:style>
  <w:style w:type="character" w:customStyle="1" w:styleId="NoteHeadingChar">
    <w:name w:val="Note Heading Char"/>
    <w:basedOn w:val="DefaultParagraphFont"/>
    <w:link w:val="NoteHeading"/>
    <w:uiPriority w:val="99"/>
    <w:semiHidden/>
    <w:rsid w:val="00014566"/>
    <w:rPr>
      <w:rFonts w:eastAsiaTheme="minorEastAsia"/>
      <w:sz w:val="24"/>
    </w:rPr>
  </w:style>
  <w:style w:type="character" w:styleId="PlaceholderText">
    <w:name w:val="Placeholder Text"/>
    <w:basedOn w:val="DefaultParagraphFont"/>
    <w:uiPriority w:val="99"/>
    <w:semiHidden/>
    <w:rsid w:val="00014566"/>
    <w:rPr>
      <w:color w:val="808080"/>
    </w:rPr>
  </w:style>
  <w:style w:type="paragraph" w:styleId="PlainText">
    <w:name w:val="Plain Text"/>
    <w:basedOn w:val="Normal"/>
    <w:link w:val="PlainTextChar"/>
    <w:uiPriority w:val="99"/>
    <w:semiHidden/>
    <w:rsid w:val="00014566"/>
    <w:rPr>
      <w:rFonts w:ascii="Consolas" w:hAnsi="Consolas" w:cs="Consolas"/>
      <w:sz w:val="21"/>
      <w:szCs w:val="21"/>
    </w:rPr>
  </w:style>
  <w:style w:type="character" w:customStyle="1" w:styleId="PlainTextChar">
    <w:name w:val="Plain Text Char"/>
    <w:basedOn w:val="DefaultParagraphFont"/>
    <w:link w:val="PlainText"/>
    <w:uiPriority w:val="99"/>
    <w:semiHidden/>
    <w:rsid w:val="00014566"/>
    <w:rPr>
      <w:rFonts w:ascii="Consolas" w:eastAsiaTheme="minorEastAsia" w:hAnsi="Consolas" w:cs="Consolas"/>
      <w:sz w:val="21"/>
      <w:szCs w:val="21"/>
    </w:rPr>
  </w:style>
  <w:style w:type="paragraph" w:styleId="Salutation">
    <w:name w:val="Salutation"/>
    <w:basedOn w:val="Normal"/>
    <w:next w:val="Normal"/>
    <w:link w:val="SalutationChar"/>
    <w:uiPriority w:val="99"/>
    <w:semiHidden/>
    <w:rsid w:val="00014566"/>
  </w:style>
  <w:style w:type="character" w:customStyle="1" w:styleId="SalutationChar">
    <w:name w:val="Salutation Char"/>
    <w:basedOn w:val="DefaultParagraphFont"/>
    <w:link w:val="Salutation"/>
    <w:uiPriority w:val="99"/>
    <w:semiHidden/>
    <w:rsid w:val="00014566"/>
    <w:rPr>
      <w:rFonts w:eastAsiaTheme="minorEastAsia"/>
      <w:sz w:val="24"/>
    </w:rPr>
  </w:style>
  <w:style w:type="paragraph" w:styleId="Signature">
    <w:name w:val="Signature"/>
    <w:basedOn w:val="Normal"/>
    <w:link w:val="SignatureChar"/>
    <w:uiPriority w:val="99"/>
    <w:semiHidden/>
    <w:rsid w:val="00014566"/>
    <w:pPr>
      <w:ind w:left="4252"/>
    </w:pPr>
  </w:style>
  <w:style w:type="character" w:customStyle="1" w:styleId="SignatureChar">
    <w:name w:val="Signature Char"/>
    <w:basedOn w:val="DefaultParagraphFont"/>
    <w:link w:val="Signature"/>
    <w:uiPriority w:val="99"/>
    <w:semiHidden/>
    <w:rsid w:val="00014566"/>
    <w:rPr>
      <w:rFonts w:eastAsiaTheme="minorEastAsia"/>
      <w:sz w:val="24"/>
    </w:rPr>
  </w:style>
  <w:style w:type="table" w:styleId="Table3Deffects1">
    <w:name w:val="Table 3D effects 1"/>
    <w:basedOn w:val="TableNormal"/>
    <w:uiPriority w:val="99"/>
    <w:semiHidden/>
    <w:rsid w:val="00014566"/>
    <w:pPr>
      <w:suppressAutoHyphens/>
    </w:pPr>
    <w:rPr>
      <w:lang w:val="fr-FR" w:eastAsia="fr-FR"/>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014566"/>
    <w:pPr>
      <w:suppressAutoHyphens/>
    </w:pPr>
    <w:rPr>
      <w:lang w:val="fr-FR" w:eastAsia="fr-FR"/>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014566"/>
    <w:pPr>
      <w:suppressAutoHyphens/>
    </w:pPr>
    <w:rPr>
      <w:lang w:val="fr-FR" w:eastAsia="fr-FR"/>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014566"/>
    <w:pPr>
      <w:suppressAutoHyphens/>
    </w:pPr>
    <w:rPr>
      <w:lang w:val="fr-FR" w:eastAsia="fr-FR"/>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014566"/>
    <w:pPr>
      <w:suppressAutoHyphens/>
    </w:pPr>
    <w:rPr>
      <w:lang w:val="fr-FR" w:eastAsia="fr-FR"/>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014566"/>
    <w:pPr>
      <w:suppressAutoHyphens/>
    </w:pPr>
    <w:rPr>
      <w:color w:val="000080"/>
      <w:lang w:val="fr-FR" w:eastAsia="fr-FR"/>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014566"/>
    <w:pPr>
      <w:suppressAutoHyphens/>
    </w:pPr>
    <w:rPr>
      <w:lang w:val="fr-FR" w:eastAsia="fr-FR"/>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014566"/>
    <w:pPr>
      <w:suppressAutoHyphens/>
    </w:pPr>
    <w:rPr>
      <w:color w:val="FFFFFF"/>
      <w:lang w:val="fr-FR" w:eastAsia="fr-FR"/>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014566"/>
    <w:pPr>
      <w:suppressAutoHyphens/>
    </w:pPr>
    <w:rPr>
      <w:lang w:val="fr-FR" w:eastAsia="fr-FR"/>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014566"/>
    <w:pPr>
      <w:suppressAutoHyphens/>
    </w:pPr>
    <w:rPr>
      <w:lang w:val="fr-FR" w:eastAsia="fr-FR"/>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014566"/>
    <w:pPr>
      <w:suppressAutoHyphens/>
    </w:pPr>
    <w:rPr>
      <w:b/>
      <w:bCs/>
      <w:lang w:val="fr-FR" w:eastAsia="fr-FR"/>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014566"/>
    <w:pPr>
      <w:suppressAutoHyphens/>
    </w:pPr>
    <w:rPr>
      <w:b/>
      <w:bCs/>
      <w:lang w:val="fr-FR" w:eastAsia="fr-FR"/>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014566"/>
    <w:pPr>
      <w:suppressAutoHyphens/>
    </w:pPr>
    <w:rPr>
      <w:b/>
      <w:bCs/>
      <w:lang w:val="fr-FR" w:eastAsia="fr-FR"/>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014566"/>
    <w:pPr>
      <w:suppressAutoHyphens/>
    </w:pPr>
    <w:rPr>
      <w:lang w:val="fr-FR" w:eastAsia="fr-FR"/>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014566"/>
    <w:pPr>
      <w:suppressAutoHyphens/>
    </w:pPr>
    <w:rPr>
      <w:lang w:val="fr-FR" w:eastAsia="fr-FR"/>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014566"/>
    <w:pPr>
      <w:suppressAutoHyphens/>
    </w:pPr>
    <w:rPr>
      <w:lang w:val="fr-FR" w:eastAsia="fr-FR"/>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014566"/>
    <w:pPr>
      <w:suppressAutoHyphens/>
    </w:pPr>
    <w:rPr>
      <w:lang w:val="fr-FR" w:eastAsia="fr-FR"/>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014566"/>
    <w:pPr>
      <w:suppressAutoHyphens/>
    </w:pPr>
    <w:rPr>
      <w:lang w:val="fr-FR" w:eastAsia="fr-FR"/>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014566"/>
    <w:pPr>
      <w:suppressAutoHyphens/>
    </w:pPr>
    <w:rPr>
      <w:lang w:val="fr-FR" w:eastAsia="fr-FR"/>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014566"/>
    <w:pPr>
      <w:suppressAutoHyphens/>
    </w:pPr>
    <w:rPr>
      <w:lang w:val="fr-FR" w:eastAsia="fr-FR"/>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014566"/>
    <w:pPr>
      <w:suppressAutoHyphens/>
    </w:pPr>
    <w:rPr>
      <w:b/>
      <w:bCs/>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014566"/>
    <w:pPr>
      <w:suppressAutoHyphens/>
    </w:pPr>
    <w:rPr>
      <w:lang w:val="fr-FR" w:eastAsia="fr-FR"/>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014566"/>
    <w:pPr>
      <w:suppressAutoHyphens/>
    </w:pPr>
    <w:rPr>
      <w:lang w:val="fr-FR" w:eastAsia="fr-FR"/>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014566"/>
    <w:pPr>
      <w:suppressAutoHyphens/>
    </w:pPr>
    <w:rPr>
      <w:lang w:val="fr-FR" w:eastAsia="fr-FR"/>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014566"/>
    <w:pPr>
      <w:suppressAutoHyphens/>
    </w:pPr>
    <w:rPr>
      <w:lang w:val="fr-FR" w:eastAsia="fr-FR"/>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014566"/>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014566"/>
    <w:pPr>
      <w:suppressAutoHyphens/>
    </w:pPr>
    <w:rPr>
      <w:lang w:val="fr-FR" w:eastAsia="fr-FR"/>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014566"/>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014566"/>
    <w:pPr>
      <w:ind w:left="240" w:hanging="240"/>
    </w:pPr>
  </w:style>
  <w:style w:type="paragraph" w:styleId="TableofFigures">
    <w:name w:val="table of figures"/>
    <w:basedOn w:val="Normal"/>
    <w:next w:val="Normal"/>
    <w:uiPriority w:val="99"/>
    <w:semiHidden/>
    <w:rsid w:val="00014566"/>
  </w:style>
  <w:style w:type="table" w:styleId="TableProfessional">
    <w:name w:val="Table Professional"/>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014566"/>
    <w:pPr>
      <w:suppressAutoHyphens/>
    </w:pPr>
    <w:rPr>
      <w:lang w:val="fr-FR" w:eastAsia="fr-FR"/>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014566"/>
    <w:pPr>
      <w:suppressAutoHyphens/>
    </w:pPr>
    <w:rPr>
      <w:lang w:val="fr-FR" w:eastAsia="fr-FR"/>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014566"/>
    <w:pPr>
      <w:suppressAutoHyphens/>
    </w:pPr>
    <w:rPr>
      <w:lang w:val="fr-FR" w:eastAsia="fr-FR"/>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014566"/>
    <w:pPr>
      <w:suppressAutoHyphens/>
    </w:pPr>
    <w:rPr>
      <w:lang w:val="fr-FR" w:eastAsia="fr-FR"/>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014566"/>
    <w:pPr>
      <w:suppressAutoHyphens/>
    </w:pPr>
    <w:rPr>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014566"/>
    <w:pPr>
      <w:suppressAutoHyphens/>
    </w:pPr>
    <w:rPr>
      <w:lang w:val="fr-FR" w:eastAsia="fr-FR"/>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014566"/>
    <w:pPr>
      <w:suppressAutoHyphens/>
    </w:pPr>
    <w:rPr>
      <w:lang w:val="fr-FR" w:eastAsia="fr-FR"/>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014566"/>
    <w:pPr>
      <w:suppressAutoHyphens/>
    </w:pPr>
    <w:rPr>
      <w:lang w:val="fr-FR" w:eastAsia="fr-FR"/>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014566"/>
    <w:pPr>
      <w:spacing w:after="100"/>
      <w:ind w:left="1200"/>
    </w:pPr>
  </w:style>
  <w:style w:type="paragraph" w:styleId="TOC7">
    <w:name w:val="toc 7"/>
    <w:basedOn w:val="Normal"/>
    <w:next w:val="Normal"/>
    <w:autoRedefine/>
    <w:uiPriority w:val="99"/>
    <w:semiHidden/>
    <w:rsid w:val="00014566"/>
    <w:pPr>
      <w:spacing w:after="100"/>
      <w:ind w:left="1440"/>
    </w:pPr>
  </w:style>
  <w:style w:type="paragraph" w:styleId="TOC8">
    <w:name w:val="toc 8"/>
    <w:basedOn w:val="Normal"/>
    <w:next w:val="Normal"/>
    <w:autoRedefine/>
    <w:uiPriority w:val="99"/>
    <w:semiHidden/>
    <w:rsid w:val="00014566"/>
    <w:pPr>
      <w:spacing w:after="100"/>
      <w:ind w:left="1680"/>
    </w:pPr>
  </w:style>
  <w:style w:type="paragraph" w:styleId="TOC9">
    <w:name w:val="toc 9"/>
    <w:basedOn w:val="Normal"/>
    <w:next w:val="Normal"/>
    <w:autoRedefine/>
    <w:uiPriority w:val="99"/>
    <w:semiHidden/>
    <w:rsid w:val="00014566"/>
    <w:pPr>
      <w:spacing w:after="100"/>
      <w:ind w:left="1920"/>
    </w:pPr>
  </w:style>
  <w:style w:type="character" w:customStyle="1" w:styleId="JuParaCar">
    <w:name w:val="Ju_Para Car"/>
    <w:link w:val="ECHRPara"/>
    <w:uiPriority w:val="12"/>
    <w:rsid w:val="00892FC1"/>
    <w:rPr>
      <w:rFonts w:eastAsiaTheme="minorEastAsia"/>
      <w:sz w:val="24"/>
    </w:rPr>
  </w:style>
  <w:style w:type="paragraph" w:styleId="Revision">
    <w:name w:val="Revision"/>
    <w:hidden/>
    <w:uiPriority w:val="99"/>
    <w:semiHidden/>
    <w:rsid w:val="00743036"/>
    <w:rPr>
      <w:rFonts w:eastAsiaTheme="minorEastAsia"/>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7391146">
      <w:bodyDiv w:val="1"/>
      <w:marLeft w:val="0"/>
      <w:marRight w:val="0"/>
      <w:marTop w:val="0"/>
      <w:marBottom w:val="0"/>
      <w:divBdr>
        <w:top w:val="none" w:sz="0" w:space="0" w:color="auto"/>
        <w:left w:val="none" w:sz="0" w:space="0" w:color="auto"/>
        <w:bottom w:val="none" w:sz="0" w:space="0" w:color="auto"/>
        <w:right w:val="none" w:sz="0" w:space="0" w:color="auto"/>
      </w:divBdr>
    </w:div>
    <w:div w:id="169688718">
      <w:bodyDiv w:val="1"/>
      <w:marLeft w:val="0"/>
      <w:marRight w:val="0"/>
      <w:marTop w:val="0"/>
      <w:marBottom w:val="0"/>
      <w:divBdr>
        <w:top w:val="none" w:sz="0" w:space="0" w:color="auto"/>
        <w:left w:val="none" w:sz="0" w:space="0" w:color="auto"/>
        <w:bottom w:val="none" w:sz="0" w:space="0" w:color="auto"/>
        <w:right w:val="none" w:sz="0" w:space="0" w:color="auto"/>
      </w:divBdr>
    </w:div>
    <w:div w:id="218321543">
      <w:bodyDiv w:val="1"/>
      <w:marLeft w:val="0"/>
      <w:marRight w:val="0"/>
      <w:marTop w:val="0"/>
      <w:marBottom w:val="0"/>
      <w:divBdr>
        <w:top w:val="none" w:sz="0" w:space="0" w:color="auto"/>
        <w:left w:val="none" w:sz="0" w:space="0" w:color="auto"/>
        <w:bottom w:val="none" w:sz="0" w:space="0" w:color="auto"/>
        <w:right w:val="none" w:sz="0" w:space="0" w:color="auto"/>
      </w:divBdr>
      <w:divsChild>
        <w:div w:id="451902032">
          <w:marLeft w:val="0"/>
          <w:marRight w:val="0"/>
          <w:marTop w:val="0"/>
          <w:marBottom w:val="0"/>
          <w:divBdr>
            <w:top w:val="none" w:sz="0" w:space="0" w:color="auto"/>
            <w:left w:val="none" w:sz="0" w:space="0" w:color="auto"/>
            <w:bottom w:val="none" w:sz="0" w:space="0" w:color="auto"/>
            <w:right w:val="none" w:sz="0" w:space="0" w:color="auto"/>
          </w:divBdr>
          <w:divsChild>
            <w:div w:id="1720205514">
              <w:marLeft w:val="0"/>
              <w:marRight w:val="0"/>
              <w:marTop w:val="0"/>
              <w:marBottom w:val="0"/>
              <w:divBdr>
                <w:top w:val="none" w:sz="0" w:space="0" w:color="auto"/>
                <w:left w:val="none" w:sz="0" w:space="0" w:color="auto"/>
                <w:bottom w:val="none" w:sz="0" w:space="0" w:color="auto"/>
                <w:right w:val="none" w:sz="0" w:space="0" w:color="auto"/>
              </w:divBdr>
              <w:divsChild>
                <w:div w:id="1038433807">
                  <w:marLeft w:val="0"/>
                  <w:marRight w:val="0"/>
                  <w:marTop w:val="0"/>
                  <w:marBottom w:val="0"/>
                  <w:divBdr>
                    <w:top w:val="none" w:sz="0" w:space="0" w:color="auto"/>
                    <w:left w:val="none" w:sz="0" w:space="0" w:color="auto"/>
                    <w:bottom w:val="none" w:sz="0" w:space="0" w:color="auto"/>
                    <w:right w:val="none" w:sz="0" w:space="0" w:color="auto"/>
                  </w:divBdr>
                  <w:divsChild>
                    <w:div w:id="1486240900">
                      <w:marLeft w:val="0"/>
                      <w:marRight w:val="0"/>
                      <w:marTop w:val="0"/>
                      <w:marBottom w:val="0"/>
                      <w:divBdr>
                        <w:top w:val="none" w:sz="0" w:space="0" w:color="auto"/>
                        <w:left w:val="none" w:sz="0" w:space="0" w:color="auto"/>
                        <w:bottom w:val="none" w:sz="0" w:space="0" w:color="auto"/>
                        <w:right w:val="none" w:sz="0" w:space="0" w:color="auto"/>
                      </w:divBdr>
                      <w:divsChild>
                        <w:div w:id="1930428925">
                          <w:marLeft w:val="0"/>
                          <w:marRight w:val="0"/>
                          <w:marTop w:val="0"/>
                          <w:marBottom w:val="0"/>
                          <w:divBdr>
                            <w:top w:val="none" w:sz="0" w:space="0" w:color="auto"/>
                            <w:left w:val="none" w:sz="0" w:space="0" w:color="auto"/>
                            <w:bottom w:val="none" w:sz="0" w:space="0" w:color="auto"/>
                            <w:right w:val="none" w:sz="0" w:space="0" w:color="auto"/>
                          </w:divBdr>
                          <w:divsChild>
                            <w:div w:id="265120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81115967">
      <w:bodyDiv w:val="1"/>
      <w:marLeft w:val="0"/>
      <w:marRight w:val="0"/>
      <w:marTop w:val="0"/>
      <w:marBottom w:val="0"/>
      <w:divBdr>
        <w:top w:val="none" w:sz="0" w:space="0" w:color="auto"/>
        <w:left w:val="none" w:sz="0" w:space="0" w:color="auto"/>
        <w:bottom w:val="none" w:sz="0" w:space="0" w:color="auto"/>
        <w:right w:val="none" w:sz="0" w:space="0" w:color="auto"/>
      </w:divBdr>
    </w:div>
    <w:div w:id="358897865">
      <w:bodyDiv w:val="1"/>
      <w:marLeft w:val="0"/>
      <w:marRight w:val="0"/>
      <w:marTop w:val="0"/>
      <w:marBottom w:val="0"/>
      <w:divBdr>
        <w:top w:val="none" w:sz="0" w:space="0" w:color="auto"/>
        <w:left w:val="none" w:sz="0" w:space="0" w:color="auto"/>
        <w:bottom w:val="none" w:sz="0" w:space="0" w:color="auto"/>
        <w:right w:val="none" w:sz="0" w:space="0" w:color="auto"/>
      </w:divBdr>
      <w:divsChild>
        <w:div w:id="1085687600">
          <w:marLeft w:val="0"/>
          <w:marRight w:val="0"/>
          <w:marTop w:val="0"/>
          <w:marBottom w:val="0"/>
          <w:divBdr>
            <w:top w:val="none" w:sz="0" w:space="0" w:color="auto"/>
            <w:left w:val="none" w:sz="0" w:space="0" w:color="auto"/>
            <w:bottom w:val="none" w:sz="0" w:space="0" w:color="auto"/>
            <w:right w:val="none" w:sz="0" w:space="0" w:color="auto"/>
          </w:divBdr>
          <w:divsChild>
            <w:div w:id="839856517">
              <w:marLeft w:val="0"/>
              <w:marRight w:val="0"/>
              <w:marTop w:val="0"/>
              <w:marBottom w:val="0"/>
              <w:divBdr>
                <w:top w:val="none" w:sz="0" w:space="0" w:color="auto"/>
                <w:left w:val="none" w:sz="0" w:space="0" w:color="auto"/>
                <w:bottom w:val="none" w:sz="0" w:space="0" w:color="auto"/>
                <w:right w:val="none" w:sz="0" w:space="0" w:color="auto"/>
              </w:divBdr>
              <w:divsChild>
                <w:div w:id="2013295388">
                  <w:marLeft w:val="0"/>
                  <w:marRight w:val="0"/>
                  <w:marTop w:val="0"/>
                  <w:marBottom w:val="0"/>
                  <w:divBdr>
                    <w:top w:val="none" w:sz="0" w:space="0" w:color="auto"/>
                    <w:left w:val="none" w:sz="0" w:space="0" w:color="auto"/>
                    <w:bottom w:val="none" w:sz="0" w:space="0" w:color="auto"/>
                    <w:right w:val="none" w:sz="0" w:space="0" w:color="auto"/>
                  </w:divBdr>
                  <w:divsChild>
                    <w:div w:id="751008339">
                      <w:marLeft w:val="0"/>
                      <w:marRight w:val="0"/>
                      <w:marTop w:val="0"/>
                      <w:marBottom w:val="0"/>
                      <w:divBdr>
                        <w:top w:val="none" w:sz="0" w:space="0" w:color="auto"/>
                        <w:left w:val="none" w:sz="0" w:space="0" w:color="auto"/>
                        <w:bottom w:val="none" w:sz="0" w:space="0" w:color="auto"/>
                        <w:right w:val="none" w:sz="0" w:space="0" w:color="auto"/>
                      </w:divBdr>
                      <w:divsChild>
                        <w:div w:id="251210419">
                          <w:marLeft w:val="0"/>
                          <w:marRight w:val="0"/>
                          <w:marTop w:val="0"/>
                          <w:marBottom w:val="0"/>
                          <w:divBdr>
                            <w:top w:val="none" w:sz="0" w:space="0" w:color="auto"/>
                            <w:left w:val="none" w:sz="0" w:space="0" w:color="auto"/>
                            <w:bottom w:val="none" w:sz="0" w:space="0" w:color="auto"/>
                            <w:right w:val="none" w:sz="0" w:space="0" w:color="auto"/>
                          </w:divBdr>
                          <w:divsChild>
                            <w:div w:id="399639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99597864">
      <w:bodyDiv w:val="1"/>
      <w:marLeft w:val="0"/>
      <w:marRight w:val="0"/>
      <w:marTop w:val="0"/>
      <w:marBottom w:val="0"/>
      <w:divBdr>
        <w:top w:val="none" w:sz="0" w:space="0" w:color="auto"/>
        <w:left w:val="none" w:sz="0" w:space="0" w:color="auto"/>
        <w:bottom w:val="none" w:sz="0" w:space="0" w:color="auto"/>
        <w:right w:val="none" w:sz="0" w:space="0" w:color="auto"/>
      </w:divBdr>
      <w:divsChild>
        <w:div w:id="316031328">
          <w:marLeft w:val="0"/>
          <w:marRight w:val="0"/>
          <w:marTop w:val="0"/>
          <w:marBottom w:val="0"/>
          <w:divBdr>
            <w:top w:val="none" w:sz="0" w:space="0" w:color="auto"/>
            <w:left w:val="none" w:sz="0" w:space="0" w:color="auto"/>
            <w:bottom w:val="none" w:sz="0" w:space="0" w:color="auto"/>
            <w:right w:val="none" w:sz="0" w:space="0" w:color="auto"/>
          </w:divBdr>
          <w:divsChild>
            <w:div w:id="23484052">
              <w:marLeft w:val="0"/>
              <w:marRight w:val="0"/>
              <w:marTop w:val="0"/>
              <w:marBottom w:val="0"/>
              <w:divBdr>
                <w:top w:val="none" w:sz="0" w:space="0" w:color="auto"/>
                <w:left w:val="none" w:sz="0" w:space="0" w:color="auto"/>
                <w:bottom w:val="none" w:sz="0" w:space="0" w:color="auto"/>
                <w:right w:val="none" w:sz="0" w:space="0" w:color="auto"/>
              </w:divBdr>
              <w:divsChild>
                <w:div w:id="241108649">
                  <w:marLeft w:val="0"/>
                  <w:marRight w:val="0"/>
                  <w:marTop w:val="0"/>
                  <w:marBottom w:val="0"/>
                  <w:divBdr>
                    <w:top w:val="none" w:sz="0" w:space="0" w:color="auto"/>
                    <w:left w:val="none" w:sz="0" w:space="0" w:color="auto"/>
                    <w:bottom w:val="none" w:sz="0" w:space="0" w:color="auto"/>
                    <w:right w:val="none" w:sz="0" w:space="0" w:color="auto"/>
                  </w:divBdr>
                  <w:divsChild>
                    <w:div w:id="1399670389">
                      <w:marLeft w:val="0"/>
                      <w:marRight w:val="0"/>
                      <w:marTop w:val="0"/>
                      <w:marBottom w:val="0"/>
                      <w:divBdr>
                        <w:top w:val="none" w:sz="0" w:space="0" w:color="auto"/>
                        <w:left w:val="none" w:sz="0" w:space="0" w:color="auto"/>
                        <w:bottom w:val="none" w:sz="0" w:space="0" w:color="auto"/>
                        <w:right w:val="none" w:sz="0" w:space="0" w:color="auto"/>
                      </w:divBdr>
                      <w:divsChild>
                        <w:div w:id="621377149">
                          <w:marLeft w:val="0"/>
                          <w:marRight w:val="0"/>
                          <w:marTop w:val="0"/>
                          <w:marBottom w:val="0"/>
                          <w:divBdr>
                            <w:top w:val="none" w:sz="0" w:space="0" w:color="auto"/>
                            <w:left w:val="none" w:sz="0" w:space="0" w:color="auto"/>
                            <w:bottom w:val="none" w:sz="0" w:space="0" w:color="auto"/>
                            <w:right w:val="none" w:sz="0" w:space="0" w:color="auto"/>
                          </w:divBdr>
                          <w:divsChild>
                            <w:div w:id="189609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33210915">
      <w:bodyDiv w:val="1"/>
      <w:marLeft w:val="0"/>
      <w:marRight w:val="0"/>
      <w:marTop w:val="0"/>
      <w:marBottom w:val="0"/>
      <w:divBdr>
        <w:top w:val="none" w:sz="0" w:space="0" w:color="auto"/>
        <w:left w:val="none" w:sz="0" w:space="0" w:color="auto"/>
        <w:bottom w:val="none" w:sz="0" w:space="0" w:color="auto"/>
        <w:right w:val="none" w:sz="0" w:space="0" w:color="auto"/>
      </w:divBdr>
    </w:div>
    <w:div w:id="543834601">
      <w:bodyDiv w:val="1"/>
      <w:marLeft w:val="0"/>
      <w:marRight w:val="0"/>
      <w:marTop w:val="0"/>
      <w:marBottom w:val="0"/>
      <w:divBdr>
        <w:top w:val="none" w:sz="0" w:space="0" w:color="auto"/>
        <w:left w:val="none" w:sz="0" w:space="0" w:color="auto"/>
        <w:bottom w:val="none" w:sz="0" w:space="0" w:color="auto"/>
        <w:right w:val="none" w:sz="0" w:space="0" w:color="auto"/>
      </w:divBdr>
      <w:divsChild>
        <w:div w:id="1913613824">
          <w:marLeft w:val="0"/>
          <w:marRight w:val="0"/>
          <w:marTop w:val="0"/>
          <w:marBottom w:val="0"/>
          <w:divBdr>
            <w:top w:val="none" w:sz="0" w:space="0" w:color="auto"/>
            <w:left w:val="none" w:sz="0" w:space="0" w:color="auto"/>
            <w:bottom w:val="none" w:sz="0" w:space="0" w:color="auto"/>
            <w:right w:val="none" w:sz="0" w:space="0" w:color="auto"/>
          </w:divBdr>
          <w:divsChild>
            <w:div w:id="1720780593">
              <w:marLeft w:val="0"/>
              <w:marRight w:val="0"/>
              <w:marTop w:val="0"/>
              <w:marBottom w:val="0"/>
              <w:divBdr>
                <w:top w:val="none" w:sz="0" w:space="0" w:color="auto"/>
                <w:left w:val="none" w:sz="0" w:space="0" w:color="auto"/>
                <w:bottom w:val="none" w:sz="0" w:space="0" w:color="auto"/>
                <w:right w:val="none" w:sz="0" w:space="0" w:color="auto"/>
              </w:divBdr>
              <w:divsChild>
                <w:div w:id="694503632">
                  <w:marLeft w:val="0"/>
                  <w:marRight w:val="0"/>
                  <w:marTop w:val="0"/>
                  <w:marBottom w:val="0"/>
                  <w:divBdr>
                    <w:top w:val="none" w:sz="0" w:space="0" w:color="auto"/>
                    <w:left w:val="none" w:sz="0" w:space="0" w:color="auto"/>
                    <w:bottom w:val="none" w:sz="0" w:space="0" w:color="auto"/>
                    <w:right w:val="none" w:sz="0" w:space="0" w:color="auto"/>
                  </w:divBdr>
                  <w:divsChild>
                    <w:div w:id="1586917578">
                      <w:marLeft w:val="0"/>
                      <w:marRight w:val="0"/>
                      <w:marTop w:val="0"/>
                      <w:marBottom w:val="0"/>
                      <w:divBdr>
                        <w:top w:val="none" w:sz="0" w:space="0" w:color="auto"/>
                        <w:left w:val="none" w:sz="0" w:space="0" w:color="auto"/>
                        <w:bottom w:val="none" w:sz="0" w:space="0" w:color="auto"/>
                        <w:right w:val="none" w:sz="0" w:space="0" w:color="auto"/>
                      </w:divBdr>
                      <w:divsChild>
                        <w:div w:id="1645084998">
                          <w:marLeft w:val="0"/>
                          <w:marRight w:val="0"/>
                          <w:marTop w:val="0"/>
                          <w:marBottom w:val="0"/>
                          <w:divBdr>
                            <w:top w:val="none" w:sz="0" w:space="0" w:color="auto"/>
                            <w:left w:val="none" w:sz="0" w:space="0" w:color="auto"/>
                            <w:bottom w:val="none" w:sz="0" w:space="0" w:color="auto"/>
                            <w:right w:val="none" w:sz="0" w:space="0" w:color="auto"/>
                          </w:divBdr>
                          <w:divsChild>
                            <w:div w:id="191264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37361933">
      <w:bodyDiv w:val="1"/>
      <w:marLeft w:val="0"/>
      <w:marRight w:val="0"/>
      <w:marTop w:val="0"/>
      <w:marBottom w:val="0"/>
      <w:divBdr>
        <w:top w:val="none" w:sz="0" w:space="0" w:color="auto"/>
        <w:left w:val="none" w:sz="0" w:space="0" w:color="auto"/>
        <w:bottom w:val="none" w:sz="0" w:space="0" w:color="auto"/>
        <w:right w:val="none" w:sz="0" w:space="0" w:color="auto"/>
      </w:divBdr>
    </w:div>
    <w:div w:id="824517486">
      <w:bodyDiv w:val="1"/>
      <w:marLeft w:val="0"/>
      <w:marRight w:val="0"/>
      <w:marTop w:val="0"/>
      <w:marBottom w:val="0"/>
      <w:divBdr>
        <w:top w:val="none" w:sz="0" w:space="0" w:color="auto"/>
        <w:left w:val="none" w:sz="0" w:space="0" w:color="auto"/>
        <w:bottom w:val="none" w:sz="0" w:space="0" w:color="auto"/>
        <w:right w:val="none" w:sz="0" w:space="0" w:color="auto"/>
      </w:divBdr>
      <w:divsChild>
        <w:div w:id="1277444138">
          <w:marLeft w:val="0"/>
          <w:marRight w:val="0"/>
          <w:marTop w:val="0"/>
          <w:marBottom w:val="0"/>
          <w:divBdr>
            <w:top w:val="none" w:sz="0" w:space="0" w:color="auto"/>
            <w:left w:val="none" w:sz="0" w:space="0" w:color="auto"/>
            <w:bottom w:val="none" w:sz="0" w:space="0" w:color="auto"/>
            <w:right w:val="none" w:sz="0" w:space="0" w:color="auto"/>
          </w:divBdr>
          <w:divsChild>
            <w:div w:id="617218113">
              <w:marLeft w:val="0"/>
              <w:marRight w:val="0"/>
              <w:marTop w:val="0"/>
              <w:marBottom w:val="0"/>
              <w:divBdr>
                <w:top w:val="none" w:sz="0" w:space="0" w:color="auto"/>
                <w:left w:val="none" w:sz="0" w:space="0" w:color="auto"/>
                <w:bottom w:val="none" w:sz="0" w:space="0" w:color="auto"/>
                <w:right w:val="none" w:sz="0" w:space="0" w:color="auto"/>
              </w:divBdr>
              <w:divsChild>
                <w:div w:id="1677268157">
                  <w:marLeft w:val="0"/>
                  <w:marRight w:val="0"/>
                  <w:marTop w:val="0"/>
                  <w:marBottom w:val="0"/>
                  <w:divBdr>
                    <w:top w:val="none" w:sz="0" w:space="0" w:color="auto"/>
                    <w:left w:val="none" w:sz="0" w:space="0" w:color="auto"/>
                    <w:bottom w:val="none" w:sz="0" w:space="0" w:color="auto"/>
                    <w:right w:val="none" w:sz="0" w:space="0" w:color="auto"/>
                  </w:divBdr>
                  <w:divsChild>
                    <w:div w:id="22288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50089761">
      <w:bodyDiv w:val="1"/>
      <w:marLeft w:val="0"/>
      <w:marRight w:val="0"/>
      <w:marTop w:val="0"/>
      <w:marBottom w:val="0"/>
      <w:divBdr>
        <w:top w:val="none" w:sz="0" w:space="0" w:color="auto"/>
        <w:left w:val="none" w:sz="0" w:space="0" w:color="auto"/>
        <w:bottom w:val="none" w:sz="0" w:space="0" w:color="auto"/>
        <w:right w:val="none" w:sz="0" w:space="0" w:color="auto"/>
      </w:divBdr>
    </w:div>
    <w:div w:id="1041176738">
      <w:bodyDiv w:val="1"/>
      <w:marLeft w:val="0"/>
      <w:marRight w:val="0"/>
      <w:marTop w:val="0"/>
      <w:marBottom w:val="0"/>
      <w:divBdr>
        <w:top w:val="none" w:sz="0" w:space="0" w:color="auto"/>
        <w:left w:val="none" w:sz="0" w:space="0" w:color="auto"/>
        <w:bottom w:val="none" w:sz="0" w:space="0" w:color="auto"/>
        <w:right w:val="none" w:sz="0" w:space="0" w:color="auto"/>
      </w:divBdr>
      <w:divsChild>
        <w:div w:id="791244669">
          <w:marLeft w:val="0"/>
          <w:marRight w:val="0"/>
          <w:marTop w:val="0"/>
          <w:marBottom w:val="0"/>
          <w:divBdr>
            <w:top w:val="none" w:sz="0" w:space="0" w:color="auto"/>
            <w:left w:val="none" w:sz="0" w:space="0" w:color="auto"/>
            <w:bottom w:val="none" w:sz="0" w:space="0" w:color="auto"/>
            <w:right w:val="none" w:sz="0" w:space="0" w:color="auto"/>
          </w:divBdr>
          <w:divsChild>
            <w:div w:id="135226359">
              <w:marLeft w:val="0"/>
              <w:marRight w:val="0"/>
              <w:marTop w:val="0"/>
              <w:marBottom w:val="0"/>
              <w:divBdr>
                <w:top w:val="none" w:sz="0" w:space="0" w:color="auto"/>
                <w:left w:val="none" w:sz="0" w:space="0" w:color="auto"/>
                <w:bottom w:val="none" w:sz="0" w:space="0" w:color="auto"/>
                <w:right w:val="none" w:sz="0" w:space="0" w:color="auto"/>
              </w:divBdr>
              <w:divsChild>
                <w:div w:id="1853639545">
                  <w:marLeft w:val="0"/>
                  <w:marRight w:val="0"/>
                  <w:marTop w:val="0"/>
                  <w:marBottom w:val="0"/>
                  <w:divBdr>
                    <w:top w:val="none" w:sz="0" w:space="0" w:color="auto"/>
                    <w:left w:val="none" w:sz="0" w:space="0" w:color="auto"/>
                    <w:bottom w:val="none" w:sz="0" w:space="0" w:color="auto"/>
                    <w:right w:val="none" w:sz="0" w:space="0" w:color="auto"/>
                  </w:divBdr>
                  <w:divsChild>
                    <w:div w:id="89589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35947188">
      <w:bodyDiv w:val="1"/>
      <w:marLeft w:val="0"/>
      <w:marRight w:val="0"/>
      <w:marTop w:val="0"/>
      <w:marBottom w:val="0"/>
      <w:divBdr>
        <w:top w:val="none" w:sz="0" w:space="0" w:color="auto"/>
        <w:left w:val="none" w:sz="0" w:space="0" w:color="auto"/>
        <w:bottom w:val="none" w:sz="0" w:space="0" w:color="auto"/>
        <w:right w:val="none" w:sz="0" w:space="0" w:color="auto"/>
      </w:divBdr>
      <w:divsChild>
        <w:div w:id="251816285">
          <w:marLeft w:val="0"/>
          <w:marRight w:val="0"/>
          <w:marTop w:val="0"/>
          <w:marBottom w:val="0"/>
          <w:divBdr>
            <w:top w:val="none" w:sz="0" w:space="0" w:color="auto"/>
            <w:left w:val="none" w:sz="0" w:space="0" w:color="auto"/>
            <w:bottom w:val="none" w:sz="0" w:space="0" w:color="auto"/>
            <w:right w:val="none" w:sz="0" w:space="0" w:color="auto"/>
          </w:divBdr>
          <w:divsChild>
            <w:div w:id="2144347739">
              <w:marLeft w:val="0"/>
              <w:marRight w:val="0"/>
              <w:marTop w:val="0"/>
              <w:marBottom w:val="0"/>
              <w:divBdr>
                <w:top w:val="none" w:sz="0" w:space="0" w:color="auto"/>
                <w:left w:val="none" w:sz="0" w:space="0" w:color="auto"/>
                <w:bottom w:val="none" w:sz="0" w:space="0" w:color="auto"/>
                <w:right w:val="none" w:sz="0" w:space="0" w:color="auto"/>
              </w:divBdr>
              <w:divsChild>
                <w:div w:id="858087451">
                  <w:marLeft w:val="0"/>
                  <w:marRight w:val="0"/>
                  <w:marTop w:val="0"/>
                  <w:marBottom w:val="0"/>
                  <w:divBdr>
                    <w:top w:val="none" w:sz="0" w:space="0" w:color="auto"/>
                    <w:left w:val="none" w:sz="0" w:space="0" w:color="auto"/>
                    <w:bottom w:val="none" w:sz="0" w:space="0" w:color="auto"/>
                    <w:right w:val="none" w:sz="0" w:space="0" w:color="auto"/>
                  </w:divBdr>
                  <w:divsChild>
                    <w:div w:id="587350345">
                      <w:marLeft w:val="0"/>
                      <w:marRight w:val="0"/>
                      <w:marTop w:val="0"/>
                      <w:marBottom w:val="0"/>
                      <w:divBdr>
                        <w:top w:val="none" w:sz="0" w:space="0" w:color="auto"/>
                        <w:left w:val="none" w:sz="0" w:space="0" w:color="auto"/>
                        <w:bottom w:val="none" w:sz="0" w:space="0" w:color="auto"/>
                        <w:right w:val="none" w:sz="0" w:space="0" w:color="auto"/>
                      </w:divBdr>
                      <w:divsChild>
                        <w:div w:id="421222514">
                          <w:marLeft w:val="0"/>
                          <w:marRight w:val="0"/>
                          <w:marTop w:val="0"/>
                          <w:marBottom w:val="0"/>
                          <w:divBdr>
                            <w:top w:val="none" w:sz="0" w:space="0" w:color="auto"/>
                            <w:left w:val="none" w:sz="0" w:space="0" w:color="auto"/>
                            <w:bottom w:val="none" w:sz="0" w:space="0" w:color="auto"/>
                            <w:right w:val="none" w:sz="0" w:space="0" w:color="auto"/>
                          </w:divBdr>
                          <w:divsChild>
                            <w:div w:id="336084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01864998">
      <w:bodyDiv w:val="1"/>
      <w:marLeft w:val="0"/>
      <w:marRight w:val="0"/>
      <w:marTop w:val="0"/>
      <w:marBottom w:val="0"/>
      <w:divBdr>
        <w:top w:val="none" w:sz="0" w:space="0" w:color="auto"/>
        <w:left w:val="none" w:sz="0" w:space="0" w:color="auto"/>
        <w:bottom w:val="none" w:sz="0" w:space="0" w:color="auto"/>
        <w:right w:val="none" w:sz="0" w:space="0" w:color="auto"/>
      </w:divBdr>
    </w:div>
    <w:div w:id="1242712000">
      <w:bodyDiv w:val="1"/>
      <w:marLeft w:val="0"/>
      <w:marRight w:val="0"/>
      <w:marTop w:val="0"/>
      <w:marBottom w:val="0"/>
      <w:divBdr>
        <w:top w:val="none" w:sz="0" w:space="0" w:color="auto"/>
        <w:left w:val="none" w:sz="0" w:space="0" w:color="auto"/>
        <w:bottom w:val="none" w:sz="0" w:space="0" w:color="auto"/>
        <w:right w:val="none" w:sz="0" w:space="0" w:color="auto"/>
      </w:divBdr>
    </w:div>
    <w:div w:id="1258446459">
      <w:bodyDiv w:val="1"/>
      <w:marLeft w:val="0"/>
      <w:marRight w:val="0"/>
      <w:marTop w:val="0"/>
      <w:marBottom w:val="0"/>
      <w:divBdr>
        <w:top w:val="none" w:sz="0" w:space="0" w:color="auto"/>
        <w:left w:val="none" w:sz="0" w:space="0" w:color="auto"/>
        <w:bottom w:val="none" w:sz="0" w:space="0" w:color="auto"/>
        <w:right w:val="none" w:sz="0" w:space="0" w:color="auto"/>
      </w:divBdr>
      <w:divsChild>
        <w:div w:id="126238820">
          <w:marLeft w:val="0"/>
          <w:marRight w:val="0"/>
          <w:marTop w:val="0"/>
          <w:marBottom w:val="0"/>
          <w:divBdr>
            <w:top w:val="none" w:sz="0" w:space="0" w:color="auto"/>
            <w:left w:val="none" w:sz="0" w:space="0" w:color="auto"/>
            <w:bottom w:val="none" w:sz="0" w:space="0" w:color="auto"/>
            <w:right w:val="none" w:sz="0" w:space="0" w:color="auto"/>
          </w:divBdr>
          <w:divsChild>
            <w:div w:id="523592531">
              <w:marLeft w:val="0"/>
              <w:marRight w:val="0"/>
              <w:marTop w:val="0"/>
              <w:marBottom w:val="0"/>
              <w:divBdr>
                <w:top w:val="none" w:sz="0" w:space="0" w:color="auto"/>
                <w:left w:val="none" w:sz="0" w:space="0" w:color="auto"/>
                <w:bottom w:val="none" w:sz="0" w:space="0" w:color="auto"/>
                <w:right w:val="none" w:sz="0" w:space="0" w:color="auto"/>
              </w:divBdr>
              <w:divsChild>
                <w:div w:id="62799824">
                  <w:marLeft w:val="0"/>
                  <w:marRight w:val="0"/>
                  <w:marTop w:val="0"/>
                  <w:marBottom w:val="0"/>
                  <w:divBdr>
                    <w:top w:val="none" w:sz="0" w:space="0" w:color="auto"/>
                    <w:left w:val="none" w:sz="0" w:space="0" w:color="auto"/>
                    <w:bottom w:val="none" w:sz="0" w:space="0" w:color="auto"/>
                    <w:right w:val="none" w:sz="0" w:space="0" w:color="auto"/>
                  </w:divBdr>
                  <w:divsChild>
                    <w:div w:id="961809045">
                      <w:marLeft w:val="0"/>
                      <w:marRight w:val="0"/>
                      <w:marTop w:val="0"/>
                      <w:marBottom w:val="0"/>
                      <w:divBdr>
                        <w:top w:val="none" w:sz="0" w:space="0" w:color="auto"/>
                        <w:left w:val="none" w:sz="0" w:space="0" w:color="auto"/>
                        <w:bottom w:val="none" w:sz="0" w:space="0" w:color="auto"/>
                        <w:right w:val="none" w:sz="0" w:space="0" w:color="auto"/>
                      </w:divBdr>
                      <w:divsChild>
                        <w:div w:id="210270011">
                          <w:marLeft w:val="0"/>
                          <w:marRight w:val="0"/>
                          <w:marTop w:val="0"/>
                          <w:marBottom w:val="0"/>
                          <w:divBdr>
                            <w:top w:val="none" w:sz="0" w:space="0" w:color="auto"/>
                            <w:left w:val="none" w:sz="0" w:space="0" w:color="auto"/>
                            <w:bottom w:val="none" w:sz="0" w:space="0" w:color="auto"/>
                            <w:right w:val="none" w:sz="0" w:space="0" w:color="auto"/>
                          </w:divBdr>
                          <w:divsChild>
                            <w:div w:id="1395350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19656092">
      <w:bodyDiv w:val="1"/>
      <w:marLeft w:val="0"/>
      <w:marRight w:val="0"/>
      <w:marTop w:val="0"/>
      <w:marBottom w:val="0"/>
      <w:divBdr>
        <w:top w:val="none" w:sz="0" w:space="0" w:color="auto"/>
        <w:left w:val="none" w:sz="0" w:space="0" w:color="auto"/>
        <w:bottom w:val="none" w:sz="0" w:space="0" w:color="auto"/>
        <w:right w:val="none" w:sz="0" w:space="0" w:color="auto"/>
      </w:divBdr>
      <w:divsChild>
        <w:div w:id="1837841671">
          <w:marLeft w:val="0"/>
          <w:marRight w:val="0"/>
          <w:marTop w:val="0"/>
          <w:marBottom w:val="0"/>
          <w:divBdr>
            <w:top w:val="none" w:sz="0" w:space="0" w:color="auto"/>
            <w:left w:val="none" w:sz="0" w:space="0" w:color="auto"/>
            <w:bottom w:val="none" w:sz="0" w:space="0" w:color="auto"/>
            <w:right w:val="none" w:sz="0" w:space="0" w:color="auto"/>
          </w:divBdr>
          <w:divsChild>
            <w:div w:id="1464076341">
              <w:marLeft w:val="0"/>
              <w:marRight w:val="0"/>
              <w:marTop w:val="0"/>
              <w:marBottom w:val="0"/>
              <w:divBdr>
                <w:top w:val="none" w:sz="0" w:space="0" w:color="auto"/>
                <w:left w:val="none" w:sz="0" w:space="0" w:color="auto"/>
                <w:bottom w:val="none" w:sz="0" w:space="0" w:color="auto"/>
                <w:right w:val="none" w:sz="0" w:space="0" w:color="auto"/>
              </w:divBdr>
              <w:divsChild>
                <w:div w:id="261377542">
                  <w:marLeft w:val="0"/>
                  <w:marRight w:val="0"/>
                  <w:marTop w:val="0"/>
                  <w:marBottom w:val="0"/>
                  <w:divBdr>
                    <w:top w:val="none" w:sz="0" w:space="0" w:color="auto"/>
                    <w:left w:val="none" w:sz="0" w:space="0" w:color="auto"/>
                    <w:bottom w:val="none" w:sz="0" w:space="0" w:color="auto"/>
                    <w:right w:val="none" w:sz="0" w:space="0" w:color="auto"/>
                  </w:divBdr>
                  <w:divsChild>
                    <w:div w:id="495652201">
                      <w:marLeft w:val="0"/>
                      <w:marRight w:val="0"/>
                      <w:marTop w:val="0"/>
                      <w:marBottom w:val="0"/>
                      <w:divBdr>
                        <w:top w:val="none" w:sz="0" w:space="0" w:color="auto"/>
                        <w:left w:val="none" w:sz="0" w:space="0" w:color="auto"/>
                        <w:bottom w:val="none" w:sz="0" w:space="0" w:color="auto"/>
                        <w:right w:val="none" w:sz="0" w:space="0" w:color="auto"/>
                      </w:divBdr>
                      <w:divsChild>
                        <w:div w:id="1453984926">
                          <w:marLeft w:val="0"/>
                          <w:marRight w:val="0"/>
                          <w:marTop w:val="0"/>
                          <w:marBottom w:val="0"/>
                          <w:divBdr>
                            <w:top w:val="none" w:sz="0" w:space="0" w:color="auto"/>
                            <w:left w:val="none" w:sz="0" w:space="0" w:color="auto"/>
                            <w:bottom w:val="none" w:sz="0" w:space="0" w:color="auto"/>
                            <w:right w:val="none" w:sz="0" w:space="0" w:color="auto"/>
                          </w:divBdr>
                          <w:divsChild>
                            <w:div w:id="1431048459">
                              <w:marLeft w:val="0"/>
                              <w:marRight w:val="0"/>
                              <w:marTop w:val="0"/>
                              <w:marBottom w:val="0"/>
                              <w:divBdr>
                                <w:top w:val="none" w:sz="0" w:space="0" w:color="auto"/>
                                <w:left w:val="none" w:sz="0" w:space="0" w:color="auto"/>
                                <w:bottom w:val="none" w:sz="0" w:space="0" w:color="auto"/>
                                <w:right w:val="none" w:sz="0" w:space="0" w:color="auto"/>
                              </w:divBdr>
                              <w:divsChild>
                                <w:div w:id="1285312470">
                                  <w:marLeft w:val="0"/>
                                  <w:marRight w:val="0"/>
                                  <w:marTop w:val="0"/>
                                  <w:marBottom w:val="0"/>
                                  <w:divBdr>
                                    <w:top w:val="none" w:sz="0" w:space="0" w:color="auto"/>
                                    <w:left w:val="none" w:sz="0" w:space="0" w:color="auto"/>
                                    <w:bottom w:val="none" w:sz="0" w:space="0" w:color="auto"/>
                                    <w:right w:val="none" w:sz="0" w:space="0" w:color="auto"/>
                                  </w:divBdr>
                                  <w:divsChild>
                                    <w:div w:id="1534154643">
                                      <w:marLeft w:val="0"/>
                                      <w:marRight w:val="0"/>
                                      <w:marTop w:val="0"/>
                                      <w:marBottom w:val="0"/>
                                      <w:divBdr>
                                        <w:top w:val="none" w:sz="0" w:space="0" w:color="auto"/>
                                        <w:left w:val="none" w:sz="0" w:space="0" w:color="auto"/>
                                        <w:bottom w:val="none" w:sz="0" w:space="0" w:color="auto"/>
                                        <w:right w:val="none" w:sz="0" w:space="0" w:color="auto"/>
                                      </w:divBdr>
                                      <w:divsChild>
                                        <w:div w:id="1370186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76091234">
      <w:bodyDiv w:val="1"/>
      <w:marLeft w:val="0"/>
      <w:marRight w:val="0"/>
      <w:marTop w:val="0"/>
      <w:marBottom w:val="0"/>
      <w:divBdr>
        <w:top w:val="none" w:sz="0" w:space="0" w:color="auto"/>
        <w:left w:val="none" w:sz="0" w:space="0" w:color="auto"/>
        <w:bottom w:val="none" w:sz="0" w:space="0" w:color="auto"/>
        <w:right w:val="none" w:sz="0" w:space="0" w:color="auto"/>
      </w:divBdr>
    </w:div>
    <w:div w:id="1606573792">
      <w:bodyDiv w:val="1"/>
      <w:marLeft w:val="0"/>
      <w:marRight w:val="0"/>
      <w:marTop w:val="0"/>
      <w:marBottom w:val="0"/>
      <w:divBdr>
        <w:top w:val="none" w:sz="0" w:space="0" w:color="auto"/>
        <w:left w:val="none" w:sz="0" w:space="0" w:color="auto"/>
        <w:bottom w:val="none" w:sz="0" w:space="0" w:color="auto"/>
        <w:right w:val="none" w:sz="0" w:space="0" w:color="auto"/>
      </w:divBdr>
      <w:divsChild>
        <w:div w:id="107628031">
          <w:marLeft w:val="0"/>
          <w:marRight w:val="0"/>
          <w:marTop w:val="0"/>
          <w:marBottom w:val="0"/>
          <w:divBdr>
            <w:top w:val="none" w:sz="0" w:space="0" w:color="auto"/>
            <w:left w:val="none" w:sz="0" w:space="0" w:color="auto"/>
            <w:bottom w:val="none" w:sz="0" w:space="0" w:color="auto"/>
            <w:right w:val="none" w:sz="0" w:space="0" w:color="auto"/>
          </w:divBdr>
          <w:divsChild>
            <w:div w:id="2055302445">
              <w:marLeft w:val="0"/>
              <w:marRight w:val="0"/>
              <w:marTop w:val="0"/>
              <w:marBottom w:val="0"/>
              <w:divBdr>
                <w:top w:val="none" w:sz="0" w:space="0" w:color="auto"/>
                <w:left w:val="none" w:sz="0" w:space="0" w:color="auto"/>
                <w:bottom w:val="none" w:sz="0" w:space="0" w:color="auto"/>
                <w:right w:val="none" w:sz="0" w:space="0" w:color="auto"/>
              </w:divBdr>
              <w:divsChild>
                <w:div w:id="1164322982">
                  <w:marLeft w:val="0"/>
                  <w:marRight w:val="0"/>
                  <w:marTop w:val="0"/>
                  <w:marBottom w:val="0"/>
                  <w:divBdr>
                    <w:top w:val="none" w:sz="0" w:space="0" w:color="auto"/>
                    <w:left w:val="none" w:sz="0" w:space="0" w:color="auto"/>
                    <w:bottom w:val="none" w:sz="0" w:space="0" w:color="auto"/>
                    <w:right w:val="none" w:sz="0" w:space="0" w:color="auto"/>
                  </w:divBdr>
                  <w:divsChild>
                    <w:div w:id="2031295171">
                      <w:marLeft w:val="0"/>
                      <w:marRight w:val="0"/>
                      <w:marTop w:val="0"/>
                      <w:marBottom w:val="0"/>
                      <w:divBdr>
                        <w:top w:val="none" w:sz="0" w:space="0" w:color="auto"/>
                        <w:left w:val="none" w:sz="0" w:space="0" w:color="auto"/>
                        <w:bottom w:val="none" w:sz="0" w:space="0" w:color="auto"/>
                        <w:right w:val="none" w:sz="0" w:space="0" w:color="auto"/>
                      </w:divBdr>
                      <w:divsChild>
                        <w:div w:id="2013137684">
                          <w:marLeft w:val="0"/>
                          <w:marRight w:val="0"/>
                          <w:marTop w:val="0"/>
                          <w:marBottom w:val="0"/>
                          <w:divBdr>
                            <w:top w:val="none" w:sz="0" w:space="0" w:color="auto"/>
                            <w:left w:val="none" w:sz="0" w:space="0" w:color="auto"/>
                            <w:bottom w:val="none" w:sz="0" w:space="0" w:color="auto"/>
                            <w:right w:val="none" w:sz="0" w:space="0" w:color="auto"/>
                          </w:divBdr>
                          <w:divsChild>
                            <w:div w:id="677076338">
                              <w:marLeft w:val="0"/>
                              <w:marRight w:val="0"/>
                              <w:marTop w:val="0"/>
                              <w:marBottom w:val="0"/>
                              <w:divBdr>
                                <w:top w:val="none" w:sz="0" w:space="0" w:color="auto"/>
                                <w:left w:val="none" w:sz="0" w:space="0" w:color="auto"/>
                                <w:bottom w:val="none" w:sz="0" w:space="0" w:color="auto"/>
                                <w:right w:val="none" w:sz="0" w:space="0" w:color="auto"/>
                              </w:divBdr>
                              <w:divsChild>
                                <w:div w:id="1984385871">
                                  <w:marLeft w:val="0"/>
                                  <w:marRight w:val="0"/>
                                  <w:marTop w:val="0"/>
                                  <w:marBottom w:val="0"/>
                                  <w:divBdr>
                                    <w:top w:val="none" w:sz="0" w:space="0" w:color="auto"/>
                                    <w:left w:val="none" w:sz="0" w:space="0" w:color="auto"/>
                                    <w:bottom w:val="none" w:sz="0" w:space="0" w:color="auto"/>
                                    <w:right w:val="none" w:sz="0" w:space="0" w:color="auto"/>
                                  </w:divBdr>
                                  <w:divsChild>
                                    <w:div w:id="2017488677">
                                      <w:marLeft w:val="0"/>
                                      <w:marRight w:val="0"/>
                                      <w:marTop w:val="0"/>
                                      <w:marBottom w:val="0"/>
                                      <w:divBdr>
                                        <w:top w:val="none" w:sz="0" w:space="0" w:color="auto"/>
                                        <w:left w:val="none" w:sz="0" w:space="0" w:color="auto"/>
                                        <w:bottom w:val="none" w:sz="0" w:space="0" w:color="auto"/>
                                        <w:right w:val="none" w:sz="0" w:space="0" w:color="auto"/>
                                      </w:divBdr>
                                      <w:divsChild>
                                        <w:div w:id="992637503">
                                          <w:marLeft w:val="0"/>
                                          <w:marRight w:val="0"/>
                                          <w:marTop w:val="0"/>
                                          <w:marBottom w:val="0"/>
                                          <w:divBdr>
                                            <w:top w:val="none" w:sz="0" w:space="0" w:color="auto"/>
                                            <w:left w:val="none" w:sz="0" w:space="0" w:color="auto"/>
                                            <w:bottom w:val="none" w:sz="0" w:space="0" w:color="auto"/>
                                            <w:right w:val="none" w:sz="0" w:space="0" w:color="auto"/>
                                          </w:divBdr>
                                          <w:divsChild>
                                            <w:div w:id="1407915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 w:id="1669792640">
      <w:bodyDiv w:val="1"/>
      <w:marLeft w:val="0"/>
      <w:marRight w:val="0"/>
      <w:marTop w:val="0"/>
      <w:marBottom w:val="0"/>
      <w:divBdr>
        <w:top w:val="none" w:sz="0" w:space="0" w:color="auto"/>
        <w:left w:val="none" w:sz="0" w:space="0" w:color="auto"/>
        <w:bottom w:val="none" w:sz="0" w:space="0" w:color="auto"/>
        <w:right w:val="none" w:sz="0" w:space="0" w:color="auto"/>
      </w:divBdr>
      <w:divsChild>
        <w:div w:id="1933320627">
          <w:marLeft w:val="0"/>
          <w:marRight w:val="0"/>
          <w:marTop w:val="0"/>
          <w:marBottom w:val="0"/>
          <w:divBdr>
            <w:top w:val="none" w:sz="0" w:space="0" w:color="auto"/>
            <w:left w:val="none" w:sz="0" w:space="0" w:color="auto"/>
            <w:bottom w:val="none" w:sz="0" w:space="0" w:color="auto"/>
            <w:right w:val="none" w:sz="0" w:space="0" w:color="auto"/>
          </w:divBdr>
          <w:divsChild>
            <w:div w:id="1380712641">
              <w:marLeft w:val="0"/>
              <w:marRight w:val="0"/>
              <w:marTop w:val="0"/>
              <w:marBottom w:val="0"/>
              <w:divBdr>
                <w:top w:val="none" w:sz="0" w:space="0" w:color="auto"/>
                <w:left w:val="none" w:sz="0" w:space="0" w:color="auto"/>
                <w:bottom w:val="none" w:sz="0" w:space="0" w:color="auto"/>
                <w:right w:val="none" w:sz="0" w:space="0" w:color="auto"/>
              </w:divBdr>
              <w:divsChild>
                <w:div w:id="1237931940">
                  <w:marLeft w:val="0"/>
                  <w:marRight w:val="0"/>
                  <w:marTop w:val="0"/>
                  <w:marBottom w:val="0"/>
                  <w:divBdr>
                    <w:top w:val="none" w:sz="0" w:space="0" w:color="auto"/>
                    <w:left w:val="none" w:sz="0" w:space="0" w:color="auto"/>
                    <w:bottom w:val="none" w:sz="0" w:space="0" w:color="auto"/>
                    <w:right w:val="none" w:sz="0" w:space="0" w:color="auto"/>
                  </w:divBdr>
                  <w:divsChild>
                    <w:div w:id="1943566483">
                      <w:marLeft w:val="0"/>
                      <w:marRight w:val="0"/>
                      <w:marTop w:val="0"/>
                      <w:marBottom w:val="0"/>
                      <w:divBdr>
                        <w:top w:val="none" w:sz="0" w:space="0" w:color="auto"/>
                        <w:left w:val="none" w:sz="0" w:space="0" w:color="auto"/>
                        <w:bottom w:val="none" w:sz="0" w:space="0" w:color="auto"/>
                        <w:right w:val="none" w:sz="0" w:space="0" w:color="auto"/>
                      </w:divBdr>
                      <w:divsChild>
                        <w:div w:id="1262647908">
                          <w:marLeft w:val="0"/>
                          <w:marRight w:val="0"/>
                          <w:marTop w:val="0"/>
                          <w:marBottom w:val="0"/>
                          <w:divBdr>
                            <w:top w:val="none" w:sz="0" w:space="0" w:color="auto"/>
                            <w:left w:val="none" w:sz="0" w:space="0" w:color="auto"/>
                            <w:bottom w:val="none" w:sz="0" w:space="0" w:color="auto"/>
                            <w:right w:val="none" w:sz="0" w:space="0" w:color="auto"/>
                          </w:divBdr>
                          <w:divsChild>
                            <w:div w:id="2059011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79235509">
      <w:bodyDiv w:val="1"/>
      <w:marLeft w:val="0"/>
      <w:marRight w:val="0"/>
      <w:marTop w:val="0"/>
      <w:marBottom w:val="0"/>
      <w:divBdr>
        <w:top w:val="none" w:sz="0" w:space="0" w:color="auto"/>
        <w:left w:val="none" w:sz="0" w:space="0" w:color="auto"/>
        <w:bottom w:val="none" w:sz="0" w:space="0" w:color="auto"/>
        <w:right w:val="none" w:sz="0" w:space="0" w:color="auto"/>
      </w:divBdr>
      <w:divsChild>
        <w:div w:id="1611739309">
          <w:marLeft w:val="0"/>
          <w:marRight w:val="0"/>
          <w:marTop w:val="0"/>
          <w:marBottom w:val="0"/>
          <w:divBdr>
            <w:top w:val="none" w:sz="0" w:space="0" w:color="auto"/>
            <w:left w:val="none" w:sz="0" w:space="0" w:color="auto"/>
            <w:bottom w:val="none" w:sz="0" w:space="0" w:color="auto"/>
            <w:right w:val="none" w:sz="0" w:space="0" w:color="auto"/>
          </w:divBdr>
          <w:divsChild>
            <w:div w:id="1663854385">
              <w:marLeft w:val="0"/>
              <w:marRight w:val="0"/>
              <w:marTop w:val="0"/>
              <w:marBottom w:val="0"/>
              <w:divBdr>
                <w:top w:val="none" w:sz="0" w:space="0" w:color="auto"/>
                <w:left w:val="none" w:sz="0" w:space="0" w:color="auto"/>
                <w:bottom w:val="none" w:sz="0" w:space="0" w:color="auto"/>
                <w:right w:val="none" w:sz="0" w:space="0" w:color="auto"/>
              </w:divBdr>
              <w:divsChild>
                <w:div w:id="1303730118">
                  <w:marLeft w:val="0"/>
                  <w:marRight w:val="0"/>
                  <w:marTop w:val="0"/>
                  <w:marBottom w:val="0"/>
                  <w:divBdr>
                    <w:top w:val="none" w:sz="0" w:space="0" w:color="auto"/>
                    <w:left w:val="none" w:sz="0" w:space="0" w:color="auto"/>
                    <w:bottom w:val="none" w:sz="0" w:space="0" w:color="auto"/>
                    <w:right w:val="none" w:sz="0" w:space="0" w:color="auto"/>
                  </w:divBdr>
                  <w:divsChild>
                    <w:div w:id="1300307345">
                      <w:marLeft w:val="0"/>
                      <w:marRight w:val="0"/>
                      <w:marTop w:val="0"/>
                      <w:marBottom w:val="0"/>
                      <w:divBdr>
                        <w:top w:val="none" w:sz="0" w:space="0" w:color="auto"/>
                        <w:left w:val="none" w:sz="0" w:space="0" w:color="auto"/>
                        <w:bottom w:val="none" w:sz="0" w:space="0" w:color="auto"/>
                        <w:right w:val="none" w:sz="0" w:space="0" w:color="auto"/>
                      </w:divBdr>
                      <w:divsChild>
                        <w:div w:id="1412654736">
                          <w:marLeft w:val="0"/>
                          <w:marRight w:val="0"/>
                          <w:marTop w:val="0"/>
                          <w:marBottom w:val="0"/>
                          <w:divBdr>
                            <w:top w:val="none" w:sz="0" w:space="0" w:color="auto"/>
                            <w:left w:val="none" w:sz="0" w:space="0" w:color="auto"/>
                            <w:bottom w:val="none" w:sz="0" w:space="0" w:color="auto"/>
                            <w:right w:val="none" w:sz="0" w:space="0" w:color="auto"/>
                          </w:divBdr>
                          <w:divsChild>
                            <w:div w:id="1273784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94719378">
      <w:bodyDiv w:val="1"/>
      <w:marLeft w:val="0"/>
      <w:marRight w:val="0"/>
      <w:marTop w:val="0"/>
      <w:marBottom w:val="0"/>
      <w:divBdr>
        <w:top w:val="none" w:sz="0" w:space="0" w:color="auto"/>
        <w:left w:val="none" w:sz="0" w:space="0" w:color="auto"/>
        <w:bottom w:val="none" w:sz="0" w:space="0" w:color="auto"/>
        <w:right w:val="none" w:sz="0" w:space="0" w:color="auto"/>
      </w:divBdr>
    </w:div>
    <w:div w:id="1704476954">
      <w:bodyDiv w:val="1"/>
      <w:marLeft w:val="0"/>
      <w:marRight w:val="0"/>
      <w:marTop w:val="0"/>
      <w:marBottom w:val="0"/>
      <w:divBdr>
        <w:top w:val="none" w:sz="0" w:space="0" w:color="auto"/>
        <w:left w:val="none" w:sz="0" w:space="0" w:color="auto"/>
        <w:bottom w:val="none" w:sz="0" w:space="0" w:color="auto"/>
        <w:right w:val="none" w:sz="0" w:space="0" w:color="auto"/>
      </w:divBdr>
    </w:div>
    <w:div w:id="1755282434">
      <w:bodyDiv w:val="1"/>
      <w:marLeft w:val="0"/>
      <w:marRight w:val="0"/>
      <w:marTop w:val="0"/>
      <w:marBottom w:val="0"/>
      <w:divBdr>
        <w:top w:val="none" w:sz="0" w:space="0" w:color="auto"/>
        <w:left w:val="none" w:sz="0" w:space="0" w:color="auto"/>
        <w:bottom w:val="none" w:sz="0" w:space="0" w:color="auto"/>
        <w:right w:val="none" w:sz="0" w:space="0" w:color="auto"/>
      </w:divBdr>
      <w:divsChild>
        <w:div w:id="1932742414">
          <w:marLeft w:val="0"/>
          <w:marRight w:val="0"/>
          <w:marTop w:val="0"/>
          <w:marBottom w:val="0"/>
          <w:divBdr>
            <w:top w:val="none" w:sz="0" w:space="0" w:color="auto"/>
            <w:left w:val="none" w:sz="0" w:space="0" w:color="auto"/>
            <w:bottom w:val="none" w:sz="0" w:space="0" w:color="auto"/>
            <w:right w:val="none" w:sz="0" w:space="0" w:color="auto"/>
          </w:divBdr>
          <w:divsChild>
            <w:div w:id="1569148132">
              <w:marLeft w:val="0"/>
              <w:marRight w:val="0"/>
              <w:marTop w:val="0"/>
              <w:marBottom w:val="0"/>
              <w:divBdr>
                <w:top w:val="none" w:sz="0" w:space="0" w:color="auto"/>
                <w:left w:val="none" w:sz="0" w:space="0" w:color="auto"/>
                <w:bottom w:val="none" w:sz="0" w:space="0" w:color="auto"/>
                <w:right w:val="none" w:sz="0" w:space="0" w:color="auto"/>
              </w:divBdr>
              <w:divsChild>
                <w:div w:id="1548373050">
                  <w:marLeft w:val="0"/>
                  <w:marRight w:val="0"/>
                  <w:marTop w:val="0"/>
                  <w:marBottom w:val="0"/>
                  <w:divBdr>
                    <w:top w:val="none" w:sz="0" w:space="0" w:color="auto"/>
                    <w:left w:val="none" w:sz="0" w:space="0" w:color="auto"/>
                    <w:bottom w:val="none" w:sz="0" w:space="0" w:color="auto"/>
                    <w:right w:val="none" w:sz="0" w:space="0" w:color="auto"/>
                  </w:divBdr>
                  <w:divsChild>
                    <w:div w:id="883754710">
                      <w:marLeft w:val="0"/>
                      <w:marRight w:val="0"/>
                      <w:marTop w:val="0"/>
                      <w:marBottom w:val="0"/>
                      <w:divBdr>
                        <w:top w:val="none" w:sz="0" w:space="0" w:color="auto"/>
                        <w:left w:val="none" w:sz="0" w:space="0" w:color="auto"/>
                        <w:bottom w:val="none" w:sz="0" w:space="0" w:color="auto"/>
                        <w:right w:val="none" w:sz="0" w:space="0" w:color="auto"/>
                      </w:divBdr>
                      <w:divsChild>
                        <w:div w:id="1200239387">
                          <w:marLeft w:val="0"/>
                          <w:marRight w:val="0"/>
                          <w:marTop w:val="0"/>
                          <w:marBottom w:val="0"/>
                          <w:divBdr>
                            <w:top w:val="none" w:sz="0" w:space="0" w:color="auto"/>
                            <w:left w:val="none" w:sz="0" w:space="0" w:color="auto"/>
                            <w:bottom w:val="none" w:sz="0" w:space="0" w:color="auto"/>
                            <w:right w:val="none" w:sz="0" w:space="0" w:color="auto"/>
                          </w:divBdr>
                          <w:divsChild>
                            <w:div w:id="30885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70269368">
      <w:bodyDiv w:val="1"/>
      <w:marLeft w:val="0"/>
      <w:marRight w:val="0"/>
      <w:marTop w:val="0"/>
      <w:marBottom w:val="0"/>
      <w:divBdr>
        <w:top w:val="none" w:sz="0" w:space="0" w:color="auto"/>
        <w:left w:val="none" w:sz="0" w:space="0" w:color="auto"/>
        <w:bottom w:val="none" w:sz="0" w:space="0" w:color="auto"/>
        <w:right w:val="none" w:sz="0" w:space="0" w:color="auto"/>
      </w:divBdr>
    </w:div>
    <w:div w:id="1791511619">
      <w:bodyDiv w:val="1"/>
      <w:marLeft w:val="0"/>
      <w:marRight w:val="0"/>
      <w:marTop w:val="0"/>
      <w:marBottom w:val="0"/>
      <w:divBdr>
        <w:top w:val="none" w:sz="0" w:space="0" w:color="auto"/>
        <w:left w:val="none" w:sz="0" w:space="0" w:color="auto"/>
        <w:bottom w:val="none" w:sz="0" w:space="0" w:color="auto"/>
        <w:right w:val="none" w:sz="0" w:space="0" w:color="auto"/>
      </w:divBdr>
    </w:div>
    <w:div w:id="1857650115">
      <w:bodyDiv w:val="1"/>
      <w:marLeft w:val="0"/>
      <w:marRight w:val="0"/>
      <w:marTop w:val="0"/>
      <w:marBottom w:val="0"/>
      <w:divBdr>
        <w:top w:val="none" w:sz="0" w:space="0" w:color="auto"/>
        <w:left w:val="none" w:sz="0" w:space="0" w:color="auto"/>
        <w:bottom w:val="none" w:sz="0" w:space="0" w:color="auto"/>
        <w:right w:val="none" w:sz="0" w:space="0" w:color="auto"/>
      </w:divBdr>
      <w:divsChild>
        <w:div w:id="1815756667">
          <w:marLeft w:val="0"/>
          <w:marRight w:val="0"/>
          <w:marTop w:val="0"/>
          <w:marBottom w:val="0"/>
          <w:divBdr>
            <w:top w:val="none" w:sz="0" w:space="0" w:color="auto"/>
            <w:left w:val="none" w:sz="0" w:space="0" w:color="auto"/>
            <w:bottom w:val="none" w:sz="0" w:space="0" w:color="auto"/>
            <w:right w:val="none" w:sz="0" w:space="0" w:color="auto"/>
          </w:divBdr>
          <w:divsChild>
            <w:div w:id="441539096">
              <w:marLeft w:val="0"/>
              <w:marRight w:val="0"/>
              <w:marTop w:val="0"/>
              <w:marBottom w:val="0"/>
              <w:divBdr>
                <w:top w:val="none" w:sz="0" w:space="0" w:color="auto"/>
                <w:left w:val="none" w:sz="0" w:space="0" w:color="auto"/>
                <w:bottom w:val="none" w:sz="0" w:space="0" w:color="auto"/>
                <w:right w:val="none" w:sz="0" w:space="0" w:color="auto"/>
              </w:divBdr>
              <w:divsChild>
                <w:div w:id="478616051">
                  <w:marLeft w:val="0"/>
                  <w:marRight w:val="0"/>
                  <w:marTop w:val="0"/>
                  <w:marBottom w:val="0"/>
                  <w:divBdr>
                    <w:top w:val="none" w:sz="0" w:space="0" w:color="auto"/>
                    <w:left w:val="none" w:sz="0" w:space="0" w:color="auto"/>
                    <w:bottom w:val="none" w:sz="0" w:space="0" w:color="auto"/>
                    <w:right w:val="none" w:sz="0" w:space="0" w:color="auto"/>
                  </w:divBdr>
                  <w:divsChild>
                    <w:div w:id="2042511248">
                      <w:marLeft w:val="0"/>
                      <w:marRight w:val="0"/>
                      <w:marTop w:val="0"/>
                      <w:marBottom w:val="0"/>
                      <w:divBdr>
                        <w:top w:val="none" w:sz="0" w:space="0" w:color="auto"/>
                        <w:left w:val="none" w:sz="0" w:space="0" w:color="auto"/>
                        <w:bottom w:val="none" w:sz="0" w:space="0" w:color="auto"/>
                        <w:right w:val="none" w:sz="0" w:space="0" w:color="auto"/>
                      </w:divBdr>
                      <w:divsChild>
                        <w:div w:id="1517115982">
                          <w:marLeft w:val="0"/>
                          <w:marRight w:val="0"/>
                          <w:marTop w:val="0"/>
                          <w:marBottom w:val="0"/>
                          <w:divBdr>
                            <w:top w:val="none" w:sz="0" w:space="0" w:color="auto"/>
                            <w:left w:val="none" w:sz="0" w:space="0" w:color="auto"/>
                            <w:bottom w:val="none" w:sz="0" w:space="0" w:color="auto"/>
                            <w:right w:val="none" w:sz="0" w:space="0" w:color="auto"/>
                          </w:divBdr>
                          <w:divsChild>
                            <w:div w:id="2125609667">
                              <w:marLeft w:val="0"/>
                              <w:marRight w:val="0"/>
                              <w:marTop w:val="0"/>
                              <w:marBottom w:val="0"/>
                              <w:divBdr>
                                <w:top w:val="none" w:sz="0" w:space="0" w:color="auto"/>
                                <w:left w:val="none" w:sz="0" w:space="0" w:color="auto"/>
                                <w:bottom w:val="none" w:sz="0" w:space="0" w:color="auto"/>
                                <w:right w:val="none" w:sz="0" w:space="0" w:color="auto"/>
                              </w:divBdr>
                              <w:divsChild>
                                <w:div w:id="639070272">
                                  <w:marLeft w:val="0"/>
                                  <w:marRight w:val="0"/>
                                  <w:marTop w:val="0"/>
                                  <w:marBottom w:val="0"/>
                                  <w:divBdr>
                                    <w:top w:val="none" w:sz="0" w:space="0" w:color="auto"/>
                                    <w:left w:val="none" w:sz="0" w:space="0" w:color="auto"/>
                                    <w:bottom w:val="none" w:sz="0" w:space="0" w:color="auto"/>
                                    <w:right w:val="none" w:sz="0" w:space="0" w:color="auto"/>
                                  </w:divBdr>
                                  <w:divsChild>
                                    <w:div w:id="578946610">
                                      <w:marLeft w:val="0"/>
                                      <w:marRight w:val="0"/>
                                      <w:marTop w:val="0"/>
                                      <w:marBottom w:val="0"/>
                                      <w:divBdr>
                                        <w:top w:val="none" w:sz="0" w:space="0" w:color="auto"/>
                                        <w:left w:val="none" w:sz="0" w:space="0" w:color="auto"/>
                                        <w:bottom w:val="none" w:sz="0" w:space="0" w:color="auto"/>
                                        <w:right w:val="none" w:sz="0" w:space="0" w:color="auto"/>
                                      </w:divBdr>
                                      <w:divsChild>
                                        <w:div w:id="300503894">
                                          <w:marLeft w:val="0"/>
                                          <w:marRight w:val="0"/>
                                          <w:marTop w:val="0"/>
                                          <w:marBottom w:val="0"/>
                                          <w:divBdr>
                                            <w:top w:val="none" w:sz="0" w:space="0" w:color="auto"/>
                                            <w:left w:val="none" w:sz="0" w:space="0" w:color="auto"/>
                                            <w:bottom w:val="none" w:sz="0" w:space="0" w:color="auto"/>
                                            <w:right w:val="none" w:sz="0" w:space="0" w:color="auto"/>
                                          </w:divBdr>
                                          <w:divsChild>
                                            <w:div w:id="1074159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81243428">
      <w:bodyDiv w:val="1"/>
      <w:marLeft w:val="0"/>
      <w:marRight w:val="0"/>
      <w:marTop w:val="0"/>
      <w:marBottom w:val="0"/>
      <w:divBdr>
        <w:top w:val="none" w:sz="0" w:space="0" w:color="auto"/>
        <w:left w:val="none" w:sz="0" w:space="0" w:color="auto"/>
        <w:bottom w:val="none" w:sz="0" w:space="0" w:color="auto"/>
        <w:right w:val="none" w:sz="0" w:space="0" w:color="auto"/>
      </w:divBdr>
    </w:div>
    <w:div w:id="1934975248">
      <w:bodyDiv w:val="1"/>
      <w:marLeft w:val="0"/>
      <w:marRight w:val="0"/>
      <w:marTop w:val="0"/>
      <w:marBottom w:val="0"/>
      <w:divBdr>
        <w:top w:val="none" w:sz="0" w:space="0" w:color="auto"/>
        <w:left w:val="none" w:sz="0" w:space="0" w:color="auto"/>
        <w:bottom w:val="none" w:sz="0" w:space="0" w:color="auto"/>
        <w:right w:val="none" w:sz="0" w:space="0" w:color="auto"/>
      </w:divBdr>
      <w:divsChild>
        <w:div w:id="300576979">
          <w:marLeft w:val="0"/>
          <w:marRight w:val="0"/>
          <w:marTop w:val="0"/>
          <w:marBottom w:val="0"/>
          <w:divBdr>
            <w:top w:val="none" w:sz="0" w:space="0" w:color="auto"/>
            <w:left w:val="none" w:sz="0" w:space="0" w:color="auto"/>
            <w:bottom w:val="none" w:sz="0" w:space="0" w:color="auto"/>
            <w:right w:val="none" w:sz="0" w:space="0" w:color="auto"/>
          </w:divBdr>
          <w:divsChild>
            <w:div w:id="550772672">
              <w:marLeft w:val="0"/>
              <w:marRight w:val="0"/>
              <w:marTop w:val="0"/>
              <w:marBottom w:val="0"/>
              <w:divBdr>
                <w:top w:val="none" w:sz="0" w:space="0" w:color="auto"/>
                <w:left w:val="none" w:sz="0" w:space="0" w:color="auto"/>
                <w:bottom w:val="none" w:sz="0" w:space="0" w:color="auto"/>
                <w:right w:val="none" w:sz="0" w:space="0" w:color="auto"/>
              </w:divBdr>
              <w:divsChild>
                <w:div w:id="1102605137">
                  <w:marLeft w:val="0"/>
                  <w:marRight w:val="0"/>
                  <w:marTop w:val="0"/>
                  <w:marBottom w:val="0"/>
                  <w:divBdr>
                    <w:top w:val="none" w:sz="0" w:space="0" w:color="auto"/>
                    <w:left w:val="none" w:sz="0" w:space="0" w:color="auto"/>
                    <w:bottom w:val="none" w:sz="0" w:space="0" w:color="auto"/>
                    <w:right w:val="none" w:sz="0" w:space="0" w:color="auto"/>
                  </w:divBdr>
                  <w:divsChild>
                    <w:div w:id="370498158">
                      <w:marLeft w:val="0"/>
                      <w:marRight w:val="0"/>
                      <w:marTop w:val="0"/>
                      <w:marBottom w:val="0"/>
                      <w:divBdr>
                        <w:top w:val="none" w:sz="0" w:space="0" w:color="auto"/>
                        <w:left w:val="none" w:sz="0" w:space="0" w:color="auto"/>
                        <w:bottom w:val="none" w:sz="0" w:space="0" w:color="auto"/>
                        <w:right w:val="none" w:sz="0" w:space="0" w:color="auto"/>
                      </w:divBdr>
                      <w:divsChild>
                        <w:div w:id="1443039613">
                          <w:marLeft w:val="0"/>
                          <w:marRight w:val="0"/>
                          <w:marTop w:val="0"/>
                          <w:marBottom w:val="0"/>
                          <w:divBdr>
                            <w:top w:val="none" w:sz="0" w:space="0" w:color="auto"/>
                            <w:left w:val="none" w:sz="0" w:space="0" w:color="auto"/>
                            <w:bottom w:val="none" w:sz="0" w:space="0" w:color="auto"/>
                            <w:right w:val="none" w:sz="0" w:space="0" w:color="auto"/>
                          </w:divBdr>
                          <w:divsChild>
                            <w:div w:id="697311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40914792">
      <w:bodyDiv w:val="1"/>
      <w:marLeft w:val="0"/>
      <w:marRight w:val="0"/>
      <w:marTop w:val="0"/>
      <w:marBottom w:val="0"/>
      <w:divBdr>
        <w:top w:val="none" w:sz="0" w:space="0" w:color="auto"/>
        <w:left w:val="none" w:sz="0" w:space="0" w:color="auto"/>
        <w:bottom w:val="none" w:sz="0" w:space="0" w:color="auto"/>
        <w:right w:val="none" w:sz="0" w:space="0" w:color="auto"/>
      </w:divBdr>
    </w:div>
    <w:div w:id="2044405779">
      <w:bodyDiv w:val="1"/>
      <w:marLeft w:val="0"/>
      <w:marRight w:val="0"/>
      <w:marTop w:val="0"/>
      <w:marBottom w:val="0"/>
      <w:divBdr>
        <w:top w:val="none" w:sz="0" w:space="0" w:color="auto"/>
        <w:left w:val="none" w:sz="0" w:space="0" w:color="auto"/>
        <w:bottom w:val="none" w:sz="0" w:space="0" w:color="auto"/>
        <w:right w:val="none" w:sz="0" w:space="0" w:color="auto"/>
      </w:divBdr>
      <w:divsChild>
        <w:div w:id="557857355">
          <w:marLeft w:val="0"/>
          <w:marRight w:val="0"/>
          <w:marTop w:val="0"/>
          <w:marBottom w:val="0"/>
          <w:divBdr>
            <w:top w:val="none" w:sz="0" w:space="0" w:color="auto"/>
            <w:left w:val="none" w:sz="0" w:space="0" w:color="auto"/>
            <w:bottom w:val="none" w:sz="0" w:space="0" w:color="auto"/>
            <w:right w:val="none" w:sz="0" w:space="0" w:color="auto"/>
          </w:divBdr>
          <w:divsChild>
            <w:div w:id="649334873">
              <w:marLeft w:val="0"/>
              <w:marRight w:val="0"/>
              <w:marTop w:val="0"/>
              <w:marBottom w:val="0"/>
              <w:divBdr>
                <w:top w:val="none" w:sz="0" w:space="0" w:color="auto"/>
                <w:left w:val="none" w:sz="0" w:space="0" w:color="auto"/>
                <w:bottom w:val="none" w:sz="0" w:space="0" w:color="auto"/>
                <w:right w:val="none" w:sz="0" w:space="0" w:color="auto"/>
              </w:divBdr>
              <w:divsChild>
                <w:div w:id="796919976">
                  <w:marLeft w:val="0"/>
                  <w:marRight w:val="0"/>
                  <w:marTop w:val="0"/>
                  <w:marBottom w:val="0"/>
                  <w:divBdr>
                    <w:top w:val="none" w:sz="0" w:space="0" w:color="auto"/>
                    <w:left w:val="none" w:sz="0" w:space="0" w:color="auto"/>
                    <w:bottom w:val="none" w:sz="0" w:space="0" w:color="auto"/>
                    <w:right w:val="none" w:sz="0" w:space="0" w:color="auto"/>
                  </w:divBdr>
                  <w:divsChild>
                    <w:div w:id="903297266">
                      <w:marLeft w:val="0"/>
                      <w:marRight w:val="0"/>
                      <w:marTop w:val="0"/>
                      <w:marBottom w:val="0"/>
                      <w:divBdr>
                        <w:top w:val="none" w:sz="0" w:space="0" w:color="auto"/>
                        <w:left w:val="none" w:sz="0" w:space="0" w:color="auto"/>
                        <w:bottom w:val="none" w:sz="0" w:space="0" w:color="auto"/>
                        <w:right w:val="none" w:sz="0" w:space="0" w:color="auto"/>
                      </w:divBdr>
                      <w:divsChild>
                        <w:div w:id="532885092">
                          <w:marLeft w:val="0"/>
                          <w:marRight w:val="0"/>
                          <w:marTop w:val="0"/>
                          <w:marBottom w:val="0"/>
                          <w:divBdr>
                            <w:top w:val="none" w:sz="0" w:space="0" w:color="auto"/>
                            <w:left w:val="none" w:sz="0" w:space="0" w:color="auto"/>
                            <w:bottom w:val="none" w:sz="0" w:space="0" w:color="auto"/>
                            <w:right w:val="none" w:sz="0" w:space="0" w:color="auto"/>
                          </w:divBdr>
                          <w:divsChild>
                            <w:div w:id="137234790">
                              <w:marLeft w:val="0"/>
                              <w:marRight w:val="0"/>
                              <w:marTop w:val="0"/>
                              <w:marBottom w:val="0"/>
                              <w:divBdr>
                                <w:top w:val="none" w:sz="0" w:space="0" w:color="auto"/>
                                <w:left w:val="none" w:sz="0" w:space="0" w:color="auto"/>
                                <w:bottom w:val="none" w:sz="0" w:space="0" w:color="auto"/>
                                <w:right w:val="none" w:sz="0" w:space="0" w:color="auto"/>
                              </w:divBdr>
                              <w:divsChild>
                                <w:div w:id="1252399239">
                                  <w:marLeft w:val="0"/>
                                  <w:marRight w:val="0"/>
                                  <w:marTop w:val="0"/>
                                  <w:marBottom w:val="0"/>
                                  <w:divBdr>
                                    <w:top w:val="none" w:sz="0" w:space="0" w:color="auto"/>
                                    <w:left w:val="none" w:sz="0" w:space="0" w:color="auto"/>
                                    <w:bottom w:val="none" w:sz="0" w:space="0" w:color="auto"/>
                                    <w:right w:val="none" w:sz="0" w:space="0" w:color="auto"/>
                                  </w:divBdr>
                                  <w:divsChild>
                                    <w:div w:id="1969777316">
                                      <w:marLeft w:val="0"/>
                                      <w:marRight w:val="0"/>
                                      <w:marTop w:val="0"/>
                                      <w:marBottom w:val="0"/>
                                      <w:divBdr>
                                        <w:top w:val="none" w:sz="0" w:space="0" w:color="auto"/>
                                        <w:left w:val="none" w:sz="0" w:space="0" w:color="auto"/>
                                        <w:bottom w:val="none" w:sz="0" w:space="0" w:color="auto"/>
                                        <w:right w:val="none" w:sz="0" w:space="0" w:color="auto"/>
                                      </w:divBdr>
                                      <w:divsChild>
                                        <w:div w:id="1170632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958553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5.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5" Type="http://schemas.openxmlformats.org/officeDocument/2006/relationships/webSettings" Target="webSettings.xml"/><Relationship Id="rId15" Type="http://schemas.openxmlformats.org/officeDocument/2006/relationships/customXml" Target="../customXml/item2.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DCC411A-5130-41CF-92AC-426C3DD9F513}"/>
</file>

<file path=customXml/itemProps2.xml><?xml version="1.0" encoding="utf-8"?>
<ds:datastoreItem xmlns:ds="http://schemas.openxmlformats.org/officeDocument/2006/customXml" ds:itemID="{C829FCC7-1A76-4F5E-82B3-AC44B37369C9}"/>
</file>

<file path=customXml/itemProps3.xml><?xml version="1.0" encoding="utf-8"?>
<ds:datastoreItem xmlns:ds="http://schemas.openxmlformats.org/officeDocument/2006/customXml" ds:itemID="{8D5FC540-E5D5-46FB-A8E1-7718ECD546F8}"/>
</file>

<file path=customXml/itemProps4.xml><?xml version="1.0" encoding="utf-8"?>
<ds:datastoreItem xmlns:ds="http://schemas.openxmlformats.org/officeDocument/2006/customXml" ds:itemID="{75B66548-D293-4E3F-9A29-BCF633544E08}"/>
</file>

<file path=docProps/app.xml><?xml version="1.0" encoding="utf-8"?>
<Properties xmlns="http://schemas.openxmlformats.org/officeDocument/2006/extended-properties" xmlns:vt="http://schemas.openxmlformats.org/officeDocument/2006/docPropsVTypes">
  <Template>Normal.dotm</Template>
  <TotalTime>0</TotalTime>
  <Pages>1</Pages>
  <Words>14283</Words>
  <Characters>81414</Characters>
  <Application>Microsoft Office Word</Application>
  <DocSecurity>0</DocSecurity>
  <Lines>678</Lines>
  <Paragraphs>191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95506</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
  <cp:revision>1</cp:revision>
  <dcterms:created xsi:type="dcterms:W3CDTF">2019-01-31T14:27:00Z</dcterms:created>
  <dcterms:modified xsi:type="dcterms:W3CDTF">2019-01-31T14:27:00Z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0x010100558EB02BDB9E204AB350EDD385B68E10</vt:lpwstr>
  </property>
</Properties>
</file>