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rPr>
          <w:lang w:val="en-GB"/>
        </w:rPr>
      </w:pPr>
      <w:bookmarkStart w:name="_GoBack" w:id="0"/>
      <w:bookmarkEnd w:id="0"/>
    </w:p>
    <w:p w:rsidR="00596B16" w:rsidP="00042867" w:rsidRDefault="00596B16">
      <w:pPr>
        <w:jc w:val="center"/>
        <w:rPr>
          <w:lang w:val="en-GB"/>
        </w:rPr>
      </w:pPr>
    </w:p>
    <w:p w:rsidR="00451956" w:rsidP="00042867" w:rsidRDefault="00451956">
      <w:pPr>
        <w:jc w:val="center"/>
        <w:rPr>
          <w:lang w:val="en-GB"/>
        </w:rPr>
      </w:pPr>
    </w:p>
    <w:p w:rsidRPr="002A60F3" w:rsidR="00451956" w:rsidP="00042867" w:rsidRDefault="00451956">
      <w:pPr>
        <w:jc w:val="center"/>
        <w:rPr>
          <w:lang w:val="en-GB"/>
        </w:rPr>
      </w:pPr>
    </w:p>
    <w:p w:rsidRPr="002A60F3" w:rsidR="00F71A6A" w:rsidP="00042867" w:rsidRDefault="00F320D1">
      <w:pPr>
        <w:jc w:val="center"/>
        <w:rPr>
          <w:lang w:val="en-GB"/>
        </w:rPr>
      </w:pPr>
      <w:r w:rsidRPr="002A60F3">
        <w:rPr>
          <w:lang w:val="en-GB"/>
        </w:rPr>
        <w:t>FIRST SECTION</w:t>
      </w:r>
    </w:p>
    <w:p w:rsidR="00F71A6A" w:rsidP="00042867" w:rsidRDefault="00F71A6A">
      <w:pPr>
        <w:jc w:val="center"/>
        <w:rPr>
          <w:lang w:val="en-GB"/>
        </w:rPr>
      </w:pPr>
    </w:p>
    <w:p w:rsidR="00596B16" w:rsidP="00042867" w:rsidRDefault="00596B16">
      <w:pPr>
        <w:jc w:val="center"/>
        <w:rPr>
          <w:lang w:val="en-GB"/>
        </w:rPr>
      </w:pPr>
    </w:p>
    <w:p w:rsidR="00451956" w:rsidP="00042867" w:rsidRDefault="00451956">
      <w:pPr>
        <w:jc w:val="center"/>
        <w:rPr>
          <w:lang w:val="en-GB"/>
        </w:rPr>
      </w:pPr>
    </w:p>
    <w:p w:rsidR="00451956" w:rsidP="00042867" w:rsidRDefault="00451956">
      <w:pPr>
        <w:jc w:val="center"/>
        <w:rPr>
          <w:lang w:val="en-GB"/>
        </w:rPr>
      </w:pPr>
    </w:p>
    <w:p w:rsidR="00451956" w:rsidP="00042867" w:rsidRDefault="00451956">
      <w:pPr>
        <w:jc w:val="center"/>
        <w:rPr>
          <w:lang w:val="en-GB"/>
        </w:rPr>
      </w:pPr>
    </w:p>
    <w:p w:rsidR="00451956" w:rsidP="00042867" w:rsidRDefault="00451956">
      <w:pPr>
        <w:jc w:val="center"/>
        <w:rPr>
          <w:lang w:val="en-GB"/>
        </w:rPr>
      </w:pPr>
    </w:p>
    <w:p w:rsidRPr="002A60F3" w:rsidR="00451956" w:rsidP="00042867" w:rsidRDefault="00451956">
      <w:pPr>
        <w:jc w:val="center"/>
        <w:rPr>
          <w:lang w:val="en-GB"/>
        </w:rPr>
      </w:pPr>
    </w:p>
    <w:p w:rsidRPr="002A60F3" w:rsidR="00F71A6A" w:rsidP="00042867" w:rsidRDefault="00F71A6A">
      <w:pPr>
        <w:jc w:val="center"/>
        <w:rPr>
          <w:b/>
          <w:lang w:val="en-GB"/>
        </w:rPr>
      </w:pPr>
      <w:bookmarkStart w:name="To" w:id="1"/>
      <w:r w:rsidRPr="002A60F3">
        <w:rPr>
          <w:b/>
          <w:lang w:val="en-GB"/>
        </w:rPr>
        <w:t xml:space="preserve">CASE OF </w:t>
      </w:r>
      <w:bookmarkEnd w:id="1"/>
      <w:r w:rsidRPr="002A60F3" w:rsidR="00F320D1">
        <w:rPr>
          <w:b/>
          <w:lang w:val="en-GB"/>
        </w:rPr>
        <w:t>HRVATSKI LIJEČNIČKI SINDIKAT v. CROATIA</w:t>
      </w:r>
    </w:p>
    <w:p w:rsidRPr="002A60F3" w:rsidR="00F71A6A" w:rsidP="00042867" w:rsidRDefault="00F71A6A">
      <w:pPr>
        <w:jc w:val="center"/>
        <w:rPr>
          <w:lang w:val="en-GB"/>
        </w:rPr>
      </w:pPr>
    </w:p>
    <w:p w:rsidRPr="002A60F3" w:rsidR="00F71A6A" w:rsidP="00042867" w:rsidRDefault="00F71A6A">
      <w:pPr>
        <w:jc w:val="center"/>
        <w:rPr>
          <w:i/>
          <w:lang w:val="en-GB"/>
        </w:rPr>
      </w:pPr>
      <w:r w:rsidRPr="002A60F3">
        <w:rPr>
          <w:i/>
          <w:lang w:val="en-GB"/>
        </w:rPr>
        <w:t>(</w:t>
      </w:r>
      <w:r w:rsidRPr="002A60F3" w:rsidR="00F320D1">
        <w:rPr>
          <w:i/>
          <w:lang w:val="en-GB"/>
        </w:rPr>
        <w:t>Application no. 36701/09</w:t>
      </w:r>
      <w:r w:rsidRPr="002A60F3">
        <w:rPr>
          <w:i/>
          <w:lang w:val="en-GB"/>
        </w:rPr>
        <w:t>)</w:t>
      </w:r>
    </w:p>
    <w:p w:rsidRPr="002A60F3" w:rsidR="00F71A6A" w:rsidP="00042867" w:rsidRDefault="00F71A6A">
      <w:pPr>
        <w:jc w:val="center"/>
        <w:rPr>
          <w:lang w:val="en-GB"/>
        </w:rPr>
      </w:pPr>
    </w:p>
    <w:p w:rsidRPr="002A60F3" w:rsidR="00F71A6A" w:rsidP="00042867" w:rsidRDefault="00F71A6A">
      <w:pPr>
        <w:jc w:val="center"/>
        <w:rPr>
          <w:lang w:val="en-GB"/>
        </w:rPr>
      </w:pPr>
    </w:p>
    <w:p w:rsidRPr="002A60F3" w:rsidR="00F71A6A" w:rsidP="00042867" w:rsidRDefault="00F71A6A">
      <w:pPr>
        <w:jc w:val="center"/>
        <w:rPr>
          <w:lang w:val="en-GB"/>
        </w:rPr>
      </w:pPr>
    </w:p>
    <w:p w:rsidRPr="002A60F3" w:rsidR="0099656C" w:rsidP="00451956" w:rsidRDefault="0099656C">
      <w:pPr>
        <w:jc w:val="center"/>
        <w:rPr>
          <w:szCs w:val="24"/>
          <w:u w:val="single"/>
          <w:lang w:val="en-GB"/>
        </w:rPr>
      </w:pPr>
    </w:p>
    <w:p w:rsidR="00174A6F" w:rsidP="00451956" w:rsidRDefault="00174A6F">
      <w:pPr>
        <w:jc w:val="center"/>
        <w:rPr>
          <w:szCs w:val="24"/>
          <w:lang w:val="en-GB"/>
        </w:rPr>
      </w:pPr>
    </w:p>
    <w:p w:rsidR="00596B16" w:rsidP="00451956" w:rsidRDefault="00596B16">
      <w:pPr>
        <w:jc w:val="center"/>
        <w:rPr>
          <w:szCs w:val="24"/>
          <w:lang w:val="en-GB"/>
        </w:rPr>
      </w:pPr>
    </w:p>
    <w:p w:rsidRPr="002A60F3" w:rsidR="00596B16" w:rsidP="00451956" w:rsidRDefault="00596B16">
      <w:pPr>
        <w:jc w:val="center"/>
        <w:rPr>
          <w:szCs w:val="24"/>
          <w:lang w:val="en-GB"/>
        </w:rPr>
      </w:pPr>
    </w:p>
    <w:p w:rsidRPr="00B5229B" w:rsidR="002E4E52" w:rsidP="00451956" w:rsidRDefault="00451956">
      <w:pPr>
        <w:jc w:val="center"/>
        <w:rPr>
          <w:szCs w:val="24"/>
          <w:lang w:val="en-GB"/>
        </w:rPr>
      </w:pPr>
      <w:r w:rsidRPr="00B5229B">
        <w:rPr>
          <w:szCs w:val="24"/>
          <w:lang w:val="en-GB"/>
        </w:rPr>
        <w:t>JUDGMENT</w:t>
      </w:r>
    </w:p>
    <w:p w:rsidR="00451956" w:rsidP="00B5229B" w:rsidRDefault="00451956">
      <w:pPr>
        <w:jc w:val="center"/>
        <w:rPr>
          <w:szCs w:val="24"/>
          <w:lang w:val="en-GB"/>
        </w:rPr>
      </w:pPr>
    </w:p>
    <w:p w:rsidRPr="00451956" w:rsidR="00596B16" w:rsidP="00B5229B" w:rsidRDefault="00596B16">
      <w:pPr>
        <w:jc w:val="center"/>
        <w:rPr>
          <w:szCs w:val="24"/>
          <w:lang w:val="en-GB"/>
        </w:rPr>
      </w:pPr>
    </w:p>
    <w:p w:rsidRPr="00451956" w:rsidR="00451956" w:rsidP="00B5229B" w:rsidRDefault="00451956">
      <w:pPr>
        <w:jc w:val="center"/>
        <w:rPr>
          <w:szCs w:val="24"/>
          <w:lang w:val="en-GB"/>
        </w:rPr>
      </w:pPr>
      <w:r w:rsidRPr="00451956">
        <w:rPr>
          <w:szCs w:val="24"/>
          <w:lang w:val="en-GB"/>
        </w:rPr>
        <w:t>STRASBOURG</w:t>
      </w:r>
    </w:p>
    <w:p w:rsidRPr="00B5229B" w:rsidR="00DC565E" w:rsidP="00B5229B" w:rsidRDefault="00DC565E">
      <w:pPr>
        <w:jc w:val="center"/>
        <w:rPr>
          <w:szCs w:val="24"/>
          <w:lang w:val="en-GB"/>
        </w:rPr>
      </w:pPr>
    </w:p>
    <w:p w:rsidR="00DC565E" w:rsidP="00B5229B" w:rsidRDefault="00DC565E">
      <w:pPr>
        <w:jc w:val="center"/>
        <w:rPr>
          <w:szCs w:val="24"/>
          <w:lang w:val="en-GB"/>
        </w:rPr>
      </w:pPr>
      <w:r>
        <w:rPr>
          <w:szCs w:val="24"/>
          <w:lang w:val="en-GB"/>
        </w:rPr>
        <w:t>27 November 2014</w:t>
      </w:r>
    </w:p>
    <w:p w:rsidR="00DC565E" w:rsidP="00B5229B" w:rsidRDefault="00DC565E">
      <w:pPr>
        <w:jc w:val="center"/>
        <w:rPr>
          <w:szCs w:val="24"/>
          <w:lang w:val="en-GB"/>
        </w:rPr>
      </w:pPr>
    </w:p>
    <w:p w:rsidR="00DC565E" w:rsidP="00B5229B" w:rsidRDefault="00DC565E">
      <w:pPr>
        <w:jc w:val="center"/>
        <w:rPr>
          <w:szCs w:val="24"/>
          <w:lang w:val="en-GB"/>
        </w:rPr>
      </w:pPr>
    </w:p>
    <w:p w:rsidR="00A32E76" w:rsidP="00A32E76" w:rsidRDefault="00A32E76">
      <w:pPr>
        <w:pStyle w:val="jucase0"/>
        <w:ind w:firstLine="0"/>
        <w:jc w:val="center"/>
        <w:rPr>
          <w:color w:val="FF0000"/>
          <w:sz w:val="28"/>
          <w:szCs w:val="28"/>
          <w:u w:val="single"/>
        </w:rPr>
      </w:pPr>
      <w:r>
        <w:rPr>
          <w:color w:val="FF0000"/>
          <w:sz w:val="28"/>
          <w:szCs w:val="28"/>
          <w:u w:val="single"/>
        </w:rPr>
        <w:t>FINAL</w:t>
      </w:r>
    </w:p>
    <w:p w:rsidR="00A32E76" w:rsidP="00A32E76" w:rsidRDefault="00A32E76">
      <w:pPr>
        <w:pStyle w:val="jupara"/>
        <w:ind w:firstLine="0"/>
        <w:jc w:val="center"/>
        <w:rPr>
          <w:color w:val="FF0000"/>
          <w:sz w:val="28"/>
          <w:szCs w:val="28"/>
        </w:rPr>
      </w:pPr>
    </w:p>
    <w:p w:rsidR="00A32E76" w:rsidP="00A32E76" w:rsidRDefault="00A32E76">
      <w:pPr>
        <w:pStyle w:val="jupara"/>
        <w:ind w:firstLine="0"/>
        <w:jc w:val="center"/>
        <w:rPr>
          <w:color w:val="FF0000"/>
          <w:sz w:val="28"/>
          <w:szCs w:val="28"/>
        </w:rPr>
      </w:pPr>
      <w:r>
        <w:rPr>
          <w:color w:val="FF0000"/>
          <w:sz w:val="28"/>
          <w:szCs w:val="28"/>
        </w:rPr>
        <w:t>27/02/2015</w:t>
      </w:r>
    </w:p>
    <w:p w:rsidR="00A32E76" w:rsidP="00A32E76" w:rsidRDefault="00A32E76">
      <w:pPr>
        <w:pStyle w:val="jupara"/>
        <w:ind w:firstLine="0"/>
        <w:jc w:val="center"/>
      </w:pPr>
    </w:p>
    <w:p w:rsidR="00A32E76" w:rsidP="00A32E76" w:rsidRDefault="00A32E76">
      <w:pPr>
        <w:jc w:val="center"/>
        <w:rPr>
          <w:i/>
          <w:iCs/>
          <w:sz w:val="22"/>
        </w:rPr>
      </w:pPr>
      <w:r>
        <w:rPr>
          <w:i/>
          <w:iCs/>
          <w:sz w:val="22"/>
        </w:rPr>
        <w:t>This judgment has become final under Article 44 § 2 of the Convention. It may be subject to editorial revision.</w:t>
      </w:r>
    </w:p>
    <w:p w:rsidR="00451956" w:rsidP="00B5229B" w:rsidRDefault="00451956">
      <w:pPr>
        <w:pStyle w:val="ECHRPara"/>
        <w:ind w:firstLine="0"/>
        <w:rPr>
          <w:i/>
          <w:sz w:val="22"/>
          <w:lang w:val="en-GB"/>
        </w:rPr>
      </w:pPr>
    </w:p>
    <w:p w:rsidR="00451956" w:rsidP="00451956" w:rsidRDefault="00451956">
      <w:pPr>
        <w:pStyle w:val="ECHRPara"/>
        <w:ind w:firstLine="0"/>
        <w:rPr>
          <w:lang w:val="en-GB"/>
        </w:rPr>
        <w:sectPr w:rsidR="00451956" w:rsidSect="00451956">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2A60F3" w:rsidR="00B030BE" w:rsidP="00062A05" w:rsidRDefault="00F71A6A">
      <w:pPr>
        <w:pStyle w:val="JuCase"/>
        <w:ind w:firstLine="0"/>
        <w:rPr>
          <w:b w:val="0"/>
          <w:bCs/>
          <w:lang w:val="en-GB"/>
        </w:rPr>
      </w:pPr>
      <w:r w:rsidRPr="002A60F3">
        <w:rPr>
          <w:lang w:val="en-GB"/>
        </w:rPr>
        <w:t>In the case of</w:t>
      </w:r>
      <w:r w:rsidRPr="002A60F3" w:rsidR="00B030BE">
        <w:rPr>
          <w:lang w:val="en-GB"/>
        </w:rPr>
        <w:t xml:space="preserve"> </w:t>
      </w:r>
      <w:r w:rsidRPr="002A60F3" w:rsidR="006A4CEB">
        <w:rPr>
          <w:lang w:val="en-GB"/>
        </w:rPr>
        <w:t>Hrvatski liječnički s</w:t>
      </w:r>
      <w:r w:rsidRPr="002A60F3" w:rsidR="00F320D1">
        <w:rPr>
          <w:lang w:val="en-GB"/>
        </w:rPr>
        <w:t>indikat v. Croatia</w:t>
      </w:r>
      <w:r w:rsidRPr="002A60F3" w:rsidR="00B030BE">
        <w:rPr>
          <w:lang w:val="en-GB"/>
        </w:rPr>
        <w:t>,</w:t>
      </w:r>
    </w:p>
    <w:p w:rsidRPr="002A60F3" w:rsidR="00730433" w:rsidP="00B030BE" w:rsidRDefault="00F71A6A">
      <w:pPr>
        <w:pStyle w:val="JuCase"/>
        <w:rPr>
          <w:b w:val="0"/>
          <w:bCs/>
          <w:szCs w:val="24"/>
          <w:lang w:val="en-GB"/>
        </w:rPr>
      </w:pPr>
      <w:r w:rsidRPr="002A60F3">
        <w:rPr>
          <w:b w:val="0"/>
          <w:bCs/>
          <w:szCs w:val="24"/>
          <w:lang w:val="en-GB"/>
        </w:rPr>
        <w:t>The European Court of Human Rights (</w:t>
      </w:r>
      <w:r w:rsidRPr="002A60F3" w:rsidR="00F320D1">
        <w:rPr>
          <w:b w:val="0"/>
          <w:bCs/>
          <w:szCs w:val="24"/>
          <w:lang w:val="en-GB"/>
        </w:rPr>
        <w:t>First Section</w:t>
      </w:r>
      <w:r w:rsidRPr="002A60F3">
        <w:rPr>
          <w:b w:val="0"/>
          <w:bCs/>
          <w:szCs w:val="24"/>
          <w:lang w:val="en-GB"/>
        </w:rPr>
        <w:t xml:space="preserve">), sitting as a </w:t>
      </w:r>
      <w:r w:rsidRPr="002A60F3" w:rsidR="00F320D1">
        <w:rPr>
          <w:b w:val="0"/>
          <w:bCs/>
          <w:szCs w:val="24"/>
          <w:lang w:val="en-GB"/>
        </w:rPr>
        <w:t>Chamber</w:t>
      </w:r>
      <w:r w:rsidRPr="002A60F3" w:rsidR="00730433">
        <w:rPr>
          <w:b w:val="0"/>
          <w:bCs/>
          <w:szCs w:val="24"/>
          <w:lang w:val="en-GB"/>
        </w:rPr>
        <w:t xml:space="preserve"> composed of:</w:t>
      </w:r>
    </w:p>
    <w:p w:rsidRPr="00DC565E" w:rsidR="00F71A6A" w:rsidP="00451956" w:rsidRDefault="00451956">
      <w:pPr>
        <w:pStyle w:val="ECHRDecisionBody"/>
        <w:rPr>
          <w:lang w:val="en-GB"/>
        </w:rPr>
      </w:pPr>
      <w:r w:rsidRPr="00DC565E">
        <w:rPr>
          <w:szCs w:val="24"/>
          <w:lang w:val="en-GB"/>
        </w:rPr>
        <w:tab/>
        <w:t>Isabelle Berro-Lefèvre,</w:t>
      </w:r>
      <w:r w:rsidRPr="00DC565E">
        <w:rPr>
          <w:i/>
          <w:lang w:val="en-GB"/>
        </w:rPr>
        <w:t xml:space="preserve"> President,</w:t>
      </w:r>
      <w:r w:rsidRPr="00DC565E">
        <w:rPr>
          <w:i/>
          <w:lang w:val="en-GB"/>
        </w:rPr>
        <w:br/>
      </w:r>
      <w:r w:rsidRPr="00DC565E">
        <w:rPr>
          <w:szCs w:val="24"/>
          <w:lang w:val="en-GB"/>
        </w:rPr>
        <w:tab/>
        <w:t>Mirjana Lazarova Trajkovska,</w:t>
      </w:r>
      <w:r w:rsidRPr="00DC565E">
        <w:rPr>
          <w:i/>
          <w:lang w:val="en-GB"/>
        </w:rPr>
        <w:br/>
      </w:r>
      <w:r w:rsidRPr="00DC565E">
        <w:rPr>
          <w:szCs w:val="24"/>
          <w:lang w:val="en-GB"/>
        </w:rPr>
        <w:tab/>
        <w:t>Julia Laffranque,</w:t>
      </w:r>
      <w:r w:rsidRPr="00DC565E">
        <w:rPr>
          <w:i/>
          <w:lang w:val="en-GB"/>
        </w:rPr>
        <w:br/>
      </w:r>
      <w:r w:rsidRPr="00DC565E">
        <w:rPr>
          <w:szCs w:val="24"/>
          <w:lang w:val="en-GB"/>
        </w:rPr>
        <w:tab/>
        <w:t>Paulo Pinto de Albuquerque,</w:t>
      </w:r>
      <w:r w:rsidRPr="00DC565E">
        <w:rPr>
          <w:i/>
          <w:lang w:val="en-GB"/>
        </w:rPr>
        <w:br/>
      </w:r>
      <w:r w:rsidRPr="00DC565E">
        <w:rPr>
          <w:szCs w:val="24"/>
          <w:lang w:val="en-GB"/>
        </w:rPr>
        <w:tab/>
        <w:t>Linos-Alexandre Sicilianos,</w:t>
      </w:r>
      <w:r w:rsidRPr="00DC565E">
        <w:rPr>
          <w:i/>
          <w:lang w:val="en-GB"/>
        </w:rPr>
        <w:br/>
      </w:r>
      <w:r w:rsidRPr="00DC565E">
        <w:rPr>
          <w:szCs w:val="24"/>
          <w:lang w:val="en-GB"/>
        </w:rPr>
        <w:tab/>
        <w:t>Ksenija Turković,</w:t>
      </w:r>
      <w:r w:rsidRPr="00DC565E">
        <w:rPr>
          <w:i/>
          <w:lang w:val="en-GB"/>
        </w:rPr>
        <w:br/>
      </w:r>
      <w:r w:rsidRPr="00DC565E">
        <w:rPr>
          <w:szCs w:val="24"/>
          <w:lang w:val="en-GB"/>
        </w:rPr>
        <w:tab/>
        <w:t>Dmitry Dedov,</w:t>
      </w:r>
      <w:r w:rsidRPr="00DC565E">
        <w:rPr>
          <w:i/>
          <w:lang w:val="en-GB"/>
        </w:rPr>
        <w:t xml:space="preserve"> judges,</w:t>
      </w:r>
      <w:r w:rsidRPr="00DC565E" w:rsidR="00337600">
        <w:rPr>
          <w:szCs w:val="24"/>
          <w:lang w:val="en-GB"/>
        </w:rPr>
        <w:br/>
      </w:r>
      <w:r w:rsidRPr="00DC565E" w:rsidR="00F71A6A">
        <w:rPr>
          <w:lang w:val="en-GB"/>
        </w:rPr>
        <w:t>and</w:t>
      </w:r>
      <w:r w:rsidRPr="00DC565E" w:rsidR="000726F6">
        <w:rPr>
          <w:lang w:val="en-GB"/>
        </w:rPr>
        <w:t xml:space="preserve"> </w:t>
      </w:r>
      <w:r w:rsidRPr="00DC565E" w:rsidR="00F320D1">
        <w:rPr>
          <w:lang w:val="en-GB"/>
        </w:rPr>
        <w:t>Søren Nielsen</w:t>
      </w:r>
      <w:r w:rsidRPr="00DC565E" w:rsidR="009D4B87">
        <w:rPr>
          <w:lang w:val="en-GB"/>
        </w:rPr>
        <w:t xml:space="preserve">, </w:t>
      </w:r>
      <w:r w:rsidRPr="00DC565E" w:rsidR="00F320D1">
        <w:rPr>
          <w:i/>
          <w:lang w:val="en-GB"/>
        </w:rPr>
        <w:t xml:space="preserve">Section </w:t>
      </w:r>
      <w:r w:rsidRPr="00DC565E" w:rsidR="00F320D1">
        <w:rPr>
          <w:i/>
          <w:iCs/>
          <w:lang w:val="en-GB"/>
        </w:rPr>
        <w:t>Registrar</w:t>
      </w:r>
      <w:r w:rsidRPr="00DC565E" w:rsidR="00F71A6A">
        <w:rPr>
          <w:i/>
          <w:lang w:val="en-GB"/>
        </w:rPr>
        <w:t>,</w:t>
      </w:r>
    </w:p>
    <w:p w:rsidRPr="002A60F3" w:rsidR="00F71A6A" w:rsidP="002F4BCF" w:rsidRDefault="00F71A6A">
      <w:pPr>
        <w:pStyle w:val="ECHRPara"/>
        <w:rPr>
          <w:lang w:val="en-GB"/>
        </w:rPr>
      </w:pPr>
      <w:r w:rsidRPr="002A60F3">
        <w:rPr>
          <w:lang w:val="en-GB"/>
        </w:rPr>
        <w:t xml:space="preserve">Having deliberated in private on </w:t>
      </w:r>
      <w:r w:rsidR="00451956">
        <w:rPr>
          <w:lang w:val="en-GB"/>
        </w:rPr>
        <w:t>4 November 2014</w:t>
      </w:r>
      <w:r w:rsidRPr="002A60F3">
        <w:rPr>
          <w:lang w:val="en-GB"/>
        </w:rPr>
        <w:t>,</w:t>
      </w:r>
    </w:p>
    <w:p w:rsidRPr="002A60F3" w:rsidR="00F71A6A" w:rsidP="002F4BCF" w:rsidRDefault="00F71A6A">
      <w:pPr>
        <w:pStyle w:val="ECHRPara"/>
        <w:rPr>
          <w:lang w:val="en-GB"/>
        </w:rPr>
      </w:pPr>
      <w:r w:rsidRPr="002A60F3">
        <w:rPr>
          <w:lang w:val="en-GB"/>
        </w:rPr>
        <w:t>Delivers the following judgment, which was adopted on that date:</w:t>
      </w:r>
    </w:p>
    <w:p w:rsidRPr="002A60F3" w:rsidR="00F71A6A" w:rsidP="008824B9" w:rsidRDefault="00F71A6A">
      <w:pPr>
        <w:pStyle w:val="ECHRTitle1"/>
        <w:rPr>
          <w:lang w:val="en-GB"/>
        </w:rPr>
      </w:pPr>
      <w:r w:rsidRPr="002A60F3">
        <w:rPr>
          <w:lang w:val="en-GB"/>
        </w:rPr>
        <w:t>PROCEDURE</w:t>
      </w:r>
    </w:p>
    <w:p w:rsidRPr="002A60F3" w:rsidR="00F320D1" w:rsidP="00893782"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1</w:t>
      </w:r>
      <w:r w:rsidRPr="002A60F3">
        <w:rPr>
          <w:lang w:val="en-GB"/>
        </w:rPr>
        <w:fldChar w:fldCharType="end"/>
      </w:r>
      <w:r w:rsidRPr="002A60F3" w:rsidR="00F71A6A">
        <w:rPr>
          <w:lang w:val="en-GB"/>
        </w:rPr>
        <w:t xml:space="preserve">.  The case originated in </w:t>
      </w:r>
      <w:r w:rsidRPr="002A60F3">
        <w:rPr>
          <w:lang w:val="en-GB"/>
        </w:rPr>
        <w:t>an application (no. 36701/09)</w:t>
      </w:r>
      <w:r w:rsidRPr="002A60F3" w:rsidR="00F71A6A">
        <w:rPr>
          <w:lang w:val="en-GB"/>
        </w:rPr>
        <w:t xml:space="preserve"> against </w:t>
      </w:r>
      <w:r w:rsidRPr="002A60F3">
        <w:rPr>
          <w:lang w:val="en-GB"/>
        </w:rPr>
        <w:t>the Republic of Croatia</w:t>
      </w:r>
      <w:r w:rsidRPr="002A60F3" w:rsidR="00F71A6A">
        <w:rPr>
          <w:lang w:val="en-GB"/>
        </w:rPr>
        <w:t xml:space="preserve"> lodged with the </w:t>
      </w:r>
      <w:r w:rsidRPr="002A60F3">
        <w:rPr>
          <w:lang w:val="en-GB"/>
        </w:rPr>
        <w:t>Court under Article 34</w:t>
      </w:r>
      <w:r w:rsidRPr="002A60F3" w:rsidR="004920B1">
        <w:rPr>
          <w:lang w:val="en-GB"/>
        </w:rPr>
        <w:t xml:space="preserve"> of the Convention for the Protection of Human Rights and Fundamental Freedoms (“the Convention”)</w:t>
      </w:r>
      <w:r w:rsidRPr="002A60F3" w:rsidR="00F71A6A">
        <w:rPr>
          <w:lang w:val="en-GB"/>
        </w:rPr>
        <w:t xml:space="preserve"> by </w:t>
      </w:r>
      <w:r w:rsidRPr="002A60F3" w:rsidR="003212BA">
        <w:rPr>
          <w:lang w:val="en-GB"/>
        </w:rPr>
        <w:t>Hrvatski liječnički sindikat (</w:t>
      </w:r>
      <w:r w:rsidRPr="002A60F3" w:rsidR="009F2B3A">
        <w:rPr>
          <w:lang w:val="en-GB"/>
        </w:rPr>
        <w:t xml:space="preserve">Croatian </w:t>
      </w:r>
      <w:r w:rsidR="00450AC5">
        <w:rPr>
          <w:lang w:val="en-GB"/>
        </w:rPr>
        <w:t>Medical</w:t>
      </w:r>
      <w:r w:rsidRPr="002A60F3" w:rsidR="009F2B3A">
        <w:rPr>
          <w:lang w:val="en-GB"/>
        </w:rPr>
        <w:t xml:space="preserve"> Union</w:t>
      </w:r>
      <w:r w:rsidR="00450AC5">
        <w:rPr>
          <w:lang w:val="en-GB"/>
        </w:rPr>
        <w:t xml:space="preserve"> </w:t>
      </w:r>
      <w:r w:rsidR="009F2B3A">
        <w:rPr>
          <w:lang w:val="en-GB"/>
        </w:rPr>
        <w:t xml:space="preserve">– hereinafter </w:t>
      </w:r>
      <w:r w:rsidRPr="002A60F3" w:rsidR="003212BA">
        <w:rPr>
          <w:lang w:val="en-GB"/>
        </w:rPr>
        <w:t xml:space="preserve">“the applicant union”), </w:t>
      </w:r>
      <w:r w:rsidRPr="002A60F3">
        <w:rPr>
          <w:lang w:val="en-GB"/>
        </w:rPr>
        <w:t>on 17 June 2009</w:t>
      </w:r>
      <w:r w:rsidRPr="002A60F3" w:rsidR="00F71A6A">
        <w:rPr>
          <w:lang w:val="en-GB"/>
        </w:rPr>
        <w:t>.</w:t>
      </w:r>
    </w:p>
    <w:p w:rsidRPr="002A60F3" w:rsidR="00F320D1"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w:t>
      </w:r>
      <w:r w:rsidRPr="002A60F3">
        <w:rPr>
          <w:lang w:val="en-GB"/>
        </w:rPr>
        <w:fldChar w:fldCharType="end"/>
      </w:r>
      <w:r w:rsidRPr="002A60F3" w:rsidR="00F71A6A">
        <w:rPr>
          <w:lang w:val="en-GB"/>
        </w:rPr>
        <w:t>.  </w:t>
      </w:r>
      <w:r w:rsidRPr="002A60F3">
        <w:rPr>
          <w:lang w:val="en-GB"/>
        </w:rPr>
        <w:t>The applicant was represented by Mr S. Posavec</w:t>
      </w:r>
      <w:r w:rsidR="00531890">
        <w:rPr>
          <w:lang w:val="en-GB"/>
        </w:rPr>
        <w:t xml:space="preserve">, </w:t>
      </w:r>
      <w:r w:rsidR="00D018BE">
        <w:rPr>
          <w:lang w:val="en-GB"/>
        </w:rPr>
        <w:t>an advocate</w:t>
      </w:r>
      <w:r w:rsidR="00531890">
        <w:rPr>
          <w:lang w:val="en-GB"/>
        </w:rPr>
        <w:t xml:space="preserve"> </w:t>
      </w:r>
      <w:r w:rsidRPr="002A60F3" w:rsidR="00531890">
        <w:rPr>
          <w:lang w:val="en-GB"/>
        </w:rPr>
        <w:t>practising in Zagreb</w:t>
      </w:r>
      <w:r w:rsidR="00607480">
        <w:rPr>
          <w:lang w:val="en-GB"/>
        </w:rPr>
        <w:t xml:space="preserve"> </w:t>
      </w:r>
      <w:r w:rsidR="00531890">
        <w:rPr>
          <w:lang w:val="en-GB"/>
        </w:rPr>
        <w:t xml:space="preserve">with </w:t>
      </w:r>
      <w:r w:rsidR="00C854C1">
        <w:rPr>
          <w:lang w:val="en-GB"/>
        </w:rPr>
        <w:t xml:space="preserve">the </w:t>
      </w:r>
      <w:r w:rsidR="00D018BE">
        <w:rPr>
          <w:lang w:val="en-GB"/>
        </w:rPr>
        <w:t>L</w:t>
      </w:r>
      <w:r w:rsidR="00607480">
        <w:rPr>
          <w:lang w:val="en-GB"/>
        </w:rPr>
        <w:t xml:space="preserve">aw </w:t>
      </w:r>
      <w:r w:rsidR="00D018BE">
        <w:rPr>
          <w:lang w:val="en-GB"/>
        </w:rPr>
        <w:t>F</w:t>
      </w:r>
      <w:r w:rsidR="00607480">
        <w:rPr>
          <w:lang w:val="en-GB"/>
        </w:rPr>
        <w:t>irm Posavec, Ra</w:t>
      </w:r>
      <w:r w:rsidR="00B11253">
        <w:rPr>
          <w:lang w:val="en-GB"/>
        </w:rPr>
        <w:t>šica</w:t>
      </w:r>
      <w:r w:rsidR="006C36B4">
        <w:rPr>
          <w:lang w:val="en-GB"/>
        </w:rPr>
        <w:t xml:space="preserve"> and </w:t>
      </w:r>
      <w:r w:rsidR="00607480">
        <w:rPr>
          <w:lang w:val="en-GB"/>
        </w:rPr>
        <w:t>Liszt</w:t>
      </w:r>
      <w:r w:rsidR="00B11253">
        <w:rPr>
          <w:lang w:val="en-GB"/>
        </w:rPr>
        <w:t xml:space="preserve"> </w:t>
      </w:r>
      <w:r w:rsidR="006C36B4">
        <w:rPr>
          <w:lang w:val="en-GB"/>
        </w:rPr>
        <w:t>d.o.o.</w:t>
      </w:r>
      <w:r w:rsidRPr="002A60F3">
        <w:rPr>
          <w:lang w:val="en-GB"/>
        </w:rPr>
        <w:t xml:space="preserve"> </w:t>
      </w:r>
      <w:r w:rsidRPr="002A60F3" w:rsidR="00F71A6A">
        <w:rPr>
          <w:lang w:val="en-GB"/>
        </w:rPr>
        <w:t xml:space="preserve">The </w:t>
      </w:r>
      <w:r w:rsidRPr="002A60F3">
        <w:rPr>
          <w:lang w:val="en-GB"/>
        </w:rPr>
        <w:t>Croatian</w:t>
      </w:r>
      <w:r w:rsidRPr="002A60F3" w:rsidR="00F71A6A">
        <w:rPr>
          <w:lang w:val="en-GB"/>
        </w:rPr>
        <w:t xml:space="preserve"> Government (“the Government”) wer</w:t>
      </w:r>
      <w:r w:rsidRPr="002A60F3" w:rsidR="00812787">
        <w:rPr>
          <w:lang w:val="en-GB"/>
        </w:rPr>
        <w:t>e represented by their Agent, Ms</w:t>
      </w:r>
      <w:r w:rsidRPr="002A60F3" w:rsidR="00F71A6A">
        <w:rPr>
          <w:lang w:val="en-GB"/>
        </w:rPr>
        <w:t xml:space="preserve"> </w:t>
      </w:r>
      <w:r w:rsidRPr="002A60F3" w:rsidR="00812787">
        <w:rPr>
          <w:lang w:val="en-GB"/>
        </w:rPr>
        <w:t>Š. Stažnik</w:t>
      </w:r>
      <w:r w:rsidRPr="002A60F3" w:rsidR="00F71A6A">
        <w:rPr>
          <w:lang w:val="en-GB"/>
        </w:rPr>
        <w:t>.</w:t>
      </w:r>
    </w:p>
    <w:p w:rsidRPr="002A60F3" w:rsidR="00812787" w:rsidP="00865450"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3</w:t>
      </w:r>
      <w:r w:rsidRPr="002A60F3">
        <w:rPr>
          <w:lang w:val="en-GB"/>
        </w:rPr>
        <w:fldChar w:fldCharType="end"/>
      </w:r>
      <w:r w:rsidRPr="002A60F3">
        <w:rPr>
          <w:lang w:val="en-GB"/>
        </w:rPr>
        <w:t>.  The applicant</w:t>
      </w:r>
      <w:r w:rsidRPr="002A60F3" w:rsidR="00812787">
        <w:rPr>
          <w:lang w:val="en-GB"/>
        </w:rPr>
        <w:t xml:space="preserve"> union</w:t>
      </w:r>
      <w:r w:rsidRPr="002A60F3">
        <w:rPr>
          <w:lang w:val="en-GB"/>
        </w:rPr>
        <w:t xml:space="preserve"> alleged </w:t>
      </w:r>
      <w:r w:rsidRPr="002A60F3" w:rsidR="00812787">
        <w:rPr>
          <w:lang w:val="en-GB"/>
        </w:rPr>
        <w:t xml:space="preserve">that the decisions of the domestic courts prohibiting it </w:t>
      </w:r>
      <w:r w:rsidR="00B1047C">
        <w:rPr>
          <w:lang w:val="en-GB"/>
        </w:rPr>
        <w:t xml:space="preserve">from </w:t>
      </w:r>
      <w:r w:rsidRPr="002A60F3" w:rsidR="00812787">
        <w:rPr>
          <w:lang w:val="en-GB"/>
        </w:rPr>
        <w:t>hold</w:t>
      </w:r>
      <w:r w:rsidR="00B1047C">
        <w:rPr>
          <w:lang w:val="en-GB"/>
        </w:rPr>
        <w:t>ing</w:t>
      </w:r>
      <w:r w:rsidRPr="002A60F3" w:rsidR="00812787">
        <w:rPr>
          <w:lang w:val="en-GB"/>
        </w:rPr>
        <w:t xml:space="preserve"> a strike had </w:t>
      </w:r>
      <w:r w:rsidR="009F2B3A">
        <w:rPr>
          <w:lang w:val="en-GB"/>
        </w:rPr>
        <w:t xml:space="preserve">violated </w:t>
      </w:r>
      <w:r w:rsidRPr="002A60F3" w:rsidR="00812787">
        <w:rPr>
          <w:lang w:val="en-GB"/>
        </w:rPr>
        <w:t>its freedom of association.</w:t>
      </w:r>
    </w:p>
    <w:p w:rsidRPr="002A60F3" w:rsidR="003A64D3" w:rsidP="00812787"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w:t>
      </w:r>
      <w:r w:rsidRPr="002A60F3">
        <w:rPr>
          <w:lang w:val="en-GB"/>
        </w:rPr>
        <w:fldChar w:fldCharType="end"/>
      </w:r>
      <w:r w:rsidRPr="002A60F3" w:rsidR="00F71A6A">
        <w:rPr>
          <w:lang w:val="en-GB"/>
        </w:rPr>
        <w:t xml:space="preserve">.  On </w:t>
      </w:r>
      <w:r w:rsidRPr="002A60F3">
        <w:rPr>
          <w:szCs w:val="24"/>
          <w:lang w:val="en-GB"/>
        </w:rPr>
        <w:t>5 September 2011</w:t>
      </w:r>
      <w:r w:rsidRPr="002A60F3" w:rsidR="00F71A6A">
        <w:rPr>
          <w:lang w:val="en-GB"/>
        </w:rPr>
        <w:t xml:space="preserve"> </w:t>
      </w:r>
      <w:r w:rsidRPr="002A60F3" w:rsidR="0009409F">
        <w:rPr>
          <w:lang w:val="en-GB"/>
        </w:rPr>
        <w:t xml:space="preserve">the </w:t>
      </w:r>
      <w:r w:rsidRPr="002A60F3">
        <w:rPr>
          <w:lang w:val="en-GB"/>
        </w:rPr>
        <w:t>application was</w:t>
      </w:r>
      <w:r w:rsidRPr="002A60F3" w:rsidR="0009409F">
        <w:rPr>
          <w:lang w:val="en-GB"/>
        </w:rPr>
        <w:t xml:space="preserve"> communicated </w:t>
      </w:r>
      <w:r w:rsidRPr="002A60F3" w:rsidR="00F71A6A">
        <w:rPr>
          <w:lang w:val="en-GB"/>
        </w:rPr>
        <w:t>to the Gove</w:t>
      </w:r>
      <w:r w:rsidRPr="002A60F3" w:rsidR="00485A6F">
        <w:rPr>
          <w:lang w:val="en-GB"/>
        </w:rPr>
        <w:t>rnment.</w:t>
      </w:r>
    </w:p>
    <w:p w:rsidRPr="002A60F3" w:rsidR="00F71A6A" w:rsidP="008824B9" w:rsidRDefault="00F71A6A">
      <w:pPr>
        <w:pStyle w:val="ECHRTitle1"/>
        <w:rPr>
          <w:lang w:val="en-GB"/>
        </w:rPr>
      </w:pPr>
      <w:r w:rsidRPr="002A60F3">
        <w:rPr>
          <w:lang w:val="en-GB"/>
        </w:rPr>
        <w:t>THE FACTS</w:t>
      </w:r>
    </w:p>
    <w:p w:rsidRPr="002A60F3" w:rsidR="00D353F4" w:rsidP="008824B9" w:rsidRDefault="007352DD">
      <w:pPr>
        <w:pStyle w:val="ECHRHeading1"/>
        <w:rPr>
          <w:lang w:val="en-GB"/>
        </w:rPr>
      </w:pPr>
      <w:r w:rsidRPr="002A60F3">
        <w:rPr>
          <w:lang w:val="en-GB"/>
        </w:rPr>
        <w:t xml:space="preserve">I.  THE CIRCUMSTANCES OF THE </w:t>
      </w:r>
      <w:r w:rsidRPr="002A60F3" w:rsidR="00D353F4">
        <w:rPr>
          <w:lang w:val="en-GB"/>
        </w:rPr>
        <w:t>CASE</w:t>
      </w:r>
    </w:p>
    <w:p w:rsidRPr="002A60F3" w:rsidR="009B69A3" w:rsidP="009B69A3"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5</w:t>
      </w:r>
      <w:r w:rsidRPr="002A60F3">
        <w:rPr>
          <w:lang w:val="en-GB"/>
        </w:rPr>
        <w:fldChar w:fldCharType="end"/>
      </w:r>
      <w:r w:rsidRPr="002A60F3" w:rsidR="00F71A6A">
        <w:rPr>
          <w:lang w:val="en-GB"/>
        </w:rPr>
        <w:t>.  </w:t>
      </w:r>
      <w:r w:rsidRPr="002A60F3" w:rsidR="003212BA">
        <w:rPr>
          <w:lang w:val="en-GB"/>
        </w:rPr>
        <w:t xml:space="preserve">The applicant union </w:t>
      </w:r>
      <w:r w:rsidRPr="002A60F3" w:rsidR="00812787">
        <w:rPr>
          <w:lang w:val="en-GB"/>
        </w:rPr>
        <w:t xml:space="preserve">is </w:t>
      </w:r>
      <w:r w:rsidRPr="002A60F3" w:rsidR="003212BA">
        <w:rPr>
          <w:lang w:val="en-GB"/>
        </w:rPr>
        <w:t>a trade union of medical practitioners incorporated under Croatian law</w:t>
      </w:r>
      <w:r w:rsidR="00C854C1">
        <w:rPr>
          <w:lang w:val="en-GB"/>
        </w:rPr>
        <w:t>. Its</w:t>
      </w:r>
      <w:r w:rsidRPr="002A60F3" w:rsidR="003212BA">
        <w:rPr>
          <w:lang w:val="en-GB"/>
        </w:rPr>
        <w:t xml:space="preserve"> registered office is in Zagreb</w:t>
      </w:r>
      <w:r w:rsidRPr="002A60F3" w:rsidR="009B69A3">
        <w:rPr>
          <w:lang w:val="en-GB"/>
        </w:rPr>
        <w:t>.</w:t>
      </w:r>
    </w:p>
    <w:p w:rsidRPr="002A60F3" w:rsidR="009B69A3" w:rsidP="009B69A3" w:rsidRDefault="009B69A3">
      <w:pPr>
        <w:pStyle w:val="ECHRHeading2"/>
        <w:rPr>
          <w:lang w:val="en-GB"/>
        </w:rPr>
      </w:pPr>
      <w:r w:rsidRPr="002A60F3">
        <w:rPr>
          <w:lang w:val="en-GB"/>
        </w:rPr>
        <w:t>A.  Background to the case</w:t>
      </w:r>
    </w:p>
    <w:p w:rsidRPr="002A60F3" w:rsidR="009B69A3" w:rsidP="009B69A3" w:rsidRDefault="009B69A3">
      <w:pPr>
        <w:pStyle w:val="ECHRPara"/>
        <w:rPr>
          <w:lang w:val="en-GB"/>
        </w:rPr>
      </w:pPr>
      <w:r w:rsidRPr="00B95468">
        <w:rPr>
          <w:lang w:val="en-GB"/>
        </w:rPr>
        <w:fldChar w:fldCharType="begin"/>
      </w:r>
      <w:r w:rsidRPr="00A52129">
        <w:rPr>
          <w:lang w:val="en-GB"/>
        </w:rPr>
        <w:instrText xml:space="preserve"> SEQ level0 \*arabic </w:instrText>
      </w:r>
      <w:r w:rsidRPr="00B95468">
        <w:rPr>
          <w:lang w:val="en-GB"/>
        </w:rPr>
        <w:fldChar w:fldCharType="separate"/>
      </w:r>
      <w:r w:rsidR="00D802F9">
        <w:rPr>
          <w:noProof/>
          <w:lang w:val="en-GB"/>
        </w:rPr>
        <w:t>6</w:t>
      </w:r>
      <w:r w:rsidRPr="00B95468">
        <w:rPr>
          <w:lang w:val="en-GB"/>
        </w:rPr>
        <w:fldChar w:fldCharType="end"/>
      </w:r>
      <w:r w:rsidRPr="00A52129">
        <w:rPr>
          <w:lang w:val="en-GB"/>
        </w:rPr>
        <w:t xml:space="preserve">.  On 8 December 2004 the Government of Croatia on the one side, and the Autonomous Trade Union for the Health Service and Social Protection Service of Croatia, the Croatian </w:t>
      </w:r>
      <w:r w:rsidR="00D71B0E">
        <w:rPr>
          <w:lang w:val="en-GB"/>
        </w:rPr>
        <w:t>Professional</w:t>
      </w:r>
      <w:r w:rsidRPr="00A52129" w:rsidR="00D71B0E">
        <w:rPr>
          <w:lang w:val="en-GB"/>
        </w:rPr>
        <w:t xml:space="preserve"> </w:t>
      </w:r>
      <w:r w:rsidRPr="00A52129">
        <w:rPr>
          <w:lang w:val="en-GB"/>
        </w:rPr>
        <w:t>Trade Union of Nurses, the Trade Union of Workers in the Health Service, Social Service and Disability Pension Insurance of Croatia, and the applicant union on the other, concluded the Collective Agreement for the Health and Health Insurance Sector (</w:t>
      </w:r>
      <w:r w:rsidRPr="00A52129">
        <w:rPr>
          <w:i/>
          <w:lang w:val="en-GB"/>
        </w:rPr>
        <w:t>Kolektivni ugovor za djelatnost zdravstva i zdravst</w:t>
      </w:r>
      <w:r w:rsidRPr="00A52129" w:rsidR="00D018BE">
        <w:rPr>
          <w:i/>
          <w:lang w:val="en-GB"/>
        </w:rPr>
        <w:t>v</w:t>
      </w:r>
      <w:r w:rsidRPr="00A52129">
        <w:rPr>
          <w:i/>
          <w:lang w:val="en-GB"/>
        </w:rPr>
        <w:t>enog osiguranja</w:t>
      </w:r>
      <w:r w:rsidR="00596B16">
        <w:rPr>
          <w:lang w:val="en-GB"/>
        </w:rPr>
        <w:t xml:space="preserve"> – </w:t>
      </w:r>
      <w:r w:rsidR="001202CB">
        <w:rPr>
          <w:lang w:val="en-GB"/>
        </w:rPr>
        <w:t xml:space="preserve">hereinafter </w:t>
      </w:r>
      <w:r w:rsidRPr="002A60F3">
        <w:rPr>
          <w:lang w:val="en-GB"/>
        </w:rPr>
        <w:t>“the Collective Agreement”</w:t>
      </w:r>
      <w:r w:rsidR="001202CB">
        <w:rPr>
          <w:lang w:val="en-GB"/>
        </w:rPr>
        <w:t xml:space="preserve"> or “the main Collective Agreement”</w:t>
      </w:r>
      <w:r w:rsidRPr="002A60F3">
        <w:rPr>
          <w:lang w:val="en-GB"/>
        </w:rPr>
        <w:t xml:space="preserve">). Its </w:t>
      </w:r>
      <w:r w:rsidR="00531890">
        <w:rPr>
          <w:lang w:val="en-GB"/>
        </w:rPr>
        <w:t>c</w:t>
      </w:r>
      <w:r w:rsidR="00186382">
        <w:rPr>
          <w:lang w:val="en-GB"/>
        </w:rPr>
        <w:t xml:space="preserve">lause </w:t>
      </w:r>
      <w:r w:rsidRPr="002A60F3">
        <w:rPr>
          <w:lang w:val="en-GB"/>
        </w:rPr>
        <w:t xml:space="preserve">102 stipulated that the agreement </w:t>
      </w:r>
      <w:r w:rsidR="00C854C1">
        <w:rPr>
          <w:lang w:val="en-GB"/>
        </w:rPr>
        <w:t xml:space="preserve">would </w:t>
      </w:r>
      <w:r w:rsidRPr="002A60F3">
        <w:rPr>
          <w:lang w:val="en-GB"/>
        </w:rPr>
        <w:t>enter into force on 15 January 2005 if approved by a majority of the votes cast in a referendum</w:t>
      </w:r>
      <w:r w:rsidR="00C854C1">
        <w:rPr>
          <w:lang w:val="en-GB"/>
        </w:rPr>
        <w:t>,</w:t>
      </w:r>
      <w:r w:rsidRPr="002A60F3">
        <w:rPr>
          <w:lang w:val="en-GB"/>
        </w:rPr>
        <w:t xml:space="preserve"> </w:t>
      </w:r>
      <w:r w:rsidR="00FB170A">
        <w:rPr>
          <w:lang w:val="en-GB"/>
        </w:rPr>
        <w:t xml:space="preserve">in which </w:t>
      </w:r>
      <w:r w:rsidRPr="002A60F3">
        <w:rPr>
          <w:lang w:val="en-GB"/>
        </w:rPr>
        <w:t xml:space="preserve">at least one third of </w:t>
      </w:r>
      <w:r w:rsidR="00FB170A">
        <w:rPr>
          <w:lang w:val="en-GB"/>
        </w:rPr>
        <w:t xml:space="preserve">those </w:t>
      </w:r>
      <w:r w:rsidRPr="002A60F3">
        <w:rPr>
          <w:lang w:val="en-GB"/>
        </w:rPr>
        <w:t xml:space="preserve">employed in the health-care institutions and the Croatian Health Insurance Fund voted. The Collective Agreement was approved in </w:t>
      </w:r>
      <w:r w:rsidR="00FB170A">
        <w:rPr>
          <w:lang w:val="en-GB"/>
        </w:rPr>
        <w:t xml:space="preserve">the </w:t>
      </w:r>
      <w:r w:rsidR="00B95468">
        <w:rPr>
          <w:lang w:val="en-GB"/>
        </w:rPr>
        <w:t>referendum held on 5 </w:t>
      </w:r>
      <w:r w:rsidRPr="002A60F3">
        <w:rPr>
          <w:lang w:val="en-GB"/>
        </w:rPr>
        <w:t>January 2005 and entered into force, as envisaged, on 15 January 2005.</w:t>
      </w:r>
    </w:p>
    <w:p w:rsidR="009B69A3" w:rsidP="009B69A3" w:rsidRDefault="009B69A3">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7</w:t>
      </w:r>
      <w:r w:rsidRPr="002A60F3">
        <w:rPr>
          <w:lang w:val="en-GB"/>
        </w:rPr>
        <w:fldChar w:fldCharType="end"/>
      </w:r>
      <w:r w:rsidRPr="002A60F3">
        <w:rPr>
          <w:lang w:val="en-GB"/>
        </w:rPr>
        <w:t>.  </w:t>
      </w:r>
      <w:r w:rsidR="00531890">
        <w:rPr>
          <w:lang w:val="en-GB"/>
        </w:rPr>
        <w:t xml:space="preserve">In order to regulate </w:t>
      </w:r>
      <w:r w:rsidRPr="002A60F3" w:rsidR="00531890">
        <w:rPr>
          <w:lang w:val="en-GB"/>
        </w:rPr>
        <w:t xml:space="preserve">issues specific to </w:t>
      </w:r>
      <w:r w:rsidR="00531890">
        <w:rPr>
          <w:lang w:val="en-GB"/>
        </w:rPr>
        <w:t xml:space="preserve">doctors </w:t>
      </w:r>
      <w:r w:rsidRPr="002A60F3" w:rsidR="00531890">
        <w:rPr>
          <w:lang w:val="en-GB"/>
        </w:rPr>
        <w:t>and dentists</w:t>
      </w:r>
      <w:r w:rsidR="00531890">
        <w:rPr>
          <w:lang w:val="en-GB"/>
        </w:rPr>
        <w:t>,</w:t>
      </w:r>
      <w:r w:rsidRPr="002A60F3" w:rsidR="00531890">
        <w:rPr>
          <w:lang w:val="en-GB"/>
        </w:rPr>
        <w:t xml:space="preserve"> </w:t>
      </w:r>
      <w:r w:rsidR="00531890">
        <w:rPr>
          <w:lang w:val="en-GB"/>
        </w:rPr>
        <w:t>o</w:t>
      </w:r>
      <w:r w:rsidR="00B95468">
        <w:rPr>
          <w:lang w:val="en-GB"/>
        </w:rPr>
        <w:t>n 8 </w:t>
      </w:r>
      <w:r w:rsidRPr="002A60F3">
        <w:rPr>
          <w:lang w:val="en-GB"/>
        </w:rPr>
        <w:t>December 2004 the Government of Croatia and the applicant union also concluded the Collective Agreement for the Medical and Dentistry Sector (</w:t>
      </w:r>
      <w:r w:rsidRPr="002A60F3">
        <w:rPr>
          <w:i/>
          <w:lang w:val="en-GB"/>
        </w:rPr>
        <w:t>Strukovni kolektivni ugovor za liječničku i stomatološku djelatnost</w:t>
      </w:r>
      <w:r w:rsidRPr="002A60F3">
        <w:rPr>
          <w:lang w:val="en-GB"/>
        </w:rPr>
        <w:t>)</w:t>
      </w:r>
      <w:r w:rsidR="00FB170A">
        <w:rPr>
          <w:lang w:val="en-GB"/>
        </w:rPr>
        <w:t>, which formed</w:t>
      </w:r>
      <w:r w:rsidRPr="002A60F3">
        <w:rPr>
          <w:lang w:val="en-GB"/>
        </w:rPr>
        <w:t xml:space="preserve"> an annex (</w:t>
      </w:r>
      <w:r w:rsidR="00266D58">
        <w:rPr>
          <w:lang w:val="en-GB"/>
        </w:rPr>
        <w:t xml:space="preserve">hereinafter </w:t>
      </w:r>
      <w:r w:rsidRPr="002A60F3">
        <w:rPr>
          <w:lang w:val="en-GB"/>
        </w:rPr>
        <w:t xml:space="preserve">“the Annex”) to the above-mentioned </w:t>
      </w:r>
      <w:r w:rsidR="001202CB">
        <w:rPr>
          <w:lang w:val="en-GB"/>
        </w:rPr>
        <w:t xml:space="preserve">main </w:t>
      </w:r>
      <w:r w:rsidRPr="002A60F3">
        <w:rPr>
          <w:lang w:val="en-GB"/>
        </w:rPr>
        <w:t>Collective Agreement</w:t>
      </w:r>
      <w:r w:rsidR="00531890">
        <w:rPr>
          <w:lang w:val="en-GB"/>
        </w:rPr>
        <w:t>.</w:t>
      </w:r>
      <w:r w:rsidRPr="002A60F3">
        <w:rPr>
          <w:lang w:val="en-GB"/>
        </w:rPr>
        <w:t xml:space="preserve"> </w:t>
      </w:r>
      <w:r w:rsidR="00186382">
        <w:rPr>
          <w:lang w:val="en-GB"/>
        </w:rPr>
        <w:t xml:space="preserve">Clauses </w:t>
      </w:r>
      <w:r w:rsidRPr="002A60F3">
        <w:rPr>
          <w:lang w:val="en-GB"/>
        </w:rPr>
        <w:t xml:space="preserve">6 and 98(2) of the Annex stipulated that </w:t>
      </w:r>
      <w:r w:rsidRPr="002A60F3" w:rsidR="00531890">
        <w:rPr>
          <w:lang w:val="en-GB"/>
        </w:rPr>
        <w:t xml:space="preserve">if </w:t>
      </w:r>
      <w:r w:rsidR="00531890">
        <w:rPr>
          <w:lang w:val="en-GB"/>
        </w:rPr>
        <w:t xml:space="preserve">doctors </w:t>
      </w:r>
      <w:r w:rsidRPr="002A60F3" w:rsidR="00531890">
        <w:rPr>
          <w:lang w:val="en-GB"/>
        </w:rPr>
        <w:t>approved it in a referendum</w:t>
      </w:r>
      <w:r w:rsidR="00531890">
        <w:rPr>
          <w:lang w:val="en-GB"/>
        </w:rPr>
        <w:t>,</w:t>
      </w:r>
      <w:r w:rsidRPr="002A60F3" w:rsidR="00531890">
        <w:rPr>
          <w:lang w:val="en-GB"/>
        </w:rPr>
        <w:t xml:space="preserve"> </w:t>
      </w:r>
      <w:r w:rsidRPr="002A60F3">
        <w:rPr>
          <w:lang w:val="en-GB"/>
        </w:rPr>
        <w:t>it would enter into force on 15 January 2005.</w:t>
      </w:r>
    </w:p>
    <w:p w:rsidRPr="006C4563" w:rsidR="008440AE" w:rsidRDefault="0040728B">
      <w:pPr>
        <w:pStyle w:val="ECHRPara"/>
        <w:rPr>
          <w:lang w:val="en-GB"/>
        </w:rPr>
      </w:pPr>
      <w:r w:rsidRPr="001668DC">
        <w:rPr>
          <w:lang w:val="en-GB"/>
        </w:rPr>
        <w:fldChar w:fldCharType="begin"/>
      </w:r>
      <w:r w:rsidRPr="006C4563">
        <w:rPr>
          <w:lang w:val="en-GB"/>
        </w:rPr>
        <w:instrText xml:space="preserve"> SEQ level0 \*arabic </w:instrText>
      </w:r>
      <w:r w:rsidRPr="001668DC">
        <w:rPr>
          <w:lang w:val="en-GB"/>
        </w:rPr>
        <w:fldChar w:fldCharType="separate"/>
      </w:r>
      <w:r w:rsidR="00D802F9">
        <w:rPr>
          <w:noProof/>
          <w:lang w:val="en-GB"/>
        </w:rPr>
        <w:t>8</w:t>
      </w:r>
      <w:r w:rsidRPr="001668DC">
        <w:rPr>
          <w:lang w:val="en-GB"/>
        </w:rPr>
        <w:fldChar w:fldCharType="end"/>
      </w:r>
      <w:r w:rsidRPr="006C4563">
        <w:rPr>
          <w:lang w:val="en-GB"/>
        </w:rPr>
        <w:t xml:space="preserve">.  On 15 December 2004 the Autonomous Trade Union for the Health Service and Social Protection Service of Croatia and the Croatian </w:t>
      </w:r>
      <w:r w:rsidRPr="00185705" w:rsidR="0057245F">
        <w:rPr>
          <w:lang w:val="en-GB"/>
        </w:rPr>
        <w:t>Professional</w:t>
      </w:r>
      <w:r w:rsidRPr="006C4563">
        <w:rPr>
          <w:lang w:val="en-GB"/>
        </w:rPr>
        <w:t xml:space="preserve"> Trade Union of Nurses </w:t>
      </w:r>
      <w:r w:rsidRPr="006C4563" w:rsidR="003169F3">
        <w:rPr>
          <w:lang w:val="en-GB"/>
        </w:rPr>
        <w:t>instituted civil proceedings</w:t>
      </w:r>
      <w:r w:rsidRPr="006C4563">
        <w:rPr>
          <w:lang w:val="en-GB"/>
        </w:rPr>
        <w:t xml:space="preserve"> against the State and the applicant union, seeking to </w:t>
      </w:r>
      <w:r w:rsidRPr="006C4563" w:rsidR="003169F3">
        <w:rPr>
          <w:lang w:val="en-GB"/>
        </w:rPr>
        <w:t xml:space="preserve">declare the Annex null and void because it had not been entered into by all the trade unions that had concluded the main Collective Agreement, contrary to the law (for a more detailed description of the course of those proceedings see paragraphs </w:t>
      </w:r>
      <w:r w:rsidRPr="006C4563" w:rsidR="00CB49A1">
        <w:rPr>
          <w:lang w:val="en-GB"/>
        </w:rPr>
        <w:t>26-30</w:t>
      </w:r>
      <w:r w:rsidRPr="006C4563" w:rsidR="003169F3">
        <w:rPr>
          <w:lang w:val="en-GB"/>
        </w:rPr>
        <w:t xml:space="preserve"> below).</w:t>
      </w:r>
    </w:p>
    <w:p w:rsidRPr="006C4563" w:rsidR="0040728B" w:rsidP="009B69A3" w:rsidRDefault="00B72A28">
      <w:pPr>
        <w:pStyle w:val="ECHRPara"/>
        <w:rPr>
          <w:lang w:val="en-GB"/>
        </w:rPr>
      </w:pPr>
      <w:r w:rsidRPr="001668DC">
        <w:rPr>
          <w:lang w:val="en-GB"/>
        </w:rPr>
        <w:fldChar w:fldCharType="begin"/>
      </w:r>
      <w:r w:rsidRPr="006C4563">
        <w:rPr>
          <w:lang w:val="en-GB"/>
        </w:rPr>
        <w:instrText xml:space="preserve"> SEQ level0 \*arabic </w:instrText>
      </w:r>
      <w:r w:rsidRPr="001668DC">
        <w:rPr>
          <w:lang w:val="en-GB"/>
        </w:rPr>
        <w:fldChar w:fldCharType="separate"/>
      </w:r>
      <w:r w:rsidR="00D802F9">
        <w:rPr>
          <w:noProof/>
          <w:lang w:val="en-GB"/>
        </w:rPr>
        <w:t>9</w:t>
      </w:r>
      <w:r w:rsidRPr="001668DC">
        <w:rPr>
          <w:lang w:val="en-GB"/>
        </w:rPr>
        <w:fldChar w:fldCharType="end"/>
      </w:r>
      <w:r w:rsidRPr="006C4563">
        <w:rPr>
          <w:lang w:val="en-GB"/>
        </w:rPr>
        <w:t xml:space="preserve">.  On 29 December 2004 the Government of Croatia adopted an instruction whereby it (a) </w:t>
      </w:r>
      <w:r w:rsidRPr="006C4563" w:rsidR="005122EB">
        <w:rPr>
          <w:lang w:val="en-GB"/>
        </w:rPr>
        <w:t>instructed</w:t>
      </w:r>
      <w:r w:rsidRPr="006C4563" w:rsidDel="005122EB" w:rsidR="005122EB">
        <w:rPr>
          <w:lang w:val="en-GB"/>
        </w:rPr>
        <w:t xml:space="preserve"> </w:t>
      </w:r>
      <w:r w:rsidRPr="006C4563">
        <w:rPr>
          <w:lang w:val="en-GB"/>
        </w:rPr>
        <w:t>the State Attorney</w:t>
      </w:r>
      <w:r w:rsidR="00A32E76">
        <w:rPr>
          <w:lang w:val="en-GB"/>
        </w:rPr>
        <w:t>’</w:t>
      </w:r>
      <w:r w:rsidRPr="006C4563">
        <w:rPr>
          <w:lang w:val="en-GB"/>
        </w:rPr>
        <w:t xml:space="preserve">s Office to acknowledge the </w:t>
      </w:r>
      <w:r w:rsidRPr="006C4563" w:rsidR="005122EB">
        <w:rPr>
          <w:lang w:val="en-GB"/>
        </w:rPr>
        <w:t>plaintiffs</w:t>
      </w:r>
      <w:r w:rsidR="00A32E76">
        <w:rPr>
          <w:lang w:val="en-GB"/>
        </w:rPr>
        <w:t>’</w:t>
      </w:r>
      <w:r w:rsidRPr="006C4563" w:rsidR="005122EB">
        <w:rPr>
          <w:lang w:val="en-GB"/>
        </w:rPr>
        <w:t xml:space="preserve"> </w:t>
      </w:r>
      <w:r w:rsidRPr="006C4563">
        <w:rPr>
          <w:lang w:val="en-GB"/>
        </w:rPr>
        <w:t>claim</w:t>
      </w:r>
      <w:r w:rsidRPr="006C4563" w:rsidR="005122EB">
        <w:rPr>
          <w:lang w:val="en-GB"/>
        </w:rPr>
        <w:t xml:space="preserve"> in those proceedings because it was well-founded, with a view to having the Annex declared null and void,</w:t>
      </w:r>
      <w:r w:rsidRPr="00185705" w:rsidR="00A56A72">
        <w:rPr>
          <w:lang w:val="en-GB"/>
        </w:rPr>
        <w:t xml:space="preserve"> and</w:t>
      </w:r>
      <w:r w:rsidRPr="006C4563" w:rsidR="005122EB">
        <w:rPr>
          <w:lang w:val="en-GB"/>
        </w:rPr>
        <w:t xml:space="preserve"> (b) instructed the Ministry of Health and Social Welfare to immediately </w:t>
      </w:r>
      <w:r w:rsidRPr="00185705" w:rsidR="008440AE">
        <w:rPr>
          <w:lang w:val="en-GB"/>
        </w:rPr>
        <w:t>commence</w:t>
      </w:r>
      <w:r w:rsidRPr="006C4563" w:rsidR="005122EB">
        <w:rPr>
          <w:lang w:val="en-GB"/>
        </w:rPr>
        <w:t xml:space="preserve"> negotiations </w:t>
      </w:r>
      <w:r w:rsidRPr="00185705" w:rsidR="008440AE">
        <w:rPr>
          <w:lang w:val="en-GB"/>
        </w:rPr>
        <w:t xml:space="preserve">on the conclusion of a new collective agreement for </w:t>
      </w:r>
      <w:r w:rsidRPr="00185705" w:rsidR="00A56A72">
        <w:rPr>
          <w:lang w:val="en-GB"/>
        </w:rPr>
        <w:t xml:space="preserve">the </w:t>
      </w:r>
      <w:r w:rsidRPr="00185705" w:rsidR="008440AE">
        <w:rPr>
          <w:lang w:val="en-GB"/>
        </w:rPr>
        <w:t>medical and dentistry sector</w:t>
      </w:r>
      <w:r w:rsidRPr="006C4563" w:rsidR="005122EB">
        <w:rPr>
          <w:lang w:val="en-GB"/>
        </w:rPr>
        <w:t>.</w:t>
      </w:r>
    </w:p>
    <w:p w:rsidRPr="002A60F3" w:rsidR="009B69A3" w:rsidP="009B69A3" w:rsidRDefault="009B69A3">
      <w:pPr>
        <w:pStyle w:val="ECHRPara"/>
        <w:rPr>
          <w:lang w:val="en-GB"/>
        </w:rPr>
      </w:pPr>
      <w:r w:rsidRPr="001668DC">
        <w:rPr>
          <w:lang w:val="en-GB"/>
        </w:rPr>
        <w:fldChar w:fldCharType="begin"/>
      </w:r>
      <w:r w:rsidRPr="006C4563">
        <w:rPr>
          <w:lang w:val="en-GB"/>
        </w:rPr>
        <w:instrText xml:space="preserve"> SEQ level0 \*arabic </w:instrText>
      </w:r>
      <w:r w:rsidRPr="001668DC">
        <w:rPr>
          <w:lang w:val="en-GB"/>
        </w:rPr>
        <w:fldChar w:fldCharType="separate"/>
      </w:r>
      <w:r w:rsidR="00D802F9">
        <w:rPr>
          <w:noProof/>
          <w:lang w:val="en-GB"/>
        </w:rPr>
        <w:t>10</w:t>
      </w:r>
      <w:r w:rsidRPr="001668DC">
        <w:rPr>
          <w:lang w:val="en-GB"/>
        </w:rPr>
        <w:fldChar w:fldCharType="end"/>
      </w:r>
      <w:r w:rsidRPr="006C4563">
        <w:rPr>
          <w:lang w:val="en-GB"/>
        </w:rPr>
        <w:t>.  </w:t>
      </w:r>
      <w:r w:rsidRPr="006C4563" w:rsidR="008440AE">
        <w:rPr>
          <w:lang w:val="en-GB"/>
        </w:rPr>
        <w:t>Meanwhile, on</w:t>
      </w:r>
      <w:r w:rsidRPr="006C4563">
        <w:rPr>
          <w:lang w:val="en-GB"/>
        </w:rPr>
        <w:t xml:space="preserve"> 21 December 2004 the referendum committee issued</w:t>
      </w:r>
      <w:r w:rsidRPr="002A60F3">
        <w:rPr>
          <w:lang w:val="en-GB"/>
        </w:rPr>
        <w:t xml:space="preserve"> a decision to hold the referendum </w:t>
      </w:r>
      <w:r w:rsidR="000F7C27">
        <w:rPr>
          <w:lang w:val="en-GB"/>
        </w:rPr>
        <w:t xml:space="preserve">mentioned in </w:t>
      </w:r>
      <w:r w:rsidRPr="002A60F3">
        <w:rPr>
          <w:lang w:val="en-GB"/>
        </w:rPr>
        <w:t>the Annex</w:t>
      </w:r>
      <w:r w:rsidR="005122EB">
        <w:rPr>
          <w:lang w:val="en-GB"/>
        </w:rPr>
        <w:t xml:space="preserve"> (see paragraph </w:t>
      </w:r>
      <w:r w:rsidR="00CB49A1">
        <w:rPr>
          <w:lang w:val="en-GB"/>
        </w:rPr>
        <w:t>7</w:t>
      </w:r>
      <w:r w:rsidR="005122EB">
        <w:rPr>
          <w:lang w:val="en-GB"/>
        </w:rPr>
        <w:t xml:space="preserve"> above)</w:t>
      </w:r>
      <w:r w:rsidRPr="002A60F3">
        <w:rPr>
          <w:lang w:val="en-GB"/>
        </w:rPr>
        <w:t>.</w:t>
      </w:r>
    </w:p>
    <w:p w:rsidRPr="002A60F3" w:rsidR="009B69A3" w:rsidP="009B69A3" w:rsidRDefault="009B69A3">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11</w:t>
      </w:r>
      <w:r w:rsidRPr="002A60F3">
        <w:rPr>
          <w:lang w:val="en-GB"/>
        </w:rPr>
        <w:fldChar w:fldCharType="end"/>
      </w:r>
      <w:r w:rsidRPr="002A60F3">
        <w:rPr>
          <w:lang w:val="en-GB"/>
        </w:rPr>
        <w:t>.  However, on 31 December 2004 the President of the Socio-Economic Council (</w:t>
      </w:r>
      <w:r w:rsidRPr="002A60F3">
        <w:rPr>
          <w:i/>
          <w:lang w:val="en-GB"/>
        </w:rPr>
        <w:t>Gospodarsko-socijalno vijeće</w:t>
      </w:r>
      <w:r w:rsidRPr="002A60F3">
        <w:rPr>
          <w:lang w:val="en-GB"/>
        </w:rPr>
        <w:t xml:space="preserve">) – a tripartite body consisting of representatives of trade unions, employers and the Government – set aside the decision on holding </w:t>
      </w:r>
      <w:r w:rsidR="000F7C27">
        <w:rPr>
          <w:lang w:val="en-GB"/>
        </w:rPr>
        <w:t xml:space="preserve">the </w:t>
      </w:r>
      <w:r w:rsidRPr="002A60F3">
        <w:rPr>
          <w:lang w:val="en-GB"/>
        </w:rPr>
        <w:t>referendum.</w:t>
      </w:r>
    </w:p>
    <w:p w:rsidR="00DC565E" w:rsidP="009B69A3" w:rsidRDefault="009B69A3">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12</w:t>
      </w:r>
      <w:r w:rsidRPr="002A60F3">
        <w:rPr>
          <w:lang w:val="en-GB"/>
        </w:rPr>
        <w:fldChar w:fldCharType="end"/>
      </w:r>
      <w:r w:rsidRPr="002A60F3">
        <w:rPr>
          <w:lang w:val="en-GB"/>
        </w:rPr>
        <w:t>.  The referendum was nevertheless held on 5 January 2005. Of 11,016</w:t>
      </w:r>
      <w:r w:rsidR="00B95468">
        <w:rPr>
          <w:lang w:val="en-GB"/>
        </w:rPr>
        <w:t> </w:t>
      </w:r>
      <w:r w:rsidR="000F7C27">
        <w:rPr>
          <w:lang w:val="en-GB"/>
        </w:rPr>
        <w:t>doctors</w:t>
      </w:r>
      <w:r w:rsidRPr="002A60F3">
        <w:rPr>
          <w:lang w:val="en-GB"/>
        </w:rPr>
        <w:t xml:space="preserve">, 8,290 voted; 8,255 voted “yes” and </w:t>
      </w:r>
      <w:r w:rsidR="000F7C27">
        <w:rPr>
          <w:lang w:val="en-GB"/>
        </w:rPr>
        <w:t>twenty-five</w:t>
      </w:r>
      <w:r w:rsidRPr="002A60F3">
        <w:rPr>
          <w:lang w:val="en-GB"/>
        </w:rPr>
        <w:t xml:space="preserve"> voted “no”.</w:t>
      </w:r>
    </w:p>
    <w:p w:rsidR="009B69A3" w:rsidP="009B69A3" w:rsidRDefault="009B69A3">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13</w:t>
      </w:r>
      <w:r w:rsidRPr="002A60F3">
        <w:rPr>
          <w:lang w:val="en-GB"/>
        </w:rPr>
        <w:fldChar w:fldCharType="end"/>
      </w:r>
      <w:r w:rsidRPr="002A60F3">
        <w:rPr>
          <w:lang w:val="en-GB"/>
        </w:rPr>
        <w:t xml:space="preserve">.  On 18 January 2005 the President of the Socio-Economic Council issued a decision not to recognise the results of </w:t>
      </w:r>
      <w:r w:rsidR="000F7C27">
        <w:rPr>
          <w:lang w:val="en-GB"/>
        </w:rPr>
        <w:t xml:space="preserve">the </w:t>
      </w:r>
      <w:r w:rsidRPr="002A60F3">
        <w:rPr>
          <w:lang w:val="en-GB"/>
        </w:rPr>
        <w:t>referendum.</w:t>
      </w:r>
    </w:p>
    <w:p w:rsidRPr="006752CE" w:rsidR="009B69A3" w:rsidP="009B69A3" w:rsidRDefault="004A7197">
      <w:pPr>
        <w:pStyle w:val="ECHRPara"/>
        <w:rPr>
          <w:lang w:val="en-GB"/>
        </w:rPr>
      </w:pPr>
      <w:r>
        <w:rPr>
          <w:lang w:val="en-GB" w:eastAsia="fr-FR"/>
        </w:rPr>
        <w:fldChar w:fldCharType="begin"/>
      </w:r>
      <w:r>
        <w:rPr>
          <w:lang w:val="en-GB"/>
        </w:rPr>
        <w:instrText xml:space="preserve"> SEQ level0 \*arabic </w:instrText>
      </w:r>
      <w:r>
        <w:rPr>
          <w:lang w:val="en-GB" w:eastAsia="fr-FR"/>
        </w:rPr>
        <w:fldChar w:fldCharType="separate"/>
      </w:r>
      <w:r w:rsidR="00D802F9">
        <w:rPr>
          <w:noProof/>
          <w:lang w:val="en-GB"/>
        </w:rPr>
        <w:t>14</w:t>
      </w:r>
      <w:r>
        <w:rPr>
          <w:lang w:val="en-GB" w:eastAsia="fr-FR"/>
        </w:rPr>
        <w:fldChar w:fldCharType="end"/>
      </w:r>
      <w:r>
        <w:rPr>
          <w:lang w:val="en-GB"/>
        </w:rPr>
        <w:t>.  </w:t>
      </w:r>
      <w:r w:rsidR="000F7C27">
        <w:rPr>
          <w:lang w:val="en-GB"/>
        </w:rPr>
        <w:t>I</w:t>
      </w:r>
      <w:r w:rsidRPr="002A60F3" w:rsidR="009B69A3">
        <w:rPr>
          <w:lang w:val="en-GB"/>
        </w:rPr>
        <w:t xml:space="preserve">n a letter to the Ministry of Health and Social Welfare of 23 March 2005, </w:t>
      </w:r>
      <w:r w:rsidR="000F7C27">
        <w:rPr>
          <w:lang w:val="en-GB"/>
        </w:rPr>
        <w:t>t</w:t>
      </w:r>
      <w:r w:rsidRPr="002A60F3" w:rsidR="000F7C27">
        <w:rPr>
          <w:lang w:val="en-GB"/>
        </w:rPr>
        <w:t>he applicant union</w:t>
      </w:r>
      <w:r w:rsidR="000F7C27">
        <w:rPr>
          <w:lang w:val="en-GB"/>
        </w:rPr>
        <w:t xml:space="preserve"> </w:t>
      </w:r>
      <w:r w:rsidRPr="002A60F3" w:rsidR="009B69A3">
        <w:rPr>
          <w:lang w:val="en-GB"/>
        </w:rPr>
        <w:t xml:space="preserve">announced a strike for 11 April 2005. </w:t>
      </w:r>
      <w:r w:rsidR="000F7C27">
        <w:rPr>
          <w:lang w:val="en-GB"/>
        </w:rPr>
        <w:t xml:space="preserve">It </w:t>
      </w:r>
      <w:r w:rsidRPr="002A60F3" w:rsidR="009B69A3">
        <w:rPr>
          <w:lang w:val="en-GB"/>
        </w:rPr>
        <w:t xml:space="preserve">stated that the strike was being organised in order to (a) protect the social and economic interests of </w:t>
      </w:r>
      <w:r w:rsidR="000F7C27">
        <w:rPr>
          <w:lang w:val="en-GB"/>
        </w:rPr>
        <w:t xml:space="preserve">doctors </w:t>
      </w:r>
      <w:r w:rsidRPr="002A60F3" w:rsidR="009B69A3">
        <w:rPr>
          <w:lang w:val="en-GB"/>
        </w:rPr>
        <w:t>by insisting that the Government of Croatia honour its obligations arising from the Annex, (b) have the results of the referendum on the approval of the Annex recognised, and (c), as a</w:t>
      </w:r>
      <w:r w:rsidR="00AB40B1">
        <w:rPr>
          <w:lang w:val="en-GB"/>
        </w:rPr>
        <w:t>n</w:t>
      </w:r>
      <w:r w:rsidRPr="002A60F3" w:rsidR="009B69A3">
        <w:rPr>
          <w:lang w:val="en-GB"/>
        </w:rPr>
        <w:t xml:space="preserve"> </w:t>
      </w:r>
      <w:r w:rsidR="009E47AA">
        <w:rPr>
          <w:lang w:val="en-GB"/>
        </w:rPr>
        <w:t>subsidiary</w:t>
      </w:r>
      <w:r w:rsidRPr="002A60F3" w:rsidR="009B69A3">
        <w:rPr>
          <w:lang w:val="en-GB"/>
        </w:rPr>
        <w:t xml:space="preserve"> </w:t>
      </w:r>
      <w:r w:rsidR="00CA54A1">
        <w:rPr>
          <w:lang w:val="en-GB"/>
        </w:rPr>
        <w:t>ground</w:t>
      </w:r>
      <w:r w:rsidRPr="002A60F3" w:rsidR="009B69A3">
        <w:rPr>
          <w:lang w:val="en-GB"/>
        </w:rPr>
        <w:t xml:space="preserve"> for the strike, address issues specific to </w:t>
      </w:r>
      <w:r w:rsidR="000F7C27">
        <w:rPr>
          <w:lang w:val="en-GB"/>
        </w:rPr>
        <w:t xml:space="preserve">doctors </w:t>
      </w:r>
      <w:r w:rsidRPr="002A60F3" w:rsidR="009B69A3">
        <w:rPr>
          <w:lang w:val="en-GB"/>
        </w:rPr>
        <w:t xml:space="preserve">and dentists within the healthcare system by </w:t>
      </w:r>
      <w:r w:rsidR="0046637B">
        <w:rPr>
          <w:lang w:val="en-GB"/>
        </w:rPr>
        <w:t xml:space="preserve">demanding that a </w:t>
      </w:r>
      <w:r w:rsidRPr="002A60F3" w:rsidR="009B69A3">
        <w:rPr>
          <w:lang w:val="en-GB"/>
        </w:rPr>
        <w:t>collective agreement for the medical and dentistry sector</w:t>
      </w:r>
      <w:r w:rsidR="0046637B">
        <w:rPr>
          <w:lang w:val="en-GB"/>
        </w:rPr>
        <w:t xml:space="preserve"> be concluded</w:t>
      </w:r>
      <w:r w:rsidRPr="002A60F3" w:rsidR="009B69A3">
        <w:rPr>
          <w:lang w:val="en-GB"/>
        </w:rPr>
        <w:t>.</w:t>
      </w:r>
      <w:r w:rsidR="00E41015">
        <w:rPr>
          <w:lang w:val="en-GB"/>
        </w:rPr>
        <w:t xml:space="preserve"> In particular, </w:t>
      </w:r>
      <w:r w:rsidRPr="006752CE" w:rsidR="00266D58">
        <w:rPr>
          <w:lang w:val="en-GB"/>
        </w:rPr>
        <w:t xml:space="preserve">as regards the last-mentioned ground </w:t>
      </w:r>
      <w:r w:rsidRPr="006752CE" w:rsidR="00E41015">
        <w:rPr>
          <w:lang w:val="en-GB"/>
        </w:rPr>
        <w:t xml:space="preserve">the </w:t>
      </w:r>
      <w:r w:rsidRPr="006752CE" w:rsidR="00173DC2">
        <w:rPr>
          <w:lang w:val="en-GB"/>
        </w:rPr>
        <w:t>applicant union stated</w:t>
      </w:r>
      <w:r w:rsidRPr="006752CE" w:rsidR="00E41015">
        <w:rPr>
          <w:lang w:val="en-GB"/>
        </w:rPr>
        <w:t xml:space="preserve"> as follows:</w:t>
      </w:r>
    </w:p>
    <w:p w:rsidRPr="006752CE" w:rsidR="004C078E" w:rsidP="004C078E" w:rsidRDefault="004C078E">
      <w:pPr>
        <w:pStyle w:val="ECHRParaQuote"/>
        <w:rPr>
          <w:b/>
          <w:lang w:val="en-US"/>
        </w:rPr>
      </w:pPr>
      <w:r w:rsidRPr="006752CE">
        <w:rPr>
          <w:lang w:val="en-US"/>
        </w:rPr>
        <w:t>“</w:t>
      </w:r>
      <w:r w:rsidRPr="006752CE">
        <w:rPr>
          <w:b/>
          <w:lang w:val="en-US"/>
        </w:rPr>
        <w:t>–</w:t>
      </w:r>
      <w:r w:rsidR="00EF7630">
        <w:rPr>
          <w:b/>
          <w:lang w:val="en-US"/>
        </w:rPr>
        <w:t> </w:t>
      </w:r>
      <w:r w:rsidR="00C81BE2">
        <w:rPr>
          <w:b/>
          <w:lang w:val="en-US"/>
        </w:rPr>
        <w:t> </w:t>
      </w:r>
      <w:r w:rsidRPr="006752CE">
        <w:rPr>
          <w:b/>
          <w:lang w:val="en-US"/>
        </w:rPr>
        <w:t xml:space="preserve">addressing issues specific to </w:t>
      </w:r>
      <w:r w:rsidRPr="006752CE" w:rsidR="00C7581B">
        <w:rPr>
          <w:b/>
          <w:lang w:val="en-US"/>
        </w:rPr>
        <w:t xml:space="preserve">doctors </w:t>
      </w:r>
      <w:r w:rsidRPr="006752CE">
        <w:rPr>
          <w:b/>
          <w:lang w:val="en-US"/>
        </w:rPr>
        <w:t xml:space="preserve">within the healthcare </w:t>
      </w:r>
      <w:r w:rsidR="00DD6424">
        <w:rPr>
          <w:b/>
          <w:lang w:val="en-US"/>
        </w:rPr>
        <w:t>sector</w:t>
      </w:r>
      <w:r w:rsidRPr="006752CE" w:rsidR="00DD6424">
        <w:rPr>
          <w:b/>
          <w:lang w:val="en-US"/>
        </w:rPr>
        <w:t xml:space="preserve"> </w:t>
      </w:r>
      <w:r w:rsidRPr="006752CE">
        <w:rPr>
          <w:b/>
          <w:lang w:val="en-US"/>
        </w:rPr>
        <w:t>by concluding a collective agreement for the medical and dentistry sector.</w:t>
      </w:r>
    </w:p>
    <w:p w:rsidR="004C078E" w:rsidP="004C078E" w:rsidRDefault="004C078E">
      <w:pPr>
        <w:pStyle w:val="ECHRParaQuote"/>
        <w:rPr>
          <w:lang w:val="en-GB"/>
        </w:rPr>
      </w:pPr>
      <w:r w:rsidRPr="006752CE">
        <w:rPr>
          <w:lang w:val="en-US"/>
        </w:rPr>
        <w:t>As a subsidiary</w:t>
      </w:r>
      <w:r w:rsidR="00F07933">
        <w:rPr>
          <w:lang w:val="en-US"/>
        </w:rPr>
        <w:t xml:space="preserve"> </w:t>
      </w:r>
      <w:r w:rsidRPr="006752CE">
        <w:rPr>
          <w:lang w:val="en-US"/>
        </w:rPr>
        <w:t>ground for the strike</w:t>
      </w:r>
      <w:r w:rsidRPr="006752CE" w:rsidR="00C7581B">
        <w:rPr>
          <w:lang w:val="en-US"/>
        </w:rPr>
        <w:t>,</w:t>
      </w:r>
      <w:r w:rsidRPr="006752CE">
        <w:rPr>
          <w:lang w:val="en-US"/>
        </w:rPr>
        <w:t xml:space="preserve"> the </w:t>
      </w:r>
      <w:r w:rsidRPr="006752CE">
        <w:rPr>
          <w:lang w:val="en-GB"/>
        </w:rPr>
        <w:t xml:space="preserve">Croatian </w:t>
      </w:r>
      <w:r w:rsidR="00DD6424">
        <w:rPr>
          <w:lang w:val="en-GB"/>
        </w:rPr>
        <w:t xml:space="preserve">Medical </w:t>
      </w:r>
      <w:r w:rsidRPr="006752CE">
        <w:rPr>
          <w:lang w:val="en-GB"/>
        </w:rPr>
        <w:t>Union</w:t>
      </w:r>
      <w:r w:rsidR="00500F47">
        <w:rPr>
          <w:lang w:val="en-GB"/>
        </w:rPr>
        <w:t xml:space="preserve"> </w:t>
      </w:r>
      <w:r w:rsidRPr="006752CE">
        <w:rPr>
          <w:lang w:val="en-GB"/>
        </w:rPr>
        <w:t xml:space="preserve">notes that the </w:t>
      </w:r>
      <w:r w:rsidRPr="006752CE" w:rsidR="00266D58">
        <w:rPr>
          <w:lang w:val="en-GB"/>
        </w:rPr>
        <w:t xml:space="preserve">[main] </w:t>
      </w:r>
      <w:r w:rsidRPr="006752CE">
        <w:rPr>
          <w:lang w:val="en-GB"/>
        </w:rPr>
        <w:t>Collective Agreement for the Health and Health Insurance Sector does</w:t>
      </w:r>
      <w:r>
        <w:rPr>
          <w:lang w:val="en-GB"/>
        </w:rPr>
        <w:t xml:space="preserve"> not address issue</w:t>
      </w:r>
      <w:r w:rsidR="003B2BD2">
        <w:rPr>
          <w:lang w:val="en-GB"/>
        </w:rPr>
        <w:t>s</w:t>
      </w:r>
      <w:r>
        <w:rPr>
          <w:lang w:val="en-GB"/>
        </w:rPr>
        <w:t xml:space="preserve"> specific to </w:t>
      </w:r>
      <w:r w:rsidR="00C7581B">
        <w:rPr>
          <w:lang w:val="en-GB"/>
        </w:rPr>
        <w:t xml:space="preserve">the medical and dentistry </w:t>
      </w:r>
      <w:r>
        <w:rPr>
          <w:lang w:val="en-GB"/>
        </w:rPr>
        <w:t>professions. Therefore</w:t>
      </w:r>
      <w:r w:rsidR="003B2BD2">
        <w:rPr>
          <w:lang w:val="en-GB"/>
        </w:rPr>
        <w:t>,</w:t>
      </w:r>
      <w:r>
        <w:rPr>
          <w:lang w:val="en-GB"/>
        </w:rPr>
        <w:t xml:space="preserve"> </w:t>
      </w:r>
      <w:r w:rsidR="00C7581B">
        <w:rPr>
          <w:lang w:val="en-GB"/>
        </w:rPr>
        <w:t>on</w:t>
      </w:r>
      <w:r>
        <w:rPr>
          <w:lang w:val="en-GB"/>
        </w:rPr>
        <w:t xml:space="preserve"> the instruction of the Government of Croatia and in accordance with the opinion of the Socio-Economic Council </w:t>
      </w:r>
      <w:r w:rsidR="00451956">
        <w:rPr>
          <w:lang w:val="en-GB"/>
        </w:rPr>
        <w:t>...</w:t>
      </w:r>
      <w:r w:rsidR="00751ADB">
        <w:rPr>
          <w:lang w:val="en-GB"/>
        </w:rPr>
        <w:t xml:space="preserve"> of 31 March 2004, the Annex to </w:t>
      </w:r>
      <w:r w:rsidR="003B2BD2">
        <w:rPr>
          <w:lang w:val="en-GB"/>
        </w:rPr>
        <w:t>that</w:t>
      </w:r>
      <w:r w:rsidR="00751ADB">
        <w:rPr>
          <w:lang w:val="en-GB"/>
        </w:rPr>
        <w:t xml:space="preserve"> Collec</w:t>
      </w:r>
      <w:r w:rsidR="003B2BD2">
        <w:rPr>
          <w:lang w:val="en-GB"/>
        </w:rPr>
        <w:t>tive A</w:t>
      </w:r>
      <w:r w:rsidR="00751ADB">
        <w:rPr>
          <w:lang w:val="en-GB"/>
        </w:rPr>
        <w:t xml:space="preserve">greement </w:t>
      </w:r>
      <w:r w:rsidR="003B2BD2">
        <w:rPr>
          <w:lang w:val="en-GB"/>
        </w:rPr>
        <w:t xml:space="preserve">addressing issues specific to </w:t>
      </w:r>
      <w:r w:rsidR="00C7581B">
        <w:rPr>
          <w:lang w:val="en-GB"/>
        </w:rPr>
        <w:t xml:space="preserve">doctors </w:t>
      </w:r>
      <w:r w:rsidR="00751ADB">
        <w:rPr>
          <w:lang w:val="en-GB"/>
        </w:rPr>
        <w:t>was concluded</w:t>
      </w:r>
      <w:r w:rsidR="003B2BD2">
        <w:rPr>
          <w:lang w:val="en-GB"/>
        </w:rPr>
        <w:t xml:space="preserve"> at the same time</w:t>
      </w:r>
      <w:r w:rsidR="00173DC2">
        <w:rPr>
          <w:lang w:val="en-GB"/>
        </w:rPr>
        <w:t xml:space="preserve"> [as the aforementioned collective agreement]</w:t>
      </w:r>
      <w:r w:rsidR="00751ADB">
        <w:rPr>
          <w:lang w:val="en-GB"/>
        </w:rPr>
        <w:t>.</w:t>
      </w:r>
      <w:r w:rsidR="003B2BD2">
        <w:rPr>
          <w:lang w:val="en-GB"/>
        </w:rPr>
        <w:t xml:space="preserve"> In that way</w:t>
      </w:r>
      <w:r w:rsidR="00C7581B">
        <w:rPr>
          <w:lang w:val="en-GB"/>
        </w:rPr>
        <w:t>,</w:t>
      </w:r>
      <w:r w:rsidR="00751ADB">
        <w:rPr>
          <w:lang w:val="en-GB"/>
        </w:rPr>
        <w:t xml:space="preserve"> </w:t>
      </w:r>
      <w:r w:rsidR="003B2BD2">
        <w:rPr>
          <w:lang w:val="en-GB"/>
        </w:rPr>
        <w:t xml:space="preserve">issues specific to </w:t>
      </w:r>
      <w:r w:rsidR="00C7581B">
        <w:rPr>
          <w:lang w:val="en-GB"/>
        </w:rPr>
        <w:t xml:space="preserve">doctors </w:t>
      </w:r>
      <w:r w:rsidR="003B2BD2">
        <w:rPr>
          <w:lang w:val="en-GB"/>
        </w:rPr>
        <w:t>within the healthcare and health-insurance sector</w:t>
      </w:r>
      <w:r w:rsidR="00A71BB2">
        <w:rPr>
          <w:lang w:val="en-GB"/>
        </w:rPr>
        <w:t>s</w:t>
      </w:r>
      <w:r w:rsidR="003B2BD2">
        <w:rPr>
          <w:lang w:val="en-GB"/>
        </w:rPr>
        <w:t xml:space="preserve"> were comprehensively addressed. Given that </w:t>
      </w:r>
      <w:r w:rsidR="004251E2">
        <w:rPr>
          <w:lang w:val="en-GB"/>
        </w:rPr>
        <w:t xml:space="preserve">at present the Government of Croatia refuse to apply the </w:t>
      </w:r>
      <w:r w:rsidRPr="00A71BB2" w:rsidR="00A71BB2">
        <w:rPr>
          <w:lang w:val="en-GB"/>
        </w:rPr>
        <w:t>Collective Agreement for the Medical and Dentistry Sector</w:t>
      </w:r>
      <w:r w:rsidR="00A71BB2">
        <w:rPr>
          <w:lang w:val="en-GB"/>
        </w:rPr>
        <w:t xml:space="preserve"> [i.e. the Annex], and issues specific</w:t>
      </w:r>
      <w:r w:rsidRPr="00A71BB2" w:rsidR="00A71BB2">
        <w:rPr>
          <w:lang w:val="en-GB"/>
        </w:rPr>
        <w:t xml:space="preserve"> </w:t>
      </w:r>
      <w:r w:rsidR="00A71BB2">
        <w:rPr>
          <w:lang w:val="en-GB"/>
        </w:rPr>
        <w:t xml:space="preserve">to </w:t>
      </w:r>
      <w:r w:rsidR="00C7581B">
        <w:rPr>
          <w:lang w:val="en-GB"/>
        </w:rPr>
        <w:t xml:space="preserve">the medical and dentistry </w:t>
      </w:r>
      <w:r w:rsidR="00A71BB2">
        <w:rPr>
          <w:lang w:val="en-GB"/>
        </w:rPr>
        <w:t xml:space="preserve">professions, including </w:t>
      </w:r>
      <w:r w:rsidR="00C7581B">
        <w:rPr>
          <w:lang w:val="en-GB"/>
        </w:rPr>
        <w:t xml:space="preserve">a </w:t>
      </w:r>
      <w:r w:rsidR="00A71BB2">
        <w:rPr>
          <w:lang w:val="en-GB"/>
        </w:rPr>
        <w:t xml:space="preserve">salary increase and other </w:t>
      </w:r>
      <w:r w:rsidRPr="006752CE" w:rsidR="00A71BB2">
        <w:rPr>
          <w:lang w:val="en-GB"/>
        </w:rPr>
        <w:t>pecuniary rights of</w:t>
      </w:r>
      <w:r w:rsidRPr="006752CE" w:rsidR="00C7581B">
        <w:rPr>
          <w:lang w:val="en-GB"/>
        </w:rPr>
        <w:t xml:space="preserve"> doctors</w:t>
      </w:r>
      <w:r w:rsidRPr="006752CE" w:rsidR="00A71BB2">
        <w:rPr>
          <w:lang w:val="en-GB"/>
        </w:rPr>
        <w:t xml:space="preserve">, are not addressed in the </w:t>
      </w:r>
      <w:r w:rsidRPr="006752CE" w:rsidR="00266D58">
        <w:rPr>
          <w:lang w:val="en-GB"/>
        </w:rPr>
        <w:t xml:space="preserve">[main] </w:t>
      </w:r>
      <w:r w:rsidRPr="006752CE" w:rsidR="00A71BB2">
        <w:rPr>
          <w:lang w:val="en-GB"/>
        </w:rPr>
        <w:t>Collective Agreement for the Health and Health Insurance Sector, a subsidiary</w:t>
      </w:r>
      <w:r w:rsidR="00AB40B1">
        <w:rPr>
          <w:lang w:val="en-GB"/>
        </w:rPr>
        <w:t xml:space="preserve"> </w:t>
      </w:r>
      <w:r w:rsidRPr="006752CE" w:rsidR="00A71BB2">
        <w:rPr>
          <w:lang w:val="en-GB"/>
        </w:rPr>
        <w:t xml:space="preserve">ground for the strike is </w:t>
      </w:r>
      <w:r w:rsidRPr="006752CE" w:rsidR="00C7581B">
        <w:rPr>
          <w:lang w:val="en-GB"/>
        </w:rPr>
        <w:t xml:space="preserve">to </w:t>
      </w:r>
      <w:r w:rsidRPr="006752CE" w:rsidR="00A71BB2">
        <w:rPr>
          <w:lang w:val="en-GB"/>
        </w:rPr>
        <w:t xml:space="preserve">demand </w:t>
      </w:r>
      <w:r w:rsidRPr="006752CE" w:rsidR="00C7581B">
        <w:rPr>
          <w:lang w:val="en-GB"/>
        </w:rPr>
        <w:t xml:space="preserve">that the Government address </w:t>
      </w:r>
      <w:r w:rsidRPr="006752CE" w:rsidR="00A71BB2">
        <w:rPr>
          <w:lang w:val="en-GB"/>
        </w:rPr>
        <w:t>issues specific to jobs and professions of doctors and dentist</w:t>
      </w:r>
      <w:r w:rsidRPr="006752CE" w:rsidR="00C7581B">
        <w:rPr>
          <w:lang w:val="en-GB"/>
        </w:rPr>
        <w:t>s</w:t>
      </w:r>
      <w:r w:rsidRPr="006752CE" w:rsidR="00A71BB2">
        <w:rPr>
          <w:lang w:val="en-GB"/>
        </w:rPr>
        <w:t xml:space="preserve"> within the healthcare and health-insurance sectors.”</w:t>
      </w:r>
    </w:p>
    <w:p w:rsidRPr="006C4563" w:rsidR="004A7197" w:rsidP="004A7197" w:rsidRDefault="00C83129">
      <w:pPr>
        <w:pStyle w:val="ECHRPara"/>
        <w:rPr>
          <w:lang w:val="en-GB"/>
        </w:rPr>
      </w:pPr>
      <w:r w:rsidRPr="001668DC">
        <w:fldChar w:fldCharType="begin"/>
      </w:r>
      <w:r w:rsidRPr="00185705">
        <w:instrText xml:space="preserve"> SEQ level0 \*arabic </w:instrText>
      </w:r>
      <w:r w:rsidRPr="001668DC">
        <w:fldChar w:fldCharType="separate"/>
      </w:r>
      <w:r w:rsidR="00D802F9">
        <w:rPr>
          <w:noProof/>
        </w:rPr>
        <w:t>15</w:t>
      </w:r>
      <w:r w:rsidRPr="001668DC">
        <w:fldChar w:fldCharType="end"/>
      </w:r>
      <w:r w:rsidRPr="00185705">
        <w:t>.  </w:t>
      </w:r>
      <w:r w:rsidRPr="006C4563" w:rsidR="004A7197">
        <w:rPr>
          <w:lang w:val="en-GB"/>
        </w:rPr>
        <w:t xml:space="preserve">On the same day the Ministry of Health and Social Welfare invited the applicant union to conclude a new collective agreement for the medical and dentistry sector in </w:t>
      </w:r>
      <w:r w:rsidRPr="00185705" w:rsidR="00500F47">
        <w:rPr>
          <w:lang w:val="en-GB"/>
        </w:rPr>
        <w:t xml:space="preserve">the </w:t>
      </w:r>
      <w:r w:rsidRPr="006C4563" w:rsidR="004A7197">
        <w:rPr>
          <w:lang w:val="en-GB"/>
        </w:rPr>
        <w:t xml:space="preserve">form of an annex to the </w:t>
      </w:r>
      <w:r w:rsidRPr="006C4563" w:rsidR="007777FA">
        <w:rPr>
          <w:lang w:val="en-GB"/>
        </w:rPr>
        <w:t>m</w:t>
      </w:r>
      <w:r w:rsidRPr="006C4563" w:rsidR="004A7197">
        <w:rPr>
          <w:lang w:val="en-GB"/>
        </w:rPr>
        <w:t>ain Collective Agreement. The draft of the new annex was enclosed with the Ministry</w:t>
      </w:r>
      <w:r w:rsidR="00A32E76">
        <w:rPr>
          <w:lang w:val="en-GB"/>
        </w:rPr>
        <w:t>’</w:t>
      </w:r>
      <w:r w:rsidRPr="006C4563" w:rsidR="004A7197">
        <w:rPr>
          <w:lang w:val="en-GB"/>
        </w:rPr>
        <w:t>s letter. The Ministry emphasised that the draft envisaged a salary supplement amounting to 10% of the basic salary of doctors and dentists in 2005 on account of their increased responsibility for the life and health of patients. It also added that the other trade unions</w:t>
      </w:r>
      <w:r w:rsidRPr="006C4563" w:rsidR="007777FA">
        <w:rPr>
          <w:lang w:val="en-GB"/>
        </w:rPr>
        <w:t>,</w:t>
      </w:r>
      <w:r w:rsidR="00DC565E">
        <w:rPr>
          <w:lang w:val="en-GB"/>
        </w:rPr>
        <w:t xml:space="preserve"> </w:t>
      </w:r>
      <w:r w:rsidRPr="006C4563" w:rsidR="004A7197">
        <w:rPr>
          <w:lang w:val="en-GB"/>
        </w:rPr>
        <w:t xml:space="preserve">parties to the </w:t>
      </w:r>
      <w:r w:rsidRPr="006C4563" w:rsidR="007777FA">
        <w:rPr>
          <w:lang w:val="en-GB"/>
        </w:rPr>
        <w:t>m</w:t>
      </w:r>
      <w:r w:rsidRPr="006C4563" w:rsidR="004A7197">
        <w:rPr>
          <w:lang w:val="en-GB"/>
        </w:rPr>
        <w:t>ain Collective Agreement agreed with the draft</w:t>
      </w:r>
      <w:r w:rsidRPr="00185705" w:rsidR="008440AE">
        <w:rPr>
          <w:lang w:val="en-GB"/>
        </w:rPr>
        <w:t xml:space="preserve">, and </w:t>
      </w:r>
      <w:r w:rsidRPr="006C4563" w:rsidR="004A7197">
        <w:rPr>
          <w:lang w:val="en-GB"/>
        </w:rPr>
        <w:t>invited the applicant union to inform it within seven days whether it accepted the draft.</w:t>
      </w:r>
    </w:p>
    <w:p w:rsidRPr="006C4563" w:rsidR="004A7197" w:rsidP="004A7197" w:rsidRDefault="004A7197">
      <w:pPr>
        <w:pStyle w:val="ECHRPara"/>
        <w:rPr>
          <w:lang w:val="en-GB"/>
        </w:rPr>
      </w:pPr>
      <w:r w:rsidRPr="001668DC">
        <w:rPr>
          <w:lang w:val="en-GB"/>
        </w:rPr>
        <w:fldChar w:fldCharType="begin"/>
      </w:r>
      <w:r w:rsidRPr="006C4563">
        <w:rPr>
          <w:lang w:val="en-GB"/>
        </w:rPr>
        <w:instrText xml:space="preserve"> SEQ level0 \*arabic </w:instrText>
      </w:r>
      <w:r w:rsidRPr="001668DC">
        <w:rPr>
          <w:lang w:val="en-GB"/>
        </w:rPr>
        <w:fldChar w:fldCharType="separate"/>
      </w:r>
      <w:r w:rsidR="00D802F9">
        <w:rPr>
          <w:noProof/>
          <w:lang w:val="en-GB"/>
        </w:rPr>
        <w:t>16</w:t>
      </w:r>
      <w:r w:rsidRPr="001668DC">
        <w:rPr>
          <w:lang w:val="en-GB"/>
        </w:rPr>
        <w:fldChar w:fldCharType="end"/>
      </w:r>
      <w:r w:rsidRPr="006C4563">
        <w:rPr>
          <w:lang w:val="en-GB"/>
        </w:rPr>
        <w:t xml:space="preserve">.  On 30 March 2005 the applicant union informed the Ministry that, regrettably, the proposed draft </w:t>
      </w:r>
      <w:r w:rsidRPr="00185705" w:rsidR="00CB49A1">
        <w:rPr>
          <w:lang w:val="en-GB"/>
        </w:rPr>
        <w:t>did</w:t>
      </w:r>
      <w:r w:rsidRPr="006C4563">
        <w:rPr>
          <w:lang w:val="en-GB"/>
        </w:rPr>
        <w:t xml:space="preserve"> not </w:t>
      </w:r>
      <w:r w:rsidRPr="00185705" w:rsidR="00CB49A1">
        <w:t>address</w:t>
      </w:r>
      <w:r w:rsidRPr="006C4563" w:rsidR="007777FA">
        <w:t xml:space="preserve"> the</w:t>
      </w:r>
      <w:r w:rsidRPr="00185705">
        <w:t xml:space="preserve"> </w:t>
      </w:r>
      <w:r w:rsidRPr="00185705" w:rsidR="00CB49A1">
        <w:t xml:space="preserve">important </w:t>
      </w:r>
      <w:r w:rsidRPr="00185705">
        <w:t xml:space="preserve">issues specific to doctors and dentists within the healthcare </w:t>
      </w:r>
      <w:r w:rsidRPr="006C4563">
        <w:t>sector.</w:t>
      </w:r>
    </w:p>
    <w:p w:rsidRPr="001668DC" w:rsidR="00C83129" w:rsidP="00185705" w:rsidRDefault="00B7322E">
      <w:pPr>
        <w:pStyle w:val="ECHRPara"/>
      </w:pPr>
      <w:r>
        <w:fldChar w:fldCharType="begin"/>
      </w:r>
      <w:r>
        <w:instrText xml:space="preserve"> SEQ level0 \*arabic </w:instrText>
      </w:r>
      <w:r>
        <w:fldChar w:fldCharType="separate"/>
      </w:r>
      <w:r w:rsidR="00D802F9">
        <w:rPr>
          <w:noProof/>
        </w:rPr>
        <w:t>17</w:t>
      </w:r>
      <w:r>
        <w:rPr>
          <w:noProof/>
        </w:rPr>
        <w:fldChar w:fldCharType="end"/>
      </w:r>
      <w:r w:rsidRPr="00185705" w:rsidR="00975845">
        <w:t>.  </w:t>
      </w:r>
      <w:r w:rsidRPr="00185705" w:rsidR="00C83129">
        <w:t xml:space="preserve">On 5 April 2005 </w:t>
      </w:r>
      <w:r w:rsidRPr="00760B60" w:rsidR="00C83129">
        <w:t xml:space="preserve">the Government of Croatia adopted a </w:t>
      </w:r>
      <w:r w:rsidRPr="00185705" w:rsidR="007777FA">
        <w:t>d</w:t>
      </w:r>
      <w:r w:rsidRPr="001668DC" w:rsidR="00C83129">
        <w:t xml:space="preserve">ecree whereby it unilaterally increased salaries of </w:t>
      </w:r>
      <w:r w:rsidRPr="008A44F3" w:rsidR="00C83129">
        <w:t xml:space="preserve">doctors and dentists by 10% </w:t>
      </w:r>
      <w:r w:rsidRPr="00185705" w:rsidR="00975845">
        <w:t>in 2005</w:t>
      </w:r>
      <w:r w:rsidRPr="00185705" w:rsidR="00735B87">
        <w:t xml:space="preserve"> (see paragraph 38 below)</w:t>
      </w:r>
      <w:r w:rsidRPr="00760B60" w:rsidR="00C83129">
        <w:t>.</w:t>
      </w:r>
    </w:p>
    <w:p w:rsidRPr="006752CE" w:rsidR="009B69A3" w:rsidP="009B69A3" w:rsidRDefault="009B69A3">
      <w:pPr>
        <w:pStyle w:val="ECHRHeading2"/>
        <w:rPr>
          <w:lang w:val="en-GB"/>
        </w:rPr>
      </w:pPr>
      <w:r w:rsidRPr="006752CE">
        <w:rPr>
          <w:lang w:val="en-GB"/>
        </w:rPr>
        <w:t>B.  Civil proceedings for prohibition of the strike</w:t>
      </w:r>
    </w:p>
    <w:p w:rsidRPr="006752CE" w:rsidR="00531D58" w:rsidP="00531D58" w:rsidRDefault="00C83129">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18</w:t>
      </w:r>
      <w:r>
        <w:rPr>
          <w:lang w:val="en-GB"/>
        </w:rPr>
        <w:fldChar w:fldCharType="end"/>
      </w:r>
      <w:r>
        <w:rPr>
          <w:lang w:val="en-GB"/>
        </w:rPr>
        <w:t>.  </w:t>
      </w:r>
      <w:r w:rsidRPr="006752CE" w:rsidR="009B69A3">
        <w:rPr>
          <w:lang w:val="en-GB"/>
        </w:rPr>
        <w:t xml:space="preserve">On </w:t>
      </w:r>
      <w:r w:rsidR="007777FA">
        <w:rPr>
          <w:lang w:val="en-GB"/>
        </w:rPr>
        <w:t>the same day</w:t>
      </w:r>
      <w:r w:rsidR="004C318A">
        <w:rPr>
          <w:lang w:val="en-GB"/>
        </w:rPr>
        <w:t>, 5 April 2005,</w:t>
      </w:r>
      <w:r w:rsidR="00CE4568">
        <w:rPr>
          <w:lang w:val="en-GB"/>
        </w:rPr>
        <w:t xml:space="preserve"> </w:t>
      </w:r>
      <w:r w:rsidRPr="006752CE" w:rsidR="009B69A3">
        <w:rPr>
          <w:lang w:val="en-GB"/>
        </w:rPr>
        <w:t>the State brought an action against the applicant union in the Zagreb County Court (</w:t>
      </w:r>
      <w:r w:rsidRPr="006752CE" w:rsidR="009B69A3">
        <w:rPr>
          <w:i/>
          <w:lang w:val="en-GB"/>
        </w:rPr>
        <w:t>Županijski sud u Zagrebu</w:t>
      </w:r>
      <w:r w:rsidRPr="006752CE" w:rsidR="009B69A3">
        <w:rPr>
          <w:lang w:val="en-GB"/>
        </w:rPr>
        <w:t>)</w:t>
      </w:r>
      <w:r w:rsidRPr="006752CE" w:rsidR="00C7581B">
        <w:rPr>
          <w:lang w:val="en-GB"/>
        </w:rPr>
        <w:t>,</w:t>
      </w:r>
      <w:r w:rsidRPr="006752CE" w:rsidR="009B69A3">
        <w:rPr>
          <w:lang w:val="en-GB"/>
        </w:rPr>
        <w:t xml:space="preserve"> asking the court to prohibit the announced strike.</w:t>
      </w:r>
      <w:r w:rsidRPr="006752CE" w:rsidR="00145734">
        <w:rPr>
          <w:lang w:val="en-GB"/>
        </w:rPr>
        <w:t xml:space="preserve"> The plaintiff argued that the announced strike would </w:t>
      </w:r>
      <w:r w:rsidRPr="006752CE" w:rsidR="002A1C85">
        <w:rPr>
          <w:lang w:val="en-GB"/>
        </w:rPr>
        <w:t>be illegal</w:t>
      </w:r>
      <w:r w:rsidRPr="006752CE" w:rsidR="00145734">
        <w:rPr>
          <w:lang w:val="en-GB"/>
        </w:rPr>
        <w:t xml:space="preserve"> because </w:t>
      </w:r>
      <w:r w:rsidRPr="006752CE" w:rsidR="002A1C85">
        <w:rPr>
          <w:lang w:val="en-GB"/>
        </w:rPr>
        <w:t xml:space="preserve">it would seek to enforce </w:t>
      </w:r>
      <w:r w:rsidRPr="006752CE" w:rsidR="00145734">
        <w:rPr>
          <w:lang w:val="en-GB"/>
        </w:rPr>
        <w:t>the Annex</w:t>
      </w:r>
      <w:r w:rsidRPr="006752CE" w:rsidR="00C7581B">
        <w:rPr>
          <w:lang w:val="en-GB"/>
        </w:rPr>
        <w:t>,</w:t>
      </w:r>
      <w:r w:rsidRPr="006752CE" w:rsidR="008D41B3">
        <w:rPr>
          <w:lang w:val="en-GB"/>
        </w:rPr>
        <w:t xml:space="preserve"> </w:t>
      </w:r>
      <w:r w:rsidRPr="006752CE" w:rsidR="002A1C85">
        <w:rPr>
          <w:lang w:val="en-GB"/>
        </w:rPr>
        <w:t>which</w:t>
      </w:r>
      <w:r w:rsidRPr="006752CE" w:rsidR="00145734">
        <w:rPr>
          <w:lang w:val="en-GB"/>
        </w:rPr>
        <w:t xml:space="preserve"> had never entered into force given that the </w:t>
      </w:r>
      <w:r w:rsidRPr="006752CE" w:rsidR="008D41B3">
        <w:rPr>
          <w:lang w:val="en-GB"/>
        </w:rPr>
        <w:t xml:space="preserve">decision to hold the </w:t>
      </w:r>
      <w:r w:rsidRPr="006752CE" w:rsidR="00145734">
        <w:rPr>
          <w:lang w:val="en-GB"/>
        </w:rPr>
        <w:t>referendum required for it</w:t>
      </w:r>
      <w:r w:rsidRPr="006752CE" w:rsidR="002A1C85">
        <w:rPr>
          <w:lang w:val="en-GB"/>
        </w:rPr>
        <w:t>s</w:t>
      </w:r>
      <w:r w:rsidRPr="006752CE" w:rsidR="00145734">
        <w:rPr>
          <w:lang w:val="en-GB"/>
        </w:rPr>
        <w:t xml:space="preserve"> </w:t>
      </w:r>
      <w:r w:rsidRPr="006752CE" w:rsidR="002A1C85">
        <w:rPr>
          <w:lang w:val="en-GB"/>
        </w:rPr>
        <w:t>coming</w:t>
      </w:r>
      <w:r w:rsidRPr="006752CE" w:rsidR="00145734">
        <w:rPr>
          <w:lang w:val="en-GB"/>
        </w:rPr>
        <w:t xml:space="preserve"> into force</w:t>
      </w:r>
      <w:r w:rsidRPr="006752CE" w:rsidR="002A1C85">
        <w:rPr>
          <w:lang w:val="en-GB"/>
        </w:rPr>
        <w:t xml:space="preserve"> had been </w:t>
      </w:r>
      <w:r w:rsidRPr="006752CE" w:rsidR="008D41B3">
        <w:rPr>
          <w:lang w:val="en-GB"/>
        </w:rPr>
        <w:t>set aside</w:t>
      </w:r>
      <w:r w:rsidRPr="006752CE" w:rsidR="002A1C85">
        <w:rPr>
          <w:lang w:val="en-GB"/>
        </w:rPr>
        <w:t xml:space="preserve"> (see paragraphs 7,</w:t>
      </w:r>
      <w:r w:rsidRPr="006752CE" w:rsidR="009657C4">
        <w:rPr>
          <w:lang w:val="en-GB"/>
        </w:rPr>
        <w:t xml:space="preserve"> </w:t>
      </w:r>
      <w:r w:rsidR="003D2E56">
        <w:rPr>
          <w:lang w:val="en-GB"/>
        </w:rPr>
        <w:t>11</w:t>
      </w:r>
      <w:r w:rsidRPr="006752CE" w:rsidR="002A1C85">
        <w:rPr>
          <w:lang w:val="en-GB"/>
        </w:rPr>
        <w:t xml:space="preserve"> and 1</w:t>
      </w:r>
      <w:r w:rsidR="003D2E56">
        <w:rPr>
          <w:lang w:val="en-GB"/>
        </w:rPr>
        <w:t>3</w:t>
      </w:r>
      <w:r w:rsidRPr="006752CE" w:rsidR="002A1C85">
        <w:rPr>
          <w:lang w:val="en-GB"/>
        </w:rPr>
        <w:t xml:space="preserve"> above)</w:t>
      </w:r>
      <w:r w:rsidRPr="006752CE" w:rsidR="00145734">
        <w:rPr>
          <w:lang w:val="en-GB"/>
        </w:rPr>
        <w:t>.</w:t>
      </w:r>
    </w:p>
    <w:p w:rsidR="00DC565E" w:rsidP="00531D58" w:rsidRDefault="00705044">
      <w:pPr>
        <w:pStyle w:val="ECHRPara"/>
        <w:rPr>
          <w:lang w:val="en-GB"/>
        </w:rPr>
      </w:pPr>
      <w:r w:rsidRPr="006752CE">
        <w:rPr>
          <w:lang w:val="en-GB" w:eastAsia="fr-FR"/>
        </w:rPr>
        <w:fldChar w:fldCharType="begin"/>
      </w:r>
      <w:r w:rsidRPr="006752CE">
        <w:rPr>
          <w:lang w:val="en-GB"/>
        </w:rPr>
        <w:instrText xml:space="preserve"> SEQ level0 \*arabic </w:instrText>
      </w:r>
      <w:r w:rsidRPr="006752CE">
        <w:rPr>
          <w:lang w:val="en-GB" w:eastAsia="fr-FR"/>
        </w:rPr>
        <w:fldChar w:fldCharType="separate"/>
      </w:r>
      <w:r w:rsidR="00D802F9">
        <w:rPr>
          <w:noProof/>
          <w:lang w:val="en-GB"/>
        </w:rPr>
        <w:t>19</w:t>
      </w:r>
      <w:r w:rsidRPr="006752CE">
        <w:rPr>
          <w:lang w:val="en-GB" w:eastAsia="fr-FR"/>
        </w:rPr>
        <w:fldChar w:fldCharType="end"/>
      </w:r>
      <w:r w:rsidRPr="006752CE">
        <w:rPr>
          <w:lang w:val="en-GB"/>
        </w:rPr>
        <w:t>.  </w:t>
      </w:r>
      <w:r w:rsidRPr="006752CE" w:rsidR="007963F4">
        <w:rPr>
          <w:lang w:val="en-GB"/>
        </w:rPr>
        <w:t>By a judgment of</w:t>
      </w:r>
      <w:r w:rsidRPr="006752CE" w:rsidR="009B69A3">
        <w:rPr>
          <w:lang w:val="en-GB"/>
        </w:rPr>
        <w:t xml:space="preserve"> 8 April 2005 the County Court found for the State and prohibited the strike. It held that seeking compliance with the obligations arising from a collective agreement or the recognition of the results of a referendum were not permitted ground</w:t>
      </w:r>
      <w:r w:rsidRPr="006752CE" w:rsidR="00AF335C">
        <w:rPr>
          <w:lang w:val="en-GB"/>
        </w:rPr>
        <w:t>s for a strike under section 210</w:t>
      </w:r>
      <w:r w:rsidRPr="006752CE" w:rsidR="009B69A3">
        <w:rPr>
          <w:lang w:val="en-GB"/>
        </w:rPr>
        <w:t xml:space="preserve">(1) of the </w:t>
      </w:r>
      <w:r w:rsidRPr="006752CE" w:rsidR="00487A8D">
        <w:rPr>
          <w:lang w:val="en-GB"/>
        </w:rPr>
        <w:t>Labour Act</w:t>
      </w:r>
      <w:r w:rsidR="00AA5D8E">
        <w:rPr>
          <w:lang w:val="en-GB"/>
        </w:rPr>
        <w:t xml:space="preserve"> (see paragraph </w:t>
      </w:r>
      <w:r w:rsidR="003D2E56">
        <w:rPr>
          <w:lang w:val="en-GB"/>
        </w:rPr>
        <w:t>32</w:t>
      </w:r>
      <w:r w:rsidRPr="006752CE" w:rsidR="00266D58">
        <w:rPr>
          <w:lang w:val="en-GB"/>
        </w:rPr>
        <w:t xml:space="preserve"> below)</w:t>
      </w:r>
      <w:r w:rsidRPr="006752CE" w:rsidR="009B69A3">
        <w:rPr>
          <w:lang w:val="en-GB"/>
        </w:rPr>
        <w:t>. The relevant</w:t>
      </w:r>
      <w:r w:rsidRPr="002A60F3" w:rsidR="009B69A3">
        <w:rPr>
          <w:lang w:val="en-GB"/>
        </w:rPr>
        <w:t xml:space="preserve"> part of that judgment reads as follows:</w:t>
      </w:r>
    </w:p>
    <w:p w:rsidRPr="00266D58" w:rsidR="009B69A3" w:rsidP="00531D58" w:rsidRDefault="009B69A3">
      <w:pPr>
        <w:pStyle w:val="ECHRParaQuote"/>
        <w:rPr>
          <w:lang w:val="en-GB"/>
        </w:rPr>
      </w:pPr>
      <w:r w:rsidRPr="008C3ABE">
        <w:rPr>
          <w:lang w:val="en-US"/>
        </w:rPr>
        <w:t>“From the cited</w:t>
      </w:r>
      <w:r w:rsidRPr="008C3ABE" w:rsidR="006777F0">
        <w:rPr>
          <w:lang w:val="en-US"/>
        </w:rPr>
        <w:t xml:space="preserve"> provision [that is, section 210</w:t>
      </w:r>
      <w:r w:rsidRPr="008C3ABE">
        <w:rPr>
          <w:lang w:val="en-US"/>
        </w:rPr>
        <w:t xml:space="preserve">(1)] it follows that, by using the formulation </w:t>
      </w:r>
      <w:r w:rsidR="00A32E76">
        <w:rPr>
          <w:lang w:val="en-US"/>
        </w:rPr>
        <w:t>‘</w:t>
      </w:r>
      <w:r w:rsidRPr="008C3ABE">
        <w:rPr>
          <w:lang w:val="en-US"/>
        </w:rPr>
        <w:t>in order to protect and promote the economic and social interests</w:t>
      </w:r>
      <w:r w:rsidR="00A32E76">
        <w:rPr>
          <w:lang w:val="en-US"/>
        </w:rPr>
        <w:t>’</w:t>
      </w:r>
      <w:r w:rsidRPr="008C3ABE">
        <w:rPr>
          <w:lang w:val="en-US"/>
        </w:rPr>
        <w:t xml:space="preserve">, the legislator clearly excluded enforcement of the rights stipulated in a particular collective agreement as a permitted ground for a strike because </w:t>
      </w:r>
      <w:r w:rsidR="00451956">
        <w:rPr>
          <w:lang w:val="en-US"/>
        </w:rPr>
        <w:t>...</w:t>
      </w:r>
      <w:r w:rsidRPr="008C3ABE">
        <w:rPr>
          <w:lang w:val="en-US"/>
        </w:rPr>
        <w:t xml:space="preserve"> </w:t>
      </w:r>
      <w:r w:rsidRPr="008C3ABE" w:rsidR="0046637B">
        <w:rPr>
          <w:lang w:val="en-US"/>
        </w:rPr>
        <w:t xml:space="preserve">the </w:t>
      </w:r>
      <w:r w:rsidRPr="008C3ABE">
        <w:rPr>
          <w:lang w:val="en-US"/>
        </w:rPr>
        <w:t xml:space="preserve">individual and collective enforcement of rights stipulated in a collective agreement is regulated </w:t>
      </w:r>
      <w:r w:rsidRPr="008C3ABE" w:rsidR="0046637B">
        <w:rPr>
          <w:lang w:val="en-US"/>
        </w:rPr>
        <w:t xml:space="preserve">by </w:t>
      </w:r>
      <w:r w:rsidRPr="00266D58">
        <w:rPr>
          <w:lang w:val="en-GB"/>
        </w:rPr>
        <w:t xml:space="preserve">sections </w:t>
      </w:r>
      <w:r w:rsidRPr="00266D58" w:rsidR="006051CD">
        <w:rPr>
          <w:lang w:val="en-GB"/>
        </w:rPr>
        <w:t>[191] and [</w:t>
      </w:r>
      <w:r w:rsidRPr="00266D58" w:rsidR="00502023">
        <w:rPr>
          <w:lang w:val="en-GB"/>
        </w:rPr>
        <w:t>202</w:t>
      </w:r>
      <w:r w:rsidRPr="00266D58" w:rsidR="006051CD">
        <w:rPr>
          <w:lang w:val="en-GB"/>
        </w:rPr>
        <w:t>]</w:t>
      </w:r>
      <w:r w:rsidRPr="00266D58">
        <w:rPr>
          <w:lang w:val="en-GB"/>
        </w:rPr>
        <w:t xml:space="preserve"> of the </w:t>
      </w:r>
      <w:r w:rsidRPr="00266D58" w:rsidR="00487A8D">
        <w:rPr>
          <w:lang w:val="en-GB"/>
        </w:rPr>
        <w:t>Labour Act</w:t>
      </w:r>
      <w:r w:rsidRPr="00266D58">
        <w:rPr>
          <w:lang w:val="en-GB"/>
        </w:rPr>
        <w:t>.</w:t>
      </w:r>
    </w:p>
    <w:p w:rsidRPr="002A60F3" w:rsidR="009B69A3" w:rsidRDefault="00451956">
      <w:pPr>
        <w:pStyle w:val="ECHRParaQuote"/>
        <w:jc w:val="center"/>
        <w:rPr>
          <w:lang w:val="en-GB" w:eastAsia="en-GB"/>
        </w:rPr>
      </w:pPr>
      <w:r>
        <w:rPr>
          <w:lang w:val="en-GB" w:eastAsia="en-GB"/>
        </w:rPr>
        <w:t>...</w:t>
      </w:r>
    </w:p>
    <w:p w:rsidRPr="002A60F3" w:rsidR="009B69A3" w:rsidP="009B69A3" w:rsidRDefault="009B69A3">
      <w:pPr>
        <w:pStyle w:val="ECHRParaQuote"/>
        <w:rPr>
          <w:lang w:val="en-GB" w:eastAsia="en-GB"/>
        </w:rPr>
      </w:pPr>
      <w:r w:rsidRPr="002A60F3">
        <w:rPr>
          <w:lang w:val="en-GB" w:eastAsia="en-GB"/>
        </w:rPr>
        <w:t>As regards the subsidiary</w:t>
      </w:r>
      <w:r w:rsidR="00F07933">
        <w:rPr>
          <w:lang w:val="en-GB" w:eastAsia="en-GB"/>
        </w:rPr>
        <w:t xml:space="preserve"> </w:t>
      </w:r>
      <w:r w:rsidRPr="002A60F3">
        <w:rPr>
          <w:lang w:val="en-GB" w:eastAsia="en-GB"/>
        </w:rPr>
        <w:t xml:space="preserve">ground for the strike </w:t>
      </w:r>
      <w:r w:rsidR="00451956">
        <w:rPr>
          <w:lang w:val="en-GB" w:eastAsia="en-GB"/>
        </w:rPr>
        <w:t>...</w:t>
      </w:r>
      <w:r w:rsidRPr="002A60F3">
        <w:rPr>
          <w:lang w:val="en-GB" w:eastAsia="en-GB"/>
        </w:rPr>
        <w:t xml:space="preserve"> it has to be noted that the defendant</w:t>
      </w:r>
      <w:r w:rsidR="00A32E76">
        <w:rPr>
          <w:lang w:val="en-GB" w:eastAsia="en-GB"/>
        </w:rPr>
        <w:t>’</w:t>
      </w:r>
      <w:r w:rsidRPr="002A60F3">
        <w:rPr>
          <w:lang w:val="en-GB" w:eastAsia="en-GB"/>
        </w:rPr>
        <w:t>s representative stated at the main hearing that this ground had been listed as subsidiary</w:t>
      </w:r>
      <w:r w:rsidR="00AB40B1">
        <w:rPr>
          <w:lang w:val="en-GB" w:eastAsia="en-GB"/>
        </w:rPr>
        <w:t xml:space="preserve"> </w:t>
      </w:r>
      <w:r w:rsidRPr="002A60F3">
        <w:rPr>
          <w:lang w:val="en-GB" w:eastAsia="en-GB"/>
        </w:rPr>
        <w:t xml:space="preserve">in case [the Annex </w:t>
      </w:r>
      <w:r w:rsidR="0046637B">
        <w:rPr>
          <w:lang w:val="en-GB" w:eastAsia="en-GB"/>
        </w:rPr>
        <w:t>was</w:t>
      </w:r>
      <w:r w:rsidRPr="002A60F3">
        <w:rPr>
          <w:lang w:val="en-GB" w:eastAsia="en-GB"/>
        </w:rPr>
        <w:t xml:space="preserve"> in the meantime declared invalid] in the [parallel] proceedings pending before the Municipal Court.</w:t>
      </w:r>
    </w:p>
    <w:p w:rsidRPr="002A60F3" w:rsidR="009B69A3" w:rsidRDefault="00451956">
      <w:pPr>
        <w:pStyle w:val="ECHRParaQuote"/>
        <w:jc w:val="center"/>
        <w:rPr>
          <w:lang w:val="en-GB" w:eastAsia="en-GB"/>
        </w:rPr>
      </w:pPr>
      <w:r>
        <w:rPr>
          <w:lang w:val="en-GB" w:eastAsia="en-GB"/>
        </w:rPr>
        <w:t>...</w:t>
      </w:r>
    </w:p>
    <w:p w:rsidRPr="002A60F3" w:rsidR="009B69A3" w:rsidP="009B69A3" w:rsidRDefault="009B69A3">
      <w:pPr>
        <w:pStyle w:val="ECHRParaQuote"/>
        <w:rPr>
          <w:lang w:val="en-GB"/>
        </w:rPr>
      </w:pPr>
      <w:r w:rsidRPr="002A60F3">
        <w:rPr>
          <w:lang w:val="en-GB" w:eastAsia="en-GB"/>
        </w:rPr>
        <w:t xml:space="preserve">Finally, it has to be concluded that a strike is legally allowed only in industrial disputes on </w:t>
      </w:r>
      <w:r w:rsidR="00451956">
        <w:rPr>
          <w:lang w:val="en-GB" w:eastAsia="en-GB"/>
        </w:rPr>
        <w:t>...</w:t>
      </w:r>
      <w:r w:rsidRPr="002A60F3">
        <w:rPr>
          <w:lang w:val="en-GB" w:eastAsia="en-GB"/>
        </w:rPr>
        <w:t xml:space="preserve"> matters that are not legally regulated, and not in those which [are]. Given that the defendant insists on compliance with the [Annex]</w:t>
      </w:r>
      <w:r w:rsidR="0046637B">
        <w:rPr>
          <w:lang w:val="en-GB" w:eastAsia="en-GB"/>
        </w:rPr>
        <w:t>,</w:t>
      </w:r>
      <w:r w:rsidRPr="002A60F3">
        <w:rPr>
          <w:lang w:val="en-GB" w:eastAsia="en-GB"/>
        </w:rPr>
        <w:t xml:space="preserve"> it is evident that the</w:t>
      </w:r>
      <w:r w:rsidR="00DC565E">
        <w:rPr>
          <w:lang w:val="en-GB" w:eastAsia="en-GB"/>
        </w:rPr>
        <w:t xml:space="preserve"> </w:t>
      </w:r>
      <w:r w:rsidRPr="002A60F3">
        <w:rPr>
          <w:lang w:val="en-GB" w:eastAsia="en-GB"/>
        </w:rPr>
        <w:t xml:space="preserve">matters [in dispute] </w:t>
      </w:r>
      <w:r w:rsidR="00451956">
        <w:rPr>
          <w:lang w:val="en-GB" w:eastAsia="en-GB"/>
        </w:rPr>
        <w:t>...</w:t>
      </w:r>
      <w:r w:rsidRPr="002A60F3">
        <w:rPr>
          <w:lang w:val="en-GB" w:eastAsia="en-GB"/>
        </w:rPr>
        <w:t xml:space="preserve"> are regulated by that Annex and that the procedure for [its] entry into force is also legally regulated, for which reason the substantive requirements for organising the strike are not satisfied.</w:t>
      </w:r>
      <w:r w:rsidRPr="002A60F3">
        <w:rPr>
          <w:lang w:val="en-GB"/>
        </w:rPr>
        <w:t>”</w:t>
      </w:r>
    </w:p>
    <w:p w:rsidR="009B69A3" w:rsidP="009B69A3" w:rsidRDefault="00705044">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20</w:t>
      </w:r>
      <w:r w:rsidRPr="002A60F3">
        <w:rPr>
          <w:lang w:val="en-GB"/>
        </w:rPr>
        <w:fldChar w:fldCharType="end"/>
      </w:r>
      <w:r w:rsidRPr="002A60F3">
        <w:rPr>
          <w:lang w:val="en-GB"/>
        </w:rPr>
        <w:t>.  </w:t>
      </w:r>
      <w:r w:rsidRPr="002A60F3" w:rsidR="009B69A3">
        <w:rPr>
          <w:lang w:val="en-GB"/>
        </w:rPr>
        <w:t>The applicant union then appealed against that judgment to the Supreme Court (</w:t>
      </w:r>
      <w:r w:rsidRPr="002A60F3" w:rsidR="009B69A3">
        <w:rPr>
          <w:i/>
          <w:lang w:val="en-GB"/>
        </w:rPr>
        <w:t>Vrhovni sud Republike Hrvatske</w:t>
      </w:r>
      <w:r w:rsidRPr="002A60F3" w:rsidR="009B69A3">
        <w:rPr>
          <w:lang w:val="en-GB"/>
        </w:rPr>
        <w:t>).</w:t>
      </w:r>
    </w:p>
    <w:p w:rsidR="00A86DEE" w:rsidP="009B69A3" w:rsidRDefault="00A86DEE">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21</w:t>
      </w:r>
      <w:r>
        <w:rPr>
          <w:lang w:val="en-GB"/>
        </w:rPr>
        <w:fldChar w:fldCharType="end"/>
      </w:r>
      <w:r>
        <w:rPr>
          <w:lang w:val="en-GB"/>
        </w:rPr>
        <w:t xml:space="preserve">.  On 11 April 2005 the applicant union held the strike as planned because </w:t>
      </w:r>
      <w:r w:rsidR="00BE4784">
        <w:rPr>
          <w:lang w:val="en-GB"/>
        </w:rPr>
        <w:t xml:space="preserve">under the domestic law </w:t>
      </w:r>
      <w:r w:rsidR="00823EC8">
        <w:rPr>
          <w:lang w:val="en-GB"/>
        </w:rPr>
        <w:t xml:space="preserve">its appeal prevented </w:t>
      </w:r>
      <w:r>
        <w:rPr>
          <w:lang w:val="en-GB"/>
        </w:rPr>
        <w:t>the County Court</w:t>
      </w:r>
      <w:r w:rsidR="00A32E76">
        <w:rPr>
          <w:lang w:val="en-GB"/>
        </w:rPr>
        <w:t>’</w:t>
      </w:r>
      <w:r>
        <w:rPr>
          <w:lang w:val="en-GB"/>
        </w:rPr>
        <w:t xml:space="preserve">s judgment </w:t>
      </w:r>
      <w:r w:rsidR="00823EC8">
        <w:rPr>
          <w:lang w:val="en-GB"/>
        </w:rPr>
        <w:t>from becoming final</w:t>
      </w:r>
      <w:r>
        <w:rPr>
          <w:lang w:val="en-GB"/>
        </w:rPr>
        <w:t>.</w:t>
      </w:r>
      <w:r w:rsidR="00BE4784">
        <w:rPr>
          <w:lang w:val="en-GB"/>
        </w:rPr>
        <w:t xml:space="preserve"> </w:t>
      </w:r>
      <w:r>
        <w:rPr>
          <w:lang w:val="en-GB"/>
        </w:rPr>
        <w:t>According to media reports the applicant union alleged that almost 90% of some 8,000 doctors and dentists had participated in the strike whereas the Minister of Health claimed that only 25% of them had actually been striking</w:t>
      </w:r>
      <w:r w:rsidR="00BA2D7F">
        <w:rPr>
          <w:lang w:val="en-GB"/>
        </w:rPr>
        <w:t xml:space="preserve"> while the others had merely </w:t>
      </w:r>
      <w:r w:rsidR="00C6428C">
        <w:rPr>
          <w:lang w:val="en-GB"/>
        </w:rPr>
        <w:t xml:space="preserve">expressed </w:t>
      </w:r>
      <w:r w:rsidR="00BA2D7F">
        <w:rPr>
          <w:lang w:val="en-GB"/>
        </w:rPr>
        <w:t>solidarity</w:t>
      </w:r>
      <w:r>
        <w:rPr>
          <w:lang w:val="en-GB"/>
        </w:rPr>
        <w:t xml:space="preserve">. The Minister </w:t>
      </w:r>
      <w:r w:rsidR="00BA2D7F">
        <w:rPr>
          <w:lang w:val="en-GB"/>
        </w:rPr>
        <w:t xml:space="preserve">also </w:t>
      </w:r>
      <w:r>
        <w:rPr>
          <w:lang w:val="en-GB"/>
        </w:rPr>
        <w:t xml:space="preserve">stated for the media that 85% of the services had been rendered and </w:t>
      </w:r>
      <w:r w:rsidR="00BA2D7F">
        <w:rPr>
          <w:lang w:val="en-GB"/>
        </w:rPr>
        <w:t xml:space="preserve">that </w:t>
      </w:r>
      <w:r w:rsidRPr="00BA2D7F" w:rsidR="00BA2D7F">
        <w:rPr>
          <w:lang w:val="en-GB"/>
        </w:rPr>
        <w:t>work stoppage</w:t>
      </w:r>
      <w:r w:rsidR="00BA2D7F">
        <w:rPr>
          <w:lang w:val="en-GB"/>
        </w:rPr>
        <w:t>s occurred</w:t>
      </w:r>
      <w:r w:rsidRPr="00BA2D7F" w:rsidR="00BA2D7F">
        <w:rPr>
          <w:lang w:val="en-GB"/>
        </w:rPr>
        <w:t xml:space="preserve"> in one </w:t>
      </w:r>
      <w:r w:rsidR="00BA2D7F">
        <w:rPr>
          <w:lang w:val="en-GB"/>
        </w:rPr>
        <w:t xml:space="preserve">out </w:t>
      </w:r>
      <w:r w:rsidRPr="00BA2D7F" w:rsidR="00BA2D7F">
        <w:rPr>
          <w:lang w:val="en-GB"/>
        </w:rPr>
        <w:t>of five clinical centres</w:t>
      </w:r>
      <w:r w:rsidR="00BA2D7F">
        <w:rPr>
          <w:lang w:val="en-GB"/>
        </w:rPr>
        <w:t>,</w:t>
      </w:r>
      <w:r w:rsidRPr="00BA2D7F" w:rsidR="00BA2D7F">
        <w:rPr>
          <w:lang w:val="en-GB"/>
        </w:rPr>
        <w:t xml:space="preserve"> one </w:t>
      </w:r>
      <w:r w:rsidR="00BA2D7F">
        <w:rPr>
          <w:lang w:val="en-GB"/>
        </w:rPr>
        <w:t xml:space="preserve">out </w:t>
      </w:r>
      <w:r w:rsidRPr="00BA2D7F" w:rsidR="00BA2D7F">
        <w:rPr>
          <w:lang w:val="en-GB"/>
        </w:rPr>
        <w:t xml:space="preserve">of seven university hospitals </w:t>
      </w:r>
      <w:r w:rsidR="00BA2D7F">
        <w:rPr>
          <w:lang w:val="en-GB"/>
        </w:rPr>
        <w:t xml:space="preserve">and </w:t>
      </w:r>
      <w:r w:rsidRPr="00BA2D7F" w:rsidR="00BA2D7F">
        <w:rPr>
          <w:lang w:val="en-GB"/>
        </w:rPr>
        <w:t xml:space="preserve">in six </w:t>
      </w:r>
      <w:r w:rsidR="00BA2D7F">
        <w:rPr>
          <w:lang w:val="en-GB"/>
        </w:rPr>
        <w:t xml:space="preserve">out </w:t>
      </w:r>
      <w:r w:rsidRPr="00BA2D7F" w:rsidR="00BA2D7F">
        <w:rPr>
          <w:lang w:val="en-GB"/>
        </w:rPr>
        <w:t>of 22 general hospitals.</w:t>
      </w:r>
      <w:r w:rsidR="00BA2D7F">
        <w:rPr>
          <w:lang w:val="en-GB"/>
        </w:rPr>
        <w:t xml:space="preserve"> </w:t>
      </w:r>
      <w:r>
        <w:rPr>
          <w:lang w:val="en-GB"/>
        </w:rPr>
        <w:t xml:space="preserve">The strike lasted until 13 April 2005 when the applicant union called it off </w:t>
      </w:r>
      <w:r w:rsidR="00BA2D7F">
        <w:rPr>
          <w:lang w:val="en-GB"/>
        </w:rPr>
        <w:t>in order to comply</w:t>
      </w:r>
      <w:r>
        <w:rPr>
          <w:lang w:val="en-GB"/>
        </w:rPr>
        <w:t xml:space="preserve"> with the </w:t>
      </w:r>
      <w:r w:rsidR="00BA2D7F">
        <w:rPr>
          <w:lang w:val="en-GB"/>
        </w:rPr>
        <w:t>County Court</w:t>
      </w:r>
      <w:r w:rsidR="00A32E76">
        <w:rPr>
          <w:lang w:val="en-GB"/>
        </w:rPr>
        <w:t>’</w:t>
      </w:r>
      <w:r w:rsidR="00BA2D7F">
        <w:rPr>
          <w:lang w:val="en-GB"/>
        </w:rPr>
        <w:t xml:space="preserve">s </w:t>
      </w:r>
      <w:r w:rsidR="00BE4784">
        <w:rPr>
          <w:lang w:val="en-GB"/>
        </w:rPr>
        <w:t xml:space="preserve">subsequent </w:t>
      </w:r>
      <w:r>
        <w:rPr>
          <w:lang w:val="en-GB"/>
        </w:rPr>
        <w:t>provisional measure</w:t>
      </w:r>
      <w:r w:rsidR="00BE4784">
        <w:rPr>
          <w:lang w:val="en-GB"/>
        </w:rPr>
        <w:t xml:space="preserve"> of 12 April 2005</w:t>
      </w:r>
      <w:r>
        <w:rPr>
          <w:lang w:val="en-GB"/>
        </w:rPr>
        <w:t xml:space="preserve"> prohibiting the strike (see the </w:t>
      </w:r>
      <w:r w:rsidR="00BE4784">
        <w:rPr>
          <w:lang w:val="en-GB"/>
        </w:rPr>
        <w:t>next</w:t>
      </w:r>
      <w:r>
        <w:rPr>
          <w:lang w:val="en-GB"/>
        </w:rPr>
        <w:t xml:space="preserve"> paragraph).</w:t>
      </w:r>
    </w:p>
    <w:p w:rsidRPr="002A60F3" w:rsidR="009B69A3" w:rsidP="009B69A3" w:rsidRDefault="00705044">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22</w:t>
      </w:r>
      <w:r w:rsidRPr="002A60F3">
        <w:rPr>
          <w:lang w:val="en-GB"/>
        </w:rPr>
        <w:fldChar w:fldCharType="end"/>
      </w:r>
      <w:r w:rsidRPr="002A60F3">
        <w:rPr>
          <w:lang w:val="en-GB"/>
        </w:rPr>
        <w:t>.  </w:t>
      </w:r>
      <w:r w:rsidRPr="002A60F3" w:rsidR="009B69A3">
        <w:rPr>
          <w:lang w:val="en-GB"/>
        </w:rPr>
        <w:t>Following a request by the State, on 12 April 2005 the Zagreb County Court imposed a provisional measure prohibiting the strike until that court</w:t>
      </w:r>
      <w:r w:rsidR="00A32E76">
        <w:rPr>
          <w:lang w:val="en-GB"/>
        </w:rPr>
        <w:t>’</w:t>
      </w:r>
      <w:r w:rsidRPr="002A60F3" w:rsidR="009B69A3">
        <w:rPr>
          <w:lang w:val="en-GB"/>
        </w:rPr>
        <w:t>s judgment of 8 April 2005 became final, that is, until the Supreme Court decided on the applicant union</w:t>
      </w:r>
      <w:r w:rsidR="00A32E76">
        <w:rPr>
          <w:lang w:val="en-GB"/>
        </w:rPr>
        <w:t>’</w:t>
      </w:r>
      <w:r w:rsidRPr="002A60F3" w:rsidR="009B69A3">
        <w:rPr>
          <w:lang w:val="en-GB"/>
        </w:rPr>
        <w:t>s appe</w:t>
      </w:r>
      <w:r w:rsidRPr="002A60F3" w:rsidR="00B37480">
        <w:rPr>
          <w:lang w:val="en-GB"/>
        </w:rPr>
        <w:t xml:space="preserve">al against </w:t>
      </w:r>
      <w:r w:rsidR="00BD5EAE">
        <w:rPr>
          <w:lang w:val="en-GB"/>
        </w:rPr>
        <w:t xml:space="preserve">the </w:t>
      </w:r>
      <w:r w:rsidRPr="002A60F3" w:rsidR="00B37480">
        <w:rPr>
          <w:lang w:val="en-GB"/>
        </w:rPr>
        <w:t>judgment. On 21 </w:t>
      </w:r>
      <w:r w:rsidRPr="002A60F3" w:rsidR="009B69A3">
        <w:rPr>
          <w:lang w:val="en-GB"/>
        </w:rPr>
        <w:t>April 2005 the Supreme Court dismissed the applicant union</w:t>
      </w:r>
      <w:r w:rsidR="00A32E76">
        <w:rPr>
          <w:lang w:val="en-GB"/>
        </w:rPr>
        <w:t>’</w:t>
      </w:r>
      <w:r w:rsidRPr="002A60F3" w:rsidR="009B69A3">
        <w:rPr>
          <w:lang w:val="en-GB"/>
        </w:rPr>
        <w:t>s appeal against the decision imposing the provisional measure.</w:t>
      </w:r>
    </w:p>
    <w:p w:rsidRPr="006752CE" w:rsidR="009B69A3" w:rsidP="009B69A3" w:rsidRDefault="00705044">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23</w:t>
      </w:r>
      <w:r w:rsidRPr="002A60F3">
        <w:rPr>
          <w:lang w:val="en-GB"/>
        </w:rPr>
        <w:fldChar w:fldCharType="end"/>
      </w:r>
      <w:r w:rsidRPr="002A60F3">
        <w:rPr>
          <w:lang w:val="en-GB"/>
        </w:rPr>
        <w:t>.  </w:t>
      </w:r>
      <w:r w:rsidRPr="002A60F3" w:rsidR="007963F4">
        <w:rPr>
          <w:lang w:val="en-GB"/>
        </w:rPr>
        <w:t>By a judgment of</w:t>
      </w:r>
      <w:r w:rsidRPr="002A60F3" w:rsidR="009B69A3">
        <w:rPr>
          <w:lang w:val="en-GB"/>
        </w:rPr>
        <w:t xml:space="preserve"> 27 April 2005 the Supreme Court dismissed the applicant union</w:t>
      </w:r>
      <w:r w:rsidR="00A32E76">
        <w:rPr>
          <w:lang w:val="en-GB"/>
        </w:rPr>
        <w:t>’</w:t>
      </w:r>
      <w:r w:rsidRPr="002A60F3" w:rsidR="009B69A3">
        <w:rPr>
          <w:lang w:val="en-GB"/>
        </w:rPr>
        <w:t>s appeal against the County Court</w:t>
      </w:r>
      <w:r w:rsidR="00A32E76">
        <w:rPr>
          <w:lang w:val="en-GB"/>
        </w:rPr>
        <w:t>’</w:t>
      </w:r>
      <w:r w:rsidRPr="002A60F3" w:rsidR="009B69A3">
        <w:rPr>
          <w:lang w:val="en-GB"/>
        </w:rPr>
        <w:t xml:space="preserve">s judgment of 8 April </w:t>
      </w:r>
      <w:r w:rsidRPr="006752CE" w:rsidR="009B69A3">
        <w:rPr>
          <w:lang w:val="en-GB"/>
        </w:rPr>
        <w:t>2005</w:t>
      </w:r>
      <w:r w:rsidRPr="006752CE" w:rsidR="00266D58">
        <w:rPr>
          <w:lang w:val="en-GB"/>
        </w:rPr>
        <w:t xml:space="preserve"> (see paragraphs </w:t>
      </w:r>
      <w:r w:rsidR="003D2E56">
        <w:rPr>
          <w:lang w:val="en-GB"/>
        </w:rPr>
        <w:t>19-20</w:t>
      </w:r>
      <w:r w:rsidRPr="006752CE" w:rsidR="00266D58">
        <w:rPr>
          <w:lang w:val="en-GB"/>
        </w:rPr>
        <w:t xml:space="preserve"> above)</w:t>
      </w:r>
      <w:r w:rsidRPr="006752CE" w:rsidR="009B69A3">
        <w:rPr>
          <w:lang w:val="en-GB"/>
        </w:rPr>
        <w:t>. It held that the Annex was invalid because it had not been entered into by all the trade unions that had concluded the Collective Agreemen</w:t>
      </w:r>
      <w:r w:rsidRPr="006752CE" w:rsidR="007A33B0">
        <w:rPr>
          <w:lang w:val="en-GB"/>
        </w:rPr>
        <w:t>t, contrary to section 186</w:t>
      </w:r>
      <w:r w:rsidRPr="006752CE" w:rsidR="009B69A3">
        <w:rPr>
          <w:lang w:val="en-GB"/>
        </w:rPr>
        <w:t xml:space="preserve">(1) of the </w:t>
      </w:r>
      <w:r w:rsidRPr="006752CE" w:rsidR="00487A8D">
        <w:rPr>
          <w:lang w:val="en-GB"/>
        </w:rPr>
        <w:t>Labour Act</w:t>
      </w:r>
      <w:r w:rsidR="00AA5D8E">
        <w:rPr>
          <w:lang w:val="en-GB"/>
        </w:rPr>
        <w:t xml:space="preserve"> (see paragraph </w:t>
      </w:r>
      <w:r w:rsidR="003D2E56">
        <w:rPr>
          <w:lang w:val="en-GB"/>
        </w:rPr>
        <w:t>32</w:t>
      </w:r>
      <w:r w:rsidRPr="006752CE" w:rsidR="003D2E56">
        <w:rPr>
          <w:lang w:val="en-GB"/>
        </w:rPr>
        <w:t xml:space="preserve"> </w:t>
      </w:r>
      <w:r w:rsidRPr="006752CE" w:rsidR="00266D58">
        <w:rPr>
          <w:lang w:val="en-GB"/>
        </w:rPr>
        <w:t>below)</w:t>
      </w:r>
      <w:r w:rsidR="00C6428C">
        <w:rPr>
          <w:lang w:val="en-GB"/>
        </w:rPr>
        <w:t>, and</w:t>
      </w:r>
      <w:r w:rsidRPr="006752CE" w:rsidR="009B69A3">
        <w:rPr>
          <w:lang w:val="en-GB"/>
        </w:rPr>
        <w:t xml:space="preserve"> </w:t>
      </w:r>
      <w:r w:rsidR="00C6428C">
        <w:rPr>
          <w:lang w:val="en-GB"/>
        </w:rPr>
        <w:t>that therefore any</w:t>
      </w:r>
      <w:r w:rsidRPr="006752CE" w:rsidR="009B69A3">
        <w:rPr>
          <w:lang w:val="en-GB"/>
        </w:rPr>
        <w:t xml:space="preserve"> further action based on that agreement, including the strike, </w:t>
      </w:r>
      <w:r w:rsidR="00C6428C">
        <w:rPr>
          <w:lang w:val="en-GB"/>
        </w:rPr>
        <w:t>was</w:t>
      </w:r>
      <w:r w:rsidRPr="006752CE" w:rsidR="003515CB">
        <w:rPr>
          <w:lang w:val="en-GB"/>
        </w:rPr>
        <w:t xml:space="preserve"> </w:t>
      </w:r>
      <w:r w:rsidRPr="006752CE" w:rsidR="009B69A3">
        <w:rPr>
          <w:lang w:val="en-GB"/>
        </w:rPr>
        <w:t>unlawful. The relevant part of the Supreme Court</w:t>
      </w:r>
      <w:r w:rsidR="00A32E76">
        <w:rPr>
          <w:lang w:val="en-GB"/>
        </w:rPr>
        <w:t>’</w:t>
      </w:r>
      <w:r w:rsidRPr="006752CE" w:rsidR="009B69A3">
        <w:rPr>
          <w:lang w:val="en-GB"/>
        </w:rPr>
        <w:t>s judgment reads as follows:</w:t>
      </w:r>
    </w:p>
    <w:p w:rsidRPr="006752CE" w:rsidR="009B69A3" w:rsidP="009B69A3" w:rsidRDefault="009B69A3">
      <w:pPr>
        <w:pStyle w:val="ECHRParaQuote"/>
        <w:rPr>
          <w:lang w:val="en-GB"/>
        </w:rPr>
      </w:pPr>
      <w:r w:rsidRPr="006752CE">
        <w:rPr>
          <w:lang w:val="en-GB"/>
        </w:rPr>
        <w:t xml:space="preserve">“Given that the Annex was found to be invalid, that is, unlawful, any further actions </w:t>
      </w:r>
      <w:r w:rsidRPr="006752CE" w:rsidR="00BD5EAE">
        <w:rPr>
          <w:lang w:val="en-GB"/>
        </w:rPr>
        <w:t xml:space="preserve">by the </w:t>
      </w:r>
      <w:r w:rsidRPr="006752CE">
        <w:rPr>
          <w:lang w:val="en-GB"/>
        </w:rPr>
        <w:t xml:space="preserve">signatories of such an unlawful collective agreement, such as calling for and holding a referendum </w:t>
      </w:r>
      <w:r w:rsidR="00451956">
        <w:rPr>
          <w:lang w:val="en-GB"/>
        </w:rPr>
        <w:t>...</w:t>
      </w:r>
      <w:r w:rsidRPr="006752CE">
        <w:rPr>
          <w:lang w:val="en-GB"/>
        </w:rPr>
        <w:t xml:space="preserve"> as well as the two first grounds for the strike, which are also based on the unlawful Annex, are also unlawful.</w:t>
      </w:r>
    </w:p>
    <w:p w:rsidRPr="006752CE" w:rsidR="009B69A3" w:rsidP="009B69A3" w:rsidRDefault="009B69A3">
      <w:pPr>
        <w:pStyle w:val="ECHRParaQuote"/>
        <w:rPr>
          <w:lang w:val="en-GB" w:eastAsia="en-GB"/>
        </w:rPr>
      </w:pPr>
      <w:r w:rsidRPr="006752CE">
        <w:rPr>
          <w:lang w:val="en-GB"/>
        </w:rPr>
        <w:t xml:space="preserve">The view of the first-instance court that it was not necessary to address the third, subsidiary, ground for the strike is correct. This is so because, as stated by the </w:t>
      </w:r>
      <w:r w:rsidRPr="006752CE">
        <w:rPr>
          <w:lang w:val="en-GB" w:eastAsia="en-GB"/>
        </w:rPr>
        <w:t>defendant</w:t>
      </w:r>
      <w:r w:rsidR="00A32E76">
        <w:rPr>
          <w:lang w:val="en-GB" w:eastAsia="en-GB"/>
        </w:rPr>
        <w:t>’</w:t>
      </w:r>
      <w:r w:rsidRPr="006752CE">
        <w:rPr>
          <w:lang w:val="en-GB" w:eastAsia="en-GB"/>
        </w:rPr>
        <w:t>s representative at the hearing held on 8 April 2005, this ground had been listed as subsidiary</w:t>
      </w:r>
      <w:r w:rsidR="00642836">
        <w:rPr>
          <w:lang w:val="en-GB" w:eastAsia="en-GB"/>
        </w:rPr>
        <w:t xml:space="preserve"> </w:t>
      </w:r>
      <w:r w:rsidRPr="006752CE">
        <w:rPr>
          <w:lang w:val="en-GB" w:eastAsia="en-GB"/>
        </w:rPr>
        <w:t xml:space="preserve">in case [the Annex was in the meantime declared invalid] in the [parallel] proceedings pending before the Municipal Court, </w:t>
      </w:r>
      <w:r w:rsidRPr="006752CE">
        <w:rPr>
          <w:lang w:val="en-GB"/>
        </w:rPr>
        <w:t>a condition which has not been met.”</w:t>
      </w:r>
    </w:p>
    <w:p w:rsidRPr="006752CE" w:rsidR="008C3ABE" w:rsidP="008C3ABE" w:rsidRDefault="00705044">
      <w:pPr>
        <w:pStyle w:val="ECHRPara"/>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24</w:t>
      </w:r>
      <w:r w:rsidRPr="006752CE">
        <w:rPr>
          <w:lang w:val="en-GB"/>
        </w:rPr>
        <w:fldChar w:fldCharType="end"/>
      </w:r>
      <w:r w:rsidRPr="006752CE">
        <w:rPr>
          <w:lang w:val="en-GB"/>
        </w:rPr>
        <w:t>.  </w:t>
      </w:r>
      <w:r w:rsidRPr="006752CE" w:rsidR="008C3ABE">
        <w:rPr>
          <w:lang w:val="en-GB"/>
        </w:rPr>
        <w:t>On 30 May 2005 the applicant union lodged a constitutional complaint with the Constitutional Court (</w:t>
      </w:r>
      <w:r w:rsidRPr="006752CE" w:rsidR="008C3ABE">
        <w:rPr>
          <w:i/>
          <w:lang w:val="en-GB"/>
        </w:rPr>
        <w:t>Ustavni sud Republike Hrvatske</w:t>
      </w:r>
      <w:r w:rsidRPr="006752CE" w:rsidR="008C3ABE">
        <w:rPr>
          <w:lang w:val="en-GB"/>
        </w:rPr>
        <w:t>) against the Supreme Court</w:t>
      </w:r>
      <w:r w:rsidR="00A32E76">
        <w:rPr>
          <w:lang w:val="en-GB"/>
        </w:rPr>
        <w:t>’</w:t>
      </w:r>
      <w:r w:rsidRPr="006752CE" w:rsidR="008C3ABE">
        <w:rPr>
          <w:lang w:val="en-GB"/>
        </w:rPr>
        <w:t xml:space="preserve">s judgment alleging violations of, </w:t>
      </w:r>
      <w:r w:rsidRPr="006752CE" w:rsidR="008C3ABE">
        <w:rPr>
          <w:i/>
          <w:lang w:val="en-GB"/>
        </w:rPr>
        <w:t>inter alia</w:t>
      </w:r>
      <w:r w:rsidRPr="006752CE" w:rsidR="008C3ABE">
        <w:rPr>
          <w:lang w:val="en-GB"/>
        </w:rPr>
        <w:t>, its constitutionally-guaranteed right to strike and its freedom of association</w:t>
      </w:r>
      <w:r w:rsidR="00C6428C">
        <w:rPr>
          <w:lang w:val="en-GB"/>
        </w:rPr>
        <w:t xml:space="preserve"> guaranteed by the Convention</w:t>
      </w:r>
      <w:r w:rsidRPr="006752CE" w:rsidR="008C3ABE">
        <w:rPr>
          <w:lang w:val="en-GB"/>
        </w:rPr>
        <w:t>. In so doing the applicant union relied on Article 60 of th</w:t>
      </w:r>
      <w:r w:rsidR="00AA5D8E">
        <w:rPr>
          <w:lang w:val="en-GB"/>
        </w:rPr>
        <w:t xml:space="preserve">e Constitution (see paragraph </w:t>
      </w:r>
      <w:r w:rsidR="003D2E56">
        <w:rPr>
          <w:lang w:val="en-GB"/>
        </w:rPr>
        <w:t>31</w:t>
      </w:r>
      <w:r w:rsidRPr="006752CE" w:rsidR="003D2E56">
        <w:rPr>
          <w:lang w:val="en-GB"/>
        </w:rPr>
        <w:t xml:space="preserve"> </w:t>
      </w:r>
      <w:r w:rsidRPr="006752CE" w:rsidR="008C3ABE">
        <w:rPr>
          <w:lang w:val="en-GB"/>
        </w:rPr>
        <w:t>below) and Article 11 of the Convention.</w:t>
      </w:r>
    </w:p>
    <w:p w:rsidRPr="006752CE" w:rsidR="008C3ABE" w:rsidP="008C3ABE" w:rsidRDefault="008C3ABE">
      <w:pPr>
        <w:ind w:firstLine="284"/>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25</w:t>
      </w:r>
      <w:r w:rsidRPr="006752CE">
        <w:rPr>
          <w:lang w:val="en-GB"/>
        </w:rPr>
        <w:fldChar w:fldCharType="end"/>
      </w:r>
      <w:r w:rsidRPr="006752CE">
        <w:rPr>
          <w:lang w:val="en-GB"/>
        </w:rPr>
        <w:t>.  On 17 December 2008 the Constitutional Court dismissed the applicant union</w:t>
      </w:r>
      <w:r w:rsidR="00A32E76">
        <w:rPr>
          <w:lang w:val="en-GB"/>
        </w:rPr>
        <w:t>’</w:t>
      </w:r>
      <w:r w:rsidRPr="006752CE">
        <w:rPr>
          <w:lang w:val="en-GB"/>
        </w:rPr>
        <w:t>s constitutional complaint and served its decision on the applicant union</w:t>
      </w:r>
      <w:r w:rsidR="00A32E76">
        <w:rPr>
          <w:lang w:val="en-GB"/>
        </w:rPr>
        <w:t>’</w:t>
      </w:r>
      <w:r w:rsidRPr="006752CE">
        <w:rPr>
          <w:lang w:val="en-GB"/>
        </w:rPr>
        <w:t>s representatives on 26 January 2009. The relevant part of that decision reads as follows:</w:t>
      </w:r>
    </w:p>
    <w:p w:rsidRPr="006752CE" w:rsidR="008C3ABE" w:rsidP="008C3ABE" w:rsidRDefault="008C3ABE">
      <w:pPr>
        <w:spacing w:before="120" w:after="120"/>
        <w:ind w:left="425" w:firstLine="142"/>
        <w:rPr>
          <w:sz w:val="20"/>
          <w:lang w:val="en-GB"/>
        </w:rPr>
      </w:pPr>
      <w:r w:rsidRPr="006752CE">
        <w:rPr>
          <w:sz w:val="20"/>
          <w:lang w:val="en-GB"/>
        </w:rPr>
        <w:t>“Having established that the [contested] judicial decisions were based on the relevant provisions of the Labour Act, the Constitutional Court finds that those decisions were not in breach of the complainant</w:t>
      </w:r>
      <w:r w:rsidR="00A32E76">
        <w:rPr>
          <w:sz w:val="20"/>
          <w:lang w:val="en-GB"/>
        </w:rPr>
        <w:t>’</w:t>
      </w:r>
      <w:r w:rsidRPr="006752CE">
        <w:rPr>
          <w:sz w:val="20"/>
          <w:lang w:val="en-GB"/>
        </w:rPr>
        <w:t>s constitutional right [provided] in Article 60 paragraph 1 of the Constitution nor [were they in breach] of the international-law provisions the complainant relied on.”</w:t>
      </w:r>
    </w:p>
    <w:p w:rsidR="00DC565E" w:rsidP="00705044" w:rsidRDefault="00705044">
      <w:pPr>
        <w:pStyle w:val="ECHRHeading2"/>
        <w:rPr>
          <w:lang w:val="en-GB"/>
        </w:rPr>
      </w:pPr>
      <w:r w:rsidRPr="006752CE">
        <w:rPr>
          <w:lang w:val="en-GB"/>
        </w:rPr>
        <w:t>C</w:t>
      </w:r>
      <w:r w:rsidRPr="006752CE" w:rsidR="009B69A3">
        <w:rPr>
          <w:lang w:val="en-GB"/>
        </w:rPr>
        <w:t>.  Civil proceedings to declare the Annex null and void</w:t>
      </w:r>
    </w:p>
    <w:p w:rsidRPr="002A60F3" w:rsidR="009B69A3" w:rsidP="009B69A3" w:rsidRDefault="00705044">
      <w:pPr>
        <w:pStyle w:val="ECHRPara"/>
        <w:rPr>
          <w:lang w:val="en-GB"/>
        </w:rPr>
      </w:pPr>
      <w:r w:rsidRPr="00B95468">
        <w:rPr>
          <w:lang w:val="en-GB"/>
        </w:rPr>
        <w:fldChar w:fldCharType="begin"/>
      </w:r>
      <w:r w:rsidRPr="00A52129">
        <w:rPr>
          <w:lang w:val="en-GB"/>
        </w:rPr>
        <w:instrText xml:space="preserve"> SEQ level0 \*arabic </w:instrText>
      </w:r>
      <w:r w:rsidRPr="00B95468">
        <w:rPr>
          <w:lang w:val="en-GB"/>
        </w:rPr>
        <w:fldChar w:fldCharType="separate"/>
      </w:r>
      <w:r w:rsidR="00D802F9">
        <w:rPr>
          <w:noProof/>
          <w:lang w:val="en-GB"/>
        </w:rPr>
        <w:t>26</w:t>
      </w:r>
      <w:r w:rsidRPr="00B95468">
        <w:rPr>
          <w:lang w:val="en-GB"/>
        </w:rPr>
        <w:fldChar w:fldCharType="end"/>
      </w:r>
      <w:r w:rsidRPr="00A52129">
        <w:rPr>
          <w:lang w:val="en-GB"/>
        </w:rPr>
        <w:t>.  </w:t>
      </w:r>
      <w:r w:rsidRPr="00A52129" w:rsidR="002A60F3">
        <w:rPr>
          <w:lang w:val="en-GB"/>
        </w:rPr>
        <w:t>Meanwhile,</w:t>
      </w:r>
      <w:r w:rsidR="00004763">
        <w:rPr>
          <w:lang w:val="en-GB"/>
        </w:rPr>
        <w:t xml:space="preserve"> as already noted above (see paragraph </w:t>
      </w:r>
      <w:r w:rsidR="00DF02BF">
        <w:rPr>
          <w:lang w:val="en-GB"/>
        </w:rPr>
        <w:t>8</w:t>
      </w:r>
      <w:r w:rsidR="00004763">
        <w:rPr>
          <w:lang w:val="en-GB"/>
        </w:rPr>
        <w:t>)</w:t>
      </w:r>
      <w:r w:rsidRPr="00A52129" w:rsidR="002A60F3">
        <w:rPr>
          <w:lang w:val="en-GB"/>
        </w:rPr>
        <w:t xml:space="preserve"> on 15</w:t>
      </w:r>
      <w:r w:rsidR="00DF02BF">
        <w:rPr>
          <w:lang w:val="en-GB"/>
        </w:rPr>
        <w:t> </w:t>
      </w:r>
      <w:r w:rsidRPr="00A52129" w:rsidR="009B69A3">
        <w:rPr>
          <w:lang w:val="en-GB"/>
        </w:rPr>
        <w:t xml:space="preserve">December 2004 the Autonomous Trade Union for the Health Service and Social Protection Service of Croatia and the Croatian </w:t>
      </w:r>
      <w:r w:rsidR="00AB4B30">
        <w:rPr>
          <w:lang w:val="en-GB"/>
        </w:rPr>
        <w:t xml:space="preserve">Professional </w:t>
      </w:r>
      <w:r w:rsidRPr="00A52129" w:rsidR="009B69A3">
        <w:rPr>
          <w:lang w:val="en-GB"/>
        </w:rPr>
        <w:t>Trade Union of Nurses brought a civil action in the Zagreb</w:t>
      </w:r>
      <w:r w:rsidRPr="002A60F3" w:rsidR="009B69A3">
        <w:rPr>
          <w:lang w:val="en-GB"/>
        </w:rPr>
        <w:t xml:space="preserve"> Municipal Court (</w:t>
      </w:r>
      <w:r w:rsidRPr="002A60F3" w:rsidR="009B69A3">
        <w:rPr>
          <w:i/>
          <w:lang w:val="en-GB"/>
        </w:rPr>
        <w:t>Općinski sud u Zagrebu</w:t>
      </w:r>
      <w:r w:rsidRPr="002A60F3" w:rsidR="009B69A3">
        <w:rPr>
          <w:lang w:val="en-GB"/>
        </w:rPr>
        <w:t>) against the State and the applicant union</w:t>
      </w:r>
      <w:r w:rsidR="005237EB">
        <w:rPr>
          <w:lang w:val="en-GB"/>
        </w:rPr>
        <w:t>,</w:t>
      </w:r>
      <w:r w:rsidRPr="002A60F3" w:rsidR="009B69A3">
        <w:rPr>
          <w:lang w:val="en-GB"/>
        </w:rPr>
        <w:t xml:space="preserve"> seeking to declare the Annex null and void.</w:t>
      </w:r>
    </w:p>
    <w:p w:rsidRPr="002A60F3" w:rsidR="009B69A3" w:rsidP="009B69A3" w:rsidRDefault="00705044">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27</w:t>
      </w:r>
      <w:r w:rsidRPr="002A60F3">
        <w:rPr>
          <w:lang w:val="en-GB"/>
        </w:rPr>
        <w:fldChar w:fldCharType="end"/>
      </w:r>
      <w:r w:rsidRPr="002A60F3">
        <w:rPr>
          <w:lang w:val="en-GB"/>
        </w:rPr>
        <w:t>.  </w:t>
      </w:r>
      <w:r w:rsidRPr="002A60F3" w:rsidR="009B69A3">
        <w:rPr>
          <w:lang w:val="en-GB"/>
        </w:rPr>
        <w:t>On 19 October 2006 the Zagreb Municipal Court found for the plaintiffs and declared the Annex null and void.</w:t>
      </w:r>
    </w:p>
    <w:p w:rsidRPr="006752CE" w:rsidR="009B69A3" w:rsidP="009B69A3" w:rsidRDefault="00705044">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28</w:t>
      </w:r>
      <w:r w:rsidRPr="002A60F3">
        <w:rPr>
          <w:lang w:val="en-GB"/>
        </w:rPr>
        <w:fldChar w:fldCharType="end"/>
      </w:r>
      <w:r w:rsidRPr="002A60F3">
        <w:rPr>
          <w:lang w:val="en-GB"/>
        </w:rPr>
        <w:t>.  </w:t>
      </w:r>
      <w:r w:rsidRPr="002A60F3" w:rsidR="009B69A3">
        <w:rPr>
          <w:lang w:val="en-GB"/>
        </w:rPr>
        <w:t xml:space="preserve">On 16 December 2008 the Zagreb County Court dismissed the </w:t>
      </w:r>
      <w:r w:rsidRPr="006752CE" w:rsidR="009B69A3">
        <w:rPr>
          <w:lang w:val="en-GB"/>
        </w:rPr>
        <w:t>applicant union</w:t>
      </w:r>
      <w:r w:rsidR="00A32E76">
        <w:rPr>
          <w:lang w:val="en-GB"/>
        </w:rPr>
        <w:t>’</w:t>
      </w:r>
      <w:r w:rsidRPr="006752CE" w:rsidR="009B69A3">
        <w:rPr>
          <w:lang w:val="en-GB"/>
        </w:rPr>
        <w:t>s appeal and upheld the first-instance judgment</w:t>
      </w:r>
      <w:r w:rsidRPr="006752CE" w:rsidR="005436E9">
        <w:rPr>
          <w:lang w:val="en-GB"/>
        </w:rPr>
        <w:t>, which thereby became final</w:t>
      </w:r>
      <w:r w:rsidRPr="006752CE" w:rsidR="009B69A3">
        <w:rPr>
          <w:lang w:val="en-GB"/>
        </w:rPr>
        <w:t>.</w:t>
      </w:r>
    </w:p>
    <w:p w:rsidRPr="006752CE" w:rsidR="009B69A3" w:rsidP="009B69A3" w:rsidRDefault="00705044">
      <w:pPr>
        <w:pStyle w:val="ECHRPara"/>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29</w:t>
      </w:r>
      <w:r w:rsidRPr="006752CE">
        <w:rPr>
          <w:lang w:val="en-GB"/>
        </w:rPr>
        <w:fldChar w:fldCharType="end"/>
      </w:r>
      <w:r w:rsidRPr="006752CE">
        <w:rPr>
          <w:lang w:val="en-GB"/>
        </w:rPr>
        <w:t>.  </w:t>
      </w:r>
      <w:r w:rsidRPr="006752CE" w:rsidR="009B69A3">
        <w:rPr>
          <w:lang w:val="en-GB"/>
        </w:rPr>
        <w:t xml:space="preserve">On 17 March 2010 the Supreme Court dismissed </w:t>
      </w:r>
      <w:r w:rsidRPr="006752CE" w:rsidR="0046637B">
        <w:rPr>
          <w:lang w:val="en-GB"/>
        </w:rPr>
        <w:t xml:space="preserve">a </w:t>
      </w:r>
      <w:r w:rsidRPr="006752CE" w:rsidR="009B69A3">
        <w:rPr>
          <w:lang w:val="en-GB"/>
        </w:rPr>
        <w:t>subsequent appeal on points of law (</w:t>
      </w:r>
      <w:r w:rsidRPr="006752CE" w:rsidR="009B69A3">
        <w:rPr>
          <w:i/>
          <w:lang w:val="en-GB"/>
        </w:rPr>
        <w:t>revizija</w:t>
      </w:r>
      <w:r w:rsidRPr="006752CE" w:rsidR="009B69A3">
        <w:rPr>
          <w:lang w:val="en-GB"/>
        </w:rPr>
        <w:t>)</w:t>
      </w:r>
      <w:r w:rsidRPr="006752CE" w:rsidR="0046637B">
        <w:rPr>
          <w:lang w:val="en-GB"/>
        </w:rPr>
        <w:t xml:space="preserve"> lodged by the applicant union</w:t>
      </w:r>
      <w:r w:rsidRPr="006752CE" w:rsidR="009B69A3">
        <w:rPr>
          <w:lang w:val="en-GB"/>
        </w:rPr>
        <w:t xml:space="preserve">. </w:t>
      </w:r>
      <w:r w:rsidRPr="006752CE" w:rsidR="005237EB">
        <w:rPr>
          <w:lang w:val="en-GB"/>
        </w:rPr>
        <w:t xml:space="preserve">It </w:t>
      </w:r>
      <w:r w:rsidRPr="006752CE" w:rsidR="009B69A3">
        <w:rPr>
          <w:lang w:val="en-GB"/>
        </w:rPr>
        <w:t xml:space="preserve">endorsed the reasoning of the lower courts which </w:t>
      </w:r>
      <w:r w:rsidRPr="006752CE" w:rsidR="005237EB">
        <w:rPr>
          <w:lang w:val="en-GB"/>
        </w:rPr>
        <w:t xml:space="preserve">had </w:t>
      </w:r>
      <w:r w:rsidRPr="006752CE" w:rsidR="009B69A3">
        <w:rPr>
          <w:lang w:val="en-GB"/>
        </w:rPr>
        <w:t xml:space="preserve">found the Annex invalid because it had not been entered into by all the trade unions that had concluded the </w:t>
      </w:r>
      <w:r w:rsidRPr="006752CE" w:rsidR="007C2907">
        <w:rPr>
          <w:lang w:val="en-GB"/>
        </w:rPr>
        <w:t xml:space="preserve">main </w:t>
      </w:r>
      <w:r w:rsidRPr="006752CE" w:rsidR="009B69A3">
        <w:rPr>
          <w:lang w:val="en-GB"/>
        </w:rPr>
        <w:t>Collective Agreement</w:t>
      </w:r>
      <w:r w:rsidRPr="006752CE" w:rsidR="007A33B0">
        <w:rPr>
          <w:lang w:val="en-GB"/>
        </w:rPr>
        <w:t>, contrary to section 186</w:t>
      </w:r>
      <w:r w:rsidRPr="006752CE" w:rsidR="009B69A3">
        <w:rPr>
          <w:lang w:val="en-GB"/>
        </w:rPr>
        <w:t xml:space="preserve">(1) of the </w:t>
      </w:r>
      <w:r w:rsidRPr="006752CE" w:rsidR="00487A8D">
        <w:rPr>
          <w:lang w:val="en-GB"/>
        </w:rPr>
        <w:t>Labour Act</w:t>
      </w:r>
      <w:r w:rsidR="00AA5D8E">
        <w:rPr>
          <w:lang w:val="en-GB"/>
        </w:rPr>
        <w:t xml:space="preserve"> (see paragraph </w:t>
      </w:r>
      <w:r w:rsidR="003D2E56">
        <w:rPr>
          <w:lang w:val="en-GB"/>
        </w:rPr>
        <w:t>32</w:t>
      </w:r>
      <w:r w:rsidRPr="006752CE" w:rsidR="00266D58">
        <w:rPr>
          <w:lang w:val="en-GB"/>
        </w:rPr>
        <w:t xml:space="preserve"> below)</w:t>
      </w:r>
      <w:r w:rsidRPr="006752CE" w:rsidR="009B69A3">
        <w:rPr>
          <w:lang w:val="en-GB"/>
        </w:rPr>
        <w:t xml:space="preserve"> and </w:t>
      </w:r>
      <w:r w:rsidRPr="006752CE" w:rsidR="0046637B">
        <w:rPr>
          <w:lang w:val="en-GB"/>
        </w:rPr>
        <w:t xml:space="preserve">clause </w:t>
      </w:r>
      <w:r w:rsidRPr="006752CE" w:rsidR="009B69A3">
        <w:rPr>
          <w:lang w:val="en-GB"/>
        </w:rPr>
        <w:t>21 of that collective agreement</w:t>
      </w:r>
      <w:r w:rsidRPr="006752CE" w:rsidR="00266D58">
        <w:rPr>
          <w:lang w:val="en-GB"/>
        </w:rPr>
        <w:t xml:space="preserve"> (</w:t>
      </w:r>
      <w:r w:rsidR="00AA5D8E">
        <w:rPr>
          <w:lang w:val="en-GB"/>
        </w:rPr>
        <w:t>see paragraph 3</w:t>
      </w:r>
      <w:r w:rsidR="003D2E56">
        <w:rPr>
          <w:lang w:val="en-GB"/>
        </w:rPr>
        <w:t>6</w:t>
      </w:r>
      <w:r w:rsidRPr="006752CE" w:rsidR="00266D58">
        <w:rPr>
          <w:lang w:val="en-GB"/>
        </w:rPr>
        <w:t xml:space="preserve"> below)</w:t>
      </w:r>
      <w:r w:rsidRPr="006752CE" w:rsidR="009B69A3">
        <w:rPr>
          <w:lang w:val="en-GB"/>
        </w:rPr>
        <w:t>.</w:t>
      </w:r>
    </w:p>
    <w:p w:rsidRPr="006752CE" w:rsidR="00345E0E" w:rsidP="009B69A3" w:rsidRDefault="00CB49A1">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30</w:t>
      </w:r>
      <w:r>
        <w:rPr>
          <w:lang w:val="en-GB"/>
        </w:rPr>
        <w:fldChar w:fldCharType="end"/>
      </w:r>
      <w:r>
        <w:rPr>
          <w:lang w:val="en-GB"/>
        </w:rPr>
        <w:t>.  </w:t>
      </w:r>
      <w:r w:rsidRPr="006752CE" w:rsidR="00345E0E">
        <w:rPr>
          <w:lang w:val="en-GB"/>
        </w:rPr>
        <w:t xml:space="preserve">On 16 March 2011 the Constitutional Court dismissed </w:t>
      </w:r>
      <w:r w:rsidRPr="006752CE" w:rsidR="0046637B">
        <w:rPr>
          <w:lang w:val="en-GB"/>
        </w:rPr>
        <w:t xml:space="preserve">a </w:t>
      </w:r>
      <w:r w:rsidRPr="006752CE" w:rsidR="00345E0E">
        <w:rPr>
          <w:lang w:val="en-GB"/>
        </w:rPr>
        <w:t>constitutional complaint</w:t>
      </w:r>
      <w:r w:rsidRPr="006752CE" w:rsidR="0046637B">
        <w:rPr>
          <w:lang w:val="en-GB"/>
        </w:rPr>
        <w:t xml:space="preserve"> lodged by the applicant </w:t>
      </w:r>
      <w:r w:rsidRPr="006752CE" w:rsidR="005C3D15">
        <w:rPr>
          <w:lang w:val="en-GB"/>
        </w:rPr>
        <w:t>union</w:t>
      </w:r>
      <w:r w:rsidRPr="006752CE" w:rsidR="00345E0E">
        <w:rPr>
          <w:lang w:val="en-GB"/>
        </w:rPr>
        <w:t>.</w:t>
      </w:r>
    </w:p>
    <w:p w:rsidRPr="006752CE" w:rsidR="007352DD" w:rsidP="008824B9" w:rsidRDefault="00705044">
      <w:pPr>
        <w:pStyle w:val="ECHRHeading1"/>
        <w:rPr>
          <w:lang w:val="en-GB"/>
        </w:rPr>
      </w:pPr>
      <w:r w:rsidRPr="006752CE">
        <w:rPr>
          <w:lang w:val="en-GB"/>
        </w:rPr>
        <w:t>II.  R</w:t>
      </w:r>
      <w:r w:rsidRPr="006752CE" w:rsidR="007352DD">
        <w:rPr>
          <w:lang w:val="en-GB"/>
        </w:rPr>
        <w:t>E</w:t>
      </w:r>
      <w:r w:rsidRPr="006752CE">
        <w:rPr>
          <w:lang w:val="en-GB"/>
        </w:rPr>
        <w:t>LE</w:t>
      </w:r>
      <w:r w:rsidRPr="006752CE" w:rsidR="00B87B8B">
        <w:rPr>
          <w:lang w:val="en-GB"/>
        </w:rPr>
        <w:t>VANT DOMESTIC LAW</w:t>
      </w:r>
    </w:p>
    <w:p w:rsidR="00DC565E" w:rsidP="008C3ABE" w:rsidRDefault="008C3ABE">
      <w:pPr>
        <w:pStyle w:val="ECHRHeading2"/>
        <w:rPr>
          <w:lang w:val="en-GB"/>
        </w:rPr>
      </w:pPr>
      <w:r w:rsidRPr="006752CE">
        <w:rPr>
          <w:lang w:val="en-GB"/>
        </w:rPr>
        <w:t>A.  The Constitution</w:t>
      </w:r>
    </w:p>
    <w:p w:rsidRPr="006752CE" w:rsidR="008C3ABE" w:rsidP="00C81BE2" w:rsidRDefault="008C3ABE">
      <w:pPr>
        <w:pStyle w:val="ECHRPara"/>
        <w:rPr>
          <w:rFonts w:eastAsia="Calibri"/>
        </w:rPr>
      </w:pPr>
      <w:r w:rsidRPr="006752CE">
        <w:rPr>
          <w:rFonts w:eastAsia="Calibri"/>
        </w:rPr>
        <w:fldChar w:fldCharType="begin"/>
      </w:r>
      <w:r w:rsidRPr="006752CE">
        <w:rPr>
          <w:rFonts w:eastAsia="Calibri"/>
        </w:rPr>
        <w:instrText xml:space="preserve"> SEQ level0 \*arabic </w:instrText>
      </w:r>
      <w:r w:rsidRPr="006752CE">
        <w:rPr>
          <w:rFonts w:eastAsia="Calibri"/>
        </w:rPr>
        <w:fldChar w:fldCharType="separate"/>
      </w:r>
      <w:r w:rsidR="00D802F9">
        <w:rPr>
          <w:rFonts w:eastAsia="Calibri"/>
          <w:noProof/>
        </w:rPr>
        <w:t>31</w:t>
      </w:r>
      <w:r w:rsidRPr="006752CE">
        <w:rPr>
          <w:rFonts w:eastAsia="Calibri"/>
        </w:rPr>
        <w:fldChar w:fldCharType="end"/>
      </w:r>
      <w:r w:rsidRPr="006752CE">
        <w:rPr>
          <w:rFonts w:eastAsia="Calibri"/>
        </w:rPr>
        <w:t>.  The relevant Articles of the Constitution of the Republic of Croatia (</w:t>
      </w:r>
      <w:r w:rsidRPr="006752CE">
        <w:rPr>
          <w:rFonts w:eastAsia="Calibri"/>
          <w:i/>
        </w:rPr>
        <w:t>Ustav Republike Hrvatske</w:t>
      </w:r>
      <w:r w:rsidRPr="006752CE">
        <w:rPr>
          <w:rFonts w:eastAsia="Calibri"/>
        </w:rPr>
        <w:t>, Official Gazette no. 56/90 with subsequent amendments) read as follows:</w:t>
      </w:r>
    </w:p>
    <w:p w:rsidRPr="00DC565E" w:rsidR="008C3ABE" w:rsidP="00451956" w:rsidRDefault="008C3ABE">
      <w:pPr>
        <w:pStyle w:val="ECHRTitleCentre3"/>
        <w:rPr>
          <w:rFonts w:eastAsia="Calibri"/>
          <w:lang w:val="en-GB"/>
        </w:rPr>
      </w:pPr>
      <w:r w:rsidRPr="00DC565E">
        <w:rPr>
          <w:rFonts w:eastAsia="Calibri"/>
          <w:lang w:val="en-GB"/>
        </w:rPr>
        <w:t>Article 43(1)</w:t>
      </w:r>
    </w:p>
    <w:p w:rsidRPr="00B7322E" w:rsidR="008C3ABE" w:rsidP="00C81BE2" w:rsidRDefault="008C3ABE">
      <w:pPr>
        <w:pStyle w:val="ECHRParaQuote"/>
        <w:rPr>
          <w:rFonts w:eastAsia="Calibri"/>
          <w:lang w:val="en-US"/>
        </w:rPr>
      </w:pPr>
      <w:r w:rsidRPr="00B7322E">
        <w:rPr>
          <w:rFonts w:eastAsia="Calibri"/>
          <w:lang w:val="en-US"/>
        </w:rPr>
        <w:t>“Everyone shall be guaranteed the right to freedom of association for the protection of their common interests or for the promotion of social, economic, political, national, cultural and other convictions and aims. For this purpose, anyone may freely form trade unions and other associations, join them or leave them, in accordance with the law.”</w:t>
      </w:r>
    </w:p>
    <w:p w:rsidRPr="00185705" w:rsidR="008C3ABE" w:rsidP="00185705" w:rsidRDefault="008C3ABE">
      <w:pPr>
        <w:pStyle w:val="ECHRTitleCentre3"/>
        <w:rPr>
          <w:rFonts w:eastAsia="Calibri"/>
          <w:b w:val="0"/>
          <w:lang w:val="en-GB"/>
        </w:rPr>
      </w:pPr>
      <w:r w:rsidRPr="00185705">
        <w:rPr>
          <w:rFonts w:eastAsia="Calibri"/>
          <w:lang w:val="en-US"/>
        </w:rPr>
        <w:t>Article 59(1)</w:t>
      </w:r>
    </w:p>
    <w:p w:rsidRPr="00B7322E" w:rsidR="008C3ABE" w:rsidP="00C81BE2" w:rsidRDefault="008C3ABE">
      <w:pPr>
        <w:pStyle w:val="ECHRParaQuote"/>
        <w:rPr>
          <w:rFonts w:eastAsia="Calibri"/>
          <w:lang w:val="en-US"/>
        </w:rPr>
      </w:pPr>
      <w:r w:rsidRPr="00B7322E">
        <w:rPr>
          <w:rFonts w:eastAsia="Calibri"/>
          <w:lang w:val="en-US"/>
        </w:rPr>
        <w:t>“In order to protect their economic and social interests, all employees shall have the right to form trade unions and to freely join them or leave them.”</w:t>
      </w:r>
    </w:p>
    <w:p w:rsidRPr="00185705" w:rsidR="008C3ABE" w:rsidP="00185705" w:rsidRDefault="008C3ABE">
      <w:pPr>
        <w:pStyle w:val="ECHRTitleCentre3"/>
        <w:rPr>
          <w:rFonts w:eastAsia="Calibri"/>
          <w:b w:val="0"/>
          <w:lang w:val="en-GB"/>
        </w:rPr>
      </w:pPr>
      <w:r w:rsidRPr="00185705">
        <w:rPr>
          <w:rFonts w:eastAsia="Calibri"/>
          <w:lang w:val="en-US"/>
        </w:rPr>
        <w:t>Article 60</w:t>
      </w:r>
    </w:p>
    <w:p w:rsidRPr="00B7322E" w:rsidR="008C3ABE" w:rsidP="00C81BE2" w:rsidRDefault="008C3ABE">
      <w:pPr>
        <w:pStyle w:val="ECHRParaQuote"/>
        <w:rPr>
          <w:rFonts w:eastAsia="Calibri"/>
          <w:lang w:val="en-US"/>
        </w:rPr>
      </w:pPr>
      <w:r w:rsidRPr="00B7322E">
        <w:rPr>
          <w:rFonts w:eastAsia="Calibri"/>
          <w:lang w:val="en-US"/>
        </w:rPr>
        <w:t>“The right to strike shall be guaranteed.</w:t>
      </w:r>
    </w:p>
    <w:p w:rsidRPr="00B7322E" w:rsidR="008C3ABE" w:rsidP="00C81BE2" w:rsidRDefault="008C3ABE">
      <w:pPr>
        <w:pStyle w:val="ECHRParaQuote"/>
        <w:rPr>
          <w:rFonts w:eastAsia="Calibri"/>
          <w:lang w:val="en-US"/>
        </w:rPr>
      </w:pPr>
      <w:r w:rsidRPr="00B7322E">
        <w:rPr>
          <w:rFonts w:eastAsia="Calibri"/>
          <w:lang w:val="en-US"/>
        </w:rPr>
        <w:t>The right to strike may be restricted in the armed forces, the police, the civil service and public services specified by law.”</w:t>
      </w:r>
    </w:p>
    <w:p w:rsidRPr="002A60F3" w:rsidR="00AB6DCE" w:rsidP="00AB6DCE" w:rsidRDefault="008C3ABE">
      <w:pPr>
        <w:pStyle w:val="ECHRHeading2"/>
        <w:rPr>
          <w:lang w:val="en-GB"/>
        </w:rPr>
      </w:pPr>
      <w:r>
        <w:rPr>
          <w:lang w:val="en-GB"/>
        </w:rPr>
        <w:t>B</w:t>
      </w:r>
      <w:r w:rsidRPr="002A60F3" w:rsidR="00AB6DCE">
        <w:rPr>
          <w:lang w:val="en-GB"/>
        </w:rPr>
        <w:t xml:space="preserve">.  The </w:t>
      </w:r>
      <w:r w:rsidR="00487A8D">
        <w:rPr>
          <w:lang w:val="en-GB"/>
        </w:rPr>
        <w:t>Labour Act</w:t>
      </w:r>
    </w:p>
    <w:p w:rsidRPr="002A60F3" w:rsidR="00826BEA" w:rsidP="00826BEA" w:rsidRDefault="00826BEA">
      <w:pPr>
        <w:pStyle w:val="ECHRHeading3"/>
        <w:rPr>
          <w:lang w:val="en-GB"/>
        </w:rPr>
      </w:pPr>
      <w:r w:rsidRPr="002A60F3">
        <w:rPr>
          <w:lang w:val="en-GB"/>
        </w:rPr>
        <w:t>1.  Relevant provisions</w:t>
      </w:r>
    </w:p>
    <w:p w:rsidRPr="002A60F3" w:rsidR="00AB6DCE" w:rsidP="00AB6DCE" w:rsidRDefault="00AB6DCE">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32</w:t>
      </w:r>
      <w:r w:rsidRPr="002A60F3">
        <w:rPr>
          <w:lang w:val="en-GB"/>
        </w:rPr>
        <w:fldChar w:fldCharType="end"/>
      </w:r>
      <w:r w:rsidRPr="002A60F3">
        <w:rPr>
          <w:lang w:val="en-GB"/>
        </w:rPr>
        <w:t xml:space="preserve">.  The relevant provisions of the </w:t>
      </w:r>
      <w:r w:rsidR="00487A8D">
        <w:rPr>
          <w:lang w:val="en-GB"/>
        </w:rPr>
        <w:t>Labour Act</w:t>
      </w:r>
      <w:r w:rsidR="008C3ABE">
        <w:rPr>
          <w:lang w:val="en-GB"/>
        </w:rPr>
        <w:t xml:space="preserve"> of 1995</w:t>
      </w:r>
      <w:r w:rsidRPr="002A60F3">
        <w:rPr>
          <w:lang w:val="en-GB"/>
        </w:rPr>
        <w:t xml:space="preserve"> (</w:t>
      </w:r>
      <w:r w:rsidRPr="002A60F3">
        <w:rPr>
          <w:i/>
          <w:lang w:val="en-GB"/>
        </w:rPr>
        <w:t>Zakon o radu</w:t>
      </w:r>
      <w:r w:rsidR="008C3ABE">
        <w:rPr>
          <w:lang w:val="en-GB"/>
        </w:rPr>
        <w:t>, Official Gazette no. 38/95</w:t>
      </w:r>
      <w:r w:rsidRPr="002A60F3">
        <w:rPr>
          <w:lang w:val="en-GB"/>
        </w:rPr>
        <w:t xml:space="preserve"> </w:t>
      </w:r>
      <w:r w:rsidRPr="008C3ABE" w:rsidR="008C3ABE">
        <w:rPr>
          <w:rFonts w:eastAsia="Calibri"/>
        </w:rPr>
        <w:t>with subsequent amendments</w:t>
      </w:r>
      <w:r w:rsidRPr="002A60F3">
        <w:rPr>
          <w:lang w:val="en-GB"/>
        </w:rPr>
        <w:t xml:space="preserve">), which was in force between 1 January 1996 and 1 January 2010, </w:t>
      </w:r>
      <w:r w:rsidR="007C2907">
        <w:rPr>
          <w:lang w:val="en-GB"/>
        </w:rPr>
        <w:t>at the material time</w:t>
      </w:r>
      <w:r w:rsidR="00166FA7">
        <w:rPr>
          <w:lang w:val="en-GB"/>
        </w:rPr>
        <w:t xml:space="preserve"> </w:t>
      </w:r>
      <w:r w:rsidRPr="002A60F3">
        <w:rPr>
          <w:lang w:val="en-GB"/>
        </w:rPr>
        <w:t>provided as follows:</w:t>
      </w:r>
    </w:p>
    <w:p w:rsidRPr="00185705" w:rsidR="00AB6DCE" w:rsidRDefault="00AB6DCE">
      <w:pPr>
        <w:pStyle w:val="ECHRTitleCentre3"/>
        <w:rPr>
          <w:lang w:val="en-US"/>
        </w:rPr>
      </w:pPr>
      <w:r w:rsidRPr="00185705">
        <w:rPr>
          <w:lang w:val="en-US"/>
        </w:rPr>
        <w:t>Trade unions</w:t>
      </w:r>
      <w:r w:rsidR="00A32E76">
        <w:rPr>
          <w:lang w:val="en-US"/>
        </w:rPr>
        <w:t>’</w:t>
      </w:r>
      <w:r w:rsidRPr="00185705" w:rsidR="00516B39">
        <w:rPr>
          <w:lang w:val="en-US"/>
        </w:rPr>
        <w:t xml:space="preserve"> </w:t>
      </w:r>
      <w:r w:rsidRPr="00185705">
        <w:rPr>
          <w:lang w:val="en-US"/>
        </w:rPr>
        <w:t>collective bargaining committee</w:t>
      </w:r>
    </w:p>
    <w:p w:rsidRPr="00185705" w:rsidR="00AB6DCE" w:rsidRDefault="00AB6DCE">
      <w:pPr>
        <w:pStyle w:val="ECHRTitleCentre3"/>
        <w:rPr>
          <w:lang w:val="en-US"/>
        </w:rPr>
      </w:pPr>
      <w:r w:rsidRPr="00185705">
        <w:rPr>
          <w:lang w:val="en-US"/>
        </w:rPr>
        <w:t xml:space="preserve">Section </w:t>
      </w:r>
      <w:r w:rsidRPr="00185705" w:rsidR="00AD59DC">
        <w:rPr>
          <w:lang w:val="en-US"/>
        </w:rPr>
        <w:t>186</w:t>
      </w:r>
      <w:r w:rsidRPr="00185705">
        <w:rPr>
          <w:lang w:val="en-US"/>
        </w:rPr>
        <w:t>(1)</w:t>
      </w:r>
    </w:p>
    <w:p w:rsidRPr="002A60F3" w:rsidR="00AB6DCE" w:rsidP="00AB6DCE" w:rsidRDefault="00AB6DCE">
      <w:pPr>
        <w:pStyle w:val="ECHRParaQuote"/>
        <w:rPr>
          <w:lang w:val="en-GB" w:eastAsia="en-GB"/>
        </w:rPr>
      </w:pPr>
      <w:r w:rsidRPr="002A60F3">
        <w:rPr>
          <w:lang w:val="en-GB" w:eastAsia="en-GB"/>
        </w:rPr>
        <w:t>“</w:t>
      </w:r>
      <w:r w:rsidRPr="002A60F3">
        <w:rPr>
          <w:lang w:val="en-GB"/>
        </w:rPr>
        <w:t xml:space="preserve">If more than one trade union </w:t>
      </w:r>
      <w:r w:rsidR="00451956">
        <w:rPr>
          <w:lang w:val="en-GB"/>
        </w:rPr>
        <w:t>...</w:t>
      </w:r>
      <w:r w:rsidRPr="002A60F3">
        <w:rPr>
          <w:lang w:val="en-GB"/>
        </w:rPr>
        <w:t xml:space="preserve"> exists in the sector in respect of which a collective agreement is to be concluded, the employer </w:t>
      </w:r>
      <w:r w:rsidR="00451956">
        <w:rPr>
          <w:lang w:val="en-GB"/>
        </w:rPr>
        <w:t>...</w:t>
      </w:r>
      <w:r w:rsidRPr="002A60F3">
        <w:rPr>
          <w:lang w:val="en-GB"/>
        </w:rPr>
        <w:t xml:space="preserve"> may negotiate a collective agreement only with a bargaining committee composed of representatives of those trade unions.”</w:t>
      </w:r>
    </w:p>
    <w:p w:rsidR="00DC565E" w:rsidP="00AD59DC" w:rsidRDefault="0046637B">
      <w:pPr>
        <w:pStyle w:val="ECHRTitleCentre3"/>
        <w:rPr>
          <w:lang w:val="en-GB" w:eastAsia="en-GB"/>
        </w:rPr>
      </w:pPr>
      <w:r>
        <w:rPr>
          <w:lang w:val="en-GB" w:eastAsia="en-GB"/>
        </w:rPr>
        <w:t>D</w:t>
      </w:r>
      <w:r w:rsidRPr="002A60F3" w:rsidR="00AD59DC">
        <w:rPr>
          <w:lang w:val="en-GB" w:eastAsia="en-GB"/>
        </w:rPr>
        <w:t>uty to comply in good faith with obligations arising from a collective agreement</w:t>
      </w:r>
    </w:p>
    <w:p w:rsidRPr="002A60F3" w:rsidR="00AD59DC" w:rsidP="00AD59DC" w:rsidRDefault="00AD59DC">
      <w:pPr>
        <w:pStyle w:val="ECHRTitleCentre3"/>
        <w:rPr>
          <w:lang w:val="en-GB" w:eastAsia="en-GB"/>
        </w:rPr>
      </w:pPr>
      <w:r w:rsidRPr="002A60F3">
        <w:rPr>
          <w:lang w:val="en-GB" w:eastAsia="en-GB"/>
        </w:rPr>
        <w:t>Section 191</w:t>
      </w:r>
    </w:p>
    <w:p w:rsidRPr="002A60F3" w:rsidR="00AD59DC" w:rsidP="00AD59DC" w:rsidRDefault="00AD59DC">
      <w:pPr>
        <w:pStyle w:val="ECHRParaQuote"/>
        <w:rPr>
          <w:lang w:val="en-GB" w:eastAsia="en-GB"/>
        </w:rPr>
      </w:pPr>
      <w:r w:rsidRPr="002A60F3">
        <w:rPr>
          <w:lang w:val="en-GB" w:eastAsia="en-GB"/>
        </w:rPr>
        <w:t>“(1)</w:t>
      </w:r>
      <w:r w:rsidR="00EF7630">
        <w:rPr>
          <w:lang w:val="en-GB" w:eastAsia="en-GB"/>
        </w:rPr>
        <w:t>  </w:t>
      </w:r>
      <w:r w:rsidRPr="002A60F3">
        <w:rPr>
          <w:lang w:val="en-GB" w:eastAsia="en-GB"/>
        </w:rPr>
        <w:t>The parties to a collective agreement and persons to whom it applies shall comply with its provisions in good faith.</w:t>
      </w:r>
    </w:p>
    <w:p w:rsidRPr="002A60F3" w:rsidR="00AD59DC" w:rsidP="00AD59DC" w:rsidRDefault="00AD59DC">
      <w:pPr>
        <w:pStyle w:val="ECHRParaQuote"/>
        <w:rPr>
          <w:lang w:val="en-GB" w:eastAsia="en-GB"/>
        </w:rPr>
      </w:pPr>
      <w:r w:rsidRPr="002A60F3">
        <w:rPr>
          <w:lang w:val="en-GB" w:eastAsia="en-GB"/>
        </w:rPr>
        <w:t>(2)</w:t>
      </w:r>
      <w:r w:rsidR="00EF7630">
        <w:rPr>
          <w:lang w:val="en-GB" w:eastAsia="en-GB"/>
        </w:rPr>
        <w:t>  </w:t>
      </w:r>
      <w:r w:rsidRPr="002A60F3">
        <w:rPr>
          <w:lang w:val="en-GB" w:eastAsia="en-GB"/>
        </w:rPr>
        <w:t>An injured party or a person to whom a collective agreement applies may claim compensation for the damage sustained as a result of non-compliance with the obligations arising from it.”</w:t>
      </w:r>
    </w:p>
    <w:p w:rsidRPr="002A60F3" w:rsidR="00AD59DC" w:rsidP="00AD59DC" w:rsidRDefault="00AD59DC">
      <w:pPr>
        <w:pStyle w:val="ECHRTitleCentre3"/>
        <w:rPr>
          <w:lang w:val="en-GB" w:eastAsia="en-GB"/>
        </w:rPr>
      </w:pPr>
      <w:r w:rsidRPr="002A60F3">
        <w:rPr>
          <w:lang w:val="en-GB" w:eastAsia="en-GB"/>
        </w:rPr>
        <w:t>Judicial protection of the rights arising from a collective agreement</w:t>
      </w:r>
    </w:p>
    <w:p w:rsidRPr="002A60F3" w:rsidR="00AD59DC" w:rsidP="00AD59DC" w:rsidRDefault="00AD59DC">
      <w:pPr>
        <w:pStyle w:val="ECHRTitleCentre3"/>
        <w:rPr>
          <w:lang w:val="en-GB" w:eastAsia="en-GB"/>
        </w:rPr>
      </w:pPr>
      <w:r w:rsidRPr="002A60F3">
        <w:rPr>
          <w:lang w:val="en-GB" w:eastAsia="en-GB"/>
        </w:rPr>
        <w:t>Section 202</w:t>
      </w:r>
    </w:p>
    <w:p w:rsidRPr="002A60F3" w:rsidR="00AD59DC" w:rsidP="00AD59DC" w:rsidRDefault="00AD59DC">
      <w:pPr>
        <w:pStyle w:val="ECHRParaQuote"/>
        <w:rPr>
          <w:lang w:val="en-GB" w:eastAsia="en-GB"/>
        </w:rPr>
      </w:pPr>
      <w:r w:rsidRPr="002A60F3">
        <w:rPr>
          <w:lang w:val="en-GB" w:eastAsia="en-GB"/>
        </w:rPr>
        <w:t>“A party to a collective agreement may seek judicial protection of the rights arising from such an agreement by bringing an action in the competent court.”</w:t>
      </w:r>
    </w:p>
    <w:p w:rsidRPr="002A60F3" w:rsidR="00AB6DCE" w:rsidP="00AB6DCE" w:rsidRDefault="00AB6DCE">
      <w:pPr>
        <w:pStyle w:val="ECHRTitleCentre3"/>
        <w:rPr>
          <w:lang w:val="en-GB"/>
        </w:rPr>
      </w:pPr>
      <w:r w:rsidRPr="002A60F3">
        <w:rPr>
          <w:lang w:val="en-GB"/>
        </w:rPr>
        <w:t>Strike</w:t>
      </w:r>
      <w:r w:rsidR="0046637B">
        <w:rPr>
          <w:lang w:val="en-GB"/>
        </w:rPr>
        <w:t>s</w:t>
      </w:r>
      <w:r w:rsidRPr="002A60F3">
        <w:rPr>
          <w:lang w:val="en-GB"/>
        </w:rPr>
        <w:t xml:space="preserve"> and solidarity strike</w:t>
      </w:r>
      <w:r w:rsidR="0046637B">
        <w:rPr>
          <w:lang w:val="en-GB"/>
        </w:rPr>
        <w:t>s</w:t>
      </w:r>
    </w:p>
    <w:p w:rsidRPr="002A60F3" w:rsidR="00AB6DCE" w:rsidP="00AB6DCE" w:rsidRDefault="001D6DCE">
      <w:pPr>
        <w:pStyle w:val="ECHRTitleCentre3"/>
        <w:rPr>
          <w:lang w:val="en-GB"/>
        </w:rPr>
      </w:pPr>
      <w:r w:rsidRPr="002A60F3">
        <w:rPr>
          <w:lang w:val="en-GB"/>
        </w:rPr>
        <w:t>Section 210</w:t>
      </w:r>
      <w:r w:rsidRPr="002A60F3" w:rsidR="00AB6DCE">
        <w:rPr>
          <w:lang w:val="en-GB"/>
        </w:rPr>
        <w:t>(1)</w:t>
      </w:r>
    </w:p>
    <w:p w:rsidRPr="002A60F3" w:rsidR="00AB6DCE" w:rsidP="00AB6DCE" w:rsidRDefault="00AB6DCE">
      <w:pPr>
        <w:pStyle w:val="ECHRParaQuote"/>
        <w:rPr>
          <w:lang w:val="en-GB" w:eastAsia="en-GB"/>
        </w:rPr>
      </w:pPr>
      <w:r w:rsidRPr="002A60F3">
        <w:rPr>
          <w:lang w:val="en-GB" w:eastAsia="en-GB"/>
        </w:rPr>
        <w:t xml:space="preserve">“Trade unions and their higher-level associations have the right to call and undertake a strike in order to protect and promote the economic and social interests of their members or on the ground of non-payment of salary </w:t>
      </w:r>
      <w:r w:rsidR="00451956">
        <w:rPr>
          <w:lang w:val="en-GB" w:eastAsia="en-GB"/>
        </w:rPr>
        <w:t>...</w:t>
      </w:r>
      <w:r w:rsidRPr="002A60F3">
        <w:rPr>
          <w:lang w:val="en-GB" w:eastAsia="en-GB"/>
        </w:rPr>
        <w:t xml:space="preserve"> within thirty days of it becoming due.”</w:t>
      </w:r>
    </w:p>
    <w:p w:rsidRPr="002A60F3" w:rsidR="00826BEA" w:rsidP="00826BEA" w:rsidRDefault="00826BEA">
      <w:pPr>
        <w:pStyle w:val="ECHRHeading3"/>
        <w:rPr>
          <w:lang w:val="en-GB"/>
        </w:rPr>
      </w:pPr>
      <w:r w:rsidRPr="002A60F3">
        <w:rPr>
          <w:lang w:val="en-GB"/>
        </w:rPr>
        <w:t>2.  Relevant case-law</w:t>
      </w:r>
    </w:p>
    <w:p w:rsidR="0074550B" w:rsidP="00166FA7" w:rsidRDefault="00826BEA">
      <w:pPr>
        <w:pStyle w:val="ECHRPara"/>
        <w:rPr>
          <w:lang w:val="en-GB"/>
        </w:rPr>
      </w:pPr>
      <w:r w:rsidRPr="0074550B">
        <w:rPr>
          <w:lang w:val="en-GB"/>
        </w:rPr>
        <w:fldChar w:fldCharType="begin"/>
      </w:r>
      <w:r w:rsidRPr="0074550B">
        <w:rPr>
          <w:lang w:val="en-GB"/>
        </w:rPr>
        <w:instrText xml:space="preserve"> SEQ level0 \*arabic </w:instrText>
      </w:r>
      <w:r w:rsidRPr="0074550B">
        <w:rPr>
          <w:lang w:val="en-GB"/>
        </w:rPr>
        <w:fldChar w:fldCharType="separate"/>
      </w:r>
      <w:r w:rsidR="00D802F9">
        <w:rPr>
          <w:noProof/>
          <w:lang w:val="en-GB"/>
        </w:rPr>
        <w:t>33</w:t>
      </w:r>
      <w:r w:rsidRPr="0074550B">
        <w:rPr>
          <w:lang w:val="en-GB"/>
        </w:rPr>
        <w:fldChar w:fldCharType="end"/>
      </w:r>
      <w:r w:rsidRPr="0074550B">
        <w:rPr>
          <w:lang w:val="en-GB"/>
        </w:rPr>
        <w:t>.  </w:t>
      </w:r>
      <w:r w:rsidR="00166FA7">
        <w:rPr>
          <w:lang w:val="en-GB"/>
        </w:rPr>
        <w:t>Under the case-law of the Croatian courts</w:t>
      </w:r>
      <w:r w:rsidR="00524AB9">
        <w:rPr>
          <w:lang w:val="en-GB"/>
        </w:rPr>
        <w:t>,</w:t>
      </w:r>
      <w:r w:rsidR="00166FA7">
        <w:rPr>
          <w:lang w:val="en-GB"/>
        </w:rPr>
        <w:t xml:space="preserve"> a</w:t>
      </w:r>
      <w:r w:rsidR="0074550B">
        <w:rPr>
          <w:lang w:val="en-GB"/>
        </w:rPr>
        <w:t xml:space="preserve"> strike</w:t>
      </w:r>
      <w:r w:rsidRPr="0074550B" w:rsidR="0074550B">
        <w:rPr>
          <w:lang w:val="en-GB"/>
        </w:rPr>
        <w:t xml:space="preserve"> </w:t>
      </w:r>
      <w:r w:rsidR="00166FA7">
        <w:rPr>
          <w:lang w:val="en-GB"/>
        </w:rPr>
        <w:t>is</w:t>
      </w:r>
      <w:r w:rsidRPr="0074550B" w:rsidR="0074550B">
        <w:rPr>
          <w:lang w:val="en-GB"/>
        </w:rPr>
        <w:t xml:space="preserve"> </w:t>
      </w:r>
      <w:r w:rsidR="00166FA7">
        <w:rPr>
          <w:lang w:val="en-GB"/>
        </w:rPr>
        <w:t xml:space="preserve">allowed </w:t>
      </w:r>
      <w:r w:rsidRPr="0074550B" w:rsidR="0074550B">
        <w:rPr>
          <w:lang w:val="en-GB"/>
        </w:rPr>
        <w:t xml:space="preserve">only </w:t>
      </w:r>
      <w:r w:rsidR="00166FA7">
        <w:rPr>
          <w:lang w:val="en-GB"/>
        </w:rPr>
        <w:t xml:space="preserve">if its aim is the conclusion </w:t>
      </w:r>
      <w:r w:rsidR="00297E0B">
        <w:rPr>
          <w:lang w:val="en-GB"/>
        </w:rPr>
        <w:t xml:space="preserve">or revision </w:t>
      </w:r>
      <w:r w:rsidR="00166FA7">
        <w:rPr>
          <w:lang w:val="en-GB"/>
        </w:rPr>
        <w:t xml:space="preserve">of a collective agreement. By converse implication, a strike is illegal if a collective agreement exists. That is so because in such </w:t>
      </w:r>
      <w:r w:rsidR="005237EB">
        <w:rPr>
          <w:lang w:val="en-GB"/>
        </w:rPr>
        <w:t xml:space="preserve">a </w:t>
      </w:r>
      <w:r w:rsidR="00166FA7">
        <w:rPr>
          <w:lang w:val="en-GB"/>
        </w:rPr>
        <w:t xml:space="preserve">situation there is an obligation to maintain social peace, which prohibits </w:t>
      </w:r>
      <w:r w:rsidR="005237EB">
        <w:rPr>
          <w:lang w:val="en-GB"/>
        </w:rPr>
        <w:t xml:space="preserve">the </w:t>
      </w:r>
      <w:r w:rsidR="00166FA7">
        <w:rPr>
          <w:lang w:val="en-GB"/>
        </w:rPr>
        <w:t xml:space="preserve">calling </w:t>
      </w:r>
      <w:r w:rsidR="005237EB">
        <w:rPr>
          <w:lang w:val="en-GB"/>
        </w:rPr>
        <w:t xml:space="preserve">of </w:t>
      </w:r>
      <w:r w:rsidR="00166FA7">
        <w:rPr>
          <w:lang w:val="en-GB"/>
        </w:rPr>
        <w:t xml:space="preserve">a strike in relation to matters </w:t>
      </w:r>
      <w:r w:rsidR="005237EB">
        <w:rPr>
          <w:lang w:val="en-GB"/>
        </w:rPr>
        <w:t xml:space="preserve">that </w:t>
      </w:r>
      <w:r w:rsidR="00166FA7">
        <w:rPr>
          <w:lang w:val="en-GB"/>
        </w:rPr>
        <w:t xml:space="preserve">are already governed by a collective agreement. The only exception </w:t>
      </w:r>
      <w:r w:rsidR="00524AB9">
        <w:rPr>
          <w:lang w:val="en-GB"/>
        </w:rPr>
        <w:t xml:space="preserve">to that </w:t>
      </w:r>
      <w:r w:rsidR="00D507DF">
        <w:rPr>
          <w:lang w:val="en-GB"/>
        </w:rPr>
        <w:t xml:space="preserve">rule is </w:t>
      </w:r>
      <w:r w:rsidR="00524AB9">
        <w:rPr>
          <w:lang w:val="en-GB"/>
        </w:rPr>
        <w:t xml:space="preserve">the </w:t>
      </w:r>
      <w:r w:rsidR="00D507DF">
        <w:rPr>
          <w:lang w:val="en-GB"/>
        </w:rPr>
        <w:t>non-payment of salary</w:t>
      </w:r>
      <w:r w:rsidR="005237EB">
        <w:rPr>
          <w:lang w:val="en-GB"/>
        </w:rPr>
        <w:t>,</w:t>
      </w:r>
      <w:r w:rsidR="00166FA7">
        <w:rPr>
          <w:lang w:val="en-GB"/>
        </w:rPr>
        <w:t xml:space="preserve"> on which ground</w:t>
      </w:r>
      <w:r w:rsidR="00D507DF">
        <w:rPr>
          <w:lang w:val="en-GB"/>
        </w:rPr>
        <w:t>,</w:t>
      </w:r>
      <w:r w:rsidR="00166FA7">
        <w:rPr>
          <w:lang w:val="en-GB"/>
        </w:rPr>
        <w:t xml:space="preserve"> as of </w:t>
      </w:r>
      <w:r w:rsidR="00D507DF">
        <w:rPr>
          <w:lang w:val="en-GB"/>
        </w:rPr>
        <w:t>10 March 2001</w:t>
      </w:r>
      <w:r w:rsidR="00166FA7">
        <w:rPr>
          <w:lang w:val="en-GB"/>
        </w:rPr>
        <w:t xml:space="preserve"> when the </w:t>
      </w:r>
      <w:r w:rsidR="00D507DF">
        <w:rPr>
          <w:lang w:val="en-GB"/>
        </w:rPr>
        <w:t xml:space="preserve">2001 </w:t>
      </w:r>
      <w:r w:rsidR="00166FA7">
        <w:rPr>
          <w:lang w:val="en-GB"/>
        </w:rPr>
        <w:t xml:space="preserve">Amendments to the </w:t>
      </w:r>
      <w:r w:rsidR="00487A8D">
        <w:rPr>
          <w:lang w:val="en-GB"/>
        </w:rPr>
        <w:t>Labour Act</w:t>
      </w:r>
      <w:r w:rsidR="00166FA7">
        <w:rPr>
          <w:lang w:val="en-GB"/>
        </w:rPr>
        <w:t xml:space="preserve"> entered into force, trade unions </w:t>
      </w:r>
      <w:r w:rsidR="00601C6D">
        <w:rPr>
          <w:lang w:val="en-GB"/>
        </w:rPr>
        <w:t xml:space="preserve">may </w:t>
      </w:r>
      <w:r w:rsidR="00166FA7">
        <w:rPr>
          <w:lang w:val="en-GB"/>
        </w:rPr>
        <w:t xml:space="preserve">organise a strike. In </w:t>
      </w:r>
      <w:r w:rsidR="00FD3B6B">
        <w:rPr>
          <w:lang w:val="en-GB"/>
        </w:rPr>
        <w:t xml:space="preserve">case no. Gž-4/1996 the Supreme Court </w:t>
      </w:r>
      <w:r w:rsidR="00166FA7">
        <w:rPr>
          <w:lang w:val="en-GB"/>
        </w:rPr>
        <w:t xml:space="preserve">interpreted </w:t>
      </w:r>
      <w:r w:rsidRPr="006752CE" w:rsidR="00166FA7">
        <w:rPr>
          <w:lang w:val="en-GB"/>
        </w:rPr>
        <w:t xml:space="preserve">section 210(1) of the </w:t>
      </w:r>
      <w:r w:rsidRPr="006752CE" w:rsidR="00487A8D">
        <w:rPr>
          <w:lang w:val="en-GB"/>
        </w:rPr>
        <w:t>Labour Act</w:t>
      </w:r>
      <w:r w:rsidRPr="006752CE" w:rsidR="007C2907">
        <w:rPr>
          <w:lang w:val="en-GB"/>
        </w:rPr>
        <w:t xml:space="preserve"> (see the preceding paragraph)</w:t>
      </w:r>
      <w:r w:rsidRPr="006752CE" w:rsidR="00166FA7">
        <w:rPr>
          <w:lang w:val="en-GB"/>
        </w:rPr>
        <w:t xml:space="preserve"> in the</w:t>
      </w:r>
      <w:r w:rsidR="00166FA7">
        <w:rPr>
          <w:lang w:val="en-GB"/>
        </w:rPr>
        <w:t xml:space="preserve"> following terms</w:t>
      </w:r>
      <w:r w:rsidR="00FD3B6B">
        <w:rPr>
          <w:lang w:val="en-GB"/>
        </w:rPr>
        <w:t>:</w:t>
      </w:r>
    </w:p>
    <w:p w:rsidRPr="009A0D53" w:rsidR="00360356" w:rsidP="009A0D53" w:rsidRDefault="00FD3B6B">
      <w:pPr>
        <w:pStyle w:val="ECHRParaQuote"/>
        <w:rPr>
          <w:lang w:val="en-GB"/>
        </w:rPr>
      </w:pPr>
      <w:r w:rsidRPr="009A0D53">
        <w:rPr>
          <w:lang w:val="en-GB"/>
        </w:rPr>
        <w:t>“</w:t>
      </w:r>
      <w:r w:rsidRPr="009A0D53" w:rsidR="00611B0E">
        <w:rPr>
          <w:lang w:val="en-GB"/>
        </w:rPr>
        <w:t>In the Supreme Court</w:t>
      </w:r>
      <w:r w:rsidR="00A32E76">
        <w:rPr>
          <w:lang w:val="en-GB"/>
        </w:rPr>
        <w:t>’</w:t>
      </w:r>
      <w:r w:rsidRPr="009A0D53" w:rsidR="00611B0E">
        <w:rPr>
          <w:lang w:val="en-GB"/>
        </w:rPr>
        <w:t xml:space="preserve">s view – having regard to section 210(1) </w:t>
      </w:r>
      <w:r w:rsidR="00451956">
        <w:rPr>
          <w:lang w:val="en-GB"/>
        </w:rPr>
        <w:t>...</w:t>
      </w:r>
      <w:r w:rsidRPr="009A0D53" w:rsidR="00611B0E">
        <w:rPr>
          <w:lang w:val="en-GB"/>
        </w:rPr>
        <w:t xml:space="preserve"> of the </w:t>
      </w:r>
      <w:r w:rsidR="00487A8D">
        <w:rPr>
          <w:lang w:val="en-GB"/>
        </w:rPr>
        <w:t>Labour Act</w:t>
      </w:r>
      <w:r w:rsidRPr="009A0D53" w:rsidR="00611B0E">
        <w:rPr>
          <w:lang w:val="en-GB"/>
        </w:rPr>
        <w:t xml:space="preserve"> </w:t>
      </w:r>
      <w:r w:rsidRPr="009A0D53" w:rsidR="00360356">
        <w:rPr>
          <w:lang w:val="en-GB"/>
        </w:rPr>
        <w:t>–</w:t>
      </w:r>
      <w:r w:rsidR="0046637B">
        <w:rPr>
          <w:lang w:val="en-GB"/>
        </w:rPr>
        <w:t xml:space="preserve"> </w:t>
      </w:r>
      <w:r w:rsidR="005237EB">
        <w:rPr>
          <w:lang w:val="en-GB"/>
        </w:rPr>
        <w:t xml:space="preserve">a </w:t>
      </w:r>
      <w:r w:rsidRPr="009A0D53" w:rsidR="00360356">
        <w:rPr>
          <w:lang w:val="en-GB"/>
        </w:rPr>
        <w:t xml:space="preserve">strike is </w:t>
      </w:r>
      <w:r w:rsidR="005237EB">
        <w:rPr>
          <w:lang w:val="en-GB"/>
        </w:rPr>
        <w:t xml:space="preserve">lawful </w:t>
      </w:r>
      <w:r w:rsidRPr="009A0D53" w:rsidR="00360356">
        <w:rPr>
          <w:lang w:val="en-GB"/>
        </w:rPr>
        <w:t xml:space="preserve">only in industrial disputes arising from </w:t>
      </w:r>
      <w:r w:rsidR="005237EB">
        <w:rPr>
          <w:lang w:val="en-GB"/>
        </w:rPr>
        <w:t xml:space="preserve">a </w:t>
      </w:r>
      <w:r w:rsidRPr="009A0D53" w:rsidR="00360356">
        <w:rPr>
          <w:lang w:val="en-GB"/>
        </w:rPr>
        <w:t xml:space="preserve">conflict of interests, [that is, in disputes over issues] that are not legally regulated but may be regulated by a collective agreement. </w:t>
      </w:r>
      <w:r w:rsidR="005237EB">
        <w:rPr>
          <w:lang w:val="en-GB"/>
        </w:rPr>
        <w:t xml:space="preserve">A </w:t>
      </w:r>
      <w:r w:rsidRPr="009A0D53" w:rsidR="00360356">
        <w:rPr>
          <w:lang w:val="en-GB"/>
        </w:rPr>
        <w:t xml:space="preserve">strike is </w:t>
      </w:r>
      <w:r w:rsidRPr="009A0D53" w:rsidR="009A0D53">
        <w:rPr>
          <w:lang w:val="en-GB"/>
        </w:rPr>
        <w:t>therefore</w:t>
      </w:r>
      <w:r w:rsidRPr="009A0D53" w:rsidR="00360356">
        <w:rPr>
          <w:lang w:val="en-GB"/>
        </w:rPr>
        <w:t xml:space="preserve"> </w:t>
      </w:r>
      <w:r w:rsidR="005237EB">
        <w:rPr>
          <w:lang w:val="en-GB"/>
        </w:rPr>
        <w:t xml:space="preserve">a </w:t>
      </w:r>
      <w:r w:rsidRPr="009A0D53" w:rsidR="009A0D53">
        <w:rPr>
          <w:lang w:val="en-GB"/>
        </w:rPr>
        <w:t xml:space="preserve">lawful </w:t>
      </w:r>
      <w:r w:rsidRPr="009A0D53" w:rsidR="00360356">
        <w:rPr>
          <w:lang w:val="en-GB"/>
        </w:rPr>
        <w:t>means of industrial action</w:t>
      </w:r>
      <w:r w:rsidR="005237EB">
        <w:rPr>
          <w:lang w:val="en-GB"/>
        </w:rPr>
        <w:t xml:space="preserve"> if its</w:t>
      </w:r>
      <w:r w:rsidRPr="009A0D53" w:rsidR="00360356">
        <w:rPr>
          <w:lang w:val="en-GB"/>
        </w:rPr>
        <w:t xml:space="preserve"> purpose is </w:t>
      </w:r>
      <w:r w:rsidR="005237EB">
        <w:rPr>
          <w:lang w:val="en-GB"/>
        </w:rPr>
        <w:t xml:space="preserve">to </w:t>
      </w:r>
      <w:r w:rsidRPr="009A0D53" w:rsidR="00360356">
        <w:rPr>
          <w:lang w:val="en-GB"/>
        </w:rPr>
        <w:t>meet [workers</w:t>
      </w:r>
      <w:r w:rsidR="00A32E76">
        <w:rPr>
          <w:lang w:val="en-GB"/>
        </w:rPr>
        <w:t>’</w:t>
      </w:r>
      <w:r w:rsidRPr="009A0D53" w:rsidR="00360356">
        <w:rPr>
          <w:lang w:val="en-GB"/>
        </w:rPr>
        <w:t>] demands [</w:t>
      </w:r>
      <w:r w:rsidRPr="009A0D53" w:rsidR="009A0D53">
        <w:rPr>
          <w:lang w:val="en-GB"/>
        </w:rPr>
        <w:t>as regards</w:t>
      </w:r>
      <w:r w:rsidRPr="009A0D53" w:rsidR="00360356">
        <w:rPr>
          <w:lang w:val="en-GB"/>
        </w:rPr>
        <w:t xml:space="preserve"> matters]</w:t>
      </w:r>
      <w:r w:rsidR="0046637B">
        <w:rPr>
          <w:lang w:val="en-GB"/>
        </w:rPr>
        <w:t xml:space="preserve"> </w:t>
      </w:r>
      <w:r w:rsidR="005237EB">
        <w:rPr>
          <w:lang w:val="en-GB"/>
        </w:rPr>
        <w:t>that</w:t>
      </w:r>
      <w:r w:rsidRPr="009A0D53" w:rsidR="00360356">
        <w:rPr>
          <w:lang w:val="en-GB"/>
        </w:rPr>
        <w:t xml:space="preserve"> may be subject to a collective agreement. Even though the legislator does not explicitly exclude </w:t>
      </w:r>
      <w:r w:rsidR="005237EB">
        <w:rPr>
          <w:lang w:val="en-GB"/>
        </w:rPr>
        <w:t xml:space="preserve">that a </w:t>
      </w:r>
      <w:r w:rsidRPr="009A0D53" w:rsidR="00360356">
        <w:rPr>
          <w:lang w:val="en-GB"/>
        </w:rPr>
        <w:t xml:space="preserve">strike on issues which are legally regulated </w:t>
      </w:r>
      <w:r w:rsidR="00451956">
        <w:rPr>
          <w:lang w:val="en-GB"/>
        </w:rPr>
        <w:t>...</w:t>
      </w:r>
      <w:r w:rsidRPr="009A0D53" w:rsidR="00360356">
        <w:rPr>
          <w:lang w:val="en-GB"/>
        </w:rPr>
        <w:t xml:space="preserve"> and thus susceptible to judicial or arbitral</w:t>
      </w:r>
      <w:r w:rsidRPr="009A0D53" w:rsidR="009A0D53">
        <w:rPr>
          <w:lang w:val="en-GB"/>
        </w:rPr>
        <w:t xml:space="preserve"> adjudication,</w:t>
      </w:r>
      <w:r w:rsidR="005237EB">
        <w:rPr>
          <w:lang w:val="en-GB"/>
        </w:rPr>
        <w:t xml:space="preserve"> may be lawful,</w:t>
      </w:r>
      <w:r w:rsidRPr="009A0D53" w:rsidR="009A0D53">
        <w:rPr>
          <w:lang w:val="en-GB"/>
        </w:rPr>
        <w:t xml:space="preserve"> the </w:t>
      </w:r>
      <w:r w:rsidRPr="009A0D53" w:rsidR="00360356">
        <w:rPr>
          <w:lang w:val="en-GB"/>
        </w:rPr>
        <w:t xml:space="preserve">above legal </w:t>
      </w:r>
      <w:r w:rsidRPr="009A0D53" w:rsidR="009A0D53">
        <w:rPr>
          <w:lang w:val="en-GB"/>
        </w:rPr>
        <w:t>view</w:t>
      </w:r>
      <w:r w:rsidRPr="009A0D53" w:rsidR="00360356">
        <w:rPr>
          <w:lang w:val="en-GB"/>
        </w:rPr>
        <w:t xml:space="preserve"> </w:t>
      </w:r>
      <w:r w:rsidRPr="009A0D53" w:rsidR="009A0D53">
        <w:rPr>
          <w:lang w:val="en-GB"/>
        </w:rPr>
        <w:t xml:space="preserve">follows from </w:t>
      </w:r>
      <w:r w:rsidR="005237EB">
        <w:rPr>
          <w:lang w:val="en-GB"/>
        </w:rPr>
        <w:t xml:space="preserve">the </w:t>
      </w:r>
      <w:r w:rsidR="004671B0">
        <w:rPr>
          <w:lang w:val="en-GB"/>
        </w:rPr>
        <w:t>textual</w:t>
      </w:r>
      <w:r w:rsidRPr="009A0D53" w:rsidR="00360356">
        <w:rPr>
          <w:lang w:val="en-GB"/>
        </w:rPr>
        <w:t xml:space="preserve"> interpretation of </w:t>
      </w:r>
      <w:r w:rsidRPr="009A0D53" w:rsidR="009A0D53">
        <w:rPr>
          <w:lang w:val="en-GB"/>
        </w:rPr>
        <w:t>section</w:t>
      </w:r>
      <w:r w:rsidRPr="009A0D53" w:rsidR="00360356">
        <w:rPr>
          <w:lang w:val="en-GB"/>
        </w:rPr>
        <w:t xml:space="preserve"> 210</w:t>
      </w:r>
      <w:r w:rsidRPr="009A0D53" w:rsidR="009A0D53">
        <w:rPr>
          <w:lang w:val="en-GB"/>
        </w:rPr>
        <w:t xml:space="preserve">(1) of the </w:t>
      </w:r>
      <w:r w:rsidR="00487A8D">
        <w:rPr>
          <w:lang w:val="en-GB"/>
        </w:rPr>
        <w:t>Labour Act</w:t>
      </w:r>
      <w:r w:rsidRPr="009A0D53" w:rsidR="009A0D53">
        <w:rPr>
          <w:lang w:val="en-GB"/>
        </w:rPr>
        <w:t xml:space="preserve"> and </w:t>
      </w:r>
      <w:r w:rsidR="005237EB">
        <w:rPr>
          <w:lang w:val="en-GB"/>
        </w:rPr>
        <w:t xml:space="preserve">in </w:t>
      </w:r>
      <w:r w:rsidRPr="009A0D53" w:rsidR="00360356">
        <w:rPr>
          <w:lang w:val="en-GB"/>
        </w:rPr>
        <w:t xml:space="preserve">connection with </w:t>
      </w:r>
      <w:r w:rsidRPr="009A0D53" w:rsidR="009A0D53">
        <w:rPr>
          <w:lang w:val="en-GB"/>
        </w:rPr>
        <w:t>[some other]</w:t>
      </w:r>
      <w:r w:rsidRPr="009A0D53" w:rsidR="00360356">
        <w:rPr>
          <w:lang w:val="en-GB"/>
        </w:rPr>
        <w:t xml:space="preserve"> provisions of </w:t>
      </w:r>
      <w:r w:rsidRPr="009A0D53" w:rsidR="009A0D53">
        <w:rPr>
          <w:lang w:val="en-GB"/>
        </w:rPr>
        <w:t xml:space="preserve">the same Act. By using the phrase </w:t>
      </w:r>
      <w:r w:rsidR="00A32E76">
        <w:rPr>
          <w:lang w:val="en-GB"/>
        </w:rPr>
        <w:t>‘</w:t>
      </w:r>
      <w:r w:rsidRPr="009A0D53" w:rsidR="00360356">
        <w:rPr>
          <w:lang w:val="en-GB"/>
        </w:rPr>
        <w:t>to protect and promote th</w:t>
      </w:r>
      <w:r w:rsidRPr="009A0D53" w:rsidR="009A0D53">
        <w:rPr>
          <w:lang w:val="en-GB"/>
        </w:rPr>
        <w:t>e economic and social interests</w:t>
      </w:r>
      <w:r w:rsidR="00A32E76">
        <w:rPr>
          <w:lang w:val="en-GB"/>
        </w:rPr>
        <w:t>’</w:t>
      </w:r>
      <w:r w:rsidR="005237EB">
        <w:rPr>
          <w:lang w:val="en-GB"/>
        </w:rPr>
        <w:t>,</w:t>
      </w:r>
      <w:r w:rsidRPr="009A0D53" w:rsidR="009A0D53">
        <w:rPr>
          <w:lang w:val="en-GB"/>
        </w:rPr>
        <w:t xml:space="preserve"> the legislator</w:t>
      </w:r>
      <w:r w:rsidRPr="009A0D53" w:rsidR="00360356">
        <w:rPr>
          <w:lang w:val="en-GB"/>
        </w:rPr>
        <w:t xml:space="preserve"> clearly excluded </w:t>
      </w:r>
      <w:r w:rsidRPr="009A0D53" w:rsidR="009A0D53">
        <w:rPr>
          <w:lang w:val="en-GB"/>
        </w:rPr>
        <w:t>the enforcement of employment-related rights (legal disputes) as a</w:t>
      </w:r>
      <w:r w:rsidRPr="009A0D53" w:rsidR="00360356">
        <w:rPr>
          <w:lang w:val="en-GB"/>
        </w:rPr>
        <w:t xml:space="preserve"> permissible </w:t>
      </w:r>
      <w:r w:rsidRPr="009A0D53" w:rsidR="009A0D53">
        <w:rPr>
          <w:lang w:val="en-GB"/>
        </w:rPr>
        <w:t>ground for</w:t>
      </w:r>
      <w:r w:rsidRPr="009A0D53" w:rsidR="00360356">
        <w:rPr>
          <w:lang w:val="en-GB"/>
        </w:rPr>
        <w:t xml:space="preserve"> </w:t>
      </w:r>
      <w:r w:rsidRPr="009A0D53" w:rsidR="009A0D53">
        <w:rPr>
          <w:lang w:val="en-GB"/>
        </w:rPr>
        <w:t>a</w:t>
      </w:r>
      <w:r w:rsidRPr="009A0D53" w:rsidR="00360356">
        <w:rPr>
          <w:lang w:val="en-GB"/>
        </w:rPr>
        <w:t xml:space="preserve"> strike.</w:t>
      </w:r>
      <w:r w:rsidRPr="009A0D53" w:rsidR="009A0D53">
        <w:rPr>
          <w:lang w:val="en-GB"/>
        </w:rPr>
        <w:t xml:space="preserve"> </w:t>
      </w:r>
      <w:r w:rsidR="00451956">
        <w:rPr>
          <w:lang w:val="en-GB"/>
        </w:rPr>
        <w:t>...</w:t>
      </w:r>
      <w:r w:rsidRPr="009A0D53" w:rsidR="009A0D53">
        <w:rPr>
          <w:lang w:val="en-GB"/>
        </w:rPr>
        <w:t xml:space="preserve"> </w:t>
      </w:r>
      <w:r w:rsidRPr="009A0D53">
        <w:rPr>
          <w:lang w:val="en-GB"/>
        </w:rPr>
        <w:t>[Section 210(1)]</w:t>
      </w:r>
      <w:r w:rsidRPr="009A0D53" w:rsidR="00611B0E">
        <w:rPr>
          <w:lang w:val="en-GB"/>
        </w:rPr>
        <w:t xml:space="preserve"> </w:t>
      </w:r>
      <w:r w:rsidR="00451956">
        <w:rPr>
          <w:lang w:val="en-GB"/>
        </w:rPr>
        <w:t>...</w:t>
      </w:r>
      <w:r w:rsidRPr="009A0D53" w:rsidR="00611B0E">
        <w:rPr>
          <w:lang w:val="en-GB"/>
        </w:rPr>
        <w:t xml:space="preserve"> indicates that means of pressure ([of which] a strike is the </w:t>
      </w:r>
      <w:r w:rsidR="008277BE">
        <w:rPr>
          <w:lang w:val="en-GB"/>
        </w:rPr>
        <w:t>means of last resort</w:t>
      </w:r>
      <w:r w:rsidRPr="009A0D53" w:rsidR="00611B0E">
        <w:rPr>
          <w:lang w:val="en-GB"/>
        </w:rPr>
        <w:t>) serve to protect and promote workers</w:t>
      </w:r>
      <w:r w:rsidR="00A32E76">
        <w:rPr>
          <w:lang w:val="en-GB"/>
        </w:rPr>
        <w:t>’</w:t>
      </w:r>
      <w:r w:rsidRPr="009A0D53" w:rsidR="00611B0E">
        <w:rPr>
          <w:lang w:val="en-GB"/>
        </w:rPr>
        <w:t xml:space="preserve"> interests, but not their rights,</w:t>
      </w:r>
      <w:r w:rsidR="001A3B04">
        <w:rPr>
          <w:lang w:val="en-GB"/>
        </w:rPr>
        <w:t xml:space="preserve"> which may </w:t>
      </w:r>
      <w:r w:rsidRPr="009A0D53" w:rsidR="00611B0E">
        <w:rPr>
          <w:lang w:val="en-GB"/>
        </w:rPr>
        <w:t xml:space="preserve">only </w:t>
      </w:r>
      <w:r w:rsidR="001A3B04">
        <w:rPr>
          <w:lang w:val="en-GB"/>
        </w:rPr>
        <w:t xml:space="preserve">be protected </w:t>
      </w:r>
      <w:r w:rsidRPr="009A0D53" w:rsidR="00611B0E">
        <w:rPr>
          <w:lang w:val="en-GB"/>
        </w:rPr>
        <w:t>during negotiations on the conclusion of collective agreements, and not in matters that are governed by such agreements.</w:t>
      </w:r>
      <w:r w:rsidRPr="009A0D53">
        <w:rPr>
          <w:lang w:val="en-GB"/>
        </w:rPr>
        <w:t>”</w:t>
      </w:r>
    </w:p>
    <w:p w:rsidRPr="00D507DF" w:rsidR="00826BEA" w:rsidP="0074550B" w:rsidRDefault="0074550B">
      <w:pPr>
        <w:pStyle w:val="ECHRPara"/>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34</w:t>
      </w:r>
      <w:r w:rsidRPr="006752CE">
        <w:rPr>
          <w:lang w:val="en-GB"/>
        </w:rPr>
        <w:fldChar w:fldCharType="end"/>
      </w:r>
      <w:r w:rsidRPr="006752CE">
        <w:rPr>
          <w:lang w:val="en-GB"/>
        </w:rPr>
        <w:t>.  </w:t>
      </w:r>
      <w:r w:rsidRPr="006752CE" w:rsidR="005B1FCD">
        <w:rPr>
          <w:lang w:val="en-GB"/>
        </w:rPr>
        <w:t xml:space="preserve">In </w:t>
      </w:r>
      <w:r w:rsidRPr="006752CE" w:rsidR="00AD59DC">
        <w:rPr>
          <w:lang w:val="en-GB"/>
        </w:rPr>
        <w:t>its judgment</w:t>
      </w:r>
      <w:r w:rsidRPr="006752CE" w:rsidR="005B1FCD">
        <w:rPr>
          <w:lang w:val="en-GB"/>
        </w:rPr>
        <w:t xml:space="preserve"> no. </w:t>
      </w:r>
      <w:r w:rsidRPr="006752CE" w:rsidR="00AD59DC">
        <w:rPr>
          <w:lang w:val="en-GB"/>
        </w:rPr>
        <w:t xml:space="preserve">Gž 5/2000 of 13 April 2000 </w:t>
      </w:r>
      <w:r w:rsidRPr="006752CE" w:rsidR="005B1FCD">
        <w:rPr>
          <w:lang w:val="en-GB"/>
        </w:rPr>
        <w:t>the Supre</w:t>
      </w:r>
      <w:r w:rsidRPr="006752CE" w:rsidR="00AD59DC">
        <w:rPr>
          <w:lang w:val="en-GB"/>
        </w:rPr>
        <w:t xml:space="preserve">me Court </w:t>
      </w:r>
      <w:r w:rsidRPr="006752CE" w:rsidR="00D507DF">
        <w:rPr>
          <w:lang w:val="en-GB"/>
        </w:rPr>
        <w:t xml:space="preserve">held that the rule contained in section 210(1) of the </w:t>
      </w:r>
      <w:r w:rsidRPr="006752CE" w:rsidR="00487A8D">
        <w:rPr>
          <w:lang w:val="en-GB"/>
        </w:rPr>
        <w:t>Labour Act</w:t>
      </w:r>
      <w:r w:rsidR="00AA5D8E">
        <w:rPr>
          <w:lang w:val="en-GB"/>
        </w:rPr>
        <w:t xml:space="preserve"> (see paragraph </w:t>
      </w:r>
      <w:r w:rsidR="003D2E56">
        <w:rPr>
          <w:lang w:val="en-GB"/>
        </w:rPr>
        <w:t>32</w:t>
      </w:r>
      <w:r w:rsidRPr="006752CE" w:rsidR="007C2907">
        <w:rPr>
          <w:lang w:val="en-GB"/>
        </w:rPr>
        <w:t xml:space="preserve"> above)</w:t>
      </w:r>
      <w:r w:rsidRPr="006752CE" w:rsidR="00D507DF">
        <w:rPr>
          <w:lang w:val="en-GB"/>
        </w:rPr>
        <w:t xml:space="preserve"> was not mandatory, that is, that parties to a collective</w:t>
      </w:r>
      <w:r w:rsidR="00D507DF">
        <w:rPr>
          <w:lang w:val="en-GB"/>
        </w:rPr>
        <w:t xml:space="preserve"> agreement could agree otherwise and, for example, provide that a strike was allowed even while the collective agreement was in force. In particular, the Supreme Court</w:t>
      </w:r>
      <w:r w:rsidRPr="00D507DF" w:rsidR="005B1FCD">
        <w:rPr>
          <w:lang w:val="en-GB"/>
        </w:rPr>
        <w:t xml:space="preserve"> </w:t>
      </w:r>
      <w:r w:rsidR="00D507DF">
        <w:rPr>
          <w:lang w:val="en-GB"/>
        </w:rPr>
        <w:t>held as follows</w:t>
      </w:r>
      <w:r w:rsidRPr="00D507DF" w:rsidR="005B1FCD">
        <w:rPr>
          <w:lang w:val="en-GB"/>
        </w:rPr>
        <w:t>:</w:t>
      </w:r>
    </w:p>
    <w:p w:rsidRPr="002A60F3" w:rsidR="009556C6" w:rsidP="00D507DF" w:rsidRDefault="00B93119">
      <w:pPr>
        <w:pStyle w:val="ECHRParaQuote"/>
        <w:rPr>
          <w:lang w:val="en-GB" w:eastAsia="en-GB"/>
        </w:rPr>
      </w:pPr>
      <w:r w:rsidRPr="002A60F3">
        <w:rPr>
          <w:lang w:val="en-GB"/>
        </w:rPr>
        <w:t>“</w:t>
      </w:r>
      <w:r w:rsidRPr="002A60F3" w:rsidR="00AD59DC">
        <w:rPr>
          <w:lang w:val="en-GB"/>
        </w:rPr>
        <w:t>Section 210(1</w:t>
      </w:r>
      <w:r w:rsidRPr="002A60F3" w:rsidR="0073223C">
        <w:rPr>
          <w:lang w:val="en-GB"/>
        </w:rPr>
        <w:t xml:space="preserve">) of the </w:t>
      </w:r>
      <w:r w:rsidR="00487A8D">
        <w:rPr>
          <w:lang w:val="en-GB"/>
        </w:rPr>
        <w:t>Labour Act</w:t>
      </w:r>
      <w:r w:rsidRPr="002A60F3" w:rsidR="0073223C">
        <w:rPr>
          <w:lang w:val="en-GB"/>
        </w:rPr>
        <w:t xml:space="preserve"> </w:t>
      </w:r>
      <w:r w:rsidRPr="002A60F3" w:rsidR="00AD59DC">
        <w:rPr>
          <w:lang w:val="en-GB"/>
        </w:rPr>
        <w:t xml:space="preserve">reads: </w:t>
      </w:r>
      <w:r w:rsidR="00A32E76">
        <w:rPr>
          <w:lang w:val="en-GB"/>
        </w:rPr>
        <w:t>‘</w:t>
      </w:r>
      <w:r w:rsidRPr="002A60F3" w:rsidR="00AD59DC">
        <w:rPr>
          <w:lang w:val="en-GB" w:eastAsia="en-GB"/>
        </w:rPr>
        <w:t>Trade unions and their higher-level associations have the right to call and undertake a strike in order to protect and promote the economic and social interests of their members</w:t>
      </w:r>
      <w:r w:rsidR="00A32E76">
        <w:rPr>
          <w:lang w:val="en-GB" w:eastAsia="en-GB"/>
        </w:rPr>
        <w:t>’</w:t>
      </w:r>
      <w:r w:rsidRPr="002A60F3" w:rsidR="00AD59DC">
        <w:rPr>
          <w:lang w:val="en-GB" w:eastAsia="en-GB"/>
        </w:rPr>
        <w:t xml:space="preserve">. The way </w:t>
      </w:r>
      <w:r w:rsidR="001A3B04">
        <w:rPr>
          <w:lang w:val="en-GB" w:eastAsia="en-GB"/>
        </w:rPr>
        <w:t xml:space="preserve">in which </w:t>
      </w:r>
      <w:r w:rsidRPr="002A60F3" w:rsidR="00AD59DC">
        <w:rPr>
          <w:lang w:val="en-GB" w:eastAsia="en-GB"/>
        </w:rPr>
        <w:t xml:space="preserve">this provision was drafted suggests that it is not mandatory </w:t>
      </w:r>
      <w:r w:rsidR="00451956">
        <w:rPr>
          <w:lang w:val="en-GB" w:eastAsia="en-GB"/>
        </w:rPr>
        <w:t>...</w:t>
      </w:r>
      <w:r w:rsidRPr="002A60F3" w:rsidR="00AD59DC">
        <w:rPr>
          <w:lang w:val="en-GB" w:eastAsia="en-GB"/>
        </w:rPr>
        <w:t xml:space="preserve"> There is no doubt that section 210(1) of the </w:t>
      </w:r>
      <w:r w:rsidR="00487A8D">
        <w:rPr>
          <w:lang w:val="en-GB" w:eastAsia="en-GB"/>
        </w:rPr>
        <w:t>Labour Act</w:t>
      </w:r>
      <w:r w:rsidRPr="002A60F3" w:rsidR="00AD59DC">
        <w:rPr>
          <w:lang w:val="en-GB" w:eastAsia="en-GB"/>
        </w:rPr>
        <w:t xml:space="preserve"> entitles trade unions to strike </w:t>
      </w:r>
      <w:r w:rsidRPr="002A60F3" w:rsidR="00811617">
        <w:rPr>
          <w:lang w:val="en-GB" w:eastAsia="en-GB"/>
        </w:rPr>
        <w:t>in cases of collective disputes</w:t>
      </w:r>
      <w:r w:rsidRPr="002A60F3" w:rsidR="00AD59DC">
        <w:rPr>
          <w:lang w:val="en-GB" w:eastAsia="en-GB"/>
        </w:rPr>
        <w:t xml:space="preserve">, </w:t>
      </w:r>
      <w:r w:rsidRPr="002A60F3" w:rsidR="00811617">
        <w:rPr>
          <w:lang w:val="en-GB" w:eastAsia="en-GB"/>
        </w:rPr>
        <w:t>that is, as regards issues</w:t>
      </w:r>
      <w:r w:rsidRPr="002A60F3" w:rsidR="00AD59DC">
        <w:rPr>
          <w:lang w:val="en-GB" w:eastAsia="en-GB"/>
        </w:rPr>
        <w:t xml:space="preserve"> </w:t>
      </w:r>
      <w:r w:rsidRPr="002A60F3" w:rsidR="00811617">
        <w:rPr>
          <w:lang w:val="en-GB" w:eastAsia="en-GB"/>
        </w:rPr>
        <w:t>that may be, but are not</w:t>
      </w:r>
      <w:r w:rsidR="00524AB9">
        <w:rPr>
          <w:lang w:val="en-GB" w:eastAsia="en-GB"/>
        </w:rPr>
        <w:t>,</w:t>
      </w:r>
      <w:r w:rsidRPr="002A60F3" w:rsidR="00811617">
        <w:rPr>
          <w:lang w:val="en-GB" w:eastAsia="en-GB"/>
        </w:rPr>
        <w:t xml:space="preserve"> regulated by a collective agreement. </w:t>
      </w:r>
      <w:r w:rsidR="00451956">
        <w:rPr>
          <w:lang w:val="en-GB" w:eastAsia="en-GB"/>
        </w:rPr>
        <w:t>...</w:t>
      </w:r>
      <w:r w:rsidRPr="002A60F3" w:rsidR="00811617">
        <w:rPr>
          <w:lang w:val="en-GB" w:eastAsia="en-GB"/>
        </w:rPr>
        <w:t xml:space="preserve"> [T]he </w:t>
      </w:r>
      <w:r w:rsidR="00487A8D">
        <w:rPr>
          <w:lang w:val="en-GB" w:eastAsia="en-GB"/>
        </w:rPr>
        <w:t>Labour Act</w:t>
      </w:r>
      <w:r w:rsidRPr="002A60F3" w:rsidR="00811617">
        <w:rPr>
          <w:lang w:val="en-GB" w:eastAsia="en-GB"/>
        </w:rPr>
        <w:t xml:space="preserve"> has only provided </w:t>
      </w:r>
      <w:r w:rsidR="001A3B04">
        <w:rPr>
          <w:lang w:val="en-GB" w:eastAsia="en-GB"/>
        </w:rPr>
        <w:t xml:space="preserve">for the </w:t>
      </w:r>
      <w:r w:rsidRPr="002A60F3" w:rsidR="00811617">
        <w:rPr>
          <w:lang w:val="en-GB" w:eastAsia="en-GB"/>
        </w:rPr>
        <w:t xml:space="preserve">protection of </w:t>
      </w:r>
      <w:r w:rsidR="001A3B04">
        <w:rPr>
          <w:lang w:val="en-GB" w:eastAsia="en-GB"/>
        </w:rPr>
        <w:t xml:space="preserve">the </w:t>
      </w:r>
      <w:r w:rsidRPr="002A60F3" w:rsidR="00811617">
        <w:rPr>
          <w:lang w:val="en-GB" w:eastAsia="en-GB"/>
        </w:rPr>
        <w:t xml:space="preserve">basic rights of employees. [However], there are many other sources of </w:t>
      </w:r>
      <w:r w:rsidR="00487A8D">
        <w:rPr>
          <w:lang w:val="en-GB" w:eastAsia="en-GB"/>
        </w:rPr>
        <w:t>labour</w:t>
      </w:r>
      <w:r w:rsidR="00186382">
        <w:rPr>
          <w:lang w:val="en-GB" w:eastAsia="en-GB"/>
        </w:rPr>
        <w:t xml:space="preserve"> </w:t>
      </w:r>
      <w:r w:rsidRPr="002A60F3" w:rsidR="00811617">
        <w:rPr>
          <w:lang w:val="en-GB" w:eastAsia="en-GB"/>
        </w:rPr>
        <w:t>law governing employment-related rights and duties.</w:t>
      </w:r>
      <w:r w:rsidRPr="002A60F3" w:rsidR="00811617">
        <w:rPr>
          <w:lang w:val="en-GB"/>
        </w:rPr>
        <w:t xml:space="preserve"> </w:t>
      </w:r>
      <w:r w:rsidRPr="002A60F3" w:rsidR="00811617">
        <w:rPr>
          <w:lang w:val="en-GB" w:eastAsia="en-GB"/>
        </w:rPr>
        <w:t xml:space="preserve">Collective agreements may </w:t>
      </w:r>
      <w:r w:rsidRPr="002A60F3" w:rsidR="003F2C7C">
        <w:rPr>
          <w:lang w:val="en-GB" w:eastAsia="en-GB"/>
        </w:rPr>
        <w:t xml:space="preserve">regulate employment </w:t>
      </w:r>
      <w:r w:rsidRPr="002A60F3" w:rsidR="00B524D9">
        <w:rPr>
          <w:lang w:val="en-GB" w:eastAsia="en-GB"/>
        </w:rPr>
        <w:t xml:space="preserve">relations in a manner </w:t>
      </w:r>
      <w:r w:rsidR="004671B0">
        <w:rPr>
          <w:lang w:val="en-GB" w:eastAsia="en-GB"/>
        </w:rPr>
        <w:t xml:space="preserve">more favourable for employees </w:t>
      </w:r>
      <w:r w:rsidR="00451956">
        <w:rPr>
          <w:lang w:val="en-GB" w:eastAsia="en-GB"/>
        </w:rPr>
        <w:t>...</w:t>
      </w:r>
      <w:r w:rsidR="004671B0">
        <w:rPr>
          <w:lang w:val="en-GB" w:eastAsia="en-GB"/>
        </w:rPr>
        <w:t xml:space="preserve"> </w:t>
      </w:r>
      <w:r w:rsidRPr="002A60F3" w:rsidR="00B524D9">
        <w:rPr>
          <w:lang w:val="en-GB" w:eastAsia="en-GB"/>
        </w:rPr>
        <w:t>The question therefore arises</w:t>
      </w:r>
      <w:r w:rsidRPr="002A60F3" w:rsidR="003F2C7C">
        <w:rPr>
          <w:lang w:val="en-GB" w:eastAsia="en-GB"/>
        </w:rPr>
        <w:t xml:space="preserve"> whether </w:t>
      </w:r>
      <w:r w:rsidR="001A3B04">
        <w:rPr>
          <w:lang w:val="en-GB" w:eastAsia="en-GB"/>
        </w:rPr>
        <w:t xml:space="preserve">a </w:t>
      </w:r>
      <w:r w:rsidRPr="002A60F3" w:rsidR="003F2C7C">
        <w:rPr>
          <w:lang w:val="en-GB" w:eastAsia="en-GB"/>
        </w:rPr>
        <w:t xml:space="preserve">strike undertaken </w:t>
      </w:r>
      <w:r w:rsidRPr="002A60F3" w:rsidR="00F543C6">
        <w:rPr>
          <w:lang w:val="en-GB" w:eastAsia="en-GB"/>
        </w:rPr>
        <w:t>on grounds</w:t>
      </w:r>
      <w:r w:rsidRPr="002A60F3" w:rsidR="003F2C7C">
        <w:rPr>
          <w:lang w:val="en-GB" w:eastAsia="en-GB"/>
        </w:rPr>
        <w:t xml:space="preserve"> provided </w:t>
      </w:r>
      <w:r w:rsidR="001A3B04">
        <w:rPr>
          <w:lang w:val="en-GB" w:eastAsia="en-GB"/>
        </w:rPr>
        <w:t xml:space="preserve">for </w:t>
      </w:r>
      <w:r w:rsidRPr="002A60F3" w:rsidR="003F2C7C">
        <w:rPr>
          <w:lang w:val="en-GB" w:eastAsia="en-GB"/>
        </w:rPr>
        <w:t xml:space="preserve">in the collective agreement is lawful. </w:t>
      </w:r>
      <w:r w:rsidRPr="002A60F3">
        <w:rPr>
          <w:lang w:val="en-GB" w:eastAsia="en-GB"/>
        </w:rPr>
        <w:t>.</w:t>
      </w:r>
      <w:r w:rsidRPr="002A60F3" w:rsidR="003F2C7C">
        <w:rPr>
          <w:lang w:val="en-GB" w:eastAsia="en-GB"/>
        </w:rPr>
        <w:t>.. If the employer</w:t>
      </w:r>
      <w:r w:rsidR="001A3B04">
        <w:rPr>
          <w:lang w:val="en-GB" w:eastAsia="en-GB"/>
        </w:rPr>
        <w:t>,</w:t>
      </w:r>
      <w:r w:rsidRPr="002A60F3" w:rsidR="003F2C7C">
        <w:rPr>
          <w:lang w:val="en-GB" w:eastAsia="en-GB"/>
        </w:rPr>
        <w:t xml:space="preserve"> by signing </w:t>
      </w:r>
      <w:r w:rsidRPr="002A60F3">
        <w:rPr>
          <w:lang w:val="en-GB" w:eastAsia="en-GB"/>
        </w:rPr>
        <w:t>a</w:t>
      </w:r>
      <w:r w:rsidRPr="002A60F3" w:rsidR="003F2C7C">
        <w:rPr>
          <w:lang w:val="en-GB" w:eastAsia="en-GB"/>
        </w:rPr>
        <w:t xml:space="preserve"> collective agreement</w:t>
      </w:r>
      <w:r w:rsidR="001A3B04">
        <w:rPr>
          <w:lang w:val="en-GB" w:eastAsia="en-GB"/>
        </w:rPr>
        <w:t>,</w:t>
      </w:r>
      <w:r w:rsidRPr="002A60F3" w:rsidR="003F2C7C">
        <w:rPr>
          <w:lang w:val="en-GB" w:eastAsia="en-GB"/>
        </w:rPr>
        <w:t xml:space="preserve"> agreed that the trade union </w:t>
      </w:r>
      <w:r w:rsidR="001A3B04">
        <w:rPr>
          <w:lang w:val="en-GB" w:eastAsia="en-GB"/>
        </w:rPr>
        <w:t xml:space="preserve">could </w:t>
      </w:r>
      <w:r w:rsidRPr="002A60F3">
        <w:rPr>
          <w:lang w:val="en-GB" w:eastAsia="en-GB"/>
        </w:rPr>
        <w:t>undertake a</w:t>
      </w:r>
      <w:r w:rsidRPr="002A60F3" w:rsidR="003F2C7C">
        <w:rPr>
          <w:lang w:val="en-GB" w:eastAsia="en-GB"/>
        </w:rPr>
        <w:t xml:space="preserve"> strike even in cases of a breach of that agreement</w:t>
      </w:r>
      <w:r w:rsidRPr="002A60F3">
        <w:rPr>
          <w:lang w:val="en-GB" w:eastAsia="en-GB"/>
        </w:rPr>
        <w:t xml:space="preserve"> by the employer</w:t>
      </w:r>
      <w:r w:rsidRPr="002A60F3" w:rsidR="003F2C7C">
        <w:rPr>
          <w:lang w:val="en-GB" w:eastAsia="en-GB"/>
        </w:rPr>
        <w:t xml:space="preserve">, then the strike cannot be considered unlawful only because </w:t>
      </w:r>
      <w:r w:rsidRPr="002A60F3">
        <w:rPr>
          <w:lang w:val="en-GB" w:eastAsia="en-GB"/>
        </w:rPr>
        <w:t xml:space="preserve">it was undertaken </w:t>
      </w:r>
      <w:r w:rsidRPr="002A60F3" w:rsidR="00F543C6">
        <w:rPr>
          <w:lang w:val="en-GB" w:eastAsia="en-GB"/>
        </w:rPr>
        <w:t>on that ground</w:t>
      </w:r>
      <w:r w:rsidRPr="002A60F3">
        <w:rPr>
          <w:lang w:val="en-GB" w:eastAsia="en-GB"/>
        </w:rPr>
        <w:t xml:space="preserve">. </w:t>
      </w:r>
      <w:r w:rsidR="00451956">
        <w:rPr>
          <w:lang w:val="en-GB" w:eastAsia="en-GB"/>
        </w:rPr>
        <w:t>...</w:t>
      </w:r>
      <w:r w:rsidRPr="002A60F3">
        <w:rPr>
          <w:lang w:val="en-GB" w:eastAsia="en-GB"/>
        </w:rPr>
        <w:t>”</w:t>
      </w:r>
    </w:p>
    <w:p w:rsidR="00DC565E" w:rsidP="004118A1" w:rsidRDefault="008C3ABE">
      <w:pPr>
        <w:pStyle w:val="ECHRHeading2"/>
        <w:rPr>
          <w:lang w:val="en-GB"/>
        </w:rPr>
      </w:pPr>
      <w:r>
        <w:rPr>
          <w:lang w:val="en-GB"/>
        </w:rPr>
        <w:t>C</w:t>
      </w:r>
      <w:r w:rsidRPr="002A60F3" w:rsidR="004118A1">
        <w:rPr>
          <w:lang w:val="en-GB"/>
        </w:rPr>
        <w:t>.  The Obligations Act</w:t>
      </w:r>
    </w:p>
    <w:p w:rsidRPr="002A60F3" w:rsidR="004118A1" w:rsidP="004118A1" w:rsidRDefault="004118A1">
      <w:pPr>
        <w:pStyle w:val="ECHRPara"/>
        <w:rPr>
          <w:szCs w:val="24"/>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35</w:t>
      </w:r>
      <w:r w:rsidRPr="002A60F3">
        <w:rPr>
          <w:lang w:val="en-GB"/>
        </w:rPr>
        <w:fldChar w:fldCharType="end"/>
      </w:r>
      <w:r w:rsidRPr="002A60F3">
        <w:rPr>
          <w:lang w:val="en-GB"/>
        </w:rPr>
        <w:t xml:space="preserve">.  The relevant provision of the Obligations Act </w:t>
      </w:r>
      <w:r w:rsidR="008C3ABE">
        <w:rPr>
          <w:lang w:val="en-GB"/>
        </w:rPr>
        <w:t xml:space="preserve">of 1978 </w:t>
      </w:r>
      <w:r w:rsidRPr="002A60F3">
        <w:rPr>
          <w:lang w:val="en-GB"/>
        </w:rPr>
        <w:t>(</w:t>
      </w:r>
      <w:r w:rsidRPr="002A60F3">
        <w:rPr>
          <w:i/>
          <w:lang w:val="en-GB"/>
        </w:rPr>
        <w:t>Zakon o obveznim odnosima</w:t>
      </w:r>
      <w:r w:rsidRPr="002A60F3">
        <w:rPr>
          <w:lang w:val="en-GB"/>
        </w:rPr>
        <w:t>, Official Gazette of the Socialist Fe</w:t>
      </w:r>
      <w:r w:rsidR="008C3ABE">
        <w:rPr>
          <w:lang w:val="en-GB"/>
        </w:rPr>
        <w:t>deral Republic of Yugoslavia no. 29/78</w:t>
      </w:r>
      <w:r w:rsidRPr="002A60F3">
        <w:rPr>
          <w:lang w:val="en-GB"/>
        </w:rPr>
        <w:t xml:space="preserve"> </w:t>
      </w:r>
      <w:r w:rsidRPr="008C3ABE" w:rsidR="008C3ABE">
        <w:rPr>
          <w:rFonts w:eastAsia="Calibri"/>
        </w:rPr>
        <w:t>with subsequent amendments</w:t>
      </w:r>
      <w:r w:rsidRPr="002A60F3">
        <w:rPr>
          <w:lang w:val="en-GB"/>
        </w:rPr>
        <w:t xml:space="preserve">, and Official Gazette of the </w:t>
      </w:r>
      <w:r w:rsidR="008C3ABE">
        <w:rPr>
          <w:lang w:val="en-GB"/>
        </w:rPr>
        <w:t>Republic of Croatia no</w:t>
      </w:r>
      <w:r w:rsidRPr="002A60F3">
        <w:rPr>
          <w:lang w:val="en-GB"/>
        </w:rPr>
        <w:t xml:space="preserve">. </w:t>
      </w:r>
      <w:r w:rsidR="008C3ABE">
        <w:rPr>
          <w:szCs w:val="24"/>
          <w:lang w:val="en-GB"/>
        </w:rPr>
        <w:t>53/91</w:t>
      </w:r>
      <w:r w:rsidRPr="002A60F3">
        <w:rPr>
          <w:szCs w:val="24"/>
          <w:lang w:val="en-GB"/>
        </w:rPr>
        <w:t xml:space="preserve"> </w:t>
      </w:r>
      <w:r w:rsidRPr="008C3ABE" w:rsidR="008C3ABE">
        <w:rPr>
          <w:rFonts w:eastAsia="Calibri"/>
        </w:rPr>
        <w:t>with subsequent amendments</w:t>
      </w:r>
      <w:r w:rsidRPr="002A60F3">
        <w:rPr>
          <w:szCs w:val="24"/>
          <w:lang w:val="en-GB"/>
        </w:rPr>
        <w:t>), which was in force be</w:t>
      </w:r>
      <w:r w:rsidR="0074550B">
        <w:rPr>
          <w:szCs w:val="24"/>
          <w:lang w:val="en-GB"/>
        </w:rPr>
        <w:t>tween and 1 October 1978 and 31 </w:t>
      </w:r>
      <w:r w:rsidRPr="002A60F3">
        <w:rPr>
          <w:szCs w:val="24"/>
          <w:lang w:val="en-GB"/>
        </w:rPr>
        <w:t xml:space="preserve">December 2005, </w:t>
      </w:r>
      <w:r w:rsidRPr="002A60F3" w:rsidR="00655C3D">
        <w:rPr>
          <w:szCs w:val="24"/>
          <w:lang w:val="en-GB"/>
        </w:rPr>
        <w:t>read as follows:</w:t>
      </w:r>
    </w:p>
    <w:p w:rsidRPr="002A60F3" w:rsidR="005B3320" w:rsidP="005B3320" w:rsidRDefault="005B3320">
      <w:pPr>
        <w:pStyle w:val="ECHRTitleCentre3"/>
        <w:rPr>
          <w:lang w:val="en-GB"/>
        </w:rPr>
      </w:pPr>
      <w:r w:rsidRPr="002A60F3">
        <w:rPr>
          <w:lang w:val="en-GB"/>
        </w:rPr>
        <w:t>Nullity</w:t>
      </w:r>
    </w:p>
    <w:p w:rsidRPr="002A60F3" w:rsidR="005B3320" w:rsidP="005B3320" w:rsidRDefault="005B3320">
      <w:pPr>
        <w:pStyle w:val="ECHRTitleCentre3"/>
        <w:rPr>
          <w:lang w:val="en-GB"/>
        </w:rPr>
      </w:pPr>
      <w:r w:rsidRPr="002A60F3">
        <w:rPr>
          <w:lang w:val="en-GB"/>
        </w:rPr>
        <w:t>Section 103</w:t>
      </w:r>
    </w:p>
    <w:p w:rsidRPr="002A60F3" w:rsidR="005B3320" w:rsidP="005B3320" w:rsidRDefault="005B3320">
      <w:pPr>
        <w:pStyle w:val="ECHRParaQuote"/>
        <w:rPr>
          <w:lang w:val="en-GB" w:eastAsia="en-GB"/>
        </w:rPr>
      </w:pPr>
      <w:r w:rsidRPr="002A60F3">
        <w:rPr>
          <w:lang w:val="en-GB"/>
        </w:rPr>
        <w:t xml:space="preserve">“(1) </w:t>
      </w:r>
      <w:r w:rsidRPr="002A60F3">
        <w:rPr>
          <w:lang w:val="en-GB" w:eastAsia="en-GB"/>
        </w:rPr>
        <w:t xml:space="preserve">A contract that is contrary to the Constitution, </w:t>
      </w:r>
      <w:r w:rsidR="007C2907">
        <w:rPr>
          <w:lang w:val="en-GB" w:eastAsia="en-GB"/>
        </w:rPr>
        <w:t>mandatory</w:t>
      </w:r>
      <w:r w:rsidRPr="002A60F3">
        <w:rPr>
          <w:lang w:val="en-GB" w:eastAsia="en-GB"/>
        </w:rPr>
        <w:t xml:space="preserve"> rules or morals shall be null and void unless the purpose of the breached rule indicates some other sanction or the law in a particular case provides otherwise.</w:t>
      </w:r>
    </w:p>
    <w:p w:rsidRPr="00D507DF" w:rsidR="005B3320" w:rsidP="00D507DF" w:rsidRDefault="005B3320">
      <w:pPr>
        <w:pStyle w:val="ECHRParaQuote"/>
        <w:rPr>
          <w:lang w:val="en-GB" w:eastAsia="en-GB"/>
        </w:rPr>
      </w:pPr>
      <w:r w:rsidRPr="002A60F3">
        <w:rPr>
          <w:lang w:val="en-GB" w:eastAsia="en-GB"/>
        </w:rPr>
        <w:t>(2) If the conclusion of a contract is prohibited only to one party, the contract shall remain valid, unless the law in a particular case provides otherwise, and the party that has breached the statutory prohibition shall bear the relevant consequences.”</w:t>
      </w:r>
    </w:p>
    <w:p w:rsidR="00DC565E" w:rsidP="00AB6DCE" w:rsidRDefault="00A35A9E">
      <w:pPr>
        <w:pStyle w:val="ECHRHeading2"/>
        <w:rPr>
          <w:lang w:val="en-GB"/>
        </w:rPr>
      </w:pPr>
      <w:r>
        <w:rPr>
          <w:lang w:val="en-GB"/>
        </w:rPr>
        <w:t>D</w:t>
      </w:r>
      <w:r w:rsidRPr="002A60F3" w:rsidR="00AB6DCE">
        <w:rPr>
          <w:lang w:val="en-GB"/>
        </w:rPr>
        <w:t>.  Collective Agreement for the Health and Health Insurance Sector</w:t>
      </w:r>
    </w:p>
    <w:p w:rsidRPr="002A60F3" w:rsidR="00AB6DCE" w:rsidRDefault="00876BD0">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36</w:t>
      </w:r>
      <w:r>
        <w:rPr>
          <w:lang w:val="en-GB"/>
        </w:rPr>
        <w:fldChar w:fldCharType="end"/>
      </w:r>
      <w:r>
        <w:rPr>
          <w:lang w:val="en-GB"/>
        </w:rPr>
        <w:t>.  </w:t>
      </w:r>
      <w:r w:rsidRPr="006752CE" w:rsidR="000B7A04">
        <w:rPr>
          <w:lang w:val="en-GB"/>
        </w:rPr>
        <w:t xml:space="preserve">The relevant clauses </w:t>
      </w:r>
      <w:r w:rsidRPr="006752CE" w:rsidR="000B7A04">
        <w:rPr>
          <w:lang w:val="en-GB" w:eastAsia="en-GB"/>
        </w:rPr>
        <w:t xml:space="preserve">of </w:t>
      </w:r>
      <w:r w:rsidRPr="006752CE" w:rsidR="000B7A04">
        <w:rPr>
          <w:lang w:val="en-GB"/>
        </w:rPr>
        <w:t>the Collective Agreement for the Health and Health Insurance Sector (</w:t>
      </w:r>
      <w:r w:rsidRPr="006752CE" w:rsidR="000B7A04">
        <w:rPr>
          <w:i/>
          <w:lang w:val="en-GB"/>
        </w:rPr>
        <w:t>Kolektivni ugovor za djelatnost zdravstva i zdravst</w:t>
      </w:r>
      <w:r w:rsidR="000B7A04">
        <w:rPr>
          <w:i/>
          <w:lang w:val="en-GB"/>
        </w:rPr>
        <w:t>v</w:t>
      </w:r>
      <w:r w:rsidRPr="006752CE" w:rsidR="000B7A04">
        <w:rPr>
          <w:i/>
          <w:lang w:val="en-GB"/>
        </w:rPr>
        <w:t>enog osiguranja</w:t>
      </w:r>
      <w:r w:rsidRPr="006752CE" w:rsidR="000B7A04">
        <w:rPr>
          <w:lang w:val="en-GB"/>
        </w:rPr>
        <w:t>, Official Gazette no</w:t>
      </w:r>
      <w:r w:rsidR="000B7A04">
        <w:rPr>
          <w:lang w:val="en-GB"/>
        </w:rPr>
        <w:t>s</w:t>
      </w:r>
      <w:r w:rsidRPr="006752CE" w:rsidR="000B7A04">
        <w:rPr>
          <w:lang w:val="en-GB"/>
        </w:rPr>
        <w:t>. 9/05</w:t>
      </w:r>
      <w:r w:rsidR="000B7A04">
        <w:rPr>
          <w:lang w:val="en-GB"/>
        </w:rPr>
        <w:t xml:space="preserve">, 156/09, 52/10 and 7/11 </w:t>
      </w:r>
      <w:r w:rsidRPr="006752CE" w:rsidR="000B7A04">
        <w:rPr>
          <w:lang w:val="en-GB"/>
        </w:rPr>
        <w:t xml:space="preserve">– “the Collective Agreement” or “the main Collective Agreement”), which </w:t>
      </w:r>
      <w:r w:rsidR="000B7A04">
        <w:rPr>
          <w:lang w:val="en-GB"/>
        </w:rPr>
        <w:t>was in force between</w:t>
      </w:r>
      <w:r w:rsidRPr="002A60F3" w:rsidR="000B7A04">
        <w:rPr>
          <w:lang w:val="en-GB"/>
        </w:rPr>
        <w:t xml:space="preserve"> 15 January 2005</w:t>
      </w:r>
      <w:r w:rsidR="000B7A04">
        <w:rPr>
          <w:lang w:val="en-GB"/>
        </w:rPr>
        <w:t xml:space="preserve"> (see paragraph 6 above) and 31 December 2010, read as follows:</w:t>
      </w:r>
    </w:p>
    <w:p w:rsidRPr="002A60F3" w:rsidR="00AB6DCE" w:rsidP="00AB6DCE" w:rsidRDefault="00186382">
      <w:pPr>
        <w:pStyle w:val="ECHRTitleCentre3"/>
        <w:rPr>
          <w:lang w:val="en-GB"/>
        </w:rPr>
      </w:pPr>
      <w:r>
        <w:rPr>
          <w:lang w:val="en-GB"/>
        </w:rPr>
        <w:t xml:space="preserve">Clause </w:t>
      </w:r>
      <w:r w:rsidRPr="002A60F3" w:rsidR="00AB6DCE">
        <w:rPr>
          <w:lang w:val="en-GB"/>
        </w:rPr>
        <w:t>10</w:t>
      </w:r>
    </w:p>
    <w:p w:rsidRPr="002A60F3" w:rsidR="00AB6DCE" w:rsidP="00AB6DCE" w:rsidRDefault="00AB6DCE">
      <w:pPr>
        <w:pStyle w:val="ECHRParaQuote"/>
        <w:rPr>
          <w:lang w:val="en-GB" w:eastAsia="en-GB"/>
        </w:rPr>
      </w:pPr>
      <w:r w:rsidRPr="002A60F3">
        <w:rPr>
          <w:lang w:val="en-GB" w:eastAsia="en-GB"/>
        </w:rPr>
        <w:t>“(1)  During the validity of this Agreement trade unions shall not strike in respect of the matters regulated by this Agreement.</w:t>
      </w:r>
    </w:p>
    <w:p w:rsidRPr="002A60F3" w:rsidR="00AB6DCE" w:rsidP="00AB6DCE" w:rsidRDefault="00AB6DCE">
      <w:pPr>
        <w:pStyle w:val="ECHRParaQuote"/>
        <w:rPr>
          <w:lang w:val="en-GB" w:eastAsia="en-GB"/>
        </w:rPr>
      </w:pPr>
      <w:r w:rsidRPr="002A60F3">
        <w:rPr>
          <w:lang w:val="en-GB" w:eastAsia="en-GB"/>
        </w:rPr>
        <w:t xml:space="preserve">(2)  The abstention from striking referred to in paragraph </w:t>
      </w:r>
      <w:r w:rsidR="0046637B">
        <w:rPr>
          <w:lang w:val="en-GB" w:eastAsia="en-GB"/>
        </w:rPr>
        <w:t>(</w:t>
      </w:r>
      <w:r w:rsidRPr="002A60F3">
        <w:rPr>
          <w:lang w:val="en-GB" w:eastAsia="en-GB"/>
        </w:rPr>
        <w:t>1</w:t>
      </w:r>
      <w:r w:rsidR="0046637B">
        <w:rPr>
          <w:lang w:val="en-GB" w:eastAsia="en-GB"/>
        </w:rPr>
        <w:t>)</w:t>
      </w:r>
      <w:r w:rsidRPr="002A60F3">
        <w:rPr>
          <w:lang w:val="en-GB" w:eastAsia="en-GB"/>
        </w:rPr>
        <w:t xml:space="preserve"> of this </w:t>
      </w:r>
      <w:r w:rsidR="0046637B">
        <w:rPr>
          <w:lang w:val="en-GB" w:eastAsia="en-GB"/>
        </w:rPr>
        <w:t xml:space="preserve">clause </w:t>
      </w:r>
      <w:r w:rsidRPr="002A60F3">
        <w:rPr>
          <w:lang w:val="en-GB" w:eastAsia="en-GB"/>
        </w:rPr>
        <w:t xml:space="preserve">does not exclude the right to strike in respect of all other unresolved issues or in </w:t>
      </w:r>
      <w:r w:rsidR="001A3B04">
        <w:rPr>
          <w:lang w:val="en-GB" w:eastAsia="en-GB"/>
        </w:rPr>
        <w:t xml:space="preserve">the </w:t>
      </w:r>
      <w:r w:rsidRPr="002A60F3">
        <w:rPr>
          <w:lang w:val="en-GB" w:eastAsia="en-GB"/>
        </w:rPr>
        <w:t xml:space="preserve">case of a dispute </w:t>
      </w:r>
      <w:r w:rsidR="008B4DC3">
        <w:rPr>
          <w:lang w:val="en-GB" w:eastAsia="en-GB"/>
        </w:rPr>
        <w:t xml:space="preserve">concerning </w:t>
      </w:r>
      <w:r w:rsidRPr="002A60F3">
        <w:rPr>
          <w:lang w:val="en-GB" w:eastAsia="en-GB"/>
        </w:rPr>
        <w:t xml:space="preserve">the amendment or </w:t>
      </w:r>
      <w:r w:rsidR="008B4DC3">
        <w:rPr>
          <w:lang w:val="en-GB" w:eastAsia="en-GB"/>
        </w:rPr>
        <w:t>supplement</w:t>
      </w:r>
      <w:r w:rsidRPr="002A60F3">
        <w:rPr>
          <w:lang w:val="en-GB" w:eastAsia="en-GB"/>
        </w:rPr>
        <w:t xml:space="preserve"> to this Agreement.</w:t>
      </w:r>
    </w:p>
    <w:p w:rsidRPr="002A60F3" w:rsidR="00AB6DCE" w:rsidP="00AB6DCE" w:rsidRDefault="00AB6DCE">
      <w:pPr>
        <w:pStyle w:val="ECHRParaQuote"/>
        <w:rPr>
          <w:lang w:val="en-GB" w:eastAsia="en-GB"/>
        </w:rPr>
      </w:pPr>
      <w:r w:rsidRPr="002A60F3">
        <w:rPr>
          <w:lang w:val="en-GB" w:eastAsia="en-GB"/>
        </w:rPr>
        <w:t xml:space="preserve">(3)  Trade unions shall have the right to organise </w:t>
      </w:r>
      <w:r w:rsidR="001A3B04">
        <w:rPr>
          <w:lang w:val="en-GB" w:eastAsia="en-GB"/>
        </w:rPr>
        <w:t xml:space="preserve">a </w:t>
      </w:r>
      <w:r w:rsidRPr="002A60F3">
        <w:rPr>
          <w:lang w:val="en-GB" w:eastAsia="en-GB"/>
        </w:rPr>
        <w:t>solidarity strike with other trade unions, provided that prior notice is given in accordance with the provisions of this Agreement.”</w:t>
      </w:r>
    </w:p>
    <w:p w:rsidRPr="002A60F3" w:rsidR="00AB6DCE" w:rsidP="00AB6DCE" w:rsidRDefault="00AB6DCE">
      <w:pPr>
        <w:pStyle w:val="ECHRTitleCentre3"/>
        <w:rPr>
          <w:lang w:val="en-GB"/>
        </w:rPr>
      </w:pPr>
      <w:r w:rsidRPr="002A60F3">
        <w:rPr>
          <w:lang w:val="en-GB"/>
        </w:rPr>
        <w:t xml:space="preserve">Amendments and </w:t>
      </w:r>
      <w:r w:rsidR="0052340C">
        <w:rPr>
          <w:lang w:val="en-GB"/>
        </w:rPr>
        <w:t>supplements</w:t>
      </w:r>
      <w:r w:rsidRPr="002A60F3">
        <w:rPr>
          <w:lang w:val="en-GB"/>
        </w:rPr>
        <w:t xml:space="preserve"> to the Agreement</w:t>
      </w:r>
    </w:p>
    <w:p w:rsidRPr="002A60F3" w:rsidR="00AB6DCE" w:rsidP="00AB6DCE" w:rsidRDefault="00186382">
      <w:pPr>
        <w:pStyle w:val="ECHRTitleCentre3"/>
        <w:rPr>
          <w:lang w:val="en-GB"/>
        </w:rPr>
      </w:pPr>
      <w:r>
        <w:rPr>
          <w:lang w:val="en-GB"/>
        </w:rPr>
        <w:t xml:space="preserve">Clause </w:t>
      </w:r>
      <w:r w:rsidRPr="002A60F3" w:rsidR="00AB6DCE">
        <w:rPr>
          <w:lang w:val="en-GB"/>
        </w:rPr>
        <w:t>21(1) and (2)</w:t>
      </w:r>
    </w:p>
    <w:p w:rsidRPr="002A60F3" w:rsidR="00AB6DCE" w:rsidP="00AB6DCE" w:rsidRDefault="00AB6DCE">
      <w:pPr>
        <w:pStyle w:val="ECHRParaQuote"/>
        <w:rPr>
          <w:lang w:val="en-GB" w:eastAsia="en-GB"/>
        </w:rPr>
      </w:pPr>
      <w:r w:rsidRPr="002A60F3">
        <w:rPr>
          <w:lang w:val="en-GB" w:eastAsia="en-GB"/>
        </w:rPr>
        <w:t xml:space="preserve">“(1)  Every party may propose amendments </w:t>
      </w:r>
      <w:r w:rsidR="0073594C">
        <w:rPr>
          <w:lang w:val="en-GB" w:eastAsia="en-GB"/>
        </w:rPr>
        <w:t>or</w:t>
      </w:r>
      <w:r w:rsidRPr="002A60F3" w:rsidR="0073594C">
        <w:rPr>
          <w:lang w:val="en-GB" w:eastAsia="en-GB"/>
        </w:rPr>
        <w:t xml:space="preserve"> </w:t>
      </w:r>
      <w:r w:rsidR="0052340C">
        <w:rPr>
          <w:lang w:val="en-GB" w:eastAsia="en-GB"/>
        </w:rPr>
        <w:t>supplements</w:t>
      </w:r>
      <w:r w:rsidRPr="002A60F3">
        <w:rPr>
          <w:lang w:val="en-GB" w:eastAsia="en-GB"/>
        </w:rPr>
        <w:t xml:space="preserve"> to this Agreement.</w:t>
      </w:r>
    </w:p>
    <w:p w:rsidRPr="002A60F3" w:rsidR="00AB6DCE" w:rsidP="00AB6DCE" w:rsidRDefault="00AB6DCE">
      <w:pPr>
        <w:pStyle w:val="ECHRParaQuote"/>
        <w:rPr>
          <w:lang w:val="en-GB" w:eastAsia="en-GB"/>
        </w:rPr>
      </w:pPr>
      <w:r w:rsidRPr="002A60F3">
        <w:rPr>
          <w:lang w:val="en-GB" w:eastAsia="en-GB"/>
        </w:rPr>
        <w:t>(2)  </w:t>
      </w:r>
      <w:r w:rsidR="0046637B">
        <w:rPr>
          <w:lang w:val="en-GB" w:eastAsia="en-GB"/>
        </w:rPr>
        <w:t>Proposals o</w:t>
      </w:r>
      <w:r w:rsidRPr="002A60F3">
        <w:rPr>
          <w:lang w:val="en-GB" w:eastAsia="en-GB"/>
        </w:rPr>
        <w:t xml:space="preserve">n behalf of trade unions for amendments or </w:t>
      </w:r>
      <w:r w:rsidR="008B4DC3">
        <w:rPr>
          <w:lang w:val="en-GB" w:eastAsia="en-GB"/>
        </w:rPr>
        <w:t>supplements</w:t>
      </w:r>
      <w:r w:rsidRPr="002A60F3">
        <w:rPr>
          <w:lang w:val="en-GB" w:eastAsia="en-GB"/>
        </w:rPr>
        <w:t xml:space="preserve"> to this Agreement may be submitted by a bargaining committee.”</w:t>
      </w:r>
    </w:p>
    <w:p w:rsidR="00DC565E" w:rsidP="00AB6DCE" w:rsidRDefault="00A35A9E">
      <w:pPr>
        <w:pStyle w:val="ECHRHeading2"/>
        <w:rPr>
          <w:lang w:val="en-GB"/>
        </w:rPr>
      </w:pPr>
      <w:r>
        <w:rPr>
          <w:lang w:val="en-GB"/>
        </w:rPr>
        <w:t>E</w:t>
      </w:r>
      <w:r w:rsidRPr="002A60F3" w:rsidR="00AB6DCE">
        <w:rPr>
          <w:lang w:val="en-GB"/>
        </w:rPr>
        <w:t>.  Collective Agreement for the Medical and Dentistry Sector</w:t>
      </w:r>
    </w:p>
    <w:p w:rsidRPr="002A60F3" w:rsidR="00AB6DCE" w:rsidP="00AB6DCE" w:rsidRDefault="004B1407">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37</w:t>
      </w:r>
      <w:r>
        <w:rPr>
          <w:lang w:val="en-GB"/>
        </w:rPr>
        <w:fldChar w:fldCharType="end"/>
      </w:r>
      <w:r>
        <w:rPr>
          <w:lang w:val="en-GB"/>
        </w:rPr>
        <w:t>.  </w:t>
      </w:r>
      <w:r w:rsidRPr="006752CE" w:rsidR="00AB6DCE">
        <w:rPr>
          <w:lang w:val="en-GB"/>
        </w:rPr>
        <w:t xml:space="preserve">The </w:t>
      </w:r>
      <w:r w:rsidRPr="006752CE" w:rsidR="007C2907">
        <w:rPr>
          <w:lang w:val="en-GB"/>
        </w:rPr>
        <w:t xml:space="preserve">relevant clauses of the </w:t>
      </w:r>
      <w:r w:rsidRPr="006752CE" w:rsidR="00AB6DCE">
        <w:rPr>
          <w:lang w:val="en-GB"/>
        </w:rPr>
        <w:t>Collective Agreement for the Medical and Dentistry Sector (</w:t>
      </w:r>
      <w:r w:rsidRPr="006752CE" w:rsidR="00AB6DCE">
        <w:rPr>
          <w:i/>
          <w:lang w:val="en-GB"/>
        </w:rPr>
        <w:t>Strukovni kolektivni ugovor za liječničku i stomatološku djelatnost</w:t>
      </w:r>
      <w:r w:rsidRPr="006752CE" w:rsidR="007C2907">
        <w:rPr>
          <w:lang w:val="en-GB"/>
        </w:rPr>
        <w:t xml:space="preserve"> – “the Annex”</w:t>
      </w:r>
      <w:r w:rsidRPr="006752CE" w:rsidR="00AB6DCE">
        <w:rPr>
          <w:lang w:val="en-GB"/>
        </w:rPr>
        <w:t>), which was declared null and void</w:t>
      </w:r>
      <w:r w:rsidRPr="002A60F3" w:rsidR="00AB6DCE">
        <w:rPr>
          <w:lang w:val="en-GB"/>
        </w:rPr>
        <w:t xml:space="preserve"> by a judgment of the Zagreb Municipal Court of 19 October 2006</w:t>
      </w:r>
      <w:r w:rsidR="00357DC1">
        <w:rPr>
          <w:lang w:val="en-GB"/>
        </w:rPr>
        <w:t>,</w:t>
      </w:r>
      <w:r w:rsidRPr="002A60F3" w:rsidR="00AB6DCE">
        <w:rPr>
          <w:lang w:val="en-GB"/>
        </w:rPr>
        <w:t xml:space="preserve"> that became final on 16 December 2008</w:t>
      </w:r>
      <w:r w:rsidR="00AA5D8E">
        <w:rPr>
          <w:lang w:val="en-GB"/>
        </w:rPr>
        <w:t xml:space="preserve"> (see paragraphs </w:t>
      </w:r>
      <w:r w:rsidR="003D2E56">
        <w:rPr>
          <w:lang w:val="en-GB"/>
        </w:rPr>
        <w:t>26-28</w:t>
      </w:r>
      <w:r w:rsidR="009657C4">
        <w:rPr>
          <w:lang w:val="en-GB"/>
        </w:rPr>
        <w:t xml:space="preserve"> above)</w:t>
      </w:r>
      <w:r w:rsidRPr="002A60F3" w:rsidR="00AB6DCE">
        <w:rPr>
          <w:lang w:val="en-GB"/>
        </w:rPr>
        <w:t>, read as follows:</w:t>
      </w:r>
    </w:p>
    <w:p w:rsidRPr="002A60F3" w:rsidR="00AB6DCE" w:rsidP="00AB6DCE" w:rsidRDefault="00531890">
      <w:pPr>
        <w:pStyle w:val="ECHRTitleCentre3"/>
        <w:rPr>
          <w:lang w:val="en-GB"/>
        </w:rPr>
      </w:pPr>
      <w:r>
        <w:rPr>
          <w:lang w:val="en-GB"/>
        </w:rPr>
        <w:t xml:space="preserve">Clause </w:t>
      </w:r>
      <w:r w:rsidRPr="002A60F3" w:rsidR="00AB6DCE">
        <w:rPr>
          <w:lang w:val="en-GB"/>
        </w:rPr>
        <w:t>1(2)</w:t>
      </w:r>
    </w:p>
    <w:p w:rsidRPr="002A60F3" w:rsidR="00AB6DCE" w:rsidP="00AB6DCE" w:rsidRDefault="00AB6DCE">
      <w:pPr>
        <w:pStyle w:val="ECHRParaQuote"/>
        <w:rPr>
          <w:lang w:val="en-GB" w:eastAsia="en-GB"/>
        </w:rPr>
      </w:pPr>
      <w:r w:rsidRPr="006752CE">
        <w:rPr>
          <w:lang w:val="en-GB" w:eastAsia="en-GB"/>
        </w:rPr>
        <w:t xml:space="preserve">“This agreement is to be considered a special part of the </w:t>
      </w:r>
      <w:r w:rsidRPr="006752CE" w:rsidR="007C2907">
        <w:rPr>
          <w:lang w:val="en-GB" w:eastAsia="en-GB"/>
        </w:rPr>
        <w:t xml:space="preserve">[main] </w:t>
      </w:r>
      <w:r w:rsidRPr="006752CE">
        <w:rPr>
          <w:lang w:val="en-GB" w:eastAsia="en-GB"/>
        </w:rPr>
        <w:t xml:space="preserve">Collective Agreement for the Health and Health Insurance Sector. In the event that a certain right is regulated differently by the </w:t>
      </w:r>
      <w:r w:rsidRPr="006752CE" w:rsidR="007C2907">
        <w:rPr>
          <w:lang w:val="en-GB" w:eastAsia="en-GB"/>
        </w:rPr>
        <w:t xml:space="preserve">[main] </w:t>
      </w:r>
      <w:r w:rsidRPr="006752CE">
        <w:rPr>
          <w:lang w:val="en-GB" w:eastAsia="en-GB"/>
        </w:rPr>
        <w:t xml:space="preserve">Collective Agreement for the Health and Health Insurance Sector, the law </w:t>
      </w:r>
      <w:r w:rsidRPr="006752CE" w:rsidR="00357DC1">
        <w:rPr>
          <w:lang w:val="en-GB" w:eastAsia="en-GB"/>
        </w:rPr>
        <w:t xml:space="preserve">that is </w:t>
      </w:r>
      <w:r w:rsidRPr="006752CE">
        <w:rPr>
          <w:lang w:val="en-GB" w:eastAsia="en-GB"/>
        </w:rPr>
        <w:t>more favourable for the employee shall apply.”</w:t>
      </w:r>
    </w:p>
    <w:p w:rsidRPr="002A60F3" w:rsidR="00AB6DCE" w:rsidP="00AB6DCE" w:rsidRDefault="00531890">
      <w:pPr>
        <w:pStyle w:val="ECHRTitleCentre3"/>
        <w:rPr>
          <w:lang w:val="en-GB"/>
        </w:rPr>
      </w:pPr>
      <w:r>
        <w:rPr>
          <w:lang w:val="en-GB"/>
        </w:rPr>
        <w:t xml:space="preserve">Clause </w:t>
      </w:r>
      <w:r w:rsidRPr="002A60F3" w:rsidR="00AB6DCE">
        <w:rPr>
          <w:lang w:val="en-GB"/>
        </w:rPr>
        <w:t>14(1) and (2)</w:t>
      </w:r>
    </w:p>
    <w:p w:rsidRPr="002A60F3" w:rsidR="00AB6DCE" w:rsidP="00AB6DCE" w:rsidRDefault="00AB6DCE">
      <w:pPr>
        <w:pStyle w:val="ECHRParaQuote"/>
        <w:rPr>
          <w:lang w:val="en-GB" w:eastAsia="en-GB"/>
        </w:rPr>
      </w:pPr>
      <w:r w:rsidRPr="002A60F3">
        <w:rPr>
          <w:lang w:val="en-GB" w:eastAsia="en-GB"/>
        </w:rPr>
        <w:t xml:space="preserve">“During the validity of this Agreement the </w:t>
      </w:r>
      <w:r w:rsidRPr="002A60F3">
        <w:rPr>
          <w:lang w:val="en-GB"/>
        </w:rPr>
        <w:t xml:space="preserve">Croatian </w:t>
      </w:r>
      <w:r w:rsidR="0073594C">
        <w:rPr>
          <w:lang w:val="en-GB"/>
        </w:rPr>
        <w:t>Medical</w:t>
      </w:r>
      <w:r w:rsidRPr="002A60F3" w:rsidR="0073594C">
        <w:rPr>
          <w:lang w:val="en-GB"/>
        </w:rPr>
        <w:t xml:space="preserve"> </w:t>
      </w:r>
      <w:r w:rsidRPr="002A60F3">
        <w:rPr>
          <w:lang w:val="en-GB"/>
        </w:rPr>
        <w:t>Union</w:t>
      </w:r>
      <w:r w:rsidRPr="002A60F3">
        <w:rPr>
          <w:lang w:val="en-GB" w:eastAsia="en-GB"/>
        </w:rPr>
        <w:t xml:space="preserve"> shall not strike in respect of matters regulated by this Agreement, unless they [that is, the obligations arising from the Annex] have not been complied with.</w:t>
      </w:r>
    </w:p>
    <w:p w:rsidR="007352DD" w:rsidP="00AB6DCE" w:rsidRDefault="00AB6DCE">
      <w:pPr>
        <w:pStyle w:val="ECHRParaQuote"/>
        <w:rPr>
          <w:lang w:val="en-GB" w:eastAsia="en-GB"/>
        </w:rPr>
      </w:pPr>
      <w:r w:rsidRPr="002A60F3">
        <w:rPr>
          <w:lang w:val="en-GB" w:eastAsia="en-GB"/>
        </w:rPr>
        <w:t xml:space="preserve">The prohibition of a strike referred to in paragraph </w:t>
      </w:r>
      <w:r w:rsidR="00531890">
        <w:rPr>
          <w:lang w:val="en-GB" w:eastAsia="en-GB"/>
        </w:rPr>
        <w:t>(</w:t>
      </w:r>
      <w:r w:rsidRPr="002A60F3">
        <w:rPr>
          <w:lang w:val="en-GB" w:eastAsia="en-GB"/>
        </w:rPr>
        <w:t>1</w:t>
      </w:r>
      <w:r w:rsidR="00531890">
        <w:rPr>
          <w:lang w:val="en-GB" w:eastAsia="en-GB"/>
        </w:rPr>
        <w:t>)</w:t>
      </w:r>
      <w:r w:rsidRPr="002A60F3">
        <w:rPr>
          <w:lang w:val="en-GB" w:eastAsia="en-GB"/>
        </w:rPr>
        <w:t xml:space="preserve"> of this </w:t>
      </w:r>
      <w:r w:rsidR="00531890">
        <w:rPr>
          <w:lang w:val="en-GB" w:eastAsia="en-GB"/>
        </w:rPr>
        <w:t xml:space="preserve">clause </w:t>
      </w:r>
      <w:r w:rsidRPr="002A60F3">
        <w:rPr>
          <w:lang w:val="en-GB" w:eastAsia="en-GB"/>
        </w:rPr>
        <w:t xml:space="preserve">does not exclude the right to strike in respect of </w:t>
      </w:r>
      <w:r w:rsidR="00357DC1">
        <w:rPr>
          <w:lang w:val="en-GB" w:eastAsia="en-GB"/>
        </w:rPr>
        <w:t>any</w:t>
      </w:r>
      <w:r w:rsidRPr="002A60F3">
        <w:rPr>
          <w:lang w:val="en-GB" w:eastAsia="en-GB"/>
        </w:rPr>
        <w:t xml:space="preserve"> other unresolved issue.”</w:t>
      </w:r>
    </w:p>
    <w:p w:rsidRPr="006C4563" w:rsidR="009258F1" w:rsidP="009258F1" w:rsidRDefault="009258F1">
      <w:pPr>
        <w:pStyle w:val="ECHRTitleCentre3"/>
        <w:rPr>
          <w:lang w:val="en-GB"/>
        </w:rPr>
      </w:pPr>
      <w:r w:rsidRPr="006C4563">
        <w:rPr>
          <w:lang w:val="en-GB"/>
        </w:rPr>
        <w:t>Clause 57</w:t>
      </w:r>
    </w:p>
    <w:p w:rsidRPr="006C4563" w:rsidR="009258F1" w:rsidP="009258F1" w:rsidRDefault="009258F1">
      <w:pPr>
        <w:pStyle w:val="JuQuotSub"/>
        <w:rPr>
          <w:lang w:val="en-GB"/>
        </w:rPr>
      </w:pPr>
      <w:r w:rsidRPr="006C4563">
        <w:rPr>
          <w:lang w:val="en-GB" w:eastAsia="en-GB"/>
        </w:rPr>
        <w:t>“</w:t>
      </w:r>
      <w:r w:rsidRPr="00185705">
        <w:rPr>
          <w:lang w:val="en-GB"/>
        </w:rPr>
        <w:t xml:space="preserve">Because of their great responsibility for the life and health of others, doctors </w:t>
      </w:r>
      <w:r w:rsidRPr="006C4563">
        <w:rPr>
          <w:lang w:val="en-GB"/>
        </w:rPr>
        <w:t>[</w:t>
      </w:r>
      <w:r w:rsidRPr="00185705">
        <w:rPr>
          <w:lang w:val="en-GB"/>
        </w:rPr>
        <w:t>and dentists] shall have the right to a</w:t>
      </w:r>
      <w:r w:rsidRPr="006C4563">
        <w:rPr>
          <w:lang w:val="en-GB"/>
        </w:rPr>
        <w:t xml:space="preserve"> corresponding</w:t>
      </w:r>
      <w:r w:rsidRPr="00185705">
        <w:rPr>
          <w:lang w:val="en-GB"/>
        </w:rPr>
        <w:t xml:space="preserve"> salary supplement </w:t>
      </w:r>
      <w:r w:rsidRPr="006C4563">
        <w:rPr>
          <w:lang w:val="en-GB"/>
        </w:rPr>
        <w:t xml:space="preserve">– </w:t>
      </w:r>
      <w:r w:rsidRPr="00185705" w:rsidR="001562F6">
        <w:rPr>
          <w:lang w:val="en-GB"/>
        </w:rPr>
        <w:t xml:space="preserve">the </w:t>
      </w:r>
      <w:r w:rsidRPr="006C4563">
        <w:rPr>
          <w:lang w:val="en-GB"/>
        </w:rPr>
        <w:t>supplement for doctor</w:t>
      </w:r>
      <w:r w:rsidR="00A32E76">
        <w:rPr>
          <w:lang w:val="en-GB"/>
        </w:rPr>
        <w:t>’</w:t>
      </w:r>
      <w:r w:rsidRPr="006C4563">
        <w:rPr>
          <w:lang w:val="en-GB"/>
        </w:rPr>
        <w:t>s responsibility.</w:t>
      </w:r>
    </w:p>
    <w:p w:rsidRPr="00185705" w:rsidR="009258F1" w:rsidP="00185705" w:rsidRDefault="009258F1">
      <w:pPr>
        <w:pStyle w:val="JuQuotSub"/>
        <w:rPr>
          <w:lang w:val="en-US"/>
        </w:rPr>
      </w:pPr>
      <w:r w:rsidRPr="006C4563">
        <w:rPr>
          <w:lang w:val="en-GB"/>
        </w:rPr>
        <w:t>Given the general situation in the economy the total increase of the basic salary on account of the doctor</w:t>
      </w:r>
      <w:r w:rsidR="00A32E76">
        <w:rPr>
          <w:lang w:val="en-GB"/>
        </w:rPr>
        <w:t>’</w:t>
      </w:r>
      <w:r w:rsidRPr="006C4563">
        <w:rPr>
          <w:lang w:val="en-GB"/>
        </w:rPr>
        <w:t xml:space="preserve">s responsibility shall be achieved gradually </w:t>
      </w:r>
      <w:r w:rsidRPr="006C4563" w:rsidR="000D7D53">
        <w:rPr>
          <w:lang w:val="en-GB"/>
        </w:rPr>
        <w:t xml:space="preserve">in the period between 15 January 2005 and 1 January 2010 </w:t>
      </w:r>
      <w:r w:rsidRPr="00185705" w:rsidR="007F7DD7">
        <w:rPr>
          <w:lang w:val="en-GB"/>
        </w:rPr>
        <w:t>through</w:t>
      </w:r>
      <w:r w:rsidRPr="006C4563" w:rsidR="000D7D53">
        <w:rPr>
          <w:lang w:val="en-GB"/>
        </w:rPr>
        <w:t xml:space="preserve"> annual 10% </w:t>
      </w:r>
      <w:r w:rsidRPr="00185705" w:rsidR="007F7DD7">
        <w:rPr>
          <w:lang w:val="en-GB"/>
        </w:rPr>
        <w:t xml:space="preserve">increment </w:t>
      </w:r>
      <w:r w:rsidRPr="006C4563" w:rsidR="000D7D53">
        <w:rPr>
          <w:lang w:val="en-GB"/>
        </w:rPr>
        <w:t>calculated by applying the chain index.</w:t>
      </w:r>
      <w:r w:rsidRPr="006C4563" w:rsidR="00AC19C9">
        <w:rPr>
          <w:lang w:val="en-GB"/>
        </w:rPr>
        <w:t xml:space="preserve"> As of 15 January 2005 the basic salary </w:t>
      </w:r>
      <w:r w:rsidRPr="00185705" w:rsidR="007F7DD7">
        <w:rPr>
          <w:lang w:val="en-GB"/>
        </w:rPr>
        <w:t xml:space="preserve">stipulated </w:t>
      </w:r>
      <w:r w:rsidRPr="006C4563" w:rsidR="00AC19C9">
        <w:rPr>
          <w:lang w:val="en-GB"/>
        </w:rPr>
        <w:t>in the employment cont</w:t>
      </w:r>
      <w:r w:rsidRPr="006C4563" w:rsidR="008C79C0">
        <w:rPr>
          <w:lang w:val="en-GB"/>
        </w:rPr>
        <w:t>ract shall be increased by 10%. Each consecutive</w:t>
      </w:r>
      <w:r w:rsidRPr="006C4563" w:rsidR="00AC19C9">
        <w:rPr>
          <w:lang w:val="en-GB"/>
        </w:rPr>
        <w:t xml:space="preserve"> year, starting from 1 January, the basic salary shall be increased by 10% compared to the previous year</w:t>
      </w:r>
      <w:r w:rsidRPr="006C4563" w:rsidR="008C79C0">
        <w:rPr>
          <w:lang w:val="en-GB"/>
        </w:rPr>
        <w:t>,</w:t>
      </w:r>
      <w:r w:rsidRPr="006C4563" w:rsidR="00AC19C9">
        <w:rPr>
          <w:lang w:val="en-GB"/>
        </w:rPr>
        <w:t xml:space="preserve"> </w:t>
      </w:r>
      <w:r w:rsidRPr="00185705" w:rsidR="00D951A7">
        <w:rPr>
          <w:lang w:val="en-GB"/>
        </w:rPr>
        <w:t xml:space="preserve">up </w:t>
      </w:r>
      <w:r w:rsidRPr="006C4563" w:rsidR="00AC19C9">
        <w:rPr>
          <w:lang w:val="en-GB"/>
        </w:rPr>
        <w:t>until 1 January 2010.”</w:t>
      </w:r>
    </w:p>
    <w:p w:rsidRPr="00596B16" w:rsidR="005B5F2C" w:rsidP="00596B16" w:rsidRDefault="005B5F2C">
      <w:pPr>
        <w:pStyle w:val="ECHRHeading2"/>
        <w:rPr>
          <w:lang w:val="en-US"/>
        </w:rPr>
      </w:pPr>
      <w:r w:rsidRPr="00596B16">
        <w:rPr>
          <w:lang w:val="en-US"/>
        </w:rPr>
        <w:t xml:space="preserve">F.  Decree on </w:t>
      </w:r>
      <w:r w:rsidRPr="00596B16" w:rsidR="00D951A7">
        <w:rPr>
          <w:lang w:val="en-US"/>
        </w:rPr>
        <w:t xml:space="preserve">the </w:t>
      </w:r>
      <w:r w:rsidRPr="00596B16" w:rsidR="00AE569E">
        <w:rPr>
          <w:lang w:val="en-US"/>
        </w:rPr>
        <w:t>salary</w:t>
      </w:r>
      <w:r w:rsidRPr="00596B16">
        <w:rPr>
          <w:lang w:val="en-US"/>
        </w:rPr>
        <w:t xml:space="preserve"> supplement </w:t>
      </w:r>
      <w:r w:rsidRPr="00596B16" w:rsidR="00AE569E">
        <w:rPr>
          <w:lang w:val="en-US"/>
        </w:rPr>
        <w:t xml:space="preserve">for </w:t>
      </w:r>
      <w:r w:rsidRPr="00596B16">
        <w:rPr>
          <w:lang w:val="en-US"/>
        </w:rPr>
        <w:t>doctors and dentist</w:t>
      </w:r>
      <w:r w:rsidRPr="00596B16" w:rsidR="00AE569E">
        <w:rPr>
          <w:lang w:val="en-US"/>
        </w:rPr>
        <w:t>s</w:t>
      </w:r>
    </w:p>
    <w:p w:rsidRPr="00185705" w:rsidR="005B5F2C" w:rsidP="00185705" w:rsidRDefault="005B5F2C">
      <w:pPr>
        <w:pStyle w:val="ECHRPara"/>
        <w:rPr>
          <w:lang w:val="en-GB"/>
        </w:rPr>
      </w:pPr>
      <w:r w:rsidRPr="00185705">
        <w:rPr>
          <w:lang w:val="en-GB"/>
        </w:rPr>
        <w:fldChar w:fldCharType="begin"/>
      </w:r>
      <w:r w:rsidRPr="00185705">
        <w:rPr>
          <w:lang w:val="en-GB"/>
        </w:rPr>
        <w:instrText xml:space="preserve"> SEQ level0 \*arabic </w:instrText>
      </w:r>
      <w:r w:rsidRPr="00185705">
        <w:rPr>
          <w:lang w:val="en-GB"/>
        </w:rPr>
        <w:fldChar w:fldCharType="separate"/>
      </w:r>
      <w:r w:rsidR="00D802F9">
        <w:rPr>
          <w:noProof/>
          <w:lang w:val="en-GB"/>
        </w:rPr>
        <w:t>38</w:t>
      </w:r>
      <w:r w:rsidRPr="00185705">
        <w:rPr>
          <w:lang w:val="en-GB"/>
        </w:rPr>
        <w:fldChar w:fldCharType="end"/>
      </w:r>
      <w:r w:rsidRPr="00185705">
        <w:rPr>
          <w:lang w:val="en-GB"/>
        </w:rPr>
        <w:t>.  </w:t>
      </w:r>
      <w:r w:rsidRPr="00185705" w:rsidR="00AE569E">
        <w:rPr>
          <w:lang w:val="en-GB"/>
        </w:rPr>
        <w:t xml:space="preserve">On 5 April 2005 the Government of Croatia adopted </w:t>
      </w:r>
      <w:r w:rsidRPr="00760B60" w:rsidR="00AE569E">
        <w:rPr>
          <w:lang w:val="en-GB"/>
        </w:rPr>
        <w:t>the D</w:t>
      </w:r>
      <w:r w:rsidRPr="001668DC" w:rsidR="00AE569E">
        <w:rPr>
          <w:lang w:val="en-GB"/>
        </w:rPr>
        <w:t xml:space="preserve">ecree </w:t>
      </w:r>
      <w:r w:rsidRPr="008A44F3" w:rsidR="008C7B04">
        <w:rPr>
          <w:lang w:val="en-GB"/>
        </w:rPr>
        <w:t xml:space="preserve">on </w:t>
      </w:r>
      <w:r w:rsidRPr="00185705" w:rsidR="005F2A62">
        <w:rPr>
          <w:lang w:val="en-GB"/>
        </w:rPr>
        <w:t>a</w:t>
      </w:r>
      <w:r w:rsidRPr="00185705" w:rsidR="004A597F">
        <w:rPr>
          <w:lang w:val="en-GB"/>
        </w:rPr>
        <w:t xml:space="preserve"> </w:t>
      </w:r>
      <w:r w:rsidRPr="00760B60" w:rsidR="00AE569E">
        <w:rPr>
          <w:lang w:val="en-GB"/>
        </w:rPr>
        <w:t xml:space="preserve">salary supplement </w:t>
      </w:r>
      <w:r w:rsidRPr="001668DC" w:rsidR="00AE569E">
        <w:rPr>
          <w:lang w:val="en-GB"/>
        </w:rPr>
        <w:t>for doctors and dentists (</w:t>
      </w:r>
      <w:r w:rsidRPr="00185705" w:rsidR="00AE569E">
        <w:rPr>
          <w:i/>
          <w:lang w:val="en-GB"/>
        </w:rPr>
        <w:t>Uredba o dodatku na pla</w:t>
      </w:r>
      <w:r w:rsidRPr="00185705" w:rsidR="00AE569E">
        <w:rPr>
          <w:i/>
          <w:lang w:val="hr-HR"/>
        </w:rPr>
        <w:t>će doktora medicine i doktora stomatologije</w:t>
      </w:r>
      <w:r w:rsidRPr="00760B60" w:rsidR="00AE569E">
        <w:rPr>
          <w:lang w:val="hr-HR"/>
        </w:rPr>
        <w:t xml:space="preserve">, </w:t>
      </w:r>
      <w:r w:rsidRPr="001668DC" w:rsidR="00AE569E">
        <w:rPr>
          <w:lang w:val="en-GB"/>
        </w:rPr>
        <w:t xml:space="preserve">Official Gazette no. </w:t>
      </w:r>
      <w:r w:rsidRPr="008A44F3" w:rsidR="00AE569E">
        <w:rPr>
          <w:lang w:val="en-GB"/>
        </w:rPr>
        <w:t>44</w:t>
      </w:r>
      <w:r w:rsidRPr="00A870AD" w:rsidR="00AE569E">
        <w:rPr>
          <w:lang w:val="en-GB"/>
        </w:rPr>
        <w:t xml:space="preserve">/05 of </w:t>
      </w:r>
      <w:r w:rsidRPr="00185705" w:rsidR="00AE569E">
        <w:rPr>
          <w:lang w:val="en-GB"/>
        </w:rPr>
        <w:t>5</w:t>
      </w:r>
      <w:r w:rsidRPr="00185705" w:rsidR="007F7DD7">
        <w:rPr>
          <w:lang w:val="en-GB"/>
        </w:rPr>
        <w:t> </w:t>
      </w:r>
      <w:r w:rsidRPr="001668DC" w:rsidR="00AE569E">
        <w:rPr>
          <w:lang w:val="en-GB"/>
        </w:rPr>
        <w:t>April</w:t>
      </w:r>
      <w:r w:rsidRPr="008A44F3" w:rsidR="00AE569E">
        <w:rPr>
          <w:lang w:val="en-GB"/>
        </w:rPr>
        <w:t xml:space="preserve"> 2005 – “the </w:t>
      </w:r>
      <w:r w:rsidRPr="00A870AD" w:rsidR="00AE569E">
        <w:rPr>
          <w:lang w:val="en-GB"/>
        </w:rPr>
        <w:t>Decree</w:t>
      </w:r>
      <w:r w:rsidRPr="00185705" w:rsidR="00AE569E">
        <w:rPr>
          <w:lang w:val="en-GB"/>
        </w:rPr>
        <w:t>”)</w:t>
      </w:r>
      <w:r w:rsidRPr="00185705" w:rsidR="00F62DDC">
        <w:rPr>
          <w:lang w:val="en-GB"/>
        </w:rPr>
        <w:t xml:space="preserve"> which entered into force on the same day</w:t>
      </w:r>
      <w:r w:rsidRPr="00760B60" w:rsidR="00AE569E">
        <w:rPr>
          <w:lang w:val="en-GB"/>
        </w:rPr>
        <w:t xml:space="preserve">. The </w:t>
      </w:r>
      <w:r w:rsidRPr="001668DC" w:rsidR="00AE569E">
        <w:rPr>
          <w:lang w:val="en-GB"/>
        </w:rPr>
        <w:t>relevant</w:t>
      </w:r>
      <w:r w:rsidRPr="008A44F3" w:rsidR="00AE569E">
        <w:rPr>
          <w:lang w:val="en-GB"/>
        </w:rPr>
        <w:t xml:space="preserve"> </w:t>
      </w:r>
      <w:r w:rsidRPr="00A870AD" w:rsidR="00AE569E">
        <w:rPr>
          <w:lang w:val="en-GB"/>
        </w:rPr>
        <w:t>provision of that Decree read as follows:</w:t>
      </w:r>
    </w:p>
    <w:p w:rsidRPr="00185705" w:rsidR="006D35CE" w:rsidP="006D35CE" w:rsidRDefault="006D35CE">
      <w:pPr>
        <w:pStyle w:val="ECHRTitleCentre3"/>
        <w:rPr>
          <w:b w:val="0"/>
          <w:lang w:val="en-GB"/>
        </w:rPr>
      </w:pPr>
      <w:r w:rsidRPr="00185705">
        <w:rPr>
          <w:b w:val="0"/>
          <w:lang w:val="en-GB"/>
        </w:rPr>
        <w:t>Section 2</w:t>
      </w:r>
    </w:p>
    <w:p w:rsidRPr="006C4563" w:rsidR="00AE569E" w:rsidP="00185705" w:rsidRDefault="006D35CE">
      <w:pPr>
        <w:pStyle w:val="JuQuotSub"/>
        <w:rPr>
          <w:lang w:val="en-GB"/>
        </w:rPr>
      </w:pPr>
      <w:r w:rsidRPr="00185705">
        <w:rPr>
          <w:lang w:val="en-GB"/>
        </w:rPr>
        <w:t>“Because of their great responsibility for the life and health of others</w:t>
      </w:r>
      <w:r w:rsidRPr="006C4563">
        <w:rPr>
          <w:lang w:val="en-GB"/>
        </w:rPr>
        <w:t xml:space="preserve">, [doctors and dentists] shall have the right to </w:t>
      </w:r>
      <w:r w:rsidRPr="006C4563" w:rsidR="00B64919">
        <w:rPr>
          <w:lang w:val="en-GB"/>
        </w:rPr>
        <w:t xml:space="preserve">a </w:t>
      </w:r>
      <w:r w:rsidRPr="006C4563">
        <w:rPr>
          <w:lang w:val="en-GB"/>
        </w:rPr>
        <w:t xml:space="preserve">salary supplement </w:t>
      </w:r>
      <w:r w:rsidRPr="006C4563" w:rsidR="00B64919">
        <w:rPr>
          <w:lang w:val="en-GB"/>
        </w:rPr>
        <w:t>..</w:t>
      </w:r>
      <w:r w:rsidRPr="006C4563">
        <w:rPr>
          <w:lang w:val="en-GB"/>
        </w:rPr>
        <w:t>.</w:t>
      </w:r>
    </w:p>
    <w:p w:rsidRPr="00185705" w:rsidR="00623BF2" w:rsidP="00623BF2" w:rsidRDefault="00623BF2">
      <w:pPr>
        <w:pStyle w:val="JuQuotSub"/>
        <w:rPr>
          <w:lang w:val="en-GB"/>
        </w:rPr>
      </w:pPr>
      <w:r w:rsidRPr="00185705">
        <w:rPr>
          <w:lang w:val="en-GB"/>
        </w:rPr>
        <w:t>Salary supplement referred to in paragraph 1 of this section shall be paid in 2005 on a monthly basis and shall correspond to 10% of the basic salary.”</w:t>
      </w:r>
    </w:p>
    <w:p w:rsidRPr="002A60F3" w:rsidR="00F71A6A" w:rsidP="008824B9" w:rsidRDefault="00F71A6A">
      <w:pPr>
        <w:pStyle w:val="ECHRTitle1"/>
        <w:rPr>
          <w:lang w:val="en-GB"/>
        </w:rPr>
      </w:pPr>
      <w:r w:rsidRPr="002A60F3">
        <w:rPr>
          <w:lang w:val="en-GB"/>
        </w:rPr>
        <w:t>THE LAW</w:t>
      </w:r>
    </w:p>
    <w:p w:rsidRPr="002A60F3" w:rsidR="00F71A6A" w:rsidRDefault="00F71A6A">
      <w:pPr>
        <w:pStyle w:val="ECHRHeading1"/>
        <w:rPr>
          <w:lang w:val="en-GB"/>
        </w:rPr>
      </w:pPr>
      <w:r w:rsidRPr="002A60F3">
        <w:rPr>
          <w:lang w:val="en-GB"/>
        </w:rPr>
        <w:t xml:space="preserve">I.  ALLEGED VIOLATION OF ARTICLE </w:t>
      </w:r>
      <w:r w:rsidRPr="002A60F3" w:rsidR="00F320D1">
        <w:rPr>
          <w:lang w:val="en-GB"/>
        </w:rPr>
        <w:t>11</w:t>
      </w:r>
      <w:r w:rsidRPr="002A60F3">
        <w:rPr>
          <w:lang w:val="en-GB"/>
        </w:rPr>
        <w:t xml:space="preserve"> OF THE CONVENTION</w:t>
      </w:r>
    </w:p>
    <w:p w:rsidRPr="002A60F3" w:rsidR="00F71A6A" w:rsidP="00AB6DCE"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39</w:t>
      </w:r>
      <w:r w:rsidRPr="002A60F3">
        <w:rPr>
          <w:lang w:val="en-GB"/>
        </w:rPr>
        <w:fldChar w:fldCharType="end"/>
      </w:r>
      <w:r w:rsidRPr="002A60F3" w:rsidR="00F71A6A">
        <w:rPr>
          <w:lang w:val="en-GB"/>
        </w:rPr>
        <w:t xml:space="preserve">.  The </w:t>
      </w:r>
      <w:r w:rsidRPr="002A60F3" w:rsidR="005F4753">
        <w:rPr>
          <w:lang w:val="en-GB"/>
        </w:rPr>
        <w:t>applicant</w:t>
      </w:r>
      <w:r w:rsidRPr="002A60F3" w:rsidR="00F71A6A">
        <w:rPr>
          <w:lang w:val="en-GB"/>
        </w:rPr>
        <w:t xml:space="preserve"> </w:t>
      </w:r>
      <w:r w:rsidRPr="002A60F3" w:rsidR="00AB6DCE">
        <w:rPr>
          <w:lang w:val="en-GB"/>
        </w:rPr>
        <w:t xml:space="preserve">union complained that the decisions of the domestic courts prohibiting it </w:t>
      </w:r>
      <w:r w:rsidR="00B1047C">
        <w:rPr>
          <w:lang w:val="en-GB"/>
        </w:rPr>
        <w:t xml:space="preserve">from </w:t>
      </w:r>
      <w:r w:rsidRPr="002A60F3" w:rsidR="00AB6DCE">
        <w:rPr>
          <w:lang w:val="en-GB"/>
        </w:rPr>
        <w:t>hold</w:t>
      </w:r>
      <w:r w:rsidR="00B1047C">
        <w:rPr>
          <w:lang w:val="en-GB"/>
        </w:rPr>
        <w:t>ing</w:t>
      </w:r>
      <w:r w:rsidRPr="002A60F3" w:rsidR="00AB6DCE">
        <w:rPr>
          <w:lang w:val="en-GB"/>
        </w:rPr>
        <w:t xml:space="preserve"> </w:t>
      </w:r>
      <w:r w:rsidR="00A404AF">
        <w:rPr>
          <w:lang w:val="en-GB"/>
        </w:rPr>
        <w:t>the</w:t>
      </w:r>
      <w:r w:rsidRPr="002A60F3" w:rsidR="00AB6DCE">
        <w:rPr>
          <w:lang w:val="en-GB"/>
        </w:rPr>
        <w:t xml:space="preserve"> strike planned for</w:t>
      </w:r>
      <w:r w:rsidRPr="002A60F3" w:rsidR="00B87B8B">
        <w:rPr>
          <w:lang w:val="en-GB"/>
        </w:rPr>
        <w:t xml:space="preserve"> 11 April 2005</w:t>
      </w:r>
      <w:r w:rsidRPr="002A60F3" w:rsidR="00AB6DCE">
        <w:rPr>
          <w:lang w:val="en-GB"/>
        </w:rPr>
        <w:t xml:space="preserve"> </w:t>
      </w:r>
      <w:r w:rsidRPr="002A60F3" w:rsidR="00B87B8B">
        <w:rPr>
          <w:lang w:val="en-GB"/>
        </w:rPr>
        <w:t xml:space="preserve">had </w:t>
      </w:r>
      <w:r w:rsidRPr="002A60F3" w:rsidR="00AB6DCE">
        <w:rPr>
          <w:lang w:val="en-GB"/>
        </w:rPr>
        <w:t>breached its right to protect the interests of its members and</w:t>
      </w:r>
      <w:r w:rsidRPr="002A60F3" w:rsidR="00B87B8B">
        <w:rPr>
          <w:lang w:val="en-GB"/>
        </w:rPr>
        <w:t xml:space="preserve"> had</w:t>
      </w:r>
      <w:r w:rsidRPr="002A60F3" w:rsidR="00AB6DCE">
        <w:rPr>
          <w:lang w:val="en-GB"/>
        </w:rPr>
        <w:t xml:space="preserve"> thus breached its trade union freedom guaranteed by </w:t>
      </w:r>
      <w:r w:rsidRPr="002A60F3" w:rsidR="00F71A6A">
        <w:rPr>
          <w:lang w:val="en-GB"/>
        </w:rPr>
        <w:t xml:space="preserve">Article </w:t>
      </w:r>
      <w:r w:rsidRPr="002A60F3" w:rsidR="00AB6DCE">
        <w:rPr>
          <w:lang w:val="en-GB"/>
        </w:rPr>
        <w:t>11</w:t>
      </w:r>
      <w:r w:rsidRPr="002A60F3" w:rsidR="00F71A6A">
        <w:rPr>
          <w:lang w:val="en-GB"/>
        </w:rPr>
        <w:t xml:space="preserve"> of the Convention, which reads as follows:</w:t>
      </w:r>
    </w:p>
    <w:p w:rsidRPr="002A60F3" w:rsidR="00AB6DCE" w:rsidRDefault="00AB6DCE">
      <w:pPr>
        <w:pStyle w:val="ECHRParaQuote"/>
        <w:rPr>
          <w:lang w:val="en-GB"/>
        </w:rPr>
      </w:pPr>
      <w:r w:rsidRPr="002A60F3">
        <w:rPr>
          <w:sz w:val="24"/>
          <w:lang w:val="en-GB"/>
        </w:rPr>
        <w:t>“</w:t>
      </w:r>
      <w:r w:rsidRPr="002A60F3">
        <w:rPr>
          <w:lang w:val="en-GB"/>
        </w:rPr>
        <w:t>1.  Everyone has the right to freedom of peaceful assembly and to freedom of association with others, including the right to form and to join trade unions for the protection of his interests.</w:t>
      </w:r>
    </w:p>
    <w:p w:rsidRPr="002A60F3" w:rsidR="005B16A8" w:rsidRDefault="00AB6DCE">
      <w:pPr>
        <w:pStyle w:val="ECHRParaQuote"/>
        <w:rPr>
          <w:lang w:val="en-GB"/>
        </w:rPr>
      </w:pPr>
      <w:r w:rsidRPr="002A60F3">
        <w:rPr>
          <w:lang w:val="en-GB"/>
        </w:rP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2A60F3" w:rsidR="00F71A6A"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40</w:t>
      </w:r>
      <w:r w:rsidRPr="002A60F3">
        <w:rPr>
          <w:lang w:val="en-GB"/>
        </w:rPr>
        <w:fldChar w:fldCharType="end"/>
      </w:r>
      <w:r w:rsidRPr="002A60F3" w:rsidR="00F71A6A">
        <w:rPr>
          <w:lang w:val="en-GB"/>
        </w:rPr>
        <w:t>.  The Government contested that argument.</w:t>
      </w:r>
    </w:p>
    <w:p w:rsidRPr="002A60F3" w:rsidR="00F71A6A" w:rsidP="008824B9" w:rsidRDefault="00F71A6A">
      <w:pPr>
        <w:pStyle w:val="ECHRHeading2"/>
        <w:outlineLvl w:val="0"/>
        <w:rPr>
          <w:lang w:val="en-GB"/>
        </w:rPr>
      </w:pPr>
      <w:r w:rsidRPr="002A60F3">
        <w:rPr>
          <w:lang w:val="en-GB"/>
        </w:rPr>
        <w:t>A.  Admissibility</w:t>
      </w:r>
    </w:p>
    <w:p w:rsidRPr="002A60F3" w:rsidR="002E046F" w:rsidP="0056605B" w:rsidRDefault="005C61EE">
      <w:pPr>
        <w:ind w:firstLine="284"/>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41</w:t>
      </w:r>
      <w:r w:rsidRPr="002A60F3">
        <w:rPr>
          <w:lang w:val="en-GB"/>
        </w:rPr>
        <w:fldChar w:fldCharType="end"/>
      </w:r>
      <w:r w:rsidRPr="002A60F3">
        <w:rPr>
          <w:lang w:val="en-GB"/>
        </w:rPr>
        <w:t>.  </w:t>
      </w:r>
      <w:r w:rsidRPr="002A60F3" w:rsidR="001721AD">
        <w:rPr>
          <w:lang w:val="en-GB"/>
        </w:rPr>
        <w:t xml:space="preserve">The Government disputed the admissibility of the application by arguing that the applicant union </w:t>
      </w:r>
      <w:r w:rsidR="00062A15">
        <w:rPr>
          <w:lang w:val="en-GB"/>
        </w:rPr>
        <w:t>had not had</w:t>
      </w:r>
      <w:r w:rsidRPr="002A60F3" w:rsidR="001721AD">
        <w:rPr>
          <w:lang w:val="en-GB"/>
        </w:rPr>
        <w:t xml:space="preserve"> a </w:t>
      </w:r>
      <w:r w:rsidRPr="002A60F3" w:rsidR="001721AD">
        <w:rPr>
          <w:i/>
          <w:lang w:val="en-GB"/>
        </w:rPr>
        <w:t>locus standi</w:t>
      </w:r>
      <w:r w:rsidRPr="002A60F3" w:rsidR="001721AD">
        <w:rPr>
          <w:lang w:val="en-GB"/>
        </w:rPr>
        <w:t xml:space="preserve"> and that, in any event, it had failed to exhaust domestic remedies.</w:t>
      </w:r>
    </w:p>
    <w:p w:rsidRPr="002A60F3" w:rsidR="0056605B" w:rsidP="0056605B" w:rsidRDefault="0056605B">
      <w:pPr>
        <w:pStyle w:val="ECHRHeading3"/>
        <w:rPr>
          <w:lang w:val="en-GB"/>
        </w:rPr>
      </w:pPr>
      <w:r w:rsidRPr="002A60F3">
        <w:rPr>
          <w:lang w:val="en-GB"/>
        </w:rPr>
        <w:t>1.  Non-exhaustion of domestic remedies</w:t>
      </w:r>
    </w:p>
    <w:p w:rsidRPr="002A60F3" w:rsidR="0056605B" w:rsidP="002F4BCF" w:rsidRDefault="0056605B">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42</w:t>
      </w:r>
      <w:r w:rsidRPr="002A60F3">
        <w:rPr>
          <w:lang w:val="en-GB"/>
        </w:rPr>
        <w:fldChar w:fldCharType="end"/>
      </w:r>
      <w:r w:rsidRPr="002A60F3">
        <w:rPr>
          <w:lang w:val="en-GB"/>
        </w:rPr>
        <w:t xml:space="preserve">.  The Government noted that the main </w:t>
      </w:r>
      <w:r w:rsidRPr="002A60F3" w:rsidR="00DD6B6E">
        <w:rPr>
          <w:lang w:val="en-GB"/>
        </w:rPr>
        <w:t>ground</w:t>
      </w:r>
      <w:r w:rsidRPr="002A60F3">
        <w:rPr>
          <w:lang w:val="en-GB"/>
        </w:rPr>
        <w:t xml:space="preserve"> for the strike </w:t>
      </w:r>
      <w:r w:rsidR="00A404AF">
        <w:rPr>
          <w:lang w:val="en-GB"/>
        </w:rPr>
        <w:t xml:space="preserve">which </w:t>
      </w:r>
      <w:r w:rsidRPr="002A60F3" w:rsidR="006277F0">
        <w:rPr>
          <w:lang w:val="en-GB"/>
        </w:rPr>
        <w:t xml:space="preserve">the applicant union </w:t>
      </w:r>
      <w:r w:rsidR="00A404AF">
        <w:rPr>
          <w:lang w:val="en-GB"/>
        </w:rPr>
        <w:t xml:space="preserve">had </w:t>
      </w:r>
      <w:r w:rsidRPr="002A60F3">
        <w:rPr>
          <w:lang w:val="en-GB"/>
        </w:rPr>
        <w:t>called</w:t>
      </w:r>
      <w:r w:rsidRPr="002A60F3" w:rsidR="006277F0">
        <w:rPr>
          <w:lang w:val="en-GB"/>
        </w:rPr>
        <w:t xml:space="preserve"> for</w:t>
      </w:r>
      <w:r w:rsidRPr="002A60F3">
        <w:rPr>
          <w:lang w:val="en-GB"/>
        </w:rPr>
        <w:t xml:space="preserve"> 11 April 2005</w:t>
      </w:r>
      <w:r w:rsidRPr="002A60F3" w:rsidR="006277F0">
        <w:rPr>
          <w:lang w:val="en-GB"/>
        </w:rPr>
        <w:t xml:space="preserve"> </w:t>
      </w:r>
      <w:r w:rsidRPr="002A60F3">
        <w:rPr>
          <w:lang w:val="en-GB"/>
        </w:rPr>
        <w:t xml:space="preserve">had been the alleged non-observance by the </w:t>
      </w:r>
      <w:r w:rsidR="00524AB9">
        <w:rPr>
          <w:lang w:val="en-GB"/>
        </w:rPr>
        <w:t xml:space="preserve">State </w:t>
      </w:r>
      <w:r w:rsidRPr="002A60F3">
        <w:rPr>
          <w:lang w:val="en-GB"/>
        </w:rPr>
        <w:t>of the obligations arising from the Annex</w:t>
      </w:r>
      <w:r w:rsidR="00244E12">
        <w:rPr>
          <w:lang w:val="en-GB"/>
        </w:rPr>
        <w:t xml:space="preserve"> (see paragraph </w:t>
      </w:r>
      <w:r w:rsidR="005D5E03">
        <w:rPr>
          <w:lang w:val="en-GB"/>
        </w:rPr>
        <w:t>1</w:t>
      </w:r>
      <w:r w:rsidR="00EC7303">
        <w:rPr>
          <w:lang w:val="en-GB"/>
        </w:rPr>
        <w:t>4</w:t>
      </w:r>
      <w:r w:rsidR="00244E12">
        <w:rPr>
          <w:lang w:val="en-GB"/>
        </w:rPr>
        <w:t xml:space="preserve"> above)</w:t>
      </w:r>
      <w:r w:rsidRPr="002A60F3">
        <w:rPr>
          <w:lang w:val="en-GB"/>
        </w:rPr>
        <w:t xml:space="preserve">. That </w:t>
      </w:r>
      <w:r w:rsidRPr="002A60F3" w:rsidR="006277F0">
        <w:rPr>
          <w:lang w:val="en-GB"/>
        </w:rPr>
        <w:t xml:space="preserve">being so, the Government argued, </w:t>
      </w:r>
      <w:r w:rsidRPr="002A60F3" w:rsidR="00DD6B6E">
        <w:rPr>
          <w:lang w:val="en-GB"/>
        </w:rPr>
        <w:t xml:space="preserve">instead of </w:t>
      </w:r>
      <w:r w:rsidRPr="002A60F3" w:rsidR="006277F0">
        <w:rPr>
          <w:lang w:val="en-GB"/>
        </w:rPr>
        <w:t xml:space="preserve">resorting to strike </w:t>
      </w:r>
      <w:r w:rsidR="00A404AF">
        <w:rPr>
          <w:lang w:val="en-GB"/>
        </w:rPr>
        <w:t xml:space="preserve">action, </w:t>
      </w:r>
      <w:r w:rsidRPr="002A60F3" w:rsidR="006277F0">
        <w:rPr>
          <w:lang w:val="en-GB"/>
        </w:rPr>
        <w:t xml:space="preserve">the applicant union could have achieved the same goal by bringing </w:t>
      </w:r>
      <w:r w:rsidRPr="002A60F3" w:rsidR="00A51BD0">
        <w:rPr>
          <w:lang w:val="en-GB"/>
        </w:rPr>
        <w:t xml:space="preserve">a </w:t>
      </w:r>
      <w:r w:rsidRPr="002A60F3" w:rsidR="006277F0">
        <w:rPr>
          <w:lang w:val="en-GB"/>
        </w:rPr>
        <w:t xml:space="preserve">civil </w:t>
      </w:r>
      <w:r w:rsidRPr="002A60F3" w:rsidR="00A51BD0">
        <w:rPr>
          <w:lang w:val="en-GB"/>
        </w:rPr>
        <w:t xml:space="preserve">action </w:t>
      </w:r>
      <w:r w:rsidRPr="002A60F3" w:rsidR="00524AB9">
        <w:rPr>
          <w:lang w:val="en-GB"/>
        </w:rPr>
        <w:t>against the State</w:t>
      </w:r>
      <w:r w:rsidR="00524AB9">
        <w:rPr>
          <w:lang w:val="en-GB"/>
        </w:rPr>
        <w:t xml:space="preserve">, either </w:t>
      </w:r>
      <w:r w:rsidRPr="002A60F3" w:rsidR="00A51BD0">
        <w:rPr>
          <w:lang w:val="en-GB"/>
        </w:rPr>
        <w:t>for damages</w:t>
      </w:r>
      <w:r w:rsidR="00A404AF">
        <w:rPr>
          <w:lang w:val="en-GB"/>
        </w:rPr>
        <w:t>,</w:t>
      </w:r>
      <w:r w:rsidRPr="002A60F3" w:rsidR="00A51BD0">
        <w:rPr>
          <w:lang w:val="en-GB"/>
        </w:rPr>
        <w:t xml:space="preserve"> relying on section 191 of the </w:t>
      </w:r>
      <w:r w:rsidR="00487A8D">
        <w:rPr>
          <w:lang w:val="en-GB"/>
        </w:rPr>
        <w:t>Labour Act</w:t>
      </w:r>
      <w:r w:rsidRPr="002A60F3" w:rsidR="00A51BD0">
        <w:rPr>
          <w:lang w:val="en-GB"/>
        </w:rPr>
        <w:t>, or for the protection of rights arising from a collective agreement</w:t>
      </w:r>
      <w:r w:rsidR="00524AB9">
        <w:rPr>
          <w:lang w:val="en-GB"/>
        </w:rPr>
        <w:t>,</w:t>
      </w:r>
      <w:r w:rsidRPr="002A60F3" w:rsidR="00A51BD0">
        <w:rPr>
          <w:lang w:val="en-GB"/>
        </w:rPr>
        <w:t xml:space="preserve"> </w:t>
      </w:r>
      <w:r w:rsidR="00524AB9">
        <w:rPr>
          <w:lang w:val="en-GB"/>
        </w:rPr>
        <w:t xml:space="preserve">relying </w:t>
      </w:r>
      <w:r w:rsidRPr="002A60F3" w:rsidR="00A51BD0">
        <w:rPr>
          <w:lang w:val="en-GB"/>
        </w:rPr>
        <w:t>on section 202 of the same Act</w:t>
      </w:r>
      <w:r w:rsidR="00062A15">
        <w:rPr>
          <w:lang w:val="en-GB"/>
        </w:rPr>
        <w:t xml:space="preserve"> (see paragraph </w:t>
      </w:r>
      <w:r w:rsidR="00EC7303">
        <w:rPr>
          <w:lang w:val="en-GB"/>
        </w:rPr>
        <w:t xml:space="preserve">32 </w:t>
      </w:r>
      <w:r w:rsidR="00062A15">
        <w:rPr>
          <w:lang w:val="en-GB"/>
        </w:rPr>
        <w:t>above)</w:t>
      </w:r>
      <w:r w:rsidRPr="002A60F3" w:rsidR="00DD6B6E">
        <w:rPr>
          <w:lang w:val="en-GB"/>
        </w:rPr>
        <w:t xml:space="preserve">, </w:t>
      </w:r>
      <w:r w:rsidR="00A404AF">
        <w:rPr>
          <w:lang w:val="en-GB"/>
        </w:rPr>
        <w:t xml:space="preserve">thereby </w:t>
      </w:r>
      <w:r w:rsidRPr="002A60F3" w:rsidR="00DD6B6E">
        <w:rPr>
          <w:lang w:val="en-GB"/>
        </w:rPr>
        <w:t>protect</w:t>
      </w:r>
      <w:r w:rsidR="00A404AF">
        <w:rPr>
          <w:lang w:val="en-GB"/>
        </w:rPr>
        <w:t>ing</w:t>
      </w:r>
      <w:r w:rsidRPr="002A60F3" w:rsidR="00DD6B6E">
        <w:rPr>
          <w:lang w:val="en-GB"/>
        </w:rPr>
        <w:t xml:space="preserve"> the interests of its members</w:t>
      </w:r>
      <w:r w:rsidRPr="002A60F3" w:rsidR="00A51BD0">
        <w:rPr>
          <w:lang w:val="en-GB"/>
        </w:rPr>
        <w:t>.</w:t>
      </w:r>
      <w:r w:rsidRPr="002A60F3" w:rsidR="006277F0">
        <w:rPr>
          <w:lang w:val="en-GB"/>
        </w:rPr>
        <w:t xml:space="preserve"> </w:t>
      </w:r>
      <w:r w:rsidRPr="002A60F3" w:rsidR="00A51BD0">
        <w:rPr>
          <w:lang w:val="en-GB"/>
        </w:rPr>
        <w:t xml:space="preserve">However, the applicant union had not done so and </w:t>
      </w:r>
      <w:r w:rsidR="00A404AF">
        <w:rPr>
          <w:lang w:val="en-GB"/>
        </w:rPr>
        <w:t xml:space="preserve">had </w:t>
      </w:r>
      <w:r w:rsidRPr="002A60F3" w:rsidR="00A51BD0">
        <w:rPr>
          <w:lang w:val="en-GB"/>
        </w:rPr>
        <w:t>thus failed to exhaust domestic remedies.</w:t>
      </w:r>
    </w:p>
    <w:p w:rsidRPr="002A60F3" w:rsidR="00941DE4" w:rsidP="00941DE4" w:rsidRDefault="00AF5335">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43</w:t>
      </w:r>
      <w:r w:rsidRPr="002A60F3">
        <w:rPr>
          <w:lang w:val="en-GB"/>
        </w:rPr>
        <w:fldChar w:fldCharType="end"/>
      </w:r>
      <w:r w:rsidRPr="002A60F3">
        <w:rPr>
          <w:lang w:val="en-GB"/>
        </w:rPr>
        <w:t xml:space="preserve">.  The applicant union </w:t>
      </w:r>
      <w:r w:rsidRPr="002A60F3" w:rsidR="00941DE4">
        <w:rPr>
          <w:lang w:val="en-GB"/>
        </w:rPr>
        <w:t xml:space="preserve">replied that they had complained </w:t>
      </w:r>
      <w:r w:rsidRPr="002A60F3" w:rsidR="00A404AF">
        <w:rPr>
          <w:lang w:val="en-GB"/>
        </w:rPr>
        <w:t>before the Court</w:t>
      </w:r>
      <w:r w:rsidR="00A404AF">
        <w:rPr>
          <w:lang w:val="en-GB"/>
        </w:rPr>
        <w:t xml:space="preserve"> </w:t>
      </w:r>
      <w:r w:rsidRPr="002A60F3" w:rsidR="00941DE4">
        <w:rPr>
          <w:lang w:val="en-GB"/>
        </w:rPr>
        <w:t xml:space="preserve">of a violation of their freedom of association on account of </w:t>
      </w:r>
      <w:r w:rsidRPr="002A60F3" w:rsidR="00062A15">
        <w:rPr>
          <w:lang w:val="en-GB"/>
        </w:rPr>
        <w:t>the Zagreb County Court</w:t>
      </w:r>
      <w:r w:rsidR="00A32E76">
        <w:rPr>
          <w:lang w:val="en-GB"/>
        </w:rPr>
        <w:t>’</w:t>
      </w:r>
      <w:r w:rsidRPr="002A60F3" w:rsidR="00062A15">
        <w:rPr>
          <w:lang w:val="en-GB"/>
        </w:rPr>
        <w:t>s judgment of 8 April 2005</w:t>
      </w:r>
      <w:r w:rsidR="00062A15">
        <w:rPr>
          <w:lang w:val="en-GB"/>
        </w:rPr>
        <w:t xml:space="preserve"> (see paragraph </w:t>
      </w:r>
      <w:r w:rsidR="00EC7303">
        <w:rPr>
          <w:lang w:val="en-GB"/>
        </w:rPr>
        <w:t>19</w:t>
      </w:r>
      <w:r w:rsidR="00062A15">
        <w:rPr>
          <w:lang w:val="en-GB"/>
        </w:rPr>
        <w:t xml:space="preserve"> above) </w:t>
      </w:r>
      <w:r w:rsidRPr="002A60F3" w:rsidR="00941DE4">
        <w:rPr>
          <w:lang w:val="en-GB"/>
        </w:rPr>
        <w:t xml:space="preserve">prohibiting it </w:t>
      </w:r>
      <w:r w:rsidR="00B1047C">
        <w:rPr>
          <w:lang w:val="en-GB"/>
        </w:rPr>
        <w:t xml:space="preserve">from </w:t>
      </w:r>
      <w:r w:rsidRPr="002A60F3" w:rsidR="00941DE4">
        <w:rPr>
          <w:lang w:val="en-GB"/>
        </w:rPr>
        <w:t>hold</w:t>
      </w:r>
      <w:r w:rsidR="00B1047C">
        <w:rPr>
          <w:lang w:val="en-GB"/>
        </w:rPr>
        <w:t>ing</w:t>
      </w:r>
      <w:r w:rsidRPr="002A60F3" w:rsidR="00941DE4">
        <w:rPr>
          <w:lang w:val="en-GB"/>
        </w:rPr>
        <w:t xml:space="preserve"> a strike on 11 April 2005 – against which they </w:t>
      </w:r>
      <w:r w:rsidRPr="002A60F3" w:rsidR="00FE2E11">
        <w:rPr>
          <w:lang w:val="en-GB"/>
        </w:rPr>
        <w:t>had appealed</w:t>
      </w:r>
      <w:r w:rsidRPr="002A60F3" w:rsidR="00941DE4">
        <w:rPr>
          <w:lang w:val="en-GB"/>
        </w:rPr>
        <w:t xml:space="preserve"> and </w:t>
      </w:r>
      <w:r w:rsidRPr="002A60F3" w:rsidR="00FE2E11">
        <w:rPr>
          <w:lang w:val="en-GB"/>
        </w:rPr>
        <w:t xml:space="preserve">lodged </w:t>
      </w:r>
      <w:r w:rsidRPr="002A60F3" w:rsidR="00941DE4">
        <w:rPr>
          <w:lang w:val="en-GB"/>
        </w:rPr>
        <w:t>a constitutional complaint</w:t>
      </w:r>
      <w:r w:rsidR="005E07F1">
        <w:rPr>
          <w:lang w:val="en-GB"/>
        </w:rPr>
        <w:t xml:space="preserve"> (see paragraphs </w:t>
      </w:r>
      <w:r w:rsidR="00EC7303">
        <w:rPr>
          <w:lang w:val="en-GB"/>
        </w:rPr>
        <w:t xml:space="preserve">22 </w:t>
      </w:r>
      <w:r w:rsidR="005E07F1">
        <w:rPr>
          <w:lang w:val="en-GB"/>
        </w:rPr>
        <w:t xml:space="preserve">and </w:t>
      </w:r>
      <w:r w:rsidR="00EC7303">
        <w:rPr>
          <w:lang w:val="en-GB"/>
        </w:rPr>
        <w:t xml:space="preserve">24 </w:t>
      </w:r>
      <w:r w:rsidR="009657C4">
        <w:rPr>
          <w:lang w:val="en-GB"/>
        </w:rPr>
        <w:t>above)</w:t>
      </w:r>
      <w:r w:rsidRPr="002A60F3" w:rsidR="00941DE4">
        <w:rPr>
          <w:lang w:val="en-GB"/>
        </w:rPr>
        <w:t xml:space="preserve"> – and not on account of non-observance by the State of the obligations stemming from the Annex.</w:t>
      </w:r>
      <w:r w:rsidRPr="002A60F3" w:rsidR="00FE2E11">
        <w:rPr>
          <w:lang w:val="en-GB"/>
        </w:rPr>
        <w:t xml:space="preserve"> Therefore, the violation complained of could not have been remedied by bringing the civil actions suggested by the Government.</w:t>
      </w:r>
    </w:p>
    <w:p w:rsidRPr="002A60F3" w:rsidR="00744CCC" w:rsidP="00941DE4" w:rsidRDefault="00AF5335">
      <w:pPr>
        <w:pStyle w:val="ECHRPara"/>
        <w:rPr>
          <w:rFonts w:eastAsia="Calibri"/>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44</w:t>
      </w:r>
      <w:r w:rsidRPr="002A60F3">
        <w:rPr>
          <w:lang w:val="en-GB"/>
        </w:rPr>
        <w:fldChar w:fldCharType="end"/>
      </w:r>
      <w:r w:rsidRPr="002A60F3">
        <w:rPr>
          <w:lang w:val="en-GB"/>
        </w:rPr>
        <w:t>.  For the Court</w:t>
      </w:r>
      <w:r w:rsidR="00524AB9">
        <w:rPr>
          <w:lang w:val="en-GB"/>
        </w:rPr>
        <w:t>,</w:t>
      </w:r>
      <w:r w:rsidRPr="002A60F3">
        <w:rPr>
          <w:lang w:val="en-GB"/>
        </w:rPr>
        <w:t xml:space="preserve"> it is sufficient to note that the Annex was eventually declared null and void by the domestic courts</w:t>
      </w:r>
      <w:r w:rsidR="00062A15">
        <w:rPr>
          <w:lang w:val="en-GB"/>
        </w:rPr>
        <w:t xml:space="preserve"> (see paragraphs </w:t>
      </w:r>
      <w:r w:rsidR="00EC7303">
        <w:rPr>
          <w:lang w:val="en-GB"/>
        </w:rPr>
        <w:t>26-30</w:t>
      </w:r>
      <w:r w:rsidR="00062A15">
        <w:rPr>
          <w:lang w:val="en-GB"/>
        </w:rPr>
        <w:t xml:space="preserve"> above)</w:t>
      </w:r>
      <w:r w:rsidRPr="002A60F3">
        <w:rPr>
          <w:lang w:val="en-GB"/>
        </w:rPr>
        <w:t xml:space="preserve"> </w:t>
      </w:r>
      <w:r w:rsidRPr="002A60F3" w:rsidR="00923F20">
        <w:rPr>
          <w:lang w:val="en-GB"/>
        </w:rPr>
        <w:t xml:space="preserve">and </w:t>
      </w:r>
      <w:r w:rsidRPr="002A60F3" w:rsidR="005F0F33">
        <w:rPr>
          <w:lang w:val="en-GB"/>
        </w:rPr>
        <w:t xml:space="preserve">that </w:t>
      </w:r>
      <w:r w:rsidRPr="002A60F3" w:rsidR="009B331A">
        <w:rPr>
          <w:lang w:val="en-GB"/>
        </w:rPr>
        <w:t xml:space="preserve">therefore </w:t>
      </w:r>
      <w:r w:rsidRPr="002A60F3" w:rsidR="005F0F33">
        <w:rPr>
          <w:lang w:val="en-GB"/>
        </w:rPr>
        <w:t xml:space="preserve">bringing </w:t>
      </w:r>
      <w:r w:rsidR="00524AB9">
        <w:rPr>
          <w:lang w:val="en-GB"/>
        </w:rPr>
        <w:t xml:space="preserve">either </w:t>
      </w:r>
      <w:r w:rsidRPr="002A60F3" w:rsidR="005F0F33">
        <w:rPr>
          <w:lang w:val="en-GB"/>
        </w:rPr>
        <w:t xml:space="preserve">of the civil actions </w:t>
      </w:r>
      <w:r w:rsidRPr="002A60F3" w:rsidR="008D3EAE">
        <w:rPr>
          <w:lang w:val="en-GB"/>
        </w:rPr>
        <w:t>suggested</w:t>
      </w:r>
      <w:r w:rsidRPr="002A60F3" w:rsidR="005F0F33">
        <w:rPr>
          <w:lang w:val="en-GB"/>
        </w:rPr>
        <w:t xml:space="preserve"> by the Government would not have had any prospect of success.</w:t>
      </w:r>
      <w:r w:rsidRPr="002A60F3" w:rsidR="00AB4B56">
        <w:rPr>
          <w:lang w:val="en-GB"/>
        </w:rPr>
        <w:t xml:space="preserve"> It follows that the Government</w:t>
      </w:r>
      <w:r w:rsidR="00A32E76">
        <w:rPr>
          <w:lang w:val="en-GB"/>
        </w:rPr>
        <w:t>’</w:t>
      </w:r>
      <w:r w:rsidRPr="002A60F3" w:rsidR="00AB4B56">
        <w:rPr>
          <w:lang w:val="en-GB"/>
        </w:rPr>
        <w:t>s non-exhaustion objection must be dismissed.</w:t>
      </w:r>
    </w:p>
    <w:p w:rsidRPr="002A60F3" w:rsidR="00744CCC" w:rsidP="00744CCC" w:rsidRDefault="00744CCC">
      <w:pPr>
        <w:pStyle w:val="ECHRHeading3"/>
        <w:rPr>
          <w:lang w:val="en-GB"/>
        </w:rPr>
      </w:pPr>
      <w:r w:rsidRPr="002A60F3">
        <w:rPr>
          <w:lang w:val="en-GB"/>
        </w:rPr>
        <w:t>2.  </w:t>
      </w:r>
      <w:r w:rsidR="00A404AF">
        <w:rPr>
          <w:lang w:val="en-GB"/>
        </w:rPr>
        <w:t>L</w:t>
      </w:r>
      <w:r w:rsidRPr="002A60F3">
        <w:rPr>
          <w:lang w:val="en-GB"/>
        </w:rPr>
        <w:t xml:space="preserve">ack of </w:t>
      </w:r>
      <w:r w:rsidRPr="002A60F3">
        <w:rPr>
          <w:i w:val="0"/>
          <w:lang w:val="en-GB"/>
        </w:rPr>
        <w:t>locus standi</w:t>
      </w:r>
    </w:p>
    <w:p w:rsidRPr="002A60F3" w:rsidR="008F6028" w:rsidP="001D5760" w:rsidRDefault="00744CCC">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45</w:t>
      </w:r>
      <w:r w:rsidRPr="002A60F3">
        <w:rPr>
          <w:lang w:val="en-GB"/>
        </w:rPr>
        <w:fldChar w:fldCharType="end"/>
      </w:r>
      <w:r w:rsidRPr="002A60F3">
        <w:rPr>
          <w:lang w:val="en-GB"/>
        </w:rPr>
        <w:t>.  </w:t>
      </w:r>
      <w:r w:rsidRPr="002A60F3" w:rsidR="007D195E">
        <w:rPr>
          <w:lang w:val="en-GB"/>
        </w:rPr>
        <w:t xml:space="preserve">The Government submitted that </w:t>
      </w:r>
      <w:r w:rsidRPr="002A60F3" w:rsidR="001D5760">
        <w:rPr>
          <w:lang w:val="en-GB"/>
        </w:rPr>
        <w:t>the main reason why the domestic courts had declared the Annex null and void, with retrospective (</w:t>
      </w:r>
      <w:r w:rsidRPr="002A60F3" w:rsidR="001D5760">
        <w:rPr>
          <w:i/>
          <w:lang w:val="en-GB"/>
        </w:rPr>
        <w:t>ex tunc</w:t>
      </w:r>
      <w:r w:rsidRPr="002A60F3" w:rsidR="001D5760">
        <w:rPr>
          <w:lang w:val="en-GB"/>
        </w:rPr>
        <w:t>) effect, was</w:t>
      </w:r>
      <w:r w:rsidRPr="002A60F3" w:rsidR="00DD6B6E">
        <w:rPr>
          <w:lang w:val="en-GB"/>
        </w:rPr>
        <w:t xml:space="preserve"> that</w:t>
      </w:r>
      <w:r w:rsidRPr="002A60F3" w:rsidR="001D5760">
        <w:rPr>
          <w:lang w:val="en-GB"/>
        </w:rPr>
        <w:t xml:space="preserve"> </w:t>
      </w:r>
      <w:r w:rsidR="00524AB9">
        <w:rPr>
          <w:lang w:val="en-GB"/>
        </w:rPr>
        <w:t xml:space="preserve">it </w:t>
      </w:r>
      <w:r w:rsidRPr="002A60F3" w:rsidR="001D5760">
        <w:rPr>
          <w:lang w:val="en-GB"/>
        </w:rPr>
        <w:t xml:space="preserve">had not been entered into by all the trade unions that had </w:t>
      </w:r>
      <w:r w:rsidRPr="006752CE" w:rsidR="001D5760">
        <w:rPr>
          <w:lang w:val="en-GB"/>
        </w:rPr>
        <w:t xml:space="preserve">concluded the </w:t>
      </w:r>
      <w:r w:rsidRPr="006752CE" w:rsidR="00AA3E45">
        <w:rPr>
          <w:lang w:val="en-GB"/>
        </w:rPr>
        <w:t xml:space="preserve">main </w:t>
      </w:r>
      <w:r w:rsidRPr="006752CE" w:rsidR="001D5760">
        <w:rPr>
          <w:lang w:val="en-GB"/>
        </w:rPr>
        <w:t>Collective Agreement for the Health and Health</w:t>
      </w:r>
      <w:r w:rsidRPr="002A60F3" w:rsidR="001D5760">
        <w:rPr>
          <w:lang w:val="en-GB"/>
        </w:rPr>
        <w:t xml:space="preserve"> Insurance Sector</w:t>
      </w:r>
      <w:r w:rsidR="00271CB9">
        <w:rPr>
          <w:lang w:val="en-GB"/>
        </w:rPr>
        <w:t xml:space="preserve"> (see paragraphs </w:t>
      </w:r>
      <w:r w:rsidR="00EC7303">
        <w:rPr>
          <w:lang w:val="en-GB"/>
        </w:rPr>
        <w:t xml:space="preserve">23 </w:t>
      </w:r>
      <w:r w:rsidR="005E07F1">
        <w:rPr>
          <w:lang w:val="en-GB"/>
        </w:rPr>
        <w:t xml:space="preserve">and </w:t>
      </w:r>
      <w:r w:rsidR="00EC7303">
        <w:rPr>
          <w:lang w:val="en-GB"/>
        </w:rPr>
        <w:t>26-29</w:t>
      </w:r>
      <w:r w:rsidR="00271CB9">
        <w:rPr>
          <w:lang w:val="en-GB"/>
        </w:rPr>
        <w:t xml:space="preserve"> above)</w:t>
      </w:r>
      <w:r w:rsidRPr="002A60F3" w:rsidR="001D5760">
        <w:rPr>
          <w:lang w:val="en-GB"/>
        </w:rPr>
        <w:t xml:space="preserve">. Given that </w:t>
      </w:r>
      <w:r w:rsidRPr="002A60F3" w:rsidR="007D195E">
        <w:rPr>
          <w:lang w:val="en-GB"/>
        </w:rPr>
        <w:t xml:space="preserve">the applicant union </w:t>
      </w:r>
      <w:r w:rsidR="00062A15">
        <w:rPr>
          <w:lang w:val="en-GB"/>
        </w:rPr>
        <w:t>must have been aware of that fact</w:t>
      </w:r>
      <w:r w:rsidRPr="002A60F3" w:rsidR="007D195E">
        <w:rPr>
          <w:lang w:val="en-GB"/>
        </w:rPr>
        <w:t xml:space="preserve"> </w:t>
      </w:r>
      <w:r w:rsidR="00062A15">
        <w:rPr>
          <w:lang w:val="en-GB"/>
        </w:rPr>
        <w:t xml:space="preserve">before </w:t>
      </w:r>
      <w:r w:rsidR="00524AB9">
        <w:rPr>
          <w:lang w:val="en-GB"/>
        </w:rPr>
        <w:t xml:space="preserve">calling </w:t>
      </w:r>
      <w:r w:rsidR="00062A15">
        <w:rPr>
          <w:lang w:val="en-GB"/>
        </w:rPr>
        <w:t>the strike</w:t>
      </w:r>
      <w:r w:rsidRPr="002A60F3" w:rsidR="001D5760">
        <w:rPr>
          <w:lang w:val="en-GB"/>
        </w:rPr>
        <w:t xml:space="preserve">, </w:t>
      </w:r>
      <w:r w:rsidRPr="002A60F3" w:rsidR="008F6028">
        <w:rPr>
          <w:lang w:val="en-GB"/>
        </w:rPr>
        <w:t xml:space="preserve">the Government concluded that the union must </w:t>
      </w:r>
      <w:r w:rsidR="00A404AF">
        <w:rPr>
          <w:lang w:val="en-GB"/>
        </w:rPr>
        <w:t xml:space="preserve">also </w:t>
      </w:r>
      <w:r w:rsidRPr="002A60F3" w:rsidR="008F6028">
        <w:rPr>
          <w:lang w:val="en-GB"/>
        </w:rPr>
        <w:t>have known that the Annex h</w:t>
      </w:r>
      <w:r w:rsidRPr="002A60F3" w:rsidR="00C10BCD">
        <w:rPr>
          <w:lang w:val="en-GB"/>
        </w:rPr>
        <w:t xml:space="preserve">ad been invalid from the outset and that therefore any industrial action in support of it </w:t>
      </w:r>
      <w:r w:rsidR="00062A15">
        <w:rPr>
          <w:lang w:val="en-GB"/>
        </w:rPr>
        <w:t>had</w:t>
      </w:r>
      <w:r w:rsidRPr="002A60F3" w:rsidR="00C10BCD">
        <w:rPr>
          <w:lang w:val="en-GB"/>
        </w:rPr>
        <w:t xml:space="preserve"> been unlawful and unnecessary.</w:t>
      </w:r>
      <w:r w:rsidRPr="002A60F3" w:rsidR="007542C9">
        <w:rPr>
          <w:lang w:val="en-GB"/>
        </w:rPr>
        <w:t xml:space="preserve"> </w:t>
      </w:r>
      <w:r w:rsidRPr="002A60F3" w:rsidR="00A87749">
        <w:rPr>
          <w:lang w:val="en-GB"/>
        </w:rPr>
        <w:t>In particular,</w:t>
      </w:r>
      <w:r w:rsidRPr="002A60F3" w:rsidR="00DD6B6E">
        <w:rPr>
          <w:lang w:val="en-GB"/>
        </w:rPr>
        <w:t xml:space="preserve"> given that the main ground for the strike had been the alleged non-observance of the obligations arising from the Annex</w:t>
      </w:r>
      <w:r w:rsidR="00705BDC">
        <w:rPr>
          <w:lang w:val="en-GB"/>
        </w:rPr>
        <w:t xml:space="preserve"> (see paragraph 1</w:t>
      </w:r>
      <w:r w:rsidR="00EC7303">
        <w:rPr>
          <w:lang w:val="en-GB"/>
        </w:rPr>
        <w:t>4</w:t>
      </w:r>
      <w:r w:rsidR="00705BDC">
        <w:rPr>
          <w:lang w:val="en-GB"/>
        </w:rPr>
        <w:t xml:space="preserve"> above)</w:t>
      </w:r>
      <w:r w:rsidRPr="002A60F3" w:rsidR="007542C9">
        <w:rPr>
          <w:lang w:val="en-GB"/>
        </w:rPr>
        <w:t>, the applicant union must have</w:t>
      </w:r>
      <w:r w:rsidRPr="002A60F3" w:rsidR="00C10BCD">
        <w:rPr>
          <w:lang w:val="en-GB"/>
        </w:rPr>
        <w:t xml:space="preserve"> </w:t>
      </w:r>
      <w:r w:rsidRPr="002A60F3" w:rsidR="007542C9">
        <w:rPr>
          <w:lang w:val="en-GB"/>
        </w:rPr>
        <w:t>been aware that by organising and holding the strike</w:t>
      </w:r>
      <w:r w:rsidRPr="002A60F3" w:rsidR="00DD6B6E">
        <w:rPr>
          <w:lang w:val="en-GB"/>
        </w:rPr>
        <w:t xml:space="preserve"> </w:t>
      </w:r>
      <w:r w:rsidRPr="002A60F3" w:rsidR="007542C9">
        <w:rPr>
          <w:lang w:val="en-GB"/>
        </w:rPr>
        <w:t xml:space="preserve">it could not </w:t>
      </w:r>
      <w:r w:rsidRPr="002A60F3" w:rsidR="00DD6B6E">
        <w:rPr>
          <w:lang w:val="en-GB"/>
        </w:rPr>
        <w:t xml:space="preserve">have </w:t>
      </w:r>
      <w:r w:rsidR="00062A15">
        <w:rPr>
          <w:lang w:val="en-GB"/>
        </w:rPr>
        <w:t>forced</w:t>
      </w:r>
      <w:r w:rsidRPr="002A60F3" w:rsidR="00C10BCD">
        <w:rPr>
          <w:lang w:val="en-GB"/>
        </w:rPr>
        <w:t xml:space="preserve"> the </w:t>
      </w:r>
      <w:r w:rsidR="00524AB9">
        <w:rPr>
          <w:lang w:val="en-GB"/>
        </w:rPr>
        <w:t xml:space="preserve">State </w:t>
      </w:r>
      <w:r w:rsidRPr="002A60F3" w:rsidR="00C10BCD">
        <w:rPr>
          <w:lang w:val="en-GB"/>
        </w:rPr>
        <w:t xml:space="preserve">to </w:t>
      </w:r>
      <w:r w:rsidR="00062A15">
        <w:rPr>
          <w:lang w:val="en-GB"/>
        </w:rPr>
        <w:t>comply with</w:t>
      </w:r>
      <w:r w:rsidRPr="002A60F3" w:rsidR="00C10BCD">
        <w:rPr>
          <w:lang w:val="en-GB"/>
        </w:rPr>
        <w:t xml:space="preserve"> the invalid Annex</w:t>
      </w:r>
      <w:r w:rsidRPr="002A60F3" w:rsidR="00DD6B6E">
        <w:rPr>
          <w:lang w:val="en-GB"/>
        </w:rPr>
        <w:t>.</w:t>
      </w:r>
      <w:r w:rsidRPr="002A60F3" w:rsidR="007542C9">
        <w:rPr>
          <w:lang w:val="en-GB"/>
        </w:rPr>
        <w:t xml:space="preserve"> </w:t>
      </w:r>
      <w:r w:rsidRPr="002A60F3" w:rsidR="00C10BCD">
        <w:rPr>
          <w:lang w:val="en-GB"/>
        </w:rPr>
        <w:t xml:space="preserve">Consequently, </w:t>
      </w:r>
      <w:r w:rsidR="00E46C53">
        <w:rPr>
          <w:lang w:val="en-GB"/>
        </w:rPr>
        <w:t>in the Government</w:t>
      </w:r>
      <w:r w:rsidR="00A32E76">
        <w:rPr>
          <w:lang w:val="en-GB"/>
        </w:rPr>
        <w:t>’</w:t>
      </w:r>
      <w:r w:rsidR="00E46C53">
        <w:rPr>
          <w:lang w:val="en-GB"/>
        </w:rPr>
        <w:t xml:space="preserve">s view, </w:t>
      </w:r>
      <w:r w:rsidRPr="002A60F3" w:rsidR="00C10BCD">
        <w:rPr>
          <w:lang w:val="en-GB"/>
        </w:rPr>
        <w:t>the applicant union could not</w:t>
      </w:r>
      <w:r w:rsidR="00E46C53">
        <w:rPr>
          <w:lang w:val="en-GB"/>
        </w:rPr>
        <w:t xml:space="preserve"> </w:t>
      </w:r>
      <w:r w:rsidRPr="002A60F3" w:rsidR="00C10BCD">
        <w:rPr>
          <w:lang w:val="en-GB"/>
        </w:rPr>
        <w:t>have</w:t>
      </w:r>
      <w:r w:rsidRPr="002A60F3" w:rsidR="00DD6B6E">
        <w:rPr>
          <w:lang w:val="en-GB"/>
        </w:rPr>
        <w:t xml:space="preserve"> </w:t>
      </w:r>
      <w:r w:rsidRPr="002A60F3" w:rsidR="00C10BCD">
        <w:rPr>
          <w:lang w:val="en-GB"/>
        </w:rPr>
        <w:t xml:space="preserve">protected the interests of its members by holding the strike in question </w:t>
      </w:r>
      <w:r w:rsidRPr="002A60F3" w:rsidR="00A87749">
        <w:rPr>
          <w:lang w:val="en-GB"/>
        </w:rPr>
        <w:t xml:space="preserve">and thus could </w:t>
      </w:r>
      <w:r w:rsidRPr="002A60F3" w:rsidR="008879F5">
        <w:rPr>
          <w:lang w:val="en-GB"/>
        </w:rPr>
        <w:t xml:space="preserve">not </w:t>
      </w:r>
      <w:r w:rsidRPr="002A60F3" w:rsidR="00A87749">
        <w:rPr>
          <w:lang w:val="en-GB"/>
        </w:rPr>
        <w:t>complain of its prohibition by relying on</w:t>
      </w:r>
      <w:r w:rsidRPr="002A60F3" w:rsidR="008879F5">
        <w:rPr>
          <w:lang w:val="en-GB"/>
        </w:rPr>
        <w:t xml:space="preserve"> Article </w:t>
      </w:r>
      <w:r w:rsidRPr="002A60F3" w:rsidR="00A87749">
        <w:rPr>
          <w:lang w:val="en-GB"/>
        </w:rPr>
        <w:t>11 of the Convention.</w:t>
      </w:r>
    </w:p>
    <w:p w:rsidRPr="002A60F3" w:rsidR="00AB4B56" w:rsidP="00AB4B56" w:rsidRDefault="00AB4B56">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46</w:t>
      </w:r>
      <w:r w:rsidRPr="002A60F3">
        <w:rPr>
          <w:lang w:val="en-GB"/>
        </w:rPr>
        <w:fldChar w:fldCharType="end"/>
      </w:r>
      <w:r w:rsidRPr="002A60F3">
        <w:rPr>
          <w:lang w:val="en-GB"/>
        </w:rPr>
        <w:t xml:space="preserve">.  The applicant union did not comment on </w:t>
      </w:r>
      <w:r w:rsidR="00E46C53">
        <w:rPr>
          <w:lang w:val="en-GB"/>
        </w:rPr>
        <w:t xml:space="preserve">that </w:t>
      </w:r>
      <w:r w:rsidRPr="002A60F3">
        <w:rPr>
          <w:lang w:val="en-GB"/>
        </w:rPr>
        <w:t>issue.</w:t>
      </w:r>
    </w:p>
    <w:p w:rsidR="003A7F56" w:rsidP="003A7F56" w:rsidRDefault="00E22880">
      <w:pPr>
        <w:pStyle w:val="ECHRPara"/>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47</w:t>
      </w:r>
      <w:r w:rsidRPr="006752CE">
        <w:rPr>
          <w:lang w:val="en-GB"/>
        </w:rPr>
        <w:fldChar w:fldCharType="end"/>
      </w:r>
      <w:r w:rsidRPr="006752CE">
        <w:rPr>
          <w:lang w:val="en-GB"/>
        </w:rPr>
        <w:t>.  </w:t>
      </w:r>
      <w:r w:rsidRPr="006752CE" w:rsidR="003A7F56">
        <w:t>The Court finds that this inadmissibility objection by the Government is inextricably linked to the merits of the application. Therefore, to avoid prejudging the latter, the Court holds that it should be joined to the merits.</w:t>
      </w:r>
    </w:p>
    <w:p w:rsidRPr="00071C8E" w:rsidR="00744CCC" w:rsidP="003A7F56" w:rsidRDefault="00744CCC">
      <w:pPr>
        <w:pStyle w:val="ECHRHeading3"/>
        <w:rPr>
          <w:lang w:val="en-US"/>
        </w:rPr>
      </w:pPr>
      <w:r w:rsidRPr="00071C8E">
        <w:rPr>
          <w:lang w:val="en-US"/>
        </w:rPr>
        <w:t>3.  Conclusion</w:t>
      </w:r>
    </w:p>
    <w:p w:rsidRPr="002A60F3" w:rsidR="00F71A6A" w:rsidP="002F4BCF" w:rsidRDefault="001721AD">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48</w:t>
      </w:r>
      <w:r w:rsidRPr="002A60F3">
        <w:rPr>
          <w:lang w:val="en-GB"/>
        </w:rPr>
        <w:fldChar w:fldCharType="end"/>
      </w:r>
      <w:r w:rsidRPr="002A60F3">
        <w:rPr>
          <w:lang w:val="en-GB"/>
        </w:rPr>
        <w:t>.  </w:t>
      </w:r>
      <w:r w:rsidRPr="002A60F3" w:rsidR="00F71A6A">
        <w:rPr>
          <w:lang w:val="en-GB"/>
        </w:rPr>
        <w:t xml:space="preserve">The Court </w:t>
      </w:r>
      <w:r w:rsidRPr="002A60F3" w:rsidR="00826BEA">
        <w:rPr>
          <w:lang w:val="en-GB"/>
        </w:rPr>
        <w:t xml:space="preserve">further </w:t>
      </w:r>
      <w:r w:rsidRPr="002A60F3" w:rsidR="00F71A6A">
        <w:rPr>
          <w:lang w:val="en-GB"/>
        </w:rPr>
        <w:t>notes that the application</w:t>
      </w:r>
      <w:r w:rsidRPr="002A60F3" w:rsidR="00D44EA3">
        <w:rPr>
          <w:lang w:val="en-GB"/>
        </w:rPr>
        <w:t xml:space="preserve"> </w:t>
      </w:r>
      <w:r w:rsidRPr="002A60F3" w:rsidR="00F71A6A">
        <w:rPr>
          <w:lang w:val="en-GB"/>
        </w:rPr>
        <w:t xml:space="preserve">is not manifestly ill-founded within the meaning of Article </w:t>
      </w:r>
      <w:r w:rsidRPr="002A60F3" w:rsidR="00C63E30">
        <w:rPr>
          <w:lang w:val="en-GB"/>
        </w:rPr>
        <w:t>35 § 3 (a)</w:t>
      </w:r>
      <w:r w:rsidRPr="002A60F3" w:rsidR="00F71A6A">
        <w:rPr>
          <w:lang w:val="en-GB"/>
        </w:rPr>
        <w:t xml:space="preserve"> of the Convention. It </w:t>
      </w:r>
      <w:r w:rsidRPr="002A60F3" w:rsidR="00826BEA">
        <w:rPr>
          <w:lang w:val="en-GB"/>
        </w:rPr>
        <w:t>also</w:t>
      </w:r>
      <w:r w:rsidRPr="002A60F3" w:rsidR="00F71A6A">
        <w:rPr>
          <w:lang w:val="en-GB"/>
        </w:rPr>
        <w:t xml:space="preserve"> notes that it is not inadmissible on any other grounds. It must therefore be declared admissible.</w:t>
      </w:r>
    </w:p>
    <w:p w:rsidRPr="002A60F3" w:rsidR="00F71A6A" w:rsidP="008824B9" w:rsidRDefault="00F71A6A">
      <w:pPr>
        <w:pStyle w:val="ECHRHeading2"/>
        <w:outlineLvl w:val="0"/>
        <w:rPr>
          <w:lang w:val="en-GB"/>
        </w:rPr>
      </w:pPr>
      <w:r w:rsidRPr="002A60F3">
        <w:rPr>
          <w:lang w:val="en-GB"/>
        </w:rPr>
        <w:t>B.  Merits</w:t>
      </w:r>
    </w:p>
    <w:p w:rsidRPr="002A60F3" w:rsidR="007D1F08" w:rsidP="00CA154F" w:rsidRDefault="007D1F08">
      <w:pPr>
        <w:pStyle w:val="ECHRHeading3"/>
        <w:rPr>
          <w:lang w:val="en-GB"/>
        </w:rPr>
      </w:pPr>
      <w:r w:rsidRPr="002A60F3">
        <w:rPr>
          <w:lang w:val="en-GB"/>
        </w:rPr>
        <w:t>1.  </w:t>
      </w:r>
      <w:r w:rsidRPr="002A60F3" w:rsidR="00CA154F">
        <w:rPr>
          <w:lang w:val="en-GB"/>
        </w:rPr>
        <w:t>Whether there was an interference with the applicant union</w:t>
      </w:r>
      <w:r w:rsidR="00A32E76">
        <w:rPr>
          <w:lang w:val="en-GB"/>
        </w:rPr>
        <w:t>’</w:t>
      </w:r>
      <w:r w:rsidRPr="002A60F3" w:rsidR="00CA154F">
        <w:rPr>
          <w:lang w:val="en-GB"/>
        </w:rPr>
        <w:t xml:space="preserve">s </w:t>
      </w:r>
      <w:r w:rsidRPr="002A60F3" w:rsidR="004D2FB2">
        <w:rPr>
          <w:lang w:val="en-GB"/>
        </w:rPr>
        <w:t>freedom of</w:t>
      </w:r>
      <w:r w:rsidRPr="002A60F3" w:rsidR="00CA154F">
        <w:rPr>
          <w:lang w:val="en-GB"/>
        </w:rPr>
        <w:t xml:space="preserve"> association</w:t>
      </w:r>
    </w:p>
    <w:p w:rsidRPr="00451956" w:rsidR="00CA154F" w:rsidP="00451956" w:rsidRDefault="00B7322E">
      <w:pPr>
        <w:pStyle w:val="ECHRPara"/>
      </w:pPr>
      <w:r>
        <w:fldChar w:fldCharType="begin"/>
      </w:r>
      <w:r>
        <w:instrText xml:space="preserve"> SEQ level0 \*arabic </w:instrText>
      </w:r>
      <w:r>
        <w:fldChar w:fldCharType="separate"/>
      </w:r>
      <w:r w:rsidR="00D802F9">
        <w:rPr>
          <w:noProof/>
        </w:rPr>
        <w:t>49</w:t>
      </w:r>
      <w:r>
        <w:rPr>
          <w:noProof/>
        </w:rPr>
        <w:fldChar w:fldCharType="end"/>
      </w:r>
      <w:r w:rsidRPr="00451956" w:rsidR="008E05A3">
        <w:t>.  </w:t>
      </w:r>
      <w:r w:rsidRPr="00451956" w:rsidR="00CA154F">
        <w:t>The Government conceded that the</w:t>
      </w:r>
      <w:r w:rsidRPr="00451956" w:rsidR="007963F4">
        <w:t xml:space="preserve"> Zagreb County Court</w:t>
      </w:r>
      <w:r w:rsidR="00A32E76">
        <w:t>’</w:t>
      </w:r>
      <w:r w:rsidRPr="00451956" w:rsidR="007963F4">
        <w:t>s judgment of</w:t>
      </w:r>
      <w:r w:rsidRPr="00451956" w:rsidR="00CA154F">
        <w:t xml:space="preserve"> </w:t>
      </w:r>
      <w:r w:rsidRPr="00451956" w:rsidR="007963F4">
        <w:t xml:space="preserve">8 April 2005 </w:t>
      </w:r>
      <w:r w:rsidRPr="00451956" w:rsidR="00705BDC">
        <w:t xml:space="preserve">(see paragraph </w:t>
      </w:r>
      <w:r w:rsidRPr="00451956" w:rsidR="00EC7303">
        <w:t>19</w:t>
      </w:r>
      <w:r w:rsidRPr="00451956" w:rsidR="00705BDC">
        <w:t xml:space="preserve"> above) </w:t>
      </w:r>
      <w:r w:rsidRPr="00451956" w:rsidR="00CA154F">
        <w:t xml:space="preserve">prohibiting the applicant union </w:t>
      </w:r>
      <w:r w:rsidRPr="00451956" w:rsidR="00B1047C">
        <w:t xml:space="preserve">from </w:t>
      </w:r>
      <w:r w:rsidRPr="00451956" w:rsidR="00CA154F">
        <w:t>hold</w:t>
      </w:r>
      <w:r w:rsidRPr="00451956" w:rsidR="00B1047C">
        <w:t>ing</w:t>
      </w:r>
      <w:r w:rsidRPr="00451956" w:rsidR="00CA154F">
        <w:t xml:space="preserve"> a strike on 11 April 2005</w:t>
      </w:r>
      <w:r w:rsidRPr="00451956" w:rsidR="007963F4">
        <w:t>, which had been upheld by the Supreme Court</w:t>
      </w:r>
      <w:r w:rsidR="00A32E76">
        <w:t>’</w:t>
      </w:r>
      <w:r w:rsidRPr="00451956" w:rsidR="007963F4">
        <w:t>s judgment of 27 April 2005</w:t>
      </w:r>
      <w:r w:rsidRPr="00451956" w:rsidR="005E07F1">
        <w:t xml:space="preserve"> (see paragraph </w:t>
      </w:r>
      <w:r w:rsidRPr="00451956" w:rsidR="00EC7303">
        <w:t xml:space="preserve">23 </w:t>
      </w:r>
      <w:r w:rsidRPr="00451956" w:rsidR="00705BDC">
        <w:t>above)</w:t>
      </w:r>
      <w:r w:rsidRPr="00451956" w:rsidR="007963F4">
        <w:t xml:space="preserve">, </w:t>
      </w:r>
      <w:r w:rsidRPr="00451956" w:rsidR="00CA154F">
        <w:t>had constituted an interference with the</w:t>
      </w:r>
      <w:r w:rsidRPr="00451956" w:rsidR="007963F4">
        <w:t xml:space="preserve"> applicant</w:t>
      </w:r>
      <w:r w:rsidRPr="00451956" w:rsidR="00CA154F">
        <w:t xml:space="preserve"> union</w:t>
      </w:r>
      <w:r w:rsidR="00A32E76">
        <w:t>’</w:t>
      </w:r>
      <w:r w:rsidRPr="00451956" w:rsidR="00CA154F">
        <w:t xml:space="preserve">s freedom of association. The Court, having regard to its case-law according to which </w:t>
      </w:r>
      <w:r w:rsidRPr="00451956" w:rsidR="00764374">
        <w:t>strike action</w:t>
      </w:r>
      <w:r w:rsidRPr="00451956" w:rsidR="00CA154F">
        <w:t xml:space="preserve"> is protected under Article 11 of the Convention (</w:t>
      </w:r>
      <w:r w:rsidRPr="00451956" w:rsidR="00437C8E">
        <w:t>see</w:t>
      </w:r>
      <w:r w:rsidRPr="00451956" w:rsidR="002459F8">
        <w:t xml:space="preserve"> </w:t>
      </w:r>
      <w:r w:rsidRPr="00B46B83" w:rsidR="00CA154F">
        <w:rPr>
          <w:i/>
        </w:rPr>
        <w:t>Enerji Yapı-Yol Sen v. Turkey</w:t>
      </w:r>
      <w:r w:rsidRPr="00451956" w:rsidR="00CA154F">
        <w:t>, no. 68959/01, § 24, 21 April 2009</w:t>
      </w:r>
      <w:r w:rsidRPr="00451956" w:rsidR="006C4563">
        <w:t xml:space="preserve">, and </w:t>
      </w:r>
      <w:r w:rsidRPr="00B46B83" w:rsidR="006C4563">
        <w:rPr>
          <w:i/>
        </w:rPr>
        <w:t>National Union of Rail, Maritime and Transport Workers v. the United Kingdom</w:t>
      </w:r>
      <w:r w:rsidR="00B46B83">
        <w:t>, no. </w:t>
      </w:r>
      <w:r w:rsidRPr="00451956" w:rsidR="006C4563">
        <w:t>31045/10, § 84, ECHR 2014</w:t>
      </w:r>
      <w:r w:rsidRPr="00451956" w:rsidR="00CA154F">
        <w:t>), sees no reason to hold otherwise.</w:t>
      </w:r>
    </w:p>
    <w:p w:rsidRPr="002A60F3" w:rsidR="00CA154F" w:rsidP="00CA154F" w:rsidRDefault="00CA154F">
      <w:pPr>
        <w:pStyle w:val="ECHRHeading3"/>
        <w:rPr>
          <w:rFonts w:eastAsia="Times New Roman"/>
          <w:lang w:val="en-GB"/>
        </w:rPr>
      </w:pPr>
      <w:r w:rsidRPr="002A60F3">
        <w:rPr>
          <w:rFonts w:eastAsia="Times New Roman"/>
          <w:lang w:val="en-GB"/>
        </w:rPr>
        <w:t>2.  Whether the interference was justified</w:t>
      </w:r>
    </w:p>
    <w:p w:rsidRPr="00185705" w:rsidR="00CA154F" w:rsidP="00CA154F" w:rsidRDefault="00CA154F">
      <w:pPr>
        <w:pStyle w:val="ECHRPara"/>
        <w:rPr>
          <w:i/>
          <w:lang w:val="en-GB"/>
        </w:rPr>
      </w:pPr>
      <w:r w:rsidRPr="002A60F3">
        <w:rPr>
          <w:rFonts w:eastAsia="Times New Roman"/>
          <w:lang w:val="en-GB"/>
        </w:rPr>
        <w:fldChar w:fldCharType="begin"/>
      </w:r>
      <w:r w:rsidRPr="002A60F3">
        <w:rPr>
          <w:rFonts w:eastAsia="Times New Roman"/>
          <w:lang w:val="en-GB"/>
        </w:rPr>
        <w:instrText xml:space="preserve"> SEQ level0 \*arabic </w:instrText>
      </w:r>
      <w:r w:rsidRPr="002A60F3">
        <w:rPr>
          <w:rFonts w:eastAsia="Times New Roman"/>
          <w:lang w:val="en-GB"/>
        </w:rPr>
        <w:fldChar w:fldCharType="separate"/>
      </w:r>
      <w:r w:rsidR="00D802F9">
        <w:rPr>
          <w:rFonts w:eastAsia="Times New Roman"/>
          <w:noProof/>
          <w:lang w:val="en-GB"/>
        </w:rPr>
        <w:t>50</w:t>
      </w:r>
      <w:r w:rsidRPr="002A60F3">
        <w:rPr>
          <w:rFonts w:eastAsia="Times New Roman"/>
          <w:lang w:val="en-GB"/>
        </w:rPr>
        <w:fldChar w:fldCharType="end"/>
      </w:r>
      <w:r w:rsidRPr="002A60F3">
        <w:rPr>
          <w:rFonts w:eastAsia="Times New Roman"/>
          <w:lang w:val="en-GB"/>
        </w:rPr>
        <w:t>.  The Court must further examine whether that interference was justified in terms of Article 11 § 2</w:t>
      </w:r>
      <w:r w:rsidR="002F605C">
        <w:rPr>
          <w:rFonts w:eastAsia="Times New Roman"/>
          <w:lang w:val="en-GB"/>
        </w:rPr>
        <w:t xml:space="preserve"> of the Convention </w:t>
      </w:r>
      <w:r w:rsidRPr="002A60F3">
        <w:rPr>
          <w:rFonts w:eastAsia="Times New Roman"/>
          <w:lang w:val="en-GB"/>
        </w:rPr>
        <w:t xml:space="preserve">, that is, whether it was in accordance with the law, pursued a legitimate aim and was </w:t>
      </w:r>
      <w:r w:rsidR="00631537">
        <w:rPr>
          <w:rFonts w:eastAsia="Times New Roman"/>
          <w:lang w:val="en-GB"/>
        </w:rPr>
        <w:t>“</w:t>
      </w:r>
      <w:r w:rsidRPr="002A60F3">
        <w:rPr>
          <w:rFonts w:eastAsia="Times New Roman"/>
          <w:lang w:val="en-GB"/>
        </w:rPr>
        <w:t xml:space="preserve">necessary in </w:t>
      </w:r>
      <w:r w:rsidRPr="006C4563">
        <w:rPr>
          <w:rFonts w:eastAsia="Times New Roman"/>
          <w:lang w:val="en-GB"/>
        </w:rPr>
        <w:t>a democratic society</w:t>
      </w:r>
      <w:r w:rsidRPr="006C4563" w:rsidR="00631537">
        <w:rPr>
          <w:rFonts w:eastAsia="Times New Roman"/>
          <w:lang w:val="en-GB"/>
        </w:rPr>
        <w:t>”</w:t>
      </w:r>
      <w:r w:rsidRPr="006C4563">
        <w:rPr>
          <w:rFonts w:eastAsia="Times New Roman"/>
          <w:lang w:val="en-GB"/>
        </w:rPr>
        <w:t xml:space="preserve"> (see</w:t>
      </w:r>
      <w:r w:rsidRPr="006C4563" w:rsidR="002459F8">
        <w:rPr>
          <w:lang w:val="en-GB"/>
        </w:rPr>
        <w:t xml:space="preserve"> </w:t>
      </w:r>
      <w:r w:rsidRPr="006C4563" w:rsidR="002459F8">
        <w:rPr>
          <w:i/>
          <w:lang w:val="en-GB"/>
        </w:rPr>
        <w:t>Enerji Yapı-Yol Sen</w:t>
      </w:r>
      <w:r w:rsidR="00C81BE2">
        <w:rPr>
          <w:lang w:val="en-GB"/>
        </w:rPr>
        <w:t>, cited above, § </w:t>
      </w:r>
      <w:r w:rsidRPr="006C4563" w:rsidR="00E57A8C">
        <w:rPr>
          <w:lang w:val="en-GB"/>
        </w:rPr>
        <w:t>25;</w:t>
      </w:r>
      <w:r w:rsidRPr="006C4563" w:rsidR="00585938">
        <w:rPr>
          <w:i/>
          <w:szCs w:val="24"/>
          <w:lang w:val="en-GB"/>
        </w:rPr>
        <w:t xml:space="preserve"> Karaçay v. Turkey</w:t>
      </w:r>
      <w:r w:rsidRPr="006C4563" w:rsidR="00585938">
        <w:rPr>
          <w:szCs w:val="24"/>
          <w:lang w:val="en-GB"/>
        </w:rPr>
        <w:t xml:space="preserve">, no. 6615/03, § </w:t>
      </w:r>
      <w:r w:rsidRPr="006C4563" w:rsidR="003934EF">
        <w:rPr>
          <w:szCs w:val="24"/>
          <w:lang w:val="en-GB"/>
        </w:rPr>
        <w:t>29</w:t>
      </w:r>
      <w:r w:rsidRPr="006C4563" w:rsidR="00585938">
        <w:rPr>
          <w:szCs w:val="24"/>
          <w:lang w:val="en-GB"/>
        </w:rPr>
        <w:t>,</w:t>
      </w:r>
      <w:r w:rsidRPr="006C4563" w:rsidR="00585938">
        <w:rPr>
          <w:lang w:val="en-GB"/>
        </w:rPr>
        <w:t xml:space="preserve"> 27 March 2007</w:t>
      </w:r>
      <w:r w:rsidRPr="006C4563" w:rsidR="00EC5830">
        <w:rPr>
          <w:lang w:val="en-GB"/>
        </w:rPr>
        <w:t>; and</w:t>
      </w:r>
      <w:r w:rsidRPr="006C4563" w:rsidR="00900A0E">
        <w:rPr>
          <w:i/>
          <w:lang w:val="en-GB"/>
        </w:rPr>
        <w:t xml:space="preserve"> Urcan and Others v. Turkey</w:t>
      </w:r>
      <w:r w:rsidRPr="006C4563" w:rsidR="00900A0E">
        <w:rPr>
          <w:lang w:val="en-GB"/>
        </w:rPr>
        <w:t xml:space="preserve">, no. 23018/04 </w:t>
      </w:r>
      <w:r w:rsidRPr="00185705" w:rsidR="00EC5830">
        <w:t>and 10 other applications</w:t>
      </w:r>
      <w:r w:rsidRPr="006C4563" w:rsidR="00900A0E">
        <w:rPr>
          <w:lang w:val="en-GB"/>
        </w:rPr>
        <w:t>, § 26, 17 July 2008).</w:t>
      </w:r>
    </w:p>
    <w:p w:rsidRPr="002A60F3" w:rsidR="00CA154F" w:rsidP="00A7038C" w:rsidRDefault="0002610F">
      <w:pPr>
        <w:pStyle w:val="ECHRHeading4"/>
        <w:rPr>
          <w:rFonts w:eastAsia="Times New Roman"/>
          <w:lang w:val="en-GB"/>
        </w:rPr>
      </w:pPr>
      <w:r>
        <w:rPr>
          <w:lang w:val="en-GB"/>
        </w:rPr>
        <w:t>(a)  </w:t>
      </w:r>
      <w:r w:rsidRPr="002A60F3" w:rsidR="00F802E1">
        <w:rPr>
          <w:lang w:val="en-GB"/>
        </w:rPr>
        <w:t>The parties</w:t>
      </w:r>
      <w:r w:rsidR="00A32E76">
        <w:rPr>
          <w:lang w:val="en-GB"/>
        </w:rPr>
        <w:t>’</w:t>
      </w:r>
      <w:r w:rsidRPr="002A60F3" w:rsidR="00F802E1">
        <w:rPr>
          <w:lang w:val="en-GB"/>
        </w:rPr>
        <w:t xml:space="preserve"> submissions</w:t>
      </w:r>
    </w:p>
    <w:p w:rsidR="00DC565E" w:rsidP="00A7038C" w:rsidRDefault="00A7038C">
      <w:pPr>
        <w:pStyle w:val="ECHRHeading5"/>
        <w:rPr>
          <w:lang w:val="en-GB"/>
        </w:rPr>
      </w:pPr>
      <w:r w:rsidRPr="002A60F3">
        <w:rPr>
          <w:lang w:val="en-GB"/>
        </w:rPr>
        <w:t>(i)  </w:t>
      </w:r>
      <w:r w:rsidRPr="002A60F3" w:rsidR="00F802E1">
        <w:rPr>
          <w:lang w:val="en-GB"/>
        </w:rPr>
        <w:t>The Government</w:t>
      </w:r>
    </w:p>
    <w:p w:rsidR="00DC565E" w:rsidP="00185705" w:rsidRDefault="00A7038C">
      <w:pPr>
        <w:ind w:firstLine="284"/>
        <w:rPr>
          <w:rFonts w:ascii="Times New Roman" w:hAnsi="Times New Roman" w:eastAsia="Times New Roman" w:cs="Times New Roman"/>
          <w:lang w:val="en-GB" w:eastAsia="fr-FR"/>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51</w:t>
      </w:r>
      <w:r w:rsidRPr="002A60F3">
        <w:rPr>
          <w:lang w:val="en-GB"/>
        </w:rPr>
        <w:fldChar w:fldCharType="end"/>
      </w:r>
      <w:r w:rsidRPr="002A60F3">
        <w:rPr>
          <w:lang w:val="en-GB"/>
        </w:rPr>
        <w:t>.  </w:t>
      </w:r>
      <w:r w:rsidRPr="002A60F3">
        <w:rPr>
          <w:rStyle w:val="JuParaCar"/>
        </w:rPr>
        <w:t xml:space="preserve">The Government argued that the interference had been provided for by law as it had been based on sections </w:t>
      </w:r>
      <w:r w:rsidRPr="002A60F3" w:rsidR="003462A3">
        <w:rPr>
          <w:rStyle w:val="JuParaCar"/>
        </w:rPr>
        <w:t xml:space="preserve">186(1) and 210(1) of the </w:t>
      </w:r>
      <w:r w:rsidR="00487A8D">
        <w:rPr>
          <w:rStyle w:val="JuParaCar"/>
        </w:rPr>
        <w:t>Labour Act</w:t>
      </w:r>
      <w:r w:rsidRPr="002A60F3" w:rsidR="005B3320">
        <w:rPr>
          <w:rStyle w:val="JuParaCar"/>
        </w:rPr>
        <w:t xml:space="preserve"> (see paragraph </w:t>
      </w:r>
      <w:r w:rsidR="00EC7303">
        <w:rPr>
          <w:rStyle w:val="JuParaCar"/>
        </w:rPr>
        <w:t>32</w:t>
      </w:r>
      <w:r w:rsidRPr="002A60F3" w:rsidR="00EC7303">
        <w:rPr>
          <w:rStyle w:val="JuParaCar"/>
        </w:rPr>
        <w:t xml:space="preserve"> </w:t>
      </w:r>
      <w:r w:rsidRPr="002A60F3" w:rsidR="005B3320">
        <w:rPr>
          <w:rStyle w:val="JuParaCar"/>
        </w:rPr>
        <w:t>above)</w:t>
      </w:r>
      <w:r w:rsidRPr="002A60F3" w:rsidR="003462A3">
        <w:rPr>
          <w:rStyle w:val="JuParaCar"/>
        </w:rPr>
        <w:t xml:space="preserve"> and section 103 of the Obligations Act</w:t>
      </w:r>
      <w:r w:rsidRPr="002A60F3" w:rsidR="005B3320">
        <w:rPr>
          <w:rStyle w:val="JuParaCar"/>
        </w:rPr>
        <w:t xml:space="preserve"> (see paragraph </w:t>
      </w:r>
      <w:r w:rsidR="00EC7303">
        <w:rPr>
          <w:rStyle w:val="JuParaCar"/>
        </w:rPr>
        <w:t>35</w:t>
      </w:r>
      <w:r w:rsidRPr="002A60F3" w:rsidR="005B3320">
        <w:rPr>
          <w:rStyle w:val="JuParaCar"/>
        </w:rPr>
        <w:t xml:space="preserve"> above)</w:t>
      </w:r>
      <w:r w:rsidRPr="002A60F3" w:rsidR="003462A3">
        <w:rPr>
          <w:rStyle w:val="JuParaCar"/>
        </w:rPr>
        <w:t>.</w:t>
      </w:r>
      <w:r w:rsidRPr="002A60F3" w:rsidR="005B3320">
        <w:rPr>
          <w:rStyle w:val="JuParaCar"/>
        </w:rPr>
        <w:t xml:space="preserve"> In their view</w:t>
      </w:r>
      <w:r w:rsidR="002F605C">
        <w:rPr>
          <w:rStyle w:val="JuParaCar"/>
        </w:rPr>
        <w:t>,</w:t>
      </w:r>
      <w:r w:rsidRPr="002A60F3" w:rsidR="005B3320">
        <w:rPr>
          <w:rStyle w:val="JuParaCar"/>
        </w:rPr>
        <w:t xml:space="preserve"> those provisions had been clear and unambiguous and those Acts accessible as they had been published in the </w:t>
      </w:r>
      <w:r w:rsidRPr="003169F3" w:rsidR="005B3320">
        <w:rPr>
          <w:rStyle w:val="JuParaCar"/>
        </w:rPr>
        <w:t>Official Gazette.</w:t>
      </w:r>
    </w:p>
    <w:p w:rsidRPr="00760B60" w:rsidR="00D951A7" w:rsidP="00185705" w:rsidRDefault="008532BB">
      <w:pPr>
        <w:ind w:firstLine="284"/>
        <w:rPr>
          <w:rFonts w:ascii="Times New Roman" w:hAnsi="Times New Roman" w:eastAsia="Times New Roman" w:cs="Times New Roman"/>
          <w:lang w:val="en-GB"/>
        </w:rPr>
      </w:pPr>
      <w:r w:rsidRPr="00185705">
        <w:rPr>
          <w:rFonts w:ascii="Times New Roman" w:hAnsi="Times New Roman" w:eastAsia="Times New Roman" w:cs="Times New Roman"/>
          <w:lang w:val="en-GB" w:eastAsia="fr-FR"/>
        </w:rPr>
        <w:fldChar w:fldCharType="begin"/>
      </w:r>
      <w:r w:rsidRPr="006C4563">
        <w:rPr>
          <w:rFonts w:ascii="Times New Roman" w:hAnsi="Times New Roman" w:eastAsia="Times New Roman" w:cs="Times New Roman"/>
          <w:lang w:val="en-GB" w:eastAsia="fr-FR"/>
        </w:rPr>
        <w:instrText xml:space="preserve"> SEQ level0 \*arabic </w:instrText>
      </w:r>
      <w:r w:rsidRPr="00185705">
        <w:rPr>
          <w:rFonts w:ascii="Times New Roman" w:hAnsi="Times New Roman" w:eastAsia="Times New Roman" w:cs="Times New Roman"/>
          <w:lang w:val="en-GB" w:eastAsia="fr-FR"/>
        </w:rPr>
        <w:fldChar w:fldCharType="separate"/>
      </w:r>
      <w:r w:rsidR="00D802F9">
        <w:rPr>
          <w:rFonts w:ascii="Times New Roman" w:hAnsi="Times New Roman" w:eastAsia="Times New Roman" w:cs="Times New Roman"/>
          <w:noProof/>
          <w:lang w:val="en-GB" w:eastAsia="fr-FR"/>
        </w:rPr>
        <w:t>52</w:t>
      </w:r>
      <w:r w:rsidRPr="00185705">
        <w:rPr>
          <w:rFonts w:ascii="Times New Roman" w:hAnsi="Times New Roman" w:eastAsia="Times New Roman" w:cs="Times New Roman"/>
          <w:lang w:val="en-GB" w:eastAsia="fr-FR"/>
        </w:rPr>
        <w:fldChar w:fldCharType="end"/>
      </w:r>
      <w:r w:rsidRPr="006C4563">
        <w:rPr>
          <w:rFonts w:ascii="Times New Roman" w:hAnsi="Times New Roman" w:eastAsia="Times New Roman" w:cs="Times New Roman"/>
          <w:lang w:val="en-GB" w:eastAsia="fr-FR"/>
        </w:rPr>
        <w:t>.  </w:t>
      </w:r>
      <w:r w:rsidRPr="00185705">
        <w:rPr>
          <w:rFonts w:ascii="Times New Roman" w:hAnsi="Times New Roman" w:eastAsia="Times New Roman" w:cs="Times New Roman"/>
          <w:lang w:val="en-GB" w:eastAsia="fr-FR"/>
        </w:rPr>
        <w:t xml:space="preserve">The Government further submitted that the interference in question had pursued legitimate aims of protecting the health and </w:t>
      </w:r>
      <w:r w:rsidRPr="006C4563" w:rsidR="00B128B9">
        <w:rPr>
          <w:rFonts w:ascii="Times New Roman" w:hAnsi="Times New Roman" w:eastAsia="Times New Roman" w:cs="Times New Roman"/>
          <w:lang w:val="en-GB" w:eastAsia="fr-FR"/>
        </w:rPr>
        <w:t xml:space="preserve">the </w:t>
      </w:r>
      <w:r w:rsidRPr="006C4563">
        <w:rPr>
          <w:rFonts w:ascii="Times New Roman" w:hAnsi="Times New Roman" w:eastAsia="Times New Roman" w:cs="Times New Roman"/>
          <w:lang w:val="en-GB" w:eastAsia="fr-FR"/>
        </w:rPr>
        <w:t>legal order</w:t>
      </w:r>
      <w:r w:rsidRPr="006C4563" w:rsidR="00D951A7">
        <w:rPr>
          <w:rFonts w:ascii="Times New Roman" w:hAnsi="Times New Roman" w:eastAsia="Times New Roman" w:cs="Times New Roman"/>
          <w:lang w:val="en-GB" w:eastAsia="fr-FR"/>
        </w:rPr>
        <w:t xml:space="preserve"> and that it</w:t>
      </w:r>
      <w:r w:rsidRPr="006C4563">
        <w:rPr>
          <w:rFonts w:ascii="Times New Roman" w:hAnsi="Times New Roman" w:eastAsia="Times New Roman" w:cs="Times New Roman"/>
          <w:lang w:val="en-GB" w:eastAsia="fr-FR"/>
        </w:rPr>
        <w:t xml:space="preserve"> </w:t>
      </w:r>
      <w:r w:rsidRPr="006C4563" w:rsidR="00D951A7">
        <w:rPr>
          <w:rFonts w:ascii="Times New Roman" w:hAnsi="Times New Roman" w:eastAsia="Times New Roman" w:cs="Times New Roman"/>
          <w:lang w:val="en-GB" w:eastAsia="fr-FR"/>
        </w:rPr>
        <w:t>had been “necessary in a democratic society”.</w:t>
      </w:r>
    </w:p>
    <w:p w:rsidRPr="00760B60" w:rsidR="00D951A7" w:rsidP="00185705" w:rsidRDefault="00D951A7">
      <w:pPr>
        <w:ind w:firstLine="284"/>
        <w:rPr>
          <w:rFonts w:ascii="Times New Roman" w:hAnsi="Times New Roman" w:eastAsia="Times New Roman" w:cs="Times New Roman"/>
          <w:lang w:val="en-GB"/>
        </w:rPr>
      </w:pPr>
      <w:r w:rsidRPr="00185705">
        <w:rPr>
          <w:rFonts w:ascii="Times New Roman" w:hAnsi="Times New Roman" w:eastAsia="Times New Roman" w:cs="Times New Roman"/>
          <w:lang w:val="en-GB" w:eastAsia="fr-FR"/>
        </w:rPr>
        <w:fldChar w:fldCharType="begin"/>
      </w:r>
      <w:r w:rsidRPr="006C4563">
        <w:rPr>
          <w:rFonts w:ascii="Times New Roman" w:hAnsi="Times New Roman" w:eastAsia="Times New Roman" w:cs="Times New Roman"/>
          <w:lang w:val="en-GB" w:eastAsia="fr-FR"/>
        </w:rPr>
        <w:instrText xml:space="preserve"> SEQ level0 \*arabic </w:instrText>
      </w:r>
      <w:r w:rsidRPr="00185705">
        <w:rPr>
          <w:rFonts w:ascii="Times New Roman" w:hAnsi="Times New Roman" w:eastAsia="Times New Roman" w:cs="Times New Roman"/>
          <w:lang w:val="en-GB" w:eastAsia="fr-FR"/>
        </w:rPr>
        <w:fldChar w:fldCharType="separate"/>
      </w:r>
      <w:r w:rsidR="00D802F9">
        <w:rPr>
          <w:rFonts w:ascii="Times New Roman" w:hAnsi="Times New Roman" w:eastAsia="Times New Roman" w:cs="Times New Roman"/>
          <w:noProof/>
          <w:lang w:val="en-GB" w:eastAsia="fr-FR"/>
        </w:rPr>
        <w:t>53</w:t>
      </w:r>
      <w:r w:rsidRPr="00185705">
        <w:rPr>
          <w:rFonts w:ascii="Times New Roman" w:hAnsi="Times New Roman" w:eastAsia="Times New Roman" w:cs="Times New Roman"/>
          <w:lang w:val="en-GB" w:eastAsia="fr-FR"/>
        </w:rPr>
        <w:fldChar w:fldCharType="end"/>
      </w:r>
      <w:r w:rsidRPr="006C4563">
        <w:rPr>
          <w:rFonts w:ascii="Times New Roman" w:hAnsi="Times New Roman" w:eastAsia="Times New Roman" w:cs="Times New Roman"/>
          <w:lang w:val="en-GB" w:eastAsia="fr-FR"/>
        </w:rPr>
        <w:t>.  In particular, the applicant union had been able to exercise its trade union freedom and protect the interest</w:t>
      </w:r>
      <w:r w:rsidRPr="006C4563" w:rsidR="009218CB">
        <w:rPr>
          <w:rFonts w:ascii="Times New Roman" w:hAnsi="Times New Roman" w:eastAsia="Times New Roman" w:cs="Times New Roman"/>
          <w:lang w:val="en-GB" w:eastAsia="fr-FR"/>
        </w:rPr>
        <w:t>s</w:t>
      </w:r>
      <w:r w:rsidRPr="006C4563">
        <w:rPr>
          <w:rFonts w:ascii="Times New Roman" w:hAnsi="Times New Roman" w:eastAsia="Times New Roman" w:cs="Times New Roman"/>
          <w:lang w:val="en-GB" w:eastAsia="fr-FR"/>
        </w:rPr>
        <w:t xml:space="preserve"> of its members through collective bargaining which had resulted in </w:t>
      </w:r>
      <w:r w:rsidRPr="006C4563" w:rsidR="00097853">
        <w:rPr>
          <w:rFonts w:ascii="Times New Roman" w:hAnsi="Times New Roman" w:eastAsia="Times New Roman" w:cs="Times New Roman"/>
          <w:lang w:val="en-GB" w:eastAsia="fr-FR"/>
        </w:rPr>
        <w:t xml:space="preserve">the </w:t>
      </w:r>
      <w:r w:rsidRPr="006C4563">
        <w:rPr>
          <w:rFonts w:ascii="Times New Roman" w:hAnsi="Times New Roman" w:eastAsia="Times New Roman" w:cs="Times New Roman"/>
          <w:lang w:val="en-GB" w:eastAsia="fr-FR"/>
        </w:rPr>
        <w:t xml:space="preserve">conclusion of the main Collective Agreement and </w:t>
      </w:r>
      <w:r w:rsidRPr="006C4563" w:rsidR="00097853">
        <w:rPr>
          <w:rFonts w:ascii="Times New Roman" w:hAnsi="Times New Roman" w:eastAsia="Times New Roman" w:cs="Times New Roman"/>
          <w:lang w:val="en-GB" w:eastAsia="fr-FR"/>
        </w:rPr>
        <w:t>its Annex. Once the domestic authorities had realised that the</w:t>
      </w:r>
      <w:r w:rsidRPr="006C4563">
        <w:rPr>
          <w:rFonts w:ascii="Times New Roman" w:hAnsi="Times New Roman" w:eastAsia="Times New Roman" w:cs="Times New Roman"/>
          <w:lang w:val="en-GB" w:eastAsia="fr-FR"/>
        </w:rPr>
        <w:t xml:space="preserve"> Annex</w:t>
      </w:r>
      <w:r w:rsidRPr="006C4563" w:rsidR="00097853">
        <w:rPr>
          <w:rFonts w:ascii="Times New Roman" w:hAnsi="Times New Roman" w:eastAsia="Times New Roman" w:cs="Times New Roman"/>
          <w:lang w:val="en-GB" w:eastAsia="fr-FR"/>
        </w:rPr>
        <w:t xml:space="preserve"> was null and void, they had invited the applicant union to negotiate the conclusion of a new collective agreement/annex to replace the invalid Annex (see paragraphs </w:t>
      </w:r>
      <w:r w:rsidRPr="00185705" w:rsidR="00EC7303">
        <w:rPr>
          <w:rFonts w:ascii="Times New Roman" w:hAnsi="Times New Roman" w:eastAsia="Times New Roman" w:cs="Times New Roman"/>
          <w:lang w:val="en-GB" w:eastAsia="fr-FR"/>
        </w:rPr>
        <w:t>15</w:t>
      </w:r>
      <w:r w:rsidRPr="006C4563" w:rsidR="00097853">
        <w:rPr>
          <w:rFonts w:ascii="Times New Roman" w:hAnsi="Times New Roman" w:eastAsia="Times New Roman" w:cs="Times New Roman"/>
          <w:lang w:val="en-GB" w:eastAsia="fr-FR"/>
        </w:rPr>
        <w:t xml:space="preserve"> above). However, the applicant union </w:t>
      </w:r>
      <w:r w:rsidRPr="006C4563" w:rsidR="009218CB">
        <w:rPr>
          <w:rFonts w:ascii="Times New Roman" w:hAnsi="Times New Roman" w:eastAsia="Times New Roman" w:cs="Times New Roman"/>
          <w:lang w:val="en-GB" w:eastAsia="fr-FR"/>
        </w:rPr>
        <w:t xml:space="preserve">had </w:t>
      </w:r>
      <w:r w:rsidRPr="006C4563" w:rsidR="00097853">
        <w:rPr>
          <w:rFonts w:ascii="Times New Roman" w:hAnsi="Times New Roman" w:eastAsia="Times New Roman" w:cs="Times New Roman"/>
          <w:lang w:val="en-GB" w:eastAsia="fr-FR"/>
        </w:rPr>
        <w:t>refused all efforts by the domestic authorities in that regard (see paragraph</w:t>
      </w:r>
      <w:r w:rsidR="00596B16">
        <w:rPr>
          <w:rFonts w:ascii="Times New Roman" w:hAnsi="Times New Roman" w:eastAsia="Times New Roman" w:cs="Times New Roman"/>
          <w:lang w:val="en-GB" w:eastAsia="fr-FR"/>
        </w:rPr>
        <w:t> </w:t>
      </w:r>
      <w:r w:rsidRPr="00185705" w:rsidR="00EC7303">
        <w:rPr>
          <w:rFonts w:ascii="Times New Roman" w:hAnsi="Times New Roman" w:eastAsia="Times New Roman" w:cs="Times New Roman"/>
          <w:lang w:val="en-GB" w:eastAsia="fr-FR"/>
        </w:rPr>
        <w:t>16</w:t>
      </w:r>
      <w:r w:rsidRPr="006C4563" w:rsidR="00097853">
        <w:rPr>
          <w:rFonts w:ascii="Times New Roman" w:hAnsi="Times New Roman" w:eastAsia="Times New Roman" w:cs="Times New Roman"/>
          <w:lang w:val="en-GB" w:eastAsia="fr-FR"/>
        </w:rPr>
        <w:t xml:space="preserve"> above) and </w:t>
      </w:r>
      <w:r w:rsidRPr="006C4563" w:rsidR="003209CD">
        <w:rPr>
          <w:rFonts w:ascii="Times New Roman" w:hAnsi="Times New Roman" w:eastAsia="Times New Roman" w:cs="Times New Roman"/>
          <w:lang w:val="en-GB" w:eastAsia="fr-FR"/>
        </w:rPr>
        <w:t xml:space="preserve">had </w:t>
      </w:r>
      <w:r w:rsidRPr="006C4563" w:rsidR="00097853">
        <w:rPr>
          <w:rFonts w:ascii="Times New Roman" w:hAnsi="Times New Roman" w:eastAsia="Times New Roman" w:cs="Times New Roman"/>
          <w:lang w:val="en-GB" w:eastAsia="fr-FR"/>
        </w:rPr>
        <w:t xml:space="preserve">responded with an illegal strike. Despite that </w:t>
      </w:r>
      <w:r w:rsidRPr="006C4563" w:rsidR="005306A4">
        <w:rPr>
          <w:rFonts w:ascii="Times New Roman" w:hAnsi="Times New Roman" w:eastAsia="Times New Roman" w:cs="Times New Roman"/>
          <w:lang w:val="en-GB" w:eastAsia="fr-FR"/>
        </w:rPr>
        <w:t>the domestic authorities</w:t>
      </w:r>
      <w:r w:rsidRPr="006C4563" w:rsidR="00097853">
        <w:rPr>
          <w:rFonts w:ascii="Times New Roman" w:hAnsi="Times New Roman" w:eastAsia="Times New Roman" w:cs="Times New Roman"/>
          <w:lang w:val="en-GB" w:eastAsia="fr-FR"/>
        </w:rPr>
        <w:t xml:space="preserve"> </w:t>
      </w:r>
      <w:r w:rsidRPr="006C4563" w:rsidR="005306A4">
        <w:rPr>
          <w:rFonts w:ascii="Times New Roman" w:hAnsi="Times New Roman" w:eastAsia="Times New Roman" w:cs="Times New Roman"/>
          <w:lang w:val="en-GB" w:eastAsia="fr-FR"/>
        </w:rPr>
        <w:t xml:space="preserve">had </w:t>
      </w:r>
      <w:r w:rsidRPr="006C4563" w:rsidR="00097853">
        <w:rPr>
          <w:rFonts w:ascii="Times New Roman" w:hAnsi="Times New Roman" w:eastAsia="Times New Roman" w:cs="Times New Roman"/>
          <w:lang w:val="en-GB" w:eastAsia="fr-FR"/>
        </w:rPr>
        <w:t>unilaterally increased salaries of doctors and dentists in 2005 by 10%</w:t>
      </w:r>
      <w:r w:rsidRPr="006C4563" w:rsidR="005306A4">
        <w:rPr>
          <w:rFonts w:ascii="Times New Roman" w:hAnsi="Times New Roman" w:eastAsia="Times New Roman" w:cs="Times New Roman"/>
          <w:lang w:val="en-GB" w:eastAsia="fr-FR"/>
        </w:rPr>
        <w:t xml:space="preserve"> with a view to alleviating the situation</w:t>
      </w:r>
      <w:r w:rsidRPr="006C4563" w:rsidR="00F802E1">
        <w:rPr>
          <w:rFonts w:ascii="Times New Roman" w:hAnsi="Times New Roman" w:eastAsia="Times New Roman" w:cs="Times New Roman"/>
          <w:lang w:val="en-GB" w:eastAsia="fr-FR"/>
        </w:rPr>
        <w:t xml:space="preserve"> thus created</w:t>
      </w:r>
      <w:r w:rsidRPr="006C4563" w:rsidR="005306A4">
        <w:rPr>
          <w:rFonts w:ascii="Times New Roman" w:hAnsi="Times New Roman" w:eastAsia="Times New Roman" w:cs="Times New Roman"/>
          <w:lang w:val="en-GB" w:eastAsia="fr-FR"/>
        </w:rPr>
        <w:t xml:space="preserve"> </w:t>
      </w:r>
      <w:r w:rsidRPr="006C4563" w:rsidR="003209CD">
        <w:rPr>
          <w:rFonts w:ascii="Times New Roman" w:hAnsi="Times New Roman" w:eastAsia="Times New Roman" w:cs="Times New Roman"/>
          <w:lang w:val="en-GB" w:eastAsia="fr-FR"/>
        </w:rPr>
        <w:t xml:space="preserve">(see paragraph </w:t>
      </w:r>
      <w:r w:rsidRPr="00185705" w:rsidR="00EC7303">
        <w:rPr>
          <w:rFonts w:ascii="Times New Roman" w:hAnsi="Times New Roman" w:eastAsia="Times New Roman" w:cs="Times New Roman"/>
          <w:lang w:val="en-GB" w:eastAsia="fr-FR"/>
        </w:rPr>
        <w:t>17 and</w:t>
      </w:r>
      <w:r w:rsidRPr="006C4563" w:rsidR="003209CD">
        <w:rPr>
          <w:rFonts w:ascii="Times New Roman" w:hAnsi="Times New Roman" w:eastAsia="Times New Roman" w:cs="Times New Roman"/>
          <w:lang w:val="en-GB" w:eastAsia="fr-FR"/>
        </w:rPr>
        <w:t xml:space="preserve"> </w:t>
      </w:r>
      <w:r w:rsidRPr="00185705" w:rsidR="00EC7303">
        <w:rPr>
          <w:rFonts w:ascii="Times New Roman" w:hAnsi="Times New Roman" w:eastAsia="Times New Roman" w:cs="Times New Roman"/>
          <w:lang w:val="en-GB" w:eastAsia="fr-FR"/>
        </w:rPr>
        <w:t xml:space="preserve">38 </w:t>
      </w:r>
      <w:r w:rsidRPr="006C4563" w:rsidR="003209CD">
        <w:rPr>
          <w:rFonts w:ascii="Times New Roman" w:hAnsi="Times New Roman" w:eastAsia="Times New Roman" w:cs="Times New Roman"/>
          <w:lang w:val="en-GB" w:eastAsia="fr-FR"/>
        </w:rPr>
        <w:t xml:space="preserve">above). </w:t>
      </w:r>
      <w:r w:rsidRPr="006C4563" w:rsidR="00F802E1">
        <w:rPr>
          <w:rFonts w:ascii="Times New Roman" w:hAnsi="Times New Roman" w:eastAsia="Times New Roman" w:cs="Times New Roman"/>
          <w:lang w:val="en-GB" w:eastAsia="fr-FR"/>
        </w:rPr>
        <w:t>That being so, and given that under the Court</w:t>
      </w:r>
      <w:r w:rsidR="00A32E76">
        <w:rPr>
          <w:rFonts w:ascii="Times New Roman" w:hAnsi="Times New Roman" w:eastAsia="Times New Roman" w:cs="Times New Roman"/>
          <w:lang w:val="en-GB" w:eastAsia="fr-FR"/>
        </w:rPr>
        <w:t>’</w:t>
      </w:r>
      <w:r w:rsidRPr="006C4563" w:rsidR="00F802E1">
        <w:rPr>
          <w:rFonts w:ascii="Times New Roman" w:hAnsi="Times New Roman" w:eastAsia="Times New Roman" w:cs="Times New Roman"/>
          <w:lang w:val="en-GB" w:eastAsia="fr-FR"/>
        </w:rPr>
        <w:t xml:space="preserve">s case-law the right to strike was not the only means to protect occupational interest of trade union members by trade union action (see </w:t>
      </w:r>
      <w:r w:rsidRPr="006C4563" w:rsidR="00F802E1">
        <w:rPr>
          <w:rFonts w:ascii="Times New Roman" w:hAnsi="Times New Roman" w:eastAsia="Times New Roman" w:cs="Times New Roman"/>
          <w:i/>
          <w:lang w:val="en-GB" w:eastAsia="fr-FR"/>
        </w:rPr>
        <w:t>Schmidt and Dahlström v. Sweden</w:t>
      </w:r>
      <w:r w:rsidRPr="006C4563" w:rsidR="00F802E1">
        <w:rPr>
          <w:rFonts w:ascii="Times New Roman" w:hAnsi="Times New Roman" w:eastAsia="Times New Roman" w:cs="Times New Roman"/>
          <w:lang w:val="en-GB" w:eastAsia="fr-FR"/>
        </w:rPr>
        <w:t xml:space="preserve">, 6 February 1976, § 36, Series A no. 21), the Government </w:t>
      </w:r>
      <w:r w:rsidRPr="006C4563" w:rsidR="009218CB">
        <w:rPr>
          <w:rFonts w:ascii="Times New Roman" w:hAnsi="Times New Roman" w:eastAsia="Times New Roman" w:cs="Times New Roman"/>
          <w:lang w:val="en-GB" w:eastAsia="fr-FR"/>
        </w:rPr>
        <w:t xml:space="preserve">argued that the interference in the present case had been proportionate to the legitimate aim pursued. </w:t>
      </w:r>
      <w:r w:rsidRPr="006C4563" w:rsidR="00F802E1">
        <w:rPr>
          <w:rFonts w:ascii="Times New Roman" w:hAnsi="Times New Roman" w:eastAsia="Times New Roman" w:cs="Times New Roman"/>
          <w:lang w:val="en-GB" w:eastAsia="fr-FR"/>
        </w:rPr>
        <w:t>They therefore invited the Court to find that there had been no violation of Article 11 in the present case.</w:t>
      </w:r>
    </w:p>
    <w:p w:rsidRPr="002A60F3" w:rsidR="00F802E1" w:rsidP="00F802E1" w:rsidRDefault="00F802E1">
      <w:pPr>
        <w:pStyle w:val="ECHRHeading5"/>
        <w:rPr>
          <w:lang w:val="en-GB"/>
        </w:rPr>
      </w:pPr>
      <w:r w:rsidRPr="002A60F3">
        <w:rPr>
          <w:lang w:val="en-GB"/>
        </w:rPr>
        <w:t>(i</w:t>
      </w:r>
      <w:r>
        <w:rPr>
          <w:lang w:val="en-GB"/>
        </w:rPr>
        <w:t>i</w:t>
      </w:r>
      <w:r w:rsidRPr="002A60F3">
        <w:rPr>
          <w:lang w:val="en-GB"/>
        </w:rPr>
        <w:t xml:space="preserve">)  The </w:t>
      </w:r>
      <w:r>
        <w:rPr>
          <w:lang w:val="en-GB"/>
        </w:rPr>
        <w:t>applicant union</w:t>
      </w:r>
    </w:p>
    <w:p w:rsidR="00DC565E" w:rsidP="00A7038C" w:rsidRDefault="00A7038C">
      <w:pPr>
        <w:pStyle w:val="ECHRPara"/>
        <w:rPr>
          <w:lang w:val="en-GB"/>
        </w:rPr>
      </w:pPr>
      <w:r w:rsidRPr="002A60F3">
        <w:rPr>
          <w:bCs/>
          <w:lang w:val="en-GB"/>
        </w:rPr>
        <w:fldChar w:fldCharType="begin"/>
      </w:r>
      <w:r w:rsidRPr="002A60F3">
        <w:rPr>
          <w:bCs/>
          <w:lang w:val="en-GB"/>
        </w:rPr>
        <w:instrText xml:space="preserve"> SEQ level0 \*arabic </w:instrText>
      </w:r>
      <w:r w:rsidRPr="002A60F3">
        <w:rPr>
          <w:bCs/>
          <w:lang w:val="en-GB"/>
        </w:rPr>
        <w:fldChar w:fldCharType="separate"/>
      </w:r>
      <w:r w:rsidR="00D802F9">
        <w:rPr>
          <w:bCs/>
          <w:noProof/>
          <w:lang w:val="en-GB"/>
        </w:rPr>
        <w:t>54</w:t>
      </w:r>
      <w:r w:rsidRPr="002A60F3">
        <w:rPr>
          <w:bCs/>
          <w:lang w:val="en-GB"/>
        </w:rPr>
        <w:fldChar w:fldCharType="end"/>
      </w:r>
      <w:r w:rsidRPr="002A60F3">
        <w:rPr>
          <w:bCs/>
          <w:lang w:val="en-GB"/>
        </w:rPr>
        <w:t xml:space="preserve">.  The applicant </w:t>
      </w:r>
      <w:r w:rsidRPr="002A60F3" w:rsidR="00BD2532">
        <w:rPr>
          <w:bCs/>
          <w:lang w:val="en-GB"/>
        </w:rPr>
        <w:t xml:space="preserve">union </w:t>
      </w:r>
      <w:r w:rsidRPr="002A60F3">
        <w:rPr>
          <w:bCs/>
          <w:lang w:val="en-GB"/>
        </w:rPr>
        <w:t xml:space="preserve">argued that </w:t>
      </w:r>
      <w:r w:rsidRPr="002A60F3" w:rsidR="004D2FB2">
        <w:rPr>
          <w:bCs/>
          <w:lang w:val="en-GB"/>
        </w:rPr>
        <w:t>in deciding to prohibit the strike</w:t>
      </w:r>
      <w:r w:rsidR="006A7BF4">
        <w:rPr>
          <w:bCs/>
          <w:lang w:val="en-GB"/>
        </w:rPr>
        <w:t>,</w:t>
      </w:r>
      <w:r w:rsidRPr="002A60F3" w:rsidR="004D2FB2">
        <w:rPr>
          <w:bCs/>
          <w:lang w:val="en-GB"/>
        </w:rPr>
        <w:t xml:space="preserve"> the domestic courts had misapplied the domestic law.</w:t>
      </w:r>
      <w:r w:rsidR="00ED0264">
        <w:rPr>
          <w:bCs/>
          <w:lang w:val="en-GB"/>
        </w:rPr>
        <w:t xml:space="preserve"> </w:t>
      </w:r>
      <w:r w:rsidR="002F605C">
        <w:rPr>
          <w:bCs/>
          <w:lang w:val="en-GB"/>
        </w:rPr>
        <w:t>First</w:t>
      </w:r>
      <w:r w:rsidR="006A7BF4">
        <w:rPr>
          <w:bCs/>
          <w:lang w:val="en-GB"/>
        </w:rPr>
        <w:t>,</w:t>
      </w:r>
      <w:r w:rsidRPr="002A60F3" w:rsidR="004D2FB2">
        <w:rPr>
          <w:bCs/>
          <w:lang w:val="en-GB"/>
        </w:rPr>
        <w:t xml:space="preserve"> the courts</w:t>
      </w:r>
      <w:r w:rsidRPr="002A60F3" w:rsidR="00C22095">
        <w:rPr>
          <w:bCs/>
          <w:lang w:val="en-GB"/>
        </w:rPr>
        <w:t xml:space="preserve"> had</w:t>
      </w:r>
      <w:r w:rsidRPr="002A60F3" w:rsidR="004D2FB2">
        <w:rPr>
          <w:bCs/>
          <w:lang w:val="en-GB"/>
        </w:rPr>
        <w:t xml:space="preserve"> acted </w:t>
      </w:r>
      <w:r w:rsidRPr="002A60F3" w:rsidR="004D2FB2">
        <w:rPr>
          <w:bCs/>
          <w:i/>
          <w:lang w:val="en-GB"/>
        </w:rPr>
        <w:t>extra petitum</w:t>
      </w:r>
      <w:r w:rsidR="002F605C">
        <w:rPr>
          <w:bCs/>
          <w:i/>
          <w:lang w:val="en-GB"/>
        </w:rPr>
        <w:t>,</w:t>
      </w:r>
      <w:r w:rsidRPr="002A60F3" w:rsidR="004D2FB2">
        <w:rPr>
          <w:bCs/>
          <w:lang w:val="en-GB"/>
        </w:rPr>
        <w:t xml:space="preserve"> because they had prohibited the strike on the ground </w:t>
      </w:r>
      <w:r w:rsidR="006A7BF4">
        <w:rPr>
          <w:bCs/>
          <w:lang w:val="en-GB"/>
        </w:rPr>
        <w:t xml:space="preserve">that </w:t>
      </w:r>
      <w:r w:rsidRPr="002A60F3" w:rsidR="004D2FB2">
        <w:rPr>
          <w:bCs/>
          <w:lang w:val="en-GB"/>
        </w:rPr>
        <w:t>the Annex</w:t>
      </w:r>
      <w:r w:rsidR="006A7BF4">
        <w:rPr>
          <w:bCs/>
          <w:lang w:val="en-GB"/>
        </w:rPr>
        <w:t xml:space="preserve"> had been </w:t>
      </w:r>
      <w:r w:rsidR="00457277">
        <w:rPr>
          <w:bCs/>
          <w:lang w:val="en-GB"/>
        </w:rPr>
        <w:t>invalid</w:t>
      </w:r>
      <w:r w:rsidRPr="002A60F3" w:rsidR="004D2FB2">
        <w:rPr>
          <w:bCs/>
          <w:lang w:val="en-GB"/>
        </w:rPr>
        <w:t xml:space="preserve">, that is, on </w:t>
      </w:r>
      <w:r w:rsidR="002F605C">
        <w:rPr>
          <w:bCs/>
          <w:lang w:val="en-GB"/>
        </w:rPr>
        <w:t xml:space="preserve">a </w:t>
      </w:r>
      <w:r w:rsidRPr="002A60F3" w:rsidR="004D2FB2">
        <w:rPr>
          <w:bCs/>
          <w:lang w:val="en-GB"/>
        </w:rPr>
        <w:t xml:space="preserve">ground </w:t>
      </w:r>
      <w:r w:rsidR="002F605C">
        <w:rPr>
          <w:bCs/>
          <w:lang w:val="en-GB"/>
        </w:rPr>
        <w:t xml:space="preserve">on which </w:t>
      </w:r>
      <w:r w:rsidRPr="002A60F3" w:rsidR="00FE2F95">
        <w:rPr>
          <w:bCs/>
          <w:lang w:val="en-GB"/>
        </w:rPr>
        <w:t xml:space="preserve">the State had </w:t>
      </w:r>
      <w:r w:rsidRPr="002A60F3" w:rsidR="004D2FB2">
        <w:rPr>
          <w:bCs/>
          <w:lang w:val="en-GB"/>
        </w:rPr>
        <w:t xml:space="preserve">not relied in </w:t>
      </w:r>
      <w:r w:rsidR="008D41B3">
        <w:rPr>
          <w:bCs/>
          <w:lang w:val="en-GB"/>
        </w:rPr>
        <w:t>its civil</w:t>
      </w:r>
      <w:r w:rsidRPr="002A60F3" w:rsidR="004D2FB2">
        <w:rPr>
          <w:bCs/>
          <w:lang w:val="en-GB"/>
        </w:rPr>
        <w:t xml:space="preserve"> action of </w:t>
      </w:r>
      <w:r w:rsidRPr="002A60F3" w:rsidR="00C22095">
        <w:rPr>
          <w:lang w:val="en-GB"/>
        </w:rPr>
        <w:t>5 April 2005 (see paragraph</w:t>
      </w:r>
      <w:r w:rsidR="00457277">
        <w:rPr>
          <w:lang w:val="en-GB"/>
        </w:rPr>
        <w:t>s</w:t>
      </w:r>
      <w:r w:rsidRPr="002A60F3" w:rsidR="00C22095">
        <w:rPr>
          <w:lang w:val="en-GB"/>
        </w:rPr>
        <w:t xml:space="preserve"> </w:t>
      </w:r>
      <w:r w:rsidR="00457277">
        <w:rPr>
          <w:lang w:val="en-GB"/>
        </w:rPr>
        <w:t>18 and 23</w:t>
      </w:r>
      <w:r w:rsidRPr="002A60F3" w:rsidR="00457277">
        <w:rPr>
          <w:lang w:val="en-GB"/>
        </w:rPr>
        <w:t xml:space="preserve"> </w:t>
      </w:r>
      <w:r w:rsidRPr="002A60F3" w:rsidR="00C22095">
        <w:rPr>
          <w:lang w:val="en-GB"/>
        </w:rPr>
        <w:t>above)</w:t>
      </w:r>
      <w:r w:rsidR="00ED0264">
        <w:rPr>
          <w:lang w:val="en-GB"/>
        </w:rPr>
        <w:t>.</w:t>
      </w:r>
      <w:r w:rsidR="002F605C">
        <w:rPr>
          <w:lang w:val="en-GB"/>
        </w:rPr>
        <w:t xml:space="preserve"> Secondly, the courts had</w:t>
      </w:r>
      <w:r w:rsidRPr="002A60F3" w:rsidR="00C22095">
        <w:rPr>
          <w:lang w:val="en-GB"/>
        </w:rPr>
        <w:t xml:space="preserve"> </w:t>
      </w:r>
      <w:r w:rsidR="00124D83">
        <w:rPr>
          <w:lang w:val="en-GB"/>
        </w:rPr>
        <w:t>focused</w:t>
      </w:r>
      <w:r w:rsidRPr="002A60F3" w:rsidR="005A0C08">
        <w:rPr>
          <w:lang w:val="en-GB"/>
        </w:rPr>
        <w:t xml:space="preserve"> on the name rather than </w:t>
      </w:r>
      <w:r w:rsidR="002F605C">
        <w:rPr>
          <w:lang w:val="en-GB"/>
        </w:rPr>
        <w:t xml:space="preserve">the </w:t>
      </w:r>
      <w:r w:rsidRPr="002A60F3" w:rsidR="005A0C08">
        <w:rPr>
          <w:lang w:val="en-GB"/>
        </w:rPr>
        <w:t>substance (</w:t>
      </w:r>
      <w:r w:rsidRPr="002A60F3" w:rsidR="005A0C08">
        <w:rPr>
          <w:i/>
          <w:lang w:val="en-GB"/>
        </w:rPr>
        <w:t>falsa nominatio non nocet</w:t>
      </w:r>
      <w:r w:rsidRPr="002A60F3" w:rsidR="005A0C08">
        <w:rPr>
          <w:lang w:val="en-GB"/>
        </w:rPr>
        <w:t>)</w:t>
      </w:r>
      <w:r w:rsidR="002F605C">
        <w:rPr>
          <w:lang w:val="en-GB"/>
        </w:rPr>
        <w:t>.</w:t>
      </w:r>
      <w:r w:rsidRPr="002A60F3" w:rsidR="005A0C08">
        <w:rPr>
          <w:lang w:val="en-GB"/>
        </w:rPr>
        <w:t xml:space="preserve"> </w:t>
      </w:r>
      <w:r w:rsidR="002F605C">
        <w:rPr>
          <w:lang w:val="en-GB"/>
        </w:rPr>
        <w:t>Instead of</w:t>
      </w:r>
      <w:r w:rsidRPr="002A60F3" w:rsidR="002F605C">
        <w:rPr>
          <w:lang w:val="en-GB"/>
        </w:rPr>
        <w:t xml:space="preserve"> examining whether the Annex could have remained valid as an i</w:t>
      </w:r>
      <w:r w:rsidR="002F605C">
        <w:rPr>
          <w:lang w:val="en-GB"/>
        </w:rPr>
        <w:t xml:space="preserve">ndependent collective agreement, they had simply </w:t>
      </w:r>
      <w:r w:rsidRPr="006752CE" w:rsidR="002F605C">
        <w:rPr>
          <w:lang w:val="en-GB"/>
        </w:rPr>
        <w:t xml:space="preserve">held </w:t>
      </w:r>
      <w:r w:rsidRPr="006752CE" w:rsidR="00C22095">
        <w:rPr>
          <w:lang w:val="en-GB"/>
        </w:rPr>
        <w:t>that the Annex had</w:t>
      </w:r>
      <w:r w:rsidRPr="006752CE" w:rsidR="005A0C08">
        <w:rPr>
          <w:lang w:val="en-GB"/>
        </w:rPr>
        <w:t xml:space="preserve"> been a part of the </w:t>
      </w:r>
      <w:r w:rsidRPr="006752CE" w:rsidR="00AA3E45">
        <w:rPr>
          <w:lang w:val="en-GB"/>
        </w:rPr>
        <w:t xml:space="preserve">main </w:t>
      </w:r>
      <w:r w:rsidRPr="006752CE" w:rsidR="005A0C08">
        <w:rPr>
          <w:lang w:val="en-GB"/>
        </w:rPr>
        <w:t xml:space="preserve">Collective Agreement for the Health and Health Insurance Sector </w:t>
      </w:r>
      <w:r w:rsidRPr="006752CE" w:rsidR="00FE2F95">
        <w:rPr>
          <w:lang w:val="en-GB"/>
        </w:rPr>
        <w:t xml:space="preserve">and </w:t>
      </w:r>
      <w:r w:rsidRPr="006752CE" w:rsidR="006A7BF4">
        <w:rPr>
          <w:lang w:val="en-GB"/>
        </w:rPr>
        <w:t xml:space="preserve">was </w:t>
      </w:r>
      <w:r w:rsidRPr="006752CE" w:rsidR="00124D83">
        <w:rPr>
          <w:lang w:val="en-GB"/>
        </w:rPr>
        <w:t>thus</w:t>
      </w:r>
      <w:r w:rsidRPr="006752CE" w:rsidR="00FE2F95">
        <w:rPr>
          <w:lang w:val="en-GB"/>
        </w:rPr>
        <w:t xml:space="preserve"> null and void because it had not been entered into by all the trade unions that had concluded that agreement</w:t>
      </w:r>
      <w:r w:rsidRPr="006752CE" w:rsidR="008D41B3">
        <w:rPr>
          <w:lang w:val="en-GB"/>
        </w:rPr>
        <w:t xml:space="preserve"> (see paragraph </w:t>
      </w:r>
      <w:r w:rsidR="00457277">
        <w:rPr>
          <w:lang w:val="en-GB"/>
        </w:rPr>
        <w:t>23</w:t>
      </w:r>
      <w:r w:rsidRPr="006752CE" w:rsidR="00457277">
        <w:rPr>
          <w:lang w:val="en-GB"/>
        </w:rPr>
        <w:t xml:space="preserve"> </w:t>
      </w:r>
      <w:r w:rsidRPr="006752CE" w:rsidR="008D41B3">
        <w:rPr>
          <w:lang w:val="en-GB"/>
        </w:rPr>
        <w:t>above)</w:t>
      </w:r>
      <w:r w:rsidRPr="006752CE" w:rsidR="002F605C">
        <w:rPr>
          <w:lang w:val="en-GB"/>
        </w:rPr>
        <w:t>.</w:t>
      </w:r>
    </w:p>
    <w:p w:rsidRPr="002A60F3" w:rsidR="00A33376" w:rsidP="00F543C6" w:rsidRDefault="00A33376">
      <w:pPr>
        <w:pStyle w:val="ECHRPara"/>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55</w:t>
      </w:r>
      <w:r w:rsidRPr="006752CE">
        <w:rPr>
          <w:lang w:val="en-GB"/>
        </w:rPr>
        <w:fldChar w:fldCharType="end"/>
      </w:r>
      <w:r w:rsidRPr="006752CE">
        <w:rPr>
          <w:lang w:val="en-GB"/>
        </w:rPr>
        <w:t>.  </w:t>
      </w:r>
      <w:r w:rsidRPr="006752CE" w:rsidR="00503B71">
        <w:rPr>
          <w:lang w:val="en-GB"/>
        </w:rPr>
        <w:t>The applicant union further argued that the decisions of the domestic courts suggested that</w:t>
      </w:r>
      <w:r w:rsidRPr="006752CE" w:rsidR="00B524D9">
        <w:rPr>
          <w:lang w:val="en-GB"/>
        </w:rPr>
        <w:t xml:space="preserve"> a strike was always unlawful</w:t>
      </w:r>
      <w:r w:rsidRPr="006752CE" w:rsidR="00503B71">
        <w:rPr>
          <w:lang w:val="en-GB"/>
        </w:rPr>
        <w:t xml:space="preserve"> in </w:t>
      </w:r>
      <w:r w:rsidRPr="006752CE" w:rsidR="006A7BF4">
        <w:rPr>
          <w:lang w:val="en-GB"/>
        </w:rPr>
        <w:t xml:space="preserve">circumstances </w:t>
      </w:r>
      <w:r w:rsidRPr="006752CE" w:rsidR="00503B71">
        <w:rPr>
          <w:lang w:val="en-GB"/>
        </w:rPr>
        <w:t xml:space="preserve">such </w:t>
      </w:r>
      <w:r w:rsidRPr="006752CE" w:rsidR="006A7BF4">
        <w:rPr>
          <w:lang w:val="en-GB"/>
        </w:rPr>
        <w:t xml:space="preserve">as those </w:t>
      </w:r>
      <w:r w:rsidRPr="006752CE" w:rsidR="00503B71">
        <w:rPr>
          <w:lang w:val="en-GB"/>
        </w:rPr>
        <w:t xml:space="preserve">in the present case where </w:t>
      </w:r>
      <w:r w:rsidRPr="006752CE" w:rsidR="00124D83">
        <w:rPr>
          <w:lang w:val="en-GB"/>
        </w:rPr>
        <w:t>a trade union</w:t>
      </w:r>
      <w:r w:rsidRPr="006752CE" w:rsidR="00B524D9">
        <w:rPr>
          <w:lang w:val="en-GB"/>
        </w:rPr>
        <w:t xml:space="preserve"> wished to strike in order to enforce </w:t>
      </w:r>
      <w:r w:rsidRPr="006752CE" w:rsidR="00503B71">
        <w:rPr>
          <w:lang w:val="en-GB"/>
        </w:rPr>
        <w:t xml:space="preserve">a collective agreement </w:t>
      </w:r>
      <w:r w:rsidRPr="006752CE" w:rsidR="00B524D9">
        <w:rPr>
          <w:lang w:val="en-GB"/>
        </w:rPr>
        <w:t xml:space="preserve">and </w:t>
      </w:r>
      <w:r w:rsidRPr="006752CE" w:rsidR="002F605C">
        <w:rPr>
          <w:lang w:val="en-GB"/>
        </w:rPr>
        <w:t xml:space="preserve">where </w:t>
      </w:r>
      <w:r w:rsidRPr="006752CE" w:rsidR="00B524D9">
        <w:rPr>
          <w:lang w:val="en-GB"/>
        </w:rPr>
        <w:t xml:space="preserve">the other party to that agreement </w:t>
      </w:r>
      <w:r w:rsidRPr="006752CE" w:rsidR="00ED0264">
        <w:rPr>
          <w:lang w:val="en-GB"/>
        </w:rPr>
        <w:t xml:space="preserve">had </w:t>
      </w:r>
      <w:r w:rsidRPr="006752CE" w:rsidR="00B524D9">
        <w:rPr>
          <w:lang w:val="en-GB"/>
        </w:rPr>
        <w:t>questioned</w:t>
      </w:r>
      <w:r w:rsidRPr="006752CE" w:rsidR="00503B71">
        <w:rPr>
          <w:lang w:val="en-GB"/>
        </w:rPr>
        <w:t xml:space="preserve"> </w:t>
      </w:r>
      <w:r w:rsidRPr="006752CE" w:rsidR="00B524D9">
        <w:rPr>
          <w:lang w:val="en-GB"/>
        </w:rPr>
        <w:t>its validity</w:t>
      </w:r>
      <w:r w:rsidRPr="006752CE" w:rsidR="00503B71">
        <w:rPr>
          <w:lang w:val="en-GB"/>
        </w:rPr>
        <w:t>. In particular, the reasons adduced by the domestic courts for their decisions to prohibit the strike seem</w:t>
      </w:r>
      <w:r w:rsidRPr="006752CE" w:rsidR="00F543C6">
        <w:rPr>
          <w:lang w:val="en-GB"/>
        </w:rPr>
        <w:t>ed</w:t>
      </w:r>
      <w:r w:rsidRPr="006752CE" w:rsidR="00503B71">
        <w:rPr>
          <w:lang w:val="en-GB"/>
        </w:rPr>
        <w:t xml:space="preserve"> to suggest that</w:t>
      </w:r>
      <w:r w:rsidRPr="006752CE" w:rsidR="00F543C6">
        <w:rPr>
          <w:lang w:val="en-GB"/>
        </w:rPr>
        <w:t xml:space="preserve"> in such </w:t>
      </w:r>
      <w:r w:rsidRPr="006752CE" w:rsidR="006A7BF4">
        <w:rPr>
          <w:lang w:val="en-GB"/>
        </w:rPr>
        <w:t xml:space="preserve">circumstances </w:t>
      </w:r>
      <w:r w:rsidRPr="006752CE" w:rsidR="00F543C6">
        <w:rPr>
          <w:lang w:val="en-GB"/>
        </w:rPr>
        <w:t>trade unions could not strike because</w:t>
      </w:r>
      <w:r w:rsidRPr="006752CE" w:rsidR="002F605C">
        <w:rPr>
          <w:lang w:val="en-GB"/>
        </w:rPr>
        <w:t xml:space="preserve"> either</w:t>
      </w:r>
      <w:r w:rsidRPr="006752CE" w:rsidR="00B524D9">
        <w:rPr>
          <w:lang w:val="en-GB"/>
        </w:rPr>
        <w:t xml:space="preserve"> (a) the collective agreement was</w:t>
      </w:r>
      <w:r w:rsidRPr="006752CE" w:rsidR="00F543C6">
        <w:rPr>
          <w:lang w:val="en-GB"/>
        </w:rPr>
        <w:t xml:space="preserve"> valid and section </w:t>
      </w:r>
      <w:r w:rsidRPr="006752CE" w:rsidR="00B524D9">
        <w:rPr>
          <w:lang w:val="en-GB"/>
        </w:rPr>
        <w:t xml:space="preserve">210(1) </w:t>
      </w:r>
      <w:r w:rsidRPr="006752CE" w:rsidR="00F543C6">
        <w:rPr>
          <w:lang w:val="en-GB"/>
        </w:rPr>
        <w:t xml:space="preserve">of the </w:t>
      </w:r>
      <w:r w:rsidRPr="006752CE" w:rsidR="00487A8D">
        <w:rPr>
          <w:lang w:val="en-GB"/>
        </w:rPr>
        <w:t>Labour Act</w:t>
      </w:r>
      <w:r w:rsidRPr="006752CE" w:rsidR="00F543C6">
        <w:rPr>
          <w:lang w:val="en-GB"/>
        </w:rPr>
        <w:t xml:space="preserve"> prohibited strikes </w:t>
      </w:r>
      <w:r w:rsidRPr="006752CE" w:rsidR="00B524D9">
        <w:rPr>
          <w:lang w:val="en-GB"/>
        </w:rPr>
        <w:t xml:space="preserve">in respect of matters already </w:t>
      </w:r>
      <w:r w:rsidRPr="006752CE" w:rsidR="00124D83">
        <w:rPr>
          <w:lang w:val="en-GB"/>
        </w:rPr>
        <w:t>governed</w:t>
      </w:r>
      <w:r w:rsidRPr="006752CE" w:rsidR="00B524D9">
        <w:rPr>
          <w:lang w:val="en-GB"/>
        </w:rPr>
        <w:t xml:space="preserve"> by a collective agreement</w:t>
      </w:r>
      <w:r w:rsidR="005E07F1">
        <w:rPr>
          <w:lang w:val="en-GB"/>
        </w:rPr>
        <w:t xml:space="preserve"> (see paragraph </w:t>
      </w:r>
      <w:r w:rsidR="00457277">
        <w:rPr>
          <w:lang w:val="en-GB"/>
        </w:rPr>
        <w:t>32</w:t>
      </w:r>
      <w:r w:rsidRPr="006752CE" w:rsidR="00457277">
        <w:rPr>
          <w:lang w:val="en-GB"/>
        </w:rPr>
        <w:t xml:space="preserve"> </w:t>
      </w:r>
      <w:r w:rsidRPr="006752CE" w:rsidR="00AA3E45">
        <w:rPr>
          <w:lang w:val="en-GB"/>
        </w:rPr>
        <w:t>above)</w:t>
      </w:r>
      <w:r w:rsidRPr="006752CE" w:rsidR="00B524D9">
        <w:rPr>
          <w:lang w:val="en-GB"/>
        </w:rPr>
        <w:t xml:space="preserve">, or (b) the collective agreement was invalid and </w:t>
      </w:r>
      <w:r w:rsidRPr="006752CE" w:rsidR="006A7BF4">
        <w:rPr>
          <w:lang w:val="en-GB"/>
        </w:rPr>
        <w:t xml:space="preserve">for </w:t>
      </w:r>
      <w:r w:rsidRPr="006752CE" w:rsidR="00B524D9">
        <w:rPr>
          <w:lang w:val="en-GB"/>
        </w:rPr>
        <w:t>precisely that reason it could not be enforced by resorting to</w:t>
      </w:r>
      <w:r w:rsidRPr="002A60F3" w:rsidR="00B524D9">
        <w:rPr>
          <w:lang w:val="en-GB"/>
        </w:rPr>
        <w:t xml:space="preserve"> </w:t>
      </w:r>
      <w:r w:rsidRPr="002A60F3" w:rsidR="00735E0E">
        <w:rPr>
          <w:lang w:val="en-GB"/>
        </w:rPr>
        <w:t xml:space="preserve">a </w:t>
      </w:r>
      <w:r w:rsidR="00124D83">
        <w:rPr>
          <w:lang w:val="en-GB"/>
        </w:rPr>
        <w:t>strike. In the applicant</w:t>
      </w:r>
      <w:r w:rsidRPr="002A60F3" w:rsidR="00B524D9">
        <w:rPr>
          <w:lang w:val="en-GB"/>
        </w:rPr>
        <w:t xml:space="preserve"> union</w:t>
      </w:r>
      <w:r w:rsidR="00A32E76">
        <w:rPr>
          <w:lang w:val="en-GB"/>
        </w:rPr>
        <w:t>’</w:t>
      </w:r>
      <w:r w:rsidRPr="002A60F3" w:rsidR="00B524D9">
        <w:rPr>
          <w:lang w:val="en-GB"/>
        </w:rPr>
        <w:t>s view</w:t>
      </w:r>
      <w:r w:rsidR="006A7BF4">
        <w:rPr>
          <w:lang w:val="en-GB"/>
        </w:rPr>
        <w:t>,</w:t>
      </w:r>
      <w:r w:rsidRPr="002A60F3" w:rsidR="00B524D9">
        <w:rPr>
          <w:lang w:val="en-GB"/>
        </w:rPr>
        <w:t xml:space="preserve"> such </w:t>
      </w:r>
      <w:r w:rsidR="006A7BF4">
        <w:rPr>
          <w:lang w:val="en-GB"/>
        </w:rPr>
        <w:t xml:space="preserve">an </w:t>
      </w:r>
      <w:r w:rsidRPr="002A60F3" w:rsidR="00B524D9">
        <w:rPr>
          <w:lang w:val="en-GB"/>
        </w:rPr>
        <w:t>interpretation by the domestic courts could not be sustained as it completely excluded the right to strike in such circumstances.</w:t>
      </w:r>
    </w:p>
    <w:p w:rsidRPr="00AC4A7F" w:rsidR="00A7038C" w:rsidP="0002610F" w:rsidRDefault="005D4183">
      <w:pPr>
        <w:pStyle w:val="ECHRHeading4"/>
        <w:rPr>
          <w:lang w:val="en-GB"/>
        </w:rPr>
      </w:pPr>
      <w:r w:rsidRPr="00AC4A7F">
        <w:rPr>
          <w:lang w:val="en-GB"/>
        </w:rPr>
        <w:t>(</w:t>
      </w:r>
      <w:r w:rsidRPr="00AC4A7F" w:rsidR="0002610F">
        <w:rPr>
          <w:lang w:val="en-GB"/>
        </w:rPr>
        <w:t>b</w:t>
      </w:r>
      <w:r w:rsidRPr="00AC4A7F" w:rsidR="00A7038C">
        <w:rPr>
          <w:lang w:val="en-GB"/>
        </w:rPr>
        <w:t>)  The Court</w:t>
      </w:r>
      <w:r w:rsidR="00A32E76">
        <w:rPr>
          <w:lang w:val="en-GB"/>
        </w:rPr>
        <w:t>’</w:t>
      </w:r>
      <w:r w:rsidRPr="00AC4A7F" w:rsidR="00A7038C">
        <w:rPr>
          <w:lang w:val="en-GB"/>
        </w:rPr>
        <w:t>s assessment</w:t>
      </w:r>
    </w:p>
    <w:p w:rsidRPr="00185705" w:rsidR="001038C4" w:rsidP="00185705" w:rsidRDefault="00811AC1">
      <w:pPr>
        <w:pStyle w:val="ECHRPara"/>
        <w:rPr>
          <w:lang w:val="en-GB"/>
        </w:rPr>
      </w:pPr>
      <w:r w:rsidRPr="006962E6">
        <w:rPr>
          <w:lang w:val="en-GB" w:eastAsia="fr-FR"/>
        </w:rPr>
        <w:fldChar w:fldCharType="begin"/>
      </w:r>
      <w:r w:rsidRPr="00BC0FA5">
        <w:rPr>
          <w:lang w:val="en-GB"/>
        </w:rPr>
        <w:instrText xml:space="preserve"> SEQ level0 \*arabic </w:instrText>
      </w:r>
      <w:r w:rsidRPr="006962E6">
        <w:rPr>
          <w:lang w:val="en-GB" w:eastAsia="fr-FR"/>
        </w:rPr>
        <w:fldChar w:fldCharType="separate"/>
      </w:r>
      <w:r w:rsidR="00D802F9">
        <w:rPr>
          <w:noProof/>
          <w:lang w:val="en-GB"/>
        </w:rPr>
        <w:t>56</w:t>
      </w:r>
      <w:r w:rsidRPr="006962E6">
        <w:rPr>
          <w:lang w:val="en-GB" w:eastAsia="fr-FR"/>
        </w:rPr>
        <w:fldChar w:fldCharType="end"/>
      </w:r>
      <w:r w:rsidRPr="00BC0FA5">
        <w:rPr>
          <w:lang w:val="en-GB"/>
        </w:rPr>
        <w:t>.  </w:t>
      </w:r>
      <w:r w:rsidRPr="00185705" w:rsidR="001038C4">
        <w:rPr>
          <w:lang w:val="en-GB" w:eastAsia="fr-FR"/>
        </w:rPr>
        <w:t>The Court finds no reason to question that the Zagreb County Court</w:t>
      </w:r>
      <w:r w:rsidR="00A32E76">
        <w:rPr>
          <w:lang w:val="en-GB"/>
        </w:rPr>
        <w:t>’</w:t>
      </w:r>
      <w:r w:rsidRPr="00185705" w:rsidR="001038C4">
        <w:rPr>
          <w:lang w:val="en-GB" w:eastAsia="fr-FR"/>
        </w:rPr>
        <w:t>s judgment of 8 April 2005 prohibiting the applicant union from holding a strike on 11 April 2005 (see paragraph 19 above), which was upheld by the Supreme Court</w:t>
      </w:r>
      <w:r w:rsidR="00A32E76">
        <w:rPr>
          <w:lang w:val="en-GB"/>
        </w:rPr>
        <w:t>’</w:t>
      </w:r>
      <w:r w:rsidRPr="00185705" w:rsidR="001038C4">
        <w:rPr>
          <w:lang w:val="en-GB" w:eastAsia="fr-FR"/>
        </w:rPr>
        <w:t xml:space="preserve">s judgment </w:t>
      </w:r>
      <w:r w:rsidR="00C81BE2">
        <w:rPr>
          <w:lang w:val="en-GB" w:eastAsia="fr-FR"/>
        </w:rPr>
        <w:t>of 27 April 2005 (see paragraph </w:t>
      </w:r>
      <w:r w:rsidRPr="00185705" w:rsidR="001038C4">
        <w:rPr>
          <w:lang w:val="en-GB" w:eastAsia="fr-FR"/>
        </w:rPr>
        <w:t xml:space="preserve">23 above), had a legal basis in domestic law, namely </w:t>
      </w:r>
      <w:r w:rsidR="00C81BE2">
        <w:rPr>
          <w:rStyle w:val="JuParaCar"/>
        </w:rPr>
        <w:t>sections </w:t>
      </w:r>
      <w:r w:rsidRPr="00BC0FA5" w:rsidR="001038C4">
        <w:rPr>
          <w:rStyle w:val="JuParaCar"/>
        </w:rPr>
        <w:t xml:space="preserve">186(1) and </w:t>
      </w:r>
      <w:r w:rsidRPr="006C4563" w:rsidR="001038C4">
        <w:rPr>
          <w:rStyle w:val="JuParaCar"/>
        </w:rPr>
        <w:t xml:space="preserve">210(1) of the Labour Act (see </w:t>
      </w:r>
      <w:r w:rsidR="00C81BE2">
        <w:rPr>
          <w:rStyle w:val="JuParaCar"/>
        </w:rPr>
        <w:t>paragraph 32 above) and section </w:t>
      </w:r>
      <w:r w:rsidRPr="006C4563" w:rsidR="001038C4">
        <w:rPr>
          <w:rStyle w:val="JuParaCar"/>
        </w:rPr>
        <w:t xml:space="preserve">103 of the Obligations Act (see paragraph 35 above). </w:t>
      </w:r>
      <w:r w:rsidRPr="00185705" w:rsidR="001038C4">
        <w:rPr>
          <w:lang w:val="en-GB" w:eastAsia="fr-FR"/>
        </w:rPr>
        <w:t>As to the applicant union</w:t>
      </w:r>
      <w:r w:rsidR="00A32E76">
        <w:rPr>
          <w:lang w:val="en-GB"/>
        </w:rPr>
        <w:t>’</w:t>
      </w:r>
      <w:r w:rsidRPr="00185705" w:rsidR="001038C4">
        <w:rPr>
          <w:lang w:val="en-GB" w:eastAsia="fr-FR"/>
        </w:rPr>
        <w:t xml:space="preserve">s argument to the contrary (see paragraph </w:t>
      </w:r>
      <w:r w:rsidRPr="00760B60" w:rsidR="00BC0FA5">
        <w:rPr>
          <w:lang w:val="en-GB"/>
        </w:rPr>
        <w:t>54</w:t>
      </w:r>
      <w:r w:rsidRPr="00185705" w:rsidR="001038C4">
        <w:rPr>
          <w:lang w:val="en-GB" w:eastAsia="fr-FR"/>
        </w:rPr>
        <w:t xml:space="preserve"> above), the Court reiterates that its power to review compliance with domestic law is limited and that </w:t>
      </w:r>
      <w:r w:rsidRPr="00185705" w:rsidR="00C82722">
        <w:rPr>
          <w:lang w:val="en-GB" w:eastAsia="fr-FR"/>
        </w:rPr>
        <w:t xml:space="preserve">it </w:t>
      </w:r>
      <w:r w:rsidRPr="00185705" w:rsidR="001038C4">
        <w:rPr>
          <w:lang w:val="en-GB" w:eastAsia="fr-FR"/>
        </w:rPr>
        <w:t>is in the first place for the national authorities, notably the courts, to interpret and apply the domestic law</w:t>
      </w:r>
      <w:r w:rsidRPr="00185705" w:rsidR="00BC0FA5">
        <w:rPr>
          <w:lang w:val="en-GB" w:eastAsia="fr-FR"/>
        </w:rPr>
        <w:t>.</w:t>
      </w:r>
      <w:r w:rsidRPr="00185705" w:rsidR="001038C4">
        <w:rPr>
          <w:lang w:val="en-GB" w:eastAsia="fr-FR"/>
        </w:rPr>
        <w:t xml:space="preserve"> </w:t>
      </w:r>
      <w:r w:rsidRPr="00185705" w:rsidR="00BC0FA5">
        <w:rPr>
          <w:lang w:val="en-GB" w:eastAsia="fr-FR"/>
        </w:rPr>
        <w:t>The Court</w:t>
      </w:r>
      <w:r w:rsidR="00A32E76">
        <w:rPr>
          <w:lang w:val="en-GB"/>
        </w:rPr>
        <w:t>’</w:t>
      </w:r>
      <w:r w:rsidRPr="00185705" w:rsidR="00BC0FA5">
        <w:rPr>
          <w:lang w:val="en-GB" w:eastAsia="fr-FR"/>
        </w:rPr>
        <w:t xml:space="preserve">s role is confined to ascertaining whether the effects of such an interpretation are compatible with the Convention </w:t>
      </w:r>
      <w:r w:rsidRPr="00185705" w:rsidR="001038C4">
        <w:rPr>
          <w:rFonts w:eastAsia="Arial Unicode MS"/>
          <w:lang w:val="en-GB" w:eastAsia="fr-FR"/>
        </w:rPr>
        <w:t xml:space="preserve">(see </w:t>
      </w:r>
      <w:r w:rsidRPr="00760B60" w:rsidR="002730BD">
        <w:rPr>
          <w:rFonts w:eastAsia="Times New Roman"/>
          <w:i/>
          <w:lang w:val="en-GB"/>
        </w:rPr>
        <w:t>Federation of Offshore Workers</w:t>
      </w:r>
      <w:r w:rsidR="00A32E76">
        <w:rPr>
          <w:rFonts w:eastAsia="Times New Roman"/>
          <w:i/>
          <w:lang w:val="en-GB"/>
        </w:rPr>
        <w:t>’</w:t>
      </w:r>
      <w:r w:rsidRPr="00760B60" w:rsidR="002730BD">
        <w:rPr>
          <w:rFonts w:eastAsia="Times New Roman"/>
          <w:i/>
          <w:lang w:val="en-GB"/>
        </w:rPr>
        <w:t xml:space="preserve"> Trade Unions and Others v. Norway</w:t>
      </w:r>
      <w:r w:rsidRPr="001668DC" w:rsidR="002730BD">
        <w:rPr>
          <w:rFonts w:eastAsia="Times New Roman"/>
          <w:lang w:val="en-GB"/>
        </w:rPr>
        <w:t xml:space="preserve"> (dec.), no. 38190/97, 27 June 2002</w:t>
      </w:r>
      <w:r w:rsidRPr="00185705" w:rsidR="001038C4">
        <w:rPr>
          <w:rFonts w:eastAsia="Arial Unicode MS"/>
          <w:lang w:val="en-GB" w:eastAsia="fr-FR"/>
        </w:rPr>
        <w:t>)</w:t>
      </w:r>
      <w:r w:rsidRPr="00185705" w:rsidR="001038C4">
        <w:rPr>
          <w:lang w:val="en-GB" w:eastAsia="fr-FR"/>
        </w:rPr>
        <w:t xml:space="preserve">. The Court is therefore satisfied that the interference in the present case was “prescribed by law”, as required by Article 11 </w:t>
      </w:r>
      <w:r w:rsidRPr="00185705" w:rsidR="001038C4">
        <w:rPr>
          <w:rFonts w:cstheme="minorHAnsi"/>
          <w:lang w:val="en-GB" w:eastAsia="fr-FR"/>
        </w:rPr>
        <w:t>§</w:t>
      </w:r>
      <w:r w:rsidRPr="00185705" w:rsidR="001038C4">
        <w:rPr>
          <w:lang w:val="en-GB" w:eastAsia="fr-FR"/>
        </w:rPr>
        <w:t xml:space="preserve"> 2 of the Convention.</w:t>
      </w:r>
    </w:p>
    <w:p w:rsidRPr="00185705" w:rsidR="001038C4" w:rsidRDefault="00537760">
      <w:pPr>
        <w:ind w:firstLine="284"/>
        <w:rPr>
          <w:lang w:val="en-GB" w:eastAsia="fr-FR"/>
        </w:rPr>
      </w:pPr>
      <w:r w:rsidRPr="00185705">
        <w:rPr>
          <w:lang w:val="en-GB" w:eastAsia="fr-FR"/>
        </w:rPr>
        <w:fldChar w:fldCharType="begin"/>
      </w:r>
      <w:r w:rsidRPr="00185705">
        <w:rPr>
          <w:lang w:val="en-GB" w:eastAsia="fr-FR"/>
        </w:rPr>
        <w:instrText xml:space="preserve"> SEQ level0 \*arabic </w:instrText>
      </w:r>
      <w:r w:rsidRPr="00185705">
        <w:rPr>
          <w:lang w:val="en-GB" w:eastAsia="fr-FR"/>
        </w:rPr>
        <w:fldChar w:fldCharType="separate"/>
      </w:r>
      <w:r w:rsidR="00D802F9">
        <w:rPr>
          <w:noProof/>
          <w:lang w:val="en-GB" w:eastAsia="fr-FR"/>
        </w:rPr>
        <w:t>57</w:t>
      </w:r>
      <w:r w:rsidRPr="00185705">
        <w:rPr>
          <w:lang w:val="en-GB" w:eastAsia="fr-FR"/>
        </w:rPr>
        <w:fldChar w:fldCharType="end"/>
      </w:r>
      <w:r w:rsidRPr="00185705">
        <w:rPr>
          <w:lang w:val="en-GB" w:eastAsia="fr-FR"/>
        </w:rPr>
        <w:t>.  </w:t>
      </w:r>
      <w:r w:rsidRPr="00185705" w:rsidR="001038C4">
        <w:rPr>
          <w:lang w:val="en-GB" w:eastAsia="fr-FR"/>
        </w:rPr>
        <w:t>The Court further reiterates that the domestic courts</w:t>
      </w:r>
      <w:r w:rsidR="00A32E76">
        <w:rPr>
          <w:lang w:val="en-GB" w:eastAsia="fr-FR"/>
        </w:rPr>
        <w:t>’</w:t>
      </w:r>
      <w:r w:rsidRPr="00185705" w:rsidR="001038C4">
        <w:rPr>
          <w:lang w:val="en-GB" w:eastAsia="fr-FR"/>
        </w:rPr>
        <w:t xml:space="preserve"> judgments to</w:t>
      </w:r>
      <w:r w:rsidRPr="006C4563" w:rsidR="001038C4">
        <w:rPr>
          <w:lang w:eastAsia="fr-FR"/>
        </w:rPr>
        <w:t xml:space="preserve"> prohibit the strike were based on the finding </w:t>
      </w:r>
      <w:r w:rsidRPr="006C4563" w:rsidR="001038C4">
        <w:rPr>
          <w:lang w:val="en-GB" w:eastAsia="fr-FR"/>
        </w:rPr>
        <w:t xml:space="preserve">that the Annex was null and void because it had not been entered into by all the trade unions that had concluded the main Collective Agreement for the Health and Health Insurance Sector (see paragraphs </w:t>
      </w:r>
      <w:r w:rsidRPr="006C4563" w:rsidR="002730BD">
        <w:rPr>
          <w:lang w:val="en-GB" w:eastAsia="fr-FR"/>
        </w:rPr>
        <w:t>23</w:t>
      </w:r>
      <w:r w:rsidRPr="006C4563" w:rsidR="001038C4">
        <w:rPr>
          <w:lang w:val="en-GB" w:eastAsia="fr-FR"/>
        </w:rPr>
        <w:t xml:space="preserve"> and </w:t>
      </w:r>
      <w:r w:rsidRPr="006C4563" w:rsidR="002730BD">
        <w:rPr>
          <w:lang w:val="en-GB" w:eastAsia="fr-FR"/>
        </w:rPr>
        <w:t>27-29</w:t>
      </w:r>
      <w:r w:rsidRPr="006C4563" w:rsidR="001038C4">
        <w:rPr>
          <w:lang w:val="en-GB" w:eastAsia="fr-FR"/>
        </w:rPr>
        <w:t xml:space="preserve"> above). Their judgments aimed to uphold the principle of parity in collective bargaining enshrined in section 186(1) of the Labour Act (see paragraph </w:t>
      </w:r>
      <w:r w:rsidRPr="006C4563">
        <w:rPr>
          <w:lang w:val="en-GB" w:eastAsia="fr-FR"/>
        </w:rPr>
        <w:t>32</w:t>
      </w:r>
      <w:r w:rsidRPr="006C4563" w:rsidR="001038C4">
        <w:rPr>
          <w:lang w:val="en-GB" w:eastAsia="fr-FR"/>
        </w:rPr>
        <w:t xml:space="preserve"> above) and thus protect the rights of those trade unions. It follows that </w:t>
      </w:r>
      <w:r w:rsidRPr="006C4563" w:rsidR="001038C4">
        <w:rPr>
          <w:lang w:eastAsia="fr-FR"/>
        </w:rPr>
        <w:t>the interference with the applicant union</w:t>
      </w:r>
      <w:r w:rsidR="00A32E76">
        <w:rPr>
          <w:lang w:eastAsia="fr-FR"/>
        </w:rPr>
        <w:t>’</w:t>
      </w:r>
      <w:r w:rsidRPr="006C4563" w:rsidR="001038C4">
        <w:rPr>
          <w:lang w:eastAsia="fr-FR"/>
        </w:rPr>
        <w:t>s freedom of association in the present case pursued the legitimate aim of protecting the rights of others.</w:t>
      </w:r>
    </w:p>
    <w:p w:rsidR="00D00214" w:rsidP="00185705" w:rsidRDefault="00004923">
      <w:pPr>
        <w:pStyle w:val="ECHRPara"/>
        <w:rPr>
          <w:lang w:val="en-GB"/>
        </w:rPr>
      </w:pPr>
      <w:r w:rsidRPr="001668DC">
        <w:rPr>
          <w:lang w:val="en-GB"/>
        </w:rPr>
        <w:fldChar w:fldCharType="begin"/>
      </w:r>
      <w:r w:rsidRPr="00185705">
        <w:rPr>
          <w:lang w:val="en-GB" w:eastAsia="fr-FR"/>
        </w:rPr>
        <w:instrText xml:space="preserve"> SEQ level0 \*arabic </w:instrText>
      </w:r>
      <w:r w:rsidRPr="001668DC">
        <w:rPr>
          <w:lang w:val="en-GB" w:eastAsia="fr-FR"/>
        </w:rPr>
        <w:fldChar w:fldCharType="separate"/>
      </w:r>
      <w:r w:rsidR="00D802F9">
        <w:rPr>
          <w:noProof/>
          <w:lang w:val="en-GB" w:eastAsia="fr-FR"/>
        </w:rPr>
        <w:t>58</w:t>
      </w:r>
      <w:r w:rsidRPr="001668DC">
        <w:rPr>
          <w:lang w:val="en-GB"/>
        </w:rPr>
        <w:fldChar w:fldCharType="end"/>
      </w:r>
      <w:r w:rsidRPr="008A44F3">
        <w:rPr>
          <w:lang w:val="en-GB"/>
        </w:rPr>
        <w:t>.  </w:t>
      </w:r>
      <w:r w:rsidRPr="00A870AD">
        <w:rPr>
          <w:lang w:val="en-GB"/>
        </w:rPr>
        <w:t xml:space="preserve">As regards the proportionality, </w:t>
      </w:r>
      <w:r w:rsidRPr="00185705" w:rsidR="00BC0FA5">
        <w:rPr>
          <w:lang w:val="en-GB" w:eastAsia="fr-FR"/>
        </w:rPr>
        <w:t xml:space="preserve">the Court first notes that neither the Zagreb County Court nor the Supreme Court </w:t>
      </w:r>
      <w:r w:rsidRPr="00185705" w:rsidR="009A6110">
        <w:rPr>
          <w:lang w:val="en-GB" w:eastAsia="fr-FR"/>
        </w:rPr>
        <w:t>found</w:t>
      </w:r>
      <w:r w:rsidRPr="00760B60" w:rsidR="00BC0FA5">
        <w:rPr>
          <w:lang w:val="en-GB"/>
        </w:rPr>
        <w:t xml:space="preserve"> it necessary to </w:t>
      </w:r>
      <w:r w:rsidRPr="00185705" w:rsidR="009A6110">
        <w:rPr>
          <w:lang w:val="en-GB" w:eastAsia="fr-FR"/>
        </w:rPr>
        <w:t xml:space="preserve">examine whether the applicant union was allowed to strike to demand </w:t>
      </w:r>
      <w:r w:rsidRPr="00185705" w:rsidR="004C318A">
        <w:rPr>
          <w:lang w:val="en-GB" w:eastAsia="fr-FR"/>
        </w:rPr>
        <w:t xml:space="preserve">the </w:t>
      </w:r>
      <w:r w:rsidRPr="00185705" w:rsidR="009A6110">
        <w:rPr>
          <w:lang w:val="en-GB" w:eastAsia="fr-FR"/>
        </w:rPr>
        <w:t>conclusion of a (new) collective agreement for the medical and dentistry sector</w:t>
      </w:r>
      <w:r w:rsidRPr="00185705" w:rsidR="00FC1E48">
        <w:rPr>
          <w:lang w:val="en-GB" w:eastAsia="fr-FR"/>
        </w:rPr>
        <w:t>.</w:t>
      </w:r>
      <w:r w:rsidRPr="00185705" w:rsidR="00A01270">
        <w:rPr>
          <w:lang w:val="en-GB" w:eastAsia="fr-FR"/>
        </w:rPr>
        <w:t xml:space="preserve"> </w:t>
      </w:r>
      <w:r w:rsidRPr="00760B60" w:rsidR="00A01270">
        <w:rPr>
          <w:lang w:val="en-GB"/>
        </w:rPr>
        <w:t>The Supreme Court held so, even though in the civil proceedings for prohibition of the s</w:t>
      </w:r>
      <w:r w:rsidRPr="001668DC" w:rsidR="00A01270">
        <w:rPr>
          <w:lang w:val="en-GB"/>
        </w:rPr>
        <w:t xml:space="preserve">trike, where the validity of the Annex was a preliminary issue, that court had itself found the Annex null and void. </w:t>
      </w:r>
      <w:r w:rsidRPr="00185705" w:rsidR="00A01270">
        <w:rPr>
          <w:lang w:val="en-GB" w:eastAsia="fr-FR"/>
        </w:rPr>
        <w:t xml:space="preserve">In those circumstances it was of particular importance to address that third ground for the strike (see paragraph 14 above) because under the domestic law trade unions were allowed to strike in the absence of </w:t>
      </w:r>
      <w:r w:rsidR="001668DC">
        <w:rPr>
          <w:lang w:val="en-GB"/>
        </w:rPr>
        <w:t xml:space="preserve">a </w:t>
      </w:r>
      <w:r w:rsidRPr="00185705" w:rsidR="00A01270">
        <w:rPr>
          <w:lang w:val="en-GB" w:eastAsia="fr-FR"/>
        </w:rPr>
        <w:t xml:space="preserve">collective agreement (see paragraphs 32-33 above). Instead, the domestic courts </w:t>
      </w:r>
      <w:r w:rsidRPr="00185705" w:rsidR="009A6110">
        <w:rPr>
          <w:lang w:val="en-GB" w:eastAsia="fr-FR"/>
        </w:rPr>
        <w:t xml:space="preserve">considered that they were not required to </w:t>
      </w:r>
      <w:r w:rsidRPr="00760B60" w:rsidR="00A01270">
        <w:rPr>
          <w:lang w:val="en-GB"/>
        </w:rPr>
        <w:t>do so</w:t>
      </w:r>
      <w:r w:rsidRPr="001668DC" w:rsidR="00F03393">
        <w:rPr>
          <w:lang w:val="en-GB"/>
        </w:rPr>
        <w:t xml:space="preserve"> </w:t>
      </w:r>
      <w:r w:rsidRPr="00185705" w:rsidR="00BC0FA5">
        <w:rPr>
          <w:lang w:val="en-GB" w:eastAsia="fr-FR"/>
        </w:rPr>
        <w:t xml:space="preserve">because the </w:t>
      </w:r>
      <w:r w:rsidRPr="006C4563" w:rsidR="00BC0FA5">
        <w:rPr>
          <w:lang w:val="en-GB" w:eastAsia="en-GB"/>
        </w:rPr>
        <w:t>applicant union</w:t>
      </w:r>
      <w:r w:rsidR="00A32E76">
        <w:rPr>
          <w:lang w:val="en-GB" w:eastAsia="en-GB"/>
        </w:rPr>
        <w:t>’</w:t>
      </w:r>
      <w:r w:rsidRPr="006C4563" w:rsidR="00BC0FA5">
        <w:rPr>
          <w:lang w:val="en-GB" w:eastAsia="en-GB"/>
        </w:rPr>
        <w:t xml:space="preserve">s representative had allegedly stated during the proceedings that it had been listed as subsidiary in case in the meantime the Annex was declared invalid in the parallel civil proceedings for declaring it null and void. </w:t>
      </w:r>
      <w:r w:rsidRPr="00760B60" w:rsidR="00BC0FA5">
        <w:rPr>
          <w:lang w:val="en-GB"/>
        </w:rPr>
        <w:t>In the view of those courts, that condition had not been fulfilled at the time (see paragraphs 19 and 23 above).</w:t>
      </w:r>
    </w:p>
    <w:p w:rsidRPr="00185705" w:rsidR="00D00214" w:rsidP="00185705" w:rsidRDefault="004D25A7">
      <w:pPr>
        <w:pStyle w:val="ECHRPara"/>
        <w:rPr>
          <w:lang w:val="en-GB" w:eastAsia="fr-FR"/>
        </w:rPr>
      </w:pPr>
      <w:r w:rsidRPr="00185705">
        <w:rPr>
          <w:rFonts w:ascii="Times New Roman" w:hAnsi="Times New Roman" w:eastAsia="Times New Roman" w:cs="Times New Roman"/>
          <w:lang w:val="en-GB" w:eastAsia="fr-FR"/>
        </w:rPr>
        <w:fldChar w:fldCharType="begin"/>
      </w:r>
      <w:r w:rsidRPr="00185705">
        <w:rPr>
          <w:rFonts w:ascii="Times New Roman" w:hAnsi="Times New Roman" w:eastAsia="Times New Roman" w:cs="Times New Roman"/>
          <w:lang w:val="en-GB" w:eastAsia="fr-FR"/>
        </w:rPr>
        <w:instrText xml:space="preserve"> SEQ level0 \*arabic </w:instrText>
      </w:r>
      <w:r w:rsidRPr="00185705">
        <w:rPr>
          <w:rFonts w:ascii="Times New Roman" w:hAnsi="Times New Roman" w:eastAsia="Times New Roman" w:cs="Times New Roman"/>
          <w:lang w:val="en-GB" w:eastAsia="fr-FR"/>
        </w:rPr>
        <w:fldChar w:fldCharType="separate"/>
      </w:r>
      <w:r w:rsidR="00D802F9">
        <w:rPr>
          <w:rFonts w:ascii="Times New Roman" w:hAnsi="Times New Roman" w:eastAsia="Times New Roman" w:cs="Times New Roman"/>
          <w:noProof/>
          <w:lang w:val="en-GB" w:eastAsia="fr-FR"/>
        </w:rPr>
        <w:t>59</w:t>
      </w:r>
      <w:r w:rsidRPr="00185705">
        <w:rPr>
          <w:rFonts w:ascii="Times New Roman" w:hAnsi="Times New Roman" w:eastAsia="Times New Roman" w:cs="Times New Roman"/>
          <w:lang w:val="en-GB" w:eastAsia="fr-FR"/>
        </w:rPr>
        <w:fldChar w:fldCharType="end"/>
      </w:r>
      <w:r w:rsidRPr="00185705">
        <w:rPr>
          <w:rFonts w:ascii="Times New Roman" w:hAnsi="Times New Roman" w:eastAsia="Times New Roman" w:cs="Times New Roman"/>
          <w:lang w:val="en-GB" w:eastAsia="fr-FR"/>
        </w:rPr>
        <w:t>.  </w:t>
      </w:r>
      <w:r w:rsidRPr="00185705" w:rsidR="00D00214">
        <w:rPr>
          <w:lang w:eastAsia="fr-FR"/>
        </w:rPr>
        <w:t xml:space="preserve">The effect of that approach was that the applicant union was not entitled to hold a strike in the period between 11 April 2005, as the date of the intended strike, and 16 December 2008, as the date on which the judgment of the Zagreb Municipal Court declaring the Annex null and void in the parallel civil proceedings became final (see paragraph 28 above). </w:t>
      </w:r>
      <w:r w:rsidRPr="00185705" w:rsidR="00D00214">
        <w:rPr>
          <w:color w:val="000000"/>
          <w:lang w:eastAsia="fr-FR"/>
        </w:rPr>
        <w:t xml:space="preserve">In the absence of any exceptional circumstances, </w:t>
      </w:r>
      <w:r w:rsidRPr="00185705" w:rsidR="00D00214">
        <w:rPr>
          <w:lang w:eastAsia="fr-FR"/>
        </w:rPr>
        <w:t>the Court finds it difficult to accept that upholding the principle of parity in collective bargaining is a legitimate aim (see paragraph 57 above) capable to justify depriving a trade union for three years and eight months of the most powerful instrument to protect occupational interests of its members. That is especially so in the present case where the applicant union was in that period not allowed to strike to pressure the Government of Croatia to grant doctors and dentists the same level of employment-related rights the Government had already agreed upon in the Annex, which had been invalidated on formal grounds only.</w:t>
      </w:r>
      <w:r w:rsidRPr="00185705" w:rsidR="00D00214">
        <w:rPr>
          <w:color w:val="000000"/>
          <w:lang w:eastAsia="fr-FR"/>
        </w:rPr>
        <w:t xml:space="preserve"> </w:t>
      </w:r>
      <w:r w:rsidRPr="00185705" w:rsidR="00D00214">
        <w:rPr>
          <w:lang w:eastAsia="fr-FR"/>
        </w:rPr>
        <w:t>It follows that the interference in question cannot be regarded as proportionate to the legitimate aim it sought to achieve. This conclusion is not called into question by the Government</w:t>
      </w:r>
      <w:r w:rsidR="00A32E76">
        <w:t>’</w:t>
      </w:r>
      <w:r w:rsidRPr="00185705" w:rsidR="00D00214">
        <w:rPr>
          <w:lang w:eastAsia="fr-FR"/>
        </w:rPr>
        <w:t>s argument (see paragraph 53 above) that the domestic authorities unilaterally increased by 10% salaries of doctors and dentists in 2005. That is so because the Annex provided for progressive increase of their salaries by 10% every year in the period between January 2005 and January 2010 (see clause 57 of the Annex in paragraph 37 above).</w:t>
      </w:r>
    </w:p>
    <w:p w:rsidRPr="00D00214" w:rsidR="00EA5BBB" w:rsidP="00D00214" w:rsidRDefault="00536970">
      <w:pPr>
        <w:ind w:firstLine="284"/>
        <w:rPr>
          <w:lang w:val="en-GB"/>
        </w:rPr>
      </w:pPr>
      <w:r w:rsidRPr="00A870AD">
        <w:rPr>
          <w:lang w:val="en-GB"/>
        </w:rPr>
        <w:fldChar w:fldCharType="begin"/>
      </w:r>
      <w:r w:rsidRPr="00D00214">
        <w:rPr>
          <w:lang w:val="en-GB"/>
        </w:rPr>
        <w:instrText xml:space="preserve"> SEQ level0 \*arabic </w:instrText>
      </w:r>
      <w:r w:rsidRPr="00A870AD">
        <w:rPr>
          <w:lang w:val="en-GB"/>
        </w:rPr>
        <w:fldChar w:fldCharType="separate"/>
      </w:r>
      <w:r w:rsidR="00D802F9">
        <w:rPr>
          <w:noProof/>
          <w:lang w:val="en-GB"/>
        </w:rPr>
        <w:t>60</w:t>
      </w:r>
      <w:r w:rsidRPr="00A870AD">
        <w:rPr>
          <w:lang w:val="en-GB"/>
        </w:rPr>
        <w:fldChar w:fldCharType="end"/>
      </w:r>
      <w:r w:rsidRPr="00D00214">
        <w:rPr>
          <w:lang w:val="en-GB"/>
        </w:rPr>
        <w:t>.  </w:t>
      </w:r>
      <w:r w:rsidRPr="00D00214" w:rsidR="00562FBF">
        <w:rPr>
          <w:lang w:val="en-GB"/>
        </w:rPr>
        <w:t>The foregoing considerations are sufficient to enable the Court to find that t</w:t>
      </w:r>
      <w:r w:rsidRPr="00D00214" w:rsidR="00A7038C">
        <w:rPr>
          <w:lang w:val="en-GB"/>
        </w:rPr>
        <w:t xml:space="preserve">here has been a violation of Article </w:t>
      </w:r>
      <w:r w:rsidRPr="00D00214" w:rsidR="00EA5BBB">
        <w:rPr>
          <w:lang w:val="en-GB"/>
        </w:rPr>
        <w:t>11</w:t>
      </w:r>
      <w:r w:rsidRPr="00D00214" w:rsidR="00A7038C">
        <w:rPr>
          <w:lang w:val="en-GB"/>
        </w:rPr>
        <w:t xml:space="preserve"> </w:t>
      </w:r>
      <w:r w:rsidRPr="00D00214" w:rsidR="00EA5BBB">
        <w:rPr>
          <w:lang w:val="en-GB"/>
        </w:rPr>
        <w:t>of</w:t>
      </w:r>
      <w:r w:rsidRPr="00D00214" w:rsidR="007B2DD6">
        <w:rPr>
          <w:lang w:val="en-GB"/>
        </w:rPr>
        <w:t xml:space="preserve"> the Convention</w:t>
      </w:r>
      <w:r w:rsidRPr="00D00214" w:rsidR="00562FBF">
        <w:rPr>
          <w:lang w:val="en-GB"/>
        </w:rPr>
        <w:t xml:space="preserve"> in the present case</w:t>
      </w:r>
      <w:r w:rsidRPr="00D00214" w:rsidR="007B2DD6">
        <w:rPr>
          <w:lang w:val="en-GB"/>
        </w:rPr>
        <w:t>.</w:t>
      </w:r>
    </w:p>
    <w:p w:rsidR="007978D0" w:rsidP="007978D0" w:rsidRDefault="007978D0">
      <w:pPr>
        <w:pStyle w:val="ECHRPara"/>
        <w:rPr>
          <w:lang w:val="en-GB"/>
        </w:rPr>
      </w:pPr>
      <w:r w:rsidRPr="00A870AD">
        <w:rPr>
          <w:lang w:val="en-GB"/>
        </w:rPr>
        <w:fldChar w:fldCharType="begin"/>
      </w:r>
      <w:r w:rsidRPr="00D00214">
        <w:rPr>
          <w:lang w:val="en-GB"/>
        </w:rPr>
        <w:instrText xml:space="preserve"> SEQ level0 \*arabic </w:instrText>
      </w:r>
      <w:r w:rsidRPr="00A870AD">
        <w:rPr>
          <w:lang w:val="en-GB"/>
        </w:rPr>
        <w:fldChar w:fldCharType="separate"/>
      </w:r>
      <w:r w:rsidR="00D802F9">
        <w:rPr>
          <w:noProof/>
          <w:lang w:val="en-GB"/>
        </w:rPr>
        <w:t>61</w:t>
      </w:r>
      <w:r w:rsidRPr="00A870AD">
        <w:rPr>
          <w:lang w:val="en-GB"/>
        </w:rPr>
        <w:fldChar w:fldCharType="end"/>
      </w:r>
      <w:r w:rsidRPr="00D00214">
        <w:rPr>
          <w:lang w:val="en-GB"/>
        </w:rPr>
        <w:t>.  In view of this conclusion</w:t>
      </w:r>
      <w:r w:rsidRPr="00D00214" w:rsidR="006C4563">
        <w:rPr>
          <w:lang w:val="en-GB"/>
        </w:rPr>
        <w:t>,</w:t>
      </w:r>
      <w:r w:rsidRPr="00D00214">
        <w:rPr>
          <w:lang w:val="en-GB"/>
        </w:rPr>
        <w:t xml:space="preserve"> the Government</w:t>
      </w:r>
      <w:r w:rsidR="00A32E76">
        <w:rPr>
          <w:lang w:val="en-GB"/>
        </w:rPr>
        <w:t>’</w:t>
      </w:r>
      <w:r w:rsidR="00D802F9">
        <w:rPr>
          <w:lang w:val="en-GB"/>
        </w:rPr>
        <w:t>s</w:t>
      </w:r>
      <w:r w:rsidRPr="00D00214">
        <w:rPr>
          <w:lang w:val="en-GB"/>
        </w:rPr>
        <w:t xml:space="preserve"> inadmissibility objection</w:t>
      </w:r>
      <w:r w:rsidRPr="00D00214" w:rsidR="006C4563">
        <w:rPr>
          <w:lang w:val="en-GB"/>
        </w:rPr>
        <w:t xml:space="preserve"> as to</w:t>
      </w:r>
      <w:r w:rsidRPr="00D00214" w:rsidR="00C00F3C">
        <w:rPr>
          <w:lang w:val="en-GB"/>
        </w:rPr>
        <w:t xml:space="preserve"> the lack of </w:t>
      </w:r>
      <w:r w:rsidRPr="00D00214" w:rsidR="00C00F3C">
        <w:rPr>
          <w:i/>
          <w:lang w:val="en-GB"/>
        </w:rPr>
        <w:t>locus standi</w:t>
      </w:r>
      <w:r w:rsidR="00A870AD">
        <w:rPr>
          <w:lang w:val="en-GB"/>
        </w:rPr>
        <w:t xml:space="preserve"> (see paragraph 45 above),</w:t>
      </w:r>
      <w:r w:rsidRPr="00D00214" w:rsidR="00071C8E">
        <w:rPr>
          <w:lang w:val="en-GB"/>
        </w:rPr>
        <w:t xml:space="preserve"> </w:t>
      </w:r>
      <w:r w:rsidRPr="00D00214">
        <w:rPr>
          <w:lang w:val="en-GB"/>
        </w:rPr>
        <w:t>must be dismissed.</w:t>
      </w:r>
    </w:p>
    <w:p w:rsidRPr="002A60F3" w:rsidR="00F71A6A" w:rsidRDefault="0028418C">
      <w:pPr>
        <w:pStyle w:val="ECHRHeading1"/>
        <w:rPr>
          <w:lang w:val="en-GB"/>
        </w:rPr>
      </w:pPr>
      <w:r w:rsidRPr="002A60F3">
        <w:rPr>
          <w:lang w:val="en-GB"/>
        </w:rPr>
        <w:t>II</w:t>
      </w:r>
      <w:r w:rsidRPr="002A60F3" w:rsidR="00F71A6A">
        <w:rPr>
          <w:lang w:val="en-GB"/>
        </w:rPr>
        <w:t>.  APPLICATION OF ARTICLE 41 OF THE CONVENTION</w:t>
      </w:r>
    </w:p>
    <w:p w:rsidRPr="002A60F3" w:rsidR="00F71A6A" w:rsidP="002F4BCF" w:rsidRDefault="00EA5BBB">
      <w:pPr>
        <w:pStyle w:val="ECHRPara"/>
        <w:keepNext/>
        <w:keepLines/>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62</w:t>
      </w:r>
      <w:r>
        <w:rPr>
          <w:lang w:val="en-GB"/>
        </w:rPr>
        <w:fldChar w:fldCharType="end"/>
      </w:r>
      <w:r>
        <w:rPr>
          <w:lang w:val="en-GB"/>
        </w:rPr>
        <w:t>.  </w:t>
      </w:r>
      <w:r w:rsidRPr="002A60F3" w:rsidR="00F71A6A">
        <w:rPr>
          <w:lang w:val="en-GB"/>
        </w:rPr>
        <w:t>Article 41 of the Convention provides:</w:t>
      </w:r>
    </w:p>
    <w:p w:rsidRPr="002A60F3" w:rsidR="00F71A6A" w:rsidRDefault="00F71A6A">
      <w:pPr>
        <w:pStyle w:val="ECHRParaQuote"/>
        <w:keepNext/>
        <w:keepLines/>
        <w:rPr>
          <w:lang w:val="en-GB"/>
        </w:rPr>
      </w:pPr>
      <w:r w:rsidRPr="002A60F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A60F3" w:rsidR="00F71A6A" w:rsidP="008824B9" w:rsidRDefault="00F71A6A">
      <w:pPr>
        <w:pStyle w:val="ECHRHeading2"/>
        <w:keepLines w:val="0"/>
        <w:outlineLvl w:val="0"/>
        <w:rPr>
          <w:lang w:val="en-GB"/>
        </w:rPr>
      </w:pPr>
      <w:r w:rsidRPr="002A60F3">
        <w:rPr>
          <w:lang w:val="en-GB"/>
        </w:rPr>
        <w:t>A.  Damage</w:t>
      </w:r>
    </w:p>
    <w:p w:rsidRPr="002A60F3" w:rsidR="00F71A6A"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63</w:t>
      </w:r>
      <w:r w:rsidRPr="002A60F3">
        <w:rPr>
          <w:lang w:val="en-GB"/>
        </w:rPr>
        <w:fldChar w:fldCharType="end"/>
      </w:r>
      <w:r w:rsidRPr="002A60F3" w:rsidR="00F71A6A">
        <w:rPr>
          <w:lang w:val="en-GB"/>
        </w:rPr>
        <w:t xml:space="preserve">.  The </w:t>
      </w:r>
      <w:r w:rsidRPr="002A60F3" w:rsidR="0005522C">
        <w:rPr>
          <w:lang w:val="en-GB"/>
        </w:rPr>
        <w:t>applicant</w:t>
      </w:r>
      <w:r w:rsidRPr="002A60F3" w:rsidR="00583F0E">
        <w:rPr>
          <w:lang w:val="en-GB"/>
        </w:rPr>
        <w:t xml:space="preserve"> union</w:t>
      </w:r>
      <w:r w:rsidRPr="002A60F3" w:rsidR="00F71A6A">
        <w:rPr>
          <w:lang w:val="en-GB"/>
        </w:rPr>
        <w:t xml:space="preserve"> claimed </w:t>
      </w:r>
      <w:r w:rsidRPr="002A60F3" w:rsidR="00583F0E">
        <w:rPr>
          <w:lang w:val="en-GB"/>
        </w:rPr>
        <w:t>100,000</w:t>
      </w:r>
      <w:r w:rsidR="00C81BE2">
        <w:rPr>
          <w:lang w:val="en-GB"/>
        </w:rPr>
        <w:t xml:space="preserve"> euros (EUR) in respect non</w:t>
      </w:r>
      <w:r w:rsidR="00C81BE2">
        <w:rPr>
          <w:lang w:val="en-GB"/>
        </w:rPr>
        <w:noBreakHyphen/>
      </w:r>
      <w:r w:rsidRPr="002A60F3" w:rsidR="00F71A6A">
        <w:rPr>
          <w:lang w:val="en-GB"/>
        </w:rPr>
        <w:t>pecuniary damage.</w:t>
      </w:r>
    </w:p>
    <w:p w:rsidRPr="002A60F3" w:rsidR="00F71A6A"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64</w:t>
      </w:r>
      <w:r w:rsidRPr="002A60F3">
        <w:rPr>
          <w:lang w:val="en-GB"/>
        </w:rPr>
        <w:fldChar w:fldCharType="end"/>
      </w:r>
      <w:r w:rsidRPr="002A60F3" w:rsidR="00F71A6A">
        <w:rPr>
          <w:lang w:val="en-GB"/>
        </w:rPr>
        <w:t xml:space="preserve">.  The Government </w:t>
      </w:r>
      <w:r w:rsidRPr="002A60F3" w:rsidR="00583F0E">
        <w:rPr>
          <w:lang w:val="en-GB"/>
        </w:rPr>
        <w:t>contested that claim.</w:t>
      </w:r>
    </w:p>
    <w:p w:rsidRPr="00FE5430" w:rsidR="00F71A6A" w:rsidP="00583F0E" w:rsidRDefault="00F320D1">
      <w:pPr>
        <w:pStyle w:val="ECHRPara"/>
        <w:rPr>
          <w:i/>
          <w:szCs w:val="24"/>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65</w:t>
      </w:r>
      <w:r w:rsidRPr="002A60F3">
        <w:rPr>
          <w:lang w:val="en-GB"/>
        </w:rPr>
        <w:fldChar w:fldCharType="end"/>
      </w:r>
      <w:r w:rsidRPr="002A60F3" w:rsidR="00583F0E">
        <w:rPr>
          <w:lang w:val="en-GB"/>
        </w:rPr>
        <w:t>.  </w:t>
      </w:r>
      <w:r w:rsidRPr="00FE5430" w:rsidR="00FE5430">
        <w:t xml:space="preserve">The Court considers that a finding of a violation of Article </w:t>
      </w:r>
      <w:r w:rsidR="00FE5430">
        <w:t>11</w:t>
      </w:r>
      <w:r w:rsidRPr="00FE5430" w:rsidR="00FE5430">
        <w:t xml:space="preserve"> of the Convention constitutes in itself sufficient just satisfaction in the circumstances for any non-pecuniary damage the applicant </w:t>
      </w:r>
      <w:r w:rsidR="00FE5430">
        <w:t xml:space="preserve">union </w:t>
      </w:r>
      <w:r w:rsidRPr="00FE5430" w:rsidR="00FE5430">
        <w:t>might have sustained.</w:t>
      </w:r>
    </w:p>
    <w:p w:rsidRPr="002A60F3" w:rsidR="00F71A6A" w:rsidP="008824B9" w:rsidRDefault="00F71A6A">
      <w:pPr>
        <w:pStyle w:val="ECHRHeading2"/>
        <w:outlineLvl w:val="0"/>
        <w:rPr>
          <w:lang w:val="en-GB"/>
        </w:rPr>
      </w:pPr>
      <w:r w:rsidRPr="002A60F3">
        <w:rPr>
          <w:lang w:val="en-GB"/>
        </w:rPr>
        <w:t>B.  Costs and expenses</w:t>
      </w:r>
    </w:p>
    <w:p w:rsidRPr="002A60F3" w:rsidR="00F71A6A"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66</w:t>
      </w:r>
      <w:r w:rsidRPr="002A60F3">
        <w:rPr>
          <w:lang w:val="en-GB"/>
        </w:rPr>
        <w:fldChar w:fldCharType="end"/>
      </w:r>
      <w:r w:rsidRPr="002A60F3" w:rsidR="00F71A6A">
        <w:rPr>
          <w:lang w:val="en-GB"/>
        </w:rPr>
        <w:t xml:space="preserve">.  The </w:t>
      </w:r>
      <w:r w:rsidRPr="002A60F3" w:rsidR="0005522C">
        <w:rPr>
          <w:lang w:val="en-GB"/>
        </w:rPr>
        <w:t>applicant</w:t>
      </w:r>
      <w:r w:rsidRPr="002A60F3" w:rsidR="00F71A6A">
        <w:rPr>
          <w:lang w:val="en-GB"/>
        </w:rPr>
        <w:t xml:space="preserve"> </w:t>
      </w:r>
      <w:r w:rsidRPr="002A60F3" w:rsidR="004F36EF">
        <w:rPr>
          <w:lang w:val="en-GB"/>
        </w:rPr>
        <w:t xml:space="preserve">union </w:t>
      </w:r>
      <w:r w:rsidRPr="002A60F3" w:rsidR="00F71A6A">
        <w:rPr>
          <w:lang w:val="en-GB"/>
        </w:rPr>
        <w:t>also claimed</w:t>
      </w:r>
      <w:r w:rsidRPr="002A60F3" w:rsidR="00721016">
        <w:rPr>
          <w:lang w:val="en-GB"/>
        </w:rPr>
        <w:t xml:space="preserve"> a total of</w:t>
      </w:r>
      <w:r w:rsidRPr="002A60F3" w:rsidR="00F71A6A">
        <w:rPr>
          <w:lang w:val="en-GB"/>
        </w:rPr>
        <w:t xml:space="preserve"> EUR </w:t>
      </w:r>
      <w:r w:rsidRPr="002A60F3" w:rsidR="00721016">
        <w:rPr>
          <w:lang w:val="en-GB"/>
        </w:rPr>
        <w:t>10,000</w:t>
      </w:r>
      <w:r w:rsidRPr="002A60F3" w:rsidR="00F71A6A">
        <w:rPr>
          <w:lang w:val="en-GB"/>
        </w:rPr>
        <w:t xml:space="preserve"> for the costs and expenses incurred before the domestic courts and for those incurred before the Court.</w:t>
      </w:r>
    </w:p>
    <w:p w:rsidRPr="002A60F3" w:rsidR="00F71A6A" w:rsidP="002F4BCF" w:rsidRDefault="00F320D1">
      <w:pPr>
        <w:pStyle w:val="ECHRPara"/>
        <w:rPr>
          <w:lang w:val="en-GB"/>
        </w:rPr>
      </w:pPr>
      <w:r w:rsidRPr="002A60F3">
        <w:rPr>
          <w:lang w:val="en-GB"/>
        </w:rPr>
        <w:fldChar w:fldCharType="begin"/>
      </w:r>
      <w:r w:rsidRPr="002A60F3">
        <w:rPr>
          <w:lang w:val="en-GB"/>
        </w:rPr>
        <w:instrText xml:space="preserve"> SEQ level0 \*arabic </w:instrText>
      </w:r>
      <w:r w:rsidRPr="002A60F3">
        <w:rPr>
          <w:lang w:val="en-GB"/>
        </w:rPr>
        <w:fldChar w:fldCharType="separate"/>
      </w:r>
      <w:r w:rsidR="00D802F9">
        <w:rPr>
          <w:noProof/>
          <w:lang w:val="en-GB"/>
        </w:rPr>
        <w:t>67</w:t>
      </w:r>
      <w:r w:rsidRPr="002A60F3">
        <w:rPr>
          <w:lang w:val="en-GB"/>
        </w:rPr>
        <w:fldChar w:fldCharType="end"/>
      </w:r>
      <w:r w:rsidRPr="002A60F3" w:rsidR="00F71A6A">
        <w:rPr>
          <w:lang w:val="en-GB"/>
        </w:rPr>
        <w:t xml:space="preserve">.  The Government </w:t>
      </w:r>
      <w:r w:rsidRPr="002A60F3" w:rsidR="00721016">
        <w:rPr>
          <w:lang w:val="en-GB"/>
        </w:rPr>
        <w:t>contested that claim.</w:t>
      </w:r>
    </w:p>
    <w:p w:rsidRPr="002A60F3" w:rsidR="00F71A6A" w:rsidP="002F4BCF" w:rsidRDefault="00F320D1">
      <w:pPr>
        <w:pStyle w:val="ECHRPara"/>
        <w:rPr>
          <w:lang w:val="en-GB"/>
        </w:rPr>
      </w:pPr>
      <w:r w:rsidRPr="006752CE">
        <w:rPr>
          <w:lang w:val="en-GB"/>
        </w:rPr>
        <w:fldChar w:fldCharType="begin"/>
      </w:r>
      <w:r w:rsidRPr="006752CE">
        <w:rPr>
          <w:lang w:val="en-GB"/>
        </w:rPr>
        <w:instrText xml:space="preserve"> SEQ level0 \*arabic </w:instrText>
      </w:r>
      <w:r w:rsidRPr="006752CE">
        <w:rPr>
          <w:lang w:val="en-GB"/>
        </w:rPr>
        <w:fldChar w:fldCharType="separate"/>
      </w:r>
      <w:r w:rsidR="00D802F9">
        <w:rPr>
          <w:noProof/>
          <w:lang w:val="en-GB"/>
        </w:rPr>
        <w:t>68</w:t>
      </w:r>
      <w:r w:rsidRPr="006752CE">
        <w:rPr>
          <w:lang w:val="en-GB"/>
        </w:rPr>
        <w:fldChar w:fldCharType="end"/>
      </w:r>
      <w:r w:rsidRPr="006752CE" w:rsidR="00F71A6A">
        <w:rPr>
          <w:lang w:val="en-GB"/>
        </w:rPr>
        <w:t>.  </w:t>
      </w:r>
      <w:r w:rsidRPr="006752CE">
        <w:rPr>
          <w:lang w:val="en-GB"/>
        </w:rPr>
        <w:t>According to the Court</w:t>
      </w:r>
      <w:r w:rsidR="00A32E76">
        <w:rPr>
          <w:lang w:val="en-GB"/>
        </w:rPr>
        <w:t>’</w:t>
      </w:r>
      <w:r w:rsidRPr="006752CE">
        <w:rPr>
          <w:lang w:val="en-GB"/>
        </w:rPr>
        <w:t>s case-law, an applicant is entitled to the reimbursement of costs and expenses only in so far as it has been shown that these have been actually and necessarily incurred and are reasonable as to quantum. In the present case, regard</w:t>
      </w:r>
      <w:r w:rsidRPr="006752CE" w:rsidR="00F73D18">
        <w:rPr>
          <w:lang w:val="en-GB"/>
        </w:rPr>
        <w:t xml:space="preserve"> </w:t>
      </w:r>
      <w:r w:rsidRPr="006752CE" w:rsidR="005F7A10">
        <w:rPr>
          <w:lang w:val="en-GB"/>
        </w:rPr>
        <w:t xml:space="preserve">being had to the documents in its possession and </w:t>
      </w:r>
      <w:r w:rsidRPr="006752CE">
        <w:rPr>
          <w:lang w:val="en-GB"/>
        </w:rPr>
        <w:t>the above criteria</w:t>
      </w:r>
      <w:r w:rsidRPr="006752CE" w:rsidR="00F73D18">
        <w:rPr>
          <w:lang w:val="en-GB"/>
        </w:rPr>
        <w:t xml:space="preserve">, </w:t>
      </w:r>
      <w:r w:rsidRPr="006752CE" w:rsidR="00F71A6A">
        <w:rPr>
          <w:lang w:val="en-GB"/>
        </w:rPr>
        <w:t xml:space="preserve">the Court considers it reasonable to award the sum of EUR </w:t>
      </w:r>
      <w:r w:rsidRPr="006752CE" w:rsidR="0025353E">
        <w:rPr>
          <w:lang w:val="en-GB"/>
        </w:rPr>
        <w:t>3,</w:t>
      </w:r>
      <w:r w:rsidRPr="006752CE" w:rsidR="0029387C">
        <w:rPr>
          <w:lang w:val="en-GB"/>
        </w:rPr>
        <w:t>250</w:t>
      </w:r>
      <w:r w:rsidRPr="006752CE" w:rsidR="00D06A8D">
        <w:rPr>
          <w:lang w:val="en-GB"/>
        </w:rPr>
        <w:t>,</w:t>
      </w:r>
      <w:r w:rsidRPr="006752CE" w:rsidR="00F71A6A">
        <w:rPr>
          <w:lang w:val="en-GB"/>
        </w:rPr>
        <w:t xml:space="preserve"> covering costs under all heads</w:t>
      </w:r>
      <w:r w:rsidRPr="006752CE" w:rsidR="004F3825">
        <w:rPr>
          <w:lang w:val="en-GB"/>
        </w:rPr>
        <w:t>, plus any tax that may be chargeable to the applicant union.</w:t>
      </w:r>
    </w:p>
    <w:p w:rsidRPr="002A60F3" w:rsidR="00F71A6A" w:rsidP="008824B9" w:rsidRDefault="00F71A6A">
      <w:pPr>
        <w:pStyle w:val="ECHRHeading2"/>
        <w:outlineLvl w:val="0"/>
        <w:rPr>
          <w:lang w:val="en-GB"/>
        </w:rPr>
      </w:pPr>
      <w:r w:rsidRPr="002A60F3">
        <w:rPr>
          <w:lang w:val="en-GB"/>
        </w:rPr>
        <w:t>C.  Default interest</w:t>
      </w:r>
    </w:p>
    <w:p w:rsidRPr="002A60F3" w:rsidR="00F71A6A" w:rsidP="00151CCA" w:rsidRDefault="00AA5D8E">
      <w:pPr>
        <w:pStyle w:val="ECHRPara"/>
        <w:rPr>
          <w:lang w:val="en-GB"/>
        </w:rPr>
      </w:pPr>
      <w:r>
        <w:rPr>
          <w:lang w:val="en-GB"/>
        </w:rPr>
        <w:fldChar w:fldCharType="begin"/>
      </w:r>
      <w:r>
        <w:rPr>
          <w:lang w:val="en-GB"/>
        </w:rPr>
        <w:instrText xml:space="preserve"> SEQ level0 \*arabic </w:instrText>
      </w:r>
      <w:r>
        <w:rPr>
          <w:lang w:val="en-GB"/>
        </w:rPr>
        <w:fldChar w:fldCharType="separate"/>
      </w:r>
      <w:r w:rsidR="00D802F9">
        <w:rPr>
          <w:noProof/>
          <w:lang w:val="en-GB"/>
        </w:rPr>
        <w:t>69</w:t>
      </w:r>
      <w:r>
        <w:rPr>
          <w:lang w:val="en-GB"/>
        </w:rPr>
        <w:fldChar w:fldCharType="end"/>
      </w:r>
      <w:r>
        <w:rPr>
          <w:lang w:val="en-GB"/>
        </w:rPr>
        <w:t>.  </w:t>
      </w:r>
      <w:r w:rsidRPr="002A60F3" w:rsidR="00F71A6A">
        <w:rPr>
          <w:lang w:val="en-GB"/>
        </w:rPr>
        <w:t xml:space="preserve">The Court considers it appropriate that the default interest </w:t>
      </w:r>
      <w:r w:rsidRPr="002A60F3" w:rsidR="0034580F">
        <w:rPr>
          <w:lang w:val="en-GB"/>
        </w:rPr>
        <w:t xml:space="preserve">rate </w:t>
      </w:r>
      <w:r w:rsidRPr="002A60F3" w:rsidR="00F71A6A">
        <w:rPr>
          <w:lang w:val="en-GB"/>
        </w:rPr>
        <w:t>should be based on the marginal lending rate of the European Central Bank, to which should be added three percentage points.</w:t>
      </w:r>
    </w:p>
    <w:p w:rsidRPr="002A60F3" w:rsidR="00F71A6A" w:rsidP="008824B9" w:rsidRDefault="00451956">
      <w:pPr>
        <w:pStyle w:val="ECHRTitle1"/>
        <w:rPr>
          <w:lang w:val="en-GB"/>
        </w:rPr>
      </w:pPr>
      <w:r>
        <w:rPr>
          <w:lang w:val="en-GB"/>
        </w:rPr>
        <w:t>FOR THESE REASONS, THE COUR</w:t>
      </w:r>
      <w:r w:rsidR="009F4971">
        <w:rPr>
          <w:lang w:val="en-GB"/>
        </w:rPr>
        <w:t>T</w:t>
      </w:r>
      <w:r>
        <w:rPr>
          <w:lang w:val="en-GB"/>
        </w:rPr>
        <w:t>, UNANIMOUSLY,</w:t>
      </w:r>
    </w:p>
    <w:p w:rsidRPr="006752CE" w:rsidR="00B92DCA" w:rsidP="00583F0E" w:rsidRDefault="00F71A6A">
      <w:pPr>
        <w:pStyle w:val="JuList"/>
        <w:rPr>
          <w:lang w:val="en-US"/>
        </w:rPr>
      </w:pPr>
      <w:r w:rsidRPr="006752CE">
        <w:rPr>
          <w:lang w:val="en-GB"/>
        </w:rPr>
        <w:t>1.  </w:t>
      </w:r>
      <w:r w:rsidRPr="006752CE" w:rsidR="00B92DCA">
        <w:rPr>
          <w:i/>
          <w:lang w:val="en-US"/>
        </w:rPr>
        <w:t>Joins to the merits</w:t>
      </w:r>
      <w:r w:rsidRPr="006752CE" w:rsidR="00B92DCA">
        <w:rPr>
          <w:lang w:val="en-US"/>
        </w:rPr>
        <w:t xml:space="preserve"> the Government</w:t>
      </w:r>
      <w:r w:rsidR="00A32E76">
        <w:rPr>
          <w:lang w:val="en-US"/>
        </w:rPr>
        <w:t>’</w:t>
      </w:r>
      <w:r w:rsidRPr="006752CE" w:rsidR="00B92DCA">
        <w:rPr>
          <w:lang w:val="en-US"/>
        </w:rPr>
        <w:t xml:space="preserve">s objection as to the lack of </w:t>
      </w:r>
      <w:r w:rsidRPr="006752CE" w:rsidR="00B92DCA">
        <w:rPr>
          <w:i/>
          <w:lang w:val="en-US"/>
        </w:rPr>
        <w:t>locus standi</w:t>
      </w:r>
      <w:r w:rsidRPr="006752CE" w:rsidR="00B92DCA">
        <w:rPr>
          <w:lang w:val="en-US"/>
        </w:rPr>
        <w:t xml:space="preserve"> and </w:t>
      </w:r>
      <w:r w:rsidRPr="00596B16" w:rsidR="00B92DCA">
        <w:rPr>
          <w:i/>
          <w:lang w:val="en-US"/>
        </w:rPr>
        <w:t>rejects</w:t>
      </w:r>
      <w:r w:rsidRPr="006752CE" w:rsidR="00B92DCA">
        <w:rPr>
          <w:lang w:val="en-US"/>
        </w:rPr>
        <w:t xml:space="preserve"> it;</w:t>
      </w:r>
    </w:p>
    <w:p w:rsidRPr="006752CE" w:rsidR="00B92DCA" w:rsidP="00583F0E" w:rsidRDefault="00B92DCA">
      <w:pPr>
        <w:pStyle w:val="JuList"/>
        <w:rPr>
          <w:i/>
          <w:lang w:val="en-GB"/>
        </w:rPr>
      </w:pPr>
    </w:p>
    <w:p w:rsidRPr="006752CE" w:rsidR="00F71A6A" w:rsidP="00583F0E" w:rsidRDefault="00B92DCA">
      <w:pPr>
        <w:pStyle w:val="JuList"/>
        <w:rPr>
          <w:lang w:val="en-GB"/>
        </w:rPr>
      </w:pPr>
      <w:r w:rsidRPr="006752CE">
        <w:rPr>
          <w:lang w:val="en-GB"/>
        </w:rPr>
        <w:t>2.  </w:t>
      </w:r>
      <w:r w:rsidRPr="006752CE" w:rsidR="00F71A6A">
        <w:rPr>
          <w:i/>
          <w:lang w:val="en-GB"/>
        </w:rPr>
        <w:t>Declares</w:t>
      </w:r>
      <w:r w:rsidRPr="006752CE" w:rsidR="00F320D1">
        <w:rPr>
          <w:lang w:val="en-GB"/>
        </w:rPr>
        <w:t xml:space="preserve"> </w:t>
      </w:r>
      <w:r w:rsidRPr="006752CE" w:rsidR="00F71A6A">
        <w:rPr>
          <w:lang w:val="en-GB"/>
        </w:rPr>
        <w:t xml:space="preserve">the </w:t>
      </w:r>
      <w:r w:rsidRPr="006752CE" w:rsidR="00F320D1">
        <w:rPr>
          <w:lang w:val="en-GB"/>
        </w:rPr>
        <w:t>application</w:t>
      </w:r>
      <w:r w:rsidRPr="006752CE" w:rsidR="00F71A6A">
        <w:rPr>
          <w:lang w:val="en-GB"/>
        </w:rPr>
        <w:t xml:space="preserve"> admissible;</w:t>
      </w:r>
    </w:p>
    <w:p w:rsidRPr="006752CE" w:rsidR="00F71A6A" w:rsidP="009E0555" w:rsidRDefault="00F71A6A">
      <w:pPr>
        <w:pStyle w:val="JuList"/>
        <w:ind w:left="0" w:firstLine="0"/>
        <w:rPr>
          <w:lang w:val="en-GB"/>
        </w:rPr>
      </w:pPr>
    </w:p>
    <w:p w:rsidR="000C06DE" w:rsidP="009F07CC" w:rsidRDefault="00B92DCA">
      <w:pPr>
        <w:pStyle w:val="JuList"/>
        <w:rPr>
          <w:lang w:val="en-GB"/>
        </w:rPr>
      </w:pPr>
      <w:r w:rsidRPr="006752CE">
        <w:rPr>
          <w:lang w:val="en-GB"/>
        </w:rPr>
        <w:t>3</w:t>
      </w:r>
      <w:r w:rsidRPr="006752CE" w:rsidR="009F07CC">
        <w:rPr>
          <w:lang w:val="en-GB"/>
        </w:rPr>
        <w:t>.</w:t>
      </w:r>
      <w:r w:rsidRPr="006752CE" w:rsidR="00F71A6A">
        <w:rPr>
          <w:lang w:val="en-GB"/>
        </w:rPr>
        <w:t>  </w:t>
      </w:r>
      <w:r w:rsidRPr="006752CE" w:rsidR="00F71A6A">
        <w:rPr>
          <w:i/>
          <w:lang w:val="en-GB"/>
        </w:rPr>
        <w:t>Holds</w:t>
      </w:r>
      <w:r w:rsidRPr="006752CE" w:rsidR="00F320D1">
        <w:rPr>
          <w:lang w:val="en-GB"/>
        </w:rPr>
        <w:t xml:space="preserve"> </w:t>
      </w:r>
      <w:r w:rsidRPr="006752CE" w:rsidR="00F71A6A">
        <w:rPr>
          <w:lang w:val="en-GB"/>
        </w:rPr>
        <w:t xml:space="preserve">that there has been a violation of Article </w:t>
      </w:r>
      <w:r w:rsidRPr="006752CE" w:rsidR="009E0555">
        <w:rPr>
          <w:lang w:val="en-GB"/>
        </w:rPr>
        <w:t>11</w:t>
      </w:r>
      <w:r w:rsidRPr="006752CE" w:rsidR="00F71A6A">
        <w:rPr>
          <w:lang w:val="en-GB"/>
        </w:rPr>
        <w:t xml:space="preserve"> of the Convention;</w:t>
      </w:r>
    </w:p>
    <w:p w:rsidRPr="006752CE" w:rsidR="00C02C82" w:rsidP="009F07CC" w:rsidRDefault="00C02C82">
      <w:pPr>
        <w:pStyle w:val="JuList"/>
        <w:rPr>
          <w:lang w:val="en-GB"/>
        </w:rPr>
      </w:pPr>
    </w:p>
    <w:p w:rsidRPr="00185705" w:rsidR="00F71A6A" w:rsidP="00185705" w:rsidRDefault="000C06DE">
      <w:pPr>
        <w:pStyle w:val="JuList"/>
        <w:rPr>
          <w:lang w:val="en-US"/>
        </w:rPr>
      </w:pPr>
      <w:r w:rsidRPr="00185705">
        <w:rPr>
          <w:lang w:val="en-US"/>
        </w:rPr>
        <w:t>4.  </w:t>
      </w:r>
      <w:r w:rsidRPr="00185705">
        <w:rPr>
          <w:i/>
          <w:lang w:val="en-US"/>
        </w:rPr>
        <w:t>Holds</w:t>
      </w:r>
      <w:r w:rsidRPr="00185705">
        <w:rPr>
          <w:lang w:val="en-US"/>
        </w:rPr>
        <w:t xml:space="preserve"> that the finding of a violation constitutes in itself sufficient just satisfaction for any non-pecuniary damage the applicant union might have sustained;</w:t>
      </w:r>
    </w:p>
    <w:p w:rsidRPr="00451956" w:rsidR="00C02C82" w:rsidP="00185705" w:rsidRDefault="00C02C82">
      <w:pPr>
        <w:pStyle w:val="JuList"/>
        <w:rPr>
          <w:lang w:val="en-US"/>
        </w:rPr>
      </w:pPr>
    </w:p>
    <w:p w:rsidRPr="006752CE" w:rsidR="00C02C82" w:rsidP="00596B16" w:rsidRDefault="000C06DE">
      <w:pPr>
        <w:pStyle w:val="JuList"/>
        <w:keepNext/>
        <w:keepLines/>
        <w:rPr>
          <w:lang w:val="en-GB"/>
        </w:rPr>
      </w:pPr>
      <w:r w:rsidRPr="006752CE">
        <w:rPr>
          <w:lang w:val="en-GB"/>
        </w:rPr>
        <w:t>5</w:t>
      </w:r>
      <w:r w:rsidRPr="006752CE" w:rsidR="00F71A6A">
        <w:rPr>
          <w:lang w:val="en-GB"/>
        </w:rPr>
        <w:t>.  </w:t>
      </w:r>
      <w:r w:rsidRPr="006752CE" w:rsidR="00F71A6A">
        <w:rPr>
          <w:i/>
          <w:lang w:val="en-GB"/>
        </w:rPr>
        <w:t>Holds</w:t>
      </w:r>
    </w:p>
    <w:p w:rsidR="00DC565E" w:rsidP="00596B16" w:rsidRDefault="003104E9">
      <w:pPr>
        <w:pStyle w:val="JuLista"/>
        <w:keepNext/>
        <w:keepLines/>
        <w:rPr>
          <w:lang w:val="en-GB"/>
        </w:rPr>
      </w:pPr>
      <w:r w:rsidRPr="006752CE">
        <w:rPr>
          <w:lang w:val="en-GB"/>
        </w:rPr>
        <w:t xml:space="preserve">(a)  that the respondent State is to </w:t>
      </w:r>
      <w:r w:rsidRPr="006752CE" w:rsidR="00901475">
        <w:rPr>
          <w:lang w:val="en-GB"/>
        </w:rPr>
        <w:t xml:space="preserve">pay </w:t>
      </w:r>
      <w:r w:rsidRPr="006752CE">
        <w:rPr>
          <w:lang w:val="en-GB"/>
        </w:rPr>
        <w:t xml:space="preserve">the </w:t>
      </w:r>
      <w:r w:rsidRPr="006752CE" w:rsidR="0005522C">
        <w:rPr>
          <w:lang w:val="en-GB"/>
        </w:rPr>
        <w:t>applicant</w:t>
      </w:r>
      <w:r w:rsidRPr="006752CE" w:rsidR="004F3825">
        <w:rPr>
          <w:lang w:val="en-GB"/>
        </w:rPr>
        <w:t xml:space="preserve"> union</w:t>
      </w:r>
      <w:r w:rsidRPr="006752CE">
        <w:rPr>
          <w:lang w:val="en-GB"/>
        </w:rPr>
        <w:t>, within three months</w:t>
      </w:r>
      <w:r w:rsidRPr="006752CE" w:rsidR="00F320D1">
        <w:rPr>
          <w:lang w:val="en-GB"/>
        </w:rPr>
        <w:t xml:space="preserve"> from the date on which the judgment becomes final in accordance with Article 44 § 2 of the Convention,</w:t>
      </w:r>
      <w:r w:rsidRPr="006752CE">
        <w:rPr>
          <w:lang w:val="en-GB"/>
        </w:rPr>
        <w:t xml:space="preserve"> </w:t>
      </w:r>
      <w:r w:rsidRPr="006752CE" w:rsidR="000C06DE">
        <w:rPr>
          <w:lang w:val="en-GB"/>
        </w:rPr>
        <w:t>EUR 3,250 (three thousand two hundred and fifty euros) in respect of costs and expenses</w:t>
      </w:r>
      <w:r w:rsidRPr="006752CE">
        <w:rPr>
          <w:lang w:val="en-GB"/>
        </w:rPr>
        <w:t xml:space="preserve">, to be converted into </w:t>
      </w:r>
      <w:r w:rsidRPr="006752CE" w:rsidR="009E0555">
        <w:rPr>
          <w:color w:val="000000"/>
          <w:lang w:val="en-GB"/>
        </w:rPr>
        <w:t>Croatian kunas</w:t>
      </w:r>
      <w:r w:rsidRPr="006752CE" w:rsidR="004F3825">
        <w:rPr>
          <w:color w:val="000000"/>
          <w:lang w:val="en-GB"/>
        </w:rPr>
        <w:t>,</w:t>
      </w:r>
      <w:r w:rsidRPr="006752CE" w:rsidR="006138EA">
        <w:rPr>
          <w:lang w:val="en-GB"/>
        </w:rPr>
        <w:t xml:space="preserve"> </w:t>
      </w:r>
      <w:r w:rsidRPr="006752CE">
        <w:rPr>
          <w:lang w:val="en-GB"/>
        </w:rPr>
        <w:t>at the rate appli</w:t>
      </w:r>
      <w:r w:rsidRPr="006752CE" w:rsidR="000C06DE">
        <w:rPr>
          <w:lang w:val="en-GB"/>
        </w:rPr>
        <w:t xml:space="preserve">cable at the date of settlement, </w:t>
      </w:r>
      <w:r w:rsidRPr="006752CE">
        <w:rPr>
          <w:lang w:val="en-GB"/>
        </w:rPr>
        <w:t xml:space="preserve">plus any tax that may be chargeable to the </w:t>
      </w:r>
      <w:r w:rsidRPr="006752CE" w:rsidR="0005522C">
        <w:rPr>
          <w:lang w:val="en-GB"/>
        </w:rPr>
        <w:t>applicant</w:t>
      </w:r>
      <w:r w:rsidRPr="006752CE" w:rsidR="004F3825">
        <w:rPr>
          <w:lang w:val="en-GB"/>
        </w:rPr>
        <w:t xml:space="preserve"> union</w:t>
      </w:r>
      <w:r w:rsidRPr="006752CE" w:rsidR="000C06DE">
        <w:rPr>
          <w:lang w:val="en-GB"/>
        </w:rPr>
        <w:t>;</w:t>
      </w:r>
    </w:p>
    <w:p w:rsidRPr="000C06DE" w:rsidR="000C06DE" w:rsidP="000C06DE" w:rsidRDefault="003104E9">
      <w:pPr>
        <w:pStyle w:val="JuLista"/>
        <w:rPr>
          <w:lang w:val="en-GB"/>
        </w:rPr>
      </w:pPr>
      <w:r w:rsidRPr="002A60F3">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A60F3" w:rsidR="00F71A6A" w:rsidRDefault="00F71A6A">
      <w:pPr>
        <w:pStyle w:val="JuList"/>
        <w:rPr>
          <w:lang w:val="en-GB"/>
        </w:rPr>
      </w:pPr>
    </w:p>
    <w:p w:rsidRPr="002A60F3" w:rsidR="00F71A6A" w:rsidRDefault="000C06DE">
      <w:pPr>
        <w:pStyle w:val="JuList"/>
        <w:rPr>
          <w:lang w:val="en-GB"/>
        </w:rPr>
      </w:pPr>
      <w:r>
        <w:rPr>
          <w:lang w:val="en-GB"/>
        </w:rPr>
        <w:t>6</w:t>
      </w:r>
      <w:r w:rsidRPr="002A60F3" w:rsidR="00F71A6A">
        <w:rPr>
          <w:lang w:val="en-GB"/>
        </w:rPr>
        <w:t>.  </w:t>
      </w:r>
      <w:r w:rsidRPr="002A60F3" w:rsidR="00F71A6A">
        <w:rPr>
          <w:i/>
          <w:lang w:val="en-GB"/>
        </w:rPr>
        <w:t>Dismisses</w:t>
      </w:r>
      <w:r w:rsidR="00451956">
        <w:rPr>
          <w:i/>
          <w:lang w:val="en-GB"/>
        </w:rPr>
        <w:t xml:space="preserve"> </w:t>
      </w:r>
      <w:r w:rsidRPr="002A60F3" w:rsidR="00F71A6A">
        <w:rPr>
          <w:lang w:val="en-GB"/>
        </w:rPr>
        <w:t xml:space="preserve">the remainder of the </w:t>
      </w:r>
      <w:r w:rsidRPr="002A60F3" w:rsidR="005F4753">
        <w:rPr>
          <w:lang w:val="en-GB"/>
        </w:rPr>
        <w:t>applicant</w:t>
      </w:r>
      <w:r w:rsidRPr="002A60F3" w:rsidR="004F3825">
        <w:rPr>
          <w:lang w:val="en-GB"/>
        </w:rPr>
        <w:t xml:space="preserve"> union</w:t>
      </w:r>
      <w:r w:rsidR="00A32E76">
        <w:rPr>
          <w:lang w:val="en-GB"/>
        </w:rPr>
        <w:t>’</w:t>
      </w:r>
      <w:r w:rsidRPr="002A60F3" w:rsidR="00F320D1">
        <w:rPr>
          <w:lang w:val="en-GB"/>
        </w:rPr>
        <w:t>s</w:t>
      </w:r>
      <w:r w:rsidRPr="002A60F3" w:rsidR="00F71A6A">
        <w:rPr>
          <w:lang w:val="en-GB"/>
        </w:rPr>
        <w:t xml:space="preserve"> claim for just satisfaction.</w:t>
      </w:r>
    </w:p>
    <w:p w:rsidRPr="002A60F3" w:rsidR="00325C2B" w:rsidP="00325C2B" w:rsidRDefault="00F71A6A">
      <w:pPr>
        <w:pStyle w:val="JuParaLast"/>
        <w:rPr>
          <w:lang w:val="en-GB"/>
        </w:rPr>
      </w:pPr>
      <w:r w:rsidRPr="002A60F3">
        <w:rPr>
          <w:lang w:val="en-GB"/>
        </w:rPr>
        <w:t xml:space="preserve">Done in English, and notified in writing on </w:t>
      </w:r>
      <w:r w:rsidR="00451956">
        <w:rPr>
          <w:lang w:val="en-GB"/>
        </w:rPr>
        <w:t>27 November 2014</w:t>
      </w:r>
      <w:r w:rsidRPr="002A60F3">
        <w:rPr>
          <w:lang w:val="en-GB"/>
        </w:rPr>
        <w:t>, pursuant to Rule</w:t>
      </w:r>
      <w:r w:rsidRPr="002A60F3" w:rsidR="0011665B">
        <w:rPr>
          <w:lang w:val="en-GB"/>
        </w:rPr>
        <w:t xml:space="preserve"> </w:t>
      </w:r>
      <w:r w:rsidRPr="002A60F3">
        <w:rPr>
          <w:lang w:val="en-GB"/>
        </w:rPr>
        <w:t>77</w:t>
      </w:r>
      <w:r w:rsidRPr="002A60F3" w:rsidR="0011665B">
        <w:rPr>
          <w:lang w:val="en-GB"/>
        </w:rPr>
        <w:t xml:space="preserve"> </w:t>
      </w:r>
      <w:r w:rsidRPr="002A60F3">
        <w:rPr>
          <w:lang w:val="en-GB"/>
        </w:rPr>
        <w:t>§§</w:t>
      </w:r>
      <w:r w:rsidRPr="002A60F3" w:rsidR="0011665B">
        <w:rPr>
          <w:lang w:val="en-GB"/>
        </w:rPr>
        <w:t xml:space="preserve"> </w:t>
      </w:r>
      <w:r w:rsidRPr="002A60F3">
        <w:rPr>
          <w:lang w:val="en-GB"/>
        </w:rPr>
        <w:t>2 and</w:t>
      </w:r>
      <w:r w:rsidRPr="002A60F3" w:rsidR="0011665B">
        <w:rPr>
          <w:lang w:val="en-GB"/>
        </w:rPr>
        <w:t xml:space="preserve"> </w:t>
      </w:r>
      <w:r w:rsidRPr="002A60F3">
        <w:rPr>
          <w:lang w:val="en-GB"/>
        </w:rPr>
        <w:t>3 of the Rules of Court.</w:t>
      </w:r>
    </w:p>
    <w:p w:rsidR="0079187F" w:rsidP="00C01E1C" w:rsidRDefault="00325C2B">
      <w:pPr>
        <w:pStyle w:val="JuSigned"/>
        <w:keepNext/>
        <w:keepLines/>
        <w:rPr>
          <w:lang w:val="de-DE"/>
        </w:rPr>
      </w:pPr>
      <w:r w:rsidRPr="002A60F3">
        <w:rPr>
          <w:lang w:val="en-GB"/>
        </w:rPr>
        <w:tab/>
      </w:r>
      <w:r w:rsidRPr="00B95468" w:rsidR="00F320D1">
        <w:rPr>
          <w:lang w:val="de-DE"/>
        </w:rPr>
        <w:t>Søren Nielsen</w:t>
      </w:r>
      <w:r w:rsidRPr="00B95468" w:rsidR="00A8381C">
        <w:rPr>
          <w:lang w:val="de-DE"/>
        </w:rPr>
        <w:tab/>
      </w:r>
      <w:r w:rsidRPr="00B95468" w:rsidR="00F320D1">
        <w:rPr>
          <w:szCs w:val="24"/>
          <w:lang w:val="de-DE"/>
        </w:rPr>
        <w:t>Isabelle Berro-Lefèvre</w:t>
      </w:r>
      <w:r w:rsidR="00D40B00">
        <w:rPr>
          <w:szCs w:val="24"/>
          <w:lang w:val="de-DE"/>
        </w:rPr>
        <w:br/>
      </w:r>
      <w:r w:rsidRPr="00B95468" w:rsidR="00A8381C">
        <w:rPr>
          <w:lang w:val="de-DE"/>
        </w:rPr>
        <w:tab/>
      </w:r>
      <w:r w:rsidRPr="00B95468" w:rsidR="00F320D1">
        <w:rPr>
          <w:iCs/>
          <w:lang w:val="de-DE"/>
        </w:rPr>
        <w:t>Registrar</w:t>
      </w:r>
      <w:r w:rsidRPr="00B95468" w:rsidR="00A8381C">
        <w:rPr>
          <w:lang w:val="de-DE"/>
        </w:rPr>
        <w:tab/>
        <w:t>President</w:t>
      </w:r>
    </w:p>
    <w:p w:rsidRPr="00451956" w:rsidR="00451956" w:rsidRDefault="00451956">
      <w:pPr>
        <w:pStyle w:val="JuParaLast"/>
        <w:rPr>
          <w:lang w:val="en-GB"/>
        </w:rPr>
      </w:pPr>
      <w:r w:rsidRPr="00451956">
        <w:rPr>
          <w:lang w:val="en-GB"/>
        </w:rPr>
        <w:t>In accordance with Article 45 § 2 of the Convention and Rule 74 § 2 of the Rules of Court, the separate opinion of Judge Pinto de Albuquerque is annexed to this judgment.</w:t>
      </w:r>
    </w:p>
    <w:p w:rsidRPr="001937BD" w:rsidR="00451956" w:rsidP="00451956" w:rsidRDefault="00451956">
      <w:pPr>
        <w:pStyle w:val="JuInitialled"/>
        <w:rPr>
          <w:lang w:val="en-GB"/>
        </w:rPr>
      </w:pPr>
      <w:r w:rsidRPr="001937BD">
        <w:rPr>
          <w:lang w:val="en-GB"/>
        </w:rPr>
        <w:t>I.B.L.</w:t>
      </w:r>
      <w:r w:rsidRPr="001937BD">
        <w:rPr>
          <w:lang w:val="en-GB"/>
        </w:rPr>
        <w:br/>
        <w:t>S.N.</w:t>
      </w:r>
    </w:p>
    <w:p w:rsidRPr="001937BD" w:rsidR="002E0BE7" w:rsidP="00451956" w:rsidRDefault="002E0BE7">
      <w:pPr>
        <w:pStyle w:val="JuParaLast"/>
        <w:rPr>
          <w:lang w:val="en-GB"/>
        </w:rPr>
        <w:sectPr w:rsidRPr="001937BD" w:rsidR="002E0BE7" w:rsidSect="00451956">
          <w:headerReference w:type="even" r:id="rId11"/>
          <w:headerReference w:type="default" r:id="rId12"/>
          <w:pgSz w:w="11906" w:h="16838" w:code="9"/>
          <w:pgMar w:top="2274" w:right="2274" w:bottom="2274" w:left="2274" w:header="1701" w:footer="720" w:gutter="0"/>
          <w:pgNumType w:start="1"/>
          <w:cols w:space="720"/>
          <w:docGrid w:linePitch="326"/>
        </w:sectPr>
      </w:pPr>
    </w:p>
    <w:p w:rsidRPr="000A12AD" w:rsidR="001937BD" w:rsidP="001937BD" w:rsidRDefault="001937BD">
      <w:pPr>
        <w:pStyle w:val="ECHRTitleCentre1"/>
        <w:rPr>
          <w:lang w:val="en-GB"/>
        </w:rPr>
      </w:pPr>
      <w:r>
        <w:rPr>
          <w:lang w:val="en-GB"/>
        </w:rPr>
        <w:t xml:space="preserve">CONCURRING </w:t>
      </w:r>
      <w:r w:rsidRPr="000A12AD">
        <w:rPr>
          <w:lang w:val="en-GB"/>
        </w:rPr>
        <w:t xml:space="preserve">OPINION OF JUDGE </w:t>
      </w:r>
      <w:r>
        <w:rPr>
          <w:lang w:val="en-GB"/>
        </w:rPr>
        <w:t>PINTO DE ALBUQUERQUE</w:t>
      </w:r>
    </w:p>
    <w:p w:rsidRPr="000A12AD" w:rsidR="001937BD" w:rsidP="001937BD" w:rsidRDefault="001937BD">
      <w:pPr>
        <w:pStyle w:val="OpiTranslation"/>
        <w:rPr>
          <w:lang w:val="en-GB"/>
        </w:rPr>
      </w:pPr>
    </w:p>
    <w:p w:rsidR="001937BD" w:rsidP="001937BD" w:rsidRDefault="001937BD">
      <w:pPr>
        <w:pStyle w:val="OpiPara"/>
      </w:pPr>
      <w:r w:rsidRPr="00315F6B">
        <w:t>1.</w:t>
      </w:r>
      <w:r>
        <w:t>  </w:t>
      </w:r>
      <w:r w:rsidRPr="00315F6B">
        <w:t>I agree that</w:t>
      </w:r>
      <w:r>
        <w:t xml:space="preserve"> there has been a violation of</w:t>
      </w:r>
      <w:r w:rsidRPr="00315F6B">
        <w:t xml:space="preserve"> Article 11 of the European Convention on Human </w:t>
      </w:r>
      <w:r>
        <w:t>R</w:t>
      </w:r>
      <w:r w:rsidRPr="00315F6B">
        <w:t>ights (</w:t>
      </w:r>
      <w:r>
        <w:t>hereafter “</w:t>
      </w:r>
      <w:r w:rsidRPr="00315F6B">
        <w:t>the Convention</w:t>
      </w:r>
      <w:r>
        <w:t>”</w:t>
      </w:r>
      <w:r w:rsidRPr="00315F6B">
        <w:t>). The Chamber</w:t>
      </w:r>
      <w:r w:rsidR="00A32E76">
        <w:t>’</w:t>
      </w:r>
      <w:r w:rsidRPr="00315F6B">
        <w:t xml:space="preserve">s </w:t>
      </w:r>
      <w:r>
        <w:t>criticism of</w:t>
      </w:r>
      <w:r w:rsidRPr="00315F6B">
        <w:t xml:space="preserve"> the respondent State is based on the excessive length of the domestic proceedings </w:t>
      </w:r>
      <w:r>
        <w:t>relating to</w:t>
      </w:r>
      <w:r w:rsidRPr="00315F6B">
        <w:t xml:space="preserve"> the prohibition of the strike and the legality of the Annex </w:t>
      </w:r>
      <w:r>
        <w:t>(</w:t>
      </w:r>
      <w:r w:rsidRPr="00315F6B">
        <w:t>“Collective Agreement for the Medical and Dentistry Sector”</w:t>
      </w:r>
      <w:r>
        <w:t>)</w:t>
      </w:r>
      <w:r w:rsidRPr="00315F6B">
        <w:t xml:space="preserve">, which lasted from 5 April 2005 </w:t>
      </w:r>
      <w:r>
        <w:t>until</w:t>
      </w:r>
      <w:r w:rsidRPr="00315F6B">
        <w:t xml:space="preserve"> 16 December 2008. Although correct, this conclusion does not touch the heart of the case. That is why I feel obliged to add some thoughts on the </w:t>
      </w:r>
      <w:r>
        <w:t>point of</w:t>
      </w:r>
      <w:r w:rsidRPr="007B54ED">
        <w:t xml:space="preserve"> </w:t>
      </w:r>
      <w:r w:rsidRPr="00315F6B">
        <w:t>principle raised by the applicant</w:t>
      </w:r>
      <w:r>
        <w:t xml:space="preserve"> union</w:t>
      </w:r>
      <w:r w:rsidRPr="00315F6B">
        <w:t xml:space="preserve">, and disputed by the Government, which is </w:t>
      </w:r>
      <w:r>
        <w:t>recognition</w:t>
      </w:r>
      <w:r w:rsidRPr="00315F6B">
        <w:t xml:space="preserve"> of the right to strike in the context of a collective agreement</w:t>
      </w:r>
      <w:r w:rsidRPr="00315F6B">
        <w:rPr>
          <w:vertAlign w:val="superscript"/>
        </w:rPr>
        <w:footnoteReference w:id="1"/>
      </w:r>
      <w:r w:rsidRPr="00315F6B">
        <w:t>.</w:t>
      </w:r>
    </w:p>
    <w:p w:rsidRPr="00315F6B" w:rsidR="001937BD" w:rsidP="001937BD" w:rsidRDefault="001937BD">
      <w:pPr>
        <w:pStyle w:val="OpiPara"/>
      </w:pPr>
      <w:r w:rsidRPr="00315F6B">
        <w:t>2.</w:t>
      </w:r>
      <w:r>
        <w:t>  </w:t>
      </w:r>
      <w:r w:rsidRPr="00315F6B">
        <w:t>An important methodological note should be made in</w:t>
      </w:r>
      <w:r>
        <w:t xml:space="preserve"> the</w:t>
      </w:r>
      <w:r w:rsidRPr="00315F6B">
        <w:t xml:space="preserve"> guise of</w:t>
      </w:r>
      <w:r>
        <w:t xml:space="preserve"> an</w:t>
      </w:r>
      <w:r w:rsidRPr="00315F6B">
        <w:t xml:space="preserve"> introduction to this opinion. As I have </w:t>
      </w:r>
      <w:r>
        <w:t>argued</w:t>
      </w:r>
      <w:r w:rsidRPr="00315F6B">
        <w:t xml:space="preserve"> in my separate opinions in </w:t>
      </w:r>
      <w:r w:rsidRPr="00315F6B">
        <w:rPr>
          <w:i/>
        </w:rPr>
        <w:t xml:space="preserve">Konstantin Markin </w:t>
      </w:r>
      <w:r w:rsidRPr="006D68D9">
        <w:t>(GC)</w:t>
      </w:r>
      <w:r w:rsidRPr="00315F6B">
        <w:t xml:space="preserve"> and </w:t>
      </w:r>
      <w:r w:rsidRPr="00315F6B">
        <w:rPr>
          <w:i/>
        </w:rPr>
        <w:t>K.M.C</w:t>
      </w:r>
      <w:r w:rsidRPr="00315F6B">
        <w:t xml:space="preserve">, </w:t>
      </w:r>
      <w:r>
        <w:t>when</w:t>
      </w:r>
      <w:r w:rsidRPr="00315F6B">
        <w:t xml:space="preserve"> defining the meaning and extension of the protection of social rights </w:t>
      </w:r>
      <w:r>
        <w:t>under</w:t>
      </w:r>
      <w:r w:rsidRPr="00315F6B">
        <w:t xml:space="preserve"> the Convention, the European Court of Human Rights (</w:t>
      </w:r>
      <w:r>
        <w:t>“</w:t>
      </w:r>
      <w:r w:rsidRPr="00315F6B">
        <w:t>the Court</w:t>
      </w:r>
      <w:r>
        <w:t>”</w:t>
      </w:r>
      <w:r w:rsidRPr="00315F6B">
        <w:t xml:space="preserve">) can and must take into account elements of international law other than the Convention and its </w:t>
      </w:r>
      <w:r w:rsidRPr="00315F6B">
        <w:rPr>
          <w:i/>
        </w:rPr>
        <w:t>travaux pr</w:t>
      </w:r>
      <w:r>
        <w:rPr>
          <w:i/>
        </w:rPr>
        <w:t>é</w:t>
      </w:r>
      <w:r w:rsidRPr="00315F6B">
        <w:rPr>
          <w:i/>
        </w:rPr>
        <w:t>paratoires</w:t>
      </w:r>
      <w:r w:rsidRPr="00315F6B">
        <w:t>, such as instruments of international labo</w:t>
      </w:r>
      <w:r>
        <w:t>u</w:t>
      </w:r>
      <w:r w:rsidRPr="00315F6B">
        <w:t>r law and the case-law based on the interpretation of such elements by</w:t>
      </w:r>
      <w:r>
        <w:t xml:space="preserve"> the</w:t>
      </w:r>
      <w:r w:rsidRPr="00315F6B">
        <w:t xml:space="preserve"> competent organs, and the practice of European and non-European States reflecting common values</w:t>
      </w:r>
      <w:r w:rsidRPr="00315F6B">
        <w:rPr>
          <w:vertAlign w:val="superscript"/>
        </w:rPr>
        <w:footnoteReference w:id="2"/>
      </w:r>
      <w:r w:rsidRPr="00315F6B">
        <w:t>.</w:t>
      </w:r>
    </w:p>
    <w:p w:rsidRPr="006D68D9" w:rsidR="001937BD" w:rsidP="001937BD" w:rsidRDefault="001937BD">
      <w:pPr>
        <w:pStyle w:val="OpiHA"/>
        <w:rPr>
          <w:lang w:val="en-GB"/>
        </w:rPr>
      </w:pPr>
      <w:r w:rsidRPr="006D68D9">
        <w:rPr>
          <w:lang w:val="en-GB"/>
        </w:rPr>
        <w:t>The right to strike in international law</w:t>
      </w:r>
    </w:p>
    <w:p w:rsidRPr="00315F6B" w:rsidR="001937BD" w:rsidP="001937BD" w:rsidRDefault="001937BD">
      <w:pPr>
        <w:pStyle w:val="OpiPara"/>
      </w:pPr>
      <w:r w:rsidRPr="00315F6B">
        <w:t>3.</w:t>
      </w:r>
      <w:r>
        <w:t>  </w:t>
      </w:r>
      <w:r w:rsidRPr="00315F6B">
        <w:t>The right to strike is explicitly acknowledged in Article 8 § 1 (d) of the United Nations Covenant on Economic, Social and Cultural Rights (CESCR)</w:t>
      </w:r>
      <w:r w:rsidRPr="00315F6B">
        <w:rPr>
          <w:vertAlign w:val="superscript"/>
        </w:rPr>
        <w:footnoteReference w:id="3"/>
      </w:r>
      <w:r w:rsidRPr="00315F6B">
        <w:t>, Article 6 § 4 of the European Social Charter (ESC)</w:t>
      </w:r>
      <w:r w:rsidRPr="00315F6B">
        <w:rPr>
          <w:vertAlign w:val="superscript"/>
        </w:rPr>
        <w:footnoteReference w:id="4"/>
      </w:r>
      <w:r w:rsidRPr="00315F6B">
        <w:t>, Article</w:t>
      </w:r>
      <w:r>
        <w:t> </w:t>
      </w:r>
      <w:r w:rsidRPr="00315F6B">
        <w:t>28 of the Charter of Fundamental Rights of the European Union (CFREU)</w:t>
      </w:r>
      <w:r w:rsidRPr="00315F6B">
        <w:rPr>
          <w:vertAlign w:val="superscript"/>
        </w:rPr>
        <w:footnoteReference w:id="5"/>
      </w:r>
      <w:r w:rsidRPr="00315F6B">
        <w:t xml:space="preserve">, </w:t>
      </w:r>
      <w:r>
        <w:t>p</w:t>
      </w:r>
      <w:r w:rsidRPr="00315F6B">
        <w:t>aragraph 13 of the Community Charter of the Fundamental Social Rights of Workers</w:t>
      </w:r>
      <w:r w:rsidRPr="00315F6B">
        <w:rPr>
          <w:vertAlign w:val="superscript"/>
        </w:rPr>
        <w:footnoteReference w:id="6"/>
      </w:r>
      <w:r w:rsidRPr="00315F6B">
        <w:t>, Article 45 (c) of the Charter of the Organization of American States (COAS), Article 27 of the Inter-American Charter of Social Guarantees</w:t>
      </w:r>
      <w:r w:rsidRPr="00315F6B">
        <w:rPr>
          <w:vertAlign w:val="superscript"/>
        </w:rPr>
        <w:footnoteReference w:id="7"/>
      </w:r>
      <w:r w:rsidRPr="00315F6B">
        <w:t>, Article 8 (1) (b) of the Additional Protocol to the American Convention on Human Rights in the area of Economic, Social and Cultural Rights (Protocol of El Salvador)</w:t>
      </w:r>
      <w:r w:rsidRPr="00315F6B">
        <w:rPr>
          <w:vertAlign w:val="superscript"/>
        </w:rPr>
        <w:footnoteReference w:id="8"/>
      </w:r>
      <w:r w:rsidRPr="00315F6B">
        <w:t>, and Article 35 (3) of the Arab Charter on Human Rights (ArCHR)</w:t>
      </w:r>
      <w:r w:rsidRPr="00315F6B">
        <w:rPr>
          <w:vertAlign w:val="superscript"/>
        </w:rPr>
        <w:footnoteReference w:id="9"/>
      </w:r>
      <w:r w:rsidRPr="00315F6B">
        <w:t>. Furthermore, it has also been derived from Articles 3 and 10 of the ILO Freedom of Association and Protection of the Right to Organise Convention (ILO Convention 87)</w:t>
      </w:r>
      <w:r w:rsidRPr="00315F6B">
        <w:rPr>
          <w:vertAlign w:val="superscript"/>
        </w:rPr>
        <w:footnoteReference w:id="10"/>
      </w:r>
      <w:r w:rsidRPr="00315F6B">
        <w:t xml:space="preserve">, read in conjunction with other ILO instruments which refer to the right to strike, such as the Abolition of Forced Labour Convention (no. 105), which prohibits the use of any form of forced or compulsory labour as a punishment for having participated in strikes, and the Voluntary Conciliation and Arbitration Recommendation (no. 92), which </w:t>
      </w:r>
      <w:r>
        <w:t>states</w:t>
      </w:r>
      <w:r w:rsidRPr="00315F6B">
        <w:t xml:space="preserve"> that the parties should be encouraged to abstain from strikes and lockouts in the event of voluntary conciliation and arbitration, and that none of its provisions may be interpreted as limiting, in any way whatsoever, the right to strike</w:t>
      </w:r>
      <w:r w:rsidRPr="00315F6B">
        <w:rPr>
          <w:vertAlign w:val="superscript"/>
        </w:rPr>
        <w:footnoteReference w:id="11"/>
      </w:r>
      <w:r w:rsidRPr="00315F6B">
        <w:t>. Finally, Article 22 of the International Covenant on Civil and Political Rights (ICCPR) has also been interpreted as guaranteeing the right to strike</w:t>
      </w:r>
      <w:r w:rsidRPr="00315F6B">
        <w:rPr>
          <w:vertAlign w:val="superscript"/>
        </w:rPr>
        <w:footnoteReference w:id="12"/>
      </w:r>
      <w:r w:rsidRPr="00315F6B">
        <w:t>.</w:t>
      </w:r>
    </w:p>
    <w:p w:rsidR="00C81BE2" w:rsidP="001937BD" w:rsidRDefault="001937BD">
      <w:pPr>
        <w:pStyle w:val="OpiPara"/>
      </w:pPr>
      <w:r w:rsidRPr="00315F6B">
        <w:t>4.</w:t>
      </w:r>
      <w:r>
        <w:t>  </w:t>
      </w:r>
      <w:r w:rsidRPr="00315F6B">
        <w:t xml:space="preserve">It is in Europe that the protection of the right to strike is the most fully developed at the regional level. </w:t>
      </w:r>
      <w:r>
        <w:t>While</w:t>
      </w:r>
      <w:r w:rsidRPr="00315F6B">
        <w:t xml:space="preserve"> none of the above</w:t>
      </w:r>
      <w:r>
        <w:t>-</w:t>
      </w:r>
      <w:r w:rsidRPr="00315F6B">
        <w:t>mentioned European instruments defines the constituent elements of th</w:t>
      </w:r>
      <w:r>
        <w:t>is</w:t>
      </w:r>
      <w:r w:rsidRPr="00315F6B">
        <w:t xml:space="preserve"> right, they nonetheless restrict the right of workers and employers to resort to collective action, including the right to strike, to cases of conflicts of interest, subject to obligations that might arise out of the law </w:t>
      </w:r>
      <w:r>
        <w:t>or</w:t>
      </w:r>
      <w:r w:rsidRPr="00315F6B">
        <w:t xml:space="preserve"> collective agreements previously entered into. The obligation of social peace under a collective agreement is thus established as an intrinsic limit to the exercise of the right to collective action, including the right to strike.</w:t>
      </w:r>
    </w:p>
    <w:p w:rsidR="001937BD" w:rsidP="001937BD" w:rsidRDefault="001937BD">
      <w:pPr>
        <w:pStyle w:val="OpiPara"/>
      </w:pPr>
      <w:r w:rsidRPr="00315F6B">
        <w:t>Under the ESC, the right to strike is an individual right of every employee to</w:t>
      </w:r>
      <w:r>
        <w:t xml:space="preserve"> take</w:t>
      </w:r>
      <w:r w:rsidRPr="00315F6B">
        <w:t xml:space="preserve"> collective action in employment-related disputes. Workers have the right to strike only in the context of a conflict of interests, not in the context of a conflict of rights, </w:t>
      </w:r>
      <w:r>
        <w:t>that is</w:t>
      </w:r>
      <w:r w:rsidRPr="00315F6B">
        <w:t xml:space="preserve">, in cases of dispute concerning the existence, validity and interpretation of a collective agreement or its violation, </w:t>
      </w:r>
      <w:r>
        <w:t>for example</w:t>
      </w:r>
      <w:r w:rsidRPr="00315F6B">
        <w:t xml:space="preserve"> through action taken during its currency with a view to the revision of its content</w:t>
      </w:r>
      <w:r w:rsidRPr="00315F6B">
        <w:rPr>
          <w:vertAlign w:val="superscript"/>
        </w:rPr>
        <w:footnoteReference w:id="13"/>
      </w:r>
      <w:r w:rsidRPr="00315F6B">
        <w:t>. Disputes concerning valid collective agreements should be settled through negotiation, mediation</w:t>
      </w:r>
      <w:r w:rsidRPr="00B7322E" w:rsidR="00B7322E">
        <w:t>,</w:t>
      </w:r>
      <w:r w:rsidRPr="00315F6B">
        <w:t xml:space="preserve"> arbitration or </w:t>
      </w:r>
      <w:r>
        <w:t xml:space="preserve">the </w:t>
      </w:r>
      <w:r w:rsidRPr="00315F6B">
        <w:t>court</w:t>
      </w:r>
      <w:r>
        <w:t>s</w:t>
      </w:r>
      <w:r w:rsidRPr="00315F6B">
        <w:t>.</w:t>
      </w:r>
      <w:r>
        <w:t xml:space="preserve"> </w:t>
      </w:r>
      <w:r w:rsidRPr="00315F6B">
        <w:t xml:space="preserve">As a result of the principle </w:t>
      </w:r>
      <w:r w:rsidRPr="00315F6B">
        <w:rPr>
          <w:i/>
        </w:rPr>
        <w:t>pacta sunt servanda</w:t>
      </w:r>
      <w:r w:rsidRPr="00315F6B">
        <w:t>, the</w:t>
      </w:r>
      <w:r>
        <w:t xml:space="preserve"> social</w:t>
      </w:r>
      <w:r w:rsidRPr="00315F6B">
        <w:t xml:space="preserve"> peace obligation binds both parties to the collective agreement</w:t>
      </w:r>
      <w:r>
        <w:t xml:space="preserve"> –</w:t>
      </w:r>
      <w:r w:rsidRPr="00315F6B">
        <w:t xml:space="preserve"> employees and employers</w:t>
      </w:r>
      <w:r>
        <w:t xml:space="preserve"> –</w:t>
      </w:r>
      <w:r w:rsidRPr="00315F6B">
        <w:t xml:space="preserve"> and those to whom the agreement has been extended, but not unrepresented employees or employers</w:t>
      </w:r>
      <w:r w:rsidRPr="00315F6B">
        <w:rPr>
          <w:vertAlign w:val="superscript"/>
        </w:rPr>
        <w:footnoteReference w:id="14"/>
      </w:r>
      <w:r w:rsidRPr="00315F6B">
        <w:t>. In any case, the</w:t>
      </w:r>
      <w:r>
        <w:t xml:space="preserve"> social</w:t>
      </w:r>
      <w:r w:rsidRPr="00315F6B">
        <w:t xml:space="preserve"> peace obligation must express</w:t>
      </w:r>
      <w:r>
        <w:t xml:space="preserve"> the</w:t>
      </w:r>
      <w:r w:rsidRPr="00315F6B">
        <w:t xml:space="preserve"> mutual consent of the parties and not be too generally formulated, or include matters not explicitly covered by the agreement</w:t>
      </w:r>
      <w:r w:rsidRPr="00315F6B">
        <w:rPr>
          <w:vertAlign w:val="superscript"/>
        </w:rPr>
        <w:footnoteReference w:id="15"/>
      </w:r>
      <w:r w:rsidRPr="00315F6B">
        <w:t>.</w:t>
      </w:r>
      <w:r>
        <w:t xml:space="preserve"> </w:t>
      </w:r>
      <w:r w:rsidRPr="00315F6B">
        <w:t>Within those limits, the right to strike should be guaranteed in the context of any negotiation between employers and employees in order to settle an industrial dispute. Consequently, prohibiting strikes not aimed at concluding a collective agreement is not in conformity with Article 6 § 4 of the ESC</w:t>
      </w:r>
      <w:r w:rsidRPr="00315F6B">
        <w:rPr>
          <w:vertAlign w:val="superscript"/>
        </w:rPr>
        <w:footnoteReference w:id="16"/>
      </w:r>
      <w:r w:rsidRPr="00315F6B">
        <w:t>.</w:t>
      </w:r>
    </w:p>
    <w:p w:rsidRPr="00315F6B" w:rsidR="001937BD" w:rsidP="001937BD" w:rsidRDefault="001937BD">
      <w:pPr>
        <w:pStyle w:val="OpiPara"/>
      </w:pPr>
      <w:r w:rsidRPr="00315F6B">
        <w:t>In accordance with the Appendix to Article 6</w:t>
      </w:r>
      <w:r>
        <w:t>,</w:t>
      </w:r>
      <w:r w:rsidRPr="00315F6B">
        <w:t xml:space="preserve"> paragraph 4</w:t>
      </w:r>
      <w:r>
        <w:t>,</w:t>
      </w:r>
      <w:r w:rsidRPr="00315F6B">
        <w:t xml:space="preserve"> of the ESC, each Contracting Party may regulate the exercise of the right to strike by law, provided that any further restriction can be justified under the terms of Article 31. Th</w:t>
      </w:r>
      <w:r>
        <w:t>e</w:t>
      </w:r>
      <w:r w:rsidRPr="00315F6B">
        <w:t xml:space="preserve"> latter provision ensures that the rights and principles enshrined in Part I of the ESC and their effective exercise provided for in Part II cannot be made subject to restrictions or limitations not justified under Parts I and II, except where they are prescribed by law and</w:t>
      </w:r>
      <w:r>
        <w:t xml:space="preserve"> are</w:t>
      </w:r>
      <w:r w:rsidRPr="00315F6B">
        <w:t xml:space="preserve"> necessary in a democratic society for the protection </w:t>
      </w:r>
      <w:r>
        <w:t xml:space="preserve">of </w:t>
      </w:r>
      <w:r w:rsidRPr="00315F6B">
        <w:t xml:space="preserve">the rights and freedoms of others or for the protection of the public interest, national security, public health or morals. The authorities must demonstrate that these conditions are satisfied </w:t>
      </w:r>
      <w:r>
        <w:t>in</w:t>
      </w:r>
      <w:r w:rsidRPr="00315F6B">
        <w:t xml:space="preserve"> each case</w:t>
      </w:r>
      <w:r w:rsidRPr="00315F6B">
        <w:rPr>
          <w:vertAlign w:val="superscript"/>
        </w:rPr>
        <w:footnoteReference w:id="17"/>
      </w:r>
      <w:r w:rsidRPr="00315F6B">
        <w:t>.</w:t>
      </w:r>
    </w:p>
    <w:p w:rsidRPr="00315F6B" w:rsidR="001937BD" w:rsidP="001937BD" w:rsidRDefault="001937BD">
      <w:pPr>
        <w:pStyle w:val="OpiPara"/>
      </w:pPr>
      <w:r w:rsidRPr="00315F6B">
        <w:t xml:space="preserve">In its most recent assessment of the legal framework of the respondent State, the ECSR concluded that the right to strike </w:t>
      </w:r>
      <w:r>
        <w:t>was</w:t>
      </w:r>
      <w:r w:rsidRPr="00315F6B">
        <w:t xml:space="preserve"> not limited to strikes aimed at conclu</w:t>
      </w:r>
      <w:r>
        <w:t>ding</w:t>
      </w:r>
      <w:r w:rsidRPr="00315F6B">
        <w:t xml:space="preserve"> a collective agreement, but</w:t>
      </w:r>
      <w:r>
        <w:t xml:space="preserve"> that</w:t>
      </w:r>
      <w:r w:rsidRPr="00315F6B">
        <w:t xml:space="preserve"> the situation in Croatia was not in conformity with Article 6 § 4 of the ESC </w:t>
      </w:r>
      <w:r>
        <w:t>because</w:t>
      </w:r>
      <w:r w:rsidRPr="00315F6B">
        <w:t xml:space="preserve"> the right to call a strike </w:t>
      </w:r>
      <w:r>
        <w:t>was</w:t>
      </w:r>
      <w:r w:rsidRPr="00315F6B">
        <w:t xml:space="preserve"> reserved to trade unions</w:t>
      </w:r>
      <w:r>
        <w:t>,</w:t>
      </w:r>
      <w:r w:rsidRPr="00315F6B">
        <w:t xml:space="preserve"> the formation of which </w:t>
      </w:r>
      <w:r>
        <w:t>could</w:t>
      </w:r>
      <w:r w:rsidRPr="00315F6B">
        <w:t xml:space="preserve"> take up to thirty days, which </w:t>
      </w:r>
      <w:r>
        <w:t>was</w:t>
      </w:r>
      <w:r w:rsidRPr="00315F6B">
        <w:t xml:space="preserve"> excessive</w:t>
      </w:r>
      <w:r w:rsidRPr="00315F6B">
        <w:rPr>
          <w:vertAlign w:val="superscript"/>
        </w:rPr>
        <w:footnoteReference w:id="18"/>
      </w:r>
      <w:r w:rsidRPr="00315F6B">
        <w:t>.</w:t>
      </w:r>
    </w:p>
    <w:p w:rsidR="001937BD" w:rsidP="001937BD" w:rsidRDefault="001937BD">
      <w:pPr>
        <w:pStyle w:val="OpiPara"/>
      </w:pPr>
      <w:r w:rsidRPr="00315F6B">
        <w:t>5.</w:t>
      </w:r>
      <w:r>
        <w:t>  </w:t>
      </w:r>
      <w:r w:rsidRPr="00315F6B">
        <w:t xml:space="preserve">In European Union law, the right to strike is a fundamental right of employees. In the common market legal order dependent work was primarily seen as a purely economic factor. Article 27 </w:t>
      </w:r>
      <w:r>
        <w:t>et seq.</w:t>
      </w:r>
      <w:r w:rsidRPr="00315F6B">
        <w:t xml:space="preserve"> of the CFREU have considerably changed this perspective, by emphasizing the social role played by trade unions and strengthening the collective character of workers</w:t>
      </w:r>
      <w:r w:rsidR="00A32E76">
        <w:t>’</w:t>
      </w:r>
      <w:r w:rsidRPr="00315F6B">
        <w:t xml:space="preserve"> rights. </w:t>
      </w:r>
      <w:r>
        <w:t>To that extent</w:t>
      </w:r>
      <w:r w:rsidRPr="00315F6B">
        <w:t xml:space="preserve"> these provisions have enshrined essential elements of a </w:t>
      </w:r>
      <w:r w:rsidRPr="00315F6B">
        <w:rPr>
          <w:i/>
        </w:rPr>
        <w:t>Sozialstaalichkeit</w:t>
      </w:r>
      <w:r w:rsidRPr="00315F6B">
        <w:rPr>
          <w:vertAlign w:val="superscript"/>
        </w:rPr>
        <w:t xml:space="preserve"> </w:t>
      </w:r>
      <w:r w:rsidRPr="00315F6B">
        <w:rPr>
          <w:vertAlign w:val="superscript"/>
        </w:rPr>
        <w:footnoteReference w:id="19"/>
      </w:r>
      <w:r w:rsidRPr="00315F6B">
        <w:t xml:space="preserve"> at the level of the constitutional foundations of the Union. Nevertheless, regulation of collective and strike action remains </w:t>
      </w:r>
      <w:r>
        <w:t>with</w:t>
      </w:r>
      <w:r w:rsidRPr="00315F6B">
        <w:t>in the scope of the powers of the Member States of the Union, in accordance with Article 153 (5) of the Treaty on the Functioning of the European Union (TFEU)</w:t>
      </w:r>
      <w:r w:rsidRPr="00315F6B">
        <w:rPr>
          <w:vertAlign w:val="superscript"/>
        </w:rPr>
        <w:footnoteReference w:id="20"/>
      </w:r>
      <w:r w:rsidRPr="00315F6B">
        <w:t>. Moreover, the right to strike can be subject to restrictions where its effects may disproportionately hinder an employer</w:t>
      </w:r>
      <w:r w:rsidR="00A32E76">
        <w:t>’</w:t>
      </w:r>
      <w:r w:rsidRPr="00315F6B">
        <w:t>s freedom of establishment or freedom to provide services</w:t>
      </w:r>
      <w:r w:rsidRPr="00315F6B">
        <w:rPr>
          <w:vertAlign w:val="superscript"/>
        </w:rPr>
        <w:footnoteReference w:id="21"/>
      </w:r>
      <w:r w:rsidRPr="00315F6B">
        <w:t>.</w:t>
      </w:r>
    </w:p>
    <w:p w:rsidRPr="00315F6B" w:rsidR="001937BD" w:rsidP="001937BD" w:rsidRDefault="001937BD">
      <w:pPr>
        <w:pStyle w:val="OpiPara"/>
      </w:pPr>
      <w:r w:rsidRPr="00315F6B">
        <w:t>6.</w:t>
      </w:r>
      <w:r>
        <w:t>  </w:t>
      </w:r>
      <w:r w:rsidRPr="00315F6B">
        <w:t>Within the ILO, workers</w:t>
      </w:r>
      <w:r w:rsidR="00A32E76">
        <w:t>’</w:t>
      </w:r>
      <w:r w:rsidRPr="00315F6B">
        <w:t xml:space="preserve"> organi</w:t>
      </w:r>
      <w:r>
        <w:t>s</w:t>
      </w:r>
      <w:r w:rsidRPr="00315F6B">
        <w:t>ations such as trade unions, federations and confederations, must enjoy the right to strike as an essential means of defending and furthering the economic and social interests of workers. The legitimate exercise of the right to strike may not result in sanctions of any sort, which would be tantamount to acts of anti-union discrimination. Only limited categories of workers may be denied this right and only limited restrictions may be imposed by law on its exercise. The ILO Committee on Freedom of Association and the Committee of Experts on the Application of Convention and Recommendations (the “Committee of Experts”) have considered temporary restrictions on strikes under provisions prohibiting strike action in breach of collective agreements as compatible with freedom of association, since the solution to a legal conflict as a result of a difference in the interpretation or application of a legal text should be left to the competent courts</w:t>
      </w:r>
      <w:r w:rsidRPr="00315F6B">
        <w:rPr>
          <w:vertAlign w:val="superscript"/>
        </w:rPr>
        <w:footnoteReference w:id="22"/>
      </w:r>
      <w:r w:rsidRPr="00315F6B">
        <w:t>. Conversely, a ban on strike action not linked to a collective dispute to which the employee or union is a party would be contrary to the principles of freedom of association. Thus, recourse to strike action is generally possible as a means of pressure for the adoption of an initial agreement or its renewal, although strikes systematically</w:t>
      </w:r>
      <w:r w:rsidRPr="002D4B2F">
        <w:t xml:space="preserve"> </w:t>
      </w:r>
      <w:r w:rsidRPr="00315F6B">
        <w:t>decided long before negotiations take place do not fall within the scope of the principles of freedom of association. Provisions which prohibit strikes if they are concerned with the issue of whether a collective employment contract will bind more than one employer are also contrary to the principles of freedom of association, since workers and their organi</w:t>
      </w:r>
      <w:r>
        <w:t>s</w:t>
      </w:r>
      <w:r w:rsidRPr="00315F6B">
        <w:t>ations should be able to call for industrial action in support of multi-employer contracts. Furthermore, workers</w:t>
      </w:r>
      <w:r w:rsidR="00A32E76">
        <w:t>’</w:t>
      </w:r>
      <w:r w:rsidRPr="00315F6B">
        <w:t xml:space="preserve"> organi</w:t>
      </w:r>
      <w:r>
        <w:t>s</w:t>
      </w:r>
      <w:r w:rsidRPr="00315F6B">
        <w:t>ations bound by collective agreements should not be prevented from striking against the social and economic policy of the Government, in particular where the protest is not only against that policy but also against its effects on some provisions of collective agreements. If the legislation prohibits strikes during the term of collective agreements, this restriction must be compensated by the right to have recourse to “impartial and rapid arbitration machinery” for individual or collective grievances concerning the interpretation or application of collective agreements</w:t>
      </w:r>
      <w:r w:rsidRPr="00315F6B">
        <w:rPr>
          <w:vertAlign w:val="superscript"/>
        </w:rPr>
        <w:footnoteReference w:id="23"/>
      </w:r>
      <w:r w:rsidRPr="00315F6B">
        <w:t>.</w:t>
      </w:r>
    </w:p>
    <w:p w:rsidRPr="006D68D9" w:rsidR="001937BD" w:rsidP="001937BD" w:rsidRDefault="001937BD">
      <w:pPr>
        <w:pStyle w:val="OpiHA"/>
        <w:rPr>
          <w:lang w:val="en-GB"/>
        </w:rPr>
      </w:pPr>
      <w:r w:rsidRPr="006D68D9">
        <w:rPr>
          <w:lang w:val="en-GB"/>
        </w:rPr>
        <w:t>The right to strike in comparative constitutional law</w:t>
      </w:r>
    </w:p>
    <w:p w:rsidRPr="00315F6B" w:rsidR="001937BD" w:rsidP="001937BD" w:rsidRDefault="00C81BE2">
      <w:pPr>
        <w:pStyle w:val="OpiPara"/>
      </w:pPr>
      <w:r>
        <w:t>7.  </w:t>
      </w:r>
      <w:r w:rsidRPr="00315F6B" w:rsidR="001937BD">
        <w:t>The right to strike as a means of action of workers</w:t>
      </w:r>
      <w:r w:rsidR="00A32E76">
        <w:t>’</w:t>
      </w:r>
      <w:r w:rsidRPr="00315F6B" w:rsidR="001937BD">
        <w:t xml:space="preserve"> organi</w:t>
      </w:r>
      <w:r w:rsidR="001937BD">
        <w:t>s</w:t>
      </w:r>
      <w:r w:rsidRPr="00315F6B" w:rsidR="001937BD">
        <w:t xml:space="preserve">ations is almost universally accepted. In a very large number of countries, </w:t>
      </w:r>
      <w:r w:rsidR="001937BD">
        <w:t xml:space="preserve">the </w:t>
      </w:r>
      <w:r w:rsidRPr="00315F6B" w:rsidR="001937BD">
        <w:t>legislature</w:t>
      </w:r>
      <w:r w:rsidR="001937BD">
        <w:t xml:space="preserve"> has</w:t>
      </w:r>
      <w:r w:rsidRPr="00315F6B" w:rsidR="001937BD">
        <w:t xml:space="preserve"> viewed this right as sufficiently important to immuni</w:t>
      </w:r>
      <w:r w:rsidR="001937BD">
        <w:t>s</w:t>
      </w:r>
      <w:r w:rsidRPr="00315F6B" w:rsidR="001937BD">
        <w:t>e it from potential interference, by</w:t>
      </w:r>
      <w:r w:rsidR="001937BD">
        <w:t xml:space="preserve"> </w:t>
      </w:r>
      <w:r w:rsidRPr="00315F6B" w:rsidR="001937BD">
        <w:t>explicitly recogni</w:t>
      </w:r>
      <w:r w:rsidR="001937BD">
        <w:t>s</w:t>
      </w:r>
      <w:r w:rsidRPr="00315F6B" w:rsidR="001937BD">
        <w:t xml:space="preserve">ing it at the constitutional level, such as in Albania, Algeria, Angola, Argentina, Armenia, Azerbaijan, Belarus, Benin, Bolivia, Bosnia and Herzegovina, Brazil, Bulgaria, Burkina Faso, Burundi, Cambodia, Cameroon, Cape Verde, Central African Republic, Chad, Chile, Colombia, Congo, Czech Republic, Democratic Republic of the Congo, Costa Rica, </w:t>
      </w:r>
      <w:r w:rsidR="001937BD">
        <w:t>Ivory Coast</w:t>
      </w:r>
      <w:r w:rsidRPr="00315F6B" w:rsidR="001937BD">
        <w:t>, Croatia, Cyprus, Djibouti, Dominican Republic, Ecuador, El Salvador, Estonia, Ethiopia, France, Georgia, Greece, Guatemala, Guinea, Guinea-Bissau, Guyana, Haiti, Honduras, Hungary, Italy, Kazakhstan, Kenya, Republic of Korea, Kyrgyzstan, Latvia, Lithuania, Luxembourg, the former Yugoslav Republic of Macedonia, Madagascar,</w:t>
      </w:r>
      <w:r w:rsidR="001937BD">
        <w:t xml:space="preserve"> </w:t>
      </w:r>
      <w:r w:rsidRPr="00315F6B" w:rsidR="001937BD">
        <w:t>Maldives, Mali, Mauritania, Mexico, Republic of Moldova, Montenegro, Morocco, Mozambique, Nicaragua, Niger, Panama, Paraguay, Peru, Philippines, Poland, Portugal, Romania, Russian Federation, Rwanda, San Marino, Sao Tome and Principe, Senegal, Serbia, Seychelles, Slovakia, Slovenia, South Africa, Spain, Sweden, Switzerland, Suriname, Timor-Leste, Togo, Turkey, Ukraine, Uruguay and Venezuela</w:t>
      </w:r>
      <w:r w:rsidRPr="00315F6B" w:rsidR="001937BD">
        <w:rPr>
          <w:vertAlign w:val="superscript"/>
        </w:rPr>
        <w:footnoteReference w:id="24"/>
      </w:r>
      <w:r w:rsidRPr="00315F6B" w:rsidR="001937BD">
        <w:t>. In addition, in some countries, such as Ireland and the United States, the highest courts have held that the right to strike is implicit in their constitutional laws</w:t>
      </w:r>
      <w:r w:rsidRPr="00315F6B" w:rsidR="001937BD">
        <w:rPr>
          <w:vertAlign w:val="superscript"/>
        </w:rPr>
        <w:footnoteReference w:id="25"/>
      </w:r>
      <w:r w:rsidRPr="00315F6B" w:rsidR="001937BD">
        <w:t>. This is clear, abundant and uncontested evidence of a continuing international trend</w:t>
      </w:r>
      <w:r w:rsidRPr="00315F6B" w:rsidR="001937BD">
        <w:rPr>
          <w:vertAlign w:val="superscript"/>
        </w:rPr>
        <w:footnoteReference w:id="26"/>
      </w:r>
      <w:r w:rsidRPr="00315F6B" w:rsidR="001937BD">
        <w:t>.</w:t>
      </w:r>
    </w:p>
    <w:p w:rsidR="001937BD" w:rsidP="001937BD" w:rsidRDefault="001937BD">
      <w:pPr>
        <w:pStyle w:val="OpiHA"/>
        <w:rPr>
          <w:lang w:val="en-GB"/>
        </w:rPr>
      </w:pPr>
      <w:r w:rsidRPr="006D68D9">
        <w:rPr>
          <w:lang w:val="en-GB"/>
        </w:rPr>
        <w:t>The right to strike as a human right under the Convention</w:t>
      </w:r>
    </w:p>
    <w:p w:rsidR="001937BD" w:rsidP="001937BD" w:rsidRDefault="001937BD">
      <w:pPr>
        <w:pStyle w:val="OpiPara"/>
        <w:rPr>
          <w:u w:val="single"/>
        </w:rPr>
      </w:pPr>
      <w:r>
        <w:t>8</w:t>
      </w:r>
      <w:r w:rsidRPr="000835A9">
        <w:t>.  </w:t>
      </w:r>
      <w:r w:rsidRPr="00315F6B">
        <w:rPr>
          <w:u w:val="single"/>
        </w:rPr>
        <w:t xml:space="preserve">In the light of </w:t>
      </w:r>
      <w:r w:rsidRPr="00315F6B">
        <w:rPr>
          <w:i/>
          <w:u w:val="single"/>
        </w:rPr>
        <w:t>Demir and Baykara</w:t>
      </w:r>
      <w:r w:rsidRPr="00315F6B">
        <w:rPr>
          <w:u w:val="single"/>
        </w:rPr>
        <w:t xml:space="preserve">, </w:t>
      </w:r>
      <w:r>
        <w:rPr>
          <w:u w:val="single"/>
        </w:rPr>
        <w:t xml:space="preserve">cited above, </w:t>
      </w:r>
      <w:r w:rsidRPr="00315F6B">
        <w:rPr>
          <w:u w:val="single"/>
        </w:rPr>
        <w:t>the right of association of workers includes the following essential elements: the right to form and join a trade union, the prohibition of closed-shop agreements, the right to bargain collectively with the employer and the right for a trade union to seek to persuade the employer to hear what it has to say on behalf of its members</w:t>
      </w:r>
      <w:r w:rsidRPr="00315F6B">
        <w:rPr>
          <w:u w:val="single"/>
          <w:vertAlign w:val="superscript"/>
        </w:rPr>
        <w:footnoteReference w:id="27"/>
      </w:r>
      <w:r w:rsidRPr="00315F6B">
        <w:rPr>
          <w:u w:val="single"/>
        </w:rPr>
        <w:t>. In a democratic society, the ultimate practical “means to persuade the employer to hear”</w:t>
      </w:r>
      <w:r w:rsidRPr="00315F6B">
        <w:rPr>
          <w:u w:val="single"/>
          <w:vertAlign w:val="superscript"/>
        </w:rPr>
        <w:footnoteReference w:id="28"/>
      </w:r>
      <w:r w:rsidRPr="00315F6B">
        <w:rPr>
          <w:u w:val="single"/>
        </w:rPr>
        <w:t xml:space="preserve"> the demands of the workers is obviously strike action. If collective action represents the core of the workers</w:t>
      </w:r>
      <w:r w:rsidR="00A32E76">
        <w:rPr>
          <w:u w:val="single"/>
        </w:rPr>
        <w:t>’</w:t>
      </w:r>
      <w:r w:rsidRPr="00315F6B">
        <w:rPr>
          <w:u w:val="single"/>
        </w:rPr>
        <w:t xml:space="preserve"> freedom of association, strike action is the core of the core. Indeed, striking predated both unions and collective bargaining. Thus, the taking of strike action should be accorded the status of an essential element of the Article 11 guarantee</w:t>
      </w:r>
      <w:r w:rsidRPr="00315F6B">
        <w:rPr>
          <w:u w:val="single"/>
          <w:vertAlign w:val="superscript"/>
        </w:rPr>
        <w:footnoteReference w:id="29"/>
      </w:r>
      <w:r w:rsidRPr="00315F6B">
        <w:rPr>
          <w:u w:val="single"/>
        </w:rPr>
        <w:t>.</w:t>
      </w:r>
    </w:p>
    <w:p w:rsidR="00C81BE2" w:rsidP="001937BD" w:rsidRDefault="001937BD">
      <w:pPr>
        <w:pStyle w:val="OpiPara"/>
      </w:pPr>
      <w:r>
        <w:t>9</w:t>
      </w:r>
      <w:r w:rsidRPr="00315F6B">
        <w:t>.</w:t>
      </w:r>
      <w:r>
        <w:t>  </w:t>
      </w:r>
      <w:r w:rsidRPr="00315F6B">
        <w:t>The right to collective action, including the right to strike, is the starting point from which any restriction must be justified, and any such restriction much be construed strictly</w:t>
      </w:r>
      <w:r w:rsidRPr="00315F6B">
        <w:rPr>
          <w:vertAlign w:val="superscript"/>
        </w:rPr>
        <w:footnoteReference w:id="30"/>
      </w:r>
      <w:r w:rsidRPr="00315F6B">
        <w:t xml:space="preserve">. </w:t>
      </w:r>
      <w:r>
        <w:t>As</w:t>
      </w:r>
      <w:r w:rsidRPr="00315F6B">
        <w:t xml:space="preserve"> the right to strike</w:t>
      </w:r>
      <w:r>
        <w:t xml:space="preserve"> is</w:t>
      </w:r>
      <w:r w:rsidRPr="00315F6B">
        <w:t xml:space="preserve"> an essential element of the workers</w:t>
      </w:r>
      <w:r w:rsidR="00A32E76">
        <w:t>’</w:t>
      </w:r>
      <w:r w:rsidRPr="00315F6B">
        <w:t xml:space="preserve"> right of association, any restriction of that right must be lawful</w:t>
      </w:r>
      <w:r w:rsidRPr="00315F6B">
        <w:rPr>
          <w:vertAlign w:val="superscript"/>
        </w:rPr>
        <w:footnoteReference w:id="31"/>
      </w:r>
      <w:r w:rsidRPr="00315F6B">
        <w:t xml:space="preserve">, pursue a legitimate aim stated in Article 11 </w:t>
      </w:r>
      <w:r>
        <w:t xml:space="preserve">§ 2 </w:t>
      </w:r>
      <w:r w:rsidRPr="00315F6B">
        <w:t>of the Convention and be necessary in a democratic society</w:t>
      </w:r>
      <w:r w:rsidRPr="00315F6B">
        <w:rPr>
          <w:vertAlign w:val="superscript"/>
        </w:rPr>
        <w:footnoteReference w:id="32"/>
      </w:r>
      <w:r w:rsidRPr="00315F6B">
        <w:t>. Collective agreements may be a source of legitimate restrictions of the right to strike, if and when the</w:t>
      </w:r>
      <w:r>
        <w:t>se</w:t>
      </w:r>
      <w:r w:rsidRPr="00315F6B">
        <w:t xml:space="preserve"> conditions are complied with.</w:t>
      </w:r>
    </w:p>
    <w:p w:rsidRPr="00315F6B" w:rsidR="001937BD" w:rsidP="001937BD" w:rsidRDefault="001937BD">
      <w:pPr>
        <w:pStyle w:val="OpiPara"/>
      </w:pPr>
      <w:r w:rsidRPr="00315F6B">
        <w:t xml:space="preserve">In </w:t>
      </w:r>
      <w:r w:rsidRPr="00315F6B">
        <w:rPr>
          <w:i/>
        </w:rPr>
        <w:t>UNISON</w:t>
      </w:r>
      <w:r w:rsidRPr="00315F6B">
        <w:t>, the Court accepted that the restriction on strike action concerned the “rights of others”, referring only to the employer</w:t>
      </w:r>
      <w:r w:rsidRPr="00315F6B">
        <w:rPr>
          <w:vertAlign w:val="superscript"/>
        </w:rPr>
        <w:footnoteReference w:id="33"/>
      </w:r>
      <w:r w:rsidRPr="00315F6B">
        <w:t xml:space="preserve">. Subsequently, </w:t>
      </w:r>
      <w:r w:rsidRPr="00315F6B">
        <w:rPr>
          <w:i/>
        </w:rPr>
        <w:t>The National Union of Rail, Maritime and Transport Workers</w:t>
      </w:r>
      <w:r w:rsidRPr="00315F6B">
        <w:t xml:space="preserve"> amended this restricted view by considering that the potential to impinge upon the rights of persons not party to the industrial dispute, to cause broad disruption within the economy and to affect the delivery of services to the public could also be considered for the legitimate purpose of protecting the rights and freedoms of others, not limited to the employer</w:t>
      </w:r>
      <w:r w:rsidR="00A32E76">
        <w:t>’</w:t>
      </w:r>
      <w:r>
        <w:t>s</w:t>
      </w:r>
      <w:r w:rsidRPr="00315F6B">
        <w:t xml:space="preserve"> side in an industrial dispute.</w:t>
      </w:r>
      <w:r>
        <w:t xml:space="preserve"> </w:t>
      </w:r>
      <w:r w:rsidRPr="00315F6B">
        <w:t>Furthermore, it differentiated between an accessory and a core aspect of trade union freedom, the taking of secondary industrial action by a trade union, including strike action, against one employer in order to further a dispute in which the union</w:t>
      </w:r>
      <w:r w:rsidR="00A32E76">
        <w:t>’</w:t>
      </w:r>
      <w:r w:rsidRPr="00315F6B">
        <w:t xml:space="preserve">s members are engaged with another employer being considered as an accessory, and not a core, aspect of that freedom, with the consequence that Governments should have a wider margin of appreciation in regulating </w:t>
      </w:r>
      <w:r>
        <w:t>that</w:t>
      </w:r>
      <w:r w:rsidRPr="00315F6B">
        <w:t xml:space="preserve"> aspect. In view of the interests that could be hurt by sympathy strikes or secondary action, that margin of appreciation could eventually include the outright suppression of that facet of the workers</w:t>
      </w:r>
      <w:r w:rsidR="00A32E76">
        <w:t>’</w:t>
      </w:r>
      <w:r w:rsidRPr="00315F6B">
        <w:t xml:space="preserve"> right to collective action through strike</w:t>
      </w:r>
      <w:r w:rsidRPr="00315F6B">
        <w:rPr>
          <w:vertAlign w:val="superscript"/>
        </w:rPr>
        <w:footnoteReference w:id="34"/>
      </w:r>
      <w:r w:rsidRPr="00315F6B">
        <w:t>.</w:t>
      </w:r>
    </w:p>
    <w:p w:rsidR="001937BD" w:rsidP="001937BD" w:rsidRDefault="001937BD">
      <w:pPr>
        <w:pStyle w:val="OpiPara"/>
      </w:pPr>
      <w:r>
        <w:t>10</w:t>
      </w:r>
      <w:r w:rsidRPr="00315F6B">
        <w:t>.</w:t>
      </w:r>
      <w:r>
        <w:t>  While</w:t>
      </w:r>
      <w:r w:rsidRPr="00315F6B">
        <w:t xml:space="preserve"> it is true that the right to collective bargaining does not </w:t>
      </w:r>
      <w:r w:rsidRPr="00315F6B">
        <w:rPr>
          <w:i/>
        </w:rPr>
        <w:t>per se</w:t>
      </w:r>
      <w:r w:rsidRPr="00315F6B">
        <w:t xml:space="preserve"> correspond to a “right” to have a collective agreement, and a concomitant obligation on employers to actually enter into a collective agreement, or remain in any particular collective bargaining arrangement, or accede to the requests of a union on behalf of its members</w:t>
      </w:r>
      <w:r w:rsidRPr="00315F6B">
        <w:rPr>
          <w:vertAlign w:val="superscript"/>
        </w:rPr>
        <w:footnoteReference w:id="35"/>
      </w:r>
      <w:r w:rsidRPr="00315F6B">
        <w:t>, it is also undeniable that the right to engage collectively in social dialogue with employers would be devoid of its real practical force if not accompanied by the possibility of resorting to strike action whenever employers either do not want to enter that dialogue,</w:t>
      </w:r>
      <w:r>
        <w:t xml:space="preserve"> or</w:t>
      </w:r>
      <w:r w:rsidRPr="00315F6B">
        <w:t xml:space="preserve"> have abandoned or undermined it. To use the strong, but appropriate</w:t>
      </w:r>
      <w:r>
        <w:t>,</w:t>
      </w:r>
      <w:r w:rsidRPr="00315F6B">
        <w:t xml:space="preserve"> words of the Chamber in the present case, the right to strike is “the most powerful instrument to protect occupational interests” of trade unions and their members. States have a duty to guarantee that the exercise of this fundamental human right be fully preserved both in the public a</w:t>
      </w:r>
      <w:r>
        <w:t>nd</w:t>
      </w:r>
      <w:r w:rsidRPr="00315F6B">
        <w:t xml:space="preserve"> the private employment sector. They can neither be neutral nor passive when faced with breaches of the right to collective bargaining, including the right to strike, in the private employment sector, and therefore a positive obligation </w:t>
      </w:r>
      <w:r>
        <w:t>is imposed</w:t>
      </w:r>
      <w:r w:rsidRPr="00315F6B">
        <w:t xml:space="preserve"> </w:t>
      </w:r>
      <w:r>
        <w:t>on</w:t>
      </w:r>
      <w:r w:rsidRPr="00315F6B">
        <w:t xml:space="preserve"> States</w:t>
      </w:r>
      <w:r w:rsidRPr="005E2C5A">
        <w:t xml:space="preserve"> </w:t>
      </w:r>
      <w:r>
        <w:t xml:space="preserve">under </w:t>
      </w:r>
      <w:r w:rsidRPr="00315F6B">
        <w:t>Article 11 to remedy and even prevent those breaches</w:t>
      </w:r>
      <w:r w:rsidRPr="00315F6B">
        <w:rPr>
          <w:vertAlign w:val="superscript"/>
        </w:rPr>
        <w:footnoteReference w:id="36"/>
      </w:r>
      <w:r w:rsidRPr="00315F6B">
        <w:t>.</w:t>
      </w:r>
    </w:p>
    <w:p w:rsidR="001937BD" w:rsidP="001937BD" w:rsidRDefault="001937BD">
      <w:pPr>
        <w:pStyle w:val="OpiPara"/>
      </w:pPr>
      <w:r w:rsidRPr="00315F6B">
        <w:t>As regards the argument that the union</w:t>
      </w:r>
      <w:r w:rsidR="00A32E76">
        <w:t>’</w:t>
      </w:r>
      <w:r w:rsidRPr="00315F6B">
        <w:t>s interests in protecting its members must not necessarily weigh more heavily than the employer</w:t>
      </w:r>
      <w:r w:rsidR="00A32E76">
        <w:t>’</w:t>
      </w:r>
      <w:r w:rsidRPr="00315F6B">
        <w:t>s economic freedoms, the Court has already set its own standard applicable to these conflicting interests, when it considered that the impact of any restriction on unions</w:t>
      </w:r>
      <w:r w:rsidR="00A32E76">
        <w:t>’</w:t>
      </w:r>
      <w:r w:rsidRPr="00315F6B">
        <w:t xml:space="preserve"> ability to take strike action must not place their members at any real or immediate risk of detriment or of being left defenceless against future attempts to downgrade pay or other work conditions. When that occurs, the restriction is disproportionate</w:t>
      </w:r>
      <w:r w:rsidRPr="00315F6B">
        <w:rPr>
          <w:vertAlign w:val="superscript"/>
        </w:rPr>
        <w:footnoteReference w:id="37"/>
      </w:r>
      <w:r w:rsidRPr="00315F6B">
        <w:t>.</w:t>
      </w:r>
    </w:p>
    <w:p w:rsidRPr="006D68D9" w:rsidR="001937BD" w:rsidP="001937BD" w:rsidRDefault="001937BD">
      <w:pPr>
        <w:pStyle w:val="OpiHA"/>
        <w:rPr>
          <w:lang w:val="en-GB"/>
        </w:rPr>
      </w:pPr>
      <w:r w:rsidRPr="006D68D9">
        <w:rPr>
          <w:lang w:val="en-GB"/>
        </w:rPr>
        <w:t>The assessment of the facts of the case under the European test</w:t>
      </w:r>
    </w:p>
    <w:p w:rsidR="001937BD" w:rsidP="001937BD" w:rsidRDefault="001937BD">
      <w:pPr>
        <w:pStyle w:val="OpiPara"/>
      </w:pPr>
      <w:r w:rsidRPr="00315F6B">
        <w:t>1</w:t>
      </w:r>
      <w:r>
        <w:t>1</w:t>
      </w:r>
      <w:r w:rsidRPr="00315F6B">
        <w:t>.</w:t>
      </w:r>
      <w:r>
        <w:t>  </w:t>
      </w:r>
      <w:r w:rsidRPr="00315F6B">
        <w:t>The applicant</w:t>
      </w:r>
      <w:r>
        <w:t xml:space="preserve"> union</w:t>
      </w:r>
      <w:r w:rsidR="00A32E76">
        <w:t>’</w:t>
      </w:r>
      <w:r w:rsidRPr="00315F6B">
        <w:t>s justification for striking was threefold: first, to protect the social and economic interests of doctors by insisting that the Government of Croatia honour its obligations arising from</w:t>
      </w:r>
      <w:r>
        <w:t xml:space="preserve"> the</w:t>
      </w:r>
      <w:r w:rsidRPr="00315F6B">
        <w:t xml:space="preserve"> Collective Agreement for the Medical and Dentistry Sector</w:t>
      </w:r>
      <w:r>
        <w:t xml:space="preserve"> –</w:t>
      </w:r>
      <w:r w:rsidRPr="00315F6B">
        <w:t xml:space="preserve"> the</w:t>
      </w:r>
      <w:r>
        <w:t xml:space="preserve"> </w:t>
      </w:r>
      <w:r w:rsidRPr="00315F6B">
        <w:t>Annex; second, to have the results of the referendum on the approval of the Annex recogni</w:t>
      </w:r>
      <w:r>
        <w:t>s</w:t>
      </w:r>
      <w:r w:rsidRPr="00315F6B">
        <w:t>ed; and third, and as a subsidiary ground, to address issues specific to doctors and dentists within the healthcare system by demanding that a collective agreement for the medical and dentistry sector be concluded.</w:t>
      </w:r>
    </w:p>
    <w:p w:rsidRPr="00315F6B" w:rsidR="001937BD" w:rsidP="001937BD" w:rsidRDefault="001937BD">
      <w:pPr>
        <w:pStyle w:val="OpiPara"/>
      </w:pPr>
      <w:r w:rsidRPr="00315F6B">
        <w:t>The applicant</w:t>
      </w:r>
      <w:r>
        <w:t xml:space="preserve"> union</w:t>
      </w:r>
      <w:r w:rsidRPr="00315F6B">
        <w:t xml:space="preserve"> itself admitted that the Annex was concluded without all the partners of the collective agreement</w:t>
      </w:r>
      <w:r>
        <w:t xml:space="preserve"> having signed it</w:t>
      </w:r>
      <w:r w:rsidRPr="00315F6B">
        <w:t>, but argued that the Annex was a “separate legal act” and</w:t>
      </w:r>
      <w:r>
        <w:t xml:space="preserve"> that</w:t>
      </w:r>
      <w:r w:rsidRPr="00315F6B">
        <w:t xml:space="preserve"> it was “empowered to negotiate” it alone and hence wanted to “bring about the application of the signed agreement”</w:t>
      </w:r>
      <w:r w:rsidRPr="00315F6B">
        <w:rPr>
          <w:vertAlign w:val="superscript"/>
        </w:rPr>
        <w:footnoteReference w:id="38"/>
      </w:r>
      <w:r w:rsidRPr="00315F6B">
        <w:t>. Th</w:t>
      </w:r>
      <w:r>
        <w:t>at submission</w:t>
      </w:r>
      <w:r w:rsidRPr="00315F6B">
        <w:t xml:space="preserve"> is clearly unfounded, since the “Annex” was not a “separate act” and the collective agreement could only be complemented or altered by all the sign</w:t>
      </w:r>
      <w:r>
        <w:t>atories</w:t>
      </w:r>
      <w:r w:rsidRPr="00315F6B">
        <w:t xml:space="preserve">, </w:t>
      </w:r>
      <w:r>
        <w:t>in accordance with</w:t>
      </w:r>
      <w:r w:rsidRPr="00315F6B">
        <w:t xml:space="preserve"> the principle of parity in</w:t>
      </w:r>
      <w:r w:rsidR="00C81BE2">
        <w:t xml:space="preserve"> collective bargaining (section </w:t>
      </w:r>
      <w:r w:rsidRPr="00315F6B">
        <w:t xml:space="preserve">186(1) of the Labour Act). </w:t>
      </w:r>
      <w:r>
        <w:t>To that extent</w:t>
      </w:r>
      <w:r w:rsidRPr="00315F6B">
        <w:t xml:space="preserve"> the domestic courts were right in finding the Annex invalid and the first two grounds for the strike unlawful.</w:t>
      </w:r>
    </w:p>
    <w:p w:rsidR="001937BD" w:rsidP="001937BD" w:rsidRDefault="001937BD">
      <w:pPr>
        <w:pStyle w:val="OpiPara"/>
      </w:pPr>
      <w:r w:rsidRPr="00315F6B">
        <w:t>1</w:t>
      </w:r>
      <w:r>
        <w:t>2</w:t>
      </w:r>
      <w:r w:rsidRPr="00315F6B">
        <w:t>.</w:t>
      </w:r>
      <w:r>
        <w:t>  </w:t>
      </w:r>
      <w:r w:rsidRPr="00315F6B">
        <w:t>Since the Annex was formally invalid, and the first</w:t>
      </w:r>
      <w:r w:rsidRPr="00AC31C8">
        <w:t xml:space="preserve"> </w:t>
      </w:r>
      <w:r w:rsidRPr="00315F6B">
        <w:t xml:space="preserve">two grounds for the strike were dependent on its validity, the only ground left for the strike was the “subsidiary” demand that a collective agreement for the specific medical and dentistry sector be concluded. The crux of the case lies </w:t>
      </w:r>
      <w:r>
        <w:t>i</w:t>
      </w:r>
      <w:r w:rsidRPr="00315F6B">
        <w:t xml:space="preserve">n knowing </w:t>
      </w:r>
      <w:r>
        <w:t>whether</w:t>
      </w:r>
      <w:r w:rsidRPr="00315F6B">
        <w:t xml:space="preserve"> th</w:t>
      </w:r>
      <w:r>
        <w:t>at</w:t>
      </w:r>
      <w:r w:rsidRPr="00315F6B">
        <w:t xml:space="preserve"> subsidiary ground for striking was covered by Article</w:t>
      </w:r>
      <w:r>
        <w:t> </w:t>
      </w:r>
      <w:r w:rsidRPr="00315F6B">
        <w:t>210(1) of the Labour Act (“in order to protect and promote the economic and social interests of their members or on the ground o</w:t>
      </w:r>
      <w:r>
        <w:t>f</w:t>
      </w:r>
      <w:r w:rsidRPr="00315F6B">
        <w:t xml:space="preserve"> non-payment of salary</w:t>
      </w:r>
      <w:r>
        <w:t>...</w:t>
      </w:r>
      <w:r w:rsidRPr="00315F6B">
        <w:t xml:space="preserve">”), or Article 10 of the Collective Agreement for the Health and Health Insurance Sector (“in respect of all other unresolved issues or in the case of a dispute concerning the amendment or supplement to this Agreement”). </w:t>
      </w:r>
      <w:r>
        <w:t>It</w:t>
      </w:r>
      <w:r w:rsidRPr="00315F6B">
        <w:t xml:space="preserve"> evidently </w:t>
      </w:r>
      <w:r>
        <w:t>was</w:t>
      </w:r>
      <w:r w:rsidRPr="00315F6B">
        <w:t>. The legal framework</w:t>
      </w:r>
      <w:r>
        <w:t xml:space="preserve"> in question</w:t>
      </w:r>
      <w:r w:rsidRPr="00315F6B">
        <w:t xml:space="preserve"> did provide for striking for the purpose of ensuring employment-related interests not provided</w:t>
      </w:r>
      <w:r>
        <w:t xml:space="preserve"> for</w:t>
      </w:r>
      <w:r w:rsidRPr="00315F6B">
        <w:t xml:space="preserve"> in the collective agreement, which was exactly what the applicant union intended, since it aimed at addressing the special needs of a professional sector which were not dealt with by the collective agreement.</w:t>
      </w:r>
    </w:p>
    <w:p w:rsidRPr="00315F6B" w:rsidR="001937BD" w:rsidP="001937BD" w:rsidRDefault="001937BD">
      <w:pPr>
        <w:pStyle w:val="OpiPara"/>
      </w:pPr>
      <w:r w:rsidRPr="00315F6B">
        <w:t>Arguably</w:t>
      </w:r>
      <w:r>
        <w:t>,</w:t>
      </w:r>
      <w:r w:rsidRPr="00315F6B">
        <w:t xml:space="preserve"> the applicant</w:t>
      </w:r>
      <w:r>
        <w:t xml:space="preserve"> union</w:t>
      </w:r>
      <w:r w:rsidR="00A32E76">
        <w:t>’</w:t>
      </w:r>
      <w:r w:rsidRPr="00315F6B">
        <w:t xml:space="preserve">s claim </w:t>
      </w:r>
      <w:r>
        <w:t>that there were</w:t>
      </w:r>
      <w:r w:rsidRPr="00315F6B">
        <w:t xml:space="preserve"> “unresolved issues” in the medical and dentistry sector could be used as a roundabout way </w:t>
      </w:r>
      <w:r>
        <w:t>of</w:t>
      </w:r>
      <w:r w:rsidRPr="00315F6B">
        <w:t xml:space="preserve"> tak</w:t>
      </w:r>
      <w:r>
        <w:t>ing</w:t>
      </w:r>
      <w:r w:rsidRPr="00315F6B">
        <w:t xml:space="preserve"> collective action that runs counter to the </w:t>
      </w:r>
      <w:r>
        <w:t xml:space="preserve">social </w:t>
      </w:r>
      <w:r w:rsidRPr="00315F6B">
        <w:t>peace obligation. But that was not the case, and the best evidence for that was that the applicant</w:t>
      </w:r>
      <w:r w:rsidR="00A32E76">
        <w:t>’</w:t>
      </w:r>
      <w:r w:rsidRPr="00315F6B">
        <w:t>s claim was endorsed by all</w:t>
      </w:r>
      <w:r>
        <w:t xml:space="preserve"> the</w:t>
      </w:r>
      <w:r w:rsidRPr="00315F6B">
        <w:t xml:space="preserve"> other relevant participants in the negotiation process </w:t>
      </w:r>
      <w:r>
        <w:t>regarding</w:t>
      </w:r>
      <w:r w:rsidRPr="00315F6B">
        <w:t xml:space="preserve"> the main collective agreement. Three facts support this assessment: firstly, the </w:t>
      </w:r>
      <w:r>
        <w:t>G</w:t>
      </w:r>
      <w:r w:rsidRPr="00315F6B">
        <w:t xml:space="preserve">overnment had already entered </w:t>
      </w:r>
      <w:r>
        <w:t xml:space="preserve">into </w:t>
      </w:r>
      <w:r w:rsidRPr="00315F6B">
        <w:t>a special agreement with the applicant</w:t>
      </w:r>
      <w:r>
        <w:t xml:space="preserve"> union</w:t>
      </w:r>
      <w:r w:rsidRPr="00315F6B">
        <w:t xml:space="preserve"> in order to satisfy the specific needs of the professional sector in question, which was </w:t>
      </w:r>
      <w:r>
        <w:t>in</w:t>
      </w:r>
      <w:r w:rsidRPr="00315F6B">
        <w:t xml:space="preserve">valid only </w:t>
      </w:r>
      <w:r>
        <w:t>on account of</w:t>
      </w:r>
      <w:r w:rsidRPr="00315F6B">
        <w:t xml:space="preserve"> a procedural flaw </w:t>
      </w:r>
      <w:r>
        <w:t>in</w:t>
      </w:r>
      <w:r w:rsidRPr="00315F6B">
        <w:t xml:space="preserve"> </w:t>
      </w:r>
      <w:r>
        <w:t>the</w:t>
      </w:r>
      <w:r w:rsidRPr="00315F6B">
        <w:t xml:space="preserve"> decisional process</w:t>
      </w:r>
      <w:r w:rsidRPr="00315F6B">
        <w:rPr>
          <w:vertAlign w:val="superscript"/>
        </w:rPr>
        <w:footnoteReference w:id="39"/>
      </w:r>
      <w:r w:rsidRPr="00315F6B">
        <w:t xml:space="preserve">; secondly, the </w:t>
      </w:r>
      <w:r>
        <w:t>G</w:t>
      </w:r>
      <w:r w:rsidRPr="00315F6B">
        <w:t>overnment acknowledged the need for a salary</w:t>
      </w:r>
      <w:r w:rsidRPr="00AC31C8">
        <w:t xml:space="preserve"> </w:t>
      </w:r>
      <w:r w:rsidRPr="00315F6B">
        <w:t>increase in this special professional sector, and even implemented it unilaterally</w:t>
      </w:r>
      <w:r w:rsidRPr="00315F6B">
        <w:rPr>
          <w:vertAlign w:val="superscript"/>
        </w:rPr>
        <w:footnoteReference w:id="40"/>
      </w:r>
      <w:r w:rsidRPr="00315F6B">
        <w:t>; and thirdly, even the other trade unions</w:t>
      </w:r>
      <w:r>
        <w:t>,</w:t>
      </w:r>
      <w:r w:rsidRPr="00315F6B">
        <w:t xml:space="preserve"> parties to the Collective Agreement for the Health and Health Insurance Sector</w:t>
      </w:r>
      <w:r>
        <w:t>,</w:t>
      </w:r>
      <w:r w:rsidRPr="00315F6B">
        <w:t xml:space="preserve"> had agreed</w:t>
      </w:r>
      <w:r>
        <w:t xml:space="preserve"> that there was a</w:t>
      </w:r>
      <w:r w:rsidRPr="00315F6B">
        <w:t xml:space="preserve"> need for a special arrangement for the specific needs of the medical and dentistry sector</w:t>
      </w:r>
      <w:r w:rsidRPr="00315F6B">
        <w:rPr>
          <w:vertAlign w:val="superscript"/>
        </w:rPr>
        <w:footnoteReference w:id="41"/>
      </w:r>
      <w:r w:rsidRPr="00315F6B">
        <w:t xml:space="preserve">. In reality, a genuine need for a special arrangement </w:t>
      </w:r>
      <w:r>
        <w:t>protecting</w:t>
      </w:r>
      <w:r w:rsidRPr="00315F6B">
        <w:t xml:space="preserve"> the interests of the members of this professional sector which had not been</w:t>
      </w:r>
      <w:r>
        <w:t xml:space="preserve"> covered</w:t>
      </w:r>
      <w:r w:rsidRPr="00315F6B">
        <w:t xml:space="preserve"> in that agreement had emerged, and that need had been recogni</w:t>
      </w:r>
      <w:r>
        <w:t>s</w:t>
      </w:r>
      <w:r w:rsidRPr="00315F6B">
        <w:t>ed by all relevant stakeholders in the Croatian health service labour market.</w:t>
      </w:r>
    </w:p>
    <w:p w:rsidR="001937BD" w:rsidP="001937BD" w:rsidRDefault="001937BD">
      <w:pPr>
        <w:pStyle w:val="OpiPara"/>
      </w:pPr>
      <w:r w:rsidRPr="00315F6B">
        <w:t>1</w:t>
      </w:r>
      <w:r>
        <w:t>3</w:t>
      </w:r>
      <w:r w:rsidRPr="00315F6B">
        <w:t>.</w:t>
      </w:r>
      <w:r>
        <w:t>  </w:t>
      </w:r>
      <w:r w:rsidRPr="00315F6B">
        <w:t xml:space="preserve">In other words, the third ground for the strike was lawful and the strike was perfectly legitimate. Conversely, </w:t>
      </w:r>
      <w:r>
        <w:t>while</w:t>
      </w:r>
      <w:r w:rsidRPr="00315F6B">
        <w:t xml:space="preserve"> the prohibition of the strike on the basis of its first and second grounds (to enforce the Annex obligations) was lawful and pursued a legitimate aim, it was unlawful and did not pursue a legitimate aim with regard to its alternative third ground (to regulate issues specific to doctors and dentists). The domestic courts decided, in the civil proceedings for the prohibition of the strike, that they were not required to take into consideration th</w:t>
      </w:r>
      <w:r>
        <w:t>e</w:t>
      </w:r>
      <w:r w:rsidRPr="00315F6B">
        <w:t xml:space="preserve"> third ground because the applicant union</w:t>
      </w:r>
      <w:r w:rsidR="00A32E76">
        <w:t>’</w:t>
      </w:r>
      <w:r w:rsidRPr="00315F6B">
        <w:t>s representative had allegedly stated during the proceedings that it had been listed as</w:t>
      </w:r>
      <w:r>
        <w:t xml:space="preserve"> a</w:t>
      </w:r>
      <w:r w:rsidRPr="00315F6B">
        <w:t xml:space="preserve"> subsidiary</w:t>
      </w:r>
      <w:r>
        <w:t xml:space="preserve"> ground</w:t>
      </w:r>
      <w:r w:rsidRPr="00315F6B">
        <w:t xml:space="preserve"> in case the Annex was declared invalid</w:t>
      </w:r>
      <w:r w:rsidRPr="005A2DB6">
        <w:t xml:space="preserve"> </w:t>
      </w:r>
      <w:r w:rsidRPr="00315F6B">
        <w:t xml:space="preserve">in the meantime in the parallel civil proceedings </w:t>
      </w:r>
      <w:r>
        <w:t>to have it</w:t>
      </w:r>
      <w:r w:rsidRPr="00315F6B">
        <w:t xml:space="preserve"> declar</w:t>
      </w:r>
      <w:r>
        <w:t>ed</w:t>
      </w:r>
      <w:r w:rsidRPr="00315F6B">
        <w:t xml:space="preserve"> null and void, and that condition had not been fulfilled at the time of the delivery of their judgments. This formalistic approach of the domestic courts is </w:t>
      </w:r>
      <w:r>
        <w:t>unacceptable</w:t>
      </w:r>
      <w:r w:rsidRPr="00315F6B">
        <w:t>: in the civil proceedings for the prohibition of the strike, the domestic courts found that the Annex was “invalid”, but did not draw all the legal consequences from that reasoning. Instead</w:t>
      </w:r>
      <w:r>
        <w:t>,</w:t>
      </w:r>
      <w:r w:rsidRPr="00315F6B">
        <w:t xml:space="preserve"> they avoided address</w:t>
      </w:r>
      <w:r>
        <w:t>ing</w:t>
      </w:r>
      <w:r w:rsidRPr="00315F6B">
        <w:t xml:space="preserve"> the legality of the prohibition order in the light of the third purpose of the strike </w:t>
      </w:r>
      <w:r>
        <w:t>on grounds</w:t>
      </w:r>
      <w:r w:rsidRPr="00315F6B">
        <w:t xml:space="preserve"> that the Annex had not yet been declared invalid. </w:t>
      </w:r>
      <w:r w:rsidRPr="00315F6B">
        <w:rPr>
          <w:i/>
          <w:iCs/>
        </w:rPr>
        <w:t>Allegans contraria non est audiendus</w:t>
      </w:r>
      <w:r w:rsidRPr="00315F6B">
        <w:rPr>
          <w:vertAlign w:val="superscript"/>
        </w:rPr>
        <w:footnoteReference w:id="42"/>
      </w:r>
      <w:r w:rsidRPr="00315F6B">
        <w:t>.</w:t>
      </w:r>
    </w:p>
    <w:p w:rsidR="00C81BE2" w:rsidP="001937BD" w:rsidRDefault="001937BD">
      <w:pPr>
        <w:pStyle w:val="OpiPara"/>
      </w:pPr>
      <w:r w:rsidRPr="00315F6B">
        <w:t>1</w:t>
      </w:r>
      <w:r>
        <w:t>4</w:t>
      </w:r>
      <w:r w:rsidRPr="00315F6B">
        <w:t>.</w:t>
      </w:r>
      <w:r>
        <w:t>  </w:t>
      </w:r>
      <w:r w:rsidRPr="00315F6B">
        <w:t xml:space="preserve">Moreover, the prohibition of the right to strike for a period of three years and eight months is </w:t>
      </w:r>
      <w:r w:rsidRPr="00315F6B">
        <w:rPr>
          <w:i/>
        </w:rPr>
        <w:t>per se</w:t>
      </w:r>
      <w:r w:rsidRPr="00315F6B">
        <w:t xml:space="preserve"> disproportionate</w:t>
      </w:r>
      <w:r w:rsidRPr="00315F6B">
        <w:rPr>
          <w:vertAlign w:val="superscript"/>
        </w:rPr>
        <w:footnoteReference w:id="43"/>
      </w:r>
      <w:r w:rsidRPr="00315F6B">
        <w:t xml:space="preserve">. The right to have recourse to “impartial and rapid arbitration machinery” for individual or collective grievances concerning the interpretation or application of collective agreements is a crucial element of the right to collective bargaining. The same right applies to disputes on the validity of amendments or supplements to the collective agreement. The perpetuation of the provisional order of the Zagreb </w:t>
      </w:r>
      <w:r>
        <w:t>C</w:t>
      </w:r>
      <w:r w:rsidRPr="00315F6B">
        <w:t xml:space="preserve">ourt of 12 April 2005 not only petrified the labor conflict, but also deprived the applicant union of the “most important instrument” it had to put pressure on the </w:t>
      </w:r>
      <w:r>
        <w:t>G</w:t>
      </w:r>
      <w:r w:rsidRPr="00315F6B">
        <w:t>overnment to address the special interests of doctors and dentists and grant them the same level of rights that had already been agreed upon in the Annex</w:t>
      </w:r>
      <w:r w:rsidRPr="00315F6B">
        <w:rPr>
          <w:vertAlign w:val="superscript"/>
        </w:rPr>
        <w:footnoteReference w:id="44"/>
      </w:r>
      <w:r w:rsidRPr="00315F6B">
        <w:t>.</w:t>
      </w:r>
    </w:p>
    <w:p w:rsidR="001937BD" w:rsidP="001937BD" w:rsidRDefault="001937BD">
      <w:pPr>
        <w:pStyle w:val="OpiPara"/>
      </w:pPr>
      <w:r w:rsidRPr="00315F6B">
        <w:t>1</w:t>
      </w:r>
      <w:r>
        <w:t>5</w:t>
      </w:r>
      <w:r w:rsidRPr="00315F6B">
        <w:t>.</w:t>
      </w:r>
      <w:r>
        <w:t>  </w:t>
      </w:r>
      <w:r w:rsidRPr="00315F6B">
        <w:t>Finally, the Government argued that the strike could have had grave consequences in terms of the quality and quantity of the medical and dentistry service provided nationwide</w:t>
      </w:r>
      <w:r w:rsidRPr="00315F6B">
        <w:rPr>
          <w:vertAlign w:val="superscript"/>
        </w:rPr>
        <w:footnoteReference w:id="45"/>
      </w:r>
      <w:r w:rsidRPr="00315F6B">
        <w:t xml:space="preserve">. </w:t>
      </w:r>
      <w:r w:rsidR="00C81BE2">
        <w:t>The strike was announced for 11 </w:t>
      </w:r>
      <w:r w:rsidRPr="00315F6B">
        <w:t>April 2005 and lasted only two days. Although the effects of the strike are disputed, the Government admitted that 85%</w:t>
      </w:r>
      <w:r>
        <w:t xml:space="preserve"> of</w:t>
      </w:r>
      <w:r w:rsidRPr="00315F6B">
        <w:t xml:space="preserve"> services had been rendered and work stoppages occurred in only one out of five clinical cent</w:t>
      </w:r>
      <w:r>
        <w:t>re</w:t>
      </w:r>
      <w:r w:rsidRPr="00315F6B">
        <w:t>s, one out</w:t>
      </w:r>
      <w:r>
        <w:t xml:space="preserve"> of</w:t>
      </w:r>
      <w:r w:rsidRPr="00315F6B">
        <w:t xml:space="preserve"> se</w:t>
      </w:r>
      <w:r w:rsidR="00B7322E">
        <w:t xml:space="preserve">ven university hospitals and </w:t>
      </w:r>
      <w:r w:rsidRPr="00315F6B">
        <w:t>six out of 22 general hospitals</w:t>
      </w:r>
      <w:r w:rsidRPr="00315F6B">
        <w:rPr>
          <w:vertAlign w:val="superscript"/>
        </w:rPr>
        <w:footnoteReference w:id="46"/>
      </w:r>
      <w:r w:rsidRPr="00315F6B">
        <w:t>. It is inherent in the very exercise of the right to take collective action, including to strike, that some degree of social nuisance will be caused and fundamental economic freedoms of the employer will be prejudiced to a certain degree. The Article 11 § 2 test of “necessity in a democratic society” may take in</w:t>
      </w:r>
      <w:r>
        <w:t>to</w:t>
      </w:r>
      <w:r w:rsidRPr="00315F6B">
        <w:t xml:space="preserve"> account the social and economic consequences of the exercise of the right to strike</w:t>
      </w:r>
      <w:r w:rsidRPr="00315F6B">
        <w:rPr>
          <w:vertAlign w:val="superscript"/>
        </w:rPr>
        <w:footnoteReference w:id="47"/>
      </w:r>
      <w:r w:rsidRPr="00315F6B">
        <w:t>. In this particular case, the social nuisance and economic damage caused cannot be considered excessive, in view of the number of days of the strike, the percentage of medical services rendered during the strike and the percentage of work stoppages</w:t>
      </w:r>
      <w:r>
        <w:t xml:space="preserve"> that</w:t>
      </w:r>
      <w:r w:rsidRPr="00315F6B">
        <w:t xml:space="preserve"> occurred in clinical cent</w:t>
      </w:r>
      <w:r>
        <w:t>re</w:t>
      </w:r>
      <w:r w:rsidRPr="00315F6B">
        <w:t>s, university hospitals and general hospitals nationwide, and therefore the prohibition of the strike was not necessary in a democratic society.</w:t>
      </w:r>
    </w:p>
    <w:p w:rsidRPr="006D68D9" w:rsidR="001937BD" w:rsidP="001937BD" w:rsidRDefault="001937BD">
      <w:pPr>
        <w:pStyle w:val="OpiHA"/>
        <w:rPr>
          <w:lang w:val="en-GB"/>
        </w:rPr>
      </w:pPr>
      <w:r w:rsidRPr="006D68D9">
        <w:rPr>
          <w:lang w:val="en-GB"/>
        </w:rPr>
        <w:t>Conclusion</w:t>
      </w:r>
    </w:p>
    <w:p w:rsidR="001937BD" w:rsidP="001937BD" w:rsidRDefault="001937BD">
      <w:pPr>
        <w:pStyle w:val="OpiPara"/>
      </w:pPr>
      <w:r w:rsidRPr="00315F6B">
        <w:t>1</w:t>
      </w:r>
      <w:r>
        <w:t>6</w:t>
      </w:r>
      <w:r w:rsidRPr="00315F6B">
        <w:t>.</w:t>
      </w:r>
      <w:r>
        <w:t>  </w:t>
      </w:r>
      <w:r w:rsidRPr="00315F6B">
        <w:t>Freedom of association of workers, collective bargaining and strike action are inextricably linked, the latter being an instrumental means of exercising the former. The Convention cannot be immune to the realities of labour life. It would be carrying judicial anchoritism too far if this Court were to feign ignorance of the different bargaining position of employees and employers in an employment relation in today</w:t>
      </w:r>
      <w:r w:rsidR="00A32E76">
        <w:t>’</w:t>
      </w:r>
      <w:r w:rsidRPr="00315F6B">
        <w:t>s global, volatile and fragmented labour market and the practical, counter-balancing effect of collective and strike action when employers are not committed to dialogue and negotiation.</w:t>
      </w:r>
    </w:p>
    <w:p w:rsidR="001937BD" w:rsidP="001937BD" w:rsidRDefault="001937BD">
      <w:pPr>
        <w:pStyle w:val="OpiPara"/>
      </w:pPr>
      <w:r w:rsidRPr="00315F6B">
        <w:t>Thus, the Convention protects the right to strike as an essential, core right of workers</w:t>
      </w:r>
      <w:r w:rsidR="00A32E76">
        <w:t>’</w:t>
      </w:r>
      <w:r w:rsidRPr="00315F6B">
        <w:t xml:space="preserve"> freedom of association, and any restrictions to that right must be lawful, pursue a legitimate aim stated in Article 11</w:t>
      </w:r>
      <w:r>
        <w:t xml:space="preserve"> § 2</w:t>
      </w:r>
      <w:r w:rsidRPr="00315F6B">
        <w:t xml:space="preserve"> of the Convention and be necessary in a democratic society. In the context of a collective agreement, strike action is legitimate when there is a genuine need for a special arrangement </w:t>
      </w:r>
      <w:r>
        <w:t>regarding</w:t>
      </w:r>
      <w:r w:rsidRPr="00315F6B">
        <w:t xml:space="preserve"> the interests of the members of a professional sector which have not been </w:t>
      </w:r>
      <w:r>
        <w:t>covered</w:t>
      </w:r>
      <w:r w:rsidRPr="00315F6B">
        <w:t xml:space="preserve"> in that agreement. This is the added value of the present judgment, which is fully in line with, and even required by, </w:t>
      </w:r>
      <w:r w:rsidRPr="00315F6B">
        <w:rPr>
          <w:i/>
        </w:rPr>
        <w:t>Demir and Baykara</w:t>
      </w:r>
      <w:r w:rsidRPr="00315F6B">
        <w:t xml:space="preserve"> as well as international human rights law, international labour law and comparative constitutional law.</w:t>
      </w:r>
    </w:p>
    <w:p w:rsidRPr="001937BD" w:rsidR="00451956" w:rsidP="001937BD" w:rsidRDefault="001937BD">
      <w:pPr>
        <w:pStyle w:val="OpiPara"/>
      </w:pPr>
      <w:r w:rsidRPr="00315F6B">
        <w:t>Consequently, I find that there has been a violation of Article 11 on account of the unlawful, illegitimate, disproportionate and unnecessary prohibition of the applicant</w:t>
      </w:r>
      <w:r>
        <w:t xml:space="preserve"> union</w:t>
      </w:r>
      <w:r w:rsidR="00A32E76">
        <w:t>’</w:t>
      </w:r>
      <w:r w:rsidRPr="00315F6B">
        <w:t>s Convention right to strike.</w:t>
      </w:r>
    </w:p>
    <w:sectPr w:rsidRPr="001937BD" w:rsidR="00451956" w:rsidSect="002E0BE7">
      <w:headerReference w:type="even" r:id="rId13"/>
      <w:headerReference w:type="default" r:id="rId14"/>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956" w:rsidRDefault="00451956">
      <w:r>
        <w:separator/>
      </w:r>
    </w:p>
  </w:endnote>
  <w:endnote w:type="continuationSeparator" w:id="0">
    <w:p w:rsidR="00451956" w:rsidRDefault="00451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56" w:rsidRPr="00150BFA" w:rsidRDefault="00451956" w:rsidP="00451956">
    <w:pPr>
      <w:jc w:val="center"/>
    </w:pPr>
    <w:r>
      <w:rPr>
        <w:noProof/>
        <w:lang w:eastAsia="ja-JP"/>
      </w:rPr>
      <w:drawing>
        <wp:inline distT="0" distB="0" distL="0" distR="0" wp14:anchorId="2FAB8C54" wp14:editId="6333410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51956" w:rsidRDefault="004519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956" w:rsidRDefault="00451956">
      <w:r>
        <w:separator/>
      </w:r>
    </w:p>
  </w:footnote>
  <w:footnote w:type="continuationSeparator" w:id="0">
    <w:p w:rsidR="00451956" w:rsidRDefault="00451956">
      <w:r>
        <w:continuationSeparator/>
      </w:r>
    </w:p>
  </w:footnote>
  <w:footnote w:id="1">
    <w:p w:rsidR="001937BD" w:rsidRPr="009A103D" w:rsidRDefault="001937BD" w:rsidP="001937BD">
      <w:pPr>
        <w:pStyle w:val="FootnoteText"/>
      </w:pPr>
      <w:r>
        <w:rPr>
          <w:rStyle w:val="FootnoteReference"/>
        </w:rPr>
        <w:footnoteRef/>
      </w:r>
      <w:r>
        <w:t xml:space="preserve"> </w:t>
      </w:r>
      <w:r w:rsidRPr="009529DF">
        <w:rPr>
          <w:rFonts w:ascii="Times New Roman" w:hAnsi="Times New Roman" w:cs="Times New Roman"/>
        </w:rPr>
        <w:t>There is no uniform international definition of a strike. For the purposes of this opinion</w:t>
      </w:r>
      <w:r>
        <w:rPr>
          <w:rFonts w:ascii="Times New Roman" w:hAnsi="Times New Roman" w:cs="Times New Roman"/>
        </w:rPr>
        <w:t>,</w:t>
      </w:r>
      <w:r w:rsidRPr="009529DF">
        <w:rPr>
          <w:rFonts w:ascii="Times New Roman" w:hAnsi="Times New Roman" w:cs="Times New Roman"/>
        </w:rPr>
        <w:t xml:space="preserve"> it encompasses any work stoppage</w:t>
      </w:r>
      <w:r w:rsidRPr="00DB1D63">
        <w:rPr>
          <w:rFonts w:ascii="Times New Roman" w:hAnsi="Times New Roman" w:cs="Times New Roman"/>
        </w:rPr>
        <w:t>, however brief and</w:t>
      </w:r>
      <w:r>
        <w:rPr>
          <w:rFonts w:ascii="Times New Roman" w:hAnsi="Times New Roman" w:cs="Times New Roman"/>
        </w:rPr>
        <w:t xml:space="preserve"> </w:t>
      </w:r>
      <w:r w:rsidRPr="00DB1D63">
        <w:rPr>
          <w:rFonts w:ascii="Times New Roman" w:hAnsi="Times New Roman" w:cs="Times New Roman"/>
        </w:rPr>
        <w:t xml:space="preserve">limited, </w:t>
      </w:r>
      <w:r>
        <w:rPr>
          <w:rFonts w:ascii="Times New Roman" w:hAnsi="Times New Roman" w:cs="Times New Roman"/>
        </w:rPr>
        <w:t>with a</w:t>
      </w:r>
      <w:r w:rsidRPr="009529DF">
        <w:rPr>
          <w:rFonts w:ascii="Times New Roman" w:hAnsi="Times New Roman" w:cs="Times New Roman"/>
        </w:rPr>
        <w:t xml:space="preserve"> view to defending and furthering the workers’ interests </w:t>
      </w:r>
      <w:r>
        <w:rPr>
          <w:rFonts w:ascii="Times New Roman" w:hAnsi="Times New Roman" w:cs="Times New Roman"/>
        </w:rPr>
        <w:t xml:space="preserve">and rights </w:t>
      </w:r>
      <w:r w:rsidRPr="009529DF">
        <w:rPr>
          <w:rFonts w:ascii="Times New Roman" w:hAnsi="Times New Roman" w:cs="Times New Roman"/>
        </w:rPr>
        <w:t>by exerting pressure on employer</w:t>
      </w:r>
      <w:r>
        <w:rPr>
          <w:rFonts w:ascii="Times New Roman" w:hAnsi="Times New Roman" w:cs="Times New Roman"/>
        </w:rPr>
        <w:t>s</w:t>
      </w:r>
      <w:r w:rsidRPr="009529DF">
        <w:rPr>
          <w:rFonts w:ascii="Times New Roman" w:hAnsi="Times New Roman" w:cs="Times New Roman"/>
        </w:rPr>
        <w:t>, including sympathy or secondary strike</w:t>
      </w:r>
      <w:r>
        <w:rPr>
          <w:rFonts w:ascii="Times New Roman" w:hAnsi="Times New Roman" w:cs="Times New Roman"/>
        </w:rPr>
        <w:t xml:space="preserve"> in the case of </w:t>
      </w:r>
      <w:r w:rsidRPr="00624AB5">
        <w:rPr>
          <w:rFonts w:ascii="Times New Roman" w:hAnsi="Times New Roman" w:cs="Times New Roman"/>
        </w:rPr>
        <w:t xml:space="preserve">workers </w:t>
      </w:r>
      <w:r>
        <w:rPr>
          <w:rFonts w:ascii="Times New Roman" w:hAnsi="Times New Roman" w:cs="Times New Roman"/>
        </w:rPr>
        <w:t xml:space="preserve">who </w:t>
      </w:r>
      <w:r w:rsidRPr="00624AB5">
        <w:rPr>
          <w:rFonts w:ascii="Times New Roman" w:hAnsi="Times New Roman" w:cs="Times New Roman"/>
        </w:rPr>
        <w:t>take action in support of colleagues employed by anoth</w:t>
      </w:r>
      <w:r>
        <w:rPr>
          <w:rFonts w:ascii="Times New Roman" w:hAnsi="Times New Roman" w:cs="Times New Roman"/>
        </w:rPr>
        <w:t xml:space="preserve">er employer. Strikes may </w:t>
      </w:r>
      <w:r w:rsidRPr="00737F89">
        <w:rPr>
          <w:rFonts w:ascii="Times New Roman" w:hAnsi="Times New Roman" w:cs="Times New Roman"/>
        </w:rPr>
        <w:t>seek</w:t>
      </w:r>
      <w:r>
        <w:rPr>
          <w:rFonts w:ascii="Times New Roman" w:hAnsi="Times New Roman" w:cs="Times New Roman"/>
        </w:rPr>
        <w:t xml:space="preserve"> </w:t>
      </w:r>
      <w:r w:rsidRPr="00737F89">
        <w:rPr>
          <w:rFonts w:ascii="Times New Roman" w:hAnsi="Times New Roman" w:cs="Times New Roman"/>
        </w:rPr>
        <w:t>solutions to</w:t>
      </w:r>
      <w:r>
        <w:rPr>
          <w:rFonts w:ascii="Times New Roman" w:hAnsi="Times New Roman" w:cs="Times New Roman"/>
        </w:rPr>
        <w:t xml:space="preserve"> occupational problems or, more broadly, </w:t>
      </w:r>
      <w:r w:rsidRPr="00737F89">
        <w:rPr>
          <w:rFonts w:ascii="Times New Roman" w:hAnsi="Times New Roman" w:cs="Times New Roman"/>
        </w:rPr>
        <w:t>economic and social policy problems which</w:t>
      </w:r>
      <w:r>
        <w:rPr>
          <w:rFonts w:ascii="Times New Roman" w:hAnsi="Times New Roman" w:cs="Times New Roman"/>
        </w:rPr>
        <w:t xml:space="preserve"> </w:t>
      </w:r>
      <w:r w:rsidRPr="00737F89">
        <w:rPr>
          <w:rFonts w:ascii="Times New Roman" w:hAnsi="Times New Roman" w:cs="Times New Roman"/>
        </w:rPr>
        <w:t>are of concern to the workers</w:t>
      </w:r>
      <w:r>
        <w:rPr>
          <w:rFonts w:ascii="Times New Roman" w:hAnsi="Times New Roman" w:cs="Times New Roman"/>
        </w:rPr>
        <w:t>.</w:t>
      </w:r>
      <w:r w:rsidRPr="00737F89">
        <w:rPr>
          <w:rFonts w:ascii="Times New Roman" w:hAnsi="Times New Roman" w:cs="Times New Roman"/>
        </w:rPr>
        <w:t xml:space="preserve"> </w:t>
      </w:r>
      <w:r>
        <w:rPr>
          <w:rFonts w:ascii="Times New Roman" w:hAnsi="Times New Roman" w:cs="Times New Roman"/>
        </w:rPr>
        <w:t>A</w:t>
      </w:r>
      <w:r w:rsidRPr="009529DF">
        <w:rPr>
          <w:rFonts w:ascii="Times New Roman" w:hAnsi="Times New Roman" w:cs="Times New Roman"/>
        </w:rPr>
        <w:t>ctivities such as go-slow</w:t>
      </w:r>
      <w:r>
        <w:rPr>
          <w:rFonts w:ascii="Times New Roman" w:hAnsi="Times New Roman" w:cs="Times New Roman"/>
        </w:rPr>
        <w:t xml:space="preserve"> (</w:t>
      </w:r>
      <w:r w:rsidRPr="00DB1D63">
        <w:rPr>
          <w:rFonts w:ascii="Times New Roman" w:hAnsi="Times New Roman" w:cs="Times New Roman"/>
        </w:rPr>
        <w:t>slowdown in work</w:t>
      </w:r>
      <w:r>
        <w:rPr>
          <w:rFonts w:ascii="Times New Roman" w:hAnsi="Times New Roman" w:cs="Times New Roman"/>
        </w:rPr>
        <w:t>)</w:t>
      </w:r>
      <w:r w:rsidRPr="009529DF">
        <w:rPr>
          <w:rFonts w:ascii="Times New Roman" w:hAnsi="Times New Roman" w:cs="Times New Roman"/>
        </w:rPr>
        <w:t>, work</w:t>
      </w:r>
      <w:r>
        <w:rPr>
          <w:rFonts w:ascii="Times New Roman" w:hAnsi="Times New Roman" w:cs="Times New Roman"/>
        </w:rPr>
        <w:t>-</w:t>
      </w:r>
      <w:r w:rsidRPr="009529DF">
        <w:rPr>
          <w:rFonts w:ascii="Times New Roman" w:hAnsi="Times New Roman" w:cs="Times New Roman"/>
        </w:rPr>
        <w:t>to</w:t>
      </w:r>
      <w:r>
        <w:rPr>
          <w:rFonts w:ascii="Times New Roman" w:hAnsi="Times New Roman" w:cs="Times New Roman"/>
        </w:rPr>
        <w:t>-</w:t>
      </w:r>
      <w:r w:rsidRPr="009529DF">
        <w:rPr>
          <w:rFonts w:ascii="Times New Roman" w:hAnsi="Times New Roman" w:cs="Times New Roman"/>
        </w:rPr>
        <w:t>rule</w:t>
      </w:r>
      <w:r>
        <w:rPr>
          <w:rFonts w:ascii="Times New Roman" w:hAnsi="Times New Roman" w:cs="Times New Roman"/>
        </w:rPr>
        <w:t xml:space="preserve"> (</w:t>
      </w:r>
      <w:r w:rsidRPr="00DB1D63">
        <w:rPr>
          <w:rFonts w:ascii="Times New Roman" w:hAnsi="Times New Roman" w:cs="Times New Roman"/>
        </w:rPr>
        <w:t>work rules are applied to the letter</w:t>
      </w:r>
      <w:r>
        <w:rPr>
          <w:rFonts w:ascii="Times New Roman" w:hAnsi="Times New Roman" w:cs="Times New Roman"/>
        </w:rPr>
        <w:t>)</w:t>
      </w:r>
      <w:r w:rsidRPr="009529DF">
        <w:rPr>
          <w:rFonts w:ascii="Times New Roman" w:hAnsi="Times New Roman" w:cs="Times New Roman"/>
        </w:rPr>
        <w:t>, tools-down</w:t>
      </w:r>
      <w:r>
        <w:rPr>
          <w:rFonts w:ascii="Times New Roman" w:hAnsi="Times New Roman" w:cs="Times New Roman"/>
        </w:rPr>
        <w:t xml:space="preserve"> or sit-down (workers are present in place of work, but refuse to continue working or leave)</w:t>
      </w:r>
      <w:r w:rsidRPr="009529DF">
        <w:rPr>
          <w:rFonts w:ascii="Times New Roman" w:hAnsi="Times New Roman" w:cs="Times New Roman"/>
        </w:rPr>
        <w:t xml:space="preserve">, </w:t>
      </w:r>
      <w:r w:rsidRPr="00DB1D63">
        <w:rPr>
          <w:rFonts w:ascii="Times New Roman" w:hAnsi="Times New Roman" w:cs="Times New Roman"/>
        </w:rPr>
        <w:t>are often just as paralyzing as a total stoppage</w:t>
      </w:r>
      <w:r>
        <w:rPr>
          <w:rFonts w:ascii="Times New Roman" w:hAnsi="Times New Roman" w:cs="Times New Roman"/>
        </w:rPr>
        <w:t xml:space="preserve">, and therefore should also be counted as strike action, as has been recognised by the Court (on a go-slow strike, see </w:t>
      </w:r>
      <w:r w:rsidRPr="00484F94">
        <w:rPr>
          <w:rFonts w:ascii="Times New Roman" w:hAnsi="Times New Roman" w:cs="Times New Roman"/>
          <w:i/>
        </w:rPr>
        <w:t>Dilek and Others v. Turkey</w:t>
      </w:r>
      <w:r w:rsidRPr="00484F94">
        <w:rPr>
          <w:rFonts w:ascii="Times New Roman" w:hAnsi="Times New Roman" w:cs="Times New Roman"/>
        </w:rPr>
        <w:t xml:space="preserve">, nos. 74611/01, 26876/02 and 27628/02, </w:t>
      </w:r>
      <w:r>
        <w:rPr>
          <w:rFonts w:ascii="Times New Roman" w:hAnsi="Times New Roman" w:cs="Times New Roman"/>
        </w:rPr>
        <w:t xml:space="preserve">§ 57, </w:t>
      </w:r>
      <w:r w:rsidRPr="00484F94">
        <w:rPr>
          <w:rFonts w:ascii="Times New Roman" w:hAnsi="Times New Roman" w:cs="Times New Roman"/>
        </w:rPr>
        <w:t>17 July 2007</w:t>
      </w:r>
      <w:r>
        <w:rPr>
          <w:rFonts w:ascii="Times New Roman" w:hAnsi="Times New Roman" w:cs="Times New Roman"/>
        </w:rPr>
        <w:t xml:space="preserve">), the International Labour Organisation (ILO) (for a very long time now, see Freedom of Association and Collective Bargaining, Geneva, International Labour Office, 1994, paragraph 173, and </w:t>
      </w:r>
      <w:r w:rsidRPr="00C42387">
        <w:rPr>
          <w:rFonts w:ascii="Times New Roman" w:hAnsi="Times New Roman" w:cs="Times New Roman"/>
        </w:rPr>
        <w:t xml:space="preserve">Digest of the decisions and principles of the Freedom of Association Committee of the Governing Body of the ILO, Fifth (revised) edition, </w:t>
      </w:r>
      <w:r>
        <w:rPr>
          <w:rFonts w:ascii="Times New Roman" w:hAnsi="Times New Roman" w:cs="Times New Roman"/>
        </w:rPr>
        <w:t xml:space="preserve">Geneva, </w:t>
      </w:r>
      <w:r w:rsidRPr="00C42387">
        <w:rPr>
          <w:rFonts w:ascii="Times New Roman" w:hAnsi="Times New Roman" w:cs="Times New Roman"/>
        </w:rPr>
        <w:t>International Labour Office, 2006</w:t>
      </w:r>
      <w:r>
        <w:rPr>
          <w:rFonts w:ascii="Times New Roman" w:hAnsi="Times New Roman" w:cs="Times New Roman"/>
        </w:rPr>
        <w:t xml:space="preserve">, paragraph 545) and legal commentators (Ben Saul </w:t>
      </w:r>
      <w:r w:rsidRPr="009529DF">
        <w:rPr>
          <w:rFonts w:ascii="Times New Roman" w:hAnsi="Times New Roman" w:cs="Times New Roman"/>
          <w:i/>
        </w:rPr>
        <w:t>et al</w:t>
      </w:r>
      <w:r>
        <w:rPr>
          <w:rFonts w:ascii="Times New Roman" w:hAnsi="Times New Roman" w:cs="Times New Roman"/>
        </w:rPr>
        <w:t xml:space="preserve">., </w:t>
      </w:r>
      <w:r w:rsidRPr="004413FE">
        <w:rPr>
          <w:rFonts w:ascii="Times New Roman" w:hAnsi="Times New Roman" w:cs="Times New Roman"/>
        </w:rPr>
        <w:t xml:space="preserve">The International Covenant on Economic, Social and Cultural </w:t>
      </w:r>
      <w:r>
        <w:rPr>
          <w:rFonts w:ascii="Times New Roman" w:hAnsi="Times New Roman" w:cs="Times New Roman"/>
        </w:rPr>
        <w:t>R</w:t>
      </w:r>
      <w:r w:rsidRPr="004413FE">
        <w:rPr>
          <w:rFonts w:ascii="Times New Roman" w:hAnsi="Times New Roman" w:cs="Times New Roman"/>
        </w:rPr>
        <w:t xml:space="preserve">ights, Commentary, Cases and Materials, Oxford, </w:t>
      </w:r>
      <w:r>
        <w:rPr>
          <w:rFonts w:ascii="Times New Roman" w:hAnsi="Times New Roman" w:cs="Times New Roman"/>
        </w:rPr>
        <w:t xml:space="preserve">Oxford University Press, </w:t>
      </w:r>
      <w:r w:rsidRPr="004413FE">
        <w:rPr>
          <w:rFonts w:ascii="Times New Roman" w:hAnsi="Times New Roman" w:cs="Times New Roman"/>
        </w:rPr>
        <w:t>2014,</w:t>
      </w:r>
      <w:r>
        <w:rPr>
          <w:rFonts w:ascii="Times New Roman" w:hAnsi="Times New Roman" w:cs="Times New Roman"/>
        </w:rPr>
        <w:t xml:space="preserve"> pp. 577 and 578)</w:t>
      </w:r>
      <w:r w:rsidRPr="00DB1D63">
        <w:rPr>
          <w:rFonts w:ascii="Times New Roman" w:hAnsi="Times New Roman" w:cs="Times New Roman"/>
        </w:rPr>
        <w:t>.</w:t>
      </w:r>
    </w:p>
  </w:footnote>
  <w:footnote w:id="2">
    <w:p w:rsidR="001937BD" w:rsidRPr="0058545B" w:rsidRDefault="001937BD" w:rsidP="001937BD">
      <w:pPr>
        <w:pStyle w:val="FootnoteText"/>
        <w:rPr>
          <w:rFonts w:ascii="Times New Roman" w:hAnsi="Times New Roman" w:cs="Times New Roman"/>
        </w:rPr>
      </w:pPr>
      <w:r w:rsidRPr="0058545B">
        <w:rPr>
          <w:rStyle w:val="FootnoteReference"/>
          <w:rFonts w:ascii="Times New Roman" w:hAnsi="Times New Roman" w:cs="Times New Roman"/>
        </w:rPr>
        <w:footnoteRef/>
      </w:r>
      <w:r w:rsidRPr="0058545B">
        <w:rPr>
          <w:rFonts w:ascii="Times New Roman" w:hAnsi="Times New Roman" w:cs="Times New Roman"/>
        </w:rPr>
        <w:t xml:space="preserve"> For a justification of this methodology</w:t>
      </w:r>
      <w:r>
        <w:rPr>
          <w:rFonts w:ascii="Times New Roman" w:hAnsi="Times New Roman" w:cs="Times New Roman"/>
        </w:rPr>
        <w:t xml:space="preserve"> of legal reasoning and interpretation</w:t>
      </w:r>
      <w:r w:rsidRPr="0058545B">
        <w:rPr>
          <w:rFonts w:ascii="Times New Roman" w:hAnsi="Times New Roman" w:cs="Times New Roman"/>
        </w:rPr>
        <w:t xml:space="preserve">, which </w:t>
      </w:r>
      <w:r>
        <w:rPr>
          <w:rFonts w:ascii="Times New Roman" w:hAnsi="Times New Roman" w:cs="Times New Roman"/>
        </w:rPr>
        <w:t xml:space="preserve">aims at the cross-fertilization of </w:t>
      </w:r>
      <w:r w:rsidRPr="0058545B">
        <w:rPr>
          <w:rFonts w:ascii="Times New Roman" w:hAnsi="Times New Roman" w:cs="Times New Roman"/>
        </w:rPr>
        <w:t>international human rights and other field</w:t>
      </w:r>
      <w:r>
        <w:rPr>
          <w:rFonts w:ascii="Times New Roman" w:hAnsi="Times New Roman" w:cs="Times New Roman"/>
        </w:rPr>
        <w:t>s</w:t>
      </w:r>
      <w:r w:rsidRPr="0058545B">
        <w:rPr>
          <w:rFonts w:ascii="Times New Roman" w:hAnsi="Times New Roman" w:cs="Times New Roman"/>
        </w:rPr>
        <w:t xml:space="preserve"> of international law, see my opinion</w:t>
      </w:r>
      <w:r>
        <w:rPr>
          <w:rFonts w:ascii="Times New Roman" w:hAnsi="Times New Roman" w:cs="Times New Roman"/>
        </w:rPr>
        <w:t xml:space="preserve">s in </w:t>
      </w:r>
      <w:r>
        <w:rPr>
          <w:rFonts w:ascii="Times New Roman" w:hAnsi="Times New Roman" w:cs="Times New Roman"/>
          <w:i/>
        </w:rPr>
        <w:t xml:space="preserve">Konstantin Markin v. Russia </w:t>
      </w:r>
      <w:r w:rsidRPr="006D68D9">
        <w:rPr>
          <w:rFonts w:ascii="Times New Roman" w:hAnsi="Times New Roman" w:cs="Times New Roman"/>
        </w:rPr>
        <w:t>[GC]</w:t>
      </w:r>
      <w:r w:rsidRPr="009B6C59">
        <w:rPr>
          <w:rFonts w:ascii="Times New Roman" w:hAnsi="Times New Roman" w:cs="Times New Roman"/>
        </w:rPr>
        <w:t>, no. 30078/06, 22 March 2012</w:t>
      </w:r>
      <w:r>
        <w:rPr>
          <w:rFonts w:ascii="Times New Roman" w:hAnsi="Times New Roman" w:cs="Times New Roman"/>
        </w:rPr>
        <w:t xml:space="preserve">, </w:t>
      </w:r>
      <w:r w:rsidRPr="007B27D2">
        <w:rPr>
          <w:rFonts w:ascii="Times New Roman" w:hAnsi="Times New Roman" w:cs="Times New Roman"/>
          <w:i/>
        </w:rPr>
        <w:t>K.M.C. v. Hungary</w:t>
      </w:r>
      <w:r>
        <w:rPr>
          <w:rFonts w:ascii="Times New Roman" w:hAnsi="Times New Roman" w:cs="Times New Roman"/>
        </w:rPr>
        <w:t xml:space="preserve">, no. </w:t>
      </w:r>
      <w:r w:rsidRPr="007B27D2">
        <w:rPr>
          <w:rFonts w:ascii="Times New Roman" w:hAnsi="Times New Roman" w:cs="Times New Roman"/>
        </w:rPr>
        <w:t>19554/11</w:t>
      </w:r>
      <w:r>
        <w:rPr>
          <w:rFonts w:ascii="Times New Roman" w:hAnsi="Times New Roman" w:cs="Times New Roman"/>
        </w:rPr>
        <w:t xml:space="preserve">, 10 July 2012, and on points of principle, </w:t>
      </w:r>
      <w:r w:rsidRPr="002B785A">
        <w:rPr>
          <w:rFonts w:ascii="Times New Roman" w:hAnsi="Times New Roman" w:cs="Times New Roman"/>
          <w:i/>
        </w:rPr>
        <w:t>Case of Centre for Legal Resources on behalf of Valentin Câmpeanu v. Romania (GC)</w:t>
      </w:r>
      <w:r w:rsidRPr="002B785A">
        <w:rPr>
          <w:rFonts w:ascii="Times New Roman" w:hAnsi="Times New Roman" w:cs="Times New Roman"/>
        </w:rPr>
        <w:t>, no. 47848/08, 17 July 2014</w:t>
      </w:r>
      <w:r w:rsidRPr="009B6C59">
        <w:rPr>
          <w:rFonts w:ascii="Times New Roman" w:hAnsi="Times New Roman" w:cs="Times New Roman"/>
        </w:rPr>
        <w:t>.</w:t>
      </w:r>
      <w:r w:rsidRPr="009B6C59">
        <w:t xml:space="preserve"> </w:t>
      </w:r>
      <w:r w:rsidRPr="009B6C59">
        <w:rPr>
          <w:rFonts w:ascii="Times New Roman" w:hAnsi="Times New Roman" w:cs="Times New Roman"/>
        </w:rPr>
        <w:t xml:space="preserve">That </w:t>
      </w:r>
      <w:r w:rsidRPr="00EA7B8B">
        <w:rPr>
          <w:rFonts w:ascii="Times New Roman" w:hAnsi="Times New Roman" w:cs="Times New Roman"/>
        </w:rPr>
        <w:t>was in fact also the position of the Court in the ground-breaking</w:t>
      </w:r>
      <w:r>
        <w:rPr>
          <w:rFonts w:ascii="Times New Roman" w:hAnsi="Times New Roman" w:cs="Times New Roman"/>
        </w:rPr>
        <w:t xml:space="preserve"> case of</w:t>
      </w:r>
      <w:r w:rsidRPr="00EA7B8B">
        <w:rPr>
          <w:rFonts w:ascii="Times New Roman" w:hAnsi="Times New Roman" w:cs="Times New Roman"/>
        </w:rPr>
        <w:t xml:space="preserve"> </w:t>
      </w:r>
      <w:r w:rsidRPr="00EA7B8B">
        <w:rPr>
          <w:rFonts w:ascii="Times New Roman" w:hAnsi="Times New Roman" w:cs="Times New Roman"/>
          <w:i/>
        </w:rPr>
        <w:t xml:space="preserve">Demir and Baykara v. Turkey </w:t>
      </w:r>
      <w:r>
        <w:rPr>
          <w:rFonts w:ascii="Times New Roman" w:hAnsi="Times New Roman" w:cs="Times New Roman"/>
        </w:rPr>
        <w:t>[</w:t>
      </w:r>
      <w:r w:rsidRPr="006D68D9">
        <w:rPr>
          <w:rFonts w:ascii="Times New Roman" w:hAnsi="Times New Roman" w:cs="Times New Roman"/>
        </w:rPr>
        <w:t>GC</w:t>
      </w:r>
      <w:r>
        <w:rPr>
          <w:rFonts w:ascii="Times New Roman" w:hAnsi="Times New Roman" w:cs="Times New Roman"/>
        </w:rPr>
        <w:t>]</w:t>
      </w:r>
      <w:r w:rsidRPr="00EA7B8B">
        <w:rPr>
          <w:rFonts w:ascii="Times New Roman" w:hAnsi="Times New Roman" w:cs="Times New Roman"/>
        </w:rPr>
        <w:t xml:space="preserve">, </w:t>
      </w:r>
      <w:r w:rsidRPr="001D688A">
        <w:rPr>
          <w:rFonts w:ascii="Times New Roman" w:hAnsi="Times New Roman" w:cs="Times New Roman"/>
        </w:rPr>
        <w:t xml:space="preserve">no. 34503/97 (GC), </w:t>
      </w:r>
      <w:r>
        <w:rPr>
          <w:rFonts w:ascii="Times New Roman" w:hAnsi="Times New Roman" w:cs="Times New Roman"/>
        </w:rPr>
        <w:t>ECHR 2008-V,</w:t>
      </w:r>
      <w:r w:rsidRPr="00EA7B8B">
        <w:rPr>
          <w:rFonts w:ascii="Times New Roman" w:hAnsi="Times New Roman" w:cs="Times New Roman"/>
        </w:rPr>
        <w:t xml:space="preserve"> in its crucial paragraph 85, which I fully share</w:t>
      </w:r>
      <w:r>
        <w:rPr>
          <w:rFonts w:ascii="Times New Roman" w:hAnsi="Times New Roman" w:cs="Times New Roman"/>
        </w:rPr>
        <w:t xml:space="preserve">. Thus, the jurisprudence and soft law of other international courts and quasi-jurisdictional, supervisory bodies cannot be lightly brushed aside with the excuse that Article 11 does not restrict the scope for a wide variety of different legislative approaches.   </w:t>
      </w:r>
    </w:p>
  </w:footnote>
  <w:footnote w:id="3">
    <w:p w:rsidR="001937BD" w:rsidRPr="00EA7B8B" w:rsidRDefault="001937BD" w:rsidP="001937BD">
      <w:pPr>
        <w:pStyle w:val="FootnoteText"/>
        <w:rPr>
          <w:rFonts w:ascii="Times New Roman" w:hAnsi="Times New Roman" w:cs="Times New Roman"/>
        </w:rPr>
      </w:pPr>
      <w:r w:rsidRPr="00EA7B8B">
        <w:rPr>
          <w:rStyle w:val="FootnoteReference"/>
          <w:rFonts w:ascii="Times New Roman" w:hAnsi="Times New Roman" w:cs="Times New Roman"/>
        </w:rPr>
        <w:footnoteRef/>
      </w:r>
      <w:r w:rsidRPr="00EA7B8B">
        <w:rPr>
          <w:rFonts w:ascii="Times New Roman" w:hAnsi="Times New Roman" w:cs="Times New Roman"/>
        </w:rPr>
        <w:t xml:space="preserve"> </w:t>
      </w:r>
      <w:r w:rsidRPr="002D67BC">
        <w:rPr>
          <w:rFonts w:ascii="Times New Roman" w:hAnsi="Times New Roman" w:cs="Times New Roman"/>
        </w:rPr>
        <w:t xml:space="preserve">The </w:t>
      </w:r>
      <w:r>
        <w:rPr>
          <w:rFonts w:ascii="Times New Roman" w:hAnsi="Times New Roman" w:cs="Times New Roman"/>
        </w:rPr>
        <w:t>CESCR w</w:t>
      </w:r>
      <w:r w:rsidRPr="002D67BC">
        <w:rPr>
          <w:rFonts w:ascii="Times New Roman" w:hAnsi="Times New Roman" w:cs="Times New Roman"/>
        </w:rPr>
        <w:t xml:space="preserve">as adopted on </w:t>
      </w:r>
      <w:r>
        <w:rPr>
          <w:rFonts w:ascii="Times New Roman" w:hAnsi="Times New Roman" w:cs="Times New Roman"/>
        </w:rPr>
        <w:t>16</w:t>
      </w:r>
      <w:r w:rsidRPr="002D67BC">
        <w:rPr>
          <w:rFonts w:ascii="Times New Roman" w:hAnsi="Times New Roman" w:cs="Times New Roman"/>
        </w:rPr>
        <w:t xml:space="preserve"> December 196</w:t>
      </w:r>
      <w:r>
        <w:rPr>
          <w:rFonts w:ascii="Times New Roman" w:hAnsi="Times New Roman" w:cs="Times New Roman"/>
        </w:rPr>
        <w:t>6</w:t>
      </w:r>
      <w:r w:rsidRPr="002D67BC">
        <w:rPr>
          <w:rFonts w:ascii="Times New Roman" w:hAnsi="Times New Roman" w:cs="Times New Roman"/>
        </w:rPr>
        <w:t xml:space="preserve"> and has 1</w:t>
      </w:r>
      <w:r>
        <w:rPr>
          <w:rFonts w:ascii="Times New Roman" w:hAnsi="Times New Roman" w:cs="Times New Roman"/>
        </w:rPr>
        <w:t>62</w:t>
      </w:r>
      <w:r w:rsidRPr="002D67BC">
        <w:rPr>
          <w:rFonts w:ascii="Times New Roman" w:hAnsi="Times New Roman" w:cs="Times New Roman"/>
        </w:rPr>
        <w:t xml:space="preserve"> parties, including</w:t>
      </w:r>
      <w:r w:rsidRPr="00EA7B8B">
        <w:rPr>
          <w:rFonts w:ascii="Times New Roman" w:hAnsi="Times New Roman" w:cs="Times New Roman"/>
        </w:rPr>
        <w:t xml:space="preserve"> Croatia</w:t>
      </w:r>
      <w:r>
        <w:rPr>
          <w:rFonts w:ascii="Times New Roman" w:hAnsi="Times New Roman" w:cs="Times New Roman"/>
        </w:rPr>
        <w:t xml:space="preserve">. In respect of the respondent State it entered into force on </w:t>
      </w:r>
      <w:r w:rsidRPr="00EA7B8B">
        <w:rPr>
          <w:rFonts w:ascii="Times New Roman" w:hAnsi="Times New Roman" w:cs="Times New Roman"/>
        </w:rPr>
        <w:t>12 October 1992.</w:t>
      </w:r>
      <w:r w:rsidRPr="00583A7C">
        <w:t xml:space="preserve"> </w:t>
      </w:r>
      <w:r w:rsidRPr="00583A7C">
        <w:rPr>
          <w:rFonts w:ascii="Times New Roman" w:hAnsi="Times New Roman" w:cs="Times New Roman"/>
        </w:rPr>
        <w:t xml:space="preserve">The Committee on Economic, Social and Cultural Rights </w:t>
      </w:r>
      <w:r>
        <w:rPr>
          <w:rFonts w:ascii="Times New Roman" w:hAnsi="Times New Roman" w:cs="Times New Roman"/>
        </w:rPr>
        <w:t xml:space="preserve">has urged </w:t>
      </w:r>
      <w:r w:rsidRPr="00583A7C">
        <w:rPr>
          <w:rFonts w:ascii="Times New Roman" w:hAnsi="Times New Roman" w:cs="Times New Roman"/>
        </w:rPr>
        <w:t>States parties to take the necessary measures to ensur</w:t>
      </w:r>
      <w:r>
        <w:rPr>
          <w:rFonts w:ascii="Times New Roman" w:hAnsi="Times New Roman" w:cs="Times New Roman"/>
        </w:rPr>
        <w:t>e</w:t>
      </w:r>
      <w:r w:rsidRPr="00583A7C">
        <w:rPr>
          <w:rFonts w:ascii="Times New Roman" w:hAnsi="Times New Roman" w:cs="Times New Roman"/>
        </w:rPr>
        <w:t xml:space="preserve"> the full exercise of the right to strike or relax the limitations imposed on this right</w:t>
      </w:r>
      <w:r>
        <w:rPr>
          <w:rFonts w:ascii="Times New Roman" w:hAnsi="Times New Roman" w:cs="Times New Roman"/>
        </w:rPr>
        <w:t xml:space="preserve"> (Concluding observations on Afghanistan, E/C.12/AFG/CO/2-4, 7 June 2010, paragraph 25, Concluding observations on the UN Administration in Kosovo, E/C.12/UNK/CO/1, 1 December 2008, paragraph 20, Concluding observations on the Liechtenstein, E/C.12/LIE/CO/1, 9 June 2006, paragraph 16, Concluding observations on Uzbekistan, E/C.12/UZB/CO/1, 24 January 2006, paragraph 51, and Concluding observations on Democratic People’s Republic of Korea, E/C.12/1/Add.95, 12 December 2003, paragraphs 16 and 36)</w:t>
      </w:r>
      <w:r w:rsidRPr="00583A7C">
        <w:rPr>
          <w:rFonts w:ascii="Times New Roman" w:hAnsi="Times New Roman" w:cs="Times New Roman"/>
        </w:rPr>
        <w:t>.</w:t>
      </w:r>
    </w:p>
  </w:footnote>
  <w:footnote w:id="4">
    <w:p w:rsidR="001937BD" w:rsidRPr="00C42387" w:rsidRDefault="001937BD" w:rsidP="001937BD">
      <w:pPr>
        <w:pStyle w:val="FootnoteText"/>
        <w:rPr>
          <w:rFonts w:ascii="Times New Roman" w:hAnsi="Times New Roman" w:cs="Times New Roman"/>
        </w:rPr>
      </w:pPr>
      <w:r w:rsidRPr="00C42387">
        <w:rPr>
          <w:rStyle w:val="FootnoteReference"/>
          <w:rFonts w:ascii="Times New Roman" w:hAnsi="Times New Roman" w:cs="Times New Roman"/>
        </w:rPr>
        <w:footnoteRef/>
      </w:r>
      <w:r w:rsidRPr="00C42387">
        <w:rPr>
          <w:rFonts w:ascii="Times New Roman" w:hAnsi="Times New Roman" w:cs="Times New Roman"/>
        </w:rPr>
        <w:t xml:space="preserve"> </w:t>
      </w:r>
      <w:r>
        <w:rPr>
          <w:rFonts w:ascii="Times New Roman" w:hAnsi="Times New Roman" w:cs="Times New Roman"/>
        </w:rPr>
        <w:t xml:space="preserve">The ESC (CETS No. 035) was adopted on 18 October 1961 and has 27 States Parties, including </w:t>
      </w:r>
      <w:r w:rsidRPr="00C42387">
        <w:rPr>
          <w:rFonts w:ascii="Times New Roman" w:hAnsi="Times New Roman" w:cs="Times New Roman"/>
        </w:rPr>
        <w:t>Croatia</w:t>
      </w:r>
      <w:r>
        <w:rPr>
          <w:rFonts w:ascii="Times New Roman" w:hAnsi="Times New Roman" w:cs="Times New Roman"/>
        </w:rPr>
        <w:t xml:space="preserve">. In respect of the respondent State the ESC, including Article 6, entered into force on </w:t>
      </w:r>
      <w:r w:rsidRPr="00C42387">
        <w:rPr>
          <w:rFonts w:ascii="Times New Roman" w:hAnsi="Times New Roman" w:cs="Times New Roman"/>
        </w:rPr>
        <w:t>2</w:t>
      </w:r>
      <w:r>
        <w:rPr>
          <w:rFonts w:ascii="Times New Roman" w:hAnsi="Times New Roman" w:cs="Times New Roman"/>
        </w:rPr>
        <w:t>8 March</w:t>
      </w:r>
      <w:r w:rsidRPr="00C42387">
        <w:rPr>
          <w:rFonts w:ascii="Times New Roman" w:hAnsi="Times New Roman" w:cs="Times New Roman"/>
        </w:rPr>
        <w:t xml:space="preserve"> 2003. The revised version of the </w:t>
      </w:r>
      <w:r>
        <w:rPr>
          <w:rFonts w:ascii="Times New Roman" w:hAnsi="Times New Roman" w:cs="Times New Roman"/>
        </w:rPr>
        <w:t>ESC</w:t>
      </w:r>
      <w:r w:rsidRPr="00C42387">
        <w:rPr>
          <w:rFonts w:ascii="Times New Roman" w:hAnsi="Times New Roman" w:cs="Times New Roman"/>
        </w:rPr>
        <w:t xml:space="preserve"> </w:t>
      </w:r>
      <w:r>
        <w:rPr>
          <w:rFonts w:ascii="Times New Roman" w:hAnsi="Times New Roman" w:cs="Times New Roman"/>
        </w:rPr>
        <w:t xml:space="preserve">(CETS No. 163) </w:t>
      </w:r>
      <w:r w:rsidRPr="00C42387">
        <w:rPr>
          <w:rFonts w:ascii="Times New Roman" w:hAnsi="Times New Roman" w:cs="Times New Roman"/>
        </w:rPr>
        <w:t xml:space="preserve">was </w:t>
      </w:r>
      <w:r>
        <w:rPr>
          <w:rFonts w:ascii="Times New Roman" w:hAnsi="Times New Roman" w:cs="Times New Roman"/>
        </w:rPr>
        <w:t xml:space="preserve">adopted on 3 May 1996 and has 33 States Parties. </w:t>
      </w:r>
      <w:r w:rsidRPr="00C42387">
        <w:rPr>
          <w:rFonts w:ascii="Times New Roman" w:hAnsi="Times New Roman" w:cs="Times New Roman"/>
        </w:rPr>
        <w:t xml:space="preserve">Croatia </w:t>
      </w:r>
      <w:r>
        <w:rPr>
          <w:rFonts w:ascii="Times New Roman" w:hAnsi="Times New Roman" w:cs="Times New Roman"/>
        </w:rPr>
        <w:t xml:space="preserve">signed it </w:t>
      </w:r>
      <w:r w:rsidRPr="00C42387">
        <w:rPr>
          <w:rFonts w:ascii="Times New Roman" w:hAnsi="Times New Roman" w:cs="Times New Roman"/>
        </w:rPr>
        <w:t>on 6 November 2009, but has not yet ratified</w:t>
      </w:r>
      <w:r>
        <w:rPr>
          <w:rFonts w:ascii="Times New Roman" w:hAnsi="Times New Roman" w:cs="Times New Roman"/>
        </w:rPr>
        <w:t xml:space="preserve"> it</w:t>
      </w:r>
      <w:r w:rsidRPr="00C42387">
        <w:rPr>
          <w:rFonts w:ascii="Times New Roman" w:hAnsi="Times New Roman" w:cs="Times New Roman"/>
        </w:rPr>
        <w:t>.</w:t>
      </w:r>
    </w:p>
  </w:footnote>
  <w:footnote w:id="5">
    <w:p w:rsidR="001937BD" w:rsidRPr="00A07510" w:rsidRDefault="001937BD" w:rsidP="001937BD">
      <w:pPr>
        <w:pStyle w:val="FootnoteText"/>
        <w:rPr>
          <w:rFonts w:ascii="Times New Roman" w:hAnsi="Times New Roman" w:cs="Times New Roman"/>
        </w:rPr>
      </w:pPr>
      <w:r w:rsidRPr="00A07510">
        <w:rPr>
          <w:rStyle w:val="FootnoteReference"/>
          <w:rFonts w:ascii="Times New Roman" w:hAnsi="Times New Roman" w:cs="Times New Roman"/>
        </w:rPr>
        <w:footnoteRef/>
      </w:r>
      <w:r w:rsidRPr="00A07510">
        <w:rPr>
          <w:rFonts w:ascii="Times New Roman" w:hAnsi="Times New Roman" w:cs="Times New Roman"/>
        </w:rPr>
        <w:t xml:space="preserve"> </w:t>
      </w:r>
      <w:r>
        <w:rPr>
          <w:rFonts w:ascii="Times New Roman" w:hAnsi="Times New Roman" w:cs="Times New Roman"/>
        </w:rPr>
        <w:t>I</w:t>
      </w:r>
      <w:r w:rsidRPr="00A07510">
        <w:rPr>
          <w:rFonts w:ascii="Times New Roman" w:hAnsi="Times New Roman" w:cs="Times New Roman"/>
        </w:rPr>
        <w:t>nitially proclaimed at the Nice European Council on 7 December 2000</w:t>
      </w:r>
      <w:r>
        <w:rPr>
          <w:rFonts w:ascii="Times New Roman" w:hAnsi="Times New Roman" w:cs="Times New Roman"/>
        </w:rPr>
        <w:t>, but without</w:t>
      </w:r>
      <w:r w:rsidRPr="00A07510">
        <w:rPr>
          <w:rFonts w:ascii="Times New Roman" w:hAnsi="Times New Roman" w:cs="Times New Roman"/>
        </w:rPr>
        <w:t xml:space="preserve"> binding legal effect</w:t>
      </w:r>
      <w:r>
        <w:rPr>
          <w:rFonts w:ascii="Times New Roman" w:hAnsi="Times New Roman" w:cs="Times New Roman"/>
        </w:rPr>
        <w:t xml:space="preserve">, the CFREU became </w:t>
      </w:r>
      <w:r w:rsidRPr="00A07510">
        <w:rPr>
          <w:rFonts w:ascii="Times New Roman" w:hAnsi="Times New Roman" w:cs="Times New Roman"/>
        </w:rPr>
        <w:t>legally binding on the EU institutions and on national governments from 1 December 2009, with the entry into force of the Treaty of Lisbon</w:t>
      </w:r>
      <w:r>
        <w:rPr>
          <w:rFonts w:ascii="Times New Roman" w:hAnsi="Times New Roman" w:cs="Times New Roman"/>
        </w:rPr>
        <w:t>.</w:t>
      </w:r>
      <w:r w:rsidRPr="00A07510">
        <w:rPr>
          <w:rFonts w:ascii="Times New Roman" w:hAnsi="Times New Roman" w:cs="Times New Roman"/>
        </w:rPr>
        <w:t xml:space="preserve"> Croatia </w:t>
      </w:r>
      <w:r>
        <w:rPr>
          <w:rFonts w:ascii="Times New Roman" w:hAnsi="Times New Roman" w:cs="Times New Roman"/>
        </w:rPr>
        <w:t>has been</w:t>
      </w:r>
      <w:r w:rsidRPr="00A07510">
        <w:rPr>
          <w:rFonts w:ascii="Times New Roman" w:hAnsi="Times New Roman" w:cs="Times New Roman"/>
        </w:rPr>
        <w:t xml:space="preserve"> bound by the CFREU since its </w:t>
      </w:r>
      <w:r>
        <w:rPr>
          <w:rFonts w:ascii="Times New Roman" w:hAnsi="Times New Roman" w:cs="Times New Roman"/>
        </w:rPr>
        <w:t>accession</w:t>
      </w:r>
      <w:r w:rsidRPr="00A07510">
        <w:rPr>
          <w:rFonts w:ascii="Times New Roman" w:hAnsi="Times New Roman" w:cs="Times New Roman"/>
        </w:rPr>
        <w:t xml:space="preserve"> to the European Union</w:t>
      </w:r>
      <w:r>
        <w:rPr>
          <w:rFonts w:ascii="Times New Roman" w:hAnsi="Times New Roman" w:cs="Times New Roman"/>
        </w:rPr>
        <w:t xml:space="preserve"> on 1 July 2013</w:t>
      </w:r>
      <w:r w:rsidRPr="00A07510">
        <w:rPr>
          <w:rFonts w:ascii="Times New Roman" w:hAnsi="Times New Roman" w:cs="Times New Roman"/>
        </w:rPr>
        <w:t>.</w:t>
      </w:r>
    </w:p>
  </w:footnote>
  <w:footnote w:id="6">
    <w:p w:rsidR="001937BD" w:rsidRPr="000D4B5C" w:rsidRDefault="001937BD" w:rsidP="001937BD">
      <w:pPr>
        <w:pStyle w:val="FootnoteText"/>
        <w:rPr>
          <w:rFonts w:ascii="Times New Roman" w:hAnsi="Times New Roman" w:cs="Times New Roman"/>
        </w:rPr>
      </w:pPr>
      <w:r w:rsidRPr="000D4B5C">
        <w:rPr>
          <w:rStyle w:val="FootnoteReference"/>
          <w:rFonts w:ascii="Times New Roman" w:hAnsi="Times New Roman" w:cs="Times New Roman"/>
        </w:rPr>
        <w:footnoteRef/>
      </w:r>
      <w:r w:rsidRPr="000D4B5C">
        <w:rPr>
          <w:rFonts w:ascii="Times New Roman" w:hAnsi="Times New Roman" w:cs="Times New Roman"/>
        </w:rPr>
        <w:t xml:space="preserve"> The Community Charter was adopted at the meeting of the European Council held in Strasbourg on 9 December 1989.</w:t>
      </w:r>
    </w:p>
  </w:footnote>
  <w:footnote w:id="7">
    <w:p w:rsidR="001937BD" w:rsidRPr="00D14DC2" w:rsidRDefault="001937BD" w:rsidP="001937BD">
      <w:pPr>
        <w:pStyle w:val="FootnoteText"/>
        <w:rPr>
          <w:rFonts w:ascii="Times New Roman" w:hAnsi="Times New Roman" w:cs="Times New Roman"/>
        </w:rPr>
      </w:pPr>
      <w:r w:rsidRPr="00D14DC2">
        <w:rPr>
          <w:rStyle w:val="FootnoteReference"/>
          <w:rFonts w:ascii="Times New Roman" w:hAnsi="Times New Roman" w:cs="Times New Roman"/>
        </w:rPr>
        <w:footnoteRef/>
      </w:r>
      <w:r w:rsidRPr="00D14DC2">
        <w:rPr>
          <w:rFonts w:ascii="Times New Roman" w:hAnsi="Times New Roman" w:cs="Times New Roman"/>
        </w:rPr>
        <w:t xml:space="preserve"> </w:t>
      </w:r>
      <w:r>
        <w:rPr>
          <w:rFonts w:ascii="Times New Roman" w:hAnsi="Times New Roman" w:cs="Times New Roman"/>
        </w:rPr>
        <w:t>Both the COAS and the Charter of Social Guarantees were adopted on 30 April 1948 by</w:t>
      </w:r>
      <w:r w:rsidRPr="00D14DC2">
        <w:rPr>
          <w:rFonts w:ascii="Times New Roman" w:hAnsi="Times New Roman" w:cs="Times New Roman"/>
        </w:rPr>
        <w:t xml:space="preserve"> the Ninth International Conference of American States, in Bogota</w:t>
      </w:r>
      <w:r>
        <w:rPr>
          <w:rFonts w:ascii="Times New Roman" w:hAnsi="Times New Roman" w:cs="Times New Roman"/>
        </w:rPr>
        <w:t xml:space="preserve">. The later document </w:t>
      </w:r>
      <w:r w:rsidRPr="00C548A5">
        <w:rPr>
          <w:rFonts w:ascii="Times New Roman" w:hAnsi="Times New Roman" w:cs="Times New Roman"/>
        </w:rPr>
        <w:t>“sets forth the minimum rights workers must enjoy in the American states,</w:t>
      </w:r>
      <w:r>
        <w:rPr>
          <w:rFonts w:ascii="Times New Roman" w:hAnsi="Times New Roman" w:cs="Times New Roman"/>
        </w:rPr>
        <w:t xml:space="preserve"> </w:t>
      </w:r>
      <w:r w:rsidRPr="00C548A5">
        <w:rPr>
          <w:rFonts w:ascii="Times New Roman" w:hAnsi="Times New Roman" w:cs="Times New Roman"/>
        </w:rPr>
        <w:t>without prejudice to the fact that the laws of each state may extend such</w:t>
      </w:r>
      <w:r>
        <w:rPr>
          <w:rFonts w:ascii="Times New Roman" w:hAnsi="Times New Roman" w:cs="Times New Roman"/>
        </w:rPr>
        <w:t xml:space="preserve"> </w:t>
      </w:r>
      <w:r w:rsidRPr="00C548A5">
        <w:rPr>
          <w:rFonts w:ascii="Times New Roman" w:hAnsi="Times New Roman" w:cs="Times New Roman"/>
        </w:rPr>
        <w:t>rights or recogni</w:t>
      </w:r>
      <w:r>
        <w:rPr>
          <w:rFonts w:ascii="Times New Roman" w:hAnsi="Times New Roman" w:cs="Times New Roman"/>
        </w:rPr>
        <w:t>s</w:t>
      </w:r>
      <w:r w:rsidRPr="00C548A5">
        <w:rPr>
          <w:rFonts w:ascii="Times New Roman" w:hAnsi="Times New Roman" w:cs="Times New Roman"/>
        </w:rPr>
        <w:t>e</w:t>
      </w:r>
      <w:r>
        <w:rPr>
          <w:rFonts w:ascii="Times New Roman" w:hAnsi="Times New Roman" w:cs="Times New Roman"/>
        </w:rPr>
        <w:t xml:space="preserve"> others that are more favorable</w:t>
      </w:r>
      <w:r w:rsidRPr="00C548A5">
        <w:rPr>
          <w:rFonts w:ascii="Times New Roman" w:hAnsi="Times New Roman" w:cs="Times New Roman"/>
        </w:rPr>
        <w:t>”</w:t>
      </w:r>
      <w:r w:rsidRPr="00D14DC2">
        <w:rPr>
          <w:rFonts w:ascii="Times New Roman" w:hAnsi="Times New Roman" w:cs="Times New Roman"/>
        </w:rPr>
        <w:t>.</w:t>
      </w:r>
      <w:r>
        <w:rPr>
          <w:rFonts w:ascii="Times New Roman" w:hAnsi="Times New Roman" w:cs="Times New Roman"/>
        </w:rPr>
        <w:t xml:space="preserve"> Later on, the first </w:t>
      </w:r>
      <w:r w:rsidRPr="00D568FB">
        <w:rPr>
          <w:rFonts w:ascii="Times New Roman" w:hAnsi="Times New Roman" w:cs="Times New Roman"/>
        </w:rPr>
        <w:t xml:space="preserve">Protocol of Amendment to the </w:t>
      </w:r>
      <w:r>
        <w:rPr>
          <w:rFonts w:ascii="Times New Roman" w:hAnsi="Times New Roman" w:cs="Times New Roman"/>
        </w:rPr>
        <w:t>COAS</w:t>
      </w:r>
      <w:r w:rsidRPr="00D568FB">
        <w:rPr>
          <w:rFonts w:ascii="Times New Roman" w:hAnsi="Times New Roman" w:cs="Times New Roman"/>
        </w:rPr>
        <w:t xml:space="preserve">, </w:t>
      </w:r>
      <w:r>
        <w:rPr>
          <w:rFonts w:ascii="Times New Roman" w:hAnsi="Times New Roman" w:cs="Times New Roman"/>
        </w:rPr>
        <w:t>the so-called “</w:t>
      </w:r>
      <w:r w:rsidRPr="00D568FB">
        <w:rPr>
          <w:rFonts w:ascii="Times New Roman" w:hAnsi="Times New Roman" w:cs="Times New Roman"/>
        </w:rPr>
        <w:t>Protocol of Buenos Aires</w:t>
      </w:r>
      <w:r>
        <w:rPr>
          <w:rFonts w:ascii="Times New Roman" w:hAnsi="Times New Roman" w:cs="Times New Roman"/>
        </w:rPr>
        <w:t>”</w:t>
      </w:r>
      <w:r w:rsidRPr="00D568FB">
        <w:rPr>
          <w:rFonts w:ascii="Times New Roman" w:hAnsi="Times New Roman" w:cs="Times New Roman"/>
        </w:rPr>
        <w:t xml:space="preserve">, </w:t>
      </w:r>
      <w:r>
        <w:rPr>
          <w:rFonts w:ascii="Times New Roman" w:hAnsi="Times New Roman" w:cs="Times New Roman"/>
        </w:rPr>
        <w:t xml:space="preserve">which was adopted on 27 February 1967 and has 31 States parties, established </w:t>
      </w:r>
      <w:r w:rsidRPr="00D568FB">
        <w:rPr>
          <w:rFonts w:ascii="Times New Roman" w:hAnsi="Times New Roman" w:cs="Times New Roman"/>
        </w:rPr>
        <w:t>new objectives and standards for the promotion of the economic, social, and cultural development of the peoples of the Hemisphere</w:t>
      </w:r>
      <w:r>
        <w:rPr>
          <w:rFonts w:ascii="Times New Roman" w:hAnsi="Times New Roman" w:cs="Times New Roman"/>
        </w:rPr>
        <w:t>, including the right to strike.</w:t>
      </w:r>
    </w:p>
  </w:footnote>
  <w:footnote w:id="8">
    <w:p w:rsidR="001937BD" w:rsidRPr="00454141" w:rsidRDefault="001937BD" w:rsidP="001937BD">
      <w:pPr>
        <w:pStyle w:val="FootnoteText"/>
        <w:rPr>
          <w:rFonts w:ascii="Times New Roman" w:hAnsi="Times New Roman" w:cs="Times New Roman"/>
        </w:rPr>
      </w:pPr>
      <w:r w:rsidRPr="00F15DF4">
        <w:rPr>
          <w:rStyle w:val="FootnoteReference"/>
          <w:rFonts w:ascii="Times New Roman" w:hAnsi="Times New Roman" w:cs="Times New Roman"/>
        </w:rPr>
        <w:footnoteRef/>
      </w:r>
      <w:r w:rsidRPr="00F15DF4">
        <w:rPr>
          <w:rFonts w:ascii="Times New Roman" w:hAnsi="Times New Roman" w:cs="Times New Roman"/>
        </w:rPr>
        <w:t xml:space="preserve"> </w:t>
      </w:r>
      <w:r>
        <w:rPr>
          <w:rFonts w:ascii="Times New Roman" w:hAnsi="Times New Roman" w:cs="Times New Roman"/>
        </w:rPr>
        <w:t xml:space="preserve">The Protocol was adopted on 17 November 1988 and has 16 States Parties. In </w:t>
      </w:r>
      <w:r w:rsidRPr="00F15DF4">
        <w:rPr>
          <w:rFonts w:ascii="Times New Roman" w:hAnsi="Times New Roman" w:cs="Times New Roman"/>
          <w:i/>
        </w:rPr>
        <w:t xml:space="preserve">Huilca Tecse v. Peru, Merits, </w:t>
      </w:r>
      <w:r>
        <w:rPr>
          <w:rFonts w:ascii="Times New Roman" w:hAnsi="Times New Roman" w:cs="Times New Roman"/>
          <w:i/>
        </w:rPr>
        <w:t>R</w:t>
      </w:r>
      <w:r w:rsidRPr="00F15DF4">
        <w:rPr>
          <w:rFonts w:ascii="Times New Roman" w:hAnsi="Times New Roman" w:cs="Times New Roman"/>
          <w:i/>
        </w:rPr>
        <w:t>eparations and Costs</w:t>
      </w:r>
      <w:r w:rsidRPr="00F15DF4">
        <w:rPr>
          <w:rFonts w:ascii="Times New Roman" w:hAnsi="Times New Roman" w:cs="Times New Roman"/>
        </w:rPr>
        <w:t xml:space="preserve">, 3 March 2005, series C, no. 121, paragraph 70, </w:t>
      </w:r>
      <w:r>
        <w:rPr>
          <w:rFonts w:ascii="Times New Roman" w:hAnsi="Times New Roman" w:cs="Times New Roman"/>
        </w:rPr>
        <w:t xml:space="preserve">the </w:t>
      </w:r>
      <w:r w:rsidRPr="00F15DF4">
        <w:rPr>
          <w:rFonts w:ascii="Times New Roman" w:hAnsi="Times New Roman" w:cs="Times New Roman"/>
        </w:rPr>
        <w:t>Inter-American</w:t>
      </w:r>
      <w:r>
        <w:rPr>
          <w:rFonts w:ascii="Times New Roman" w:hAnsi="Times New Roman" w:cs="Times New Roman"/>
        </w:rPr>
        <w:t xml:space="preserve"> Court of Human Rights</w:t>
      </w:r>
      <w:r w:rsidRPr="00F15DF4">
        <w:rPr>
          <w:rFonts w:ascii="Times New Roman" w:hAnsi="Times New Roman" w:cs="Times New Roman"/>
        </w:rPr>
        <w:t xml:space="preserve"> left the door open to the acknowledgment of </w:t>
      </w:r>
      <w:r>
        <w:rPr>
          <w:rFonts w:ascii="Times New Roman" w:hAnsi="Times New Roman" w:cs="Times New Roman"/>
        </w:rPr>
        <w:t xml:space="preserve">the Court’s contentious jurisdiction on </w:t>
      </w:r>
      <w:r w:rsidRPr="00F15DF4">
        <w:rPr>
          <w:rFonts w:ascii="Times New Roman" w:hAnsi="Times New Roman" w:cs="Times New Roman"/>
        </w:rPr>
        <w:t xml:space="preserve">the right to strike as an “appropriate means to exercise” freedom of association </w:t>
      </w:r>
      <w:r>
        <w:rPr>
          <w:rFonts w:ascii="Times New Roman" w:hAnsi="Times New Roman" w:cs="Times New Roman"/>
        </w:rPr>
        <w:t xml:space="preserve">under Article 16 of the American Convention, in spite of Article 19 (6) of the Protocol of El Salvador </w:t>
      </w:r>
      <w:r w:rsidRPr="00F15DF4">
        <w:rPr>
          <w:rFonts w:ascii="Times New Roman" w:hAnsi="Times New Roman" w:cs="Times New Roman"/>
        </w:rPr>
        <w:t>(</w:t>
      </w:r>
      <w:r>
        <w:rPr>
          <w:rFonts w:ascii="Times New Roman" w:hAnsi="Times New Roman" w:cs="Times New Roman"/>
        </w:rPr>
        <w:t xml:space="preserve">on this, </w:t>
      </w:r>
      <w:r w:rsidRPr="00F15DF4">
        <w:rPr>
          <w:rFonts w:ascii="Times New Roman" w:hAnsi="Times New Roman" w:cs="Times New Roman"/>
        </w:rPr>
        <w:t xml:space="preserve">Laurence Burgorgue-Larsen, </w:t>
      </w:r>
      <w:r>
        <w:rPr>
          <w:rFonts w:ascii="Times New Roman" w:hAnsi="Times New Roman" w:cs="Times New Roman"/>
        </w:rPr>
        <w:t>“</w:t>
      </w:r>
      <w:r w:rsidRPr="00F15DF4">
        <w:rPr>
          <w:rFonts w:ascii="Times New Roman" w:hAnsi="Times New Roman" w:cs="Times New Roman"/>
        </w:rPr>
        <w:t>Economic an</w:t>
      </w:r>
      <w:r>
        <w:rPr>
          <w:rFonts w:ascii="Times New Roman" w:hAnsi="Times New Roman" w:cs="Times New Roman"/>
        </w:rPr>
        <w:t>d</w:t>
      </w:r>
      <w:r w:rsidRPr="00F15DF4">
        <w:rPr>
          <w:rFonts w:ascii="Times New Roman" w:hAnsi="Times New Roman" w:cs="Times New Roman"/>
        </w:rPr>
        <w:t xml:space="preserve"> </w:t>
      </w:r>
      <w:r>
        <w:rPr>
          <w:rFonts w:ascii="Times New Roman" w:hAnsi="Times New Roman" w:cs="Times New Roman"/>
        </w:rPr>
        <w:t>S</w:t>
      </w:r>
      <w:r w:rsidRPr="00F15DF4">
        <w:rPr>
          <w:rFonts w:ascii="Times New Roman" w:hAnsi="Times New Roman" w:cs="Times New Roman"/>
        </w:rPr>
        <w:t xml:space="preserve">ocial </w:t>
      </w:r>
      <w:r>
        <w:rPr>
          <w:rFonts w:ascii="Times New Roman" w:hAnsi="Times New Roman" w:cs="Times New Roman"/>
        </w:rPr>
        <w:t>R</w:t>
      </w:r>
      <w:r w:rsidRPr="00F15DF4">
        <w:rPr>
          <w:rFonts w:ascii="Times New Roman" w:hAnsi="Times New Roman" w:cs="Times New Roman"/>
        </w:rPr>
        <w:t>ights</w:t>
      </w:r>
      <w:r>
        <w:rPr>
          <w:rFonts w:ascii="Times New Roman" w:hAnsi="Times New Roman" w:cs="Times New Roman"/>
        </w:rPr>
        <w:t>”</w:t>
      </w:r>
      <w:r w:rsidRPr="00F15DF4">
        <w:rPr>
          <w:rFonts w:ascii="Times New Roman" w:hAnsi="Times New Roman" w:cs="Times New Roman"/>
        </w:rPr>
        <w:t xml:space="preserve">, in Laurence Burgorgue-Larsen and Amaya Ubeda de Torres, The Inter-American Court of Human </w:t>
      </w:r>
      <w:r>
        <w:rPr>
          <w:rFonts w:ascii="Times New Roman" w:hAnsi="Times New Roman" w:cs="Times New Roman"/>
        </w:rPr>
        <w:t>R</w:t>
      </w:r>
      <w:r w:rsidRPr="00F15DF4">
        <w:rPr>
          <w:rFonts w:ascii="Times New Roman" w:hAnsi="Times New Roman" w:cs="Times New Roman"/>
        </w:rPr>
        <w:t xml:space="preserve">ights, Case Law and Commentary, Oxford, </w:t>
      </w:r>
      <w:r>
        <w:rPr>
          <w:rFonts w:ascii="Times New Roman" w:hAnsi="Times New Roman" w:cs="Times New Roman"/>
        </w:rPr>
        <w:t xml:space="preserve">Oxford University Press, </w:t>
      </w:r>
      <w:r w:rsidRPr="00F15DF4">
        <w:rPr>
          <w:rFonts w:ascii="Times New Roman" w:hAnsi="Times New Roman" w:cs="Times New Roman"/>
        </w:rPr>
        <w:t>2011, p</w:t>
      </w:r>
      <w:r>
        <w:rPr>
          <w:rFonts w:ascii="Times New Roman" w:hAnsi="Times New Roman" w:cs="Times New Roman"/>
        </w:rPr>
        <w:t>.</w:t>
      </w:r>
      <w:r w:rsidRPr="00F15DF4">
        <w:rPr>
          <w:rFonts w:ascii="Times New Roman" w:hAnsi="Times New Roman" w:cs="Times New Roman"/>
        </w:rPr>
        <w:t xml:space="preserve"> 624</w:t>
      </w:r>
      <w:r>
        <w:rPr>
          <w:rFonts w:ascii="Times New Roman" w:hAnsi="Times New Roman" w:cs="Times New Roman"/>
        </w:rPr>
        <w:t xml:space="preserve">, and Tara Melish, “The Inter-American Court of Human rights, Beyond Progressivity”, in Malcolm Langford (ed.), Social Rights </w:t>
      </w:r>
      <w:r w:rsidRPr="00454141">
        <w:rPr>
          <w:rFonts w:ascii="Times New Roman" w:hAnsi="Times New Roman" w:cs="Times New Roman"/>
        </w:rPr>
        <w:t xml:space="preserve">Jurisprudence, Cambridge, Cambridge University Press, 2008, p. 398). </w:t>
      </w:r>
    </w:p>
  </w:footnote>
  <w:footnote w:id="9">
    <w:p w:rsidR="001937BD" w:rsidRPr="00454141" w:rsidRDefault="001937BD" w:rsidP="001937BD">
      <w:pPr>
        <w:pStyle w:val="FootnoteText"/>
        <w:rPr>
          <w:rFonts w:ascii="Times New Roman" w:hAnsi="Times New Roman" w:cs="Times New Roman"/>
        </w:rPr>
      </w:pPr>
      <w:r w:rsidRPr="00454141">
        <w:rPr>
          <w:rStyle w:val="FootnoteReference"/>
          <w:rFonts w:ascii="Times New Roman" w:hAnsi="Times New Roman" w:cs="Times New Roman"/>
        </w:rPr>
        <w:footnoteRef/>
      </w:r>
      <w:r w:rsidRPr="00454141">
        <w:rPr>
          <w:rFonts w:ascii="Times New Roman" w:hAnsi="Times New Roman" w:cs="Times New Roman"/>
        </w:rPr>
        <w:t xml:space="preserve"> The second, updated version of the ArCHR was adopted on 22 May 2004 and has 12 States Parties. This is a revised edition of the first Charter of 15 September 1994.</w:t>
      </w:r>
    </w:p>
  </w:footnote>
  <w:footnote w:id="10">
    <w:p w:rsidR="001937BD" w:rsidRPr="00C42387" w:rsidRDefault="001937BD" w:rsidP="001937BD">
      <w:pPr>
        <w:pStyle w:val="FootnoteText"/>
        <w:rPr>
          <w:rFonts w:ascii="Times New Roman" w:hAnsi="Times New Roman" w:cs="Times New Roman"/>
        </w:rPr>
      </w:pPr>
      <w:r w:rsidRPr="00454141">
        <w:rPr>
          <w:rStyle w:val="FootnoteReference"/>
          <w:rFonts w:ascii="Times New Roman" w:hAnsi="Times New Roman" w:cs="Times New Roman"/>
        </w:rPr>
        <w:footnoteRef/>
      </w:r>
      <w:r w:rsidRPr="00454141">
        <w:rPr>
          <w:rFonts w:ascii="Times New Roman" w:hAnsi="Times New Roman" w:cs="Times New Roman"/>
        </w:rPr>
        <w:t xml:space="preserve"> </w:t>
      </w:r>
      <w:r>
        <w:rPr>
          <w:rFonts w:ascii="Times New Roman" w:hAnsi="Times New Roman" w:cs="Times New Roman"/>
        </w:rPr>
        <w:t xml:space="preserve">The ILO Convention 87 was adopted on 9 July 1948 and has 153 States Parties, including </w:t>
      </w:r>
      <w:r w:rsidRPr="00C42387">
        <w:rPr>
          <w:rFonts w:ascii="Times New Roman" w:hAnsi="Times New Roman" w:cs="Times New Roman"/>
        </w:rPr>
        <w:t>Croatia</w:t>
      </w:r>
      <w:r>
        <w:rPr>
          <w:rFonts w:ascii="Times New Roman" w:hAnsi="Times New Roman" w:cs="Times New Roman"/>
        </w:rPr>
        <w:t xml:space="preserve">. In respect of the respondent State it entered into force on </w:t>
      </w:r>
      <w:r w:rsidRPr="00C42387">
        <w:rPr>
          <w:rFonts w:ascii="Times New Roman" w:hAnsi="Times New Roman" w:cs="Times New Roman"/>
        </w:rPr>
        <w:t>8 October 1991.</w:t>
      </w:r>
    </w:p>
  </w:footnote>
  <w:footnote w:id="11">
    <w:p w:rsidR="001937BD" w:rsidRPr="00954DE9" w:rsidRDefault="001937BD" w:rsidP="001937BD">
      <w:pPr>
        <w:pStyle w:val="FootnoteText"/>
        <w:rPr>
          <w:rFonts w:ascii="Times New Roman" w:hAnsi="Times New Roman" w:cs="Times New Roman"/>
        </w:rPr>
      </w:pPr>
      <w:r w:rsidRPr="00954DE9">
        <w:rPr>
          <w:rStyle w:val="FootnoteReference"/>
          <w:rFonts w:ascii="Times New Roman" w:hAnsi="Times New Roman" w:cs="Times New Roman"/>
        </w:rPr>
        <w:footnoteRef/>
      </w:r>
      <w:r w:rsidRPr="00954DE9">
        <w:rPr>
          <w:rFonts w:ascii="Times New Roman" w:hAnsi="Times New Roman" w:cs="Times New Roman"/>
        </w:rPr>
        <w:t xml:space="preserve"> The first </w:t>
      </w:r>
      <w:r>
        <w:rPr>
          <w:rFonts w:ascii="Times New Roman" w:hAnsi="Times New Roman" w:cs="Times New Roman"/>
        </w:rPr>
        <w:t>declarations on the right to strike were made, respectively, by the Committee on Freedom of Association Second Report, 1952, Case no. 28 (Jamaica), paragraph 68, and the Committee of Experts General Survey, 1959, paragraph 68. The</w:t>
      </w:r>
      <w:r w:rsidRPr="00954DE9">
        <w:rPr>
          <w:rFonts w:ascii="Times New Roman" w:hAnsi="Times New Roman" w:cs="Times New Roman"/>
        </w:rPr>
        <w:t xml:space="preserve"> 1957 Resolution concerning the Abolition of Anti-Trade Union Legislation in the States Members of the International Labour Organisation</w:t>
      </w:r>
      <w:r>
        <w:rPr>
          <w:rFonts w:ascii="Times New Roman" w:hAnsi="Times New Roman" w:cs="Times New Roman"/>
        </w:rPr>
        <w:t xml:space="preserve"> a</w:t>
      </w:r>
      <w:r w:rsidRPr="00954DE9">
        <w:rPr>
          <w:rFonts w:ascii="Times New Roman" w:hAnsi="Times New Roman" w:cs="Times New Roman"/>
        </w:rPr>
        <w:t>nd the 1970 Resolution concerning Trade Union Rights and Their Relation to Civil Liberties</w:t>
      </w:r>
      <w:r>
        <w:rPr>
          <w:rFonts w:ascii="Times New Roman" w:hAnsi="Times New Roman" w:cs="Times New Roman"/>
        </w:rPr>
        <w:t xml:space="preserve"> reinforced those statements of principle</w:t>
      </w:r>
      <w:r w:rsidRPr="00954DE9">
        <w:rPr>
          <w:rFonts w:ascii="Times New Roman" w:hAnsi="Times New Roman" w:cs="Times New Roman"/>
        </w:rPr>
        <w:t>.</w:t>
      </w:r>
      <w:r>
        <w:rPr>
          <w:rFonts w:ascii="Times New Roman" w:hAnsi="Times New Roman" w:cs="Times New Roman"/>
        </w:rPr>
        <w:t xml:space="preserve"> Both the 1957 Convention no. 105 and the 1951 Recommendation no. 92 enjoyed tripartite support. </w:t>
      </w:r>
    </w:p>
  </w:footnote>
  <w:footnote w:id="12">
    <w:p w:rsidR="001937BD" w:rsidRPr="004D435F" w:rsidRDefault="001937BD" w:rsidP="001937BD">
      <w:pPr>
        <w:autoSpaceDE w:val="0"/>
        <w:autoSpaceDN w:val="0"/>
        <w:adjustRightInd w:val="0"/>
        <w:rPr>
          <w:rFonts w:ascii="Times New Roman" w:hAnsi="Times New Roman" w:cs="Times New Roman"/>
          <w:sz w:val="20"/>
          <w:szCs w:val="20"/>
        </w:rPr>
      </w:pPr>
      <w:r w:rsidRPr="004D435F">
        <w:rPr>
          <w:rStyle w:val="FootnoteReference"/>
          <w:rFonts w:ascii="Times New Roman" w:hAnsi="Times New Roman" w:cs="Times New Roman"/>
          <w:sz w:val="20"/>
          <w:szCs w:val="20"/>
        </w:rPr>
        <w:footnoteRef/>
      </w:r>
      <w:r w:rsidRPr="004D435F">
        <w:rPr>
          <w:rFonts w:ascii="Times New Roman" w:hAnsi="Times New Roman" w:cs="Times New Roman"/>
          <w:sz w:val="20"/>
          <w:szCs w:val="20"/>
        </w:rPr>
        <w:t xml:space="preserve"> </w:t>
      </w:r>
      <w:r w:rsidRPr="00C7620F">
        <w:rPr>
          <w:rFonts w:ascii="Times New Roman" w:hAnsi="Times New Roman" w:cs="Times New Roman"/>
          <w:sz w:val="20"/>
          <w:szCs w:val="20"/>
        </w:rPr>
        <w:t>The ICCPR was adopted by a United Nations General Assembly resolution</w:t>
      </w:r>
      <w:r>
        <w:rPr>
          <w:rFonts w:ascii="Times New Roman" w:hAnsi="Times New Roman" w:cs="Times New Roman"/>
          <w:sz w:val="20"/>
          <w:szCs w:val="20"/>
        </w:rPr>
        <w:t xml:space="preserve"> of 16 December 1966 and has 168</w:t>
      </w:r>
      <w:r w:rsidRPr="00C7620F">
        <w:rPr>
          <w:rFonts w:ascii="Times New Roman" w:hAnsi="Times New Roman" w:cs="Times New Roman"/>
          <w:sz w:val="20"/>
          <w:szCs w:val="20"/>
        </w:rPr>
        <w:t xml:space="preserve"> States Parties, i</w:t>
      </w:r>
      <w:r>
        <w:rPr>
          <w:rFonts w:ascii="Times New Roman" w:hAnsi="Times New Roman" w:cs="Times New Roman"/>
          <w:sz w:val="20"/>
          <w:szCs w:val="20"/>
        </w:rPr>
        <w:t>ncluding the respondent State</w:t>
      </w:r>
      <w:r w:rsidRPr="00C7620F">
        <w:rPr>
          <w:rFonts w:ascii="Times New Roman" w:hAnsi="Times New Roman" w:cs="Times New Roman"/>
          <w:sz w:val="20"/>
          <w:szCs w:val="20"/>
        </w:rPr>
        <w:t>.</w:t>
      </w:r>
      <w:r>
        <w:rPr>
          <w:rFonts w:ascii="Times New Roman" w:hAnsi="Times New Roman" w:cs="Times New Roman"/>
          <w:sz w:val="20"/>
          <w:szCs w:val="20"/>
        </w:rPr>
        <w:t xml:space="preserve"> In respect of</w:t>
      </w:r>
      <w:r w:rsidRPr="004266FD">
        <w:rPr>
          <w:rFonts w:ascii="Times New Roman" w:hAnsi="Times New Roman" w:cs="Times New Roman"/>
          <w:sz w:val="20"/>
          <w:szCs w:val="20"/>
        </w:rPr>
        <w:t xml:space="preserve"> the respondent </w:t>
      </w:r>
      <w:r>
        <w:rPr>
          <w:rFonts w:ascii="Times New Roman" w:hAnsi="Times New Roman" w:cs="Times New Roman"/>
          <w:sz w:val="20"/>
          <w:szCs w:val="20"/>
        </w:rPr>
        <w:t>S</w:t>
      </w:r>
      <w:r w:rsidRPr="004266FD">
        <w:rPr>
          <w:rFonts w:ascii="Times New Roman" w:hAnsi="Times New Roman" w:cs="Times New Roman"/>
          <w:sz w:val="20"/>
          <w:szCs w:val="20"/>
        </w:rPr>
        <w:t xml:space="preserve">tate the </w:t>
      </w:r>
      <w:r>
        <w:rPr>
          <w:rFonts w:ascii="Times New Roman" w:hAnsi="Times New Roman" w:cs="Times New Roman"/>
          <w:sz w:val="20"/>
          <w:szCs w:val="20"/>
        </w:rPr>
        <w:t>ICCPR</w:t>
      </w:r>
      <w:r w:rsidRPr="004266FD">
        <w:rPr>
          <w:rFonts w:ascii="Times New Roman" w:hAnsi="Times New Roman" w:cs="Times New Roman"/>
          <w:sz w:val="20"/>
          <w:szCs w:val="20"/>
        </w:rPr>
        <w:t xml:space="preserve"> entered into force on </w:t>
      </w:r>
      <w:r>
        <w:rPr>
          <w:rFonts w:ascii="Times New Roman" w:hAnsi="Times New Roman" w:cs="Times New Roman"/>
          <w:sz w:val="20"/>
          <w:szCs w:val="20"/>
        </w:rPr>
        <w:t>12 October 1992</w:t>
      </w:r>
      <w:r w:rsidRPr="004266FD">
        <w:rPr>
          <w:rFonts w:ascii="Times New Roman" w:hAnsi="Times New Roman" w:cs="Times New Roman"/>
          <w:sz w:val="20"/>
          <w:szCs w:val="20"/>
        </w:rPr>
        <w:t xml:space="preserve">. </w:t>
      </w:r>
      <w:r w:rsidRPr="004D435F">
        <w:rPr>
          <w:rFonts w:ascii="Times New Roman" w:hAnsi="Times New Roman" w:cs="Times New Roman"/>
          <w:sz w:val="20"/>
          <w:szCs w:val="20"/>
        </w:rPr>
        <w:t xml:space="preserve">In </w:t>
      </w:r>
      <w:r w:rsidRPr="004D435F">
        <w:rPr>
          <w:rFonts w:ascii="Times New Roman" w:hAnsi="Times New Roman" w:cs="Times New Roman"/>
          <w:i/>
          <w:sz w:val="20"/>
          <w:szCs w:val="20"/>
        </w:rPr>
        <w:t>J.B. et al. v. Canada</w:t>
      </w:r>
      <w:r w:rsidRPr="004D435F">
        <w:rPr>
          <w:rFonts w:ascii="Times New Roman" w:hAnsi="Times New Roman" w:cs="Times New Roman"/>
          <w:sz w:val="20"/>
          <w:szCs w:val="20"/>
        </w:rPr>
        <w:t xml:space="preserve">, Communication no. 118/82, 18 July 1986, </w:t>
      </w:r>
      <w:r>
        <w:rPr>
          <w:rFonts w:ascii="Times New Roman" w:hAnsi="Times New Roman" w:cs="Times New Roman"/>
          <w:sz w:val="20"/>
          <w:szCs w:val="20"/>
        </w:rPr>
        <w:t xml:space="preserve">paragraph 6 (3) and (4), </w:t>
      </w:r>
      <w:r w:rsidRPr="004D435F">
        <w:rPr>
          <w:rFonts w:ascii="Times New Roman" w:hAnsi="Times New Roman" w:cs="Times New Roman"/>
          <w:sz w:val="20"/>
          <w:szCs w:val="20"/>
        </w:rPr>
        <w:t>the Human Rights Committee</w:t>
      </w:r>
      <w:r>
        <w:rPr>
          <w:rFonts w:ascii="Times New Roman" w:hAnsi="Times New Roman" w:cs="Times New Roman"/>
          <w:sz w:val="20"/>
          <w:szCs w:val="20"/>
        </w:rPr>
        <w:t xml:space="preserve"> (HRC) </w:t>
      </w:r>
      <w:r w:rsidRPr="004D435F">
        <w:rPr>
          <w:rFonts w:ascii="Times New Roman" w:hAnsi="Times New Roman" w:cs="Times New Roman"/>
          <w:sz w:val="20"/>
          <w:szCs w:val="20"/>
        </w:rPr>
        <w:t xml:space="preserve">found that </w:t>
      </w:r>
      <w:r>
        <w:rPr>
          <w:rFonts w:ascii="Times New Roman" w:hAnsi="Times New Roman" w:cs="Times New Roman"/>
          <w:sz w:val="20"/>
          <w:szCs w:val="20"/>
        </w:rPr>
        <w:t>Article</w:t>
      </w:r>
      <w:r w:rsidRPr="004D435F">
        <w:rPr>
          <w:rFonts w:ascii="Times New Roman" w:hAnsi="Times New Roman" w:cs="Times New Roman"/>
          <w:sz w:val="20"/>
          <w:szCs w:val="20"/>
        </w:rPr>
        <w:t xml:space="preserve"> 22 </w:t>
      </w:r>
      <w:r>
        <w:rPr>
          <w:rFonts w:ascii="Times New Roman" w:hAnsi="Times New Roman" w:cs="Times New Roman"/>
          <w:sz w:val="20"/>
          <w:szCs w:val="20"/>
        </w:rPr>
        <w:t xml:space="preserve">of the ICCPR </w:t>
      </w:r>
      <w:r w:rsidRPr="004D435F">
        <w:rPr>
          <w:rFonts w:ascii="Times New Roman" w:hAnsi="Times New Roman" w:cs="Times New Roman"/>
          <w:sz w:val="20"/>
          <w:szCs w:val="20"/>
        </w:rPr>
        <w:t>did not protect the right to strike, with a remarkable dissenting opinion su</w:t>
      </w:r>
      <w:r>
        <w:rPr>
          <w:rFonts w:ascii="Times New Roman" w:hAnsi="Times New Roman" w:cs="Times New Roman"/>
          <w:sz w:val="20"/>
          <w:szCs w:val="20"/>
        </w:rPr>
        <w:t xml:space="preserve">bmitted by five members. The HRC majority’s position was determined by the disputable premise that “Each international treaty including the (ICCPR) has a life of its own”, detaching the interpretation of the two 1966 Covenants from one another. More </w:t>
      </w:r>
      <w:r w:rsidRPr="004D435F">
        <w:rPr>
          <w:rFonts w:ascii="Times New Roman" w:hAnsi="Times New Roman" w:cs="Times New Roman"/>
          <w:sz w:val="20"/>
          <w:szCs w:val="20"/>
        </w:rPr>
        <w:t>recent Concluding Observations have shown a change of heart</w:t>
      </w:r>
      <w:r>
        <w:rPr>
          <w:rFonts w:ascii="Times New Roman" w:hAnsi="Times New Roman" w:cs="Times New Roman"/>
          <w:sz w:val="20"/>
          <w:szCs w:val="20"/>
        </w:rPr>
        <w:t xml:space="preserve"> </w:t>
      </w:r>
      <w:r w:rsidRPr="004D435F">
        <w:rPr>
          <w:rFonts w:ascii="Times New Roman" w:hAnsi="Times New Roman" w:cs="Times New Roman"/>
          <w:sz w:val="20"/>
          <w:szCs w:val="20"/>
        </w:rPr>
        <w:t>o</w:t>
      </w:r>
      <w:r>
        <w:rPr>
          <w:rFonts w:ascii="Times New Roman" w:hAnsi="Times New Roman" w:cs="Times New Roman"/>
          <w:sz w:val="20"/>
          <w:szCs w:val="20"/>
        </w:rPr>
        <w:t>f</w:t>
      </w:r>
      <w:r w:rsidRPr="004D435F">
        <w:rPr>
          <w:rFonts w:ascii="Times New Roman" w:hAnsi="Times New Roman" w:cs="Times New Roman"/>
          <w:sz w:val="20"/>
          <w:szCs w:val="20"/>
        </w:rPr>
        <w:t xml:space="preserve"> the </w:t>
      </w:r>
      <w:r>
        <w:rPr>
          <w:rFonts w:ascii="Times New Roman" w:hAnsi="Times New Roman" w:cs="Times New Roman"/>
          <w:sz w:val="20"/>
          <w:szCs w:val="20"/>
        </w:rPr>
        <w:t xml:space="preserve">HRC, which now invokes Article 22 of the ICCPR as the basis of the right to strike </w:t>
      </w:r>
      <w:r w:rsidRPr="004D435F">
        <w:rPr>
          <w:rFonts w:ascii="Times New Roman" w:hAnsi="Times New Roman" w:cs="Times New Roman"/>
          <w:sz w:val="20"/>
          <w:szCs w:val="20"/>
        </w:rPr>
        <w:t>(Concluding Observations on Estonia, CCPR/C/EST/CPO/3, 4 August 2010, paragraph 15, Concluding Observations on Chile, CCPR/C/79/Add.104, paragraph 25, Concluding Observations on Lithuania, CCPR/CO/80/THU, 4 May 2004, paragraph 18, Concluding Observations on Germany, CCPR/C/79/Add.73, 8 November 1996, paragraph 18; Concluding Observations on Ireland, CCPR/C/79/Add 21, 3 August 1993, paragraph 17).</w:t>
      </w:r>
      <w:r>
        <w:rPr>
          <w:rFonts w:ascii="Times New Roman" w:hAnsi="Times New Roman" w:cs="Times New Roman"/>
          <w:sz w:val="20"/>
          <w:szCs w:val="20"/>
        </w:rPr>
        <w:t xml:space="preserve"> Scholars have repeatedly criticised the initial narrow position of the HRC and welcomed its later departure from it (for example, Manfred Nowak, UN Covenant on Civil and Political Rights, CCPR Commentary, 2</w:t>
      </w:r>
      <w:r w:rsidRPr="0070295D">
        <w:rPr>
          <w:rFonts w:ascii="Times New Roman" w:hAnsi="Times New Roman" w:cs="Times New Roman"/>
          <w:sz w:val="20"/>
          <w:szCs w:val="20"/>
          <w:vertAlign w:val="superscript"/>
        </w:rPr>
        <w:t>nd</w:t>
      </w:r>
      <w:r>
        <w:rPr>
          <w:rFonts w:ascii="Times New Roman" w:hAnsi="Times New Roman" w:cs="Times New Roman"/>
          <w:sz w:val="20"/>
          <w:szCs w:val="20"/>
        </w:rPr>
        <w:t xml:space="preserve"> revised edition, Kehl, 2005, pp. 503 and 504; Martin Scheinin, “Human Rights Committee. Not only a Committee on Civil and Political Rights”, in </w:t>
      </w:r>
      <w:r w:rsidRPr="00B25437">
        <w:rPr>
          <w:rFonts w:ascii="Times New Roman" w:hAnsi="Times New Roman" w:cs="Times New Roman"/>
          <w:sz w:val="20"/>
          <w:szCs w:val="20"/>
        </w:rPr>
        <w:t xml:space="preserve">Malcolm Langford (ed.), Social Rights Jurisprudence, </w:t>
      </w:r>
      <w:r>
        <w:rPr>
          <w:rFonts w:ascii="Times New Roman" w:hAnsi="Times New Roman" w:cs="Times New Roman"/>
          <w:sz w:val="20"/>
          <w:szCs w:val="20"/>
        </w:rPr>
        <w:t xml:space="preserve">cited above, </w:t>
      </w:r>
      <w:r w:rsidRPr="00B25437">
        <w:rPr>
          <w:rFonts w:ascii="Times New Roman" w:hAnsi="Times New Roman" w:cs="Times New Roman"/>
          <w:sz w:val="20"/>
          <w:szCs w:val="20"/>
        </w:rPr>
        <w:t>p.</w:t>
      </w:r>
      <w:r>
        <w:rPr>
          <w:rFonts w:ascii="Times New Roman" w:hAnsi="Times New Roman" w:cs="Times New Roman"/>
          <w:sz w:val="20"/>
          <w:szCs w:val="20"/>
        </w:rPr>
        <w:t xml:space="preserve"> 546; Sarah Joseph and Melissa Castan, The International Covenant on Civil and Political Rights, Cases, Materials and Comments, Third edition, Oxford, Oxford University Press, 2013, pp. 660, 661, 664 and 665, and </w:t>
      </w:r>
      <w:r w:rsidRPr="004413FE">
        <w:rPr>
          <w:rFonts w:ascii="Times New Roman" w:hAnsi="Times New Roman" w:cs="Times New Roman"/>
          <w:sz w:val="20"/>
          <w:szCs w:val="20"/>
        </w:rPr>
        <w:t xml:space="preserve">Ben Saul et al., The International Covenant on Economic, Social and Cultural rights, </w:t>
      </w:r>
      <w:r>
        <w:rPr>
          <w:rFonts w:ascii="Times New Roman" w:hAnsi="Times New Roman" w:cs="Times New Roman"/>
          <w:sz w:val="20"/>
          <w:szCs w:val="20"/>
        </w:rPr>
        <w:t>cited above</w:t>
      </w:r>
      <w:r w:rsidRPr="004413FE">
        <w:rPr>
          <w:rFonts w:ascii="Times New Roman" w:hAnsi="Times New Roman" w:cs="Times New Roman"/>
          <w:sz w:val="20"/>
          <w:szCs w:val="20"/>
        </w:rPr>
        <w:t>, p.</w:t>
      </w:r>
      <w:r>
        <w:rPr>
          <w:rFonts w:ascii="Times New Roman" w:hAnsi="Times New Roman" w:cs="Times New Roman"/>
          <w:sz w:val="20"/>
          <w:szCs w:val="20"/>
        </w:rPr>
        <w:t xml:space="preserve"> 593).  </w:t>
      </w:r>
    </w:p>
  </w:footnote>
  <w:footnote w:id="13">
    <w:p w:rsidR="001937BD" w:rsidRPr="00327EAC" w:rsidRDefault="001937BD" w:rsidP="001937BD">
      <w:pPr>
        <w:pStyle w:val="FootnoteText"/>
        <w:rPr>
          <w:rFonts w:ascii="Times New Roman" w:hAnsi="Times New Roman" w:cs="Times New Roman"/>
        </w:rPr>
      </w:pPr>
      <w:r w:rsidRPr="00327EAC">
        <w:rPr>
          <w:rStyle w:val="FootnoteReference"/>
          <w:rFonts w:ascii="Times New Roman" w:hAnsi="Times New Roman" w:cs="Times New Roman"/>
        </w:rPr>
        <w:footnoteRef/>
      </w:r>
      <w:r w:rsidRPr="00327EAC">
        <w:rPr>
          <w:rFonts w:ascii="Times New Roman" w:hAnsi="Times New Roman" w:cs="Times New Roman"/>
        </w:rPr>
        <w:t xml:space="preserve"> ECSR Conclusions I, Statement of Interpretation on Article 6 § 4, p</w:t>
      </w:r>
      <w:r>
        <w:rPr>
          <w:rFonts w:ascii="Times New Roman" w:hAnsi="Times New Roman" w:cs="Times New Roman"/>
        </w:rPr>
        <w:t>.</w:t>
      </w:r>
      <w:r w:rsidRPr="00327EAC">
        <w:rPr>
          <w:rFonts w:ascii="Times New Roman" w:hAnsi="Times New Roman" w:cs="Times New Roman"/>
        </w:rPr>
        <w:t xml:space="preserve"> 38</w:t>
      </w:r>
      <w:r>
        <w:rPr>
          <w:rFonts w:ascii="Times New Roman" w:hAnsi="Times New Roman" w:cs="Times New Roman"/>
        </w:rPr>
        <w:t>, and D</w:t>
      </w:r>
      <w:r w:rsidRPr="002C5197">
        <w:rPr>
          <w:rFonts w:ascii="Times New Roman" w:hAnsi="Times New Roman" w:cs="Times New Roman"/>
        </w:rPr>
        <w:t>igest of the case law of</w:t>
      </w:r>
      <w:r>
        <w:rPr>
          <w:rFonts w:ascii="Times New Roman" w:hAnsi="Times New Roman" w:cs="Times New Roman"/>
        </w:rPr>
        <w:t xml:space="preserve"> </w:t>
      </w:r>
      <w:r w:rsidRPr="002C5197">
        <w:rPr>
          <w:rFonts w:ascii="Times New Roman" w:hAnsi="Times New Roman" w:cs="Times New Roman"/>
        </w:rPr>
        <w:t xml:space="preserve">the </w:t>
      </w:r>
      <w:r>
        <w:rPr>
          <w:rFonts w:ascii="Times New Roman" w:hAnsi="Times New Roman" w:cs="Times New Roman"/>
        </w:rPr>
        <w:t>E</w:t>
      </w:r>
      <w:r w:rsidRPr="002C5197">
        <w:rPr>
          <w:rFonts w:ascii="Times New Roman" w:hAnsi="Times New Roman" w:cs="Times New Roman"/>
        </w:rPr>
        <w:t xml:space="preserve">uropean </w:t>
      </w:r>
      <w:r>
        <w:rPr>
          <w:rFonts w:ascii="Times New Roman" w:hAnsi="Times New Roman" w:cs="Times New Roman"/>
        </w:rPr>
        <w:t>C</w:t>
      </w:r>
      <w:r w:rsidRPr="002C5197">
        <w:rPr>
          <w:rFonts w:ascii="Times New Roman" w:hAnsi="Times New Roman" w:cs="Times New Roman"/>
        </w:rPr>
        <w:t xml:space="preserve">ommittee of </w:t>
      </w:r>
      <w:r>
        <w:rPr>
          <w:rFonts w:ascii="Times New Roman" w:hAnsi="Times New Roman" w:cs="Times New Roman"/>
        </w:rPr>
        <w:t>S</w:t>
      </w:r>
      <w:r w:rsidRPr="002C5197">
        <w:rPr>
          <w:rFonts w:ascii="Times New Roman" w:hAnsi="Times New Roman" w:cs="Times New Roman"/>
        </w:rPr>
        <w:t xml:space="preserve">ocial </w:t>
      </w:r>
      <w:r>
        <w:rPr>
          <w:rFonts w:ascii="Times New Roman" w:hAnsi="Times New Roman" w:cs="Times New Roman"/>
        </w:rPr>
        <w:t>R</w:t>
      </w:r>
      <w:r w:rsidRPr="002C5197">
        <w:rPr>
          <w:rFonts w:ascii="Times New Roman" w:hAnsi="Times New Roman" w:cs="Times New Roman"/>
        </w:rPr>
        <w:t>ights</w:t>
      </w:r>
      <w:r>
        <w:rPr>
          <w:rFonts w:ascii="Times New Roman" w:hAnsi="Times New Roman" w:cs="Times New Roman"/>
        </w:rPr>
        <w:t>, 2008, p. 56</w:t>
      </w:r>
      <w:r w:rsidRPr="00327EAC">
        <w:rPr>
          <w:rFonts w:ascii="Times New Roman" w:hAnsi="Times New Roman" w:cs="Times New Roman"/>
        </w:rPr>
        <w:t xml:space="preserve">. </w:t>
      </w:r>
    </w:p>
  </w:footnote>
  <w:footnote w:id="14">
    <w:p w:rsidR="001937BD" w:rsidRPr="00327EAC" w:rsidRDefault="001937BD" w:rsidP="001937BD">
      <w:pPr>
        <w:pStyle w:val="FootnoteText"/>
        <w:rPr>
          <w:rFonts w:ascii="Times New Roman" w:hAnsi="Times New Roman" w:cs="Times New Roman"/>
        </w:rPr>
      </w:pPr>
      <w:r w:rsidRPr="00327EAC">
        <w:rPr>
          <w:rStyle w:val="FootnoteReference"/>
          <w:rFonts w:ascii="Times New Roman" w:hAnsi="Times New Roman" w:cs="Times New Roman"/>
        </w:rPr>
        <w:footnoteRef/>
      </w:r>
      <w:r w:rsidRPr="00327EAC">
        <w:rPr>
          <w:rFonts w:ascii="Times New Roman" w:hAnsi="Times New Roman" w:cs="Times New Roman"/>
        </w:rPr>
        <w:t xml:space="preserve"> Furthermore, a </w:t>
      </w:r>
      <w:r>
        <w:rPr>
          <w:rFonts w:ascii="Times New Roman" w:hAnsi="Times New Roman" w:cs="Times New Roman"/>
        </w:rPr>
        <w:t xml:space="preserve">social </w:t>
      </w:r>
      <w:r w:rsidRPr="00327EAC">
        <w:rPr>
          <w:rFonts w:ascii="Times New Roman" w:hAnsi="Times New Roman" w:cs="Times New Roman"/>
        </w:rPr>
        <w:t>peace obligation must reflect with certainty the will of social partners. Whether this is the case is subject to assessment</w:t>
      </w:r>
      <w:r w:rsidRPr="00A93B45">
        <w:rPr>
          <w:rFonts w:ascii="Times New Roman" w:hAnsi="Times New Roman" w:cs="Times New Roman"/>
        </w:rPr>
        <w:t xml:space="preserve"> </w:t>
      </w:r>
      <w:r w:rsidRPr="00327EAC">
        <w:rPr>
          <w:rFonts w:ascii="Times New Roman" w:hAnsi="Times New Roman" w:cs="Times New Roman"/>
        </w:rPr>
        <w:t>with reference</w:t>
      </w:r>
      <w:r>
        <w:rPr>
          <w:rFonts w:ascii="Times New Roman" w:hAnsi="Times New Roman" w:cs="Times New Roman"/>
        </w:rPr>
        <w:t>,</w:t>
      </w:r>
      <w:r w:rsidRPr="00327EAC">
        <w:rPr>
          <w:rFonts w:ascii="Times New Roman" w:hAnsi="Times New Roman" w:cs="Times New Roman"/>
        </w:rPr>
        <w:t xml:space="preserve"> </w:t>
      </w:r>
      <w:r w:rsidRPr="00441123">
        <w:rPr>
          <w:rFonts w:ascii="Times New Roman" w:hAnsi="Times New Roman" w:cs="Times New Roman"/>
          <w:i/>
        </w:rPr>
        <w:t>inter alia</w:t>
      </w:r>
      <w:r>
        <w:rPr>
          <w:rFonts w:ascii="Times New Roman" w:hAnsi="Times New Roman" w:cs="Times New Roman"/>
        </w:rPr>
        <w:t>,</w:t>
      </w:r>
      <w:r w:rsidRPr="00327EAC">
        <w:rPr>
          <w:rFonts w:ascii="Times New Roman" w:hAnsi="Times New Roman" w:cs="Times New Roman"/>
        </w:rPr>
        <w:t xml:space="preserve"> to the industrial relations background in the given </w:t>
      </w:r>
      <w:r>
        <w:rPr>
          <w:rFonts w:ascii="Times New Roman" w:hAnsi="Times New Roman" w:cs="Times New Roman"/>
        </w:rPr>
        <w:t>S</w:t>
      </w:r>
      <w:r w:rsidRPr="00327EAC">
        <w:rPr>
          <w:rFonts w:ascii="Times New Roman" w:hAnsi="Times New Roman" w:cs="Times New Roman"/>
        </w:rPr>
        <w:t>tate (ESCR Conclusions 2004, Norway, p</w:t>
      </w:r>
      <w:r>
        <w:rPr>
          <w:rFonts w:ascii="Times New Roman" w:hAnsi="Times New Roman" w:cs="Times New Roman"/>
        </w:rPr>
        <w:t>. </w:t>
      </w:r>
      <w:r w:rsidRPr="00327EAC">
        <w:rPr>
          <w:rFonts w:ascii="Times New Roman" w:hAnsi="Times New Roman" w:cs="Times New Roman"/>
        </w:rPr>
        <w:t>404</w:t>
      </w:r>
      <w:r>
        <w:rPr>
          <w:rFonts w:ascii="Times New Roman" w:hAnsi="Times New Roman" w:cs="Times New Roman"/>
        </w:rPr>
        <w:t>, and D</w:t>
      </w:r>
      <w:r w:rsidRPr="002C5197">
        <w:rPr>
          <w:rFonts w:ascii="Times New Roman" w:hAnsi="Times New Roman" w:cs="Times New Roman"/>
        </w:rPr>
        <w:t>igest of the case law of</w:t>
      </w:r>
      <w:r>
        <w:rPr>
          <w:rFonts w:ascii="Times New Roman" w:hAnsi="Times New Roman" w:cs="Times New Roman"/>
        </w:rPr>
        <w:t xml:space="preserve"> </w:t>
      </w:r>
      <w:r w:rsidRPr="002C5197">
        <w:rPr>
          <w:rFonts w:ascii="Times New Roman" w:hAnsi="Times New Roman" w:cs="Times New Roman"/>
        </w:rPr>
        <w:t xml:space="preserve">the </w:t>
      </w:r>
      <w:r>
        <w:rPr>
          <w:rFonts w:ascii="Times New Roman" w:hAnsi="Times New Roman" w:cs="Times New Roman"/>
        </w:rPr>
        <w:t>E</w:t>
      </w:r>
      <w:r w:rsidRPr="002C5197">
        <w:rPr>
          <w:rFonts w:ascii="Times New Roman" w:hAnsi="Times New Roman" w:cs="Times New Roman"/>
        </w:rPr>
        <w:t xml:space="preserve">uropean </w:t>
      </w:r>
      <w:r>
        <w:rPr>
          <w:rFonts w:ascii="Times New Roman" w:hAnsi="Times New Roman" w:cs="Times New Roman"/>
        </w:rPr>
        <w:t>C</w:t>
      </w:r>
      <w:r w:rsidRPr="002C5197">
        <w:rPr>
          <w:rFonts w:ascii="Times New Roman" w:hAnsi="Times New Roman" w:cs="Times New Roman"/>
        </w:rPr>
        <w:t xml:space="preserve">ommittee of </w:t>
      </w:r>
      <w:r>
        <w:rPr>
          <w:rFonts w:ascii="Times New Roman" w:hAnsi="Times New Roman" w:cs="Times New Roman"/>
        </w:rPr>
        <w:t>S</w:t>
      </w:r>
      <w:r w:rsidRPr="002C5197">
        <w:rPr>
          <w:rFonts w:ascii="Times New Roman" w:hAnsi="Times New Roman" w:cs="Times New Roman"/>
        </w:rPr>
        <w:t xml:space="preserve">ocial </w:t>
      </w:r>
      <w:r>
        <w:rPr>
          <w:rFonts w:ascii="Times New Roman" w:hAnsi="Times New Roman" w:cs="Times New Roman"/>
        </w:rPr>
        <w:t>R</w:t>
      </w:r>
      <w:r w:rsidRPr="002C5197">
        <w:rPr>
          <w:rFonts w:ascii="Times New Roman" w:hAnsi="Times New Roman" w:cs="Times New Roman"/>
        </w:rPr>
        <w:t>ights</w:t>
      </w:r>
      <w:r>
        <w:rPr>
          <w:rFonts w:ascii="Times New Roman" w:hAnsi="Times New Roman" w:cs="Times New Roman"/>
        </w:rPr>
        <w:t>, 2008, p. 57</w:t>
      </w:r>
      <w:r w:rsidRPr="00327EAC">
        <w:rPr>
          <w:rFonts w:ascii="Times New Roman" w:hAnsi="Times New Roman" w:cs="Times New Roman"/>
        </w:rPr>
        <w:t>).</w:t>
      </w:r>
    </w:p>
  </w:footnote>
  <w:footnote w:id="15">
    <w:p w:rsidR="001937BD" w:rsidRPr="00A90C75" w:rsidRDefault="001937BD" w:rsidP="001937BD">
      <w:pPr>
        <w:pStyle w:val="FootnoteText"/>
        <w:rPr>
          <w:rFonts w:ascii="Times New Roman" w:hAnsi="Times New Roman" w:cs="Times New Roman"/>
        </w:rPr>
      </w:pPr>
      <w:r w:rsidRPr="006D313B">
        <w:rPr>
          <w:rStyle w:val="FootnoteReference"/>
          <w:rFonts w:ascii="Times New Roman" w:hAnsi="Times New Roman" w:cs="Times New Roman"/>
        </w:rPr>
        <w:footnoteRef/>
      </w:r>
      <w:r w:rsidRPr="00A90C75">
        <w:rPr>
          <w:rFonts w:ascii="Times New Roman" w:hAnsi="Times New Roman" w:cs="Times New Roman"/>
        </w:rPr>
        <w:t xml:space="preserve"> ECSR Conclusions XV-1, volume 2, p</w:t>
      </w:r>
      <w:r>
        <w:rPr>
          <w:rFonts w:ascii="Times New Roman" w:hAnsi="Times New Roman" w:cs="Times New Roman"/>
        </w:rPr>
        <w:t>p.</w:t>
      </w:r>
      <w:r w:rsidRPr="00A90C75">
        <w:rPr>
          <w:rFonts w:ascii="Times New Roman" w:hAnsi="Times New Roman" w:cs="Times New Roman"/>
        </w:rPr>
        <w:t xml:space="preserve"> 431 and 432, which </w:t>
      </w:r>
      <w:r>
        <w:rPr>
          <w:rFonts w:ascii="Times New Roman" w:hAnsi="Times New Roman" w:cs="Times New Roman"/>
        </w:rPr>
        <w:t xml:space="preserve">criticised </w:t>
      </w:r>
      <w:r w:rsidRPr="00A90C75">
        <w:rPr>
          <w:rFonts w:ascii="Times New Roman" w:hAnsi="Times New Roman" w:cs="Times New Roman"/>
        </w:rPr>
        <w:t>a formulation considered to apply not only to matters</w:t>
      </w:r>
      <w:r>
        <w:rPr>
          <w:rFonts w:ascii="Times New Roman" w:hAnsi="Times New Roman" w:cs="Times New Roman"/>
        </w:rPr>
        <w:t xml:space="preserve"> </w:t>
      </w:r>
      <w:r w:rsidRPr="00A90C75">
        <w:rPr>
          <w:rFonts w:ascii="Times New Roman" w:hAnsi="Times New Roman" w:cs="Times New Roman"/>
        </w:rPr>
        <w:t>raised and rejected</w:t>
      </w:r>
      <w:r>
        <w:rPr>
          <w:rFonts w:ascii="Times New Roman" w:hAnsi="Times New Roman" w:cs="Times New Roman"/>
        </w:rPr>
        <w:t xml:space="preserve"> </w:t>
      </w:r>
      <w:r w:rsidRPr="00A90C75">
        <w:rPr>
          <w:rFonts w:ascii="Times New Roman" w:hAnsi="Times New Roman" w:cs="Times New Roman"/>
        </w:rPr>
        <w:t xml:space="preserve">in connection with the conclusion of the agreement, but </w:t>
      </w:r>
      <w:r>
        <w:rPr>
          <w:rFonts w:ascii="Times New Roman" w:hAnsi="Times New Roman" w:cs="Times New Roman"/>
        </w:rPr>
        <w:t>even</w:t>
      </w:r>
      <w:r w:rsidRPr="00A90C75">
        <w:rPr>
          <w:rFonts w:ascii="Times New Roman" w:hAnsi="Times New Roman" w:cs="Times New Roman"/>
        </w:rPr>
        <w:t xml:space="preserve"> to </w:t>
      </w:r>
      <w:r>
        <w:rPr>
          <w:rFonts w:ascii="Times New Roman" w:hAnsi="Times New Roman" w:cs="Times New Roman"/>
        </w:rPr>
        <w:t xml:space="preserve">matters </w:t>
      </w:r>
      <w:r w:rsidRPr="00A90C75">
        <w:rPr>
          <w:rFonts w:ascii="Times New Roman" w:hAnsi="Times New Roman" w:cs="Times New Roman"/>
        </w:rPr>
        <w:t>that could have been raised</w:t>
      </w:r>
      <w:r>
        <w:rPr>
          <w:rFonts w:ascii="Times New Roman" w:hAnsi="Times New Roman" w:cs="Times New Roman"/>
        </w:rPr>
        <w:t>; and Conclusions XIII-2, p. 283, which censured a formulation applicable to matters subject to bargaining during the negotiations but not covered by the agreement.</w:t>
      </w:r>
      <w:r w:rsidRPr="00A90C75">
        <w:rPr>
          <w:rFonts w:ascii="Times New Roman" w:hAnsi="Times New Roman" w:cs="Times New Roman"/>
        </w:rPr>
        <w:t xml:space="preserve"> </w:t>
      </w:r>
    </w:p>
  </w:footnote>
  <w:footnote w:id="16">
    <w:p w:rsidR="001937BD" w:rsidRPr="00327EAC" w:rsidRDefault="001937BD" w:rsidP="001937BD">
      <w:pPr>
        <w:pStyle w:val="FootnoteText"/>
        <w:rPr>
          <w:rFonts w:ascii="Times New Roman" w:hAnsi="Times New Roman" w:cs="Times New Roman"/>
        </w:rPr>
      </w:pPr>
      <w:r w:rsidRPr="00327EAC">
        <w:rPr>
          <w:rStyle w:val="FootnoteReference"/>
          <w:rFonts w:ascii="Times New Roman" w:hAnsi="Times New Roman" w:cs="Times New Roman"/>
        </w:rPr>
        <w:footnoteRef/>
      </w:r>
      <w:r w:rsidRPr="00327EAC">
        <w:rPr>
          <w:rFonts w:ascii="Times New Roman" w:hAnsi="Times New Roman" w:cs="Times New Roman"/>
        </w:rPr>
        <w:t xml:space="preserve"> ECSR Conclusions IV, Germany, p</w:t>
      </w:r>
      <w:r>
        <w:rPr>
          <w:rFonts w:ascii="Times New Roman" w:hAnsi="Times New Roman" w:cs="Times New Roman"/>
        </w:rPr>
        <w:t>. </w:t>
      </w:r>
      <w:r w:rsidRPr="00327EAC">
        <w:rPr>
          <w:rFonts w:ascii="Times New Roman" w:hAnsi="Times New Roman" w:cs="Times New Roman"/>
        </w:rPr>
        <w:t>50</w:t>
      </w:r>
      <w:r>
        <w:rPr>
          <w:rFonts w:ascii="Times New Roman" w:hAnsi="Times New Roman" w:cs="Times New Roman"/>
        </w:rPr>
        <w:t xml:space="preserve">, </w:t>
      </w:r>
      <w:r w:rsidRPr="00983CAB">
        <w:rPr>
          <w:rFonts w:ascii="Times New Roman" w:hAnsi="Times New Roman" w:cs="Times New Roman"/>
        </w:rPr>
        <w:t xml:space="preserve">Conclusions XIX-3 </w:t>
      </w:r>
      <w:r>
        <w:rPr>
          <w:rFonts w:ascii="Times New Roman" w:hAnsi="Times New Roman" w:cs="Times New Roman"/>
        </w:rPr>
        <w:t>(</w:t>
      </w:r>
      <w:r w:rsidRPr="00983CAB">
        <w:rPr>
          <w:rFonts w:ascii="Times New Roman" w:hAnsi="Times New Roman" w:cs="Times New Roman"/>
        </w:rPr>
        <w:t>Germany</w:t>
      </w:r>
      <w:r>
        <w:rPr>
          <w:rFonts w:ascii="Times New Roman" w:hAnsi="Times New Roman" w:cs="Times New Roman"/>
        </w:rPr>
        <w:t>) (2010), and D</w:t>
      </w:r>
      <w:r w:rsidRPr="002C5197">
        <w:rPr>
          <w:rFonts w:ascii="Times New Roman" w:hAnsi="Times New Roman" w:cs="Times New Roman"/>
        </w:rPr>
        <w:t>igest of the case law of</w:t>
      </w:r>
      <w:r>
        <w:rPr>
          <w:rFonts w:ascii="Times New Roman" w:hAnsi="Times New Roman" w:cs="Times New Roman"/>
        </w:rPr>
        <w:t xml:space="preserve"> </w:t>
      </w:r>
      <w:r w:rsidRPr="002C5197">
        <w:rPr>
          <w:rFonts w:ascii="Times New Roman" w:hAnsi="Times New Roman" w:cs="Times New Roman"/>
        </w:rPr>
        <w:t xml:space="preserve">the </w:t>
      </w:r>
      <w:r>
        <w:rPr>
          <w:rFonts w:ascii="Times New Roman" w:hAnsi="Times New Roman" w:cs="Times New Roman"/>
        </w:rPr>
        <w:t>E</w:t>
      </w:r>
      <w:r w:rsidRPr="002C5197">
        <w:rPr>
          <w:rFonts w:ascii="Times New Roman" w:hAnsi="Times New Roman" w:cs="Times New Roman"/>
        </w:rPr>
        <w:t xml:space="preserve">uropean </w:t>
      </w:r>
      <w:r>
        <w:rPr>
          <w:rFonts w:ascii="Times New Roman" w:hAnsi="Times New Roman" w:cs="Times New Roman"/>
        </w:rPr>
        <w:t>C</w:t>
      </w:r>
      <w:r w:rsidRPr="002C5197">
        <w:rPr>
          <w:rFonts w:ascii="Times New Roman" w:hAnsi="Times New Roman" w:cs="Times New Roman"/>
        </w:rPr>
        <w:t xml:space="preserve">ommittee of </w:t>
      </w:r>
      <w:r>
        <w:rPr>
          <w:rFonts w:ascii="Times New Roman" w:hAnsi="Times New Roman" w:cs="Times New Roman"/>
        </w:rPr>
        <w:t>S</w:t>
      </w:r>
      <w:r w:rsidRPr="002C5197">
        <w:rPr>
          <w:rFonts w:ascii="Times New Roman" w:hAnsi="Times New Roman" w:cs="Times New Roman"/>
        </w:rPr>
        <w:t xml:space="preserve">ocial </w:t>
      </w:r>
      <w:r>
        <w:rPr>
          <w:rFonts w:ascii="Times New Roman" w:hAnsi="Times New Roman" w:cs="Times New Roman"/>
        </w:rPr>
        <w:t>R</w:t>
      </w:r>
      <w:r w:rsidRPr="002C5197">
        <w:rPr>
          <w:rFonts w:ascii="Times New Roman" w:hAnsi="Times New Roman" w:cs="Times New Roman"/>
        </w:rPr>
        <w:t>ights</w:t>
      </w:r>
      <w:r>
        <w:rPr>
          <w:rFonts w:ascii="Times New Roman" w:hAnsi="Times New Roman" w:cs="Times New Roman"/>
        </w:rPr>
        <w:t>, 2008, p. 56</w:t>
      </w:r>
      <w:r w:rsidRPr="00327EAC">
        <w:rPr>
          <w:rFonts w:ascii="Times New Roman" w:hAnsi="Times New Roman" w:cs="Times New Roman"/>
        </w:rPr>
        <w:t>.</w:t>
      </w:r>
    </w:p>
  </w:footnote>
  <w:footnote w:id="17">
    <w:p w:rsidR="001937BD" w:rsidRPr="006D313B" w:rsidRDefault="001937BD" w:rsidP="001937BD">
      <w:pPr>
        <w:pStyle w:val="FootnoteText"/>
        <w:rPr>
          <w:rFonts w:ascii="Times New Roman" w:hAnsi="Times New Roman" w:cs="Times New Roman"/>
        </w:rPr>
      </w:pPr>
      <w:r w:rsidRPr="006D313B">
        <w:rPr>
          <w:rStyle w:val="FootnoteReference"/>
          <w:rFonts w:ascii="Times New Roman" w:hAnsi="Times New Roman" w:cs="Times New Roman"/>
        </w:rPr>
        <w:footnoteRef/>
      </w:r>
      <w:r w:rsidRPr="006D313B">
        <w:rPr>
          <w:rFonts w:ascii="Times New Roman" w:hAnsi="Times New Roman" w:cs="Times New Roman"/>
        </w:rPr>
        <w:t xml:space="preserve"> ECSR Conclusions X-1, p</w:t>
      </w:r>
      <w:r>
        <w:rPr>
          <w:rFonts w:ascii="Times New Roman" w:hAnsi="Times New Roman" w:cs="Times New Roman"/>
        </w:rPr>
        <w:t>. </w:t>
      </w:r>
      <w:r w:rsidRPr="006D313B">
        <w:rPr>
          <w:rFonts w:ascii="Times New Roman" w:hAnsi="Times New Roman" w:cs="Times New Roman"/>
        </w:rPr>
        <w:t>76, reiterated in Conclusions XIII-1, p</w:t>
      </w:r>
      <w:r>
        <w:rPr>
          <w:rFonts w:ascii="Times New Roman" w:hAnsi="Times New Roman" w:cs="Times New Roman"/>
        </w:rPr>
        <w:t>. </w:t>
      </w:r>
      <w:r w:rsidRPr="006D313B">
        <w:rPr>
          <w:rFonts w:ascii="Times New Roman" w:hAnsi="Times New Roman" w:cs="Times New Roman"/>
        </w:rPr>
        <w:t>151</w:t>
      </w:r>
      <w:r>
        <w:rPr>
          <w:rFonts w:ascii="Times New Roman" w:hAnsi="Times New Roman" w:cs="Times New Roman"/>
        </w:rPr>
        <w:t xml:space="preserve">, and </w:t>
      </w:r>
      <w:r w:rsidRPr="004A746E">
        <w:rPr>
          <w:rFonts w:ascii="Times New Roman" w:hAnsi="Times New Roman" w:cs="Times New Roman"/>
        </w:rPr>
        <w:t>Conclusions XV-1</w:t>
      </w:r>
      <w:r>
        <w:rPr>
          <w:rFonts w:ascii="Times New Roman" w:hAnsi="Times New Roman" w:cs="Times New Roman"/>
        </w:rPr>
        <w:t>, p. 432.</w:t>
      </w:r>
    </w:p>
  </w:footnote>
  <w:footnote w:id="18">
    <w:p w:rsidR="001937BD" w:rsidRPr="007B75B6" w:rsidRDefault="001937BD" w:rsidP="001937BD">
      <w:pPr>
        <w:pStyle w:val="FootnoteText"/>
        <w:rPr>
          <w:rFonts w:ascii="Times New Roman" w:hAnsi="Times New Roman" w:cs="Times New Roman"/>
        </w:rPr>
      </w:pPr>
      <w:r w:rsidRPr="00F7643F">
        <w:rPr>
          <w:rStyle w:val="FootnoteReference"/>
          <w:rFonts w:ascii="Times New Roman" w:hAnsi="Times New Roman" w:cs="Times New Roman"/>
        </w:rPr>
        <w:footnoteRef/>
      </w:r>
      <w:r w:rsidRPr="006D68D9">
        <w:rPr>
          <w:rFonts w:ascii="Times New Roman" w:hAnsi="Times New Roman" w:cs="Times New Roman"/>
        </w:rPr>
        <w:t xml:space="preserve"> ECSR Conclusions XIX-3 (2010) (Croatia), p</w:t>
      </w:r>
      <w:r>
        <w:rPr>
          <w:rFonts w:ascii="Times New Roman" w:hAnsi="Times New Roman" w:cs="Times New Roman"/>
        </w:rPr>
        <w:t>. </w:t>
      </w:r>
      <w:r w:rsidRPr="006D68D9">
        <w:rPr>
          <w:rFonts w:ascii="Times New Roman" w:hAnsi="Times New Roman" w:cs="Times New Roman"/>
        </w:rPr>
        <w:t xml:space="preserve">12. </w:t>
      </w:r>
      <w:r>
        <w:rPr>
          <w:rFonts w:ascii="Times New Roman" w:hAnsi="Times New Roman" w:cs="Times New Roman"/>
        </w:rPr>
        <w:t xml:space="preserve">In its </w:t>
      </w:r>
      <w:r w:rsidRPr="002C5197">
        <w:rPr>
          <w:rFonts w:ascii="Times New Roman" w:hAnsi="Times New Roman" w:cs="Times New Roman"/>
        </w:rPr>
        <w:t xml:space="preserve">Conclusions XVIII-1 Volume 1 </w:t>
      </w:r>
      <w:r>
        <w:rPr>
          <w:rFonts w:ascii="Times New Roman" w:hAnsi="Times New Roman" w:cs="Times New Roman"/>
        </w:rPr>
        <w:t xml:space="preserve">(Czech Republik) (2006), the ECSR </w:t>
      </w:r>
      <w:r w:rsidRPr="002C5197">
        <w:rPr>
          <w:rFonts w:ascii="Times New Roman" w:hAnsi="Times New Roman" w:cs="Times New Roman"/>
        </w:rPr>
        <w:t>not</w:t>
      </w:r>
      <w:r>
        <w:rPr>
          <w:rFonts w:ascii="Times New Roman" w:hAnsi="Times New Roman" w:cs="Times New Roman"/>
        </w:rPr>
        <w:t>ed from the Czech Supreme Court’s judg</w:t>
      </w:r>
      <w:r w:rsidRPr="002C5197">
        <w:rPr>
          <w:rFonts w:ascii="Times New Roman" w:hAnsi="Times New Roman" w:cs="Times New Roman"/>
        </w:rPr>
        <w:t xml:space="preserve">ments that </w:t>
      </w:r>
      <w:r>
        <w:rPr>
          <w:rFonts w:ascii="Times New Roman" w:hAnsi="Times New Roman" w:cs="Times New Roman"/>
        </w:rPr>
        <w:t>it</w:t>
      </w:r>
      <w:r w:rsidRPr="002C5197">
        <w:rPr>
          <w:rFonts w:ascii="Times New Roman" w:hAnsi="Times New Roman" w:cs="Times New Roman"/>
        </w:rPr>
        <w:t xml:space="preserve"> d</w:t>
      </w:r>
      <w:r>
        <w:rPr>
          <w:rFonts w:ascii="Times New Roman" w:hAnsi="Times New Roman" w:cs="Times New Roman"/>
        </w:rPr>
        <w:t>id</w:t>
      </w:r>
      <w:r w:rsidRPr="002C5197">
        <w:rPr>
          <w:rFonts w:ascii="Times New Roman" w:hAnsi="Times New Roman" w:cs="Times New Roman"/>
        </w:rPr>
        <w:t xml:space="preserve"> in principle recognise the right to strike outside the context of collective bargaining</w:t>
      </w:r>
      <w:r>
        <w:rPr>
          <w:rFonts w:ascii="Times New Roman" w:hAnsi="Times New Roman" w:cs="Times New Roman"/>
        </w:rPr>
        <w:t xml:space="preserve">. It is important to remember that, in </w:t>
      </w:r>
      <w:r w:rsidRPr="00A71888">
        <w:rPr>
          <w:rFonts w:ascii="Times New Roman" w:hAnsi="Times New Roman" w:cs="Times New Roman"/>
          <w:i/>
        </w:rPr>
        <w:t>Tüm</w:t>
      </w:r>
      <w:r w:rsidRPr="00D44ADA">
        <w:rPr>
          <w:rFonts w:ascii="Times New Roman" w:hAnsi="Times New Roman" w:cs="Times New Roman"/>
          <w:i/>
        </w:rPr>
        <w:t xml:space="preserve"> Haber Sen and Çınar v. Turke</w:t>
      </w:r>
      <w:r w:rsidRPr="00D44ADA">
        <w:rPr>
          <w:rFonts w:ascii="Times New Roman" w:hAnsi="Times New Roman" w:cs="Times New Roman"/>
        </w:rPr>
        <w:t>y, no. 28602/95, §</w:t>
      </w:r>
      <w:r>
        <w:rPr>
          <w:rFonts w:ascii="Times New Roman" w:hAnsi="Times New Roman" w:cs="Times New Roman"/>
        </w:rPr>
        <w:t> </w:t>
      </w:r>
      <w:r w:rsidRPr="00D44ADA">
        <w:rPr>
          <w:rFonts w:ascii="Times New Roman" w:hAnsi="Times New Roman" w:cs="Times New Roman"/>
        </w:rPr>
        <w:t>39, ECHR 2006</w:t>
      </w:r>
      <w:r w:rsidRPr="00D44ADA">
        <w:rPr>
          <w:rFonts w:ascii="MS Mincho" w:eastAsia="MS Mincho" w:hAnsi="MS Mincho" w:cs="MS Mincho" w:hint="eastAsia"/>
        </w:rPr>
        <w:t>‑</w:t>
      </w:r>
      <w:r w:rsidRPr="00D44ADA">
        <w:rPr>
          <w:rFonts w:ascii="Times New Roman" w:hAnsi="Times New Roman" w:cs="Times New Roman"/>
        </w:rPr>
        <w:t xml:space="preserve">II, </w:t>
      </w:r>
      <w:r>
        <w:rPr>
          <w:rFonts w:ascii="Times New Roman" w:hAnsi="Times New Roman" w:cs="Times New Roman"/>
        </w:rPr>
        <w:t>th</w:t>
      </w:r>
      <w:r w:rsidRPr="00D44ADA">
        <w:rPr>
          <w:rFonts w:ascii="Times New Roman" w:hAnsi="Times New Roman" w:cs="Times New Roman"/>
        </w:rPr>
        <w:t xml:space="preserve">e Court described the ECSR as a “particularly qualified” body </w:t>
      </w:r>
      <w:r w:rsidRPr="007B75B6">
        <w:rPr>
          <w:rFonts w:ascii="Times New Roman" w:hAnsi="Times New Roman" w:cs="Times New Roman"/>
        </w:rPr>
        <w:t>in this domain.</w:t>
      </w:r>
    </w:p>
  </w:footnote>
  <w:footnote w:id="19">
    <w:p w:rsidR="001937BD" w:rsidRPr="009C309E" w:rsidRDefault="001937BD" w:rsidP="001937BD">
      <w:pPr>
        <w:pStyle w:val="FootnoteText"/>
        <w:rPr>
          <w:rFonts w:ascii="Times New Roman" w:hAnsi="Times New Roman" w:cs="Times New Roman"/>
        </w:rPr>
      </w:pPr>
      <w:r w:rsidRPr="009C309E">
        <w:rPr>
          <w:rStyle w:val="FootnoteReference"/>
          <w:rFonts w:ascii="Times New Roman" w:hAnsi="Times New Roman" w:cs="Times New Roman"/>
        </w:rPr>
        <w:footnoteRef/>
      </w:r>
      <w:r w:rsidRPr="009C309E">
        <w:rPr>
          <w:rFonts w:ascii="Times New Roman" w:hAnsi="Times New Roman" w:cs="Times New Roman"/>
        </w:rPr>
        <w:t xml:space="preserve"> As Robert Rebhahn, Rechte des Arbeitslebens, in Christoph Grabenwarter (ed.), Eur</w:t>
      </w:r>
      <w:r>
        <w:rPr>
          <w:rFonts w:ascii="Times New Roman" w:hAnsi="Times New Roman" w:cs="Times New Roman"/>
        </w:rPr>
        <w:t>opäischer Grundrechtsschutz, 1 A</w:t>
      </w:r>
      <w:r w:rsidRPr="009C309E">
        <w:rPr>
          <w:rFonts w:ascii="Times New Roman" w:hAnsi="Times New Roman" w:cs="Times New Roman"/>
        </w:rPr>
        <w:t xml:space="preserve">uflage, Baden-Baden, </w:t>
      </w:r>
      <w:r>
        <w:rPr>
          <w:rFonts w:ascii="Times New Roman" w:hAnsi="Times New Roman" w:cs="Times New Roman"/>
        </w:rPr>
        <w:t xml:space="preserve">NOMOS Verlag, </w:t>
      </w:r>
      <w:r w:rsidRPr="009C309E">
        <w:rPr>
          <w:rFonts w:ascii="Times New Roman" w:hAnsi="Times New Roman" w:cs="Times New Roman"/>
        </w:rPr>
        <w:t>2014, p</w:t>
      </w:r>
      <w:r>
        <w:rPr>
          <w:rFonts w:ascii="Times New Roman" w:hAnsi="Times New Roman" w:cs="Times New Roman"/>
        </w:rPr>
        <w:t>. </w:t>
      </w:r>
      <w:r w:rsidRPr="009C309E">
        <w:rPr>
          <w:rFonts w:ascii="Times New Roman" w:hAnsi="Times New Roman" w:cs="Times New Roman"/>
        </w:rPr>
        <w:t>679, put it</w:t>
      </w:r>
      <w:r>
        <w:rPr>
          <w:rFonts w:ascii="Times New Roman" w:hAnsi="Times New Roman" w:cs="Times New Roman"/>
        </w:rPr>
        <w:t>, expressing the idea of a State governed by the rule of law with a social conscience.</w:t>
      </w:r>
    </w:p>
  </w:footnote>
  <w:footnote w:id="20">
    <w:p w:rsidR="001937BD" w:rsidRPr="0060737D" w:rsidRDefault="001937BD" w:rsidP="001937BD">
      <w:pPr>
        <w:pStyle w:val="FootnoteText"/>
        <w:rPr>
          <w:rFonts w:ascii="Times New Roman" w:hAnsi="Times New Roman" w:cs="Times New Roman"/>
        </w:rPr>
      </w:pPr>
      <w:r w:rsidRPr="0060737D">
        <w:rPr>
          <w:rStyle w:val="FootnoteReference"/>
          <w:rFonts w:ascii="Times New Roman" w:hAnsi="Times New Roman" w:cs="Times New Roman"/>
        </w:rPr>
        <w:footnoteRef/>
      </w:r>
      <w:r w:rsidRPr="0060737D">
        <w:rPr>
          <w:rFonts w:ascii="Times New Roman" w:hAnsi="Times New Roman" w:cs="Times New Roman"/>
        </w:rPr>
        <w:t xml:space="preserve"> Article 2 of </w:t>
      </w:r>
      <w:r>
        <w:rPr>
          <w:rFonts w:ascii="Times New Roman" w:hAnsi="Times New Roman" w:cs="Times New Roman"/>
        </w:rPr>
        <w:t>Council R</w:t>
      </w:r>
      <w:r w:rsidRPr="0060737D">
        <w:rPr>
          <w:rFonts w:ascii="Times New Roman" w:hAnsi="Times New Roman" w:cs="Times New Roman"/>
        </w:rPr>
        <w:t>egulation (EC) No 2679/98 of 7 December 1998 on the functioning of the internal market in relation to the free movement of goods among the Member States makes</w:t>
      </w:r>
      <w:r>
        <w:rPr>
          <w:rFonts w:ascii="Times New Roman" w:hAnsi="Times New Roman" w:cs="Times New Roman"/>
        </w:rPr>
        <w:t xml:space="preserve"> it</w:t>
      </w:r>
      <w:r w:rsidRPr="0060737D">
        <w:rPr>
          <w:rFonts w:ascii="Times New Roman" w:hAnsi="Times New Roman" w:cs="Times New Roman"/>
        </w:rPr>
        <w:t xml:space="preserve"> clear that it may not be interpreted as affecting in any way the exercise of fundamental rights as recognised in Member States, including the right </w:t>
      </w:r>
      <w:r>
        <w:rPr>
          <w:rFonts w:ascii="Times New Roman" w:hAnsi="Times New Roman" w:cs="Times New Roman"/>
        </w:rPr>
        <w:t>t</w:t>
      </w:r>
      <w:r w:rsidRPr="0060737D">
        <w:rPr>
          <w:rFonts w:ascii="Times New Roman" w:hAnsi="Times New Roman" w:cs="Times New Roman"/>
        </w:rPr>
        <w:t>o strike.</w:t>
      </w:r>
    </w:p>
  </w:footnote>
  <w:footnote w:id="21">
    <w:p w:rsidR="001937BD" w:rsidRPr="007B75B6" w:rsidRDefault="001937BD" w:rsidP="001937BD">
      <w:pPr>
        <w:pStyle w:val="FootnoteText"/>
        <w:rPr>
          <w:rFonts w:ascii="Times New Roman" w:hAnsi="Times New Roman" w:cs="Times New Roman"/>
        </w:rPr>
      </w:pPr>
      <w:r w:rsidRPr="007B75B6">
        <w:rPr>
          <w:rStyle w:val="FootnoteReference"/>
          <w:rFonts w:ascii="Times New Roman" w:hAnsi="Times New Roman" w:cs="Times New Roman"/>
        </w:rPr>
        <w:footnoteRef/>
      </w:r>
      <w:r w:rsidRPr="007B75B6">
        <w:rPr>
          <w:rFonts w:ascii="Times New Roman" w:hAnsi="Times New Roman" w:cs="Times New Roman"/>
        </w:rPr>
        <w:t xml:space="preserve"> Court of Justice of the European Union, Case C-438/05, </w:t>
      </w:r>
      <w:r w:rsidRPr="007B75B6">
        <w:rPr>
          <w:rFonts w:ascii="Times New Roman" w:hAnsi="Times New Roman" w:cs="Times New Roman"/>
          <w:i/>
        </w:rPr>
        <w:t>International Transport Workers’ Federation and Finnish Seamen’s Union v</w:t>
      </w:r>
      <w:r>
        <w:rPr>
          <w:rFonts w:ascii="Times New Roman" w:hAnsi="Times New Roman" w:cs="Times New Roman"/>
          <w:i/>
        </w:rPr>
        <w:t>.</w:t>
      </w:r>
      <w:r w:rsidRPr="007B75B6">
        <w:rPr>
          <w:rFonts w:ascii="Times New Roman" w:hAnsi="Times New Roman" w:cs="Times New Roman"/>
          <w:i/>
        </w:rPr>
        <w:t xml:space="preserve"> Viking Line ABP and OÜ Viking Line Esti</w:t>
      </w:r>
      <w:r w:rsidRPr="007B75B6">
        <w:rPr>
          <w:rFonts w:ascii="Times New Roman" w:hAnsi="Times New Roman" w:cs="Times New Roman"/>
        </w:rPr>
        <w:t>, judgment of 11 December 2007</w:t>
      </w:r>
      <w:r>
        <w:rPr>
          <w:rFonts w:ascii="Times New Roman" w:hAnsi="Times New Roman" w:cs="Times New Roman"/>
        </w:rPr>
        <w:t xml:space="preserve"> (paragraph 44: “</w:t>
      </w:r>
      <w:r w:rsidRPr="00CE2639">
        <w:rPr>
          <w:rFonts w:ascii="Times New Roman" w:hAnsi="Times New Roman" w:cs="Times New Roman"/>
        </w:rPr>
        <w:t>the right to take collective action, including the right to strike, must</w:t>
      </w:r>
      <w:r>
        <w:rPr>
          <w:rFonts w:ascii="Times New Roman" w:hAnsi="Times New Roman" w:cs="Times New Roman"/>
        </w:rPr>
        <w:t xml:space="preserve"> </w:t>
      </w:r>
      <w:r w:rsidRPr="00CE2639">
        <w:rPr>
          <w:rFonts w:ascii="Times New Roman" w:hAnsi="Times New Roman" w:cs="Times New Roman"/>
        </w:rPr>
        <w:t>therefore be recognised</w:t>
      </w:r>
      <w:r>
        <w:rPr>
          <w:rFonts w:ascii="Times New Roman" w:hAnsi="Times New Roman" w:cs="Times New Roman"/>
        </w:rPr>
        <w:t xml:space="preserve"> as</w:t>
      </w:r>
      <w:r w:rsidRPr="00CE2639">
        <w:rPr>
          <w:rFonts w:ascii="Times New Roman" w:hAnsi="Times New Roman" w:cs="Times New Roman"/>
        </w:rPr>
        <w:t xml:space="preserve"> </w:t>
      </w:r>
      <w:r w:rsidRPr="009C3380">
        <w:rPr>
          <w:rFonts w:ascii="Times New Roman" w:hAnsi="Times New Roman" w:cs="Times New Roman"/>
        </w:rPr>
        <w:t>a fundamental right which forms an integral part of the</w:t>
      </w:r>
      <w:r>
        <w:rPr>
          <w:rFonts w:ascii="Times New Roman" w:hAnsi="Times New Roman" w:cs="Times New Roman"/>
        </w:rPr>
        <w:t xml:space="preserve"> </w:t>
      </w:r>
      <w:r w:rsidRPr="009C3380">
        <w:rPr>
          <w:rFonts w:ascii="Times New Roman" w:hAnsi="Times New Roman" w:cs="Times New Roman"/>
        </w:rPr>
        <w:t>general principles of Community law the observance of which the Court ensures</w:t>
      </w:r>
      <w:r>
        <w:rPr>
          <w:rFonts w:ascii="Times New Roman" w:hAnsi="Times New Roman" w:cs="Times New Roman"/>
        </w:rPr>
        <w:t>…</w:t>
      </w:r>
      <w:r w:rsidRPr="009C3380">
        <w:t xml:space="preserve"> </w:t>
      </w:r>
      <w:r w:rsidRPr="009C3380">
        <w:rPr>
          <w:rFonts w:ascii="Times New Roman" w:hAnsi="Times New Roman" w:cs="Times New Roman"/>
        </w:rPr>
        <w:t>As is</w:t>
      </w:r>
      <w:r>
        <w:rPr>
          <w:rFonts w:ascii="Times New Roman" w:hAnsi="Times New Roman" w:cs="Times New Roman"/>
        </w:rPr>
        <w:t xml:space="preserve"> </w:t>
      </w:r>
      <w:r w:rsidRPr="009C3380">
        <w:rPr>
          <w:rFonts w:ascii="Times New Roman" w:hAnsi="Times New Roman" w:cs="Times New Roman"/>
        </w:rPr>
        <w:t>reaffirmed by Article 28 of the Charter of Fundamental Rights of the European</w:t>
      </w:r>
      <w:r>
        <w:rPr>
          <w:rFonts w:ascii="Times New Roman" w:hAnsi="Times New Roman" w:cs="Times New Roman"/>
        </w:rPr>
        <w:t xml:space="preserve"> </w:t>
      </w:r>
      <w:r w:rsidRPr="009C3380">
        <w:rPr>
          <w:rFonts w:ascii="Times New Roman" w:hAnsi="Times New Roman" w:cs="Times New Roman"/>
        </w:rPr>
        <w:t>Union, those rights are to be protected in accordance with Community law and</w:t>
      </w:r>
      <w:r>
        <w:rPr>
          <w:rFonts w:ascii="Times New Roman" w:hAnsi="Times New Roman" w:cs="Times New Roman"/>
        </w:rPr>
        <w:t xml:space="preserve"> </w:t>
      </w:r>
      <w:r w:rsidRPr="009C3380">
        <w:rPr>
          <w:rFonts w:ascii="Times New Roman" w:hAnsi="Times New Roman" w:cs="Times New Roman"/>
        </w:rPr>
        <w:t>national law and practices</w:t>
      </w:r>
      <w:r>
        <w:rPr>
          <w:rFonts w:ascii="Times New Roman" w:hAnsi="Times New Roman" w:cs="Times New Roman"/>
        </w:rPr>
        <w:t>.”)</w:t>
      </w:r>
      <w:r w:rsidRPr="007B75B6">
        <w:rPr>
          <w:rFonts w:ascii="Times New Roman" w:hAnsi="Times New Roman" w:cs="Times New Roman"/>
        </w:rPr>
        <w:t xml:space="preserve">, </w:t>
      </w:r>
      <w:r>
        <w:rPr>
          <w:rFonts w:ascii="Times New Roman" w:hAnsi="Times New Roman" w:cs="Times New Roman"/>
        </w:rPr>
        <w:t xml:space="preserve">followed by </w:t>
      </w:r>
      <w:r w:rsidRPr="007B75B6">
        <w:rPr>
          <w:rFonts w:ascii="Times New Roman" w:hAnsi="Times New Roman" w:cs="Times New Roman"/>
        </w:rPr>
        <w:t xml:space="preserve">Case C-341/05, </w:t>
      </w:r>
      <w:r w:rsidRPr="003F07EF">
        <w:rPr>
          <w:rFonts w:ascii="Times New Roman" w:hAnsi="Times New Roman" w:cs="Times New Roman"/>
          <w:i/>
        </w:rPr>
        <w:t>Laval un Partneri v. Svenska Byggnadsarbetareforbundet</w:t>
      </w:r>
      <w:r>
        <w:rPr>
          <w:rFonts w:ascii="Times New Roman" w:hAnsi="Times New Roman" w:cs="Times New Roman"/>
        </w:rPr>
        <w:t>,</w:t>
      </w:r>
      <w:r w:rsidRPr="003F07EF">
        <w:rPr>
          <w:rFonts w:ascii="Times New Roman" w:hAnsi="Times New Roman" w:cs="Times New Roman"/>
        </w:rPr>
        <w:t xml:space="preserve"> </w:t>
      </w:r>
      <w:r w:rsidRPr="007B75B6">
        <w:rPr>
          <w:rFonts w:ascii="Times New Roman" w:hAnsi="Times New Roman" w:cs="Times New Roman"/>
        </w:rPr>
        <w:t>judgment of 18 December 2007.</w:t>
      </w:r>
      <w:r>
        <w:rPr>
          <w:rFonts w:ascii="Times New Roman" w:hAnsi="Times New Roman" w:cs="Times New Roman"/>
        </w:rPr>
        <w:t xml:space="preserve"> Attention should be drawn to the crucial circumstance that these two judgments, although citing Article 28 of the Charter, were delivered when this provision was not yet binding, and before </w:t>
      </w:r>
      <w:r w:rsidRPr="0034289B">
        <w:rPr>
          <w:rFonts w:ascii="Times New Roman" w:hAnsi="Times New Roman" w:cs="Times New Roman"/>
          <w:i/>
        </w:rPr>
        <w:t>Demir and Baykara</w:t>
      </w:r>
      <w:r>
        <w:rPr>
          <w:rFonts w:ascii="Times New Roman" w:hAnsi="Times New Roman" w:cs="Times New Roman"/>
        </w:rPr>
        <w:t xml:space="preserve">. In spite of the laudable statement of principle of the right to strike as a “fundamental right” referred to above, the conclusions of those judgments on the admissibility of extensive restrictions to the right to strike may no longer be tenable after the entry into force of that provision, when read in the light of </w:t>
      </w:r>
      <w:r w:rsidRPr="0034289B">
        <w:rPr>
          <w:rFonts w:ascii="Times New Roman" w:hAnsi="Times New Roman" w:cs="Times New Roman"/>
          <w:i/>
        </w:rPr>
        <w:t>Demir and Baykara</w:t>
      </w:r>
      <w:r>
        <w:rPr>
          <w:rFonts w:ascii="Times New Roman" w:hAnsi="Times New Roman" w:cs="Times New Roman"/>
        </w:rPr>
        <w:t xml:space="preserve">, which is not compatible with a reading giving undue prominence to the employers’ economic freedoms over the professional interests of workers, nor with the levelling down of national labour protection standards to the condition of the worst. The more balanced approach of the Luxembourg Court, in its judgment of 15 July 2010 delivered in Case C-271/08, </w:t>
      </w:r>
      <w:r w:rsidRPr="0061330C">
        <w:rPr>
          <w:rFonts w:ascii="Times New Roman" w:hAnsi="Times New Roman" w:cs="Times New Roman"/>
          <w:i/>
        </w:rPr>
        <w:t>Commission v. Germany</w:t>
      </w:r>
      <w:r>
        <w:rPr>
          <w:rFonts w:ascii="Times New Roman" w:hAnsi="Times New Roman" w:cs="Times New Roman"/>
        </w:rPr>
        <w:t xml:space="preserve">, comes closer to the imperative direction set by the Court in </w:t>
      </w:r>
      <w:r w:rsidRPr="0034289B">
        <w:rPr>
          <w:rFonts w:ascii="Times New Roman" w:hAnsi="Times New Roman" w:cs="Times New Roman"/>
          <w:i/>
        </w:rPr>
        <w:t>Demir and Baykara</w:t>
      </w:r>
      <w:r>
        <w:rPr>
          <w:rFonts w:ascii="Times New Roman" w:hAnsi="Times New Roman" w:cs="Times New Roman"/>
        </w:rPr>
        <w:t>.</w:t>
      </w:r>
    </w:p>
  </w:footnote>
  <w:footnote w:id="22">
    <w:p w:rsidR="001937BD" w:rsidRPr="00C42387" w:rsidRDefault="001937BD" w:rsidP="001937BD">
      <w:pPr>
        <w:pStyle w:val="FootnoteText"/>
        <w:rPr>
          <w:rFonts w:ascii="Times New Roman" w:hAnsi="Times New Roman" w:cs="Times New Roman"/>
        </w:rPr>
      </w:pPr>
      <w:r w:rsidRPr="007B75B6">
        <w:rPr>
          <w:rStyle w:val="FootnoteReference"/>
          <w:rFonts w:ascii="Times New Roman" w:hAnsi="Times New Roman" w:cs="Times New Roman"/>
        </w:rPr>
        <w:footnoteRef/>
      </w:r>
      <w:r w:rsidRPr="007B75B6">
        <w:rPr>
          <w:rFonts w:ascii="Times New Roman" w:hAnsi="Times New Roman" w:cs="Times New Roman"/>
        </w:rPr>
        <w:t xml:space="preserve"> Both the Committee on Freedom of Association</w:t>
      </w:r>
      <w:r w:rsidRPr="00C42387">
        <w:rPr>
          <w:rFonts w:ascii="Times New Roman" w:hAnsi="Times New Roman" w:cs="Times New Roman"/>
        </w:rPr>
        <w:t xml:space="preserve"> and the Committee of Experts have established a set of principles on the right to strike, based on Articles 3 and 10 of the ILO Convention No. 87, which are summed up in </w:t>
      </w:r>
      <w:r>
        <w:rPr>
          <w:rFonts w:ascii="Times New Roman" w:hAnsi="Times New Roman" w:cs="Times New Roman"/>
        </w:rPr>
        <w:t xml:space="preserve">the following texts: </w:t>
      </w:r>
      <w:r w:rsidRPr="00B10F22">
        <w:rPr>
          <w:rFonts w:ascii="Times New Roman" w:hAnsi="Times New Roman" w:cs="Times New Roman"/>
        </w:rPr>
        <w:t xml:space="preserve">Collective </w:t>
      </w:r>
      <w:r>
        <w:rPr>
          <w:rFonts w:ascii="Times New Roman" w:hAnsi="Times New Roman" w:cs="Times New Roman"/>
        </w:rPr>
        <w:t>B</w:t>
      </w:r>
      <w:r w:rsidRPr="00B10F22">
        <w:rPr>
          <w:rFonts w:ascii="Times New Roman" w:hAnsi="Times New Roman" w:cs="Times New Roman"/>
        </w:rPr>
        <w:t xml:space="preserve">argaining in the </w:t>
      </w:r>
      <w:r>
        <w:rPr>
          <w:rFonts w:ascii="Times New Roman" w:hAnsi="Times New Roman" w:cs="Times New Roman"/>
        </w:rPr>
        <w:t>P</w:t>
      </w:r>
      <w:r w:rsidRPr="00B10F22">
        <w:rPr>
          <w:rFonts w:ascii="Times New Roman" w:hAnsi="Times New Roman" w:cs="Times New Roman"/>
        </w:rPr>
        <w:t xml:space="preserve">ublic </w:t>
      </w:r>
      <w:r>
        <w:rPr>
          <w:rFonts w:ascii="Times New Roman" w:hAnsi="Times New Roman" w:cs="Times New Roman"/>
        </w:rPr>
        <w:t>S</w:t>
      </w:r>
      <w:r w:rsidRPr="00B10F22">
        <w:rPr>
          <w:rFonts w:ascii="Times New Roman" w:hAnsi="Times New Roman" w:cs="Times New Roman"/>
        </w:rPr>
        <w:t>ervice: A way forward, Geneva, International Labour Office, 2013</w:t>
      </w:r>
      <w:r>
        <w:rPr>
          <w:rFonts w:ascii="Times New Roman" w:hAnsi="Times New Roman" w:cs="Times New Roman"/>
        </w:rPr>
        <w:t xml:space="preserve">, paragraphs 409-433 and 604-611; </w:t>
      </w:r>
      <w:r w:rsidRPr="00C42387">
        <w:rPr>
          <w:rFonts w:ascii="Times New Roman" w:hAnsi="Times New Roman" w:cs="Times New Roman"/>
        </w:rPr>
        <w:t xml:space="preserve">Giving </w:t>
      </w:r>
      <w:r>
        <w:rPr>
          <w:rFonts w:ascii="Times New Roman" w:hAnsi="Times New Roman" w:cs="Times New Roman"/>
        </w:rPr>
        <w:t>G</w:t>
      </w:r>
      <w:r w:rsidRPr="00C42387">
        <w:rPr>
          <w:rFonts w:ascii="Times New Roman" w:hAnsi="Times New Roman" w:cs="Times New Roman"/>
        </w:rPr>
        <w:t xml:space="preserve">lobalisation a </w:t>
      </w:r>
      <w:r>
        <w:rPr>
          <w:rFonts w:ascii="Times New Roman" w:hAnsi="Times New Roman" w:cs="Times New Roman"/>
        </w:rPr>
        <w:t>H</w:t>
      </w:r>
      <w:r w:rsidRPr="00C42387">
        <w:rPr>
          <w:rFonts w:ascii="Times New Roman" w:hAnsi="Times New Roman" w:cs="Times New Roman"/>
        </w:rPr>
        <w:t xml:space="preserve">uman </w:t>
      </w:r>
      <w:r>
        <w:rPr>
          <w:rFonts w:ascii="Times New Roman" w:hAnsi="Times New Roman" w:cs="Times New Roman"/>
        </w:rPr>
        <w:t>F</w:t>
      </w:r>
      <w:r w:rsidRPr="00C42387">
        <w:rPr>
          <w:rFonts w:ascii="Times New Roman" w:hAnsi="Times New Roman" w:cs="Times New Roman"/>
        </w:rPr>
        <w:t xml:space="preserve">ace, </w:t>
      </w:r>
      <w:r>
        <w:rPr>
          <w:rFonts w:ascii="Times New Roman" w:hAnsi="Times New Roman" w:cs="Times New Roman"/>
        </w:rPr>
        <w:t xml:space="preserve">Geneva, International Labour Office, </w:t>
      </w:r>
      <w:r w:rsidRPr="00C42387">
        <w:rPr>
          <w:rFonts w:ascii="Times New Roman" w:hAnsi="Times New Roman" w:cs="Times New Roman"/>
        </w:rPr>
        <w:t xml:space="preserve">2012, </w:t>
      </w:r>
      <w:r>
        <w:rPr>
          <w:rFonts w:ascii="Times New Roman" w:hAnsi="Times New Roman" w:cs="Times New Roman"/>
        </w:rPr>
        <w:t>paragraphs 117-161;</w:t>
      </w:r>
      <w:r w:rsidRPr="00C42387">
        <w:rPr>
          <w:rFonts w:ascii="Times New Roman" w:hAnsi="Times New Roman" w:cs="Times New Roman"/>
        </w:rPr>
        <w:t xml:space="preserve"> Digest of the decisions and principles of the Freedom of Association Committee of the Governing Body of the ILO, Fifth (revised) edition, </w:t>
      </w:r>
      <w:r>
        <w:rPr>
          <w:rFonts w:ascii="Times New Roman" w:hAnsi="Times New Roman" w:cs="Times New Roman"/>
        </w:rPr>
        <w:t xml:space="preserve">Geneva, </w:t>
      </w:r>
      <w:r w:rsidRPr="00C42387">
        <w:rPr>
          <w:rFonts w:ascii="Times New Roman" w:hAnsi="Times New Roman" w:cs="Times New Roman"/>
        </w:rPr>
        <w:t>International Labour Office, 2006</w:t>
      </w:r>
      <w:r>
        <w:rPr>
          <w:rFonts w:ascii="Times New Roman" w:hAnsi="Times New Roman" w:cs="Times New Roman"/>
        </w:rPr>
        <w:t xml:space="preserve">, paragraphs </w:t>
      </w:r>
      <w:r w:rsidRPr="00010A7A">
        <w:rPr>
          <w:rFonts w:ascii="Times New Roman" w:hAnsi="Times New Roman" w:cs="Times New Roman"/>
        </w:rPr>
        <w:t>520-676</w:t>
      </w:r>
      <w:r>
        <w:rPr>
          <w:rFonts w:ascii="Times New Roman" w:hAnsi="Times New Roman" w:cs="Times New Roman"/>
        </w:rPr>
        <w:t>; C</w:t>
      </w:r>
      <w:r w:rsidRPr="00A94C09">
        <w:rPr>
          <w:rFonts w:ascii="Times New Roman" w:hAnsi="Times New Roman" w:cs="Times New Roman"/>
        </w:rPr>
        <w:t xml:space="preserve">ollective bargaining: </w:t>
      </w:r>
      <w:r>
        <w:rPr>
          <w:rFonts w:ascii="Times New Roman" w:hAnsi="Times New Roman" w:cs="Times New Roman"/>
        </w:rPr>
        <w:t>ILO</w:t>
      </w:r>
      <w:r w:rsidRPr="00A94C09">
        <w:rPr>
          <w:rFonts w:ascii="Times New Roman" w:hAnsi="Times New Roman" w:cs="Times New Roman"/>
        </w:rPr>
        <w:t xml:space="preserve"> standards and the principles of the supervisory bodies, </w:t>
      </w:r>
      <w:r>
        <w:rPr>
          <w:rFonts w:ascii="Times New Roman" w:hAnsi="Times New Roman" w:cs="Times New Roman"/>
        </w:rPr>
        <w:t>G</w:t>
      </w:r>
      <w:r w:rsidRPr="00A94C09">
        <w:rPr>
          <w:rFonts w:ascii="Times New Roman" w:hAnsi="Times New Roman" w:cs="Times New Roman"/>
        </w:rPr>
        <w:t xml:space="preserve">eneva, </w:t>
      </w:r>
      <w:r>
        <w:rPr>
          <w:rFonts w:ascii="Times New Roman" w:hAnsi="Times New Roman" w:cs="Times New Roman"/>
        </w:rPr>
        <w:t>International Labour Office</w:t>
      </w:r>
      <w:r w:rsidRPr="00A94C09">
        <w:rPr>
          <w:rFonts w:ascii="Times New Roman" w:hAnsi="Times New Roman" w:cs="Times New Roman"/>
        </w:rPr>
        <w:t>, 2000, p</w:t>
      </w:r>
      <w:r>
        <w:rPr>
          <w:rFonts w:ascii="Times New Roman" w:hAnsi="Times New Roman" w:cs="Times New Roman"/>
        </w:rPr>
        <w:t>p. </w:t>
      </w:r>
      <w:r w:rsidRPr="00A94C09">
        <w:rPr>
          <w:rFonts w:ascii="Times New Roman" w:hAnsi="Times New Roman" w:cs="Times New Roman"/>
        </w:rPr>
        <w:t>59 and 60</w:t>
      </w:r>
      <w:r>
        <w:rPr>
          <w:rFonts w:ascii="Times New Roman" w:hAnsi="Times New Roman" w:cs="Times New Roman"/>
        </w:rPr>
        <w:t>; B</w:t>
      </w:r>
      <w:r w:rsidRPr="00954DE9">
        <w:rPr>
          <w:rFonts w:ascii="Times New Roman" w:hAnsi="Times New Roman" w:cs="Times New Roman"/>
        </w:rPr>
        <w:t xml:space="preserve">ernard </w:t>
      </w:r>
      <w:r>
        <w:rPr>
          <w:rFonts w:ascii="Times New Roman" w:hAnsi="Times New Roman" w:cs="Times New Roman"/>
        </w:rPr>
        <w:t>G</w:t>
      </w:r>
      <w:r w:rsidRPr="00954DE9">
        <w:rPr>
          <w:rFonts w:ascii="Times New Roman" w:hAnsi="Times New Roman" w:cs="Times New Roman"/>
        </w:rPr>
        <w:t>ernigon,</w:t>
      </w:r>
      <w:r>
        <w:rPr>
          <w:rFonts w:ascii="Times New Roman" w:hAnsi="Times New Roman" w:cs="Times New Roman"/>
        </w:rPr>
        <w:t xml:space="preserve"> A</w:t>
      </w:r>
      <w:r w:rsidRPr="00954DE9">
        <w:rPr>
          <w:rFonts w:ascii="Times New Roman" w:hAnsi="Times New Roman" w:cs="Times New Roman"/>
        </w:rPr>
        <w:t xml:space="preserve">lberto </w:t>
      </w:r>
      <w:r>
        <w:rPr>
          <w:rFonts w:ascii="Times New Roman" w:hAnsi="Times New Roman" w:cs="Times New Roman"/>
        </w:rPr>
        <w:t>O</w:t>
      </w:r>
      <w:r w:rsidRPr="00954DE9">
        <w:rPr>
          <w:rFonts w:ascii="Times New Roman" w:hAnsi="Times New Roman" w:cs="Times New Roman"/>
        </w:rPr>
        <w:t>dero and</w:t>
      </w:r>
      <w:r>
        <w:rPr>
          <w:rFonts w:ascii="Times New Roman" w:hAnsi="Times New Roman" w:cs="Times New Roman"/>
        </w:rPr>
        <w:t xml:space="preserve"> H</w:t>
      </w:r>
      <w:r w:rsidRPr="00954DE9">
        <w:rPr>
          <w:rFonts w:ascii="Times New Roman" w:hAnsi="Times New Roman" w:cs="Times New Roman"/>
        </w:rPr>
        <w:t xml:space="preserve">oracio </w:t>
      </w:r>
      <w:r>
        <w:rPr>
          <w:rFonts w:ascii="Times New Roman" w:hAnsi="Times New Roman" w:cs="Times New Roman"/>
        </w:rPr>
        <w:t>G</w:t>
      </w:r>
      <w:r w:rsidRPr="00954DE9">
        <w:rPr>
          <w:rFonts w:ascii="Times New Roman" w:hAnsi="Times New Roman" w:cs="Times New Roman"/>
        </w:rPr>
        <w:t>uido</w:t>
      </w:r>
      <w:r w:rsidRPr="00C42387">
        <w:rPr>
          <w:rFonts w:ascii="Times New Roman" w:hAnsi="Times New Roman" w:cs="Times New Roman"/>
        </w:rPr>
        <w:t>ilo</w:t>
      </w:r>
      <w:r>
        <w:rPr>
          <w:rFonts w:ascii="Times New Roman" w:hAnsi="Times New Roman" w:cs="Times New Roman"/>
        </w:rPr>
        <w:t>,</w:t>
      </w:r>
      <w:r w:rsidRPr="00C42387">
        <w:rPr>
          <w:rFonts w:ascii="Times New Roman" w:hAnsi="Times New Roman" w:cs="Times New Roman"/>
        </w:rPr>
        <w:t xml:space="preserve"> </w:t>
      </w:r>
      <w:r>
        <w:rPr>
          <w:rFonts w:ascii="Times New Roman" w:hAnsi="Times New Roman" w:cs="Times New Roman"/>
        </w:rPr>
        <w:t>P</w:t>
      </w:r>
      <w:r w:rsidRPr="00C42387">
        <w:rPr>
          <w:rFonts w:ascii="Times New Roman" w:hAnsi="Times New Roman" w:cs="Times New Roman"/>
        </w:rPr>
        <w:t xml:space="preserve">rinciples concerning the right to strike, </w:t>
      </w:r>
      <w:r>
        <w:rPr>
          <w:rFonts w:ascii="Times New Roman" w:hAnsi="Times New Roman" w:cs="Times New Roman"/>
        </w:rPr>
        <w:t xml:space="preserve">Geneva, International Labour Office, </w:t>
      </w:r>
      <w:r w:rsidRPr="00C42387">
        <w:rPr>
          <w:rFonts w:ascii="Times New Roman" w:hAnsi="Times New Roman" w:cs="Times New Roman"/>
        </w:rPr>
        <w:t>2000</w:t>
      </w:r>
      <w:r>
        <w:rPr>
          <w:rFonts w:ascii="Times New Roman" w:hAnsi="Times New Roman" w:cs="Times New Roman"/>
        </w:rPr>
        <w:t xml:space="preserve">; and Committee of Experts’ </w:t>
      </w:r>
      <w:r w:rsidRPr="00B10F22">
        <w:rPr>
          <w:rFonts w:ascii="Times New Roman" w:hAnsi="Times New Roman" w:cs="Times New Roman"/>
        </w:rPr>
        <w:t xml:space="preserve">General Survey, </w:t>
      </w:r>
      <w:r>
        <w:rPr>
          <w:rFonts w:ascii="Times New Roman" w:hAnsi="Times New Roman" w:cs="Times New Roman"/>
        </w:rPr>
        <w:t>Freedom of Association and Collective Bargaining, Geneva, International Labour Office, 1994, paragraphs 136-79</w:t>
      </w:r>
      <w:r w:rsidRPr="00C42387">
        <w:rPr>
          <w:rFonts w:ascii="Times New Roman" w:hAnsi="Times New Roman" w:cs="Times New Roman"/>
        </w:rPr>
        <w:t>.</w:t>
      </w:r>
      <w:r>
        <w:rPr>
          <w:rFonts w:ascii="Times New Roman" w:hAnsi="Times New Roman" w:cs="Times New Roman"/>
        </w:rPr>
        <w:t xml:space="preserve"> In spite of the opposite position of the Employer’s Group at the ILO, the ILO bodies have consistently regarded the right to strike as an “intrinsic corollary of the right to organize under the Convention no. 87” or “one of the essential means available to workers and to their organisations for furthering and developing their interests” (see, for example, the groundbreaking General Survey, 1994, paragraph 179). </w:t>
      </w:r>
      <w:r w:rsidRPr="007B75B6">
        <w:rPr>
          <w:rFonts w:ascii="Times New Roman" w:hAnsi="Times New Roman" w:cs="Times New Roman"/>
        </w:rPr>
        <w:t xml:space="preserve">The Committee </w:t>
      </w:r>
      <w:r>
        <w:rPr>
          <w:rFonts w:ascii="Times New Roman" w:hAnsi="Times New Roman" w:cs="Times New Roman"/>
        </w:rPr>
        <w:t xml:space="preserve">of Experts </w:t>
      </w:r>
      <w:r w:rsidRPr="007B75B6">
        <w:rPr>
          <w:rFonts w:ascii="Times New Roman" w:hAnsi="Times New Roman" w:cs="Times New Roman"/>
        </w:rPr>
        <w:t>consider</w:t>
      </w:r>
      <w:r>
        <w:rPr>
          <w:rFonts w:ascii="Times New Roman" w:hAnsi="Times New Roman" w:cs="Times New Roman"/>
        </w:rPr>
        <w:t>s</w:t>
      </w:r>
      <w:r w:rsidRPr="007B75B6">
        <w:rPr>
          <w:rFonts w:ascii="Times New Roman" w:hAnsi="Times New Roman" w:cs="Times New Roman"/>
        </w:rPr>
        <w:t xml:space="preserve"> that, in so far as its views are not contradicted by the International Court of </w:t>
      </w:r>
      <w:r>
        <w:rPr>
          <w:rFonts w:ascii="Times New Roman" w:hAnsi="Times New Roman" w:cs="Times New Roman"/>
        </w:rPr>
        <w:t>J</w:t>
      </w:r>
      <w:r w:rsidRPr="007B75B6">
        <w:rPr>
          <w:rFonts w:ascii="Times New Roman" w:hAnsi="Times New Roman" w:cs="Times New Roman"/>
        </w:rPr>
        <w:t>ustice, they should be considered as valid and generally recogni</w:t>
      </w:r>
      <w:r>
        <w:rPr>
          <w:rFonts w:ascii="Times New Roman" w:hAnsi="Times New Roman" w:cs="Times New Roman"/>
        </w:rPr>
        <w:t>s</w:t>
      </w:r>
      <w:r w:rsidRPr="007B75B6">
        <w:rPr>
          <w:rFonts w:ascii="Times New Roman" w:hAnsi="Times New Roman" w:cs="Times New Roman"/>
        </w:rPr>
        <w:t>ed</w:t>
      </w:r>
      <w:r>
        <w:rPr>
          <w:rFonts w:ascii="Times New Roman" w:hAnsi="Times New Roman" w:cs="Times New Roman"/>
        </w:rPr>
        <w:t xml:space="preserve"> (</w:t>
      </w:r>
      <w:r w:rsidRPr="00742DB2">
        <w:rPr>
          <w:rFonts w:ascii="Times New Roman" w:hAnsi="Times New Roman" w:cs="Times New Roman"/>
        </w:rPr>
        <w:t xml:space="preserve">Collective Bargaining in the Public Service: A Way Forward, </w:t>
      </w:r>
      <w:r>
        <w:rPr>
          <w:rFonts w:ascii="Times New Roman" w:hAnsi="Times New Roman" w:cs="Times New Roman"/>
        </w:rPr>
        <w:t xml:space="preserve">Geneva, International Labour Office, </w:t>
      </w:r>
      <w:r w:rsidRPr="00742DB2">
        <w:rPr>
          <w:rFonts w:ascii="Times New Roman" w:hAnsi="Times New Roman" w:cs="Times New Roman"/>
        </w:rPr>
        <w:t>2013</w:t>
      </w:r>
      <w:r>
        <w:rPr>
          <w:rFonts w:ascii="Times New Roman" w:hAnsi="Times New Roman" w:cs="Times New Roman"/>
        </w:rPr>
        <w:t xml:space="preserve">, foreword, § 8). That has also been the position of scholars (for example, Roy Adams, “Labor Rights”, in David Forsythe (ed.), Encyclopedia of Human Rights, volume 3, Oxford, Oxford University Press, 2009, p. 386, and Colin Fenwick, “The International Labour Organisation, An integrated approach to economic and social rights”, in Malcolm Langford (ed.), Social Rights Jurisprudence, cited above, p. 598). </w:t>
      </w:r>
    </w:p>
  </w:footnote>
  <w:footnote w:id="23">
    <w:p w:rsidR="001937BD" w:rsidRPr="00B10F22" w:rsidRDefault="001937BD" w:rsidP="001937BD">
      <w:pPr>
        <w:pStyle w:val="FootnoteText"/>
        <w:rPr>
          <w:rFonts w:ascii="Times New Roman" w:hAnsi="Times New Roman" w:cs="Times New Roman"/>
        </w:rPr>
      </w:pPr>
      <w:r w:rsidRPr="00B10F22">
        <w:rPr>
          <w:rStyle w:val="FootnoteReference"/>
          <w:rFonts w:ascii="Times New Roman" w:hAnsi="Times New Roman" w:cs="Times New Roman"/>
        </w:rPr>
        <w:footnoteRef/>
      </w:r>
      <w:r w:rsidRPr="00B10F22">
        <w:rPr>
          <w:rFonts w:ascii="Times New Roman" w:hAnsi="Times New Roman" w:cs="Times New Roman"/>
        </w:rPr>
        <w:t xml:space="preserve">  This </w:t>
      </w:r>
      <w:r>
        <w:rPr>
          <w:rFonts w:ascii="Times New Roman" w:hAnsi="Times New Roman" w:cs="Times New Roman"/>
        </w:rPr>
        <w:t>requirement dates</w:t>
      </w:r>
      <w:r w:rsidRPr="00B10F22">
        <w:rPr>
          <w:rFonts w:ascii="Times New Roman" w:hAnsi="Times New Roman" w:cs="Times New Roman"/>
        </w:rPr>
        <w:t xml:space="preserve"> back to </w:t>
      </w:r>
      <w:r>
        <w:rPr>
          <w:rFonts w:ascii="Times New Roman" w:hAnsi="Times New Roman" w:cs="Times New Roman"/>
        </w:rPr>
        <w:t xml:space="preserve">the Committee of Experts’ </w:t>
      </w:r>
      <w:r w:rsidRPr="00B10F22">
        <w:rPr>
          <w:rFonts w:ascii="Times New Roman" w:hAnsi="Times New Roman" w:cs="Times New Roman"/>
        </w:rPr>
        <w:t xml:space="preserve">General Survey, </w:t>
      </w:r>
      <w:r>
        <w:rPr>
          <w:rFonts w:ascii="Times New Roman" w:hAnsi="Times New Roman" w:cs="Times New Roman"/>
        </w:rPr>
        <w:t>F</w:t>
      </w:r>
      <w:r w:rsidRPr="002E1D42">
        <w:rPr>
          <w:rFonts w:ascii="Times New Roman" w:hAnsi="Times New Roman" w:cs="Times New Roman"/>
        </w:rPr>
        <w:t xml:space="preserve">reedom of </w:t>
      </w:r>
      <w:r>
        <w:rPr>
          <w:rFonts w:ascii="Times New Roman" w:hAnsi="Times New Roman" w:cs="Times New Roman"/>
        </w:rPr>
        <w:t>A</w:t>
      </w:r>
      <w:r w:rsidRPr="002E1D42">
        <w:rPr>
          <w:rFonts w:ascii="Times New Roman" w:hAnsi="Times New Roman" w:cs="Times New Roman"/>
        </w:rPr>
        <w:t>ssociation</w:t>
      </w:r>
      <w:r>
        <w:rPr>
          <w:rFonts w:ascii="Times New Roman" w:hAnsi="Times New Roman" w:cs="Times New Roman"/>
        </w:rPr>
        <w:t xml:space="preserve"> </w:t>
      </w:r>
      <w:r w:rsidRPr="002E1D42">
        <w:rPr>
          <w:rFonts w:ascii="Times New Roman" w:hAnsi="Times New Roman" w:cs="Times New Roman"/>
        </w:rPr>
        <w:t>and</w:t>
      </w:r>
      <w:r>
        <w:rPr>
          <w:rFonts w:ascii="Times New Roman" w:hAnsi="Times New Roman" w:cs="Times New Roman"/>
        </w:rPr>
        <w:t xml:space="preserve"> C</w:t>
      </w:r>
      <w:r w:rsidRPr="002E1D42">
        <w:rPr>
          <w:rFonts w:ascii="Times New Roman" w:hAnsi="Times New Roman" w:cs="Times New Roman"/>
        </w:rPr>
        <w:t xml:space="preserve">ollective </w:t>
      </w:r>
      <w:r>
        <w:rPr>
          <w:rFonts w:ascii="Times New Roman" w:hAnsi="Times New Roman" w:cs="Times New Roman"/>
        </w:rPr>
        <w:t>B</w:t>
      </w:r>
      <w:r w:rsidRPr="002E1D42">
        <w:rPr>
          <w:rFonts w:ascii="Times New Roman" w:hAnsi="Times New Roman" w:cs="Times New Roman"/>
        </w:rPr>
        <w:t>argaining</w:t>
      </w:r>
      <w:r>
        <w:rPr>
          <w:rFonts w:ascii="Times New Roman" w:hAnsi="Times New Roman" w:cs="Times New Roman"/>
        </w:rPr>
        <w:t>, cited above</w:t>
      </w:r>
      <w:r w:rsidRPr="00B10F22">
        <w:rPr>
          <w:rFonts w:ascii="Times New Roman" w:hAnsi="Times New Roman" w:cs="Times New Roman"/>
        </w:rPr>
        <w:t>, para</w:t>
      </w:r>
      <w:r>
        <w:rPr>
          <w:rFonts w:ascii="Times New Roman" w:hAnsi="Times New Roman" w:cs="Times New Roman"/>
        </w:rPr>
        <w:t>graph</w:t>
      </w:r>
      <w:r w:rsidRPr="00B10F22">
        <w:rPr>
          <w:rFonts w:ascii="Times New Roman" w:hAnsi="Times New Roman" w:cs="Times New Roman"/>
        </w:rPr>
        <w:t xml:space="preserve"> 167</w:t>
      </w:r>
      <w:r>
        <w:rPr>
          <w:rFonts w:ascii="Times New Roman" w:hAnsi="Times New Roman" w:cs="Times New Roman"/>
        </w:rPr>
        <w:t>, and has been reiterated over the years</w:t>
      </w:r>
      <w:r w:rsidRPr="00B10F22">
        <w:rPr>
          <w:rFonts w:ascii="Times New Roman" w:hAnsi="Times New Roman" w:cs="Times New Roman"/>
        </w:rPr>
        <w:t xml:space="preserve">. </w:t>
      </w:r>
      <w:r>
        <w:rPr>
          <w:rFonts w:ascii="Times New Roman" w:hAnsi="Times New Roman" w:cs="Times New Roman"/>
        </w:rPr>
        <w:t xml:space="preserve">More recently, see </w:t>
      </w:r>
      <w:r w:rsidRPr="00B10F22">
        <w:rPr>
          <w:rFonts w:ascii="Times New Roman" w:hAnsi="Times New Roman" w:cs="Times New Roman"/>
        </w:rPr>
        <w:t xml:space="preserve">Collective </w:t>
      </w:r>
      <w:r>
        <w:rPr>
          <w:rFonts w:ascii="Times New Roman" w:hAnsi="Times New Roman" w:cs="Times New Roman"/>
        </w:rPr>
        <w:t>B</w:t>
      </w:r>
      <w:r w:rsidRPr="00B10F22">
        <w:rPr>
          <w:rFonts w:ascii="Times New Roman" w:hAnsi="Times New Roman" w:cs="Times New Roman"/>
        </w:rPr>
        <w:t xml:space="preserve">argaining in the </w:t>
      </w:r>
      <w:r>
        <w:rPr>
          <w:rFonts w:ascii="Times New Roman" w:hAnsi="Times New Roman" w:cs="Times New Roman"/>
        </w:rPr>
        <w:t>P</w:t>
      </w:r>
      <w:r w:rsidRPr="00B10F22">
        <w:rPr>
          <w:rFonts w:ascii="Times New Roman" w:hAnsi="Times New Roman" w:cs="Times New Roman"/>
        </w:rPr>
        <w:t xml:space="preserve">ublic </w:t>
      </w:r>
      <w:r>
        <w:rPr>
          <w:rFonts w:ascii="Times New Roman" w:hAnsi="Times New Roman" w:cs="Times New Roman"/>
        </w:rPr>
        <w:t>S</w:t>
      </w:r>
      <w:r w:rsidRPr="00B10F22">
        <w:rPr>
          <w:rFonts w:ascii="Times New Roman" w:hAnsi="Times New Roman" w:cs="Times New Roman"/>
        </w:rPr>
        <w:t>ervice,</w:t>
      </w:r>
      <w:r>
        <w:rPr>
          <w:rFonts w:ascii="Times New Roman" w:hAnsi="Times New Roman" w:cs="Times New Roman"/>
        </w:rPr>
        <w:t xml:space="preserve"> cited above, paragraph 605: “</w:t>
      </w:r>
      <w:r w:rsidRPr="00546203">
        <w:rPr>
          <w:rFonts w:ascii="Times New Roman" w:hAnsi="Times New Roman" w:cs="Times New Roman"/>
        </w:rPr>
        <w:t>The Committee points out that the State should make available to the parties to</w:t>
      </w:r>
      <w:r>
        <w:rPr>
          <w:rFonts w:ascii="Times New Roman" w:hAnsi="Times New Roman" w:cs="Times New Roman"/>
        </w:rPr>
        <w:t xml:space="preserve"> </w:t>
      </w:r>
      <w:r w:rsidRPr="00546203">
        <w:rPr>
          <w:rFonts w:ascii="Times New Roman" w:hAnsi="Times New Roman" w:cs="Times New Roman"/>
        </w:rPr>
        <w:t>collective bargaining free and expeditious dispute settlement machinery which is</w:t>
      </w:r>
      <w:r>
        <w:rPr>
          <w:rFonts w:ascii="Times New Roman" w:hAnsi="Times New Roman" w:cs="Times New Roman"/>
        </w:rPr>
        <w:t xml:space="preserve"> </w:t>
      </w:r>
      <w:r w:rsidRPr="00546203">
        <w:rPr>
          <w:rFonts w:ascii="Times New Roman" w:hAnsi="Times New Roman" w:cs="Times New Roman"/>
        </w:rPr>
        <w:t>independent and impartial and has the confidence of the parties</w:t>
      </w:r>
      <w:r>
        <w:rPr>
          <w:rFonts w:ascii="Times New Roman" w:hAnsi="Times New Roman" w:cs="Times New Roman"/>
        </w:rPr>
        <w:t>”.</w:t>
      </w:r>
    </w:p>
  </w:footnote>
  <w:footnote w:id="24">
    <w:p w:rsidR="001937BD" w:rsidRPr="002B5948" w:rsidRDefault="001937BD" w:rsidP="001937BD">
      <w:pPr>
        <w:pStyle w:val="FootnoteText"/>
        <w:rPr>
          <w:rFonts w:ascii="Times New Roman" w:hAnsi="Times New Roman" w:cs="Times New Roman"/>
        </w:rPr>
      </w:pPr>
      <w:r w:rsidRPr="002B5948">
        <w:rPr>
          <w:rStyle w:val="FootnoteReference"/>
          <w:rFonts w:ascii="Times New Roman" w:hAnsi="Times New Roman" w:cs="Times New Roman"/>
        </w:rPr>
        <w:footnoteRef/>
      </w:r>
      <w:r w:rsidRPr="002B5948">
        <w:rPr>
          <w:rFonts w:ascii="Times New Roman" w:hAnsi="Times New Roman" w:cs="Times New Roman"/>
        </w:rPr>
        <w:t xml:space="preserve"> See Giving Globalisation a Human Face, cited above, paragraph 123.</w:t>
      </w:r>
    </w:p>
  </w:footnote>
  <w:footnote w:id="25">
    <w:p w:rsidR="001937BD" w:rsidRPr="001D2E4B" w:rsidRDefault="001937BD" w:rsidP="001937BD">
      <w:pPr>
        <w:pStyle w:val="FootnoteText"/>
        <w:rPr>
          <w:rFonts w:ascii="Times New Roman" w:hAnsi="Times New Roman" w:cs="Times New Roman"/>
        </w:rPr>
      </w:pPr>
      <w:r w:rsidRPr="00632BAE">
        <w:rPr>
          <w:rStyle w:val="FootnoteReference"/>
          <w:rFonts w:ascii="Times New Roman" w:hAnsi="Times New Roman" w:cs="Times New Roman"/>
        </w:rPr>
        <w:footnoteRef/>
      </w:r>
      <w:r w:rsidRPr="00632BAE">
        <w:rPr>
          <w:rFonts w:ascii="Times New Roman" w:hAnsi="Times New Roman" w:cs="Times New Roman"/>
        </w:rPr>
        <w:t xml:space="preserve"> </w:t>
      </w:r>
      <w:r>
        <w:rPr>
          <w:rFonts w:ascii="Times New Roman" w:hAnsi="Times New Roman" w:cs="Times New Roman"/>
        </w:rPr>
        <w:t xml:space="preserve">For the US, </w:t>
      </w:r>
      <w:r w:rsidRPr="00632BAE">
        <w:rPr>
          <w:rFonts w:ascii="Times New Roman" w:hAnsi="Times New Roman" w:cs="Times New Roman"/>
          <w:i/>
        </w:rPr>
        <w:t>Charles Wolff Packing Company v. Court of Industrial Relations</w:t>
      </w:r>
      <w:r w:rsidRPr="00632BAE">
        <w:rPr>
          <w:rFonts w:ascii="Times New Roman" w:hAnsi="Times New Roman" w:cs="Times New Roman"/>
        </w:rPr>
        <w:t xml:space="preserve">, 262 U.S. 522, </w:t>
      </w:r>
      <w:r>
        <w:rPr>
          <w:rFonts w:ascii="Times New Roman" w:hAnsi="Times New Roman" w:cs="Times New Roman"/>
        </w:rPr>
        <w:t xml:space="preserve">and </w:t>
      </w:r>
      <w:r w:rsidRPr="001B246E">
        <w:rPr>
          <w:rFonts w:ascii="Times New Roman" w:hAnsi="Times New Roman" w:cs="Times New Roman"/>
          <w:i/>
        </w:rPr>
        <w:t>Lyng v. Auto Workers</w:t>
      </w:r>
      <w:r w:rsidRPr="001B246E">
        <w:rPr>
          <w:rFonts w:ascii="Times New Roman" w:hAnsi="Times New Roman" w:cs="Times New Roman"/>
        </w:rPr>
        <w:t>, 485 U.S. 360</w:t>
      </w:r>
      <w:r>
        <w:rPr>
          <w:rFonts w:ascii="Times New Roman" w:hAnsi="Times New Roman" w:cs="Times New Roman"/>
        </w:rPr>
        <w:t xml:space="preserve">, </w:t>
      </w:r>
      <w:r w:rsidRPr="00632BAE">
        <w:rPr>
          <w:rFonts w:ascii="Times New Roman" w:hAnsi="Times New Roman" w:cs="Times New Roman"/>
        </w:rPr>
        <w:t xml:space="preserve">and </w:t>
      </w:r>
      <w:r>
        <w:rPr>
          <w:rFonts w:ascii="Times New Roman" w:hAnsi="Times New Roman" w:cs="Times New Roman"/>
        </w:rPr>
        <w:t xml:space="preserve">for Ireland, </w:t>
      </w:r>
      <w:r w:rsidRPr="00632BAE">
        <w:rPr>
          <w:rFonts w:ascii="Times New Roman" w:hAnsi="Times New Roman" w:cs="Times New Roman"/>
          <w:i/>
        </w:rPr>
        <w:t>Education Co v. Fitzpatrick</w:t>
      </w:r>
      <w:r w:rsidRPr="00632BAE">
        <w:rPr>
          <w:rFonts w:ascii="Times New Roman" w:hAnsi="Times New Roman" w:cs="Times New Roman"/>
        </w:rPr>
        <w:t xml:space="preserve"> (1961) IR 345, Kingsmill Moore J at 397. In Canada, after the historic case of </w:t>
      </w:r>
      <w:r w:rsidRPr="00632BAE">
        <w:rPr>
          <w:rFonts w:ascii="Times New Roman" w:hAnsi="Times New Roman" w:cs="Times New Roman"/>
          <w:i/>
        </w:rPr>
        <w:t>Health Services and</w:t>
      </w:r>
      <w:r w:rsidRPr="001D2E4B">
        <w:rPr>
          <w:rFonts w:ascii="Times New Roman" w:hAnsi="Times New Roman" w:cs="Times New Roman"/>
          <w:i/>
        </w:rPr>
        <w:t xml:space="preserve"> </w:t>
      </w:r>
      <w:r>
        <w:rPr>
          <w:rFonts w:ascii="Times New Roman" w:hAnsi="Times New Roman" w:cs="Times New Roman"/>
          <w:i/>
        </w:rPr>
        <w:t>S</w:t>
      </w:r>
      <w:r w:rsidRPr="001D2E4B">
        <w:rPr>
          <w:rFonts w:ascii="Times New Roman" w:hAnsi="Times New Roman" w:cs="Times New Roman"/>
          <w:i/>
        </w:rPr>
        <w:t>upport-Facilities Subsector Bargaining Association v. British Columbia</w:t>
      </w:r>
      <w:r w:rsidRPr="001D2E4B">
        <w:rPr>
          <w:rFonts w:ascii="Times New Roman" w:hAnsi="Times New Roman" w:cs="Times New Roman"/>
        </w:rPr>
        <w:t>, 2007 SCC 27</w:t>
      </w:r>
      <w:r>
        <w:rPr>
          <w:rFonts w:ascii="Times New Roman" w:hAnsi="Times New Roman" w:cs="Times New Roman"/>
        </w:rPr>
        <w:t xml:space="preserve">, where collective action has been acknowledged as a right protected by the </w:t>
      </w:r>
      <w:r w:rsidRPr="000B144E">
        <w:rPr>
          <w:rFonts w:ascii="Times New Roman" w:hAnsi="Times New Roman" w:cs="Times New Roman"/>
        </w:rPr>
        <w:t>Charter of Rights and Freedoms</w:t>
      </w:r>
      <w:r>
        <w:rPr>
          <w:rFonts w:ascii="Times New Roman" w:hAnsi="Times New Roman" w:cs="Times New Roman"/>
        </w:rPr>
        <w:t>, the Supreme Court heard a case o</w:t>
      </w:r>
      <w:r w:rsidRPr="000B144E">
        <w:rPr>
          <w:rFonts w:ascii="Times New Roman" w:hAnsi="Times New Roman" w:cs="Times New Roman"/>
        </w:rPr>
        <w:t xml:space="preserve">n May 16 </w:t>
      </w:r>
      <w:r>
        <w:rPr>
          <w:rFonts w:ascii="Times New Roman" w:hAnsi="Times New Roman" w:cs="Times New Roman"/>
        </w:rPr>
        <w:t xml:space="preserve">of this year </w:t>
      </w:r>
      <w:r w:rsidRPr="000B144E">
        <w:rPr>
          <w:rFonts w:ascii="Times New Roman" w:hAnsi="Times New Roman" w:cs="Times New Roman"/>
        </w:rPr>
        <w:t>on whether the right to strike</w:t>
      </w:r>
      <w:r>
        <w:rPr>
          <w:rFonts w:ascii="Times New Roman" w:hAnsi="Times New Roman" w:cs="Times New Roman"/>
        </w:rPr>
        <w:t xml:space="preserve"> in essential services</w:t>
      </w:r>
      <w:r w:rsidRPr="000B144E">
        <w:rPr>
          <w:rFonts w:ascii="Times New Roman" w:hAnsi="Times New Roman" w:cs="Times New Roman"/>
        </w:rPr>
        <w:t xml:space="preserve"> is constitutionally protected</w:t>
      </w:r>
      <w:r>
        <w:rPr>
          <w:rFonts w:ascii="Times New Roman" w:hAnsi="Times New Roman" w:cs="Times New Roman"/>
        </w:rPr>
        <w:t xml:space="preserve">. </w:t>
      </w:r>
    </w:p>
  </w:footnote>
  <w:footnote w:id="26">
    <w:p w:rsidR="001937BD" w:rsidRPr="004D049A" w:rsidRDefault="001937BD" w:rsidP="001937BD">
      <w:pPr>
        <w:pStyle w:val="FootnoteText"/>
        <w:rPr>
          <w:rFonts w:ascii="Times New Roman" w:hAnsi="Times New Roman" w:cs="Times New Roman"/>
        </w:rPr>
      </w:pPr>
      <w:r w:rsidRPr="004D049A">
        <w:rPr>
          <w:rStyle w:val="FootnoteReference"/>
          <w:rFonts w:ascii="Times New Roman" w:hAnsi="Times New Roman" w:cs="Times New Roman"/>
        </w:rPr>
        <w:footnoteRef/>
      </w:r>
      <w:r w:rsidRPr="004D049A">
        <w:rPr>
          <w:rFonts w:ascii="Times New Roman" w:hAnsi="Times New Roman" w:cs="Times New Roman"/>
        </w:rPr>
        <w:t xml:space="preserve"> In </w:t>
      </w:r>
      <w:r w:rsidRPr="004D049A">
        <w:rPr>
          <w:rFonts w:ascii="Times New Roman" w:hAnsi="Times New Roman" w:cs="Times New Roman"/>
          <w:i/>
        </w:rPr>
        <w:t>Christine Goodwin v. the United Kingdom [GC]</w:t>
      </w:r>
      <w:r w:rsidRPr="004D049A">
        <w:rPr>
          <w:rFonts w:ascii="Times New Roman" w:hAnsi="Times New Roman" w:cs="Times New Roman"/>
        </w:rPr>
        <w:t>, no.</w:t>
      </w:r>
      <w:r>
        <w:rPr>
          <w:rFonts w:ascii="Times New Roman" w:hAnsi="Times New Roman" w:cs="Times New Roman"/>
        </w:rPr>
        <w:t xml:space="preserve"> 28957/95,</w:t>
      </w:r>
      <w:r w:rsidRPr="004D049A">
        <w:rPr>
          <w:rFonts w:ascii="Times New Roman" w:hAnsi="Times New Roman" w:cs="Times New Roman"/>
        </w:rPr>
        <w:t xml:space="preserve"> § 85, ECHR 2002-VI, the Court attached “less importance to the lack of evidence of a common European approach to the resolution of the legal and practical problems posed, than to the clear and uncontested evidence of a continuing international trend”, quoting the legal situation in non-European countries.</w:t>
      </w:r>
    </w:p>
  </w:footnote>
  <w:footnote w:id="27">
    <w:p w:rsidR="001937BD" w:rsidRPr="001D688A" w:rsidRDefault="001937BD" w:rsidP="001937BD">
      <w:pPr>
        <w:pStyle w:val="FootnoteText"/>
      </w:pPr>
      <w:r w:rsidRPr="00B10F22">
        <w:rPr>
          <w:rStyle w:val="FootnoteReference"/>
          <w:rFonts w:ascii="Times New Roman" w:hAnsi="Times New Roman" w:cs="Times New Roman"/>
        </w:rPr>
        <w:footnoteRef/>
      </w:r>
      <w:r>
        <w:t xml:space="preserve"> </w:t>
      </w:r>
      <w:r>
        <w:rPr>
          <w:rFonts w:ascii="Times New Roman" w:hAnsi="Times New Roman" w:cs="Times New Roman"/>
          <w:i/>
        </w:rPr>
        <w:t>Demir and Baykara</w:t>
      </w:r>
      <w:r w:rsidRPr="001D688A">
        <w:rPr>
          <w:rFonts w:ascii="Times New Roman" w:hAnsi="Times New Roman" w:cs="Times New Roman"/>
        </w:rPr>
        <w:t xml:space="preserve">, </w:t>
      </w:r>
      <w:r>
        <w:rPr>
          <w:rFonts w:ascii="Times New Roman" w:hAnsi="Times New Roman" w:cs="Times New Roman"/>
        </w:rPr>
        <w:t>cited above, §</w:t>
      </w:r>
      <w:r w:rsidRPr="001D688A">
        <w:rPr>
          <w:rFonts w:ascii="Times New Roman" w:hAnsi="Times New Roman" w:cs="Times New Roman"/>
        </w:rPr>
        <w:t>§</w:t>
      </w:r>
      <w:r>
        <w:rPr>
          <w:rFonts w:ascii="Times New Roman" w:hAnsi="Times New Roman" w:cs="Times New Roman"/>
        </w:rPr>
        <w:t> </w:t>
      </w:r>
      <w:r w:rsidRPr="001D688A">
        <w:rPr>
          <w:rFonts w:ascii="Times New Roman" w:hAnsi="Times New Roman" w:cs="Times New Roman"/>
        </w:rPr>
        <w:t>145</w:t>
      </w:r>
      <w:r>
        <w:rPr>
          <w:rFonts w:ascii="Times New Roman" w:hAnsi="Times New Roman" w:cs="Times New Roman"/>
        </w:rPr>
        <w:t xml:space="preserve"> and 154</w:t>
      </w:r>
      <w:r w:rsidRPr="001D688A">
        <w:rPr>
          <w:rFonts w:ascii="Times New Roman" w:hAnsi="Times New Roman" w:cs="Times New Roman"/>
        </w:rPr>
        <w:t xml:space="preserve">. </w:t>
      </w:r>
      <w:r>
        <w:rPr>
          <w:rFonts w:ascii="Times New Roman" w:hAnsi="Times New Roman" w:cs="Times New Roman"/>
        </w:rPr>
        <w:t>I</w:t>
      </w:r>
      <w:r w:rsidRPr="001D688A">
        <w:rPr>
          <w:rFonts w:ascii="Times New Roman" w:hAnsi="Times New Roman" w:cs="Times New Roman"/>
        </w:rPr>
        <w:t>nterestingly the Court added</w:t>
      </w:r>
      <w:r>
        <w:rPr>
          <w:rFonts w:ascii="Times New Roman" w:hAnsi="Times New Roman" w:cs="Times New Roman"/>
        </w:rPr>
        <w:t>:</w:t>
      </w:r>
      <w:r w:rsidRPr="001D688A">
        <w:rPr>
          <w:rFonts w:ascii="Times New Roman" w:hAnsi="Times New Roman" w:cs="Times New Roman"/>
        </w:rPr>
        <w:t xml:space="preserve"> “This list is not finite. On the contrary, it is subject to evolution depending on particular developments in labour relations”.</w:t>
      </w:r>
      <w:r w:rsidRPr="00181E86">
        <w:rPr>
          <w:rFonts w:ascii="Times New Roman" w:hAnsi="Times New Roman" w:cs="Times New Roman"/>
        </w:rPr>
        <w:t xml:space="preserve"> </w:t>
      </w:r>
      <w:r w:rsidRPr="00C42387">
        <w:rPr>
          <w:rFonts w:ascii="Times New Roman" w:hAnsi="Times New Roman" w:cs="Times New Roman"/>
        </w:rPr>
        <w:t xml:space="preserve">The Court’s case-law has been further </w:t>
      </w:r>
      <w:r>
        <w:rPr>
          <w:rFonts w:ascii="Times New Roman" w:hAnsi="Times New Roman" w:cs="Times New Roman"/>
        </w:rPr>
        <w:t xml:space="preserve">confirmed and </w:t>
      </w:r>
      <w:r w:rsidRPr="00C42387">
        <w:rPr>
          <w:rFonts w:ascii="Times New Roman" w:hAnsi="Times New Roman" w:cs="Times New Roman"/>
        </w:rPr>
        <w:t>develop</w:t>
      </w:r>
      <w:r>
        <w:rPr>
          <w:rFonts w:ascii="Times New Roman" w:hAnsi="Times New Roman" w:cs="Times New Roman"/>
        </w:rPr>
        <w:t xml:space="preserve">ed, with regard to the right to strike, </w:t>
      </w:r>
      <w:r w:rsidRPr="00C42387">
        <w:rPr>
          <w:rFonts w:ascii="Times New Roman" w:hAnsi="Times New Roman" w:cs="Times New Roman"/>
        </w:rPr>
        <w:t xml:space="preserve">in </w:t>
      </w:r>
      <w:r w:rsidRPr="00C42387">
        <w:rPr>
          <w:rFonts w:ascii="Times New Roman" w:hAnsi="Times New Roman" w:cs="Times New Roman"/>
          <w:i/>
        </w:rPr>
        <w:t>Enerji YAPI-YOL SEN v. Turkey</w:t>
      </w:r>
      <w:r>
        <w:rPr>
          <w:rFonts w:ascii="Times New Roman" w:hAnsi="Times New Roman" w:cs="Times New Roman"/>
        </w:rPr>
        <w:t xml:space="preserve">, no. 68959/01, 21 April 2009, which went well beyond earlier pronouncements on the protection of strike actions as a side effect of the right to peaceful assembly, made in </w:t>
      </w:r>
      <w:r w:rsidRPr="00484F94">
        <w:rPr>
          <w:rFonts w:ascii="Times New Roman" w:hAnsi="Times New Roman" w:cs="Times New Roman"/>
          <w:i/>
        </w:rPr>
        <w:t>Karaçay v. Turkey</w:t>
      </w:r>
      <w:r w:rsidRPr="00484F94">
        <w:rPr>
          <w:rFonts w:ascii="Times New Roman" w:hAnsi="Times New Roman" w:cs="Times New Roman"/>
        </w:rPr>
        <w:t xml:space="preserve">, no. 6615/03, </w:t>
      </w:r>
      <w:r>
        <w:rPr>
          <w:rFonts w:ascii="Times New Roman" w:hAnsi="Times New Roman" w:cs="Times New Roman"/>
        </w:rPr>
        <w:t xml:space="preserve">§ 35, </w:t>
      </w:r>
      <w:r w:rsidRPr="00484F94">
        <w:rPr>
          <w:rFonts w:ascii="Times New Roman" w:hAnsi="Times New Roman" w:cs="Times New Roman"/>
        </w:rPr>
        <w:t>27 March 2007</w:t>
      </w:r>
      <w:r>
        <w:rPr>
          <w:rFonts w:ascii="Times New Roman" w:hAnsi="Times New Roman" w:cs="Times New Roman"/>
        </w:rPr>
        <w:t>,</w:t>
      </w:r>
      <w:r w:rsidRPr="00484F94">
        <w:rPr>
          <w:rFonts w:ascii="Times New Roman" w:hAnsi="Times New Roman" w:cs="Times New Roman"/>
        </w:rPr>
        <w:t xml:space="preserve"> </w:t>
      </w:r>
      <w:r w:rsidRPr="00484F94">
        <w:rPr>
          <w:rFonts w:ascii="Times New Roman" w:hAnsi="Times New Roman" w:cs="Times New Roman"/>
          <w:i/>
        </w:rPr>
        <w:t>Dilek and Others v. Turkey</w:t>
      </w:r>
      <w:r w:rsidRPr="00484F94">
        <w:rPr>
          <w:rFonts w:ascii="Times New Roman" w:hAnsi="Times New Roman" w:cs="Times New Roman"/>
        </w:rPr>
        <w:t xml:space="preserve">, nos. 74611/01, 26876/02 and 27628/02, </w:t>
      </w:r>
      <w:r>
        <w:rPr>
          <w:rFonts w:ascii="Times New Roman" w:hAnsi="Times New Roman" w:cs="Times New Roman"/>
        </w:rPr>
        <w:t xml:space="preserve">§ 71, </w:t>
      </w:r>
      <w:r w:rsidRPr="00484F94">
        <w:rPr>
          <w:rFonts w:ascii="Times New Roman" w:hAnsi="Times New Roman" w:cs="Times New Roman"/>
        </w:rPr>
        <w:t>17 July 2007</w:t>
      </w:r>
      <w:r>
        <w:rPr>
          <w:rFonts w:ascii="Times New Roman" w:hAnsi="Times New Roman" w:cs="Times New Roman"/>
        </w:rPr>
        <w:t>,</w:t>
      </w:r>
      <w:r w:rsidRPr="00484F94">
        <w:rPr>
          <w:rFonts w:ascii="Times New Roman" w:hAnsi="Times New Roman" w:cs="Times New Roman"/>
        </w:rPr>
        <w:t xml:space="preserve"> </w:t>
      </w:r>
      <w:r w:rsidRPr="00484F94">
        <w:rPr>
          <w:rFonts w:ascii="Times New Roman" w:hAnsi="Times New Roman" w:cs="Times New Roman"/>
          <w:i/>
        </w:rPr>
        <w:t>Urcan and Others v. Turkey</w:t>
      </w:r>
      <w:r w:rsidRPr="00484F94">
        <w:rPr>
          <w:rFonts w:ascii="Times New Roman" w:hAnsi="Times New Roman" w:cs="Times New Roman"/>
        </w:rPr>
        <w:t>, nos. 23018/04, 23034/04, 23042/04, 23071/04, 23073/04, 23081/04, 23086/04, 23091/04, 23094/04, 2344</w:t>
      </w:r>
      <w:r>
        <w:rPr>
          <w:rFonts w:ascii="Times New Roman" w:hAnsi="Times New Roman" w:cs="Times New Roman"/>
        </w:rPr>
        <w:t>4/04 and 23676/04, § 34, 17 July 2008.</w:t>
      </w:r>
    </w:p>
  </w:footnote>
  <w:footnote w:id="28">
    <w:p w:rsidR="001937BD" w:rsidRPr="009529DF" w:rsidRDefault="001937BD" w:rsidP="001937BD">
      <w:pPr>
        <w:pStyle w:val="FootnoteText"/>
        <w:rPr>
          <w:rFonts w:ascii="Times New Roman" w:hAnsi="Times New Roman" w:cs="Times New Roman"/>
        </w:rPr>
      </w:pPr>
      <w:r w:rsidRPr="00F75C28">
        <w:rPr>
          <w:rStyle w:val="FootnoteReference"/>
          <w:rFonts w:ascii="Times New Roman" w:hAnsi="Times New Roman" w:cs="Times New Roman"/>
        </w:rPr>
        <w:footnoteRef/>
      </w:r>
      <w:r w:rsidRPr="00F75C28">
        <w:rPr>
          <w:rFonts w:ascii="Times New Roman" w:hAnsi="Times New Roman" w:cs="Times New Roman"/>
        </w:rPr>
        <w:t xml:space="preserve"> </w:t>
      </w:r>
      <w:r>
        <w:rPr>
          <w:rFonts w:ascii="Times New Roman" w:hAnsi="Times New Roman" w:cs="Times New Roman"/>
        </w:rPr>
        <w:t xml:space="preserve">To refer to the wording of </w:t>
      </w:r>
      <w:r w:rsidRPr="00F75C28">
        <w:rPr>
          <w:rFonts w:ascii="Times New Roman" w:hAnsi="Times New Roman" w:cs="Times New Roman"/>
          <w:i/>
        </w:rPr>
        <w:t>Wilson, National Union of Journalists and Others v. the United Kingdom</w:t>
      </w:r>
      <w:r w:rsidRPr="00F75C28">
        <w:rPr>
          <w:rFonts w:ascii="Times New Roman" w:hAnsi="Times New Roman" w:cs="Times New Roman"/>
        </w:rPr>
        <w:t xml:space="preserve">, nos. </w:t>
      </w:r>
      <w:r w:rsidRPr="009529DF">
        <w:rPr>
          <w:rFonts w:ascii="Times New Roman" w:hAnsi="Times New Roman" w:cs="Times New Roman"/>
        </w:rPr>
        <w:t>30668/96, 30671/96 and 30678/96, §</w:t>
      </w:r>
      <w:r>
        <w:rPr>
          <w:rFonts w:ascii="Times New Roman" w:hAnsi="Times New Roman" w:cs="Times New Roman"/>
        </w:rPr>
        <w:t xml:space="preserve">§ </w:t>
      </w:r>
      <w:r w:rsidRPr="009529DF">
        <w:rPr>
          <w:rFonts w:ascii="Times New Roman" w:hAnsi="Times New Roman" w:cs="Times New Roman"/>
        </w:rPr>
        <w:t>44</w:t>
      </w:r>
      <w:r>
        <w:rPr>
          <w:rFonts w:ascii="Times New Roman" w:hAnsi="Times New Roman" w:cs="Times New Roman"/>
        </w:rPr>
        <w:t xml:space="preserve"> and 46</w:t>
      </w:r>
      <w:r w:rsidRPr="009529DF">
        <w:rPr>
          <w:rFonts w:ascii="Times New Roman" w:hAnsi="Times New Roman" w:cs="Times New Roman"/>
        </w:rPr>
        <w:t>, ECHR 2002-V.</w:t>
      </w:r>
    </w:p>
  </w:footnote>
  <w:footnote w:id="29">
    <w:p w:rsidR="001937BD" w:rsidRPr="00BC7AED" w:rsidRDefault="001937BD" w:rsidP="001937BD">
      <w:pPr>
        <w:pStyle w:val="FootnoteText"/>
        <w:rPr>
          <w:rFonts w:ascii="Times New Roman" w:hAnsi="Times New Roman" w:cs="Times New Roman"/>
        </w:rPr>
      </w:pPr>
      <w:r w:rsidRPr="009529DF">
        <w:rPr>
          <w:rStyle w:val="FootnoteReference"/>
          <w:rFonts w:ascii="Times New Roman" w:hAnsi="Times New Roman" w:cs="Times New Roman"/>
        </w:rPr>
        <w:footnoteRef/>
      </w:r>
      <w:r w:rsidRPr="009529DF">
        <w:rPr>
          <w:rFonts w:ascii="Times New Roman" w:hAnsi="Times New Roman" w:cs="Times New Roman"/>
        </w:rPr>
        <w:t xml:space="preserve"> Indeed,</w:t>
      </w:r>
      <w:r w:rsidRPr="00484F94">
        <w:rPr>
          <w:rFonts w:ascii="Times New Roman" w:hAnsi="Times New Roman" w:cs="Times New Roman"/>
        </w:rPr>
        <w:t xml:space="preserve"> </w:t>
      </w:r>
      <w:r>
        <w:rPr>
          <w:rFonts w:ascii="Times New Roman" w:hAnsi="Times New Roman" w:cs="Times New Roman"/>
        </w:rPr>
        <w:t>this</w:t>
      </w:r>
      <w:r w:rsidRPr="00484F94">
        <w:rPr>
          <w:rFonts w:ascii="Times New Roman" w:hAnsi="Times New Roman" w:cs="Times New Roman"/>
        </w:rPr>
        <w:t xml:space="preserve"> is an </w:t>
      </w:r>
      <w:r>
        <w:rPr>
          <w:rFonts w:ascii="Times New Roman" w:hAnsi="Times New Roman" w:cs="Times New Roman"/>
        </w:rPr>
        <w:t xml:space="preserve">“important aspect” (as in </w:t>
      </w:r>
      <w:r w:rsidRPr="00821663">
        <w:rPr>
          <w:rFonts w:ascii="Times New Roman" w:hAnsi="Times New Roman" w:cs="Times New Roman"/>
          <w:i/>
        </w:rPr>
        <w:t>Schmidt and Dahlström v. Sweden</w:t>
      </w:r>
      <w:r w:rsidRPr="00821663">
        <w:rPr>
          <w:rFonts w:ascii="Times New Roman" w:hAnsi="Times New Roman" w:cs="Times New Roman"/>
        </w:rPr>
        <w:t>, judgment of 6 February 1976, Series A no. 21, p. 16, § 36</w:t>
      </w:r>
      <w:r>
        <w:rPr>
          <w:rFonts w:ascii="Times New Roman" w:hAnsi="Times New Roman" w:cs="Times New Roman"/>
        </w:rPr>
        <w:t xml:space="preserve">), or even an </w:t>
      </w:r>
      <w:r w:rsidRPr="00484F94">
        <w:rPr>
          <w:rFonts w:ascii="Times New Roman" w:hAnsi="Times New Roman" w:cs="Times New Roman"/>
        </w:rPr>
        <w:t>“indispensable corollary” of the freedom of association of union trades (</w:t>
      </w:r>
      <w:r w:rsidRPr="00484F94">
        <w:rPr>
          <w:rFonts w:ascii="Times New Roman" w:hAnsi="Times New Roman" w:cs="Times New Roman"/>
          <w:i/>
        </w:rPr>
        <w:t>Enerji</w:t>
      </w:r>
      <w:r>
        <w:rPr>
          <w:rFonts w:ascii="Times New Roman" w:hAnsi="Times New Roman" w:cs="Times New Roman"/>
          <w:i/>
        </w:rPr>
        <w:t xml:space="preserve"> </w:t>
      </w:r>
      <w:r w:rsidRPr="00C42387">
        <w:rPr>
          <w:rFonts w:ascii="Times New Roman" w:hAnsi="Times New Roman" w:cs="Times New Roman"/>
          <w:i/>
        </w:rPr>
        <w:t>YAPI-YOL SEN</w:t>
      </w:r>
      <w:r w:rsidRPr="00484F94">
        <w:rPr>
          <w:rFonts w:ascii="Times New Roman" w:hAnsi="Times New Roman" w:cs="Times New Roman"/>
        </w:rPr>
        <w:t xml:space="preserve">, </w:t>
      </w:r>
      <w:r>
        <w:rPr>
          <w:rFonts w:ascii="Times New Roman" w:hAnsi="Times New Roman" w:cs="Times New Roman"/>
        </w:rPr>
        <w:t xml:space="preserve">cited above, </w:t>
      </w:r>
      <w:r w:rsidRPr="00484F94">
        <w:rPr>
          <w:rFonts w:ascii="Times New Roman" w:hAnsi="Times New Roman" w:cs="Times New Roman"/>
        </w:rPr>
        <w:t>§</w:t>
      </w:r>
      <w:r>
        <w:rPr>
          <w:rFonts w:ascii="Times New Roman" w:hAnsi="Times New Roman" w:cs="Times New Roman"/>
        </w:rPr>
        <w:t xml:space="preserve"> </w:t>
      </w:r>
      <w:r w:rsidRPr="00484F94">
        <w:rPr>
          <w:rFonts w:ascii="Times New Roman" w:hAnsi="Times New Roman" w:cs="Times New Roman"/>
        </w:rPr>
        <w:t>24</w:t>
      </w:r>
      <w:r>
        <w:rPr>
          <w:rFonts w:ascii="Times New Roman" w:hAnsi="Times New Roman" w:cs="Times New Roman"/>
        </w:rPr>
        <w:t>, referring to the ILO language</w:t>
      </w:r>
      <w:r w:rsidRPr="00484F94">
        <w:rPr>
          <w:rFonts w:ascii="Times New Roman" w:hAnsi="Times New Roman" w:cs="Times New Roman"/>
        </w:rPr>
        <w:t xml:space="preserve">). </w:t>
      </w:r>
      <w:r>
        <w:rPr>
          <w:rFonts w:ascii="Times New Roman" w:hAnsi="Times New Roman" w:cs="Times New Roman"/>
        </w:rPr>
        <w:t xml:space="preserve">In spite of its clarity, </w:t>
      </w:r>
      <w:r w:rsidRPr="00A91B3C">
        <w:rPr>
          <w:rFonts w:ascii="Times New Roman" w:hAnsi="Times New Roman" w:cs="Times New Roman"/>
          <w:i/>
        </w:rPr>
        <w:t xml:space="preserve">Enerji </w:t>
      </w:r>
      <w:r w:rsidRPr="00C42387">
        <w:rPr>
          <w:rFonts w:ascii="Times New Roman" w:hAnsi="Times New Roman" w:cs="Times New Roman"/>
          <w:i/>
        </w:rPr>
        <w:t xml:space="preserve">YAPI-YOL SEN </w:t>
      </w:r>
      <w:r>
        <w:rPr>
          <w:rFonts w:ascii="Times New Roman" w:hAnsi="Times New Roman" w:cs="Times New Roman"/>
        </w:rPr>
        <w:t xml:space="preserve">was not correctly understood in some quarters (see for a misguided reading of that case, </w:t>
      </w:r>
      <w:r w:rsidRPr="00A91B3C">
        <w:rPr>
          <w:rFonts w:ascii="Times New Roman" w:hAnsi="Times New Roman" w:cs="Times New Roman"/>
          <w:i/>
        </w:rPr>
        <w:t>Metrobus Ltd. v. Unite the Union</w:t>
      </w:r>
      <w:r>
        <w:rPr>
          <w:rFonts w:ascii="Times New Roman" w:hAnsi="Times New Roman" w:cs="Times New Roman"/>
        </w:rPr>
        <w:t>, (</w:t>
      </w:r>
      <w:r w:rsidRPr="00A91B3C">
        <w:rPr>
          <w:rFonts w:ascii="Times New Roman" w:hAnsi="Times New Roman" w:cs="Times New Roman"/>
        </w:rPr>
        <w:t>2009</w:t>
      </w:r>
      <w:r>
        <w:rPr>
          <w:rFonts w:ascii="Times New Roman" w:hAnsi="Times New Roman" w:cs="Times New Roman"/>
        </w:rPr>
        <w:t>)</w:t>
      </w:r>
      <w:r w:rsidRPr="00A91B3C">
        <w:rPr>
          <w:rFonts w:ascii="Times New Roman" w:hAnsi="Times New Roman" w:cs="Times New Roman"/>
        </w:rPr>
        <w:t xml:space="preserve"> EWCA Civ 829</w:t>
      </w:r>
      <w:r>
        <w:rPr>
          <w:rFonts w:ascii="Times New Roman" w:hAnsi="Times New Roman" w:cs="Times New Roman"/>
        </w:rPr>
        <w:t xml:space="preserve">, as opposed to the correct reading made by Sophie Robin-Olivier, Conv. </w:t>
      </w:r>
      <w:r w:rsidRPr="00AA4C23">
        <w:rPr>
          <w:rFonts w:ascii="Times New Roman" w:hAnsi="Times New Roman" w:cs="Times New Roman"/>
        </w:rPr>
        <w:t xml:space="preserve">EDH, art. 11: Liberté de réunion et d’association et liberté syndicale, in Répertoire de droit européen, Avril 2014, F. </w:t>
      </w:r>
      <w:r>
        <w:rPr>
          <w:rFonts w:ascii="Times New Roman" w:hAnsi="Times New Roman" w:cs="Times New Roman"/>
        </w:rPr>
        <w:t xml:space="preserve">Dorssemont, “The right to take collective action under Article 11 of the ECHR”, in F. Dorssemont and others (ed.), The European Convention on Human Rights and the Employment Relation, Oxford, Hart Publishing, 2013, p. 332, O. Edström, “The right to collective action as a fundamental right”, in Mia Ronmar (ed.), Labour Law, Fundamental Rights and social Europe, Oxford, Publishing Hart, p. 66, K.D. Ewing and J. Hendy, “The dramatic implications of Demir and Baykara”, in 39 Industrial Law Journal, 2 (2010), and </w:t>
      </w:r>
      <w:r w:rsidRPr="00DB42BA">
        <w:rPr>
          <w:rFonts w:ascii="Times New Roman" w:hAnsi="Times New Roman" w:cs="Times New Roman"/>
        </w:rPr>
        <w:t>J</w:t>
      </w:r>
      <w:r>
        <w:rPr>
          <w:rFonts w:ascii="Times New Roman" w:hAnsi="Times New Roman" w:cs="Times New Roman"/>
        </w:rPr>
        <w:t xml:space="preserve">.P. </w:t>
      </w:r>
      <w:r w:rsidRPr="00DB42BA">
        <w:rPr>
          <w:rFonts w:ascii="Times New Roman" w:hAnsi="Times New Roman" w:cs="Times New Roman"/>
        </w:rPr>
        <w:t>Marguénaud</w:t>
      </w:r>
      <w:r>
        <w:rPr>
          <w:rFonts w:ascii="Times New Roman" w:hAnsi="Times New Roman" w:cs="Times New Roman"/>
        </w:rPr>
        <w:t xml:space="preserve"> and J. Mouly,</w:t>
      </w:r>
      <w:r w:rsidRPr="00DB42BA">
        <w:rPr>
          <w:rFonts w:ascii="Times New Roman" w:hAnsi="Times New Roman" w:cs="Times New Roman"/>
        </w:rPr>
        <w:t xml:space="preserve"> </w:t>
      </w:r>
      <w:r>
        <w:rPr>
          <w:rFonts w:ascii="Times New Roman" w:hAnsi="Times New Roman" w:cs="Times New Roman"/>
        </w:rPr>
        <w:t>“</w:t>
      </w:r>
      <w:r w:rsidRPr="00DB42BA">
        <w:rPr>
          <w:rFonts w:ascii="Times New Roman" w:hAnsi="Times New Roman" w:cs="Times New Roman"/>
        </w:rPr>
        <w:t>La Cour européenne des droits de l'homme à la conquête du droit de grève</w:t>
      </w:r>
      <w:r>
        <w:rPr>
          <w:rFonts w:ascii="Times New Roman" w:hAnsi="Times New Roman" w:cs="Times New Roman"/>
        </w:rPr>
        <w:t>”</w:t>
      </w:r>
      <w:r w:rsidRPr="00DB42BA">
        <w:rPr>
          <w:rFonts w:ascii="Times New Roman" w:hAnsi="Times New Roman" w:cs="Times New Roman"/>
        </w:rPr>
        <w:t xml:space="preserve">, </w:t>
      </w:r>
      <w:r>
        <w:rPr>
          <w:rFonts w:ascii="Times New Roman" w:hAnsi="Times New Roman" w:cs="Times New Roman"/>
        </w:rPr>
        <w:t xml:space="preserve">in </w:t>
      </w:r>
      <w:r w:rsidRPr="00DB42BA">
        <w:rPr>
          <w:rFonts w:ascii="Times New Roman" w:hAnsi="Times New Roman" w:cs="Times New Roman"/>
        </w:rPr>
        <w:t xml:space="preserve">Revue de </w:t>
      </w:r>
      <w:r>
        <w:rPr>
          <w:rFonts w:ascii="Times New Roman" w:hAnsi="Times New Roman" w:cs="Times New Roman"/>
        </w:rPr>
        <w:t>D</w:t>
      </w:r>
      <w:r w:rsidRPr="00DB42BA">
        <w:rPr>
          <w:rFonts w:ascii="Times New Roman" w:hAnsi="Times New Roman" w:cs="Times New Roman"/>
        </w:rPr>
        <w:t xml:space="preserve">roit du </w:t>
      </w:r>
      <w:r>
        <w:rPr>
          <w:rFonts w:ascii="Times New Roman" w:hAnsi="Times New Roman" w:cs="Times New Roman"/>
        </w:rPr>
        <w:t>T</w:t>
      </w:r>
      <w:r w:rsidRPr="00DB42BA">
        <w:rPr>
          <w:rFonts w:ascii="Times New Roman" w:hAnsi="Times New Roman" w:cs="Times New Roman"/>
        </w:rPr>
        <w:t>ravail</w:t>
      </w:r>
      <w:r>
        <w:rPr>
          <w:rFonts w:ascii="Times New Roman" w:hAnsi="Times New Roman" w:cs="Times New Roman"/>
        </w:rPr>
        <w:t>, 9 (</w:t>
      </w:r>
      <w:r w:rsidRPr="00DB42BA">
        <w:rPr>
          <w:rFonts w:ascii="Times New Roman" w:hAnsi="Times New Roman" w:cs="Times New Roman"/>
        </w:rPr>
        <w:t>2009</w:t>
      </w:r>
      <w:r>
        <w:rPr>
          <w:rFonts w:ascii="Times New Roman" w:hAnsi="Times New Roman" w:cs="Times New Roman"/>
        </w:rPr>
        <w:t xml:space="preserve">), </w:t>
      </w:r>
      <w:r w:rsidRPr="00DB42BA">
        <w:rPr>
          <w:rFonts w:ascii="Times New Roman" w:hAnsi="Times New Roman" w:cs="Times New Roman"/>
        </w:rPr>
        <w:t>499</w:t>
      </w:r>
      <w:r w:rsidRPr="00AA4C23">
        <w:rPr>
          <w:rFonts w:ascii="Times New Roman" w:hAnsi="Times New Roman" w:cs="Times New Roman"/>
        </w:rPr>
        <w:t xml:space="preserve">). </w:t>
      </w:r>
      <w:r w:rsidRPr="00484F94">
        <w:rPr>
          <w:rFonts w:ascii="Times New Roman" w:hAnsi="Times New Roman" w:cs="Times New Roman"/>
        </w:rPr>
        <w:t xml:space="preserve">The attempt of </w:t>
      </w:r>
      <w:r>
        <w:rPr>
          <w:rFonts w:ascii="Times New Roman" w:hAnsi="Times New Roman" w:cs="Times New Roman"/>
          <w:i/>
        </w:rPr>
        <w:t>T</w:t>
      </w:r>
      <w:r w:rsidRPr="00C42387">
        <w:rPr>
          <w:rFonts w:ascii="Times New Roman" w:hAnsi="Times New Roman" w:cs="Times New Roman"/>
          <w:i/>
        </w:rPr>
        <w:t>he National Union of Rail, Maritime and Transport Workers v. the United Kingdom</w:t>
      </w:r>
      <w:r w:rsidRPr="00C42387">
        <w:rPr>
          <w:rFonts w:ascii="Times New Roman" w:hAnsi="Times New Roman" w:cs="Times New Roman"/>
        </w:rPr>
        <w:t xml:space="preserve">, no. 31045/10, </w:t>
      </w:r>
      <w:r>
        <w:rPr>
          <w:rFonts w:ascii="Times New Roman" w:hAnsi="Times New Roman" w:cs="Times New Roman"/>
        </w:rPr>
        <w:t xml:space="preserve">§ 84, </w:t>
      </w:r>
      <w:r w:rsidRPr="00C42387">
        <w:rPr>
          <w:rFonts w:ascii="Times New Roman" w:hAnsi="Times New Roman" w:cs="Times New Roman"/>
        </w:rPr>
        <w:t xml:space="preserve">8 </w:t>
      </w:r>
      <w:r>
        <w:rPr>
          <w:rFonts w:ascii="Times New Roman" w:hAnsi="Times New Roman" w:cs="Times New Roman"/>
        </w:rPr>
        <w:t>April 2014 t</w:t>
      </w:r>
      <w:r w:rsidRPr="00484F94">
        <w:rPr>
          <w:rFonts w:ascii="Times New Roman" w:hAnsi="Times New Roman" w:cs="Times New Roman"/>
        </w:rPr>
        <w:t>o backtrack from th</w:t>
      </w:r>
      <w:r>
        <w:rPr>
          <w:rFonts w:ascii="Times New Roman" w:hAnsi="Times New Roman" w:cs="Times New Roman"/>
        </w:rPr>
        <w:t>e</w:t>
      </w:r>
      <w:r w:rsidRPr="00484F94">
        <w:rPr>
          <w:rFonts w:ascii="Times New Roman" w:hAnsi="Times New Roman" w:cs="Times New Roman"/>
        </w:rPr>
        <w:t xml:space="preserve"> position of principle </w:t>
      </w:r>
      <w:r>
        <w:rPr>
          <w:rFonts w:ascii="Times New Roman" w:hAnsi="Times New Roman" w:cs="Times New Roman"/>
        </w:rPr>
        <w:t xml:space="preserve">of </w:t>
      </w:r>
      <w:r>
        <w:rPr>
          <w:rFonts w:ascii="Times New Roman" w:hAnsi="Times New Roman" w:cs="Times New Roman"/>
          <w:i/>
        </w:rPr>
        <w:t xml:space="preserve">Enerji </w:t>
      </w:r>
      <w:r w:rsidRPr="00C42387">
        <w:rPr>
          <w:rFonts w:ascii="Times New Roman" w:hAnsi="Times New Roman" w:cs="Times New Roman"/>
          <w:i/>
        </w:rPr>
        <w:t>YAPI-YOL SEN</w:t>
      </w:r>
      <w:r>
        <w:rPr>
          <w:rFonts w:ascii="Times New Roman" w:hAnsi="Times New Roman" w:cs="Times New Roman"/>
        </w:rPr>
        <w:t xml:space="preserve"> is not convincing, since the two above-mentioned expressions were used in the same paragraph of </w:t>
      </w:r>
      <w:r>
        <w:rPr>
          <w:rFonts w:ascii="Times New Roman" w:hAnsi="Times New Roman" w:cs="Times New Roman"/>
          <w:i/>
        </w:rPr>
        <w:t xml:space="preserve">Enerji </w:t>
      </w:r>
      <w:r w:rsidRPr="00C42387">
        <w:rPr>
          <w:rFonts w:ascii="Times New Roman" w:hAnsi="Times New Roman" w:cs="Times New Roman"/>
          <w:i/>
        </w:rPr>
        <w:t>YAPI-YOL SEN</w:t>
      </w:r>
      <w:r>
        <w:rPr>
          <w:rFonts w:ascii="Times New Roman" w:hAnsi="Times New Roman" w:cs="Times New Roman"/>
        </w:rPr>
        <w:t xml:space="preserve"> and the second one was clearly intended to clarify the meaning of the first one. That intention is reflected in the fact that in the same paragraph 24 of </w:t>
      </w:r>
      <w:r w:rsidRPr="009E6CCA">
        <w:rPr>
          <w:rFonts w:ascii="Times New Roman" w:hAnsi="Times New Roman" w:cs="Times New Roman"/>
          <w:i/>
        </w:rPr>
        <w:t>Enerji</w:t>
      </w:r>
      <w:r>
        <w:rPr>
          <w:rFonts w:ascii="Times New Roman" w:hAnsi="Times New Roman" w:cs="Times New Roman"/>
        </w:rPr>
        <w:t xml:space="preserve"> </w:t>
      </w:r>
      <w:r>
        <w:rPr>
          <w:rFonts w:ascii="Times New Roman" w:hAnsi="Times New Roman" w:cs="Times New Roman"/>
          <w:i/>
        </w:rPr>
        <w:t xml:space="preserve">Enerji </w:t>
      </w:r>
      <w:r w:rsidRPr="00C42387">
        <w:rPr>
          <w:rFonts w:ascii="Times New Roman" w:hAnsi="Times New Roman" w:cs="Times New Roman"/>
          <w:i/>
        </w:rPr>
        <w:t>YAPI-YOL SEN</w:t>
      </w:r>
      <w:r>
        <w:rPr>
          <w:rFonts w:ascii="Times New Roman" w:hAnsi="Times New Roman" w:cs="Times New Roman"/>
        </w:rPr>
        <w:t xml:space="preserve"> the Court refers to the need to read the Convention in the light of other international law instruments, and even to the authority of </w:t>
      </w:r>
      <w:r w:rsidRPr="009E6CCA">
        <w:rPr>
          <w:rFonts w:ascii="Times New Roman" w:hAnsi="Times New Roman" w:cs="Times New Roman"/>
          <w:i/>
        </w:rPr>
        <w:t>Demir and Baykara</w:t>
      </w:r>
      <w:r w:rsidRPr="00D06047">
        <w:rPr>
          <w:rFonts w:ascii="Times New Roman" w:hAnsi="Times New Roman" w:cs="Times New Roman"/>
        </w:rPr>
        <w:t>.</w:t>
      </w:r>
      <w:r>
        <w:rPr>
          <w:rFonts w:ascii="Times New Roman" w:hAnsi="Times New Roman" w:cs="Times New Roman"/>
        </w:rPr>
        <w:t xml:space="preserve"> </w:t>
      </w:r>
    </w:p>
  </w:footnote>
  <w:footnote w:id="30">
    <w:p w:rsidR="001937BD" w:rsidRPr="00251762" w:rsidRDefault="001937BD" w:rsidP="001937BD">
      <w:pPr>
        <w:pStyle w:val="FootnoteText"/>
      </w:pPr>
      <w:r w:rsidRPr="00251762">
        <w:rPr>
          <w:rStyle w:val="FootnoteReference"/>
          <w:rFonts w:ascii="Times New Roman" w:hAnsi="Times New Roman" w:cs="Times New Roman"/>
        </w:rPr>
        <w:footnoteRef/>
      </w:r>
      <w:r w:rsidRPr="00251762">
        <w:rPr>
          <w:rFonts w:ascii="Times New Roman" w:hAnsi="Times New Roman" w:cs="Times New Roman"/>
        </w:rPr>
        <w:t xml:space="preserve"> This has been the position</w:t>
      </w:r>
      <w:r>
        <w:rPr>
          <w:rFonts w:ascii="Times New Roman" w:hAnsi="Times New Roman" w:cs="Times New Roman"/>
        </w:rPr>
        <w:t xml:space="preserve"> of principle</w:t>
      </w:r>
      <w:r w:rsidRPr="00251762">
        <w:rPr>
          <w:rFonts w:ascii="Times New Roman" w:hAnsi="Times New Roman" w:cs="Times New Roman"/>
        </w:rPr>
        <w:t xml:space="preserve"> of the Court since </w:t>
      </w:r>
      <w:r w:rsidRPr="00251762">
        <w:rPr>
          <w:rFonts w:ascii="Times New Roman" w:hAnsi="Times New Roman" w:cs="Times New Roman"/>
          <w:i/>
        </w:rPr>
        <w:t>UNISON v. the United Kingdom (dec.)</w:t>
      </w:r>
      <w:r w:rsidRPr="00251762">
        <w:rPr>
          <w:rFonts w:ascii="Times New Roman" w:hAnsi="Times New Roman" w:cs="Times New Roman"/>
        </w:rPr>
        <w:t>, no. 53574/99,</w:t>
      </w:r>
      <w:r w:rsidRPr="00D06047">
        <w:rPr>
          <w:rFonts w:ascii="Times New Roman" w:hAnsi="Times New Roman" w:cs="Times New Roman"/>
        </w:rPr>
        <w:t xml:space="preserve"> 10 January 2002</w:t>
      </w:r>
      <w:r>
        <w:rPr>
          <w:rFonts w:ascii="Times New Roman" w:hAnsi="Times New Roman" w:cs="Times New Roman"/>
        </w:rPr>
        <w:t>: “</w:t>
      </w:r>
      <w:r w:rsidRPr="00D06047">
        <w:rPr>
          <w:rFonts w:ascii="Times New Roman" w:hAnsi="Times New Roman" w:cs="Times New Roman"/>
        </w:rPr>
        <w:t>the prohibition of the strike must be regarded as a restriction on the applicant’s power to protect those interests and therefore discloses a restriction on the freedom of association guaranteed under the first paragraph. It has examined, below, whether this restriction was in compliance with the requirements of Article 11 § 2 of the Convention, namely whether it was “prescribed by law”, pursued one or more legitimate aims under paragraph 2 and was “necessary in a democratic society” for the achievement of those aims</w:t>
      </w:r>
      <w:r>
        <w:rPr>
          <w:rFonts w:ascii="Times New Roman" w:hAnsi="Times New Roman" w:cs="Times New Roman"/>
        </w:rPr>
        <w:t>”</w:t>
      </w:r>
      <w:r w:rsidRPr="00BC7AED">
        <w:rPr>
          <w:rFonts w:ascii="Times New Roman" w:hAnsi="Times New Roman" w:cs="Times New Roman"/>
        </w:rPr>
        <w:t>.</w:t>
      </w:r>
    </w:p>
  </w:footnote>
  <w:footnote w:id="31">
    <w:p w:rsidR="001937BD" w:rsidRPr="00BC7AED" w:rsidRDefault="001937BD" w:rsidP="001937BD">
      <w:pPr>
        <w:pStyle w:val="FootnoteText"/>
        <w:rPr>
          <w:rFonts w:ascii="Times New Roman" w:hAnsi="Times New Roman" w:cs="Times New Roman"/>
        </w:rPr>
      </w:pPr>
      <w:r w:rsidRPr="00BC7AED">
        <w:rPr>
          <w:rStyle w:val="FootnoteReference"/>
          <w:rFonts w:ascii="Times New Roman" w:hAnsi="Times New Roman" w:cs="Times New Roman"/>
        </w:rPr>
        <w:footnoteRef/>
      </w:r>
      <w:r w:rsidRPr="00BC7AED">
        <w:rPr>
          <w:rFonts w:ascii="Times New Roman" w:hAnsi="Times New Roman" w:cs="Times New Roman"/>
        </w:rPr>
        <w:t xml:space="preserve"> In the context of employment the requirement of lawfulness must be understood as encompassing </w:t>
      </w:r>
      <w:r>
        <w:rPr>
          <w:rFonts w:ascii="Times New Roman" w:hAnsi="Times New Roman" w:cs="Times New Roman"/>
        </w:rPr>
        <w:t xml:space="preserve">both </w:t>
      </w:r>
      <w:r w:rsidRPr="00BC7AED">
        <w:rPr>
          <w:rFonts w:ascii="Times New Roman" w:hAnsi="Times New Roman" w:cs="Times New Roman"/>
        </w:rPr>
        <w:t>the public and private regulatory framework applicable in each professional sector</w:t>
      </w:r>
      <w:r>
        <w:rPr>
          <w:rFonts w:ascii="Times New Roman" w:hAnsi="Times New Roman" w:cs="Times New Roman"/>
        </w:rPr>
        <w:t xml:space="preserve"> (see, for example, </w:t>
      </w:r>
      <w:r w:rsidRPr="000D43A6">
        <w:rPr>
          <w:rFonts w:ascii="Times New Roman" w:hAnsi="Times New Roman" w:cs="Times New Roman"/>
          <w:i/>
        </w:rPr>
        <w:t>Casado Coca v. Spain</w:t>
      </w:r>
      <w:r>
        <w:rPr>
          <w:rFonts w:ascii="Times New Roman" w:hAnsi="Times New Roman" w:cs="Times New Roman"/>
        </w:rPr>
        <w:t>, no. 15450/89, §§ 42 and 43, 19 February 1993).</w:t>
      </w:r>
      <w:r w:rsidRPr="00BC7AED">
        <w:rPr>
          <w:rFonts w:ascii="Times New Roman" w:hAnsi="Times New Roman" w:cs="Times New Roman"/>
        </w:rPr>
        <w:t xml:space="preserve"> </w:t>
      </w:r>
      <w:r>
        <w:rPr>
          <w:rFonts w:ascii="Times New Roman" w:hAnsi="Times New Roman" w:cs="Times New Roman"/>
        </w:rPr>
        <w:t xml:space="preserve">Restrictions on the strike’s purposes, space and time extension, modalities and timing and the strikers’ conduct must be clearly provided for by this legal framework.  </w:t>
      </w:r>
      <w:r w:rsidRPr="00BC7AED">
        <w:rPr>
          <w:rFonts w:ascii="Times New Roman" w:hAnsi="Times New Roman" w:cs="Times New Roman"/>
        </w:rPr>
        <w:t xml:space="preserve"> </w:t>
      </w:r>
    </w:p>
  </w:footnote>
  <w:footnote w:id="32">
    <w:p w:rsidR="001937BD" w:rsidRPr="003F07EF" w:rsidRDefault="001937BD" w:rsidP="001937BD">
      <w:pPr>
        <w:pStyle w:val="FootnoteText"/>
        <w:rPr>
          <w:rFonts w:ascii="Times New Roman" w:hAnsi="Times New Roman" w:cs="Times New Roman"/>
        </w:rPr>
      </w:pPr>
      <w:r w:rsidRPr="00BC7AED">
        <w:rPr>
          <w:rStyle w:val="FootnoteReference"/>
          <w:rFonts w:ascii="Times New Roman" w:hAnsi="Times New Roman" w:cs="Times New Roman"/>
        </w:rPr>
        <w:footnoteRef/>
      </w:r>
      <w:r w:rsidRPr="00BC7AED">
        <w:rPr>
          <w:rFonts w:ascii="Times New Roman" w:hAnsi="Times New Roman" w:cs="Times New Roman"/>
        </w:rPr>
        <w:t xml:space="preserve"> </w:t>
      </w:r>
      <w:r>
        <w:rPr>
          <w:rFonts w:ascii="Times New Roman" w:hAnsi="Times New Roman" w:cs="Times New Roman"/>
        </w:rPr>
        <w:t xml:space="preserve">At this juncture, it cannot be ignored that the restriction clause of Article 11 § 2 of the ECHR is more extensive than the ones of Article 8 (1) (a) and (c) of the CESCR (on this, see Matthew Craven, The International Covenant on Economic, Social and Cultural Rights, A Perspective on its Development, Oxford, Clarendon Press, 1995, p. 258, and Ben Saul </w:t>
      </w:r>
      <w:r w:rsidRPr="002A34A0">
        <w:rPr>
          <w:rFonts w:ascii="Times New Roman" w:hAnsi="Times New Roman" w:cs="Times New Roman"/>
          <w:i/>
        </w:rPr>
        <w:t>et al</w:t>
      </w:r>
      <w:r>
        <w:rPr>
          <w:rFonts w:ascii="Times New Roman" w:hAnsi="Times New Roman" w:cs="Times New Roman"/>
        </w:rPr>
        <w:t xml:space="preserve">., The International Covenant…, cited above, p. 581). </w:t>
      </w:r>
      <w:r w:rsidRPr="00BC7AED">
        <w:rPr>
          <w:rFonts w:ascii="Times New Roman" w:hAnsi="Times New Roman" w:cs="Times New Roman"/>
        </w:rPr>
        <w:t>Restrictions which aim at certain categories of public servants, or certain essential services the interruption of</w:t>
      </w:r>
      <w:r w:rsidRPr="003F07EF">
        <w:rPr>
          <w:rFonts w:ascii="Times New Roman" w:hAnsi="Times New Roman" w:cs="Times New Roman"/>
        </w:rPr>
        <w:t xml:space="preserve"> which would endanger the life, personal </w:t>
      </w:r>
      <w:r>
        <w:rPr>
          <w:rFonts w:ascii="Times New Roman" w:hAnsi="Times New Roman" w:cs="Times New Roman"/>
        </w:rPr>
        <w:t>safety or health of the whole or</w:t>
      </w:r>
      <w:r w:rsidRPr="003F07EF">
        <w:rPr>
          <w:rFonts w:ascii="Times New Roman" w:hAnsi="Times New Roman" w:cs="Times New Roman"/>
        </w:rPr>
        <w:t xml:space="preserve"> part of the population, or situations of acute national or local crisis, although only for a limited period and solely to the extent necessary</w:t>
      </w:r>
      <w:r>
        <w:rPr>
          <w:rFonts w:ascii="Times New Roman" w:hAnsi="Times New Roman" w:cs="Times New Roman"/>
        </w:rPr>
        <w:t>,</w:t>
      </w:r>
      <w:r w:rsidRPr="003F07EF">
        <w:rPr>
          <w:rFonts w:ascii="Times New Roman" w:hAnsi="Times New Roman" w:cs="Times New Roman"/>
        </w:rPr>
        <w:t xml:space="preserve"> </w:t>
      </w:r>
      <w:r>
        <w:rPr>
          <w:rFonts w:ascii="Times New Roman" w:hAnsi="Times New Roman" w:cs="Times New Roman"/>
        </w:rPr>
        <w:t>might possibly</w:t>
      </w:r>
      <w:r w:rsidRPr="003F07EF">
        <w:rPr>
          <w:rFonts w:ascii="Times New Roman" w:hAnsi="Times New Roman" w:cs="Times New Roman"/>
        </w:rPr>
        <w:t xml:space="preserve"> meet these requirements.</w:t>
      </w:r>
    </w:p>
  </w:footnote>
  <w:footnote w:id="33">
    <w:p w:rsidR="001937BD" w:rsidRPr="0058545B" w:rsidRDefault="001937BD" w:rsidP="001937BD">
      <w:pPr>
        <w:pStyle w:val="FootnoteText"/>
        <w:rPr>
          <w:rFonts w:ascii="Times New Roman" w:hAnsi="Times New Roman" w:cs="Times New Roman"/>
        </w:rPr>
      </w:pPr>
      <w:r w:rsidRPr="0058545B">
        <w:rPr>
          <w:rStyle w:val="FootnoteReference"/>
          <w:rFonts w:ascii="Times New Roman" w:hAnsi="Times New Roman" w:cs="Times New Roman"/>
        </w:rPr>
        <w:footnoteRef/>
      </w:r>
      <w:r w:rsidRPr="0058545B">
        <w:rPr>
          <w:rFonts w:ascii="Times New Roman" w:hAnsi="Times New Roman" w:cs="Times New Roman"/>
        </w:rPr>
        <w:t xml:space="preserve"> </w:t>
      </w:r>
      <w:r>
        <w:rPr>
          <w:rFonts w:ascii="Times New Roman" w:hAnsi="Times New Roman" w:cs="Times New Roman"/>
        </w:rPr>
        <w:t xml:space="preserve">See </w:t>
      </w:r>
      <w:r w:rsidRPr="0058545B">
        <w:rPr>
          <w:rFonts w:ascii="Times New Roman" w:hAnsi="Times New Roman" w:cs="Times New Roman"/>
          <w:i/>
        </w:rPr>
        <w:t>UNI</w:t>
      </w:r>
      <w:r>
        <w:rPr>
          <w:rFonts w:ascii="Times New Roman" w:hAnsi="Times New Roman" w:cs="Times New Roman"/>
          <w:i/>
        </w:rPr>
        <w:t>SON</w:t>
      </w:r>
      <w:r>
        <w:rPr>
          <w:rFonts w:ascii="Times New Roman" w:hAnsi="Times New Roman" w:cs="Times New Roman"/>
        </w:rPr>
        <w:t xml:space="preserve">, cited above. No reasons were provided to support such a restrictive approach, which – taken to its limit – would legitimize every restriction of strike action in view of its inherent impact on the financial interests of the employer.  </w:t>
      </w:r>
    </w:p>
  </w:footnote>
  <w:footnote w:id="34">
    <w:p w:rsidR="001937BD" w:rsidRPr="002C325E" w:rsidRDefault="001937BD" w:rsidP="001937BD">
      <w:pPr>
        <w:pStyle w:val="FootnoteText"/>
        <w:rPr>
          <w:rFonts w:ascii="Times New Roman" w:hAnsi="Times New Roman" w:cs="Times New Roman"/>
        </w:rPr>
      </w:pPr>
      <w:r w:rsidRPr="0077639C">
        <w:rPr>
          <w:rStyle w:val="FootnoteReference"/>
          <w:rFonts w:ascii="Times New Roman" w:hAnsi="Times New Roman" w:cs="Times New Roman"/>
        </w:rPr>
        <w:footnoteRef/>
      </w:r>
      <w:r w:rsidRPr="0077639C">
        <w:rPr>
          <w:rFonts w:ascii="Times New Roman" w:hAnsi="Times New Roman" w:cs="Times New Roman"/>
        </w:rPr>
        <w:t xml:space="preserve"> </w:t>
      </w:r>
      <w:r>
        <w:rPr>
          <w:rFonts w:ascii="Times New Roman" w:hAnsi="Times New Roman" w:cs="Times New Roman"/>
        </w:rPr>
        <w:t xml:space="preserve">I find problematic the distance taken in </w:t>
      </w:r>
      <w:r>
        <w:rPr>
          <w:rFonts w:ascii="Times New Roman" w:hAnsi="Times New Roman" w:cs="Times New Roman"/>
          <w:i/>
        </w:rPr>
        <w:t>T</w:t>
      </w:r>
      <w:r w:rsidRPr="00875C1E">
        <w:rPr>
          <w:rFonts w:ascii="Times New Roman" w:hAnsi="Times New Roman" w:cs="Times New Roman"/>
          <w:i/>
        </w:rPr>
        <w:t>he National Union of Rail, Maritime and Transport Workers</w:t>
      </w:r>
      <w:r w:rsidRPr="00875C1E">
        <w:rPr>
          <w:rFonts w:ascii="Times New Roman" w:hAnsi="Times New Roman" w:cs="Times New Roman"/>
        </w:rPr>
        <w:t>, cited above, §</w:t>
      </w:r>
      <w:r>
        <w:rPr>
          <w:rFonts w:ascii="Times New Roman" w:hAnsi="Times New Roman" w:cs="Times New Roman"/>
        </w:rPr>
        <w:t>§</w:t>
      </w:r>
      <w:r w:rsidRPr="00875C1E">
        <w:rPr>
          <w:rFonts w:ascii="Times New Roman" w:hAnsi="Times New Roman" w:cs="Times New Roman"/>
        </w:rPr>
        <w:t xml:space="preserve"> 8</w:t>
      </w:r>
      <w:r>
        <w:rPr>
          <w:rFonts w:ascii="Times New Roman" w:hAnsi="Times New Roman" w:cs="Times New Roman"/>
        </w:rPr>
        <w:t>6-88</w:t>
      </w:r>
      <w:r w:rsidRPr="00875C1E">
        <w:rPr>
          <w:rFonts w:ascii="Times New Roman" w:hAnsi="Times New Roman" w:cs="Times New Roman"/>
        </w:rPr>
        <w:t xml:space="preserve">, </w:t>
      </w:r>
      <w:r>
        <w:rPr>
          <w:rFonts w:ascii="Times New Roman" w:hAnsi="Times New Roman" w:cs="Times New Roman"/>
        </w:rPr>
        <w:t xml:space="preserve">with regard to § 119 </w:t>
      </w:r>
      <w:r w:rsidRPr="00875C1E">
        <w:rPr>
          <w:rFonts w:ascii="Times New Roman" w:hAnsi="Times New Roman" w:cs="Times New Roman"/>
        </w:rPr>
        <w:t xml:space="preserve">of </w:t>
      </w:r>
      <w:r w:rsidRPr="00875C1E">
        <w:rPr>
          <w:rFonts w:ascii="Times New Roman" w:hAnsi="Times New Roman" w:cs="Times New Roman"/>
          <w:i/>
        </w:rPr>
        <w:t>Demir and Baykara</w:t>
      </w:r>
      <w:r>
        <w:rPr>
          <w:rFonts w:ascii="Times New Roman" w:hAnsi="Times New Roman" w:cs="Times New Roman"/>
        </w:rPr>
        <w:t>, i</w:t>
      </w:r>
      <w:r w:rsidRPr="00875C1E">
        <w:rPr>
          <w:rFonts w:ascii="Times New Roman" w:hAnsi="Times New Roman" w:cs="Times New Roman"/>
        </w:rPr>
        <w:t xml:space="preserve">n which the Court </w:t>
      </w:r>
      <w:r>
        <w:rPr>
          <w:rFonts w:ascii="Times New Roman" w:hAnsi="Times New Roman" w:cs="Times New Roman"/>
        </w:rPr>
        <w:t xml:space="preserve">restricted the </w:t>
      </w:r>
      <w:r w:rsidRPr="0077639C">
        <w:rPr>
          <w:rFonts w:ascii="Times New Roman" w:hAnsi="Times New Roman" w:cs="Times New Roman"/>
        </w:rPr>
        <w:t xml:space="preserve">margin </w:t>
      </w:r>
      <w:r>
        <w:rPr>
          <w:rFonts w:ascii="Times New Roman" w:hAnsi="Times New Roman" w:cs="Times New Roman"/>
        </w:rPr>
        <w:t xml:space="preserve">of appreciation in this domain. This is so for two reasons: first, the somewhat lax, non-purposive interpretative approach of </w:t>
      </w:r>
      <w:r>
        <w:rPr>
          <w:rFonts w:ascii="Times New Roman" w:hAnsi="Times New Roman" w:cs="Times New Roman"/>
          <w:i/>
        </w:rPr>
        <w:t>T</w:t>
      </w:r>
      <w:r w:rsidRPr="00875C1E">
        <w:rPr>
          <w:rFonts w:ascii="Times New Roman" w:hAnsi="Times New Roman" w:cs="Times New Roman"/>
          <w:i/>
        </w:rPr>
        <w:t>he National Union of Rail, Maritime and Transport Workers</w:t>
      </w:r>
      <w:r>
        <w:rPr>
          <w:rFonts w:ascii="Times New Roman" w:hAnsi="Times New Roman" w:cs="Times New Roman"/>
        </w:rPr>
        <w:t xml:space="preserve"> may engender great legal uncertainty, and second, blanket and absolute prohibitions of strike action</w:t>
      </w:r>
      <w:r w:rsidRPr="00B602E9">
        <w:rPr>
          <w:rFonts w:ascii="Times New Roman" w:hAnsi="Times New Roman" w:cs="Times New Roman"/>
        </w:rPr>
        <w:t xml:space="preserve"> </w:t>
      </w:r>
      <w:r>
        <w:rPr>
          <w:rFonts w:ascii="Times New Roman" w:hAnsi="Times New Roman" w:cs="Times New Roman"/>
        </w:rPr>
        <w:t xml:space="preserve">may tilt the balance unacceptably towards the benefit of employers and put in jeopardy the inalienable substance of the Article 11 right. They therefore call for a narrow margin of appreciation. From this standpoint, the </w:t>
      </w:r>
      <w:r w:rsidRPr="0077639C">
        <w:rPr>
          <w:rFonts w:ascii="Times New Roman" w:hAnsi="Times New Roman" w:cs="Times New Roman"/>
        </w:rPr>
        <w:t>defen</w:t>
      </w:r>
      <w:r>
        <w:rPr>
          <w:rFonts w:ascii="Times New Roman" w:hAnsi="Times New Roman" w:cs="Times New Roman"/>
        </w:rPr>
        <w:t>c</w:t>
      </w:r>
      <w:r w:rsidRPr="0077639C">
        <w:rPr>
          <w:rFonts w:ascii="Times New Roman" w:hAnsi="Times New Roman" w:cs="Times New Roman"/>
        </w:rPr>
        <w:t>e that the legislature</w:t>
      </w:r>
      <w:r>
        <w:rPr>
          <w:rFonts w:ascii="Times New Roman" w:hAnsi="Times New Roman" w:cs="Times New Roman"/>
        </w:rPr>
        <w:t xml:space="preserve"> was required to decide</w:t>
      </w:r>
      <w:r w:rsidRPr="0077639C">
        <w:rPr>
          <w:rFonts w:ascii="Times New Roman" w:hAnsi="Times New Roman" w:cs="Times New Roman"/>
        </w:rPr>
        <w:t xml:space="preserve"> to eschew case-by-case consideration in favour of a uniform </w:t>
      </w:r>
      <w:r>
        <w:rPr>
          <w:rFonts w:ascii="Times New Roman" w:hAnsi="Times New Roman" w:cs="Times New Roman"/>
        </w:rPr>
        <w:t xml:space="preserve">prohibitive </w:t>
      </w:r>
      <w:r w:rsidRPr="0077639C">
        <w:rPr>
          <w:rFonts w:ascii="Times New Roman" w:hAnsi="Times New Roman" w:cs="Times New Roman"/>
        </w:rPr>
        <w:t xml:space="preserve">rule, and the contention that any less restrictive approach would be impracticable and ineffective, </w:t>
      </w:r>
      <w:r>
        <w:rPr>
          <w:rFonts w:ascii="Times New Roman" w:hAnsi="Times New Roman" w:cs="Times New Roman"/>
        </w:rPr>
        <w:t>failed to properly</w:t>
      </w:r>
      <w:r w:rsidRPr="0077639C">
        <w:rPr>
          <w:rFonts w:ascii="Times New Roman" w:hAnsi="Times New Roman" w:cs="Times New Roman"/>
        </w:rPr>
        <w:t xml:space="preserve"> balanc</w:t>
      </w:r>
      <w:r>
        <w:rPr>
          <w:rFonts w:ascii="Times New Roman" w:hAnsi="Times New Roman" w:cs="Times New Roman"/>
        </w:rPr>
        <w:t>e</w:t>
      </w:r>
      <w:r w:rsidRPr="0077639C">
        <w:rPr>
          <w:rFonts w:ascii="Times New Roman" w:hAnsi="Times New Roman" w:cs="Times New Roman"/>
        </w:rPr>
        <w:t xml:space="preserve"> the competing rights and freedoms</w:t>
      </w:r>
      <w:r>
        <w:rPr>
          <w:rFonts w:ascii="Times New Roman" w:hAnsi="Times New Roman" w:cs="Times New Roman"/>
        </w:rPr>
        <w:t>, particularly if regard is had</w:t>
      </w:r>
      <w:r w:rsidRPr="0077639C">
        <w:rPr>
          <w:rFonts w:ascii="Times New Roman" w:hAnsi="Times New Roman" w:cs="Times New Roman"/>
        </w:rPr>
        <w:t xml:space="preserve"> both</w:t>
      </w:r>
      <w:r>
        <w:rPr>
          <w:rFonts w:ascii="Times New Roman" w:hAnsi="Times New Roman" w:cs="Times New Roman"/>
        </w:rPr>
        <w:t xml:space="preserve"> to</w:t>
      </w:r>
      <w:r w:rsidRPr="0077639C">
        <w:rPr>
          <w:rFonts w:ascii="Times New Roman" w:hAnsi="Times New Roman" w:cs="Times New Roman"/>
        </w:rPr>
        <w:t xml:space="preserve"> the discernible international trend calling for a less restrictive approach</w:t>
      </w:r>
      <w:r>
        <w:rPr>
          <w:rFonts w:ascii="Times New Roman" w:hAnsi="Times New Roman" w:cs="Times New Roman"/>
        </w:rPr>
        <w:t xml:space="preserve"> and </w:t>
      </w:r>
      <w:r w:rsidRPr="0077639C">
        <w:rPr>
          <w:rFonts w:ascii="Times New Roman" w:hAnsi="Times New Roman" w:cs="Times New Roman"/>
        </w:rPr>
        <w:t>the legislative history of the respondent State which points to the existence of conceivable feasible alternatives to an outright ban</w:t>
      </w:r>
      <w:r>
        <w:rPr>
          <w:rFonts w:ascii="Times New Roman" w:hAnsi="Times New Roman" w:cs="Times New Roman"/>
        </w:rPr>
        <w:t xml:space="preserve"> of secondary industrial </w:t>
      </w:r>
      <w:r w:rsidRPr="002C325E">
        <w:rPr>
          <w:rFonts w:ascii="Times New Roman" w:hAnsi="Times New Roman" w:cs="Times New Roman"/>
        </w:rPr>
        <w:t xml:space="preserve">action. </w:t>
      </w:r>
      <w:r>
        <w:rPr>
          <w:rFonts w:ascii="Times New Roman" w:hAnsi="Times New Roman" w:cs="Times New Roman"/>
        </w:rPr>
        <w:t>L</w:t>
      </w:r>
      <w:r w:rsidRPr="002C325E">
        <w:rPr>
          <w:rFonts w:ascii="Times New Roman" w:hAnsi="Times New Roman" w:cs="Times New Roman"/>
        </w:rPr>
        <w:t>ord Wright</w:t>
      </w:r>
      <w:r>
        <w:rPr>
          <w:rFonts w:ascii="Times New Roman" w:hAnsi="Times New Roman" w:cs="Times New Roman"/>
        </w:rPr>
        <w:t xml:space="preserve">’s call, </w:t>
      </w:r>
      <w:r w:rsidRPr="002C325E">
        <w:rPr>
          <w:rFonts w:ascii="Times New Roman" w:hAnsi="Times New Roman" w:cs="Times New Roman"/>
        </w:rPr>
        <w:t xml:space="preserve">in </w:t>
      </w:r>
      <w:r>
        <w:rPr>
          <w:rFonts w:ascii="Times New Roman" w:hAnsi="Times New Roman" w:cs="Times New Roman"/>
        </w:rPr>
        <w:t xml:space="preserve">a landmark </w:t>
      </w:r>
      <w:r w:rsidRPr="002C325E">
        <w:rPr>
          <w:rFonts w:ascii="Times New Roman" w:hAnsi="Times New Roman" w:cs="Times New Roman"/>
        </w:rPr>
        <w:t>1942</w:t>
      </w:r>
      <w:r>
        <w:rPr>
          <w:rFonts w:ascii="Times New Roman" w:hAnsi="Times New Roman" w:cs="Times New Roman"/>
        </w:rPr>
        <w:t xml:space="preserve"> case</w:t>
      </w:r>
      <w:r w:rsidRPr="002C325E">
        <w:rPr>
          <w:rFonts w:ascii="Times New Roman" w:hAnsi="Times New Roman" w:cs="Times New Roman"/>
        </w:rPr>
        <w:t xml:space="preserve">, </w:t>
      </w:r>
      <w:r>
        <w:rPr>
          <w:rFonts w:ascii="Times New Roman" w:hAnsi="Times New Roman" w:cs="Times New Roman"/>
        </w:rPr>
        <w:t xml:space="preserve">affirming </w:t>
      </w:r>
      <w:r w:rsidRPr="002C325E">
        <w:rPr>
          <w:rFonts w:ascii="Times New Roman" w:hAnsi="Times New Roman" w:cs="Times New Roman"/>
        </w:rPr>
        <w:t>that “</w:t>
      </w:r>
      <w:r>
        <w:rPr>
          <w:rFonts w:ascii="Times New Roman" w:hAnsi="Times New Roman" w:cs="Times New Roman"/>
        </w:rPr>
        <w:t xml:space="preserve">the </w:t>
      </w:r>
      <w:r w:rsidRPr="002C325E">
        <w:rPr>
          <w:rFonts w:ascii="Times New Roman" w:hAnsi="Times New Roman" w:cs="Times New Roman"/>
        </w:rPr>
        <w:t>right of workmen to strike is an essential element in the principle of collective bargaining”</w:t>
      </w:r>
      <w:r>
        <w:rPr>
          <w:rFonts w:ascii="Times New Roman" w:hAnsi="Times New Roman" w:cs="Times New Roman"/>
        </w:rPr>
        <w:t>,</w:t>
      </w:r>
      <w:r w:rsidRPr="002C325E">
        <w:rPr>
          <w:rFonts w:ascii="Times New Roman" w:hAnsi="Times New Roman" w:cs="Times New Roman"/>
        </w:rPr>
        <w:t xml:space="preserve"> </w:t>
      </w:r>
      <w:r>
        <w:rPr>
          <w:rFonts w:ascii="Times New Roman" w:hAnsi="Times New Roman" w:cs="Times New Roman"/>
        </w:rPr>
        <w:t>was not heard (</w:t>
      </w:r>
      <w:r w:rsidRPr="002C325E">
        <w:rPr>
          <w:rFonts w:ascii="Times New Roman" w:hAnsi="Times New Roman" w:cs="Times New Roman"/>
          <w:i/>
        </w:rPr>
        <w:t xml:space="preserve">Crofter Hand Woven Harris Tweed v. Veitch </w:t>
      </w:r>
      <w:r>
        <w:rPr>
          <w:rFonts w:ascii="Times New Roman" w:hAnsi="Times New Roman" w:cs="Times New Roman"/>
        </w:rPr>
        <w:t>(1942) AC 3, p. 463)</w:t>
      </w:r>
      <w:r w:rsidRPr="002C325E">
        <w:rPr>
          <w:rFonts w:ascii="Times New Roman" w:hAnsi="Times New Roman" w:cs="Times New Roman"/>
        </w:rPr>
        <w:t xml:space="preserve">. </w:t>
      </w:r>
    </w:p>
  </w:footnote>
  <w:footnote w:id="35">
    <w:p w:rsidR="001937BD" w:rsidRPr="00CB15D8" w:rsidRDefault="001937BD" w:rsidP="001937BD">
      <w:pPr>
        <w:pStyle w:val="FootnoteText"/>
        <w:rPr>
          <w:rFonts w:ascii="Times New Roman" w:hAnsi="Times New Roman" w:cs="Times New Roman"/>
        </w:rPr>
      </w:pPr>
      <w:r>
        <w:rPr>
          <w:rStyle w:val="FootnoteReference"/>
        </w:rPr>
        <w:footnoteRef/>
      </w:r>
      <w:r>
        <w:t xml:space="preserve"> </w:t>
      </w:r>
      <w:r w:rsidRPr="00CB15D8">
        <w:rPr>
          <w:rFonts w:ascii="Times New Roman" w:hAnsi="Times New Roman" w:cs="Times New Roman"/>
          <w:i/>
        </w:rPr>
        <w:t>Demir and Baykara</w:t>
      </w:r>
      <w:r w:rsidRPr="00CB15D8">
        <w:rPr>
          <w:rFonts w:ascii="Times New Roman" w:hAnsi="Times New Roman" w:cs="Times New Roman"/>
        </w:rPr>
        <w:t>, cited above, § 158.</w:t>
      </w:r>
    </w:p>
  </w:footnote>
  <w:footnote w:id="36">
    <w:p w:rsidR="001937BD" w:rsidRPr="00BB0629" w:rsidRDefault="001937BD" w:rsidP="001937BD">
      <w:pPr>
        <w:pStyle w:val="FootnoteText"/>
        <w:rPr>
          <w:rFonts w:ascii="Times New Roman" w:hAnsi="Times New Roman" w:cs="Times New Roman"/>
        </w:rPr>
      </w:pPr>
      <w:r w:rsidRPr="00BB0629">
        <w:rPr>
          <w:rStyle w:val="FootnoteReference"/>
          <w:rFonts w:ascii="Times New Roman" w:hAnsi="Times New Roman" w:cs="Times New Roman"/>
        </w:rPr>
        <w:footnoteRef/>
      </w:r>
      <w:r w:rsidRPr="00BB0629">
        <w:rPr>
          <w:rFonts w:ascii="Times New Roman" w:hAnsi="Times New Roman" w:cs="Times New Roman"/>
        </w:rPr>
        <w:t xml:space="preserve"> </w:t>
      </w:r>
      <w:r>
        <w:rPr>
          <w:rFonts w:ascii="Times New Roman" w:hAnsi="Times New Roman" w:cs="Times New Roman"/>
        </w:rPr>
        <w:t>The “horizontal effect”</w:t>
      </w:r>
      <w:r w:rsidRPr="00BB0629">
        <w:rPr>
          <w:rFonts w:ascii="Times New Roman" w:hAnsi="Times New Roman" w:cs="Times New Roman"/>
        </w:rPr>
        <w:t xml:space="preserve"> (</w:t>
      </w:r>
      <w:r w:rsidRPr="00BF70E0">
        <w:rPr>
          <w:rFonts w:ascii="Times New Roman" w:hAnsi="Times New Roman" w:cs="Times New Roman"/>
          <w:i/>
        </w:rPr>
        <w:t>effet horizontal</w:t>
      </w:r>
      <w:r>
        <w:rPr>
          <w:rFonts w:ascii="Times New Roman" w:hAnsi="Times New Roman" w:cs="Times New Roman"/>
        </w:rPr>
        <w:t xml:space="preserve">, </w:t>
      </w:r>
      <w:r w:rsidRPr="00BB0629">
        <w:rPr>
          <w:rFonts w:ascii="Times New Roman" w:hAnsi="Times New Roman" w:cs="Times New Roman"/>
          <w:i/>
        </w:rPr>
        <w:t>Drittwirkung</w:t>
      </w:r>
      <w:r w:rsidRPr="00BB0629">
        <w:rPr>
          <w:rFonts w:ascii="Times New Roman" w:hAnsi="Times New Roman" w:cs="Times New Roman"/>
        </w:rPr>
        <w:t xml:space="preserve">) of </w:t>
      </w:r>
      <w:r>
        <w:rPr>
          <w:rFonts w:ascii="Times New Roman" w:hAnsi="Times New Roman" w:cs="Times New Roman"/>
        </w:rPr>
        <w:t xml:space="preserve">workers’ Convention rights in the context of a collective agreement </w:t>
      </w:r>
      <w:r w:rsidRPr="00BB0629">
        <w:rPr>
          <w:rFonts w:ascii="Times New Roman" w:hAnsi="Times New Roman" w:cs="Times New Roman"/>
        </w:rPr>
        <w:t xml:space="preserve">has already been acknowledged by the </w:t>
      </w:r>
      <w:r>
        <w:rPr>
          <w:rFonts w:ascii="Times New Roman" w:hAnsi="Times New Roman" w:cs="Times New Roman"/>
        </w:rPr>
        <w:t>C</w:t>
      </w:r>
      <w:r w:rsidRPr="00BB0629">
        <w:rPr>
          <w:rFonts w:ascii="Times New Roman" w:hAnsi="Times New Roman" w:cs="Times New Roman"/>
        </w:rPr>
        <w:t xml:space="preserve">ourt in its </w:t>
      </w:r>
      <w:r>
        <w:rPr>
          <w:rFonts w:ascii="Times New Roman" w:hAnsi="Times New Roman" w:cs="Times New Roman"/>
        </w:rPr>
        <w:t xml:space="preserve">seminal </w:t>
      </w:r>
      <w:r w:rsidRPr="00BB0629">
        <w:rPr>
          <w:rFonts w:ascii="Times New Roman" w:hAnsi="Times New Roman" w:cs="Times New Roman"/>
        </w:rPr>
        <w:t xml:space="preserve">case </w:t>
      </w:r>
      <w:r w:rsidRPr="00BB0629">
        <w:rPr>
          <w:rFonts w:ascii="Times New Roman" w:hAnsi="Times New Roman" w:cs="Times New Roman"/>
          <w:i/>
        </w:rPr>
        <w:t>Young, James and Webster v. the United Kingdom</w:t>
      </w:r>
      <w:r w:rsidRPr="00BB0629">
        <w:rPr>
          <w:rFonts w:ascii="Times New Roman" w:hAnsi="Times New Roman" w:cs="Times New Roman"/>
        </w:rPr>
        <w:t>, judgment of 13 August 1981, Series A No. 44, § 49</w:t>
      </w:r>
      <w:r>
        <w:rPr>
          <w:rFonts w:ascii="Times New Roman" w:hAnsi="Times New Roman" w:cs="Times New Roman"/>
        </w:rPr>
        <w:t xml:space="preserve">, and further developed over the years (see, for instance, </w:t>
      </w:r>
      <w:r w:rsidRPr="0050714E">
        <w:rPr>
          <w:rFonts w:ascii="Times New Roman" w:hAnsi="Times New Roman" w:cs="Times New Roman"/>
          <w:i/>
        </w:rPr>
        <w:t>Wilson, National Union of Journalists and Others v. the United Kingdom</w:t>
      </w:r>
      <w:r>
        <w:rPr>
          <w:rFonts w:ascii="Times New Roman" w:hAnsi="Times New Roman" w:cs="Times New Roman"/>
        </w:rPr>
        <w:t xml:space="preserve">, </w:t>
      </w:r>
      <w:r w:rsidRPr="0050714E">
        <w:rPr>
          <w:rFonts w:ascii="Times New Roman" w:hAnsi="Times New Roman" w:cs="Times New Roman"/>
        </w:rPr>
        <w:t>nos. 30668/96, 30671/96 and 30678/96</w:t>
      </w:r>
      <w:r>
        <w:rPr>
          <w:rFonts w:ascii="Times New Roman" w:hAnsi="Times New Roman" w:cs="Times New Roman"/>
        </w:rPr>
        <w:t xml:space="preserve">, 2 July 2002; </w:t>
      </w:r>
      <w:r w:rsidRPr="0050714E">
        <w:rPr>
          <w:rFonts w:ascii="Times New Roman" w:hAnsi="Times New Roman" w:cs="Times New Roman"/>
          <w:i/>
        </w:rPr>
        <w:t>Danilenkov v. Russia</w:t>
      </w:r>
      <w:r>
        <w:rPr>
          <w:rFonts w:ascii="Times New Roman" w:hAnsi="Times New Roman" w:cs="Times New Roman"/>
        </w:rPr>
        <w:t xml:space="preserve">, no. </w:t>
      </w:r>
      <w:r w:rsidRPr="00EA2B43">
        <w:rPr>
          <w:rFonts w:ascii="Times New Roman" w:hAnsi="Times New Roman" w:cs="Times New Roman"/>
        </w:rPr>
        <w:t>67336/01</w:t>
      </w:r>
      <w:r>
        <w:rPr>
          <w:rFonts w:ascii="Times New Roman" w:hAnsi="Times New Roman" w:cs="Times New Roman"/>
        </w:rPr>
        <w:t xml:space="preserve">, 30 July 2009; and </w:t>
      </w:r>
      <w:r w:rsidRPr="00BF70E0">
        <w:rPr>
          <w:rFonts w:ascii="Times New Roman" w:hAnsi="Times New Roman" w:cs="Times New Roman"/>
          <w:i/>
        </w:rPr>
        <w:t>Vilnes and Others v. Norway</w:t>
      </w:r>
      <w:r>
        <w:rPr>
          <w:rFonts w:ascii="Times New Roman" w:hAnsi="Times New Roman" w:cs="Times New Roman"/>
        </w:rPr>
        <w:t xml:space="preserve">, no. </w:t>
      </w:r>
      <w:r w:rsidRPr="00BF70E0">
        <w:rPr>
          <w:rFonts w:ascii="Times New Roman" w:hAnsi="Times New Roman" w:cs="Times New Roman"/>
        </w:rPr>
        <w:t xml:space="preserve">52806/09 </w:t>
      </w:r>
      <w:r>
        <w:rPr>
          <w:rFonts w:ascii="Times New Roman" w:hAnsi="Times New Roman" w:cs="Times New Roman"/>
        </w:rPr>
        <w:t xml:space="preserve">and </w:t>
      </w:r>
      <w:r w:rsidRPr="00BF70E0">
        <w:rPr>
          <w:rFonts w:ascii="Times New Roman" w:hAnsi="Times New Roman" w:cs="Times New Roman"/>
        </w:rPr>
        <w:t>22703/10</w:t>
      </w:r>
      <w:r>
        <w:rPr>
          <w:rFonts w:ascii="Times New Roman" w:hAnsi="Times New Roman" w:cs="Times New Roman"/>
        </w:rPr>
        <w:t>, 5 December 2012)</w:t>
      </w:r>
      <w:r w:rsidRPr="00BB0629">
        <w:rPr>
          <w:rFonts w:ascii="Times New Roman" w:hAnsi="Times New Roman" w:cs="Times New Roman"/>
        </w:rPr>
        <w:t xml:space="preserve">. </w:t>
      </w:r>
      <w:r>
        <w:rPr>
          <w:rFonts w:ascii="Times New Roman" w:hAnsi="Times New Roman" w:cs="Times New Roman"/>
        </w:rPr>
        <w:t>Space limits further elaboration on this topic.</w:t>
      </w:r>
      <w:r w:rsidRPr="00BB0629">
        <w:rPr>
          <w:rFonts w:ascii="Times New Roman" w:hAnsi="Times New Roman" w:cs="Times New Roman"/>
        </w:rPr>
        <w:t xml:space="preserve"> </w:t>
      </w:r>
    </w:p>
  </w:footnote>
  <w:footnote w:id="37">
    <w:p w:rsidR="001937BD" w:rsidRPr="00480477" w:rsidRDefault="001937BD" w:rsidP="001937BD">
      <w:pPr>
        <w:pStyle w:val="FootnoteText"/>
      </w:pPr>
      <w:r>
        <w:rPr>
          <w:rStyle w:val="FootnoteReference"/>
        </w:rPr>
        <w:footnoteRef/>
      </w:r>
      <w:r>
        <w:t xml:space="preserve"> See </w:t>
      </w:r>
      <w:r w:rsidRPr="0058545B">
        <w:rPr>
          <w:rFonts w:ascii="Times New Roman" w:hAnsi="Times New Roman" w:cs="Times New Roman"/>
          <w:i/>
        </w:rPr>
        <w:t>UNISON</w:t>
      </w:r>
      <w:r>
        <w:rPr>
          <w:rFonts w:ascii="Times New Roman" w:hAnsi="Times New Roman" w:cs="Times New Roman"/>
        </w:rPr>
        <w:t>, cited above. This obviously</w:t>
      </w:r>
      <w:r w:rsidRPr="005E2C5A">
        <w:rPr>
          <w:rFonts w:ascii="Times New Roman" w:hAnsi="Times New Roman" w:cs="Times New Roman"/>
        </w:rPr>
        <w:t xml:space="preserve"> </w:t>
      </w:r>
      <w:r>
        <w:rPr>
          <w:rFonts w:ascii="Times New Roman" w:hAnsi="Times New Roman" w:cs="Times New Roman"/>
        </w:rPr>
        <w:t xml:space="preserve">means that the employer’s freedoms do not benefit from </w:t>
      </w:r>
      <w:r w:rsidRPr="001C1A19">
        <w:rPr>
          <w:rFonts w:ascii="Times New Roman" w:hAnsi="Times New Roman" w:cs="Times New Roman"/>
          <w:i/>
        </w:rPr>
        <w:t>a priori</w:t>
      </w:r>
      <w:r>
        <w:rPr>
          <w:rFonts w:ascii="Times New Roman" w:hAnsi="Times New Roman" w:cs="Times New Roman"/>
        </w:rPr>
        <w:t xml:space="preserve"> prevailing status over the rights and interests of the workers “to the point of subjecting the worker to the employer’s interests” (see </w:t>
      </w:r>
      <w:r w:rsidRPr="006F5C53">
        <w:rPr>
          <w:rFonts w:ascii="Times New Roman" w:hAnsi="Times New Roman" w:cs="Times New Roman"/>
          <w:i/>
        </w:rPr>
        <w:t>Palomo Sanchez and Others v. Spain</w:t>
      </w:r>
      <w:r>
        <w:rPr>
          <w:rFonts w:ascii="Times New Roman" w:hAnsi="Times New Roman" w:cs="Times New Roman"/>
          <w:i/>
        </w:rPr>
        <w:t xml:space="preserve"> </w:t>
      </w:r>
      <w:r w:rsidRPr="006D68D9">
        <w:rPr>
          <w:rFonts w:ascii="Times New Roman" w:hAnsi="Times New Roman" w:cs="Times New Roman"/>
        </w:rPr>
        <w:t>[GC</w:t>
      </w:r>
      <w:r>
        <w:rPr>
          <w:rFonts w:ascii="Times New Roman" w:hAnsi="Times New Roman" w:cs="Times New Roman"/>
        </w:rPr>
        <w:t>], nos. 28955/06, 28957/06, 28959/06 and 28964/06, § 76, 12 September 2011).</w:t>
      </w:r>
    </w:p>
  </w:footnote>
  <w:footnote w:id="38">
    <w:p w:rsidR="001937BD" w:rsidRPr="00CE10C5" w:rsidRDefault="001937BD" w:rsidP="001937BD">
      <w:pPr>
        <w:pStyle w:val="FootnoteText"/>
        <w:rPr>
          <w:rFonts w:ascii="Times New Roman" w:hAnsi="Times New Roman" w:cs="Times New Roman"/>
        </w:rPr>
      </w:pPr>
      <w:r w:rsidRPr="00CE10C5">
        <w:rPr>
          <w:rStyle w:val="FootnoteReference"/>
          <w:rFonts w:ascii="Times New Roman" w:hAnsi="Times New Roman" w:cs="Times New Roman"/>
        </w:rPr>
        <w:footnoteRef/>
      </w:r>
      <w:r w:rsidRPr="00CE10C5">
        <w:rPr>
          <w:rFonts w:ascii="Times New Roman" w:hAnsi="Times New Roman" w:cs="Times New Roman"/>
        </w:rPr>
        <w:t xml:space="preserve"> See p</w:t>
      </w:r>
      <w:r>
        <w:rPr>
          <w:rFonts w:ascii="Times New Roman" w:hAnsi="Times New Roman" w:cs="Times New Roman"/>
        </w:rPr>
        <w:t>p. 12 and 13</w:t>
      </w:r>
      <w:r w:rsidRPr="00CE10C5">
        <w:rPr>
          <w:rFonts w:ascii="Times New Roman" w:hAnsi="Times New Roman" w:cs="Times New Roman"/>
        </w:rPr>
        <w:t xml:space="preserve"> of the applicant’s observations to the Chamber</w:t>
      </w:r>
      <w:r>
        <w:rPr>
          <w:rFonts w:ascii="Times New Roman" w:hAnsi="Times New Roman" w:cs="Times New Roman"/>
        </w:rPr>
        <w:t>, of 29 February 2012</w:t>
      </w:r>
      <w:r w:rsidRPr="00CE10C5">
        <w:rPr>
          <w:rFonts w:ascii="Times New Roman" w:hAnsi="Times New Roman" w:cs="Times New Roman"/>
        </w:rPr>
        <w:t>.</w:t>
      </w:r>
    </w:p>
  </w:footnote>
  <w:footnote w:id="39">
    <w:p w:rsidR="001937BD" w:rsidRPr="00C51D50" w:rsidRDefault="001937BD" w:rsidP="001937BD">
      <w:pPr>
        <w:pStyle w:val="FootnoteText"/>
        <w:rPr>
          <w:rFonts w:ascii="Times New Roman" w:hAnsi="Times New Roman" w:cs="Times New Roman"/>
        </w:rPr>
      </w:pPr>
      <w:r w:rsidRPr="00C51D50">
        <w:rPr>
          <w:rStyle w:val="FootnoteReference"/>
          <w:rFonts w:ascii="Times New Roman" w:hAnsi="Times New Roman" w:cs="Times New Roman"/>
        </w:rPr>
        <w:footnoteRef/>
      </w:r>
      <w:r w:rsidRPr="00C51D50">
        <w:rPr>
          <w:rFonts w:ascii="Times New Roman" w:hAnsi="Times New Roman" w:cs="Times New Roman"/>
        </w:rPr>
        <w:t xml:space="preserve"> See paragraph 7 of the judgment.</w:t>
      </w:r>
    </w:p>
  </w:footnote>
  <w:footnote w:id="40">
    <w:p w:rsidR="001937BD" w:rsidRPr="00C51D50" w:rsidRDefault="001937BD" w:rsidP="001937BD">
      <w:pPr>
        <w:pStyle w:val="FootnoteText"/>
        <w:rPr>
          <w:rFonts w:ascii="Times New Roman" w:hAnsi="Times New Roman" w:cs="Times New Roman"/>
        </w:rPr>
      </w:pPr>
      <w:r w:rsidRPr="00C51D50">
        <w:rPr>
          <w:rStyle w:val="FootnoteReference"/>
          <w:rFonts w:ascii="Times New Roman" w:hAnsi="Times New Roman" w:cs="Times New Roman"/>
        </w:rPr>
        <w:footnoteRef/>
      </w:r>
      <w:r w:rsidRPr="00C51D50">
        <w:rPr>
          <w:rFonts w:ascii="Times New Roman" w:hAnsi="Times New Roman" w:cs="Times New Roman"/>
        </w:rPr>
        <w:t xml:space="preserve"> See paragraph 17 of the judgment.</w:t>
      </w:r>
    </w:p>
  </w:footnote>
  <w:footnote w:id="41">
    <w:p w:rsidR="001937BD" w:rsidRPr="00C51D50" w:rsidRDefault="001937BD" w:rsidP="001937BD">
      <w:pPr>
        <w:pStyle w:val="FootnoteText"/>
        <w:rPr>
          <w:rFonts w:ascii="Times New Roman" w:hAnsi="Times New Roman" w:cs="Times New Roman"/>
        </w:rPr>
      </w:pPr>
      <w:r w:rsidRPr="00C51D50">
        <w:rPr>
          <w:rStyle w:val="FootnoteReference"/>
          <w:rFonts w:ascii="Times New Roman" w:hAnsi="Times New Roman" w:cs="Times New Roman"/>
        </w:rPr>
        <w:footnoteRef/>
      </w:r>
      <w:r w:rsidRPr="00C51D50">
        <w:rPr>
          <w:rFonts w:ascii="Times New Roman" w:hAnsi="Times New Roman" w:cs="Times New Roman"/>
        </w:rPr>
        <w:t xml:space="preserve"> See paragraph 15 of the judgment. </w:t>
      </w:r>
    </w:p>
  </w:footnote>
  <w:footnote w:id="42">
    <w:p w:rsidR="001937BD" w:rsidRPr="00FE7E61" w:rsidRDefault="001937BD" w:rsidP="001937BD">
      <w:pPr>
        <w:pStyle w:val="FootnoteText"/>
        <w:rPr>
          <w:rFonts w:ascii="Times New Roman" w:hAnsi="Times New Roman" w:cs="Times New Roman"/>
        </w:rPr>
      </w:pPr>
      <w:r w:rsidRPr="00290CCC">
        <w:rPr>
          <w:rStyle w:val="FootnoteReference"/>
          <w:rFonts w:ascii="Times New Roman" w:hAnsi="Times New Roman" w:cs="Times New Roman"/>
        </w:rPr>
        <w:footnoteRef/>
      </w:r>
      <w:r w:rsidRPr="00290CCC">
        <w:rPr>
          <w:rFonts w:ascii="Times New Roman" w:hAnsi="Times New Roman" w:cs="Times New Roman"/>
        </w:rPr>
        <w:t xml:space="preserve"> One cannot affirm a point at one time and deny it at another time. This is a principle of good faith</w:t>
      </w:r>
      <w:r>
        <w:rPr>
          <w:rFonts w:ascii="Times New Roman" w:hAnsi="Times New Roman" w:cs="Times New Roman"/>
        </w:rPr>
        <w:t xml:space="preserve">, which is the guiding principle in this domain, as provided by section 191 of the Labour Act of 1995, in force at the material time. </w:t>
      </w:r>
      <w:r w:rsidRPr="00290CCC">
        <w:rPr>
          <w:rFonts w:ascii="Times New Roman" w:hAnsi="Times New Roman" w:cs="Times New Roman"/>
        </w:rPr>
        <w:t xml:space="preserve">It is indeed remarkable that in its judgment of 27 April 2005, the </w:t>
      </w:r>
      <w:r>
        <w:rPr>
          <w:rFonts w:ascii="Times New Roman" w:hAnsi="Times New Roman" w:cs="Times New Roman"/>
        </w:rPr>
        <w:t>S</w:t>
      </w:r>
      <w:r w:rsidRPr="00290CCC">
        <w:rPr>
          <w:rFonts w:ascii="Times New Roman" w:hAnsi="Times New Roman" w:cs="Times New Roman"/>
        </w:rPr>
        <w:t xml:space="preserve">upreme Court on the </w:t>
      </w:r>
      <w:r>
        <w:rPr>
          <w:rFonts w:ascii="Times New Roman" w:hAnsi="Times New Roman" w:cs="Times New Roman"/>
        </w:rPr>
        <w:t xml:space="preserve">one </w:t>
      </w:r>
      <w:r w:rsidRPr="00290CCC">
        <w:rPr>
          <w:rFonts w:ascii="Times New Roman" w:hAnsi="Times New Roman" w:cs="Times New Roman"/>
        </w:rPr>
        <w:t xml:space="preserve">hand concluded that the annex was invalid, but on the other hand did not address the third subsidiary </w:t>
      </w:r>
      <w:r>
        <w:rPr>
          <w:rFonts w:ascii="Times New Roman" w:hAnsi="Times New Roman" w:cs="Times New Roman"/>
        </w:rPr>
        <w:t>ground</w:t>
      </w:r>
      <w:r w:rsidRPr="00290CCC">
        <w:rPr>
          <w:rFonts w:ascii="Times New Roman" w:hAnsi="Times New Roman" w:cs="Times New Roman"/>
        </w:rPr>
        <w:t xml:space="preserve"> for the strike because the annex had not yet been declared invalid in the parallel proceedings pending before the Municipal </w:t>
      </w:r>
      <w:r>
        <w:rPr>
          <w:rFonts w:ascii="Times New Roman" w:hAnsi="Times New Roman" w:cs="Times New Roman"/>
        </w:rPr>
        <w:t>C</w:t>
      </w:r>
      <w:r w:rsidRPr="00290CCC">
        <w:rPr>
          <w:rFonts w:ascii="Times New Roman" w:hAnsi="Times New Roman" w:cs="Times New Roman"/>
        </w:rPr>
        <w:t>ourt (</w:t>
      </w:r>
      <w:r>
        <w:rPr>
          <w:rFonts w:ascii="Times New Roman" w:hAnsi="Times New Roman" w:cs="Times New Roman"/>
        </w:rPr>
        <w:t xml:space="preserve">see </w:t>
      </w:r>
      <w:r w:rsidRPr="00290CCC">
        <w:rPr>
          <w:rFonts w:ascii="Times New Roman" w:hAnsi="Times New Roman" w:cs="Times New Roman"/>
        </w:rPr>
        <w:t xml:space="preserve">paragraph 18 of the judgment). </w:t>
      </w:r>
      <w:r>
        <w:rPr>
          <w:rFonts w:ascii="Times New Roman" w:hAnsi="Times New Roman" w:cs="Times New Roman"/>
        </w:rPr>
        <w:t xml:space="preserve">The respondent Government reiterated that argument before the Court. </w:t>
      </w:r>
      <w:r w:rsidRPr="00624AB5">
        <w:rPr>
          <w:rFonts w:ascii="Times New Roman" w:hAnsi="Times New Roman" w:cs="Times New Roman"/>
        </w:rPr>
        <w:t>Courts</w:t>
      </w:r>
      <w:r>
        <w:rPr>
          <w:rFonts w:ascii="Times New Roman" w:hAnsi="Times New Roman" w:cs="Times New Roman"/>
        </w:rPr>
        <w:t xml:space="preserve"> </w:t>
      </w:r>
      <w:r w:rsidRPr="00624AB5">
        <w:rPr>
          <w:rFonts w:ascii="Times New Roman" w:hAnsi="Times New Roman" w:cs="Times New Roman"/>
        </w:rPr>
        <w:t xml:space="preserve">should not seek to impose </w:t>
      </w:r>
      <w:r>
        <w:rPr>
          <w:rFonts w:ascii="Times New Roman" w:hAnsi="Times New Roman" w:cs="Times New Roman"/>
        </w:rPr>
        <w:t xml:space="preserve">on employees </w:t>
      </w:r>
      <w:r w:rsidRPr="00624AB5">
        <w:rPr>
          <w:rFonts w:ascii="Times New Roman" w:hAnsi="Times New Roman" w:cs="Times New Roman"/>
        </w:rPr>
        <w:t>additional</w:t>
      </w:r>
      <w:r>
        <w:rPr>
          <w:rFonts w:ascii="Times New Roman" w:hAnsi="Times New Roman" w:cs="Times New Roman"/>
        </w:rPr>
        <w:t xml:space="preserve">, artificial </w:t>
      </w:r>
      <w:r w:rsidRPr="00624AB5">
        <w:rPr>
          <w:rFonts w:ascii="Times New Roman" w:hAnsi="Times New Roman" w:cs="Times New Roman"/>
        </w:rPr>
        <w:t>hurdles beyond those already set by</w:t>
      </w:r>
      <w:r>
        <w:rPr>
          <w:rFonts w:ascii="Times New Roman" w:hAnsi="Times New Roman" w:cs="Times New Roman"/>
        </w:rPr>
        <w:t xml:space="preserve"> law. Hence, I cannot follow the Chamber’s conclusion in paragraphs 57 and 58 of the judgment on the </w:t>
      </w:r>
      <w:r w:rsidRPr="00C42387">
        <w:rPr>
          <w:rFonts w:ascii="Times New Roman" w:hAnsi="Times New Roman" w:cs="Times New Roman"/>
        </w:rPr>
        <w:t xml:space="preserve">legality </w:t>
      </w:r>
      <w:r>
        <w:rPr>
          <w:rFonts w:ascii="Times New Roman" w:hAnsi="Times New Roman" w:cs="Times New Roman"/>
        </w:rPr>
        <w:t xml:space="preserve">and legitimacy </w:t>
      </w:r>
      <w:r w:rsidRPr="00C42387">
        <w:rPr>
          <w:rFonts w:ascii="Times New Roman" w:hAnsi="Times New Roman" w:cs="Times New Roman"/>
        </w:rPr>
        <w:t xml:space="preserve">of the </w:t>
      </w:r>
      <w:r>
        <w:rPr>
          <w:rFonts w:ascii="Times New Roman" w:hAnsi="Times New Roman" w:cs="Times New Roman"/>
        </w:rPr>
        <w:t xml:space="preserve">prohibition order. And I leave aside the additional question whether the domestic courts could even prohibit the strike on a ground that had not been invoked by the State in its </w:t>
      </w:r>
      <w:r w:rsidRPr="00FE7E61">
        <w:rPr>
          <w:rFonts w:ascii="Times New Roman" w:hAnsi="Times New Roman" w:cs="Times New Roman"/>
        </w:rPr>
        <w:t xml:space="preserve">civil action of 5 April 2005.       </w:t>
      </w:r>
    </w:p>
  </w:footnote>
  <w:footnote w:id="43">
    <w:p w:rsidR="001937BD" w:rsidRPr="00FE7E61" w:rsidRDefault="001937BD" w:rsidP="001937BD">
      <w:pPr>
        <w:pStyle w:val="FootnoteText"/>
      </w:pPr>
      <w:r w:rsidRPr="00FE7E61">
        <w:rPr>
          <w:rStyle w:val="FootnoteReference"/>
        </w:rPr>
        <w:footnoteRef/>
      </w:r>
      <w:r w:rsidRPr="00FE7E61">
        <w:t xml:space="preserve"> On the specific features of the proportionality and the necessity tests under Article 10 § 2, see my opinion in </w:t>
      </w:r>
      <w:r w:rsidRPr="00FE7E61">
        <w:rPr>
          <w:rFonts w:ascii="Times New Roman" w:hAnsi="Times New Roman" w:cs="Times New Roman"/>
          <w:i/>
        </w:rPr>
        <w:t>Mouvement Raëlien Suisse v. Switzerland</w:t>
      </w:r>
      <w:r w:rsidRPr="00FE7E61">
        <w:t>, no. 16354/06, 13 July 2012. Similar considerations app</w:t>
      </w:r>
      <w:r>
        <w:t>ly under</w:t>
      </w:r>
      <w:r w:rsidRPr="00FE7E61">
        <w:t xml:space="preserve"> Article 11 § 2. </w:t>
      </w:r>
    </w:p>
  </w:footnote>
  <w:footnote w:id="44">
    <w:p w:rsidR="001937BD" w:rsidRPr="00290CCC" w:rsidRDefault="001937BD" w:rsidP="001937BD">
      <w:pPr>
        <w:pStyle w:val="FootnoteText"/>
        <w:rPr>
          <w:rFonts w:ascii="Times New Roman" w:hAnsi="Times New Roman" w:cs="Times New Roman"/>
        </w:rPr>
      </w:pPr>
      <w:r w:rsidRPr="00FE7E61">
        <w:rPr>
          <w:rStyle w:val="FootnoteReference"/>
          <w:rFonts w:ascii="Times New Roman" w:hAnsi="Times New Roman" w:cs="Times New Roman"/>
        </w:rPr>
        <w:footnoteRef/>
      </w:r>
      <w:r w:rsidRPr="00FE7E61">
        <w:rPr>
          <w:rFonts w:ascii="Times New Roman" w:hAnsi="Times New Roman" w:cs="Times New Roman"/>
        </w:rPr>
        <w:t xml:space="preserve"> In paragraph</w:t>
      </w:r>
      <w:r w:rsidRPr="00290CCC">
        <w:rPr>
          <w:rFonts w:ascii="Times New Roman" w:hAnsi="Times New Roman" w:cs="Times New Roman"/>
        </w:rPr>
        <w:t xml:space="preserve"> 59</w:t>
      </w:r>
      <w:r>
        <w:rPr>
          <w:rFonts w:ascii="Times New Roman" w:hAnsi="Times New Roman" w:cs="Times New Roman"/>
        </w:rPr>
        <w:t xml:space="preserve"> of the judgment</w:t>
      </w:r>
      <w:r w:rsidRPr="00290CCC">
        <w:rPr>
          <w:rFonts w:ascii="Times New Roman" w:hAnsi="Times New Roman" w:cs="Times New Roman"/>
        </w:rPr>
        <w:t xml:space="preserve">, the </w:t>
      </w:r>
      <w:r>
        <w:rPr>
          <w:rFonts w:ascii="Times New Roman" w:hAnsi="Times New Roman" w:cs="Times New Roman"/>
        </w:rPr>
        <w:t>C</w:t>
      </w:r>
      <w:r w:rsidRPr="00290CCC">
        <w:rPr>
          <w:rFonts w:ascii="Times New Roman" w:hAnsi="Times New Roman" w:cs="Times New Roman"/>
        </w:rPr>
        <w:t xml:space="preserve">hamber does not exclude that “in exceptional circumstances” such a long period of prohibition could be considered as proportionate. I can see no such circumstances that would justify the deprivation of the exercise of a core aspect of a Convention right for so long. </w:t>
      </w:r>
    </w:p>
  </w:footnote>
  <w:footnote w:id="45">
    <w:p w:rsidR="001937BD" w:rsidRPr="002F0092" w:rsidRDefault="001937BD" w:rsidP="001937BD">
      <w:pPr>
        <w:pStyle w:val="FootnoteText"/>
        <w:rPr>
          <w:rFonts w:ascii="Times New Roman" w:hAnsi="Times New Roman" w:cs="Times New Roman"/>
        </w:rPr>
      </w:pPr>
      <w:r w:rsidRPr="002F0092">
        <w:rPr>
          <w:rStyle w:val="FootnoteReference"/>
          <w:rFonts w:ascii="Times New Roman" w:hAnsi="Times New Roman" w:cs="Times New Roman"/>
        </w:rPr>
        <w:footnoteRef/>
      </w:r>
      <w:r w:rsidRPr="002F0092">
        <w:rPr>
          <w:rFonts w:ascii="Times New Roman" w:hAnsi="Times New Roman" w:cs="Times New Roman"/>
        </w:rPr>
        <w:t xml:space="preserve"> See paragraph 84 of the Government’s observations to the Chamber, </w:t>
      </w:r>
      <w:r>
        <w:rPr>
          <w:rFonts w:ascii="Times New Roman" w:hAnsi="Times New Roman" w:cs="Times New Roman"/>
        </w:rPr>
        <w:t xml:space="preserve">of 17 January 2012, </w:t>
      </w:r>
      <w:r w:rsidRPr="002F0092">
        <w:rPr>
          <w:rFonts w:ascii="Times New Roman" w:hAnsi="Times New Roman" w:cs="Times New Roman"/>
        </w:rPr>
        <w:t xml:space="preserve">referring to “irreparable damage”. </w:t>
      </w:r>
    </w:p>
  </w:footnote>
  <w:footnote w:id="46">
    <w:p w:rsidR="001937BD" w:rsidRPr="00290CCC" w:rsidRDefault="001937BD" w:rsidP="001937BD">
      <w:pPr>
        <w:pStyle w:val="FootnoteText"/>
        <w:rPr>
          <w:rFonts w:ascii="Times New Roman" w:hAnsi="Times New Roman" w:cs="Times New Roman"/>
        </w:rPr>
      </w:pPr>
      <w:r w:rsidRPr="00290CCC">
        <w:rPr>
          <w:rStyle w:val="FootnoteReference"/>
          <w:rFonts w:ascii="Times New Roman" w:hAnsi="Times New Roman" w:cs="Times New Roman"/>
        </w:rPr>
        <w:footnoteRef/>
      </w:r>
      <w:r w:rsidRPr="00290CCC">
        <w:rPr>
          <w:rFonts w:ascii="Times New Roman" w:hAnsi="Times New Roman" w:cs="Times New Roman"/>
        </w:rPr>
        <w:t xml:space="preserve"> See paragraph 21 of the judgment. </w:t>
      </w:r>
    </w:p>
  </w:footnote>
  <w:footnote w:id="47">
    <w:p w:rsidR="001937BD" w:rsidRPr="00ED6F16" w:rsidRDefault="001937BD" w:rsidP="001937BD">
      <w:pPr>
        <w:pStyle w:val="FootnoteText"/>
        <w:rPr>
          <w:rFonts w:ascii="Times New Roman" w:hAnsi="Times New Roman" w:cs="Times New Roman"/>
        </w:rPr>
      </w:pPr>
      <w:r w:rsidRPr="00ED6F16">
        <w:rPr>
          <w:rStyle w:val="FootnoteReference"/>
          <w:rFonts w:ascii="Times New Roman" w:hAnsi="Times New Roman" w:cs="Times New Roman"/>
        </w:rPr>
        <w:footnoteRef/>
      </w:r>
      <w:r w:rsidRPr="00ED6F16">
        <w:rPr>
          <w:rFonts w:ascii="Times New Roman" w:hAnsi="Times New Roman" w:cs="Times New Roman"/>
        </w:rPr>
        <w:t xml:space="preserve"> </w:t>
      </w:r>
      <w:r>
        <w:rPr>
          <w:rFonts w:ascii="Times New Roman" w:hAnsi="Times New Roman" w:cs="Times New Roman"/>
        </w:rPr>
        <w:t xml:space="preserve">A similar view has been developed by the ECSR. In fact, the ECSR has already </w:t>
      </w:r>
      <w:r w:rsidRPr="006D313B">
        <w:rPr>
          <w:rFonts w:ascii="Times New Roman" w:hAnsi="Times New Roman" w:cs="Times New Roman"/>
        </w:rPr>
        <w:t xml:space="preserve">held that, on the basis of Article 31 of the </w:t>
      </w:r>
      <w:r>
        <w:rPr>
          <w:rFonts w:ascii="Times New Roman" w:hAnsi="Times New Roman" w:cs="Times New Roman"/>
        </w:rPr>
        <w:t>ESC</w:t>
      </w:r>
      <w:r w:rsidRPr="006D313B">
        <w:rPr>
          <w:rFonts w:ascii="Times New Roman" w:hAnsi="Times New Roman" w:cs="Times New Roman"/>
        </w:rPr>
        <w:t>, damage</w:t>
      </w:r>
      <w:r>
        <w:rPr>
          <w:rFonts w:ascii="Times New Roman" w:hAnsi="Times New Roman" w:cs="Times New Roman"/>
        </w:rPr>
        <w:t xml:space="preserve"> </w:t>
      </w:r>
      <w:r w:rsidRPr="006D313B">
        <w:rPr>
          <w:rFonts w:ascii="Times New Roman" w:hAnsi="Times New Roman" w:cs="Times New Roman"/>
        </w:rPr>
        <w:t>caused to third parties and financial losses sustained by the employer could be taken</w:t>
      </w:r>
      <w:r>
        <w:rPr>
          <w:rFonts w:ascii="Times New Roman" w:hAnsi="Times New Roman" w:cs="Times New Roman"/>
        </w:rPr>
        <w:t xml:space="preserve"> </w:t>
      </w:r>
      <w:r w:rsidRPr="006D313B">
        <w:rPr>
          <w:rFonts w:ascii="Times New Roman" w:hAnsi="Times New Roman" w:cs="Times New Roman"/>
        </w:rPr>
        <w:t>into consideration in exceptional cases, when justified by a pressing social need</w:t>
      </w:r>
      <w:r>
        <w:rPr>
          <w:rFonts w:ascii="Times New Roman" w:hAnsi="Times New Roman" w:cs="Times New Roman"/>
        </w:rPr>
        <w:t xml:space="preserve"> (ECSR </w:t>
      </w:r>
      <w:r w:rsidRPr="006D313B">
        <w:rPr>
          <w:rFonts w:ascii="Times New Roman" w:hAnsi="Times New Roman" w:cs="Times New Roman"/>
        </w:rPr>
        <w:t>Conclusions XIII-1, p</w:t>
      </w:r>
      <w:r>
        <w:rPr>
          <w:rFonts w:ascii="Times New Roman" w:hAnsi="Times New Roman" w:cs="Times New Roman"/>
        </w:rPr>
        <w:t>. </w:t>
      </w:r>
      <w:r w:rsidR="00B7322E">
        <w:rPr>
          <w:rFonts w:ascii="Times New Roman" w:hAnsi="Times New Roman" w:cs="Times New Roman"/>
        </w:rPr>
        <w:t>152</w:t>
      </w:r>
      <w:r>
        <w:rPr>
          <w:rFonts w:ascii="Times New Roman" w:hAnsi="Times New Roman" w:cs="Times New Roman"/>
        </w:rPr>
        <w:t>)</w:t>
      </w:r>
      <w:r w:rsidRPr="006D313B">
        <w:rPr>
          <w:rFonts w:ascii="Times New Roman" w:hAnsi="Times New Roman" w:cs="Times New Roman"/>
        </w:rPr>
        <w:t>.</w:t>
      </w:r>
      <w:r>
        <w:rPr>
          <w:rFonts w:ascii="Times New Roman" w:hAnsi="Times New Roman" w:cs="Times New Roman"/>
        </w:rPr>
        <w:t xml:space="preserve"> </w:t>
      </w:r>
      <w:r w:rsidRPr="00ED6F16">
        <w:rPr>
          <w:rFonts w:ascii="Times New Roman" w:hAnsi="Times New Roman" w:cs="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56" w:rsidRPr="00451956" w:rsidRDefault="00451956" w:rsidP="0045195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56" w:rsidRPr="00A45145" w:rsidRDefault="00451956" w:rsidP="00451956">
    <w:pPr>
      <w:jc w:val="center"/>
    </w:pPr>
    <w:r>
      <w:rPr>
        <w:noProof/>
        <w:lang w:eastAsia="ja-JP"/>
      </w:rPr>
      <w:drawing>
        <wp:inline distT="0" distB="0" distL="0" distR="0" wp14:anchorId="5F86B051" wp14:editId="4D26F53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51956" w:rsidRDefault="004519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56" w:rsidRPr="00B5229B" w:rsidRDefault="00451956" w:rsidP="00044ABA">
    <w:pPr>
      <w:pStyle w:val="ECHRHeader"/>
      <w:rPr>
        <w:lang w:val="fi-FI"/>
      </w:rPr>
    </w:pPr>
    <w:r>
      <w:rPr>
        <w:rStyle w:val="PageNumber"/>
        <w:szCs w:val="18"/>
      </w:rPr>
      <w:fldChar w:fldCharType="begin"/>
    </w:r>
    <w:r w:rsidRPr="00B5229B">
      <w:rPr>
        <w:rStyle w:val="PageNumber"/>
        <w:szCs w:val="18"/>
        <w:lang w:val="fi-FI"/>
      </w:rPr>
      <w:instrText xml:space="preserve"> PAGE </w:instrText>
    </w:r>
    <w:r>
      <w:rPr>
        <w:rStyle w:val="PageNumber"/>
        <w:szCs w:val="18"/>
      </w:rPr>
      <w:fldChar w:fldCharType="separate"/>
    </w:r>
    <w:r w:rsidR="00A32E76">
      <w:rPr>
        <w:rStyle w:val="PageNumber"/>
        <w:noProof/>
        <w:szCs w:val="18"/>
        <w:lang w:val="fi-FI"/>
      </w:rPr>
      <w:t>18</w:t>
    </w:r>
    <w:r>
      <w:rPr>
        <w:rStyle w:val="PageNumber"/>
        <w:szCs w:val="18"/>
      </w:rPr>
      <w:fldChar w:fldCharType="end"/>
    </w:r>
    <w:r w:rsidRPr="00B5229B">
      <w:rPr>
        <w:lang w:val="fi-FI"/>
      </w:rPr>
      <w:tab/>
      <w:t>HRVATSKI LIJEČNIČKI SINDIKAT v. CROATIA JUDGMENT</w:t>
    </w:r>
    <w:r w:rsidR="001937BD" w:rsidRPr="00B5229B">
      <w:rPr>
        <w:lang w:val="fi-FI"/>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956" w:rsidRPr="00B5229B" w:rsidRDefault="00451956" w:rsidP="00044ABA">
    <w:pPr>
      <w:pStyle w:val="ECHRHeader"/>
      <w:rPr>
        <w:lang w:val="fi-FI"/>
      </w:rPr>
    </w:pPr>
    <w:r w:rsidRPr="0001136E">
      <w:tab/>
    </w:r>
    <w:r w:rsidRPr="00B5229B">
      <w:rPr>
        <w:lang w:val="fi-FI"/>
      </w:rPr>
      <w:t>HRVATSKI LIJEČNIČKI SINDIKAT v. CROATIA JUDGMENT</w:t>
    </w:r>
    <w:r w:rsidRPr="00B5229B">
      <w:rPr>
        <w:lang w:val="fi-FI"/>
      </w:rPr>
      <w:tab/>
    </w:r>
    <w:r>
      <w:rPr>
        <w:rStyle w:val="PageNumber"/>
        <w:szCs w:val="18"/>
      </w:rPr>
      <w:fldChar w:fldCharType="begin"/>
    </w:r>
    <w:r w:rsidRPr="00B5229B">
      <w:rPr>
        <w:rStyle w:val="PageNumber"/>
        <w:szCs w:val="18"/>
        <w:lang w:val="fi-FI"/>
      </w:rPr>
      <w:instrText xml:space="preserve"> PAGE </w:instrText>
    </w:r>
    <w:r>
      <w:rPr>
        <w:rStyle w:val="PageNumber"/>
        <w:szCs w:val="18"/>
      </w:rPr>
      <w:fldChar w:fldCharType="separate"/>
    </w:r>
    <w:r w:rsidR="00A32E76">
      <w:rPr>
        <w:rStyle w:val="PageNumber"/>
        <w:noProof/>
        <w:szCs w:val="18"/>
        <w:lang w:val="fi-FI"/>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7BD" w:rsidRPr="0001136E" w:rsidRDefault="001937BD"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A32E76">
      <w:rPr>
        <w:rStyle w:val="PageNumber"/>
        <w:noProof/>
        <w:szCs w:val="18"/>
      </w:rPr>
      <w:t>32</w:t>
    </w:r>
    <w:r>
      <w:rPr>
        <w:rStyle w:val="PageNumber"/>
        <w:szCs w:val="18"/>
      </w:rPr>
      <w:fldChar w:fldCharType="end"/>
    </w:r>
    <w:r w:rsidRPr="0001136E">
      <w:tab/>
    </w:r>
    <w:r>
      <w:t>HRVATSKI LIJEČNIČKI SINDIKAT v. CROATIA</w:t>
    </w:r>
    <w:r w:rsidRPr="0001136E">
      <w:t xml:space="preserve"> </w:t>
    </w:r>
    <w:r>
      <w:t xml:space="preserve">JUDGMENT </w:t>
    </w:r>
    <w:r w:rsidRPr="001937BD">
      <w:rPr>
        <w:lang w:val="en-GB"/>
      </w:rP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BE7" w:rsidRPr="002E0BE7" w:rsidRDefault="002E0BE7" w:rsidP="00044ABA">
    <w:pPr>
      <w:pStyle w:val="ECHRHeader"/>
      <w:rPr>
        <w:lang w:val="en-GB"/>
      </w:rPr>
    </w:pPr>
    <w:r w:rsidRPr="0001136E">
      <w:tab/>
    </w:r>
    <w:r w:rsidRPr="002E0BE7">
      <w:rPr>
        <w:lang w:val="en-GB"/>
      </w:rPr>
      <w:t xml:space="preserve">HRVATSKI LIJEČNIČKI SINDIKAT v. CROATIA JUDGMENT </w:t>
    </w:r>
    <w:r>
      <w:rPr>
        <w:lang w:val="en-GB"/>
      </w:rPr>
      <w:t>–</w:t>
    </w:r>
    <w:r w:rsidRPr="002E0BE7">
      <w:rPr>
        <w:lang w:val="en-GB"/>
      </w:rPr>
      <w:t xml:space="preserve"> S</w:t>
    </w:r>
    <w:r>
      <w:rPr>
        <w:lang w:val="en-GB"/>
      </w:rPr>
      <w:t>EPARATE OPINION</w:t>
    </w:r>
    <w:r w:rsidRPr="002E0BE7">
      <w:rPr>
        <w:lang w:val="en-GB"/>
      </w:rPr>
      <w:tab/>
    </w:r>
    <w:r>
      <w:rPr>
        <w:rStyle w:val="PageNumber"/>
        <w:szCs w:val="18"/>
      </w:rPr>
      <w:fldChar w:fldCharType="begin"/>
    </w:r>
    <w:r w:rsidRPr="002E0BE7">
      <w:rPr>
        <w:rStyle w:val="PageNumber"/>
        <w:szCs w:val="18"/>
        <w:lang w:val="en-GB"/>
      </w:rPr>
      <w:instrText xml:space="preserve"> PAGE </w:instrText>
    </w:r>
    <w:r>
      <w:rPr>
        <w:rStyle w:val="PageNumber"/>
        <w:szCs w:val="18"/>
      </w:rPr>
      <w:fldChar w:fldCharType="separate"/>
    </w:r>
    <w:r w:rsidR="00A32E76">
      <w:rPr>
        <w:rStyle w:val="PageNumber"/>
        <w:noProof/>
        <w:szCs w:val="18"/>
        <w:lang w:val="en-GB"/>
      </w:rPr>
      <w:t>33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320D1"/>
    <w:rsid w:val="00001CC5"/>
    <w:rsid w:val="00001F41"/>
    <w:rsid w:val="00002DD1"/>
    <w:rsid w:val="000042D1"/>
    <w:rsid w:val="00004763"/>
    <w:rsid w:val="00004923"/>
    <w:rsid w:val="00007B38"/>
    <w:rsid w:val="0001136E"/>
    <w:rsid w:val="00013894"/>
    <w:rsid w:val="000241A0"/>
    <w:rsid w:val="000255AF"/>
    <w:rsid w:val="0002610F"/>
    <w:rsid w:val="00033160"/>
    <w:rsid w:val="00033FD2"/>
    <w:rsid w:val="0003679E"/>
    <w:rsid w:val="0004270E"/>
    <w:rsid w:val="00042867"/>
    <w:rsid w:val="00044ABA"/>
    <w:rsid w:val="0005170E"/>
    <w:rsid w:val="0005522C"/>
    <w:rsid w:val="00055A35"/>
    <w:rsid w:val="00055AC1"/>
    <w:rsid w:val="00062A05"/>
    <w:rsid w:val="00062A15"/>
    <w:rsid w:val="00063E08"/>
    <w:rsid w:val="00064D27"/>
    <w:rsid w:val="00071C8E"/>
    <w:rsid w:val="000726F6"/>
    <w:rsid w:val="0007397A"/>
    <w:rsid w:val="00074FFC"/>
    <w:rsid w:val="00076A67"/>
    <w:rsid w:val="00085837"/>
    <w:rsid w:val="00085B3A"/>
    <w:rsid w:val="00085BF0"/>
    <w:rsid w:val="00090C82"/>
    <w:rsid w:val="0009409F"/>
    <w:rsid w:val="000946BF"/>
    <w:rsid w:val="00097853"/>
    <w:rsid w:val="000A1AA3"/>
    <w:rsid w:val="000B7A04"/>
    <w:rsid w:val="000C06DE"/>
    <w:rsid w:val="000C3455"/>
    <w:rsid w:val="000C3995"/>
    <w:rsid w:val="000D204C"/>
    <w:rsid w:val="000D5D39"/>
    <w:rsid w:val="000D6108"/>
    <w:rsid w:val="000D7D53"/>
    <w:rsid w:val="000E1449"/>
    <w:rsid w:val="000E42F2"/>
    <w:rsid w:val="000F1B73"/>
    <w:rsid w:val="000F699D"/>
    <w:rsid w:val="000F7C27"/>
    <w:rsid w:val="00100144"/>
    <w:rsid w:val="001038C4"/>
    <w:rsid w:val="001047FD"/>
    <w:rsid w:val="00104871"/>
    <w:rsid w:val="00104AD1"/>
    <w:rsid w:val="00111D99"/>
    <w:rsid w:val="0011665B"/>
    <w:rsid w:val="001202CB"/>
    <w:rsid w:val="00124D83"/>
    <w:rsid w:val="00126213"/>
    <w:rsid w:val="0013290F"/>
    <w:rsid w:val="00136B5C"/>
    <w:rsid w:val="00145734"/>
    <w:rsid w:val="00147AE0"/>
    <w:rsid w:val="00150A0B"/>
    <w:rsid w:val="00151CCA"/>
    <w:rsid w:val="001562F6"/>
    <w:rsid w:val="00157BD8"/>
    <w:rsid w:val="00165651"/>
    <w:rsid w:val="001668DC"/>
    <w:rsid w:val="00166C7A"/>
    <w:rsid w:val="00166FA7"/>
    <w:rsid w:val="001702A1"/>
    <w:rsid w:val="00171962"/>
    <w:rsid w:val="001721AD"/>
    <w:rsid w:val="00173DC2"/>
    <w:rsid w:val="00174A6F"/>
    <w:rsid w:val="001812B2"/>
    <w:rsid w:val="00185705"/>
    <w:rsid w:val="00186382"/>
    <w:rsid w:val="001937BD"/>
    <w:rsid w:val="0019388B"/>
    <w:rsid w:val="00195378"/>
    <w:rsid w:val="00195945"/>
    <w:rsid w:val="00197C29"/>
    <w:rsid w:val="001A0EBE"/>
    <w:rsid w:val="001A2CB2"/>
    <w:rsid w:val="001A3B04"/>
    <w:rsid w:val="001B2EFC"/>
    <w:rsid w:val="001B3F47"/>
    <w:rsid w:val="001B62B1"/>
    <w:rsid w:val="001B74F7"/>
    <w:rsid w:val="001C77A7"/>
    <w:rsid w:val="001D5760"/>
    <w:rsid w:val="001D6DCE"/>
    <w:rsid w:val="001E64D1"/>
    <w:rsid w:val="001F5586"/>
    <w:rsid w:val="00204021"/>
    <w:rsid w:val="002041E3"/>
    <w:rsid w:val="00205BCD"/>
    <w:rsid w:val="00216667"/>
    <w:rsid w:val="00216CCF"/>
    <w:rsid w:val="00225BE5"/>
    <w:rsid w:val="002266CD"/>
    <w:rsid w:val="002320C6"/>
    <w:rsid w:val="002343BD"/>
    <w:rsid w:val="00234964"/>
    <w:rsid w:val="00244E12"/>
    <w:rsid w:val="002459F8"/>
    <w:rsid w:val="002518AC"/>
    <w:rsid w:val="00252B31"/>
    <w:rsid w:val="0025353E"/>
    <w:rsid w:val="002563F5"/>
    <w:rsid w:val="00265471"/>
    <w:rsid w:val="00266D58"/>
    <w:rsid w:val="0026789F"/>
    <w:rsid w:val="00267E01"/>
    <w:rsid w:val="00271A81"/>
    <w:rsid w:val="00271CB9"/>
    <w:rsid w:val="002722CA"/>
    <w:rsid w:val="002730BD"/>
    <w:rsid w:val="0028418C"/>
    <w:rsid w:val="0029387C"/>
    <w:rsid w:val="00296B76"/>
    <w:rsid w:val="00297942"/>
    <w:rsid w:val="00297D36"/>
    <w:rsid w:val="00297E0B"/>
    <w:rsid w:val="002A1C85"/>
    <w:rsid w:val="002A3A18"/>
    <w:rsid w:val="002A4296"/>
    <w:rsid w:val="002A4401"/>
    <w:rsid w:val="002A60F3"/>
    <w:rsid w:val="002B18B7"/>
    <w:rsid w:val="002B4D2A"/>
    <w:rsid w:val="002B6B75"/>
    <w:rsid w:val="002C7D3E"/>
    <w:rsid w:val="002D19B5"/>
    <w:rsid w:val="002E046F"/>
    <w:rsid w:val="002E0BE7"/>
    <w:rsid w:val="002E2EAF"/>
    <w:rsid w:val="002E4E52"/>
    <w:rsid w:val="002E6A74"/>
    <w:rsid w:val="002F4BCF"/>
    <w:rsid w:val="002F605C"/>
    <w:rsid w:val="002F6FE9"/>
    <w:rsid w:val="00302008"/>
    <w:rsid w:val="003037CB"/>
    <w:rsid w:val="003104E9"/>
    <w:rsid w:val="0031573C"/>
    <w:rsid w:val="003169F3"/>
    <w:rsid w:val="0032093A"/>
    <w:rsid w:val="003209CD"/>
    <w:rsid w:val="003212BA"/>
    <w:rsid w:val="00323726"/>
    <w:rsid w:val="00325C2B"/>
    <w:rsid w:val="00331974"/>
    <w:rsid w:val="00331A95"/>
    <w:rsid w:val="00332547"/>
    <w:rsid w:val="00333712"/>
    <w:rsid w:val="003348EB"/>
    <w:rsid w:val="00336887"/>
    <w:rsid w:val="00337600"/>
    <w:rsid w:val="003403BB"/>
    <w:rsid w:val="003408B6"/>
    <w:rsid w:val="0034580F"/>
    <w:rsid w:val="00345E0E"/>
    <w:rsid w:val="003462A3"/>
    <w:rsid w:val="003463D6"/>
    <w:rsid w:val="003506C9"/>
    <w:rsid w:val="003515CB"/>
    <w:rsid w:val="00355F8F"/>
    <w:rsid w:val="00357DC1"/>
    <w:rsid w:val="00360356"/>
    <w:rsid w:val="00367D38"/>
    <w:rsid w:val="0037110C"/>
    <w:rsid w:val="00371277"/>
    <w:rsid w:val="0037228D"/>
    <w:rsid w:val="003810BF"/>
    <w:rsid w:val="003934EF"/>
    <w:rsid w:val="003957B5"/>
    <w:rsid w:val="003A3D72"/>
    <w:rsid w:val="003A64D3"/>
    <w:rsid w:val="003A7F56"/>
    <w:rsid w:val="003B2BD2"/>
    <w:rsid w:val="003B41C7"/>
    <w:rsid w:val="003B50D7"/>
    <w:rsid w:val="003B79FE"/>
    <w:rsid w:val="003C3836"/>
    <w:rsid w:val="003D2E56"/>
    <w:rsid w:val="003E2006"/>
    <w:rsid w:val="003E319C"/>
    <w:rsid w:val="003F2C7C"/>
    <w:rsid w:val="003F3BFD"/>
    <w:rsid w:val="003F6B71"/>
    <w:rsid w:val="00401C5B"/>
    <w:rsid w:val="0040728B"/>
    <w:rsid w:val="004118A1"/>
    <w:rsid w:val="00412F5F"/>
    <w:rsid w:val="00413158"/>
    <w:rsid w:val="00413EFC"/>
    <w:rsid w:val="004214B5"/>
    <w:rsid w:val="004218BE"/>
    <w:rsid w:val="004251E2"/>
    <w:rsid w:val="0043518A"/>
    <w:rsid w:val="004360D3"/>
    <w:rsid w:val="00437C8E"/>
    <w:rsid w:val="004406AA"/>
    <w:rsid w:val="004451E5"/>
    <w:rsid w:val="00447A12"/>
    <w:rsid w:val="00450AC5"/>
    <w:rsid w:val="00451956"/>
    <w:rsid w:val="00452CF1"/>
    <w:rsid w:val="00457277"/>
    <w:rsid w:val="00457A18"/>
    <w:rsid w:val="00460FAD"/>
    <w:rsid w:val="00461454"/>
    <w:rsid w:val="00465AD7"/>
    <w:rsid w:val="0046637B"/>
    <w:rsid w:val="004671B0"/>
    <w:rsid w:val="00471505"/>
    <w:rsid w:val="00473653"/>
    <w:rsid w:val="00476A2A"/>
    <w:rsid w:val="00480AE4"/>
    <w:rsid w:val="00485A6F"/>
    <w:rsid w:val="00487A8D"/>
    <w:rsid w:val="004920B1"/>
    <w:rsid w:val="004A13BA"/>
    <w:rsid w:val="004A597F"/>
    <w:rsid w:val="004A7197"/>
    <w:rsid w:val="004B0F10"/>
    <w:rsid w:val="004B1407"/>
    <w:rsid w:val="004C078E"/>
    <w:rsid w:val="004C2246"/>
    <w:rsid w:val="004C318A"/>
    <w:rsid w:val="004C7BA8"/>
    <w:rsid w:val="004D25A7"/>
    <w:rsid w:val="004D2FB2"/>
    <w:rsid w:val="004E5DFC"/>
    <w:rsid w:val="004F36EF"/>
    <w:rsid w:val="004F3825"/>
    <w:rsid w:val="0050096C"/>
    <w:rsid w:val="00500F47"/>
    <w:rsid w:val="00502023"/>
    <w:rsid w:val="00502F12"/>
    <w:rsid w:val="00503B71"/>
    <w:rsid w:val="005122EB"/>
    <w:rsid w:val="00513446"/>
    <w:rsid w:val="00516B39"/>
    <w:rsid w:val="00516EBF"/>
    <w:rsid w:val="00517898"/>
    <w:rsid w:val="00522362"/>
    <w:rsid w:val="0052340C"/>
    <w:rsid w:val="005237EB"/>
    <w:rsid w:val="00524AB9"/>
    <w:rsid w:val="00524FFC"/>
    <w:rsid w:val="005306A4"/>
    <w:rsid w:val="00531890"/>
    <w:rsid w:val="00531D58"/>
    <w:rsid w:val="005323AE"/>
    <w:rsid w:val="00536970"/>
    <w:rsid w:val="00537760"/>
    <w:rsid w:val="0054091E"/>
    <w:rsid w:val="005419B6"/>
    <w:rsid w:val="005436E9"/>
    <w:rsid w:val="00546F49"/>
    <w:rsid w:val="00554107"/>
    <w:rsid w:val="005564AD"/>
    <w:rsid w:val="00562FBF"/>
    <w:rsid w:val="0056605B"/>
    <w:rsid w:val="0056771C"/>
    <w:rsid w:val="0057245F"/>
    <w:rsid w:val="005773DD"/>
    <w:rsid w:val="005777BA"/>
    <w:rsid w:val="00577E6A"/>
    <w:rsid w:val="00582D1B"/>
    <w:rsid w:val="00583F0E"/>
    <w:rsid w:val="00584A11"/>
    <w:rsid w:val="00585938"/>
    <w:rsid w:val="005874FF"/>
    <w:rsid w:val="00587B9C"/>
    <w:rsid w:val="00594135"/>
    <w:rsid w:val="005944D6"/>
    <w:rsid w:val="00595C5D"/>
    <w:rsid w:val="00596B16"/>
    <w:rsid w:val="005A0C08"/>
    <w:rsid w:val="005A264F"/>
    <w:rsid w:val="005A28B3"/>
    <w:rsid w:val="005A3D27"/>
    <w:rsid w:val="005B16A8"/>
    <w:rsid w:val="005B1FCD"/>
    <w:rsid w:val="005B3320"/>
    <w:rsid w:val="005B37FC"/>
    <w:rsid w:val="005B4233"/>
    <w:rsid w:val="005B5F2C"/>
    <w:rsid w:val="005B7BFA"/>
    <w:rsid w:val="005C1929"/>
    <w:rsid w:val="005C1956"/>
    <w:rsid w:val="005C2C88"/>
    <w:rsid w:val="005C3D15"/>
    <w:rsid w:val="005C41CB"/>
    <w:rsid w:val="005C61EE"/>
    <w:rsid w:val="005C6C63"/>
    <w:rsid w:val="005D1B72"/>
    <w:rsid w:val="005D4183"/>
    <w:rsid w:val="005D5E03"/>
    <w:rsid w:val="005D7D3F"/>
    <w:rsid w:val="005E07F1"/>
    <w:rsid w:val="005E384F"/>
    <w:rsid w:val="005F0F33"/>
    <w:rsid w:val="005F2A62"/>
    <w:rsid w:val="005F3220"/>
    <w:rsid w:val="005F4753"/>
    <w:rsid w:val="005F49F0"/>
    <w:rsid w:val="005F5E10"/>
    <w:rsid w:val="005F7A10"/>
    <w:rsid w:val="00601C6D"/>
    <w:rsid w:val="006051CD"/>
    <w:rsid w:val="006053AC"/>
    <w:rsid w:val="00607480"/>
    <w:rsid w:val="006111FF"/>
    <w:rsid w:val="00611B0E"/>
    <w:rsid w:val="006138EA"/>
    <w:rsid w:val="00614D61"/>
    <w:rsid w:val="00616D2E"/>
    <w:rsid w:val="006213B7"/>
    <w:rsid w:val="00623BF2"/>
    <w:rsid w:val="00625699"/>
    <w:rsid w:val="00625CCB"/>
    <w:rsid w:val="006277F0"/>
    <w:rsid w:val="0062787C"/>
    <w:rsid w:val="00631537"/>
    <w:rsid w:val="00633478"/>
    <w:rsid w:val="00640B82"/>
    <w:rsid w:val="00642836"/>
    <w:rsid w:val="00655126"/>
    <w:rsid w:val="00655C3D"/>
    <w:rsid w:val="006639B6"/>
    <w:rsid w:val="006752CE"/>
    <w:rsid w:val="00675E67"/>
    <w:rsid w:val="006777F0"/>
    <w:rsid w:val="00680CFA"/>
    <w:rsid w:val="00683826"/>
    <w:rsid w:val="00686835"/>
    <w:rsid w:val="00692128"/>
    <w:rsid w:val="006962E6"/>
    <w:rsid w:val="00697F14"/>
    <w:rsid w:val="006A3D9D"/>
    <w:rsid w:val="006A4CEB"/>
    <w:rsid w:val="006A4EA2"/>
    <w:rsid w:val="006A7BF4"/>
    <w:rsid w:val="006A7C48"/>
    <w:rsid w:val="006B229D"/>
    <w:rsid w:val="006B5588"/>
    <w:rsid w:val="006C2B52"/>
    <w:rsid w:val="006C35C5"/>
    <w:rsid w:val="006C36B4"/>
    <w:rsid w:val="006C4563"/>
    <w:rsid w:val="006D35CE"/>
    <w:rsid w:val="006D43C8"/>
    <w:rsid w:val="006D71BC"/>
    <w:rsid w:val="006E6D33"/>
    <w:rsid w:val="006F4751"/>
    <w:rsid w:val="00703AAA"/>
    <w:rsid w:val="00705044"/>
    <w:rsid w:val="00705BDC"/>
    <w:rsid w:val="007068ED"/>
    <w:rsid w:val="00711E2F"/>
    <w:rsid w:val="007156E0"/>
    <w:rsid w:val="00721016"/>
    <w:rsid w:val="00730053"/>
    <w:rsid w:val="00730433"/>
    <w:rsid w:val="0073223C"/>
    <w:rsid w:val="00733037"/>
    <w:rsid w:val="007352DD"/>
    <w:rsid w:val="0073594C"/>
    <w:rsid w:val="00735B87"/>
    <w:rsid w:val="00735E0E"/>
    <w:rsid w:val="00744CCC"/>
    <w:rsid w:val="0074550B"/>
    <w:rsid w:val="00750252"/>
    <w:rsid w:val="00750E5E"/>
    <w:rsid w:val="00751ADB"/>
    <w:rsid w:val="00751C24"/>
    <w:rsid w:val="007542C9"/>
    <w:rsid w:val="00754ABE"/>
    <w:rsid w:val="00756D5B"/>
    <w:rsid w:val="007603BB"/>
    <w:rsid w:val="00760B60"/>
    <w:rsid w:val="00764374"/>
    <w:rsid w:val="00764F81"/>
    <w:rsid w:val="00770C6B"/>
    <w:rsid w:val="00772FC3"/>
    <w:rsid w:val="00776807"/>
    <w:rsid w:val="007777FA"/>
    <w:rsid w:val="0077789B"/>
    <w:rsid w:val="0078062F"/>
    <w:rsid w:val="00782053"/>
    <w:rsid w:val="007827E7"/>
    <w:rsid w:val="0079163D"/>
    <w:rsid w:val="0079187F"/>
    <w:rsid w:val="007963F4"/>
    <w:rsid w:val="007978D0"/>
    <w:rsid w:val="007A1FFE"/>
    <w:rsid w:val="007A33B0"/>
    <w:rsid w:val="007A357A"/>
    <w:rsid w:val="007A3F73"/>
    <w:rsid w:val="007A4E8F"/>
    <w:rsid w:val="007A4FFA"/>
    <w:rsid w:val="007A6DBA"/>
    <w:rsid w:val="007B03C9"/>
    <w:rsid w:val="007B2958"/>
    <w:rsid w:val="007B2DD6"/>
    <w:rsid w:val="007C090B"/>
    <w:rsid w:val="007C1CE3"/>
    <w:rsid w:val="007C1CE5"/>
    <w:rsid w:val="007C2907"/>
    <w:rsid w:val="007C656C"/>
    <w:rsid w:val="007C7293"/>
    <w:rsid w:val="007D0D75"/>
    <w:rsid w:val="007D195E"/>
    <w:rsid w:val="007D1F08"/>
    <w:rsid w:val="007E603C"/>
    <w:rsid w:val="007F36DD"/>
    <w:rsid w:val="007F379F"/>
    <w:rsid w:val="007F735A"/>
    <w:rsid w:val="007F7DD7"/>
    <w:rsid w:val="008026B2"/>
    <w:rsid w:val="00806E5F"/>
    <w:rsid w:val="00811617"/>
    <w:rsid w:val="00811AC1"/>
    <w:rsid w:val="00812787"/>
    <w:rsid w:val="00823C9B"/>
    <w:rsid w:val="00823EC8"/>
    <w:rsid w:val="00826BEA"/>
    <w:rsid w:val="008277BE"/>
    <w:rsid w:val="00830B9B"/>
    <w:rsid w:val="0083338F"/>
    <w:rsid w:val="008404AD"/>
    <w:rsid w:val="008440AE"/>
    <w:rsid w:val="00846856"/>
    <w:rsid w:val="008532BB"/>
    <w:rsid w:val="00853345"/>
    <w:rsid w:val="0085744F"/>
    <w:rsid w:val="008601F7"/>
    <w:rsid w:val="00864209"/>
    <w:rsid w:val="00865450"/>
    <w:rsid w:val="00876BD0"/>
    <w:rsid w:val="00880523"/>
    <w:rsid w:val="008824B9"/>
    <w:rsid w:val="0088315D"/>
    <w:rsid w:val="00884205"/>
    <w:rsid w:val="00884A37"/>
    <w:rsid w:val="00886BB5"/>
    <w:rsid w:val="008879F5"/>
    <w:rsid w:val="00893782"/>
    <w:rsid w:val="00895FBD"/>
    <w:rsid w:val="008A4335"/>
    <w:rsid w:val="008A44F3"/>
    <w:rsid w:val="008B4DC3"/>
    <w:rsid w:val="008B5BFB"/>
    <w:rsid w:val="008C39B5"/>
    <w:rsid w:val="008C3ABE"/>
    <w:rsid w:val="008C60EE"/>
    <w:rsid w:val="008C6F68"/>
    <w:rsid w:val="008C79C0"/>
    <w:rsid w:val="008C7B04"/>
    <w:rsid w:val="008D2B32"/>
    <w:rsid w:val="008D3EAE"/>
    <w:rsid w:val="008D41B3"/>
    <w:rsid w:val="008D7BF2"/>
    <w:rsid w:val="008E05A3"/>
    <w:rsid w:val="008F255C"/>
    <w:rsid w:val="008F5B9D"/>
    <w:rsid w:val="008F6028"/>
    <w:rsid w:val="008F64AD"/>
    <w:rsid w:val="00900A0E"/>
    <w:rsid w:val="00900F2B"/>
    <w:rsid w:val="00901315"/>
    <w:rsid w:val="00901475"/>
    <w:rsid w:val="009045FD"/>
    <w:rsid w:val="00907506"/>
    <w:rsid w:val="009169BC"/>
    <w:rsid w:val="00917EBE"/>
    <w:rsid w:val="009218CB"/>
    <w:rsid w:val="00923F20"/>
    <w:rsid w:val="009258F1"/>
    <w:rsid w:val="00927277"/>
    <w:rsid w:val="0092768E"/>
    <w:rsid w:val="00930CD7"/>
    <w:rsid w:val="00932C7B"/>
    <w:rsid w:val="00941DE4"/>
    <w:rsid w:val="0094239F"/>
    <w:rsid w:val="00946B39"/>
    <w:rsid w:val="00952062"/>
    <w:rsid w:val="009556C6"/>
    <w:rsid w:val="00956501"/>
    <w:rsid w:val="009603FC"/>
    <w:rsid w:val="009621FB"/>
    <w:rsid w:val="009657C4"/>
    <w:rsid w:val="00965BD4"/>
    <w:rsid w:val="00975845"/>
    <w:rsid w:val="00983BB3"/>
    <w:rsid w:val="0098535B"/>
    <w:rsid w:val="009915E2"/>
    <w:rsid w:val="0099561C"/>
    <w:rsid w:val="00995F44"/>
    <w:rsid w:val="0099656C"/>
    <w:rsid w:val="009A0D53"/>
    <w:rsid w:val="009A5A7C"/>
    <w:rsid w:val="009A6110"/>
    <w:rsid w:val="009A6925"/>
    <w:rsid w:val="009B039E"/>
    <w:rsid w:val="009B0C1E"/>
    <w:rsid w:val="009B11B7"/>
    <w:rsid w:val="009B15A1"/>
    <w:rsid w:val="009B331A"/>
    <w:rsid w:val="009B3416"/>
    <w:rsid w:val="009B5358"/>
    <w:rsid w:val="009B69A3"/>
    <w:rsid w:val="009C27DA"/>
    <w:rsid w:val="009C4571"/>
    <w:rsid w:val="009C5095"/>
    <w:rsid w:val="009C5183"/>
    <w:rsid w:val="009D3BBF"/>
    <w:rsid w:val="009D456B"/>
    <w:rsid w:val="009D46D7"/>
    <w:rsid w:val="009D4B87"/>
    <w:rsid w:val="009D5526"/>
    <w:rsid w:val="009E0555"/>
    <w:rsid w:val="009E3F29"/>
    <w:rsid w:val="009E47AA"/>
    <w:rsid w:val="009E5C40"/>
    <w:rsid w:val="009F0055"/>
    <w:rsid w:val="009F07CC"/>
    <w:rsid w:val="009F18CE"/>
    <w:rsid w:val="009F1D27"/>
    <w:rsid w:val="009F2041"/>
    <w:rsid w:val="009F2B3A"/>
    <w:rsid w:val="009F4252"/>
    <w:rsid w:val="009F4971"/>
    <w:rsid w:val="009F5625"/>
    <w:rsid w:val="00A000A9"/>
    <w:rsid w:val="00A01270"/>
    <w:rsid w:val="00A012A5"/>
    <w:rsid w:val="00A044F4"/>
    <w:rsid w:val="00A04E02"/>
    <w:rsid w:val="00A06A89"/>
    <w:rsid w:val="00A135BE"/>
    <w:rsid w:val="00A303EF"/>
    <w:rsid w:val="00A32B81"/>
    <w:rsid w:val="00A32E76"/>
    <w:rsid w:val="00A33376"/>
    <w:rsid w:val="00A35A9E"/>
    <w:rsid w:val="00A35C98"/>
    <w:rsid w:val="00A36290"/>
    <w:rsid w:val="00A404AF"/>
    <w:rsid w:val="00A42A1A"/>
    <w:rsid w:val="00A431E4"/>
    <w:rsid w:val="00A4777B"/>
    <w:rsid w:val="00A51BD0"/>
    <w:rsid w:val="00A52129"/>
    <w:rsid w:val="00A5331A"/>
    <w:rsid w:val="00A5515C"/>
    <w:rsid w:val="00A56A72"/>
    <w:rsid w:val="00A7038A"/>
    <w:rsid w:val="00A7038C"/>
    <w:rsid w:val="00A7049C"/>
    <w:rsid w:val="00A70711"/>
    <w:rsid w:val="00A71BB2"/>
    <w:rsid w:val="00A7514F"/>
    <w:rsid w:val="00A76C96"/>
    <w:rsid w:val="00A77AC5"/>
    <w:rsid w:val="00A80135"/>
    <w:rsid w:val="00A82BB2"/>
    <w:rsid w:val="00A8381C"/>
    <w:rsid w:val="00A86DEE"/>
    <w:rsid w:val="00A870AD"/>
    <w:rsid w:val="00A87749"/>
    <w:rsid w:val="00A91F94"/>
    <w:rsid w:val="00AA0A20"/>
    <w:rsid w:val="00AA2B6A"/>
    <w:rsid w:val="00AA3428"/>
    <w:rsid w:val="00AA373E"/>
    <w:rsid w:val="00AA3E45"/>
    <w:rsid w:val="00AA5D8E"/>
    <w:rsid w:val="00AA6CAF"/>
    <w:rsid w:val="00AA7CA2"/>
    <w:rsid w:val="00AB0594"/>
    <w:rsid w:val="00AB2166"/>
    <w:rsid w:val="00AB40B1"/>
    <w:rsid w:val="00AB43D9"/>
    <w:rsid w:val="00AB4B30"/>
    <w:rsid w:val="00AB4B56"/>
    <w:rsid w:val="00AB5D09"/>
    <w:rsid w:val="00AB6A03"/>
    <w:rsid w:val="00AB6DCE"/>
    <w:rsid w:val="00AC134B"/>
    <w:rsid w:val="00AC19C9"/>
    <w:rsid w:val="00AC4995"/>
    <w:rsid w:val="00AC4A7F"/>
    <w:rsid w:val="00AC4B9B"/>
    <w:rsid w:val="00AC79AE"/>
    <w:rsid w:val="00AD57B2"/>
    <w:rsid w:val="00AD59DC"/>
    <w:rsid w:val="00AD6E85"/>
    <w:rsid w:val="00AD7CAF"/>
    <w:rsid w:val="00AE2F4F"/>
    <w:rsid w:val="00AE569E"/>
    <w:rsid w:val="00AE585B"/>
    <w:rsid w:val="00AE78AC"/>
    <w:rsid w:val="00AF335C"/>
    <w:rsid w:val="00AF5335"/>
    <w:rsid w:val="00AF597B"/>
    <w:rsid w:val="00AF7C99"/>
    <w:rsid w:val="00B030BE"/>
    <w:rsid w:val="00B0594B"/>
    <w:rsid w:val="00B1047C"/>
    <w:rsid w:val="00B11253"/>
    <w:rsid w:val="00B122EA"/>
    <w:rsid w:val="00B128B9"/>
    <w:rsid w:val="00B14681"/>
    <w:rsid w:val="00B324A5"/>
    <w:rsid w:val="00B3608A"/>
    <w:rsid w:val="00B37480"/>
    <w:rsid w:val="00B4551C"/>
    <w:rsid w:val="00B460AF"/>
    <w:rsid w:val="00B46173"/>
    <w:rsid w:val="00B4629C"/>
    <w:rsid w:val="00B46B83"/>
    <w:rsid w:val="00B52010"/>
    <w:rsid w:val="00B5229B"/>
    <w:rsid w:val="00B524D9"/>
    <w:rsid w:val="00B574E7"/>
    <w:rsid w:val="00B6108B"/>
    <w:rsid w:val="00B64488"/>
    <w:rsid w:val="00B64919"/>
    <w:rsid w:val="00B662B2"/>
    <w:rsid w:val="00B6763B"/>
    <w:rsid w:val="00B67CBD"/>
    <w:rsid w:val="00B721C6"/>
    <w:rsid w:val="00B72A28"/>
    <w:rsid w:val="00B7322E"/>
    <w:rsid w:val="00B743BC"/>
    <w:rsid w:val="00B81192"/>
    <w:rsid w:val="00B862DC"/>
    <w:rsid w:val="00B87644"/>
    <w:rsid w:val="00B87B8B"/>
    <w:rsid w:val="00B92031"/>
    <w:rsid w:val="00B921A8"/>
    <w:rsid w:val="00B92DCA"/>
    <w:rsid w:val="00B93119"/>
    <w:rsid w:val="00B939A5"/>
    <w:rsid w:val="00B948AA"/>
    <w:rsid w:val="00B95468"/>
    <w:rsid w:val="00BA2D7F"/>
    <w:rsid w:val="00BA4F3C"/>
    <w:rsid w:val="00BB13E6"/>
    <w:rsid w:val="00BB3745"/>
    <w:rsid w:val="00BC0FA5"/>
    <w:rsid w:val="00BC7EEE"/>
    <w:rsid w:val="00BD0546"/>
    <w:rsid w:val="00BD19AE"/>
    <w:rsid w:val="00BD2532"/>
    <w:rsid w:val="00BD2718"/>
    <w:rsid w:val="00BD4C00"/>
    <w:rsid w:val="00BD5EAE"/>
    <w:rsid w:val="00BE05A1"/>
    <w:rsid w:val="00BE2C6C"/>
    <w:rsid w:val="00BE4784"/>
    <w:rsid w:val="00BE50FE"/>
    <w:rsid w:val="00BE5958"/>
    <w:rsid w:val="00BE6F3F"/>
    <w:rsid w:val="00BF071D"/>
    <w:rsid w:val="00C00F3C"/>
    <w:rsid w:val="00C01E1C"/>
    <w:rsid w:val="00C02C82"/>
    <w:rsid w:val="00C02E48"/>
    <w:rsid w:val="00C10BCD"/>
    <w:rsid w:val="00C22095"/>
    <w:rsid w:val="00C235E7"/>
    <w:rsid w:val="00C26466"/>
    <w:rsid w:val="00C2758F"/>
    <w:rsid w:val="00C27EF9"/>
    <w:rsid w:val="00C3018F"/>
    <w:rsid w:val="00C30671"/>
    <w:rsid w:val="00C47696"/>
    <w:rsid w:val="00C53BED"/>
    <w:rsid w:val="00C577C8"/>
    <w:rsid w:val="00C63E30"/>
    <w:rsid w:val="00C6428C"/>
    <w:rsid w:val="00C6762B"/>
    <w:rsid w:val="00C71761"/>
    <w:rsid w:val="00C73967"/>
    <w:rsid w:val="00C75500"/>
    <w:rsid w:val="00C7581B"/>
    <w:rsid w:val="00C81BE2"/>
    <w:rsid w:val="00C82722"/>
    <w:rsid w:val="00C83129"/>
    <w:rsid w:val="00C84877"/>
    <w:rsid w:val="00C854C1"/>
    <w:rsid w:val="00C94023"/>
    <w:rsid w:val="00C96729"/>
    <w:rsid w:val="00C96EBF"/>
    <w:rsid w:val="00CA1221"/>
    <w:rsid w:val="00CA154F"/>
    <w:rsid w:val="00CA54A1"/>
    <w:rsid w:val="00CB0206"/>
    <w:rsid w:val="00CB49A1"/>
    <w:rsid w:val="00CB7090"/>
    <w:rsid w:val="00CC6623"/>
    <w:rsid w:val="00CD31A0"/>
    <w:rsid w:val="00CD5D90"/>
    <w:rsid w:val="00CE1C9D"/>
    <w:rsid w:val="00CE4568"/>
    <w:rsid w:val="00CE5750"/>
    <w:rsid w:val="00CE63A6"/>
    <w:rsid w:val="00CF166A"/>
    <w:rsid w:val="00CF3BFB"/>
    <w:rsid w:val="00D00214"/>
    <w:rsid w:val="00D00569"/>
    <w:rsid w:val="00D018BE"/>
    <w:rsid w:val="00D0324C"/>
    <w:rsid w:val="00D06572"/>
    <w:rsid w:val="00D06A8D"/>
    <w:rsid w:val="00D102A7"/>
    <w:rsid w:val="00D1288A"/>
    <w:rsid w:val="00D15473"/>
    <w:rsid w:val="00D243F8"/>
    <w:rsid w:val="00D30F97"/>
    <w:rsid w:val="00D33169"/>
    <w:rsid w:val="00D333B8"/>
    <w:rsid w:val="00D353F4"/>
    <w:rsid w:val="00D3572A"/>
    <w:rsid w:val="00D357B5"/>
    <w:rsid w:val="00D40B00"/>
    <w:rsid w:val="00D44EA3"/>
    <w:rsid w:val="00D45A9D"/>
    <w:rsid w:val="00D507DF"/>
    <w:rsid w:val="00D56B5D"/>
    <w:rsid w:val="00D62188"/>
    <w:rsid w:val="00D63793"/>
    <w:rsid w:val="00D66346"/>
    <w:rsid w:val="00D71B0E"/>
    <w:rsid w:val="00D73611"/>
    <w:rsid w:val="00D76B5D"/>
    <w:rsid w:val="00D802F9"/>
    <w:rsid w:val="00D90810"/>
    <w:rsid w:val="00D951A7"/>
    <w:rsid w:val="00DA27E8"/>
    <w:rsid w:val="00DA5FDB"/>
    <w:rsid w:val="00DB41F3"/>
    <w:rsid w:val="00DB5B90"/>
    <w:rsid w:val="00DB6547"/>
    <w:rsid w:val="00DB6D67"/>
    <w:rsid w:val="00DC2093"/>
    <w:rsid w:val="00DC565E"/>
    <w:rsid w:val="00DC5C22"/>
    <w:rsid w:val="00DD6424"/>
    <w:rsid w:val="00DD6B6E"/>
    <w:rsid w:val="00DE5E8F"/>
    <w:rsid w:val="00DF02BF"/>
    <w:rsid w:val="00DF06A0"/>
    <w:rsid w:val="00DF56AF"/>
    <w:rsid w:val="00E0206B"/>
    <w:rsid w:val="00E062E4"/>
    <w:rsid w:val="00E13964"/>
    <w:rsid w:val="00E22880"/>
    <w:rsid w:val="00E23202"/>
    <w:rsid w:val="00E32625"/>
    <w:rsid w:val="00E32971"/>
    <w:rsid w:val="00E41015"/>
    <w:rsid w:val="00E422D1"/>
    <w:rsid w:val="00E46C53"/>
    <w:rsid w:val="00E50968"/>
    <w:rsid w:val="00E526A4"/>
    <w:rsid w:val="00E57A8C"/>
    <w:rsid w:val="00E65806"/>
    <w:rsid w:val="00E81663"/>
    <w:rsid w:val="00E845AD"/>
    <w:rsid w:val="00E86F7E"/>
    <w:rsid w:val="00E904B2"/>
    <w:rsid w:val="00E9155E"/>
    <w:rsid w:val="00E953DF"/>
    <w:rsid w:val="00E96FFE"/>
    <w:rsid w:val="00E973F5"/>
    <w:rsid w:val="00EA1BC9"/>
    <w:rsid w:val="00EA4C31"/>
    <w:rsid w:val="00EA5BBB"/>
    <w:rsid w:val="00EB0CCC"/>
    <w:rsid w:val="00EB2A33"/>
    <w:rsid w:val="00EB330F"/>
    <w:rsid w:val="00EB41E9"/>
    <w:rsid w:val="00EB5EBC"/>
    <w:rsid w:val="00EC5830"/>
    <w:rsid w:val="00EC7303"/>
    <w:rsid w:val="00ED0264"/>
    <w:rsid w:val="00ED12C3"/>
    <w:rsid w:val="00ED3AC7"/>
    <w:rsid w:val="00EE1252"/>
    <w:rsid w:val="00EE22E0"/>
    <w:rsid w:val="00EE3CEF"/>
    <w:rsid w:val="00EE47FF"/>
    <w:rsid w:val="00EE7911"/>
    <w:rsid w:val="00EF2384"/>
    <w:rsid w:val="00EF7630"/>
    <w:rsid w:val="00F0087F"/>
    <w:rsid w:val="00F03393"/>
    <w:rsid w:val="00F07933"/>
    <w:rsid w:val="00F22E8B"/>
    <w:rsid w:val="00F320D1"/>
    <w:rsid w:val="00F324E0"/>
    <w:rsid w:val="00F35B19"/>
    <w:rsid w:val="00F43FF3"/>
    <w:rsid w:val="00F468A2"/>
    <w:rsid w:val="00F5124B"/>
    <w:rsid w:val="00F543C6"/>
    <w:rsid w:val="00F62DDC"/>
    <w:rsid w:val="00F62FA4"/>
    <w:rsid w:val="00F71040"/>
    <w:rsid w:val="00F71A6A"/>
    <w:rsid w:val="00F73D18"/>
    <w:rsid w:val="00F74F39"/>
    <w:rsid w:val="00F802E1"/>
    <w:rsid w:val="00F94742"/>
    <w:rsid w:val="00F95317"/>
    <w:rsid w:val="00FA4221"/>
    <w:rsid w:val="00FB170A"/>
    <w:rsid w:val="00FB665A"/>
    <w:rsid w:val="00FC161F"/>
    <w:rsid w:val="00FC1E48"/>
    <w:rsid w:val="00FC20F1"/>
    <w:rsid w:val="00FD2215"/>
    <w:rsid w:val="00FD3B6B"/>
    <w:rsid w:val="00FD3E2F"/>
    <w:rsid w:val="00FD79BE"/>
    <w:rsid w:val="00FE2E11"/>
    <w:rsid w:val="00FE2F95"/>
    <w:rsid w:val="00FE5430"/>
    <w:rsid w:val="00FE5EA4"/>
    <w:rsid w:val="00FE6E31"/>
    <w:rsid w:val="00FF55A7"/>
    <w:rsid w:val="00FF5C1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81BE2"/>
    <w:pPr>
      <w:jc w:val="both"/>
    </w:pPr>
    <w:rPr>
      <w:rFonts w:eastAsiaTheme="minorEastAsia"/>
      <w:sz w:val="24"/>
      <w:lang w:val="en-US" w:eastAsia="en-US"/>
    </w:rPr>
  </w:style>
  <w:style w:type="paragraph" w:styleId="Heading1">
    <w:name w:val="heading 1"/>
    <w:basedOn w:val="Normal"/>
    <w:next w:val="Normal"/>
    <w:link w:val="Heading1Char"/>
    <w:uiPriority w:val="99"/>
    <w:semiHidden/>
    <w:rsid w:val="00C81B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81B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81BE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81BE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81BE2"/>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C81BE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81BE2"/>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C81BE2"/>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C81BE2"/>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C81BE2"/>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C81BE2"/>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C81BE2"/>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C81BE2"/>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C81BE2"/>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C81BE2"/>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link w:val="JuQuotChar"/>
    <w:uiPriority w:val="14"/>
    <w:qFormat/>
    <w:rsid w:val="00C81BE2"/>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C81BE2"/>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C81BE2"/>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C81BE2"/>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C81BE2"/>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C81BE2"/>
    <w:pPr>
      <w:numPr>
        <w:numId w:val="14"/>
      </w:numPr>
      <w:jc w:val="left"/>
    </w:pPr>
    <w:rPr>
      <w:b/>
    </w:rPr>
  </w:style>
  <w:style w:type="paragraph" w:styleId="FootnoteText">
    <w:name w:val="footnote text"/>
    <w:basedOn w:val="Normal"/>
    <w:link w:val="FootnoteTextChar"/>
    <w:uiPriority w:val="99"/>
    <w:semiHidden/>
    <w:rsid w:val="00C81BE2"/>
    <w:rPr>
      <w:sz w:val="20"/>
      <w:szCs w:val="20"/>
    </w:rPr>
  </w:style>
  <w:style w:type="character" w:styleId="FootnoteReference">
    <w:name w:val="footnote reference"/>
    <w:basedOn w:val="DefaultParagraphFont"/>
    <w:uiPriority w:val="99"/>
    <w:semiHidden/>
    <w:rsid w:val="00C81BE2"/>
    <w:rPr>
      <w:vertAlign w:val="superscript"/>
    </w:rPr>
  </w:style>
  <w:style w:type="paragraph" w:styleId="Header">
    <w:name w:val="header"/>
    <w:basedOn w:val="Normal"/>
    <w:link w:val="HeaderChar"/>
    <w:uiPriority w:val="57"/>
    <w:semiHidden/>
    <w:rsid w:val="00C81BE2"/>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C81BE2"/>
    <w:pPr>
      <w:ind w:left="346" w:firstLine="0"/>
    </w:pPr>
  </w:style>
  <w:style w:type="paragraph" w:customStyle="1" w:styleId="OpiPara">
    <w:name w:val="Opi_Para"/>
    <w:basedOn w:val="ECHRPara"/>
    <w:uiPriority w:val="46"/>
    <w:qFormat/>
    <w:rsid w:val="00C81BE2"/>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alloonText">
    <w:name w:val="Balloon Text"/>
    <w:basedOn w:val="Normal"/>
    <w:link w:val="BalloonTextChar"/>
    <w:uiPriority w:val="99"/>
    <w:semiHidden/>
    <w:rsid w:val="00C81BE2"/>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C81BE2"/>
    <w:rPr>
      <w:color w:val="0072BC" w:themeColor="hyperlink"/>
      <w:u w:val="single"/>
    </w:rPr>
  </w:style>
  <w:style w:type="character" w:styleId="Strong">
    <w:name w:val="Strong"/>
    <w:uiPriority w:val="99"/>
    <w:semiHidden/>
    <w:qFormat/>
    <w:rsid w:val="00C81BE2"/>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JuParaSub">
    <w:name w:val="Ju_Para_Sub"/>
    <w:basedOn w:val="ECHRPara"/>
    <w:uiPriority w:val="13"/>
    <w:qFormat/>
    <w:rsid w:val="00C81BE2"/>
    <w:pPr>
      <w:ind w:left="284"/>
    </w:pPr>
  </w:style>
  <w:style w:type="paragraph" w:styleId="ListBullet">
    <w:name w:val="List Bullet"/>
    <w:basedOn w:val="Normal"/>
    <w:uiPriority w:val="99"/>
    <w:semiHidden/>
    <w:rsid w:val="008824B9"/>
    <w:pPr>
      <w:numPr>
        <w:numId w:val="1"/>
      </w:numPr>
    </w:pPr>
  </w:style>
  <w:style w:type="paragraph" w:customStyle="1" w:styleId="OpiParaSub">
    <w:name w:val="Opi_Para_Sub"/>
    <w:basedOn w:val="JuParaSub"/>
    <w:uiPriority w:val="47"/>
    <w:qFormat/>
    <w:rsid w:val="00C81BE2"/>
  </w:style>
  <w:style w:type="character" w:customStyle="1" w:styleId="Heading1Char">
    <w:name w:val="Heading 1 Char"/>
    <w:basedOn w:val="DefaultParagraphFont"/>
    <w:link w:val="Heading1"/>
    <w:uiPriority w:val="99"/>
    <w:semiHidden/>
    <w:rsid w:val="00C81BE2"/>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C81BE2"/>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C81BE2"/>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C81BE2"/>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C81BE2"/>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C81BE2"/>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C81BE2"/>
    <w:pPr>
      <w:jc w:val="left"/>
    </w:pPr>
    <w:rPr>
      <w:sz w:val="8"/>
    </w:rPr>
  </w:style>
  <w:style w:type="paragraph" w:customStyle="1" w:styleId="ECHRFooterLine">
    <w:name w:val="ECHR_Footer_Line"/>
    <w:aliases w:val="Footer_Line"/>
    <w:basedOn w:val="Normal"/>
    <w:next w:val="ECHRFooter"/>
    <w:uiPriority w:val="57"/>
    <w:semiHidden/>
    <w:rsid w:val="00C81BE2"/>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C81BE2"/>
    <w:rPr>
      <w:sz w:val="24"/>
      <w:lang w:val="en-US" w:eastAsia="en-US"/>
    </w:rPr>
  </w:style>
  <w:style w:type="paragraph" w:customStyle="1" w:styleId="ECHRHeader">
    <w:name w:val="ECHR_Header"/>
    <w:aliases w:val="Ju_Header"/>
    <w:basedOn w:val="Header"/>
    <w:uiPriority w:val="4"/>
    <w:qFormat/>
    <w:rsid w:val="00C81BE2"/>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C81BE2"/>
    <w:rPr>
      <w:sz w:val="24"/>
      <w:lang w:val="en-US" w:eastAsia="en-US"/>
    </w:rPr>
  </w:style>
  <w:style w:type="character" w:customStyle="1" w:styleId="FootnoteTextChar">
    <w:name w:val="Footnote Text Char"/>
    <w:basedOn w:val="DefaultParagraphFont"/>
    <w:link w:val="FootnoteText"/>
    <w:uiPriority w:val="99"/>
    <w:semiHidden/>
    <w:rsid w:val="00C81BE2"/>
    <w:rPr>
      <w:rFonts w:eastAsiaTheme="minorEastAsia"/>
      <w:sz w:val="20"/>
      <w:szCs w:val="20"/>
      <w:lang w:val="en-US" w:eastAsia="en-US"/>
    </w:rPr>
  </w:style>
  <w:style w:type="paragraph" w:customStyle="1" w:styleId="OpiQuot">
    <w:name w:val="Opi_Quot"/>
    <w:basedOn w:val="ECHRParaQuote"/>
    <w:uiPriority w:val="48"/>
    <w:qFormat/>
    <w:rsid w:val="00C81BE2"/>
  </w:style>
  <w:style w:type="paragraph" w:customStyle="1" w:styleId="OpiQuotSub">
    <w:name w:val="Opi_Quot_Sub"/>
    <w:basedOn w:val="JuQuotSub"/>
    <w:uiPriority w:val="49"/>
    <w:qFormat/>
    <w:rsid w:val="00C81BE2"/>
  </w:style>
  <w:style w:type="paragraph" w:customStyle="1" w:styleId="JuTitle">
    <w:name w:val="Ju_Title"/>
    <w:basedOn w:val="Normal"/>
    <w:next w:val="ECHRPara"/>
    <w:uiPriority w:val="3"/>
    <w:rsid w:val="00C81BE2"/>
    <w:pPr>
      <w:spacing w:before="720" w:after="240"/>
      <w:jc w:val="center"/>
      <w:outlineLvl w:val="0"/>
    </w:pPr>
    <w:rPr>
      <w:rFonts w:asciiTheme="majorHAnsi" w:hAnsiTheme="majorHAnsi"/>
      <w:b/>
      <w:caps/>
    </w:rPr>
  </w:style>
  <w:style w:type="paragraph" w:customStyle="1" w:styleId="OpiHA">
    <w:name w:val="Opi_H_A"/>
    <w:basedOn w:val="ECHRHeading1"/>
    <w:next w:val="OpiPara"/>
    <w:uiPriority w:val="41"/>
    <w:qFormat/>
    <w:rsid w:val="00C81BE2"/>
    <w:pPr>
      <w:tabs>
        <w:tab w:val="clear" w:pos="357"/>
      </w:tabs>
      <w:outlineLvl w:val="1"/>
    </w:pPr>
    <w:rPr>
      <w:b/>
    </w:rPr>
  </w:style>
  <w:style w:type="character" w:customStyle="1" w:styleId="JUNAMES">
    <w:name w:val="JU_NAMES"/>
    <w:uiPriority w:val="17"/>
    <w:qFormat/>
    <w:rsid w:val="00C81BE2"/>
    <w:rPr>
      <w:caps w:val="0"/>
      <w:smallCaps/>
    </w:rPr>
  </w:style>
  <w:style w:type="character" w:customStyle="1" w:styleId="JuITMark">
    <w:name w:val="Ju_ITMark"/>
    <w:basedOn w:val="DefaultParagraphFont"/>
    <w:uiPriority w:val="38"/>
    <w:qFormat/>
    <w:rsid w:val="00C81BE2"/>
    <w:rPr>
      <w:vanish w:val="0"/>
      <w:color w:val="auto"/>
      <w:sz w:val="14"/>
    </w:rPr>
  </w:style>
  <w:style w:type="paragraph" w:customStyle="1" w:styleId="ECHRTitleCentre3">
    <w:name w:val="ECHR_Title_Centre_3"/>
    <w:aliases w:val="Ju_H_Article"/>
    <w:basedOn w:val="Normal"/>
    <w:next w:val="ECHRParaQuote"/>
    <w:uiPriority w:val="27"/>
    <w:qFormat/>
    <w:rsid w:val="00C81BE2"/>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C81BE2"/>
    <w:pPr>
      <w:spacing w:after="240"/>
      <w:jc w:val="center"/>
      <w:outlineLvl w:val="0"/>
    </w:pPr>
    <w:rPr>
      <w:rFonts w:asciiTheme="majorHAnsi" w:hAnsiTheme="majorHAnsi"/>
    </w:rPr>
  </w:style>
  <w:style w:type="paragraph" w:customStyle="1" w:styleId="OpiTranslation">
    <w:name w:val="Opi_Translation"/>
    <w:basedOn w:val="Normal"/>
    <w:next w:val="OpiPara"/>
    <w:uiPriority w:val="40"/>
    <w:qFormat/>
    <w:rsid w:val="00C81BE2"/>
    <w:pPr>
      <w:jc w:val="center"/>
      <w:outlineLvl w:val="0"/>
    </w:pPr>
    <w:rPr>
      <w:i/>
      <w:lang w:val="fr-FR" w:eastAsia="fr-FR"/>
    </w:rPr>
  </w:style>
  <w:style w:type="character" w:customStyle="1" w:styleId="Heading5Char">
    <w:name w:val="Heading 5 Char"/>
    <w:basedOn w:val="DefaultParagraphFont"/>
    <w:link w:val="Heading5"/>
    <w:uiPriority w:val="99"/>
    <w:semiHidden/>
    <w:rsid w:val="00C81BE2"/>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C81BE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81BE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81BE2"/>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C81BE2"/>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C81BE2"/>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C81BE2"/>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C81BE2"/>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C81BE2"/>
    <w:rPr>
      <w:b/>
      <w:bCs/>
      <w:i/>
      <w:iCs/>
      <w:spacing w:val="10"/>
      <w:bdr w:val="none" w:sz="0" w:space="0" w:color="auto"/>
      <w:shd w:val="clear" w:color="auto" w:fill="auto"/>
    </w:rPr>
  </w:style>
  <w:style w:type="paragraph" w:styleId="NoSpacing">
    <w:name w:val="No Spacing"/>
    <w:basedOn w:val="Normal"/>
    <w:link w:val="NoSpacingChar"/>
    <w:semiHidden/>
    <w:qFormat/>
    <w:rsid w:val="00C81BE2"/>
    <w:rPr>
      <w:sz w:val="22"/>
      <w:lang w:val="fr-FR" w:eastAsia="fr-FR"/>
    </w:rPr>
  </w:style>
  <w:style w:type="character" w:customStyle="1" w:styleId="NoSpacingChar">
    <w:name w:val="No Spacing Char"/>
    <w:basedOn w:val="DefaultParagraphFont"/>
    <w:link w:val="NoSpacing"/>
    <w:semiHidden/>
    <w:rsid w:val="00C81BE2"/>
    <w:rPr>
      <w:rFonts w:eastAsiaTheme="minorEastAsia"/>
    </w:rPr>
  </w:style>
  <w:style w:type="paragraph" w:styleId="ListParagraph">
    <w:name w:val="List Paragraph"/>
    <w:basedOn w:val="Normal"/>
    <w:uiPriority w:val="99"/>
    <w:semiHidden/>
    <w:qFormat/>
    <w:rsid w:val="00C81BE2"/>
    <w:pPr>
      <w:ind w:left="720"/>
      <w:contextualSpacing/>
    </w:pPr>
    <w:rPr>
      <w:lang w:val="fr-FR" w:eastAsia="fr-FR"/>
    </w:rPr>
  </w:style>
  <w:style w:type="paragraph" w:styleId="Quote">
    <w:name w:val="Quote"/>
    <w:basedOn w:val="Normal"/>
    <w:next w:val="Normal"/>
    <w:link w:val="QuoteChar"/>
    <w:uiPriority w:val="99"/>
    <w:semiHidden/>
    <w:qFormat/>
    <w:rsid w:val="00C81BE2"/>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C81BE2"/>
    <w:rPr>
      <w:rFonts w:eastAsiaTheme="minorEastAsia"/>
      <w:i/>
      <w:iCs/>
      <w:lang w:bidi="en-US"/>
    </w:rPr>
  </w:style>
  <w:style w:type="paragraph" w:styleId="IntenseQuote">
    <w:name w:val="Intense Quote"/>
    <w:basedOn w:val="Normal"/>
    <w:next w:val="Normal"/>
    <w:link w:val="IntenseQuoteChar"/>
    <w:uiPriority w:val="99"/>
    <w:semiHidden/>
    <w:qFormat/>
    <w:rsid w:val="00C81BE2"/>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C81BE2"/>
    <w:rPr>
      <w:rFonts w:eastAsiaTheme="minorEastAsia"/>
      <w:b/>
      <w:bCs/>
      <w:i/>
      <w:iCs/>
      <w:lang w:bidi="en-US"/>
    </w:rPr>
  </w:style>
  <w:style w:type="character" w:styleId="SubtleEmphasis">
    <w:name w:val="Subtle Emphasis"/>
    <w:uiPriority w:val="99"/>
    <w:semiHidden/>
    <w:qFormat/>
    <w:rsid w:val="00C81BE2"/>
    <w:rPr>
      <w:i/>
      <w:iCs/>
    </w:rPr>
  </w:style>
  <w:style w:type="character" w:styleId="IntenseEmphasis">
    <w:name w:val="Intense Emphasis"/>
    <w:uiPriority w:val="99"/>
    <w:semiHidden/>
    <w:qFormat/>
    <w:rsid w:val="00C81BE2"/>
    <w:rPr>
      <w:b/>
      <w:bCs/>
    </w:rPr>
  </w:style>
  <w:style w:type="character" w:styleId="SubtleReference">
    <w:name w:val="Subtle Reference"/>
    <w:uiPriority w:val="99"/>
    <w:semiHidden/>
    <w:qFormat/>
    <w:rsid w:val="00C81BE2"/>
    <w:rPr>
      <w:smallCaps/>
    </w:rPr>
  </w:style>
  <w:style w:type="character" w:styleId="IntenseReference">
    <w:name w:val="Intense Reference"/>
    <w:uiPriority w:val="99"/>
    <w:semiHidden/>
    <w:qFormat/>
    <w:rsid w:val="00C81BE2"/>
    <w:rPr>
      <w:smallCaps/>
      <w:spacing w:val="5"/>
      <w:u w:val="single"/>
    </w:rPr>
  </w:style>
  <w:style w:type="character" w:styleId="BookTitle">
    <w:name w:val="Book Title"/>
    <w:uiPriority w:val="99"/>
    <w:semiHidden/>
    <w:qFormat/>
    <w:rsid w:val="00C81BE2"/>
    <w:rPr>
      <w:i/>
      <w:iCs/>
      <w:smallCaps/>
      <w:spacing w:val="5"/>
    </w:rPr>
  </w:style>
  <w:style w:type="paragraph" w:styleId="TOCHeading">
    <w:name w:val="TOC Heading"/>
    <w:basedOn w:val="Heading1"/>
    <w:next w:val="Normal"/>
    <w:uiPriority w:val="99"/>
    <w:semiHidden/>
    <w:qFormat/>
    <w:rsid w:val="00C81BE2"/>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C81BE2"/>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C81BE2"/>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C81BE2"/>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C81BE2"/>
    <w:pPr>
      <w:spacing w:after="60"/>
      <w:ind w:left="680" w:right="340" w:hanging="340"/>
    </w:pPr>
  </w:style>
  <w:style w:type="paragraph" w:styleId="TOC3">
    <w:name w:val="toc 3"/>
    <w:basedOn w:val="Normal"/>
    <w:next w:val="Normal"/>
    <w:autoRedefine/>
    <w:uiPriority w:val="99"/>
    <w:semiHidden/>
    <w:rsid w:val="00C81BE2"/>
    <w:pPr>
      <w:spacing w:after="60"/>
      <w:ind w:left="1020" w:right="340" w:hanging="340"/>
    </w:pPr>
  </w:style>
  <w:style w:type="paragraph" w:styleId="TOC4">
    <w:name w:val="toc 4"/>
    <w:basedOn w:val="Normal"/>
    <w:next w:val="Normal"/>
    <w:autoRedefine/>
    <w:uiPriority w:val="99"/>
    <w:semiHidden/>
    <w:rsid w:val="00C81BE2"/>
    <w:pPr>
      <w:tabs>
        <w:tab w:val="right" w:leader="dot" w:pos="9017"/>
      </w:tabs>
      <w:spacing w:after="60"/>
      <w:ind w:left="1361" w:right="340" w:hanging="340"/>
    </w:pPr>
  </w:style>
  <w:style w:type="paragraph" w:styleId="TOC5">
    <w:name w:val="toc 5"/>
    <w:basedOn w:val="Normal"/>
    <w:next w:val="Normal"/>
    <w:autoRedefine/>
    <w:uiPriority w:val="99"/>
    <w:semiHidden/>
    <w:rsid w:val="00C81BE2"/>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C81BE2"/>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uiPriority w:val="15"/>
    <w:qFormat/>
    <w:rsid w:val="00C81BE2"/>
    <w:pPr>
      <w:ind w:left="567"/>
    </w:pPr>
  </w:style>
  <w:style w:type="paragraph" w:customStyle="1" w:styleId="JuInitialled">
    <w:name w:val="Ju_Initialled"/>
    <w:basedOn w:val="Normal"/>
    <w:uiPriority w:val="31"/>
    <w:qFormat/>
    <w:rsid w:val="00C81BE2"/>
    <w:pPr>
      <w:tabs>
        <w:tab w:val="center" w:pos="6407"/>
      </w:tabs>
      <w:spacing w:before="720"/>
      <w:jc w:val="right"/>
    </w:pPr>
    <w:rPr>
      <w:lang w:val="fr-FR" w:eastAsia="fr-FR"/>
    </w:rPr>
  </w:style>
  <w:style w:type="paragraph" w:customStyle="1" w:styleId="DecHTitle">
    <w:name w:val="Dec_H_Title"/>
    <w:basedOn w:val="ECHRTitleCentre1"/>
    <w:uiPriority w:val="7"/>
    <w:rsid w:val="00C81BE2"/>
  </w:style>
  <w:style w:type="paragraph" w:customStyle="1" w:styleId="JuCourt">
    <w:name w:val="Ju_Court"/>
    <w:basedOn w:val="Normal"/>
    <w:next w:val="Normal"/>
    <w:uiPriority w:val="16"/>
    <w:qFormat/>
    <w:rsid w:val="00C81BE2"/>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C81BE2"/>
    <w:pPr>
      <w:spacing w:before="240"/>
      <w:ind w:left="284"/>
    </w:pPr>
  </w:style>
  <w:style w:type="paragraph" w:customStyle="1" w:styleId="JuListi">
    <w:name w:val="Ju_List_i"/>
    <w:basedOn w:val="Normal"/>
    <w:next w:val="JuLista"/>
    <w:uiPriority w:val="28"/>
    <w:qFormat/>
    <w:rsid w:val="00C81BE2"/>
    <w:pPr>
      <w:ind w:left="794"/>
    </w:pPr>
    <w:rPr>
      <w:lang w:val="fr-FR" w:eastAsia="fr-FR"/>
    </w:rPr>
  </w:style>
  <w:style w:type="paragraph" w:customStyle="1" w:styleId="ECHRHeading3">
    <w:name w:val="ECHR_Heading_3"/>
    <w:aliases w:val="Ju_H_1."/>
    <w:basedOn w:val="Heading3"/>
    <w:next w:val="ECHRPara"/>
    <w:uiPriority w:val="21"/>
    <w:qFormat/>
    <w:rsid w:val="00C81BE2"/>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C81BE2"/>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C81BE2"/>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C81BE2"/>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C81BE2"/>
    <w:pPr>
      <w:keepNext/>
      <w:keepLines/>
      <w:spacing w:before="240" w:after="120"/>
      <w:ind w:left="1236"/>
    </w:pPr>
    <w:rPr>
      <w:sz w:val="20"/>
    </w:rPr>
  </w:style>
  <w:style w:type="paragraph" w:customStyle="1" w:styleId="OpiH1">
    <w:name w:val="Opi_H_1"/>
    <w:basedOn w:val="ECHRHeading2"/>
    <w:uiPriority w:val="42"/>
    <w:qFormat/>
    <w:rsid w:val="00C81BE2"/>
    <w:pPr>
      <w:ind w:left="635" w:hanging="357"/>
      <w:outlineLvl w:val="2"/>
    </w:pPr>
  </w:style>
  <w:style w:type="paragraph" w:customStyle="1" w:styleId="OpiHa0">
    <w:name w:val="Opi_H_a"/>
    <w:basedOn w:val="ECHRHeading3"/>
    <w:uiPriority w:val="43"/>
    <w:qFormat/>
    <w:rsid w:val="00C81BE2"/>
    <w:pPr>
      <w:ind w:left="833" w:hanging="357"/>
      <w:outlineLvl w:val="3"/>
    </w:pPr>
    <w:rPr>
      <w:b/>
      <w:i w:val="0"/>
      <w:sz w:val="20"/>
    </w:rPr>
  </w:style>
  <w:style w:type="paragraph" w:customStyle="1" w:styleId="OpiHi">
    <w:name w:val="Opi_H_i"/>
    <w:basedOn w:val="ECHRHeading4"/>
    <w:uiPriority w:val="44"/>
    <w:qFormat/>
    <w:rsid w:val="00C81BE2"/>
    <w:pPr>
      <w:ind w:left="1037" w:hanging="357"/>
      <w:outlineLvl w:val="4"/>
    </w:pPr>
    <w:rPr>
      <w:b w:val="0"/>
      <w:i/>
    </w:rPr>
  </w:style>
  <w:style w:type="paragraph" w:customStyle="1" w:styleId="DummyStyle">
    <w:name w:val="Dummy_Style"/>
    <w:basedOn w:val="Normal"/>
    <w:semiHidden/>
    <w:qFormat/>
    <w:rsid w:val="00C81BE2"/>
    <w:rPr>
      <w:color w:val="00B050"/>
      <w:lang w:val="fr-FR" w:eastAsia="fr-FR"/>
    </w:rPr>
  </w:style>
  <w:style w:type="table" w:customStyle="1" w:styleId="ECHRListTable">
    <w:name w:val="ECHR_List_Table"/>
    <w:basedOn w:val="TableNormal"/>
    <w:uiPriority w:val="99"/>
    <w:rsid w:val="00C81BE2"/>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QuotChar">
    <w:name w:val="Ju_Quot Char"/>
    <w:basedOn w:val="ECHRParaChar"/>
    <w:link w:val="ECHRParaQuote"/>
    <w:uiPriority w:val="14"/>
    <w:rsid w:val="009B69A3"/>
    <w:rPr>
      <w:rFonts w:eastAsiaTheme="minorEastAsia"/>
      <w:sz w:val="20"/>
      <w:lang w:val="en-US" w:eastAsia="en-US"/>
    </w:rPr>
  </w:style>
  <w:style w:type="character" w:customStyle="1" w:styleId="CommentTextChar">
    <w:name w:val="Comment Text Char"/>
    <w:basedOn w:val="DefaultParagraphFont"/>
    <w:link w:val="CommentText"/>
    <w:uiPriority w:val="99"/>
    <w:semiHidden/>
    <w:rsid w:val="0099656C"/>
    <w:rPr>
      <w:rFonts w:eastAsiaTheme="minorEastAsia"/>
      <w:sz w:val="20"/>
      <w:lang w:val="en-US" w:eastAsia="en-US"/>
    </w:rPr>
  </w:style>
  <w:style w:type="character" w:customStyle="1" w:styleId="JuParaCar">
    <w:name w:val="Ju_Para Car"/>
    <w:basedOn w:val="DefaultParagraphFont"/>
    <w:uiPriority w:val="12"/>
    <w:rsid w:val="00A7038C"/>
    <w:rPr>
      <w:sz w:val="24"/>
      <w:lang w:val="en-GB" w:eastAsia="fr-FR" w:bidi="ar-SA"/>
    </w:rPr>
  </w:style>
  <w:style w:type="paragraph" w:styleId="Revision">
    <w:name w:val="Revision"/>
    <w:hidden/>
    <w:uiPriority w:val="99"/>
    <w:semiHidden/>
    <w:rsid w:val="000F7C27"/>
    <w:rPr>
      <w:rFonts w:eastAsiaTheme="minorEastAsia"/>
      <w:sz w:val="24"/>
      <w:lang w:val="en-US" w:eastAsia="en-US"/>
    </w:rPr>
  </w:style>
  <w:style w:type="paragraph" w:customStyle="1" w:styleId="jupara">
    <w:name w:val="jupara"/>
    <w:basedOn w:val="Normal"/>
    <w:rsid w:val="00A32E7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32E7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86512">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548108675">
      <w:bodyDiv w:val="1"/>
      <w:marLeft w:val="0"/>
      <w:marRight w:val="0"/>
      <w:marTop w:val="0"/>
      <w:marBottom w:val="0"/>
      <w:divBdr>
        <w:top w:val="none" w:sz="0" w:space="0" w:color="auto"/>
        <w:left w:val="none" w:sz="0" w:space="0" w:color="auto"/>
        <w:bottom w:val="none" w:sz="0" w:space="0" w:color="auto"/>
        <w:right w:val="none" w:sz="0" w:space="0" w:color="auto"/>
      </w:divBdr>
    </w:div>
    <w:div w:id="805322053">
      <w:bodyDiv w:val="1"/>
      <w:marLeft w:val="0"/>
      <w:marRight w:val="0"/>
      <w:marTop w:val="0"/>
      <w:marBottom w:val="0"/>
      <w:divBdr>
        <w:top w:val="none" w:sz="0" w:space="0" w:color="auto"/>
        <w:left w:val="none" w:sz="0" w:space="0" w:color="auto"/>
        <w:bottom w:val="none" w:sz="0" w:space="0" w:color="auto"/>
        <w:right w:val="none" w:sz="0" w:space="0" w:color="auto"/>
      </w:divBdr>
      <w:divsChild>
        <w:div w:id="322590580">
          <w:marLeft w:val="0"/>
          <w:marRight w:val="0"/>
          <w:marTop w:val="0"/>
          <w:marBottom w:val="0"/>
          <w:divBdr>
            <w:top w:val="none" w:sz="0" w:space="0" w:color="auto"/>
            <w:left w:val="none" w:sz="0" w:space="0" w:color="auto"/>
            <w:bottom w:val="none" w:sz="0" w:space="0" w:color="auto"/>
            <w:right w:val="none" w:sz="0" w:space="0" w:color="auto"/>
          </w:divBdr>
          <w:divsChild>
            <w:div w:id="1342047139">
              <w:marLeft w:val="0"/>
              <w:marRight w:val="0"/>
              <w:marTop w:val="0"/>
              <w:marBottom w:val="0"/>
              <w:divBdr>
                <w:top w:val="none" w:sz="0" w:space="0" w:color="auto"/>
                <w:left w:val="none" w:sz="0" w:space="0" w:color="auto"/>
                <w:bottom w:val="none" w:sz="0" w:space="0" w:color="auto"/>
                <w:right w:val="none" w:sz="0" w:space="0" w:color="auto"/>
              </w:divBdr>
              <w:divsChild>
                <w:div w:id="524752776">
                  <w:marLeft w:val="0"/>
                  <w:marRight w:val="0"/>
                  <w:marTop w:val="0"/>
                  <w:marBottom w:val="0"/>
                  <w:divBdr>
                    <w:top w:val="none" w:sz="0" w:space="0" w:color="auto"/>
                    <w:left w:val="none" w:sz="0" w:space="0" w:color="auto"/>
                    <w:bottom w:val="none" w:sz="0" w:space="0" w:color="auto"/>
                    <w:right w:val="none" w:sz="0" w:space="0" w:color="auto"/>
                  </w:divBdr>
                  <w:divsChild>
                    <w:div w:id="438110213">
                      <w:marLeft w:val="0"/>
                      <w:marRight w:val="0"/>
                      <w:marTop w:val="0"/>
                      <w:marBottom w:val="0"/>
                      <w:divBdr>
                        <w:top w:val="none" w:sz="0" w:space="0" w:color="auto"/>
                        <w:left w:val="none" w:sz="0" w:space="0" w:color="auto"/>
                        <w:bottom w:val="none" w:sz="0" w:space="0" w:color="auto"/>
                        <w:right w:val="none" w:sz="0" w:space="0" w:color="auto"/>
                      </w:divBdr>
                      <w:divsChild>
                        <w:div w:id="634793577">
                          <w:marLeft w:val="0"/>
                          <w:marRight w:val="0"/>
                          <w:marTop w:val="0"/>
                          <w:marBottom w:val="0"/>
                          <w:divBdr>
                            <w:top w:val="none" w:sz="0" w:space="0" w:color="auto"/>
                            <w:left w:val="none" w:sz="0" w:space="0" w:color="auto"/>
                            <w:bottom w:val="none" w:sz="0" w:space="0" w:color="auto"/>
                            <w:right w:val="none" w:sz="0" w:space="0" w:color="auto"/>
                          </w:divBdr>
                          <w:divsChild>
                            <w:div w:id="12940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252335">
      <w:bodyDiv w:val="1"/>
      <w:marLeft w:val="0"/>
      <w:marRight w:val="0"/>
      <w:marTop w:val="0"/>
      <w:marBottom w:val="0"/>
      <w:divBdr>
        <w:top w:val="none" w:sz="0" w:space="0" w:color="auto"/>
        <w:left w:val="none" w:sz="0" w:space="0" w:color="auto"/>
        <w:bottom w:val="none" w:sz="0" w:space="0" w:color="auto"/>
        <w:right w:val="none" w:sz="0" w:space="0" w:color="auto"/>
      </w:divBdr>
    </w:div>
    <w:div w:id="1631011692">
      <w:bodyDiv w:val="1"/>
      <w:marLeft w:val="0"/>
      <w:marRight w:val="0"/>
      <w:marTop w:val="0"/>
      <w:marBottom w:val="0"/>
      <w:divBdr>
        <w:top w:val="none" w:sz="0" w:space="0" w:color="auto"/>
        <w:left w:val="none" w:sz="0" w:space="0" w:color="auto"/>
        <w:bottom w:val="none" w:sz="0" w:space="0" w:color="auto"/>
        <w:right w:val="none" w:sz="0" w:space="0" w:color="auto"/>
      </w:divBdr>
      <w:divsChild>
        <w:div w:id="556478830">
          <w:marLeft w:val="0"/>
          <w:marRight w:val="0"/>
          <w:marTop w:val="0"/>
          <w:marBottom w:val="0"/>
          <w:divBdr>
            <w:top w:val="none" w:sz="0" w:space="0" w:color="auto"/>
            <w:left w:val="none" w:sz="0" w:space="0" w:color="auto"/>
            <w:bottom w:val="none" w:sz="0" w:space="0" w:color="auto"/>
            <w:right w:val="none" w:sz="0" w:space="0" w:color="auto"/>
          </w:divBdr>
          <w:divsChild>
            <w:div w:id="288974923">
              <w:marLeft w:val="0"/>
              <w:marRight w:val="0"/>
              <w:marTop w:val="0"/>
              <w:marBottom w:val="0"/>
              <w:divBdr>
                <w:top w:val="none" w:sz="0" w:space="0" w:color="auto"/>
                <w:left w:val="none" w:sz="0" w:space="0" w:color="auto"/>
                <w:bottom w:val="none" w:sz="0" w:space="0" w:color="auto"/>
                <w:right w:val="none" w:sz="0" w:space="0" w:color="auto"/>
              </w:divBdr>
              <w:divsChild>
                <w:div w:id="1833912058">
                  <w:marLeft w:val="0"/>
                  <w:marRight w:val="0"/>
                  <w:marTop w:val="0"/>
                  <w:marBottom w:val="0"/>
                  <w:divBdr>
                    <w:top w:val="none" w:sz="0" w:space="0" w:color="auto"/>
                    <w:left w:val="none" w:sz="0" w:space="0" w:color="auto"/>
                    <w:bottom w:val="none" w:sz="0" w:space="0" w:color="auto"/>
                    <w:right w:val="none" w:sz="0" w:space="0" w:color="auto"/>
                  </w:divBdr>
                  <w:divsChild>
                    <w:div w:id="679545209">
                      <w:marLeft w:val="0"/>
                      <w:marRight w:val="0"/>
                      <w:marTop w:val="0"/>
                      <w:marBottom w:val="0"/>
                      <w:divBdr>
                        <w:top w:val="none" w:sz="0" w:space="0" w:color="auto"/>
                        <w:left w:val="none" w:sz="0" w:space="0" w:color="auto"/>
                        <w:bottom w:val="none" w:sz="0" w:space="0" w:color="auto"/>
                        <w:right w:val="none" w:sz="0" w:space="0" w:color="auto"/>
                      </w:divBdr>
                      <w:divsChild>
                        <w:div w:id="1987124774">
                          <w:marLeft w:val="0"/>
                          <w:marRight w:val="0"/>
                          <w:marTop w:val="0"/>
                          <w:marBottom w:val="0"/>
                          <w:divBdr>
                            <w:top w:val="none" w:sz="0" w:space="0" w:color="auto"/>
                            <w:left w:val="none" w:sz="0" w:space="0" w:color="auto"/>
                            <w:bottom w:val="none" w:sz="0" w:space="0" w:color="auto"/>
                            <w:right w:val="none" w:sz="0" w:space="0" w:color="auto"/>
                          </w:divBdr>
                          <w:divsChild>
                            <w:div w:id="67727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641765">
      <w:bodyDiv w:val="1"/>
      <w:marLeft w:val="0"/>
      <w:marRight w:val="0"/>
      <w:marTop w:val="0"/>
      <w:marBottom w:val="0"/>
      <w:divBdr>
        <w:top w:val="none" w:sz="0" w:space="0" w:color="auto"/>
        <w:left w:val="none" w:sz="0" w:space="0" w:color="auto"/>
        <w:bottom w:val="none" w:sz="0" w:space="0" w:color="auto"/>
        <w:right w:val="none" w:sz="0" w:space="0" w:color="auto"/>
      </w:divBdr>
      <w:divsChild>
        <w:div w:id="748424969">
          <w:marLeft w:val="0"/>
          <w:marRight w:val="0"/>
          <w:marTop w:val="0"/>
          <w:marBottom w:val="0"/>
          <w:divBdr>
            <w:top w:val="none" w:sz="0" w:space="0" w:color="auto"/>
            <w:left w:val="none" w:sz="0" w:space="0" w:color="auto"/>
            <w:bottom w:val="none" w:sz="0" w:space="0" w:color="auto"/>
            <w:right w:val="none" w:sz="0" w:space="0" w:color="auto"/>
          </w:divBdr>
          <w:divsChild>
            <w:div w:id="134414357">
              <w:marLeft w:val="0"/>
              <w:marRight w:val="0"/>
              <w:marTop w:val="0"/>
              <w:marBottom w:val="0"/>
              <w:divBdr>
                <w:top w:val="none" w:sz="0" w:space="0" w:color="auto"/>
                <w:left w:val="none" w:sz="0" w:space="0" w:color="auto"/>
                <w:bottom w:val="none" w:sz="0" w:space="0" w:color="auto"/>
                <w:right w:val="none" w:sz="0" w:space="0" w:color="auto"/>
              </w:divBdr>
              <w:divsChild>
                <w:div w:id="655568422">
                  <w:marLeft w:val="0"/>
                  <w:marRight w:val="0"/>
                  <w:marTop w:val="0"/>
                  <w:marBottom w:val="0"/>
                  <w:divBdr>
                    <w:top w:val="none" w:sz="0" w:space="0" w:color="auto"/>
                    <w:left w:val="none" w:sz="0" w:space="0" w:color="auto"/>
                    <w:bottom w:val="none" w:sz="0" w:space="0" w:color="auto"/>
                    <w:right w:val="none" w:sz="0" w:space="0" w:color="auto"/>
                  </w:divBdr>
                  <w:divsChild>
                    <w:div w:id="431823611">
                      <w:marLeft w:val="0"/>
                      <w:marRight w:val="0"/>
                      <w:marTop w:val="0"/>
                      <w:marBottom w:val="0"/>
                      <w:divBdr>
                        <w:top w:val="none" w:sz="0" w:space="0" w:color="auto"/>
                        <w:left w:val="none" w:sz="0" w:space="0" w:color="auto"/>
                        <w:bottom w:val="none" w:sz="0" w:space="0" w:color="auto"/>
                        <w:right w:val="none" w:sz="0" w:space="0" w:color="auto"/>
                      </w:divBdr>
                      <w:divsChild>
                        <w:div w:id="1321889490">
                          <w:marLeft w:val="0"/>
                          <w:marRight w:val="0"/>
                          <w:marTop w:val="0"/>
                          <w:marBottom w:val="0"/>
                          <w:divBdr>
                            <w:top w:val="none" w:sz="0" w:space="0" w:color="auto"/>
                            <w:left w:val="none" w:sz="0" w:space="0" w:color="auto"/>
                            <w:bottom w:val="none" w:sz="0" w:space="0" w:color="auto"/>
                            <w:right w:val="none" w:sz="0" w:space="0" w:color="auto"/>
                          </w:divBdr>
                          <w:divsChild>
                            <w:div w:id="4501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1632F7-85AD-4A2A-AD7F-5B5321F0F9F7}"/>
</file>

<file path=customXml/itemProps2.xml><?xml version="1.0" encoding="utf-8"?>
<ds:datastoreItem xmlns:ds="http://schemas.openxmlformats.org/officeDocument/2006/customXml" ds:itemID="{0D404B79-500E-4AB0-8FFD-BE3C5C25F854}"/>
</file>

<file path=customXml/itemProps3.xml><?xml version="1.0" encoding="utf-8"?>
<ds:datastoreItem xmlns:ds="http://schemas.openxmlformats.org/officeDocument/2006/customXml" ds:itemID="{5327F49D-E43F-4F68-9D07-4E9905661D26}"/>
</file>

<file path=customXml/itemProps4.xml><?xml version="1.0" encoding="utf-8"?>
<ds:datastoreItem xmlns:ds="http://schemas.openxmlformats.org/officeDocument/2006/customXml" ds:itemID="{36EBB7E5-B377-4ABA-8544-A61FC7BC726F}"/>
</file>

<file path=docProps/app.xml><?xml version="1.0" encoding="utf-8"?>
<Properties xmlns="http://schemas.openxmlformats.org/officeDocument/2006/extended-properties" xmlns:vt="http://schemas.openxmlformats.org/officeDocument/2006/docPropsVTypes">
  <Template>Normal.dotm</Template>
  <TotalTime>0</TotalTime>
  <Pages>1</Pages>
  <Words>10627</Words>
  <Characters>60576</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71061</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2018-04-12T13:53:00Z</dcterms:created>
  <dcterms:modified xsi:type="dcterms:W3CDTF">2018-04-12T13:53:00Z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