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72A0D" w:rsidR="00E93FC7" w:rsidP="00881D4C" w:rsidRDefault="00E93FC7">
      <w:pPr>
        <w:jc w:val="center"/>
        <w:rPr>
          <w:sz w:val="4"/>
          <w:szCs w:val="4"/>
          <w:lang w:val="en-GB"/>
        </w:rPr>
      </w:pPr>
      <w:bookmarkStart w:name="_GoBack" w:id="0"/>
      <w:bookmarkEnd w:id="0"/>
    </w:p>
    <w:p w:rsidRPr="00C72A0D" w:rsidR="00E93FC7" w:rsidP="00881D4C" w:rsidRDefault="00B01D8D">
      <w:pPr>
        <w:pStyle w:val="DecHTitle"/>
        <w:rPr>
          <w:lang w:val="en-GB"/>
        </w:rPr>
      </w:pPr>
      <w:r>
        <w:rPr>
          <w:szCs w:val="24"/>
          <w:lang w:val="en-GB"/>
        </w:rPr>
        <w:t>FIFTH SECTION</w:t>
      </w:r>
    </w:p>
    <w:p w:rsidRPr="00C72A0D" w:rsidR="00E93FC7" w:rsidP="00881D4C" w:rsidRDefault="00E93FC7">
      <w:pPr>
        <w:pStyle w:val="DecHTitle"/>
        <w:rPr>
          <w:lang w:val="en-GB"/>
        </w:rPr>
      </w:pPr>
      <w:r w:rsidRPr="00C72A0D">
        <w:rPr>
          <w:lang w:val="en-GB"/>
        </w:rPr>
        <w:t>DECISION</w:t>
      </w:r>
    </w:p>
    <w:p w:rsidRPr="00C72A0D" w:rsidR="00E93FC7" w:rsidP="00881D4C" w:rsidRDefault="00B01D8D">
      <w:pPr>
        <w:pStyle w:val="ECHRTitleCentre2"/>
        <w:rPr>
          <w:lang w:val="en-GB"/>
        </w:rPr>
      </w:pPr>
      <w:r w:rsidRPr="00C72A0D">
        <w:rPr>
          <w:lang w:val="en-GB"/>
        </w:rPr>
        <w:t>Application no</w:t>
      </w:r>
      <w:r w:rsidRPr="00C72A0D" w:rsidR="00E93FC7">
        <w:rPr>
          <w:lang w:val="en-GB"/>
        </w:rPr>
        <w:t xml:space="preserve">. </w:t>
      </w:r>
      <w:r>
        <w:rPr>
          <w:lang w:val="en-GB"/>
        </w:rPr>
        <w:t>54904/08</w:t>
      </w:r>
      <w:r w:rsidRPr="00C72A0D" w:rsidR="00E93FC7">
        <w:rPr>
          <w:lang w:val="en-GB"/>
        </w:rPr>
        <w:br/>
      </w:r>
      <w:r>
        <w:rPr>
          <w:lang w:val="en-GB"/>
        </w:rPr>
        <w:t>Petro Yakovych</w:t>
      </w:r>
      <w:r w:rsidRPr="00C72A0D">
        <w:rPr>
          <w:lang w:val="en-GB"/>
        </w:rPr>
        <w:t xml:space="preserve"> </w:t>
      </w:r>
      <w:r>
        <w:rPr>
          <w:lang w:val="en-GB"/>
        </w:rPr>
        <w:t>PETLYOVANYY</w:t>
      </w:r>
      <w:r w:rsidRPr="00C72A0D">
        <w:rPr>
          <w:lang w:val="en-GB"/>
        </w:rPr>
        <w:br/>
      </w:r>
      <w:r w:rsidRPr="00C72A0D" w:rsidR="00E93FC7">
        <w:rPr>
          <w:lang w:val="en-GB"/>
        </w:rPr>
        <w:t xml:space="preserve">against </w:t>
      </w:r>
      <w:r>
        <w:rPr>
          <w:lang w:val="en-GB"/>
        </w:rPr>
        <w:t>Ukraine</w:t>
      </w:r>
    </w:p>
    <w:p w:rsidRPr="00D3302A" w:rsidR="00B01D8D" w:rsidP="00730668" w:rsidRDefault="00B01D8D">
      <w:pPr>
        <w:pStyle w:val="ECHRPara"/>
        <w:rPr>
          <w:lang w:val="en-GB"/>
        </w:rPr>
      </w:pPr>
      <w:r w:rsidRPr="00D3302A">
        <w:rPr>
          <w:lang w:val="en-GB"/>
        </w:rPr>
        <w:t>The European Court of Human Rights (</w:t>
      </w:r>
      <w:r>
        <w:rPr>
          <w:lang w:val="en-GB"/>
        </w:rPr>
        <w:t>Fifth Section</w:t>
      </w:r>
      <w:r w:rsidRPr="00D3302A">
        <w:rPr>
          <w:lang w:val="en-GB"/>
        </w:rPr>
        <w:t xml:space="preserve">), sitting on </w:t>
      </w:r>
      <w:r w:rsidRPr="00730668">
        <w:rPr>
          <w:lang w:val="en-GB"/>
        </w:rPr>
        <w:t>30 September 2014</w:t>
      </w:r>
      <w:r>
        <w:rPr>
          <w:lang w:val="en-GB"/>
        </w:rPr>
        <w:t xml:space="preserve"> </w:t>
      </w:r>
      <w:r w:rsidRPr="00D3302A">
        <w:rPr>
          <w:lang w:val="en-GB"/>
        </w:rPr>
        <w:t xml:space="preserve">as a </w:t>
      </w:r>
      <w:r>
        <w:rPr>
          <w:lang w:val="en-GB"/>
        </w:rPr>
        <w:t>Chamber</w:t>
      </w:r>
      <w:r w:rsidRPr="00D3302A">
        <w:rPr>
          <w:lang w:val="en-GB"/>
        </w:rPr>
        <w:t xml:space="preserve"> composed of:</w:t>
      </w:r>
    </w:p>
    <w:p w:rsidRPr="00D3302A" w:rsidR="00B01D8D" w:rsidP="00433CC5" w:rsidRDefault="00B01D8D">
      <w:pPr>
        <w:pStyle w:val="ECHRDecisionBody"/>
        <w:rPr>
          <w:lang w:val="en-GB"/>
        </w:rPr>
      </w:pPr>
      <w:r>
        <w:tab/>
      </w:r>
      <w:r w:rsidRPr="00873AAF">
        <w:t>Mark</w:t>
      </w:r>
      <w:r>
        <w:t xml:space="preserve"> </w:t>
      </w:r>
      <w:r w:rsidRPr="00873AAF">
        <w:t>Villiger</w:t>
      </w:r>
      <w:r>
        <w:t>,</w:t>
      </w:r>
      <w:r w:rsidRPr="00873AAF">
        <w:rPr>
          <w:i/>
        </w:rPr>
        <w:t xml:space="preserve"> President,</w:t>
      </w:r>
      <w:r>
        <w:rPr>
          <w:i/>
        </w:rPr>
        <w:br/>
      </w:r>
      <w:r w:rsidRPr="00873AAF">
        <w:tab/>
        <w:t>Angelika</w:t>
      </w:r>
      <w:r>
        <w:t xml:space="preserve"> </w:t>
      </w:r>
      <w:r w:rsidRPr="00873AAF">
        <w:t>Nußberger</w:t>
      </w:r>
      <w:r>
        <w:t>,</w:t>
      </w:r>
      <w:r>
        <w:rPr>
          <w:i/>
        </w:rPr>
        <w:br/>
      </w:r>
      <w:r w:rsidRPr="00873AAF">
        <w:tab/>
        <w:t>Boštjan M.</w:t>
      </w:r>
      <w:r>
        <w:t xml:space="preserve"> </w:t>
      </w:r>
      <w:r w:rsidRPr="00873AAF">
        <w:t>Zupančič</w:t>
      </w:r>
      <w:r>
        <w:t>,</w:t>
      </w:r>
      <w:r>
        <w:rPr>
          <w:i/>
        </w:rPr>
        <w:br/>
      </w:r>
      <w:r w:rsidRPr="00873AAF">
        <w:tab/>
        <w:t>Ann</w:t>
      </w:r>
      <w:r>
        <w:t xml:space="preserve"> </w:t>
      </w:r>
      <w:r w:rsidRPr="00873AAF">
        <w:t>Power-Forde</w:t>
      </w:r>
      <w:r>
        <w:t>,</w:t>
      </w:r>
      <w:r>
        <w:rPr>
          <w:i/>
        </w:rPr>
        <w:br/>
      </w:r>
      <w:r w:rsidRPr="00873AAF">
        <w:tab/>
        <w:t>Ganna</w:t>
      </w:r>
      <w:r>
        <w:t xml:space="preserve"> </w:t>
      </w:r>
      <w:r w:rsidRPr="00873AAF">
        <w:t>Yudkivska</w:t>
      </w:r>
      <w:r>
        <w:t>,</w:t>
      </w:r>
      <w:r>
        <w:rPr>
          <w:i/>
        </w:rPr>
        <w:br/>
      </w:r>
      <w:r w:rsidRPr="00873AAF">
        <w:tab/>
        <w:t>Helena</w:t>
      </w:r>
      <w:r>
        <w:t xml:space="preserve"> </w:t>
      </w:r>
      <w:r w:rsidRPr="00873AAF">
        <w:t>Jäderblom</w:t>
      </w:r>
      <w:r>
        <w:t>,</w:t>
      </w:r>
      <w:r>
        <w:rPr>
          <w:i/>
        </w:rPr>
        <w:br/>
      </w:r>
      <w:r w:rsidRPr="00873AAF">
        <w:tab/>
        <w:t>Aleš</w:t>
      </w:r>
      <w:r>
        <w:t xml:space="preserve"> </w:t>
      </w:r>
      <w:r w:rsidRPr="00873AAF">
        <w:t>Pejchal</w:t>
      </w:r>
      <w:r>
        <w:t>,</w:t>
      </w:r>
      <w:r w:rsidRPr="00873AAF">
        <w:rPr>
          <w:i/>
        </w:rPr>
        <w:t xml:space="preserve"> judges,</w:t>
      </w:r>
      <w:r w:rsidRPr="00D3302A" w:rsidR="006D2062">
        <w:rPr>
          <w:lang w:val="en-GB"/>
        </w:rPr>
        <w:t xml:space="preserve"> </w:t>
      </w:r>
      <w:r w:rsidRPr="00D3302A">
        <w:rPr>
          <w:lang w:val="en-GB"/>
        </w:rPr>
        <w:br/>
        <w:t xml:space="preserve">and </w:t>
      </w:r>
      <w:r>
        <w:rPr>
          <w:lang w:val="en-GB"/>
        </w:rPr>
        <w:t>Claudia</w:t>
      </w:r>
      <w:r w:rsidRPr="00D3302A">
        <w:rPr>
          <w:lang w:val="en-GB"/>
        </w:rPr>
        <w:t xml:space="preserve"> </w:t>
      </w:r>
      <w:r>
        <w:rPr>
          <w:lang w:val="en-GB"/>
        </w:rPr>
        <w:t>Westerdiek</w:t>
      </w:r>
      <w:r w:rsidRPr="00D3302A">
        <w:rPr>
          <w:lang w:val="en-GB"/>
        </w:rPr>
        <w:t xml:space="preserve">, </w:t>
      </w:r>
      <w:r w:rsidRPr="00D3302A">
        <w:rPr>
          <w:i/>
          <w:iCs/>
          <w:lang w:val="en-GB"/>
        </w:rPr>
        <w:t>Section Registrar</w:t>
      </w:r>
      <w:r w:rsidRPr="00D3302A">
        <w:rPr>
          <w:i/>
          <w:lang w:val="en-GB"/>
        </w:rPr>
        <w:t>,</w:t>
      </w:r>
    </w:p>
    <w:p w:rsidRPr="00D3302A" w:rsidR="00B01D8D" w:rsidP="00730668" w:rsidRDefault="00B01D8D">
      <w:pPr>
        <w:pStyle w:val="ECHRPara"/>
        <w:rPr>
          <w:lang w:val="en-GB"/>
        </w:rPr>
      </w:pPr>
      <w:r w:rsidRPr="00D3302A">
        <w:rPr>
          <w:lang w:val="en-GB"/>
        </w:rPr>
        <w:t xml:space="preserve">Having regard to the above application lodged on </w:t>
      </w:r>
      <w:r>
        <w:rPr>
          <w:lang w:val="en-GB"/>
        </w:rPr>
        <w:t>31 October 2008</w:t>
      </w:r>
      <w:r w:rsidRPr="00D3302A">
        <w:rPr>
          <w:lang w:val="en-GB"/>
        </w:rPr>
        <w:t>,</w:t>
      </w:r>
    </w:p>
    <w:p w:rsidRPr="00D3302A" w:rsidR="00B01D8D" w:rsidP="00730668" w:rsidRDefault="00B01D8D">
      <w:pPr>
        <w:pStyle w:val="ECHRPara"/>
        <w:rPr>
          <w:lang w:val="en-GB"/>
        </w:rPr>
      </w:pPr>
      <w:r w:rsidRPr="00D3302A">
        <w:rPr>
          <w:lang w:val="en-GB"/>
        </w:rPr>
        <w:t>Having regard to the observations submitted by the respondent Government and the observations in reply submitted by the applicant,</w:t>
      </w:r>
    </w:p>
    <w:p w:rsidRPr="00D3302A" w:rsidR="00B01D8D" w:rsidP="00730668" w:rsidRDefault="00B01D8D">
      <w:pPr>
        <w:pStyle w:val="ECHRPara"/>
        <w:rPr>
          <w:lang w:val="en-GB"/>
        </w:rPr>
      </w:pPr>
      <w:r w:rsidRPr="00D3302A">
        <w:rPr>
          <w:lang w:val="en-GB"/>
        </w:rPr>
        <w:t>Having deliberated, decides as follows:</w:t>
      </w:r>
    </w:p>
    <w:p w:rsidRPr="00D3302A" w:rsidR="00B01D8D" w:rsidP="00433CC5" w:rsidRDefault="00B01D8D">
      <w:pPr>
        <w:pStyle w:val="ECHRTitle1"/>
        <w:rPr>
          <w:lang w:val="en-GB"/>
        </w:rPr>
      </w:pPr>
      <w:r w:rsidRPr="00D3302A">
        <w:rPr>
          <w:lang w:val="en-GB"/>
        </w:rPr>
        <w:t>THE FACTS</w:t>
      </w:r>
    </w:p>
    <w:p w:rsidRPr="00963EE1" w:rsidR="00B01D8D" w:rsidP="00433CC5" w:rsidRDefault="00B01D8D">
      <w:pPr>
        <w:pStyle w:val="ECHRPara"/>
        <w:rPr>
          <w:lang w:val="en-GB"/>
        </w:rPr>
      </w:pPr>
      <w:r w:rsidRPr="00963EE1">
        <w:rPr>
          <w:lang w:val="en-GB"/>
        </w:rPr>
        <w:t xml:space="preserve">The applicant, Mr Petro Yakovych Petlyovanyy, is a Ukrainian national who was born in 1960 and lives in Kolodribka. He </w:t>
      </w:r>
      <w:r>
        <w:rPr>
          <w:lang w:val="en-GB"/>
        </w:rPr>
        <w:t>was</w:t>
      </w:r>
      <w:r w:rsidRPr="00963EE1">
        <w:rPr>
          <w:lang w:val="en-GB"/>
        </w:rPr>
        <w:t xml:space="preserve"> represented before the Court by Ms I. Petrunko, a lawyer practising in Chernivtsi.</w:t>
      </w:r>
    </w:p>
    <w:p w:rsidRPr="00963EE1" w:rsidR="00B01D8D" w:rsidP="00433CC5" w:rsidRDefault="00B01D8D">
      <w:pPr>
        <w:pStyle w:val="ECHRPara"/>
        <w:rPr>
          <w:lang w:val="en-GB"/>
        </w:rPr>
      </w:pPr>
      <w:r w:rsidRPr="00963EE1">
        <w:rPr>
          <w:lang w:val="en-GB"/>
        </w:rPr>
        <w:t>The Ukrainian Government (“the Government”) were represented by their then acting Agent, Mr M. Bem, from the Ministry of Justice.</w:t>
      </w:r>
    </w:p>
    <w:p w:rsidRPr="00963EE1" w:rsidR="00B01D8D" w:rsidP="00433CC5" w:rsidRDefault="00B01D8D">
      <w:pPr>
        <w:pStyle w:val="ECHRHeading2"/>
        <w:rPr>
          <w:lang w:val="en-GB"/>
        </w:rPr>
      </w:pPr>
      <w:r w:rsidRPr="00963EE1">
        <w:rPr>
          <w:lang w:val="en-GB"/>
        </w:rPr>
        <w:t>A.  The circumstances of the case</w:t>
      </w:r>
    </w:p>
    <w:p w:rsidRPr="00963EE1" w:rsidR="00B01D8D" w:rsidP="00433CC5" w:rsidRDefault="00B01D8D">
      <w:pPr>
        <w:pStyle w:val="ECHRPara"/>
        <w:rPr>
          <w:lang w:val="en-GB"/>
        </w:rPr>
      </w:pPr>
      <w:r w:rsidRPr="00963EE1">
        <w:rPr>
          <w:lang w:val="en-GB"/>
        </w:rPr>
        <w:t>The facts of the case, as submitted by the parties, may be summarised as follows.</w:t>
      </w:r>
    </w:p>
    <w:p w:rsidR="00B01D8D" w:rsidP="00433CC5" w:rsidRDefault="00B01D8D">
      <w:pPr>
        <w:pStyle w:val="ECHRPara"/>
        <w:rPr>
          <w:lang w:val="en-GB"/>
        </w:rPr>
      </w:pPr>
      <w:r w:rsidRPr="00963EE1">
        <w:rPr>
          <w:lang w:val="en-GB"/>
        </w:rPr>
        <w:t xml:space="preserve">In December 2006 the applicant made a deposit </w:t>
      </w:r>
      <w:r>
        <w:rPr>
          <w:lang w:val="en-GB"/>
        </w:rPr>
        <w:t>with</w:t>
      </w:r>
      <w:r w:rsidRPr="00963EE1">
        <w:rPr>
          <w:lang w:val="en-GB"/>
        </w:rPr>
        <w:t xml:space="preserve"> a private entity</w:t>
      </w:r>
      <w:r>
        <w:rPr>
          <w:lang w:val="en-GB"/>
        </w:rPr>
        <w:t>, the</w:t>
      </w:r>
      <w:r w:rsidRPr="00963EE1">
        <w:rPr>
          <w:lang w:val="en-GB"/>
        </w:rPr>
        <w:t xml:space="preserve"> Sidney Plus Credit Union </w:t>
      </w:r>
      <w:r>
        <w:rPr>
          <w:lang w:val="en-GB"/>
        </w:rPr>
        <w:t xml:space="preserve">(“the Credit Union”), </w:t>
      </w:r>
      <w:r w:rsidRPr="00963EE1">
        <w:rPr>
          <w:lang w:val="en-GB"/>
        </w:rPr>
        <w:t xml:space="preserve">and </w:t>
      </w:r>
      <w:r>
        <w:rPr>
          <w:lang w:val="en-GB"/>
        </w:rPr>
        <w:t>was subsequently unable to</w:t>
      </w:r>
      <w:r w:rsidRPr="00963EE1">
        <w:rPr>
          <w:lang w:val="en-GB"/>
        </w:rPr>
        <w:t xml:space="preserve"> receive </w:t>
      </w:r>
      <w:r>
        <w:rPr>
          <w:lang w:val="en-GB"/>
        </w:rPr>
        <w:t>his</w:t>
      </w:r>
      <w:r w:rsidRPr="00963EE1">
        <w:rPr>
          <w:lang w:val="en-GB"/>
        </w:rPr>
        <w:t xml:space="preserve"> money back.</w:t>
      </w:r>
    </w:p>
    <w:p w:rsidRPr="00963EE1" w:rsidR="00B01D8D" w:rsidP="00433CC5" w:rsidRDefault="00B01D8D">
      <w:pPr>
        <w:pStyle w:val="ECHRPara"/>
        <w:rPr>
          <w:lang w:val="en-GB"/>
        </w:rPr>
      </w:pPr>
      <w:r w:rsidRPr="00963EE1">
        <w:rPr>
          <w:lang w:val="en-GB"/>
        </w:rPr>
        <w:t>On 20 April 2007 criminal proceedings were instituted against officials of the above entity for financial fraud and the applicant was recognised</w:t>
      </w:r>
      <w:r w:rsidRPr="004B6FE7">
        <w:rPr>
          <w:lang w:val="en-GB"/>
        </w:rPr>
        <w:t xml:space="preserve"> </w:t>
      </w:r>
      <w:r w:rsidRPr="00963EE1">
        <w:rPr>
          <w:lang w:val="en-GB"/>
        </w:rPr>
        <w:t>in June 2007 as an aggrieved party in those proceedings</w:t>
      </w:r>
      <w:r>
        <w:rPr>
          <w:lang w:val="en-GB"/>
        </w:rPr>
        <w:t>, being entitled to claim an</w:t>
      </w:r>
      <w:r w:rsidRPr="00963EE1">
        <w:rPr>
          <w:lang w:val="en-GB"/>
        </w:rPr>
        <w:t xml:space="preserve"> amount of UAH</w:t>
      </w:r>
      <w:r>
        <w:rPr>
          <w:lang w:val="en-GB"/>
        </w:rPr>
        <w:t xml:space="preserve"> </w:t>
      </w:r>
      <w:r w:rsidRPr="00963EE1">
        <w:rPr>
          <w:lang w:val="en-GB"/>
        </w:rPr>
        <w:t xml:space="preserve">55,476.99 (equivalent </w:t>
      </w:r>
      <w:r>
        <w:rPr>
          <w:lang w:val="en-GB"/>
        </w:rPr>
        <w:t>to</w:t>
      </w:r>
      <w:r w:rsidRPr="00963EE1">
        <w:rPr>
          <w:lang w:val="en-GB"/>
        </w:rPr>
        <w:t xml:space="preserve"> EUR 9,124.60).</w:t>
      </w:r>
    </w:p>
    <w:p w:rsidRPr="00963EE1" w:rsidR="00B01D8D" w:rsidP="00433CC5" w:rsidRDefault="00B01D8D">
      <w:pPr>
        <w:pStyle w:val="ECHRPara"/>
        <w:rPr>
          <w:lang w:val="en-GB"/>
        </w:rPr>
      </w:pPr>
      <w:r w:rsidRPr="00963EE1">
        <w:rPr>
          <w:lang w:val="en-GB"/>
        </w:rPr>
        <w:t>On 5 May 2008 the Ternopil Regional Commercial Court declared the Credit Union bankrupt.</w:t>
      </w:r>
    </w:p>
    <w:p w:rsidRPr="00963EE1" w:rsidR="00B01D8D" w:rsidP="00433CC5" w:rsidRDefault="00B01D8D">
      <w:pPr>
        <w:pStyle w:val="ECHRPara"/>
        <w:rPr>
          <w:lang w:val="en-GB"/>
        </w:rPr>
      </w:pPr>
      <w:r w:rsidRPr="00963EE1">
        <w:rPr>
          <w:lang w:val="en-GB"/>
        </w:rPr>
        <w:t>The founder of the Credit Union, Ms L., was placed on the list of wanted persons.</w:t>
      </w:r>
    </w:p>
    <w:p w:rsidRPr="00963EE1" w:rsidR="00B01D8D" w:rsidP="00433CC5" w:rsidRDefault="00B01D8D">
      <w:pPr>
        <w:pStyle w:val="ECHRPara"/>
        <w:rPr>
          <w:lang w:val="en-GB"/>
        </w:rPr>
      </w:pPr>
      <w:r w:rsidRPr="00963EE1">
        <w:rPr>
          <w:lang w:val="en-GB"/>
        </w:rPr>
        <w:t>In February 2008 the applicant lodged a claim with the Zalishchytskyy District Court against the Ministry of Finance and the State Treasury</w:t>
      </w:r>
      <w:r>
        <w:rPr>
          <w:lang w:val="en-GB"/>
        </w:rPr>
        <w:t>,</w:t>
      </w:r>
      <w:r w:rsidRPr="00963EE1">
        <w:rPr>
          <w:lang w:val="en-GB"/>
        </w:rPr>
        <w:t xml:space="preserve"> seeking </w:t>
      </w:r>
      <w:r>
        <w:rPr>
          <w:lang w:val="en-GB"/>
        </w:rPr>
        <w:t xml:space="preserve">to </w:t>
      </w:r>
      <w:r w:rsidRPr="00963EE1">
        <w:rPr>
          <w:lang w:val="en-GB"/>
        </w:rPr>
        <w:t xml:space="preserve">recover </w:t>
      </w:r>
      <w:r>
        <w:rPr>
          <w:lang w:val="en-GB"/>
        </w:rPr>
        <w:t xml:space="preserve">the losses sustained as a result of the crime </w:t>
      </w:r>
      <w:r w:rsidRPr="00963EE1">
        <w:rPr>
          <w:lang w:val="en-GB"/>
        </w:rPr>
        <w:t>u</w:t>
      </w:r>
      <w:r w:rsidR="006D2062">
        <w:rPr>
          <w:lang w:val="en-GB"/>
        </w:rPr>
        <w:t>nder Article </w:t>
      </w:r>
      <w:r w:rsidRPr="00963EE1">
        <w:rPr>
          <w:lang w:val="en-GB"/>
        </w:rPr>
        <w:t>1177 of the Civil Code.</w:t>
      </w:r>
    </w:p>
    <w:p w:rsidRPr="00963EE1" w:rsidR="00B01D8D" w:rsidP="00433CC5" w:rsidRDefault="00B01D8D">
      <w:pPr>
        <w:pStyle w:val="ECHRPara"/>
        <w:rPr>
          <w:lang w:val="en-GB"/>
        </w:rPr>
      </w:pPr>
      <w:r w:rsidRPr="00963EE1">
        <w:rPr>
          <w:lang w:val="en-GB"/>
        </w:rPr>
        <w:t>By decision of 25 March 2008 the court rejected the applicant</w:t>
      </w:r>
      <w:r w:rsidR="00730668">
        <w:rPr>
          <w:lang w:val="en-GB"/>
        </w:rPr>
        <w:t>’</w:t>
      </w:r>
      <w:r w:rsidRPr="00963EE1">
        <w:rPr>
          <w:lang w:val="en-GB"/>
        </w:rPr>
        <w:t xml:space="preserve">s claim on the ground that a special law </w:t>
      </w:r>
      <w:r>
        <w:rPr>
          <w:lang w:val="en-GB"/>
        </w:rPr>
        <w:t>laying down the</w:t>
      </w:r>
      <w:r w:rsidRPr="00963EE1">
        <w:rPr>
          <w:lang w:val="en-GB"/>
        </w:rPr>
        <w:t xml:space="preserve"> conditions and mechanism for enforcing the provisions of Article 1177 of the Civil Code had not </w:t>
      </w:r>
      <w:r>
        <w:rPr>
          <w:lang w:val="en-GB"/>
        </w:rPr>
        <w:t xml:space="preserve">yet </w:t>
      </w:r>
      <w:r w:rsidRPr="00963EE1">
        <w:rPr>
          <w:lang w:val="en-GB"/>
        </w:rPr>
        <w:t xml:space="preserve">been </w:t>
      </w:r>
      <w:r>
        <w:rPr>
          <w:lang w:val="en-GB"/>
        </w:rPr>
        <w:t>enacted</w:t>
      </w:r>
      <w:r w:rsidRPr="00963EE1">
        <w:rPr>
          <w:lang w:val="en-GB"/>
        </w:rPr>
        <w:t xml:space="preserve">. Furthermore, the court noted that the </w:t>
      </w:r>
      <w:r>
        <w:rPr>
          <w:lang w:val="en-GB"/>
        </w:rPr>
        <w:t xml:space="preserve">identity of the </w:t>
      </w:r>
      <w:r w:rsidRPr="00963EE1">
        <w:rPr>
          <w:lang w:val="en-GB"/>
        </w:rPr>
        <w:t xml:space="preserve">person who caused the damage to the applicant </w:t>
      </w:r>
      <w:r>
        <w:rPr>
          <w:lang w:val="en-GB"/>
        </w:rPr>
        <w:t>had been</w:t>
      </w:r>
      <w:r w:rsidRPr="00963EE1">
        <w:rPr>
          <w:lang w:val="en-GB"/>
        </w:rPr>
        <w:t xml:space="preserve"> established but </w:t>
      </w:r>
      <w:r>
        <w:rPr>
          <w:lang w:val="en-GB"/>
        </w:rPr>
        <w:t xml:space="preserve">that </w:t>
      </w:r>
      <w:r w:rsidRPr="00963EE1">
        <w:rPr>
          <w:lang w:val="en-GB"/>
        </w:rPr>
        <w:t>her whereabouts were unknown</w:t>
      </w:r>
      <w:r>
        <w:rPr>
          <w:lang w:val="en-GB"/>
        </w:rPr>
        <w:t>,</w:t>
      </w:r>
      <w:r w:rsidRPr="00963EE1">
        <w:rPr>
          <w:lang w:val="en-GB"/>
        </w:rPr>
        <w:t xml:space="preserve"> and </w:t>
      </w:r>
      <w:r>
        <w:rPr>
          <w:lang w:val="en-GB"/>
        </w:rPr>
        <w:t xml:space="preserve">that </w:t>
      </w:r>
      <w:r w:rsidRPr="00963EE1">
        <w:rPr>
          <w:lang w:val="en-GB"/>
        </w:rPr>
        <w:t>the insolvency of the accused person had not been established.</w:t>
      </w:r>
    </w:p>
    <w:p w:rsidRPr="00963EE1" w:rsidR="00B01D8D" w:rsidP="00433CC5" w:rsidRDefault="00B01D8D">
      <w:pPr>
        <w:pStyle w:val="ECHRPara"/>
        <w:rPr>
          <w:lang w:val="en-GB"/>
        </w:rPr>
      </w:pPr>
      <w:r w:rsidRPr="00963EE1">
        <w:rPr>
          <w:lang w:val="en-GB"/>
        </w:rPr>
        <w:t>On 22 May and 23 July 2008 respectively the Ternopil Regional Court of Appeal and the Supreme Court upheld the decision of the first</w:t>
      </w:r>
      <w:r>
        <w:rPr>
          <w:lang w:val="en-GB"/>
        </w:rPr>
        <w:t>-</w:t>
      </w:r>
      <w:r w:rsidRPr="00963EE1">
        <w:rPr>
          <w:lang w:val="en-GB"/>
        </w:rPr>
        <w:t>instance court.</w:t>
      </w:r>
    </w:p>
    <w:p w:rsidRPr="00963EE1" w:rsidR="00B01D8D" w:rsidP="00433CC5" w:rsidRDefault="00B01D8D">
      <w:pPr>
        <w:pStyle w:val="ECHRHeading2"/>
        <w:rPr>
          <w:lang w:val="en-GB"/>
        </w:rPr>
      </w:pPr>
      <w:r w:rsidRPr="00963EE1">
        <w:rPr>
          <w:lang w:val="en-GB"/>
        </w:rPr>
        <w:t>B.  Relevant domestic law</w:t>
      </w:r>
    </w:p>
    <w:p w:rsidRPr="00963EE1" w:rsidR="00B01D8D" w:rsidP="00433CC5" w:rsidRDefault="00B01D8D">
      <w:pPr>
        <w:pStyle w:val="ECHRHeading3"/>
        <w:rPr>
          <w:lang w:val="en-GB"/>
        </w:rPr>
      </w:pPr>
      <w:r w:rsidRPr="00963EE1">
        <w:rPr>
          <w:lang w:val="en-GB"/>
        </w:rPr>
        <w:t>Civil Code</w:t>
      </w:r>
    </w:p>
    <w:p w:rsidRPr="00963EE1" w:rsidR="00B01D8D" w:rsidP="00433CC5" w:rsidRDefault="00B01D8D">
      <w:pPr>
        <w:pStyle w:val="ECHRPara"/>
        <w:rPr>
          <w:lang w:val="en-GB"/>
        </w:rPr>
      </w:pPr>
      <w:r w:rsidRPr="00433CC5">
        <w:rPr>
          <w:rStyle w:val="JuParaChar"/>
        </w:rPr>
        <w:t>The Civil Code, which came into force in 2004, lays down different obligations as to compensation in respect of damage. Among others, two articles, namely Article 1177, relied on by the applicant in the domestic</w:t>
      </w:r>
      <w:r w:rsidRPr="00963EE1">
        <w:rPr>
          <w:lang w:val="en-GB"/>
        </w:rPr>
        <w:t xml:space="preserve"> proceedings, and Article 1207</w:t>
      </w:r>
      <w:r>
        <w:rPr>
          <w:lang w:val="en-GB"/>
        </w:rPr>
        <w:t>,</w:t>
      </w:r>
      <w:r w:rsidRPr="00963EE1">
        <w:rPr>
          <w:lang w:val="en-GB"/>
        </w:rPr>
        <w:t xml:space="preserve"> provide for the State to compensate </w:t>
      </w:r>
      <w:r>
        <w:rPr>
          <w:lang w:val="en-GB"/>
        </w:rPr>
        <w:t>the</w:t>
      </w:r>
      <w:r w:rsidRPr="00963EE1">
        <w:rPr>
          <w:lang w:val="en-GB"/>
        </w:rPr>
        <w:t xml:space="preserve"> victims of a crime if the offender is not identified or is insolvent. </w:t>
      </w:r>
      <w:r>
        <w:rPr>
          <w:lang w:val="en-GB"/>
        </w:rPr>
        <w:t xml:space="preserve">Article 1177 </w:t>
      </w:r>
      <w:r w:rsidRPr="00963EE1">
        <w:rPr>
          <w:lang w:val="en-GB"/>
        </w:rPr>
        <w:t>provide</w:t>
      </w:r>
      <w:r>
        <w:rPr>
          <w:lang w:val="en-GB"/>
        </w:rPr>
        <w:t>s</w:t>
      </w:r>
      <w:r w:rsidRPr="00963EE1">
        <w:rPr>
          <w:lang w:val="en-GB"/>
        </w:rPr>
        <w:t xml:space="preserve"> as follows:</w:t>
      </w:r>
    </w:p>
    <w:p w:rsidRPr="00963EE1" w:rsidR="00B01D8D" w:rsidP="00433CC5" w:rsidRDefault="00B01D8D">
      <w:pPr>
        <w:pStyle w:val="ECHRTitleCentre3"/>
        <w:rPr>
          <w:lang w:val="en-GB"/>
        </w:rPr>
      </w:pPr>
      <w:r w:rsidRPr="00963EE1">
        <w:rPr>
          <w:lang w:val="en-GB"/>
        </w:rPr>
        <w:t>Article 1177</w:t>
      </w:r>
    </w:p>
    <w:p w:rsidRPr="00963EE1" w:rsidR="00B01D8D" w:rsidP="00433CC5" w:rsidRDefault="00B01D8D">
      <w:pPr>
        <w:pStyle w:val="ECHRTitleCentre3"/>
        <w:rPr>
          <w:lang w:val="en-GB"/>
        </w:rPr>
      </w:pPr>
      <w:r w:rsidRPr="00963EE1">
        <w:rPr>
          <w:lang w:val="en-GB"/>
        </w:rPr>
        <w:t xml:space="preserve">Compensation </w:t>
      </w:r>
      <w:r>
        <w:rPr>
          <w:lang w:val="en-GB"/>
        </w:rPr>
        <w:t>for</w:t>
      </w:r>
      <w:r w:rsidRPr="00963EE1">
        <w:rPr>
          <w:lang w:val="en-GB"/>
        </w:rPr>
        <w:t xml:space="preserve"> pecuniary damage to natural person</w:t>
      </w:r>
      <w:r>
        <w:rPr>
          <w:lang w:val="en-GB"/>
        </w:rPr>
        <w:t>s</w:t>
      </w:r>
      <w:r w:rsidRPr="00963EE1">
        <w:rPr>
          <w:lang w:val="en-GB"/>
        </w:rPr>
        <w:t xml:space="preserve"> </w:t>
      </w:r>
      <w:r>
        <w:rPr>
          <w:lang w:val="en-GB"/>
        </w:rPr>
        <w:t>who</w:t>
      </w:r>
      <w:r w:rsidRPr="00963EE1">
        <w:rPr>
          <w:lang w:val="en-GB"/>
        </w:rPr>
        <w:t xml:space="preserve"> </w:t>
      </w:r>
      <w:r>
        <w:rPr>
          <w:lang w:val="en-GB"/>
        </w:rPr>
        <w:t>were</w:t>
      </w:r>
      <w:r w:rsidRPr="00963EE1">
        <w:rPr>
          <w:lang w:val="en-GB"/>
        </w:rPr>
        <w:t xml:space="preserve"> victim</w:t>
      </w:r>
      <w:r>
        <w:rPr>
          <w:lang w:val="en-GB"/>
        </w:rPr>
        <w:t>s</w:t>
      </w:r>
      <w:r w:rsidRPr="00963EE1">
        <w:rPr>
          <w:lang w:val="en-GB"/>
        </w:rPr>
        <w:t xml:space="preserve"> of a crime</w:t>
      </w:r>
    </w:p>
    <w:p w:rsidRPr="00963EE1" w:rsidR="00B01D8D" w:rsidP="00433CC5" w:rsidRDefault="00B01D8D">
      <w:pPr>
        <w:pStyle w:val="ECHRParaQuote"/>
        <w:rPr>
          <w:lang w:val="en-GB"/>
        </w:rPr>
      </w:pPr>
      <w:r w:rsidRPr="00963EE1">
        <w:rPr>
          <w:lang w:val="en-GB"/>
        </w:rPr>
        <w:t xml:space="preserve">“1.  Pecuniary damage caused to </w:t>
      </w:r>
      <w:r>
        <w:rPr>
          <w:lang w:val="en-GB"/>
        </w:rPr>
        <w:t>the</w:t>
      </w:r>
      <w:r w:rsidRPr="00963EE1">
        <w:rPr>
          <w:lang w:val="en-GB"/>
        </w:rPr>
        <w:t xml:space="preserve"> property of a natural person </w:t>
      </w:r>
      <w:r>
        <w:rPr>
          <w:lang w:val="en-GB"/>
        </w:rPr>
        <w:t>as the result</w:t>
      </w:r>
      <w:r w:rsidRPr="00963EE1">
        <w:rPr>
          <w:lang w:val="en-GB"/>
        </w:rPr>
        <w:t xml:space="preserve"> of a crime shall be compensated </w:t>
      </w:r>
      <w:r>
        <w:rPr>
          <w:lang w:val="en-GB"/>
        </w:rPr>
        <w:t xml:space="preserve">for </w:t>
      </w:r>
      <w:r w:rsidRPr="00963EE1">
        <w:rPr>
          <w:lang w:val="en-GB"/>
        </w:rPr>
        <w:t>by the State if the person who committed the crime is not identified or is insolvent.</w:t>
      </w:r>
    </w:p>
    <w:p w:rsidRPr="00963EE1" w:rsidR="00B01D8D" w:rsidP="00433CC5" w:rsidRDefault="00B01D8D">
      <w:pPr>
        <w:pStyle w:val="ECHRParaQuote"/>
        <w:rPr>
          <w:lang w:val="en-GB"/>
        </w:rPr>
      </w:pPr>
      <w:r w:rsidRPr="00963EE1">
        <w:rPr>
          <w:lang w:val="en-GB"/>
        </w:rPr>
        <w:t>2.  </w:t>
      </w:r>
      <w:r>
        <w:rPr>
          <w:lang w:val="en-GB"/>
        </w:rPr>
        <w:t>The c</w:t>
      </w:r>
      <w:r w:rsidRPr="00963EE1">
        <w:rPr>
          <w:lang w:val="en-GB"/>
        </w:rPr>
        <w:t xml:space="preserve">onditions and procedure </w:t>
      </w:r>
      <w:r>
        <w:rPr>
          <w:lang w:val="en-GB"/>
        </w:rPr>
        <w:t>governing</w:t>
      </w:r>
      <w:r w:rsidRPr="00963EE1">
        <w:rPr>
          <w:lang w:val="en-GB"/>
        </w:rPr>
        <w:t xml:space="preserve"> compensation </w:t>
      </w:r>
      <w:r>
        <w:rPr>
          <w:lang w:val="en-GB"/>
        </w:rPr>
        <w:t>for</w:t>
      </w:r>
      <w:r w:rsidRPr="00963EE1">
        <w:rPr>
          <w:lang w:val="en-GB"/>
        </w:rPr>
        <w:t xml:space="preserve"> pecuniary damage caused to the property of a natural person </w:t>
      </w:r>
      <w:r>
        <w:rPr>
          <w:lang w:val="en-GB"/>
        </w:rPr>
        <w:t>who</w:t>
      </w:r>
      <w:r w:rsidRPr="00963EE1">
        <w:rPr>
          <w:lang w:val="en-GB"/>
        </w:rPr>
        <w:t xml:space="preserve"> was </w:t>
      </w:r>
      <w:r>
        <w:rPr>
          <w:lang w:val="en-GB"/>
        </w:rPr>
        <w:t>the</w:t>
      </w:r>
      <w:r w:rsidRPr="00963EE1">
        <w:rPr>
          <w:lang w:val="en-GB"/>
        </w:rPr>
        <w:t xml:space="preserve"> victim of a crime shall be established by law.”</w:t>
      </w:r>
    </w:p>
    <w:p w:rsidRPr="00963EE1" w:rsidR="00B01D8D" w:rsidP="00433CC5" w:rsidRDefault="00B01D8D">
      <w:pPr>
        <w:pStyle w:val="ECHRTitle1"/>
        <w:rPr>
          <w:lang w:val="en-GB"/>
        </w:rPr>
      </w:pPr>
      <w:r w:rsidRPr="00963EE1">
        <w:rPr>
          <w:lang w:val="en-GB"/>
        </w:rPr>
        <w:t>COMPLAINTS</w:t>
      </w:r>
    </w:p>
    <w:p w:rsidRPr="00963EE1" w:rsidR="00B01D8D" w:rsidP="00433CC5" w:rsidRDefault="00B01D8D">
      <w:pPr>
        <w:pStyle w:val="ECHRPara"/>
        <w:rPr>
          <w:lang w:val="en-GB"/>
        </w:rPr>
      </w:pPr>
      <w:r w:rsidRPr="00963EE1">
        <w:rPr>
          <w:lang w:val="en-GB"/>
        </w:rPr>
        <w:t xml:space="preserve">The applicant complained under Article 13 that the domestic proceedings had been unfair and </w:t>
      </w:r>
      <w:r>
        <w:rPr>
          <w:lang w:val="en-GB"/>
        </w:rPr>
        <w:t xml:space="preserve">that </w:t>
      </w:r>
      <w:r w:rsidRPr="00963EE1">
        <w:rPr>
          <w:lang w:val="en-GB"/>
        </w:rPr>
        <w:t xml:space="preserve">the domestic courts had refused his claim for compensation. He further complained under Article 1 of Protocol No. 1 that he </w:t>
      </w:r>
      <w:r>
        <w:rPr>
          <w:lang w:val="en-GB"/>
        </w:rPr>
        <w:t>had been unable to</w:t>
      </w:r>
      <w:r w:rsidRPr="00963EE1">
        <w:rPr>
          <w:lang w:val="en-GB"/>
        </w:rPr>
        <w:t xml:space="preserve"> receive his money back and that the State had not compensated him for the amount in question.</w:t>
      </w:r>
    </w:p>
    <w:p w:rsidRPr="00963EE1" w:rsidR="00B01D8D" w:rsidP="00433CC5" w:rsidRDefault="00B01D8D">
      <w:pPr>
        <w:pStyle w:val="ECHRTitle1"/>
        <w:rPr>
          <w:lang w:val="en-GB"/>
        </w:rPr>
      </w:pPr>
      <w:r w:rsidRPr="00963EE1">
        <w:rPr>
          <w:lang w:val="en-GB"/>
        </w:rPr>
        <w:t>THE LAW</w:t>
      </w:r>
    </w:p>
    <w:p w:rsidRPr="00963EE1" w:rsidR="00B01D8D" w:rsidP="00433CC5" w:rsidRDefault="00B01D8D">
      <w:pPr>
        <w:pStyle w:val="ECHRPara"/>
        <w:rPr>
          <w:lang w:val="en-GB"/>
        </w:rPr>
      </w:pPr>
      <w:r w:rsidRPr="00963EE1">
        <w:rPr>
          <w:lang w:val="en-GB"/>
        </w:rPr>
        <w:t>1.  The applicant complained that he had not received any compensation for the damage</w:t>
      </w:r>
      <w:r>
        <w:rPr>
          <w:lang w:val="en-GB"/>
        </w:rPr>
        <w:t xml:space="preserve"> sustained</w:t>
      </w:r>
      <w:r w:rsidRPr="00963EE1">
        <w:rPr>
          <w:lang w:val="en-GB"/>
        </w:rPr>
        <w:t xml:space="preserve"> as guaranteed by Article 1177 of the Civil Code. He </w:t>
      </w:r>
      <w:r>
        <w:rPr>
          <w:lang w:val="en-GB"/>
        </w:rPr>
        <w:t>relied on</w:t>
      </w:r>
      <w:r w:rsidRPr="00963EE1">
        <w:rPr>
          <w:lang w:val="en-GB"/>
        </w:rPr>
        <w:t xml:space="preserve"> Article 1 of Protocol No. 1</w:t>
      </w:r>
      <w:r>
        <w:rPr>
          <w:lang w:val="en-GB"/>
        </w:rPr>
        <w:t>,</w:t>
      </w:r>
      <w:r w:rsidRPr="00963EE1">
        <w:rPr>
          <w:lang w:val="en-GB"/>
        </w:rPr>
        <w:t xml:space="preserve"> which read as follows:</w:t>
      </w:r>
    </w:p>
    <w:p w:rsidRPr="00963EE1" w:rsidR="00B01D8D" w:rsidP="00433CC5" w:rsidRDefault="00B01D8D">
      <w:pPr>
        <w:pStyle w:val="ECHRParaQuote"/>
        <w:rPr>
          <w:lang w:val="en-GB"/>
        </w:rPr>
      </w:pPr>
      <w:r w:rsidRPr="00963EE1">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63EE1" w:rsidR="00B01D8D" w:rsidP="00433CC5" w:rsidRDefault="00B01D8D">
      <w:pPr>
        <w:pStyle w:val="ECHRParaQuote"/>
        <w:rPr>
          <w:lang w:val="en-GB"/>
        </w:rPr>
      </w:pPr>
      <w:r w:rsidRPr="00963EE1">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B01D8D" w:rsidP="00433CC5" w:rsidRDefault="00B01D8D">
      <w:pPr>
        <w:pStyle w:val="ECHRPara"/>
        <w:rPr>
          <w:lang w:val="en-GB"/>
        </w:rPr>
      </w:pPr>
      <w:r w:rsidRPr="00963EE1">
        <w:rPr>
          <w:lang w:val="en-GB"/>
        </w:rPr>
        <w:t xml:space="preserve">The Government </w:t>
      </w:r>
      <w:r>
        <w:rPr>
          <w:lang w:val="en-GB"/>
        </w:rPr>
        <w:t xml:space="preserve">maintained that </w:t>
      </w:r>
      <w:r w:rsidRPr="00AF4E0A">
        <w:rPr>
          <w:szCs w:val="24"/>
          <w:lang w:val="en-GB"/>
        </w:rPr>
        <w:t xml:space="preserve">the proprietary interest relied on by the applicant </w:t>
      </w:r>
      <w:r>
        <w:rPr>
          <w:szCs w:val="24"/>
          <w:lang w:val="en-GB"/>
        </w:rPr>
        <w:t>was in the nature of</w:t>
      </w:r>
      <w:r w:rsidRPr="00AF4E0A">
        <w:rPr>
          <w:szCs w:val="24"/>
          <w:lang w:val="en-GB"/>
        </w:rPr>
        <w:t xml:space="preserve"> a claim and </w:t>
      </w:r>
      <w:r>
        <w:rPr>
          <w:szCs w:val="24"/>
          <w:lang w:val="en-GB"/>
        </w:rPr>
        <w:t xml:space="preserve">could </w:t>
      </w:r>
      <w:r w:rsidRPr="00AF4E0A">
        <w:rPr>
          <w:szCs w:val="24"/>
          <w:lang w:val="en-GB"/>
        </w:rPr>
        <w:t>not be characterised as an “existing possession”</w:t>
      </w:r>
      <w:r>
        <w:rPr>
          <w:szCs w:val="24"/>
          <w:lang w:val="en-GB"/>
        </w:rPr>
        <w:t>. Furthermore,</w:t>
      </w:r>
      <w:r>
        <w:rPr>
          <w:lang w:val="en-GB"/>
        </w:rPr>
        <w:t xml:space="preserve"> State compensation for damage</w:t>
      </w:r>
      <w:r w:rsidRPr="00AF4E0A">
        <w:rPr>
          <w:szCs w:val="24"/>
          <w:lang w:val="en-GB"/>
        </w:rPr>
        <w:t xml:space="preserve">, </w:t>
      </w:r>
      <w:r>
        <w:rPr>
          <w:szCs w:val="24"/>
          <w:lang w:val="en-GB"/>
        </w:rPr>
        <w:t xml:space="preserve">as </w:t>
      </w:r>
      <w:r w:rsidRPr="00AF4E0A">
        <w:rPr>
          <w:szCs w:val="24"/>
          <w:lang w:val="en-GB"/>
        </w:rPr>
        <w:t>envisaged by Article 1177</w:t>
      </w:r>
      <w:r w:rsidRPr="00532A6D">
        <w:rPr>
          <w:lang w:val="en-GB"/>
        </w:rPr>
        <w:t xml:space="preserve"> </w:t>
      </w:r>
      <w:r>
        <w:rPr>
          <w:lang w:val="en-GB"/>
        </w:rPr>
        <w:t>of the Civil Code</w:t>
      </w:r>
      <w:r w:rsidRPr="00AF4E0A">
        <w:rPr>
          <w:szCs w:val="24"/>
          <w:lang w:val="en-GB"/>
        </w:rPr>
        <w:t>, c</w:t>
      </w:r>
      <w:r>
        <w:rPr>
          <w:szCs w:val="24"/>
          <w:lang w:val="en-GB"/>
        </w:rPr>
        <w:t>ould</w:t>
      </w:r>
      <w:r w:rsidRPr="00AF4E0A">
        <w:rPr>
          <w:szCs w:val="24"/>
          <w:lang w:val="en-GB"/>
        </w:rPr>
        <w:t xml:space="preserve"> be provided exclusively </w:t>
      </w:r>
      <w:r>
        <w:rPr>
          <w:szCs w:val="24"/>
          <w:lang w:val="en-GB"/>
        </w:rPr>
        <w:t>out of</w:t>
      </w:r>
      <w:r w:rsidRPr="00AF4E0A">
        <w:rPr>
          <w:szCs w:val="24"/>
          <w:lang w:val="en-GB"/>
        </w:rPr>
        <w:t xml:space="preserve"> </w:t>
      </w:r>
      <w:r>
        <w:rPr>
          <w:szCs w:val="24"/>
          <w:lang w:val="en-GB"/>
        </w:rPr>
        <w:t>State funds;</w:t>
      </w:r>
      <w:r w:rsidRPr="00AF4E0A">
        <w:rPr>
          <w:szCs w:val="24"/>
          <w:lang w:val="en-GB"/>
        </w:rPr>
        <w:t xml:space="preserve"> </w:t>
      </w:r>
      <w:r>
        <w:rPr>
          <w:szCs w:val="24"/>
          <w:lang w:val="en-GB"/>
        </w:rPr>
        <w:t>therefore, there was</w:t>
      </w:r>
      <w:r w:rsidRPr="00AF4E0A">
        <w:rPr>
          <w:szCs w:val="24"/>
          <w:lang w:val="en-GB"/>
        </w:rPr>
        <w:t xml:space="preserve"> no question </w:t>
      </w:r>
      <w:r>
        <w:rPr>
          <w:szCs w:val="24"/>
          <w:lang w:val="en-GB"/>
        </w:rPr>
        <w:t>of</w:t>
      </w:r>
      <w:r w:rsidRPr="00AF4E0A">
        <w:rPr>
          <w:szCs w:val="24"/>
          <w:lang w:val="en-GB"/>
        </w:rPr>
        <w:t xml:space="preserve"> the</w:t>
      </w:r>
      <w:r>
        <w:rPr>
          <w:szCs w:val="24"/>
          <w:lang w:val="en-GB"/>
        </w:rPr>
        <w:t xml:space="preserve"> applicant having an</w:t>
      </w:r>
      <w:r w:rsidRPr="00AF4E0A">
        <w:rPr>
          <w:szCs w:val="24"/>
          <w:lang w:val="en-GB"/>
        </w:rPr>
        <w:t xml:space="preserve"> “existing possession”</w:t>
      </w:r>
      <w:r>
        <w:rPr>
          <w:lang w:val="en-GB"/>
        </w:rPr>
        <w:t>.</w:t>
      </w:r>
    </w:p>
    <w:p w:rsidRPr="00963EE1" w:rsidR="00B01D8D" w:rsidP="00433CC5" w:rsidRDefault="00B01D8D">
      <w:pPr>
        <w:pStyle w:val="ECHRPara"/>
        <w:rPr>
          <w:lang w:val="en-GB"/>
        </w:rPr>
      </w:pPr>
      <w:r>
        <w:rPr>
          <w:lang w:val="en-GB"/>
        </w:rPr>
        <w:t xml:space="preserve">The Government also noted that the applicant could not have any “legitimate expectation” of receiving </w:t>
      </w:r>
      <w:r w:rsidRPr="00AF4E0A">
        <w:rPr>
          <w:szCs w:val="24"/>
          <w:lang w:val="en-GB"/>
        </w:rPr>
        <w:t xml:space="preserve">compensation in the course of the </w:t>
      </w:r>
      <w:r>
        <w:rPr>
          <w:szCs w:val="24"/>
          <w:lang w:val="en-GB"/>
        </w:rPr>
        <w:t xml:space="preserve">domestic </w:t>
      </w:r>
      <w:r w:rsidRPr="00AF4E0A">
        <w:rPr>
          <w:szCs w:val="24"/>
          <w:lang w:val="en-GB"/>
        </w:rPr>
        <w:t>proceedings.</w:t>
      </w:r>
      <w:r w:rsidRPr="005C3584">
        <w:rPr>
          <w:szCs w:val="24"/>
          <w:lang w:val="en-GB"/>
        </w:rPr>
        <w:t xml:space="preserve"> </w:t>
      </w:r>
      <w:r>
        <w:rPr>
          <w:szCs w:val="24"/>
          <w:lang w:val="en-GB"/>
        </w:rPr>
        <w:t>They submitted that a</w:t>
      </w:r>
      <w:r w:rsidRPr="00AF4E0A">
        <w:rPr>
          <w:szCs w:val="24"/>
          <w:lang w:val="en-GB"/>
        </w:rPr>
        <w:t xml:space="preserve"> proprietary interest in the nature of a claim </w:t>
      </w:r>
      <w:r>
        <w:rPr>
          <w:szCs w:val="24"/>
          <w:lang w:val="en-GB"/>
        </w:rPr>
        <w:t>could</w:t>
      </w:r>
      <w:r w:rsidRPr="00AF4E0A">
        <w:rPr>
          <w:szCs w:val="24"/>
          <w:lang w:val="en-GB"/>
        </w:rPr>
        <w:t xml:space="preserve"> be regarded as an “asset” only where it </w:t>
      </w:r>
      <w:r>
        <w:rPr>
          <w:szCs w:val="24"/>
          <w:lang w:val="en-GB"/>
        </w:rPr>
        <w:t>had</w:t>
      </w:r>
      <w:r w:rsidRPr="00AF4E0A">
        <w:rPr>
          <w:szCs w:val="24"/>
          <w:lang w:val="en-GB"/>
        </w:rPr>
        <w:t xml:space="preserve"> a sufficient basis in national law</w:t>
      </w:r>
      <w:r>
        <w:rPr>
          <w:szCs w:val="24"/>
          <w:lang w:val="en-GB"/>
        </w:rPr>
        <w:t>. In that con</w:t>
      </w:r>
      <w:r w:rsidR="006D2062">
        <w:rPr>
          <w:szCs w:val="24"/>
          <w:lang w:val="en-GB"/>
        </w:rPr>
        <w:t>nection they noted that Article </w:t>
      </w:r>
      <w:r>
        <w:rPr>
          <w:szCs w:val="24"/>
          <w:lang w:val="en-GB"/>
        </w:rPr>
        <w:t>1177 of the Civil Code laid down several conditions which the applicant had not met, given that the alleged perpetrator had been identified and her insolvency had never been established. They concluded that the applicant</w:t>
      </w:r>
      <w:r w:rsidR="00730668">
        <w:rPr>
          <w:szCs w:val="24"/>
          <w:lang w:val="en-GB"/>
        </w:rPr>
        <w:t>’</w:t>
      </w:r>
      <w:r>
        <w:rPr>
          <w:szCs w:val="24"/>
          <w:lang w:val="en-GB"/>
        </w:rPr>
        <w:t xml:space="preserve">s complaint under </w:t>
      </w:r>
      <w:r w:rsidRPr="00963EE1">
        <w:rPr>
          <w:lang w:val="en-GB"/>
        </w:rPr>
        <w:t>Article 1 of Protocol No. 1</w:t>
      </w:r>
      <w:r>
        <w:rPr>
          <w:lang w:val="en-GB"/>
        </w:rPr>
        <w:t xml:space="preserve"> was incompatible </w:t>
      </w:r>
      <w:r w:rsidRPr="00B429DF">
        <w:rPr>
          <w:i/>
          <w:lang w:val="en-GB"/>
        </w:rPr>
        <w:t>ratione materiae</w:t>
      </w:r>
      <w:r>
        <w:rPr>
          <w:lang w:val="en-GB"/>
        </w:rPr>
        <w:t xml:space="preserve">. They further submitted in the alternative that this complaint was incompatible </w:t>
      </w:r>
      <w:r w:rsidRPr="00B429DF">
        <w:rPr>
          <w:i/>
          <w:lang w:val="en-GB"/>
        </w:rPr>
        <w:t>ratione personae</w:t>
      </w:r>
      <w:r>
        <w:rPr>
          <w:lang w:val="en-GB"/>
        </w:rPr>
        <w:t>, as the applicant</w:t>
      </w:r>
      <w:r w:rsidR="00730668">
        <w:rPr>
          <w:lang w:val="en-GB"/>
        </w:rPr>
        <w:t>’</w:t>
      </w:r>
      <w:r>
        <w:rPr>
          <w:lang w:val="en-GB"/>
        </w:rPr>
        <w:t>s property rights were not involved and therefore he could not claim to be a victim of the alleged violation.</w:t>
      </w:r>
    </w:p>
    <w:p w:rsidRPr="00963EE1" w:rsidR="00B01D8D" w:rsidP="00433CC5" w:rsidRDefault="00B01D8D">
      <w:pPr>
        <w:pStyle w:val="ECHRPara"/>
        <w:rPr>
          <w:lang w:val="en-GB"/>
        </w:rPr>
      </w:pPr>
      <w:r w:rsidRPr="00963EE1">
        <w:rPr>
          <w:lang w:val="en-GB"/>
        </w:rPr>
        <w:t>The applicant made no observations in reply.</w:t>
      </w:r>
    </w:p>
    <w:p w:rsidR="00B01D8D" w:rsidP="00433CC5" w:rsidRDefault="00B01D8D">
      <w:pPr>
        <w:pStyle w:val="ECHRPara"/>
        <w:rPr>
          <w:lang w:val="en-GB"/>
        </w:rPr>
      </w:pPr>
      <w:r>
        <w:rPr>
          <w:lang w:val="en-GB"/>
        </w:rPr>
        <w:t xml:space="preserve">The Court reiterates that </w:t>
      </w:r>
      <w:r w:rsidRPr="00963EE1">
        <w:rPr>
          <w:lang w:val="en-GB"/>
        </w:rPr>
        <w:t xml:space="preserve">Article 1 of Protocol No. 1 protects “possessions”, which can be either “existing possessions” or assets, including claims, in respect of which the applicant can argue that he or she has at least a “legitimate expectation” of obtaining effective enjoyment of a property right. In particular, this provision does not guarantee the right to acquire property (see </w:t>
      </w:r>
      <w:r w:rsidRPr="00963EE1">
        <w:rPr>
          <w:rStyle w:val="ju-005fpara-002cleft-002cfirst-0020line-003a-0020-00200-0020cm--char"/>
          <w:i/>
          <w:iCs/>
          <w:lang w:val="en-GB"/>
        </w:rPr>
        <w:t>J.A. Pye (Oxford) Ltd and J.A. Pye (Oxford) Land Ltd</w:t>
      </w:r>
      <w:r>
        <w:rPr>
          <w:rStyle w:val="ju-005fpara-002cleft-002cfirst-0020line-003a-0020-00200-0020cm--char"/>
          <w:i/>
          <w:iCs/>
          <w:lang w:val="en-GB"/>
        </w:rPr>
        <w:t> </w:t>
      </w:r>
      <w:r w:rsidRPr="00963EE1">
        <w:rPr>
          <w:rStyle w:val="ju-005fpara-002cleft-002cfirst-0020line-003a-0020-00200-0020cm--char"/>
          <w:i/>
          <w:iCs/>
          <w:lang w:val="en-GB"/>
        </w:rPr>
        <w:t>v. the United Kingdom</w:t>
      </w:r>
      <w:r w:rsidRPr="00963EE1">
        <w:rPr>
          <w:lang w:val="en-GB"/>
        </w:rPr>
        <w:t xml:space="preserve"> [GC], no. 44302/02, § 61, ECHR 2007-I</w:t>
      </w:r>
      <w:r>
        <w:rPr>
          <w:lang w:val="en-GB"/>
        </w:rPr>
        <w:t>, and</w:t>
      </w:r>
      <w:r w:rsidRPr="00963EE1">
        <w:rPr>
          <w:lang w:val="en-GB"/>
        </w:rPr>
        <w:t xml:space="preserve"> </w:t>
      </w:r>
      <w:r w:rsidRPr="00963EE1">
        <w:rPr>
          <w:rStyle w:val="ju-005fpara-002cleft-002cfirst-0020line-003a-0020-00200-0020cm--char"/>
          <w:i/>
          <w:iCs/>
          <w:lang w:val="en-GB"/>
        </w:rPr>
        <w:t>Kopecký v. Slovakia</w:t>
      </w:r>
      <w:r w:rsidRPr="00963EE1">
        <w:rPr>
          <w:lang w:val="en-GB"/>
        </w:rPr>
        <w:t xml:space="preserve"> [GC], no. 44912/98, § 35, ECHR 2004-IX). Where a proprietary interest is in the nature of a claim, the person in whom it is vested may be regarded as having a “legitimate expectation” if there is a sufficient basis for the interest in national law, for example where there is settled case-law of the domestic courts confirming its existence (see </w:t>
      </w:r>
      <w:r w:rsidRPr="00963EE1">
        <w:rPr>
          <w:rStyle w:val="ju-005fpara-002cleft-002cfirst-0020line-003a-0020-00200-0020cm--char"/>
          <w:i/>
          <w:iCs/>
          <w:lang w:val="en-GB"/>
        </w:rPr>
        <w:t>Anheuser-Busch Inc. v. Portugal</w:t>
      </w:r>
      <w:r w:rsidRPr="00963EE1">
        <w:rPr>
          <w:lang w:val="en-GB"/>
        </w:rPr>
        <w:t xml:space="preserve"> [GC], no. 73049/01, § 65, ECHR 2007-I</w:t>
      </w:r>
      <w:r>
        <w:rPr>
          <w:lang w:val="en-GB"/>
        </w:rPr>
        <w:t>,</w:t>
      </w:r>
      <w:r w:rsidRPr="00963EE1">
        <w:rPr>
          <w:lang w:val="en-GB"/>
        </w:rPr>
        <w:t xml:space="preserve"> and </w:t>
      </w:r>
      <w:r w:rsidRPr="00963EE1">
        <w:rPr>
          <w:rStyle w:val="ju-005fpara-002cleft-002cfirst-0020line-003a-0020-00200-0020cm--char"/>
          <w:i/>
          <w:iCs/>
          <w:lang w:val="en-GB"/>
        </w:rPr>
        <w:t>Kopecký</w:t>
      </w:r>
      <w:r w:rsidRPr="00963EE1">
        <w:rPr>
          <w:lang w:val="en-GB"/>
        </w:rPr>
        <w:t xml:space="preserve">, cited above, § 52). </w:t>
      </w:r>
      <w:r w:rsidRPr="00963EE1">
        <w:rPr>
          <w:bCs/>
          <w:lang w:val="en-GB"/>
        </w:rPr>
        <w:t>No</w:t>
      </w:r>
      <w:r w:rsidRPr="00963EE1">
        <w:rPr>
          <w:lang w:val="en-GB"/>
        </w:rPr>
        <w:t xml:space="preserve"> </w:t>
      </w:r>
      <w:r w:rsidRPr="00963EE1">
        <w:rPr>
          <w:bCs/>
          <w:lang w:val="en-GB"/>
        </w:rPr>
        <w:t>legitimate</w:t>
      </w:r>
      <w:r w:rsidRPr="00963EE1">
        <w:rPr>
          <w:lang w:val="en-GB"/>
        </w:rPr>
        <w:t xml:space="preserve"> </w:t>
      </w:r>
      <w:r w:rsidRPr="00963EE1">
        <w:rPr>
          <w:bCs/>
          <w:lang w:val="en-GB"/>
        </w:rPr>
        <w:t>expectation</w:t>
      </w:r>
      <w:r w:rsidRPr="00963EE1">
        <w:rPr>
          <w:lang w:val="en-GB"/>
        </w:rPr>
        <w:t xml:space="preserve"> can be said to arise where there is a dispute as to the correct interpretation and application of domestic law and the applicant</w:t>
      </w:r>
      <w:r w:rsidR="00730668">
        <w:rPr>
          <w:lang w:val="en-GB"/>
        </w:rPr>
        <w:t>’</w:t>
      </w:r>
      <w:r w:rsidRPr="00963EE1">
        <w:rPr>
          <w:lang w:val="en-GB"/>
        </w:rPr>
        <w:t>s submissions are subsequently rejected by the national courts (</w:t>
      </w:r>
      <w:r>
        <w:rPr>
          <w:lang w:val="en-GB"/>
        </w:rPr>
        <w:t xml:space="preserve">see </w:t>
      </w:r>
      <w:r w:rsidRPr="00963EE1">
        <w:rPr>
          <w:rStyle w:val="ju-005fpara-002cleft-002cfirst-0020line-003a-0020-00200-0020cm--char"/>
          <w:i/>
          <w:iCs/>
          <w:lang w:val="en-GB"/>
        </w:rPr>
        <w:t>Kopecký</w:t>
      </w:r>
      <w:r w:rsidRPr="00963EE1">
        <w:rPr>
          <w:lang w:val="en-GB"/>
        </w:rPr>
        <w:t>, cited above, § 50</w:t>
      </w:r>
      <w:r>
        <w:rPr>
          <w:lang w:val="en-GB"/>
        </w:rPr>
        <w:t>)</w:t>
      </w:r>
      <w:r w:rsidRPr="00963EE1">
        <w:rPr>
          <w:lang w:val="en-GB"/>
        </w:rPr>
        <w:t>.</w:t>
      </w:r>
    </w:p>
    <w:p w:rsidR="00B01D8D" w:rsidP="00433CC5" w:rsidRDefault="00B01D8D">
      <w:pPr>
        <w:pStyle w:val="ECHRPara"/>
        <w:rPr>
          <w:lang w:val="en-GB"/>
        </w:rPr>
      </w:pPr>
      <w:r w:rsidRPr="00D04A1F">
        <w:rPr>
          <w:rFonts w:asciiTheme="majorHAnsi" w:hAnsiTheme="majorHAnsi" w:cstheme="majorHAnsi"/>
        </w:rPr>
        <w:t xml:space="preserve">Further, in order to create </w:t>
      </w:r>
      <w:r>
        <w:rPr>
          <w:rFonts w:asciiTheme="majorHAnsi" w:hAnsiTheme="majorHAnsi" w:cstheme="majorHAnsi"/>
        </w:rPr>
        <w:t xml:space="preserve">a </w:t>
      </w:r>
      <w:r w:rsidRPr="00D04A1F">
        <w:rPr>
          <w:rFonts w:asciiTheme="majorHAnsi" w:hAnsiTheme="majorHAnsi" w:cstheme="majorHAnsi"/>
        </w:rPr>
        <w:t xml:space="preserve">legitimate expectation, the legal provision relied upon must determine the necessary rules for a claim. If </w:t>
      </w:r>
      <w:r>
        <w:rPr>
          <w:rFonts w:asciiTheme="majorHAnsi" w:hAnsiTheme="majorHAnsi" w:cstheme="majorHAnsi"/>
        </w:rPr>
        <w:t xml:space="preserve">the </w:t>
      </w:r>
      <w:r w:rsidRPr="00D04A1F">
        <w:rPr>
          <w:rFonts w:asciiTheme="majorHAnsi" w:hAnsiTheme="majorHAnsi" w:cstheme="majorHAnsi"/>
        </w:rPr>
        <w:t>legal conditions to be met and</w:t>
      </w:r>
      <w:r>
        <w:rPr>
          <w:rFonts w:asciiTheme="majorHAnsi" w:hAnsiTheme="majorHAnsi" w:cstheme="majorHAnsi"/>
        </w:rPr>
        <w:t xml:space="preserve"> the</w:t>
      </w:r>
      <w:r w:rsidRPr="00D04A1F">
        <w:rPr>
          <w:rFonts w:asciiTheme="majorHAnsi" w:hAnsiTheme="majorHAnsi" w:cstheme="majorHAnsi"/>
        </w:rPr>
        <w:t xml:space="preserve"> other parameters of a claim are not clearly defined, the legal provision in question cannot be said to serve as a basis for </w:t>
      </w:r>
      <w:r>
        <w:rPr>
          <w:rFonts w:asciiTheme="majorHAnsi" w:hAnsiTheme="majorHAnsi" w:cstheme="majorHAnsi"/>
        </w:rPr>
        <w:t xml:space="preserve">a </w:t>
      </w:r>
      <w:r w:rsidRPr="00D04A1F">
        <w:rPr>
          <w:rFonts w:asciiTheme="majorHAnsi" w:hAnsiTheme="majorHAnsi" w:cstheme="majorHAnsi"/>
        </w:rPr>
        <w:t xml:space="preserve">legitimate expectation (see </w:t>
      </w:r>
      <w:r w:rsidRPr="00D04A1F">
        <w:rPr>
          <w:rFonts w:asciiTheme="majorHAnsi" w:hAnsiTheme="majorHAnsi" w:cstheme="majorHAnsi"/>
          <w:i/>
          <w:iCs/>
        </w:rPr>
        <w:t>Klaus and Iouri Kiladz</w:t>
      </w:r>
      <w:r>
        <w:rPr>
          <w:rFonts w:asciiTheme="majorHAnsi" w:hAnsiTheme="majorHAnsi" w:cstheme="majorHAnsi"/>
          <w:i/>
          <w:iCs/>
        </w:rPr>
        <w:t>e</w:t>
      </w:r>
      <w:r w:rsidRPr="00D04A1F">
        <w:rPr>
          <w:rFonts w:asciiTheme="majorHAnsi" w:hAnsiTheme="majorHAnsi" w:cstheme="majorHAnsi"/>
          <w:i/>
          <w:iCs/>
        </w:rPr>
        <w:t xml:space="preserve"> v. Georgia</w:t>
      </w:r>
      <w:r w:rsidR="006D2062">
        <w:rPr>
          <w:rFonts w:asciiTheme="majorHAnsi" w:hAnsiTheme="majorHAnsi" w:cstheme="majorHAnsi"/>
        </w:rPr>
        <w:t>, no. </w:t>
      </w:r>
      <w:r w:rsidRPr="00D04A1F">
        <w:rPr>
          <w:rFonts w:asciiTheme="majorHAnsi" w:hAnsiTheme="majorHAnsi" w:cstheme="majorHAnsi"/>
        </w:rPr>
        <w:t xml:space="preserve">7975/06, </w:t>
      </w:r>
      <w:r w:rsidRPr="00D04A1F">
        <w:rPr>
          <w:rFonts w:asciiTheme="majorHAnsi" w:hAnsiTheme="majorHAnsi" w:cstheme="majorHAnsi"/>
          <w:snapToGrid w:val="0"/>
        </w:rPr>
        <w:t>§§ 58-60, 2 February 2010</w:t>
      </w:r>
      <w:r w:rsidRPr="00D04A1F">
        <w:rPr>
          <w:rFonts w:asciiTheme="majorHAnsi" w:hAnsiTheme="majorHAnsi" w:cstheme="majorHAnsi"/>
        </w:rPr>
        <w:t xml:space="preserve">). </w:t>
      </w:r>
      <w:r w:rsidRPr="00D04A1F">
        <w:rPr>
          <w:lang w:val="en-GB"/>
        </w:rPr>
        <w:t xml:space="preserve">At the </w:t>
      </w:r>
      <w:r>
        <w:rPr>
          <w:lang w:val="en-GB"/>
        </w:rPr>
        <w:t>same time, in a situation where the lack of a procedure governing the payment of compensation was the only obstacle to a person</w:t>
      </w:r>
      <w:r w:rsidR="00730668">
        <w:rPr>
          <w:lang w:val="en-GB"/>
        </w:rPr>
        <w:t>’</w:t>
      </w:r>
      <w:r>
        <w:rPr>
          <w:lang w:val="en-GB"/>
        </w:rPr>
        <w:t xml:space="preserve">s otherwise clear entitlement to a particular type of compensation under the law, the Court considered that such person could be said to have </w:t>
      </w:r>
      <w:r w:rsidRPr="005C6D25">
        <w:rPr>
          <w:rFonts w:ascii="Times New Roman" w:hAnsi="Times New Roman" w:cs="Times New Roman"/>
          <w:szCs w:val="24"/>
        </w:rPr>
        <w:t xml:space="preserve">a claim sufficiently established to be enforceable and could validly claim </w:t>
      </w:r>
      <w:r>
        <w:rPr>
          <w:rFonts w:ascii="Times New Roman" w:hAnsi="Times New Roman" w:cs="Times New Roman"/>
          <w:szCs w:val="24"/>
        </w:rPr>
        <w:t xml:space="preserve">its </w:t>
      </w:r>
      <w:r w:rsidRPr="005C6D25">
        <w:rPr>
          <w:rFonts w:ascii="Times New Roman" w:hAnsi="Times New Roman" w:cs="Times New Roman"/>
          <w:szCs w:val="24"/>
        </w:rPr>
        <w:t xml:space="preserve">recovery against the </w:t>
      </w:r>
      <w:r>
        <w:rPr>
          <w:rFonts w:ascii="Times New Roman" w:hAnsi="Times New Roman" w:cs="Times New Roman"/>
          <w:szCs w:val="24"/>
        </w:rPr>
        <w:t>S</w:t>
      </w:r>
      <w:r w:rsidRPr="005C6D25">
        <w:rPr>
          <w:rFonts w:ascii="Times New Roman" w:hAnsi="Times New Roman" w:cs="Times New Roman"/>
          <w:szCs w:val="24"/>
        </w:rPr>
        <w:t>tate</w:t>
      </w:r>
      <w:r>
        <w:rPr>
          <w:rFonts w:ascii="Times New Roman" w:hAnsi="Times New Roman" w:cs="Times New Roman"/>
          <w:szCs w:val="24"/>
        </w:rPr>
        <w:t xml:space="preserve"> (ibid.,</w:t>
      </w:r>
      <w:r w:rsidRPr="00B668D2">
        <w:rPr>
          <w:snapToGrid w:val="0"/>
          <w:lang w:val="en-GB"/>
        </w:rPr>
        <w:t xml:space="preserve"> §§ </w:t>
      </w:r>
      <w:r>
        <w:rPr>
          <w:snapToGrid w:val="0"/>
          <w:lang w:val="en-GB"/>
        </w:rPr>
        <w:t xml:space="preserve">64-68; see also </w:t>
      </w:r>
      <w:r>
        <w:rPr>
          <w:i/>
        </w:rPr>
        <w:t xml:space="preserve">Budchenko </w:t>
      </w:r>
      <w:r w:rsidRPr="00F52465">
        <w:rPr>
          <w:i/>
        </w:rPr>
        <w:t>v. Ukraine,</w:t>
      </w:r>
      <w:r w:rsidRPr="00F52465">
        <w:t xml:space="preserve"> no. 38677/06</w:t>
      </w:r>
      <w:r>
        <w:rPr>
          <w:snapToGrid w:val="0"/>
          <w:color w:val="000000"/>
        </w:rPr>
        <w:t xml:space="preserve">, </w:t>
      </w:r>
      <w:r w:rsidRPr="00B668D2">
        <w:rPr>
          <w:snapToGrid w:val="0"/>
          <w:lang w:val="en-GB"/>
        </w:rPr>
        <w:t>§</w:t>
      </w:r>
      <w:r>
        <w:rPr>
          <w:snapToGrid w:val="0"/>
          <w:color w:val="000000"/>
        </w:rPr>
        <w:t>§ 37-46, 24 April 2014</w:t>
      </w:r>
      <w:r>
        <w:rPr>
          <w:snapToGrid w:val="0"/>
          <w:lang w:val="en-GB"/>
        </w:rPr>
        <w:t>).</w:t>
      </w:r>
    </w:p>
    <w:p w:rsidR="00B01D8D" w:rsidP="00433CC5" w:rsidRDefault="00B01D8D">
      <w:pPr>
        <w:pStyle w:val="ECHRPara"/>
        <w:rPr>
          <w:lang w:val="en-GB"/>
        </w:rPr>
      </w:pPr>
      <w:r>
        <w:rPr>
          <w:lang w:val="en-GB"/>
        </w:rPr>
        <w:t xml:space="preserve">The Court notes that under the Civil Code the issue of State compensation for the victims of crime is provided in such a way that any claim for such compensation is conditional, those conditions being partly set forth in the first paragraph of Article 1177, which contains the words </w:t>
      </w:r>
      <w:r w:rsidRPr="00584CF7">
        <w:rPr>
          <w:lang w:val="en-GB"/>
        </w:rPr>
        <w:t>“if the person who committed the crime is not identified or is insolvent”</w:t>
      </w:r>
      <w:r>
        <w:rPr>
          <w:lang w:val="en-GB"/>
        </w:rPr>
        <w:t xml:space="preserve">. Further conditions are to be established by a separate law which has not been enacted to date. That law should also introduce a procedure for awarding and paying such compensation. It is clearly apparent from these provisions that entitlement to compensation from the State to victims of crime under the above article of the Code was never intended to be unconditional. Furthermore, the domestic courts have confirmed that in the absence of a law setting forth such conditions no right to compensation can arise under Article 1177 taken alone (compare </w:t>
      </w:r>
      <w:r w:rsidRPr="00B668D2">
        <w:rPr>
          <w:i/>
          <w:lang w:val="en-GB"/>
        </w:rPr>
        <w:t>Klaus and Iouri Kiladz</w:t>
      </w:r>
      <w:r>
        <w:rPr>
          <w:i/>
          <w:lang w:val="en-GB"/>
        </w:rPr>
        <w:t>e</w:t>
      </w:r>
      <w:r w:rsidRPr="00B668D2">
        <w:rPr>
          <w:lang w:val="en-GB"/>
        </w:rPr>
        <w:t>,</w:t>
      </w:r>
      <w:r>
        <w:rPr>
          <w:lang w:val="en-GB"/>
        </w:rPr>
        <w:t xml:space="preserve"> cited above, </w:t>
      </w:r>
      <w:r w:rsidRPr="00B668D2">
        <w:rPr>
          <w:snapToGrid w:val="0"/>
          <w:lang w:val="en-GB"/>
        </w:rPr>
        <w:t>§§</w:t>
      </w:r>
      <w:r>
        <w:rPr>
          <w:snapToGrid w:val="0"/>
          <w:lang w:val="en-GB"/>
        </w:rPr>
        <w:t xml:space="preserve"> 58-60). In addition to this in the present case, as the domestic courts observed, the conditions set forth in the first paragraph of </w:t>
      </w:r>
      <w:r>
        <w:rPr>
          <w:lang w:val="en-GB"/>
        </w:rPr>
        <w:t>Article 1177 were not met by the applicant either.</w:t>
      </w:r>
    </w:p>
    <w:p w:rsidRPr="00963EE1" w:rsidR="00B01D8D" w:rsidP="00433CC5" w:rsidRDefault="00B01D8D">
      <w:pPr>
        <w:pStyle w:val="ECHRPara"/>
        <w:rPr>
          <w:lang w:val="en-GB"/>
        </w:rPr>
      </w:pPr>
      <w:r w:rsidRPr="00D04A1F">
        <w:rPr>
          <w:rFonts w:asciiTheme="majorHAnsi" w:hAnsiTheme="majorHAnsi" w:cstheme="majorHAnsi"/>
        </w:rPr>
        <w:t xml:space="preserve">As the applicant did not have a sufficiently established </w:t>
      </w:r>
      <w:r>
        <w:rPr>
          <w:rFonts w:asciiTheme="majorHAnsi" w:hAnsiTheme="majorHAnsi" w:cstheme="majorHAnsi"/>
        </w:rPr>
        <w:t xml:space="preserve">claim to </w:t>
      </w:r>
      <w:r w:rsidRPr="00D04A1F">
        <w:rPr>
          <w:rFonts w:asciiTheme="majorHAnsi" w:hAnsiTheme="majorHAnsi" w:cstheme="majorHAnsi"/>
        </w:rPr>
        <w:t>compensation for the purposes of Article 1 of Protocol No. 1, he cannot argue that he had</w:t>
      </w:r>
      <w:r>
        <w:rPr>
          <w:rFonts w:asciiTheme="majorHAnsi" w:hAnsiTheme="majorHAnsi" w:cstheme="majorHAnsi"/>
        </w:rPr>
        <w:t xml:space="preserve"> a</w:t>
      </w:r>
      <w:r w:rsidRPr="00D04A1F">
        <w:rPr>
          <w:rFonts w:asciiTheme="majorHAnsi" w:hAnsiTheme="majorHAnsi" w:cstheme="majorHAnsi"/>
        </w:rPr>
        <w:t xml:space="preserve"> “legitimate expectation” </w:t>
      </w:r>
      <w:r>
        <w:rPr>
          <w:rFonts w:asciiTheme="majorHAnsi" w:hAnsiTheme="majorHAnsi" w:cstheme="majorHAnsi"/>
        </w:rPr>
        <w:t>of</w:t>
      </w:r>
      <w:r w:rsidRPr="00D04A1F">
        <w:rPr>
          <w:rFonts w:asciiTheme="majorHAnsi" w:hAnsiTheme="majorHAnsi" w:cstheme="majorHAnsi"/>
        </w:rPr>
        <w:t xml:space="preserve"> </w:t>
      </w:r>
      <w:r w:rsidRPr="00D04A1F">
        <w:rPr>
          <w:rStyle w:val="sb8d990e2"/>
          <w:rFonts w:asciiTheme="majorHAnsi" w:hAnsiTheme="majorHAnsi" w:cstheme="majorHAnsi"/>
        </w:rPr>
        <w:t>obtain</w:t>
      </w:r>
      <w:r>
        <w:rPr>
          <w:rStyle w:val="sb8d990e2"/>
          <w:rFonts w:asciiTheme="majorHAnsi" w:hAnsiTheme="majorHAnsi" w:cstheme="majorHAnsi"/>
        </w:rPr>
        <w:t>ing</w:t>
      </w:r>
      <w:r w:rsidRPr="00D04A1F">
        <w:rPr>
          <w:rStyle w:val="sb8d990e2"/>
          <w:rFonts w:asciiTheme="majorHAnsi" w:hAnsiTheme="majorHAnsi" w:cstheme="majorHAnsi"/>
        </w:rPr>
        <w:t xml:space="preserve"> any specific sums</w:t>
      </w:r>
      <w:r w:rsidRPr="00D04A1F">
        <w:rPr>
          <w:rFonts w:asciiTheme="majorHAnsi" w:hAnsiTheme="majorHAnsi" w:cstheme="majorHAnsi"/>
        </w:rPr>
        <w:t>.</w:t>
      </w:r>
      <w:r w:rsidRPr="00D04A1F">
        <w:rPr>
          <w:rFonts w:hint="eastAsia"/>
        </w:rPr>
        <w:t xml:space="preserve"> </w:t>
      </w:r>
      <w:r w:rsidRPr="00C33101">
        <w:t xml:space="preserve">It follows that this complaint is incompatible </w:t>
      </w:r>
      <w:r w:rsidRPr="00C33101">
        <w:rPr>
          <w:i/>
        </w:rPr>
        <w:t>ratione materiae</w:t>
      </w:r>
      <w:r w:rsidRPr="00C33101">
        <w:t xml:space="preserve"> with the provisions of the Convention within the meaning of Article 35 § 3 (a) and must be rejected in accordance with Article 35 § 4.</w:t>
      </w:r>
    </w:p>
    <w:p w:rsidR="00B01D8D" w:rsidP="00433CC5" w:rsidRDefault="00B01D8D">
      <w:pPr>
        <w:pStyle w:val="ECHRPara"/>
        <w:rPr>
          <w:rFonts w:ascii="Times New Roman" w:hAnsi="Times New Roman"/>
          <w:szCs w:val="24"/>
          <w:lang w:eastAsia="en-GB"/>
        </w:rPr>
      </w:pPr>
      <w:r w:rsidRPr="00963EE1">
        <w:rPr>
          <w:lang w:val="en-GB"/>
        </w:rPr>
        <w:t xml:space="preserve">2.  The applicant </w:t>
      </w:r>
      <w:r>
        <w:rPr>
          <w:lang w:val="en-GB"/>
        </w:rPr>
        <w:t>c</w:t>
      </w:r>
      <w:r w:rsidRPr="00963EE1">
        <w:rPr>
          <w:lang w:val="en-GB"/>
        </w:rPr>
        <w:t xml:space="preserve">omplained </w:t>
      </w:r>
      <w:r>
        <w:rPr>
          <w:lang w:val="en-GB"/>
        </w:rPr>
        <w:t xml:space="preserve">under Article 13 of the Convention about the outcome of the domestic proceedings. This complaint, in substance, falls under Article 6 </w:t>
      </w:r>
      <w:r>
        <w:rPr>
          <w:rFonts w:cstheme="minorHAnsi"/>
          <w:lang w:val="en-GB"/>
        </w:rPr>
        <w:t>§</w:t>
      </w:r>
      <w:r>
        <w:rPr>
          <w:lang w:val="en-GB"/>
        </w:rPr>
        <w:t xml:space="preserve"> 1 of the Convention. As regards this complaint the Court notes that</w:t>
      </w:r>
      <w:r w:rsidRPr="00A53F94">
        <w:rPr>
          <w:rFonts w:ascii="Times New Roman" w:hAnsi="Times New Roman"/>
          <w:szCs w:val="24"/>
          <w:lang w:eastAsia="en-GB"/>
        </w:rPr>
        <w:t xml:space="preserve"> it is not </w:t>
      </w:r>
      <w:r>
        <w:rPr>
          <w:rFonts w:ascii="Times New Roman" w:hAnsi="Times New Roman"/>
          <w:szCs w:val="24"/>
          <w:lang w:eastAsia="en-GB"/>
        </w:rPr>
        <w:t xml:space="preserve">its </w:t>
      </w:r>
      <w:r w:rsidRPr="00A53F94">
        <w:rPr>
          <w:rFonts w:ascii="Times New Roman" w:hAnsi="Times New Roman"/>
          <w:szCs w:val="24"/>
          <w:lang w:eastAsia="en-GB"/>
        </w:rPr>
        <w:t xml:space="preserve">task to act as a court of appeal or, as is sometimes stated, as a court of fourth instance, in respect of the decisions taken by </w:t>
      </w:r>
      <w:r>
        <w:rPr>
          <w:rFonts w:ascii="Times New Roman" w:hAnsi="Times New Roman"/>
          <w:szCs w:val="24"/>
          <w:lang w:eastAsia="en-GB"/>
        </w:rPr>
        <w:t xml:space="preserve">the </w:t>
      </w:r>
      <w:r w:rsidRPr="00A53F94">
        <w:rPr>
          <w:rFonts w:ascii="Times New Roman" w:hAnsi="Times New Roman"/>
          <w:szCs w:val="24"/>
          <w:lang w:eastAsia="en-GB"/>
        </w:rPr>
        <w:t xml:space="preserve">domestic courts (see </w:t>
      </w:r>
      <w:r w:rsidRPr="00A53F94">
        <w:rPr>
          <w:rFonts w:ascii="Times New Roman" w:hAnsi="Times New Roman"/>
          <w:i/>
          <w:szCs w:val="24"/>
          <w:lang w:eastAsia="en-GB"/>
        </w:rPr>
        <w:t>Melnychuk v. Ukraine</w:t>
      </w:r>
      <w:r w:rsidRPr="00A53F94">
        <w:rPr>
          <w:rFonts w:ascii="Times New Roman" w:hAnsi="Times New Roman"/>
          <w:szCs w:val="24"/>
          <w:lang w:eastAsia="en-GB"/>
        </w:rPr>
        <w:t xml:space="preserve"> (dec.), no. 28743/03, ECHR</w:t>
      </w:r>
      <w:r w:rsidR="00730668">
        <w:rPr>
          <w:rFonts w:ascii="Times New Roman" w:hAnsi="Times New Roman"/>
          <w:szCs w:val="24"/>
          <w:lang w:eastAsia="en-GB"/>
        </w:rPr>
        <w:t> </w:t>
      </w:r>
      <w:r w:rsidRPr="00A53F94">
        <w:rPr>
          <w:rFonts w:ascii="Times New Roman" w:hAnsi="Times New Roman"/>
          <w:szCs w:val="24"/>
          <w:lang w:eastAsia="en-GB"/>
        </w:rPr>
        <w:t>2005-IX).</w:t>
      </w:r>
    </w:p>
    <w:p w:rsidRPr="00A53F94" w:rsidR="00B01D8D" w:rsidP="00433CC5" w:rsidRDefault="00B01D8D">
      <w:pPr>
        <w:pStyle w:val="ECHRPara"/>
        <w:rPr>
          <w:rFonts w:ascii="Times New Roman" w:hAnsi="Times New Roman"/>
          <w:szCs w:val="24"/>
          <w:lang w:eastAsia="en-GB"/>
        </w:rPr>
      </w:pPr>
      <w:r>
        <w:rPr>
          <w:rFonts w:ascii="Times New Roman" w:hAnsi="Times New Roman"/>
          <w:szCs w:val="24"/>
          <w:lang w:eastAsia="en-GB"/>
        </w:rPr>
        <w:t>I</w:t>
      </w:r>
      <w:r w:rsidRPr="00A53F94">
        <w:rPr>
          <w:rFonts w:ascii="Times New Roman" w:hAnsi="Times New Roman"/>
          <w:szCs w:val="24"/>
          <w:lang w:eastAsia="en-GB"/>
        </w:rPr>
        <w:t>n the light of the material in its possession and in</w:t>
      </w:r>
      <w:r>
        <w:rPr>
          <w:rFonts w:ascii="Times New Roman" w:hAnsi="Times New Roman"/>
          <w:szCs w:val="24"/>
          <w:lang w:eastAsia="en-GB"/>
        </w:rPr>
        <w:t xml:space="preserve"> </w:t>
      </w:r>
      <w:r w:rsidRPr="00A53F94">
        <w:rPr>
          <w:rFonts w:ascii="Times New Roman" w:hAnsi="Times New Roman"/>
          <w:szCs w:val="24"/>
          <w:lang w:eastAsia="en-GB"/>
        </w:rPr>
        <w:t>so</w:t>
      </w:r>
      <w:r>
        <w:rPr>
          <w:rFonts w:ascii="Times New Roman" w:hAnsi="Times New Roman"/>
          <w:szCs w:val="24"/>
          <w:lang w:eastAsia="en-GB"/>
        </w:rPr>
        <w:t xml:space="preserve"> </w:t>
      </w:r>
      <w:r w:rsidRPr="00A53F94">
        <w:rPr>
          <w:rFonts w:ascii="Times New Roman" w:hAnsi="Times New Roman"/>
          <w:szCs w:val="24"/>
          <w:lang w:eastAsia="en-GB"/>
        </w:rPr>
        <w:t>far as the matters complained of are within its competence, the Court finds that these complaints do not disclose any appearance of a violation of the rights and freedoms set out in the Convention or its Protocols.</w:t>
      </w:r>
    </w:p>
    <w:p w:rsidRPr="00A53F94" w:rsidR="00B01D8D" w:rsidP="00433CC5" w:rsidRDefault="00B01D8D">
      <w:pPr>
        <w:pStyle w:val="ECHRPara"/>
        <w:rPr>
          <w:rFonts w:ascii="Times New Roman" w:hAnsi="Times New Roman"/>
          <w:szCs w:val="24"/>
        </w:rPr>
      </w:pPr>
      <w:r w:rsidRPr="00A53F94">
        <w:rPr>
          <w:rFonts w:ascii="Times New Roman" w:hAnsi="Times New Roman"/>
          <w:szCs w:val="24"/>
          <w:lang w:eastAsia="en-GB"/>
        </w:rPr>
        <w:t>It follows that this part of the application must be declared inadmissible as manifestly ill-founded, pursuant to Article 35 §§ 3 (a) and 4 of the Convention.</w:t>
      </w:r>
    </w:p>
    <w:p w:rsidRPr="00D3302A" w:rsidR="00B01D8D" w:rsidP="00433CC5" w:rsidRDefault="00B01D8D">
      <w:pPr>
        <w:pStyle w:val="JuParaLast"/>
        <w:rPr>
          <w:lang w:val="en-GB"/>
        </w:rPr>
      </w:pPr>
      <w:r w:rsidRPr="00D3302A">
        <w:rPr>
          <w:lang w:val="en-GB"/>
        </w:rPr>
        <w:t>For these reasons, the Court, unanimously,</w:t>
      </w:r>
    </w:p>
    <w:p w:rsidRPr="00C72A0D" w:rsidR="00E93FC7" w:rsidP="006D2062" w:rsidRDefault="00B01D8D">
      <w:pPr>
        <w:pStyle w:val="DecList"/>
        <w:rPr>
          <w:lang w:val="en-GB"/>
        </w:rPr>
      </w:pPr>
      <w:r w:rsidRPr="00D3302A">
        <w:rPr>
          <w:i/>
          <w:lang w:val="en-GB"/>
        </w:rPr>
        <w:t>Declares</w:t>
      </w:r>
      <w:r w:rsidRPr="00D3302A">
        <w:rPr>
          <w:lang w:val="en-GB"/>
        </w:rPr>
        <w:t xml:space="preserve"> the application inadmissible.</w:t>
      </w:r>
    </w:p>
    <w:p w:rsidRPr="00206A52" w:rsidR="00206A52" w:rsidP="006D2062" w:rsidRDefault="00E93FC7">
      <w:pPr>
        <w:pStyle w:val="JuSigned"/>
        <w:rPr>
          <w:lang w:val="en-GB"/>
        </w:rPr>
      </w:pPr>
      <w:r w:rsidRPr="00C72A0D">
        <w:rPr>
          <w:lang w:val="en-GB"/>
        </w:rPr>
        <w:tab/>
      </w:r>
      <w:r w:rsidR="00B01D8D">
        <w:rPr>
          <w:lang w:val="en-GB"/>
        </w:rPr>
        <w:t>Claudia</w:t>
      </w:r>
      <w:r w:rsidRPr="00C72A0D" w:rsidR="00B01D8D">
        <w:rPr>
          <w:lang w:val="en-GB"/>
        </w:rPr>
        <w:t xml:space="preserve"> </w:t>
      </w:r>
      <w:r w:rsidR="00B01D8D">
        <w:rPr>
          <w:lang w:val="en-GB"/>
        </w:rPr>
        <w:t>Westerdiek</w:t>
      </w:r>
      <w:r w:rsidRPr="00C72A0D">
        <w:rPr>
          <w:lang w:val="en-GB"/>
        </w:rPr>
        <w:tab/>
      </w:r>
      <w:r w:rsidR="00B01D8D">
        <w:rPr>
          <w:lang w:val="en-GB"/>
        </w:rPr>
        <w:t>Mark</w:t>
      </w:r>
      <w:r w:rsidRPr="00C72A0D" w:rsidR="00B01D8D">
        <w:rPr>
          <w:lang w:val="en-GB"/>
        </w:rPr>
        <w:t xml:space="preserve"> </w:t>
      </w:r>
      <w:r w:rsidR="00B01D8D">
        <w:rPr>
          <w:lang w:val="en-GB"/>
        </w:rPr>
        <w:t>Villiger</w:t>
      </w:r>
      <w:r w:rsidRPr="00C72A0D">
        <w:rPr>
          <w:lang w:val="en-GB"/>
        </w:rPr>
        <w:br/>
      </w:r>
      <w:r w:rsidRPr="00C72A0D">
        <w:rPr>
          <w:lang w:val="en-GB"/>
        </w:rPr>
        <w:tab/>
      </w:r>
      <w:r w:rsidRPr="00C72A0D" w:rsidR="00B01D8D">
        <w:rPr>
          <w:lang w:val="en-GB"/>
        </w:rPr>
        <w:t>Registrar</w:t>
      </w:r>
      <w:r w:rsidRPr="00C72A0D">
        <w:rPr>
          <w:lang w:val="en-GB"/>
        </w:rPr>
        <w:tab/>
        <w:t>President</w:t>
      </w:r>
    </w:p>
    <w:sectPr w:rsidRPr="00206A52" w:rsidR="00206A52" w:rsidSect="0076040F">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D8D" w:rsidRDefault="00B01D8D" w:rsidP="005C4C1E">
      <w:r>
        <w:separator/>
      </w:r>
    </w:p>
  </w:endnote>
  <w:endnote w:type="continuationSeparator" w:id="0">
    <w:p w:rsidR="00B01D8D" w:rsidRDefault="00B01D8D" w:rsidP="005C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8D" w:rsidRPr="00B01D8D" w:rsidRDefault="00B01D8D" w:rsidP="0020718E">
    <w:pPr>
      <w:jc w:val="center"/>
      <w:rPr>
        <w:lang w:val="en-GB"/>
      </w:rPr>
    </w:pPr>
    <w:r>
      <w:rPr>
        <w:noProof/>
        <w:lang w:eastAsia="ja-JP"/>
      </w:rPr>
      <w:drawing>
        <wp:inline distT="0" distB="0" distL="0" distR="0" wp14:anchorId="50522637" wp14:editId="7A90E272">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5C4C1E" w:rsidRDefault="0067305E"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D8D" w:rsidRDefault="00B01D8D" w:rsidP="005C4C1E">
      <w:r>
        <w:separator/>
      </w:r>
    </w:p>
  </w:footnote>
  <w:footnote w:type="continuationSeparator" w:id="0">
    <w:p w:rsidR="00B01D8D" w:rsidRDefault="00B01D8D" w:rsidP="005C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B01D8D"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730668">
      <w:rPr>
        <w:rStyle w:val="PageNumber"/>
        <w:noProof/>
        <w:lang w:val="en-GB"/>
      </w:rPr>
      <w:t>2</w:t>
    </w:r>
    <w:r>
      <w:rPr>
        <w:rStyle w:val="PageNumber"/>
        <w:lang w:val="en-GB"/>
      </w:rPr>
      <w:fldChar w:fldCharType="end"/>
    </w:r>
    <w:r w:rsidR="00C72A0D" w:rsidRPr="0076040F">
      <w:rPr>
        <w:lang w:val="en-GB"/>
      </w:rPr>
      <w:tab/>
    </w:r>
    <w:r>
      <w:rPr>
        <w:lang w:val="en-GB"/>
      </w:rPr>
      <w:t>PETLYOVANYY v. UKRAINE</w:t>
    </w:r>
    <w:r w:rsidR="00C72A0D" w:rsidRPr="0076040F">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6040F" w:rsidRDefault="00C72A0D" w:rsidP="0076040F">
    <w:pPr>
      <w:pStyle w:val="ECHRHeader"/>
      <w:rPr>
        <w:lang w:val="en-GB"/>
      </w:rPr>
    </w:pPr>
    <w:r w:rsidRPr="0076040F">
      <w:rPr>
        <w:lang w:val="en-GB"/>
      </w:rPr>
      <w:tab/>
    </w:r>
    <w:r w:rsidR="00B01D8D">
      <w:rPr>
        <w:lang w:val="en-GB"/>
      </w:rPr>
      <w:t>PETLYOVANYY v. UKRAINE</w:t>
    </w:r>
    <w:r w:rsidRPr="0076040F">
      <w:rPr>
        <w:lang w:val="en-GB"/>
      </w:rPr>
      <w:t xml:space="preserve"> DECISION</w:t>
    </w:r>
    <w:r w:rsidRPr="0076040F">
      <w:rPr>
        <w:lang w:val="en-GB"/>
      </w:rPr>
      <w:tab/>
    </w:r>
    <w:r w:rsidR="00B01D8D">
      <w:rPr>
        <w:rStyle w:val="PageNumber"/>
        <w:lang w:val="en-GB"/>
      </w:rPr>
      <w:fldChar w:fldCharType="begin"/>
    </w:r>
    <w:r w:rsidR="00B01D8D">
      <w:rPr>
        <w:rStyle w:val="PageNumber"/>
        <w:lang w:val="en-GB"/>
      </w:rPr>
      <w:instrText xml:space="preserve"> PAGE </w:instrText>
    </w:r>
    <w:r w:rsidR="00B01D8D">
      <w:rPr>
        <w:rStyle w:val="PageNumber"/>
        <w:lang w:val="en-GB"/>
      </w:rPr>
      <w:fldChar w:fldCharType="separate"/>
    </w:r>
    <w:r w:rsidR="00730668">
      <w:rPr>
        <w:rStyle w:val="PageNumber"/>
        <w:noProof/>
        <w:lang w:val="en-GB"/>
      </w:rPr>
      <w:t>5</w:t>
    </w:r>
    <w:r w:rsidR="00B01D8D">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D8D" w:rsidRPr="00A45145" w:rsidRDefault="00B01D8D" w:rsidP="00A45145">
    <w:pPr>
      <w:jc w:val="center"/>
    </w:pPr>
    <w:r>
      <w:rPr>
        <w:noProof/>
        <w:lang w:eastAsia="ja-JP"/>
      </w:rPr>
      <w:drawing>
        <wp:inline distT="0" distB="0" distL="0" distR="0" wp14:anchorId="2CEFE3DB" wp14:editId="0A05103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5C4C1E" w:rsidRDefault="0067305E"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F7161BC"/>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4"/>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B01D8D"/>
    <w:rsid w:val="001818B5"/>
    <w:rsid w:val="00194C8F"/>
    <w:rsid w:val="00206A52"/>
    <w:rsid w:val="0029715C"/>
    <w:rsid w:val="003D2893"/>
    <w:rsid w:val="003F5BAF"/>
    <w:rsid w:val="005C4C1E"/>
    <w:rsid w:val="00623174"/>
    <w:rsid w:val="006D2062"/>
    <w:rsid w:val="00730668"/>
    <w:rsid w:val="00750F4F"/>
    <w:rsid w:val="0076040F"/>
    <w:rsid w:val="00883450"/>
    <w:rsid w:val="009034B9"/>
    <w:rsid w:val="009A722F"/>
    <w:rsid w:val="00B01D8D"/>
    <w:rsid w:val="00B11A0E"/>
    <w:rsid w:val="00B2397A"/>
    <w:rsid w:val="00B67325"/>
    <w:rsid w:val="00C138D4"/>
    <w:rsid w:val="00C72A0D"/>
    <w:rsid w:val="00DF27F6"/>
    <w:rsid w:val="00E50569"/>
    <w:rsid w:val="00E906BA"/>
    <w:rsid w:val="00E93FC7"/>
    <w:rsid w:val="00ED04C3"/>
    <w:rsid w:val="00F24A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nhideWhenUsed="1" w:qFormat="1"/>
    <w:lsdException w:name="heading 6" w:semiHidden="1" w:uiPriority="9"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Left,First line:  0 cm"/>
    <w:basedOn w:val="Normal"/>
    <w:link w:val="JuParaCh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uiPriority w:val="99"/>
    <w:semiHidden/>
    <w:rsid w:val="00E93FC7"/>
    <w:rPr>
      <w:sz w:val="20"/>
    </w:rPr>
  </w:style>
  <w:style w:type="character" w:customStyle="1" w:styleId="CommentTextChar">
    <w:name w:val="Comment Text Char"/>
    <w:basedOn w:val="DefaultParagraphFont"/>
    <w:link w:val="CommentText"/>
    <w:uiPriority w:val="99"/>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99"/>
    <w:semiHidden/>
    <w:unhideWhenUsed/>
    <w:rsid w:val="00E93FC7"/>
    <w:pPr>
      <w:tabs>
        <w:tab w:val="center" w:pos="4680"/>
        <w:tab w:val="right" w:pos="9360"/>
      </w:tabs>
    </w:pPr>
  </w:style>
  <w:style w:type="character" w:customStyle="1" w:styleId="HeaderChar">
    <w:name w:val="Header Char"/>
    <w:basedOn w:val="DefaultParagraphFont"/>
    <w:link w:val="Header"/>
    <w:uiPriority w:val="99"/>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link w:val="JuH1Char"/>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E93FC7"/>
    <w:pPr>
      <w:spacing w:after="100"/>
    </w:pPr>
  </w:style>
  <w:style w:type="paragraph" w:styleId="TOC2">
    <w:name w:val="toc 2"/>
    <w:basedOn w:val="Normal"/>
    <w:next w:val="Normal"/>
    <w:autoRedefine/>
    <w:uiPriority w:val="39"/>
    <w:semiHidden/>
    <w:unhideWhenUsed/>
    <w:rsid w:val="00E93FC7"/>
    <w:pPr>
      <w:spacing w:after="100"/>
      <w:ind w:left="240"/>
    </w:pPr>
  </w:style>
  <w:style w:type="paragraph" w:styleId="TOC3">
    <w:name w:val="toc 3"/>
    <w:basedOn w:val="Normal"/>
    <w:next w:val="Normal"/>
    <w:autoRedefine/>
    <w:uiPriority w:val="39"/>
    <w:semiHidden/>
    <w:unhideWhenUsed/>
    <w:rsid w:val="00E93FC7"/>
    <w:pPr>
      <w:spacing w:after="100"/>
      <w:ind w:left="480"/>
    </w:pPr>
  </w:style>
  <w:style w:type="paragraph" w:styleId="TOC4">
    <w:name w:val="toc 4"/>
    <w:basedOn w:val="Normal"/>
    <w:next w:val="Normal"/>
    <w:autoRedefine/>
    <w:uiPriority w:val="39"/>
    <w:semiHidden/>
    <w:unhideWhenUsed/>
    <w:rsid w:val="00E93FC7"/>
    <w:pPr>
      <w:spacing w:after="100"/>
      <w:ind w:left="720"/>
    </w:pPr>
  </w:style>
  <w:style w:type="paragraph" w:styleId="TOC5">
    <w:name w:val="toc 5"/>
    <w:basedOn w:val="Normal"/>
    <w:next w:val="Normal"/>
    <w:autoRedefine/>
    <w:uiPriority w:val="39"/>
    <w:semiHidden/>
    <w:unhideWhenUsed/>
    <w:rsid w:val="00E93FC7"/>
    <w:pPr>
      <w:spacing w:after="100"/>
      <w:ind w:left="960"/>
    </w:pPr>
  </w:style>
  <w:style w:type="paragraph" w:styleId="TOC6">
    <w:name w:val="toc 6"/>
    <w:basedOn w:val="Normal"/>
    <w:next w:val="Normal"/>
    <w:autoRedefine/>
    <w:uiPriority w:val="39"/>
    <w:semiHidden/>
    <w:unhideWhenUsed/>
    <w:rsid w:val="00E93FC7"/>
    <w:pPr>
      <w:spacing w:after="100"/>
      <w:ind w:left="1200"/>
    </w:pPr>
  </w:style>
  <w:style w:type="paragraph" w:styleId="TOC7">
    <w:name w:val="toc 7"/>
    <w:basedOn w:val="Normal"/>
    <w:next w:val="Normal"/>
    <w:autoRedefine/>
    <w:uiPriority w:val="39"/>
    <w:semiHidden/>
    <w:unhideWhenUsed/>
    <w:rsid w:val="00E93FC7"/>
    <w:pPr>
      <w:spacing w:after="100"/>
      <w:ind w:left="1440"/>
    </w:p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character" w:customStyle="1" w:styleId="JuParaChar">
    <w:name w:val="Ju_Para Char"/>
    <w:basedOn w:val="DefaultParagraphFont"/>
    <w:link w:val="ECHRPara"/>
    <w:uiPriority w:val="12"/>
    <w:rsid w:val="00B01D8D"/>
    <w:rPr>
      <w:rFonts w:eastAsiaTheme="minorEastAsia"/>
      <w:sz w:val="24"/>
    </w:rPr>
  </w:style>
  <w:style w:type="character" w:customStyle="1" w:styleId="ju-005fpara-002cleft-002cfirst-0020line-003a-0020-00200-0020cm--char">
    <w:name w:val="ju-005fpara-002cleft-002cfirst-0020line-003a-0020-00200-0020cm--char"/>
    <w:basedOn w:val="DefaultParagraphFont"/>
    <w:rsid w:val="00B01D8D"/>
  </w:style>
  <w:style w:type="character" w:customStyle="1" w:styleId="sb8d990e2">
    <w:name w:val="sb8d990e2"/>
    <w:basedOn w:val="DefaultParagraphFont"/>
    <w:rsid w:val="00B01D8D"/>
  </w:style>
  <w:style w:type="character" w:customStyle="1" w:styleId="JuH1Char">
    <w:name w:val="Ju_H_1. Char"/>
    <w:basedOn w:val="DefaultParagraphFont"/>
    <w:link w:val="ECHRHeading3"/>
    <w:rsid w:val="00B01D8D"/>
    <w:rPr>
      <w:rFonts w:asciiTheme="majorHAnsi" w:eastAsiaTheme="majorEastAsia" w:hAnsiTheme="majorHAnsi" w:cstheme="majorBidi"/>
      <w:bCs/>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351930-D776-480E-AD6B-826720FAC764}"/>
</file>

<file path=customXml/itemProps2.xml><?xml version="1.0" encoding="utf-8"?>
<ds:datastoreItem xmlns:ds="http://schemas.openxmlformats.org/officeDocument/2006/customXml" ds:itemID="{C7C5EA12-0ACB-40F7-9625-434C32D7ADD9}"/>
</file>

<file path=customXml/itemProps3.xml><?xml version="1.0" encoding="utf-8"?>
<ds:datastoreItem xmlns:ds="http://schemas.openxmlformats.org/officeDocument/2006/customXml" ds:itemID="{228613D5-A870-4BD5-88A6-A44A4B6F443C}"/>
</file>

<file path=docProps/app.xml><?xml version="1.0" encoding="utf-8"?>
<Properties xmlns="http://schemas.openxmlformats.org/officeDocument/2006/extended-properties" xmlns:vt="http://schemas.openxmlformats.org/officeDocument/2006/docPropsVTypes">
  <Template>Normal.dotm</Template>
  <TotalTime>0</TotalTime>
  <Pages>1</Pages>
  <Words>1578</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2015-03-19T19:11:00Z</dcterms:created>
  <dcterms:modified xsi:type="dcterms:W3CDTF">2015-03-19T19:11:00Z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54904/08</vt:lpwstr>
  </property>
  <property fmtid="{D5CDD505-2E9C-101B-9397-08002B2CF9AE}" pid="4" name="CASEID">
    <vt:lpwstr>539036</vt:lpwstr>
  </property>
  <property fmtid="{D5CDD505-2E9C-101B-9397-08002B2CF9AE}" pid="5" name="OrigTemp">
    <vt:lpwstr>English\Documents\DE01 Decisions and Reports\Reports automation IT ONLY\Decision.dotx</vt:lpwstr>
  </property>
  <property fmtid="{D5CDD505-2E9C-101B-9397-08002B2CF9AE}" pid="6" name="ContentTypeId">
    <vt:lpwstr>0x010100558EB02BDB9E204AB350EDD385B68E10</vt:lpwstr>
  </property>
</Properties>
</file>