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header4.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7F2" w:rsidP="00042867" w:rsidRDefault="004617F2">
      <w:pPr>
        <w:jc w:val="center"/>
        <w:rPr>
          <w:lang w:val="en-GB"/>
        </w:rPr>
      </w:pPr>
      <w:bookmarkStart w:name="_GoBack" w:id="0"/>
      <w:bookmarkEnd w:id="0"/>
    </w:p>
    <w:p w:rsidRPr="00E8512F" w:rsidR="004617F2" w:rsidP="00042867" w:rsidRDefault="004617F2">
      <w:pPr>
        <w:jc w:val="center"/>
        <w:rPr>
          <w:lang w:val="en-GB"/>
        </w:rPr>
      </w:pPr>
    </w:p>
    <w:p w:rsidRPr="00E8512F" w:rsidR="00F71A6A" w:rsidP="00042867" w:rsidRDefault="0030274E">
      <w:pPr>
        <w:jc w:val="center"/>
        <w:rPr>
          <w:lang w:val="en-GB"/>
        </w:rPr>
      </w:pPr>
      <w:r w:rsidRPr="00E8512F">
        <w:rPr>
          <w:lang w:val="en-GB"/>
        </w:rPr>
        <w:t>SECOND SECTION</w:t>
      </w:r>
    </w:p>
    <w:p w:rsidR="00F71A6A" w:rsidP="00042867" w:rsidRDefault="00F71A6A">
      <w:pPr>
        <w:jc w:val="center"/>
        <w:rPr>
          <w:lang w:val="en-GB"/>
        </w:rPr>
      </w:pPr>
    </w:p>
    <w:p w:rsidR="004617F2" w:rsidP="00042867" w:rsidRDefault="004617F2">
      <w:pPr>
        <w:jc w:val="center"/>
        <w:rPr>
          <w:lang w:val="en-GB"/>
        </w:rPr>
      </w:pPr>
    </w:p>
    <w:p w:rsidR="004617F2" w:rsidP="00042867" w:rsidRDefault="004617F2">
      <w:pPr>
        <w:jc w:val="center"/>
        <w:rPr>
          <w:lang w:val="en-GB"/>
        </w:rPr>
      </w:pPr>
    </w:p>
    <w:p w:rsidR="004617F2" w:rsidP="00042867" w:rsidRDefault="004617F2">
      <w:pPr>
        <w:jc w:val="center"/>
        <w:rPr>
          <w:lang w:val="en-GB"/>
        </w:rPr>
      </w:pPr>
    </w:p>
    <w:p w:rsidR="004617F2" w:rsidP="00042867" w:rsidRDefault="004617F2">
      <w:pPr>
        <w:jc w:val="center"/>
        <w:rPr>
          <w:lang w:val="en-GB"/>
        </w:rPr>
      </w:pPr>
    </w:p>
    <w:p w:rsidRPr="00E8512F" w:rsidR="004617F2" w:rsidP="00042867" w:rsidRDefault="004617F2">
      <w:pPr>
        <w:jc w:val="center"/>
        <w:rPr>
          <w:lang w:val="en-GB"/>
        </w:rPr>
      </w:pPr>
    </w:p>
    <w:p w:rsidRPr="00E8512F" w:rsidR="00F71A6A" w:rsidP="00042867" w:rsidRDefault="00F71A6A">
      <w:pPr>
        <w:jc w:val="center"/>
        <w:rPr>
          <w:b/>
          <w:lang w:val="en-GB"/>
        </w:rPr>
      </w:pPr>
      <w:bookmarkStart w:name="To" w:id="1"/>
      <w:r w:rsidRPr="00E8512F">
        <w:rPr>
          <w:b/>
          <w:lang w:val="en-GB"/>
        </w:rPr>
        <w:t xml:space="preserve">CASE OF </w:t>
      </w:r>
      <w:bookmarkEnd w:id="1"/>
      <w:r w:rsidR="005A4E3B">
        <w:rPr>
          <w:b/>
          <w:lang w:val="en-GB"/>
        </w:rPr>
        <w:t xml:space="preserve">MURAT </w:t>
      </w:r>
      <w:r w:rsidRPr="00E8512F" w:rsidR="0030274E">
        <w:rPr>
          <w:b/>
          <w:lang w:val="en-GB"/>
        </w:rPr>
        <w:t>VURAL v. TURKEY</w:t>
      </w:r>
    </w:p>
    <w:p w:rsidRPr="00E8512F" w:rsidR="00F71A6A" w:rsidP="00042867" w:rsidRDefault="00F71A6A">
      <w:pPr>
        <w:jc w:val="center"/>
        <w:rPr>
          <w:lang w:val="en-GB"/>
        </w:rPr>
      </w:pPr>
    </w:p>
    <w:p w:rsidRPr="00E8512F" w:rsidR="00F71A6A" w:rsidP="00042867" w:rsidRDefault="00F71A6A">
      <w:pPr>
        <w:jc w:val="center"/>
        <w:rPr>
          <w:i/>
          <w:lang w:val="en-GB"/>
        </w:rPr>
      </w:pPr>
      <w:r w:rsidRPr="00E8512F">
        <w:rPr>
          <w:i/>
          <w:lang w:val="en-GB"/>
        </w:rPr>
        <w:t>(</w:t>
      </w:r>
      <w:r w:rsidRPr="00E8512F" w:rsidR="0030274E">
        <w:rPr>
          <w:i/>
          <w:lang w:val="en-GB"/>
        </w:rPr>
        <w:t>Application no. 9540/07</w:t>
      </w:r>
      <w:r w:rsidRPr="00E8512F">
        <w:rPr>
          <w:i/>
          <w:lang w:val="en-GB"/>
        </w:rPr>
        <w:t>)</w:t>
      </w:r>
    </w:p>
    <w:p w:rsidRPr="00E8512F" w:rsidR="00F71A6A" w:rsidP="00042867" w:rsidRDefault="00F71A6A">
      <w:pPr>
        <w:jc w:val="center"/>
        <w:rPr>
          <w:lang w:val="en-GB"/>
        </w:rPr>
      </w:pPr>
    </w:p>
    <w:p w:rsidRPr="00E8512F" w:rsidR="00F71A6A" w:rsidP="00042867" w:rsidRDefault="00F71A6A">
      <w:pPr>
        <w:jc w:val="center"/>
        <w:rPr>
          <w:lang w:val="en-GB"/>
        </w:rPr>
      </w:pPr>
    </w:p>
    <w:p w:rsidRPr="00E8512F" w:rsidR="00F71A6A" w:rsidP="00042867" w:rsidRDefault="00F71A6A">
      <w:pPr>
        <w:jc w:val="center"/>
        <w:rPr>
          <w:lang w:val="en-GB"/>
        </w:rPr>
      </w:pPr>
    </w:p>
    <w:p w:rsidRPr="00E8512F" w:rsidR="00F71A6A" w:rsidP="00042867" w:rsidRDefault="00F71A6A">
      <w:pPr>
        <w:jc w:val="center"/>
        <w:rPr>
          <w:lang w:val="en-GB"/>
        </w:rPr>
      </w:pPr>
    </w:p>
    <w:p w:rsidRPr="00E8512F" w:rsidR="00F71A6A" w:rsidP="00276050" w:rsidRDefault="00276050">
      <w:pPr>
        <w:jc w:val="center"/>
        <w:rPr>
          <w:szCs w:val="24"/>
          <w:lang w:val="en-GB"/>
        </w:rPr>
      </w:pPr>
      <w:r>
        <w:rPr>
          <w:szCs w:val="24"/>
          <w:lang w:val="en-GB"/>
        </w:rPr>
        <w:t>JUDGMEN</w:t>
      </w:r>
      <w:r w:rsidR="00AF2057">
        <w:rPr>
          <w:szCs w:val="24"/>
          <w:lang w:val="en-GB"/>
        </w:rPr>
        <w:t>T</w:t>
      </w:r>
    </w:p>
    <w:p w:rsidR="003452F9" w:rsidP="00276050" w:rsidRDefault="003452F9">
      <w:pPr>
        <w:pStyle w:val="JuCase"/>
        <w:ind w:firstLine="0"/>
        <w:jc w:val="center"/>
        <w:rPr>
          <w:b w:val="0"/>
          <w:lang w:val="en-GB"/>
        </w:rPr>
      </w:pPr>
    </w:p>
    <w:p w:rsidRPr="00276050" w:rsidR="00276050" w:rsidP="00276050" w:rsidRDefault="00276050">
      <w:pPr>
        <w:pStyle w:val="JuCase"/>
        <w:ind w:firstLine="0"/>
        <w:jc w:val="center"/>
        <w:rPr>
          <w:b w:val="0"/>
          <w:lang w:val="en-GB"/>
        </w:rPr>
      </w:pPr>
    </w:p>
    <w:p w:rsidR="004617F2" w:rsidP="004617F2" w:rsidRDefault="004617F2">
      <w:pPr>
        <w:pStyle w:val="JuCase"/>
        <w:ind w:firstLine="0"/>
        <w:jc w:val="center"/>
        <w:rPr>
          <w:b w:val="0"/>
          <w:lang w:val="en-GB"/>
        </w:rPr>
      </w:pPr>
    </w:p>
    <w:p w:rsidR="004617F2" w:rsidP="004617F2" w:rsidRDefault="004617F2">
      <w:pPr>
        <w:pStyle w:val="JuCase"/>
        <w:ind w:firstLine="0"/>
        <w:jc w:val="center"/>
        <w:rPr>
          <w:b w:val="0"/>
          <w:lang w:val="en-GB"/>
        </w:rPr>
      </w:pPr>
    </w:p>
    <w:p w:rsidR="004617F2" w:rsidP="004617F2" w:rsidRDefault="004617F2">
      <w:pPr>
        <w:pStyle w:val="JuCase"/>
        <w:ind w:firstLine="0"/>
        <w:jc w:val="center"/>
        <w:rPr>
          <w:b w:val="0"/>
          <w:lang w:val="en-GB"/>
        </w:rPr>
      </w:pPr>
      <w:r>
        <w:rPr>
          <w:b w:val="0"/>
          <w:lang w:val="en-GB"/>
        </w:rPr>
        <w:t>STRASBOURG</w:t>
      </w:r>
    </w:p>
    <w:p w:rsidRPr="00AF2057" w:rsidR="00AF2057" w:rsidP="00AF2057" w:rsidRDefault="00AF2057">
      <w:pPr>
        <w:pStyle w:val="JuCase"/>
        <w:ind w:firstLine="0"/>
        <w:jc w:val="center"/>
        <w:rPr>
          <w:b w:val="0"/>
          <w:lang w:val="en-GB"/>
        </w:rPr>
      </w:pPr>
    </w:p>
    <w:p w:rsidR="004617F2" w:rsidP="004617F2" w:rsidRDefault="004617F2">
      <w:pPr>
        <w:pStyle w:val="JuCase"/>
        <w:ind w:firstLine="0"/>
        <w:jc w:val="center"/>
        <w:rPr>
          <w:b w:val="0"/>
          <w:lang w:val="en-GB"/>
        </w:rPr>
      </w:pPr>
    </w:p>
    <w:p w:rsidRPr="00FD1DE9" w:rsidR="004617F2" w:rsidP="004617F2" w:rsidRDefault="00FD1DE9">
      <w:pPr>
        <w:pStyle w:val="JuCase"/>
        <w:ind w:firstLine="0"/>
        <w:jc w:val="center"/>
        <w:rPr>
          <w:b w:val="0"/>
          <w:lang w:val="tr-TR"/>
        </w:rPr>
      </w:pPr>
      <w:r>
        <w:rPr>
          <w:b w:val="0"/>
          <w:lang w:val="en-GB"/>
        </w:rPr>
        <w:t xml:space="preserve">21 </w:t>
      </w:r>
      <w:r>
        <w:rPr>
          <w:b w:val="0"/>
          <w:lang w:val="tr-TR"/>
        </w:rPr>
        <w:t>October 2014</w:t>
      </w:r>
    </w:p>
    <w:p w:rsidR="004617F2" w:rsidP="004617F2" w:rsidRDefault="004617F2">
      <w:pPr>
        <w:pStyle w:val="JuCase"/>
        <w:ind w:firstLine="0"/>
        <w:jc w:val="center"/>
        <w:rPr>
          <w:b w:val="0"/>
          <w:lang w:val="en-GB"/>
        </w:rPr>
      </w:pPr>
    </w:p>
    <w:p w:rsidR="004617F2" w:rsidP="004617F2" w:rsidRDefault="004617F2">
      <w:pPr>
        <w:pStyle w:val="JuCase"/>
        <w:ind w:firstLine="0"/>
        <w:jc w:val="center"/>
        <w:rPr>
          <w:b w:val="0"/>
          <w:lang w:val="en-GB"/>
        </w:rPr>
      </w:pPr>
    </w:p>
    <w:p w:rsidR="0050610F" w:rsidP="0050610F" w:rsidRDefault="0050610F">
      <w:pPr>
        <w:pStyle w:val="jucase0"/>
        <w:ind w:firstLine="0"/>
        <w:jc w:val="center"/>
        <w:rPr>
          <w:color w:val="FF0000"/>
          <w:sz w:val="28"/>
          <w:szCs w:val="28"/>
          <w:u w:val="single"/>
        </w:rPr>
      </w:pPr>
      <w:r>
        <w:rPr>
          <w:color w:val="FF0000"/>
          <w:sz w:val="28"/>
          <w:szCs w:val="28"/>
          <w:u w:val="single"/>
        </w:rPr>
        <w:t>FINAL</w:t>
      </w:r>
    </w:p>
    <w:p w:rsidR="0050610F" w:rsidP="0050610F" w:rsidRDefault="0050610F">
      <w:pPr>
        <w:pStyle w:val="jupara"/>
        <w:ind w:firstLine="0"/>
        <w:jc w:val="center"/>
        <w:rPr>
          <w:color w:val="FF0000"/>
          <w:sz w:val="28"/>
          <w:szCs w:val="28"/>
        </w:rPr>
      </w:pPr>
    </w:p>
    <w:p w:rsidR="0050610F" w:rsidP="0050610F" w:rsidRDefault="0050610F">
      <w:pPr>
        <w:pStyle w:val="jupara"/>
        <w:ind w:firstLine="0"/>
        <w:jc w:val="center"/>
        <w:rPr>
          <w:color w:val="FF0000"/>
          <w:sz w:val="28"/>
          <w:szCs w:val="28"/>
        </w:rPr>
      </w:pPr>
      <w:r>
        <w:rPr>
          <w:color w:val="FF0000"/>
          <w:sz w:val="28"/>
          <w:szCs w:val="28"/>
        </w:rPr>
        <w:t>21/01/2015</w:t>
      </w:r>
    </w:p>
    <w:p w:rsidR="0050610F" w:rsidP="0050610F" w:rsidRDefault="0050610F">
      <w:pPr>
        <w:pStyle w:val="jupara"/>
        <w:ind w:firstLine="0"/>
        <w:jc w:val="center"/>
      </w:pPr>
    </w:p>
    <w:p w:rsidR="0050610F" w:rsidP="0050610F" w:rsidRDefault="0050610F">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50610F" w:rsidR="00276050" w:rsidP="004737FF" w:rsidRDefault="00276050">
      <w:pPr>
        <w:pStyle w:val="JuCase"/>
        <w:ind w:firstLine="0"/>
        <w:jc w:val="center"/>
        <w:rPr>
          <w:b w:val="0"/>
          <w:i/>
          <w:sz w:val="22"/>
        </w:rPr>
        <w:sectPr w:rsidRPr="0050610F" w:rsidR="00276050" w:rsidSect="00276050">
          <w:headerReference w:type="even" r:id="rId9"/>
          <w:headerReference w:type="default" r:id="rId10"/>
          <w:headerReference w:type="first" r:id="rId11"/>
          <w:footerReference w:type="first" r:id="rId12"/>
          <w:footnotePr>
            <w:numRestart w:val="eachPage"/>
          </w:footnotePr>
          <w:type w:val="continuous"/>
          <w:pgSz w:w="11906" w:h="16838" w:code="9"/>
          <w:pgMar w:top="2274" w:right="2274" w:bottom="2274" w:left="2274" w:header="1701" w:footer="720" w:gutter="0"/>
          <w:cols w:space="720"/>
          <w:titlePg/>
          <w:docGrid w:linePitch="326"/>
        </w:sectPr>
      </w:pPr>
    </w:p>
    <w:p w:rsidRPr="00E8512F" w:rsidR="00B030BE" w:rsidP="00B030BE" w:rsidRDefault="00F71A6A">
      <w:pPr>
        <w:pStyle w:val="JuCase"/>
        <w:rPr>
          <w:b w:val="0"/>
          <w:bCs/>
          <w:lang w:val="en-GB"/>
        </w:rPr>
      </w:pPr>
      <w:r w:rsidRPr="00E8512F">
        <w:rPr>
          <w:lang w:val="en-GB"/>
        </w:rPr>
        <w:lastRenderedPageBreak/>
        <w:t>In the case of</w:t>
      </w:r>
      <w:r w:rsidRPr="00E8512F" w:rsidR="00B030BE">
        <w:rPr>
          <w:lang w:val="en-GB"/>
        </w:rPr>
        <w:t xml:space="preserve"> </w:t>
      </w:r>
      <w:r w:rsidR="004769BC">
        <w:rPr>
          <w:lang w:val="en-GB"/>
        </w:rPr>
        <w:t xml:space="preserve">Murat </w:t>
      </w:r>
      <w:r w:rsidRPr="00E8512F" w:rsidR="0030274E">
        <w:rPr>
          <w:lang w:val="en-GB"/>
        </w:rPr>
        <w:t>Vural v. Turkey</w:t>
      </w:r>
      <w:r w:rsidRPr="00E8512F" w:rsidR="00B030BE">
        <w:rPr>
          <w:lang w:val="en-GB"/>
        </w:rPr>
        <w:t>,</w:t>
      </w:r>
    </w:p>
    <w:p w:rsidRPr="00E8512F" w:rsidR="00730433" w:rsidP="004737FF" w:rsidRDefault="00F71A6A">
      <w:pPr>
        <w:pStyle w:val="ECHRPara"/>
        <w:rPr>
          <w:b/>
          <w:lang w:val="en-GB"/>
        </w:rPr>
      </w:pPr>
      <w:r w:rsidRPr="00E8512F">
        <w:rPr>
          <w:lang w:val="en-GB"/>
        </w:rPr>
        <w:t>The European Court of Human Rights (</w:t>
      </w:r>
      <w:r w:rsidRPr="00E8512F" w:rsidR="0030274E">
        <w:rPr>
          <w:lang w:val="en-GB"/>
        </w:rPr>
        <w:t>Second Section</w:t>
      </w:r>
      <w:r w:rsidRPr="00E8512F">
        <w:rPr>
          <w:lang w:val="en-GB"/>
        </w:rPr>
        <w:t xml:space="preserve">), sitting as a </w:t>
      </w:r>
      <w:r w:rsidRPr="00E8512F" w:rsidR="0030274E">
        <w:rPr>
          <w:lang w:val="en-GB"/>
        </w:rPr>
        <w:t>Chamber</w:t>
      </w:r>
      <w:r w:rsidRPr="00E8512F" w:rsidR="00730433">
        <w:rPr>
          <w:lang w:val="en-GB"/>
        </w:rPr>
        <w:t xml:space="preserve"> composed of:</w:t>
      </w:r>
    </w:p>
    <w:p w:rsidRPr="00E8512F" w:rsidR="00F71A6A" w:rsidP="008824B9" w:rsidRDefault="00FD1DE9">
      <w:pPr>
        <w:pStyle w:val="ECHRDecisionBody"/>
        <w:rPr>
          <w:lang w:val="en-GB"/>
        </w:rPr>
      </w:pPr>
      <w:r w:rsidRPr="0050610F">
        <w:rPr>
          <w:lang w:val="en-GB"/>
        </w:rPr>
        <w:tab/>
        <w:t>Guido Raimondi,</w:t>
      </w:r>
      <w:r w:rsidRPr="0050610F">
        <w:rPr>
          <w:i/>
          <w:lang w:val="en-GB"/>
        </w:rPr>
        <w:t xml:space="preserve"> President,</w:t>
      </w:r>
      <w:r w:rsidRPr="0050610F">
        <w:rPr>
          <w:i/>
          <w:lang w:val="en-GB"/>
        </w:rPr>
        <w:br/>
      </w:r>
      <w:r w:rsidRPr="0050610F">
        <w:rPr>
          <w:lang w:val="en-GB"/>
        </w:rPr>
        <w:tab/>
        <w:t>Işıl Karakaş,</w:t>
      </w:r>
      <w:r w:rsidRPr="0050610F">
        <w:rPr>
          <w:i/>
          <w:lang w:val="en-GB"/>
        </w:rPr>
        <w:br/>
      </w:r>
      <w:r w:rsidRPr="0050610F">
        <w:rPr>
          <w:lang w:val="en-GB"/>
        </w:rPr>
        <w:tab/>
        <w:t>András Sajó,</w:t>
      </w:r>
      <w:r w:rsidRPr="0050610F">
        <w:rPr>
          <w:i/>
          <w:lang w:val="en-GB"/>
        </w:rPr>
        <w:br/>
      </w:r>
      <w:r w:rsidRPr="0050610F">
        <w:rPr>
          <w:lang w:val="en-GB"/>
        </w:rPr>
        <w:tab/>
        <w:t>Nebojša Vučinić,</w:t>
      </w:r>
      <w:r w:rsidRPr="0050610F">
        <w:rPr>
          <w:i/>
          <w:lang w:val="en-GB"/>
        </w:rPr>
        <w:br/>
      </w:r>
      <w:r w:rsidRPr="0050610F">
        <w:rPr>
          <w:lang w:val="en-GB"/>
        </w:rPr>
        <w:tab/>
        <w:t>Egidijus Kūris,</w:t>
      </w:r>
      <w:r w:rsidRPr="0050610F">
        <w:rPr>
          <w:i/>
          <w:lang w:val="en-GB"/>
        </w:rPr>
        <w:br/>
      </w:r>
      <w:r w:rsidRPr="0050610F">
        <w:rPr>
          <w:lang w:val="en-GB"/>
        </w:rPr>
        <w:tab/>
        <w:t>Robert Spano,</w:t>
      </w:r>
      <w:r w:rsidRPr="0050610F">
        <w:rPr>
          <w:i/>
          <w:lang w:val="en-GB"/>
        </w:rPr>
        <w:br/>
      </w:r>
      <w:r w:rsidRPr="0050610F">
        <w:rPr>
          <w:lang w:val="en-GB"/>
        </w:rPr>
        <w:tab/>
        <w:t>Jon Fridrik Kjølbro,</w:t>
      </w:r>
      <w:r w:rsidRPr="0050610F">
        <w:rPr>
          <w:i/>
          <w:lang w:val="en-GB"/>
        </w:rPr>
        <w:t xml:space="preserve"> judges,</w:t>
      </w:r>
      <w:r w:rsidRPr="0050610F">
        <w:rPr>
          <w:i/>
          <w:lang w:val="en-GB"/>
        </w:rPr>
        <w:br/>
      </w:r>
      <w:r w:rsidRPr="00E8512F" w:rsidR="00F71A6A">
        <w:rPr>
          <w:lang w:val="en-GB"/>
        </w:rPr>
        <w:t>and</w:t>
      </w:r>
      <w:r w:rsidRPr="00E8512F" w:rsidR="000726F6">
        <w:rPr>
          <w:lang w:val="en-GB"/>
        </w:rPr>
        <w:t xml:space="preserve"> </w:t>
      </w:r>
      <w:r w:rsidRPr="00E8512F" w:rsidR="0030274E">
        <w:rPr>
          <w:lang w:val="en-GB"/>
        </w:rPr>
        <w:t>Stanley Naismith</w:t>
      </w:r>
      <w:r w:rsidRPr="00E8512F" w:rsidR="009D4B87">
        <w:rPr>
          <w:rStyle w:val="JuJudgesChar"/>
          <w:lang w:val="en-GB"/>
        </w:rPr>
        <w:t xml:space="preserve">, </w:t>
      </w:r>
      <w:r w:rsidRPr="00E8512F" w:rsidR="0030274E">
        <w:rPr>
          <w:i/>
          <w:lang w:val="en-GB"/>
        </w:rPr>
        <w:t xml:space="preserve">Section </w:t>
      </w:r>
      <w:r w:rsidRPr="00E8512F" w:rsidR="0030274E">
        <w:rPr>
          <w:i/>
          <w:iCs/>
          <w:lang w:val="en-GB"/>
        </w:rPr>
        <w:t>Registrar</w:t>
      </w:r>
      <w:r w:rsidRPr="00E8512F" w:rsidR="00F71A6A">
        <w:rPr>
          <w:i/>
          <w:lang w:val="en-GB"/>
        </w:rPr>
        <w:t>,</w:t>
      </w:r>
    </w:p>
    <w:p w:rsidRPr="00E8512F" w:rsidR="00F71A6A" w:rsidP="002F4BCF" w:rsidRDefault="00F71A6A">
      <w:pPr>
        <w:pStyle w:val="ECHRPara"/>
        <w:rPr>
          <w:lang w:val="en-GB"/>
        </w:rPr>
      </w:pPr>
      <w:r w:rsidRPr="00E8512F">
        <w:rPr>
          <w:lang w:val="en-GB"/>
        </w:rPr>
        <w:t xml:space="preserve">Having deliberated in private on </w:t>
      </w:r>
      <w:r w:rsidR="00FD1DE9">
        <w:rPr>
          <w:lang w:val="en-GB"/>
        </w:rPr>
        <w:t>16 September 2014</w:t>
      </w:r>
      <w:r w:rsidRPr="00E8512F">
        <w:rPr>
          <w:lang w:val="en-GB"/>
        </w:rPr>
        <w:t>,</w:t>
      </w:r>
    </w:p>
    <w:p w:rsidRPr="00E8512F" w:rsidR="00F71A6A" w:rsidP="002F4BCF" w:rsidRDefault="00F71A6A">
      <w:pPr>
        <w:pStyle w:val="ECHRPara"/>
        <w:rPr>
          <w:lang w:val="en-GB"/>
        </w:rPr>
      </w:pPr>
      <w:r w:rsidRPr="00E8512F">
        <w:rPr>
          <w:lang w:val="en-GB"/>
        </w:rPr>
        <w:t>Delivers the following judgment, which was adopted on that date:</w:t>
      </w:r>
    </w:p>
    <w:p w:rsidRPr="00E8512F" w:rsidR="00F71A6A" w:rsidP="008824B9" w:rsidRDefault="00F71A6A">
      <w:pPr>
        <w:pStyle w:val="ECHRTitle1"/>
        <w:rPr>
          <w:lang w:val="en-GB"/>
        </w:rPr>
      </w:pPr>
      <w:r w:rsidRPr="00E8512F">
        <w:rPr>
          <w:lang w:val="en-GB"/>
        </w:rPr>
        <w:t>PROCEDURE</w:t>
      </w:r>
    </w:p>
    <w:p w:rsidRPr="00E8512F" w:rsidR="00F71A6A" w:rsidP="00893782" w:rsidRDefault="0030274E">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w:t>
      </w:r>
      <w:r w:rsidRPr="00E8512F">
        <w:rPr>
          <w:lang w:val="en-GB"/>
        </w:rPr>
        <w:fldChar w:fldCharType="end"/>
      </w:r>
      <w:r w:rsidR="004737FF">
        <w:rPr>
          <w:lang w:val="en-GB"/>
        </w:rPr>
        <w:t>.  </w:t>
      </w:r>
      <w:r w:rsidRPr="00E8512F" w:rsidR="00F71A6A">
        <w:rPr>
          <w:lang w:val="en-GB"/>
        </w:rPr>
        <w:t xml:space="preserve">The case originated in </w:t>
      </w:r>
      <w:r w:rsidRPr="00E8512F">
        <w:rPr>
          <w:lang w:val="en-GB"/>
        </w:rPr>
        <w:t>an application (no. 9540/07)</w:t>
      </w:r>
      <w:r w:rsidRPr="00E8512F" w:rsidR="00F71A6A">
        <w:rPr>
          <w:lang w:val="en-GB"/>
        </w:rPr>
        <w:t xml:space="preserve"> against </w:t>
      </w:r>
      <w:r w:rsidRPr="00E8512F">
        <w:rPr>
          <w:lang w:val="en-GB"/>
        </w:rPr>
        <w:t>the Republic of Turkey</w:t>
      </w:r>
      <w:r w:rsidRPr="00E8512F" w:rsidR="00F71A6A">
        <w:rPr>
          <w:lang w:val="en-GB"/>
        </w:rPr>
        <w:t xml:space="preserve"> lodged with the </w:t>
      </w:r>
      <w:r w:rsidRPr="00E8512F">
        <w:rPr>
          <w:lang w:val="en-GB"/>
        </w:rPr>
        <w:t>Court under Article 34</w:t>
      </w:r>
      <w:r w:rsidRPr="00E8512F" w:rsidR="004920B1">
        <w:rPr>
          <w:lang w:val="en-GB"/>
        </w:rPr>
        <w:t xml:space="preserve"> of the Convention for the Protection of Human Rights and Fundamental Freedoms (“the Convention”)</w:t>
      </w:r>
      <w:r w:rsidRPr="00E8512F" w:rsidR="00F71A6A">
        <w:rPr>
          <w:lang w:val="en-GB"/>
        </w:rPr>
        <w:t xml:space="preserve"> by </w:t>
      </w:r>
      <w:r w:rsidRPr="00E8512F">
        <w:rPr>
          <w:lang w:val="en-GB"/>
        </w:rPr>
        <w:t>a Turkish</w:t>
      </w:r>
      <w:r w:rsidRPr="00E8512F" w:rsidR="0015731A">
        <w:rPr>
          <w:lang w:val="en-GB"/>
        </w:rPr>
        <w:t xml:space="preserve"> </w:t>
      </w:r>
      <w:r w:rsidRPr="00E8512F">
        <w:rPr>
          <w:lang w:val="en-GB"/>
        </w:rPr>
        <w:t>national, Mr Murat Vural (“the applicant”), on 16 February 2007</w:t>
      </w:r>
      <w:r w:rsidRPr="00E8512F" w:rsidR="00F71A6A">
        <w:rPr>
          <w:lang w:val="en-GB"/>
        </w:rPr>
        <w:t>.</w:t>
      </w:r>
    </w:p>
    <w:p w:rsidRPr="00E8512F" w:rsidR="0015731A" w:rsidP="0015731A" w:rsidRDefault="0030274E">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w:t>
      </w:r>
      <w:r w:rsidRPr="00E8512F">
        <w:rPr>
          <w:lang w:val="en-GB"/>
        </w:rPr>
        <w:fldChar w:fldCharType="end"/>
      </w:r>
      <w:r w:rsidRPr="00E8512F" w:rsidR="00F71A6A">
        <w:rPr>
          <w:lang w:val="en-GB"/>
        </w:rPr>
        <w:t>.  </w:t>
      </w:r>
      <w:r w:rsidRPr="00E8512F" w:rsidR="0015731A">
        <w:rPr>
          <w:lang w:val="en-GB"/>
        </w:rPr>
        <w:t>The applicant was represented by Mr Hacı Ali Özhan, a lawyer practising in Ankara. The Turkish Government (“the Government”) were represented by their Agent.</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w:t>
      </w:r>
      <w:r w:rsidRPr="00E8512F">
        <w:rPr>
          <w:lang w:val="en-GB"/>
        </w:rPr>
        <w:fldChar w:fldCharType="end"/>
      </w:r>
      <w:r w:rsidRPr="00E8512F">
        <w:rPr>
          <w:lang w:val="en-GB"/>
        </w:rPr>
        <w:t xml:space="preserve">.  The applicant alleged, in particular, that his imprisonment on account of having expressed his opinions, and his inability to vote as a convicted prisoner, had been in breach of his rights guaranteed </w:t>
      </w:r>
      <w:r w:rsidR="00F641A4">
        <w:rPr>
          <w:lang w:val="en-GB"/>
        </w:rPr>
        <w:t>by</w:t>
      </w:r>
      <w:r w:rsidRPr="00E8512F" w:rsidR="00F641A4">
        <w:rPr>
          <w:lang w:val="en-GB"/>
        </w:rPr>
        <w:t xml:space="preserve"> </w:t>
      </w:r>
      <w:r w:rsidRPr="00E8512F">
        <w:rPr>
          <w:lang w:val="en-GB"/>
        </w:rPr>
        <w:t>Article 10 of the Convention and Article 3 of Protocol No. 1.</w:t>
      </w:r>
    </w:p>
    <w:p w:rsidRPr="00E8512F" w:rsidR="007E603C" w:rsidP="00865450"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4</w:t>
      </w:r>
      <w:r w:rsidRPr="00E8512F">
        <w:rPr>
          <w:lang w:val="en-GB"/>
        </w:rPr>
        <w:fldChar w:fldCharType="end"/>
      </w:r>
      <w:r w:rsidRPr="00E8512F">
        <w:rPr>
          <w:lang w:val="en-GB"/>
        </w:rPr>
        <w:t>.  </w:t>
      </w:r>
      <w:r w:rsidRPr="00E8512F" w:rsidR="00F71A6A">
        <w:rPr>
          <w:lang w:val="en-GB"/>
        </w:rPr>
        <w:t xml:space="preserve">On </w:t>
      </w:r>
      <w:r w:rsidRPr="00E8512F" w:rsidR="0030274E">
        <w:rPr>
          <w:szCs w:val="24"/>
          <w:lang w:val="en-GB"/>
        </w:rPr>
        <w:t>20 September 2010</w:t>
      </w:r>
      <w:r w:rsidRPr="00E8512F" w:rsidR="00F71A6A">
        <w:rPr>
          <w:lang w:val="en-GB"/>
        </w:rPr>
        <w:t xml:space="preserve"> </w:t>
      </w:r>
      <w:r w:rsidRPr="00E8512F" w:rsidR="0009409F">
        <w:rPr>
          <w:lang w:val="en-GB"/>
        </w:rPr>
        <w:t xml:space="preserve">the </w:t>
      </w:r>
      <w:r w:rsidRPr="00E8512F" w:rsidR="0030274E">
        <w:rPr>
          <w:lang w:val="en-GB"/>
        </w:rPr>
        <w:t>application was</w:t>
      </w:r>
      <w:r w:rsidRPr="00E8512F" w:rsidR="0009409F">
        <w:rPr>
          <w:lang w:val="en-GB"/>
        </w:rPr>
        <w:t xml:space="preserve"> communicated </w:t>
      </w:r>
      <w:r w:rsidRPr="00E8512F" w:rsidR="00F71A6A">
        <w:rPr>
          <w:lang w:val="en-GB"/>
        </w:rPr>
        <w:t>to the Gove</w:t>
      </w:r>
      <w:r w:rsidRPr="00E8512F" w:rsidR="00485A6F">
        <w:rPr>
          <w:lang w:val="en-GB"/>
        </w:rPr>
        <w:t>rnment.</w:t>
      </w:r>
    </w:p>
    <w:p w:rsidRPr="00E8512F" w:rsidR="00F71A6A" w:rsidP="008824B9" w:rsidRDefault="00F71A6A">
      <w:pPr>
        <w:pStyle w:val="ECHRTitle1"/>
        <w:rPr>
          <w:lang w:val="en-GB"/>
        </w:rPr>
      </w:pPr>
      <w:r w:rsidRPr="00E8512F">
        <w:rPr>
          <w:lang w:val="en-GB"/>
        </w:rPr>
        <w:t>THE FACTS</w:t>
      </w:r>
    </w:p>
    <w:p w:rsidRPr="00E8512F" w:rsidR="00D353F4" w:rsidP="008824B9" w:rsidRDefault="007352DD">
      <w:pPr>
        <w:pStyle w:val="ECHRHeading1"/>
        <w:rPr>
          <w:lang w:val="en-GB"/>
        </w:rPr>
      </w:pPr>
      <w:r w:rsidRPr="00E8512F">
        <w:rPr>
          <w:lang w:val="en-GB"/>
        </w:rPr>
        <w:t xml:space="preserve">I.  THE CIRCUMSTANCES OF THE </w:t>
      </w:r>
      <w:r w:rsidRPr="00E8512F" w:rsidR="00D353F4">
        <w:rPr>
          <w:lang w:val="en-GB"/>
        </w:rPr>
        <w:t>CASE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5</w:t>
      </w:r>
      <w:r w:rsidRPr="00E8512F">
        <w:rPr>
          <w:lang w:val="en-GB"/>
        </w:rPr>
        <w:fldChar w:fldCharType="end"/>
      </w:r>
      <w:r w:rsidRPr="00E8512F">
        <w:rPr>
          <w:lang w:val="en-GB"/>
        </w:rPr>
        <w:t>.  The applicant was born in 1975 and lives in Ankara.</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6</w:t>
      </w:r>
      <w:r w:rsidRPr="00E8512F">
        <w:rPr>
          <w:lang w:val="en-GB"/>
        </w:rPr>
        <w:fldChar w:fldCharType="end"/>
      </w:r>
      <w:r w:rsidRPr="00E8512F">
        <w:rPr>
          <w:lang w:val="en-GB"/>
        </w:rPr>
        <w:t>.  The facts of the case, as submitted by the parties and as they appear from the documents submitted by them, may be summarised as follows.</w:t>
      </w:r>
    </w:p>
    <w:p w:rsidRPr="00E8512F" w:rsidR="0015731A" w:rsidP="0015731A" w:rsidRDefault="0015731A">
      <w:pPr>
        <w:pStyle w:val="ECHRPara"/>
        <w:rPr>
          <w:lang w:val="en-GB"/>
        </w:rPr>
      </w:pPr>
      <w:r w:rsidRPr="00E8512F">
        <w:rPr>
          <w:lang w:val="en-GB"/>
        </w:rPr>
        <w:lastRenderedPageBreak/>
        <w:fldChar w:fldCharType="begin"/>
      </w:r>
      <w:r w:rsidRPr="00E8512F">
        <w:rPr>
          <w:lang w:val="en-GB"/>
        </w:rPr>
        <w:instrText xml:space="preserve"> SEQ level0 \*arabic </w:instrText>
      </w:r>
      <w:r w:rsidRPr="00E8512F">
        <w:rPr>
          <w:lang w:val="en-GB"/>
        </w:rPr>
        <w:fldChar w:fldCharType="separate"/>
      </w:r>
      <w:r w:rsidR="005C1550">
        <w:rPr>
          <w:noProof/>
          <w:lang w:val="en-GB"/>
        </w:rPr>
        <w:t>7</w:t>
      </w:r>
      <w:r w:rsidRPr="00E8512F">
        <w:rPr>
          <w:lang w:val="en-GB"/>
        </w:rPr>
        <w:fldChar w:fldCharType="end"/>
      </w:r>
      <w:r w:rsidRPr="00E8512F">
        <w:rPr>
          <w:lang w:val="en-GB"/>
        </w:rPr>
        <w:t>.  In the early hours of 28 April 2005 the applicant went to a primary school in the town of Sincan and poured paint on a statue of Atatürk</w:t>
      </w:r>
      <w:r w:rsidR="00B7067F">
        <w:rPr>
          <w:rStyle w:val="FootnoteReference"/>
          <w:lang w:val="en-GB"/>
        </w:rPr>
        <w:footnoteReference w:id="1"/>
      </w:r>
      <w:r w:rsidRPr="00E8512F">
        <w:rPr>
          <w:lang w:val="en-GB"/>
        </w:rPr>
        <w:t xml:space="preserve"> which was situated in the school</w:t>
      </w:r>
      <w:r w:rsidR="0050610F">
        <w:rPr>
          <w:lang w:val="en-GB"/>
        </w:rPr>
        <w:t>’</w:t>
      </w:r>
      <w:r w:rsidRPr="00E8512F">
        <w:rPr>
          <w:lang w:val="en-GB"/>
        </w:rPr>
        <w:t>s garden. On the evening of the same day, he poured paint on a statue of Atatürk in the garden of another primary school.</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w:t>
      </w:r>
      <w:r w:rsidRPr="00E8512F">
        <w:rPr>
          <w:lang w:val="en-GB"/>
        </w:rPr>
        <w:fldChar w:fldCharType="end"/>
      </w:r>
      <w:r w:rsidRPr="00E8512F">
        <w:rPr>
          <w:lang w:val="en-GB"/>
        </w:rPr>
        <w:t>.  On 6 May 2005 he did the same thing in the same two primary schools.</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9</w:t>
      </w:r>
      <w:r w:rsidRPr="00E8512F">
        <w:rPr>
          <w:lang w:val="en-GB"/>
        </w:rPr>
        <w:fldChar w:fldCharType="end"/>
      </w:r>
      <w:r w:rsidRPr="00E8512F">
        <w:rPr>
          <w:lang w:val="en-GB"/>
        </w:rPr>
        <w:t>.  On 8 July 2005 the applicant poured paint on a statue of Atatürk in Sincan town centre.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10</w:t>
      </w:r>
      <w:r w:rsidRPr="00E8512F">
        <w:rPr>
          <w:lang w:val="en-GB"/>
        </w:rPr>
        <w:fldChar w:fldCharType="end"/>
      </w:r>
      <w:r w:rsidRPr="00E8512F">
        <w:rPr>
          <w:lang w:val="en-GB"/>
        </w:rPr>
        <w:t xml:space="preserve">.  On 12 September 2005 the applicant </w:t>
      </w:r>
      <w:r w:rsidR="00247C30">
        <w:rPr>
          <w:lang w:val="en-GB"/>
        </w:rPr>
        <w:t>went to</w:t>
      </w:r>
      <w:r w:rsidRPr="00E8512F">
        <w:rPr>
          <w:lang w:val="en-GB"/>
        </w:rPr>
        <w:t xml:space="preserve"> the same statue in Sincan town centre equipped with a tin of paint, paint thinner and a ladder. As he was about to open the tin of paint he was arrested by police officers and taken to a police station where he was questioned. </w:t>
      </w:r>
      <w:r w:rsidRPr="00E8512F" w:rsidR="00BD62EF">
        <w:rPr>
          <w:lang w:val="en-GB"/>
        </w:rPr>
        <w:t xml:space="preserve">In a statement taken from him </w:t>
      </w:r>
      <w:r w:rsidR="004E37AE">
        <w:rPr>
          <w:lang w:val="en-GB"/>
        </w:rPr>
        <w:t xml:space="preserve">on </w:t>
      </w:r>
      <w:r w:rsidRPr="00E8512F" w:rsidR="00BD62EF">
        <w:rPr>
          <w:lang w:val="en-GB"/>
        </w:rPr>
        <w:t xml:space="preserve">the same day the </w:t>
      </w:r>
      <w:r w:rsidRPr="00E8512F">
        <w:rPr>
          <w:lang w:val="en-GB"/>
        </w:rPr>
        <w:t xml:space="preserve">applicant </w:t>
      </w:r>
      <w:r w:rsidRPr="00E8512F" w:rsidR="00BD62EF">
        <w:rPr>
          <w:lang w:val="en-GB"/>
        </w:rPr>
        <w:t xml:space="preserve">was reported as having </w:t>
      </w:r>
      <w:r w:rsidRPr="00E8512F">
        <w:rPr>
          <w:lang w:val="en-GB"/>
        </w:rPr>
        <w:t xml:space="preserve">told the police officers that he had carried out </w:t>
      </w:r>
      <w:r w:rsidR="004E37AE">
        <w:rPr>
          <w:lang w:val="en-GB"/>
        </w:rPr>
        <w:t>the</w:t>
      </w:r>
      <w:r w:rsidRPr="00E8512F" w:rsidR="004E37AE">
        <w:rPr>
          <w:lang w:val="en-GB"/>
        </w:rPr>
        <w:t xml:space="preserve"> </w:t>
      </w:r>
      <w:r w:rsidRPr="00E8512F">
        <w:rPr>
          <w:lang w:val="en-GB"/>
        </w:rPr>
        <w:t>above-mentioned actions because he resented Atatürk and had expressed his resentment by pouring paint on the statues.</w:t>
      </w:r>
    </w:p>
    <w:p w:rsidRPr="00E8512F" w:rsidR="0015731A" w:rsidP="0015731A" w:rsidRDefault="0015731A">
      <w:pPr>
        <w:pStyle w:val="ECHRPara"/>
        <w:rPr>
          <w:u w:val="single"/>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11</w:t>
      </w:r>
      <w:r w:rsidRPr="00E8512F">
        <w:rPr>
          <w:lang w:val="en-GB"/>
        </w:rPr>
        <w:fldChar w:fldCharType="end"/>
      </w:r>
      <w:r w:rsidRPr="00E8512F">
        <w:rPr>
          <w:lang w:val="en-GB"/>
        </w:rPr>
        <w:t>.  </w:t>
      </w:r>
      <w:r w:rsidR="004E37AE">
        <w:rPr>
          <w:lang w:val="en-GB"/>
        </w:rPr>
        <w:t>On t</w:t>
      </w:r>
      <w:r w:rsidRPr="00E8512F">
        <w:rPr>
          <w:lang w:val="en-GB"/>
        </w:rPr>
        <w:t>he same day the applicant was brought before a prosecutor and then a judge</w:t>
      </w:r>
      <w:r w:rsidR="004E37AE">
        <w:rPr>
          <w:lang w:val="en-GB"/>
        </w:rPr>
        <w:t>,</w:t>
      </w:r>
      <w:r w:rsidRPr="00E8512F">
        <w:rPr>
          <w:lang w:val="en-GB"/>
        </w:rPr>
        <w:t xml:space="preserve"> who ordered his detention </w:t>
      </w:r>
      <w:r w:rsidR="00247C30">
        <w:rPr>
          <w:lang w:val="en-GB"/>
        </w:rPr>
        <w:t>o</w:t>
      </w:r>
      <w:r w:rsidRPr="00E8512F">
        <w:rPr>
          <w:lang w:val="en-GB"/>
        </w:rPr>
        <w:t xml:space="preserve">n </w:t>
      </w:r>
      <w:r w:rsidR="00247C30">
        <w:rPr>
          <w:lang w:val="en-GB"/>
        </w:rPr>
        <w:t>remand</w:t>
      </w:r>
      <w:r w:rsidRPr="00E8512F">
        <w:rPr>
          <w:lang w:val="en-GB"/>
        </w:rPr>
        <w:t xml:space="preserve"> pending the </w:t>
      </w:r>
      <w:r w:rsidR="004E37AE">
        <w:rPr>
          <w:lang w:val="en-GB"/>
        </w:rPr>
        <w:t>opening</w:t>
      </w:r>
      <w:r w:rsidRPr="00E8512F" w:rsidR="004E37AE">
        <w:rPr>
          <w:lang w:val="en-GB"/>
        </w:rPr>
        <w:t xml:space="preserve"> </w:t>
      </w:r>
      <w:r w:rsidRPr="00E8512F">
        <w:rPr>
          <w:lang w:val="en-GB"/>
        </w:rPr>
        <w:t xml:space="preserve">of criminal proceedings against him. In his statement to the prosecutor the applicant maintained that he had carried out his actions to express his </w:t>
      </w:r>
      <w:r w:rsidR="007D1407">
        <w:rPr>
          <w:lang w:val="en-GB"/>
        </w:rPr>
        <w:t xml:space="preserve">“lack of affection” for </w:t>
      </w:r>
      <w:r w:rsidRPr="00E8512F">
        <w:rPr>
          <w:lang w:val="en-GB"/>
        </w:rPr>
        <w:t>Atatürk.</w:t>
      </w:r>
    </w:p>
    <w:p w:rsidR="00A21D6D"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12</w:t>
      </w:r>
      <w:r w:rsidRPr="00E8512F">
        <w:rPr>
          <w:lang w:val="en-GB"/>
        </w:rPr>
        <w:fldChar w:fldCharType="end"/>
      </w:r>
      <w:r w:rsidRPr="00E8512F">
        <w:rPr>
          <w:lang w:val="en-GB"/>
        </w:rPr>
        <w:t xml:space="preserve">.  In his indictment of 15 September 2005, lodged with the Sincan Criminal Court of First Instance (hereinafter “the trial court”), the Sincan prosecutor charged the applicant with the offence of contravening the Law on Offences Committed </w:t>
      </w:r>
      <w:proofErr w:type="gramStart"/>
      <w:r w:rsidRPr="00E8512F">
        <w:rPr>
          <w:lang w:val="en-GB"/>
        </w:rPr>
        <w:t>Against</w:t>
      </w:r>
      <w:proofErr w:type="gramEnd"/>
      <w:r w:rsidRPr="00E8512F">
        <w:rPr>
          <w:lang w:val="en-GB"/>
        </w:rPr>
        <w:t xml:space="preserve"> Atatürk (Law </w:t>
      </w:r>
      <w:r w:rsidR="00064899">
        <w:rPr>
          <w:lang w:val="en-GB"/>
        </w:rPr>
        <w:t>n</w:t>
      </w:r>
      <w:r w:rsidRPr="00E8512F" w:rsidR="00064899">
        <w:rPr>
          <w:lang w:val="en-GB"/>
        </w:rPr>
        <w:t>o</w:t>
      </w:r>
      <w:r w:rsidRPr="00E8512F">
        <w:rPr>
          <w:lang w:val="en-GB"/>
        </w:rPr>
        <w:t>. 5816; see “Relevant Domestic Law and Practice” below).</w:t>
      </w:r>
    </w:p>
    <w:p w:rsidRPr="00E8512F" w:rsidR="0015731A" w:rsidP="0015731A" w:rsidRDefault="00A21D6D">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13</w:t>
      </w:r>
      <w:r>
        <w:rPr>
          <w:lang w:val="en-GB"/>
        </w:rPr>
        <w:fldChar w:fldCharType="end"/>
      </w:r>
      <w:r>
        <w:rPr>
          <w:lang w:val="en-GB"/>
        </w:rPr>
        <w:t>.  </w:t>
      </w:r>
      <w:r w:rsidRPr="00E8512F" w:rsidR="0015731A">
        <w:rPr>
          <w:lang w:val="en-GB"/>
        </w:rPr>
        <w:t xml:space="preserve">In the course of the trial the applicant </w:t>
      </w:r>
      <w:r w:rsidRPr="00E8512F" w:rsidR="00064899">
        <w:rPr>
          <w:lang w:val="en-GB"/>
        </w:rPr>
        <w:t>a</w:t>
      </w:r>
      <w:r w:rsidR="00064899">
        <w:rPr>
          <w:lang w:val="en-GB"/>
        </w:rPr>
        <w:t>dmitted</w:t>
      </w:r>
      <w:r w:rsidRPr="00E8512F" w:rsidR="00064899">
        <w:rPr>
          <w:lang w:val="en-GB"/>
        </w:rPr>
        <w:t xml:space="preserve"> </w:t>
      </w:r>
      <w:r w:rsidRPr="00E8512F" w:rsidR="0015731A">
        <w:rPr>
          <w:lang w:val="en-GB"/>
        </w:rPr>
        <w:t xml:space="preserve">that he had poured paint on the statues. He told the trial court that he had </w:t>
      </w:r>
      <w:r w:rsidRPr="00E8512F" w:rsidR="00BD62EF">
        <w:rPr>
          <w:lang w:val="en-GB"/>
        </w:rPr>
        <w:t xml:space="preserve">completed his university studies and qualified as a teacher. However, he had </w:t>
      </w:r>
      <w:r w:rsidRPr="00E8512F" w:rsidR="0015731A">
        <w:rPr>
          <w:lang w:val="en-GB"/>
        </w:rPr>
        <w:t xml:space="preserve">been unemployed for a long time because his application to work as a teacher had not been accepted by the Ministry of Education. He had carried out his offences in order to protest against </w:t>
      </w:r>
      <w:r w:rsidRPr="00E8512F" w:rsidR="00FF57D3">
        <w:rPr>
          <w:lang w:val="en-GB"/>
        </w:rPr>
        <w:t>th</w:t>
      </w:r>
      <w:r w:rsidR="00FF57D3">
        <w:rPr>
          <w:lang w:val="en-GB"/>
        </w:rPr>
        <w:t>e</w:t>
      </w:r>
      <w:r w:rsidRPr="00E8512F" w:rsidR="00FF57D3">
        <w:rPr>
          <w:lang w:val="en-GB"/>
        </w:rPr>
        <w:t xml:space="preserve"> </w:t>
      </w:r>
      <w:r w:rsidRPr="00E8512F" w:rsidR="0015731A">
        <w:rPr>
          <w:lang w:val="en-GB"/>
        </w:rPr>
        <w:t>Ministry</w:t>
      </w:r>
      <w:r w:rsidR="0050610F">
        <w:rPr>
          <w:lang w:val="en-GB"/>
        </w:rPr>
        <w:t>’</w:t>
      </w:r>
      <w:r w:rsidRPr="00E8512F" w:rsidR="0015731A">
        <w:rPr>
          <w:lang w:val="en-GB"/>
        </w:rPr>
        <w:t>s decision.</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14</w:t>
      </w:r>
      <w:r w:rsidRPr="00E8512F">
        <w:rPr>
          <w:lang w:val="en-GB"/>
        </w:rPr>
        <w:fldChar w:fldCharType="end"/>
      </w:r>
      <w:r w:rsidRPr="00E8512F">
        <w:rPr>
          <w:lang w:val="en-GB"/>
        </w:rPr>
        <w:t>.  On 10 October 2005 the trial court found the applicant guilty as charged. Having regard to the fact that the offence was committed in a public place and on a number of occasions, the trial court sentenced him to three years</w:t>
      </w:r>
      <w:r w:rsidR="0050610F">
        <w:rPr>
          <w:lang w:val="en-GB"/>
        </w:rPr>
        <w:t>’</w:t>
      </w:r>
      <w:r w:rsidRPr="00E8512F">
        <w:rPr>
          <w:lang w:val="en-GB"/>
        </w:rPr>
        <w:t xml:space="preserve"> imprisonment instead of the minimum term of imprisonment </w:t>
      </w:r>
      <w:r w:rsidR="00064899">
        <w:rPr>
          <w:lang w:val="en-GB"/>
        </w:rPr>
        <w:t>applicable under</w:t>
      </w:r>
      <w:r w:rsidRPr="00E8512F" w:rsidR="00064899">
        <w:rPr>
          <w:lang w:val="en-GB"/>
        </w:rPr>
        <w:t xml:space="preserve"> </w:t>
      </w:r>
      <w:r w:rsidRPr="00E8512F">
        <w:rPr>
          <w:lang w:val="en-GB"/>
        </w:rPr>
        <w:t xml:space="preserve">Law </w:t>
      </w:r>
      <w:r w:rsidR="00064899">
        <w:rPr>
          <w:lang w:val="en-GB"/>
        </w:rPr>
        <w:t>n</w:t>
      </w:r>
      <w:r w:rsidRPr="00E8512F" w:rsidR="00064899">
        <w:rPr>
          <w:lang w:val="en-GB"/>
        </w:rPr>
        <w:t>o</w:t>
      </w:r>
      <w:r w:rsidRPr="00E8512F">
        <w:rPr>
          <w:lang w:val="en-GB"/>
        </w:rPr>
        <w:t xml:space="preserve">. 5816, which is one year. The fact that the offence had been committed in a public place also led the trial court to increase the sentence by half in accordance with section 2 of Law </w:t>
      </w:r>
      <w:r w:rsidR="00064899">
        <w:rPr>
          <w:lang w:val="en-GB"/>
        </w:rPr>
        <w:t>n</w:t>
      </w:r>
      <w:r w:rsidRPr="00E8512F" w:rsidR="00064899">
        <w:rPr>
          <w:lang w:val="en-GB"/>
        </w:rPr>
        <w:t>o</w:t>
      </w:r>
      <w:r w:rsidRPr="00E8512F">
        <w:rPr>
          <w:lang w:val="en-GB"/>
        </w:rPr>
        <w:t xml:space="preserve">. 5816. The trial court also considered that the applicant had committed the offence on five </w:t>
      </w:r>
      <w:r w:rsidRPr="00E8512F">
        <w:rPr>
          <w:lang w:val="en-GB"/>
        </w:rPr>
        <w:lastRenderedPageBreak/>
        <w:t>separate occasions, and decided to multiply the sentence by five. The applicant was thus sentenced to a total prison term of twenty-two years and six months for his above-mentioned actions.</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15</w:t>
      </w:r>
      <w:r w:rsidRPr="00E8512F">
        <w:rPr>
          <w:lang w:val="en-GB"/>
        </w:rPr>
        <w:fldChar w:fldCharType="end"/>
      </w:r>
      <w:r w:rsidRPr="00E8512F">
        <w:rPr>
          <w:lang w:val="en-GB"/>
        </w:rPr>
        <w:t>.  The applicant appealed. In his appeal he argued that, according to the provisions of the Criminal Code, only one sentence should have been imposed on him because, regardless of the fact that he had poured paint on the statues on five occasions, he had in fact only committed one offence and not multiple offences. In support of his argument, he submitted that his five actions had been carried out within a short span of time.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16</w:t>
      </w:r>
      <w:r w:rsidRPr="00E8512F">
        <w:rPr>
          <w:lang w:val="en-GB"/>
        </w:rPr>
        <w:fldChar w:fldCharType="end"/>
      </w:r>
      <w:r w:rsidRPr="00E8512F">
        <w:rPr>
          <w:lang w:val="en-GB"/>
        </w:rPr>
        <w:t xml:space="preserve">.  The applicant also </w:t>
      </w:r>
      <w:r w:rsidR="00247C30">
        <w:rPr>
          <w:lang w:val="en-GB"/>
        </w:rPr>
        <w:t>pointed out</w:t>
      </w:r>
      <w:r w:rsidRPr="00E8512F">
        <w:rPr>
          <w:lang w:val="en-GB"/>
        </w:rPr>
        <w:t xml:space="preserve"> that, instead of imposing on him the minimum one-year prison sentence </w:t>
      </w:r>
      <w:r w:rsidR="00064899">
        <w:rPr>
          <w:lang w:val="en-GB"/>
        </w:rPr>
        <w:t>provided for</w:t>
      </w:r>
      <w:r w:rsidRPr="00E8512F" w:rsidR="00064899">
        <w:rPr>
          <w:lang w:val="en-GB"/>
        </w:rPr>
        <w:t xml:space="preserve"> </w:t>
      </w:r>
      <w:r w:rsidRPr="00E8512F">
        <w:rPr>
          <w:lang w:val="en-GB"/>
        </w:rPr>
        <w:t xml:space="preserve">in Law </w:t>
      </w:r>
      <w:r w:rsidR="00064899">
        <w:rPr>
          <w:lang w:val="en-GB"/>
        </w:rPr>
        <w:t>n</w:t>
      </w:r>
      <w:r w:rsidRPr="00E8512F" w:rsidR="00064899">
        <w:rPr>
          <w:lang w:val="en-GB"/>
        </w:rPr>
        <w:t>o</w:t>
      </w:r>
      <w:r w:rsidRPr="00E8512F">
        <w:rPr>
          <w:lang w:val="en-GB"/>
        </w:rPr>
        <w:t xml:space="preserve">. 5816 in respect of each offence, the trial court had handed down </w:t>
      </w:r>
      <w:r w:rsidR="00FF57D3">
        <w:rPr>
          <w:lang w:val="en-GB"/>
        </w:rPr>
        <w:t xml:space="preserve">a </w:t>
      </w:r>
      <w:r w:rsidRPr="00E8512F">
        <w:rPr>
          <w:lang w:val="en-GB"/>
        </w:rPr>
        <w:t>three-year sentence because it had had regard to the number of times he had poured paint on the statues. The trial court had then gone on to rely on the frequency of his actions when multiplying the sentence by five.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17</w:t>
      </w:r>
      <w:r w:rsidRPr="00E8512F">
        <w:rPr>
          <w:lang w:val="en-GB"/>
        </w:rPr>
        <w:fldChar w:fldCharType="end"/>
      </w:r>
      <w:r w:rsidRPr="00E8512F">
        <w:rPr>
          <w:lang w:val="en-GB"/>
        </w:rPr>
        <w:t>.  The applicant also challenged the trial court</w:t>
      </w:r>
      <w:r w:rsidR="0050610F">
        <w:rPr>
          <w:lang w:val="en-GB"/>
        </w:rPr>
        <w:t>’</w:t>
      </w:r>
      <w:r w:rsidRPr="00E8512F">
        <w:rPr>
          <w:lang w:val="en-GB"/>
        </w:rPr>
        <w:t>s reliance on section</w:t>
      </w:r>
      <w:r w:rsidR="006860D9">
        <w:rPr>
          <w:lang w:val="en-GB"/>
        </w:rPr>
        <w:t> </w:t>
      </w:r>
      <w:r w:rsidRPr="00E8512F">
        <w:rPr>
          <w:lang w:val="en-GB"/>
        </w:rPr>
        <w:t xml:space="preserve">2 of Law </w:t>
      </w:r>
      <w:r w:rsidR="00064899">
        <w:rPr>
          <w:lang w:val="en-GB"/>
        </w:rPr>
        <w:t>n</w:t>
      </w:r>
      <w:r w:rsidRPr="00E8512F" w:rsidR="00064899">
        <w:rPr>
          <w:lang w:val="en-GB"/>
        </w:rPr>
        <w:t>o</w:t>
      </w:r>
      <w:r w:rsidRPr="00E8512F">
        <w:rPr>
          <w:lang w:val="en-GB"/>
        </w:rPr>
        <w:t>. 5816 when increasing his sentence by half because the offence had been committed in a public place. He drew the Court of Cassation</w:t>
      </w:r>
      <w:r w:rsidR="0050610F">
        <w:rPr>
          <w:lang w:val="en-GB"/>
        </w:rPr>
        <w:t>’</w:t>
      </w:r>
      <w:r w:rsidRPr="00E8512F">
        <w:rPr>
          <w:lang w:val="en-GB"/>
        </w:rPr>
        <w:t>s attention to the fact that, by their nature, statues are placed in public places.</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18</w:t>
      </w:r>
      <w:r w:rsidRPr="00E8512F">
        <w:rPr>
          <w:lang w:val="en-GB"/>
        </w:rPr>
        <w:fldChar w:fldCharType="end"/>
      </w:r>
      <w:r w:rsidRPr="00E8512F">
        <w:rPr>
          <w:lang w:val="en-GB"/>
        </w:rPr>
        <w:t xml:space="preserve">.  The applicant added that he had carried out his actions in order to express his </w:t>
      </w:r>
      <w:r w:rsidR="00FF57D3">
        <w:rPr>
          <w:lang w:val="en-GB"/>
        </w:rPr>
        <w:t>“</w:t>
      </w:r>
      <w:r w:rsidRPr="00E8512F">
        <w:rPr>
          <w:lang w:val="en-GB"/>
        </w:rPr>
        <w:t>lack of</w:t>
      </w:r>
      <w:r w:rsidR="00CC37C1">
        <w:rPr>
          <w:lang w:val="en-GB"/>
        </w:rPr>
        <w:t xml:space="preserve"> </w:t>
      </w:r>
      <w:r w:rsidRPr="00E8512F">
        <w:rPr>
          <w:lang w:val="en-GB"/>
        </w:rPr>
        <w:t>affection</w:t>
      </w:r>
      <w:r w:rsidR="00FF57D3">
        <w:rPr>
          <w:lang w:val="en-GB"/>
        </w:rPr>
        <w:t>”</w:t>
      </w:r>
      <w:r w:rsidRPr="00E8512F">
        <w:rPr>
          <w:lang w:val="en-GB"/>
        </w:rPr>
        <w:t xml:space="preserve"> for Atatürk. As such, he had remained within </w:t>
      </w:r>
      <w:r w:rsidR="00CD6DD3">
        <w:rPr>
          <w:lang w:val="en-GB"/>
        </w:rPr>
        <w:t xml:space="preserve">the boundaries of </w:t>
      </w:r>
      <w:r w:rsidRPr="00E8512F">
        <w:rPr>
          <w:lang w:val="en-GB"/>
        </w:rPr>
        <w:t>his right to freedom of expression</w:t>
      </w:r>
      <w:r w:rsidR="00CD6DD3">
        <w:rPr>
          <w:lang w:val="en-GB"/>
        </w:rPr>
        <w:t>,</w:t>
      </w:r>
      <w:r w:rsidRPr="00E8512F">
        <w:rPr>
          <w:lang w:val="en-GB"/>
        </w:rPr>
        <w:t xml:space="preserve"> which was guaranteed by Article 10 of the Convention. Thus, although it would have been reasonable to prosecute and punish him for damaging property, he had in fact been punished for expressing his opinions.</w:t>
      </w:r>
    </w:p>
    <w:p w:rsidRPr="00E8512F" w:rsidR="0015731A" w:rsidP="0015731A" w:rsidRDefault="00BD7BBE">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19</w:t>
      </w:r>
      <w:r w:rsidRPr="00E8512F">
        <w:rPr>
          <w:lang w:val="en-GB"/>
        </w:rPr>
        <w:fldChar w:fldCharType="end"/>
      </w:r>
      <w:r w:rsidRPr="00E8512F">
        <w:rPr>
          <w:lang w:val="en-GB"/>
        </w:rPr>
        <w:t>.  </w:t>
      </w:r>
      <w:r w:rsidRPr="00E8512F" w:rsidR="0015731A">
        <w:rPr>
          <w:lang w:val="en-GB"/>
        </w:rPr>
        <w:t>On 6 April 2006 the Court of Cassation rejected the applicant</w:t>
      </w:r>
      <w:r w:rsidR="0050610F">
        <w:rPr>
          <w:lang w:val="en-GB"/>
        </w:rPr>
        <w:t>’</w:t>
      </w:r>
      <w:r w:rsidRPr="00E8512F" w:rsidR="0015731A">
        <w:rPr>
          <w:lang w:val="en-GB"/>
        </w:rPr>
        <w:t>s argument that he had been expressing his opinion, but quashed the trial court</w:t>
      </w:r>
      <w:r w:rsidR="0050610F">
        <w:rPr>
          <w:lang w:val="en-GB"/>
        </w:rPr>
        <w:t>’</w:t>
      </w:r>
      <w:r w:rsidRPr="00E8512F" w:rsidR="0015731A">
        <w:rPr>
          <w:lang w:val="en-GB"/>
        </w:rPr>
        <w:t xml:space="preserve">s judgment on the ground of, </w:t>
      </w:r>
      <w:r w:rsidRPr="00E8512F" w:rsidR="0015731A">
        <w:rPr>
          <w:i/>
          <w:lang w:val="en-GB"/>
        </w:rPr>
        <w:t>inter alia</w:t>
      </w:r>
      <w:r w:rsidRPr="00E8512F" w:rsidR="0015731A">
        <w:rPr>
          <w:lang w:val="en-GB"/>
        </w:rPr>
        <w:t xml:space="preserve">, </w:t>
      </w:r>
      <w:r w:rsidR="00CD6DD3">
        <w:rPr>
          <w:lang w:val="en-GB"/>
        </w:rPr>
        <w:t>that</w:t>
      </w:r>
      <w:r w:rsidRPr="00E8512F" w:rsidR="0015731A">
        <w:rPr>
          <w:lang w:val="en-GB"/>
        </w:rPr>
        <w:t xml:space="preserve"> court</w:t>
      </w:r>
      <w:r w:rsidR="0050610F">
        <w:rPr>
          <w:lang w:val="en-GB"/>
        </w:rPr>
        <w:t>’</w:t>
      </w:r>
      <w:r w:rsidRPr="00E8512F" w:rsidR="0015731A">
        <w:rPr>
          <w:lang w:val="en-GB"/>
        </w:rPr>
        <w:t xml:space="preserve">s failure to give adequate consideration to the possibility that the five separate incidents could </w:t>
      </w:r>
      <w:r w:rsidRPr="00E8512F" w:rsidR="00247C30">
        <w:rPr>
          <w:lang w:val="en-GB"/>
        </w:rPr>
        <w:t xml:space="preserve">form </w:t>
      </w:r>
      <w:r w:rsidRPr="00E8512F" w:rsidR="0015731A">
        <w:rPr>
          <w:lang w:val="en-GB"/>
        </w:rPr>
        <w:t xml:space="preserve">only one offence and not multiple offences. The Court of Cassation considered that the applicant had carried out his actions in order to protest </w:t>
      </w:r>
      <w:r w:rsidR="00CD6DD3">
        <w:rPr>
          <w:lang w:val="en-GB"/>
        </w:rPr>
        <w:t xml:space="preserve">against </w:t>
      </w:r>
      <w:r w:rsidRPr="00E8512F" w:rsidR="0015731A">
        <w:rPr>
          <w:lang w:val="en-GB"/>
        </w:rPr>
        <w:t>the Ministry</w:t>
      </w:r>
      <w:r w:rsidR="005005A1">
        <w:rPr>
          <w:lang w:val="en-GB"/>
        </w:rPr>
        <w:t xml:space="preserve"> of Education</w:t>
      </w:r>
      <w:r w:rsidR="0050610F">
        <w:rPr>
          <w:lang w:val="en-GB"/>
        </w:rPr>
        <w:t>’</w:t>
      </w:r>
      <w:r w:rsidR="005005A1">
        <w:rPr>
          <w:lang w:val="en-GB"/>
        </w:rPr>
        <w:t>s</w:t>
      </w:r>
      <w:r w:rsidRPr="00E8512F" w:rsidR="0015731A">
        <w:rPr>
          <w:lang w:val="en-GB"/>
        </w:rPr>
        <w:t xml:space="preserve"> decision not to appoint him as a teacher.</w:t>
      </w:r>
      <w:r w:rsidRPr="00E8512F" w:rsidR="007E2798">
        <w:rPr>
          <w:lang w:val="en-GB"/>
        </w:rPr>
        <w:t xml:space="preserve"> </w:t>
      </w:r>
      <w:r w:rsidRPr="00E8512F" w:rsidR="0015731A">
        <w:rPr>
          <w:lang w:val="en-GB"/>
        </w:rPr>
        <w:t>The case file was sent back to the trial court.</w:t>
      </w:r>
    </w:p>
    <w:p w:rsidRPr="00E8512F" w:rsidR="00C8562B"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20</w:t>
      </w:r>
      <w:r w:rsidRPr="00E8512F">
        <w:rPr>
          <w:lang w:val="en-GB"/>
        </w:rPr>
        <w:fldChar w:fldCharType="end"/>
      </w:r>
      <w:r w:rsidRPr="00E8512F">
        <w:rPr>
          <w:lang w:val="en-GB"/>
        </w:rPr>
        <w:t>.  In its decision of 5 July 2006 the trial court agreed with the Court of Cassation</w:t>
      </w:r>
      <w:r w:rsidR="0050610F">
        <w:rPr>
          <w:lang w:val="en-GB"/>
        </w:rPr>
        <w:t>’</w:t>
      </w:r>
      <w:r w:rsidR="00EB024B">
        <w:rPr>
          <w:lang w:val="en-GB"/>
        </w:rPr>
        <w:t>s conclusion</w:t>
      </w:r>
      <w:r w:rsidR="005005A1">
        <w:rPr>
          <w:lang w:val="en-GB"/>
        </w:rPr>
        <w:t>,</w:t>
      </w:r>
      <w:r w:rsidRPr="00E8512F">
        <w:rPr>
          <w:lang w:val="en-GB"/>
        </w:rPr>
        <w:t xml:space="preserve"> and held that the applicant</w:t>
      </w:r>
      <w:r w:rsidR="0050610F">
        <w:rPr>
          <w:lang w:val="en-GB"/>
        </w:rPr>
        <w:t>’</w:t>
      </w:r>
      <w:r w:rsidRPr="00E8512F">
        <w:rPr>
          <w:lang w:val="en-GB"/>
        </w:rPr>
        <w:t xml:space="preserve">s actions had amounted to a single offence and not five offences. However, having regard, </w:t>
      </w:r>
      <w:r w:rsidRPr="00E8512F">
        <w:rPr>
          <w:i/>
          <w:lang w:val="en-GB"/>
        </w:rPr>
        <w:t>inter alia</w:t>
      </w:r>
      <w:r w:rsidRPr="00E8512F">
        <w:rPr>
          <w:lang w:val="en-GB"/>
        </w:rPr>
        <w:t xml:space="preserve">, to the “contradictory reasons” put forward by the applicant as justification for his actions, as well as </w:t>
      </w:r>
      <w:r w:rsidR="00526449">
        <w:rPr>
          <w:lang w:val="en-GB"/>
        </w:rPr>
        <w:t>“</w:t>
      </w:r>
      <w:r w:rsidRPr="00E8512F">
        <w:rPr>
          <w:lang w:val="en-GB"/>
        </w:rPr>
        <w:t>the effects of his actions on the public</w:t>
      </w:r>
      <w:r w:rsidR="00526449">
        <w:rPr>
          <w:lang w:val="en-GB"/>
        </w:rPr>
        <w:t>”</w:t>
      </w:r>
      <w:r w:rsidRPr="00E8512F">
        <w:rPr>
          <w:lang w:val="en-GB"/>
        </w:rPr>
        <w:t>, the trial court concluded that the applicant</w:t>
      </w:r>
      <w:r w:rsidR="0050610F">
        <w:rPr>
          <w:lang w:val="en-GB"/>
        </w:rPr>
        <w:t>’</w:t>
      </w:r>
      <w:r w:rsidRPr="00E8512F">
        <w:rPr>
          <w:lang w:val="en-GB"/>
        </w:rPr>
        <w:t>s actions had amounted to “insults”, and deemed it fit to sentence him to five years</w:t>
      </w:r>
      <w:r w:rsidR="0050610F">
        <w:rPr>
          <w:lang w:val="en-GB"/>
        </w:rPr>
        <w:t>’</w:t>
      </w:r>
      <w:r w:rsidRPr="00E8512F">
        <w:rPr>
          <w:lang w:val="en-GB"/>
        </w:rPr>
        <w:t xml:space="preserve"> imprisonment, which is the maximum allowed under Law </w:t>
      </w:r>
      <w:r w:rsidR="00CD6DD3">
        <w:rPr>
          <w:lang w:val="en-GB"/>
        </w:rPr>
        <w:t>n</w:t>
      </w:r>
      <w:r w:rsidRPr="00E8512F" w:rsidR="00CD6DD3">
        <w:rPr>
          <w:lang w:val="en-GB"/>
        </w:rPr>
        <w:t>o</w:t>
      </w:r>
      <w:r w:rsidRPr="00E8512F">
        <w:rPr>
          <w:lang w:val="en-GB"/>
        </w:rPr>
        <w:t xml:space="preserve">. 5816. The sentence was then increased by half because </w:t>
      </w:r>
      <w:r w:rsidR="00FF57D3">
        <w:rPr>
          <w:lang w:val="en-GB"/>
        </w:rPr>
        <w:t>the acts had been</w:t>
      </w:r>
      <w:r w:rsidRPr="00E8512F" w:rsidR="00FF57D3">
        <w:rPr>
          <w:lang w:val="en-GB"/>
        </w:rPr>
        <w:t xml:space="preserve"> </w:t>
      </w:r>
      <w:r w:rsidRPr="00E8512F">
        <w:rPr>
          <w:lang w:val="en-GB"/>
        </w:rPr>
        <w:t xml:space="preserve">committed in a public place. Furthermore, pursuant to Article 43 of the Criminal Code (see “Relevant Domestic Law and Practice” below), the sentence was further increased by three quarters. </w:t>
      </w:r>
      <w:r w:rsidRPr="00E8512F">
        <w:rPr>
          <w:lang w:val="en-GB"/>
        </w:rPr>
        <w:lastRenderedPageBreak/>
        <w:t>The applicant was thus sentenced to a total of thirteen years, one month and fifteen days</w:t>
      </w:r>
      <w:r w:rsidR="0050610F">
        <w:rPr>
          <w:lang w:val="en-GB"/>
        </w:rPr>
        <w:t>’</w:t>
      </w:r>
      <w:r w:rsidRPr="00E8512F">
        <w:rPr>
          <w:lang w:val="en-GB"/>
        </w:rPr>
        <w:t xml:space="preserve"> imprisonment.</w:t>
      </w:r>
    </w:p>
    <w:p w:rsidRPr="00E8512F" w:rsidR="00C8562B" w:rsidP="0015731A" w:rsidRDefault="00C8562B">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21</w:t>
      </w:r>
      <w:r w:rsidRPr="00E8512F">
        <w:rPr>
          <w:lang w:val="en-GB"/>
        </w:rPr>
        <w:fldChar w:fldCharType="end"/>
      </w:r>
      <w:r w:rsidRPr="00E8512F">
        <w:rPr>
          <w:lang w:val="en-GB"/>
        </w:rPr>
        <w:t>.  </w:t>
      </w:r>
      <w:r w:rsidRPr="00E8512F" w:rsidR="0015731A">
        <w:rPr>
          <w:lang w:val="en-GB"/>
        </w:rPr>
        <w:t xml:space="preserve">Furthermore, </w:t>
      </w:r>
      <w:r w:rsidRPr="00E8512F" w:rsidR="00C707BD">
        <w:rPr>
          <w:lang w:val="en-GB"/>
        </w:rPr>
        <w:t xml:space="preserve">in its decision </w:t>
      </w:r>
      <w:r w:rsidRPr="00E8512F" w:rsidR="0015731A">
        <w:rPr>
          <w:lang w:val="en-GB"/>
        </w:rPr>
        <w:t xml:space="preserve">the trial court </w:t>
      </w:r>
      <w:r w:rsidR="00EB024B">
        <w:rPr>
          <w:lang w:val="en-GB"/>
        </w:rPr>
        <w:t>set out</w:t>
      </w:r>
      <w:r w:rsidRPr="00E8512F" w:rsidR="0015731A">
        <w:rPr>
          <w:lang w:val="en-GB"/>
        </w:rPr>
        <w:t xml:space="preserve"> the restrictions under section 53 of the Criminal Code which </w:t>
      </w:r>
      <w:r w:rsidR="00C707BD">
        <w:rPr>
          <w:lang w:val="en-GB"/>
        </w:rPr>
        <w:t>were</w:t>
      </w:r>
      <w:r w:rsidRPr="00E8512F" w:rsidR="00C707BD">
        <w:rPr>
          <w:lang w:val="en-GB"/>
        </w:rPr>
        <w:t xml:space="preserve"> </w:t>
      </w:r>
      <w:r w:rsidRPr="00E8512F" w:rsidR="0015731A">
        <w:rPr>
          <w:lang w:val="en-GB"/>
        </w:rPr>
        <w:t xml:space="preserve">to be placed on the applicant on account of his conviction. Accordingly, until </w:t>
      </w:r>
      <w:r w:rsidR="00C707BD">
        <w:rPr>
          <w:lang w:val="en-GB"/>
        </w:rPr>
        <w:t xml:space="preserve">the </w:t>
      </w:r>
      <w:r w:rsidRPr="00E8512F" w:rsidR="0015731A">
        <w:rPr>
          <w:lang w:val="en-GB"/>
        </w:rPr>
        <w:t xml:space="preserve">execution of his sentence, the applicant </w:t>
      </w:r>
      <w:r w:rsidR="00FF57D3">
        <w:rPr>
          <w:lang w:val="en-GB"/>
        </w:rPr>
        <w:t>was</w:t>
      </w:r>
      <w:r w:rsidRPr="00E8512F" w:rsidR="00FF57D3">
        <w:rPr>
          <w:lang w:val="en-GB"/>
        </w:rPr>
        <w:t xml:space="preserve"> </w:t>
      </w:r>
      <w:r w:rsidRPr="00E8512F" w:rsidR="0015731A">
        <w:rPr>
          <w:lang w:val="en-GB"/>
        </w:rPr>
        <w:t>banned from, among other things, voting and taking part in elections, as well as from running associations, parties, trade unions and cooperatives (see “Relevant Domestic Law and Practice”).</w:t>
      </w:r>
    </w:p>
    <w:p w:rsidRPr="00E8512F" w:rsidR="007E2798" w:rsidP="0015731A" w:rsidRDefault="00EB024B">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22</w:t>
      </w:r>
      <w:r>
        <w:rPr>
          <w:lang w:val="en-GB"/>
        </w:rPr>
        <w:fldChar w:fldCharType="end"/>
      </w:r>
      <w:r>
        <w:rPr>
          <w:lang w:val="en-GB"/>
        </w:rPr>
        <w:t>.  </w:t>
      </w:r>
      <w:r w:rsidRPr="00E8512F" w:rsidR="0015731A">
        <w:rPr>
          <w:lang w:val="en-GB"/>
        </w:rPr>
        <w:t>The applicant appealed and repeated his arguments under various provisions of the Convention. He maintained</w:t>
      </w:r>
      <w:r w:rsidRPr="00E8512F" w:rsidR="009F29D1">
        <w:rPr>
          <w:lang w:val="en-GB"/>
        </w:rPr>
        <w:t>, in particular,</w:t>
      </w:r>
      <w:r w:rsidRPr="00E8512F" w:rsidR="0015731A">
        <w:rPr>
          <w:lang w:val="en-GB"/>
        </w:rPr>
        <w:t xml:space="preserve"> that he had carried out his actions in order to express his </w:t>
      </w:r>
      <w:r w:rsidR="007D1407">
        <w:rPr>
          <w:lang w:val="en-GB"/>
        </w:rPr>
        <w:t xml:space="preserve">“lack of </w:t>
      </w:r>
      <w:r w:rsidRPr="00E8512F" w:rsidR="0015731A">
        <w:rPr>
          <w:lang w:val="en-GB"/>
        </w:rPr>
        <w:t>affection</w:t>
      </w:r>
      <w:r w:rsidR="007D1407">
        <w:rPr>
          <w:lang w:val="en-GB"/>
        </w:rPr>
        <w:t>”</w:t>
      </w:r>
      <w:r w:rsidRPr="00E8512F" w:rsidR="0015731A">
        <w:rPr>
          <w:lang w:val="en-GB"/>
        </w:rPr>
        <w:t xml:space="preserve"> for Atatürk and had thus exercised his freedom of expression guaranteed in Article</w:t>
      </w:r>
      <w:r w:rsidR="00F82657">
        <w:rPr>
          <w:lang w:val="en-GB"/>
        </w:rPr>
        <w:t> </w:t>
      </w:r>
      <w:r w:rsidRPr="00E8512F" w:rsidR="0015731A">
        <w:rPr>
          <w:lang w:val="en-GB"/>
        </w:rPr>
        <w:t>10 of the Convention.</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23</w:t>
      </w:r>
      <w:r w:rsidRPr="00E8512F">
        <w:rPr>
          <w:lang w:val="en-GB"/>
        </w:rPr>
        <w:fldChar w:fldCharType="end"/>
      </w:r>
      <w:r w:rsidRPr="00E8512F">
        <w:rPr>
          <w:lang w:val="en-GB"/>
        </w:rPr>
        <w:t xml:space="preserve">.  The appeal was </w:t>
      </w:r>
      <w:r w:rsidR="00FF57D3">
        <w:rPr>
          <w:lang w:val="en-GB"/>
        </w:rPr>
        <w:t>dismissed</w:t>
      </w:r>
      <w:r w:rsidRPr="00E8512F" w:rsidR="00FF57D3">
        <w:rPr>
          <w:lang w:val="en-GB"/>
        </w:rPr>
        <w:t xml:space="preserve"> </w:t>
      </w:r>
      <w:r w:rsidRPr="00E8512F">
        <w:rPr>
          <w:lang w:val="en-GB"/>
        </w:rPr>
        <w:t>by the Court of Cassation on 5</w:t>
      </w:r>
      <w:r w:rsidR="006860D9">
        <w:rPr>
          <w:lang w:val="en-GB"/>
        </w:rPr>
        <w:t> </w:t>
      </w:r>
      <w:r w:rsidRPr="00E8512F">
        <w:rPr>
          <w:lang w:val="en-GB"/>
        </w:rPr>
        <w:t>February 2007. No mention was made in the Court of Cassation</w:t>
      </w:r>
      <w:r w:rsidR="0050610F">
        <w:rPr>
          <w:lang w:val="en-GB"/>
        </w:rPr>
        <w:t>’</w:t>
      </w:r>
      <w:r w:rsidR="00D41C94">
        <w:rPr>
          <w:lang w:val="en-GB"/>
        </w:rPr>
        <w:t>s</w:t>
      </w:r>
      <w:r w:rsidRPr="00E8512F">
        <w:rPr>
          <w:lang w:val="en-GB"/>
        </w:rPr>
        <w:t xml:space="preserve"> decision of the arguments raised by the applicant about his freedom of expression.</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24</w:t>
      </w:r>
      <w:r w:rsidRPr="00E8512F">
        <w:rPr>
          <w:lang w:val="en-GB"/>
        </w:rPr>
        <w:fldChar w:fldCharType="end"/>
      </w:r>
      <w:r w:rsidRPr="00E8512F">
        <w:rPr>
          <w:lang w:val="en-GB"/>
        </w:rPr>
        <w:t>.  According to a document drawn up by the</w:t>
      </w:r>
      <w:r w:rsidR="006860D9">
        <w:rPr>
          <w:lang w:val="en-GB"/>
        </w:rPr>
        <w:t xml:space="preserve"> prosecutor on 16 </w:t>
      </w:r>
      <w:r w:rsidRPr="00E8512F">
        <w:rPr>
          <w:lang w:val="en-GB"/>
        </w:rPr>
        <w:t>April 2007 setting out the details of the applicant</w:t>
      </w:r>
      <w:r w:rsidR="0050610F">
        <w:rPr>
          <w:lang w:val="en-GB"/>
        </w:rPr>
        <w:t>’</w:t>
      </w:r>
      <w:r w:rsidRPr="00E8512F">
        <w:rPr>
          <w:lang w:val="en-GB"/>
        </w:rPr>
        <w:t xml:space="preserve">s prison sentence, the date of </w:t>
      </w:r>
      <w:r w:rsidR="00D41C94">
        <w:rPr>
          <w:lang w:val="en-GB"/>
        </w:rPr>
        <w:t xml:space="preserve">the </w:t>
      </w:r>
      <w:r w:rsidRPr="00E8512F" w:rsidR="00D41C94">
        <w:rPr>
          <w:lang w:val="en-GB"/>
        </w:rPr>
        <w:t>applicant</w:t>
      </w:r>
      <w:r w:rsidR="0050610F">
        <w:rPr>
          <w:lang w:val="en-GB"/>
        </w:rPr>
        <w:t>’</w:t>
      </w:r>
      <w:r w:rsidRPr="00E8512F" w:rsidR="00D41C94">
        <w:rPr>
          <w:lang w:val="en-GB"/>
        </w:rPr>
        <w:t xml:space="preserve">s </w:t>
      </w:r>
      <w:r w:rsidRPr="00E8512F">
        <w:rPr>
          <w:lang w:val="en-GB"/>
        </w:rPr>
        <w:t xml:space="preserve">release from prison </w:t>
      </w:r>
      <w:r w:rsidRPr="00E8512F" w:rsidR="009F29D1">
        <w:rPr>
          <w:lang w:val="en-GB"/>
        </w:rPr>
        <w:t>wa</w:t>
      </w:r>
      <w:r w:rsidRPr="00E8512F">
        <w:rPr>
          <w:lang w:val="en-GB"/>
        </w:rPr>
        <w:t>s</w:t>
      </w:r>
      <w:r w:rsidRPr="00E8512F" w:rsidR="009F29D1">
        <w:rPr>
          <w:lang w:val="en-GB"/>
        </w:rPr>
        <w:t xml:space="preserve"> set as</w:t>
      </w:r>
      <w:r w:rsidRPr="00E8512F">
        <w:rPr>
          <w:lang w:val="en-GB"/>
        </w:rPr>
        <w:t xml:space="preserve"> 22 October 2018</w:t>
      </w:r>
      <w:r w:rsidRPr="00E8512F" w:rsidR="009F29D1">
        <w:rPr>
          <w:lang w:val="en-GB"/>
        </w:rPr>
        <w:t>, with a possibility</w:t>
      </w:r>
      <w:r w:rsidRPr="00E8512F">
        <w:rPr>
          <w:lang w:val="en-GB"/>
        </w:rPr>
        <w:t xml:space="preserve"> </w:t>
      </w:r>
      <w:r w:rsidR="00FF57D3">
        <w:rPr>
          <w:lang w:val="en-GB"/>
        </w:rPr>
        <w:t>of</w:t>
      </w:r>
      <w:r w:rsidRPr="00E8512F">
        <w:rPr>
          <w:lang w:val="en-GB"/>
        </w:rPr>
        <w:t xml:space="preserve"> release on 7 June 2014 for good behaviour.</w:t>
      </w:r>
    </w:p>
    <w:p w:rsidR="007C59E0"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25</w:t>
      </w:r>
      <w:r w:rsidRPr="00E8512F">
        <w:rPr>
          <w:lang w:val="en-GB"/>
        </w:rPr>
        <w:fldChar w:fldCharType="end"/>
      </w:r>
      <w:r w:rsidRPr="00E8512F">
        <w:rPr>
          <w:lang w:val="en-GB"/>
        </w:rPr>
        <w:t xml:space="preserve">.  In the meantime, on 1 June 2005 the Law on the Execution of Prison Sentences and Other Security Measures (Law </w:t>
      </w:r>
      <w:r w:rsidR="00D41C94">
        <w:rPr>
          <w:lang w:val="en-GB"/>
        </w:rPr>
        <w:t>n</w:t>
      </w:r>
      <w:r w:rsidRPr="00E8512F" w:rsidR="00D41C94">
        <w:rPr>
          <w:lang w:val="en-GB"/>
        </w:rPr>
        <w:t>o</w:t>
      </w:r>
      <w:r w:rsidRPr="00E8512F">
        <w:rPr>
          <w:lang w:val="en-GB"/>
        </w:rPr>
        <w:t>. 5275) entered into force. This law sets out the circumstances in which prison</w:t>
      </w:r>
      <w:r w:rsidR="007C59E0">
        <w:rPr>
          <w:lang w:val="en-GB"/>
        </w:rPr>
        <w:t>ers can benefit from early release.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26</w:t>
      </w:r>
      <w:r w:rsidRPr="00E8512F">
        <w:rPr>
          <w:lang w:val="en-GB"/>
        </w:rPr>
        <w:fldChar w:fldCharType="end"/>
      </w:r>
      <w:r w:rsidRPr="00E8512F">
        <w:rPr>
          <w:lang w:val="en-GB"/>
        </w:rPr>
        <w:t xml:space="preserve">.  On 15 May 2007 the prosecutor responsible for the prison </w:t>
      </w:r>
      <w:r w:rsidR="00FF57D3">
        <w:rPr>
          <w:lang w:val="en-GB"/>
        </w:rPr>
        <w:t xml:space="preserve">the applicant was serving his sentence in </w:t>
      </w:r>
      <w:r w:rsidRPr="00E8512F">
        <w:rPr>
          <w:lang w:val="en-GB"/>
        </w:rPr>
        <w:t xml:space="preserve">wrote to the trial court and asked for guidance in calculating the </w:t>
      </w:r>
      <w:r w:rsidR="00DB4740">
        <w:rPr>
          <w:lang w:val="en-GB"/>
        </w:rPr>
        <w:t xml:space="preserve">date </w:t>
      </w:r>
      <w:r w:rsidR="00D41C94">
        <w:rPr>
          <w:lang w:val="en-GB"/>
        </w:rPr>
        <w:t xml:space="preserve">of the </w:t>
      </w:r>
      <w:r w:rsidRPr="00E8512F">
        <w:rPr>
          <w:lang w:val="en-GB"/>
        </w:rPr>
        <w:t>applicant</w:t>
      </w:r>
      <w:r w:rsidR="0050610F">
        <w:rPr>
          <w:lang w:val="en-GB"/>
        </w:rPr>
        <w:t>’</w:t>
      </w:r>
      <w:r w:rsidRPr="00E8512F">
        <w:rPr>
          <w:lang w:val="en-GB"/>
        </w:rPr>
        <w:t xml:space="preserve">s </w:t>
      </w:r>
      <w:r w:rsidR="00DB4740">
        <w:rPr>
          <w:lang w:val="en-GB"/>
        </w:rPr>
        <w:t>possible early release</w:t>
      </w:r>
      <w:r w:rsidRPr="00E8512F">
        <w:rPr>
          <w:lang w:val="en-GB"/>
        </w:rPr>
        <w:t xml:space="preserve">. The prosecutor stated that, </w:t>
      </w:r>
      <w:r w:rsidR="006860D9">
        <w:rPr>
          <w:lang w:val="en-GB"/>
        </w:rPr>
        <w:t xml:space="preserve">for offences committed before 1 </w:t>
      </w:r>
      <w:r w:rsidRPr="00E8512F">
        <w:rPr>
          <w:lang w:val="en-GB"/>
        </w:rPr>
        <w:t>June</w:t>
      </w:r>
      <w:r w:rsidR="006860D9">
        <w:rPr>
          <w:lang w:val="en-GB"/>
        </w:rPr>
        <w:t xml:space="preserve"> </w:t>
      </w:r>
      <w:r w:rsidRPr="00E8512F">
        <w:rPr>
          <w:lang w:val="en-GB"/>
        </w:rPr>
        <w:t xml:space="preserve">2005, Law </w:t>
      </w:r>
      <w:r w:rsidR="00D41C94">
        <w:rPr>
          <w:lang w:val="en-GB"/>
        </w:rPr>
        <w:t>n</w:t>
      </w:r>
      <w:r w:rsidRPr="00E8512F" w:rsidR="00D41C94">
        <w:rPr>
          <w:lang w:val="en-GB"/>
        </w:rPr>
        <w:t>o</w:t>
      </w:r>
      <w:r w:rsidRPr="00E8512F">
        <w:rPr>
          <w:lang w:val="en-GB"/>
        </w:rPr>
        <w:t>.</w:t>
      </w:r>
      <w:r w:rsidR="00F82657">
        <w:rPr>
          <w:lang w:val="en-GB"/>
        </w:rPr>
        <w:t> </w:t>
      </w:r>
      <w:r w:rsidR="00DB4740">
        <w:rPr>
          <w:lang w:val="en-GB"/>
        </w:rPr>
        <w:t>647</w:t>
      </w:r>
      <w:r w:rsidRPr="00E8512F">
        <w:rPr>
          <w:lang w:val="en-GB"/>
        </w:rPr>
        <w:t xml:space="preserve"> was applicable and, for offences committed after that date, </w:t>
      </w:r>
      <w:r w:rsidR="00C13D0C">
        <w:rPr>
          <w:lang w:val="en-GB"/>
        </w:rPr>
        <w:t xml:space="preserve">the new </w:t>
      </w:r>
      <w:r w:rsidRPr="00E8512F">
        <w:rPr>
          <w:lang w:val="en-GB"/>
        </w:rPr>
        <w:t xml:space="preserve">Law </w:t>
      </w:r>
      <w:r w:rsidR="00D41C94">
        <w:rPr>
          <w:lang w:val="en-GB"/>
        </w:rPr>
        <w:t>n</w:t>
      </w:r>
      <w:r w:rsidRPr="00E8512F" w:rsidR="00D41C94">
        <w:rPr>
          <w:lang w:val="en-GB"/>
        </w:rPr>
        <w:t>o</w:t>
      </w:r>
      <w:r w:rsidRPr="00E8512F">
        <w:rPr>
          <w:lang w:val="en-GB"/>
        </w:rPr>
        <w:t>. 5275 would be applicable. The applicant had carried out his actions both before and after that date.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27</w:t>
      </w:r>
      <w:r w:rsidRPr="00E8512F">
        <w:rPr>
          <w:lang w:val="en-GB"/>
        </w:rPr>
        <w:fldChar w:fldCharType="end"/>
      </w:r>
      <w:r w:rsidRPr="00E8512F">
        <w:rPr>
          <w:lang w:val="en-GB"/>
        </w:rPr>
        <w:t xml:space="preserve">.  On 16 May 2007 the trial court considered that the critical date was the date of the commission of the final act and thus the new </w:t>
      </w:r>
      <w:r w:rsidR="00D41C94">
        <w:rPr>
          <w:lang w:val="en-GB"/>
        </w:rPr>
        <w:t>l</w:t>
      </w:r>
      <w:r w:rsidRPr="00E8512F" w:rsidR="00D41C94">
        <w:rPr>
          <w:lang w:val="en-GB"/>
        </w:rPr>
        <w:t xml:space="preserve">aw </w:t>
      </w:r>
      <w:r w:rsidRPr="00E8512F">
        <w:rPr>
          <w:lang w:val="en-GB"/>
        </w:rPr>
        <w:t>was applicable.</w:t>
      </w:r>
    </w:p>
    <w:p w:rsidRPr="00E8512F" w:rsidR="009F29D1"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28</w:t>
      </w:r>
      <w:r w:rsidRPr="00E8512F">
        <w:rPr>
          <w:lang w:val="en-GB"/>
        </w:rPr>
        <w:fldChar w:fldCharType="end"/>
      </w:r>
      <w:r w:rsidRPr="00E8512F">
        <w:rPr>
          <w:lang w:val="en-GB"/>
        </w:rPr>
        <w:t xml:space="preserve">.  The applicant lodged an objection against that decision and argued that most of his actions had been carried out before 1 June 2005 and </w:t>
      </w:r>
      <w:r w:rsidR="00FF57D3">
        <w:rPr>
          <w:lang w:val="en-GB"/>
        </w:rPr>
        <w:t xml:space="preserve">that </w:t>
      </w:r>
      <w:r w:rsidRPr="00E8512F">
        <w:rPr>
          <w:lang w:val="en-GB"/>
        </w:rPr>
        <w:t xml:space="preserve">therefore, when calculating his prison sentence, the old </w:t>
      </w:r>
      <w:r w:rsidR="00D41C94">
        <w:rPr>
          <w:lang w:val="en-GB"/>
        </w:rPr>
        <w:t>l</w:t>
      </w:r>
      <w:r w:rsidRPr="00E8512F" w:rsidR="00D41C94">
        <w:rPr>
          <w:lang w:val="en-GB"/>
        </w:rPr>
        <w:t xml:space="preserve">aw </w:t>
      </w:r>
      <w:r w:rsidRPr="00E8512F">
        <w:rPr>
          <w:lang w:val="en-GB"/>
        </w:rPr>
        <w:t xml:space="preserve">should be taken into account. </w:t>
      </w:r>
      <w:r w:rsidR="00D41C94">
        <w:rPr>
          <w:lang w:val="en-GB"/>
        </w:rPr>
        <w:t>If</w:t>
      </w:r>
      <w:r w:rsidRPr="00E8512F">
        <w:rPr>
          <w:lang w:val="en-GB"/>
        </w:rPr>
        <w:t xml:space="preserve"> his prison sentence </w:t>
      </w:r>
      <w:r w:rsidR="00D41C94">
        <w:rPr>
          <w:lang w:val="en-GB"/>
        </w:rPr>
        <w:t xml:space="preserve">were calculated </w:t>
      </w:r>
      <w:r w:rsidRPr="00E8512F">
        <w:rPr>
          <w:lang w:val="en-GB"/>
        </w:rPr>
        <w:t xml:space="preserve">in accordance with the new </w:t>
      </w:r>
      <w:r w:rsidR="00D41C94">
        <w:rPr>
          <w:lang w:val="en-GB"/>
        </w:rPr>
        <w:t>l</w:t>
      </w:r>
      <w:r w:rsidRPr="00E8512F" w:rsidR="00D41C94">
        <w:rPr>
          <w:lang w:val="en-GB"/>
        </w:rPr>
        <w:t>aw</w:t>
      </w:r>
      <w:r w:rsidRPr="00E8512F">
        <w:rPr>
          <w:lang w:val="en-GB"/>
        </w:rPr>
        <w:t>, he would spend four more years in prison.</w:t>
      </w:r>
      <w:r w:rsidRPr="00E8512F" w:rsidR="00B95CD4">
        <w:rPr>
          <w:lang w:val="en-GB"/>
        </w:rPr>
        <w:t xml:space="preserve"> </w:t>
      </w:r>
      <w:r w:rsidRPr="00E8512F">
        <w:rPr>
          <w:lang w:val="en-GB"/>
        </w:rPr>
        <w:t>That objection was rejected by the trial court on 18</w:t>
      </w:r>
      <w:r w:rsidR="006860D9">
        <w:rPr>
          <w:lang w:val="en-GB"/>
        </w:rPr>
        <w:t xml:space="preserve"> </w:t>
      </w:r>
      <w:r w:rsidRPr="00E8512F">
        <w:rPr>
          <w:lang w:val="en-GB"/>
        </w:rPr>
        <w:t>June</w:t>
      </w:r>
      <w:r w:rsidR="006860D9">
        <w:rPr>
          <w:lang w:val="en-GB"/>
        </w:rPr>
        <w:t xml:space="preserve"> </w:t>
      </w:r>
      <w:r w:rsidRPr="00E8512F">
        <w:rPr>
          <w:lang w:val="en-GB"/>
        </w:rPr>
        <w:t>2007</w:t>
      </w:r>
      <w:r w:rsidRPr="00E8512F" w:rsidR="009F29D1">
        <w:rPr>
          <w:lang w:val="en-GB"/>
        </w:rPr>
        <w:t xml:space="preserve"> and the </w:t>
      </w:r>
      <w:r w:rsidR="00B57DBA">
        <w:rPr>
          <w:lang w:val="en-GB"/>
        </w:rPr>
        <w:t xml:space="preserve">date of the </w:t>
      </w:r>
      <w:r w:rsidRPr="00E8512F" w:rsidR="009F29D1">
        <w:rPr>
          <w:lang w:val="en-GB"/>
        </w:rPr>
        <w:t>applicant</w:t>
      </w:r>
      <w:r w:rsidR="0050610F">
        <w:rPr>
          <w:lang w:val="en-GB"/>
        </w:rPr>
        <w:t>’</w:t>
      </w:r>
      <w:r w:rsidRPr="00E8512F" w:rsidR="009F29D1">
        <w:rPr>
          <w:lang w:val="en-GB"/>
        </w:rPr>
        <w:t xml:space="preserve">s </w:t>
      </w:r>
      <w:r w:rsidR="00B57DBA">
        <w:rPr>
          <w:lang w:val="en-GB"/>
        </w:rPr>
        <w:t xml:space="preserve">possible release from </w:t>
      </w:r>
      <w:r w:rsidRPr="00E8512F" w:rsidR="009F29D1">
        <w:rPr>
          <w:lang w:val="en-GB"/>
        </w:rPr>
        <w:t>prison was calculated in accordance with the document drawn up by the prosecutor on 16 April 2007 (see paragraph</w:t>
      </w:r>
      <w:r w:rsidR="00F82657">
        <w:rPr>
          <w:lang w:val="en-GB"/>
        </w:rPr>
        <w:t> </w:t>
      </w:r>
      <w:r w:rsidR="00D75280">
        <w:rPr>
          <w:lang w:val="en-GB"/>
        </w:rPr>
        <w:t>24</w:t>
      </w:r>
      <w:r w:rsidRPr="00E8512F" w:rsidR="009F29D1">
        <w:rPr>
          <w:lang w:val="en-GB"/>
        </w:rPr>
        <w:t xml:space="preserve"> above).</w:t>
      </w:r>
    </w:p>
    <w:p w:rsidRPr="00E8512F" w:rsidR="009F29D1" w:rsidP="0015731A" w:rsidRDefault="009F29D1">
      <w:pPr>
        <w:pStyle w:val="ECHRPara"/>
        <w:rPr>
          <w:lang w:val="en-GB"/>
        </w:rPr>
      </w:pPr>
      <w:r w:rsidRPr="00E8512F">
        <w:rPr>
          <w:lang w:val="en-GB"/>
        </w:rPr>
        <w:lastRenderedPageBreak/>
        <w:fldChar w:fldCharType="begin"/>
      </w:r>
      <w:r w:rsidRPr="00E8512F">
        <w:rPr>
          <w:lang w:val="en-GB"/>
        </w:rPr>
        <w:instrText xml:space="preserve"> SEQ level0 \*arabic </w:instrText>
      </w:r>
      <w:r w:rsidRPr="00E8512F">
        <w:rPr>
          <w:lang w:val="en-GB"/>
        </w:rPr>
        <w:fldChar w:fldCharType="separate"/>
      </w:r>
      <w:r w:rsidR="005C1550">
        <w:rPr>
          <w:noProof/>
          <w:lang w:val="en-GB"/>
        </w:rPr>
        <w:t>29</w:t>
      </w:r>
      <w:r w:rsidRPr="00E8512F">
        <w:rPr>
          <w:lang w:val="en-GB"/>
        </w:rPr>
        <w:fldChar w:fldCharType="end"/>
      </w:r>
      <w:r w:rsidRPr="00E8512F">
        <w:rPr>
          <w:lang w:val="en-GB"/>
        </w:rPr>
        <w:t xml:space="preserve">.  A request made by the applicant to the Ministry of Justice for his conviction to be quashed and another request to the Court of Cassation to rectify the judgment were </w:t>
      </w:r>
      <w:r w:rsidR="00C13D0C">
        <w:rPr>
          <w:lang w:val="en-GB"/>
        </w:rPr>
        <w:t xml:space="preserve">rejected </w:t>
      </w:r>
      <w:r w:rsidRPr="00E8512F">
        <w:rPr>
          <w:lang w:val="en-GB"/>
        </w:rPr>
        <w:t>on 28 September 2007 and 28</w:t>
      </w:r>
      <w:r w:rsidR="007938D1">
        <w:rPr>
          <w:lang w:val="en-GB"/>
        </w:rPr>
        <w:t> </w:t>
      </w:r>
      <w:r w:rsidRPr="00E8512F">
        <w:rPr>
          <w:lang w:val="en-GB"/>
        </w:rPr>
        <w:t>December 2007</w:t>
      </w:r>
      <w:r w:rsidR="00F83A7E">
        <w:rPr>
          <w:lang w:val="en-GB"/>
        </w:rPr>
        <w:t xml:space="preserve"> respectively</w:t>
      </w:r>
      <w:r w:rsidRPr="00E8512F">
        <w:rPr>
          <w:lang w:val="en-GB"/>
        </w:rPr>
        <w:t>.</w:t>
      </w:r>
    </w:p>
    <w:p w:rsidRPr="002A303D" w:rsidR="0015731A" w:rsidP="0015731A" w:rsidRDefault="00B95CD4">
      <w:pPr>
        <w:pStyle w:val="ECHRPara"/>
        <w:rPr>
          <w:lang w:val="en-GB"/>
        </w:rPr>
      </w:pPr>
      <w:r w:rsidRPr="002A303D">
        <w:rPr>
          <w:lang w:val="en-GB"/>
        </w:rPr>
        <w:fldChar w:fldCharType="begin"/>
      </w:r>
      <w:r w:rsidRPr="002A303D">
        <w:rPr>
          <w:lang w:val="en-GB"/>
        </w:rPr>
        <w:instrText xml:space="preserve"> SEQ level0 \*arabic </w:instrText>
      </w:r>
      <w:r w:rsidRPr="002A303D">
        <w:rPr>
          <w:lang w:val="en-GB"/>
        </w:rPr>
        <w:fldChar w:fldCharType="separate"/>
      </w:r>
      <w:r w:rsidR="005C1550">
        <w:rPr>
          <w:noProof/>
          <w:lang w:val="en-GB"/>
        </w:rPr>
        <w:t>30</w:t>
      </w:r>
      <w:r w:rsidRPr="002A303D">
        <w:rPr>
          <w:lang w:val="en-GB"/>
        </w:rPr>
        <w:fldChar w:fldCharType="end"/>
      </w:r>
      <w:r w:rsidRPr="002A303D">
        <w:rPr>
          <w:lang w:val="en-GB"/>
        </w:rPr>
        <w:t>.  </w:t>
      </w:r>
      <w:r w:rsidRPr="002A303D" w:rsidR="006C6205">
        <w:rPr>
          <w:lang w:val="en-GB"/>
        </w:rPr>
        <w:t>On 11 June 2013</w:t>
      </w:r>
      <w:r w:rsidRPr="002A303D" w:rsidR="00F83A7E">
        <w:rPr>
          <w:lang w:val="en-GB"/>
        </w:rPr>
        <w:t xml:space="preserve"> </w:t>
      </w:r>
      <w:r w:rsidRPr="002A303D" w:rsidR="005C6FB4">
        <w:rPr>
          <w:lang w:val="en-GB"/>
        </w:rPr>
        <w:t>t</w:t>
      </w:r>
      <w:r w:rsidRPr="002A303D" w:rsidR="0015731A">
        <w:rPr>
          <w:lang w:val="en-GB"/>
        </w:rPr>
        <w:t>he applicant w</w:t>
      </w:r>
      <w:r w:rsidRPr="002A303D">
        <w:rPr>
          <w:lang w:val="en-GB"/>
        </w:rPr>
        <w:t>as re</w:t>
      </w:r>
      <w:r w:rsidRPr="002A303D" w:rsidR="009F29D1">
        <w:rPr>
          <w:lang w:val="en-GB"/>
        </w:rPr>
        <w:t>leased</w:t>
      </w:r>
      <w:r w:rsidRPr="002A303D" w:rsidR="0015731A">
        <w:rPr>
          <w:lang w:val="en-GB"/>
        </w:rPr>
        <w:t xml:space="preserve"> </w:t>
      </w:r>
      <w:r w:rsidRPr="002A303D" w:rsidR="00173CF9">
        <w:rPr>
          <w:lang w:val="en-GB"/>
        </w:rPr>
        <w:t>conditionally</w:t>
      </w:r>
      <w:r w:rsidRPr="002A303D">
        <w:rPr>
          <w:lang w:val="en-GB"/>
        </w:rPr>
        <w:t>.</w:t>
      </w:r>
    </w:p>
    <w:p w:rsidRPr="00E8512F" w:rsidR="007352DD" w:rsidP="008824B9" w:rsidRDefault="007352DD">
      <w:pPr>
        <w:pStyle w:val="ECHRHeading1"/>
        <w:rPr>
          <w:lang w:val="en-GB"/>
        </w:rPr>
      </w:pPr>
      <w:r w:rsidRPr="00E8512F">
        <w:rPr>
          <w:lang w:val="en-GB"/>
        </w:rPr>
        <w:t>II.</w:t>
      </w:r>
      <w:proofErr w:type="gramStart"/>
      <w:r w:rsidR="007938D1">
        <w:rPr>
          <w:lang w:val="en-GB"/>
        </w:rPr>
        <w:t> </w:t>
      </w:r>
      <w:r w:rsidRPr="00E8512F" w:rsidR="007938D1">
        <w:rPr>
          <w:lang w:val="en-GB"/>
        </w:rPr>
        <w:t> RELEVANT</w:t>
      </w:r>
      <w:proofErr w:type="gramEnd"/>
      <w:r w:rsidRPr="00E8512F">
        <w:rPr>
          <w:lang w:val="en-GB"/>
        </w:rPr>
        <w:t xml:space="preserve"> DOMESTIC LAW AND PRACTICE</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31</w:t>
      </w:r>
      <w:r w:rsidRPr="00E8512F">
        <w:rPr>
          <w:lang w:val="en-GB"/>
        </w:rPr>
        <w:fldChar w:fldCharType="end"/>
      </w:r>
      <w:r w:rsidRPr="00E8512F">
        <w:rPr>
          <w:lang w:val="en-GB"/>
        </w:rPr>
        <w:t>.  </w:t>
      </w:r>
      <w:r w:rsidR="00C4662A">
        <w:rPr>
          <w:lang w:val="en-GB"/>
        </w:rPr>
        <w:t xml:space="preserve">The </w:t>
      </w:r>
      <w:r w:rsidRPr="00E8512F">
        <w:rPr>
          <w:lang w:val="en-GB"/>
        </w:rPr>
        <w:t xml:space="preserve">Law on Offences Committed </w:t>
      </w:r>
      <w:proofErr w:type="gramStart"/>
      <w:r w:rsidRPr="00E8512F">
        <w:rPr>
          <w:lang w:val="en-GB"/>
        </w:rPr>
        <w:t>Against</w:t>
      </w:r>
      <w:proofErr w:type="gramEnd"/>
      <w:r w:rsidRPr="00E8512F">
        <w:rPr>
          <w:lang w:val="en-GB"/>
        </w:rPr>
        <w:t xml:space="preserve"> Atatürk (Law </w:t>
      </w:r>
      <w:r w:rsidR="00F83A7E">
        <w:rPr>
          <w:lang w:val="en-GB"/>
        </w:rPr>
        <w:t>n</w:t>
      </w:r>
      <w:r w:rsidRPr="00E8512F" w:rsidR="00F83A7E">
        <w:rPr>
          <w:lang w:val="en-GB"/>
        </w:rPr>
        <w:t>o</w:t>
      </w:r>
      <w:r w:rsidR="00F82657">
        <w:rPr>
          <w:lang w:val="en-GB"/>
        </w:rPr>
        <w:t>. </w:t>
      </w:r>
      <w:r w:rsidRPr="00E8512F">
        <w:rPr>
          <w:lang w:val="en-GB"/>
        </w:rPr>
        <w:t>5816, entry into force 31 July 1951) provides</w:t>
      </w:r>
      <w:r w:rsidR="000D4AAF">
        <w:rPr>
          <w:lang w:val="en-GB"/>
        </w:rPr>
        <w:t xml:space="preserve"> </w:t>
      </w:r>
      <w:r w:rsidRPr="00E8512F">
        <w:rPr>
          <w:lang w:val="en-GB"/>
        </w:rPr>
        <w:t>as follows:</w:t>
      </w:r>
    </w:p>
    <w:p w:rsidRPr="00E8512F" w:rsidR="0015731A" w:rsidP="0015731A" w:rsidRDefault="0015731A">
      <w:pPr>
        <w:pStyle w:val="ECHRParaQuote"/>
        <w:rPr>
          <w:lang w:val="en-GB"/>
        </w:rPr>
      </w:pPr>
      <w:r w:rsidRPr="00E8512F">
        <w:rPr>
          <w:lang w:val="en-GB"/>
        </w:rPr>
        <w:t xml:space="preserve">“Section 1: </w:t>
      </w:r>
      <w:r w:rsidR="00F83A7E">
        <w:rPr>
          <w:lang w:val="en-GB"/>
        </w:rPr>
        <w:t>Anyone</w:t>
      </w:r>
      <w:r w:rsidRPr="00E8512F">
        <w:rPr>
          <w:lang w:val="en-GB"/>
        </w:rPr>
        <w:t xml:space="preserve"> who publicly insults the memory of Atatürk or swears at him shall be liable to imprisonment for a term of between one and three years.</w:t>
      </w:r>
    </w:p>
    <w:p w:rsidRPr="00E8512F" w:rsidR="0015731A" w:rsidP="0015731A" w:rsidRDefault="00F802AE">
      <w:pPr>
        <w:pStyle w:val="ECHRParaQuote"/>
        <w:rPr>
          <w:lang w:val="en-GB"/>
        </w:rPr>
      </w:pPr>
      <w:r>
        <w:rPr>
          <w:lang w:val="en-GB"/>
        </w:rPr>
        <w:t>Anyone</w:t>
      </w:r>
      <w:r w:rsidRPr="00E8512F" w:rsidR="0015731A">
        <w:rPr>
          <w:lang w:val="en-GB"/>
        </w:rPr>
        <w:t xml:space="preserve"> who demolishes, breaks, ruins or dirties a sculpture, statue, monument or </w:t>
      </w:r>
      <w:r w:rsidR="000D4AAF">
        <w:rPr>
          <w:lang w:val="en-GB"/>
        </w:rPr>
        <w:t xml:space="preserve">the </w:t>
      </w:r>
      <w:r w:rsidRPr="00E8512F" w:rsidR="0015731A">
        <w:rPr>
          <w:lang w:val="en-GB"/>
        </w:rPr>
        <w:t>mausoleum of Atatürk, shall be liable to imprisonment for a term of between one and five years.</w:t>
      </w:r>
    </w:p>
    <w:p w:rsidRPr="00E8512F" w:rsidR="0015731A" w:rsidP="0015731A" w:rsidRDefault="00F802AE">
      <w:pPr>
        <w:pStyle w:val="ECHRParaQuote"/>
        <w:rPr>
          <w:lang w:val="en-GB"/>
        </w:rPr>
      </w:pPr>
      <w:r>
        <w:rPr>
          <w:lang w:val="en-GB"/>
        </w:rPr>
        <w:t>Anyone who incites</w:t>
      </w:r>
      <w:r w:rsidRPr="00E8512F" w:rsidR="0015731A">
        <w:rPr>
          <w:lang w:val="en-GB"/>
        </w:rPr>
        <w:t xml:space="preserve"> another to commit any of the above-mentioned offences shall be liable </w:t>
      </w:r>
      <w:r>
        <w:rPr>
          <w:lang w:val="en-GB"/>
        </w:rPr>
        <w:t>to</w:t>
      </w:r>
      <w:r w:rsidRPr="00E8512F">
        <w:rPr>
          <w:lang w:val="en-GB"/>
        </w:rPr>
        <w:t xml:space="preserve"> </w:t>
      </w:r>
      <w:r w:rsidRPr="00E8512F" w:rsidR="0015731A">
        <w:rPr>
          <w:lang w:val="en-GB"/>
        </w:rPr>
        <w:t>the same punishment as the person committing the offence.</w:t>
      </w:r>
    </w:p>
    <w:p w:rsidRPr="00E8512F" w:rsidR="0015731A" w:rsidP="0015731A" w:rsidRDefault="0015731A">
      <w:pPr>
        <w:pStyle w:val="ECHRParaQuote"/>
        <w:rPr>
          <w:lang w:val="en-GB"/>
        </w:rPr>
      </w:pPr>
      <w:r w:rsidRPr="00E8512F">
        <w:rPr>
          <w:lang w:val="en-GB"/>
        </w:rPr>
        <w:t xml:space="preserve">Section 2: In cases where the offences mentioned in section 1 of this Law are committed by two or more </w:t>
      </w:r>
      <w:r w:rsidRPr="00E8512F" w:rsidR="00F802AE">
        <w:rPr>
          <w:lang w:val="en-GB"/>
        </w:rPr>
        <w:t>pe</w:t>
      </w:r>
      <w:r w:rsidR="00526449">
        <w:rPr>
          <w:lang w:val="en-GB"/>
        </w:rPr>
        <w:t>rsons</w:t>
      </w:r>
      <w:r w:rsidRPr="00E8512F">
        <w:rPr>
          <w:lang w:val="en-GB"/>
        </w:rPr>
        <w:t>, committed in public places or committed through the media the prison term shall be increased by half.</w:t>
      </w:r>
    </w:p>
    <w:p w:rsidRPr="00E8512F" w:rsidR="0015731A" w:rsidP="0015731A" w:rsidRDefault="0015731A">
      <w:pPr>
        <w:pStyle w:val="ECHRParaQuote"/>
        <w:rPr>
          <w:lang w:val="en-GB"/>
        </w:rPr>
      </w:pPr>
      <w:r w:rsidRPr="00E8512F">
        <w:rPr>
          <w:lang w:val="en-GB"/>
        </w:rPr>
        <w:t xml:space="preserve">If force is used in the commission of the offences mentioned in the second </w:t>
      </w:r>
      <w:r w:rsidRPr="009236C0">
        <w:rPr>
          <w:lang w:val="en-GB"/>
        </w:rPr>
        <w:t>paragraph</w:t>
      </w:r>
      <w:r w:rsidRPr="00E8512F">
        <w:rPr>
          <w:lang w:val="en-GB"/>
        </w:rPr>
        <w:t xml:space="preserve"> of section 1 of this Law, or an attempt is made to do so, the prison term shall be doubled.</w:t>
      </w:r>
    </w:p>
    <w:p w:rsidRPr="00E8512F" w:rsidR="0015731A" w:rsidP="0015731A" w:rsidRDefault="0015731A">
      <w:pPr>
        <w:pStyle w:val="ECHRParaQuote"/>
        <w:rPr>
          <w:lang w:val="en-GB"/>
        </w:rPr>
      </w:pPr>
      <w:r w:rsidRPr="00E8512F">
        <w:rPr>
          <w:lang w:val="en-GB"/>
        </w:rPr>
        <w:t xml:space="preserve">Section 3: </w:t>
      </w:r>
      <w:r w:rsidR="00AA6E51">
        <w:rPr>
          <w:lang w:val="en-GB"/>
        </w:rPr>
        <w:t>The o</w:t>
      </w:r>
      <w:r w:rsidRPr="00E8512F" w:rsidR="00AA6E51">
        <w:rPr>
          <w:lang w:val="en-GB"/>
        </w:rPr>
        <w:t xml:space="preserve">ffences </w:t>
      </w:r>
      <w:r w:rsidRPr="00E8512F">
        <w:rPr>
          <w:lang w:val="en-GB"/>
        </w:rPr>
        <w:t xml:space="preserve">mentioned in this Law </w:t>
      </w:r>
      <w:r w:rsidR="00FF57D3">
        <w:rPr>
          <w:lang w:val="en-GB"/>
        </w:rPr>
        <w:t>shall be</w:t>
      </w:r>
      <w:r w:rsidRPr="00E8512F" w:rsidR="00FF57D3">
        <w:rPr>
          <w:lang w:val="en-GB"/>
        </w:rPr>
        <w:t xml:space="preserve"> </w:t>
      </w:r>
      <w:r w:rsidRPr="00E8512F">
        <w:rPr>
          <w:lang w:val="en-GB"/>
        </w:rPr>
        <w:t>prosecuted by public prosecutors of their own motion.</w:t>
      </w:r>
    </w:p>
    <w:p w:rsidR="000D4AAF" w:rsidP="0015731A" w:rsidRDefault="000D4AAF">
      <w:pPr>
        <w:pStyle w:val="ECHRParaQuote"/>
        <w:rPr>
          <w:lang w:val="en-GB"/>
        </w:rPr>
      </w:pPr>
      <w:r>
        <w:rPr>
          <w:lang w:val="en-GB"/>
        </w:rPr>
        <w:t xml:space="preserve">Section 4: This Law </w:t>
      </w:r>
      <w:r w:rsidR="00AA6E51">
        <w:rPr>
          <w:lang w:val="en-GB"/>
        </w:rPr>
        <w:t xml:space="preserve">shall </w:t>
      </w:r>
      <w:r>
        <w:rPr>
          <w:lang w:val="en-GB"/>
        </w:rPr>
        <w:t>enter into force on</w:t>
      </w:r>
      <w:r w:rsidR="00B57DBA">
        <w:rPr>
          <w:lang w:val="en-GB"/>
        </w:rPr>
        <w:t xml:space="preserve"> the date of</w:t>
      </w:r>
      <w:r>
        <w:rPr>
          <w:lang w:val="en-GB"/>
        </w:rPr>
        <w:t xml:space="preserve"> its publication.</w:t>
      </w:r>
    </w:p>
    <w:p w:rsidRPr="00E8512F" w:rsidR="0015731A" w:rsidP="000D4AAF" w:rsidRDefault="000D4AAF">
      <w:pPr>
        <w:pStyle w:val="ECHRParaQuote"/>
        <w:rPr>
          <w:lang w:val="en-GB"/>
        </w:rPr>
      </w:pPr>
      <w:r>
        <w:rPr>
          <w:lang w:val="en-GB"/>
        </w:rPr>
        <w:t>Section 5: The Justice Minister shall oversee the enforcement of this Law.</w:t>
      </w:r>
      <w:r w:rsidRPr="00E8512F" w:rsidR="0015731A">
        <w:rPr>
          <w:lang w:val="en-GB"/>
        </w:rPr>
        <w:t>”</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32</w:t>
      </w:r>
      <w:r w:rsidRPr="00E8512F">
        <w:rPr>
          <w:lang w:val="en-GB"/>
        </w:rPr>
        <w:fldChar w:fldCharType="end"/>
      </w:r>
      <w:r w:rsidRPr="00E8512F">
        <w:rPr>
          <w:lang w:val="en-GB"/>
        </w:rPr>
        <w:t>.  Section 43 of the Criminal Code</w:t>
      </w:r>
      <w:r w:rsidRPr="00E8512F" w:rsidR="00704343">
        <w:rPr>
          <w:lang w:val="en-GB"/>
        </w:rPr>
        <w:t xml:space="preserve"> (Law no. 5237 of 2004)</w:t>
      </w:r>
      <w:r w:rsidRPr="00E8512F">
        <w:rPr>
          <w:lang w:val="en-GB"/>
        </w:rPr>
        <w:t>, in so far as relevant, provides as follows:</w:t>
      </w:r>
    </w:p>
    <w:p w:rsidRPr="00E8512F" w:rsidR="007E2798" w:rsidP="0015731A" w:rsidRDefault="0015731A">
      <w:pPr>
        <w:pStyle w:val="ECHRParaQuote"/>
        <w:rPr>
          <w:lang w:val="en-GB"/>
        </w:rPr>
      </w:pPr>
      <w:r w:rsidRPr="00E8512F">
        <w:rPr>
          <w:lang w:val="en-GB"/>
        </w:rPr>
        <w:t>“(1)</w:t>
      </w:r>
      <w:r w:rsidR="007938D1">
        <w:rPr>
          <w:lang w:val="en-GB"/>
        </w:rPr>
        <w:t>  </w:t>
      </w:r>
      <w:r w:rsidRPr="00E8512F">
        <w:rPr>
          <w:lang w:val="en-GB"/>
        </w:rPr>
        <w:t>In circumstances where, in the course of the execution of a decision to commit a particular offence, an offence is committed against a person more than once and at different times, only one punishment shall be imposed [on the offender].</w:t>
      </w:r>
      <w:r w:rsidR="00344EC7">
        <w:rPr>
          <w:lang w:val="en-GB"/>
        </w:rPr>
        <w:t xml:space="preserve"> </w:t>
      </w:r>
      <w:r w:rsidRPr="00E8512F">
        <w:rPr>
          <w:lang w:val="en-GB"/>
        </w:rPr>
        <w:t xml:space="preserve">However, the punishment shall then be increased </w:t>
      </w:r>
      <w:r w:rsidR="0027629D">
        <w:rPr>
          <w:lang w:val="en-GB"/>
        </w:rPr>
        <w:t xml:space="preserve">by </w:t>
      </w:r>
      <w:r w:rsidRPr="00E8512F">
        <w:rPr>
          <w:lang w:val="en-GB"/>
        </w:rPr>
        <w:t>between a quarter and three quarters</w:t>
      </w:r>
      <w:r w:rsidR="00F82657">
        <w:rPr>
          <w:lang w:val="en-GB"/>
        </w:rPr>
        <w:t xml:space="preserve"> </w:t>
      </w:r>
      <w:r w:rsidRPr="00E8512F" w:rsidR="007E2798">
        <w:rPr>
          <w:lang w:val="en-GB"/>
        </w:rPr>
        <w:t>...</w:t>
      </w:r>
      <w:r w:rsidRPr="00E8512F">
        <w:rPr>
          <w:lang w:val="en-GB"/>
        </w:rPr>
        <w:t>”</w:t>
      </w:r>
    </w:p>
    <w:p w:rsidRPr="00E8512F" w:rsidR="0015731A" w:rsidP="0015731A" w:rsidRDefault="0015731A">
      <w:pPr>
        <w:pStyle w:val="ECHRParaQuote"/>
        <w:rPr>
          <w:lang w:val="en-GB"/>
        </w:rPr>
      </w:pPr>
      <w:r w:rsidRPr="00E8512F">
        <w:rPr>
          <w:lang w:val="en-GB"/>
        </w:rPr>
        <w:t>...”</w:t>
      </w:r>
    </w:p>
    <w:p w:rsidR="00944D8E" w:rsidP="00944D8E" w:rsidRDefault="0015731A">
      <w:pPr>
        <w:pStyle w:val="ECHRPara"/>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33</w:t>
      </w:r>
      <w:r w:rsidRPr="00E8512F">
        <w:rPr>
          <w:lang w:val="en-GB"/>
        </w:rPr>
        <w:fldChar w:fldCharType="end"/>
      </w:r>
      <w:r w:rsidRPr="00E8512F">
        <w:rPr>
          <w:lang w:val="en-GB"/>
        </w:rPr>
        <w:t>.  </w:t>
      </w:r>
      <w:r w:rsidR="0027629D">
        <w:t xml:space="preserve">The relevant </w:t>
      </w:r>
      <w:r w:rsidR="00944D8E">
        <w:t>provisions of section 53 of the Criminal Code (Law no. 5237 of 2004) provide as follows:</w:t>
      </w:r>
    </w:p>
    <w:p w:rsidRPr="0050610F" w:rsidR="00944D8E" w:rsidP="00944D8E" w:rsidRDefault="00344EC7">
      <w:pPr>
        <w:pStyle w:val="ECHRParaQuote"/>
        <w:rPr>
          <w:lang w:val="en-GB"/>
        </w:rPr>
      </w:pPr>
      <w:r w:rsidRPr="0050610F">
        <w:rPr>
          <w:lang w:val="en-GB"/>
        </w:rPr>
        <w:t>“(1)</w:t>
      </w:r>
      <w:proofErr w:type="gramStart"/>
      <w:r w:rsidRPr="0050610F">
        <w:rPr>
          <w:lang w:val="en-GB"/>
        </w:rPr>
        <w:t>  </w:t>
      </w:r>
      <w:r w:rsidRPr="0050610F" w:rsidR="00944D8E">
        <w:rPr>
          <w:lang w:val="en-GB"/>
        </w:rPr>
        <w:t>As</w:t>
      </w:r>
      <w:proofErr w:type="gramEnd"/>
      <w:r w:rsidRPr="0050610F" w:rsidR="00944D8E">
        <w:rPr>
          <w:lang w:val="en-GB"/>
        </w:rPr>
        <w:t xml:space="preserve"> the statutory consequence of imposition of a prison sentence for an offence committed intentionally, the </w:t>
      </w:r>
      <w:r w:rsidRPr="0050610F" w:rsidR="0027629D">
        <w:rPr>
          <w:lang w:val="en-GB"/>
        </w:rPr>
        <w:t xml:space="preserve">[convicted] </w:t>
      </w:r>
      <w:r w:rsidRPr="0050610F" w:rsidR="00944D8E">
        <w:rPr>
          <w:lang w:val="en-GB"/>
        </w:rPr>
        <w:t>person shall be deprived of the following [rights]:</w:t>
      </w:r>
    </w:p>
    <w:p w:rsidRPr="0050610F" w:rsidR="00944D8E" w:rsidP="00944D8E" w:rsidRDefault="00944D8E">
      <w:pPr>
        <w:pStyle w:val="ECHRParaQuote"/>
        <w:rPr>
          <w:lang w:val="en-GB"/>
        </w:rPr>
      </w:pPr>
      <w:r w:rsidRPr="0050610F">
        <w:rPr>
          <w:lang w:val="en-GB"/>
        </w:rPr>
        <w:t>a)</w:t>
      </w:r>
      <w:r w:rsidRPr="0050610F" w:rsidR="00344EC7">
        <w:rPr>
          <w:lang w:val="en-GB"/>
        </w:rPr>
        <w:t>  </w:t>
      </w:r>
      <w:r w:rsidRPr="0050610F">
        <w:rPr>
          <w:lang w:val="en-GB"/>
        </w:rPr>
        <w:t>Undertaking of permanent or temporary public duties, including membership of the Turkish National Assembly and all civil service and other duties which are offered through election or appointment by the State, city councils, town councils, village councils, or organisations controlled or supervised by them;</w:t>
      </w:r>
    </w:p>
    <w:p w:rsidRPr="0050610F" w:rsidR="00944D8E" w:rsidP="00944D8E" w:rsidRDefault="00344EC7">
      <w:pPr>
        <w:pStyle w:val="ECHRParaQuote"/>
        <w:rPr>
          <w:lang w:val="en-GB"/>
        </w:rPr>
      </w:pPr>
      <w:r w:rsidRPr="0050610F">
        <w:rPr>
          <w:lang w:val="en-GB"/>
        </w:rPr>
        <w:lastRenderedPageBreak/>
        <w:t>b)  </w:t>
      </w:r>
      <w:r w:rsidRPr="0050610F" w:rsidR="00944D8E">
        <w:rPr>
          <w:lang w:val="en-GB"/>
        </w:rPr>
        <w:t>Voting, standing for election and enjoying all other political rights;</w:t>
      </w:r>
    </w:p>
    <w:p w:rsidRPr="0050610F" w:rsidR="00944D8E" w:rsidP="00944D8E" w:rsidRDefault="00344EC7">
      <w:pPr>
        <w:pStyle w:val="ECHRParaQuote"/>
        <w:rPr>
          <w:lang w:val="en-GB"/>
        </w:rPr>
      </w:pPr>
      <w:r w:rsidRPr="0050610F">
        <w:rPr>
          <w:lang w:val="en-GB"/>
        </w:rPr>
        <w:t>c)  </w:t>
      </w:r>
      <w:r w:rsidRPr="0050610F" w:rsidR="00944D8E">
        <w:rPr>
          <w:lang w:val="en-GB"/>
        </w:rPr>
        <w:t>Exercising custodial rights as a parent; performing duties as a guardian or a trustee;</w:t>
      </w:r>
    </w:p>
    <w:p w:rsidRPr="0050610F" w:rsidR="00944D8E" w:rsidP="00944D8E" w:rsidRDefault="00344EC7">
      <w:pPr>
        <w:pStyle w:val="ECHRParaQuote"/>
        <w:rPr>
          <w:lang w:val="en-GB"/>
        </w:rPr>
      </w:pPr>
      <w:r w:rsidRPr="0050610F">
        <w:rPr>
          <w:lang w:val="en-GB"/>
        </w:rPr>
        <w:t>d)  </w:t>
      </w:r>
      <w:r w:rsidRPr="0050610F" w:rsidR="00944D8E">
        <w:rPr>
          <w:lang w:val="en-GB"/>
        </w:rPr>
        <w:t>Chairing or auditing foundations, associations, unions, companies, cooperatives and political parties;</w:t>
      </w:r>
    </w:p>
    <w:p w:rsidRPr="0050610F" w:rsidR="00944D8E" w:rsidP="00944D8E" w:rsidRDefault="00344EC7">
      <w:pPr>
        <w:pStyle w:val="ECHRParaQuote"/>
        <w:rPr>
          <w:lang w:val="en-GB"/>
        </w:rPr>
      </w:pPr>
      <w:r w:rsidRPr="0050610F">
        <w:rPr>
          <w:lang w:val="en-GB"/>
        </w:rPr>
        <w:t>e)  </w:t>
      </w:r>
      <w:r w:rsidRPr="0050610F" w:rsidR="00FF57D3">
        <w:rPr>
          <w:lang w:val="en-GB"/>
        </w:rPr>
        <w:t xml:space="preserve">Carrying out </w:t>
      </w:r>
      <w:r w:rsidRPr="0050610F" w:rsidR="00944D8E">
        <w:rPr>
          <w:lang w:val="en-GB"/>
        </w:rPr>
        <w:t>a self-employed profession which is subject to regulation by public organisations or by chambers of commerce which have public status.</w:t>
      </w:r>
    </w:p>
    <w:p w:rsidRPr="0050610F" w:rsidR="00944D8E" w:rsidP="00944D8E" w:rsidRDefault="00344EC7">
      <w:pPr>
        <w:pStyle w:val="ECHRParaQuote"/>
        <w:rPr>
          <w:lang w:val="en-GB"/>
        </w:rPr>
      </w:pPr>
      <w:r w:rsidRPr="0050610F">
        <w:rPr>
          <w:lang w:val="en-GB"/>
        </w:rPr>
        <w:t>(2)  </w:t>
      </w:r>
      <w:r w:rsidRPr="0050610F" w:rsidR="00944D8E">
        <w:rPr>
          <w:lang w:val="en-GB"/>
        </w:rPr>
        <w:t xml:space="preserve">The person cannot enjoy the [above-mentioned] rights until the prison </w:t>
      </w:r>
      <w:r w:rsidRPr="0050610F" w:rsidR="00FF57D3">
        <w:rPr>
          <w:lang w:val="en-GB"/>
        </w:rPr>
        <w:t xml:space="preserve">term </w:t>
      </w:r>
      <w:r w:rsidRPr="0050610F" w:rsidR="00944D8E">
        <w:rPr>
          <w:lang w:val="en-GB"/>
        </w:rPr>
        <w:t>to which he or she has been sentenced as a consequence of the commission of the offence</w:t>
      </w:r>
      <w:r w:rsidRPr="0050610F" w:rsidR="00FF57D3">
        <w:rPr>
          <w:lang w:val="en-GB"/>
        </w:rPr>
        <w:t xml:space="preserve"> has been served</w:t>
      </w:r>
      <w:r w:rsidRPr="0050610F" w:rsidR="00944D8E">
        <w:rPr>
          <w:lang w:val="en-GB"/>
        </w:rPr>
        <w:t>.</w:t>
      </w:r>
    </w:p>
    <w:p w:rsidRPr="0050610F" w:rsidR="00944D8E" w:rsidP="00944D8E" w:rsidRDefault="00344EC7">
      <w:pPr>
        <w:pStyle w:val="ECHRParaQuote"/>
        <w:rPr>
          <w:lang w:val="en-GB"/>
        </w:rPr>
      </w:pPr>
      <w:r w:rsidRPr="0050610F">
        <w:rPr>
          <w:lang w:val="en-GB"/>
        </w:rPr>
        <w:t>(3)  </w:t>
      </w:r>
      <w:r w:rsidRPr="0050610F" w:rsidR="00944D8E">
        <w:rPr>
          <w:lang w:val="en-GB"/>
        </w:rPr>
        <w:t xml:space="preserve">The provisions above which relate to the exercise of custodial rights as a parent and duties as a guardian or a trustee shall not be applicable to </w:t>
      </w:r>
      <w:r w:rsidRPr="0050610F" w:rsidR="003E3E28">
        <w:rPr>
          <w:lang w:val="en-GB"/>
        </w:rPr>
        <w:t xml:space="preserve">a </w:t>
      </w:r>
      <w:r w:rsidRPr="0050610F" w:rsidR="00944D8E">
        <w:rPr>
          <w:lang w:val="en-GB"/>
        </w:rPr>
        <w:t>convicted person whose prison sentence is suspended or who is conditionally released from prison. A decision may [also] be taken not to apply subsection 1 (e) above to a convict whose prison sentence is suspended.</w:t>
      </w:r>
    </w:p>
    <w:p w:rsidRPr="0050610F" w:rsidR="00944D8E" w:rsidP="00944D8E" w:rsidRDefault="00344EC7">
      <w:pPr>
        <w:pStyle w:val="ECHRParaQuote"/>
        <w:rPr>
          <w:lang w:val="en-GB"/>
        </w:rPr>
      </w:pPr>
      <w:r w:rsidRPr="0050610F">
        <w:rPr>
          <w:lang w:val="en-GB"/>
        </w:rPr>
        <w:t>(4)  </w:t>
      </w:r>
      <w:r w:rsidRPr="0050610F" w:rsidR="00944D8E">
        <w:rPr>
          <w:lang w:val="en-GB"/>
        </w:rPr>
        <w:t xml:space="preserve">Sub-section 1 above shall not be applicable </w:t>
      </w:r>
      <w:r w:rsidRPr="0050610F" w:rsidR="003E3E28">
        <w:rPr>
          <w:lang w:val="en-GB"/>
        </w:rPr>
        <w:t xml:space="preserve">a </w:t>
      </w:r>
      <w:r w:rsidRPr="0050610F" w:rsidR="00944D8E">
        <w:rPr>
          <w:lang w:val="en-GB"/>
        </w:rPr>
        <w:t>person whose short</w:t>
      </w:r>
      <w:r w:rsidRPr="0050610F" w:rsidR="003E3E28">
        <w:rPr>
          <w:lang w:val="en-GB"/>
        </w:rPr>
        <w:t>-</w:t>
      </w:r>
      <w:r w:rsidRPr="0050610F" w:rsidR="00944D8E">
        <w:rPr>
          <w:lang w:val="en-GB"/>
        </w:rPr>
        <w:t>term prison sentence is suspended or to persons who were under the age of eighteen at the time of the commission of the offence.</w:t>
      </w:r>
    </w:p>
    <w:p w:rsidRPr="0050610F" w:rsidR="00944D8E" w:rsidP="00944D8E" w:rsidRDefault="00344EC7">
      <w:pPr>
        <w:pStyle w:val="ECHRParaQuote"/>
        <w:rPr>
          <w:lang w:val="en-GB"/>
        </w:rPr>
      </w:pPr>
      <w:r w:rsidRPr="0050610F">
        <w:rPr>
          <w:lang w:val="en-GB"/>
        </w:rPr>
        <w:t>(5)  </w:t>
      </w:r>
      <w:r w:rsidRPr="0050610F" w:rsidR="00944D8E">
        <w:rPr>
          <w:lang w:val="en-GB"/>
        </w:rPr>
        <w:t>Where the person is sentenced for an offence committed by abusing one of the rights and powers mentioned in sub-section 1 above, a further prohibition of the enjoyment of the same right shall be imposed for a period equal to between a half and the whole length of the prison sentence</w:t>
      </w:r>
      <w:r w:rsidRPr="0050610F" w:rsidR="00FF57D3">
        <w:rPr>
          <w:lang w:val="en-GB"/>
        </w:rPr>
        <w:t xml:space="preserve"> </w:t>
      </w:r>
      <w:r w:rsidRPr="0050610F" w:rsidR="00944D8E">
        <w:rPr>
          <w:lang w:val="en-GB"/>
        </w:rPr>
        <w:t>...</w:t>
      </w:r>
    </w:p>
    <w:p w:rsidRPr="00E8512F" w:rsidR="00944D8E" w:rsidP="00944D8E" w:rsidRDefault="00944D8E">
      <w:pPr>
        <w:pStyle w:val="ECHRParaQuote"/>
        <w:rPr>
          <w:lang w:val="en-GB"/>
        </w:rPr>
      </w:pPr>
      <w:r w:rsidRPr="0050610F">
        <w:rPr>
          <w:lang w:val="en-GB"/>
        </w:rPr>
        <w:t>...”</w:t>
      </w:r>
    </w:p>
    <w:p w:rsidRPr="00E8512F" w:rsidR="0015731A" w:rsidP="0015731A" w:rsidRDefault="0015731A">
      <w:pPr>
        <w:pStyle w:val="ECHRPara"/>
        <w:rPr>
          <w:lang w:val="en-GB"/>
        </w:rPr>
      </w:pPr>
    </w:p>
    <w:p w:rsidRPr="00E8512F" w:rsidR="0015731A" w:rsidP="0015731A" w:rsidRDefault="0015731A">
      <w:pPr>
        <w:pStyle w:val="ECHRPara"/>
        <w:rPr>
          <w:i/>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34</w:t>
      </w:r>
      <w:r w:rsidRPr="00E8512F">
        <w:rPr>
          <w:lang w:val="en-GB"/>
        </w:rPr>
        <w:fldChar w:fldCharType="end"/>
      </w:r>
      <w:r w:rsidRPr="00E8512F">
        <w:rPr>
          <w:lang w:val="en-GB"/>
        </w:rPr>
        <w:t xml:space="preserve">.  For more information </w:t>
      </w:r>
      <w:r w:rsidR="00944D8E">
        <w:rPr>
          <w:lang w:val="en-GB"/>
        </w:rPr>
        <w:t>concerning</w:t>
      </w:r>
      <w:r w:rsidRPr="00E8512F">
        <w:rPr>
          <w:lang w:val="en-GB"/>
        </w:rPr>
        <w:t xml:space="preserve"> </w:t>
      </w:r>
      <w:r w:rsidR="00944D8E">
        <w:rPr>
          <w:lang w:val="en-GB"/>
        </w:rPr>
        <w:t xml:space="preserve">the </w:t>
      </w:r>
      <w:r w:rsidRPr="00E8512F">
        <w:rPr>
          <w:lang w:val="en-GB"/>
        </w:rPr>
        <w:t>legislation applicable to the issue of voting in Turkey, see</w:t>
      </w:r>
      <w:r w:rsidRPr="00E8512F" w:rsidR="00704343">
        <w:rPr>
          <w:lang w:val="en-GB"/>
        </w:rPr>
        <w:t xml:space="preserve"> </w:t>
      </w:r>
      <w:r w:rsidRPr="00E8512F" w:rsidR="00704343">
        <w:rPr>
          <w:i/>
          <w:lang w:val="en-GB"/>
        </w:rPr>
        <w:t>Söyler v. Turkey</w:t>
      </w:r>
      <w:r w:rsidRPr="00E8512F" w:rsidR="00704343">
        <w:rPr>
          <w:lang w:val="en-GB"/>
        </w:rPr>
        <w:t xml:space="preserve"> (no. 29411/07</w:t>
      </w:r>
      <w:r w:rsidRPr="00E8512F" w:rsidR="00704343">
        <w:rPr>
          <w:snapToGrid w:val="0"/>
          <w:lang w:val="en-GB"/>
        </w:rPr>
        <w:t xml:space="preserve">, §§ </w:t>
      </w:r>
      <w:r w:rsidR="00344EC7">
        <w:rPr>
          <w:snapToGrid w:val="0"/>
          <w:lang w:val="en-GB"/>
        </w:rPr>
        <w:t>12-19, 17 </w:t>
      </w:r>
      <w:r w:rsidRPr="00E8512F" w:rsidR="00704343">
        <w:rPr>
          <w:snapToGrid w:val="0"/>
          <w:lang w:val="en-GB"/>
        </w:rPr>
        <w:t>September 2013).</w:t>
      </w:r>
    </w:p>
    <w:p w:rsidRPr="00E8512F" w:rsidR="0015731A" w:rsidP="0015731A" w:rsidRDefault="0043760A">
      <w:pPr>
        <w:pStyle w:val="ECHRHeading1"/>
        <w:rPr>
          <w:lang w:val="en-GB"/>
        </w:rPr>
      </w:pPr>
      <w:r>
        <w:rPr>
          <w:lang w:val="en-GB"/>
        </w:rPr>
        <w:t>III.</w:t>
      </w:r>
      <w:proofErr w:type="gramStart"/>
      <w:r>
        <w:rPr>
          <w:lang w:val="en-GB"/>
        </w:rPr>
        <w:t>  </w:t>
      </w:r>
      <w:r w:rsidRPr="00E8512F" w:rsidR="0015731A">
        <w:rPr>
          <w:lang w:val="en-GB"/>
        </w:rPr>
        <w:t>RELEVANT</w:t>
      </w:r>
      <w:proofErr w:type="gramEnd"/>
      <w:r w:rsidRPr="00E8512F" w:rsidR="0015731A">
        <w:rPr>
          <w:lang w:val="en-GB"/>
        </w:rPr>
        <w:t xml:space="preserve"> INTERNATIONAL MATERIALS</w:t>
      </w:r>
    </w:p>
    <w:p w:rsidRPr="00E8512F" w:rsidR="0015731A" w:rsidP="0015731A" w:rsidRDefault="004603EE">
      <w:pPr>
        <w:pStyle w:val="ECHRPara"/>
        <w:rPr>
          <w:i/>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35</w:t>
      </w:r>
      <w:r>
        <w:rPr>
          <w:lang w:val="en-GB"/>
        </w:rPr>
        <w:fldChar w:fldCharType="end"/>
      </w:r>
      <w:r>
        <w:rPr>
          <w:lang w:val="en-GB"/>
        </w:rPr>
        <w:t>.  </w:t>
      </w:r>
      <w:r w:rsidRPr="00E8512F" w:rsidR="0015731A">
        <w:rPr>
          <w:lang w:val="en-GB"/>
        </w:rPr>
        <w:t xml:space="preserve">A description </w:t>
      </w:r>
      <w:r w:rsidR="003E3E28">
        <w:rPr>
          <w:lang w:val="en-GB"/>
        </w:rPr>
        <w:t xml:space="preserve">of the </w:t>
      </w:r>
      <w:r w:rsidRPr="00E8512F" w:rsidR="0015731A">
        <w:rPr>
          <w:lang w:val="en-GB"/>
        </w:rPr>
        <w:t xml:space="preserve">relevant international materials and comparative law on the issue of voting can be found in </w:t>
      </w:r>
      <w:r w:rsidRPr="00E8512F" w:rsidR="0015731A">
        <w:rPr>
          <w:i/>
          <w:lang w:val="en-GB"/>
        </w:rPr>
        <w:t>Scoppola v. Italy (no. 3)</w:t>
      </w:r>
      <w:r w:rsidRPr="00E8512F" w:rsidR="0015731A">
        <w:rPr>
          <w:lang w:val="en-GB"/>
        </w:rPr>
        <w:t xml:space="preserve"> [GC] (no.</w:t>
      </w:r>
      <w:r w:rsidR="0043760A">
        <w:rPr>
          <w:lang w:val="en-GB"/>
        </w:rPr>
        <w:t> </w:t>
      </w:r>
      <w:r w:rsidRPr="00E8512F" w:rsidR="0015731A">
        <w:rPr>
          <w:lang w:val="en-GB"/>
        </w:rPr>
        <w:t>126/05</w:t>
      </w:r>
      <w:r w:rsidRPr="00E8512F" w:rsidR="0015731A">
        <w:rPr>
          <w:snapToGrid w:val="0"/>
          <w:szCs w:val="24"/>
          <w:lang w:val="en-GB"/>
        </w:rPr>
        <w:t>, §§ 40-60, 22 May 2012).</w:t>
      </w:r>
    </w:p>
    <w:p w:rsidRPr="00E8512F" w:rsidR="00F71A6A" w:rsidP="008824B9" w:rsidRDefault="00F71A6A">
      <w:pPr>
        <w:pStyle w:val="ECHRTitle1"/>
        <w:rPr>
          <w:lang w:val="en-GB"/>
        </w:rPr>
      </w:pPr>
      <w:r w:rsidRPr="00E8512F">
        <w:rPr>
          <w:lang w:val="en-GB"/>
        </w:rPr>
        <w:t>THE LAW</w:t>
      </w:r>
    </w:p>
    <w:p w:rsidRPr="00E8512F" w:rsidR="00F71A6A" w:rsidRDefault="00F71A6A">
      <w:pPr>
        <w:pStyle w:val="ECHRHeading1"/>
        <w:rPr>
          <w:lang w:val="en-GB"/>
        </w:rPr>
      </w:pPr>
      <w:r w:rsidRPr="00E8512F">
        <w:rPr>
          <w:lang w:val="en-GB"/>
        </w:rPr>
        <w:t>I.  ALLEGED VIOLATION OF ARTICLE</w:t>
      </w:r>
      <w:r w:rsidRPr="00E8512F" w:rsidR="0015731A">
        <w:rPr>
          <w:lang w:val="en-GB"/>
        </w:rPr>
        <w:t>S</w:t>
      </w:r>
      <w:r w:rsidRPr="00E8512F">
        <w:rPr>
          <w:lang w:val="en-GB"/>
        </w:rPr>
        <w:t xml:space="preserve"> </w:t>
      </w:r>
      <w:r w:rsidRPr="00E8512F" w:rsidR="0015731A">
        <w:rPr>
          <w:lang w:val="en-GB"/>
        </w:rPr>
        <w:t>10, 17 AND 18</w:t>
      </w:r>
      <w:r w:rsidRPr="00E8512F">
        <w:rPr>
          <w:lang w:val="en-GB"/>
        </w:rPr>
        <w:t xml:space="preserve"> OF THE CONVENTION</w:t>
      </w:r>
    </w:p>
    <w:p w:rsidRPr="00E8512F" w:rsidR="0015731A" w:rsidP="0015731A" w:rsidRDefault="006050A9">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36</w:t>
      </w:r>
      <w:r>
        <w:rPr>
          <w:lang w:val="en-GB"/>
        </w:rPr>
        <w:fldChar w:fldCharType="end"/>
      </w:r>
      <w:r>
        <w:rPr>
          <w:lang w:val="en-GB"/>
        </w:rPr>
        <w:t>.  </w:t>
      </w:r>
      <w:r w:rsidRPr="00E8512F" w:rsidR="0015731A">
        <w:rPr>
          <w:lang w:val="en-GB"/>
        </w:rPr>
        <w:t xml:space="preserve">Relying on Article 10 of the Convention, the applicant complained that he had been punished for having expressed his opinions. He added that the punishment imposed on him had been excessive, disproportionate to the </w:t>
      </w:r>
      <w:r w:rsidRPr="00E8512F" w:rsidR="0015731A">
        <w:rPr>
          <w:lang w:val="en-GB"/>
        </w:rPr>
        <w:lastRenderedPageBreak/>
        <w:t>offence in question, and incompatible with Articles 17 and 18 of the Convention.</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37</w:t>
      </w:r>
      <w:r w:rsidRPr="00E8512F">
        <w:rPr>
          <w:lang w:val="en-GB"/>
        </w:rPr>
        <w:fldChar w:fldCharType="end"/>
      </w:r>
      <w:r w:rsidRPr="00E8512F">
        <w:rPr>
          <w:lang w:val="en-GB"/>
        </w:rPr>
        <w:t>.  The Government contested the applicant</w:t>
      </w:r>
      <w:r w:rsidR="0050610F">
        <w:rPr>
          <w:lang w:val="en-GB"/>
        </w:rPr>
        <w:t>’</w:t>
      </w:r>
      <w:r w:rsidRPr="00E8512F">
        <w:rPr>
          <w:lang w:val="en-GB"/>
        </w:rPr>
        <w:t>s arguments.</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38</w:t>
      </w:r>
      <w:r w:rsidRPr="00E8512F">
        <w:rPr>
          <w:lang w:val="en-GB"/>
        </w:rPr>
        <w:fldChar w:fldCharType="end"/>
      </w:r>
      <w:r w:rsidRPr="00E8512F">
        <w:rPr>
          <w:lang w:val="en-GB"/>
        </w:rPr>
        <w:t>.  The Court deems it appropriate to examine the complaint solely from the standpoint of Article 10 of the Convention</w:t>
      </w:r>
      <w:r w:rsidR="003E3E28">
        <w:rPr>
          <w:lang w:val="en-GB"/>
        </w:rPr>
        <w:t>,</w:t>
      </w:r>
      <w:r w:rsidRPr="00E8512F">
        <w:rPr>
          <w:lang w:val="en-GB"/>
        </w:rPr>
        <w:t xml:space="preserve"> which reads as follows:</w:t>
      </w:r>
    </w:p>
    <w:p w:rsidRPr="00E8512F" w:rsidR="0015731A" w:rsidP="0015731A" w:rsidRDefault="0015731A">
      <w:pPr>
        <w:pStyle w:val="ECHRParaQuote"/>
        <w:rPr>
          <w:lang w:val="en-GB"/>
        </w:rPr>
      </w:pPr>
      <w:r w:rsidRPr="00E8512F">
        <w:rPr>
          <w:lang w:val="en-GB"/>
        </w:rPr>
        <w:t>“1.</w:t>
      </w:r>
      <w:proofErr w:type="gramStart"/>
      <w:r w:rsidRPr="00E8512F">
        <w:rPr>
          <w:lang w:val="en-GB"/>
        </w:rPr>
        <w:t> </w:t>
      </w:r>
      <w:r w:rsidR="0043760A">
        <w:rPr>
          <w:lang w:val="en-GB"/>
        </w:rPr>
        <w:t> </w:t>
      </w:r>
      <w:r w:rsidRPr="00E8512F">
        <w:rPr>
          <w:lang w:val="en-GB"/>
        </w:rPr>
        <w:t>Everyone</w:t>
      </w:r>
      <w:proofErr w:type="gramEnd"/>
      <w:r w:rsidRPr="00E8512F">
        <w:rPr>
          <w:lang w:val="en-GB"/>
        </w:rPr>
        <w:t xml:space="preserve"> has the right to freedom of expression. This right shall include freedom to hold opinions and to receive and impart information and ideas without interference by public authority and regardless of frontiers. This Article shall not prevent </w:t>
      </w:r>
      <w:r w:rsidR="00FF57D3">
        <w:rPr>
          <w:lang w:val="en-GB"/>
        </w:rPr>
        <w:t>S</w:t>
      </w:r>
      <w:r w:rsidRPr="00E8512F">
        <w:rPr>
          <w:lang w:val="en-GB"/>
        </w:rPr>
        <w:t>tates from requiring the licensing of broadcasting, television or cinema enterprises.</w:t>
      </w:r>
    </w:p>
    <w:p w:rsidRPr="00E8512F" w:rsidR="0015731A" w:rsidP="0015731A" w:rsidRDefault="0015731A">
      <w:pPr>
        <w:pStyle w:val="ECHRParaQuote"/>
        <w:rPr>
          <w:lang w:val="en-GB"/>
        </w:rPr>
      </w:pPr>
      <w:r w:rsidRPr="00E8512F">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50610F" w:rsidR="00F71A6A" w:rsidP="004737FF" w:rsidRDefault="00F71A6A">
      <w:pPr>
        <w:pStyle w:val="ECHRHeading2"/>
        <w:rPr>
          <w:lang w:val="en-GB"/>
        </w:rPr>
      </w:pPr>
      <w:r w:rsidRPr="0050610F">
        <w:rPr>
          <w:lang w:val="en-GB"/>
        </w:rPr>
        <w:t>A.  Admissibility</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39</w:t>
      </w:r>
      <w:r w:rsidRPr="00E8512F">
        <w:rPr>
          <w:lang w:val="en-GB"/>
        </w:rPr>
        <w:fldChar w:fldCharType="end"/>
      </w:r>
      <w:r w:rsidRPr="00E8512F">
        <w:rPr>
          <w:lang w:val="en-GB"/>
        </w:rPr>
        <w:t>.  The Court notes that this complaint is not manifestly ill-founded within the meaning of Article 35 § 3 (a) of the Convention. It further notes that it is not inadmissible on any other grounds. It must therefore be declared admissible.</w:t>
      </w:r>
    </w:p>
    <w:p w:rsidRPr="0050610F" w:rsidR="00F71A6A" w:rsidP="004737FF" w:rsidRDefault="00F71A6A">
      <w:pPr>
        <w:pStyle w:val="ECHRHeading2"/>
        <w:rPr>
          <w:lang w:val="en-GB"/>
        </w:rPr>
      </w:pPr>
      <w:r w:rsidRPr="0050610F">
        <w:rPr>
          <w:lang w:val="en-GB"/>
        </w:rPr>
        <w:t>B.  Merits</w:t>
      </w:r>
    </w:p>
    <w:p w:rsidRPr="00E8512F" w:rsidR="0015731A" w:rsidP="0015731A" w:rsidRDefault="0043760A">
      <w:pPr>
        <w:pStyle w:val="ECHRHeading3"/>
        <w:rPr>
          <w:lang w:val="en-GB"/>
        </w:rPr>
      </w:pPr>
      <w:r>
        <w:rPr>
          <w:lang w:val="en-GB"/>
        </w:rPr>
        <w:t>1.  </w:t>
      </w:r>
      <w:r w:rsidRPr="00E8512F" w:rsidR="0015731A">
        <w:rPr>
          <w:lang w:val="en-GB"/>
        </w:rPr>
        <w:t xml:space="preserve">Applicability of Article 10 of the Convention and the existence of </w:t>
      </w:r>
      <w:proofErr w:type="gramStart"/>
      <w:r w:rsidRPr="00E8512F" w:rsidR="0015731A">
        <w:rPr>
          <w:lang w:val="en-GB"/>
        </w:rPr>
        <w:t>an</w:t>
      </w:r>
      <w:r w:rsidR="00516183">
        <w:rPr>
          <w:lang w:val="en-GB"/>
        </w:rPr>
        <w:t xml:space="preserve"> </w:t>
      </w:r>
      <w:r w:rsidRPr="00E8512F" w:rsidR="0015731A">
        <w:rPr>
          <w:lang w:val="en-GB"/>
        </w:rPr>
        <w:t>interference</w:t>
      </w:r>
      <w:proofErr w:type="gramEnd"/>
    </w:p>
    <w:p w:rsidRPr="00E8512F" w:rsidR="0015731A" w:rsidP="0015731A" w:rsidRDefault="00424E76">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40</w:t>
      </w:r>
      <w:r>
        <w:rPr>
          <w:lang w:val="en-GB"/>
        </w:rPr>
        <w:fldChar w:fldCharType="end"/>
      </w:r>
      <w:r>
        <w:rPr>
          <w:lang w:val="en-GB"/>
        </w:rPr>
        <w:t>.  </w:t>
      </w:r>
      <w:r w:rsidRPr="00E8512F" w:rsidR="0015731A">
        <w:rPr>
          <w:lang w:val="en-GB"/>
        </w:rPr>
        <w:t>The applicant argued that he had carried out his actions with a view to expressing his dissatisfaction with those running the country in</w:t>
      </w:r>
      <w:r w:rsidR="006C4340">
        <w:rPr>
          <w:lang w:val="en-GB"/>
        </w:rPr>
        <w:t xml:space="preserve"> </w:t>
      </w:r>
      <w:r w:rsidRPr="00E8512F" w:rsidR="0015731A">
        <w:rPr>
          <w:lang w:val="en-GB"/>
        </w:rPr>
        <w:t>accordance with the Kemalist ideology</w:t>
      </w:r>
      <w:r w:rsidR="00B7067F">
        <w:rPr>
          <w:rStyle w:val="FootnoteReference"/>
          <w:lang w:val="en-GB"/>
        </w:rPr>
        <w:footnoteReference w:id="2"/>
      </w:r>
      <w:r w:rsidRPr="00E8512F" w:rsidR="0015731A">
        <w:rPr>
          <w:lang w:val="en-GB"/>
        </w:rPr>
        <w:t>, and to criticising the Kemalist ideology itself.</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41</w:t>
      </w:r>
      <w:r w:rsidRPr="00E8512F">
        <w:rPr>
          <w:lang w:val="en-GB"/>
        </w:rPr>
        <w:fldChar w:fldCharType="end"/>
      </w:r>
      <w:r w:rsidRPr="00E8512F">
        <w:rPr>
          <w:lang w:val="en-GB"/>
        </w:rPr>
        <w:t>.  The Government considered that defiling Atatürk</w:t>
      </w:r>
      <w:r w:rsidR="0050610F">
        <w:rPr>
          <w:lang w:val="en-GB"/>
        </w:rPr>
        <w:t>’</w:t>
      </w:r>
      <w:r w:rsidRPr="00E8512F">
        <w:rPr>
          <w:lang w:val="en-GB"/>
        </w:rPr>
        <w:t xml:space="preserve">s statues </w:t>
      </w:r>
      <w:r w:rsidR="003E3E28">
        <w:rPr>
          <w:lang w:val="en-GB"/>
        </w:rPr>
        <w:t>was</w:t>
      </w:r>
      <w:r w:rsidRPr="00E8512F" w:rsidR="003E3E28">
        <w:rPr>
          <w:lang w:val="en-GB"/>
        </w:rPr>
        <w:t xml:space="preserve"> </w:t>
      </w:r>
      <w:r w:rsidRPr="00E8512F">
        <w:rPr>
          <w:lang w:val="en-GB"/>
        </w:rPr>
        <w:t>considered to be an act of vandalism with the element of insulting Atatürk</w:t>
      </w:r>
      <w:r w:rsidR="0050610F">
        <w:rPr>
          <w:lang w:val="en-GB"/>
        </w:rPr>
        <w:t>’</w:t>
      </w:r>
      <w:r w:rsidRPr="00E8512F">
        <w:rPr>
          <w:lang w:val="en-GB"/>
        </w:rPr>
        <w:t xml:space="preserve">s memory. By virtue of the </w:t>
      </w:r>
      <w:r w:rsidR="00FF57D3">
        <w:rPr>
          <w:lang w:val="en-GB"/>
        </w:rPr>
        <w:t>nation</w:t>
      </w:r>
      <w:r w:rsidR="0050610F">
        <w:rPr>
          <w:lang w:val="en-GB"/>
        </w:rPr>
        <w:t>’</w:t>
      </w:r>
      <w:r w:rsidR="00FF57D3">
        <w:rPr>
          <w:lang w:val="en-GB"/>
        </w:rPr>
        <w:t xml:space="preserve">s </w:t>
      </w:r>
      <w:r w:rsidRPr="00E8512F">
        <w:rPr>
          <w:lang w:val="en-GB"/>
        </w:rPr>
        <w:t xml:space="preserve">deep sense of respect and adoration </w:t>
      </w:r>
      <w:r w:rsidR="00FF57D3">
        <w:rPr>
          <w:lang w:val="en-GB"/>
        </w:rPr>
        <w:t>for</w:t>
      </w:r>
      <w:r w:rsidRPr="00E8512F" w:rsidR="00FF57D3">
        <w:rPr>
          <w:lang w:val="en-GB"/>
        </w:rPr>
        <w:t xml:space="preserve"> </w:t>
      </w:r>
      <w:r w:rsidRPr="00E8512F">
        <w:rPr>
          <w:lang w:val="en-GB"/>
        </w:rPr>
        <w:t>Atatürk, his memory was protected by law.</w:t>
      </w:r>
    </w:p>
    <w:p w:rsidRPr="002A303D" w:rsidR="0015731A" w:rsidP="0015731A" w:rsidRDefault="0015731A">
      <w:pPr>
        <w:pStyle w:val="ECHRPara"/>
        <w:rPr>
          <w:lang w:val="en-GB"/>
        </w:rPr>
      </w:pPr>
      <w:r w:rsidRPr="002A303D">
        <w:rPr>
          <w:lang w:val="en-GB"/>
        </w:rPr>
        <w:lastRenderedPageBreak/>
        <w:fldChar w:fldCharType="begin"/>
      </w:r>
      <w:r w:rsidRPr="002A303D">
        <w:rPr>
          <w:lang w:val="en-GB"/>
        </w:rPr>
        <w:instrText xml:space="preserve"> SEQ level0 \*arabic </w:instrText>
      </w:r>
      <w:r w:rsidRPr="002A303D">
        <w:rPr>
          <w:lang w:val="en-GB"/>
        </w:rPr>
        <w:fldChar w:fldCharType="separate"/>
      </w:r>
      <w:r w:rsidR="005C1550">
        <w:rPr>
          <w:noProof/>
          <w:lang w:val="en-GB"/>
        </w:rPr>
        <w:t>42</w:t>
      </w:r>
      <w:r w:rsidRPr="002A303D">
        <w:rPr>
          <w:lang w:val="en-GB"/>
        </w:rPr>
        <w:fldChar w:fldCharType="end"/>
      </w:r>
      <w:r w:rsidRPr="002A303D">
        <w:rPr>
          <w:lang w:val="en-GB"/>
        </w:rPr>
        <w:t xml:space="preserve">.  In the opinion of the Government, it was not </w:t>
      </w:r>
      <w:r w:rsidRPr="002A303D" w:rsidR="00173CF9">
        <w:rPr>
          <w:lang w:val="en-GB"/>
        </w:rPr>
        <w:t xml:space="preserve">the </w:t>
      </w:r>
      <w:r w:rsidRPr="002A303D">
        <w:rPr>
          <w:lang w:val="en-GB"/>
        </w:rPr>
        <w:t>express</w:t>
      </w:r>
      <w:r w:rsidRPr="002A303D" w:rsidR="00173CF9">
        <w:rPr>
          <w:lang w:val="en-GB"/>
        </w:rPr>
        <w:t>ion of</w:t>
      </w:r>
      <w:r w:rsidRPr="002A303D">
        <w:rPr>
          <w:lang w:val="en-GB"/>
        </w:rPr>
        <w:t xml:space="preserve"> views that was punishable under the Law on Offences Committed </w:t>
      </w:r>
      <w:proofErr w:type="gramStart"/>
      <w:r w:rsidRPr="002A303D">
        <w:rPr>
          <w:lang w:val="en-GB"/>
        </w:rPr>
        <w:t>Against</w:t>
      </w:r>
      <w:proofErr w:type="gramEnd"/>
      <w:r w:rsidRPr="002A303D">
        <w:rPr>
          <w:lang w:val="en-GB"/>
        </w:rPr>
        <w:t xml:space="preserve"> Atatürk, but</w:t>
      </w:r>
      <w:r w:rsidRPr="002A303D" w:rsidR="00173CF9">
        <w:rPr>
          <w:lang w:val="en-GB"/>
        </w:rPr>
        <w:t>,</w:t>
      </w:r>
      <w:r w:rsidRPr="002A303D">
        <w:rPr>
          <w:lang w:val="en-GB"/>
        </w:rPr>
        <w:t xml:space="preserve"> </w:t>
      </w:r>
      <w:r w:rsidRPr="002A303D" w:rsidR="00173CF9">
        <w:rPr>
          <w:lang w:val="en-GB"/>
        </w:rPr>
        <w:t xml:space="preserve">rather, </w:t>
      </w:r>
      <w:r w:rsidRPr="002A303D">
        <w:rPr>
          <w:lang w:val="en-GB"/>
        </w:rPr>
        <w:t>insulting Atatürk</w:t>
      </w:r>
      <w:r w:rsidR="0050610F">
        <w:rPr>
          <w:lang w:val="en-GB"/>
        </w:rPr>
        <w:t>’</w:t>
      </w:r>
      <w:r w:rsidRPr="002A303D">
        <w:rPr>
          <w:lang w:val="en-GB"/>
        </w:rPr>
        <w:t xml:space="preserve">s memory or vandalising his statues. </w:t>
      </w:r>
      <w:r w:rsidRPr="002A303D" w:rsidR="003468E6">
        <w:rPr>
          <w:lang w:val="en-GB"/>
        </w:rPr>
        <w:t xml:space="preserve">That law </w:t>
      </w:r>
      <w:r w:rsidRPr="002A303D">
        <w:rPr>
          <w:lang w:val="en-GB"/>
        </w:rPr>
        <w:t>did not prevent individuals from criticising the personality or ideas of Atatürk or Kemalist policies. Vandalising Atatürk</w:t>
      </w:r>
      <w:r w:rsidR="0050610F">
        <w:rPr>
          <w:lang w:val="en-GB"/>
        </w:rPr>
        <w:t>’</w:t>
      </w:r>
      <w:r w:rsidRPr="002A303D">
        <w:rPr>
          <w:lang w:val="en-GB"/>
        </w:rPr>
        <w:t>s statues was not a legitimate way of expressing views under Article 10 of the Convention.</w:t>
      </w:r>
    </w:p>
    <w:p w:rsidRPr="00E8512F"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43</w:t>
      </w:r>
      <w:r w:rsidRPr="00E8512F">
        <w:rPr>
          <w:lang w:val="en-GB"/>
        </w:rPr>
        <w:fldChar w:fldCharType="end"/>
      </w:r>
      <w:r w:rsidRPr="00E8512F">
        <w:rPr>
          <w:lang w:val="en-GB"/>
        </w:rPr>
        <w:t>.  Having regard to its intensity, the applicant</w:t>
      </w:r>
      <w:r w:rsidR="0050610F">
        <w:rPr>
          <w:lang w:val="en-GB"/>
        </w:rPr>
        <w:t>’</w:t>
      </w:r>
      <w:r w:rsidRPr="00E8512F">
        <w:rPr>
          <w:lang w:val="en-GB"/>
        </w:rPr>
        <w:t xml:space="preserve">s aggression against the statues </w:t>
      </w:r>
      <w:r w:rsidR="00BB4565">
        <w:rPr>
          <w:lang w:val="en-GB"/>
        </w:rPr>
        <w:t>had been</w:t>
      </w:r>
      <w:r w:rsidRPr="00E8512F">
        <w:rPr>
          <w:lang w:val="en-GB"/>
        </w:rPr>
        <w:t xml:space="preserve"> qualified as vandalism and vandalism was a violent way of expressing hatred. Although </w:t>
      </w:r>
      <w:r w:rsidR="00BB4565">
        <w:rPr>
          <w:lang w:val="en-GB"/>
        </w:rPr>
        <w:t>t</w:t>
      </w:r>
      <w:r w:rsidRPr="00E8512F">
        <w:rPr>
          <w:lang w:val="en-GB"/>
        </w:rPr>
        <w:t>he</w:t>
      </w:r>
      <w:r w:rsidR="00BB4565">
        <w:rPr>
          <w:lang w:val="en-GB"/>
        </w:rPr>
        <w:t xml:space="preserve"> applicant</w:t>
      </w:r>
      <w:r w:rsidRPr="00E8512F">
        <w:rPr>
          <w:lang w:val="en-GB"/>
        </w:rPr>
        <w:t xml:space="preserve"> had the right to express and disseminate his thoughts and opinions </w:t>
      </w:r>
      <w:r w:rsidR="003468E6">
        <w:rPr>
          <w:lang w:val="en-GB"/>
        </w:rPr>
        <w:t>through</w:t>
      </w:r>
      <w:r w:rsidRPr="00E8512F" w:rsidR="003468E6">
        <w:rPr>
          <w:lang w:val="en-GB"/>
        </w:rPr>
        <w:t xml:space="preserve"> </w:t>
      </w:r>
      <w:r w:rsidRPr="00E8512F">
        <w:rPr>
          <w:lang w:val="en-GB"/>
        </w:rPr>
        <w:t>speech, writing, pictures and other medi</w:t>
      </w:r>
      <w:r w:rsidR="00247C30">
        <w:rPr>
          <w:lang w:val="en-GB"/>
        </w:rPr>
        <w:t>a</w:t>
      </w:r>
      <w:r w:rsidRPr="00E8512F">
        <w:rPr>
          <w:lang w:val="en-GB"/>
        </w:rPr>
        <w:t xml:space="preserve"> without recourse to violence, he </w:t>
      </w:r>
      <w:r w:rsidR="00BB4565">
        <w:rPr>
          <w:lang w:val="en-GB"/>
        </w:rPr>
        <w:t xml:space="preserve">had chosen </w:t>
      </w:r>
      <w:r w:rsidRPr="00E8512F">
        <w:rPr>
          <w:lang w:val="en-GB"/>
        </w:rPr>
        <w:t>not to do so.</w:t>
      </w:r>
      <w:r w:rsidR="003D757A">
        <w:rPr>
          <w:lang w:val="en-GB"/>
        </w:rPr>
        <w:t xml:space="preserve"> Instead, </w:t>
      </w:r>
      <w:r w:rsidRPr="00E8512F">
        <w:rPr>
          <w:lang w:val="en-GB"/>
        </w:rPr>
        <w:t xml:space="preserve">in order to justify his acts of vandalism the applicant had sought legal protection before the national courts by invoking his </w:t>
      </w:r>
      <w:r w:rsidR="00BB4565">
        <w:rPr>
          <w:lang w:val="en-GB"/>
        </w:rPr>
        <w:t xml:space="preserve">right to </w:t>
      </w:r>
      <w:r w:rsidRPr="00E8512F">
        <w:rPr>
          <w:lang w:val="en-GB"/>
        </w:rPr>
        <w:t xml:space="preserve">freedom of expression. </w:t>
      </w:r>
      <w:r w:rsidR="00BB4565">
        <w:rPr>
          <w:lang w:val="en-GB"/>
        </w:rPr>
        <w:t>In the</w:t>
      </w:r>
      <w:r w:rsidRPr="00E8512F" w:rsidR="00BB4565">
        <w:rPr>
          <w:lang w:val="en-GB"/>
        </w:rPr>
        <w:t xml:space="preserve"> opinion </w:t>
      </w:r>
      <w:r w:rsidR="00BB4565">
        <w:rPr>
          <w:lang w:val="en-GB"/>
        </w:rPr>
        <w:t xml:space="preserve">of the Government, </w:t>
      </w:r>
      <w:r w:rsidRPr="00E8512F">
        <w:rPr>
          <w:lang w:val="en-GB"/>
        </w:rPr>
        <w:t>the applicant</w:t>
      </w:r>
      <w:r w:rsidR="0050610F">
        <w:rPr>
          <w:lang w:val="en-GB"/>
        </w:rPr>
        <w:t>’</w:t>
      </w:r>
      <w:r w:rsidRPr="00E8512F">
        <w:rPr>
          <w:lang w:val="en-GB"/>
        </w:rPr>
        <w:t xml:space="preserve">s unlawful actions had fallen outside the scope of freedom of expression guaranteed </w:t>
      </w:r>
      <w:r w:rsidR="003468E6">
        <w:rPr>
          <w:lang w:val="en-GB"/>
        </w:rPr>
        <w:t>by</w:t>
      </w:r>
      <w:r w:rsidRPr="00E8512F" w:rsidR="003468E6">
        <w:rPr>
          <w:lang w:val="en-GB"/>
        </w:rPr>
        <w:t xml:space="preserve"> </w:t>
      </w:r>
      <w:r w:rsidRPr="00E8512F">
        <w:rPr>
          <w:lang w:val="en-GB"/>
        </w:rPr>
        <w:t>Article</w:t>
      </w:r>
      <w:r w:rsidR="00F82657">
        <w:rPr>
          <w:lang w:val="en-GB"/>
        </w:rPr>
        <w:t> </w:t>
      </w:r>
      <w:r w:rsidRPr="00E8512F">
        <w:rPr>
          <w:lang w:val="en-GB"/>
        </w:rPr>
        <w:t>10 of the Convention.</w:t>
      </w:r>
    </w:p>
    <w:p w:rsidR="00122FF0" w:rsidP="004A1035" w:rsidRDefault="0050610F">
      <w:pPr>
        <w:pStyle w:val="ECHRPara"/>
        <w:rPr>
          <w:lang w:val="en-GB"/>
        </w:rPr>
      </w:pPr>
      <w:r>
        <w:fldChar w:fldCharType="begin"/>
      </w:r>
      <w:r>
        <w:instrText xml:space="preserve"> SEQ level0 \*arabic </w:instrText>
      </w:r>
      <w:r>
        <w:fldChar w:fldCharType="separate"/>
      </w:r>
      <w:r w:rsidR="005C1550">
        <w:rPr>
          <w:noProof/>
        </w:rPr>
        <w:t>44</w:t>
      </w:r>
      <w:r>
        <w:rPr>
          <w:noProof/>
        </w:rPr>
        <w:fldChar w:fldCharType="end"/>
      </w:r>
      <w:r w:rsidR="00886638">
        <w:t>.  The Court reiterates</w:t>
      </w:r>
      <w:r w:rsidR="004A1035">
        <w:t xml:space="preserve"> that</w:t>
      </w:r>
      <w:r w:rsidR="00160A9F">
        <w:t xml:space="preserve"> Article </w:t>
      </w:r>
      <w:bookmarkStart w:name="HIT22" w:id="2"/>
      <w:bookmarkEnd w:id="2"/>
      <w:r w:rsidR="00160A9F">
        <w:t xml:space="preserve">10 of the Convention protects not only the substance of the ideas and information expressed, but also the form in which they are conveyed (see </w:t>
      </w:r>
      <w:r w:rsidRPr="00B668D2" w:rsidR="00160A9F">
        <w:rPr>
          <w:i/>
          <w:lang w:val="en-GB"/>
        </w:rPr>
        <w:t>Oberschlick v. Austria (no. 1)</w:t>
      </w:r>
      <w:r w:rsidRPr="00B668D2" w:rsidR="00160A9F">
        <w:rPr>
          <w:lang w:val="en-GB"/>
        </w:rPr>
        <w:t>, 23</w:t>
      </w:r>
      <w:r w:rsidR="002E2549">
        <w:rPr>
          <w:lang w:val="en-GB"/>
        </w:rPr>
        <w:t> </w:t>
      </w:r>
      <w:r w:rsidRPr="00B668D2" w:rsidR="00160A9F">
        <w:rPr>
          <w:lang w:val="en-GB"/>
        </w:rPr>
        <w:t xml:space="preserve">May 1991, § </w:t>
      </w:r>
      <w:r w:rsidR="00160A9F">
        <w:rPr>
          <w:lang w:val="en-GB"/>
        </w:rPr>
        <w:t>57</w:t>
      </w:r>
      <w:r w:rsidRPr="00B668D2" w:rsidR="00160A9F">
        <w:rPr>
          <w:lang w:val="en-GB"/>
        </w:rPr>
        <w:t>, Series A no. 204</w:t>
      </w:r>
      <w:r w:rsidR="00160A9F">
        <w:rPr>
          <w:lang w:val="en-GB"/>
        </w:rPr>
        <w:t>).</w:t>
      </w:r>
      <w:r w:rsidR="008E7B7D">
        <w:rPr>
          <w:lang w:val="en-GB"/>
        </w:rPr>
        <w:t xml:space="preserve"> </w:t>
      </w:r>
      <w:r w:rsidR="00C83930">
        <w:rPr>
          <w:lang w:val="en-GB"/>
        </w:rPr>
        <w:t xml:space="preserve">Indeed, </w:t>
      </w:r>
      <w:r w:rsidR="008E7B7D">
        <w:rPr>
          <w:lang w:val="en-GB"/>
        </w:rPr>
        <w:t>a review of the Court</w:t>
      </w:r>
      <w:r>
        <w:rPr>
          <w:lang w:val="en-GB"/>
        </w:rPr>
        <w:t>’</w:t>
      </w:r>
      <w:r w:rsidR="008E7B7D">
        <w:rPr>
          <w:lang w:val="en-GB"/>
        </w:rPr>
        <w:t>s case</w:t>
      </w:r>
      <w:r w:rsidR="00C83930">
        <w:rPr>
          <w:lang w:val="en-GB"/>
        </w:rPr>
        <w:t>-</w:t>
      </w:r>
      <w:r w:rsidR="008E7B7D">
        <w:rPr>
          <w:lang w:val="en-GB"/>
        </w:rPr>
        <w:t xml:space="preserve">law </w:t>
      </w:r>
      <w:r w:rsidR="00C83930">
        <w:rPr>
          <w:lang w:val="en-GB"/>
        </w:rPr>
        <w:t xml:space="preserve">shows that Article 10 of the Convention has been held to be applicable not only to </w:t>
      </w:r>
      <w:r w:rsidR="002D1DF8">
        <w:rPr>
          <w:lang w:val="en-GB"/>
        </w:rPr>
        <w:t xml:space="preserve">the </w:t>
      </w:r>
      <w:r w:rsidR="00C83930">
        <w:rPr>
          <w:lang w:val="en-GB"/>
        </w:rPr>
        <w:t>more</w:t>
      </w:r>
      <w:r w:rsidR="00122FF0">
        <w:rPr>
          <w:lang w:val="en-GB"/>
        </w:rPr>
        <w:t xml:space="preserve"> common </w:t>
      </w:r>
      <w:r w:rsidR="00A66173">
        <w:rPr>
          <w:lang w:val="en-GB"/>
        </w:rPr>
        <w:t>forms</w:t>
      </w:r>
      <w:r w:rsidR="00C83930">
        <w:rPr>
          <w:lang w:val="en-GB"/>
        </w:rPr>
        <w:t xml:space="preserve"> of express</w:t>
      </w:r>
      <w:r w:rsidR="004A1035">
        <w:rPr>
          <w:lang w:val="en-GB"/>
        </w:rPr>
        <w:t>ion such as speeches and written texts</w:t>
      </w:r>
      <w:r w:rsidR="00C83930">
        <w:rPr>
          <w:lang w:val="en-GB"/>
        </w:rPr>
        <w:t xml:space="preserve">, but also </w:t>
      </w:r>
      <w:r w:rsidR="004A1035">
        <w:rPr>
          <w:lang w:val="en-GB"/>
        </w:rPr>
        <w:t xml:space="preserve">to other and less obvious </w:t>
      </w:r>
      <w:r w:rsidR="005C402D">
        <w:rPr>
          <w:lang w:val="en-GB"/>
        </w:rPr>
        <w:t>medi</w:t>
      </w:r>
      <w:r w:rsidR="00247C30">
        <w:rPr>
          <w:lang w:val="en-GB"/>
        </w:rPr>
        <w:t>a</w:t>
      </w:r>
      <w:r w:rsidR="005C402D">
        <w:rPr>
          <w:lang w:val="en-GB"/>
        </w:rPr>
        <w:t xml:space="preserve"> through which people sometimes cho</w:t>
      </w:r>
      <w:r w:rsidR="003468E6">
        <w:rPr>
          <w:lang w:val="en-GB"/>
        </w:rPr>
        <w:t>o</w:t>
      </w:r>
      <w:r w:rsidR="005C402D">
        <w:rPr>
          <w:lang w:val="en-GB"/>
        </w:rPr>
        <w:t xml:space="preserve">se to </w:t>
      </w:r>
      <w:r w:rsidR="00720B2D">
        <w:rPr>
          <w:lang w:val="en-GB"/>
        </w:rPr>
        <w:t>convey</w:t>
      </w:r>
      <w:r w:rsidR="005C402D">
        <w:rPr>
          <w:lang w:val="en-GB"/>
        </w:rPr>
        <w:t xml:space="preserve"> their opinions, </w:t>
      </w:r>
      <w:r w:rsidR="00720B2D">
        <w:rPr>
          <w:lang w:val="en-GB"/>
        </w:rPr>
        <w:t xml:space="preserve">messages, </w:t>
      </w:r>
      <w:r w:rsidR="005C402D">
        <w:rPr>
          <w:lang w:val="en-GB"/>
        </w:rPr>
        <w:t>ideas and criticisms</w:t>
      </w:r>
      <w:r w:rsidR="004A1035">
        <w:rPr>
          <w:lang w:val="en-GB"/>
        </w:rPr>
        <w:t>.</w:t>
      </w:r>
    </w:p>
    <w:p w:rsidR="009847D9" w:rsidP="0087304C" w:rsidRDefault="004D7E2D">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45</w:t>
      </w:r>
      <w:r>
        <w:rPr>
          <w:lang w:val="en-GB"/>
        </w:rPr>
        <w:fldChar w:fldCharType="end"/>
      </w:r>
      <w:r>
        <w:rPr>
          <w:lang w:val="en-GB"/>
        </w:rPr>
        <w:t>.  </w:t>
      </w:r>
      <w:r w:rsidR="004A1035">
        <w:rPr>
          <w:lang w:val="en-GB"/>
        </w:rPr>
        <w:t xml:space="preserve">For example, </w:t>
      </w:r>
      <w:r w:rsidR="00A66173">
        <w:rPr>
          <w:lang w:val="en-GB"/>
        </w:rPr>
        <w:t xml:space="preserve">Article 10 of the Convention was held to </w:t>
      </w:r>
      <w:r w:rsidRPr="00A66173" w:rsidR="00A66173">
        <w:rPr>
          <w:lang w:val="en-GB"/>
        </w:rPr>
        <w:t>include freedom of artistic expression</w:t>
      </w:r>
      <w:r w:rsidR="00720B2D">
        <w:rPr>
          <w:lang w:val="en-GB"/>
        </w:rPr>
        <w:t xml:space="preserve"> </w:t>
      </w:r>
      <w:r w:rsidR="003468E6">
        <w:rPr>
          <w:lang w:val="en-GB"/>
        </w:rPr>
        <w:t xml:space="preserve">– </w:t>
      </w:r>
      <w:r w:rsidRPr="00A66173" w:rsidR="00A66173">
        <w:rPr>
          <w:lang w:val="en-GB"/>
        </w:rPr>
        <w:t xml:space="preserve">notably within </w:t>
      </w:r>
      <w:r w:rsidR="003468E6">
        <w:rPr>
          <w:lang w:val="en-GB"/>
        </w:rPr>
        <w:t xml:space="preserve">the scope of </w:t>
      </w:r>
      <w:r w:rsidRPr="00A66173" w:rsidR="00A66173">
        <w:rPr>
          <w:lang w:val="en-GB"/>
        </w:rPr>
        <w:t>freedom to receive and impart information and ideas</w:t>
      </w:r>
      <w:r w:rsidR="003468E6">
        <w:rPr>
          <w:lang w:val="en-GB"/>
        </w:rPr>
        <w:t xml:space="preserve"> – </w:t>
      </w:r>
      <w:r w:rsidRPr="00A66173" w:rsidR="00A66173">
        <w:rPr>
          <w:lang w:val="en-GB"/>
        </w:rPr>
        <w:t>which affords the opportunity to take part in the public exchange of cultural, political and social information and ideas of all kinds</w:t>
      </w:r>
      <w:r w:rsidR="00720B2D">
        <w:rPr>
          <w:lang w:val="en-GB"/>
        </w:rPr>
        <w:t xml:space="preserve">. </w:t>
      </w:r>
      <w:r w:rsidR="00720B2D">
        <w:t>Those who create, perform, distribute or exhibit works of art contribute to the exchange of ideas and opinions which is essential for a democratic society. Hence there is an obligation on the State not to encroach unduly on the author</w:t>
      </w:r>
      <w:r w:rsidR="0050610F">
        <w:t>’</w:t>
      </w:r>
      <w:r w:rsidR="00720B2D">
        <w:t>s freedom of expression</w:t>
      </w:r>
      <w:r w:rsidRPr="004D7E2D">
        <w:rPr>
          <w:i/>
          <w:lang w:val="en-GB"/>
        </w:rPr>
        <w:t xml:space="preserve"> </w:t>
      </w:r>
      <w:r>
        <w:rPr>
          <w:lang w:val="en-GB"/>
        </w:rPr>
        <w:t xml:space="preserve">(see </w:t>
      </w:r>
      <w:r w:rsidRPr="00B668D2">
        <w:rPr>
          <w:i/>
          <w:lang w:val="en-GB"/>
        </w:rPr>
        <w:t>Müller and Others v.</w:t>
      </w:r>
      <w:r w:rsidR="00F82657">
        <w:rPr>
          <w:i/>
          <w:lang w:val="en-GB"/>
        </w:rPr>
        <w:t xml:space="preserve"> </w:t>
      </w:r>
      <w:r w:rsidRPr="00B668D2">
        <w:rPr>
          <w:i/>
          <w:lang w:val="en-GB"/>
        </w:rPr>
        <w:t>Switzerland</w:t>
      </w:r>
      <w:r w:rsidRPr="00B668D2">
        <w:rPr>
          <w:lang w:val="en-GB"/>
        </w:rPr>
        <w:t>, 24 May 1988, §</w:t>
      </w:r>
      <w:r w:rsidR="00922DE3">
        <w:rPr>
          <w:lang w:val="en-GB"/>
        </w:rPr>
        <w:t>§</w:t>
      </w:r>
      <w:r w:rsidRPr="00B668D2">
        <w:rPr>
          <w:lang w:val="en-GB"/>
        </w:rPr>
        <w:t xml:space="preserve"> </w:t>
      </w:r>
      <w:r>
        <w:rPr>
          <w:lang w:val="en-GB"/>
        </w:rPr>
        <w:t>27</w:t>
      </w:r>
      <w:r w:rsidR="00922DE3">
        <w:rPr>
          <w:lang w:val="en-GB"/>
        </w:rPr>
        <w:t xml:space="preserve"> and 33</w:t>
      </w:r>
      <w:r w:rsidRPr="00B668D2">
        <w:rPr>
          <w:lang w:val="en-GB"/>
        </w:rPr>
        <w:t xml:space="preserve">, Series </w:t>
      </w:r>
      <w:proofErr w:type="gramStart"/>
      <w:r w:rsidRPr="00B668D2">
        <w:rPr>
          <w:lang w:val="en-GB"/>
        </w:rPr>
        <w:t>A</w:t>
      </w:r>
      <w:proofErr w:type="gramEnd"/>
      <w:r w:rsidRPr="00B668D2">
        <w:rPr>
          <w:lang w:val="en-GB"/>
        </w:rPr>
        <w:t xml:space="preserve"> no. 133</w:t>
      </w:r>
      <w:r>
        <w:rPr>
          <w:lang w:val="en-GB"/>
        </w:rPr>
        <w:t xml:space="preserve">). </w:t>
      </w:r>
      <w:r w:rsidR="00BC2988">
        <w:rPr>
          <w:lang w:val="en-GB"/>
        </w:rPr>
        <w:t xml:space="preserve">It is noteworthy that </w:t>
      </w:r>
      <w:r w:rsidR="00FB3F98">
        <w:rPr>
          <w:lang w:val="en-GB"/>
        </w:rPr>
        <w:t>in reaching th</w:t>
      </w:r>
      <w:r>
        <w:rPr>
          <w:lang w:val="en-GB"/>
        </w:rPr>
        <w:t>at</w:t>
      </w:r>
      <w:r w:rsidR="00FB3F98">
        <w:rPr>
          <w:lang w:val="en-GB"/>
        </w:rPr>
        <w:t xml:space="preserve"> conclusion the Court noted that </w:t>
      </w:r>
      <w:r w:rsidRPr="00FB3F98" w:rsidR="00A66173">
        <w:rPr>
          <w:lang w:val="en-GB"/>
        </w:rPr>
        <w:t>Article</w:t>
      </w:r>
      <w:r w:rsidR="002E2549">
        <w:rPr>
          <w:lang w:val="en-GB"/>
        </w:rPr>
        <w:t> </w:t>
      </w:r>
      <w:r w:rsidRPr="00FB3F98" w:rsidR="00A66173">
        <w:rPr>
          <w:lang w:val="en-GB"/>
        </w:rPr>
        <w:t xml:space="preserve">10 </w:t>
      </w:r>
      <w:r w:rsidR="00FB3F98">
        <w:rPr>
          <w:lang w:val="en-GB"/>
        </w:rPr>
        <w:t xml:space="preserve">of the Convention </w:t>
      </w:r>
      <w:r w:rsidRPr="00FB3F98" w:rsidR="00A66173">
        <w:rPr>
          <w:lang w:val="en-GB"/>
        </w:rPr>
        <w:t>does not specify that freedom of artistic expression come</w:t>
      </w:r>
      <w:r w:rsidR="00FB3F98">
        <w:rPr>
          <w:lang w:val="en-GB"/>
        </w:rPr>
        <w:t>s</w:t>
      </w:r>
      <w:r w:rsidRPr="00FB3F98" w:rsidR="00A66173">
        <w:rPr>
          <w:lang w:val="en-GB"/>
        </w:rPr>
        <w:t xml:space="preserve"> within its ambit; but neither, on the other hand, does </w:t>
      </w:r>
      <w:r w:rsidR="006050A9">
        <w:rPr>
          <w:lang w:val="en-GB"/>
        </w:rPr>
        <w:t>it</w:t>
      </w:r>
      <w:r w:rsidRPr="00FB3F98" w:rsidR="00A66173">
        <w:rPr>
          <w:lang w:val="en-GB"/>
        </w:rPr>
        <w:t xml:space="preserve"> distinguish between the various forms of expression (</w:t>
      </w:r>
      <w:r w:rsidR="00FB3F98">
        <w:rPr>
          <w:i/>
          <w:lang w:val="en-GB"/>
        </w:rPr>
        <w:t>ibid</w:t>
      </w:r>
      <w:r w:rsidR="00FB3F98">
        <w:rPr>
          <w:lang w:val="en-GB"/>
        </w:rPr>
        <w:t>.</w:t>
      </w:r>
      <w:r w:rsidR="00922DE3">
        <w:rPr>
          <w:lang w:val="en-GB"/>
        </w:rPr>
        <w:t>, § 27</w:t>
      </w:r>
      <w:r w:rsidRPr="00FB3F98" w:rsidR="00A66173">
        <w:rPr>
          <w:lang w:val="en-GB"/>
        </w:rPr>
        <w:t>)</w:t>
      </w:r>
      <w:r w:rsidR="00E5143A">
        <w:rPr>
          <w:lang w:val="en-GB"/>
        </w:rPr>
        <w:t>.</w:t>
      </w:r>
    </w:p>
    <w:p w:rsidR="0094356B" w:rsidP="0087304C" w:rsidRDefault="009847D9">
      <w:pPr>
        <w:pStyle w:val="ECHRPara"/>
        <w:rPr>
          <w:snapToGrid w:val="0"/>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46</w:t>
      </w:r>
      <w:r>
        <w:rPr>
          <w:lang w:val="en-GB"/>
        </w:rPr>
        <w:fldChar w:fldCharType="end"/>
      </w:r>
      <w:r>
        <w:rPr>
          <w:lang w:val="en-GB"/>
        </w:rPr>
        <w:t>.  </w:t>
      </w:r>
      <w:r w:rsidR="00153DED">
        <w:rPr>
          <w:lang w:val="en-GB"/>
        </w:rPr>
        <w:t xml:space="preserve">The </w:t>
      </w:r>
      <w:r w:rsidR="0094356B">
        <w:rPr>
          <w:lang w:val="en-GB"/>
        </w:rPr>
        <w:t xml:space="preserve">wearing or displaying of symbols </w:t>
      </w:r>
      <w:r w:rsidR="006050A9">
        <w:rPr>
          <w:lang w:val="en-GB"/>
        </w:rPr>
        <w:t>has</w:t>
      </w:r>
      <w:r w:rsidR="0094356B">
        <w:rPr>
          <w:lang w:val="en-GB"/>
        </w:rPr>
        <w:t xml:space="preserve"> also</w:t>
      </w:r>
      <w:r w:rsidR="006050A9">
        <w:rPr>
          <w:lang w:val="en-GB"/>
        </w:rPr>
        <w:t xml:space="preserve"> been</w:t>
      </w:r>
      <w:r w:rsidR="0094356B">
        <w:rPr>
          <w:lang w:val="en-GB"/>
        </w:rPr>
        <w:t xml:space="preserve"> held to fall within the </w:t>
      </w:r>
      <w:r w:rsidR="00153DED">
        <w:rPr>
          <w:lang w:val="en-GB"/>
        </w:rPr>
        <w:t xml:space="preserve">spectrum of forms </w:t>
      </w:r>
      <w:r w:rsidR="0087304C">
        <w:rPr>
          <w:lang w:val="en-GB"/>
        </w:rPr>
        <w:t xml:space="preserve">of </w:t>
      </w:r>
      <w:r w:rsidR="003468E6">
        <w:rPr>
          <w:lang w:val="en-GB"/>
        </w:rPr>
        <w:t>“</w:t>
      </w:r>
      <w:r w:rsidR="0087304C">
        <w:rPr>
          <w:lang w:val="en-GB"/>
        </w:rPr>
        <w:t>expression</w:t>
      </w:r>
      <w:r w:rsidR="003468E6">
        <w:rPr>
          <w:lang w:val="en-GB"/>
        </w:rPr>
        <w:t>”</w:t>
      </w:r>
      <w:r w:rsidR="006050A9">
        <w:rPr>
          <w:lang w:val="en-GB"/>
        </w:rPr>
        <w:t xml:space="preserve"> within the meaning of Article</w:t>
      </w:r>
      <w:r w:rsidR="002E2549">
        <w:rPr>
          <w:lang w:val="en-GB"/>
        </w:rPr>
        <w:t> </w:t>
      </w:r>
      <w:r w:rsidR="006050A9">
        <w:rPr>
          <w:lang w:val="en-GB"/>
        </w:rPr>
        <w:t>10 of the Convention</w:t>
      </w:r>
      <w:r w:rsidR="0094356B">
        <w:rPr>
          <w:lang w:val="en-GB"/>
        </w:rPr>
        <w:t>. For example,</w:t>
      </w:r>
      <w:r w:rsidR="009D0580">
        <w:rPr>
          <w:lang w:val="en-GB"/>
        </w:rPr>
        <w:t xml:space="preserve"> </w:t>
      </w:r>
      <w:r w:rsidR="0094356B">
        <w:rPr>
          <w:lang w:val="en-GB"/>
        </w:rPr>
        <w:t xml:space="preserve">in its judgment in the case of </w:t>
      </w:r>
      <w:r w:rsidRPr="00B668D2" w:rsidR="0094356B">
        <w:rPr>
          <w:i/>
          <w:lang w:val="en-GB"/>
        </w:rPr>
        <w:t>Vajnai v.</w:t>
      </w:r>
      <w:r w:rsidR="002E2549">
        <w:rPr>
          <w:i/>
          <w:lang w:val="en-GB"/>
        </w:rPr>
        <w:t xml:space="preserve"> </w:t>
      </w:r>
      <w:r w:rsidRPr="00B668D2" w:rsidR="0094356B">
        <w:rPr>
          <w:i/>
          <w:lang w:val="en-GB"/>
        </w:rPr>
        <w:t>Hungary</w:t>
      </w:r>
      <w:r w:rsidR="0094356B">
        <w:rPr>
          <w:lang w:val="en-GB"/>
        </w:rPr>
        <w:t xml:space="preserve"> </w:t>
      </w:r>
      <w:r w:rsidR="00153DED">
        <w:rPr>
          <w:lang w:val="en-GB"/>
        </w:rPr>
        <w:t xml:space="preserve">the Court accepted </w:t>
      </w:r>
      <w:r w:rsidR="00572078">
        <w:rPr>
          <w:lang w:val="en-GB"/>
        </w:rPr>
        <w:t xml:space="preserve">that the </w:t>
      </w:r>
      <w:r w:rsidR="00572078">
        <w:t xml:space="preserve">wearing of a red star in public </w:t>
      </w:r>
      <w:r w:rsidR="000964D1">
        <w:t>as a symbol of the international workers</w:t>
      </w:r>
      <w:r w:rsidR="0050610F">
        <w:t>’</w:t>
      </w:r>
      <w:r w:rsidR="000964D1">
        <w:t xml:space="preserve"> movement </w:t>
      </w:r>
      <w:r w:rsidR="00572078">
        <w:t>must be regarded as a way of expressing political views</w:t>
      </w:r>
      <w:r w:rsidR="000964D1">
        <w:t xml:space="preserve"> and that </w:t>
      </w:r>
      <w:r w:rsidR="001E110F">
        <w:t>the d</w:t>
      </w:r>
      <w:r w:rsidR="00572078">
        <w:t xml:space="preserve">isplay of </w:t>
      </w:r>
      <w:r w:rsidR="00FD5EDE">
        <w:t xml:space="preserve">such </w:t>
      </w:r>
      <w:r w:rsidR="00572078">
        <w:t>vestimentary symbols f</w:t>
      </w:r>
      <w:r w:rsidR="00FD5EDE">
        <w:t>ell</w:t>
      </w:r>
      <w:r w:rsidR="00572078">
        <w:t xml:space="preserve"> within the ambit of Article 10 </w:t>
      </w:r>
      <w:r w:rsidR="000964D1">
        <w:t xml:space="preserve">of the Convention </w:t>
      </w:r>
      <w:r w:rsidR="000964D1">
        <w:lastRenderedPageBreak/>
        <w:t>(</w:t>
      </w:r>
      <w:r w:rsidRPr="00B668D2" w:rsidR="00572078">
        <w:rPr>
          <w:lang w:val="en-GB"/>
        </w:rPr>
        <w:t>no.</w:t>
      </w:r>
      <w:r w:rsidR="00090CEE">
        <w:rPr>
          <w:lang w:val="en-GB"/>
        </w:rPr>
        <w:t> </w:t>
      </w:r>
      <w:r w:rsidRPr="00B668D2" w:rsidR="00572078">
        <w:rPr>
          <w:lang w:val="en-GB"/>
        </w:rPr>
        <w:t>33629/06, §</w:t>
      </w:r>
      <w:r w:rsidR="000964D1">
        <w:rPr>
          <w:lang w:val="en-GB"/>
        </w:rPr>
        <w:t>§ 6 and</w:t>
      </w:r>
      <w:r w:rsidRPr="00B668D2" w:rsidR="00572078">
        <w:rPr>
          <w:lang w:val="en-GB"/>
        </w:rPr>
        <w:t xml:space="preserve"> </w:t>
      </w:r>
      <w:r w:rsidR="00572078">
        <w:rPr>
          <w:lang w:val="en-GB"/>
        </w:rPr>
        <w:t>47</w:t>
      </w:r>
      <w:r w:rsidRPr="00B668D2" w:rsidR="00572078">
        <w:rPr>
          <w:lang w:val="en-GB"/>
        </w:rPr>
        <w:t>, ECHR 2008</w:t>
      </w:r>
      <w:r w:rsidR="0094356B">
        <w:rPr>
          <w:lang w:val="en-GB"/>
        </w:rPr>
        <w:t xml:space="preserve">; see also </w:t>
      </w:r>
      <w:r w:rsidRPr="00081659" w:rsidR="0094356B">
        <w:rPr>
          <w:i/>
          <w:lang w:val="en-GB"/>
        </w:rPr>
        <w:t>Fratanoló v. Hungary</w:t>
      </w:r>
      <w:r w:rsidRPr="00081659" w:rsidR="0094356B">
        <w:rPr>
          <w:lang w:val="en-GB"/>
        </w:rPr>
        <w:t>, no.</w:t>
      </w:r>
      <w:r w:rsidR="00F82657">
        <w:rPr>
          <w:lang w:val="en-GB"/>
        </w:rPr>
        <w:t> </w:t>
      </w:r>
      <w:r w:rsidRPr="00081659" w:rsidR="0094356B">
        <w:rPr>
          <w:lang w:val="en-GB"/>
        </w:rPr>
        <w:t>29459/10</w:t>
      </w:r>
      <w:r w:rsidRPr="00081659" w:rsidR="0094356B">
        <w:rPr>
          <w:snapToGrid w:val="0"/>
          <w:szCs w:val="24"/>
          <w:lang w:val="en-GB"/>
        </w:rPr>
        <w:t xml:space="preserve">, § </w:t>
      </w:r>
      <w:r w:rsidR="0094356B">
        <w:rPr>
          <w:snapToGrid w:val="0"/>
          <w:szCs w:val="24"/>
          <w:lang w:val="en-GB"/>
        </w:rPr>
        <w:t>24</w:t>
      </w:r>
      <w:r w:rsidRPr="00081659" w:rsidR="0094356B">
        <w:rPr>
          <w:snapToGrid w:val="0"/>
          <w:szCs w:val="24"/>
          <w:lang w:val="en-GB"/>
        </w:rPr>
        <w:t>, 3 November 2011</w:t>
      </w:r>
      <w:r w:rsidR="000964D1">
        <w:rPr>
          <w:lang w:val="en-GB"/>
        </w:rPr>
        <w:t>)</w:t>
      </w:r>
      <w:r w:rsidR="00572078">
        <w:t>.</w:t>
      </w:r>
      <w:r w:rsidR="000964D1">
        <w:t xml:space="preserve"> Similarly, </w:t>
      </w:r>
      <w:r w:rsidR="00FD5EDE">
        <w:t>the Court</w:t>
      </w:r>
      <w:r w:rsidR="000964D1">
        <w:t xml:space="preserve"> held that </w:t>
      </w:r>
      <w:r w:rsidR="00F94F69">
        <w:t xml:space="preserve">the </w:t>
      </w:r>
      <w:r w:rsidRPr="00153DED" w:rsidR="00153DED">
        <w:rPr>
          <w:lang w:val="en-GB"/>
        </w:rPr>
        <w:t xml:space="preserve">display </w:t>
      </w:r>
      <w:r w:rsidR="00055574">
        <w:rPr>
          <w:lang w:val="en-GB"/>
        </w:rPr>
        <w:t xml:space="preserve">of </w:t>
      </w:r>
      <w:r w:rsidRPr="00153DED" w:rsidR="00153DED">
        <w:rPr>
          <w:lang w:val="en-GB"/>
        </w:rPr>
        <w:t xml:space="preserve">a symbol associated with a political movement or entity, like that of a flag, </w:t>
      </w:r>
      <w:r w:rsidR="009D0580">
        <w:rPr>
          <w:lang w:val="en-GB"/>
        </w:rPr>
        <w:t>wa</w:t>
      </w:r>
      <w:r w:rsidRPr="00153DED" w:rsidR="00153DED">
        <w:rPr>
          <w:lang w:val="en-GB"/>
        </w:rPr>
        <w:t>s capable of expressing identification with ideas or representing them and f</w:t>
      </w:r>
      <w:r w:rsidR="009D0580">
        <w:rPr>
          <w:lang w:val="en-GB"/>
        </w:rPr>
        <w:t>ell</w:t>
      </w:r>
      <w:r w:rsidRPr="00153DED" w:rsidR="00153DED">
        <w:rPr>
          <w:lang w:val="en-GB"/>
        </w:rPr>
        <w:t xml:space="preserve"> within the ambit of expression protected by Article 10 of the Convention</w:t>
      </w:r>
      <w:r w:rsidR="009D0580">
        <w:rPr>
          <w:lang w:val="en-GB"/>
        </w:rPr>
        <w:t xml:space="preserve"> </w:t>
      </w:r>
      <w:r w:rsidR="0087304C">
        <w:rPr>
          <w:lang w:val="en-GB"/>
        </w:rPr>
        <w:t xml:space="preserve">(see </w:t>
      </w:r>
      <w:r w:rsidRPr="00081659" w:rsidR="0087304C">
        <w:rPr>
          <w:i/>
          <w:lang w:val="en-GB"/>
        </w:rPr>
        <w:t>Fáber v. Hungary</w:t>
      </w:r>
      <w:r w:rsidR="0087304C">
        <w:rPr>
          <w:lang w:val="en-GB"/>
        </w:rPr>
        <w:t>,</w:t>
      </w:r>
      <w:r w:rsidRPr="00081659" w:rsidR="0087304C">
        <w:rPr>
          <w:lang w:val="en-GB"/>
        </w:rPr>
        <w:t xml:space="preserve"> no. 40721/08</w:t>
      </w:r>
      <w:r w:rsidRPr="00081659" w:rsidR="0087304C">
        <w:rPr>
          <w:snapToGrid w:val="0"/>
          <w:lang w:val="en-GB"/>
        </w:rPr>
        <w:t xml:space="preserve">, § </w:t>
      </w:r>
      <w:r w:rsidR="0087304C">
        <w:rPr>
          <w:snapToGrid w:val="0"/>
          <w:lang w:val="en-GB"/>
        </w:rPr>
        <w:t>36</w:t>
      </w:r>
      <w:r w:rsidRPr="00081659" w:rsidR="0087304C">
        <w:rPr>
          <w:snapToGrid w:val="0"/>
          <w:lang w:val="en-GB"/>
        </w:rPr>
        <w:t>, 24 July 2012</w:t>
      </w:r>
      <w:r w:rsidR="0087304C">
        <w:rPr>
          <w:snapToGrid w:val="0"/>
          <w:lang w:val="en-GB"/>
        </w:rPr>
        <w:t>).</w:t>
      </w:r>
    </w:p>
    <w:p w:rsidR="00D27D60" w:rsidP="00D27D60" w:rsidRDefault="006050A9">
      <w:pPr>
        <w:pStyle w:val="ECHRPara"/>
        <w:rPr>
          <w:rFonts w:ascii="Times New Roman" w:hAnsi="Times New Roman" w:eastAsia="Times New Roman" w:cs="Times New Roman"/>
          <w:lang w:val="en-GB" w:eastAsia="fr-FR"/>
        </w:rPr>
      </w:pPr>
      <w:r>
        <w:rPr>
          <w:snapToGrid w:val="0"/>
          <w:lang w:val="en-GB"/>
        </w:rPr>
        <w:fldChar w:fldCharType="begin"/>
      </w:r>
      <w:r>
        <w:rPr>
          <w:snapToGrid w:val="0"/>
          <w:lang w:val="en-GB"/>
        </w:rPr>
        <w:instrText xml:space="preserve"> SEQ level0 \*arabic </w:instrText>
      </w:r>
      <w:r>
        <w:rPr>
          <w:snapToGrid w:val="0"/>
          <w:lang w:val="en-GB"/>
        </w:rPr>
        <w:fldChar w:fldCharType="separate"/>
      </w:r>
      <w:r w:rsidR="005C1550">
        <w:rPr>
          <w:noProof/>
          <w:snapToGrid w:val="0"/>
          <w:lang w:val="en-GB"/>
        </w:rPr>
        <w:t>47</w:t>
      </w:r>
      <w:r>
        <w:rPr>
          <w:snapToGrid w:val="0"/>
          <w:lang w:val="en-GB"/>
        </w:rPr>
        <w:fldChar w:fldCharType="end"/>
      </w:r>
      <w:r>
        <w:rPr>
          <w:snapToGrid w:val="0"/>
          <w:lang w:val="en-GB"/>
        </w:rPr>
        <w:t>. </w:t>
      </w:r>
      <w:r w:rsidR="0044664F">
        <w:rPr>
          <w:snapToGrid w:val="0"/>
          <w:lang w:val="en-GB"/>
        </w:rPr>
        <w:t> </w:t>
      </w:r>
      <w:r w:rsidR="00247C30">
        <w:rPr>
          <w:snapToGrid w:val="0"/>
          <w:lang w:val="en-GB"/>
        </w:rPr>
        <w:t>The Court has held that opinions, a</w:t>
      </w:r>
      <w:r w:rsidR="0094356B">
        <w:rPr>
          <w:snapToGrid w:val="0"/>
          <w:lang w:val="en-GB"/>
        </w:rPr>
        <w:t xml:space="preserve">s well as </w:t>
      </w:r>
      <w:r w:rsidR="00055574">
        <w:rPr>
          <w:snapToGrid w:val="0"/>
          <w:lang w:val="en-GB"/>
        </w:rPr>
        <w:t xml:space="preserve">being capable of being </w:t>
      </w:r>
      <w:r w:rsidR="00D27D60">
        <w:rPr>
          <w:snapToGrid w:val="0"/>
          <w:lang w:val="en-GB"/>
        </w:rPr>
        <w:t>express</w:t>
      </w:r>
      <w:r w:rsidR="00055574">
        <w:rPr>
          <w:snapToGrid w:val="0"/>
          <w:lang w:val="en-GB"/>
        </w:rPr>
        <w:t>ed</w:t>
      </w:r>
      <w:r w:rsidR="00D27D60">
        <w:rPr>
          <w:snapToGrid w:val="0"/>
          <w:lang w:val="en-GB"/>
        </w:rPr>
        <w:t xml:space="preserve"> </w:t>
      </w:r>
      <w:r w:rsidR="00055574">
        <w:rPr>
          <w:snapToGrid w:val="0"/>
          <w:lang w:val="en-GB"/>
        </w:rPr>
        <w:t>t</w:t>
      </w:r>
      <w:r w:rsidR="00D27D60">
        <w:rPr>
          <w:snapToGrid w:val="0"/>
          <w:lang w:val="en-GB"/>
        </w:rPr>
        <w:t xml:space="preserve">hrough the </w:t>
      </w:r>
      <w:r w:rsidR="00036AA4">
        <w:rPr>
          <w:snapToGrid w:val="0"/>
          <w:lang w:val="en-GB"/>
        </w:rPr>
        <w:t>medi</w:t>
      </w:r>
      <w:r w:rsidR="00247C30">
        <w:rPr>
          <w:snapToGrid w:val="0"/>
          <w:lang w:val="en-GB"/>
        </w:rPr>
        <w:t>a</w:t>
      </w:r>
      <w:r w:rsidR="00036AA4">
        <w:rPr>
          <w:snapToGrid w:val="0"/>
          <w:lang w:val="en-GB"/>
        </w:rPr>
        <w:t xml:space="preserve"> of artistic </w:t>
      </w:r>
      <w:r w:rsidR="00D27D60">
        <w:rPr>
          <w:snapToGrid w:val="0"/>
          <w:lang w:val="en-GB"/>
        </w:rPr>
        <w:t xml:space="preserve">work and </w:t>
      </w:r>
      <w:r w:rsidR="00036AA4">
        <w:rPr>
          <w:snapToGrid w:val="0"/>
          <w:lang w:val="en-GB"/>
        </w:rPr>
        <w:t>the wearing or displaying of symbols</w:t>
      </w:r>
      <w:r w:rsidR="00055574">
        <w:rPr>
          <w:snapToGrid w:val="0"/>
          <w:lang w:val="en-GB"/>
        </w:rPr>
        <w:t xml:space="preserve"> as set out above</w:t>
      </w:r>
      <w:r w:rsidR="00036AA4">
        <w:rPr>
          <w:snapToGrid w:val="0"/>
          <w:lang w:val="en-GB"/>
        </w:rPr>
        <w:t xml:space="preserve">, can </w:t>
      </w:r>
      <w:r w:rsidR="00055574">
        <w:rPr>
          <w:snapToGrid w:val="0"/>
          <w:lang w:val="en-GB"/>
        </w:rPr>
        <w:t xml:space="preserve">also </w:t>
      </w:r>
      <w:r w:rsidR="00036AA4">
        <w:rPr>
          <w:snapToGrid w:val="0"/>
          <w:lang w:val="en-GB"/>
        </w:rPr>
        <w:t xml:space="preserve">be expressed through conduct. For example, in </w:t>
      </w:r>
      <w:r w:rsidR="007E764C">
        <w:rPr>
          <w:snapToGrid w:val="0"/>
          <w:lang w:val="en-GB"/>
        </w:rPr>
        <w:t xml:space="preserve">its judgment in </w:t>
      </w:r>
      <w:r w:rsidR="00036AA4">
        <w:rPr>
          <w:snapToGrid w:val="0"/>
          <w:lang w:val="en-GB"/>
        </w:rPr>
        <w:t xml:space="preserve">the case of </w:t>
      </w:r>
      <w:r w:rsidRPr="009C05A3" w:rsidR="00036AA4">
        <w:rPr>
          <w:rFonts w:ascii="Times New Roman" w:hAnsi="Times New Roman" w:eastAsia="Times New Roman" w:cs="Times New Roman"/>
          <w:i/>
          <w:lang w:val="en-GB" w:eastAsia="fr-FR"/>
        </w:rPr>
        <w:t>Steel and Others v. the United Kingdom</w:t>
      </w:r>
      <w:r w:rsidR="00036AA4">
        <w:rPr>
          <w:rFonts w:ascii="Times New Roman" w:hAnsi="Times New Roman" w:eastAsia="Times New Roman" w:cs="Times New Roman"/>
          <w:lang w:val="en-GB" w:eastAsia="fr-FR"/>
        </w:rPr>
        <w:t xml:space="preserve"> </w:t>
      </w:r>
      <w:r w:rsidR="00247C30">
        <w:t>(</w:t>
      </w:r>
      <w:r w:rsidRPr="009C05A3" w:rsidR="00247C30">
        <w:rPr>
          <w:rFonts w:ascii="Times New Roman" w:hAnsi="Times New Roman" w:eastAsia="Times New Roman" w:cs="Times New Roman"/>
          <w:lang w:val="en-GB" w:eastAsia="fr-FR"/>
        </w:rPr>
        <w:t>23 September 1998, §</w:t>
      </w:r>
      <w:r w:rsidR="00247C30">
        <w:rPr>
          <w:rFonts w:ascii="Times New Roman" w:hAnsi="Times New Roman" w:eastAsia="Times New Roman" w:cs="Times New Roman"/>
          <w:lang w:val="en-GB" w:eastAsia="fr-FR"/>
        </w:rPr>
        <w:t>§ 90 and</w:t>
      </w:r>
      <w:r w:rsidRPr="009C05A3" w:rsidR="00247C30">
        <w:rPr>
          <w:rFonts w:ascii="Times New Roman" w:hAnsi="Times New Roman" w:eastAsia="Times New Roman" w:cs="Times New Roman"/>
          <w:lang w:val="en-GB" w:eastAsia="fr-FR"/>
        </w:rPr>
        <w:t xml:space="preserve"> </w:t>
      </w:r>
      <w:r w:rsidR="00247C30">
        <w:rPr>
          <w:rFonts w:ascii="Times New Roman" w:hAnsi="Times New Roman" w:eastAsia="Times New Roman" w:cs="Times New Roman"/>
          <w:lang w:val="en-GB" w:eastAsia="fr-FR"/>
        </w:rPr>
        <w:t>92</w:t>
      </w:r>
      <w:r w:rsidRPr="009C05A3" w:rsidR="00247C30">
        <w:rPr>
          <w:rFonts w:ascii="Times New Roman" w:hAnsi="Times New Roman" w:eastAsia="Times New Roman" w:cs="Times New Roman"/>
          <w:lang w:val="en-GB" w:eastAsia="fr-FR"/>
        </w:rPr>
        <w:t xml:space="preserve">, </w:t>
      </w:r>
      <w:r w:rsidRPr="009C05A3" w:rsidR="00247C30">
        <w:rPr>
          <w:rFonts w:ascii="Times New Roman" w:hAnsi="Times New Roman" w:eastAsia="Times New Roman" w:cs="Times New Roman"/>
          <w:i/>
          <w:lang w:val="en-GB" w:eastAsia="fr-FR"/>
        </w:rPr>
        <w:t>Reports of Judgments and Decisions</w:t>
      </w:r>
      <w:r w:rsidRPr="009C05A3" w:rsidR="00247C30">
        <w:rPr>
          <w:rFonts w:ascii="Times New Roman" w:hAnsi="Times New Roman" w:eastAsia="Times New Roman" w:cs="Times New Roman"/>
          <w:lang w:val="en-GB" w:eastAsia="fr-FR"/>
        </w:rPr>
        <w:t xml:space="preserve"> 1998</w:t>
      </w:r>
      <w:r w:rsidRPr="009C05A3" w:rsidR="00247C30">
        <w:rPr>
          <w:rFonts w:ascii="Times New Roman" w:hAnsi="Times New Roman" w:eastAsia="Times New Roman" w:cs="Times New Roman"/>
          <w:lang w:val="en-GB" w:eastAsia="fr-FR"/>
        </w:rPr>
        <w:noBreakHyphen/>
        <w:t>VII</w:t>
      </w:r>
      <w:r w:rsidR="00247C30">
        <w:rPr>
          <w:rFonts w:ascii="Times New Roman" w:hAnsi="Times New Roman" w:eastAsia="Times New Roman" w:cs="Times New Roman"/>
          <w:lang w:val="en-GB" w:eastAsia="fr-FR"/>
        </w:rPr>
        <w:t xml:space="preserve">) </w:t>
      </w:r>
      <w:r w:rsidR="00036AA4">
        <w:rPr>
          <w:rFonts w:ascii="Times New Roman" w:hAnsi="Times New Roman" w:eastAsia="Times New Roman" w:cs="Times New Roman"/>
          <w:lang w:val="en-GB" w:eastAsia="fr-FR"/>
        </w:rPr>
        <w:t xml:space="preserve">the </w:t>
      </w:r>
      <w:r>
        <w:rPr>
          <w:rFonts w:ascii="Times New Roman" w:hAnsi="Times New Roman" w:eastAsia="Times New Roman" w:cs="Times New Roman"/>
          <w:lang w:val="en-GB" w:eastAsia="fr-FR"/>
        </w:rPr>
        <w:t xml:space="preserve">Court held that </w:t>
      </w:r>
      <w:r w:rsidR="00055574">
        <w:rPr>
          <w:rFonts w:ascii="Times New Roman" w:hAnsi="Times New Roman" w:eastAsia="Times New Roman" w:cs="Times New Roman"/>
          <w:lang w:val="en-GB" w:eastAsia="fr-FR"/>
        </w:rPr>
        <w:t>tak</w:t>
      </w:r>
      <w:r>
        <w:rPr>
          <w:rFonts w:ascii="Times New Roman" w:hAnsi="Times New Roman" w:eastAsia="Times New Roman" w:cs="Times New Roman"/>
          <w:lang w:val="en-GB" w:eastAsia="fr-FR"/>
        </w:rPr>
        <w:t>ing</w:t>
      </w:r>
      <w:r w:rsidR="00036AA4">
        <w:t xml:space="preserve"> part in a protest against a grouse shoot</w:t>
      </w:r>
      <w:r w:rsidR="00F94F69">
        <w:t>,</w:t>
      </w:r>
      <w:r w:rsidR="00036AA4">
        <w:t xml:space="preserve"> </w:t>
      </w:r>
      <w:r>
        <w:t xml:space="preserve">during which attempts were made to </w:t>
      </w:r>
      <w:r w:rsidR="00036AA4">
        <w:t>obstruct and distract those taking part in the shoot</w:t>
      </w:r>
      <w:r w:rsidR="00A84863">
        <w:t>,</w:t>
      </w:r>
      <w:r>
        <w:t xml:space="preserve"> and </w:t>
      </w:r>
      <w:r w:rsidR="00036AA4">
        <w:t>br</w:t>
      </w:r>
      <w:r w:rsidR="00F94F69">
        <w:t>e</w:t>
      </w:r>
      <w:r>
        <w:t xml:space="preserve">aking </w:t>
      </w:r>
      <w:r w:rsidR="00036AA4">
        <w:t xml:space="preserve">into a </w:t>
      </w:r>
      <w:r>
        <w:t xml:space="preserve">motorway </w:t>
      </w:r>
      <w:r w:rsidR="00036AA4">
        <w:t>construction site</w:t>
      </w:r>
      <w:r>
        <w:t xml:space="preserve"> and</w:t>
      </w:r>
      <w:r w:rsidR="00055574">
        <w:t xml:space="preserve"> </w:t>
      </w:r>
      <w:r w:rsidR="00036AA4">
        <w:t>climb</w:t>
      </w:r>
      <w:r>
        <w:t>ing</w:t>
      </w:r>
      <w:r w:rsidR="00036AA4">
        <w:t xml:space="preserve"> trees which were to be felled and onto some of the stationary machinery</w:t>
      </w:r>
      <w:r w:rsidR="007E764C">
        <w:t xml:space="preserve"> </w:t>
      </w:r>
      <w:r w:rsidR="00A972EB">
        <w:t xml:space="preserve">which </w:t>
      </w:r>
      <w:r w:rsidR="00F94F69">
        <w:t xml:space="preserve">was </w:t>
      </w:r>
      <w:r w:rsidR="007E764C">
        <w:t>to be used in the construction,</w:t>
      </w:r>
      <w:r w:rsidR="00F52F78">
        <w:t xml:space="preserve"> </w:t>
      </w:r>
      <w:r w:rsidR="00A84863">
        <w:t xml:space="preserve">constituted expressions of opinion within the meaning of Article 10 of the Convention even though they </w:t>
      </w:r>
      <w:r w:rsidR="007E764C">
        <w:t xml:space="preserve">had </w:t>
      </w:r>
      <w:r w:rsidR="00A84863">
        <w:t>t</w:t>
      </w:r>
      <w:r w:rsidR="007E764C">
        <w:t>aken</w:t>
      </w:r>
      <w:r w:rsidR="00A84863">
        <w:t xml:space="preserve"> the form of physically impeding certain activities. In doing so it rejected the </w:t>
      </w:r>
      <w:r w:rsidR="00070E90">
        <w:t>respondent Government</w:t>
      </w:r>
      <w:r w:rsidR="0050610F">
        <w:t>’</w:t>
      </w:r>
      <w:r w:rsidR="00070E90">
        <w:t>s argument that the protest activit</w:t>
      </w:r>
      <w:r w:rsidR="00055574">
        <w:t>ies</w:t>
      </w:r>
      <w:r w:rsidR="00070E90">
        <w:t xml:space="preserve"> of the applicants </w:t>
      </w:r>
      <w:r w:rsidR="00A84863">
        <w:t>had not been</w:t>
      </w:r>
      <w:r w:rsidR="00070E90">
        <w:t xml:space="preserve"> peaceful and that Article 10 of the Convention </w:t>
      </w:r>
      <w:r w:rsidR="00A972EB">
        <w:t>had</w:t>
      </w:r>
      <w:r w:rsidR="00070E90">
        <w:t xml:space="preserve"> thus not </w:t>
      </w:r>
      <w:r w:rsidR="00A972EB">
        <w:t xml:space="preserve">been </w:t>
      </w:r>
      <w:r w:rsidR="00070E90">
        <w:t>applicable</w:t>
      </w:r>
      <w:r w:rsidR="00307C59">
        <w:rPr>
          <w:rFonts w:ascii="Times New Roman" w:hAnsi="Times New Roman" w:eastAsia="Times New Roman" w:cs="Times New Roman"/>
          <w:lang w:val="en-GB" w:eastAsia="fr-FR"/>
        </w:rPr>
        <w:t>.</w:t>
      </w:r>
    </w:p>
    <w:p w:rsidR="00307C59" w:rsidP="00D27D60" w:rsidRDefault="00307C59">
      <w:pPr>
        <w:pStyle w:val="ECHRPara"/>
        <w:rPr>
          <w:rFonts w:ascii="Times New Roman" w:hAnsi="Times New Roman" w:eastAsia="Times New Roman" w:cs="Times New Roman"/>
          <w:lang w:val="en-GB" w:eastAsia="fr-FR"/>
        </w:rPr>
      </w:pPr>
      <w:r>
        <w:rPr>
          <w:rFonts w:ascii="Times New Roman" w:hAnsi="Times New Roman" w:eastAsia="Times New Roman" w:cs="Times New Roman"/>
          <w:lang w:val="en-GB" w:eastAsia="fr-FR"/>
        </w:rPr>
        <w:fldChar w:fldCharType="begin"/>
      </w:r>
      <w:r>
        <w:rPr>
          <w:rFonts w:ascii="Times New Roman" w:hAnsi="Times New Roman" w:eastAsia="Times New Roman" w:cs="Times New Roman"/>
          <w:lang w:val="en-GB" w:eastAsia="fr-FR"/>
        </w:rPr>
        <w:instrText xml:space="preserve"> SEQ level0 \*arabic </w:instrText>
      </w:r>
      <w:r>
        <w:rPr>
          <w:rFonts w:ascii="Times New Roman" w:hAnsi="Times New Roman" w:eastAsia="Times New Roman" w:cs="Times New Roman"/>
          <w:lang w:val="en-GB" w:eastAsia="fr-FR"/>
        </w:rPr>
        <w:fldChar w:fldCharType="separate"/>
      </w:r>
      <w:r w:rsidR="005C1550">
        <w:rPr>
          <w:rFonts w:ascii="Times New Roman" w:hAnsi="Times New Roman" w:eastAsia="Times New Roman" w:cs="Times New Roman"/>
          <w:noProof/>
          <w:lang w:val="en-GB" w:eastAsia="fr-FR"/>
        </w:rPr>
        <w:t>48</w:t>
      </w:r>
      <w:r>
        <w:rPr>
          <w:rFonts w:ascii="Times New Roman" w:hAnsi="Times New Roman" w:eastAsia="Times New Roman" w:cs="Times New Roman"/>
          <w:lang w:val="en-GB" w:eastAsia="fr-FR"/>
        </w:rPr>
        <w:fldChar w:fldCharType="end"/>
      </w:r>
      <w:r>
        <w:rPr>
          <w:rFonts w:ascii="Times New Roman" w:hAnsi="Times New Roman" w:eastAsia="Times New Roman" w:cs="Times New Roman"/>
          <w:lang w:val="en-GB" w:eastAsia="fr-FR"/>
        </w:rPr>
        <w:t xml:space="preserve">.  Similarly, in </w:t>
      </w:r>
      <w:r w:rsidRPr="009C05A3">
        <w:rPr>
          <w:rFonts w:ascii="Times New Roman" w:hAnsi="Times New Roman" w:eastAsia="Times New Roman" w:cs="Times New Roman"/>
          <w:i/>
          <w:lang w:val="en-GB" w:eastAsia="fr-FR"/>
        </w:rPr>
        <w:t>Hashman and Harrup v. the United Kingdom</w:t>
      </w:r>
      <w:r w:rsidRPr="009C05A3">
        <w:rPr>
          <w:rFonts w:ascii="Times New Roman" w:hAnsi="Times New Roman" w:eastAsia="Times New Roman" w:cs="Times New Roman"/>
          <w:lang w:val="en-GB" w:eastAsia="fr-FR"/>
        </w:rPr>
        <w:t xml:space="preserve"> </w:t>
      </w:r>
      <w:r w:rsidR="00247C30">
        <w:rPr>
          <w:rFonts w:ascii="Times New Roman" w:hAnsi="Times New Roman" w:eastAsia="Times New Roman" w:cs="Times New Roman"/>
          <w:lang w:val="en-GB" w:eastAsia="fr-FR"/>
        </w:rPr>
        <w:t>(</w:t>
      </w:r>
      <w:r w:rsidRPr="009C05A3" w:rsidR="00247C30">
        <w:rPr>
          <w:rFonts w:ascii="Times New Roman" w:hAnsi="Times New Roman" w:eastAsia="Times New Roman" w:cs="Times New Roman"/>
          <w:lang w:val="en-GB" w:eastAsia="fr-FR"/>
        </w:rPr>
        <w:t>[GC], no.</w:t>
      </w:r>
      <w:r w:rsidR="00247C30">
        <w:rPr>
          <w:rFonts w:ascii="Times New Roman" w:hAnsi="Times New Roman" w:eastAsia="Times New Roman" w:cs="Times New Roman"/>
          <w:lang w:val="en-GB" w:eastAsia="fr-FR"/>
        </w:rPr>
        <w:t> </w:t>
      </w:r>
      <w:r w:rsidRPr="009C05A3" w:rsidR="00247C30">
        <w:rPr>
          <w:rFonts w:ascii="Times New Roman" w:hAnsi="Times New Roman" w:eastAsia="Times New Roman" w:cs="Times New Roman"/>
          <w:lang w:val="en-GB" w:eastAsia="fr-FR"/>
        </w:rPr>
        <w:t xml:space="preserve">25594/94, § </w:t>
      </w:r>
      <w:r w:rsidR="00247C30">
        <w:rPr>
          <w:rFonts w:ascii="Times New Roman" w:hAnsi="Times New Roman" w:eastAsia="Times New Roman" w:cs="Times New Roman"/>
          <w:lang w:val="en-GB" w:eastAsia="fr-FR"/>
        </w:rPr>
        <w:t>28</w:t>
      </w:r>
      <w:r w:rsidRPr="009C05A3" w:rsidR="00247C30">
        <w:rPr>
          <w:rFonts w:ascii="Times New Roman" w:hAnsi="Times New Roman" w:eastAsia="Times New Roman" w:cs="Times New Roman"/>
          <w:lang w:val="en-GB" w:eastAsia="fr-FR"/>
        </w:rPr>
        <w:t>, ECHR 1999</w:t>
      </w:r>
      <w:r w:rsidRPr="009C05A3" w:rsidR="00247C30">
        <w:rPr>
          <w:rFonts w:ascii="Times New Roman" w:hAnsi="Times New Roman" w:eastAsia="Times New Roman" w:cs="Times New Roman"/>
          <w:lang w:val="en-GB" w:eastAsia="fr-FR"/>
        </w:rPr>
        <w:noBreakHyphen/>
        <w:t>VIII</w:t>
      </w:r>
      <w:r w:rsidR="00247C30">
        <w:rPr>
          <w:rFonts w:ascii="Times New Roman" w:hAnsi="Times New Roman" w:eastAsia="Times New Roman" w:cs="Times New Roman"/>
          <w:lang w:val="en-GB" w:eastAsia="fr-FR"/>
        </w:rPr>
        <w:t>) h</w:t>
      </w:r>
      <w:r w:rsidR="007B187F">
        <w:rPr>
          <w:rFonts w:ascii="Times New Roman" w:hAnsi="Times New Roman" w:eastAsia="Times New Roman" w:cs="Times New Roman"/>
          <w:lang w:val="en-GB" w:eastAsia="fr-FR"/>
        </w:rPr>
        <w:t>olding a protest during which</w:t>
      </w:r>
      <w:r>
        <w:t xml:space="preserve"> a fox hunt </w:t>
      </w:r>
      <w:r w:rsidR="007B187F">
        <w:t xml:space="preserve">was disrupted </w:t>
      </w:r>
      <w:r>
        <w:t>by blowing a hunting horn and by engaging in hallooing w</w:t>
      </w:r>
      <w:r w:rsidR="007B187F">
        <w:t>as</w:t>
      </w:r>
      <w:r>
        <w:t xml:space="preserve"> </w:t>
      </w:r>
      <w:r w:rsidR="007B187F">
        <w:t xml:space="preserve">held to </w:t>
      </w:r>
      <w:r>
        <w:t>constitute an expression of opinion within the meaning of Article 10 of the Convention</w:t>
      </w:r>
      <w:r>
        <w:rPr>
          <w:rFonts w:ascii="Times New Roman" w:hAnsi="Times New Roman" w:eastAsia="Times New Roman" w:cs="Times New Roman"/>
          <w:lang w:val="en-GB" w:eastAsia="fr-FR"/>
        </w:rPr>
        <w:t>.</w:t>
      </w:r>
    </w:p>
    <w:p w:rsidRPr="00B2445C" w:rsidR="00307C59" w:rsidP="00D27D60" w:rsidRDefault="00B2445C">
      <w:pPr>
        <w:pStyle w:val="ECHRPara"/>
        <w:rPr>
          <w:rFonts w:ascii="Times New Roman" w:hAnsi="Times New Roman" w:eastAsia="Times New Roman" w:cs="Times New Roman"/>
          <w:lang w:val="en-GB" w:eastAsia="fr-FR"/>
        </w:rPr>
      </w:pPr>
      <w:r>
        <w:rPr>
          <w:rFonts w:ascii="Times New Roman" w:hAnsi="Times New Roman" w:eastAsia="Times New Roman" w:cs="Times New Roman"/>
          <w:lang w:val="en-GB" w:eastAsia="fr-FR"/>
        </w:rPr>
        <w:fldChar w:fldCharType="begin"/>
      </w:r>
      <w:r>
        <w:rPr>
          <w:rFonts w:ascii="Times New Roman" w:hAnsi="Times New Roman" w:eastAsia="Times New Roman" w:cs="Times New Roman"/>
          <w:lang w:val="en-GB" w:eastAsia="fr-FR"/>
        </w:rPr>
        <w:instrText xml:space="preserve"> SEQ level0 \*arabic </w:instrText>
      </w:r>
      <w:r>
        <w:rPr>
          <w:rFonts w:ascii="Times New Roman" w:hAnsi="Times New Roman" w:eastAsia="Times New Roman" w:cs="Times New Roman"/>
          <w:lang w:val="en-GB" w:eastAsia="fr-FR"/>
        </w:rPr>
        <w:fldChar w:fldCharType="separate"/>
      </w:r>
      <w:r w:rsidR="005C1550">
        <w:rPr>
          <w:rFonts w:ascii="Times New Roman" w:hAnsi="Times New Roman" w:eastAsia="Times New Roman" w:cs="Times New Roman"/>
          <w:noProof/>
          <w:lang w:val="en-GB" w:eastAsia="fr-FR"/>
        </w:rPr>
        <w:t>49</w:t>
      </w:r>
      <w:r>
        <w:rPr>
          <w:rFonts w:ascii="Times New Roman" w:hAnsi="Times New Roman" w:eastAsia="Times New Roman" w:cs="Times New Roman"/>
          <w:lang w:val="en-GB" w:eastAsia="fr-FR"/>
        </w:rPr>
        <w:fldChar w:fldCharType="end"/>
      </w:r>
      <w:r>
        <w:rPr>
          <w:rFonts w:ascii="Times New Roman" w:hAnsi="Times New Roman" w:eastAsia="Times New Roman" w:cs="Times New Roman"/>
          <w:lang w:val="en-GB" w:eastAsia="fr-FR"/>
        </w:rPr>
        <w:t>.  </w:t>
      </w:r>
      <w:r w:rsidR="000936F0">
        <w:rPr>
          <w:rFonts w:ascii="Times New Roman" w:hAnsi="Times New Roman" w:eastAsia="Times New Roman" w:cs="Times New Roman"/>
          <w:lang w:val="en-GB" w:eastAsia="fr-FR"/>
        </w:rPr>
        <w:t>Referring to the above-mention</w:t>
      </w:r>
      <w:r w:rsidR="005D1A0B">
        <w:rPr>
          <w:rFonts w:ascii="Times New Roman" w:hAnsi="Times New Roman" w:eastAsia="Times New Roman" w:cs="Times New Roman"/>
          <w:lang w:val="en-GB" w:eastAsia="fr-FR"/>
        </w:rPr>
        <w:t>ed</w:t>
      </w:r>
      <w:r w:rsidR="000936F0">
        <w:rPr>
          <w:rFonts w:ascii="Times New Roman" w:hAnsi="Times New Roman" w:eastAsia="Times New Roman" w:cs="Times New Roman"/>
          <w:lang w:val="en-GB" w:eastAsia="fr-FR"/>
        </w:rPr>
        <w:t xml:space="preserve"> judgments in the cases of </w:t>
      </w:r>
      <w:r w:rsidRPr="009C05A3" w:rsidR="000936F0">
        <w:rPr>
          <w:rFonts w:ascii="Times New Roman" w:hAnsi="Times New Roman" w:eastAsia="Times New Roman" w:cs="Times New Roman"/>
          <w:i/>
          <w:lang w:val="en-GB" w:eastAsia="fr-FR"/>
        </w:rPr>
        <w:t>Steel and Others</w:t>
      </w:r>
      <w:r w:rsidR="000936F0">
        <w:rPr>
          <w:rFonts w:ascii="Times New Roman" w:hAnsi="Times New Roman" w:eastAsia="Times New Roman" w:cs="Times New Roman"/>
          <w:lang w:val="en-GB" w:eastAsia="fr-FR"/>
        </w:rPr>
        <w:t xml:space="preserve"> </w:t>
      </w:r>
      <w:r w:rsidR="007B3DA3">
        <w:rPr>
          <w:rFonts w:ascii="Times New Roman" w:hAnsi="Times New Roman" w:eastAsia="Times New Roman" w:cs="Times New Roman"/>
          <w:lang w:val="en-GB" w:eastAsia="fr-FR"/>
        </w:rPr>
        <w:t xml:space="preserve">and </w:t>
      </w:r>
      <w:r w:rsidRPr="009C05A3" w:rsidR="007B3DA3">
        <w:rPr>
          <w:rFonts w:ascii="Times New Roman" w:hAnsi="Times New Roman" w:eastAsia="Times New Roman" w:cs="Times New Roman"/>
          <w:i/>
          <w:lang w:val="en-GB" w:eastAsia="fr-FR"/>
        </w:rPr>
        <w:t>Hashman and Harrup</w:t>
      </w:r>
      <w:r w:rsidR="007B3DA3">
        <w:rPr>
          <w:rFonts w:ascii="Times New Roman" w:hAnsi="Times New Roman" w:eastAsia="Times New Roman" w:cs="Times New Roman"/>
          <w:lang w:val="en-GB" w:eastAsia="fr-FR"/>
        </w:rPr>
        <w:t>,</w:t>
      </w:r>
      <w:r w:rsidRPr="009C05A3" w:rsidR="007B3DA3">
        <w:rPr>
          <w:rFonts w:ascii="Times New Roman" w:hAnsi="Times New Roman" w:eastAsia="Times New Roman" w:cs="Times New Roman"/>
          <w:lang w:val="en-GB" w:eastAsia="fr-FR"/>
        </w:rPr>
        <w:t xml:space="preserve"> </w:t>
      </w:r>
      <w:r w:rsidR="007B3DA3">
        <w:rPr>
          <w:rFonts w:ascii="Times New Roman" w:hAnsi="Times New Roman" w:eastAsia="Times New Roman" w:cs="Times New Roman"/>
          <w:lang w:val="en-GB" w:eastAsia="fr-FR"/>
        </w:rPr>
        <w:t>t</w:t>
      </w:r>
      <w:r w:rsidR="000936F0">
        <w:rPr>
          <w:rFonts w:ascii="Times New Roman" w:hAnsi="Times New Roman" w:eastAsia="Times New Roman" w:cs="Times New Roman"/>
          <w:lang w:val="en-GB" w:eastAsia="fr-FR"/>
        </w:rPr>
        <w:t xml:space="preserve">he Court reaffirmed </w:t>
      </w:r>
      <w:r w:rsidR="007B187F">
        <w:t>in its decision in the</w:t>
      </w:r>
      <w:r w:rsidR="007B187F">
        <w:rPr>
          <w:rFonts w:ascii="Times New Roman" w:hAnsi="Times New Roman" w:eastAsia="Times New Roman" w:cs="Times New Roman"/>
          <w:lang w:val="en-GB" w:eastAsia="fr-FR"/>
        </w:rPr>
        <w:t xml:space="preserve"> case of </w:t>
      </w:r>
      <w:r w:rsidRPr="00B2445C" w:rsidR="007B187F">
        <w:rPr>
          <w:rFonts w:ascii="Times New Roman" w:hAnsi="Times New Roman" w:eastAsia="Times New Roman" w:cs="Times New Roman"/>
          <w:i/>
          <w:lang w:val="en-GB" w:eastAsia="fr-FR"/>
        </w:rPr>
        <w:t>Lucas v. the United Kingdom</w:t>
      </w:r>
      <w:r w:rsidR="007B187F">
        <w:rPr>
          <w:rFonts w:ascii="Times New Roman" w:hAnsi="Times New Roman" w:eastAsia="Times New Roman" w:cs="Times New Roman"/>
          <w:i/>
          <w:lang w:val="en-GB" w:eastAsia="fr-FR"/>
        </w:rPr>
        <w:t xml:space="preserve"> </w:t>
      </w:r>
      <w:r w:rsidRPr="00E56D6D" w:rsidR="007B187F">
        <w:rPr>
          <w:rFonts w:ascii="Times New Roman" w:hAnsi="Times New Roman" w:eastAsia="Times New Roman" w:cs="Times New Roman"/>
          <w:lang w:val="en-GB" w:eastAsia="fr-FR"/>
        </w:rPr>
        <w:t>((dec). no. 39013/02</w:t>
      </w:r>
      <w:r w:rsidR="007B187F">
        <w:rPr>
          <w:rFonts w:ascii="Times New Roman" w:hAnsi="Times New Roman" w:eastAsia="Times New Roman" w:cs="Times New Roman"/>
          <w:lang w:val="en-GB" w:eastAsia="fr-FR"/>
        </w:rPr>
        <w:t>, 18</w:t>
      </w:r>
      <w:r w:rsidR="00A246D6">
        <w:rPr>
          <w:rFonts w:ascii="Times New Roman" w:hAnsi="Times New Roman" w:eastAsia="Times New Roman" w:cs="Times New Roman"/>
          <w:lang w:val="en-GB" w:eastAsia="fr-FR"/>
        </w:rPr>
        <w:t> </w:t>
      </w:r>
      <w:r w:rsidR="007B187F">
        <w:rPr>
          <w:rFonts w:ascii="Times New Roman" w:hAnsi="Times New Roman" w:eastAsia="Times New Roman" w:cs="Times New Roman"/>
          <w:lang w:val="en-GB" w:eastAsia="fr-FR"/>
        </w:rPr>
        <w:t xml:space="preserve">March 2003) </w:t>
      </w:r>
      <w:r w:rsidR="000936F0">
        <w:rPr>
          <w:rFonts w:ascii="Times New Roman" w:hAnsi="Times New Roman" w:eastAsia="Times New Roman" w:cs="Times New Roman"/>
          <w:lang w:val="en-GB" w:eastAsia="fr-FR"/>
        </w:rPr>
        <w:t xml:space="preserve">that </w:t>
      </w:r>
      <w:r w:rsidR="000936F0">
        <w:t>protests can constitute expressions of opinion within the meaning of Article</w:t>
      </w:r>
      <w:r w:rsidR="00A246D6">
        <w:t xml:space="preserve"> </w:t>
      </w:r>
      <w:r w:rsidR="000936F0">
        <w:t>10 of the Convention</w:t>
      </w:r>
      <w:r w:rsidR="00E56D6D">
        <w:rPr>
          <w:rFonts w:ascii="Times New Roman" w:hAnsi="Times New Roman" w:eastAsia="Times New Roman" w:cs="Times New Roman"/>
          <w:lang w:val="en-GB" w:eastAsia="fr-FR"/>
        </w:rPr>
        <w:t xml:space="preserve">. </w:t>
      </w:r>
      <w:r w:rsidR="007B3DA3">
        <w:rPr>
          <w:rFonts w:ascii="Times New Roman" w:hAnsi="Times New Roman" w:eastAsia="Times New Roman" w:cs="Times New Roman"/>
          <w:lang w:val="en-GB" w:eastAsia="fr-FR"/>
        </w:rPr>
        <w:t xml:space="preserve">This case </w:t>
      </w:r>
      <w:r>
        <w:rPr>
          <w:rFonts w:ascii="Times New Roman" w:hAnsi="Times New Roman" w:eastAsia="Times New Roman" w:cs="Times New Roman"/>
          <w:lang w:val="en-GB" w:eastAsia="fr-FR"/>
        </w:rPr>
        <w:t xml:space="preserve">concerned an applicant who was arrested, detained and subsequently convicted </w:t>
      </w:r>
      <w:r w:rsidR="00247C30">
        <w:rPr>
          <w:rFonts w:ascii="Times New Roman" w:hAnsi="Times New Roman" w:eastAsia="Times New Roman" w:cs="Times New Roman"/>
          <w:lang w:val="en-GB" w:eastAsia="fr-FR"/>
        </w:rPr>
        <w:t>o</w:t>
      </w:r>
      <w:r>
        <w:rPr>
          <w:rFonts w:ascii="Times New Roman" w:hAnsi="Times New Roman" w:eastAsia="Times New Roman" w:cs="Times New Roman"/>
          <w:lang w:val="en-GB" w:eastAsia="fr-FR"/>
        </w:rPr>
        <w:t xml:space="preserve">f </w:t>
      </w:r>
      <w:r>
        <w:t>the offence of breach of the peace</w:t>
      </w:r>
      <w:r>
        <w:rPr>
          <w:rFonts w:ascii="Times New Roman" w:hAnsi="Times New Roman" w:eastAsia="Times New Roman" w:cs="Times New Roman"/>
          <w:lang w:val="en-GB" w:eastAsia="fr-FR"/>
        </w:rPr>
        <w:t xml:space="preserve"> for having </w:t>
      </w:r>
      <w:r>
        <w:t>sat in a public road leading to a naval base</w:t>
      </w:r>
      <w:r w:rsidRPr="00B2445C">
        <w:t xml:space="preserve"> </w:t>
      </w:r>
      <w:r>
        <w:t xml:space="preserve">in order to protest </w:t>
      </w:r>
      <w:r w:rsidR="005D1A0B">
        <w:t xml:space="preserve">against </w:t>
      </w:r>
      <w:r>
        <w:t>the decision of the British Government to retain nuclear submarine</w:t>
      </w:r>
      <w:r w:rsidR="00247C30">
        <w:t>s</w:t>
      </w:r>
      <w:r>
        <w:t>.</w:t>
      </w:r>
    </w:p>
    <w:p w:rsidRPr="00663CCD" w:rsidR="00C36A1A" w:rsidP="00A63B00" w:rsidRDefault="00291DF0">
      <w:pPr>
        <w:pStyle w:val="ECHRPara"/>
        <w:rPr>
          <w:rFonts w:ascii="Cambria Math" w:hAnsi="Cambria Math"/>
          <w:snapToGrid w:val="0"/>
          <w:szCs w:val="24"/>
          <w:lang w:val="en-GB" w:eastAsia="ja-JP"/>
        </w:rPr>
      </w:pPr>
      <w:r>
        <w:rPr>
          <w:snapToGrid w:val="0"/>
          <w:lang w:val="en-GB"/>
        </w:rPr>
        <w:fldChar w:fldCharType="begin"/>
      </w:r>
      <w:r>
        <w:rPr>
          <w:snapToGrid w:val="0"/>
          <w:lang w:val="en-GB"/>
        </w:rPr>
        <w:instrText xml:space="preserve"> SEQ level0 \*arabic </w:instrText>
      </w:r>
      <w:r>
        <w:rPr>
          <w:snapToGrid w:val="0"/>
          <w:lang w:val="en-GB"/>
        </w:rPr>
        <w:fldChar w:fldCharType="separate"/>
      </w:r>
      <w:r w:rsidR="005C1550">
        <w:rPr>
          <w:noProof/>
          <w:snapToGrid w:val="0"/>
          <w:lang w:val="en-GB"/>
        </w:rPr>
        <w:t>50</w:t>
      </w:r>
      <w:r>
        <w:rPr>
          <w:snapToGrid w:val="0"/>
          <w:lang w:val="en-GB"/>
        </w:rPr>
        <w:fldChar w:fldCharType="end"/>
      </w:r>
      <w:r>
        <w:rPr>
          <w:snapToGrid w:val="0"/>
          <w:lang w:val="en-GB"/>
        </w:rPr>
        <w:t>.  </w:t>
      </w:r>
      <w:r w:rsidR="00B70D39">
        <w:rPr>
          <w:snapToGrid w:val="0"/>
          <w:lang w:val="en-GB"/>
        </w:rPr>
        <w:t>In a similar vein, i</w:t>
      </w:r>
      <w:r w:rsidR="001E110F">
        <w:rPr>
          <w:snapToGrid w:val="0"/>
          <w:lang w:val="en-GB"/>
        </w:rPr>
        <w:t xml:space="preserve">n </w:t>
      </w:r>
      <w:r w:rsidR="00A63B00">
        <w:rPr>
          <w:snapToGrid w:val="0"/>
          <w:lang w:val="en-GB"/>
        </w:rPr>
        <w:t xml:space="preserve">its judgment in </w:t>
      </w:r>
      <w:r w:rsidR="001E110F">
        <w:rPr>
          <w:snapToGrid w:val="0"/>
          <w:lang w:val="en-GB"/>
        </w:rPr>
        <w:t xml:space="preserve">the case of </w:t>
      </w:r>
      <w:r w:rsidRPr="00B668D2" w:rsidR="001E110F">
        <w:rPr>
          <w:i/>
          <w:lang w:val="en-GB"/>
        </w:rPr>
        <w:t>Tatár and Fáber v.</w:t>
      </w:r>
      <w:r w:rsidR="00090CEE">
        <w:rPr>
          <w:i/>
          <w:lang w:val="en-GB"/>
        </w:rPr>
        <w:t> </w:t>
      </w:r>
      <w:r w:rsidRPr="00B668D2" w:rsidR="001E110F">
        <w:rPr>
          <w:i/>
          <w:lang w:val="en-GB"/>
        </w:rPr>
        <w:t>Hungary</w:t>
      </w:r>
      <w:r w:rsidRPr="00B668D2" w:rsidR="001E110F">
        <w:rPr>
          <w:lang w:val="en-GB"/>
        </w:rPr>
        <w:t xml:space="preserve"> </w:t>
      </w:r>
      <w:r w:rsidR="001E110F">
        <w:rPr>
          <w:lang w:val="en-GB"/>
        </w:rPr>
        <w:t xml:space="preserve">the Court considered that the </w:t>
      </w:r>
      <w:r w:rsidRPr="001E110F" w:rsidR="001E110F">
        <w:rPr>
          <w:lang w:val="en-GB"/>
        </w:rPr>
        <w:t>public display for a short while</w:t>
      </w:r>
      <w:r w:rsidR="001E110F">
        <w:rPr>
          <w:lang w:val="en-GB"/>
        </w:rPr>
        <w:t xml:space="preserve"> of </w:t>
      </w:r>
      <w:r w:rsidRPr="001E110F" w:rsidR="001E110F">
        <w:rPr>
          <w:lang w:val="en-GB"/>
        </w:rPr>
        <w:t>several items of clothing representing the “dirty laundry of the nation” amount</w:t>
      </w:r>
      <w:r w:rsidR="001E110F">
        <w:rPr>
          <w:lang w:val="en-GB"/>
        </w:rPr>
        <w:t>ed</w:t>
      </w:r>
      <w:r w:rsidRPr="001E110F" w:rsidR="001E110F">
        <w:rPr>
          <w:lang w:val="en-GB"/>
        </w:rPr>
        <w:t xml:space="preserve"> to a form of political expression</w:t>
      </w:r>
      <w:r w:rsidR="001E110F">
        <w:rPr>
          <w:snapToGrid w:val="0"/>
          <w:szCs w:val="24"/>
          <w:lang w:val="en-GB"/>
        </w:rPr>
        <w:t>.</w:t>
      </w:r>
      <w:r w:rsidR="008D0223">
        <w:rPr>
          <w:snapToGrid w:val="0"/>
          <w:szCs w:val="24"/>
          <w:lang w:val="en-GB"/>
        </w:rPr>
        <w:t xml:space="preserve"> </w:t>
      </w:r>
      <w:r w:rsidR="005F2E06">
        <w:rPr>
          <w:snapToGrid w:val="0"/>
          <w:szCs w:val="24"/>
          <w:lang w:val="en-GB"/>
        </w:rPr>
        <w:t>The Court referred to the applicants</w:t>
      </w:r>
      <w:r w:rsidR="0050610F">
        <w:rPr>
          <w:snapToGrid w:val="0"/>
          <w:szCs w:val="24"/>
          <w:lang w:val="en-GB"/>
        </w:rPr>
        <w:t>’</w:t>
      </w:r>
      <w:r w:rsidR="005F2E06">
        <w:rPr>
          <w:snapToGrid w:val="0"/>
          <w:szCs w:val="24"/>
          <w:lang w:val="en-GB"/>
        </w:rPr>
        <w:t xml:space="preserve"> actions as an “expressive interaction”</w:t>
      </w:r>
      <w:r w:rsidR="00436DC1">
        <w:rPr>
          <w:snapToGrid w:val="0"/>
          <w:szCs w:val="24"/>
          <w:lang w:val="en-GB"/>
        </w:rPr>
        <w:t>,</w:t>
      </w:r>
      <w:r w:rsidR="005F2E06">
        <w:rPr>
          <w:snapToGrid w:val="0"/>
          <w:szCs w:val="24"/>
          <w:lang w:val="en-GB"/>
        </w:rPr>
        <w:t xml:space="preserve"> and i</w:t>
      </w:r>
      <w:r w:rsidR="008D0223">
        <w:rPr>
          <w:snapToGrid w:val="0"/>
          <w:szCs w:val="24"/>
          <w:lang w:val="en-GB"/>
        </w:rPr>
        <w:t xml:space="preserve">n </w:t>
      </w:r>
      <w:r w:rsidR="00663CCD">
        <w:rPr>
          <w:snapToGrid w:val="0"/>
          <w:szCs w:val="24"/>
          <w:lang w:val="en-GB"/>
        </w:rPr>
        <w:t>rejecting the Government</w:t>
      </w:r>
      <w:r w:rsidR="0050610F">
        <w:rPr>
          <w:snapToGrid w:val="0"/>
          <w:szCs w:val="24"/>
          <w:lang w:val="en-GB"/>
        </w:rPr>
        <w:t>’</w:t>
      </w:r>
      <w:r w:rsidR="00663CCD">
        <w:rPr>
          <w:snapToGrid w:val="0"/>
          <w:szCs w:val="24"/>
          <w:lang w:val="en-GB"/>
        </w:rPr>
        <w:t xml:space="preserve">s argument that </w:t>
      </w:r>
      <w:r w:rsidR="008D0223">
        <w:rPr>
          <w:snapToGrid w:val="0"/>
          <w:szCs w:val="24"/>
          <w:lang w:val="en-GB"/>
        </w:rPr>
        <w:t xml:space="preserve">the </w:t>
      </w:r>
      <w:r w:rsidR="00663CCD">
        <w:t xml:space="preserve">impugned event had in fact constituted an assembly and thereby required scrutiny under Article 11 of the Convention, </w:t>
      </w:r>
      <w:r w:rsidR="005F2E06">
        <w:t>i</w:t>
      </w:r>
      <w:r w:rsidR="00663CCD">
        <w:t xml:space="preserve">t held that </w:t>
      </w:r>
      <w:r w:rsidR="008C4175">
        <w:t xml:space="preserve">the event </w:t>
      </w:r>
      <w:r w:rsidR="007B187F">
        <w:t xml:space="preserve">had </w:t>
      </w:r>
      <w:r w:rsidR="008C4175">
        <w:t xml:space="preserve">“constituted predominantly an expression” and had </w:t>
      </w:r>
      <w:r w:rsidR="008C4175">
        <w:lastRenderedPageBreak/>
        <w:t>thus fallen within the scope of Article 10 of the Convention</w:t>
      </w:r>
      <w:r w:rsidR="005F2E06">
        <w:t xml:space="preserve"> </w:t>
      </w:r>
      <w:r w:rsidR="005F2E06">
        <w:rPr>
          <w:lang w:val="en-GB"/>
        </w:rPr>
        <w:t>(</w:t>
      </w:r>
      <w:r w:rsidRPr="00B668D2" w:rsidR="005F2E06">
        <w:rPr>
          <w:lang w:val="en-GB"/>
        </w:rPr>
        <w:t>no. 26005/08 and 26160/08</w:t>
      </w:r>
      <w:r w:rsidRPr="00B668D2" w:rsidR="005F2E06">
        <w:rPr>
          <w:snapToGrid w:val="0"/>
          <w:szCs w:val="24"/>
          <w:lang w:val="en-GB"/>
        </w:rPr>
        <w:t>, §</w:t>
      </w:r>
      <w:r w:rsidR="005F2E06">
        <w:rPr>
          <w:snapToGrid w:val="0"/>
          <w:szCs w:val="24"/>
          <w:lang w:val="en-GB"/>
        </w:rPr>
        <w:t>§ 29,</w:t>
      </w:r>
      <w:r w:rsidRPr="00B668D2" w:rsidR="005F2E06">
        <w:rPr>
          <w:snapToGrid w:val="0"/>
          <w:szCs w:val="24"/>
          <w:lang w:val="en-GB"/>
        </w:rPr>
        <w:t xml:space="preserve"> </w:t>
      </w:r>
      <w:r w:rsidR="005F2E06">
        <w:rPr>
          <w:snapToGrid w:val="0"/>
          <w:szCs w:val="24"/>
          <w:lang w:val="en-GB"/>
        </w:rPr>
        <w:t>36 and 40,</w:t>
      </w:r>
      <w:r w:rsidRPr="00B668D2" w:rsidR="005F2E06">
        <w:rPr>
          <w:snapToGrid w:val="0"/>
          <w:szCs w:val="24"/>
          <w:lang w:val="en-GB"/>
        </w:rPr>
        <w:t xml:space="preserve"> 12 June 2012</w:t>
      </w:r>
      <w:r w:rsidR="005F2E06">
        <w:rPr>
          <w:snapToGrid w:val="0"/>
          <w:szCs w:val="24"/>
          <w:lang w:val="en-GB"/>
        </w:rPr>
        <w:t>)</w:t>
      </w:r>
      <w:r w:rsidR="008C4175">
        <w:t>.</w:t>
      </w:r>
    </w:p>
    <w:p w:rsidR="00A63B00" w:rsidP="00A63B00" w:rsidRDefault="00C36A1A">
      <w:pPr>
        <w:pStyle w:val="ECHRPara"/>
        <w:rPr>
          <w:rFonts w:ascii="Times New Roman" w:hAnsi="Times New Roman"/>
          <w:snapToGrid w:val="0"/>
          <w:lang w:val="en-GB" w:eastAsia="fr-FR"/>
        </w:rPr>
      </w:pPr>
      <w:r>
        <w:rPr>
          <w:snapToGrid w:val="0"/>
          <w:szCs w:val="24"/>
          <w:lang w:val="en-GB"/>
        </w:rPr>
        <w:fldChar w:fldCharType="begin"/>
      </w:r>
      <w:r>
        <w:rPr>
          <w:snapToGrid w:val="0"/>
          <w:szCs w:val="24"/>
          <w:lang w:val="en-GB"/>
        </w:rPr>
        <w:instrText xml:space="preserve"> SEQ level0 \*arabic </w:instrText>
      </w:r>
      <w:r>
        <w:rPr>
          <w:snapToGrid w:val="0"/>
          <w:szCs w:val="24"/>
          <w:lang w:val="en-GB"/>
        </w:rPr>
        <w:fldChar w:fldCharType="separate"/>
      </w:r>
      <w:r w:rsidR="005C1550">
        <w:rPr>
          <w:noProof/>
          <w:snapToGrid w:val="0"/>
          <w:szCs w:val="24"/>
          <w:lang w:val="en-GB"/>
        </w:rPr>
        <w:t>51</w:t>
      </w:r>
      <w:r>
        <w:rPr>
          <w:snapToGrid w:val="0"/>
          <w:szCs w:val="24"/>
          <w:lang w:val="en-GB"/>
        </w:rPr>
        <w:fldChar w:fldCharType="end"/>
      </w:r>
      <w:r>
        <w:rPr>
          <w:snapToGrid w:val="0"/>
          <w:szCs w:val="24"/>
          <w:lang w:val="en-GB"/>
        </w:rPr>
        <w:t>.  </w:t>
      </w:r>
      <w:r w:rsidR="007B187F">
        <w:rPr>
          <w:snapToGrid w:val="0"/>
          <w:szCs w:val="24"/>
          <w:lang w:val="en-GB"/>
        </w:rPr>
        <w:t>The scope of “expression” was once again the subject matter of the Court</w:t>
      </w:r>
      <w:r w:rsidR="0050610F">
        <w:rPr>
          <w:snapToGrid w:val="0"/>
          <w:szCs w:val="24"/>
          <w:lang w:val="en-GB"/>
        </w:rPr>
        <w:t>’</w:t>
      </w:r>
      <w:r w:rsidR="007B187F">
        <w:rPr>
          <w:snapToGrid w:val="0"/>
          <w:szCs w:val="24"/>
          <w:lang w:val="en-GB"/>
        </w:rPr>
        <w:t xml:space="preserve">s examination in </w:t>
      </w:r>
      <w:r w:rsidR="00A63B00">
        <w:rPr>
          <w:snapToGrid w:val="0"/>
          <w:szCs w:val="24"/>
          <w:lang w:val="en-GB"/>
        </w:rPr>
        <w:t xml:space="preserve">the case of </w:t>
      </w:r>
      <w:r w:rsidRPr="009C05A3" w:rsidR="00A63B00">
        <w:rPr>
          <w:rFonts w:ascii="Times New Roman" w:hAnsi="Times New Roman"/>
          <w:i/>
          <w:lang w:val="en-GB" w:eastAsia="fr-FR"/>
        </w:rPr>
        <w:t>Christian Democratic People</w:t>
      </w:r>
      <w:r w:rsidR="0050610F">
        <w:rPr>
          <w:rFonts w:ascii="Times New Roman" w:hAnsi="Times New Roman"/>
          <w:i/>
          <w:lang w:val="en-GB" w:eastAsia="fr-FR"/>
        </w:rPr>
        <w:t>’</w:t>
      </w:r>
      <w:r w:rsidRPr="009C05A3" w:rsidR="00A63B00">
        <w:rPr>
          <w:rFonts w:ascii="Times New Roman" w:hAnsi="Times New Roman"/>
          <w:i/>
          <w:lang w:val="en-GB" w:eastAsia="fr-FR"/>
        </w:rPr>
        <w:t>s Party v.</w:t>
      </w:r>
      <w:r w:rsidR="00090CEE">
        <w:rPr>
          <w:rFonts w:ascii="Times New Roman" w:hAnsi="Times New Roman"/>
          <w:i/>
          <w:lang w:val="en-GB" w:eastAsia="fr-FR"/>
        </w:rPr>
        <w:t> </w:t>
      </w:r>
      <w:r w:rsidRPr="009C05A3" w:rsidR="00A63B00">
        <w:rPr>
          <w:rFonts w:ascii="Times New Roman" w:hAnsi="Times New Roman"/>
          <w:i/>
          <w:lang w:val="en-GB" w:eastAsia="fr-FR"/>
        </w:rPr>
        <w:t>Moldova (no. 2)</w:t>
      </w:r>
      <w:r w:rsidRPr="009C05A3" w:rsidR="00A63B00">
        <w:rPr>
          <w:rFonts w:ascii="Times New Roman" w:hAnsi="Times New Roman"/>
          <w:lang w:val="en-GB" w:eastAsia="fr-FR"/>
        </w:rPr>
        <w:t xml:space="preserve"> </w:t>
      </w:r>
      <w:r w:rsidR="007B187F">
        <w:rPr>
          <w:rFonts w:ascii="Times New Roman" w:hAnsi="Times New Roman"/>
          <w:lang w:val="en-GB" w:eastAsia="fr-FR"/>
        </w:rPr>
        <w:t>wh</w:t>
      </w:r>
      <w:r w:rsidR="00A44C0B">
        <w:rPr>
          <w:rFonts w:ascii="Times New Roman" w:hAnsi="Times New Roman"/>
          <w:lang w:val="en-GB" w:eastAsia="fr-FR"/>
        </w:rPr>
        <w:t>ich concerned</w:t>
      </w:r>
      <w:r w:rsidR="007B187F">
        <w:rPr>
          <w:rFonts w:ascii="Times New Roman" w:hAnsi="Times New Roman"/>
          <w:lang w:val="en-GB" w:eastAsia="fr-FR"/>
        </w:rPr>
        <w:t xml:space="preserve"> </w:t>
      </w:r>
      <w:r w:rsidR="00A44C0B">
        <w:rPr>
          <w:rFonts w:ascii="Times New Roman" w:hAnsi="Times New Roman"/>
          <w:lang w:val="en-GB" w:eastAsia="fr-FR"/>
        </w:rPr>
        <w:t>a political p</w:t>
      </w:r>
      <w:r>
        <w:t xml:space="preserve">arty </w:t>
      </w:r>
      <w:r w:rsidR="00A44C0B">
        <w:t>which had been</w:t>
      </w:r>
      <w:r>
        <w:t xml:space="preserve"> </w:t>
      </w:r>
      <w:r w:rsidR="00D52A63">
        <w:t>prevented from</w:t>
      </w:r>
      <w:r>
        <w:t xml:space="preserve"> hold</w:t>
      </w:r>
      <w:r w:rsidR="00D52A63">
        <w:t>ing</w:t>
      </w:r>
      <w:r>
        <w:t xml:space="preserve"> a protest demonstration in a square because the Municipal Council </w:t>
      </w:r>
      <w:r w:rsidR="00CB17BA">
        <w:t xml:space="preserve">had </w:t>
      </w:r>
      <w:r>
        <w:t>considered that during the meeting there would be calls to a war of aggression, ethnic hatred and public violence.</w:t>
      </w:r>
      <w:r w:rsidR="007B187F">
        <w:t xml:space="preserve"> </w:t>
      </w:r>
      <w:r>
        <w:t>The applicant Party</w:t>
      </w:r>
      <w:r w:rsidR="0050610F">
        <w:t>’</w:t>
      </w:r>
      <w:r>
        <w:t>s objection was rejected by the Court of Appeal</w:t>
      </w:r>
      <w:r w:rsidR="00C055BE">
        <w:t>,</w:t>
      </w:r>
      <w:r>
        <w:t xml:space="preserve"> which held that the Municipal Council</w:t>
      </w:r>
      <w:r w:rsidR="0050610F">
        <w:t>’</w:t>
      </w:r>
      <w:r>
        <w:t xml:space="preserve">s decision </w:t>
      </w:r>
      <w:r w:rsidR="007B187F">
        <w:t>had been</w:t>
      </w:r>
      <w:r>
        <w:t xml:space="preserve"> justified because the leaflets disseminated by the applicant </w:t>
      </w:r>
      <w:r w:rsidR="00D2100F">
        <w:t>political p</w:t>
      </w:r>
      <w:r w:rsidR="00FF57D3">
        <w:t xml:space="preserve">arty </w:t>
      </w:r>
      <w:r>
        <w:t>had contained such slogans as “Down with Voronin</w:t>
      </w:r>
      <w:r w:rsidR="0050610F">
        <w:t>’</w:t>
      </w:r>
      <w:r>
        <w:t>s totalitarian regime” and “Down with Putin</w:t>
      </w:r>
      <w:r w:rsidR="0050610F">
        <w:t>’</w:t>
      </w:r>
      <w:r>
        <w:t xml:space="preserve">s occupation regime”. The Court of Appeal also recalled that during a previous demonstration organised by the applicant </w:t>
      </w:r>
      <w:r w:rsidR="00D2100F">
        <w:t>political p</w:t>
      </w:r>
      <w:r>
        <w:t xml:space="preserve">arty to protest against the presence of the Russian military in Transdniestria, the protesters had burned a picture of the President of the Russian Federation and a Russian flag. </w:t>
      </w:r>
      <w:r w:rsidR="00C65ECC">
        <w:t xml:space="preserve">In its judgment the Court held that the applicant </w:t>
      </w:r>
      <w:r w:rsidR="00FF57D3">
        <w:t>party</w:t>
      </w:r>
      <w:r w:rsidR="0050610F">
        <w:t>’</w:t>
      </w:r>
      <w:r w:rsidR="00FF57D3">
        <w:t xml:space="preserve">s </w:t>
      </w:r>
      <w:r w:rsidR="00C65ECC">
        <w:t xml:space="preserve">slogans, even if </w:t>
      </w:r>
      <w:r w:rsidR="00C055BE">
        <w:t xml:space="preserve">they had been </w:t>
      </w:r>
      <w:r w:rsidR="00C65ECC">
        <w:t xml:space="preserve">accompanied by the burning of flags and pictures, </w:t>
      </w:r>
      <w:r w:rsidR="00C055BE">
        <w:t xml:space="preserve">were </w:t>
      </w:r>
      <w:r w:rsidR="00C65ECC">
        <w:t xml:space="preserve">a form of expressing an opinion in respect of an issue of major public interest, namely the presence of Russian troops on the territory of Moldova </w:t>
      </w:r>
      <w:r w:rsidR="00A63B00">
        <w:rPr>
          <w:rFonts w:ascii="Times New Roman" w:hAnsi="Times New Roman"/>
          <w:lang w:val="en-GB" w:eastAsia="fr-FR"/>
        </w:rPr>
        <w:t>(</w:t>
      </w:r>
      <w:r w:rsidRPr="009C05A3" w:rsidR="00A63B00">
        <w:rPr>
          <w:rFonts w:ascii="Times New Roman" w:hAnsi="Times New Roman"/>
          <w:lang w:val="en-GB" w:eastAsia="fr-FR"/>
        </w:rPr>
        <w:t>no. 25196/04</w:t>
      </w:r>
      <w:r w:rsidRPr="009C05A3" w:rsidR="00A63B00">
        <w:rPr>
          <w:rFonts w:ascii="Times New Roman" w:hAnsi="Times New Roman"/>
          <w:snapToGrid w:val="0"/>
          <w:lang w:val="en-GB" w:eastAsia="fr-FR"/>
        </w:rPr>
        <w:t>, §</w:t>
      </w:r>
      <w:r w:rsidR="00A63B00">
        <w:rPr>
          <w:rFonts w:ascii="Times New Roman" w:hAnsi="Times New Roman"/>
          <w:snapToGrid w:val="0"/>
          <w:lang w:val="en-GB" w:eastAsia="fr-FR"/>
        </w:rPr>
        <w:t>§</w:t>
      </w:r>
      <w:r w:rsidR="00A246D6">
        <w:rPr>
          <w:rFonts w:ascii="Times New Roman" w:hAnsi="Times New Roman"/>
          <w:snapToGrid w:val="0"/>
          <w:lang w:val="en-GB" w:eastAsia="fr-FR"/>
        </w:rPr>
        <w:t xml:space="preserve"> </w:t>
      </w:r>
      <w:r w:rsidR="00A63B00">
        <w:rPr>
          <w:rFonts w:ascii="Times New Roman" w:hAnsi="Times New Roman"/>
          <w:snapToGrid w:val="0"/>
          <w:lang w:val="en-GB" w:eastAsia="fr-FR"/>
        </w:rPr>
        <w:t>9</w:t>
      </w:r>
      <w:r w:rsidR="00090CEE">
        <w:rPr>
          <w:rFonts w:ascii="Times New Roman" w:hAnsi="Times New Roman"/>
          <w:snapToGrid w:val="0"/>
          <w:lang w:val="en-GB" w:eastAsia="fr-FR"/>
        </w:rPr>
        <w:t xml:space="preserve"> </w:t>
      </w:r>
      <w:r w:rsidR="00A63B00">
        <w:rPr>
          <w:rFonts w:ascii="Times New Roman" w:hAnsi="Times New Roman"/>
          <w:snapToGrid w:val="0"/>
          <w:lang w:val="en-GB" w:eastAsia="fr-FR"/>
        </w:rPr>
        <w:t>and 27</w:t>
      </w:r>
      <w:r w:rsidRPr="009C05A3" w:rsidR="00A63B00">
        <w:rPr>
          <w:rFonts w:ascii="Times New Roman" w:hAnsi="Times New Roman"/>
          <w:snapToGrid w:val="0"/>
          <w:lang w:val="en-GB" w:eastAsia="fr-FR"/>
        </w:rPr>
        <w:t>, 2 February 2010</w:t>
      </w:r>
      <w:r w:rsidR="00C65ECC">
        <w:rPr>
          <w:rFonts w:ascii="Times New Roman" w:hAnsi="Times New Roman"/>
          <w:snapToGrid w:val="0"/>
          <w:lang w:val="en-GB" w:eastAsia="fr-FR"/>
        </w:rPr>
        <w:t>).</w:t>
      </w:r>
    </w:p>
    <w:p w:rsidR="004603EE" w:rsidP="0087304C" w:rsidRDefault="00F75040">
      <w:pPr>
        <w:pStyle w:val="ECHRPara"/>
      </w:pPr>
      <w:r>
        <w:rPr>
          <w:snapToGrid w:val="0"/>
          <w:szCs w:val="24"/>
          <w:lang w:val="en-GB"/>
        </w:rPr>
        <w:fldChar w:fldCharType="begin"/>
      </w:r>
      <w:r>
        <w:rPr>
          <w:snapToGrid w:val="0"/>
          <w:szCs w:val="24"/>
          <w:lang w:val="en-GB"/>
        </w:rPr>
        <w:instrText xml:space="preserve"> SEQ level0 \*arabic </w:instrText>
      </w:r>
      <w:r>
        <w:rPr>
          <w:snapToGrid w:val="0"/>
          <w:szCs w:val="24"/>
          <w:lang w:val="en-GB"/>
        </w:rPr>
        <w:fldChar w:fldCharType="separate"/>
      </w:r>
      <w:r w:rsidR="005C1550">
        <w:rPr>
          <w:noProof/>
          <w:snapToGrid w:val="0"/>
          <w:szCs w:val="24"/>
          <w:lang w:val="en-GB"/>
        </w:rPr>
        <w:t>52</w:t>
      </w:r>
      <w:r>
        <w:rPr>
          <w:snapToGrid w:val="0"/>
          <w:szCs w:val="24"/>
          <w:lang w:val="en-GB"/>
        </w:rPr>
        <w:fldChar w:fldCharType="end"/>
      </w:r>
      <w:r>
        <w:rPr>
          <w:snapToGrid w:val="0"/>
          <w:szCs w:val="24"/>
          <w:lang w:val="en-GB"/>
        </w:rPr>
        <w:t>.  </w:t>
      </w:r>
      <w:r w:rsidR="002930EA">
        <w:rPr>
          <w:snapToGrid w:val="0"/>
          <w:szCs w:val="24"/>
          <w:lang w:val="en-GB"/>
        </w:rPr>
        <w:t xml:space="preserve">The examples referred to above show that all </w:t>
      </w:r>
      <w:r w:rsidR="00C50ED0">
        <w:rPr>
          <w:snapToGrid w:val="0"/>
          <w:szCs w:val="24"/>
          <w:lang w:val="en-GB"/>
        </w:rPr>
        <w:t xml:space="preserve">means </w:t>
      </w:r>
      <w:r w:rsidR="002930EA">
        <w:rPr>
          <w:snapToGrid w:val="0"/>
          <w:szCs w:val="24"/>
          <w:lang w:val="en-GB"/>
        </w:rPr>
        <w:t xml:space="preserve">of expression are included in the ambit of Article 10 of the Convention. </w:t>
      </w:r>
      <w:r w:rsidR="005549C5">
        <w:rPr>
          <w:snapToGrid w:val="0"/>
          <w:szCs w:val="24"/>
          <w:lang w:val="en-GB"/>
        </w:rPr>
        <w:t xml:space="preserve">The Court has repeatedly </w:t>
      </w:r>
      <w:r w:rsidR="00B47456">
        <w:rPr>
          <w:snapToGrid w:val="0"/>
          <w:szCs w:val="24"/>
          <w:lang w:val="en-GB"/>
        </w:rPr>
        <w:t xml:space="preserve">stressed that </w:t>
      </w:r>
      <w:r w:rsidR="00B47456">
        <w:t xml:space="preserve">there is little scope under Article 10 § 2 of the Convention for restrictions on political speech or on debate of questions of public interest </w:t>
      </w:r>
      <w:r w:rsidR="004400B5">
        <w:t xml:space="preserve">(see, </w:t>
      </w:r>
      <w:r w:rsidR="004400B5">
        <w:rPr>
          <w:i/>
        </w:rPr>
        <w:t xml:space="preserve">inter </w:t>
      </w:r>
      <w:r w:rsidRPr="004400B5" w:rsidR="004400B5">
        <w:rPr>
          <w:i/>
        </w:rPr>
        <w:t>alia</w:t>
      </w:r>
      <w:r w:rsidR="004400B5">
        <w:t xml:space="preserve">, </w:t>
      </w:r>
      <w:r w:rsidRPr="003B1789" w:rsidR="00B47456">
        <w:rPr>
          <w:i/>
          <w:lang w:val="en-GB"/>
        </w:rPr>
        <w:t>Wingrove</w:t>
      </w:r>
      <w:r w:rsidRPr="00B668D2" w:rsidR="00B47456">
        <w:rPr>
          <w:i/>
          <w:lang w:val="en-GB"/>
        </w:rPr>
        <w:t xml:space="preserve"> v. the United Kingdom</w:t>
      </w:r>
      <w:r w:rsidRPr="00B668D2" w:rsidR="00B47456">
        <w:rPr>
          <w:lang w:val="en-GB"/>
        </w:rPr>
        <w:t>, 25</w:t>
      </w:r>
      <w:r w:rsidR="00F17C1C">
        <w:rPr>
          <w:lang w:val="en-GB"/>
        </w:rPr>
        <w:t> </w:t>
      </w:r>
      <w:r w:rsidRPr="00B668D2" w:rsidR="00B47456">
        <w:rPr>
          <w:lang w:val="en-GB"/>
        </w:rPr>
        <w:t xml:space="preserve">November 1996, § </w:t>
      </w:r>
      <w:r w:rsidR="00B47456">
        <w:rPr>
          <w:lang w:val="en-GB"/>
        </w:rPr>
        <w:t>58</w:t>
      </w:r>
      <w:r w:rsidRPr="00B668D2" w:rsidR="00B47456">
        <w:rPr>
          <w:lang w:val="en-GB"/>
        </w:rPr>
        <w:t xml:space="preserve">, </w:t>
      </w:r>
      <w:r w:rsidRPr="00B668D2" w:rsidR="00B47456">
        <w:rPr>
          <w:i/>
          <w:lang w:val="en-GB"/>
        </w:rPr>
        <w:t>Reports</w:t>
      </w:r>
      <w:r w:rsidRPr="00B668D2" w:rsidR="00B47456">
        <w:rPr>
          <w:lang w:val="en-GB"/>
        </w:rPr>
        <w:t xml:space="preserve"> 1996</w:t>
      </w:r>
      <w:r w:rsidRPr="00B668D2" w:rsidR="00B47456">
        <w:rPr>
          <w:lang w:val="en-GB"/>
        </w:rPr>
        <w:noBreakHyphen/>
        <w:t>V</w:t>
      </w:r>
      <w:r w:rsidR="004400B5">
        <w:rPr>
          <w:lang w:val="en-GB"/>
        </w:rPr>
        <w:t>)</w:t>
      </w:r>
      <w:r w:rsidR="00B47456">
        <w:t xml:space="preserve">. In the same vein, it considers </w:t>
      </w:r>
      <w:r w:rsidR="00CB2CF2">
        <w:t>that an assessment of whether an impugned conduct falls within the scope of Article 10 of the Convention should not be restrictive, but inclusive</w:t>
      </w:r>
      <w:r w:rsidR="004603EE">
        <w:t>.</w:t>
      </w:r>
    </w:p>
    <w:p w:rsidR="0087092A" w:rsidP="0087092A" w:rsidRDefault="00E854AD">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53</w:t>
      </w:r>
      <w:r>
        <w:rPr>
          <w:lang w:val="en-GB"/>
        </w:rPr>
        <w:fldChar w:fldCharType="end"/>
      </w:r>
      <w:r>
        <w:rPr>
          <w:lang w:val="en-GB"/>
        </w:rPr>
        <w:t xml:space="preserve">.  Moreover, the </w:t>
      </w:r>
      <w:r w:rsidRPr="007D6969">
        <w:t xml:space="preserve">Court </w:t>
      </w:r>
      <w:r>
        <w:t>has held</w:t>
      </w:r>
      <w:r w:rsidRPr="006461DC">
        <w:rPr>
          <w:lang w:val="en-GB"/>
        </w:rPr>
        <w:t xml:space="preserve"> </w:t>
      </w:r>
      <w:r>
        <w:rPr>
          <w:lang w:val="en-GB"/>
        </w:rPr>
        <w:t>in cases concerning freedom of the press</w:t>
      </w:r>
      <w:r>
        <w:t xml:space="preserve"> that it is neither for the Court nor for the national courts to substitute their own views for those of the press as to what technique of reporting should be adopted by journalists because, as stated above (see paragraph</w:t>
      </w:r>
      <w:r w:rsidR="000C0386">
        <w:t> </w:t>
      </w:r>
      <w:r w:rsidR="00B53C7C">
        <w:t>44</w:t>
      </w:r>
      <w:r>
        <w:t xml:space="preserve"> above), Article 10 of the Convention protects not only the substance of the ideas and information expressed, but also the form in which they are conveyed (see, </w:t>
      </w:r>
      <w:r>
        <w:rPr>
          <w:i/>
        </w:rPr>
        <w:t>inter alia</w:t>
      </w:r>
      <w:r>
        <w:t xml:space="preserve">, </w:t>
      </w:r>
      <w:r w:rsidRPr="00B668D2">
        <w:rPr>
          <w:i/>
          <w:lang w:val="en-GB"/>
        </w:rPr>
        <w:t>Jersild v. Denmark</w:t>
      </w:r>
      <w:r w:rsidRPr="00B668D2">
        <w:rPr>
          <w:lang w:val="en-GB"/>
        </w:rPr>
        <w:t>, 23 September 1994, §</w:t>
      </w:r>
      <w:r w:rsidR="000C0386">
        <w:rPr>
          <w:lang w:val="en-GB"/>
        </w:rPr>
        <w:t> </w:t>
      </w:r>
      <w:r>
        <w:rPr>
          <w:lang w:val="en-GB"/>
        </w:rPr>
        <w:t>31</w:t>
      </w:r>
      <w:r w:rsidRPr="00B668D2">
        <w:rPr>
          <w:lang w:val="en-GB"/>
        </w:rPr>
        <w:t>, Series A no. 298</w:t>
      </w:r>
      <w:r>
        <w:rPr>
          <w:lang w:val="en-GB"/>
        </w:rPr>
        <w:t xml:space="preserve">). </w:t>
      </w:r>
      <w:r>
        <w:t xml:space="preserve">The Court considers that the same can be said </w:t>
      </w:r>
      <w:r w:rsidR="007D60DE">
        <w:t xml:space="preserve">for </w:t>
      </w:r>
      <w:r w:rsidR="00027F9D">
        <w:t>any individual</w:t>
      </w:r>
      <w:r w:rsidR="007D60DE">
        <w:t xml:space="preserve"> who may wish to convey </w:t>
      </w:r>
      <w:r w:rsidR="00FF57D3">
        <w:t xml:space="preserve">his or her </w:t>
      </w:r>
      <w:r w:rsidR="007D60DE">
        <w:t>opinion by using non-verbal</w:t>
      </w:r>
      <w:r w:rsidR="00886638">
        <w:t xml:space="preserve"> and</w:t>
      </w:r>
      <w:r w:rsidR="007D60DE">
        <w:t xml:space="preserve"> symbolic means of expression</w:t>
      </w:r>
      <w:r w:rsidR="000207F9">
        <w:t>, and</w:t>
      </w:r>
      <w:r w:rsidR="007E7336">
        <w:t xml:space="preserve"> </w:t>
      </w:r>
      <w:r w:rsidR="000207F9">
        <w:t>i</w:t>
      </w:r>
      <w:r w:rsidR="007E7336">
        <w:t xml:space="preserve">t thus </w:t>
      </w:r>
      <w:r w:rsidR="000207F9">
        <w:t xml:space="preserve">rejects </w:t>
      </w:r>
      <w:r w:rsidR="007E7336">
        <w:t>the Government</w:t>
      </w:r>
      <w:r w:rsidR="0050610F">
        <w:t>’</w:t>
      </w:r>
      <w:r w:rsidR="007E7336">
        <w:t>s argument that “[a]</w:t>
      </w:r>
      <w:r w:rsidRPr="00E8512F" w:rsidR="007E7336">
        <w:rPr>
          <w:lang w:val="en-GB"/>
        </w:rPr>
        <w:t xml:space="preserve">lthough </w:t>
      </w:r>
      <w:r w:rsidR="007E7336">
        <w:rPr>
          <w:lang w:val="en-GB"/>
        </w:rPr>
        <w:t>t</w:t>
      </w:r>
      <w:r w:rsidRPr="00E8512F" w:rsidR="007E7336">
        <w:rPr>
          <w:lang w:val="en-GB"/>
        </w:rPr>
        <w:t>he</w:t>
      </w:r>
      <w:r w:rsidR="007E7336">
        <w:rPr>
          <w:lang w:val="en-GB"/>
        </w:rPr>
        <w:t xml:space="preserve"> applicant</w:t>
      </w:r>
      <w:r w:rsidRPr="00E8512F" w:rsidR="007E7336">
        <w:rPr>
          <w:lang w:val="en-GB"/>
        </w:rPr>
        <w:t xml:space="preserve"> had the right to express and disseminate his thoughts and opinions </w:t>
      </w:r>
      <w:r w:rsidR="00F624CE">
        <w:rPr>
          <w:lang w:val="en-GB"/>
        </w:rPr>
        <w:t>through</w:t>
      </w:r>
      <w:r w:rsidRPr="00E8512F" w:rsidR="007E7336">
        <w:rPr>
          <w:lang w:val="en-GB"/>
        </w:rPr>
        <w:t xml:space="preserve"> speech, writing, pictures and other mediums without recourse to violence, he </w:t>
      </w:r>
      <w:r w:rsidR="007E7336">
        <w:rPr>
          <w:lang w:val="en-GB"/>
        </w:rPr>
        <w:t xml:space="preserve">had chosen </w:t>
      </w:r>
      <w:r w:rsidRPr="00E8512F" w:rsidR="007E7336">
        <w:rPr>
          <w:lang w:val="en-GB"/>
        </w:rPr>
        <w:t>not to do so</w:t>
      </w:r>
      <w:r w:rsidR="007E7336">
        <w:rPr>
          <w:lang w:val="en-GB"/>
        </w:rPr>
        <w:t xml:space="preserve">” (see paragraph </w:t>
      </w:r>
      <w:r w:rsidR="00B53C7C">
        <w:rPr>
          <w:lang w:val="en-GB"/>
        </w:rPr>
        <w:t>43</w:t>
      </w:r>
      <w:r w:rsidR="007E7336">
        <w:rPr>
          <w:lang w:val="en-GB"/>
        </w:rPr>
        <w:t xml:space="preserve"> above)</w:t>
      </w:r>
      <w:r w:rsidRPr="00E8512F" w:rsidR="007E7336">
        <w:rPr>
          <w:lang w:val="en-GB"/>
        </w:rPr>
        <w:t>.</w:t>
      </w:r>
    </w:p>
    <w:p w:rsidRPr="00122493" w:rsidR="00D13A51" w:rsidP="0087092A" w:rsidRDefault="0050610F">
      <w:pPr>
        <w:pStyle w:val="ECHRPara"/>
        <w:rPr>
          <w:lang w:val="en-GB"/>
        </w:rPr>
      </w:pPr>
      <w:r>
        <w:lastRenderedPageBreak/>
        <w:fldChar w:fldCharType="begin"/>
      </w:r>
      <w:r>
        <w:instrText xml:space="preserve"> SEQ level</w:instrText>
      </w:r>
      <w:r>
        <w:instrText xml:space="preserve">0 \*arabic </w:instrText>
      </w:r>
      <w:r>
        <w:fldChar w:fldCharType="separate"/>
      </w:r>
      <w:r w:rsidR="005C1550">
        <w:rPr>
          <w:noProof/>
        </w:rPr>
        <w:t>54</w:t>
      </w:r>
      <w:r>
        <w:rPr>
          <w:noProof/>
        </w:rPr>
        <w:fldChar w:fldCharType="end"/>
      </w:r>
      <w:r w:rsidRPr="00122493" w:rsidR="00E854AD">
        <w:t>.  </w:t>
      </w:r>
      <w:r w:rsidRPr="00122493" w:rsidR="0087092A">
        <w:t xml:space="preserve">In light of its case-law the Court considers that, in deciding whether a certain act or conduct falls within the ambit of Article 10 of the Convention, an assessment must be made of the nature of the act or conduct in question, in particular of its expressive character seen from an objective point of view, as well as of the purpose or the intention of the person performing the act or carrying out the conduct in question. </w:t>
      </w:r>
      <w:r w:rsidRPr="00122493" w:rsidR="008F5F45">
        <w:rPr>
          <w:bCs/>
        </w:rPr>
        <w:t xml:space="preserve">The Court notes that the applicant was convicted for having poured paint on statues of Atatürk, which, from an objective point of view, may be seen as an expressive act. Furthermore, the Court notes </w:t>
      </w:r>
      <w:r w:rsidRPr="00122493" w:rsidR="00C77AD3">
        <w:t xml:space="preserve">that </w:t>
      </w:r>
      <w:r w:rsidRPr="00122493" w:rsidR="00886638">
        <w:t xml:space="preserve">in the course of the criminal proceedings against him </w:t>
      </w:r>
      <w:r w:rsidRPr="00122493" w:rsidR="000B646D">
        <w:t>t</w:t>
      </w:r>
      <w:r w:rsidRPr="00122493" w:rsidR="00851CB5">
        <w:t>he</w:t>
      </w:r>
      <w:r w:rsidRPr="00122493" w:rsidR="000B646D">
        <w:t xml:space="preserve"> applicant </w:t>
      </w:r>
      <w:r w:rsidRPr="00122493" w:rsidR="00851CB5">
        <w:t xml:space="preserve">very clearly informed the national authorities that </w:t>
      </w:r>
      <w:r w:rsidRPr="00122493" w:rsidR="004603EE">
        <w:t xml:space="preserve">he </w:t>
      </w:r>
      <w:r w:rsidRPr="00122493" w:rsidR="00F624CE">
        <w:t>had intended</w:t>
      </w:r>
      <w:r w:rsidRPr="00122493" w:rsidR="004603EE">
        <w:t xml:space="preserve"> to express</w:t>
      </w:r>
      <w:r w:rsidRPr="00122493" w:rsidR="004603EE">
        <w:rPr>
          <w:lang w:val="en-GB"/>
        </w:rPr>
        <w:t xml:space="preserve"> his </w:t>
      </w:r>
      <w:r w:rsidRPr="00122493" w:rsidR="00FF57D3">
        <w:rPr>
          <w:lang w:val="en-GB"/>
        </w:rPr>
        <w:t>“</w:t>
      </w:r>
      <w:r w:rsidRPr="00122493" w:rsidR="004603EE">
        <w:rPr>
          <w:lang w:val="en-GB"/>
        </w:rPr>
        <w:t>lack of affection</w:t>
      </w:r>
      <w:r w:rsidRPr="00122493" w:rsidR="00FF57D3">
        <w:rPr>
          <w:lang w:val="en-GB"/>
        </w:rPr>
        <w:t>”</w:t>
      </w:r>
      <w:r w:rsidRPr="00122493" w:rsidR="004603EE">
        <w:rPr>
          <w:lang w:val="en-GB"/>
        </w:rPr>
        <w:t xml:space="preserve"> for Atatürk (see paragraph</w:t>
      </w:r>
      <w:r w:rsidRPr="00122493" w:rsidR="00B53C7C">
        <w:rPr>
          <w:lang w:val="en-GB"/>
        </w:rPr>
        <w:t>s 11, 18 and</w:t>
      </w:r>
      <w:r w:rsidRPr="00122493" w:rsidR="000C0386">
        <w:rPr>
          <w:lang w:val="en-GB"/>
        </w:rPr>
        <w:t> </w:t>
      </w:r>
      <w:r w:rsidRPr="00122493" w:rsidR="00B53C7C">
        <w:rPr>
          <w:lang w:val="en-GB"/>
        </w:rPr>
        <w:t>22</w:t>
      </w:r>
      <w:r w:rsidRPr="00122493" w:rsidR="004603EE">
        <w:rPr>
          <w:lang w:val="en-GB"/>
        </w:rPr>
        <w:t xml:space="preserve"> above)</w:t>
      </w:r>
      <w:r w:rsidRPr="00122493" w:rsidR="00886638">
        <w:rPr>
          <w:lang w:val="en-GB"/>
        </w:rPr>
        <w:t>,</w:t>
      </w:r>
      <w:r w:rsidRPr="00122493" w:rsidR="004603EE">
        <w:rPr>
          <w:lang w:val="en-GB"/>
        </w:rPr>
        <w:t xml:space="preserve"> and </w:t>
      </w:r>
      <w:r w:rsidRPr="00122493" w:rsidR="00886638">
        <w:rPr>
          <w:lang w:val="en-GB"/>
        </w:rPr>
        <w:t xml:space="preserve">subsequently </w:t>
      </w:r>
      <w:r w:rsidRPr="00122493" w:rsidR="00851CB5">
        <w:rPr>
          <w:lang w:val="en-GB"/>
        </w:rPr>
        <w:t xml:space="preserve">maintained before the Court that he had carried out his actions </w:t>
      </w:r>
      <w:r w:rsidRPr="00122493" w:rsidR="004603EE">
        <w:rPr>
          <w:lang w:val="en-GB"/>
        </w:rPr>
        <w:t xml:space="preserve">with a view to expressing his dissatisfaction with those running the country in accordance with the Kemalist ideology and the Kemalist ideology itself (see paragraph </w:t>
      </w:r>
      <w:r w:rsidRPr="00122493" w:rsidR="00B53C7C">
        <w:rPr>
          <w:lang w:val="en-GB"/>
        </w:rPr>
        <w:t>40</w:t>
      </w:r>
      <w:r w:rsidRPr="00122493" w:rsidR="004603EE">
        <w:rPr>
          <w:lang w:val="en-GB"/>
        </w:rPr>
        <w:t xml:space="preserve"> above).</w:t>
      </w:r>
    </w:p>
    <w:p w:rsidR="00BD62EF" w:rsidP="00851CB5" w:rsidRDefault="00CD2448">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55</w:t>
      </w:r>
      <w:r>
        <w:rPr>
          <w:lang w:val="en-GB"/>
        </w:rPr>
        <w:fldChar w:fldCharType="end"/>
      </w:r>
      <w:r>
        <w:rPr>
          <w:lang w:val="en-GB"/>
        </w:rPr>
        <w:t>.  </w:t>
      </w:r>
      <w:r w:rsidR="00851CB5">
        <w:rPr>
          <w:lang w:val="en-GB"/>
        </w:rPr>
        <w:t xml:space="preserve">In this connection, </w:t>
      </w:r>
      <w:r w:rsidR="00043913">
        <w:rPr>
          <w:lang w:val="en-GB"/>
        </w:rPr>
        <w:t xml:space="preserve">regard must </w:t>
      </w:r>
      <w:r w:rsidR="00A3158F">
        <w:rPr>
          <w:lang w:val="en-GB"/>
        </w:rPr>
        <w:t xml:space="preserve">be </w:t>
      </w:r>
      <w:r w:rsidR="00043913">
        <w:rPr>
          <w:lang w:val="en-GB"/>
        </w:rPr>
        <w:t xml:space="preserve">had </w:t>
      </w:r>
      <w:r w:rsidR="00F624CE">
        <w:rPr>
          <w:lang w:val="en-GB"/>
        </w:rPr>
        <w:t>to</w:t>
      </w:r>
      <w:r w:rsidR="00043913">
        <w:rPr>
          <w:lang w:val="en-GB"/>
        </w:rPr>
        <w:t xml:space="preserve"> the fact that, c</w:t>
      </w:r>
      <w:r w:rsidRPr="00E8512F" w:rsidR="0015731A">
        <w:rPr>
          <w:lang w:val="en-GB"/>
        </w:rPr>
        <w:t>ontrary to what was submitted by the Government, the applicant was not found guilty of vandalism</w:t>
      </w:r>
      <w:r w:rsidR="00043913">
        <w:rPr>
          <w:lang w:val="en-GB"/>
        </w:rPr>
        <w:t xml:space="preserve">, but </w:t>
      </w:r>
      <w:r w:rsidR="00B21CDB">
        <w:rPr>
          <w:lang w:val="en-GB"/>
        </w:rPr>
        <w:t>of</w:t>
      </w:r>
      <w:r w:rsidRPr="00E8512F" w:rsidR="0015731A">
        <w:rPr>
          <w:lang w:val="en-GB"/>
        </w:rPr>
        <w:t xml:space="preserve"> having insulted the memory of Atatürk (see paragraph</w:t>
      </w:r>
      <w:r w:rsidR="000C0386">
        <w:rPr>
          <w:lang w:val="en-GB"/>
        </w:rPr>
        <w:t> </w:t>
      </w:r>
      <w:r w:rsidR="00B53C7C">
        <w:rPr>
          <w:lang w:val="en-GB"/>
        </w:rPr>
        <w:t>20</w:t>
      </w:r>
      <w:r w:rsidRPr="00E8512F" w:rsidR="0015731A">
        <w:rPr>
          <w:lang w:val="en-GB"/>
        </w:rPr>
        <w:t xml:space="preserve"> above).</w:t>
      </w:r>
      <w:r>
        <w:rPr>
          <w:lang w:val="en-GB"/>
        </w:rPr>
        <w:t xml:space="preserve"> </w:t>
      </w:r>
      <w:r w:rsidR="0089160C">
        <w:rPr>
          <w:lang w:val="en-GB"/>
        </w:rPr>
        <w:t>In fact, t</w:t>
      </w:r>
      <w:r w:rsidRPr="00E8512F">
        <w:rPr>
          <w:lang w:val="en-GB"/>
        </w:rPr>
        <w:t xml:space="preserve">he </w:t>
      </w:r>
      <w:r w:rsidR="00FC3581">
        <w:rPr>
          <w:lang w:val="en-GB"/>
        </w:rPr>
        <w:t xml:space="preserve">national courts accepted that </w:t>
      </w:r>
      <w:r w:rsidRPr="00E8512F">
        <w:rPr>
          <w:lang w:val="en-GB"/>
        </w:rPr>
        <w:t xml:space="preserve">the applicant had carried out his actions in order to protest </w:t>
      </w:r>
      <w:r w:rsidR="00F624CE">
        <w:rPr>
          <w:lang w:val="en-GB"/>
        </w:rPr>
        <w:t xml:space="preserve">against </w:t>
      </w:r>
      <w:r w:rsidRPr="00E8512F">
        <w:rPr>
          <w:lang w:val="en-GB"/>
        </w:rPr>
        <w:t>the Ministry</w:t>
      </w:r>
      <w:r>
        <w:rPr>
          <w:lang w:val="en-GB"/>
        </w:rPr>
        <w:t xml:space="preserve"> of Education</w:t>
      </w:r>
      <w:r w:rsidR="0050610F">
        <w:rPr>
          <w:lang w:val="en-GB"/>
        </w:rPr>
        <w:t>’</w:t>
      </w:r>
      <w:r>
        <w:rPr>
          <w:lang w:val="en-GB"/>
        </w:rPr>
        <w:t>s</w:t>
      </w:r>
      <w:r w:rsidRPr="00E8512F">
        <w:rPr>
          <w:lang w:val="en-GB"/>
        </w:rPr>
        <w:t xml:space="preserve"> decision not to appoint him as a teacher</w:t>
      </w:r>
      <w:r w:rsidR="004945B5">
        <w:rPr>
          <w:lang w:val="en-GB"/>
        </w:rPr>
        <w:t xml:space="preserve"> (see paragraph </w:t>
      </w:r>
      <w:r w:rsidR="00B53C7C">
        <w:rPr>
          <w:lang w:val="en-GB"/>
        </w:rPr>
        <w:t>19</w:t>
      </w:r>
      <w:r w:rsidR="00FC3581">
        <w:rPr>
          <w:lang w:val="en-GB"/>
        </w:rPr>
        <w:t xml:space="preserve"> above).</w:t>
      </w:r>
    </w:p>
    <w:p w:rsidRPr="00E8512F" w:rsidR="00FF7AB5" w:rsidP="00FF7AB5" w:rsidRDefault="00851CB5">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56</w:t>
      </w:r>
      <w:r>
        <w:rPr>
          <w:lang w:val="en-GB"/>
        </w:rPr>
        <w:fldChar w:fldCharType="end"/>
      </w:r>
      <w:r>
        <w:rPr>
          <w:lang w:val="en-GB"/>
        </w:rPr>
        <w:t>.  </w:t>
      </w:r>
      <w:r w:rsidR="00A3149C">
        <w:rPr>
          <w:lang w:val="en-GB"/>
        </w:rPr>
        <w:t xml:space="preserve">In light of the foregoing the </w:t>
      </w:r>
      <w:r w:rsidR="00A3149C">
        <w:t xml:space="preserve">Court concludes that </w:t>
      </w:r>
      <w:r w:rsidR="00F73A27">
        <w:t xml:space="preserve">through his actions </w:t>
      </w:r>
      <w:r w:rsidR="00A3149C">
        <w:t>the applicant exercised his right to freedom of expression within the meaning of Article 10 of the Convention and</w:t>
      </w:r>
      <w:r w:rsidR="00F73A27">
        <w:t xml:space="preserve"> that</w:t>
      </w:r>
      <w:r w:rsidR="00A3149C">
        <w:t xml:space="preserve"> that provision is thus applicable in the present case. It also finds that the </w:t>
      </w:r>
      <w:r w:rsidR="00FF7AB5">
        <w:t>applicant</w:t>
      </w:r>
      <w:r w:rsidR="0050610F">
        <w:t>’</w:t>
      </w:r>
      <w:r w:rsidR="00FF7AB5">
        <w:t xml:space="preserve">s conviction, the </w:t>
      </w:r>
      <w:r w:rsidR="00A3149C">
        <w:t xml:space="preserve">imposition on </w:t>
      </w:r>
      <w:r w:rsidR="00886638">
        <w:t>him</w:t>
      </w:r>
      <w:r w:rsidR="00A3149C">
        <w:t xml:space="preserve"> </w:t>
      </w:r>
      <w:r w:rsidR="00A3158F">
        <w:t xml:space="preserve">of a </w:t>
      </w:r>
      <w:r w:rsidR="00A3149C">
        <w:t>prison sentence</w:t>
      </w:r>
      <w:r w:rsidR="00FF7AB5">
        <w:t xml:space="preserve"> and his disenfranchisement as a result of that conviction constituted an interference with </w:t>
      </w:r>
      <w:r w:rsidR="00A3158F">
        <w:t>his</w:t>
      </w:r>
      <w:r w:rsidR="00FF7AB5">
        <w:t xml:space="preserve"> rights enshrined in Article 10 § 1 of the Convention.</w:t>
      </w:r>
    </w:p>
    <w:p w:rsidR="00C54480" w:rsidP="0015731A" w:rsidRDefault="0015731A">
      <w:pPr>
        <w:pStyle w:val="ECHRHeading3"/>
        <w:rPr>
          <w:lang w:val="en-GB"/>
        </w:rPr>
      </w:pPr>
      <w:r w:rsidRPr="00E8512F">
        <w:rPr>
          <w:lang w:val="en-GB"/>
        </w:rPr>
        <w:t>2.</w:t>
      </w:r>
      <w:r w:rsidR="00C627F4">
        <w:rPr>
          <w:lang w:val="en-GB"/>
        </w:rPr>
        <w:t>  </w:t>
      </w:r>
      <w:r w:rsidR="00C54480">
        <w:rPr>
          <w:lang w:val="en-GB"/>
        </w:rPr>
        <w:t>Compliance with Article 10 of the Convention</w:t>
      </w:r>
    </w:p>
    <w:p w:rsidRPr="00E8512F" w:rsidR="0015731A" w:rsidP="0015731A" w:rsidRDefault="00FF7AB5">
      <w:pPr>
        <w:pStyle w:val="ECHRPara"/>
        <w:rPr>
          <w:lang w:val="en-GB"/>
        </w:rPr>
      </w:pPr>
      <w:r>
        <w:rPr>
          <w:lang w:val="en-GB"/>
        </w:rPr>
        <w:fldChar w:fldCharType="begin"/>
      </w:r>
      <w:r>
        <w:rPr>
          <w:lang w:val="en-GB"/>
        </w:rPr>
        <w:instrText xml:space="preserve"> SEQ level0 \*arabic </w:instrText>
      </w:r>
      <w:r>
        <w:rPr>
          <w:lang w:val="en-GB"/>
        </w:rPr>
        <w:fldChar w:fldCharType="separate"/>
      </w:r>
      <w:r w:rsidR="005C1550">
        <w:rPr>
          <w:noProof/>
          <w:lang w:val="en-GB"/>
        </w:rPr>
        <w:t>57</w:t>
      </w:r>
      <w:r>
        <w:rPr>
          <w:lang w:val="en-GB"/>
        </w:rPr>
        <w:fldChar w:fldCharType="end"/>
      </w:r>
      <w:r>
        <w:rPr>
          <w:lang w:val="en-GB"/>
        </w:rPr>
        <w:t>.  </w:t>
      </w:r>
      <w:r w:rsidRPr="00E8512F" w:rsidR="0015731A">
        <w:rPr>
          <w:lang w:val="en-GB"/>
        </w:rPr>
        <w:t>The applicant complained that his actions had been severely and disproportiona</w:t>
      </w:r>
      <w:r w:rsidR="00247C30">
        <w:rPr>
          <w:lang w:val="en-GB"/>
        </w:rPr>
        <w:t>tel</w:t>
      </w:r>
      <w:r w:rsidRPr="00E8512F" w:rsidR="0015731A">
        <w:rPr>
          <w:lang w:val="en-GB"/>
        </w:rPr>
        <w:t>y penalised and his right to freedom of expression had thus been breached.</w:t>
      </w:r>
    </w:p>
    <w:p w:rsidR="0015731A" w:rsidP="0015731A" w:rsidRDefault="0015731A">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58</w:t>
      </w:r>
      <w:r w:rsidRPr="00E8512F">
        <w:rPr>
          <w:lang w:val="en-GB"/>
        </w:rPr>
        <w:fldChar w:fldCharType="end"/>
      </w:r>
      <w:r w:rsidRPr="00E8512F">
        <w:rPr>
          <w:lang w:val="en-GB"/>
        </w:rPr>
        <w:t>.  The Government, beyond disputing the applicability of Article 10 of the Convention, did not seek to argue that the interference had been justified within the meaning of Article 10 of the Convention.</w:t>
      </w:r>
    </w:p>
    <w:p w:rsidRPr="00E8512F" w:rsidR="002D1DF8" w:rsidP="002D1DF8" w:rsidRDefault="002D1DF8">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59</w:t>
      </w:r>
      <w:r w:rsidRPr="00E8512F">
        <w:rPr>
          <w:lang w:val="en-GB"/>
        </w:rPr>
        <w:fldChar w:fldCharType="end"/>
      </w:r>
      <w:r w:rsidRPr="00E8512F">
        <w:rPr>
          <w:lang w:val="en-GB"/>
        </w:rPr>
        <w:t>.  </w:t>
      </w:r>
      <w:r w:rsidR="00A3158F">
        <w:t>I</w:t>
      </w:r>
      <w:r>
        <w:t xml:space="preserve">nterference with </w:t>
      </w:r>
      <w:r w:rsidR="00A3158F">
        <w:t>an</w:t>
      </w:r>
      <w:r>
        <w:t xml:space="preserve"> applicant</w:t>
      </w:r>
      <w:r w:rsidR="0050610F">
        <w:t>’</w:t>
      </w:r>
      <w:r>
        <w:t>s</w:t>
      </w:r>
      <w:r w:rsidR="002E2549">
        <w:t xml:space="preserve"> rights enshrined in Article 10 </w:t>
      </w:r>
      <w:r>
        <w:t>§</w:t>
      </w:r>
      <w:r w:rsidR="002E2549">
        <w:t xml:space="preserve"> </w:t>
      </w:r>
      <w:r>
        <w:t>1 of the Convention</w:t>
      </w:r>
      <w:r>
        <w:rPr>
          <w:lang w:val="en-GB"/>
        </w:rPr>
        <w:t xml:space="preserve"> </w:t>
      </w:r>
      <w:r w:rsidR="00A3158F">
        <w:rPr>
          <w:lang w:val="en-GB"/>
        </w:rPr>
        <w:t xml:space="preserve">will be found to </w:t>
      </w:r>
      <w:r w:rsidR="000C0386">
        <w:rPr>
          <w:lang w:val="en-GB"/>
        </w:rPr>
        <w:t xml:space="preserve">constitute a breach of Article </w:t>
      </w:r>
      <w:r w:rsidRPr="00E8512F">
        <w:rPr>
          <w:lang w:val="en-GB"/>
        </w:rPr>
        <w:t xml:space="preserve">10 of the Convention unless it was </w:t>
      </w:r>
      <w:r>
        <w:rPr>
          <w:lang w:val="en-GB"/>
        </w:rPr>
        <w:t>“</w:t>
      </w:r>
      <w:r w:rsidRPr="00E8512F">
        <w:rPr>
          <w:lang w:val="en-GB"/>
        </w:rPr>
        <w:t>prescribed by law</w:t>
      </w:r>
      <w:r>
        <w:rPr>
          <w:lang w:val="en-GB"/>
        </w:rPr>
        <w:t>”</w:t>
      </w:r>
      <w:r w:rsidRPr="00E8512F">
        <w:rPr>
          <w:lang w:val="en-GB"/>
        </w:rPr>
        <w:t xml:space="preserve">, pursued one or more legitimate aim or aims as defined in paragraph 2 and was </w:t>
      </w:r>
      <w:r>
        <w:rPr>
          <w:lang w:val="en-GB"/>
        </w:rPr>
        <w:t>“</w:t>
      </w:r>
      <w:r w:rsidRPr="00E8512F">
        <w:rPr>
          <w:lang w:val="en-GB"/>
        </w:rPr>
        <w:t>necessary in a democratic society</w:t>
      </w:r>
      <w:r>
        <w:rPr>
          <w:lang w:val="en-GB"/>
        </w:rPr>
        <w:t>”</w:t>
      </w:r>
      <w:r w:rsidRPr="00E8512F">
        <w:rPr>
          <w:lang w:val="en-GB"/>
        </w:rPr>
        <w:t xml:space="preserve"> to attain them.</w:t>
      </w:r>
    </w:p>
    <w:p w:rsidRPr="00FA3728" w:rsidR="0015731A" w:rsidP="0015731A" w:rsidRDefault="002D1DF8">
      <w:pPr>
        <w:pStyle w:val="ECHRPara"/>
        <w:rPr>
          <w:i/>
          <w:lang w:val="en-GB"/>
        </w:rPr>
      </w:pPr>
      <w:r>
        <w:rPr>
          <w:lang w:val="en-GB"/>
        </w:rPr>
        <w:lastRenderedPageBreak/>
        <w:fldChar w:fldCharType="begin"/>
      </w:r>
      <w:r>
        <w:rPr>
          <w:lang w:val="en-GB"/>
        </w:rPr>
        <w:instrText xml:space="preserve"> SEQ level0 \*arabic </w:instrText>
      </w:r>
      <w:r>
        <w:rPr>
          <w:lang w:val="en-GB"/>
        </w:rPr>
        <w:fldChar w:fldCharType="separate"/>
      </w:r>
      <w:r w:rsidR="005C1550">
        <w:rPr>
          <w:noProof/>
          <w:lang w:val="en-GB"/>
        </w:rPr>
        <w:t>60</w:t>
      </w:r>
      <w:r>
        <w:rPr>
          <w:lang w:val="en-GB"/>
        </w:rPr>
        <w:fldChar w:fldCharType="end"/>
      </w:r>
      <w:r>
        <w:rPr>
          <w:lang w:val="en-GB"/>
        </w:rPr>
        <w:t>.  </w:t>
      </w:r>
      <w:r w:rsidRPr="00E8512F" w:rsidR="0015731A">
        <w:rPr>
          <w:lang w:val="en-GB"/>
        </w:rPr>
        <w:t>The Court observes that the restriction on the applicant</w:t>
      </w:r>
      <w:r w:rsidR="0050610F">
        <w:rPr>
          <w:lang w:val="en-GB"/>
        </w:rPr>
        <w:t>’</w:t>
      </w:r>
      <w:r w:rsidRPr="00E8512F" w:rsidR="0015731A">
        <w:rPr>
          <w:lang w:val="en-GB"/>
        </w:rPr>
        <w:t>s freedom of expression was based on the Law on Offences against Atatürk. As can be seen from its relevant provisions</w:t>
      </w:r>
      <w:r w:rsidR="006C4340">
        <w:rPr>
          <w:lang w:val="en-GB"/>
        </w:rPr>
        <w:t xml:space="preserve"> (see paragraph </w:t>
      </w:r>
      <w:r w:rsidR="00B53C7C">
        <w:rPr>
          <w:lang w:val="en-GB"/>
        </w:rPr>
        <w:t>31</w:t>
      </w:r>
      <w:r w:rsidR="006C4340">
        <w:rPr>
          <w:lang w:val="en-GB"/>
        </w:rPr>
        <w:t xml:space="preserve"> above)</w:t>
      </w:r>
      <w:r w:rsidRPr="00E8512F" w:rsidR="0015731A">
        <w:rPr>
          <w:lang w:val="en-GB"/>
        </w:rPr>
        <w:t xml:space="preserve">, it is sufficiently clear and meets the requirements of foreseeability. The Court is therefore satisfied that the interference was prescribed by law. Moreover, it considers that it can be seen as having pursued the legitimate aim of </w:t>
      </w:r>
      <w:r w:rsidR="00891E86">
        <w:rPr>
          <w:lang w:val="en-GB"/>
        </w:rPr>
        <w:t>protecting the reputation or rights of others</w:t>
      </w:r>
      <w:r w:rsidR="00F67F7F">
        <w:rPr>
          <w:lang w:val="en-GB"/>
        </w:rPr>
        <w:t xml:space="preserve"> </w:t>
      </w:r>
      <w:r w:rsidR="005865EE">
        <w:rPr>
          <w:lang w:val="en-GB"/>
        </w:rPr>
        <w:t>(see</w:t>
      </w:r>
      <w:r w:rsidR="00DC5561">
        <w:rPr>
          <w:lang w:val="en-GB"/>
        </w:rPr>
        <w:t xml:space="preserve"> </w:t>
      </w:r>
      <w:r w:rsidRPr="00B668D2" w:rsidR="00F67F7F">
        <w:rPr>
          <w:i/>
          <w:lang w:val="en-GB"/>
        </w:rPr>
        <w:t>Odabaşı and Koçak v. Turkey</w:t>
      </w:r>
      <w:r w:rsidRPr="00B668D2" w:rsidR="00F67F7F">
        <w:rPr>
          <w:lang w:val="en-GB"/>
        </w:rPr>
        <w:t>, no.</w:t>
      </w:r>
      <w:r w:rsidR="00C627F4">
        <w:rPr>
          <w:lang w:val="en-GB"/>
        </w:rPr>
        <w:t> </w:t>
      </w:r>
      <w:r w:rsidRPr="00B668D2" w:rsidR="00F67F7F">
        <w:rPr>
          <w:lang w:val="en-GB"/>
        </w:rPr>
        <w:t>50959/99</w:t>
      </w:r>
      <w:r w:rsidRPr="00D6695A" w:rsidR="00F67F7F">
        <w:rPr>
          <w:lang w:val="en-GB"/>
        </w:rPr>
        <w:t>, § 18, 21 February 2006</w:t>
      </w:r>
      <w:r w:rsidRPr="00D6695A" w:rsidR="00FA3728">
        <w:rPr>
          <w:lang w:val="en-GB"/>
        </w:rPr>
        <w:t xml:space="preserve">; see also </w:t>
      </w:r>
      <w:r w:rsidRPr="00D6695A" w:rsidR="00FA3728">
        <w:rPr>
          <w:i/>
        </w:rPr>
        <w:t>Dilipak and Karakaya</w:t>
      </w:r>
      <w:r w:rsidRPr="00D6695A" w:rsidR="00FA3728">
        <w:t xml:space="preserve"> </w:t>
      </w:r>
      <w:r w:rsidRPr="00D6695A" w:rsidR="00FA3728">
        <w:rPr>
          <w:i/>
        </w:rPr>
        <w:t>v.</w:t>
      </w:r>
      <w:r w:rsidR="004945B5">
        <w:rPr>
          <w:i/>
        </w:rPr>
        <w:t> </w:t>
      </w:r>
      <w:r w:rsidRPr="00D6695A" w:rsidR="00FA3728">
        <w:rPr>
          <w:i/>
        </w:rPr>
        <w:t>Turkey</w:t>
      </w:r>
      <w:r w:rsidRPr="00D6695A" w:rsidR="00FA3728">
        <w:t>, nos. 7942/05 and 24838/05</w:t>
      </w:r>
      <w:r w:rsidRPr="00D6695A" w:rsidR="00FA3728">
        <w:rPr>
          <w:snapToGrid w:val="0"/>
        </w:rPr>
        <w:t>, §§ 117, 130-131, 4 March 2014</w:t>
      </w:r>
      <w:r w:rsidRPr="00D6695A" w:rsidR="005865EE">
        <w:rPr>
          <w:lang w:val="en-GB"/>
        </w:rPr>
        <w:t>)</w:t>
      </w:r>
      <w:r w:rsidRPr="00D6695A" w:rsidR="00424FC5">
        <w:rPr>
          <w:lang w:val="en-GB"/>
        </w:rPr>
        <w:t>.</w:t>
      </w:r>
      <w:r w:rsidRPr="00D6695A" w:rsidR="00971851">
        <w:t xml:space="preserve"> It</w:t>
      </w:r>
      <w:r w:rsidR="00971851">
        <w:t xml:space="preserve"> therefore remains to be determined whether the interference complained of was “necessary in a democratic society”.</w:t>
      </w:r>
    </w:p>
    <w:p w:rsidR="00886638" w:rsidP="00886638" w:rsidRDefault="00886638">
      <w:pPr>
        <w:pStyle w:val="ECHRPara"/>
      </w:pPr>
      <w:r>
        <w:rPr>
          <w:lang w:val="en-GB"/>
        </w:rPr>
        <w:fldChar w:fldCharType="begin"/>
      </w:r>
      <w:r>
        <w:rPr>
          <w:lang w:val="en-GB"/>
        </w:rPr>
        <w:instrText xml:space="preserve"> SEQ level0 \*arabic </w:instrText>
      </w:r>
      <w:r>
        <w:rPr>
          <w:lang w:val="en-GB"/>
        </w:rPr>
        <w:fldChar w:fldCharType="separate"/>
      </w:r>
      <w:r w:rsidR="005C1550">
        <w:rPr>
          <w:noProof/>
          <w:lang w:val="en-GB"/>
        </w:rPr>
        <w:t>61</w:t>
      </w:r>
      <w:r>
        <w:rPr>
          <w:lang w:val="en-GB"/>
        </w:rPr>
        <w:fldChar w:fldCharType="end"/>
      </w:r>
      <w:r>
        <w:rPr>
          <w:lang w:val="en-GB"/>
        </w:rPr>
        <w:t>.  </w:t>
      </w:r>
      <w:r w:rsidRPr="00E8512F">
        <w:rPr>
          <w:lang w:val="en-GB"/>
        </w:rPr>
        <w:t>The Court reiterates that</w:t>
      </w:r>
      <w:r w:rsidRPr="00160A9F">
        <w:t xml:space="preserve"> </w:t>
      </w:r>
      <w:r>
        <w:t xml:space="preserve">its supervisory functions oblige it to pay the utmost attention to the principles characterizing a </w:t>
      </w:r>
      <w:r w:rsidR="004E08D0">
        <w:t>“</w:t>
      </w:r>
      <w:r>
        <w:t>democratic society</w:t>
      </w:r>
      <w:r w:rsidR="004E08D0">
        <w:t>”</w:t>
      </w:r>
      <w:r>
        <w:t xml:space="preserve">. Freedom of expression constitutes one of the essential foundations of such a society, one of the basic conditions for its progress and for the development of every </w:t>
      </w:r>
      <w:r w:rsidR="00247C30">
        <w:t>individual</w:t>
      </w:r>
      <w:r>
        <w:t xml:space="preserve">. Subject to paragraph 2 of Article 10 of the Convention, it is applicable not only to “information” or “ideas” that are favourably received or regarded as inoffensive or as a matter of indifference, but also to those that </w:t>
      </w:r>
      <w:proofErr w:type="gramStart"/>
      <w:r w:rsidR="00467F65">
        <w:t>offend</w:t>
      </w:r>
      <w:r w:rsidR="00FF57D3">
        <w:t>,</w:t>
      </w:r>
      <w:proofErr w:type="gramEnd"/>
      <w:r>
        <w:t xml:space="preserve"> shock or disturb the State or any sector of the population. Such are the demands of that pluralism, tolerance and broadmindedness without which there is no “democratic society”</w:t>
      </w:r>
      <w:r w:rsidR="00921B59">
        <w:t xml:space="preserve"> (see </w:t>
      </w:r>
      <w:r w:rsidRPr="00B668D2" w:rsidR="00921B59">
        <w:rPr>
          <w:i/>
          <w:lang w:val="en-GB"/>
        </w:rPr>
        <w:t>Handyside v. the United Kingdom</w:t>
      </w:r>
      <w:r w:rsidRPr="00B668D2" w:rsidR="00921B59">
        <w:rPr>
          <w:lang w:val="en-GB"/>
        </w:rPr>
        <w:t xml:space="preserve">, 7 December 1976, § </w:t>
      </w:r>
      <w:r w:rsidR="00921B59">
        <w:rPr>
          <w:lang w:val="en-GB"/>
        </w:rPr>
        <w:t>49</w:t>
      </w:r>
      <w:r w:rsidRPr="00B668D2" w:rsidR="00921B59">
        <w:rPr>
          <w:lang w:val="en-GB"/>
        </w:rPr>
        <w:t xml:space="preserve">, Series </w:t>
      </w:r>
      <w:proofErr w:type="gramStart"/>
      <w:r w:rsidRPr="00B668D2" w:rsidR="00921B59">
        <w:rPr>
          <w:lang w:val="en-GB"/>
        </w:rPr>
        <w:t>A</w:t>
      </w:r>
      <w:proofErr w:type="gramEnd"/>
      <w:r w:rsidRPr="00B668D2" w:rsidR="00921B59">
        <w:rPr>
          <w:lang w:val="en-GB"/>
        </w:rPr>
        <w:t xml:space="preserve"> no. 24</w:t>
      </w:r>
      <w:r w:rsidR="00921B59">
        <w:rPr>
          <w:lang w:val="en-GB"/>
        </w:rPr>
        <w:t>)</w:t>
      </w:r>
      <w:r>
        <w:t>.</w:t>
      </w:r>
    </w:p>
    <w:p w:rsidR="00886638" w:rsidP="00886638" w:rsidRDefault="0050610F">
      <w:pPr>
        <w:pStyle w:val="ECHRPara"/>
      </w:pPr>
      <w:r>
        <w:fldChar w:fldCharType="begin"/>
      </w:r>
      <w:r>
        <w:instrText xml:space="preserve"> SEQ level0 \*arabic </w:instrText>
      </w:r>
      <w:r>
        <w:fldChar w:fldCharType="separate"/>
      </w:r>
      <w:r w:rsidR="005C1550">
        <w:rPr>
          <w:noProof/>
        </w:rPr>
        <w:t>62</w:t>
      </w:r>
      <w:r>
        <w:rPr>
          <w:noProof/>
        </w:rPr>
        <w:fldChar w:fldCharType="end"/>
      </w:r>
      <w:r w:rsidR="00886638">
        <w:t>.  </w:t>
      </w:r>
      <w:r w:rsidRPr="004A1035" w:rsidR="00886638">
        <w:t xml:space="preserve">This means, amongst other things, that every </w:t>
      </w:r>
      <w:r w:rsidR="00886638">
        <w:t>“</w:t>
      </w:r>
      <w:r w:rsidRPr="004A1035" w:rsidR="00886638">
        <w:t>formality</w:t>
      </w:r>
      <w:r w:rsidR="00886638">
        <w:t>”</w:t>
      </w:r>
      <w:r w:rsidRPr="004A1035" w:rsidR="00886638">
        <w:t xml:space="preserve">, </w:t>
      </w:r>
      <w:r w:rsidR="00886638">
        <w:t>“</w:t>
      </w:r>
      <w:r w:rsidRPr="004A1035" w:rsidR="00886638">
        <w:t>condition</w:t>
      </w:r>
      <w:r w:rsidR="00886638">
        <w:t>”</w:t>
      </w:r>
      <w:r w:rsidRPr="004A1035" w:rsidR="00886638">
        <w:t xml:space="preserve">, </w:t>
      </w:r>
      <w:r w:rsidR="00886638">
        <w:t>“</w:t>
      </w:r>
      <w:r w:rsidRPr="004A1035" w:rsidR="00886638">
        <w:t>restriction</w:t>
      </w:r>
      <w:r w:rsidR="00886638">
        <w:t>”</w:t>
      </w:r>
      <w:r w:rsidRPr="004A1035" w:rsidR="00886638">
        <w:t xml:space="preserve"> or </w:t>
      </w:r>
      <w:r w:rsidR="00886638">
        <w:t>“</w:t>
      </w:r>
      <w:r w:rsidRPr="004A1035" w:rsidR="00886638">
        <w:t>penalty</w:t>
      </w:r>
      <w:r w:rsidR="00886638">
        <w:t>”</w:t>
      </w:r>
      <w:r w:rsidRPr="004A1035" w:rsidR="00886638">
        <w:t xml:space="preserve"> imposed in this sphere must be proportionate to the legitimate aim pursued</w:t>
      </w:r>
      <w:r w:rsidR="00921B59">
        <w:t xml:space="preserve"> (</w:t>
      </w:r>
      <w:r w:rsidR="00921B59">
        <w:rPr>
          <w:i/>
        </w:rPr>
        <w:t>ibid.</w:t>
      </w:r>
      <w:r w:rsidR="00921B59">
        <w:t>)</w:t>
      </w:r>
      <w:r w:rsidR="00886638">
        <w:t>. As set forth in Article</w:t>
      </w:r>
      <w:bookmarkStart w:name="HIT21" w:id="3"/>
      <w:bookmarkEnd w:id="3"/>
      <w:r w:rsidR="002E2549">
        <w:t> </w:t>
      </w:r>
      <w:r w:rsidR="00886638">
        <w:t>10 of the Convention, this freedom is subject to exceptions, which must, however, be construed strictly, and the need for any restrictions must be established convincingly (see</w:t>
      </w:r>
      <w:r w:rsidR="00DC5561">
        <w:t xml:space="preserve">, </w:t>
      </w:r>
      <w:r w:rsidR="00DC5561">
        <w:rPr>
          <w:i/>
        </w:rPr>
        <w:t>inter alia</w:t>
      </w:r>
      <w:r w:rsidR="00DC5561">
        <w:t>,</w:t>
      </w:r>
      <w:r w:rsidR="00886638">
        <w:t xml:space="preserve"> </w:t>
      </w:r>
      <w:r w:rsidRPr="00B668D2" w:rsidR="00886638">
        <w:rPr>
          <w:i/>
          <w:lang w:val="en-GB"/>
        </w:rPr>
        <w:t>Zana v. Turkey</w:t>
      </w:r>
      <w:r w:rsidRPr="00B668D2" w:rsidR="00886638">
        <w:rPr>
          <w:lang w:val="en-GB"/>
        </w:rPr>
        <w:t>, 25</w:t>
      </w:r>
      <w:r w:rsidR="002E2549">
        <w:rPr>
          <w:lang w:val="en-GB"/>
        </w:rPr>
        <w:t> </w:t>
      </w:r>
      <w:r w:rsidRPr="00B668D2" w:rsidR="00886638">
        <w:rPr>
          <w:lang w:val="en-GB"/>
        </w:rPr>
        <w:t xml:space="preserve">November 1997, § </w:t>
      </w:r>
      <w:r w:rsidR="00886638">
        <w:rPr>
          <w:lang w:val="en-GB"/>
        </w:rPr>
        <w:t>51</w:t>
      </w:r>
      <w:r w:rsidRPr="00B668D2" w:rsidR="00886638">
        <w:rPr>
          <w:lang w:val="en-GB"/>
        </w:rPr>
        <w:t xml:space="preserve">, </w:t>
      </w:r>
      <w:r w:rsidRPr="00B668D2" w:rsidR="00886638">
        <w:rPr>
          <w:i/>
          <w:lang w:val="en-GB"/>
        </w:rPr>
        <w:t>Reports</w:t>
      </w:r>
      <w:r w:rsidRPr="00B668D2" w:rsidR="00886638">
        <w:rPr>
          <w:lang w:val="en-GB"/>
        </w:rPr>
        <w:t xml:space="preserve"> 1997</w:t>
      </w:r>
      <w:r w:rsidRPr="00B668D2" w:rsidR="00886638">
        <w:rPr>
          <w:lang w:val="en-GB"/>
        </w:rPr>
        <w:noBreakHyphen/>
        <w:t>VII</w:t>
      </w:r>
      <w:r w:rsidR="00886638">
        <w:rPr>
          <w:lang w:val="en-GB"/>
        </w:rPr>
        <w:t>)</w:t>
      </w:r>
      <w:r w:rsidR="00886638">
        <w:t>.</w:t>
      </w:r>
    </w:p>
    <w:p w:rsidR="00971851" w:rsidP="00971851" w:rsidRDefault="0050610F">
      <w:pPr>
        <w:pStyle w:val="ECHRPara"/>
      </w:pPr>
      <w:r>
        <w:fldChar w:fldCharType="begin"/>
      </w:r>
      <w:r>
        <w:instrText xml:space="preserve"> SEQ level0 \*arabic </w:instrText>
      </w:r>
      <w:r>
        <w:fldChar w:fldCharType="separate"/>
      </w:r>
      <w:r w:rsidR="005C1550">
        <w:rPr>
          <w:noProof/>
        </w:rPr>
        <w:t>63</w:t>
      </w:r>
      <w:r>
        <w:rPr>
          <w:noProof/>
        </w:rPr>
        <w:fldChar w:fldCharType="end"/>
      </w:r>
      <w:r w:rsidR="00886638">
        <w:t>.  </w:t>
      </w:r>
      <w:r w:rsidR="00971851">
        <w:t>The Court has frequently held that “necessary” implies the existence of a “pressing social need” and that the Contracting States have a certain margin of appreciation in assessing whether such a need exists, but that this goes hand in hand with a European supervision (</w:t>
      </w:r>
      <w:r w:rsidR="00DC5561">
        <w:rPr>
          <w:i/>
        </w:rPr>
        <w:t>ibid.</w:t>
      </w:r>
      <w:r w:rsidR="00971851">
        <w:t>).</w:t>
      </w:r>
    </w:p>
    <w:p w:rsidR="00D13A51" w:rsidP="00FF7AB5" w:rsidRDefault="0050610F">
      <w:pPr>
        <w:pStyle w:val="ECHRPara"/>
      </w:pPr>
      <w:r>
        <w:fldChar w:fldCharType="begin"/>
      </w:r>
      <w:r>
        <w:instrText xml:space="preserve"> SEQ level0 \*arabic </w:instrText>
      </w:r>
      <w:r>
        <w:fldChar w:fldCharType="separate"/>
      </w:r>
      <w:r w:rsidR="005C1550">
        <w:rPr>
          <w:noProof/>
        </w:rPr>
        <w:t>64</w:t>
      </w:r>
      <w:r>
        <w:rPr>
          <w:noProof/>
        </w:rPr>
        <w:fldChar w:fldCharType="end"/>
      </w:r>
      <w:r w:rsidR="00026012">
        <w:t>.  </w:t>
      </w:r>
      <w:r w:rsidR="00971851">
        <w:t xml:space="preserve">In exercising its supervisory jurisdiction, the Court must look at the impugned interference in the light of the case as a whole. In particular, it must determine whether the interference in question was “proportionate to the legitimate aims pursued” and whether the reasons adduced by the national authorities to justify it are “relevant and sufficient” (see, </w:t>
      </w:r>
      <w:r w:rsidRPr="00026012" w:rsidR="00026012">
        <w:rPr>
          <w:i/>
        </w:rPr>
        <w:t>inter alia</w:t>
      </w:r>
      <w:r w:rsidR="00026012">
        <w:t xml:space="preserve">, </w:t>
      </w:r>
      <w:r w:rsidRPr="00081659" w:rsidR="00026012">
        <w:rPr>
          <w:i/>
          <w:lang w:val="en-GB"/>
        </w:rPr>
        <w:t>Fressoz and Roire v. France</w:t>
      </w:r>
      <w:r w:rsidRPr="00081659" w:rsidR="00026012">
        <w:rPr>
          <w:lang w:val="en-GB"/>
        </w:rPr>
        <w:t xml:space="preserve"> [GC], no. 29183/95, § </w:t>
      </w:r>
      <w:r w:rsidR="00026012">
        <w:rPr>
          <w:lang w:val="en-GB"/>
        </w:rPr>
        <w:t>45</w:t>
      </w:r>
      <w:r w:rsidRPr="00081659" w:rsidR="00026012">
        <w:rPr>
          <w:lang w:val="en-GB"/>
        </w:rPr>
        <w:t>, ECHR 1999</w:t>
      </w:r>
      <w:r w:rsidRPr="00081659" w:rsidR="00026012">
        <w:rPr>
          <w:lang w:val="en-GB"/>
        </w:rPr>
        <w:noBreakHyphen/>
        <w:t>I</w:t>
      </w:r>
      <w:r w:rsidR="00026012">
        <w:rPr>
          <w:lang w:val="en-GB"/>
        </w:rPr>
        <w:t>)</w:t>
      </w:r>
      <w:r w:rsidR="00971851">
        <w:t xml:space="preserve">. </w:t>
      </w:r>
      <w:r w:rsidR="00026012">
        <w:t xml:space="preserve">In this connection, </w:t>
      </w:r>
      <w:r w:rsidR="00BF49E7">
        <w:t xml:space="preserve">the Court reiterates that the nature and severity of the penalties imposed are also factors to be taken into account when assessing the proportionality of the interference (see, </w:t>
      </w:r>
      <w:r w:rsidRPr="00BF49E7" w:rsidR="00BF49E7">
        <w:rPr>
          <w:i/>
        </w:rPr>
        <w:t>inter alia</w:t>
      </w:r>
      <w:r w:rsidR="00BF49E7">
        <w:t xml:space="preserve">, </w:t>
      </w:r>
      <w:r w:rsidRPr="00081659" w:rsidR="00BF49E7">
        <w:rPr>
          <w:i/>
          <w:lang w:val="en-GB"/>
        </w:rPr>
        <w:t>Başkaya and Okçuoğlu v. Turkey</w:t>
      </w:r>
      <w:r w:rsidRPr="00081659" w:rsidR="00BF49E7">
        <w:rPr>
          <w:lang w:val="en-GB"/>
        </w:rPr>
        <w:t xml:space="preserve"> [GC], nos. 23536/94 and 24408/94, § </w:t>
      </w:r>
      <w:r w:rsidR="00BF49E7">
        <w:rPr>
          <w:lang w:val="en-GB"/>
        </w:rPr>
        <w:t>66</w:t>
      </w:r>
      <w:r w:rsidRPr="00081659" w:rsidR="00BF49E7">
        <w:rPr>
          <w:lang w:val="en-GB"/>
        </w:rPr>
        <w:t>, ECHR 1999</w:t>
      </w:r>
      <w:r w:rsidRPr="00081659" w:rsidR="00BF49E7">
        <w:rPr>
          <w:lang w:val="en-GB"/>
        </w:rPr>
        <w:noBreakHyphen/>
        <w:t>IV</w:t>
      </w:r>
      <w:r w:rsidR="00BF49E7">
        <w:t>).</w:t>
      </w:r>
    </w:p>
    <w:p w:rsidR="004F5DBF" w:rsidP="00FF7AB5" w:rsidRDefault="0050610F">
      <w:pPr>
        <w:pStyle w:val="ECHRPara"/>
      </w:pPr>
      <w:r>
        <w:lastRenderedPageBreak/>
        <w:fldChar w:fldCharType="begin"/>
      </w:r>
      <w:r>
        <w:instrText xml:space="preserve"> SEQ level0 \*arabic </w:instrText>
      </w:r>
      <w:r>
        <w:fldChar w:fldCharType="separate"/>
      </w:r>
      <w:r w:rsidR="005C1550">
        <w:rPr>
          <w:noProof/>
        </w:rPr>
        <w:t>65</w:t>
      </w:r>
      <w:r>
        <w:rPr>
          <w:noProof/>
        </w:rPr>
        <w:fldChar w:fldCharType="end"/>
      </w:r>
      <w:r w:rsidR="00026012">
        <w:t>.  </w:t>
      </w:r>
      <w:r w:rsidR="00DC48D9">
        <w:t xml:space="preserve">The Court is aware that Atatürk, founder of the </w:t>
      </w:r>
      <w:r w:rsidR="00BC38B2">
        <w:t xml:space="preserve">Republic of </w:t>
      </w:r>
      <w:r w:rsidR="00DC48D9">
        <w:t xml:space="preserve">Turkey, is an iconic figure </w:t>
      </w:r>
      <w:r w:rsidR="003B0D01">
        <w:t xml:space="preserve">in </w:t>
      </w:r>
      <w:r w:rsidR="00BC38B2">
        <w:t>modern</w:t>
      </w:r>
      <w:r w:rsidR="00DC48D9">
        <w:t xml:space="preserve"> Turkey</w:t>
      </w:r>
      <w:r w:rsidR="00A6371B">
        <w:t xml:space="preserve"> </w:t>
      </w:r>
      <w:r w:rsidR="00126913">
        <w:t>(</w:t>
      </w:r>
      <w:r w:rsidRPr="00B668D2" w:rsidR="00A6371B">
        <w:rPr>
          <w:i/>
          <w:lang w:val="en-GB"/>
        </w:rPr>
        <w:t>Odabaşı and Koçak</w:t>
      </w:r>
      <w:r w:rsidRPr="00B668D2" w:rsidR="00A6371B">
        <w:rPr>
          <w:lang w:val="en-GB"/>
        </w:rPr>
        <w:t>,</w:t>
      </w:r>
      <w:r w:rsidR="00A6371B">
        <w:rPr>
          <w:lang w:val="en-GB"/>
        </w:rPr>
        <w:t xml:space="preserve"> cited above,</w:t>
      </w:r>
      <w:r w:rsidRPr="00B668D2" w:rsidR="00A6371B">
        <w:rPr>
          <w:lang w:val="en-GB"/>
        </w:rPr>
        <w:t xml:space="preserve"> §</w:t>
      </w:r>
      <w:r w:rsidR="00A6371B">
        <w:rPr>
          <w:lang w:val="en-GB"/>
        </w:rPr>
        <w:t> 23)</w:t>
      </w:r>
      <w:r w:rsidR="002C6BDF">
        <w:rPr>
          <w:lang w:val="en-GB"/>
        </w:rPr>
        <w:t>, and</w:t>
      </w:r>
      <w:r w:rsidR="00A6371B">
        <w:t xml:space="preserve"> </w:t>
      </w:r>
      <w:r w:rsidR="005A2856">
        <w:t xml:space="preserve">considers that </w:t>
      </w:r>
      <w:r w:rsidR="00BC38B2">
        <w:t>the Parliament</w:t>
      </w:r>
      <w:r w:rsidR="005A2856">
        <w:t xml:space="preserve"> </w:t>
      </w:r>
      <w:r w:rsidR="00667472">
        <w:t>chose</w:t>
      </w:r>
      <w:r w:rsidR="005A2856">
        <w:t xml:space="preserve"> to</w:t>
      </w:r>
      <w:r w:rsidR="00BC38B2">
        <w:t xml:space="preserve"> criminalis</w:t>
      </w:r>
      <w:r w:rsidR="005A2856">
        <w:t>e</w:t>
      </w:r>
      <w:r w:rsidR="00BC38B2">
        <w:t xml:space="preserve"> certain conduct</w:t>
      </w:r>
      <w:r w:rsidR="005A2856">
        <w:t xml:space="preserve"> which it must have considered </w:t>
      </w:r>
      <w:r w:rsidR="00BC38B2">
        <w:t xml:space="preserve">would be insulting to </w:t>
      </w:r>
      <w:r w:rsidR="00A6371B">
        <w:t>Atatürk</w:t>
      </w:r>
      <w:r>
        <w:t>’</w:t>
      </w:r>
      <w:r w:rsidR="00A6371B">
        <w:t>s</w:t>
      </w:r>
      <w:r w:rsidR="00BC38B2">
        <w:t xml:space="preserve"> memory</w:t>
      </w:r>
      <w:r w:rsidR="000A0F95">
        <w:t xml:space="preserve"> and </w:t>
      </w:r>
      <w:r w:rsidR="00667472">
        <w:t>damaging to the sentiments</w:t>
      </w:r>
      <w:r w:rsidR="000A0F95">
        <w:t xml:space="preserve"> of</w:t>
      </w:r>
      <w:r w:rsidR="005A2856">
        <w:t xml:space="preserve"> Turkish society.</w:t>
      </w:r>
    </w:p>
    <w:p w:rsidRPr="008B734D" w:rsidR="008B734D" w:rsidP="008B734D" w:rsidRDefault="0050610F">
      <w:pPr>
        <w:pStyle w:val="ECHRPara"/>
        <w:rPr>
          <w:bCs/>
        </w:rPr>
      </w:pPr>
      <w:r>
        <w:fldChar w:fldCharType="begin"/>
      </w:r>
      <w:r>
        <w:instrText xml:space="preserve"> SEQ level0 \*arabic </w:instrText>
      </w:r>
      <w:r>
        <w:fldChar w:fldCharType="separate"/>
      </w:r>
      <w:r w:rsidR="005C1550">
        <w:rPr>
          <w:noProof/>
        </w:rPr>
        <w:t>66</w:t>
      </w:r>
      <w:r>
        <w:rPr>
          <w:noProof/>
        </w:rPr>
        <w:fldChar w:fldCharType="end"/>
      </w:r>
      <w:r w:rsidRPr="008B734D" w:rsidR="00EA5CEE">
        <w:t>.  </w:t>
      </w:r>
      <w:r w:rsidRPr="008B734D" w:rsidR="008B734D">
        <w:rPr>
          <w:bCs/>
        </w:rPr>
        <w:t>Nevertheless,</w:t>
      </w:r>
      <w:r w:rsidRPr="008B734D" w:rsidR="008B734D">
        <w:t xml:space="preserve"> the Court is struck by the extreme severity of the penalty </w:t>
      </w:r>
      <w:r w:rsidRPr="008B734D" w:rsidR="008B734D">
        <w:rPr>
          <w:bCs/>
        </w:rPr>
        <w:t>foreseen</w:t>
      </w:r>
      <w:r w:rsidRPr="008B734D" w:rsidR="008B734D">
        <w:t xml:space="preserve"> in domestic law and imposed on the </w:t>
      </w:r>
      <w:proofErr w:type="gramStart"/>
      <w:r w:rsidRPr="008B734D" w:rsidR="008B734D">
        <w:t>applicant, that</w:t>
      </w:r>
      <w:proofErr w:type="gramEnd"/>
      <w:r w:rsidRPr="008B734D" w:rsidR="008B734D">
        <w:t xml:space="preserve"> is over thirteen years of imprisonment. It also notes that as a result of that conviction the applicant has been unable to vote for over eleven years. </w:t>
      </w:r>
      <w:r w:rsidRPr="008B734D" w:rsidR="008B734D">
        <w:rPr>
          <w:bCs/>
        </w:rPr>
        <w:t xml:space="preserve">In principle, the Court considers that peaceful and non-violent forms of expression should not be made subject to the threat of imposition of a custodial sentence (see, </w:t>
      </w:r>
      <w:r w:rsidRPr="008B734D" w:rsidR="008B734D">
        <w:rPr>
          <w:bCs/>
          <w:i/>
          <w:iCs/>
        </w:rPr>
        <w:t>mutatis mutandis</w:t>
      </w:r>
      <w:r w:rsidRPr="008B734D" w:rsidR="008B734D">
        <w:rPr>
          <w:bCs/>
        </w:rPr>
        <w:t xml:space="preserve">, </w:t>
      </w:r>
      <w:r w:rsidRPr="008B734D" w:rsidR="008B734D">
        <w:rPr>
          <w:bCs/>
          <w:i/>
          <w:iCs/>
          <w:lang w:val="en-GB"/>
        </w:rPr>
        <w:t>Akgöl and Göl v. Turkey</w:t>
      </w:r>
      <w:r w:rsidRPr="008B734D" w:rsidR="008B734D">
        <w:rPr>
          <w:bCs/>
          <w:lang w:val="en-GB"/>
        </w:rPr>
        <w:t>, nos.</w:t>
      </w:r>
      <w:r w:rsidR="004945B5">
        <w:rPr>
          <w:bCs/>
          <w:lang w:val="en-GB"/>
        </w:rPr>
        <w:t> </w:t>
      </w:r>
      <w:r w:rsidRPr="008B734D" w:rsidR="008B734D">
        <w:rPr>
          <w:bCs/>
          <w:lang w:val="en-GB"/>
        </w:rPr>
        <w:t>28495/06 and 28516/06</w:t>
      </w:r>
      <w:r w:rsidRPr="008B734D" w:rsidR="008B734D">
        <w:rPr>
          <w:bCs/>
          <w:snapToGrid w:val="0"/>
          <w:lang w:val="en-GB"/>
        </w:rPr>
        <w:t>, § 43, 17 May 2011).</w:t>
      </w:r>
      <w:r w:rsidRPr="008B734D" w:rsidR="008B734D">
        <w:rPr>
          <w:lang w:val="en-GB"/>
        </w:rPr>
        <w:t xml:space="preserve"> </w:t>
      </w:r>
      <w:r w:rsidRPr="008B734D" w:rsidR="008B734D">
        <w:t>While in the present case, the applicant</w:t>
      </w:r>
      <w:r>
        <w:t>’</w:t>
      </w:r>
      <w:r w:rsidRPr="008B734D" w:rsidR="008B734D">
        <w:t xml:space="preserve">s acts involved a physical attack on property, the Court does not consider that the acts were of a gravity justifying a custodial sentence </w:t>
      </w:r>
      <w:r w:rsidRPr="008B734D" w:rsidR="008B734D">
        <w:rPr>
          <w:bCs/>
        </w:rPr>
        <w:t>as provided for by the Law on Offences against Atatürk.</w:t>
      </w:r>
    </w:p>
    <w:p w:rsidRPr="001A18B8" w:rsidR="00E45D16" w:rsidP="00E45D16" w:rsidRDefault="0050610F">
      <w:pPr>
        <w:pStyle w:val="ECHRPara"/>
        <w:rPr>
          <w:lang w:val="en-GB"/>
        </w:rPr>
      </w:pPr>
      <w:r>
        <w:fldChar w:fldCharType="begin"/>
      </w:r>
      <w:r>
        <w:instrText xml:space="preserve"> SEQ level0 \*arabic </w:instrText>
      </w:r>
      <w:r>
        <w:fldChar w:fldCharType="separate"/>
      </w:r>
      <w:r w:rsidR="005C1550">
        <w:rPr>
          <w:noProof/>
        </w:rPr>
        <w:t>67</w:t>
      </w:r>
      <w:r>
        <w:rPr>
          <w:noProof/>
        </w:rPr>
        <w:fldChar w:fldCharType="end"/>
      </w:r>
      <w:r w:rsidRPr="001A18B8" w:rsidR="00E45D16">
        <w:t>.  </w:t>
      </w:r>
      <w:r w:rsidRPr="001A18B8" w:rsidR="00EA5CEE">
        <w:t>Thus, h</w:t>
      </w:r>
      <w:r w:rsidRPr="001A18B8" w:rsidR="0087092A">
        <w:t xml:space="preserve">aving regard to the </w:t>
      </w:r>
      <w:r w:rsidRPr="001A18B8" w:rsidR="00D5111F">
        <w:t xml:space="preserve">extreme </w:t>
      </w:r>
      <w:r w:rsidRPr="001A18B8" w:rsidR="00AF1F8C">
        <w:t xml:space="preserve">harshness </w:t>
      </w:r>
      <w:r w:rsidRPr="001A18B8" w:rsidR="004F4BDE">
        <w:t>of the punishment imposed on the applicant</w:t>
      </w:r>
      <w:r w:rsidRPr="001A18B8" w:rsidR="0087092A">
        <w:t xml:space="preserve">, the Court deems it </w:t>
      </w:r>
      <w:r w:rsidRPr="001A18B8" w:rsidR="00B066F3">
        <w:t xml:space="preserve">unnecessary </w:t>
      </w:r>
      <w:r w:rsidRPr="001A18B8" w:rsidR="004F4BDE">
        <w:t xml:space="preserve">to examine </w:t>
      </w:r>
      <w:r w:rsidRPr="001A18B8" w:rsidR="000422E8">
        <w:t xml:space="preserve">whether </w:t>
      </w:r>
      <w:r w:rsidRPr="001A18B8" w:rsidR="00E45D16">
        <w:t xml:space="preserve">the reasons adduced for convicting and sentencing the applicant </w:t>
      </w:r>
      <w:r w:rsidRPr="001A18B8" w:rsidR="000422E8">
        <w:t xml:space="preserve">were </w:t>
      </w:r>
      <w:r w:rsidRPr="001A18B8" w:rsidR="00E45D16">
        <w:t xml:space="preserve">sufficient to justify the interference with his right to freedom of expression (see </w:t>
      </w:r>
      <w:r w:rsidRPr="001A18B8" w:rsidR="00E45D16">
        <w:rPr>
          <w:i/>
          <w:lang w:val="en-GB"/>
        </w:rPr>
        <w:t>Başkaya and Okçuoğlu</w:t>
      </w:r>
      <w:r w:rsidRPr="001A18B8" w:rsidR="00E45D16">
        <w:rPr>
          <w:lang w:val="en-GB"/>
        </w:rPr>
        <w:t>, cited above, § 65)</w:t>
      </w:r>
      <w:r w:rsidRPr="001A18B8" w:rsidR="00D5111F">
        <w:rPr>
          <w:lang w:val="en-GB"/>
        </w:rPr>
        <w:t>.</w:t>
      </w:r>
      <w:r w:rsidRPr="001A18B8" w:rsidR="000422E8">
        <w:rPr>
          <w:lang w:val="en-GB"/>
        </w:rPr>
        <w:t xml:space="preserve"> </w:t>
      </w:r>
      <w:r w:rsidRPr="001A18B8" w:rsidR="00D5111F">
        <w:rPr>
          <w:lang w:val="en-GB"/>
        </w:rPr>
        <w:t>No</w:t>
      </w:r>
      <w:r w:rsidRPr="001A18B8" w:rsidR="000422E8">
        <w:rPr>
          <w:lang w:val="en-GB"/>
        </w:rPr>
        <w:t xml:space="preserve">r </w:t>
      </w:r>
      <w:r w:rsidRPr="001A18B8" w:rsidR="00D5111F">
        <w:rPr>
          <w:lang w:val="en-GB"/>
        </w:rPr>
        <w:t xml:space="preserve">does it deem it necessary to examine </w:t>
      </w:r>
      <w:r w:rsidRPr="001A18B8" w:rsidR="000422E8">
        <w:rPr>
          <w:lang w:val="en-GB"/>
        </w:rPr>
        <w:t xml:space="preserve">whether </w:t>
      </w:r>
      <w:r w:rsidRPr="001A18B8" w:rsidR="00E45D16">
        <w:rPr>
          <w:lang w:val="en-GB"/>
        </w:rPr>
        <w:t>the applicant</w:t>
      </w:r>
      <w:r>
        <w:rPr>
          <w:lang w:val="en-GB"/>
        </w:rPr>
        <w:t>’</w:t>
      </w:r>
      <w:r w:rsidRPr="001A18B8" w:rsidR="00E45D16">
        <w:rPr>
          <w:lang w:val="en-GB"/>
        </w:rPr>
        <w:t>s expression of his resentment towards the figure of Atatürk or his criticism of Kemalist ideology amounted to an “insult”</w:t>
      </w:r>
      <w:r w:rsidRPr="001A18B8" w:rsidR="009345AB">
        <w:rPr>
          <w:lang w:val="en-GB"/>
        </w:rPr>
        <w:t>,</w:t>
      </w:r>
      <w:r w:rsidRPr="001A18B8" w:rsidR="000422E8">
        <w:rPr>
          <w:lang w:val="en-GB"/>
        </w:rPr>
        <w:t xml:space="preserve"> or </w:t>
      </w:r>
      <w:r w:rsidRPr="001A18B8" w:rsidR="00BA726B">
        <w:rPr>
          <w:lang w:val="en-GB"/>
        </w:rPr>
        <w:t>whether</w:t>
      </w:r>
      <w:r w:rsidRPr="001A18B8" w:rsidR="00E45D16">
        <w:t xml:space="preserve"> the domestic authorities had any regard to the applicant</w:t>
      </w:r>
      <w:r>
        <w:t>’</w:t>
      </w:r>
      <w:r w:rsidRPr="001A18B8" w:rsidR="00E45D16">
        <w:t>s freedom of expression, which he had brought to their attention on a number of occasions (see paragraphs 18 and 20 above)</w:t>
      </w:r>
      <w:r w:rsidRPr="001A18B8" w:rsidR="00D5111F">
        <w:t>.</w:t>
      </w:r>
      <w:r w:rsidRPr="001A18B8" w:rsidR="00976D07">
        <w:t xml:space="preserve"> </w:t>
      </w:r>
      <w:r w:rsidRPr="001A18B8" w:rsidR="00D5111F">
        <w:t>I</w:t>
      </w:r>
      <w:r w:rsidRPr="001A18B8" w:rsidR="00976D07">
        <w:t>t</w:t>
      </w:r>
      <w:r w:rsidRPr="001A18B8" w:rsidR="00DC71F7">
        <w:t xml:space="preserve"> considers that no reasoning can be sufficient to justify the imposition of such a </w:t>
      </w:r>
      <w:r w:rsidRPr="001A18B8" w:rsidR="00AB7E6D">
        <w:t xml:space="preserve">severe </w:t>
      </w:r>
      <w:r w:rsidRPr="001A18B8" w:rsidR="00DC71F7">
        <w:t>punishment for the actions in question.</w:t>
      </w:r>
    </w:p>
    <w:p w:rsidRPr="00E8512F" w:rsidR="004F5DBF" w:rsidP="00FF7AB5" w:rsidRDefault="0050610F">
      <w:pPr>
        <w:pStyle w:val="ECHRPara"/>
        <w:rPr>
          <w:lang w:val="en-GB"/>
        </w:rPr>
      </w:pPr>
      <w:r>
        <w:fldChar w:fldCharType="begin"/>
      </w:r>
      <w:r>
        <w:instrText xml:space="preserve"> SEQ level0 \*arabic </w:instrText>
      </w:r>
      <w:r>
        <w:fldChar w:fldCharType="separate"/>
      </w:r>
      <w:r w:rsidR="005C1550">
        <w:rPr>
          <w:noProof/>
        </w:rPr>
        <w:t>68</w:t>
      </w:r>
      <w:r>
        <w:rPr>
          <w:noProof/>
        </w:rPr>
        <w:fldChar w:fldCharType="end"/>
      </w:r>
      <w:r w:rsidR="002C6BDF">
        <w:t>.  </w:t>
      </w:r>
      <w:r w:rsidR="004F5DBF">
        <w:t xml:space="preserve">In </w:t>
      </w:r>
      <w:r w:rsidR="00C07307">
        <w:t xml:space="preserve">the </w:t>
      </w:r>
      <w:r w:rsidR="004F5DBF">
        <w:t xml:space="preserve">light of </w:t>
      </w:r>
      <w:r w:rsidRPr="004022B0" w:rsidR="004F5DBF">
        <w:t xml:space="preserve">the foregoing, the Court concludes that the penalties imposed on the applicant were </w:t>
      </w:r>
      <w:r w:rsidRPr="004022B0" w:rsidR="00EA5CEE">
        <w:t xml:space="preserve">grossly </w:t>
      </w:r>
      <w:r w:rsidRPr="004022B0" w:rsidR="004F5DBF">
        <w:t xml:space="preserve">disproportionate to the legitimate aim pursued and </w:t>
      </w:r>
      <w:r w:rsidRPr="004022B0" w:rsidR="00510166">
        <w:t xml:space="preserve">were </w:t>
      </w:r>
      <w:r w:rsidRPr="004022B0" w:rsidR="004F5DBF">
        <w:t>therefore not “necessary</w:t>
      </w:r>
      <w:r w:rsidR="004F5DBF">
        <w:t xml:space="preserve"> in a democratic society”. There has accordingly been a violation of Article 10 of the Convention.</w:t>
      </w:r>
    </w:p>
    <w:p w:rsidRPr="00E8512F" w:rsidR="00455230" w:rsidP="00455230" w:rsidRDefault="00455230">
      <w:pPr>
        <w:pStyle w:val="ECHRHeading1"/>
        <w:rPr>
          <w:lang w:val="en-GB"/>
        </w:rPr>
      </w:pPr>
      <w:r w:rsidRPr="00E8512F">
        <w:rPr>
          <w:lang w:val="en-GB"/>
        </w:rPr>
        <w:t>II.</w:t>
      </w:r>
      <w:proofErr w:type="gramStart"/>
      <w:r w:rsidR="00D85E2B">
        <w:rPr>
          <w:lang w:val="en-GB"/>
        </w:rPr>
        <w:t> </w:t>
      </w:r>
      <w:r w:rsidRPr="00E8512F" w:rsidR="00D85E2B">
        <w:rPr>
          <w:lang w:val="en-GB"/>
        </w:rPr>
        <w:t> </w:t>
      </w:r>
      <w:r w:rsidR="00D85E2B">
        <w:rPr>
          <w:lang w:val="en-GB"/>
        </w:rPr>
        <w:t>ALLEGED</w:t>
      </w:r>
      <w:proofErr w:type="gramEnd"/>
      <w:r w:rsidRPr="00E8512F">
        <w:rPr>
          <w:lang w:val="en-GB"/>
        </w:rPr>
        <w:t xml:space="preserve"> VIOLATION OF ARTICLE 3 OF PROTOCOL NO. 1 TO THE CONVENTION</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69</w:t>
      </w:r>
      <w:r w:rsidRPr="00E8512F">
        <w:rPr>
          <w:lang w:val="en-GB"/>
        </w:rPr>
        <w:fldChar w:fldCharType="end"/>
      </w:r>
      <w:r w:rsidRPr="00E8512F">
        <w:rPr>
          <w:lang w:val="en-GB"/>
        </w:rPr>
        <w:t>.  Relyi</w:t>
      </w:r>
      <w:r w:rsidR="009D4FB6">
        <w:rPr>
          <w:lang w:val="en-GB"/>
        </w:rPr>
        <w:t xml:space="preserve">ng on Article 3 of Protocol No. </w:t>
      </w:r>
      <w:r w:rsidRPr="00E8512F">
        <w:rPr>
          <w:lang w:val="en-GB"/>
        </w:rPr>
        <w:t>1 to the Convention the applicant complained about the ban which had been imposed on him by the domestic courts and which prevents him from voting. Article 3 of Protocol</w:t>
      </w:r>
      <w:r w:rsidR="009D4FB6">
        <w:rPr>
          <w:lang w:val="en-GB"/>
        </w:rPr>
        <w:t xml:space="preserve"> No. </w:t>
      </w:r>
      <w:r w:rsidRPr="00E8512F">
        <w:rPr>
          <w:lang w:val="en-GB"/>
        </w:rPr>
        <w:t>1 to the Convention reads as follows:</w:t>
      </w:r>
    </w:p>
    <w:p w:rsidRPr="00E8512F" w:rsidR="00455230" w:rsidP="00455230" w:rsidRDefault="00455230">
      <w:pPr>
        <w:pStyle w:val="ECHRParaQuote"/>
        <w:rPr>
          <w:lang w:val="en-GB"/>
        </w:rPr>
      </w:pPr>
      <w:r w:rsidRPr="00E8512F">
        <w:rPr>
          <w:lang w:val="en-GB"/>
        </w:rPr>
        <w:t>“The High Contracting Parties undertake to hold free elections at reasonable intervals by secret ballot, under conditions which will ensure the free expression of the opinion of the people in the choice of the legislature.”</w:t>
      </w:r>
    </w:p>
    <w:p w:rsidRPr="00E8512F" w:rsidR="00455230" w:rsidP="00455230" w:rsidRDefault="00455230">
      <w:pPr>
        <w:pStyle w:val="ECHRPara"/>
        <w:rPr>
          <w:lang w:val="en-GB"/>
        </w:rPr>
      </w:pPr>
      <w:r w:rsidRPr="00E8512F">
        <w:rPr>
          <w:lang w:val="en-GB"/>
        </w:rPr>
        <w:lastRenderedPageBreak/>
        <w:fldChar w:fldCharType="begin"/>
      </w:r>
      <w:r w:rsidRPr="00E8512F">
        <w:rPr>
          <w:lang w:val="en-GB"/>
        </w:rPr>
        <w:instrText xml:space="preserve"> SEQ level0 \*arabic </w:instrText>
      </w:r>
      <w:r w:rsidRPr="00E8512F">
        <w:rPr>
          <w:lang w:val="en-GB"/>
        </w:rPr>
        <w:fldChar w:fldCharType="separate"/>
      </w:r>
      <w:r w:rsidR="005C1550">
        <w:rPr>
          <w:noProof/>
          <w:lang w:val="en-GB"/>
        </w:rPr>
        <w:t>70</w:t>
      </w:r>
      <w:r w:rsidRPr="00E8512F">
        <w:rPr>
          <w:lang w:val="en-GB"/>
        </w:rPr>
        <w:fldChar w:fldCharType="end"/>
      </w:r>
      <w:r w:rsidRPr="00E8512F">
        <w:rPr>
          <w:lang w:val="en-GB"/>
        </w:rPr>
        <w:t>.  The Government contested that argument.</w:t>
      </w:r>
    </w:p>
    <w:p w:rsidRPr="0050610F" w:rsidR="00455230" w:rsidP="00F51BE0" w:rsidRDefault="00455230">
      <w:pPr>
        <w:pStyle w:val="ECHRHeading2"/>
        <w:rPr>
          <w:lang w:val="en-GB"/>
        </w:rPr>
      </w:pPr>
      <w:r w:rsidRPr="0050610F">
        <w:rPr>
          <w:lang w:val="en-GB"/>
        </w:rPr>
        <w:t>A.  Admissibility</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71</w:t>
      </w:r>
      <w:r w:rsidRPr="00E8512F">
        <w:rPr>
          <w:lang w:val="en-GB"/>
        </w:rPr>
        <w:fldChar w:fldCharType="end"/>
      </w:r>
      <w:r w:rsidRPr="00E8512F">
        <w:rPr>
          <w:lang w:val="en-GB"/>
        </w:rPr>
        <w:t>.  The Court notes that this complaint is not manifestly ill-founded within the meaning of Article 35 § 3 (a) of the Convention. It further notes that it is not inadmissible on any other grounds. It must therefore be declared admissible.</w:t>
      </w:r>
    </w:p>
    <w:p w:rsidRPr="0050610F" w:rsidR="00455230" w:rsidP="00F51BE0" w:rsidRDefault="00455230">
      <w:pPr>
        <w:pStyle w:val="ECHRHeading2"/>
        <w:rPr>
          <w:lang w:val="en-GB"/>
        </w:rPr>
      </w:pPr>
      <w:r w:rsidRPr="0050610F">
        <w:rPr>
          <w:lang w:val="en-GB"/>
        </w:rPr>
        <w:t>B.  Merits</w:t>
      </w:r>
    </w:p>
    <w:p w:rsidRPr="00E8512F" w:rsidR="00704343" w:rsidP="00455230" w:rsidRDefault="00704343">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72</w:t>
      </w:r>
      <w:r w:rsidRPr="00E8512F">
        <w:rPr>
          <w:lang w:val="en-GB"/>
        </w:rPr>
        <w:fldChar w:fldCharType="end"/>
      </w:r>
      <w:r w:rsidRPr="00E8512F">
        <w:rPr>
          <w:lang w:val="en-GB"/>
        </w:rPr>
        <w:t>.  </w:t>
      </w:r>
      <w:r w:rsidRPr="00E8512F" w:rsidR="00AC5718">
        <w:rPr>
          <w:lang w:val="en-GB"/>
        </w:rPr>
        <w:t xml:space="preserve">The applicant complained that his conviction had not only resulted in his imprisonment, but had also </w:t>
      </w:r>
      <w:r w:rsidRPr="00E8512F" w:rsidR="00920042">
        <w:rPr>
          <w:lang w:val="en-GB"/>
        </w:rPr>
        <w:t xml:space="preserve">prevented him from, </w:t>
      </w:r>
      <w:r w:rsidRPr="00E8512F" w:rsidR="00920042">
        <w:rPr>
          <w:i/>
          <w:lang w:val="en-GB"/>
        </w:rPr>
        <w:t>inter alia</w:t>
      </w:r>
      <w:r w:rsidRPr="00E8512F" w:rsidR="00920042">
        <w:rPr>
          <w:lang w:val="en-GB"/>
        </w:rPr>
        <w:t xml:space="preserve">, </w:t>
      </w:r>
      <w:r w:rsidRPr="00E8512F" w:rsidR="001A7979">
        <w:rPr>
          <w:lang w:val="en-GB"/>
        </w:rPr>
        <w:t>voting</w:t>
      </w:r>
      <w:r w:rsidR="00671FE8">
        <w:rPr>
          <w:lang w:val="en-GB"/>
        </w:rPr>
        <w:t>.</w:t>
      </w:r>
    </w:p>
    <w:p w:rsidRPr="00E8512F" w:rsidR="00E71D9C" w:rsidP="00E71D9C" w:rsidRDefault="001A7979">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73</w:t>
      </w:r>
      <w:r w:rsidRPr="00E8512F">
        <w:rPr>
          <w:lang w:val="en-GB"/>
        </w:rPr>
        <w:fldChar w:fldCharType="end"/>
      </w:r>
      <w:r w:rsidRPr="00E8512F">
        <w:rPr>
          <w:lang w:val="en-GB"/>
        </w:rPr>
        <w:t>.  </w:t>
      </w:r>
      <w:r w:rsidRPr="00E8512F" w:rsidR="00E71D9C">
        <w:rPr>
          <w:lang w:val="en-GB"/>
        </w:rPr>
        <w:t>The Government acknowledged</w:t>
      </w:r>
      <w:r w:rsidR="009D4FB6">
        <w:rPr>
          <w:lang w:val="en-GB"/>
        </w:rPr>
        <w:t xml:space="preserve"> that Article 3 of Protocol No. </w:t>
      </w:r>
      <w:r w:rsidRPr="00E8512F" w:rsidR="00E71D9C">
        <w:rPr>
          <w:lang w:val="en-GB"/>
        </w:rPr>
        <w:t>1 guaranteed individual rights, including the right to vote and to stand for election, and did not contest that the applicant</w:t>
      </w:r>
      <w:r w:rsidR="0050610F">
        <w:rPr>
          <w:lang w:val="en-GB"/>
        </w:rPr>
        <w:t>’</w:t>
      </w:r>
      <w:r w:rsidRPr="00E8512F" w:rsidR="00E71D9C">
        <w:rPr>
          <w:lang w:val="en-GB"/>
        </w:rPr>
        <w:t>s right to vote had been restricted in the present case.</w:t>
      </w:r>
    </w:p>
    <w:p w:rsidRPr="002C6BDF" w:rsidR="00E71D9C" w:rsidP="00E71D9C" w:rsidRDefault="00E71D9C">
      <w:pPr>
        <w:pStyle w:val="ECHRPara"/>
        <w:rPr>
          <w:szCs w:val="24"/>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74</w:t>
      </w:r>
      <w:r w:rsidRPr="00E8512F">
        <w:rPr>
          <w:lang w:val="en-GB"/>
        </w:rPr>
        <w:fldChar w:fldCharType="end"/>
      </w:r>
      <w:r w:rsidRPr="00E8512F">
        <w:rPr>
          <w:lang w:val="en-GB"/>
        </w:rPr>
        <w:t>.  The Government referred to the Explanatory Report of the Criminal Code where the rationale behind section 53 of the Criminal Code is set out (see</w:t>
      </w:r>
      <w:r w:rsidR="008E37B2">
        <w:rPr>
          <w:lang w:val="en-GB"/>
        </w:rPr>
        <w:t xml:space="preserve"> </w:t>
      </w:r>
      <w:r w:rsidRPr="008E37B2" w:rsidR="008E37B2">
        <w:rPr>
          <w:i/>
          <w:lang w:val="en-GB"/>
        </w:rPr>
        <w:t>Söyler</w:t>
      </w:r>
      <w:r w:rsidR="008E37B2">
        <w:rPr>
          <w:lang w:val="en-GB"/>
        </w:rPr>
        <w:t>, cited above, § 17</w:t>
      </w:r>
      <w:r w:rsidRPr="00E8512F">
        <w:rPr>
          <w:lang w:val="en-GB"/>
        </w:rPr>
        <w:t>), and submitted that the legitimate aim of the restriction was the applicant</w:t>
      </w:r>
      <w:r w:rsidR="0050610F">
        <w:rPr>
          <w:lang w:val="en-GB"/>
        </w:rPr>
        <w:t>’</w:t>
      </w:r>
      <w:r w:rsidRPr="00E8512F">
        <w:rPr>
          <w:lang w:val="en-GB"/>
        </w:rPr>
        <w:t xml:space="preserve">s rehabilitation. They maintained that the restriction on the right to vote in Turkey was not a </w:t>
      </w:r>
      <w:r w:rsidR="00510166">
        <w:rPr>
          <w:lang w:val="en-GB"/>
        </w:rPr>
        <w:t>“</w:t>
      </w:r>
      <w:r w:rsidRPr="00E8512F">
        <w:rPr>
          <w:lang w:val="en-GB"/>
        </w:rPr>
        <w:t>blanket ban</w:t>
      </w:r>
      <w:r w:rsidR="00510166">
        <w:rPr>
          <w:lang w:val="en-GB"/>
        </w:rPr>
        <w:t>”</w:t>
      </w:r>
      <w:r w:rsidRPr="00E8512F">
        <w:rPr>
          <w:lang w:val="en-GB"/>
        </w:rPr>
        <w:t xml:space="preserve"> because the applicable legislation limited the scope of the restriction in accordance with the nature of the offence. Referring to the judgment in the case of </w:t>
      </w:r>
      <w:r w:rsidRPr="00B668D2" w:rsidR="002C6BDF">
        <w:rPr>
          <w:i/>
          <w:szCs w:val="24"/>
          <w:lang w:val="en-GB"/>
        </w:rPr>
        <w:t>H</w:t>
      </w:r>
      <w:r w:rsidR="009D4FB6">
        <w:rPr>
          <w:i/>
          <w:szCs w:val="24"/>
          <w:lang w:val="en-GB"/>
        </w:rPr>
        <w:t>irst v.</w:t>
      </w:r>
      <w:r w:rsidR="000C0386">
        <w:rPr>
          <w:i/>
          <w:szCs w:val="24"/>
          <w:lang w:val="en-GB"/>
        </w:rPr>
        <w:t> </w:t>
      </w:r>
      <w:r w:rsidR="009D4FB6">
        <w:rPr>
          <w:i/>
          <w:szCs w:val="24"/>
          <w:lang w:val="en-GB"/>
        </w:rPr>
        <w:t>the United Kingdom (no.</w:t>
      </w:r>
      <w:r w:rsidR="000C0386">
        <w:rPr>
          <w:i/>
          <w:szCs w:val="24"/>
          <w:lang w:val="en-GB"/>
        </w:rPr>
        <w:t xml:space="preserve"> </w:t>
      </w:r>
      <w:r w:rsidRPr="00B668D2" w:rsidR="002C6BDF">
        <w:rPr>
          <w:i/>
          <w:szCs w:val="24"/>
          <w:lang w:val="en-GB"/>
        </w:rPr>
        <w:t>2)</w:t>
      </w:r>
      <w:r w:rsidRPr="00B668D2" w:rsidR="002C6BDF">
        <w:rPr>
          <w:szCs w:val="24"/>
          <w:lang w:val="en-GB"/>
        </w:rPr>
        <w:t xml:space="preserve"> </w:t>
      </w:r>
      <w:r w:rsidR="002C6BDF">
        <w:rPr>
          <w:szCs w:val="24"/>
          <w:lang w:val="en-GB"/>
        </w:rPr>
        <w:t>(</w:t>
      </w:r>
      <w:r w:rsidRPr="00B668D2" w:rsidR="002C6BDF">
        <w:rPr>
          <w:szCs w:val="24"/>
          <w:lang w:val="en-GB"/>
        </w:rPr>
        <w:t>[GC], no. 74025/01, ECHR 2005</w:t>
      </w:r>
      <w:r w:rsidRPr="00B668D2" w:rsidR="002C6BDF">
        <w:rPr>
          <w:szCs w:val="24"/>
          <w:lang w:val="en-GB"/>
        </w:rPr>
        <w:noBreakHyphen/>
        <w:t>IX</w:t>
      </w:r>
      <w:r w:rsidR="002C6BDF">
        <w:rPr>
          <w:szCs w:val="24"/>
          <w:lang w:val="en-GB"/>
        </w:rPr>
        <w:t>)</w:t>
      </w:r>
      <w:r w:rsidRPr="00E8512F">
        <w:rPr>
          <w:lang w:val="en-GB"/>
        </w:rPr>
        <w:t>, the Government argued that, unlike the situation in the United Kingdom, the Turkish legislation restricting the right to vote was only applicable to persons who ha</w:t>
      </w:r>
      <w:r w:rsidR="00510166">
        <w:rPr>
          <w:lang w:val="en-GB"/>
        </w:rPr>
        <w:t>d</w:t>
      </w:r>
      <w:r w:rsidRPr="00E8512F">
        <w:rPr>
          <w:lang w:val="en-GB"/>
        </w:rPr>
        <w:t xml:space="preserve"> committed offences intentionally. In the United Kingdom the legislation was applicable to all convicted prisoners detained in prisons, irrespective of the length of their sentence, the nature or gravity of the offence, and their individual circumstances.</w:t>
      </w:r>
    </w:p>
    <w:p w:rsidRPr="00E8512F" w:rsidR="00C02531" w:rsidP="00C02531" w:rsidRDefault="00E71D9C">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75</w:t>
      </w:r>
      <w:r w:rsidRPr="00E8512F">
        <w:rPr>
          <w:lang w:val="en-GB"/>
        </w:rPr>
        <w:fldChar w:fldCharType="end"/>
      </w:r>
      <w:r w:rsidRPr="00E8512F">
        <w:rPr>
          <w:lang w:val="en-GB"/>
        </w:rPr>
        <w:t>.  In Turkey the constitutional provisions concerning the issue of prisoners</w:t>
      </w:r>
      <w:r w:rsidR="0050610F">
        <w:rPr>
          <w:lang w:val="en-GB"/>
        </w:rPr>
        <w:t>’</w:t>
      </w:r>
      <w:r w:rsidRPr="00E8512F">
        <w:rPr>
          <w:lang w:val="en-GB"/>
        </w:rPr>
        <w:t xml:space="preserve"> voting</w:t>
      </w:r>
      <w:r w:rsidR="00510166">
        <w:rPr>
          <w:lang w:val="en-GB"/>
        </w:rPr>
        <w:t xml:space="preserve"> rights</w:t>
      </w:r>
      <w:r w:rsidRPr="00E8512F">
        <w:rPr>
          <w:lang w:val="en-GB"/>
        </w:rPr>
        <w:t xml:space="preserve"> had undergone two amendments in 1995 and 2001. In 1995 the Constitution had been amended to exclude remand prisoners from the scope of the restriction because disenfranchising a person detained in prison pending the outcome of criminal proceedings against him was considered incompatible with the principle of presumption of innocence. In the 2001 amendment, persons convicted of offences committed involuntarily had been excluded from the restrictions on voting. As it stood today, the national legislation was applicable only in respect of offences committed intentionally. In the opinion of the Government, offences committed intentionally were </w:t>
      </w:r>
      <w:r w:rsidR="00755B75">
        <w:rPr>
          <w:lang w:val="en-GB"/>
        </w:rPr>
        <w:t>“stronger”</w:t>
      </w:r>
      <w:r w:rsidRPr="00E8512F">
        <w:rPr>
          <w:lang w:val="en-GB"/>
        </w:rPr>
        <w:t xml:space="preserve"> in nature as they included the element of “intention”.</w:t>
      </w:r>
    </w:p>
    <w:p w:rsidRPr="00671FE8" w:rsidR="00C02531" w:rsidP="00C02531" w:rsidRDefault="00C02531">
      <w:pPr>
        <w:pStyle w:val="ECHRPara"/>
        <w:rPr>
          <w:i/>
          <w:lang w:val="en-GB"/>
        </w:rPr>
      </w:pPr>
      <w:r w:rsidRPr="00E8512F">
        <w:rPr>
          <w:lang w:val="en-GB"/>
        </w:rPr>
        <w:lastRenderedPageBreak/>
        <w:fldChar w:fldCharType="begin"/>
      </w:r>
      <w:r w:rsidRPr="00E8512F">
        <w:rPr>
          <w:lang w:val="en-GB"/>
        </w:rPr>
        <w:instrText xml:space="preserve"> SEQ level0 \*arabic </w:instrText>
      </w:r>
      <w:r w:rsidRPr="00E8512F">
        <w:rPr>
          <w:lang w:val="en-GB"/>
        </w:rPr>
        <w:fldChar w:fldCharType="separate"/>
      </w:r>
      <w:r w:rsidR="005C1550">
        <w:rPr>
          <w:noProof/>
          <w:lang w:val="en-GB"/>
        </w:rPr>
        <w:t>76</w:t>
      </w:r>
      <w:r w:rsidRPr="00E8512F">
        <w:rPr>
          <w:lang w:val="en-GB"/>
        </w:rPr>
        <w:fldChar w:fldCharType="end"/>
      </w:r>
      <w:r w:rsidRPr="00E8512F">
        <w:rPr>
          <w:lang w:val="en-GB"/>
        </w:rPr>
        <w:t xml:space="preserve">.  The Court </w:t>
      </w:r>
      <w:r w:rsidR="00510166">
        <w:rPr>
          <w:lang w:val="en-GB"/>
        </w:rPr>
        <w:t>points out</w:t>
      </w:r>
      <w:r w:rsidRPr="00E8512F">
        <w:rPr>
          <w:lang w:val="en-GB"/>
        </w:rPr>
        <w:t xml:space="preserve"> that the rights guarante</w:t>
      </w:r>
      <w:r w:rsidR="009D4FB6">
        <w:rPr>
          <w:lang w:val="en-GB"/>
        </w:rPr>
        <w:t>ed by Article 3 of Protocol No.</w:t>
      </w:r>
      <w:r w:rsidR="000C0386">
        <w:rPr>
          <w:lang w:val="en-GB"/>
        </w:rPr>
        <w:t xml:space="preserve"> </w:t>
      </w:r>
      <w:r w:rsidRPr="00E8512F">
        <w:rPr>
          <w:lang w:val="en-GB"/>
        </w:rPr>
        <w:t xml:space="preserve">1 to the Convention are crucial to establishing and maintaining the foundations of an effective and meaningful democracy governed by the rule of law; a general, automatic and indiscriminate restriction on the right to vote applied to all convicted prisoners serving sentences is incompatible with that Article (see </w:t>
      </w:r>
      <w:r w:rsidRPr="00E8512F">
        <w:rPr>
          <w:i/>
          <w:lang w:val="en-GB"/>
        </w:rPr>
        <w:t>Hirst (no. 2)</w:t>
      </w:r>
      <w:r w:rsidRPr="00E8512F">
        <w:rPr>
          <w:lang w:val="en-GB"/>
        </w:rPr>
        <w:t xml:space="preserve"> [GC]</w:t>
      </w:r>
      <w:r w:rsidR="007F7A58">
        <w:rPr>
          <w:lang w:val="en-GB"/>
        </w:rPr>
        <w:t>,</w:t>
      </w:r>
      <w:r w:rsidRPr="00E8512F">
        <w:rPr>
          <w:lang w:val="en-GB"/>
        </w:rPr>
        <w:t xml:space="preserve"> cited above, §§ 58 and 82</w:t>
      </w:r>
      <w:r w:rsidR="009D4FB6">
        <w:rPr>
          <w:lang w:val="en-GB"/>
        </w:rPr>
        <w:t>)</w:t>
      </w:r>
      <w:r w:rsidRPr="00E8512F">
        <w:rPr>
          <w:lang w:val="en-GB"/>
        </w:rPr>
        <w:t>.</w:t>
      </w:r>
      <w:r w:rsidRPr="00E8512F" w:rsidR="00F83768">
        <w:rPr>
          <w:lang w:val="en-GB"/>
        </w:rPr>
        <w:t xml:space="preserve"> </w:t>
      </w:r>
      <w:r w:rsidRPr="00E8512F">
        <w:rPr>
          <w:lang w:val="en-GB"/>
        </w:rPr>
        <w:t xml:space="preserve">These principles were </w:t>
      </w:r>
      <w:r w:rsidRPr="00E8512F" w:rsidR="00F83768">
        <w:rPr>
          <w:lang w:val="en-GB"/>
        </w:rPr>
        <w:t xml:space="preserve">subsequently </w:t>
      </w:r>
      <w:r w:rsidRPr="00E8512F">
        <w:rPr>
          <w:lang w:val="en-GB"/>
        </w:rPr>
        <w:t xml:space="preserve">reaffirmed by the Grand Chamber in the case of </w:t>
      </w:r>
      <w:r w:rsidRPr="00E8512F">
        <w:rPr>
          <w:i/>
          <w:lang w:val="en-GB"/>
        </w:rPr>
        <w:t>Scoppola (no. 3)</w:t>
      </w:r>
      <w:r w:rsidRPr="00E8512F">
        <w:rPr>
          <w:lang w:val="en-GB"/>
        </w:rPr>
        <w:t xml:space="preserve"> (cited above, §§</w:t>
      </w:r>
      <w:r w:rsidRPr="00E8512F" w:rsidR="00F83768">
        <w:rPr>
          <w:lang w:val="en-GB"/>
        </w:rPr>
        <w:t xml:space="preserve"> 82-84, 96, 99 and 101-102</w:t>
      </w:r>
      <w:r w:rsidRPr="00E8512F">
        <w:rPr>
          <w:lang w:val="en-GB"/>
        </w:rPr>
        <w:t>)</w:t>
      </w:r>
      <w:r w:rsidRPr="00E8512F" w:rsidR="00F83768">
        <w:rPr>
          <w:lang w:val="en-GB"/>
        </w:rPr>
        <w:t>.</w:t>
      </w:r>
      <w:r w:rsidR="005235D5">
        <w:rPr>
          <w:lang w:val="en-GB"/>
        </w:rPr>
        <w:t xml:space="preserve"> </w:t>
      </w:r>
      <w:r w:rsidRPr="00671FE8" w:rsidR="005235D5">
        <w:rPr>
          <w:lang w:val="en-GB"/>
        </w:rPr>
        <w:t xml:space="preserve">The Court also reiterates that </w:t>
      </w:r>
      <w:r w:rsidRPr="00671FE8" w:rsidR="005235D5">
        <w:t xml:space="preserve">Article 3 of Protocol No. 1 applies only to the election of the “legislature” (see </w:t>
      </w:r>
      <w:r w:rsidRPr="00671FE8" w:rsidR="005235D5">
        <w:rPr>
          <w:i/>
          <w:lang w:val="en-GB"/>
        </w:rPr>
        <w:t xml:space="preserve">Paksas v. Lithuania </w:t>
      </w:r>
      <w:r w:rsidRPr="00671FE8" w:rsidR="005235D5">
        <w:rPr>
          <w:lang w:val="en-GB"/>
        </w:rPr>
        <w:t>[GC], no. 34932/04, § 71, ECHR 2011 (extracts)).</w:t>
      </w:r>
    </w:p>
    <w:p w:rsidRPr="00AB5D5E" w:rsidR="00C8562B" w:rsidP="00C02531" w:rsidRDefault="00F83768">
      <w:pPr>
        <w:pStyle w:val="ECHRPara"/>
        <w:rPr>
          <w:rFonts w:cstheme="minorHAnsi"/>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77</w:t>
      </w:r>
      <w:r w:rsidRPr="00E8512F">
        <w:rPr>
          <w:lang w:val="en-GB"/>
        </w:rPr>
        <w:fldChar w:fldCharType="end"/>
      </w:r>
      <w:r w:rsidRPr="00E8512F">
        <w:rPr>
          <w:lang w:val="en-GB"/>
        </w:rPr>
        <w:t>.  The Court observes that the applicant</w:t>
      </w:r>
      <w:r w:rsidR="0050610F">
        <w:rPr>
          <w:lang w:val="en-GB"/>
        </w:rPr>
        <w:t>’</w:t>
      </w:r>
      <w:r w:rsidRPr="00E8512F" w:rsidR="00C8562B">
        <w:rPr>
          <w:lang w:val="en-GB"/>
        </w:rPr>
        <w:t>s conviction became final on 5</w:t>
      </w:r>
      <w:r w:rsidR="004B0E65">
        <w:rPr>
          <w:lang w:val="en-GB"/>
        </w:rPr>
        <w:t> </w:t>
      </w:r>
      <w:r w:rsidRPr="00E8512F" w:rsidR="00C8562B">
        <w:rPr>
          <w:lang w:val="en-GB"/>
        </w:rPr>
        <w:t>February 2007 and he was released from prison on l</w:t>
      </w:r>
      <w:r w:rsidR="004769BC">
        <w:rPr>
          <w:lang w:val="en-GB"/>
        </w:rPr>
        <w:t>icence</w:t>
      </w:r>
      <w:r w:rsidRPr="00E8512F" w:rsidR="00C8562B">
        <w:rPr>
          <w:lang w:val="en-GB"/>
        </w:rPr>
        <w:t xml:space="preserve"> on 11 June 2013. </w:t>
      </w:r>
      <w:r w:rsidR="002C6BDF">
        <w:rPr>
          <w:lang w:val="en-GB"/>
        </w:rPr>
        <w:t>During that time he was not allowed to vote. Furthermore</w:t>
      </w:r>
      <w:r w:rsidRPr="00E8512F" w:rsidR="00C8562B">
        <w:rPr>
          <w:lang w:val="en-GB"/>
        </w:rPr>
        <w:t>, i</w:t>
      </w:r>
      <w:r w:rsidRPr="00E8512F">
        <w:rPr>
          <w:lang w:val="en-GB"/>
        </w:rPr>
        <w:t>n accordance with the applicable legislation, his disenfranchisement did not end when he was conditionally released from prison on</w:t>
      </w:r>
      <w:r w:rsidRPr="00E8512F" w:rsidR="00C8562B">
        <w:rPr>
          <w:lang w:val="en-GB"/>
        </w:rPr>
        <w:t xml:space="preserve"> 11 June 2013</w:t>
      </w:r>
      <w:r w:rsidRPr="00E8512F">
        <w:rPr>
          <w:lang w:val="en-GB"/>
        </w:rPr>
        <w:t xml:space="preserve">, but </w:t>
      </w:r>
      <w:r w:rsidRPr="00E8512F" w:rsidR="00C8562B">
        <w:rPr>
          <w:lang w:val="en-GB"/>
        </w:rPr>
        <w:t xml:space="preserve">will continue </w:t>
      </w:r>
      <w:r w:rsidRPr="00E8512F">
        <w:rPr>
          <w:lang w:val="en-GB"/>
        </w:rPr>
        <w:t xml:space="preserve">until the </w:t>
      </w:r>
      <w:r w:rsidRPr="00E8512F" w:rsidR="007F7A58">
        <w:rPr>
          <w:lang w:val="en-GB"/>
        </w:rPr>
        <w:t xml:space="preserve">date </w:t>
      </w:r>
      <w:r w:rsidRPr="00E8512F">
        <w:rPr>
          <w:lang w:val="en-GB"/>
        </w:rPr>
        <w:t xml:space="preserve">initially foreseen </w:t>
      </w:r>
      <w:r w:rsidR="007F7A58">
        <w:rPr>
          <w:lang w:val="en-GB"/>
        </w:rPr>
        <w:t>for his</w:t>
      </w:r>
      <w:r w:rsidRPr="00E8512F" w:rsidR="007F7A58">
        <w:rPr>
          <w:lang w:val="en-GB"/>
        </w:rPr>
        <w:t xml:space="preserve"> </w:t>
      </w:r>
      <w:r w:rsidRPr="00AB5D5E">
        <w:rPr>
          <w:rFonts w:cstheme="minorHAnsi"/>
          <w:lang w:val="en-GB"/>
        </w:rPr>
        <w:t>release</w:t>
      </w:r>
      <w:r w:rsidRPr="00AB5D5E" w:rsidR="007F7A58">
        <w:rPr>
          <w:rFonts w:cstheme="minorHAnsi"/>
          <w:lang w:val="en-GB"/>
        </w:rPr>
        <w:t>,</w:t>
      </w:r>
      <w:r w:rsidRPr="00AB5D5E">
        <w:rPr>
          <w:rFonts w:cstheme="minorHAnsi"/>
          <w:lang w:val="en-GB"/>
        </w:rPr>
        <w:t xml:space="preserve"> </w:t>
      </w:r>
      <w:r w:rsidRPr="00AB5D5E" w:rsidR="00C8562B">
        <w:rPr>
          <w:rFonts w:cstheme="minorHAnsi"/>
          <w:lang w:val="en-GB"/>
        </w:rPr>
        <w:t>22 October 2018</w:t>
      </w:r>
      <w:r w:rsidRPr="00AB5D5E">
        <w:rPr>
          <w:rFonts w:cstheme="minorHAnsi"/>
          <w:lang w:val="en-GB"/>
        </w:rPr>
        <w:t xml:space="preserve"> (see paragraph</w:t>
      </w:r>
      <w:r w:rsidRPr="00AB5D5E" w:rsidR="00804FF3">
        <w:rPr>
          <w:rFonts w:cstheme="minorHAnsi"/>
          <w:lang w:val="en-GB"/>
        </w:rPr>
        <w:t xml:space="preserve"> 24</w:t>
      </w:r>
      <w:r w:rsidRPr="00AB5D5E">
        <w:rPr>
          <w:rFonts w:cstheme="minorHAnsi"/>
          <w:lang w:val="en-GB"/>
        </w:rPr>
        <w:t xml:space="preserve"> above). </w:t>
      </w:r>
      <w:r w:rsidRPr="00AB5D5E" w:rsidR="00C8562B">
        <w:rPr>
          <w:rFonts w:cstheme="minorHAnsi"/>
          <w:lang w:val="en-GB"/>
        </w:rPr>
        <w:t>Thus, between 5 February 2007 and 22</w:t>
      </w:r>
      <w:r w:rsidR="004945B5">
        <w:rPr>
          <w:rFonts w:cstheme="minorHAnsi"/>
          <w:lang w:val="en-GB"/>
        </w:rPr>
        <w:t> </w:t>
      </w:r>
      <w:r w:rsidRPr="00AB5D5E" w:rsidR="00C8562B">
        <w:rPr>
          <w:rFonts w:cstheme="minorHAnsi"/>
          <w:lang w:val="en-GB"/>
        </w:rPr>
        <w:t>October 2018</w:t>
      </w:r>
      <w:r w:rsidRPr="00AB5D5E" w:rsidR="002C6BDF">
        <w:rPr>
          <w:rFonts w:cstheme="minorHAnsi"/>
          <w:lang w:val="en-GB"/>
        </w:rPr>
        <w:t>, that is</w:t>
      </w:r>
      <w:r w:rsidRPr="00AB5D5E" w:rsidR="00510166">
        <w:rPr>
          <w:rFonts w:cstheme="minorHAnsi"/>
          <w:lang w:val="en-GB"/>
        </w:rPr>
        <w:t>,</w:t>
      </w:r>
      <w:r w:rsidRPr="00AB5D5E" w:rsidR="002C6BDF">
        <w:rPr>
          <w:rFonts w:cstheme="minorHAnsi"/>
          <w:lang w:val="en-GB"/>
        </w:rPr>
        <w:t xml:space="preserve"> for a period of over eleven years,</w:t>
      </w:r>
      <w:r w:rsidRPr="00AB5D5E" w:rsidR="00C8562B">
        <w:rPr>
          <w:rFonts w:cstheme="minorHAnsi"/>
          <w:lang w:val="en-GB"/>
        </w:rPr>
        <w:t xml:space="preserve"> the applicant </w:t>
      </w:r>
      <w:r w:rsidRPr="00AB5D5E" w:rsidR="007F7A58">
        <w:rPr>
          <w:rFonts w:cstheme="minorHAnsi"/>
          <w:lang w:val="en-GB"/>
        </w:rPr>
        <w:t xml:space="preserve">has </w:t>
      </w:r>
      <w:r w:rsidRPr="00671FE8" w:rsidR="007F7A58">
        <w:rPr>
          <w:rFonts w:cstheme="minorHAnsi"/>
          <w:lang w:val="en-GB"/>
        </w:rPr>
        <w:t xml:space="preserve">been and will be </w:t>
      </w:r>
      <w:r w:rsidRPr="00671FE8" w:rsidR="00C8562B">
        <w:rPr>
          <w:rFonts w:cstheme="minorHAnsi"/>
          <w:lang w:val="en-GB"/>
        </w:rPr>
        <w:t xml:space="preserve">unable to vote. </w:t>
      </w:r>
      <w:r w:rsidRPr="00671FE8" w:rsidR="0084174A">
        <w:rPr>
          <w:rFonts w:cstheme="minorHAnsi"/>
          <w:lang w:val="en-GB"/>
        </w:rPr>
        <w:t>T</w:t>
      </w:r>
      <w:r w:rsidRPr="00671FE8" w:rsidR="002C6BDF">
        <w:rPr>
          <w:rFonts w:cstheme="minorHAnsi"/>
          <w:lang w:val="en-GB"/>
        </w:rPr>
        <w:t>he Court observes that t</w:t>
      </w:r>
      <w:r w:rsidRPr="00671FE8" w:rsidR="0084174A">
        <w:rPr>
          <w:rFonts w:cstheme="minorHAnsi"/>
          <w:lang w:val="en-GB"/>
        </w:rPr>
        <w:t xml:space="preserve">wo </w:t>
      </w:r>
      <w:r w:rsidRPr="00671FE8" w:rsidR="00B22BA5">
        <w:rPr>
          <w:rFonts w:cstheme="minorHAnsi"/>
          <w:lang w:val="en-GB"/>
        </w:rPr>
        <w:t xml:space="preserve">parliamentary </w:t>
      </w:r>
      <w:r w:rsidRPr="00AB5D5E" w:rsidR="0084174A">
        <w:rPr>
          <w:rFonts w:cstheme="minorHAnsi"/>
          <w:lang w:val="en-GB"/>
        </w:rPr>
        <w:t>elections were already held b</w:t>
      </w:r>
      <w:r w:rsidRPr="00AB5D5E">
        <w:rPr>
          <w:rFonts w:cstheme="minorHAnsi"/>
          <w:lang w:val="en-GB"/>
        </w:rPr>
        <w:t xml:space="preserve">etween </w:t>
      </w:r>
      <w:r w:rsidRPr="00AB5D5E" w:rsidR="00C8562B">
        <w:rPr>
          <w:rFonts w:cstheme="minorHAnsi"/>
          <w:lang w:val="en-GB"/>
        </w:rPr>
        <w:t xml:space="preserve">5 February 2007 and the date of the examination </w:t>
      </w:r>
      <w:r w:rsidRPr="00AB5D5E" w:rsidR="00510166">
        <w:rPr>
          <w:rFonts w:cstheme="minorHAnsi"/>
          <w:lang w:val="en-GB"/>
        </w:rPr>
        <w:t>by</w:t>
      </w:r>
      <w:r w:rsidRPr="00AB5D5E" w:rsidR="00C8562B">
        <w:rPr>
          <w:rFonts w:cstheme="minorHAnsi"/>
          <w:lang w:val="en-GB"/>
        </w:rPr>
        <w:t xml:space="preserve"> the </w:t>
      </w:r>
      <w:r w:rsidRPr="00671FE8" w:rsidR="00C8562B">
        <w:rPr>
          <w:rFonts w:cstheme="minorHAnsi"/>
          <w:lang w:val="en-GB"/>
        </w:rPr>
        <w:t>Court</w:t>
      </w:r>
      <w:r w:rsidRPr="00671FE8">
        <w:rPr>
          <w:rFonts w:cstheme="minorHAnsi"/>
          <w:lang w:val="en-GB"/>
        </w:rPr>
        <w:t xml:space="preserve"> </w:t>
      </w:r>
      <w:r w:rsidRPr="00671FE8" w:rsidR="00CA2437">
        <w:rPr>
          <w:rFonts w:ascii="Cambria Math" w:hAnsi="Cambria Math" w:cs="Cambria Math"/>
          <w:lang w:val="en-GB" w:eastAsia="ja-JP"/>
        </w:rPr>
        <w:t>‐</w:t>
      </w:r>
      <w:r w:rsidRPr="00671FE8" w:rsidR="00CA2437">
        <w:rPr>
          <w:rFonts w:cstheme="minorHAnsi"/>
          <w:lang w:val="en-GB" w:eastAsia="ja-JP"/>
        </w:rPr>
        <w:t xml:space="preserve"> on 22 July 2007 and 12 June 2011 </w:t>
      </w:r>
      <w:r w:rsidRPr="00671FE8" w:rsidR="00CA2437">
        <w:rPr>
          <w:rFonts w:ascii="Cambria Math" w:hAnsi="Cambria Math" w:cs="Cambria Math"/>
          <w:lang w:val="en-GB" w:eastAsia="ja-JP"/>
        </w:rPr>
        <w:t xml:space="preserve">‐ </w:t>
      </w:r>
      <w:r w:rsidRPr="00671FE8">
        <w:rPr>
          <w:rFonts w:cstheme="minorHAnsi"/>
          <w:lang w:val="en-GB"/>
        </w:rPr>
        <w:t>and</w:t>
      </w:r>
      <w:r w:rsidRPr="00AB5D5E">
        <w:rPr>
          <w:rFonts w:cstheme="minorHAnsi"/>
          <w:lang w:val="en-GB"/>
        </w:rPr>
        <w:t xml:space="preserve"> the applicant was unable to vote in either of them.</w:t>
      </w:r>
    </w:p>
    <w:p w:rsidRPr="00671FE8" w:rsidR="00276C4D" w:rsidP="00276C4D" w:rsidRDefault="00C8562B">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78</w:t>
      </w:r>
      <w:r w:rsidRPr="00E8512F">
        <w:rPr>
          <w:lang w:val="en-GB"/>
        </w:rPr>
        <w:fldChar w:fldCharType="end"/>
      </w:r>
      <w:r w:rsidRPr="00E8512F">
        <w:rPr>
          <w:lang w:val="en-GB"/>
        </w:rPr>
        <w:t xml:space="preserve">.  In light of the above, the Court concludes that </w:t>
      </w:r>
      <w:r w:rsidRPr="00E8512F" w:rsidR="00F83768">
        <w:rPr>
          <w:lang w:val="en-GB"/>
        </w:rPr>
        <w:t xml:space="preserve">the applicant was directly affected by the </w:t>
      </w:r>
      <w:r w:rsidRPr="00671FE8" w:rsidR="00F83768">
        <w:rPr>
          <w:lang w:val="en-GB"/>
        </w:rPr>
        <w:t xml:space="preserve">measure foreseen in the national legislation which </w:t>
      </w:r>
      <w:r w:rsidRPr="00671FE8" w:rsidR="00AF20F0">
        <w:rPr>
          <w:lang w:val="en-GB"/>
        </w:rPr>
        <w:t xml:space="preserve">has already </w:t>
      </w:r>
      <w:r w:rsidRPr="00671FE8" w:rsidR="00F83768">
        <w:rPr>
          <w:lang w:val="en-GB"/>
        </w:rPr>
        <w:t>prevented him from voting on two occasions</w:t>
      </w:r>
      <w:r w:rsidRPr="00671FE8" w:rsidR="00B22BA5">
        <w:rPr>
          <w:lang w:val="en-GB"/>
        </w:rPr>
        <w:t xml:space="preserve"> in the parliamentary elections.</w:t>
      </w:r>
    </w:p>
    <w:p w:rsidRPr="00E8512F" w:rsidR="00276C4D" w:rsidP="00D94687" w:rsidRDefault="00276C4D">
      <w:pPr>
        <w:pStyle w:val="ECHRPara"/>
        <w:rPr>
          <w:lang w:val="en-GB"/>
        </w:rPr>
      </w:pPr>
      <w:r w:rsidRPr="00671FE8">
        <w:rPr>
          <w:lang w:val="en-GB"/>
        </w:rPr>
        <w:fldChar w:fldCharType="begin"/>
      </w:r>
      <w:r w:rsidRPr="00671FE8">
        <w:rPr>
          <w:lang w:val="en-GB"/>
        </w:rPr>
        <w:instrText xml:space="preserve"> SEQ level0 \*arabic </w:instrText>
      </w:r>
      <w:r w:rsidRPr="00671FE8">
        <w:rPr>
          <w:lang w:val="en-GB"/>
        </w:rPr>
        <w:fldChar w:fldCharType="separate"/>
      </w:r>
      <w:r w:rsidR="005C1550">
        <w:rPr>
          <w:noProof/>
          <w:lang w:val="en-GB"/>
        </w:rPr>
        <w:t>79</w:t>
      </w:r>
      <w:r w:rsidRPr="00671FE8">
        <w:rPr>
          <w:lang w:val="en-GB"/>
        </w:rPr>
        <w:fldChar w:fldCharType="end"/>
      </w:r>
      <w:r w:rsidRPr="00671FE8">
        <w:rPr>
          <w:lang w:val="en-GB"/>
        </w:rPr>
        <w:t xml:space="preserve">.  The Court has already </w:t>
      </w:r>
      <w:r w:rsidRPr="00671FE8" w:rsidR="00D94687">
        <w:rPr>
          <w:lang w:val="en-GB"/>
        </w:rPr>
        <w:t xml:space="preserve">found </w:t>
      </w:r>
      <w:r w:rsidRPr="00E8512F" w:rsidR="00D94687">
        <w:rPr>
          <w:lang w:val="en-GB"/>
        </w:rPr>
        <w:t>it established that in Turkey disenfranchisement is an automatic consequence derived from the statute</w:t>
      </w:r>
      <w:r w:rsidRPr="00CA2437" w:rsidR="00D94687">
        <w:rPr>
          <w:strike/>
          <w:lang w:val="en-GB"/>
        </w:rPr>
        <w:t xml:space="preserve"> </w:t>
      </w:r>
      <w:r w:rsidRPr="00E8512F" w:rsidR="00D94687">
        <w:rPr>
          <w:lang w:val="en-GB"/>
        </w:rPr>
        <w:t>and that it is indiscriminate in its application in that it does not take into account the nature or gravity of the offence, the</w:t>
      </w:r>
      <w:r w:rsidR="005C7E98">
        <w:rPr>
          <w:lang w:val="en-GB"/>
        </w:rPr>
        <w:t xml:space="preserve"> length of the prison sentence </w:t>
      </w:r>
      <w:r w:rsidRPr="00E8512F" w:rsidR="00D94687">
        <w:rPr>
          <w:lang w:val="en-GB"/>
        </w:rPr>
        <w:t xml:space="preserve">– leaving aside suspended sentences shorter than one year (see paragraph </w:t>
      </w:r>
      <w:r w:rsidR="009236C0">
        <w:rPr>
          <w:lang w:val="en-GB"/>
        </w:rPr>
        <w:t>33</w:t>
      </w:r>
      <w:r w:rsidRPr="00E8512F" w:rsidR="00D94687">
        <w:rPr>
          <w:lang w:val="en-GB"/>
        </w:rPr>
        <w:t xml:space="preserve"> above) – or the individual circumstances of th</w:t>
      </w:r>
      <w:r w:rsidR="00510166">
        <w:rPr>
          <w:lang w:val="en-GB"/>
        </w:rPr>
        <w:t>ose</w:t>
      </w:r>
      <w:r w:rsidRPr="00E8512F" w:rsidR="00D94687">
        <w:rPr>
          <w:lang w:val="en-GB"/>
        </w:rPr>
        <w:t xml:space="preserve"> convicted. It </w:t>
      </w:r>
      <w:r w:rsidR="00510166">
        <w:rPr>
          <w:lang w:val="en-GB"/>
        </w:rPr>
        <w:t xml:space="preserve">has </w:t>
      </w:r>
      <w:r w:rsidRPr="00E8512F" w:rsidR="00D94687">
        <w:rPr>
          <w:lang w:val="en-GB"/>
        </w:rPr>
        <w:t xml:space="preserve">noted moreover that the Turkish legislation contains no express provisions categorising or specifying offences for which disenfranchisement is foreseen and </w:t>
      </w:r>
      <w:r w:rsidRPr="00E8512F">
        <w:rPr>
          <w:lang w:val="en-GB"/>
        </w:rPr>
        <w:t>that the automatic and indiscriminate application of th</w:t>
      </w:r>
      <w:r w:rsidR="00510166">
        <w:rPr>
          <w:lang w:val="en-GB"/>
        </w:rPr>
        <w:t>is</w:t>
      </w:r>
      <w:r w:rsidRPr="00E8512F">
        <w:rPr>
          <w:lang w:val="en-GB"/>
        </w:rPr>
        <w:t xml:space="preserve"> harsh measure in Turkey </w:t>
      </w:r>
      <w:r w:rsidR="00510166">
        <w:rPr>
          <w:lang w:val="en-GB"/>
        </w:rPr>
        <w:t>regarding</w:t>
      </w:r>
      <w:r w:rsidRPr="00E8512F">
        <w:rPr>
          <w:lang w:val="en-GB"/>
        </w:rPr>
        <w:t xml:space="preserve"> a vitally important Convention right d</w:t>
      </w:r>
      <w:r w:rsidRPr="00E8512F" w:rsidR="00D94687">
        <w:rPr>
          <w:lang w:val="en-GB"/>
        </w:rPr>
        <w:t>oes</w:t>
      </w:r>
      <w:r w:rsidRPr="00E8512F">
        <w:rPr>
          <w:lang w:val="en-GB"/>
        </w:rPr>
        <w:t xml:space="preserve"> not fall within any acceptable margin of appreciation</w:t>
      </w:r>
      <w:r w:rsidRPr="00E8512F" w:rsidR="00E11599">
        <w:rPr>
          <w:lang w:val="en-GB"/>
        </w:rPr>
        <w:t xml:space="preserve"> (see </w:t>
      </w:r>
      <w:r w:rsidRPr="00E8512F" w:rsidR="00E11599">
        <w:rPr>
          <w:i/>
          <w:lang w:val="en-GB"/>
        </w:rPr>
        <w:t>Söyler</w:t>
      </w:r>
      <w:r w:rsidRPr="00E8512F" w:rsidR="00E11599">
        <w:rPr>
          <w:lang w:val="en-GB"/>
        </w:rPr>
        <w:t xml:space="preserve">, </w:t>
      </w:r>
      <w:r w:rsidRPr="00E8512F" w:rsidR="002560E3">
        <w:rPr>
          <w:lang w:val="en-GB"/>
        </w:rPr>
        <w:t xml:space="preserve">cited above, </w:t>
      </w:r>
      <w:r w:rsidRPr="00E8512F" w:rsidR="00E11599">
        <w:rPr>
          <w:lang w:val="en-GB"/>
        </w:rPr>
        <w:t>§§</w:t>
      </w:r>
      <w:r w:rsidR="000C0386">
        <w:rPr>
          <w:lang w:val="en-GB"/>
        </w:rPr>
        <w:t xml:space="preserve"> </w:t>
      </w:r>
      <w:r w:rsidRPr="00E8512F" w:rsidR="00E11599">
        <w:rPr>
          <w:lang w:val="en-GB"/>
        </w:rPr>
        <w:t>36-47)</w:t>
      </w:r>
      <w:r w:rsidRPr="00E8512F">
        <w:rPr>
          <w:lang w:val="en-GB"/>
        </w:rPr>
        <w:t>.</w:t>
      </w:r>
    </w:p>
    <w:p w:rsidRPr="00E8512F" w:rsidR="00276C4D" w:rsidP="00D94687" w:rsidRDefault="00276C4D">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80</w:t>
      </w:r>
      <w:r w:rsidRPr="00E8512F">
        <w:rPr>
          <w:lang w:val="en-GB"/>
        </w:rPr>
        <w:fldChar w:fldCharType="end"/>
      </w:r>
      <w:r w:rsidRPr="00E8512F">
        <w:rPr>
          <w:lang w:val="en-GB"/>
        </w:rPr>
        <w:t>.  Nothing in the present case allows the Court to reach a different conclusion.</w:t>
      </w:r>
      <w:r w:rsidRPr="00E8512F" w:rsidR="00D94687">
        <w:rPr>
          <w:lang w:val="en-GB"/>
        </w:rPr>
        <w:t xml:space="preserve"> </w:t>
      </w:r>
      <w:r w:rsidRPr="00E8512F">
        <w:rPr>
          <w:lang w:val="en-GB"/>
        </w:rPr>
        <w:t>In the light of the above, the Court concludes that there has been a violation of Article 3 of Protocol No. 1 to the Convention</w:t>
      </w:r>
      <w:r w:rsidRPr="00E8512F" w:rsidR="00D94687">
        <w:rPr>
          <w:lang w:val="en-GB"/>
        </w:rPr>
        <w:t xml:space="preserve"> on account of the applicant</w:t>
      </w:r>
      <w:r w:rsidR="0050610F">
        <w:rPr>
          <w:lang w:val="en-GB"/>
        </w:rPr>
        <w:t>’</w:t>
      </w:r>
      <w:r w:rsidRPr="00E8512F" w:rsidR="00D94687">
        <w:rPr>
          <w:lang w:val="en-GB"/>
        </w:rPr>
        <w:t>s disenfranchisement</w:t>
      </w:r>
      <w:r w:rsidRPr="00E8512F">
        <w:rPr>
          <w:lang w:val="en-GB"/>
        </w:rPr>
        <w:t>.</w:t>
      </w:r>
    </w:p>
    <w:p w:rsidRPr="00E8512F" w:rsidR="00704343" w:rsidP="00704343" w:rsidRDefault="006D519C">
      <w:pPr>
        <w:pStyle w:val="ECHRHeading1"/>
        <w:rPr>
          <w:lang w:val="en-GB"/>
        </w:rPr>
      </w:pPr>
      <w:r w:rsidRPr="00E8512F">
        <w:rPr>
          <w:lang w:val="en-GB"/>
        </w:rPr>
        <w:lastRenderedPageBreak/>
        <w:t>I</w:t>
      </w:r>
      <w:r w:rsidRPr="00E8512F" w:rsidR="00704343">
        <w:rPr>
          <w:lang w:val="en-GB"/>
        </w:rPr>
        <w:t>II.</w:t>
      </w:r>
      <w:proofErr w:type="gramStart"/>
      <w:r w:rsidR="004B0E65">
        <w:rPr>
          <w:lang w:val="en-GB"/>
        </w:rPr>
        <w:t>  OTHER</w:t>
      </w:r>
      <w:proofErr w:type="gramEnd"/>
      <w:r w:rsidRPr="00E8512F" w:rsidR="00704343">
        <w:rPr>
          <w:lang w:val="en-GB"/>
        </w:rPr>
        <w:t xml:space="preserve"> ALLEGED VIOLATION</w:t>
      </w:r>
      <w:r w:rsidR="00E07E34">
        <w:rPr>
          <w:lang w:val="en-GB"/>
        </w:rPr>
        <w:t>S</w:t>
      </w:r>
      <w:r w:rsidRPr="00E8512F" w:rsidR="00704343">
        <w:rPr>
          <w:lang w:val="en-GB"/>
        </w:rPr>
        <w:t xml:space="preserve"> OF THE CONVENTION</w:t>
      </w:r>
    </w:p>
    <w:p w:rsidRPr="00E8512F" w:rsidR="006B59F0" w:rsidP="006B59F0" w:rsidRDefault="006049D1">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81</w:t>
      </w:r>
      <w:r w:rsidRPr="00E8512F">
        <w:rPr>
          <w:lang w:val="en-GB"/>
        </w:rPr>
        <w:fldChar w:fldCharType="end"/>
      </w:r>
      <w:r w:rsidRPr="00E8512F">
        <w:rPr>
          <w:lang w:val="en-GB"/>
        </w:rPr>
        <w:t>.  </w:t>
      </w:r>
      <w:r w:rsidRPr="00E8512F" w:rsidR="006B59F0">
        <w:rPr>
          <w:lang w:val="en-GB"/>
        </w:rPr>
        <w:t>T</w:t>
      </w:r>
      <w:r w:rsidRPr="00E8512F">
        <w:rPr>
          <w:lang w:val="en-GB"/>
        </w:rPr>
        <w:t xml:space="preserve">he applicant complained that, by imposing on him the maximum prison sentence </w:t>
      </w:r>
      <w:r w:rsidR="009579D1">
        <w:rPr>
          <w:lang w:val="en-GB"/>
        </w:rPr>
        <w:t>applicable under</w:t>
      </w:r>
      <w:r w:rsidRPr="00E8512F" w:rsidR="009579D1">
        <w:rPr>
          <w:lang w:val="en-GB"/>
        </w:rPr>
        <w:t xml:space="preserve"> </w:t>
      </w:r>
      <w:r w:rsidRPr="00E8512F">
        <w:rPr>
          <w:lang w:val="en-GB"/>
        </w:rPr>
        <w:t xml:space="preserve">domestic law and calculating his prison sentence on the basis of </w:t>
      </w:r>
      <w:r w:rsidR="009579D1">
        <w:rPr>
          <w:lang w:val="en-GB"/>
        </w:rPr>
        <w:t>a</w:t>
      </w:r>
      <w:r w:rsidRPr="00E8512F" w:rsidR="009579D1">
        <w:rPr>
          <w:lang w:val="en-GB"/>
        </w:rPr>
        <w:t xml:space="preserve"> </w:t>
      </w:r>
      <w:r w:rsidRPr="00E8512F">
        <w:rPr>
          <w:lang w:val="en-GB"/>
        </w:rPr>
        <w:t xml:space="preserve">new </w:t>
      </w:r>
      <w:r w:rsidR="009579D1">
        <w:rPr>
          <w:lang w:val="en-GB"/>
        </w:rPr>
        <w:t>l</w:t>
      </w:r>
      <w:r w:rsidRPr="00E8512F" w:rsidR="009579D1">
        <w:rPr>
          <w:lang w:val="en-GB"/>
        </w:rPr>
        <w:t xml:space="preserve">aw </w:t>
      </w:r>
      <w:r w:rsidRPr="00E8512F">
        <w:rPr>
          <w:lang w:val="en-GB"/>
        </w:rPr>
        <w:t xml:space="preserve">(Law </w:t>
      </w:r>
      <w:r w:rsidR="00E07E34">
        <w:rPr>
          <w:lang w:val="en-GB"/>
        </w:rPr>
        <w:t>n</w:t>
      </w:r>
      <w:r w:rsidRPr="00E8512F">
        <w:rPr>
          <w:lang w:val="en-GB"/>
        </w:rPr>
        <w:t>o. 5275), his rights under Articles</w:t>
      </w:r>
      <w:r w:rsidR="000C0386">
        <w:rPr>
          <w:lang w:val="en-GB"/>
        </w:rPr>
        <w:t> </w:t>
      </w:r>
      <w:r w:rsidRPr="00E8512F">
        <w:rPr>
          <w:lang w:val="en-GB"/>
        </w:rPr>
        <w:t>5, 6 and 7 of the Convention had been breached.</w:t>
      </w:r>
      <w:r w:rsidRPr="00E8512F" w:rsidR="006B59F0">
        <w:rPr>
          <w:lang w:val="en-GB"/>
        </w:rPr>
        <w:t xml:space="preserve"> The applicant further complained that Law </w:t>
      </w:r>
      <w:r w:rsidR="009579D1">
        <w:rPr>
          <w:lang w:val="en-GB"/>
        </w:rPr>
        <w:t>n</w:t>
      </w:r>
      <w:r w:rsidRPr="00E8512F" w:rsidR="009579D1">
        <w:rPr>
          <w:lang w:val="en-GB"/>
        </w:rPr>
        <w:t>o</w:t>
      </w:r>
      <w:r w:rsidRPr="00E8512F" w:rsidR="006B59F0">
        <w:rPr>
          <w:lang w:val="en-GB"/>
        </w:rPr>
        <w:t xml:space="preserve">. 5816 was incompatible with Article 14 of the Convention because it gives the judge too wide a discretion to choose a prison sentence of between one year and five years. </w:t>
      </w:r>
      <w:r w:rsidR="009579D1">
        <w:rPr>
          <w:lang w:val="en-GB"/>
        </w:rPr>
        <w:t>A</w:t>
      </w:r>
      <w:r w:rsidRPr="00E8512F" w:rsidR="009579D1">
        <w:rPr>
          <w:lang w:val="en-GB"/>
        </w:rPr>
        <w:t>s</w:t>
      </w:r>
      <w:r w:rsidR="009579D1">
        <w:rPr>
          <w:lang w:val="en-GB"/>
        </w:rPr>
        <w:t xml:space="preserve"> a result</w:t>
      </w:r>
      <w:r w:rsidRPr="00E8512F" w:rsidR="006B59F0">
        <w:rPr>
          <w:lang w:val="en-GB"/>
        </w:rPr>
        <w:t>, different courts handed down different sentences for the same offen</w:t>
      </w:r>
      <w:r w:rsidR="000C0386">
        <w:rPr>
          <w:lang w:val="en-GB"/>
        </w:rPr>
        <w:t xml:space="preserve">ce. Finally, relying on Article </w:t>
      </w:r>
      <w:r w:rsidRPr="00E8512F" w:rsidR="006B59F0">
        <w:rPr>
          <w:lang w:val="en-GB"/>
        </w:rPr>
        <w:t xml:space="preserve">11 of the Convention, the applicant complained about the ban which was imposed on him by the domestic courts and which prevented him not only from voting and taking part in elections, but also from </w:t>
      </w:r>
      <w:r w:rsidR="009579D1">
        <w:rPr>
          <w:lang w:val="en-GB"/>
        </w:rPr>
        <w:t>running</w:t>
      </w:r>
      <w:r w:rsidRPr="00E8512F" w:rsidR="006B59F0">
        <w:rPr>
          <w:lang w:val="en-GB"/>
        </w:rPr>
        <w:t xml:space="preserve"> associations, parties, trade unions and cooperatives.</w:t>
      </w:r>
    </w:p>
    <w:p w:rsidRPr="00E8512F" w:rsidR="006B59F0" w:rsidP="006B59F0" w:rsidRDefault="006B59F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82</w:t>
      </w:r>
      <w:r w:rsidRPr="00E8512F">
        <w:rPr>
          <w:lang w:val="en-GB"/>
        </w:rPr>
        <w:fldChar w:fldCharType="end"/>
      </w:r>
      <w:r w:rsidRPr="00E8512F">
        <w:rPr>
          <w:lang w:val="en-GB"/>
        </w:rPr>
        <w:t>.  </w:t>
      </w:r>
      <w:r w:rsidR="00E75C34">
        <w:rPr>
          <w:lang w:val="en-GB"/>
        </w:rPr>
        <w:t>H</w:t>
      </w:r>
      <w:r w:rsidRPr="00E8512F" w:rsidR="0069326D">
        <w:rPr>
          <w:lang w:val="en-GB"/>
        </w:rPr>
        <w:t xml:space="preserve">aving regard to its conclusions under Article 10 of the Convention and Article 3 of Protocol No. 1 (see paragraphs </w:t>
      </w:r>
      <w:r w:rsidR="00F409E3">
        <w:rPr>
          <w:lang w:val="en-GB"/>
        </w:rPr>
        <w:t>68</w:t>
      </w:r>
      <w:r w:rsidRPr="00E8512F" w:rsidR="0069326D">
        <w:rPr>
          <w:lang w:val="en-GB"/>
        </w:rPr>
        <w:t xml:space="preserve"> and</w:t>
      </w:r>
      <w:r w:rsidR="000C0386">
        <w:rPr>
          <w:lang w:val="en-GB"/>
        </w:rPr>
        <w:t> </w:t>
      </w:r>
      <w:r w:rsidR="00F409E3">
        <w:rPr>
          <w:lang w:val="en-GB"/>
        </w:rPr>
        <w:t>80</w:t>
      </w:r>
      <w:r w:rsidRPr="00E8512F" w:rsidR="0069326D">
        <w:rPr>
          <w:lang w:val="en-GB"/>
        </w:rPr>
        <w:t xml:space="preserve"> above), the Court </w:t>
      </w:r>
      <w:r w:rsidRPr="00E8512F" w:rsidR="00E75C34">
        <w:rPr>
          <w:lang w:val="en-GB"/>
        </w:rPr>
        <w:t xml:space="preserve">considers </w:t>
      </w:r>
      <w:r w:rsidR="00E75C34">
        <w:rPr>
          <w:lang w:val="en-GB"/>
        </w:rPr>
        <w:t xml:space="preserve">it unnecessary </w:t>
      </w:r>
      <w:r w:rsidRPr="00E8512F" w:rsidR="0069326D">
        <w:rPr>
          <w:lang w:val="en-GB"/>
        </w:rPr>
        <w:t>to examine the</w:t>
      </w:r>
      <w:r w:rsidR="00556CCB">
        <w:rPr>
          <w:lang w:val="en-GB"/>
        </w:rPr>
        <w:t xml:space="preserve"> admissibility and merits of these</w:t>
      </w:r>
      <w:r w:rsidRPr="00E8512F" w:rsidR="0069326D">
        <w:rPr>
          <w:lang w:val="en-GB"/>
        </w:rPr>
        <w:t xml:space="preserve"> complaints.</w:t>
      </w:r>
    </w:p>
    <w:p w:rsidRPr="00E8512F" w:rsidR="00455230" w:rsidP="00455230" w:rsidRDefault="00455230">
      <w:pPr>
        <w:pStyle w:val="ECHRHeading1"/>
        <w:rPr>
          <w:lang w:val="en-GB"/>
        </w:rPr>
      </w:pPr>
      <w:r w:rsidRPr="00E8512F">
        <w:rPr>
          <w:lang w:val="en-GB"/>
        </w:rPr>
        <w:t>IV.</w:t>
      </w:r>
      <w:proofErr w:type="gramStart"/>
      <w:r w:rsidRPr="00E8512F">
        <w:rPr>
          <w:lang w:val="en-GB"/>
        </w:rPr>
        <w:t> </w:t>
      </w:r>
      <w:r w:rsidR="004B0E65">
        <w:rPr>
          <w:lang w:val="en-GB"/>
        </w:rPr>
        <w:t> </w:t>
      </w:r>
      <w:r w:rsidRPr="00E8512F">
        <w:rPr>
          <w:lang w:val="en-GB"/>
        </w:rPr>
        <w:t>APPLICATION</w:t>
      </w:r>
      <w:proofErr w:type="gramEnd"/>
      <w:r w:rsidRPr="00E8512F">
        <w:rPr>
          <w:lang w:val="en-GB"/>
        </w:rPr>
        <w:t xml:space="preserve"> OF ARTICLE 41 OF THE CONVENTION</w:t>
      </w:r>
    </w:p>
    <w:p w:rsidRPr="00E8512F" w:rsidR="00455230" w:rsidP="00455230" w:rsidRDefault="00455230">
      <w:pPr>
        <w:pStyle w:val="ECHRPara"/>
        <w:keepNext/>
        <w:keepLines/>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83</w:t>
      </w:r>
      <w:r w:rsidRPr="00E8512F">
        <w:rPr>
          <w:lang w:val="en-GB"/>
        </w:rPr>
        <w:fldChar w:fldCharType="end"/>
      </w:r>
      <w:r w:rsidRPr="00E8512F">
        <w:rPr>
          <w:lang w:val="en-GB"/>
        </w:rPr>
        <w:t>.  Article 41 of the Convention provides:</w:t>
      </w:r>
    </w:p>
    <w:p w:rsidRPr="00E8512F" w:rsidR="00455230" w:rsidP="00455230" w:rsidRDefault="00455230">
      <w:pPr>
        <w:pStyle w:val="ECHRParaQuote"/>
        <w:keepNext/>
        <w:keepLines/>
        <w:rPr>
          <w:lang w:val="en-GB"/>
        </w:rPr>
      </w:pPr>
      <w:r w:rsidRPr="00E8512F">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0610F" w:rsidR="00455230" w:rsidP="00F51BE0" w:rsidRDefault="00455230">
      <w:pPr>
        <w:pStyle w:val="ECHRHeading2"/>
        <w:rPr>
          <w:lang w:val="en-GB"/>
        </w:rPr>
      </w:pPr>
      <w:r w:rsidRPr="0050610F">
        <w:rPr>
          <w:lang w:val="en-GB"/>
        </w:rPr>
        <w:t>A.  Damage</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84</w:t>
      </w:r>
      <w:r w:rsidRPr="00E8512F">
        <w:rPr>
          <w:lang w:val="en-GB"/>
        </w:rPr>
        <w:fldChar w:fldCharType="end"/>
      </w:r>
      <w:r w:rsidRPr="00E8512F">
        <w:rPr>
          <w:lang w:val="en-GB"/>
        </w:rPr>
        <w:t xml:space="preserve">.  The applicant claimed 60,000 euros (EUR) in respect of pecuniary </w:t>
      </w:r>
      <w:r w:rsidR="00BD04CF">
        <w:rPr>
          <w:lang w:val="en-GB"/>
        </w:rPr>
        <w:t xml:space="preserve">damage </w:t>
      </w:r>
      <w:r w:rsidRPr="00E8512F">
        <w:rPr>
          <w:lang w:val="en-GB"/>
        </w:rPr>
        <w:t>and EUR 65,000 in respect of non-pecuniary damage. In calculating his claim for pecuniary damage the applicant relied on the minimum wage and multiplied it by the total number of months he</w:t>
      </w:r>
      <w:r w:rsidRPr="00E8512F" w:rsidR="006E24FD">
        <w:rPr>
          <w:lang w:val="en-GB"/>
        </w:rPr>
        <w:t xml:space="preserve"> was sentenced to</w:t>
      </w:r>
      <w:r w:rsidRPr="00E8512F">
        <w:rPr>
          <w:lang w:val="en-GB"/>
        </w:rPr>
        <w:t xml:space="preserve"> serv</w:t>
      </w:r>
      <w:r w:rsidRPr="00E8512F" w:rsidR="006E24FD">
        <w:rPr>
          <w:lang w:val="en-GB"/>
        </w:rPr>
        <w:t>e</w:t>
      </w:r>
      <w:r w:rsidRPr="00E8512F">
        <w:rPr>
          <w:lang w:val="en-GB"/>
        </w:rPr>
        <w:t xml:space="preserve"> in prison.</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85</w:t>
      </w:r>
      <w:r w:rsidRPr="00E8512F">
        <w:rPr>
          <w:lang w:val="en-GB"/>
        </w:rPr>
        <w:fldChar w:fldCharType="end"/>
      </w:r>
      <w:r w:rsidRPr="00E8512F">
        <w:rPr>
          <w:lang w:val="en-GB"/>
        </w:rPr>
        <w:t>.  The Government argued that the applicant</w:t>
      </w:r>
      <w:r w:rsidR="0050610F">
        <w:rPr>
          <w:lang w:val="en-GB"/>
        </w:rPr>
        <w:t>’</w:t>
      </w:r>
      <w:r w:rsidRPr="00E8512F">
        <w:rPr>
          <w:lang w:val="en-GB"/>
        </w:rPr>
        <w:t>s claims were excessive and unsupported by evidence.</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proofErr w:type="gramStart"/>
      <w:r w:rsidR="005C1550">
        <w:rPr>
          <w:noProof/>
          <w:lang w:val="en-GB"/>
        </w:rPr>
        <w:t>86</w:t>
      </w:r>
      <w:r w:rsidRPr="00E8512F">
        <w:rPr>
          <w:lang w:val="en-GB"/>
        </w:rPr>
        <w:fldChar w:fldCharType="end"/>
      </w:r>
      <w:r w:rsidRPr="00E8512F">
        <w:rPr>
          <w:lang w:val="en-GB"/>
        </w:rPr>
        <w:t>.</w:t>
      </w:r>
      <w:proofErr w:type="gramEnd"/>
      <w:r w:rsidRPr="00E8512F">
        <w:rPr>
          <w:lang w:val="en-GB"/>
        </w:rPr>
        <w:t>  Having regard to the applicant</w:t>
      </w:r>
      <w:r w:rsidR="0050610F">
        <w:rPr>
          <w:lang w:val="en-GB"/>
        </w:rPr>
        <w:t>’</w:t>
      </w:r>
      <w:r w:rsidRPr="00E8512F">
        <w:rPr>
          <w:lang w:val="en-GB"/>
        </w:rPr>
        <w:t>s failure to submit to the Court any documents showing his employment status, income and loss of income, the Court rejects the applicant</w:t>
      </w:r>
      <w:r w:rsidR="0050610F">
        <w:rPr>
          <w:lang w:val="en-GB"/>
        </w:rPr>
        <w:t>’</w:t>
      </w:r>
      <w:r w:rsidRPr="00E8512F">
        <w:rPr>
          <w:lang w:val="en-GB"/>
        </w:rPr>
        <w:t xml:space="preserve">s claim for pecuniary damage. On the other hand, it awards the </w:t>
      </w:r>
      <w:r w:rsidRPr="00B7705E">
        <w:rPr>
          <w:lang w:val="en-GB"/>
        </w:rPr>
        <w:t>applicant EUR 2</w:t>
      </w:r>
      <w:r w:rsidRPr="00B7705E" w:rsidR="003A7918">
        <w:rPr>
          <w:lang w:val="en-GB"/>
        </w:rPr>
        <w:t>6</w:t>
      </w:r>
      <w:r w:rsidRPr="00B7705E">
        <w:rPr>
          <w:lang w:val="en-GB"/>
        </w:rPr>
        <w:t>,000 in respect</w:t>
      </w:r>
      <w:r w:rsidRPr="00E8512F">
        <w:rPr>
          <w:lang w:val="en-GB"/>
        </w:rPr>
        <w:t xml:space="preserve"> of non-pecuniary damage.</w:t>
      </w:r>
    </w:p>
    <w:p w:rsidRPr="0050610F" w:rsidR="00455230" w:rsidP="00F51BE0" w:rsidRDefault="00455230">
      <w:pPr>
        <w:pStyle w:val="ECHRHeading2"/>
        <w:rPr>
          <w:lang w:val="en-GB"/>
        </w:rPr>
      </w:pPr>
      <w:r w:rsidRPr="0050610F">
        <w:rPr>
          <w:lang w:val="en-GB"/>
        </w:rPr>
        <w:lastRenderedPageBreak/>
        <w:t>B.  Costs and expenses</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87</w:t>
      </w:r>
      <w:r w:rsidRPr="00E8512F">
        <w:rPr>
          <w:lang w:val="en-GB"/>
        </w:rPr>
        <w:fldChar w:fldCharType="end"/>
      </w:r>
      <w:r w:rsidRPr="00E8512F">
        <w:rPr>
          <w:lang w:val="en-GB"/>
        </w:rPr>
        <w:t>.  The applicant also claimed EUR 50,000 for the costs and expenses incurred before the domestic courts and the Court.</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88</w:t>
      </w:r>
      <w:r w:rsidRPr="00E8512F">
        <w:rPr>
          <w:lang w:val="en-GB"/>
        </w:rPr>
        <w:fldChar w:fldCharType="end"/>
      </w:r>
      <w:r w:rsidRPr="00E8512F">
        <w:rPr>
          <w:lang w:val="en-GB"/>
        </w:rPr>
        <w:t>.  The Government considered the claim for costs and expenses to be unsupported by any documentation.</w:t>
      </w:r>
    </w:p>
    <w:p w:rsidRPr="00E8512F" w:rsidR="00455230" w:rsidP="00455230" w:rsidRDefault="00455230">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89</w:t>
      </w:r>
      <w:r w:rsidRPr="00E8512F">
        <w:rPr>
          <w:lang w:val="en-GB"/>
        </w:rPr>
        <w:fldChar w:fldCharType="end"/>
      </w:r>
      <w:r w:rsidRPr="00E8512F">
        <w:rPr>
          <w:lang w:val="en-GB"/>
        </w:rPr>
        <w:t>.  According to the Court</w:t>
      </w:r>
      <w:r w:rsidR="0050610F">
        <w:rPr>
          <w:lang w:val="en-GB"/>
        </w:rPr>
        <w:t>’</w:t>
      </w:r>
      <w:r w:rsidRPr="00E8512F">
        <w:rPr>
          <w:lang w:val="en-GB"/>
        </w:rPr>
        <w:t xml:space="preserve">s case-law, an applicant is entitled to the reimbursement of costs and expenses only in so far as it has been shown that these have been actually and necessarily incurred and are reasonable as to quantum. In the present case, the applicant has not </w:t>
      </w:r>
      <w:r w:rsidR="00BD04CF">
        <w:rPr>
          <w:lang w:val="en-GB"/>
        </w:rPr>
        <w:t>shown that</w:t>
      </w:r>
      <w:r w:rsidRPr="00E8512F" w:rsidR="00BD04CF">
        <w:rPr>
          <w:lang w:val="en-GB"/>
        </w:rPr>
        <w:t xml:space="preserve"> </w:t>
      </w:r>
      <w:r w:rsidRPr="00E8512F">
        <w:rPr>
          <w:lang w:val="en-GB"/>
        </w:rPr>
        <w:t>he has actually incurred the costs claimed. In particular, he failed to submit documentary evidence, such as a contract, a fee agreement or a breakdown of the hours spent by his lawyer on the case. Accordingly, the Court makes no award in respect of the fees of his lawyer.</w:t>
      </w:r>
    </w:p>
    <w:p w:rsidRPr="0050610F" w:rsidR="00F71A6A" w:rsidP="00F51BE0" w:rsidRDefault="00F71A6A">
      <w:pPr>
        <w:pStyle w:val="ECHRHeading2"/>
        <w:rPr>
          <w:lang w:val="en-GB"/>
        </w:rPr>
      </w:pPr>
      <w:r w:rsidRPr="0050610F">
        <w:rPr>
          <w:lang w:val="en-GB"/>
        </w:rPr>
        <w:t>C.  Default interest</w:t>
      </w:r>
    </w:p>
    <w:p w:rsidRPr="00E8512F" w:rsidR="00F71A6A" w:rsidP="00151CCA" w:rsidRDefault="006E24FD">
      <w:pPr>
        <w:pStyle w:val="ECHRPara"/>
        <w:rPr>
          <w:lang w:val="en-GB"/>
        </w:rPr>
      </w:pPr>
      <w:r w:rsidRPr="00E8512F">
        <w:rPr>
          <w:lang w:val="en-GB"/>
        </w:rPr>
        <w:fldChar w:fldCharType="begin"/>
      </w:r>
      <w:r w:rsidRPr="00E8512F">
        <w:rPr>
          <w:lang w:val="en-GB"/>
        </w:rPr>
        <w:instrText xml:space="preserve"> SEQ level0 \*arabic </w:instrText>
      </w:r>
      <w:r w:rsidRPr="00E8512F">
        <w:rPr>
          <w:lang w:val="en-GB"/>
        </w:rPr>
        <w:fldChar w:fldCharType="separate"/>
      </w:r>
      <w:r w:rsidR="005C1550">
        <w:rPr>
          <w:noProof/>
          <w:lang w:val="en-GB"/>
        </w:rPr>
        <w:t>90</w:t>
      </w:r>
      <w:r w:rsidRPr="00E8512F">
        <w:rPr>
          <w:lang w:val="en-GB"/>
        </w:rPr>
        <w:fldChar w:fldCharType="end"/>
      </w:r>
      <w:r w:rsidRPr="00E8512F">
        <w:rPr>
          <w:lang w:val="en-GB"/>
        </w:rPr>
        <w:t>.  </w:t>
      </w:r>
      <w:r w:rsidRPr="00E8512F" w:rsidR="00F71A6A">
        <w:rPr>
          <w:lang w:val="en-GB"/>
        </w:rPr>
        <w:t xml:space="preserve">The Court considers it appropriate that the default interest </w:t>
      </w:r>
      <w:r w:rsidRPr="00E8512F" w:rsidR="0034580F">
        <w:rPr>
          <w:lang w:val="en-GB"/>
        </w:rPr>
        <w:t xml:space="preserve">rate </w:t>
      </w:r>
      <w:r w:rsidRPr="00E8512F" w:rsidR="00F71A6A">
        <w:rPr>
          <w:lang w:val="en-GB"/>
        </w:rPr>
        <w:t>should be based on the marginal lending rate of the European Central Bank, to which should be added three percentage points.</w:t>
      </w:r>
    </w:p>
    <w:p w:rsidRPr="00E8512F" w:rsidR="00F71A6A" w:rsidP="008824B9" w:rsidRDefault="00F71A6A">
      <w:pPr>
        <w:pStyle w:val="ECHRTitle1"/>
        <w:rPr>
          <w:lang w:val="en-GB"/>
        </w:rPr>
      </w:pPr>
      <w:r w:rsidRPr="00E8512F">
        <w:rPr>
          <w:lang w:val="en-GB"/>
        </w:rPr>
        <w:t>FOR THESE REASONS, THE COURT</w:t>
      </w:r>
    </w:p>
    <w:p w:rsidRPr="00E8512F" w:rsidR="00455230" w:rsidP="00455230" w:rsidRDefault="00455230">
      <w:pPr>
        <w:pStyle w:val="JuList"/>
        <w:rPr>
          <w:lang w:val="en-GB"/>
        </w:rPr>
      </w:pPr>
      <w:r w:rsidRPr="00E8512F">
        <w:rPr>
          <w:lang w:val="en-GB"/>
        </w:rPr>
        <w:t>1.  </w:t>
      </w:r>
      <w:r w:rsidRPr="00E8512F">
        <w:rPr>
          <w:i/>
          <w:lang w:val="en-GB"/>
        </w:rPr>
        <w:t>Declares</w:t>
      </w:r>
      <w:r w:rsidR="004945B5">
        <w:rPr>
          <w:i/>
          <w:lang w:val="en-GB"/>
        </w:rPr>
        <w:t>,</w:t>
      </w:r>
      <w:r w:rsidRPr="00E8512F">
        <w:rPr>
          <w:lang w:val="en-GB"/>
        </w:rPr>
        <w:t xml:space="preserve"> unanimously, </w:t>
      </w:r>
      <w:r w:rsidR="00AE3D0D">
        <w:rPr>
          <w:lang w:val="en-GB"/>
        </w:rPr>
        <w:t xml:space="preserve">admissible </w:t>
      </w:r>
      <w:r w:rsidRPr="00E8512F" w:rsidR="0069326D">
        <w:rPr>
          <w:lang w:val="en-GB"/>
        </w:rPr>
        <w:t xml:space="preserve">the </w:t>
      </w:r>
      <w:r w:rsidR="00E75C34">
        <w:rPr>
          <w:lang w:val="en-GB"/>
        </w:rPr>
        <w:t xml:space="preserve">complaints under Article 10 of the Convention and </w:t>
      </w:r>
      <w:r w:rsidRPr="00E8512F" w:rsidR="00E75C34">
        <w:rPr>
          <w:lang w:val="en-GB"/>
        </w:rPr>
        <w:t>Article 3 of Protocol No. 1 to the Convention</w:t>
      </w:r>
      <w:r w:rsidRPr="00E8512F" w:rsidR="0069326D">
        <w:rPr>
          <w:lang w:val="en-GB"/>
        </w:rPr>
        <w:t>;</w:t>
      </w:r>
    </w:p>
    <w:p w:rsidRPr="00E8512F" w:rsidR="0069326D" w:rsidP="00455230" w:rsidRDefault="0069326D">
      <w:pPr>
        <w:pStyle w:val="JuList"/>
        <w:rPr>
          <w:lang w:val="en-GB"/>
        </w:rPr>
      </w:pPr>
    </w:p>
    <w:p w:rsidRPr="00E8512F" w:rsidR="00455230" w:rsidP="00455230" w:rsidRDefault="00455230">
      <w:pPr>
        <w:pStyle w:val="JuList"/>
        <w:rPr>
          <w:lang w:val="en-GB"/>
        </w:rPr>
      </w:pPr>
      <w:r w:rsidRPr="00E8512F">
        <w:rPr>
          <w:lang w:val="en-GB"/>
        </w:rPr>
        <w:t>2.  </w:t>
      </w:r>
      <w:proofErr w:type="gramStart"/>
      <w:r w:rsidRPr="00E8512F">
        <w:rPr>
          <w:i/>
          <w:lang w:val="en-GB"/>
        </w:rPr>
        <w:t>Holds</w:t>
      </w:r>
      <w:proofErr w:type="gramEnd"/>
      <w:r w:rsidRPr="00E8512F">
        <w:rPr>
          <w:lang w:val="en-GB"/>
        </w:rPr>
        <w:t>,</w:t>
      </w:r>
      <w:r w:rsidR="004945B5">
        <w:rPr>
          <w:lang w:val="en-GB"/>
        </w:rPr>
        <w:t xml:space="preserve"> </w:t>
      </w:r>
      <w:r w:rsidRPr="00E8512F">
        <w:rPr>
          <w:lang w:val="en-GB"/>
        </w:rPr>
        <w:t>unanimously,</w:t>
      </w:r>
      <w:r w:rsidRPr="00E8512F">
        <w:rPr>
          <w:color w:val="000000"/>
          <w:lang w:val="en-GB"/>
        </w:rPr>
        <w:t xml:space="preserve"> </w:t>
      </w:r>
      <w:r w:rsidRPr="00E8512F">
        <w:rPr>
          <w:lang w:val="en-GB"/>
        </w:rPr>
        <w:t>that there has been a violation of Article 10 of the Convention;</w:t>
      </w:r>
    </w:p>
    <w:p w:rsidRPr="00E8512F" w:rsidR="00455230" w:rsidP="00455230" w:rsidRDefault="00455230">
      <w:pPr>
        <w:pStyle w:val="JuList"/>
        <w:rPr>
          <w:lang w:val="en-GB"/>
        </w:rPr>
      </w:pPr>
    </w:p>
    <w:p w:rsidRPr="00E8512F" w:rsidR="00455230" w:rsidP="00455230" w:rsidRDefault="00455230">
      <w:pPr>
        <w:pStyle w:val="JuList"/>
        <w:rPr>
          <w:lang w:val="en-GB"/>
        </w:rPr>
      </w:pPr>
      <w:r w:rsidRPr="00E8512F">
        <w:rPr>
          <w:lang w:val="en-GB"/>
        </w:rPr>
        <w:t>3.  </w:t>
      </w:r>
      <w:proofErr w:type="gramStart"/>
      <w:r w:rsidRPr="00E8512F">
        <w:rPr>
          <w:i/>
          <w:lang w:val="en-GB"/>
        </w:rPr>
        <w:t>Holds</w:t>
      </w:r>
      <w:proofErr w:type="gramEnd"/>
      <w:r w:rsidRPr="00E8512F">
        <w:rPr>
          <w:lang w:val="en-GB"/>
        </w:rPr>
        <w:t>,</w:t>
      </w:r>
      <w:r w:rsidR="00757350">
        <w:rPr>
          <w:lang w:val="en-GB"/>
        </w:rPr>
        <w:t xml:space="preserve"> </w:t>
      </w:r>
      <w:r w:rsidRPr="00E8512F">
        <w:rPr>
          <w:lang w:val="en-GB"/>
        </w:rPr>
        <w:t>unanimously,</w:t>
      </w:r>
      <w:r w:rsidRPr="00E8512F">
        <w:rPr>
          <w:color w:val="000000"/>
          <w:lang w:val="en-GB"/>
        </w:rPr>
        <w:t xml:space="preserve"> </w:t>
      </w:r>
      <w:r w:rsidRPr="00E8512F">
        <w:rPr>
          <w:lang w:val="en-GB"/>
        </w:rPr>
        <w:t>that there has been a violation of Article 3 of P</w:t>
      </w:r>
      <w:r w:rsidR="00CA2437">
        <w:rPr>
          <w:lang w:val="en-GB"/>
        </w:rPr>
        <w:t>rotocol No. 1 to the Convention;</w:t>
      </w:r>
    </w:p>
    <w:p w:rsidRPr="00E8512F" w:rsidR="00455230" w:rsidP="00455230" w:rsidRDefault="00455230">
      <w:pPr>
        <w:pStyle w:val="JuList"/>
        <w:rPr>
          <w:lang w:val="en-GB"/>
        </w:rPr>
      </w:pPr>
    </w:p>
    <w:p w:rsidRPr="00E8512F" w:rsidR="00455230" w:rsidP="00455230" w:rsidRDefault="00455230">
      <w:pPr>
        <w:pStyle w:val="JuList"/>
        <w:rPr>
          <w:lang w:val="en-GB"/>
        </w:rPr>
      </w:pPr>
      <w:r w:rsidRPr="00E8512F">
        <w:rPr>
          <w:lang w:val="en-GB"/>
        </w:rPr>
        <w:t>4.  </w:t>
      </w:r>
      <w:r w:rsidRPr="00E8512F">
        <w:rPr>
          <w:i/>
          <w:lang w:val="en-GB"/>
        </w:rPr>
        <w:t>Holds</w:t>
      </w:r>
      <w:r w:rsidRPr="00E8512F">
        <w:rPr>
          <w:lang w:val="en-GB"/>
        </w:rPr>
        <w:t>,</w:t>
      </w:r>
      <w:r w:rsidR="00757350">
        <w:rPr>
          <w:lang w:val="en-GB"/>
        </w:rPr>
        <w:t xml:space="preserve"> </w:t>
      </w:r>
      <w:r w:rsidRPr="00E8512F">
        <w:rPr>
          <w:lang w:val="en-GB"/>
        </w:rPr>
        <w:t>unanimously,</w:t>
      </w:r>
      <w:r w:rsidRPr="00E8512F">
        <w:rPr>
          <w:color w:val="000000"/>
          <w:lang w:val="en-GB"/>
        </w:rPr>
        <w:t xml:space="preserve"> </w:t>
      </w:r>
      <w:r w:rsidRPr="00E8512F">
        <w:rPr>
          <w:lang w:val="en-GB"/>
        </w:rPr>
        <w:t>that there is no need to examine</w:t>
      </w:r>
      <w:r w:rsidR="00556CCB">
        <w:rPr>
          <w:lang w:val="en-GB"/>
        </w:rPr>
        <w:t xml:space="preserve"> the admissibility and merits of</w:t>
      </w:r>
      <w:r w:rsidRPr="00E8512F">
        <w:rPr>
          <w:lang w:val="en-GB"/>
        </w:rPr>
        <w:t xml:space="preserve"> the complaints under Articles 5, 6, 7, 11</w:t>
      </w:r>
      <w:r w:rsidR="00E35F3E">
        <w:rPr>
          <w:lang w:val="en-GB"/>
        </w:rPr>
        <w:t xml:space="preserve"> and</w:t>
      </w:r>
      <w:r w:rsidRPr="00E8512F">
        <w:rPr>
          <w:lang w:val="en-GB"/>
        </w:rPr>
        <w:t xml:space="preserve"> 14 of the Convention;</w:t>
      </w:r>
    </w:p>
    <w:p w:rsidRPr="00E8512F" w:rsidR="00455230" w:rsidP="00455230" w:rsidRDefault="00455230">
      <w:pPr>
        <w:pStyle w:val="JuList"/>
        <w:rPr>
          <w:lang w:val="en-GB"/>
        </w:rPr>
      </w:pPr>
    </w:p>
    <w:p w:rsidRPr="00E8512F" w:rsidR="00455230" w:rsidP="00455230" w:rsidRDefault="00455230">
      <w:pPr>
        <w:pStyle w:val="JuList"/>
        <w:rPr>
          <w:lang w:val="en-GB"/>
        </w:rPr>
      </w:pPr>
      <w:r w:rsidRPr="00E8512F">
        <w:rPr>
          <w:lang w:val="en-GB"/>
        </w:rPr>
        <w:t>5.  </w:t>
      </w:r>
      <w:r w:rsidRPr="00E8512F">
        <w:rPr>
          <w:i/>
          <w:lang w:val="en-GB"/>
        </w:rPr>
        <w:t>Holds</w:t>
      </w:r>
      <w:r w:rsidRPr="00E8512F">
        <w:rPr>
          <w:lang w:val="en-GB"/>
        </w:rPr>
        <w:t>,</w:t>
      </w:r>
      <w:r w:rsidR="00757350">
        <w:rPr>
          <w:lang w:val="en-GB"/>
        </w:rPr>
        <w:t xml:space="preserve"> </w:t>
      </w:r>
      <w:r w:rsidRPr="00E8512F">
        <w:rPr>
          <w:lang w:val="en-GB"/>
        </w:rPr>
        <w:t>unanimously,</w:t>
      </w:r>
    </w:p>
    <w:p w:rsidRPr="00E8512F" w:rsidR="00455230" w:rsidP="00455230" w:rsidRDefault="00455230">
      <w:pPr>
        <w:pStyle w:val="JuLista"/>
        <w:rPr>
          <w:lang w:val="en-GB"/>
        </w:rPr>
      </w:pPr>
      <w:r w:rsidRPr="00E8512F">
        <w:rPr>
          <w:lang w:val="en-GB"/>
        </w:rPr>
        <w:t>(a)  that the respondent State is to pay the applicant</w:t>
      </w:r>
      <w:r w:rsidR="00C607F2">
        <w:rPr>
          <w:lang w:val="en-GB"/>
        </w:rPr>
        <w:t>,</w:t>
      </w:r>
      <w:r w:rsidRPr="00E8512F">
        <w:rPr>
          <w:lang w:val="en-GB"/>
        </w:rPr>
        <w:t xml:space="preserve"> </w:t>
      </w:r>
      <w:r w:rsidRPr="00E8512F" w:rsidR="00C607F2">
        <w:rPr>
          <w:lang w:val="en-GB"/>
        </w:rPr>
        <w:t>within three months from the date on which the judgment becomes final in accordance with Article</w:t>
      </w:r>
      <w:r w:rsidR="00C607F2">
        <w:rPr>
          <w:lang w:val="en-GB"/>
        </w:rPr>
        <w:t xml:space="preserve"> </w:t>
      </w:r>
      <w:r w:rsidRPr="00E8512F" w:rsidR="00C607F2">
        <w:rPr>
          <w:lang w:val="en-GB"/>
        </w:rPr>
        <w:t>44</w:t>
      </w:r>
      <w:r w:rsidR="00C607F2">
        <w:rPr>
          <w:lang w:val="en-GB"/>
        </w:rPr>
        <w:t xml:space="preserve"> § </w:t>
      </w:r>
      <w:r w:rsidRPr="00E8512F" w:rsidR="00C607F2">
        <w:rPr>
          <w:lang w:val="en-GB"/>
        </w:rPr>
        <w:t xml:space="preserve">2 of the Convention, </w:t>
      </w:r>
      <w:r w:rsidRPr="00B7705E" w:rsidR="00C607F2">
        <w:rPr>
          <w:lang w:val="en-GB"/>
        </w:rPr>
        <w:t>EUR 2</w:t>
      </w:r>
      <w:r w:rsidRPr="00B7705E" w:rsidR="003A7918">
        <w:rPr>
          <w:lang w:val="en-GB"/>
        </w:rPr>
        <w:t>6</w:t>
      </w:r>
      <w:r w:rsidRPr="00B7705E" w:rsidR="00C607F2">
        <w:rPr>
          <w:lang w:val="en-GB"/>
        </w:rPr>
        <w:t>,000 (twenty</w:t>
      </w:r>
      <w:r w:rsidRPr="00B7705E" w:rsidR="003A7918">
        <w:rPr>
          <w:lang w:val="en-GB"/>
        </w:rPr>
        <w:t>-six</w:t>
      </w:r>
      <w:r w:rsidRPr="00B7705E" w:rsidR="00C607F2">
        <w:rPr>
          <w:lang w:val="en-GB"/>
        </w:rPr>
        <w:t xml:space="preserve"> thousand euros), </w:t>
      </w:r>
      <w:r w:rsidRPr="00B7705E">
        <w:rPr>
          <w:lang w:val="en-GB"/>
        </w:rPr>
        <w:t>in respect of non-pecuniary</w:t>
      </w:r>
      <w:r w:rsidRPr="00E8512F">
        <w:rPr>
          <w:lang w:val="en-GB"/>
        </w:rPr>
        <w:t xml:space="preserve"> damage, plus any tax that may be </w:t>
      </w:r>
      <w:r w:rsidRPr="00E8512F">
        <w:rPr>
          <w:lang w:val="en-GB"/>
        </w:rPr>
        <w:lastRenderedPageBreak/>
        <w:t xml:space="preserve">chargeable, to be converted into </w:t>
      </w:r>
      <w:r w:rsidRPr="00E8512F">
        <w:rPr>
          <w:color w:val="000000"/>
          <w:lang w:val="en-GB"/>
        </w:rPr>
        <w:t>the currency of the respondent State</w:t>
      </w:r>
      <w:r w:rsidRPr="00E8512F">
        <w:rPr>
          <w:lang w:val="en-GB"/>
        </w:rPr>
        <w:t xml:space="preserve"> at the rate applicable at the date of settlement;</w:t>
      </w:r>
    </w:p>
    <w:p w:rsidRPr="00E8512F" w:rsidR="00455230" w:rsidP="00455230" w:rsidRDefault="00455230">
      <w:pPr>
        <w:pStyle w:val="JuLista"/>
        <w:rPr>
          <w:lang w:val="en-GB"/>
        </w:rPr>
      </w:pPr>
      <w:r w:rsidRPr="00E8512F">
        <w:rPr>
          <w:lang w:val="en-GB"/>
        </w:rP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E8512F" w:rsidR="00455230" w:rsidP="00455230" w:rsidRDefault="00455230">
      <w:pPr>
        <w:pStyle w:val="JuList"/>
        <w:rPr>
          <w:lang w:val="en-GB"/>
        </w:rPr>
      </w:pPr>
    </w:p>
    <w:p w:rsidRPr="00E8512F" w:rsidR="00455230" w:rsidP="00455230" w:rsidRDefault="00455230">
      <w:pPr>
        <w:pStyle w:val="JuList"/>
        <w:rPr>
          <w:lang w:val="en-GB"/>
        </w:rPr>
      </w:pPr>
      <w:r w:rsidRPr="00E8512F">
        <w:rPr>
          <w:lang w:val="en-GB"/>
        </w:rPr>
        <w:t>6.  </w:t>
      </w:r>
      <w:r w:rsidRPr="00E8512F">
        <w:rPr>
          <w:i/>
          <w:lang w:val="en-GB"/>
        </w:rPr>
        <w:t>Dismisses</w:t>
      </w:r>
      <w:r w:rsidRPr="00E8512F">
        <w:rPr>
          <w:lang w:val="en-GB"/>
        </w:rPr>
        <w:t>,</w:t>
      </w:r>
      <w:r w:rsidR="00757350">
        <w:rPr>
          <w:lang w:val="en-GB"/>
        </w:rPr>
        <w:t xml:space="preserve"> by six votes to one</w:t>
      </w:r>
      <w:r w:rsidRPr="00E8512F">
        <w:rPr>
          <w:lang w:val="en-GB"/>
        </w:rPr>
        <w:t>,</w:t>
      </w:r>
      <w:r w:rsidRPr="00E8512F">
        <w:rPr>
          <w:color w:val="000000"/>
          <w:lang w:val="en-GB"/>
        </w:rPr>
        <w:t xml:space="preserve"> </w:t>
      </w:r>
      <w:r w:rsidRPr="00E8512F">
        <w:rPr>
          <w:lang w:val="en-GB"/>
        </w:rPr>
        <w:t>the remainder of the applicant</w:t>
      </w:r>
      <w:r w:rsidR="0050610F">
        <w:rPr>
          <w:lang w:val="en-GB"/>
        </w:rPr>
        <w:t>’</w:t>
      </w:r>
      <w:r w:rsidRPr="00E8512F">
        <w:rPr>
          <w:lang w:val="en-GB"/>
        </w:rPr>
        <w:t>s claim for just satisfaction.</w:t>
      </w:r>
    </w:p>
    <w:p w:rsidRPr="00E8512F" w:rsidR="00325C2B" w:rsidP="00325C2B" w:rsidRDefault="00F71A6A">
      <w:pPr>
        <w:pStyle w:val="JuParaLast"/>
        <w:rPr>
          <w:lang w:val="en-GB"/>
        </w:rPr>
      </w:pPr>
      <w:r w:rsidRPr="00E8512F">
        <w:rPr>
          <w:lang w:val="en-GB"/>
        </w:rPr>
        <w:t xml:space="preserve">Done in English, and notified in writing on </w:t>
      </w:r>
      <w:r w:rsidR="00757350">
        <w:rPr>
          <w:lang w:val="en-GB"/>
        </w:rPr>
        <w:t>21 October 2014</w:t>
      </w:r>
      <w:r w:rsidRPr="00E8512F">
        <w:rPr>
          <w:lang w:val="en-GB"/>
        </w:rPr>
        <w:t>, pursuant to Rule</w:t>
      </w:r>
      <w:r w:rsidRPr="00E8512F" w:rsidR="0011665B">
        <w:rPr>
          <w:lang w:val="en-GB"/>
        </w:rPr>
        <w:t xml:space="preserve"> </w:t>
      </w:r>
      <w:r w:rsidRPr="00E8512F">
        <w:rPr>
          <w:lang w:val="en-GB"/>
        </w:rPr>
        <w:t>77</w:t>
      </w:r>
      <w:r w:rsidRPr="00E8512F" w:rsidR="0011665B">
        <w:rPr>
          <w:lang w:val="en-GB"/>
        </w:rPr>
        <w:t xml:space="preserve"> </w:t>
      </w:r>
      <w:r w:rsidRPr="00E8512F">
        <w:rPr>
          <w:lang w:val="en-GB"/>
        </w:rPr>
        <w:t>§§</w:t>
      </w:r>
      <w:r w:rsidRPr="00E8512F" w:rsidR="0011665B">
        <w:rPr>
          <w:lang w:val="en-GB"/>
        </w:rPr>
        <w:t xml:space="preserve"> </w:t>
      </w:r>
      <w:r w:rsidRPr="00E8512F">
        <w:rPr>
          <w:lang w:val="en-GB"/>
        </w:rPr>
        <w:t>2 and</w:t>
      </w:r>
      <w:r w:rsidRPr="00E8512F" w:rsidR="0011665B">
        <w:rPr>
          <w:lang w:val="en-GB"/>
        </w:rPr>
        <w:t xml:space="preserve"> </w:t>
      </w:r>
      <w:r w:rsidRPr="00E8512F">
        <w:rPr>
          <w:lang w:val="en-GB"/>
        </w:rPr>
        <w:t>3 of the Rules of Court.</w:t>
      </w:r>
    </w:p>
    <w:p w:rsidR="005D3B47" w:rsidP="00F51BE0" w:rsidRDefault="00325C2B">
      <w:pPr>
        <w:pStyle w:val="JuSigned"/>
        <w:keepNext/>
        <w:keepLines/>
        <w:rPr>
          <w:lang w:val="it-IT"/>
        </w:rPr>
      </w:pPr>
      <w:r w:rsidRPr="00E8512F">
        <w:rPr>
          <w:lang w:val="en-GB"/>
        </w:rPr>
        <w:tab/>
      </w:r>
      <w:r w:rsidRPr="00F641A4" w:rsidR="0030274E">
        <w:rPr>
          <w:lang w:val="it-IT"/>
        </w:rPr>
        <w:t>Stanley Naismith</w:t>
      </w:r>
      <w:r w:rsidRPr="00F641A4" w:rsidR="00A8381C">
        <w:rPr>
          <w:lang w:val="it-IT"/>
        </w:rPr>
        <w:tab/>
      </w:r>
      <w:r w:rsidRPr="00F641A4" w:rsidR="0030274E">
        <w:rPr>
          <w:szCs w:val="24"/>
          <w:lang w:val="it-IT"/>
        </w:rPr>
        <w:t>Guido Raimondi</w:t>
      </w:r>
      <w:r w:rsidR="00F51BE0">
        <w:rPr>
          <w:szCs w:val="24"/>
          <w:lang w:val="it-IT"/>
        </w:rPr>
        <w:br/>
      </w:r>
      <w:r w:rsidRPr="00F641A4" w:rsidR="00A8381C">
        <w:rPr>
          <w:lang w:val="it-IT"/>
        </w:rPr>
        <w:tab/>
      </w:r>
      <w:r w:rsidRPr="00F641A4" w:rsidR="0030274E">
        <w:rPr>
          <w:iCs/>
          <w:lang w:val="it-IT"/>
        </w:rPr>
        <w:t>Registrar</w:t>
      </w:r>
      <w:r w:rsidRPr="00F641A4" w:rsidR="00A8381C">
        <w:rPr>
          <w:lang w:val="it-IT"/>
        </w:rPr>
        <w:tab/>
        <w:t>President</w:t>
      </w:r>
    </w:p>
    <w:p w:rsidRPr="00F51BE0" w:rsidR="005E5D35" w:rsidP="00F51BE0" w:rsidRDefault="00847315">
      <w:pPr>
        <w:pStyle w:val="JuParaLast"/>
        <w:rPr>
          <w:lang w:val="en-US"/>
        </w:rPr>
      </w:pPr>
      <w:r w:rsidRPr="00F51BE0">
        <w:rPr>
          <w:lang w:val="en-US"/>
        </w:rPr>
        <w:t xml:space="preserve">In accordance with Article 45 § 2 of the Convention and Rule 74 § 2 of the Rules of Court, the separate opinion of Judge Sajó </w:t>
      </w:r>
      <w:r w:rsidRPr="00F51BE0" w:rsidR="00A57A6A">
        <w:rPr>
          <w:lang w:val="en-US"/>
        </w:rPr>
        <w:t>and joint separate opinion of Judges Nebojša Vučinić and Egidijus Kūris are</w:t>
      </w:r>
      <w:r w:rsidRPr="00F51BE0">
        <w:rPr>
          <w:lang w:val="en-US"/>
        </w:rPr>
        <w:t xml:space="preserve"> annexed to this judgment.</w:t>
      </w:r>
    </w:p>
    <w:p w:rsidRPr="0050610F" w:rsidR="005E5D35" w:rsidP="00F51BE0" w:rsidRDefault="00F823F0">
      <w:pPr>
        <w:pStyle w:val="JuInitialled"/>
        <w:rPr>
          <w:lang w:val="en-GB"/>
        </w:rPr>
      </w:pPr>
      <w:r w:rsidRPr="0050610F">
        <w:rPr>
          <w:lang w:val="en-GB"/>
        </w:rPr>
        <w:t>G.R.A</w:t>
      </w:r>
      <w:proofErr w:type="gramStart"/>
      <w:r w:rsidRPr="0050610F">
        <w:rPr>
          <w:lang w:val="en-GB"/>
        </w:rPr>
        <w:t>.</w:t>
      </w:r>
      <w:proofErr w:type="gramEnd"/>
      <w:r w:rsidRPr="0050610F" w:rsidR="00F51BE0">
        <w:rPr>
          <w:lang w:val="en-GB"/>
        </w:rPr>
        <w:br/>
      </w:r>
      <w:r w:rsidRPr="0050610F" w:rsidR="005E5D35">
        <w:rPr>
          <w:lang w:val="en-GB"/>
        </w:rPr>
        <w:t>S.H.N.</w:t>
      </w:r>
    </w:p>
    <w:p w:rsidR="00A57A6A" w:rsidP="00A57A6A" w:rsidRDefault="00A57A6A">
      <w:pPr>
        <w:pStyle w:val="ECHRPara"/>
        <w:jc w:val="left"/>
        <w:sectPr w:rsidR="00A57A6A" w:rsidSect="00276050">
          <w:pgSz w:w="11906" w:h="16838" w:code="9"/>
          <w:pgMar w:top="2274" w:right="2274" w:bottom="2274" w:left="2274" w:header="1701" w:footer="720" w:gutter="0"/>
          <w:pgNumType w:start="1"/>
          <w:cols w:space="720"/>
          <w:docGrid w:linePitch="326"/>
        </w:sectPr>
      </w:pPr>
    </w:p>
    <w:p w:rsidRPr="006A11D2" w:rsidR="00B4264C" w:rsidP="00B4264C" w:rsidRDefault="00B4264C">
      <w:pPr>
        <w:pStyle w:val="ECHRTitleCentre1"/>
        <w:rPr>
          <w:lang w:val="en-GB"/>
        </w:rPr>
      </w:pPr>
      <w:r w:rsidRPr="006A11D2">
        <w:rPr>
          <w:lang w:val="en-GB"/>
        </w:rPr>
        <w:lastRenderedPageBreak/>
        <w:t>PARTLY CONCURRING AND PARTLY DISSENTING OPINION OF JUDGE SAJÓ</w:t>
      </w:r>
    </w:p>
    <w:p w:rsidRPr="006A11D2" w:rsidR="00B4264C" w:rsidP="00B4264C" w:rsidRDefault="00B4264C">
      <w:pPr>
        <w:pStyle w:val="OpiHA"/>
        <w:rPr>
          <w:lang w:val="en-GB"/>
        </w:rPr>
      </w:pPr>
      <w:r w:rsidRPr="006A11D2">
        <w:rPr>
          <w:lang w:val="en-GB"/>
        </w:rPr>
        <w:t>I.</w:t>
      </w:r>
    </w:p>
    <w:p w:rsidRPr="006A11D2" w:rsidR="00B4264C" w:rsidP="00B4264C" w:rsidRDefault="00B4264C">
      <w:pPr>
        <w:pStyle w:val="OpiPara"/>
        <w:rPr>
          <w:lang w:val="en-GB"/>
        </w:rPr>
      </w:pPr>
      <w:r w:rsidRPr="006A11D2">
        <w:rPr>
          <w:lang w:val="en-GB"/>
        </w:rPr>
        <w:t>The applicant Murat Vural was convicted for pouring paint on a statue of Kemal Atatürk. He was sentenced to serve the statutory maximum of five years for the insult. The punishment was increased to a total of thirteen years, one month and fifteen days</w:t>
      </w:r>
      <w:r w:rsidR="0050610F">
        <w:rPr>
          <w:lang w:val="en-GB"/>
        </w:rPr>
        <w:t>’</w:t>
      </w:r>
      <w:r w:rsidRPr="006A11D2">
        <w:rPr>
          <w:lang w:val="en-GB"/>
        </w:rPr>
        <w:t xml:space="preserve"> imprisonment.</w:t>
      </w:r>
    </w:p>
    <w:p w:rsidRPr="006A11D2" w:rsidR="00B4264C" w:rsidP="00B4264C" w:rsidRDefault="00B4264C">
      <w:pPr>
        <w:pStyle w:val="OpiPara"/>
        <w:rPr>
          <w:lang w:val="en-GB"/>
        </w:rPr>
      </w:pPr>
      <w:r w:rsidRPr="006A11D2">
        <w:rPr>
          <w:lang w:val="en-GB"/>
        </w:rPr>
        <w:t xml:space="preserve">I fully agree with my colleagues that Article 10 of the European Convention of Human Rights was violated in this case. The reason given in the judgment is that, in the absence of violence, the impugned act is of insufficient gravity to justify the extreme harshness of the punishment. I agree that such punishment is </w:t>
      </w:r>
      <w:r w:rsidRPr="006A11D2">
        <w:rPr>
          <w:i/>
          <w:lang w:val="en-GB"/>
        </w:rPr>
        <w:t xml:space="preserve">per se </w:t>
      </w:r>
      <w:r w:rsidRPr="006A11D2">
        <w:rPr>
          <w:lang w:val="en-GB"/>
        </w:rPr>
        <w:t>unacceptable but, in my view, this limited consideration that concentrates on the extreme harshness of the punishment does not provide adequate protection for the freedom of expression. This shortcoming forces me to discuss the methodology that was applied in the case. It was the straightjacket of a “standard” proportionality analysis that hampered the full protection of free speech that is envisioned in the Convention.</w:t>
      </w:r>
    </w:p>
    <w:p w:rsidRPr="006A11D2" w:rsidR="00B4264C" w:rsidP="00B4264C" w:rsidRDefault="00B4264C">
      <w:pPr>
        <w:pStyle w:val="OpiPara"/>
        <w:rPr>
          <w:lang w:val="en-GB"/>
        </w:rPr>
      </w:pPr>
      <w:r w:rsidRPr="006A11D2">
        <w:rPr>
          <w:lang w:val="en-GB"/>
        </w:rPr>
        <w:t>A three-step “standard” proportionality analysis (the interference is prescribed by law, serves a legitimate aim, and is “proportionate to the legitimate aims pursued”) is the hallmark of this Court</w:t>
      </w:r>
      <w:r w:rsidR="0050610F">
        <w:rPr>
          <w:lang w:val="en-GB"/>
        </w:rPr>
        <w:t>’</w:t>
      </w:r>
      <w:r w:rsidRPr="006A11D2">
        <w:rPr>
          <w:lang w:val="en-GB"/>
        </w:rPr>
        <w:t>s judgments in Article 8-11 cases</w:t>
      </w:r>
      <w:r w:rsidRPr="006A11D2">
        <w:rPr>
          <w:rStyle w:val="FootnoteReference"/>
          <w:lang w:val="en-GB"/>
        </w:rPr>
        <w:footnoteReference w:id="3"/>
      </w:r>
      <w:r>
        <w:rPr>
          <w:lang w:val="en-GB"/>
        </w:rPr>
        <w:t>.</w:t>
      </w:r>
    </w:p>
    <w:p w:rsidR="00F51BE0" w:rsidP="00B4264C" w:rsidRDefault="00B4264C">
      <w:pPr>
        <w:pStyle w:val="OpiPara"/>
        <w:rPr>
          <w:lang w:val="en-GB"/>
        </w:rPr>
      </w:pPr>
      <w:r w:rsidRPr="006A11D2">
        <w:rPr>
          <w:lang w:val="en-GB"/>
        </w:rPr>
        <w:t>I have reservations as to the use of that methodology in the present case, where the matter was decided on the grounds of the disproportionality of the punishment. I also find the “standard” proportionality approach inappropriate in all cases where a freedom is unconditionally restricted by legislation.</w:t>
      </w:r>
    </w:p>
    <w:p w:rsidRPr="006A11D2" w:rsidR="00B4264C" w:rsidP="00B4264C" w:rsidRDefault="00B4264C">
      <w:pPr>
        <w:pStyle w:val="OpiPara"/>
        <w:rPr>
          <w:lang w:val="en-GB"/>
        </w:rPr>
      </w:pPr>
      <w:r w:rsidRPr="006A11D2">
        <w:rPr>
          <w:lang w:val="en-GB"/>
        </w:rPr>
        <w:t xml:space="preserve">First, it is not clear what makes the punishment disproportionate. My gut feeling indicates that the sanction is disproportionate, but in regard to what and in which sense? </w:t>
      </w:r>
      <w:r w:rsidRPr="00117D4D">
        <w:rPr>
          <w:lang w:val="en-GB"/>
        </w:rPr>
        <w:t xml:space="preserve">Would a one-year mandatory sentence be proportionate? </w:t>
      </w:r>
      <w:r w:rsidRPr="006A11D2">
        <w:rPr>
          <w:lang w:val="en-GB"/>
        </w:rPr>
        <w:t xml:space="preserve">Is it really a matter of proportionality which concerns us? </w:t>
      </w:r>
      <w:r w:rsidRPr="00291E69">
        <w:rPr>
          <w:lang w:val="en-GB"/>
        </w:rPr>
        <w:t xml:space="preserve">Second, </w:t>
      </w:r>
      <w:r>
        <w:rPr>
          <w:lang w:val="en-GB"/>
        </w:rPr>
        <w:t>b</w:t>
      </w:r>
      <w:r w:rsidRPr="006A11D2">
        <w:rPr>
          <w:lang w:val="en-GB"/>
        </w:rPr>
        <w:t>y grounding the finding of a violation in the severity of the punishment, the Court diverts attention from the more fundamental issue, namely the permissibility of sanctioning an “insult to memory”</w:t>
      </w:r>
      <w:r>
        <w:rPr>
          <w:lang w:val="en-GB"/>
        </w:rPr>
        <w:t xml:space="preserve"> at all</w:t>
      </w:r>
      <w:r w:rsidRPr="006A11D2">
        <w:rPr>
          <w:lang w:val="en-GB"/>
        </w:rPr>
        <w:t xml:space="preserve">. The present case concerns the Article 10 rights of the </w:t>
      </w:r>
      <w:proofErr w:type="gramStart"/>
      <w:r w:rsidRPr="006A11D2">
        <w:rPr>
          <w:lang w:val="en-GB"/>
        </w:rPr>
        <w:t>applicant,</w:t>
      </w:r>
      <w:proofErr w:type="gramEnd"/>
      <w:r w:rsidRPr="006A11D2">
        <w:rPr>
          <w:lang w:val="en-GB"/>
        </w:rPr>
        <w:t xml:space="preserve"> therefore the </w:t>
      </w:r>
      <w:r w:rsidRPr="006A11D2">
        <w:rPr>
          <w:lang w:val="en-GB"/>
        </w:rPr>
        <w:lastRenderedPageBreak/>
        <w:t>Court should have considered the effect of the interference on the applicant</w:t>
      </w:r>
      <w:r w:rsidR="0050610F">
        <w:rPr>
          <w:lang w:val="en-GB"/>
        </w:rPr>
        <w:t>’</w:t>
      </w:r>
      <w:r w:rsidRPr="006A11D2">
        <w:rPr>
          <w:lang w:val="en-GB"/>
        </w:rPr>
        <w:t>s freedom of expression.</w:t>
      </w:r>
    </w:p>
    <w:p w:rsidRPr="006A11D2" w:rsidR="00B4264C" w:rsidP="00B4264C" w:rsidRDefault="00B4264C">
      <w:pPr>
        <w:pStyle w:val="OpiH1"/>
        <w:rPr>
          <w:lang w:val="en-GB"/>
        </w:rPr>
      </w:pPr>
      <w:r w:rsidRPr="006A11D2">
        <w:rPr>
          <w:i/>
          <w:lang w:val="en-GB"/>
        </w:rPr>
        <w:t>Proportionality of the punishment</w:t>
      </w:r>
    </w:p>
    <w:p w:rsidRPr="006A11D2" w:rsidR="00B4264C" w:rsidP="00B4264C" w:rsidRDefault="00B4264C">
      <w:pPr>
        <w:pStyle w:val="OpiPara"/>
        <w:rPr>
          <w:lang w:val="en-GB"/>
        </w:rPr>
      </w:pPr>
      <w:r w:rsidRPr="006A11D2">
        <w:rPr>
          <w:lang w:val="en-GB"/>
        </w:rPr>
        <w:t>What are the problems with a finding of a violation based on the excessive nature of the punishment? First, this Court, of all courts, cannot rely on a crude sense of justice (though all judicial decisions rendered in disregard of the sense of justice are open to criticism). This Court is concerned with the legitimacy of restrictions o</w:t>
      </w:r>
      <w:r>
        <w:rPr>
          <w:lang w:val="en-GB"/>
        </w:rPr>
        <w:t>n</w:t>
      </w:r>
      <w:r w:rsidRPr="006A11D2">
        <w:rPr>
          <w:lang w:val="en-GB"/>
        </w:rPr>
        <w:t xml:space="preserve"> human rights</w:t>
      </w:r>
      <w:r>
        <w:rPr>
          <w:lang w:val="en-GB"/>
        </w:rPr>
        <w:t xml:space="preserve"> under the </w:t>
      </w:r>
      <w:r w:rsidRPr="004D4154">
        <w:t>Convention</w:t>
      </w:r>
      <w:r w:rsidRPr="006A11D2">
        <w:rPr>
          <w:lang w:val="en-GB"/>
        </w:rPr>
        <w:t xml:space="preserve"> and not with the appropriateness of sanctions measured on </w:t>
      </w:r>
      <w:r>
        <w:rPr>
          <w:lang w:val="en-GB"/>
        </w:rPr>
        <w:t>some</w:t>
      </w:r>
      <w:r w:rsidRPr="006A11D2">
        <w:rPr>
          <w:lang w:val="en-GB"/>
        </w:rPr>
        <w:t xml:space="preserve"> mysterious scale. The Convention </w:t>
      </w:r>
      <w:r>
        <w:rPr>
          <w:lang w:val="en-GB"/>
        </w:rPr>
        <w:t>contains</w:t>
      </w:r>
      <w:r w:rsidRPr="006A11D2">
        <w:rPr>
          <w:lang w:val="en-GB"/>
        </w:rPr>
        <w:t xml:space="preserve"> no prohibition on unusual punishment and we are not called</w:t>
      </w:r>
      <w:r>
        <w:rPr>
          <w:lang w:val="en-GB"/>
        </w:rPr>
        <w:t xml:space="preserve"> upon</w:t>
      </w:r>
      <w:r w:rsidRPr="006A11D2">
        <w:rPr>
          <w:lang w:val="en-GB"/>
        </w:rPr>
        <w:t xml:space="preserve"> to evaluate sentencing.</w:t>
      </w:r>
    </w:p>
    <w:p w:rsidRPr="006A11D2" w:rsidR="00B4264C" w:rsidP="00B4264C" w:rsidRDefault="00B4264C">
      <w:pPr>
        <w:pStyle w:val="OpiPara"/>
        <w:rPr>
          <w:lang w:val="en-GB"/>
        </w:rPr>
      </w:pPr>
      <w:r w:rsidRPr="006A11D2">
        <w:rPr>
          <w:lang w:val="en-GB"/>
        </w:rPr>
        <w:t xml:space="preserve">When judges and laymen talk about disproportionate punishment, they often compare the punishment </w:t>
      </w:r>
      <w:r>
        <w:rPr>
          <w:lang w:val="en-GB"/>
        </w:rPr>
        <w:t xml:space="preserve">imposed </w:t>
      </w:r>
      <w:r w:rsidRPr="006A11D2">
        <w:rPr>
          <w:lang w:val="en-GB"/>
        </w:rPr>
        <w:t>for a given crime with the punishment of another crime, or with the punishment of another person for a similar, comparable crime, or even with the moral seriousness of the crim</w:t>
      </w:r>
      <w:r>
        <w:rPr>
          <w:lang w:val="en-GB"/>
        </w:rPr>
        <w:t>e in relation to the punishment</w:t>
      </w:r>
      <w:r w:rsidRPr="006A11D2">
        <w:rPr>
          <w:rStyle w:val="FootnoteReference"/>
          <w:lang w:val="en-GB"/>
        </w:rPr>
        <w:footnoteReference w:id="4"/>
      </w:r>
      <w:r>
        <w:rPr>
          <w:lang w:val="en-GB"/>
        </w:rPr>
        <w:t>.</w:t>
      </w:r>
    </w:p>
    <w:p w:rsidRPr="006A11D2" w:rsidR="00B4264C" w:rsidP="00B4264C" w:rsidRDefault="00B4264C">
      <w:pPr>
        <w:pStyle w:val="OpiPara"/>
        <w:rPr>
          <w:lang w:val="en-GB"/>
        </w:rPr>
      </w:pPr>
      <w:r w:rsidRPr="006A11D2">
        <w:rPr>
          <w:lang w:val="en-GB"/>
        </w:rPr>
        <w:t xml:space="preserve">In the present case there is no specific reason given as to </w:t>
      </w:r>
      <w:r w:rsidRPr="006A11D2">
        <w:rPr>
          <w:i/>
          <w:lang w:val="en-GB"/>
        </w:rPr>
        <w:t>why</w:t>
      </w:r>
      <w:r w:rsidRPr="006A11D2">
        <w:rPr>
          <w:lang w:val="en-GB"/>
        </w:rPr>
        <w:t xml:space="preserve"> the punishment is grossly disproportionate. Where judicial intuition determines that a matter does not deserve further clarification, those who are not privy to the intuition remain puzzled. Would one year be acceptable, for example, because the statue had to be cleaned or repaired? The Court does not even provide a comparable reference, a </w:t>
      </w:r>
      <w:r w:rsidRPr="006A11D2">
        <w:rPr>
          <w:i/>
          <w:lang w:val="en-GB"/>
        </w:rPr>
        <w:t>tertium comparationis</w:t>
      </w:r>
      <w:r w:rsidRPr="006A11D2">
        <w:rPr>
          <w:lang w:val="en-GB"/>
        </w:rPr>
        <w:t xml:space="preserve">; for example, </w:t>
      </w:r>
      <w:r>
        <w:rPr>
          <w:lang w:val="en-GB"/>
        </w:rPr>
        <w:t xml:space="preserve">the fact </w:t>
      </w:r>
      <w:proofErr w:type="gramStart"/>
      <w:r w:rsidRPr="006A11D2">
        <w:rPr>
          <w:lang w:val="en-GB"/>
        </w:rPr>
        <w:t>that</w:t>
      </w:r>
      <w:proofErr w:type="gramEnd"/>
      <w:r w:rsidRPr="006A11D2">
        <w:rPr>
          <w:lang w:val="en-GB"/>
        </w:rPr>
        <w:t xml:space="preserve"> thirteen years is a sentence that is ordinarily imposed on murderers. Under that reasoning, the present conviction treats the attack on memory as if were an attack on human life, </w:t>
      </w:r>
      <w:r>
        <w:rPr>
          <w:lang w:val="en-GB"/>
        </w:rPr>
        <w:t>thus</w:t>
      </w:r>
      <w:r w:rsidRPr="006A11D2">
        <w:rPr>
          <w:lang w:val="en-GB"/>
        </w:rPr>
        <w:t xml:space="preserve"> attribut</w:t>
      </w:r>
      <w:r>
        <w:rPr>
          <w:lang w:val="en-GB"/>
        </w:rPr>
        <w:t>ing</w:t>
      </w:r>
      <w:r w:rsidRPr="006A11D2">
        <w:rPr>
          <w:lang w:val="en-GB"/>
        </w:rPr>
        <w:t xml:space="preserve"> </w:t>
      </w:r>
      <w:r>
        <w:rPr>
          <w:lang w:val="en-GB"/>
        </w:rPr>
        <w:t>equal</w:t>
      </w:r>
      <w:r w:rsidRPr="006A11D2">
        <w:rPr>
          <w:lang w:val="en-GB"/>
        </w:rPr>
        <w:t xml:space="preserve"> weight to life and </w:t>
      </w:r>
      <w:r>
        <w:rPr>
          <w:lang w:val="en-GB"/>
        </w:rPr>
        <w:t xml:space="preserve">to the </w:t>
      </w:r>
      <w:r w:rsidRPr="006A11D2">
        <w:rPr>
          <w:lang w:val="en-GB"/>
        </w:rPr>
        <w:t>honouring of a deceased person</w:t>
      </w:r>
      <w:r w:rsidR="0050610F">
        <w:rPr>
          <w:lang w:val="en-GB"/>
        </w:rPr>
        <w:t>’</w:t>
      </w:r>
      <w:r>
        <w:rPr>
          <w:lang w:val="en-GB"/>
        </w:rPr>
        <w:t>s memory</w:t>
      </w:r>
      <w:r w:rsidRPr="006A11D2">
        <w:rPr>
          <w:lang w:val="en-GB"/>
        </w:rPr>
        <w:t xml:space="preserve"> (where the comparator is harm to individuals or harm to the community)</w:t>
      </w:r>
      <w:r>
        <w:rPr>
          <w:lang w:val="en-GB"/>
        </w:rPr>
        <w:t>.</w:t>
      </w:r>
    </w:p>
    <w:p w:rsidRPr="006A11D2" w:rsidR="00B4264C" w:rsidP="00B4264C" w:rsidRDefault="00B4264C">
      <w:pPr>
        <w:pStyle w:val="OpiPara"/>
        <w:rPr>
          <w:lang w:val="en-GB"/>
        </w:rPr>
      </w:pPr>
      <w:r w:rsidRPr="006A11D2">
        <w:rPr>
          <w:lang w:val="en-GB"/>
        </w:rPr>
        <w:t xml:space="preserve">Because the dictates of the sense of justice are satisfied and the talismanic word “disproportionate” is used, the judgment </w:t>
      </w:r>
      <w:r>
        <w:rPr>
          <w:lang w:val="en-GB"/>
        </w:rPr>
        <w:t xml:space="preserve">of the Court </w:t>
      </w:r>
      <w:r w:rsidRPr="006A11D2">
        <w:rPr>
          <w:lang w:val="en-GB"/>
        </w:rPr>
        <w:t xml:space="preserve">looks satisfactory. It is not. I share the feelings of my colleagues as to the gross inappropriateness of the sentence, but in an Article 10 case this is not the gist of the rights protection: the Court should look into the necessity of the interference in </w:t>
      </w:r>
      <w:r>
        <w:rPr>
          <w:lang w:val="en-GB"/>
        </w:rPr>
        <w:t xml:space="preserve">the </w:t>
      </w:r>
      <w:r w:rsidRPr="006A11D2">
        <w:rPr>
          <w:lang w:val="en-GB"/>
        </w:rPr>
        <w:t>light of its impact on the expression</w:t>
      </w:r>
      <w:r>
        <w:rPr>
          <w:lang w:val="en-GB"/>
        </w:rPr>
        <w:t xml:space="preserve"> concerned</w:t>
      </w:r>
      <w:r w:rsidRPr="006A11D2">
        <w:rPr>
          <w:lang w:val="en-GB"/>
        </w:rPr>
        <w:t>.</w:t>
      </w:r>
    </w:p>
    <w:p w:rsidRPr="006A11D2" w:rsidR="00B4264C" w:rsidP="00B4264C" w:rsidRDefault="00B4264C">
      <w:pPr>
        <w:pStyle w:val="OpiH1"/>
        <w:rPr>
          <w:i/>
          <w:lang w:val="en-GB"/>
        </w:rPr>
      </w:pPr>
      <w:r w:rsidRPr="006A11D2">
        <w:rPr>
          <w:i/>
          <w:lang w:val="en-GB"/>
        </w:rPr>
        <w:lastRenderedPageBreak/>
        <w:t>The substantive issue: punishing specific content</w:t>
      </w:r>
    </w:p>
    <w:p w:rsidR="00F51BE0" w:rsidP="00B4264C" w:rsidRDefault="00B4264C">
      <w:pPr>
        <w:pStyle w:val="OpiPara"/>
        <w:rPr>
          <w:lang w:val="en-GB"/>
        </w:rPr>
      </w:pPr>
      <w:r w:rsidRPr="006A11D2">
        <w:rPr>
          <w:lang w:val="en-GB"/>
        </w:rPr>
        <w:t xml:space="preserve">The text of the Convention requires the Government </w:t>
      </w:r>
      <w:r>
        <w:rPr>
          <w:lang w:val="en-GB"/>
        </w:rPr>
        <w:t xml:space="preserve">to </w:t>
      </w:r>
      <w:r w:rsidRPr="006A11D2">
        <w:rPr>
          <w:lang w:val="en-GB"/>
        </w:rPr>
        <w:t xml:space="preserve">prove that </w:t>
      </w:r>
      <w:proofErr w:type="gramStart"/>
      <w:r w:rsidRPr="006A11D2">
        <w:rPr>
          <w:lang w:val="en-GB"/>
        </w:rPr>
        <w:t>an interference</w:t>
      </w:r>
      <w:proofErr w:type="gramEnd"/>
      <w:r w:rsidRPr="006A11D2">
        <w:rPr>
          <w:lang w:val="en-GB"/>
        </w:rPr>
        <w:t xml:space="preserve"> was necessary in a democratic society, and it is in the context of such necessity that </w:t>
      </w:r>
      <w:r>
        <w:rPr>
          <w:lang w:val="en-GB"/>
        </w:rPr>
        <w:t xml:space="preserve">the question of </w:t>
      </w:r>
      <w:r w:rsidRPr="006A11D2">
        <w:rPr>
          <w:lang w:val="en-GB"/>
        </w:rPr>
        <w:t>proportionality arises.</w:t>
      </w:r>
      <w:r w:rsidRPr="006A11D2">
        <w:rPr>
          <w:i/>
          <w:lang w:val="en-GB"/>
        </w:rPr>
        <w:t xml:space="preserve"> </w:t>
      </w:r>
      <w:r w:rsidRPr="006A11D2">
        <w:rPr>
          <w:lang w:val="en-GB"/>
        </w:rPr>
        <w:t>The real issue in this case is not that an excessively severe punishment was imposed for an expressive act that did not cause serious damage, but that a whole class of expression (insult</w:t>
      </w:r>
      <w:r>
        <w:rPr>
          <w:lang w:val="en-GB"/>
        </w:rPr>
        <w:t>s</w:t>
      </w:r>
      <w:r w:rsidRPr="006A11D2">
        <w:rPr>
          <w:lang w:val="en-GB"/>
        </w:rPr>
        <w:t xml:space="preserve"> to Atatürk</w:t>
      </w:r>
      <w:r w:rsidR="0050610F">
        <w:rPr>
          <w:lang w:val="en-GB"/>
        </w:rPr>
        <w:t>’</w:t>
      </w:r>
      <w:r w:rsidRPr="006A11D2">
        <w:rPr>
          <w:lang w:val="en-GB"/>
        </w:rPr>
        <w:t>s memory) and related expressive acts are considered to be a crime</w:t>
      </w:r>
      <w:r w:rsidRPr="006A11D2">
        <w:rPr>
          <w:i/>
          <w:lang w:val="en-GB"/>
        </w:rPr>
        <w:t xml:space="preserve"> for their content</w:t>
      </w:r>
      <w:r w:rsidRPr="006A11D2">
        <w:rPr>
          <w:lang w:val="en-GB"/>
        </w:rPr>
        <w:t>. The law that was applied singles out very specific content: all speech (including expressive action, as in the present case) that publicly insults the memory of Atatürk is punishable. The issue is not the protection of all public statues where harm to the statue ha</w:t>
      </w:r>
      <w:r>
        <w:rPr>
          <w:lang w:val="en-GB"/>
        </w:rPr>
        <w:t>s</w:t>
      </w:r>
      <w:r w:rsidRPr="006A11D2">
        <w:rPr>
          <w:lang w:val="en-GB"/>
        </w:rPr>
        <w:t xml:space="preserve"> been caused by an expressive action. The issue, which is buried under the outrage of the excessive sentence, is the </w:t>
      </w:r>
      <w:r w:rsidRPr="006A11D2">
        <w:rPr>
          <w:i/>
          <w:lang w:val="en-GB"/>
        </w:rPr>
        <w:t>singling out of specific speech content for punishment</w:t>
      </w:r>
      <w:r w:rsidRPr="006A11D2">
        <w:rPr>
          <w:lang w:val="en-GB"/>
        </w:rPr>
        <w:t xml:space="preserve">. Law no. 5816 provides first and foremost that </w:t>
      </w:r>
      <w:r>
        <w:rPr>
          <w:lang w:val="en-GB"/>
        </w:rPr>
        <w:t xml:space="preserve">any </w:t>
      </w:r>
      <w:r w:rsidRPr="006A11D2">
        <w:rPr>
          <w:lang w:val="en-GB"/>
        </w:rPr>
        <w:t xml:space="preserve">“disrespect </w:t>
      </w:r>
      <w:r>
        <w:rPr>
          <w:lang w:val="en-GB"/>
        </w:rPr>
        <w:t>for</w:t>
      </w:r>
      <w:r w:rsidRPr="006A11D2">
        <w:rPr>
          <w:lang w:val="en-GB"/>
        </w:rPr>
        <w:t xml:space="preserve"> Atatürk</w:t>
      </w:r>
      <w:r w:rsidR="0050610F">
        <w:rPr>
          <w:lang w:val="en-GB"/>
        </w:rPr>
        <w:t>’</w:t>
      </w:r>
      <w:r w:rsidRPr="006A11D2">
        <w:rPr>
          <w:lang w:val="en-GB"/>
        </w:rPr>
        <w:t xml:space="preserve">s memory” is to be punished </w:t>
      </w:r>
      <w:r>
        <w:rPr>
          <w:lang w:val="en-GB"/>
        </w:rPr>
        <w:t>by a prison sentence of between</w:t>
      </w:r>
      <w:r w:rsidRPr="006A11D2">
        <w:rPr>
          <w:lang w:val="en-GB"/>
        </w:rPr>
        <w:t xml:space="preserve"> one </w:t>
      </w:r>
      <w:r>
        <w:rPr>
          <w:lang w:val="en-GB"/>
        </w:rPr>
        <w:t>and</w:t>
      </w:r>
      <w:r w:rsidRPr="006A11D2">
        <w:rPr>
          <w:lang w:val="en-GB"/>
        </w:rPr>
        <w:t xml:space="preserve"> </w:t>
      </w:r>
      <w:r>
        <w:rPr>
          <w:lang w:val="en-GB"/>
        </w:rPr>
        <w:t>three</w:t>
      </w:r>
      <w:r w:rsidRPr="006A11D2">
        <w:rPr>
          <w:lang w:val="en-GB"/>
        </w:rPr>
        <w:t xml:space="preserve"> years</w:t>
      </w:r>
      <w:r>
        <w:rPr>
          <w:lang w:val="en-GB"/>
        </w:rPr>
        <w:t>, t</w:t>
      </w:r>
      <w:r w:rsidRPr="006A11D2">
        <w:rPr>
          <w:lang w:val="en-GB"/>
        </w:rPr>
        <w:t xml:space="preserve">he use of paint </w:t>
      </w:r>
      <w:r>
        <w:rPr>
          <w:lang w:val="en-GB"/>
        </w:rPr>
        <w:t xml:space="preserve">on a monument </w:t>
      </w:r>
      <w:r w:rsidRPr="006A11D2">
        <w:rPr>
          <w:lang w:val="en-GB"/>
        </w:rPr>
        <w:t>(“dirtying of a statue”)</w:t>
      </w:r>
      <w:r>
        <w:rPr>
          <w:lang w:val="en-GB"/>
        </w:rPr>
        <w:t xml:space="preserve"> raising the sentence to five years;</w:t>
      </w:r>
      <w:r w:rsidRPr="006A11D2">
        <w:rPr>
          <w:lang w:val="en-GB"/>
        </w:rPr>
        <w:t xml:space="preserve"> </w:t>
      </w:r>
      <w:r>
        <w:rPr>
          <w:lang w:val="en-GB"/>
        </w:rPr>
        <w:t>the applicant was then given</w:t>
      </w:r>
      <w:r w:rsidRPr="006A11D2">
        <w:rPr>
          <w:lang w:val="en-GB"/>
        </w:rPr>
        <w:t xml:space="preserve"> </w:t>
      </w:r>
      <w:r>
        <w:rPr>
          <w:lang w:val="en-GB"/>
        </w:rPr>
        <w:t>an</w:t>
      </w:r>
      <w:r w:rsidRPr="006A11D2">
        <w:rPr>
          <w:lang w:val="en-GB"/>
        </w:rPr>
        <w:t xml:space="preserve"> </w:t>
      </w:r>
      <w:r w:rsidRPr="006A11D2">
        <w:rPr>
          <w:i/>
          <w:lang w:val="en-GB"/>
        </w:rPr>
        <w:t xml:space="preserve">additional </w:t>
      </w:r>
      <w:r>
        <w:rPr>
          <w:lang w:val="en-GB"/>
        </w:rPr>
        <w:t>eight</w:t>
      </w:r>
      <w:r w:rsidRPr="006A11D2">
        <w:rPr>
          <w:lang w:val="en-GB"/>
        </w:rPr>
        <w:t xml:space="preserve"> years of punishment </w:t>
      </w:r>
      <w:r w:rsidRPr="006A11D2">
        <w:rPr>
          <w:i/>
          <w:lang w:val="en-GB"/>
        </w:rPr>
        <w:t>for the aggravating circumstances</w:t>
      </w:r>
      <w:r w:rsidRPr="006A11D2">
        <w:rPr>
          <w:lang w:val="en-GB"/>
        </w:rPr>
        <w:t>.</w:t>
      </w:r>
    </w:p>
    <w:p w:rsidR="00F51BE0" w:rsidP="00B4264C" w:rsidRDefault="00B4264C">
      <w:pPr>
        <w:pStyle w:val="OpiPara"/>
        <w:rPr>
          <w:lang w:val="en-GB"/>
        </w:rPr>
      </w:pPr>
      <w:r w:rsidRPr="006A11D2">
        <w:rPr>
          <w:lang w:val="en-GB"/>
        </w:rPr>
        <w:t xml:space="preserve">Of course, eight </w:t>
      </w:r>
      <w:r w:rsidRPr="006A11D2">
        <w:rPr>
          <w:i/>
          <w:lang w:val="en-GB"/>
        </w:rPr>
        <w:t xml:space="preserve">additional </w:t>
      </w:r>
      <w:r w:rsidRPr="006A11D2">
        <w:rPr>
          <w:lang w:val="en-GB"/>
        </w:rPr>
        <w:t xml:space="preserve">years for </w:t>
      </w:r>
      <w:r>
        <w:rPr>
          <w:lang w:val="en-GB"/>
        </w:rPr>
        <w:t>degrading</w:t>
      </w:r>
      <w:r w:rsidRPr="006A11D2">
        <w:rPr>
          <w:lang w:val="en-GB"/>
        </w:rPr>
        <w:t xml:space="preserve"> a statue is excessive in view of the </w:t>
      </w:r>
      <w:r>
        <w:rPr>
          <w:lang w:val="en-GB"/>
        </w:rPr>
        <w:t xml:space="preserve">degree of </w:t>
      </w:r>
      <w:r w:rsidRPr="006A11D2">
        <w:rPr>
          <w:lang w:val="en-GB"/>
        </w:rPr>
        <w:t>harm caused by the act, but this Court is “only” called upon to see whether a limitation of freedom of expression is necessary in a democratic society.</w:t>
      </w:r>
    </w:p>
    <w:p w:rsidRPr="006A11D2" w:rsidR="00B4264C" w:rsidP="00B4264C" w:rsidRDefault="00B4264C">
      <w:pPr>
        <w:pStyle w:val="OpiPara"/>
        <w:rPr>
          <w:lang w:val="en-GB"/>
        </w:rPr>
      </w:pPr>
      <w:r w:rsidRPr="006A11D2">
        <w:rPr>
          <w:lang w:val="en-GB"/>
        </w:rPr>
        <w:t xml:space="preserve">I </w:t>
      </w:r>
      <w:r>
        <w:rPr>
          <w:lang w:val="en-GB"/>
        </w:rPr>
        <w:t>would</w:t>
      </w:r>
      <w:r w:rsidRPr="006A11D2">
        <w:rPr>
          <w:lang w:val="en-GB"/>
        </w:rPr>
        <w:t xml:space="preserve"> argue that the problem can be better decided using a categor</w:t>
      </w:r>
      <w:r>
        <w:rPr>
          <w:lang w:val="en-GB"/>
        </w:rPr>
        <w:t>y-based</w:t>
      </w:r>
      <w:r w:rsidRPr="006A11D2">
        <w:rPr>
          <w:lang w:val="en-GB"/>
        </w:rPr>
        <w:t xml:space="preserve"> analysis of the legislation, and even </w:t>
      </w:r>
      <w:r>
        <w:rPr>
          <w:lang w:val="en-GB"/>
        </w:rPr>
        <w:t>by</w:t>
      </w:r>
      <w:r w:rsidRPr="006A11D2">
        <w:rPr>
          <w:lang w:val="en-GB"/>
        </w:rPr>
        <w:t xml:space="preserve"> an enhanced proportionality analysis of the means/end relationship of the legislation and the objective value of the intended aim, as is </w:t>
      </w:r>
      <w:r>
        <w:rPr>
          <w:lang w:val="en-GB"/>
        </w:rPr>
        <w:t>carried out</w:t>
      </w:r>
      <w:r w:rsidRPr="006A11D2">
        <w:rPr>
          <w:lang w:val="en-GB"/>
        </w:rPr>
        <w:t xml:space="preserve">, </w:t>
      </w:r>
      <w:r>
        <w:rPr>
          <w:lang w:val="en-GB"/>
        </w:rPr>
        <w:t>for example,</w:t>
      </w:r>
      <w:r w:rsidRPr="006A11D2">
        <w:rPr>
          <w:lang w:val="en-GB"/>
        </w:rPr>
        <w:t xml:space="preserve"> in Canada and Germany. These approaches are superior to the Court</w:t>
      </w:r>
      <w:r w:rsidR="0050610F">
        <w:rPr>
          <w:lang w:val="en-GB"/>
        </w:rPr>
        <w:t>’</w:t>
      </w:r>
      <w:r w:rsidRPr="006A11D2">
        <w:rPr>
          <w:lang w:val="en-GB"/>
        </w:rPr>
        <w:t>s “standard”, often narrowly case</w:t>
      </w:r>
      <w:r>
        <w:rPr>
          <w:lang w:val="en-GB"/>
        </w:rPr>
        <w:t>-</w:t>
      </w:r>
      <w:r w:rsidRPr="006A11D2">
        <w:rPr>
          <w:lang w:val="en-GB"/>
        </w:rPr>
        <w:t>related analysis because the</w:t>
      </w:r>
      <w:r>
        <w:rPr>
          <w:lang w:val="en-GB"/>
        </w:rPr>
        <w:t>y</w:t>
      </w:r>
      <w:r w:rsidRPr="006A11D2">
        <w:rPr>
          <w:lang w:val="en-GB"/>
        </w:rPr>
        <w:t xml:space="preserve"> are more convincing and, above all, offer a better, broader, and more equivalent protection to free speech against governmental abuse.</w:t>
      </w:r>
    </w:p>
    <w:p w:rsidRPr="006A11D2" w:rsidR="00B4264C" w:rsidP="00B4264C" w:rsidRDefault="005C1550">
      <w:pPr>
        <w:pStyle w:val="OpiPara"/>
        <w:rPr>
          <w:lang w:val="en-GB"/>
        </w:rPr>
      </w:pPr>
      <w:r>
        <w:rPr>
          <w:lang w:val="en-GB"/>
        </w:rPr>
        <w:t>The legislature</w:t>
      </w:r>
      <w:r w:rsidR="0050610F">
        <w:rPr>
          <w:lang w:val="en-GB"/>
        </w:rPr>
        <w:t>’</w:t>
      </w:r>
      <w:r>
        <w:rPr>
          <w:lang w:val="en-GB"/>
        </w:rPr>
        <w:t>s predominant</w:t>
      </w:r>
      <w:r w:rsidRPr="006A11D2" w:rsidR="00B4264C">
        <w:rPr>
          <w:lang w:val="en-GB"/>
        </w:rPr>
        <w:t xml:space="preserve"> concerns in Law no. 5816 are with the content of the speech as opposed to its secondary effects; it expresses the legislature</w:t>
      </w:r>
      <w:r w:rsidR="0050610F">
        <w:rPr>
          <w:lang w:val="en-GB"/>
        </w:rPr>
        <w:t>’</w:t>
      </w:r>
      <w:r w:rsidRPr="006A11D2" w:rsidR="00B4264C">
        <w:rPr>
          <w:lang w:val="en-GB"/>
        </w:rPr>
        <w:t>s disagreement with the message the act conveys. In the categor</w:t>
      </w:r>
      <w:r w:rsidR="00B4264C">
        <w:rPr>
          <w:lang w:val="en-GB"/>
        </w:rPr>
        <w:t>y-based</w:t>
      </w:r>
      <w:r w:rsidRPr="006A11D2" w:rsidR="00B4264C">
        <w:rPr>
          <w:lang w:val="en-GB"/>
        </w:rPr>
        <w:t xml:space="preserve"> approach of </w:t>
      </w:r>
      <w:r w:rsidR="00B4264C">
        <w:rPr>
          <w:lang w:val="en-GB"/>
        </w:rPr>
        <w:t>the United States</w:t>
      </w:r>
      <w:r w:rsidRPr="006A11D2" w:rsidR="00B4264C">
        <w:rPr>
          <w:lang w:val="en-GB"/>
        </w:rPr>
        <w:t xml:space="preserve"> First Amendment law, </w:t>
      </w:r>
      <w:r w:rsidR="00B4264C">
        <w:rPr>
          <w:lang w:val="en-GB"/>
        </w:rPr>
        <w:t>known as the “categorical approach”</w:t>
      </w:r>
      <w:r w:rsidRPr="00B53F05" w:rsidR="00B4264C">
        <w:rPr>
          <w:vertAlign w:val="superscript"/>
          <w:lang w:val="en-GB"/>
        </w:rPr>
        <w:footnoteReference w:id="5"/>
      </w:r>
      <w:r w:rsidR="00B4264C">
        <w:rPr>
          <w:lang w:val="en-GB"/>
        </w:rPr>
        <w:t xml:space="preserve">, </w:t>
      </w:r>
      <w:r w:rsidRPr="006A11D2" w:rsidR="00B4264C">
        <w:rPr>
          <w:lang w:val="en-GB"/>
        </w:rPr>
        <w:t>this is plainly unconstitutional</w:t>
      </w:r>
      <w:r w:rsidR="00B4264C">
        <w:rPr>
          <w:lang w:val="en-GB"/>
        </w:rPr>
        <w:t>. So w</w:t>
      </w:r>
      <w:r w:rsidRPr="006A11D2" w:rsidR="00B4264C">
        <w:rPr>
          <w:lang w:val="en-GB"/>
        </w:rPr>
        <w:t xml:space="preserve">hat is wrong with content discrimination? It is wrong because the </w:t>
      </w:r>
      <w:r w:rsidR="00B4264C">
        <w:rPr>
          <w:lang w:val="en-GB"/>
        </w:rPr>
        <w:t>G</w:t>
      </w:r>
      <w:r w:rsidRPr="006A11D2" w:rsidR="00B4264C">
        <w:rPr>
          <w:lang w:val="en-GB"/>
        </w:rPr>
        <w:t xml:space="preserve">overnment disregard content-neutrality without compelling reasons. The requirement of content neutrality follows from the assumption that content-based restrictions </w:t>
      </w:r>
      <w:r w:rsidR="00B4264C">
        <w:rPr>
          <w:lang w:val="en-GB"/>
        </w:rPr>
        <w:t xml:space="preserve">(“content-discrimination”) </w:t>
      </w:r>
      <w:r w:rsidRPr="006A11D2" w:rsidR="00B4264C">
        <w:rPr>
          <w:lang w:val="en-GB"/>
        </w:rPr>
        <w:t xml:space="preserve">target specific messages, </w:t>
      </w:r>
      <w:r w:rsidR="00B4264C">
        <w:rPr>
          <w:lang w:val="en-GB"/>
        </w:rPr>
        <w:t>thus</w:t>
      </w:r>
      <w:r w:rsidRPr="006A11D2" w:rsidR="00B4264C">
        <w:rPr>
          <w:lang w:val="en-GB"/>
        </w:rPr>
        <w:t xml:space="preserve"> </w:t>
      </w:r>
      <w:r w:rsidRPr="006A11D2" w:rsidR="00B4264C">
        <w:rPr>
          <w:lang w:val="en-GB"/>
        </w:rPr>
        <w:lastRenderedPageBreak/>
        <w:t>result</w:t>
      </w:r>
      <w:r w:rsidR="00B4264C">
        <w:rPr>
          <w:lang w:val="en-GB"/>
        </w:rPr>
        <w:t>ing</w:t>
      </w:r>
      <w:r w:rsidRPr="006A11D2" w:rsidR="00B4264C">
        <w:rPr>
          <w:lang w:val="en-GB"/>
        </w:rPr>
        <w:t xml:space="preserve"> in thought control</w:t>
      </w:r>
      <w:r w:rsidR="00B4264C">
        <w:rPr>
          <w:lang w:val="en-GB"/>
        </w:rPr>
        <w:t>, and</w:t>
      </w:r>
      <w:r w:rsidRPr="006A11D2" w:rsidR="00B4264C">
        <w:rPr>
          <w:lang w:val="en-GB"/>
        </w:rPr>
        <w:t xml:space="preserve"> “[</w:t>
      </w:r>
      <w:r w:rsidR="00B4264C">
        <w:rPr>
          <w:lang w:val="en-GB"/>
        </w:rPr>
        <w:t>s</w:t>
      </w:r>
      <w:r w:rsidRPr="006A11D2" w:rsidR="00B4264C">
        <w:rPr>
          <w:lang w:val="en-GB"/>
        </w:rPr>
        <w:t>uch a restriction] raises the specter that the government may effectively drive certain ideas or viewpoints from the marketplace.</w:t>
      </w:r>
      <w:r w:rsidRPr="006A11D2" w:rsidR="00B4264C">
        <w:rPr>
          <w:rStyle w:val="FootnoteReference"/>
          <w:lang w:val="en-GB"/>
        </w:rPr>
        <w:footnoteReference w:id="6"/>
      </w:r>
      <w:r w:rsidRPr="006A11D2" w:rsidR="00B4264C">
        <w:rPr>
          <w:lang w:val="en-GB"/>
        </w:rPr>
        <w:t>”</w:t>
      </w:r>
    </w:p>
    <w:p w:rsidRPr="006A11D2" w:rsidR="00B4264C" w:rsidP="00B4264C" w:rsidRDefault="00B4264C">
      <w:pPr>
        <w:pStyle w:val="OpiH1"/>
        <w:rPr>
          <w:i/>
          <w:lang w:val="en-GB"/>
        </w:rPr>
      </w:pPr>
      <w:r w:rsidRPr="006A11D2">
        <w:rPr>
          <w:i/>
          <w:lang w:val="en-GB"/>
        </w:rPr>
        <w:t>The shortcomings of the “standard” proportionality approach</w:t>
      </w:r>
    </w:p>
    <w:p w:rsidR="00F51BE0" w:rsidP="00B4264C" w:rsidRDefault="00B4264C">
      <w:pPr>
        <w:pStyle w:val="OpiPara"/>
        <w:rPr>
          <w:lang w:val="en-GB"/>
        </w:rPr>
      </w:pPr>
      <w:r w:rsidRPr="006A11D2">
        <w:rPr>
          <w:lang w:val="en-GB"/>
        </w:rPr>
        <w:t>The judgment operates within the straightjacket of the proportionality analysis; it is for this reason that the Court fails to make explicit the underlying (“structural”) problem of Law no. 5816. I am aware of the advantages of the three mechanical</w:t>
      </w:r>
      <w:r w:rsidRPr="006A11D2" w:rsidDel="00FC6FC8">
        <w:rPr>
          <w:lang w:val="en-GB"/>
        </w:rPr>
        <w:t xml:space="preserve"> </w:t>
      </w:r>
      <w:r w:rsidRPr="006A11D2">
        <w:rPr>
          <w:lang w:val="en-GB"/>
        </w:rPr>
        <w:t xml:space="preserve">prongs of the “standard” proportionality analysis. They offer considerable legal certainty; the approach also offers the advantages of economies of scale. This kind of manufacturing certainty is understandably attractive where a court has thousands of cases and where a court is called </w:t>
      </w:r>
      <w:r>
        <w:rPr>
          <w:lang w:val="en-GB"/>
        </w:rPr>
        <w:t xml:space="preserve">upon </w:t>
      </w:r>
      <w:r w:rsidRPr="006A11D2">
        <w:rPr>
          <w:lang w:val="en-GB"/>
        </w:rPr>
        <w:t xml:space="preserve">to give advice to judges reading our judgments in </w:t>
      </w:r>
      <w:r>
        <w:rPr>
          <w:lang w:val="en-GB"/>
        </w:rPr>
        <w:t>forty-seven</w:t>
      </w:r>
      <w:r w:rsidRPr="006A11D2">
        <w:rPr>
          <w:lang w:val="en-GB"/>
        </w:rPr>
        <w:t xml:space="preserve"> different member </w:t>
      </w:r>
      <w:r>
        <w:rPr>
          <w:lang w:val="en-GB"/>
        </w:rPr>
        <w:t>S</w:t>
      </w:r>
      <w:r w:rsidRPr="006A11D2">
        <w:rPr>
          <w:lang w:val="en-GB"/>
        </w:rPr>
        <w:t>tates.</w:t>
      </w:r>
    </w:p>
    <w:p w:rsidR="00F51BE0" w:rsidP="00B4264C" w:rsidRDefault="00B4264C">
      <w:pPr>
        <w:pStyle w:val="OpiPara"/>
        <w:rPr>
          <w:lang w:val="en-GB"/>
        </w:rPr>
      </w:pPr>
      <w:r w:rsidRPr="006A11D2">
        <w:rPr>
          <w:lang w:val="en-GB"/>
        </w:rPr>
        <w:t xml:space="preserve">However, even within the proportionality analysis there are other methods, slightly more complex </w:t>
      </w:r>
      <w:r>
        <w:rPr>
          <w:lang w:val="en-GB"/>
        </w:rPr>
        <w:t xml:space="preserve">in nature </w:t>
      </w:r>
      <w:r w:rsidRPr="006A11D2">
        <w:rPr>
          <w:lang w:val="en-GB"/>
        </w:rPr>
        <w:t>than the three</w:t>
      </w:r>
      <w:r>
        <w:rPr>
          <w:lang w:val="en-GB"/>
        </w:rPr>
        <w:t>-</w:t>
      </w:r>
      <w:r w:rsidRPr="006A11D2">
        <w:rPr>
          <w:lang w:val="en-GB"/>
        </w:rPr>
        <w:t>prong</w:t>
      </w:r>
      <w:r>
        <w:rPr>
          <w:lang w:val="en-GB"/>
        </w:rPr>
        <w:t>ed</w:t>
      </w:r>
      <w:r w:rsidRPr="006A11D2">
        <w:rPr>
          <w:lang w:val="en-GB"/>
        </w:rPr>
        <w:t xml:space="preserve"> approach used by the Court. One </w:t>
      </w:r>
      <w:r>
        <w:rPr>
          <w:lang w:val="en-GB"/>
        </w:rPr>
        <w:t>may</w:t>
      </w:r>
      <w:r w:rsidRPr="006A11D2">
        <w:rPr>
          <w:lang w:val="en-GB"/>
        </w:rPr>
        <w:t xml:space="preserve"> add other levels of scrutiny.</w:t>
      </w:r>
    </w:p>
    <w:p w:rsidR="00F51BE0" w:rsidP="00B4264C" w:rsidRDefault="00B4264C">
      <w:pPr>
        <w:pStyle w:val="OpiPara"/>
        <w:rPr>
          <w:lang w:val="en-GB"/>
        </w:rPr>
      </w:pPr>
      <w:r w:rsidRPr="006A11D2">
        <w:rPr>
          <w:lang w:val="en-GB"/>
        </w:rPr>
        <w:t>Among others, when determining a measure</w:t>
      </w:r>
      <w:r w:rsidR="0050610F">
        <w:rPr>
          <w:lang w:val="en-GB"/>
        </w:rPr>
        <w:t>’</w:t>
      </w:r>
      <w:r w:rsidRPr="006A11D2">
        <w:rPr>
          <w:lang w:val="en-GB"/>
        </w:rPr>
        <w:t xml:space="preserve">s quality as a means to reach a (legitimate) end, the search must begin at the abstract level of the legislation. This search is particularly demanding (and therefore efficient) if and when a court enters into a substantive analysis of the veracity of the allegation that a regulatory measure actually serves a purported end. Moreover, the importance of the end itself may be subject to judicial analysis. Using this approach in the Articles 8-11 context, the Court would </w:t>
      </w:r>
      <w:r>
        <w:rPr>
          <w:lang w:val="en-GB"/>
        </w:rPr>
        <w:t xml:space="preserve">have </w:t>
      </w:r>
      <w:r w:rsidRPr="006A11D2">
        <w:rPr>
          <w:lang w:val="en-GB"/>
        </w:rPr>
        <w:t>to review how important and genuine the references are to one or another aim recogni</w:t>
      </w:r>
      <w:r>
        <w:rPr>
          <w:lang w:val="en-GB"/>
        </w:rPr>
        <w:t>s</w:t>
      </w:r>
      <w:r w:rsidRPr="006A11D2">
        <w:rPr>
          <w:lang w:val="en-GB"/>
        </w:rPr>
        <w:t xml:space="preserve">ed in the Convention as a ground for restricting a </w:t>
      </w:r>
      <w:r>
        <w:rPr>
          <w:lang w:val="en-GB"/>
        </w:rPr>
        <w:t>C</w:t>
      </w:r>
      <w:r w:rsidRPr="006A11D2">
        <w:rPr>
          <w:lang w:val="en-GB"/>
        </w:rPr>
        <w:t>onvention right. Is the end genuine? Or instead, is it a bluff couched in terms of public interest that pretends to be beyond the reach of judicial scrutiny in the name of democratic legitimation of the legislature?</w:t>
      </w:r>
    </w:p>
    <w:p w:rsidRPr="006A11D2" w:rsidR="00B4264C" w:rsidP="00B4264C" w:rsidRDefault="00B4264C">
      <w:pPr>
        <w:pStyle w:val="OpiPara"/>
        <w:rPr>
          <w:lang w:val="en-GB"/>
        </w:rPr>
      </w:pPr>
      <w:r w:rsidRPr="006A11D2">
        <w:rPr>
          <w:lang w:val="en-GB"/>
        </w:rPr>
        <w:t xml:space="preserve">Moreover, is the chosen means narrowly tailored? Is it </w:t>
      </w:r>
      <w:r>
        <w:rPr>
          <w:lang w:val="en-GB"/>
        </w:rPr>
        <w:t xml:space="preserve">not </w:t>
      </w:r>
      <w:r w:rsidRPr="006A11D2">
        <w:rPr>
          <w:lang w:val="en-GB"/>
        </w:rPr>
        <w:t>the case that the criminal provision is over</w:t>
      </w:r>
      <w:r>
        <w:rPr>
          <w:lang w:val="en-GB"/>
        </w:rPr>
        <w:t>-</w:t>
      </w:r>
      <w:r w:rsidRPr="006A11D2">
        <w:rPr>
          <w:lang w:val="en-GB"/>
        </w:rPr>
        <w:t>broad, even considering the need for sensitivity protection?</w:t>
      </w:r>
    </w:p>
    <w:p w:rsidRPr="006A11D2" w:rsidR="00B4264C" w:rsidP="00B4264C" w:rsidRDefault="00B4264C">
      <w:pPr>
        <w:pStyle w:val="OpiPara"/>
        <w:rPr>
          <w:lang w:val="en-GB"/>
        </w:rPr>
      </w:pPr>
      <w:r w:rsidRPr="006A11D2">
        <w:rPr>
          <w:lang w:val="en-GB"/>
        </w:rPr>
        <w:t xml:space="preserve">Where, as in the present case, the argument is made that the sensitivities and deep feelings of a population are to be </w:t>
      </w:r>
      <w:proofErr w:type="gramStart"/>
      <w:r w:rsidRPr="006A11D2">
        <w:rPr>
          <w:lang w:val="en-GB"/>
        </w:rPr>
        <w:t>protected,</w:t>
      </w:r>
      <w:proofErr w:type="gramEnd"/>
      <w:r w:rsidRPr="006A11D2">
        <w:rPr>
          <w:lang w:val="en-GB"/>
        </w:rPr>
        <w:t xml:space="preserve"> a court could and should take a long look </w:t>
      </w:r>
      <w:r>
        <w:rPr>
          <w:lang w:val="en-GB"/>
        </w:rPr>
        <w:t>at</w:t>
      </w:r>
      <w:r w:rsidRPr="006A11D2">
        <w:rPr>
          <w:lang w:val="en-GB"/>
        </w:rPr>
        <w:t xml:space="preserve"> the relation</w:t>
      </w:r>
      <w:r>
        <w:rPr>
          <w:lang w:val="en-GB"/>
        </w:rPr>
        <w:t>ship</w:t>
      </w:r>
      <w:r w:rsidRPr="006A11D2">
        <w:rPr>
          <w:lang w:val="en-GB"/>
        </w:rPr>
        <w:t xml:space="preserve"> of this allegation to the “rights of others”. To accept that all interests “amount to rights of others” and claim that all these alleged rights are of equal weight to </w:t>
      </w:r>
      <w:r>
        <w:rPr>
          <w:lang w:val="en-GB"/>
        </w:rPr>
        <w:t>that of C</w:t>
      </w:r>
      <w:r w:rsidRPr="006A11D2">
        <w:rPr>
          <w:lang w:val="en-GB"/>
        </w:rPr>
        <w:t xml:space="preserve">onvention human rights is extremely dangerous for human rights: not all rights are created </w:t>
      </w:r>
      <w:r>
        <w:rPr>
          <w:lang w:val="en-GB"/>
        </w:rPr>
        <w:t xml:space="preserve">as </w:t>
      </w:r>
      <w:r w:rsidRPr="006A11D2">
        <w:rPr>
          <w:lang w:val="en-GB"/>
        </w:rPr>
        <w:t>equal. Is there a right to have one</w:t>
      </w:r>
      <w:r w:rsidR="0050610F">
        <w:rPr>
          <w:lang w:val="en-GB"/>
        </w:rPr>
        <w:t>’</w:t>
      </w:r>
      <w:r w:rsidRPr="006A11D2">
        <w:rPr>
          <w:lang w:val="en-GB"/>
        </w:rPr>
        <w:t xml:space="preserve">s feelings and deeply held convictions left </w:t>
      </w:r>
      <w:r w:rsidRPr="006A11D2">
        <w:rPr>
          <w:lang w:val="en-GB"/>
        </w:rPr>
        <w:lastRenderedPageBreak/>
        <w:t xml:space="preserve">undisturbed? Are feelings to be protected from potential inconvenience as a matter of right? Further, even assuming that all alleged interests constitute rights (a position that I find untenable), is this alleged right </w:t>
      </w:r>
      <w:r w:rsidRPr="006A11D2">
        <w:rPr>
          <w:i/>
          <w:lang w:val="en-GB"/>
        </w:rPr>
        <w:t xml:space="preserve">per se </w:t>
      </w:r>
      <w:r w:rsidRPr="006A11D2">
        <w:rPr>
          <w:lang w:val="en-GB"/>
        </w:rPr>
        <w:t xml:space="preserve">sufficient to justify certain forms of </w:t>
      </w:r>
      <w:r>
        <w:rPr>
          <w:lang w:val="en-GB"/>
        </w:rPr>
        <w:t>C</w:t>
      </w:r>
      <w:r w:rsidRPr="006A11D2">
        <w:rPr>
          <w:lang w:val="en-GB"/>
        </w:rPr>
        <w:t>onvention</w:t>
      </w:r>
      <w:r>
        <w:rPr>
          <w:lang w:val="en-GB"/>
        </w:rPr>
        <w:t>-</w:t>
      </w:r>
      <w:r w:rsidRPr="006A11D2">
        <w:rPr>
          <w:lang w:val="en-GB"/>
        </w:rPr>
        <w:t xml:space="preserve">rights restriction (especially blanket </w:t>
      </w:r>
      <w:r>
        <w:rPr>
          <w:lang w:val="en-GB"/>
        </w:rPr>
        <w:t>bans</w:t>
      </w:r>
      <w:r w:rsidRPr="006A11D2">
        <w:rPr>
          <w:lang w:val="en-GB"/>
        </w:rPr>
        <w:t>, which used to be highly suspect even for the Court, at least until very recently, in the freedom of expression context)</w:t>
      </w:r>
      <w:r>
        <w:rPr>
          <w:lang w:val="en-GB"/>
        </w:rPr>
        <w:t>?</w:t>
      </w:r>
      <w:r w:rsidRPr="006A11D2">
        <w:rPr>
          <w:lang w:val="en-GB"/>
        </w:rPr>
        <w:t xml:space="preserve"> This same analysis may also be appropriate when addressing the specific circumstances of the case </w:t>
      </w:r>
      <w:r>
        <w:rPr>
          <w:lang w:val="en-GB"/>
        </w:rPr>
        <w:t>at</w:t>
      </w:r>
      <w:r w:rsidRPr="006A11D2">
        <w:rPr>
          <w:lang w:val="en-GB"/>
        </w:rPr>
        <w:t xml:space="preserve"> a late</w:t>
      </w:r>
      <w:r>
        <w:rPr>
          <w:lang w:val="en-GB"/>
        </w:rPr>
        <w:t>r</w:t>
      </w:r>
      <w:r w:rsidRPr="006A11D2">
        <w:rPr>
          <w:lang w:val="en-GB"/>
        </w:rPr>
        <w:t xml:space="preserve"> stage of the analysis; </w:t>
      </w:r>
      <w:r>
        <w:rPr>
          <w:lang w:val="en-GB"/>
        </w:rPr>
        <w:t>something</w:t>
      </w:r>
      <w:r w:rsidRPr="006A11D2">
        <w:rPr>
          <w:lang w:val="en-GB"/>
        </w:rPr>
        <w:t xml:space="preserve"> that is often done in the form of balancing, as if </w:t>
      </w:r>
      <w:r>
        <w:rPr>
          <w:lang w:val="en-GB"/>
        </w:rPr>
        <w:t>C</w:t>
      </w:r>
      <w:r w:rsidRPr="006A11D2">
        <w:rPr>
          <w:lang w:val="en-GB"/>
        </w:rPr>
        <w:t xml:space="preserve">onvention rights and other interests were of </w:t>
      </w:r>
      <w:r>
        <w:rPr>
          <w:lang w:val="en-GB"/>
        </w:rPr>
        <w:t>equal</w:t>
      </w:r>
      <w:r w:rsidRPr="006A11D2">
        <w:rPr>
          <w:lang w:val="en-GB"/>
        </w:rPr>
        <w:t xml:space="preserve"> importance!</w:t>
      </w:r>
    </w:p>
    <w:p w:rsidR="00F51BE0" w:rsidP="00B4264C" w:rsidRDefault="00B4264C">
      <w:pPr>
        <w:pStyle w:val="OpiPara"/>
        <w:rPr>
          <w:lang w:val="en-GB"/>
        </w:rPr>
      </w:pPr>
      <w:r w:rsidRPr="006A11D2">
        <w:rPr>
          <w:lang w:val="en-GB"/>
        </w:rPr>
        <w:t>It may well be that certain measures simply do not serve the purported end or at least that they are not the least restrictive</w:t>
      </w:r>
      <w:r>
        <w:rPr>
          <w:lang w:val="en-GB"/>
        </w:rPr>
        <w:t xml:space="preserve"> possible</w:t>
      </w:r>
      <w:r w:rsidRPr="006A11D2">
        <w:rPr>
          <w:lang w:val="en-GB"/>
        </w:rPr>
        <w:t>. One should ask</w:t>
      </w:r>
      <w:r>
        <w:rPr>
          <w:lang w:val="en-GB"/>
        </w:rPr>
        <w:t xml:space="preserve"> the question</w:t>
      </w:r>
      <w:r w:rsidRPr="006A11D2">
        <w:rPr>
          <w:lang w:val="en-GB"/>
        </w:rPr>
        <w:t>: is mandatory imprisonment the only available means to protect political memory?</w:t>
      </w:r>
    </w:p>
    <w:p w:rsidR="00F51BE0" w:rsidP="00B4264C" w:rsidRDefault="00B4264C">
      <w:pPr>
        <w:pStyle w:val="OpiPara"/>
        <w:rPr>
          <w:lang w:val="en-GB"/>
        </w:rPr>
      </w:pPr>
      <w:r w:rsidRPr="006A11D2">
        <w:rPr>
          <w:lang w:val="en-GB"/>
        </w:rPr>
        <w:t>Of course, even if in the abstract the rights</w:t>
      </w:r>
      <w:r>
        <w:rPr>
          <w:lang w:val="en-GB"/>
        </w:rPr>
        <w:t>-</w:t>
      </w:r>
      <w:r w:rsidRPr="006A11D2">
        <w:rPr>
          <w:lang w:val="en-GB"/>
        </w:rPr>
        <w:t xml:space="preserve">restrictive means are acceptable and rationally connected to the legitimate and genuine end, their application in the specific context (the conduct of the applicant) </w:t>
      </w:r>
      <w:r>
        <w:rPr>
          <w:lang w:val="en-GB"/>
        </w:rPr>
        <w:t>may</w:t>
      </w:r>
      <w:r w:rsidRPr="006A11D2">
        <w:rPr>
          <w:lang w:val="en-GB"/>
        </w:rPr>
        <w:t xml:space="preserve"> be disproportionate, because there are </w:t>
      </w:r>
      <w:r w:rsidRPr="006A11D2">
        <w:rPr>
          <w:i/>
          <w:lang w:val="en-GB"/>
        </w:rPr>
        <w:t>less</w:t>
      </w:r>
      <w:r>
        <w:rPr>
          <w:i/>
          <w:lang w:val="en-GB"/>
        </w:rPr>
        <w:t>er</w:t>
      </w:r>
      <w:r w:rsidRPr="006A11D2">
        <w:rPr>
          <w:i/>
          <w:lang w:val="en-GB"/>
        </w:rPr>
        <w:t xml:space="preserve"> rights</w:t>
      </w:r>
      <w:r>
        <w:rPr>
          <w:i/>
          <w:lang w:val="en-GB"/>
        </w:rPr>
        <w:t>-</w:t>
      </w:r>
      <w:r w:rsidRPr="006A11D2">
        <w:rPr>
          <w:i/>
          <w:lang w:val="en-GB"/>
        </w:rPr>
        <w:t>restrictive means</w:t>
      </w:r>
      <w:r w:rsidRPr="006A11D2">
        <w:rPr>
          <w:lang w:val="en-GB"/>
        </w:rPr>
        <w:t xml:space="preserve"> to achieve the end in the circumstances of the case. In other instances it can be said (sometimes using the language of balancing) that the restriction on a right as a means to an end is excessive because it undermines the very right which one values more than the end. It should be added</w:t>
      </w:r>
      <w:r>
        <w:rPr>
          <w:lang w:val="en-GB"/>
        </w:rPr>
        <w:t>,</w:t>
      </w:r>
      <w:r w:rsidRPr="006A11D2">
        <w:rPr>
          <w:lang w:val="en-GB"/>
        </w:rPr>
        <w:t xml:space="preserve"> in this </w:t>
      </w:r>
      <w:proofErr w:type="gramStart"/>
      <w:r w:rsidRPr="006A11D2">
        <w:rPr>
          <w:lang w:val="en-GB"/>
        </w:rPr>
        <w:t>logic</w:t>
      </w:r>
      <w:r>
        <w:rPr>
          <w:lang w:val="en-GB"/>
        </w:rPr>
        <w:t>,</w:t>
      </w:r>
      <w:r w:rsidRPr="006A11D2">
        <w:rPr>
          <w:lang w:val="en-GB"/>
        </w:rPr>
        <w:t xml:space="preserve"> that</w:t>
      </w:r>
      <w:proofErr w:type="gramEnd"/>
      <w:r w:rsidRPr="006A11D2">
        <w:rPr>
          <w:lang w:val="en-GB"/>
        </w:rPr>
        <w:t xml:space="preserve"> </w:t>
      </w:r>
      <w:r>
        <w:rPr>
          <w:lang w:val="en-GB"/>
        </w:rPr>
        <w:t>C</w:t>
      </w:r>
      <w:r w:rsidRPr="006A11D2">
        <w:rPr>
          <w:lang w:val="en-GB"/>
        </w:rPr>
        <w:t xml:space="preserve">onvention human rights are of </w:t>
      </w:r>
      <w:r>
        <w:rPr>
          <w:lang w:val="en-GB"/>
        </w:rPr>
        <w:t xml:space="preserve">a </w:t>
      </w:r>
      <w:r w:rsidRPr="006A11D2">
        <w:rPr>
          <w:lang w:val="en-GB"/>
        </w:rPr>
        <w:t>specific value (</w:t>
      </w:r>
      <w:r>
        <w:rPr>
          <w:lang w:val="en-GB"/>
        </w:rPr>
        <w:t xml:space="preserve">being </w:t>
      </w:r>
      <w:r w:rsidRPr="006A11D2">
        <w:rPr>
          <w:lang w:val="en-GB"/>
        </w:rPr>
        <w:t xml:space="preserve">singled out as superior values in </w:t>
      </w:r>
      <w:r>
        <w:rPr>
          <w:lang w:val="en-GB"/>
        </w:rPr>
        <w:t xml:space="preserve">an </w:t>
      </w:r>
      <w:r w:rsidRPr="006A11D2">
        <w:rPr>
          <w:lang w:val="en-GB"/>
        </w:rPr>
        <w:t>international convention).</w:t>
      </w:r>
    </w:p>
    <w:p w:rsidRPr="006A11D2" w:rsidR="00B4264C" w:rsidP="00B4264C" w:rsidRDefault="00B4264C">
      <w:pPr>
        <w:pStyle w:val="OpiPara"/>
        <w:rPr>
          <w:lang w:val="en-GB"/>
        </w:rPr>
      </w:pPr>
      <w:r>
        <w:rPr>
          <w:lang w:val="en-GB"/>
        </w:rPr>
        <w:t>Going b</w:t>
      </w:r>
      <w:r w:rsidRPr="006A11D2">
        <w:rPr>
          <w:lang w:val="en-GB"/>
        </w:rPr>
        <w:t xml:space="preserve">eyond the above-mentioned, more demanding </w:t>
      </w:r>
      <w:r>
        <w:rPr>
          <w:lang w:val="en-GB"/>
        </w:rPr>
        <w:t xml:space="preserve">forms of </w:t>
      </w:r>
      <w:r w:rsidRPr="006A11D2">
        <w:rPr>
          <w:lang w:val="en-GB"/>
        </w:rPr>
        <w:t>scrutin</w:t>
      </w:r>
      <w:r>
        <w:rPr>
          <w:lang w:val="en-GB"/>
        </w:rPr>
        <w:t>y</w:t>
      </w:r>
      <w:r w:rsidRPr="006A11D2">
        <w:rPr>
          <w:lang w:val="en-GB"/>
        </w:rPr>
        <w:t xml:space="preserve"> within the proportionality methodology, freedom of expression cases are sometimes (</w:t>
      </w:r>
      <w:r>
        <w:rPr>
          <w:lang w:val="en-GB"/>
        </w:rPr>
        <w:t xml:space="preserve">even </w:t>
      </w:r>
      <w:r w:rsidRPr="008A027F">
        <w:rPr>
          <w:lang w:val="en-GB"/>
        </w:rPr>
        <w:t>regularly</w:t>
      </w:r>
      <w:r w:rsidRPr="00354A0C">
        <w:rPr>
          <w:lang w:val="en-GB"/>
        </w:rPr>
        <w:t xml:space="preserve"> </w:t>
      </w:r>
      <w:r w:rsidRPr="006A11D2">
        <w:rPr>
          <w:lang w:val="en-GB"/>
        </w:rPr>
        <w:t xml:space="preserve">in the United States) </w:t>
      </w:r>
      <w:r>
        <w:rPr>
          <w:lang w:val="en-GB"/>
        </w:rPr>
        <w:t>re</w:t>
      </w:r>
      <w:r w:rsidRPr="006A11D2">
        <w:rPr>
          <w:lang w:val="en-GB"/>
        </w:rPr>
        <w:t xml:space="preserve">solved using </w:t>
      </w:r>
      <w:r>
        <w:rPr>
          <w:lang w:val="en-GB"/>
        </w:rPr>
        <w:t>a</w:t>
      </w:r>
      <w:r w:rsidRPr="006A11D2">
        <w:rPr>
          <w:lang w:val="en-GB"/>
        </w:rPr>
        <w:t xml:space="preserve"> </w:t>
      </w:r>
      <w:r w:rsidRPr="003F67D6">
        <w:rPr>
          <w:i/>
          <w:lang w:val="en-GB"/>
        </w:rPr>
        <w:t>categorical</w:t>
      </w:r>
      <w:r>
        <w:rPr>
          <w:i/>
          <w:lang w:val="en-GB"/>
        </w:rPr>
        <w:t xml:space="preserve"> </w:t>
      </w:r>
      <w:r w:rsidRPr="006A11D2">
        <w:rPr>
          <w:lang w:val="en-GB"/>
        </w:rPr>
        <w:t>approach</w:t>
      </w:r>
      <w:r w:rsidRPr="006A11D2">
        <w:rPr>
          <w:rStyle w:val="FootnoteReference"/>
          <w:lang w:val="en-GB"/>
        </w:rPr>
        <w:footnoteReference w:id="7"/>
      </w:r>
      <w:r>
        <w:rPr>
          <w:lang w:val="en-GB"/>
        </w:rPr>
        <w:t>.</w:t>
      </w:r>
      <w:r w:rsidRPr="006A11D2">
        <w:rPr>
          <w:lang w:val="en-GB"/>
        </w:rPr>
        <w:t xml:space="preserve"> In principle, </w:t>
      </w:r>
      <w:r>
        <w:rPr>
          <w:lang w:val="en-GB"/>
        </w:rPr>
        <w:t>such an</w:t>
      </w:r>
      <w:r w:rsidRPr="006A11D2">
        <w:rPr>
          <w:lang w:val="en-GB"/>
        </w:rPr>
        <w:t xml:space="preserve"> approach guarantees freedom of expression unequivocally and with more certainty than a case</w:t>
      </w:r>
      <w:r>
        <w:rPr>
          <w:lang w:val="en-GB"/>
        </w:rPr>
        <w:t>-</w:t>
      </w:r>
      <w:r w:rsidRPr="006A11D2">
        <w:rPr>
          <w:lang w:val="en-GB"/>
        </w:rPr>
        <w:t>by</w:t>
      </w:r>
      <w:r>
        <w:rPr>
          <w:lang w:val="en-GB"/>
        </w:rPr>
        <w:t>-</w:t>
      </w:r>
      <w:r w:rsidRPr="006A11D2">
        <w:rPr>
          <w:lang w:val="en-GB"/>
        </w:rPr>
        <w:t xml:space="preserve">case analysis, where the metrics of proportionality and balancing are not spelled out. The uncertainty that is inherent in the case-based proportionality analysis invites authorities to attempt </w:t>
      </w:r>
      <w:r>
        <w:rPr>
          <w:lang w:val="en-GB"/>
        </w:rPr>
        <w:t xml:space="preserve">to impose </w:t>
      </w:r>
      <w:r w:rsidRPr="006A11D2">
        <w:rPr>
          <w:lang w:val="en-GB"/>
        </w:rPr>
        <w:t>further restrictions. More importantly, it discourages speakers.</w:t>
      </w:r>
    </w:p>
    <w:p w:rsidR="00F51BE0" w:rsidP="00B4264C" w:rsidRDefault="00B4264C">
      <w:pPr>
        <w:pStyle w:val="OpiPara"/>
        <w:rPr>
          <w:lang w:val="en-GB"/>
        </w:rPr>
      </w:pPr>
      <w:r w:rsidRPr="006A11D2">
        <w:rPr>
          <w:lang w:val="en-GB"/>
        </w:rPr>
        <w:t xml:space="preserve">A court of human rights </w:t>
      </w:r>
      <w:r>
        <w:rPr>
          <w:lang w:val="en-GB"/>
        </w:rPr>
        <w:t>must</w:t>
      </w:r>
      <w:r w:rsidRPr="006A11D2">
        <w:rPr>
          <w:lang w:val="en-GB"/>
        </w:rPr>
        <w:t xml:space="preserve"> go to the heart of this matter. In Turkey it is possible to imprison someone for an offen</w:t>
      </w:r>
      <w:r>
        <w:rPr>
          <w:lang w:val="en-GB"/>
        </w:rPr>
        <w:t>c</w:t>
      </w:r>
      <w:r w:rsidRPr="006A11D2">
        <w:rPr>
          <w:lang w:val="en-GB"/>
        </w:rPr>
        <w:t xml:space="preserve">e </w:t>
      </w:r>
      <w:r>
        <w:rPr>
          <w:lang w:val="en-GB"/>
        </w:rPr>
        <w:t>against</w:t>
      </w:r>
      <w:r w:rsidRPr="006A11D2">
        <w:rPr>
          <w:lang w:val="en-GB"/>
        </w:rPr>
        <w:t xml:space="preserve"> the memory of Atatürk. I have no doubts that the Turkish nation has strong feelings of respect towards the founder of the modern Turkish State, and it is within the constitutional powers of the Turkish nation to express </w:t>
      </w:r>
      <w:r>
        <w:rPr>
          <w:lang w:val="en-GB"/>
        </w:rPr>
        <w:t>such</w:t>
      </w:r>
      <w:r w:rsidRPr="006A11D2">
        <w:rPr>
          <w:lang w:val="en-GB"/>
        </w:rPr>
        <w:t xml:space="preserve"> feelings. I have full respect </w:t>
      </w:r>
      <w:r>
        <w:rPr>
          <w:lang w:val="en-GB"/>
        </w:rPr>
        <w:t>for</w:t>
      </w:r>
      <w:r w:rsidRPr="006A11D2">
        <w:rPr>
          <w:lang w:val="en-GB"/>
        </w:rPr>
        <w:t xml:space="preserve"> these sentiments, but equally strong reservation</w:t>
      </w:r>
      <w:r>
        <w:rPr>
          <w:lang w:val="en-GB"/>
        </w:rPr>
        <w:t>s</w:t>
      </w:r>
      <w:r w:rsidRPr="006A11D2">
        <w:rPr>
          <w:lang w:val="en-GB"/>
        </w:rPr>
        <w:t xml:space="preserve"> as to the </w:t>
      </w:r>
      <w:r w:rsidRPr="006A11D2">
        <w:rPr>
          <w:lang w:val="en-GB"/>
        </w:rPr>
        <w:lastRenderedPageBreak/>
        <w:t xml:space="preserve">legal enforcement of </w:t>
      </w:r>
      <w:r>
        <w:rPr>
          <w:lang w:val="en-GB"/>
        </w:rPr>
        <w:t>sensitivities</w:t>
      </w:r>
      <w:r w:rsidRPr="006A11D2">
        <w:rPr>
          <w:lang w:val="en-GB"/>
        </w:rPr>
        <w:t xml:space="preserve"> </w:t>
      </w:r>
      <w:r>
        <w:rPr>
          <w:lang w:val="en-GB"/>
        </w:rPr>
        <w:t>in matters of speech</w:t>
      </w:r>
      <w:r w:rsidRPr="006A11D2">
        <w:rPr>
          <w:rStyle w:val="FootnoteReference"/>
          <w:lang w:val="en-GB"/>
        </w:rPr>
        <w:footnoteReference w:id="8"/>
      </w:r>
      <w:r>
        <w:rPr>
          <w:lang w:val="en-GB"/>
        </w:rPr>
        <w:t>.</w:t>
      </w:r>
      <w:r w:rsidRPr="006A11D2">
        <w:rPr>
          <w:lang w:val="en-GB"/>
        </w:rPr>
        <w:t xml:space="preserve"> I understand that the form of the expression is problematic here but, as the judgment demonstrates, it falls within expressive conduct; the pouring of paint is a form of expression, disputable </w:t>
      </w:r>
      <w:r>
        <w:rPr>
          <w:lang w:val="en-GB"/>
        </w:rPr>
        <w:t>though</w:t>
      </w:r>
      <w:r w:rsidRPr="006A11D2">
        <w:rPr>
          <w:lang w:val="en-GB"/>
        </w:rPr>
        <w:t xml:space="preserve"> it may be</w:t>
      </w:r>
      <w:r w:rsidRPr="006A11D2">
        <w:rPr>
          <w:rStyle w:val="FootnoteReference"/>
          <w:lang w:val="en-GB"/>
        </w:rPr>
        <w:footnoteReference w:id="9"/>
      </w:r>
      <w:r w:rsidRPr="006A11D2">
        <w:rPr>
          <w:lang w:val="en-GB"/>
        </w:rPr>
        <w:t>. Destruction caused to a statue or other piece of art is an ordinary crime; to destroy Michelangelo</w:t>
      </w:r>
      <w:r w:rsidR="0050610F">
        <w:rPr>
          <w:lang w:val="en-GB"/>
        </w:rPr>
        <w:t>’</w:t>
      </w:r>
      <w:r w:rsidRPr="006A11D2">
        <w:rPr>
          <w:lang w:val="en-GB"/>
        </w:rPr>
        <w:t xml:space="preserve">s </w:t>
      </w:r>
      <w:r>
        <w:rPr>
          <w:lang w:val="en-GB"/>
        </w:rPr>
        <w:t>“</w:t>
      </w:r>
      <w:r w:rsidRPr="006A11D2">
        <w:rPr>
          <w:lang w:val="en-GB"/>
        </w:rPr>
        <w:t>Pieta</w:t>
      </w:r>
      <w:r>
        <w:rPr>
          <w:lang w:val="en-GB"/>
        </w:rPr>
        <w:t>”</w:t>
      </w:r>
      <w:r w:rsidRPr="006A11D2">
        <w:rPr>
          <w:lang w:val="en-GB"/>
        </w:rPr>
        <w:t xml:space="preserve"> </w:t>
      </w:r>
      <w:r>
        <w:rPr>
          <w:lang w:val="en-GB"/>
        </w:rPr>
        <w:t>would indeed be</w:t>
      </w:r>
      <w:r w:rsidRPr="006A11D2">
        <w:rPr>
          <w:lang w:val="en-GB"/>
        </w:rPr>
        <w:t xml:space="preserve"> a serious crime. But in the present case it was the expressed content that was the ground </w:t>
      </w:r>
      <w:r>
        <w:rPr>
          <w:lang w:val="en-GB"/>
        </w:rPr>
        <w:t>for the</w:t>
      </w:r>
      <w:r w:rsidRPr="006A11D2">
        <w:rPr>
          <w:lang w:val="en-GB"/>
        </w:rPr>
        <w:t xml:space="preserve"> conviction: the object of the crime is clearly “the memory of Atatürk” and not the alleged vandalism, which of course might </w:t>
      </w:r>
      <w:r>
        <w:rPr>
          <w:lang w:val="en-GB"/>
        </w:rPr>
        <w:t xml:space="preserve">otherwise </w:t>
      </w:r>
      <w:r w:rsidRPr="006A11D2">
        <w:rPr>
          <w:lang w:val="en-GB"/>
        </w:rPr>
        <w:t xml:space="preserve">be subject to criminal sanctions. Moreover, I can envision the need for such a dramatic form of expression of political discontent in certain circumstances, a matter that did not have to </w:t>
      </w:r>
      <w:r>
        <w:rPr>
          <w:lang w:val="en-GB"/>
        </w:rPr>
        <w:t xml:space="preserve">be </w:t>
      </w:r>
      <w:r w:rsidRPr="006A11D2">
        <w:rPr>
          <w:lang w:val="en-GB"/>
        </w:rPr>
        <w:t>address</w:t>
      </w:r>
      <w:r>
        <w:rPr>
          <w:lang w:val="en-GB"/>
        </w:rPr>
        <w:t>ed</w:t>
      </w:r>
      <w:r w:rsidRPr="006A11D2">
        <w:rPr>
          <w:lang w:val="en-GB"/>
        </w:rPr>
        <w:t xml:space="preserve"> in the present case. The Turkish courts </w:t>
      </w:r>
      <w:r>
        <w:rPr>
          <w:lang w:val="en-GB"/>
        </w:rPr>
        <w:t>n</w:t>
      </w:r>
      <w:r w:rsidRPr="006A11D2">
        <w:rPr>
          <w:lang w:val="en-GB"/>
        </w:rPr>
        <w:t>ever enter</w:t>
      </w:r>
      <w:r>
        <w:rPr>
          <w:lang w:val="en-GB"/>
        </w:rPr>
        <w:t>ed</w:t>
      </w:r>
      <w:r w:rsidRPr="006A11D2">
        <w:rPr>
          <w:lang w:val="en-GB"/>
        </w:rPr>
        <w:t xml:space="preserve"> into </w:t>
      </w:r>
      <w:r>
        <w:rPr>
          <w:lang w:val="en-GB"/>
        </w:rPr>
        <w:t>a</w:t>
      </w:r>
      <w:r w:rsidRPr="006A11D2">
        <w:rPr>
          <w:lang w:val="en-GB"/>
        </w:rPr>
        <w:t xml:space="preserve"> discussion of the appropriateness of the expressive act. </w:t>
      </w:r>
      <w:r>
        <w:rPr>
          <w:lang w:val="en-GB"/>
        </w:rPr>
        <w:t>In any event,</w:t>
      </w:r>
      <w:r w:rsidRPr="006A11D2">
        <w:rPr>
          <w:lang w:val="en-GB"/>
        </w:rPr>
        <w:t xml:space="preserve"> all forms of expression of dislike of Atatürk and his memory, all the underlying discontent with the political system created by Atatürk and based on his political vision</w:t>
      </w:r>
      <w:r>
        <w:rPr>
          <w:lang w:val="en-GB"/>
        </w:rPr>
        <w:t>,</w:t>
      </w:r>
      <w:r w:rsidRPr="006A11D2">
        <w:rPr>
          <w:lang w:val="en-GB"/>
        </w:rPr>
        <w:t xml:space="preserve"> are prohibited: this is the primary and fundamental issue.</w:t>
      </w:r>
    </w:p>
    <w:p w:rsidR="00F51BE0" w:rsidP="00B4264C" w:rsidRDefault="00B4264C">
      <w:pPr>
        <w:pStyle w:val="OpiPara"/>
        <w:rPr>
          <w:lang w:val="en-GB"/>
        </w:rPr>
      </w:pPr>
      <w:r w:rsidRPr="006A11D2">
        <w:rPr>
          <w:lang w:val="en-GB"/>
        </w:rPr>
        <w:t xml:space="preserve">I can envision situations where punishment </w:t>
      </w:r>
      <w:r>
        <w:rPr>
          <w:lang w:val="en-GB"/>
        </w:rPr>
        <w:t>for</w:t>
      </w:r>
      <w:r w:rsidRPr="006A11D2">
        <w:rPr>
          <w:lang w:val="en-GB"/>
        </w:rPr>
        <w:t xml:space="preserve"> a similar offen</w:t>
      </w:r>
      <w:r>
        <w:rPr>
          <w:lang w:val="en-GB"/>
        </w:rPr>
        <w:t>c</w:t>
      </w:r>
      <w:r w:rsidRPr="006A11D2">
        <w:rPr>
          <w:lang w:val="en-GB"/>
        </w:rPr>
        <w:t xml:space="preserve">e is appropriate or even necessary in a democratic society, where insult to memory amounts to a call to violence or hatred against identifiable individuals, but that element is not required by the present law and no </w:t>
      </w:r>
      <w:r>
        <w:rPr>
          <w:lang w:val="en-GB"/>
        </w:rPr>
        <w:t xml:space="preserve">such </w:t>
      </w:r>
      <w:r w:rsidRPr="006A11D2">
        <w:rPr>
          <w:lang w:val="en-GB"/>
        </w:rPr>
        <w:t>danger is present in this case. It is the mere fact of the insult that is criminali</w:t>
      </w:r>
      <w:r>
        <w:rPr>
          <w:lang w:val="en-GB"/>
        </w:rPr>
        <w:t>s</w:t>
      </w:r>
      <w:r w:rsidRPr="006A11D2">
        <w:rPr>
          <w:lang w:val="en-GB"/>
        </w:rPr>
        <w:t>ed.</w:t>
      </w:r>
    </w:p>
    <w:p w:rsidRPr="006A11D2" w:rsidR="00B4264C" w:rsidP="00EE3DF9" w:rsidRDefault="00B4264C">
      <w:pPr>
        <w:pStyle w:val="OpiPara"/>
        <w:keepNext/>
        <w:keepLines/>
        <w:rPr>
          <w:lang w:val="en-GB"/>
        </w:rPr>
      </w:pPr>
      <w:r w:rsidRPr="006A11D2">
        <w:rPr>
          <w:lang w:val="en-GB"/>
        </w:rPr>
        <w:lastRenderedPageBreak/>
        <w:t xml:space="preserve">The limited analysis, resulting from the standard proportionality </w:t>
      </w:r>
      <w:r>
        <w:rPr>
          <w:lang w:val="en-GB"/>
        </w:rPr>
        <w:t>test</w:t>
      </w:r>
      <w:r w:rsidRPr="006A11D2">
        <w:rPr>
          <w:lang w:val="en-GB"/>
        </w:rPr>
        <w:t>, precludes the consideration of the law</w:t>
      </w:r>
      <w:r w:rsidR="0050610F">
        <w:rPr>
          <w:lang w:val="en-GB"/>
        </w:rPr>
        <w:t>’</w:t>
      </w:r>
      <w:r w:rsidRPr="006A11D2">
        <w:rPr>
          <w:lang w:val="en-GB"/>
        </w:rPr>
        <w:t xml:space="preserve">s impact on all speech acts. It is for this reason that the Court did not have the opportunity to look into the real problem. However, the Convention and even our own methodology </w:t>
      </w:r>
      <w:proofErr w:type="gramStart"/>
      <w:r w:rsidRPr="006A11D2">
        <w:rPr>
          <w:lang w:val="en-GB"/>
        </w:rPr>
        <w:t>calls</w:t>
      </w:r>
      <w:proofErr w:type="gramEnd"/>
      <w:r w:rsidRPr="006A11D2">
        <w:rPr>
          <w:lang w:val="en-GB"/>
        </w:rPr>
        <w:t xml:space="preserve"> us to consider the impact of the restriction on freedom of expression. “It is recalled that there is little scope under Article 10 § 2 for restrictions on debates on questions of public interest.</w:t>
      </w:r>
      <w:r w:rsidRPr="006A11D2">
        <w:rPr>
          <w:rStyle w:val="FootnoteReference"/>
          <w:lang w:val="en-GB"/>
        </w:rPr>
        <w:footnoteReference w:id="10"/>
      </w:r>
      <w:r w:rsidRPr="006A11D2">
        <w:rPr>
          <w:lang w:val="en-GB"/>
        </w:rPr>
        <w:t>” The Court has always accepted that “there is little scope under Article 10 § 2 of the Convention for restrictions on political speech or on debate on questions of public interest.</w:t>
      </w:r>
      <w:r w:rsidRPr="006A11D2">
        <w:rPr>
          <w:rStyle w:val="FootnoteReference"/>
          <w:lang w:val="en-GB"/>
        </w:rPr>
        <w:footnoteReference w:id="11"/>
      </w:r>
      <w:r w:rsidRPr="006A11D2">
        <w:rPr>
          <w:lang w:val="en-GB"/>
        </w:rPr>
        <w:t>” The expressive act of the applicant, being political speech, should have triggered strict scrutiny, and the Government certainly failed to provide justification based on compelling reasons why they had to criminali</w:t>
      </w:r>
      <w:r>
        <w:rPr>
          <w:lang w:val="en-GB"/>
        </w:rPr>
        <w:t>s</w:t>
      </w:r>
      <w:r w:rsidRPr="006A11D2">
        <w:rPr>
          <w:lang w:val="en-GB"/>
        </w:rPr>
        <w:t>e insults to memory. Given that the law is content-discriminatory, we do not have to look into the effects of a content</w:t>
      </w:r>
      <w:r>
        <w:rPr>
          <w:lang w:val="en-GB"/>
        </w:rPr>
        <w:t>-</w:t>
      </w:r>
      <w:r w:rsidRPr="006A11D2">
        <w:rPr>
          <w:lang w:val="en-GB"/>
        </w:rPr>
        <w:t>neutral law such as the criminali</w:t>
      </w:r>
      <w:r>
        <w:rPr>
          <w:lang w:val="en-GB"/>
        </w:rPr>
        <w:t>s</w:t>
      </w:r>
      <w:r w:rsidRPr="006A11D2">
        <w:rPr>
          <w:lang w:val="en-GB"/>
        </w:rPr>
        <w:t xml:space="preserve">ation of </w:t>
      </w:r>
      <w:r>
        <w:rPr>
          <w:lang w:val="en-GB"/>
        </w:rPr>
        <w:t xml:space="preserve">the </w:t>
      </w:r>
      <w:r w:rsidRPr="006A11D2">
        <w:rPr>
          <w:lang w:val="en-GB"/>
        </w:rPr>
        <w:t>destruction of statues.</w:t>
      </w:r>
    </w:p>
    <w:p w:rsidRPr="006A11D2" w:rsidR="00B4264C" w:rsidP="00B4264C" w:rsidRDefault="00B4264C">
      <w:pPr>
        <w:pStyle w:val="OpiPara"/>
        <w:rPr>
          <w:lang w:val="en-GB"/>
        </w:rPr>
      </w:pPr>
      <w:r w:rsidRPr="006A11D2">
        <w:rPr>
          <w:lang w:val="en-GB"/>
        </w:rPr>
        <w:t xml:space="preserve">Where disrespect for the memory of a political figure is </w:t>
      </w:r>
      <w:r>
        <w:rPr>
          <w:lang w:val="en-GB"/>
        </w:rPr>
        <w:t>punished</w:t>
      </w:r>
      <w:r w:rsidRPr="006A11D2">
        <w:rPr>
          <w:lang w:val="en-GB"/>
        </w:rPr>
        <w:t>, this has a chilling effect on all speakers. The State has not shown any compelling interest for this restriction. I cannot see the reasonable purpose of such a measure in a democratic society, given that no democratic society can exist without free expression on political matters</w:t>
      </w:r>
      <w:r w:rsidRPr="006A11D2">
        <w:rPr>
          <w:rStyle w:val="FootnoteReference"/>
          <w:lang w:val="en-GB"/>
        </w:rPr>
        <w:footnoteReference w:id="12"/>
      </w:r>
      <w:r w:rsidRPr="006A11D2">
        <w:rPr>
          <w:lang w:val="en-GB"/>
        </w:rPr>
        <w:t xml:space="preserve">. Even assuming that the deep feelings of the Turkish people will be hurt at the sight of the paint on the statue or </w:t>
      </w:r>
      <w:r>
        <w:rPr>
          <w:lang w:val="en-GB"/>
        </w:rPr>
        <w:t xml:space="preserve">on </w:t>
      </w:r>
      <w:r w:rsidRPr="006A11D2">
        <w:rPr>
          <w:lang w:val="en-GB"/>
        </w:rPr>
        <w:t>hearing disrespectful words, I cannot see how this can be a sufficient justification</w:t>
      </w:r>
      <w:r w:rsidRPr="006A11D2" w:rsidDel="00397CC7">
        <w:rPr>
          <w:lang w:val="en-GB"/>
        </w:rPr>
        <w:t xml:space="preserve"> </w:t>
      </w:r>
      <w:r w:rsidRPr="006A11D2">
        <w:rPr>
          <w:lang w:val="en-GB"/>
        </w:rPr>
        <w:t>in a democratic society, where even disturbing political opinions are to be accepted.</w:t>
      </w:r>
    </w:p>
    <w:p w:rsidRPr="006A11D2" w:rsidR="00B4264C" w:rsidP="00B4264C" w:rsidRDefault="00B4264C">
      <w:pPr>
        <w:pStyle w:val="OpiPara"/>
        <w:rPr>
          <w:lang w:val="en-GB"/>
        </w:rPr>
      </w:pPr>
      <w:r w:rsidRPr="006A11D2">
        <w:rPr>
          <w:lang w:val="en-GB"/>
        </w:rPr>
        <w:t xml:space="preserve">This fundamental consideration is grievously absent in Turkish law when the mandatory sanction is one year in </w:t>
      </w:r>
      <w:r>
        <w:rPr>
          <w:lang w:val="en-GB"/>
        </w:rPr>
        <w:t>prison</w:t>
      </w:r>
      <w:r w:rsidRPr="006A11D2">
        <w:rPr>
          <w:lang w:val="en-GB"/>
        </w:rPr>
        <w:t xml:space="preserve">, </w:t>
      </w:r>
      <w:r>
        <w:rPr>
          <w:lang w:val="en-GB"/>
        </w:rPr>
        <w:t>let alone</w:t>
      </w:r>
      <w:r w:rsidRPr="006A11D2">
        <w:rPr>
          <w:lang w:val="en-GB"/>
        </w:rPr>
        <w:t xml:space="preserve"> the </w:t>
      </w:r>
      <w:r>
        <w:rPr>
          <w:lang w:val="en-GB"/>
        </w:rPr>
        <w:t>thirteen</w:t>
      </w:r>
      <w:r w:rsidRPr="006A11D2">
        <w:rPr>
          <w:lang w:val="en-GB"/>
        </w:rPr>
        <w:t xml:space="preserve"> years imposed on applicant. </w:t>
      </w:r>
      <w:r>
        <w:rPr>
          <w:lang w:val="en-GB"/>
        </w:rPr>
        <w:t>A</w:t>
      </w:r>
      <w:r w:rsidRPr="006A11D2">
        <w:rPr>
          <w:lang w:val="en-GB"/>
        </w:rPr>
        <w:t xml:space="preserve"> law </w:t>
      </w:r>
      <w:r>
        <w:rPr>
          <w:lang w:val="en-GB"/>
        </w:rPr>
        <w:t>which</w:t>
      </w:r>
      <w:r w:rsidRPr="006A11D2">
        <w:rPr>
          <w:lang w:val="en-GB"/>
        </w:rPr>
        <w:t xml:space="preserve"> enables, and even mandates, such interference is incompatible with the necessities of a democratic society. This Court should not shy away from considering the impermissibility of </w:t>
      </w:r>
      <w:r w:rsidRPr="006A11D2">
        <w:rPr>
          <w:lang w:val="en-GB"/>
        </w:rPr>
        <w:lastRenderedPageBreak/>
        <w:t>the alleged purpose of legislation that seemingly fits into one of the (over) broad categories of permissible r</w:t>
      </w:r>
      <w:r>
        <w:rPr>
          <w:lang w:val="en-GB"/>
        </w:rPr>
        <w:t>estriction (“rights of others”)</w:t>
      </w:r>
      <w:r w:rsidRPr="006A11D2">
        <w:rPr>
          <w:rStyle w:val="FootnoteReference"/>
          <w:lang w:val="en-GB"/>
        </w:rPr>
        <w:footnoteReference w:id="13"/>
      </w:r>
      <w:r>
        <w:rPr>
          <w:lang w:val="en-GB"/>
        </w:rPr>
        <w:t>.</w:t>
      </w:r>
    </w:p>
    <w:p w:rsidRPr="006A11D2" w:rsidR="00B4264C" w:rsidP="00B4264C" w:rsidRDefault="00B4264C">
      <w:pPr>
        <w:pStyle w:val="OpiPara"/>
        <w:rPr>
          <w:lang w:val="en-GB"/>
        </w:rPr>
      </w:pPr>
      <w:r w:rsidRPr="006A11D2">
        <w:rPr>
          <w:lang w:val="en-GB"/>
        </w:rPr>
        <w:t>Given the chilling effect of the sanction in Law no. 5816, I would have used a categor</w:t>
      </w:r>
      <w:r>
        <w:rPr>
          <w:lang w:val="en-GB"/>
        </w:rPr>
        <w:t xml:space="preserve">ical </w:t>
      </w:r>
      <w:r w:rsidRPr="006A11D2">
        <w:rPr>
          <w:lang w:val="en-GB"/>
        </w:rPr>
        <w:t>approach: the criminal law is never appropriate as a means to protect other people</w:t>
      </w:r>
      <w:r w:rsidR="0050610F">
        <w:rPr>
          <w:lang w:val="en-GB"/>
        </w:rPr>
        <w:t>’</w:t>
      </w:r>
      <w:r w:rsidRPr="006A11D2">
        <w:rPr>
          <w:lang w:val="en-GB"/>
        </w:rPr>
        <w:t xml:space="preserve">s political sensitivity, where the disrespect </w:t>
      </w:r>
      <w:r>
        <w:rPr>
          <w:lang w:val="en-GB"/>
        </w:rPr>
        <w:t xml:space="preserve">caused </w:t>
      </w:r>
      <w:r w:rsidRPr="006A11D2">
        <w:rPr>
          <w:lang w:val="en-GB"/>
        </w:rPr>
        <w:t xml:space="preserve">to a political figure does not amount to </w:t>
      </w:r>
      <w:r>
        <w:rPr>
          <w:lang w:val="en-GB"/>
        </w:rPr>
        <w:t xml:space="preserve">an </w:t>
      </w:r>
      <w:r w:rsidRPr="006A11D2">
        <w:rPr>
          <w:lang w:val="en-GB"/>
        </w:rPr>
        <w:t>actual (true) threat or call to violence. Such laws are simply not necessary in a democratic society (outside emergenc</w:t>
      </w:r>
      <w:r>
        <w:rPr>
          <w:lang w:val="en-GB"/>
        </w:rPr>
        <w:t>ies</w:t>
      </w:r>
      <w:r w:rsidRPr="006A11D2">
        <w:rPr>
          <w:lang w:val="en-GB"/>
        </w:rPr>
        <w:t xml:space="preserve">), being contrary to the fundamental assumptions of such a society based on free debate and exchange of ideas. The </w:t>
      </w:r>
      <w:r>
        <w:rPr>
          <w:lang w:val="en-GB"/>
        </w:rPr>
        <w:t>mere</w:t>
      </w:r>
      <w:r w:rsidRPr="006A11D2">
        <w:rPr>
          <w:lang w:val="en-GB"/>
        </w:rPr>
        <w:t xml:space="preserve"> existence of content</w:t>
      </w:r>
      <w:r>
        <w:rPr>
          <w:lang w:val="en-GB"/>
        </w:rPr>
        <w:t>-</w:t>
      </w:r>
      <w:r w:rsidRPr="006A11D2">
        <w:rPr>
          <w:lang w:val="en-GB"/>
        </w:rPr>
        <w:t>prohibiting laws endangers</w:t>
      </w:r>
      <w:r>
        <w:rPr>
          <w:lang w:val="en-GB"/>
        </w:rPr>
        <w:t xml:space="preserve"> and</w:t>
      </w:r>
      <w:r w:rsidRPr="006A11D2">
        <w:rPr>
          <w:lang w:val="en-GB"/>
        </w:rPr>
        <w:t xml:space="preserve"> sometimes kills freedom of thought. It is fundamental for a democratic society that its citizens be treated as adults who accept, or learn to tolerate, even speech that they find offensive. This is the price to be paid for a free and democratic society.</w:t>
      </w:r>
    </w:p>
    <w:p w:rsidR="00F51BE0" w:rsidP="00B4264C" w:rsidRDefault="00B4264C">
      <w:pPr>
        <w:pStyle w:val="OpiPara"/>
        <w:rPr>
          <w:lang w:val="en-GB"/>
        </w:rPr>
      </w:pPr>
      <w:r w:rsidRPr="006A11D2">
        <w:rPr>
          <w:lang w:val="en-GB"/>
        </w:rPr>
        <w:t xml:space="preserve">A rather similar speech-protective result could have been achieved even within an enhanced proportionality analysis: the end, </w:t>
      </w:r>
      <w:r>
        <w:rPr>
          <w:lang w:val="en-GB"/>
        </w:rPr>
        <w:t xml:space="preserve">namely </w:t>
      </w:r>
      <w:r w:rsidRPr="006A11D2">
        <w:rPr>
          <w:lang w:val="en-GB"/>
        </w:rPr>
        <w:t>the protection of the alleged right of others</w:t>
      </w:r>
      <w:r>
        <w:rPr>
          <w:lang w:val="en-GB"/>
        </w:rPr>
        <w:t>,</w:t>
      </w:r>
      <w:r w:rsidRPr="006A11D2">
        <w:rPr>
          <w:lang w:val="en-GB"/>
        </w:rPr>
        <w:t xml:space="preserve"> is such that it does not necessitate </w:t>
      </w:r>
      <w:r>
        <w:rPr>
          <w:lang w:val="en-GB"/>
        </w:rPr>
        <w:t xml:space="preserve">a </w:t>
      </w:r>
      <w:r w:rsidRPr="006A11D2">
        <w:rPr>
          <w:lang w:val="en-GB"/>
        </w:rPr>
        <w:t>prison sentence</w:t>
      </w:r>
      <w:r>
        <w:rPr>
          <w:lang w:val="en-GB"/>
        </w:rPr>
        <w:t xml:space="preserve"> –</w:t>
      </w:r>
      <w:r w:rsidR="005C1550">
        <w:rPr>
          <w:lang w:val="en-GB"/>
        </w:rPr>
        <w:t xml:space="preserve"> </w:t>
      </w:r>
      <w:r w:rsidRPr="006A11D2">
        <w:rPr>
          <w:lang w:val="en-GB"/>
        </w:rPr>
        <w:t xml:space="preserve">not </w:t>
      </w:r>
      <w:r>
        <w:rPr>
          <w:lang w:val="en-GB"/>
        </w:rPr>
        <w:t>just</w:t>
      </w:r>
      <w:r w:rsidRPr="006A11D2">
        <w:rPr>
          <w:lang w:val="en-GB"/>
        </w:rPr>
        <w:t xml:space="preserve"> in the present circumstances of a thirteen</w:t>
      </w:r>
      <w:r>
        <w:rPr>
          <w:lang w:val="en-GB"/>
        </w:rPr>
        <w:t>-</w:t>
      </w:r>
      <w:r w:rsidRPr="006A11D2">
        <w:rPr>
          <w:lang w:val="en-GB"/>
        </w:rPr>
        <w:t xml:space="preserve">year </w:t>
      </w:r>
      <w:r>
        <w:rPr>
          <w:lang w:val="en-GB"/>
        </w:rPr>
        <w:t>term</w:t>
      </w:r>
      <w:r w:rsidRPr="006A11D2">
        <w:rPr>
          <w:lang w:val="en-GB"/>
        </w:rPr>
        <w:t xml:space="preserve">, but </w:t>
      </w:r>
      <w:r>
        <w:rPr>
          <w:lang w:val="en-GB"/>
        </w:rPr>
        <w:t>also in general</w:t>
      </w:r>
      <w:r w:rsidRPr="006A11D2">
        <w:rPr>
          <w:lang w:val="en-GB"/>
        </w:rPr>
        <w:t xml:space="preserve">. In a proportionality analysis that looks first at the very law that is the source of </w:t>
      </w:r>
      <w:proofErr w:type="gramStart"/>
      <w:r w:rsidRPr="006A11D2">
        <w:rPr>
          <w:lang w:val="en-GB"/>
        </w:rPr>
        <w:t>an interference</w:t>
      </w:r>
      <w:proofErr w:type="gramEnd"/>
      <w:r w:rsidRPr="006A11D2">
        <w:rPr>
          <w:lang w:val="en-GB"/>
        </w:rPr>
        <w:t>, one looks at the law as a means chosen and at the end served (the protection of alleged feelings). The means are excessive</w:t>
      </w:r>
      <w:r>
        <w:rPr>
          <w:lang w:val="en-GB"/>
        </w:rPr>
        <w:t xml:space="preserve"> here</w:t>
      </w:r>
      <w:r w:rsidRPr="006A11D2">
        <w:rPr>
          <w:lang w:val="en-GB"/>
        </w:rPr>
        <w:t xml:space="preserve"> in </w:t>
      </w:r>
      <w:r>
        <w:rPr>
          <w:lang w:val="en-GB"/>
        </w:rPr>
        <w:t xml:space="preserve">the </w:t>
      </w:r>
      <w:r w:rsidRPr="006A11D2">
        <w:rPr>
          <w:lang w:val="en-GB"/>
        </w:rPr>
        <w:t>light of the end, among other</w:t>
      </w:r>
      <w:r>
        <w:rPr>
          <w:lang w:val="en-GB"/>
        </w:rPr>
        <w:t xml:space="preserve"> things</w:t>
      </w:r>
      <w:r w:rsidRPr="006A11D2">
        <w:rPr>
          <w:lang w:val="en-GB"/>
        </w:rPr>
        <w:t xml:space="preserve"> because the end itself is problematic</w:t>
      </w:r>
      <w:r>
        <w:rPr>
          <w:lang w:val="en-GB"/>
        </w:rPr>
        <w:t>;</w:t>
      </w:r>
      <w:r w:rsidRPr="006A11D2">
        <w:rPr>
          <w:lang w:val="en-GB"/>
        </w:rPr>
        <w:t xml:space="preserve"> the end in itself is simply not worth the inevitable sacrifice of freedom of expression resulting from the </w:t>
      </w:r>
      <w:r>
        <w:rPr>
          <w:lang w:val="en-GB"/>
        </w:rPr>
        <w:t>means</w:t>
      </w:r>
      <w:r w:rsidRPr="006A11D2">
        <w:rPr>
          <w:lang w:val="en-GB"/>
        </w:rPr>
        <w:t xml:space="preserve"> chosen</w:t>
      </w:r>
      <w:r>
        <w:rPr>
          <w:lang w:val="en-GB"/>
        </w:rPr>
        <w:t>,</w:t>
      </w:r>
      <w:r w:rsidRPr="006A11D2">
        <w:rPr>
          <w:lang w:val="en-GB"/>
        </w:rPr>
        <w:t xml:space="preserve"> but also from </w:t>
      </w:r>
      <w:r>
        <w:rPr>
          <w:lang w:val="en-GB"/>
        </w:rPr>
        <w:t xml:space="preserve">any </w:t>
      </w:r>
      <w:r w:rsidRPr="006A11D2">
        <w:rPr>
          <w:lang w:val="en-GB"/>
        </w:rPr>
        <w:t xml:space="preserve">less radical means. Alternatively, the present end is not legitimate; or, to the extent it might be legitimate for some, the means chosen </w:t>
      </w:r>
      <w:r>
        <w:rPr>
          <w:lang w:val="en-GB"/>
        </w:rPr>
        <w:t>are</w:t>
      </w:r>
      <w:r w:rsidRPr="006A11D2">
        <w:rPr>
          <w:lang w:val="en-GB"/>
        </w:rPr>
        <w:t xml:space="preserve"> certainly not the least restrictive</w:t>
      </w:r>
      <w:r>
        <w:rPr>
          <w:lang w:val="en-GB"/>
        </w:rPr>
        <w:t xml:space="preserve"> possible</w:t>
      </w:r>
      <w:r w:rsidRPr="006A11D2">
        <w:rPr>
          <w:lang w:val="en-GB"/>
        </w:rPr>
        <w:t>.</w:t>
      </w:r>
    </w:p>
    <w:p w:rsidRPr="006A11D2" w:rsidR="00B4264C" w:rsidP="00EE3DF9" w:rsidRDefault="00B4264C">
      <w:pPr>
        <w:pStyle w:val="OpiPara"/>
        <w:keepNext/>
        <w:rPr>
          <w:lang w:val="en-GB"/>
        </w:rPr>
      </w:pPr>
      <w:r w:rsidRPr="006A11D2">
        <w:rPr>
          <w:lang w:val="en-GB"/>
        </w:rPr>
        <w:t>Following the “standard” methodology I have signed on to many judgments where the severity of punishment was held to be an important or the decisive element of the disproportionality finding. The underlying message in those cases was clear: it is inappropriate in a democratic and free society at the level of civility and “civili</w:t>
      </w:r>
      <w:r>
        <w:rPr>
          <w:lang w:val="en-GB"/>
        </w:rPr>
        <w:t>s</w:t>
      </w:r>
      <w:r w:rsidRPr="006A11D2">
        <w:rPr>
          <w:lang w:val="en-GB"/>
        </w:rPr>
        <w:t xml:space="preserve">ation” that Europe hopes to have </w:t>
      </w:r>
      <w:r w:rsidRPr="006A11D2">
        <w:rPr>
          <w:lang w:val="en-GB"/>
        </w:rPr>
        <w:lastRenderedPageBreak/>
        <w:t>achieved to use sanctions, especially criminal sanctions</w:t>
      </w:r>
      <w:r>
        <w:rPr>
          <w:lang w:val="en-GB"/>
        </w:rPr>
        <w:t>,</w:t>
      </w:r>
      <w:r w:rsidRPr="006A11D2">
        <w:rPr>
          <w:lang w:val="en-GB"/>
        </w:rPr>
        <w:t xml:space="preserve"> for thought crime (and criminal sanctions in case</w:t>
      </w:r>
      <w:r>
        <w:rPr>
          <w:lang w:val="en-GB"/>
        </w:rPr>
        <w:t>s of reputational harm)</w:t>
      </w:r>
      <w:r w:rsidRPr="006A11D2">
        <w:rPr>
          <w:rStyle w:val="FootnoteReference"/>
          <w:lang w:val="en-GB"/>
        </w:rPr>
        <w:footnoteReference w:id="14"/>
      </w:r>
      <w:r>
        <w:rPr>
          <w:lang w:val="en-GB"/>
        </w:rPr>
        <w:t>.</w:t>
      </w:r>
      <w:r w:rsidRPr="006A11D2">
        <w:rPr>
          <w:lang w:val="en-GB"/>
        </w:rPr>
        <w:t xml:space="preserve"> But in those cases the Court did not find it appropriate to make express statements in this sense, probably </w:t>
      </w:r>
      <w:r>
        <w:rPr>
          <w:lang w:val="en-GB"/>
        </w:rPr>
        <w:t>as a result of</w:t>
      </w:r>
      <w:r w:rsidRPr="006A11D2">
        <w:rPr>
          <w:lang w:val="en-GB"/>
        </w:rPr>
        <w:t xml:space="preserve"> its putative role related to Art</w:t>
      </w:r>
      <w:r>
        <w:rPr>
          <w:lang w:val="en-GB"/>
        </w:rPr>
        <w:t>icle</w:t>
      </w:r>
      <w:r w:rsidRPr="006A11D2">
        <w:rPr>
          <w:lang w:val="en-GB"/>
        </w:rPr>
        <w:t xml:space="preserve"> 27 </w:t>
      </w:r>
      <w:r>
        <w:rPr>
          <w:lang w:val="en-GB"/>
        </w:rPr>
        <w:t xml:space="preserve">§ </w:t>
      </w:r>
      <w:r w:rsidRPr="006A11D2">
        <w:rPr>
          <w:lang w:val="en-GB"/>
        </w:rPr>
        <w:t xml:space="preserve">1 and </w:t>
      </w:r>
      <w:r w:rsidRPr="003825AE">
        <w:rPr>
          <w:lang w:val="en-GB"/>
        </w:rPr>
        <w:t>Article</w:t>
      </w:r>
      <w:r>
        <w:rPr>
          <w:lang w:val="en-GB"/>
        </w:rPr>
        <w:t xml:space="preserve"> </w:t>
      </w:r>
      <w:r w:rsidRPr="006A11D2">
        <w:rPr>
          <w:lang w:val="en-GB"/>
        </w:rPr>
        <w:t xml:space="preserve">34 of the Convention, although </w:t>
      </w:r>
      <w:r>
        <w:rPr>
          <w:lang w:val="en-GB"/>
        </w:rPr>
        <w:t>pursuant to</w:t>
      </w:r>
      <w:r w:rsidRPr="006A11D2">
        <w:rPr>
          <w:lang w:val="en-GB"/>
        </w:rPr>
        <w:t xml:space="preserve"> Art</w:t>
      </w:r>
      <w:r>
        <w:rPr>
          <w:lang w:val="en-GB"/>
        </w:rPr>
        <w:t>icle</w:t>
      </w:r>
      <w:r w:rsidRPr="006A11D2">
        <w:rPr>
          <w:lang w:val="en-GB"/>
        </w:rPr>
        <w:t xml:space="preserve"> 19 the Court is called </w:t>
      </w:r>
      <w:r>
        <w:rPr>
          <w:lang w:val="en-GB"/>
        </w:rPr>
        <w:t xml:space="preserve">upon </w:t>
      </w:r>
      <w:r w:rsidRPr="006A11D2">
        <w:rPr>
          <w:lang w:val="en-GB"/>
        </w:rPr>
        <w:t xml:space="preserve">to </w:t>
      </w:r>
      <w:r>
        <w:rPr>
          <w:lang w:val="en-GB"/>
        </w:rPr>
        <w:t xml:space="preserve">ensure </w:t>
      </w:r>
      <w:r w:rsidRPr="006A11D2">
        <w:rPr>
          <w:lang w:val="en-GB"/>
        </w:rPr>
        <w:t xml:space="preserve">the observance of the engagements undertaken by the Parties; “engagements” </w:t>
      </w:r>
      <w:r>
        <w:rPr>
          <w:lang w:val="en-GB"/>
        </w:rPr>
        <w:t xml:space="preserve">that </w:t>
      </w:r>
      <w:r w:rsidRPr="006A11D2">
        <w:rPr>
          <w:lang w:val="en-GB"/>
        </w:rPr>
        <w:t>are of a gene</w:t>
      </w:r>
      <w:r>
        <w:rPr>
          <w:lang w:val="en-GB"/>
        </w:rPr>
        <w:t>ral and structural nature. The L</w:t>
      </w:r>
      <w:r w:rsidRPr="006A11D2">
        <w:rPr>
          <w:lang w:val="en-GB"/>
        </w:rPr>
        <w:t>aw</w:t>
      </w:r>
      <w:r>
        <w:rPr>
          <w:lang w:val="en-GB"/>
        </w:rPr>
        <w:t xml:space="preserve"> at issue</w:t>
      </w:r>
      <w:r w:rsidRPr="006A11D2">
        <w:rPr>
          <w:lang w:val="en-GB"/>
        </w:rPr>
        <w:t xml:space="preserve"> constitutes a blanket ban on the expression of specific political content for the sake of public sensitivities elevated to the </w:t>
      </w:r>
      <w:r>
        <w:rPr>
          <w:lang w:val="en-GB"/>
        </w:rPr>
        <w:t>status</w:t>
      </w:r>
      <w:r w:rsidRPr="006A11D2">
        <w:rPr>
          <w:lang w:val="en-GB"/>
        </w:rPr>
        <w:t xml:space="preserve"> of a “right”. </w:t>
      </w:r>
      <w:r>
        <w:rPr>
          <w:lang w:val="en-GB"/>
        </w:rPr>
        <w:t>In view of these engagements, content discrimination for the sake of t</w:t>
      </w:r>
      <w:r w:rsidRPr="006A11D2">
        <w:rPr>
          <w:lang w:val="en-GB"/>
        </w:rPr>
        <w:t xml:space="preserve">he protection of the memory of a national hero by criminal law is incompatible with the </w:t>
      </w:r>
      <w:r>
        <w:rPr>
          <w:lang w:val="en-GB"/>
        </w:rPr>
        <w:t>C</w:t>
      </w:r>
      <w:r w:rsidRPr="006A11D2">
        <w:rPr>
          <w:lang w:val="en-GB"/>
        </w:rPr>
        <w:t>onvention</w:t>
      </w:r>
      <w:r>
        <w:rPr>
          <w:lang w:val="en-GB"/>
        </w:rPr>
        <w:t>.</w:t>
      </w:r>
      <w:r w:rsidRPr="006A11D2">
        <w:rPr>
          <w:lang w:val="en-GB"/>
        </w:rPr>
        <w:t xml:space="preserve"> </w:t>
      </w:r>
      <w:r>
        <w:rPr>
          <w:lang w:val="en-GB"/>
        </w:rPr>
        <w:t>In</w:t>
      </w:r>
      <w:r w:rsidRPr="006A11D2">
        <w:rPr>
          <w:lang w:val="en-GB"/>
        </w:rPr>
        <w:t xml:space="preserve"> the present circumstances of extreme harshness, </w:t>
      </w:r>
      <w:r>
        <w:rPr>
          <w:lang w:val="en-GB"/>
        </w:rPr>
        <w:t>which</w:t>
      </w:r>
      <w:r w:rsidRPr="006A11D2">
        <w:rPr>
          <w:lang w:val="en-GB"/>
        </w:rPr>
        <w:t xml:space="preserve"> will inevitably </w:t>
      </w:r>
      <w:r>
        <w:rPr>
          <w:lang w:val="en-GB"/>
        </w:rPr>
        <w:t xml:space="preserve">be </w:t>
      </w:r>
      <w:r w:rsidRPr="006A11D2">
        <w:rPr>
          <w:lang w:val="en-GB"/>
        </w:rPr>
        <w:t>repeat</w:t>
      </w:r>
      <w:r>
        <w:rPr>
          <w:lang w:val="en-GB"/>
        </w:rPr>
        <w:t>ed</w:t>
      </w:r>
      <w:r w:rsidRPr="006A11D2">
        <w:rPr>
          <w:lang w:val="en-GB"/>
        </w:rPr>
        <w:t>, this has to be made clear.</w:t>
      </w:r>
    </w:p>
    <w:p w:rsidRPr="006A11D2" w:rsidR="00B4264C" w:rsidP="00B4264C" w:rsidRDefault="00B4264C">
      <w:pPr>
        <w:pStyle w:val="OpiHA"/>
        <w:rPr>
          <w:lang w:val="en-GB"/>
        </w:rPr>
      </w:pPr>
      <w:proofErr w:type="gramStart"/>
      <w:r w:rsidRPr="006A11D2">
        <w:rPr>
          <w:lang w:val="en-GB"/>
        </w:rPr>
        <w:t>II.</w:t>
      </w:r>
      <w:proofErr w:type="gramEnd"/>
    </w:p>
    <w:p w:rsidRPr="006A11D2" w:rsidR="00B4264C" w:rsidP="00B4264C" w:rsidRDefault="00B4264C">
      <w:pPr>
        <w:pStyle w:val="OpiPara"/>
        <w:rPr>
          <w:lang w:val="en-GB"/>
        </w:rPr>
      </w:pPr>
      <w:r w:rsidRPr="006A11D2">
        <w:rPr>
          <w:lang w:val="en-GB"/>
        </w:rPr>
        <w:t xml:space="preserve">The </w:t>
      </w:r>
      <w:r>
        <w:rPr>
          <w:lang w:val="en-GB"/>
        </w:rPr>
        <w:t xml:space="preserve">present </w:t>
      </w:r>
      <w:r w:rsidRPr="006A11D2">
        <w:rPr>
          <w:lang w:val="en-GB"/>
        </w:rPr>
        <w:t xml:space="preserve">judgment provides just satisfaction for the non-pecuniary damage suffered by the applicant. This is proportionate in the sense that it </w:t>
      </w:r>
      <w:r>
        <w:rPr>
          <w:lang w:val="en-GB"/>
        </w:rPr>
        <w:t>falls</w:t>
      </w:r>
      <w:r w:rsidRPr="006A11D2">
        <w:rPr>
          <w:lang w:val="en-GB"/>
        </w:rPr>
        <w:t xml:space="preserve"> </w:t>
      </w:r>
      <w:r>
        <w:rPr>
          <w:lang w:val="en-GB"/>
        </w:rPr>
        <w:t>within</w:t>
      </w:r>
      <w:r w:rsidRPr="006A11D2">
        <w:rPr>
          <w:lang w:val="en-GB"/>
        </w:rPr>
        <w:t xml:space="preserve"> the range of satisfaction provided </w:t>
      </w:r>
      <w:r>
        <w:rPr>
          <w:lang w:val="en-GB"/>
        </w:rPr>
        <w:t>in</w:t>
      </w:r>
      <w:r w:rsidRPr="006A11D2">
        <w:rPr>
          <w:lang w:val="en-GB"/>
        </w:rPr>
        <w:t xml:space="preserve"> other similarly grave freedom of expression and disenfranchisement cases. (One may have doubts that such an amount is equitable in view of the seven years of unmerited suffering in prison). I accept that the amount follows our practice. But with all due respect</w:t>
      </w:r>
      <w:r>
        <w:rPr>
          <w:lang w:val="en-GB"/>
        </w:rPr>
        <w:t>,</w:t>
      </w:r>
      <w:r w:rsidRPr="006A11D2">
        <w:rPr>
          <w:lang w:val="en-GB"/>
        </w:rPr>
        <w:t xml:space="preserve"> I cannot agree with my colleagues </w:t>
      </w:r>
      <w:r>
        <w:rPr>
          <w:lang w:val="en-GB"/>
        </w:rPr>
        <w:t>as</w:t>
      </w:r>
      <w:r w:rsidRPr="006A11D2">
        <w:rPr>
          <w:lang w:val="en-GB"/>
        </w:rPr>
        <w:t xml:space="preserve"> regard</w:t>
      </w:r>
      <w:r>
        <w:rPr>
          <w:lang w:val="en-GB"/>
        </w:rPr>
        <w:t>s</w:t>
      </w:r>
      <w:r w:rsidRPr="006A11D2">
        <w:rPr>
          <w:lang w:val="en-GB"/>
        </w:rPr>
        <w:t xml:space="preserve"> pecuniary (material) damage, even if denial of an award on this ground is not uncommon in comparable cases. The applicant </w:t>
      </w:r>
      <w:r>
        <w:rPr>
          <w:lang w:val="en-GB"/>
        </w:rPr>
        <w:t xml:space="preserve">certainly </w:t>
      </w:r>
      <w:r w:rsidRPr="006A11D2">
        <w:rPr>
          <w:lang w:val="en-GB"/>
        </w:rPr>
        <w:t xml:space="preserve">suffered material damage (loss of income) because of his incarceration: there is a causal link </w:t>
      </w:r>
      <w:r>
        <w:rPr>
          <w:lang w:val="en-GB"/>
        </w:rPr>
        <w:t>with</w:t>
      </w:r>
      <w:r w:rsidRPr="006A11D2">
        <w:rPr>
          <w:lang w:val="en-GB"/>
        </w:rPr>
        <w:t xml:space="preserve"> </w:t>
      </w:r>
      <w:r>
        <w:rPr>
          <w:lang w:val="en-GB"/>
        </w:rPr>
        <w:t xml:space="preserve">a </w:t>
      </w:r>
      <w:r w:rsidRPr="006A11D2">
        <w:rPr>
          <w:lang w:val="en-GB"/>
        </w:rPr>
        <w:t>loss of income. This loss is hard to quantify, but technical difficulties of calculation cannot negate the existence of a loss: the applicant was a qualified teacher, albeit unemployed before his conviction, who would have earned a living like an</w:t>
      </w:r>
      <w:r>
        <w:rPr>
          <w:lang w:val="en-GB"/>
        </w:rPr>
        <w:t>y</w:t>
      </w:r>
      <w:r w:rsidRPr="006A11D2">
        <w:rPr>
          <w:lang w:val="en-GB"/>
        </w:rPr>
        <w:t xml:space="preserve"> average person in his situation, had he not been incarcerated in violation of the Convention. The loss is </w:t>
      </w:r>
      <w:r>
        <w:rPr>
          <w:lang w:val="en-GB"/>
        </w:rPr>
        <w:t xml:space="preserve">thus </w:t>
      </w:r>
      <w:r w:rsidRPr="006A11D2">
        <w:rPr>
          <w:lang w:val="en-GB"/>
        </w:rPr>
        <w:t xml:space="preserve">quantifiable, either on the basis of the average income of a teacher in his position, or at least </w:t>
      </w:r>
      <w:r>
        <w:rPr>
          <w:lang w:val="en-GB"/>
        </w:rPr>
        <w:t>with</w:t>
      </w:r>
      <w:r w:rsidRPr="006A11D2">
        <w:rPr>
          <w:lang w:val="en-GB"/>
        </w:rPr>
        <w:t xml:space="preserve"> regard to the minimum income of an employed person (using the unfair assumption that he could not have found a position in education). Moreover, because of the conviction, he will not be able to work </w:t>
      </w:r>
      <w:r>
        <w:rPr>
          <w:lang w:val="en-GB"/>
        </w:rPr>
        <w:t xml:space="preserve">again </w:t>
      </w:r>
      <w:r w:rsidRPr="006A11D2">
        <w:rPr>
          <w:lang w:val="en-GB"/>
        </w:rPr>
        <w:t xml:space="preserve">as a civil servant (it is </w:t>
      </w:r>
      <w:r>
        <w:rPr>
          <w:lang w:val="en-GB"/>
        </w:rPr>
        <w:t xml:space="preserve">even </w:t>
      </w:r>
      <w:r w:rsidRPr="006A11D2">
        <w:rPr>
          <w:lang w:val="en-GB"/>
        </w:rPr>
        <w:t>unlikely that</w:t>
      </w:r>
      <w:r>
        <w:rPr>
          <w:lang w:val="en-GB"/>
        </w:rPr>
        <w:t>,</w:t>
      </w:r>
      <w:r w:rsidRPr="006A11D2">
        <w:rPr>
          <w:lang w:val="en-GB"/>
        </w:rPr>
        <w:t xml:space="preserve"> </w:t>
      </w:r>
      <w:r>
        <w:rPr>
          <w:lang w:val="en-GB"/>
        </w:rPr>
        <w:t>having been</w:t>
      </w:r>
      <w:r w:rsidRPr="006A11D2">
        <w:rPr>
          <w:lang w:val="en-GB"/>
        </w:rPr>
        <w:t xml:space="preserve"> released on licence</w:t>
      </w:r>
      <w:r>
        <w:rPr>
          <w:lang w:val="en-GB"/>
        </w:rPr>
        <w:t>,</w:t>
      </w:r>
      <w:r w:rsidRPr="006A11D2">
        <w:rPr>
          <w:lang w:val="en-GB"/>
        </w:rPr>
        <w:t xml:space="preserve"> he will find a position</w:t>
      </w:r>
      <w:r w:rsidRPr="006A11D2" w:rsidDel="00090FF2">
        <w:rPr>
          <w:lang w:val="en-GB"/>
        </w:rPr>
        <w:t xml:space="preserve"> </w:t>
      </w:r>
      <w:r w:rsidRPr="006A11D2">
        <w:rPr>
          <w:lang w:val="en-GB"/>
        </w:rPr>
        <w:t xml:space="preserve">as a teacher in private education). To determine </w:t>
      </w:r>
      <w:r>
        <w:rPr>
          <w:lang w:val="en-GB"/>
        </w:rPr>
        <w:t xml:space="preserve">the </w:t>
      </w:r>
      <w:r w:rsidRPr="006A11D2">
        <w:rPr>
          <w:lang w:val="en-GB"/>
        </w:rPr>
        <w:t xml:space="preserve">loss </w:t>
      </w:r>
      <w:r w:rsidRPr="006A11D2">
        <w:rPr>
          <w:lang w:val="en-GB"/>
        </w:rPr>
        <w:lastRenderedPageBreak/>
        <w:t>of future income is not rocket science and courts do use estimates in such circumstances, taking life expectancy</w:t>
      </w:r>
      <w:r w:rsidRPr="00786D15">
        <w:rPr>
          <w:lang w:val="en-GB"/>
        </w:rPr>
        <w:t xml:space="preserve"> </w:t>
      </w:r>
      <w:r w:rsidRPr="00AD697D">
        <w:rPr>
          <w:lang w:val="en-GB"/>
        </w:rPr>
        <w:t>into consideration</w:t>
      </w:r>
      <w:r w:rsidRPr="006A11D2">
        <w:rPr>
          <w:lang w:val="en-GB"/>
        </w:rPr>
        <w:t xml:space="preserve">. I </w:t>
      </w:r>
      <w:r>
        <w:rPr>
          <w:lang w:val="en-GB"/>
        </w:rPr>
        <w:t xml:space="preserve">have </w:t>
      </w:r>
      <w:r w:rsidRPr="006A11D2">
        <w:rPr>
          <w:lang w:val="en-GB"/>
        </w:rPr>
        <w:t>had the opportunity to express my reservations regarding the Court</w:t>
      </w:r>
      <w:r w:rsidR="0050610F">
        <w:rPr>
          <w:lang w:val="en-GB"/>
        </w:rPr>
        <w:t>’</w:t>
      </w:r>
      <w:r>
        <w:rPr>
          <w:lang w:val="en-GB"/>
        </w:rPr>
        <w:t>s</w:t>
      </w:r>
      <w:r w:rsidRPr="006A11D2">
        <w:rPr>
          <w:lang w:val="en-GB"/>
        </w:rPr>
        <w:t xml:space="preserve"> parsimonious approach in matters of </w:t>
      </w:r>
      <w:r>
        <w:rPr>
          <w:lang w:val="en-GB"/>
        </w:rPr>
        <w:t>pecuniary</w:t>
      </w:r>
      <w:r w:rsidRPr="006A11D2">
        <w:rPr>
          <w:lang w:val="en-GB"/>
        </w:rPr>
        <w:t xml:space="preserve"> damage, concerned </w:t>
      </w:r>
      <w:r>
        <w:rPr>
          <w:lang w:val="en-GB"/>
        </w:rPr>
        <w:t xml:space="preserve">as it is </w:t>
      </w:r>
      <w:r w:rsidRPr="006A11D2">
        <w:rPr>
          <w:lang w:val="en-GB"/>
        </w:rPr>
        <w:t xml:space="preserve">with the risk of “speculative” awards. The </w:t>
      </w:r>
      <w:r>
        <w:rPr>
          <w:lang w:val="en-GB"/>
        </w:rPr>
        <w:t>“</w:t>
      </w:r>
      <w:r w:rsidRPr="006A11D2">
        <w:rPr>
          <w:lang w:val="en-GB"/>
        </w:rPr>
        <w:t>gross injustice</w:t>
      </w:r>
      <w:r>
        <w:rPr>
          <w:lang w:val="en-GB"/>
        </w:rPr>
        <w:t>”</w:t>
      </w:r>
      <w:r w:rsidRPr="006A11D2">
        <w:rPr>
          <w:lang w:val="en-GB"/>
        </w:rPr>
        <w:t xml:space="preserve"> suffered by the applicant </w:t>
      </w:r>
      <w:r>
        <w:rPr>
          <w:lang w:val="en-GB"/>
        </w:rPr>
        <w:t xml:space="preserve">in the present case </w:t>
      </w:r>
      <w:r w:rsidRPr="006A11D2">
        <w:rPr>
          <w:lang w:val="en-GB"/>
        </w:rPr>
        <w:t xml:space="preserve">forces me to </w:t>
      </w:r>
      <w:r>
        <w:rPr>
          <w:lang w:val="en-GB"/>
        </w:rPr>
        <w:t xml:space="preserve">reach </w:t>
      </w:r>
      <w:r w:rsidRPr="006A11D2">
        <w:rPr>
          <w:lang w:val="en-GB"/>
        </w:rPr>
        <w:t xml:space="preserve">the sad conclusion that the Court </w:t>
      </w:r>
      <w:r>
        <w:rPr>
          <w:lang w:val="en-GB"/>
        </w:rPr>
        <w:t xml:space="preserve">has </w:t>
      </w:r>
      <w:r w:rsidRPr="006A11D2">
        <w:rPr>
          <w:lang w:val="en-GB"/>
        </w:rPr>
        <w:t>depart</w:t>
      </w:r>
      <w:r>
        <w:rPr>
          <w:lang w:val="en-GB"/>
        </w:rPr>
        <w:t>ed</w:t>
      </w:r>
      <w:r w:rsidRPr="006A11D2">
        <w:rPr>
          <w:lang w:val="en-GB"/>
        </w:rPr>
        <w:t xml:space="preserve"> from those standards of remedy that national courts and international law find to be a matter of course; and a matter of reason</w:t>
      </w:r>
      <w:r w:rsidRPr="006A11D2">
        <w:rPr>
          <w:rStyle w:val="FootnoteReference"/>
          <w:lang w:val="en-GB"/>
        </w:rPr>
        <w:footnoteReference w:id="15"/>
      </w:r>
      <w:r w:rsidRPr="006A11D2">
        <w:rPr>
          <w:lang w:val="en-GB"/>
        </w:rPr>
        <w:t>.</w:t>
      </w:r>
    </w:p>
    <w:p w:rsidRPr="007D2BB9" w:rsidR="00B4264C" w:rsidP="00F51BE0" w:rsidRDefault="00B4264C">
      <w:pPr>
        <w:pStyle w:val="OpiPara"/>
        <w:rPr>
          <w:lang w:val="en-GB"/>
        </w:rPr>
      </w:pPr>
      <w:r w:rsidRPr="006A11D2">
        <w:rPr>
          <w:lang w:val="en-GB"/>
        </w:rPr>
        <w:t>Finally, the Court should have applied the Gen</w:t>
      </w:r>
      <w:r>
        <w:rPr>
          <w:lang w:val="en-GB"/>
        </w:rPr>
        <w:t>ç</w:t>
      </w:r>
      <w:r w:rsidRPr="006A11D2">
        <w:rPr>
          <w:lang w:val="en-GB"/>
        </w:rPr>
        <w:t>el</w:t>
      </w:r>
      <w:r w:rsidRPr="006A11D2">
        <w:rPr>
          <w:rStyle w:val="FootnoteReference"/>
          <w:lang w:val="en-GB"/>
        </w:rPr>
        <w:footnoteReference w:id="16"/>
      </w:r>
      <w:r w:rsidRPr="006A11D2">
        <w:rPr>
          <w:lang w:val="en-GB"/>
        </w:rPr>
        <w:t xml:space="preserve"> clause: the case should be reopened and the continuing </w:t>
      </w:r>
      <w:proofErr w:type="gramStart"/>
      <w:r w:rsidRPr="006A11D2">
        <w:rPr>
          <w:lang w:val="en-GB"/>
        </w:rPr>
        <w:t>effects</w:t>
      </w:r>
      <w:proofErr w:type="gramEnd"/>
      <w:r w:rsidRPr="006A11D2">
        <w:rPr>
          <w:lang w:val="en-GB"/>
        </w:rPr>
        <w:t xml:space="preserve"> of the</w:t>
      </w:r>
      <w:r>
        <w:rPr>
          <w:lang w:val="en-GB"/>
        </w:rPr>
        <w:t xml:space="preserve"> </w:t>
      </w:r>
      <w:r w:rsidRPr="00786D15">
        <w:t>applicant</w:t>
      </w:r>
      <w:r w:rsidR="0050610F">
        <w:rPr>
          <w:lang w:val="en-GB"/>
        </w:rPr>
        <w:t>’</w:t>
      </w:r>
      <w:r>
        <w:rPr>
          <w:lang w:val="en-GB"/>
        </w:rPr>
        <w:t>s</w:t>
      </w:r>
      <w:r w:rsidRPr="006A11D2">
        <w:rPr>
          <w:lang w:val="en-GB"/>
        </w:rPr>
        <w:t xml:space="preserve"> conviction, in particular </w:t>
      </w:r>
      <w:r>
        <w:rPr>
          <w:lang w:val="en-GB"/>
        </w:rPr>
        <w:t>his</w:t>
      </w:r>
      <w:r w:rsidRPr="006A11D2">
        <w:rPr>
          <w:lang w:val="en-GB"/>
        </w:rPr>
        <w:t xml:space="preserve"> release on licen</w:t>
      </w:r>
      <w:r>
        <w:rPr>
          <w:lang w:val="en-GB"/>
        </w:rPr>
        <w:t>c</w:t>
      </w:r>
      <w:r w:rsidRPr="006A11D2">
        <w:rPr>
          <w:lang w:val="en-GB"/>
        </w:rPr>
        <w:t>e</w:t>
      </w:r>
      <w:r>
        <w:rPr>
          <w:lang w:val="en-GB"/>
        </w:rPr>
        <w:t>, must</w:t>
      </w:r>
      <w:r w:rsidRPr="006A11D2">
        <w:rPr>
          <w:lang w:val="en-GB"/>
        </w:rPr>
        <w:t xml:space="preserve"> be remedied.</w:t>
      </w:r>
    </w:p>
    <w:p w:rsidR="004A4F56" w:rsidP="00B4264C" w:rsidRDefault="004A4F56">
      <w:pPr>
        <w:pStyle w:val="OpiPara"/>
        <w:jc w:val="right"/>
        <w:rPr>
          <w:lang w:val="en-GB"/>
        </w:rPr>
        <w:sectPr w:rsidR="004A4F56">
          <w:headerReference w:type="even" r:id="rId13"/>
          <w:headerReference w:type="default" r:id="rId14"/>
          <w:footnotePr>
            <w:numRestart w:val="eachSect"/>
          </w:footnotePr>
          <w:pgSz w:w="11906" w:h="16838"/>
          <w:pgMar w:top="2274" w:right="2274" w:bottom="2274" w:left="2274" w:header="1701" w:footer="720" w:gutter="0"/>
          <w:cols w:space="720"/>
        </w:sectPr>
      </w:pPr>
    </w:p>
    <w:p w:rsidRPr="000A12AD" w:rsidR="004A4F56" w:rsidP="004A4F56" w:rsidRDefault="004A4F56">
      <w:pPr>
        <w:pStyle w:val="ECHRTitleCentre1"/>
        <w:rPr>
          <w:lang w:val="en-GB"/>
        </w:rPr>
      </w:pPr>
      <w:r>
        <w:rPr>
          <w:lang w:val="en-GB"/>
        </w:rPr>
        <w:lastRenderedPageBreak/>
        <w:t>JOINT CONCURRING</w:t>
      </w:r>
      <w:r w:rsidRPr="000A12AD">
        <w:rPr>
          <w:lang w:val="en-GB"/>
        </w:rPr>
        <w:t xml:space="preserve"> OPINION OF JUDGE</w:t>
      </w:r>
      <w:r>
        <w:rPr>
          <w:lang w:val="en-GB"/>
        </w:rPr>
        <w:t>S</w:t>
      </w:r>
      <w:r w:rsidRPr="000A12AD">
        <w:rPr>
          <w:lang w:val="en-GB"/>
        </w:rPr>
        <w:t xml:space="preserve"> </w:t>
      </w:r>
      <w:r>
        <w:rPr>
          <w:lang w:val="en-GB"/>
        </w:rPr>
        <w:t>VUČINIĆ AND K</w:t>
      </w:r>
      <w:r w:rsidRPr="00B21620">
        <w:rPr>
          <w:lang w:val="en-GB"/>
        </w:rPr>
        <w:t>Ū</w:t>
      </w:r>
      <w:r>
        <w:rPr>
          <w:lang w:val="en-GB"/>
        </w:rPr>
        <w:t>RIS</w:t>
      </w:r>
    </w:p>
    <w:p w:rsidRPr="00B21620" w:rsidR="004A4F56" w:rsidP="004A4F56" w:rsidRDefault="004A4F56">
      <w:pPr>
        <w:pStyle w:val="OpiPara"/>
      </w:pPr>
      <w:r w:rsidRPr="00B21620">
        <w:t xml:space="preserve">It is more than obvious that the situation examined in this case discloses certain fundamental issues related to the limits of freedom of expression and especially to their impact on </w:t>
      </w:r>
      <w:r>
        <w:t xml:space="preserve">the </w:t>
      </w:r>
      <w:r w:rsidRPr="00B21620">
        <w:t>persons concerned. Like Judge S</w:t>
      </w:r>
      <w:r>
        <w:t>a</w:t>
      </w:r>
      <w:r w:rsidRPr="00B21620">
        <w:t>j</w:t>
      </w:r>
      <w:r>
        <w:rPr>
          <w:rFonts w:cstheme="minorHAnsi"/>
        </w:rPr>
        <w:t>ó</w:t>
      </w:r>
      <w:r w:rsidRPr="00B21620">
        <w:t xml:space="preserve">, we also </w:t>
      </w:r>
      <w:r>
        <w:t>regret</w:t>
      </w:r>
      <w:r w:rsidRPr="00B21620">
        <w:t xml:space="preserve"> that these issues have been evaded in the judgment. Our approach to these issues in great part, but by no means in full, corresponds to that </w:t>
      </w:r>
      <w:r>
        <w:t xml:space="preserve">which is </w:t>
      </w:r>
      <w:r w:rsidRPr="00B21620">
        <w:t>advanced in Judge S</w:t>
      </w:r>
      <w:r>
        <w:t>a</w:t>
      </w:r>
      <w:r w:rsidRPr="00B21620">
        <w:t>j</w:t>
      </w:r>
      <w:r>
        <w:rPr>
          <w:rFonts w:cstheme="minorHAnsi"/>
        </w:rPr>
        <w:t>ó</w:t>
      </w:r>
      <w:r w:rsidR="0050610F">
        <w:t>’</w:t>
      </w:r>
      <w:r w:rsidRPr="00B21620">
        <w:t>s separate opinion.</w:t>
      </w:r>
    </w:p>
    <w:sectPr w:rsidRPr="00B21620" w:rsidR="004A4F56">
      <w:footnotePr>
        <w:numRestart w:val="eachSect"/>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050" w:rsidRDefault="00276050">
      <w:r>
        <w:separator/>
      </w:r>
    </w:p>
    <w:p w:rsidR="00276050" w:rsidRDefault="00276050"/>
  </w:endnote>
  <w:endnote w:type="continuationSeparator" w:id="0">
    <w:p w:rsidR="00276050" w:rsidRDefault="00276050">
      <w:r>
        <w:continuationSeparator/>
      </w:r>
    </w:p>
    <w:p w:rsidR="00276050" w:rsidRDefault="002760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50" w:rsidRDefault="00276050" w:rsidP="00276050">
    <w:pPr>
      <w:pStyle w:val="Footer"/>
      <w:jc w:val="center"/>
    </w:pPr>
    <w:r>
      <w:rPr>
        <w:noProof/>
        <w:sz w:val="4"/>
        <w:szCs w:val="4"/>
        <w:lang w:val="fr-FR" w:eastAsia="fr-FR"/>
      </w:rPr>
      <w:drawing>
        <wp:inline distT="0" distB="0" distL="0" distR="0" wp14:anchorId="1DB5EB9A" wp14:editId="671C472A">
          <wp:extent cx="683895" cy="417830"/>
          <wp:effectExtent l="0" t="0" r="0" b="1270"/>
          <wp:docPr id="2" name="Picture 2" descr="DocFoote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Footer-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41783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050" w:rsidRDefault="00276050">
      <w:r>
        <w:separator/>
      </w:r>
    </w:p>
    <w:p w:rsidR="00276050" w:rsidRDefault="00276050"/>
  </w:footnote>
  <w:footnote w:type="continuationSeparator" w:id="0">
    <w:p w:rsidR="00276050" w:rsidRDefault="00276050">
      <w:r>
        <w:continuationSeparator/>
      </w:r>
    </w:p>
    <w:p w:rsidR="00276050" w:rsidRDefault="00276050"/>
  </w:footnote>
  <w:footnote w:id="1">
    <w:p w:rsidR="00B7067F" w:rsidRPr="00637D93" w:rsidRDefault="00B7067F" w:rsidP="00B7067F">
      <w:pPr>
        <w:pStyle w:val="FootnoteText"/>
        <w:rPr>
          <w:lang w:val="en-GB"/>
        </w:rPr>
      </w:pPr>
      <w:r w:rsidRPr="00637D93">
        <w:footnoteRef/>
      </w:r>
      <w:r>
        <w:rPr>
          <w:lang w:val="en-GB"/>
        </w:rPr>
        <w:t>.  </w:t>
      </w:r>
      <w:r>
        <w:t xml:space="preserve">Mustafa Kemal </w:t>
      </w:r>
      <w:r>
        <w:rPr>
          <w:lang w:val="en-GB"/>
        </w:rPr>
        <w:t>Atatürk is the founder and the first President of the Republic of Turkey.</w:t>
      </w:r>
    </w:p>
    <w:p w:rsidR="00B7067F" w:rsidRPr="00B7067F" w:rsidRDefault="00B7067F">
      <w:pPr>
        <w:pStyle w:val="FootnoteText"/>
        <w:rPr>
          <w:lang w:val="en-GB"/>
        </w:rPr>
      </w:pPr>
    </w:p>
  </w:footnote>
  <w:footnote w:id="2">
    <w:p w:rsidR="00B7067F" w:rsidRDefault="00B7067F" w:rsidP="00B7067F">
      <w:pPr>
        <w:pStyle w:val="FootnoteText"/>
      </w:pPr>
      <w:r>
        <w:t>2.  Kemalist ideology is the political ideology of Mustafa Kemal Atatürk, and is based on six main pillars of ideology; republicanism, nationalism, populism, secularism, statism and revolutionism.</w:t>
      </w:r>
    </w:p>
    <w:p w:rsidR="00B7067F" w:rsidRDefault="00B7067F" w:rsidP="00B7067F"/>
    <w:p w:rsidR="00B7067F" w:rsidRPr="00B7067F" w:rsidRDefault="00B7067F">
      <w:pPr>
        <w:pStyle w:val="FootnoteText"/>
      </w:pPr>
    </w:p>
  </w:footnote>
  <w:footnote w:id="3">
    <w:p w:rsidR="00276050" w:rsidRPr="006A11D2" w:rsidRDefault="00276050" w:rsidP="00B4264C">
      <w:pPr>
        <w:pStyle w:val="FootnoteText"/>
      </w:pPr>
      <w:r>
        <w:rPr>
          <w:rStyle w:val="FootnoteReference"/>
          <w:vertAlign w:val="baseline"/>
        </w:rPr>
        <w:t>1.  </w:t>
      </w:r>
      <w:r w:rsidRPr="006A11D2">
        <w:t>In other contexts the Court uses a category-based approach. This is the approach in Article 3 cases, and to some extent even in the context of freedom of expression under Article 17, as certain categories of expression are deemed not worthy of protection because they are abusive, therefore belonging to a category that is impermissible and not protected.</w:t>
      </w:r>
    </w:p>
  </w:footnote>
  <w:footnote w:id="4">
    <w:p w:rsidR="00276050" w:rsidRPr="006A11D2" w:rsidRDefault="00276050" w:rsidP="00B4264C">
      <w:pPr>
        <w:pStyle w:val="FootnoteText"/>
      </w:pPr>
      <w:r w:rsidRPr="00EE3DF9">
        <w:rPr>
          <w:rStyle w:val="FootnoteReference"/>
          <w:vertAlign w:val="baseline"/>
        </w:rPr>
        <w:footnoteRef/>
      </w:r>
      <w:r>
        <w:t>.  </w:t>
      </w:r>
      <w:r w:rsidRPr="006A11D2">
        <w:t>In</w:t>
      </w:r>
      <w:r w:rsidRPr="006A11D2">
        <w:rPr>
          <w:i/>
        </w:rPr>
        <w:t xml:space="preserve"> Buitoni v Fonds d’Orientation</w:t>
      </w:r>
      <w:r w:rsidRPr="006A11D2">
        <w:t xml:space="preserve"> [1979] ECR 677, the European Court of Justice found a penalty for failing to report the use of a licence disproportionate because the penalty was the same as for the actual use of the licence. In </w:t>
      </w:r>
      <w:r w:rsidRPr="006A11D2">
        <w:rPr>
          <w:i/>
        </w:rPr>
        <w:t xml:space="preserve">Buitoni </w:t>
      </w:r>
      <w:r w:rsidRPr="006A11D2">
        <w:t>it was intuitively accepted that not reporting a crime and committing that crime could not be the same and did not deserve the same treatment. This is so obvious that it needs no further explanation.</w:t>
      </w:r>
    </w:p>
    <w:p w:rsidR="00276050" w:rsidRPr="006A11D2" w:rsidRDefault="00276050" w:rsidP="00B4264C">
      <w:pPr>
        <w:pStyle w:val="FootnoteText"/>
      </w:pPr>
      <w:r w:rsidRPr="006A11D2">
        <w:t xml:space="preserve">I follow here Bernhard Schlink, </w:t>
      </w:r>
      <w:r w:rsidRPr="006A11D2">
        <w:rPr>
          <w:i/>
        </w:rPr>
        <w:t>Proportionality (1)</w:t>
      </w:r>
      <w:r w:rsidRPr="006A11D2">
        <w:t xml:space="preserve"> and Aharon Barak, </w:t>
      </w:r>
      <w:r w:rsidRPr="006A11D2">
        <w:rPr>
          <w:i/>
        </w:rPr>
        <w:t>Proportionality (2)</w:t>
      </w:r>
      <w:r w:rsidRPr="006A11D2">
        <w:t xml:space="preserve"> in M. Rosenfeld and A. Sajó: </w:t>
      </w:r>
      <w:r w:rsidRPr="006A11D2">
        <w:rPr>
          <w:i/>
        </w:rPr>
        <w:t>The Oxford Handbook of Comparative Constitutional Law</w:t>
      </w:r>
      <w:r w:rsidRPr="006A11D2">
        <w:t>, Oxford University Press 2012.</w:t>
      </w:r>
    </w:p>
  </w:footnote>
  <w:footnote w:id="5">
    <w:p w:rsidR="00276050" w:rsidRPr="006A11D2" w:rsidRDefault="00276050" w:rsidP="00B4264C">
      <w:pPr>
        <w:pStyle w:val="FootnoteText"/>
      </w:pPr>
      <w:r w:rsidRPr="00EE3DF9">
        <w:rPr>
          <w:rStyle w:val="FootnoteReference"/>
          <w:vertAlign w:val="baseline"/>
        </w:rPr>
        <w:footnoteRef/>
      </w:r>
      <w:r>
        <w:t>.  </w:t>
      </w:r>
      <w:r w:rsidRPr="006A11D2">
        <w:t xml:space="preserve">See </w:t>
      </w:r>
      <w:r w:rsidRPr="006A11D2">
        <w:rPr>
          <w:i/>
        </w:rPr>
        <w:t xml:space="preserve">Texas v. Johnson, </w:t>
      </w:r>
      <w:r w:rsidRPr="006A11D2">
        <w:t>491 U.S. 397 (1989). For the advantages of the categorical approach see below.</w:t>
      </w:r>
    </w:p>
  </w:footnote>
  <w:footnote w:id="6">
    <w:p w:rsidR="00276050" w:rsidRPr="006A11D2" w:rsidRDefault="00276050" w:rsidP="00B4264C">
      <w:pPr>
        <w:pStyle w:val="FootnoteText"/>
      </w:pPr>
      <w:r w:rsidRPr="00EE3DF9">
        <w:rPr>
          <w:rStyle w:val="FootnoteReference"/>
          <w:vertAlign w:val="baseline"/>
        </w:rPr>
        <w:footnoteRef/>
      </w:r>
      <w:r>
        <w:t>.  </w:t>
      </w:r>
      <w:proofErr w:type="gramStart"/>
      <w:r w:rsidRPr="006A11D2">
        <w:rPr>
          <w:i/>
        </w:rPr>
        <w:t xml:space="preserve">Simon and Schuster, Inc. v. Members of the N.Y. State Crime Victims Bd., </w:t>
      </w:r>
      <w:r w:rsidRPr="006A11D2">
        <w:t>502 U.S. 105, 116 (1991).</w:t>
      </w:r>
      <w:proofErr w:type="gramEnd"/>
    </w:p>
  </w:footnote>
  <w:footnote w:id="7">
    <w:p w:rsidR="00276050" w:rsidRPr="006A11D2" w:rsidRDefault="00276050" w:rsidP="00B4264C">
      <w:pPr>
        <w:pStyle w:val="FootnoteText"/>
      </w:pPr>
      <w:r w:rsidRPr="00EE3DF9">
        <w:footnoteRef/>
      </w:r>
      <w:r>
        <w:t>.  A</w:t>
      </w:r>
      <w:r w:rsidRPr="006A11D2">
        <w:t xml:space="preserve"> categorical approach is used against applicants, but not against States</w:t>
      </w:r>
      <w:r>
        <w:t>, in the Article </w:t>
      </w:r>
      <w:r w:rsidRPr="006A11D2">
        <w:t xml:space="preserve">17 context (see </w:t>
      </w:r>
      <w:r w:rsidRPr="006A11D2">
        <w:rPr>
          <w:i/>
        </w:rPr>
        <w:t>Garaudy v. France</w:t>
      </w:r>
      <w:r w:rsidRPr="006A11D2">
        <w:t xml:space="preserve"> (dec.), no. 65831/01, ECHR 2003</w:t>
      </w:r>
      <w:r w:rsidRPr="006A11D2">
        <w:noBreakHyphen/>
        <w:t>IX).</w:t>
      </w:r>
    </w:p>
  </w:footnote>
  <w:footnote w:id="8">
    <w:p w:rsidR="00276050" w:rsidRPr="006A11D2" w:rsidRDefault="00276050" w:rsidP="00B4264C">
      <w:pPr>
        <w:pStyle w:val="ECHRPara"/>
        <w:ind w:firstLine="0"/>
        <w:rPr>
          <w:sz w:val="20"/>
          <w:szCs w:val="20"/>
          <w:lang w:val="en-GB"/>
        </w:rPr>
      </w:pPr>
      <w:r w:rsidRPr="00EE3DF9">
        <w:rPr>
          <w:rStyle w:val="FootnoteReference"/>
          <w:sz w:val="20"/>
          <w:szCs w:val="20"/>
          <w:vertAlign w:val="baseline"/>
          <w:lang w:val="en-GB"/>
        </w:rPr>
        <w:footnoteRef/>
      </w:r>
      <w:r>
        <w:rPr>
          <w:sz w:val="20"/>
          <w:szCs w:val="20"/>
          <w:lang w:val="en-GB"/>
        </w:rPr>
        <w:t>.  </w:t>
      </w:r>
      <w:r w:rsidRPr="006A11D2">
        <w:rPr>
          <w:sz w:val="20"/>
          <w:szCs w:val="20"/>
          <w:lang w:val="en-GB"/>
        </w:rPr>
        <w:t>Th</w:t>
      </w:r>
      <w:r>
        <w:rPr>
          <w:sz w:val="20"/>
          <w:szCs w:val="20"/>
          <w:lang w:val="en-GB"/>
        </w:rPr>
        <w:t>e</w:t>
      </w:r>
      <w:r w:rsidRPr="006A11D2">
        <w:rPr>
          <w:sz w:val="20"/>
          <w:szCs w:val="20"/>
          <w:lang w:val="en-GB"/>
        </w:rPr>
        <w:t xml:space="preserve"> Court accepted in </w:t>
      </w:r>
      <w:r w:rsidRPr="006A11D2">
        <w:rPr>
          <w:i/>
          <w:sz w:val="20"/>
          <w:szCs w:val="20"/>
          <w:lang w:val="en-GB"/>
        </w:rPr>
        <w:t>Otto-Preminger-Institut v. Austria</w:t>
      </w:r>
      <w:r w:rsidRPr="006A11D2">
        <w:rPr>
          <w:sz w:val="20"/>
          <w:szCs w:val="20"/>
          <w:lang w:val="en-GB"/>
        </w:rPr>
        <w:t xml:space="preserve"> (20 September 1994, Series A no.</w:t>
      </w:r>
      <w:r>
        <w:rPr>
          <w:sz w:val="20"/>
          <w:szCs w:val="20"/>
          <w:lang w:val="en-GB"/>
        </w:rPr>
        <w:t> </w:t>
      </w:r>
      <w:r w:rsidRPr="006A11D2">
        <w:rPr>
          <w:sz w:val="20"/>
          <w:szCs w:val="20"/>
          <w:lang w:val="en-GB"/>
        </w:rPr>
        <w:t>295</w:t>
      </w:r>
      <w:r w:rsidRPr="006A11D2">
        <w:rPr>
          <w:sz w:val="20"/>
          <w:szCs w:val="20"/>
          <w:lang w:val="en-GB"/>
        </w:rPr>
        <w:noBreakHyphen/>
        <w:t>A) that protection against indignation caused by</w:t>
      </w:r>
      <w:r w:rsidRPr="006A11D2">
        <w:rPr>
          <w:lang w:val="en-GB"/>
        </w:rPr>
        <w:t xml:space="preserve"> </w:t>
      </w:r>
      <w:r w:rsidRPr="006A11D2">
        <w:rPr>
          <w:sz w:val="20"/>
          <w:szCs w:val="20"/>
          <w:lang w:val="en-GB"/>
        </w:rPr>
        <w:t>“offensive” speech was a</w:t>
      </w:r>
      <w:r w:rsidRPr="006A11D2">
        <w:rPr>
          <w:lang w:val="en-GB"/>
        </w:rPr>
        <w:t xml:space="preserve"> </w:t>
      </w:r>
      <w:r w:rsidRPr="006A11D2">
        <w:rPr>
          <w:sz w:val="20"/>
          <w:szCs w:val="20"/>
          <w:lang w:val="en-GB"/>
        </w:rPr>
        <w:t xml:space="preserve">legitimate aim within the concept of the rights of others, at least where the right was freedom of religion. </w:t>
      </w:r>
      <w:r w:rsidRPr="006A11D2">
        <w:rPr>
          <w:i/>
          <w:sz w:val="20"/>
          <w:szCs w:val="20"/>
          <w:lang w:val="en-GB"/>
        </w:rPr>
        <w:t>A, B and C v. Ireland</w:t>
      </w:r>
      <w:r w:rsidRPr="006A11D2">
        <w:rPr>
          <w:sz w:val="20"/>
          <w:szCs w:val="20"/>
          <w:lang w:val="en-GB"/>
        </w:rPr>
        <w:t xml:space="preserve"> </w:t>
      </w:r>
      <w:r>
        <w:rPr>
          <w:sz w:val="20"/>
          <w:szCs w:val="20"/>
          <w:lang w:val="en-GB"/>
        </w:rPr>
        <w:t>(</w:t>
      </w:r>
      <w:r w:rsidRPr="006A11D2">
        <w:rPr>
          <w:sz w:val="20"/>
          <w:szCs w:val="20"/>
          <w:lang w:val="en-GB"/>
        </w:rPr>
        <w:t>[GC], no. 25579/05, § 232, ECHR 2010</w:t>
      </w:r>
      <w:r>
        <w:rPr>
          <w:sz w:val="20"/>
          <w:szCs w:val="20"/>
          <w:lang w:val="en-GB"/>
        </w:rPr>
        <w:t>)</w:t>
      </w:r>
      <w:r w:rsidRPr="006A11D2">
        <w:rPr>
          <w:sz w:val="20"/>
          <w:szCs w:val="20"/>
          <w:lang w:val="en-GB"/>
        </w:rPr>
        <w:t xml:space="preserve"> goes beyond a Convention</w:t>
      </w:r>
      <w:r>
        <w:rPr>
          <w:sz w:val="20"/>
          <w:szCs w:val="20"/>
          <w:lang w:val="en-GB"/>
        </w:rPr>
        <w:t>-</w:t>
      </w:r>
      <w:r w:rsidRPr="006A11D2">
        <w:rPr>
          <w:sz w:val="20"/>
          <w:szCs w:val="20"/>
          <w:lang w:val="en-GB"/>
        </w:rPr>
        <w:t>right-</w:t>
      </w:r>
      <w:r>
        <w:rPr>
          <w:sz w:val="20"/>
          <w:szCs w:val="20"/>
          <w:lang w:val="en-GB"/>
        </w:rPr>
        <w:t>related concern. Here</w:t>
      </w:r>
      <w:r w:rsidRPr="006A11D2">
        <w:rPr>
          <w:sz w:val="20"/>
          <w:szCs w:val="20"/>
          <w:lang w:val="en-GB"/>
        </w:rPr>
        <w:t xml:space="preserve"> it </w:t>
      </w:r>
      <w:r>
        <w:rPr>
          <w:sz w:val="20"/>
          <w:szCs w:val="20"/>
          <w:lang w:val="en-GB"/>
        </w:rPr>
        <w:t>was</w:t>
      </w:r>
      <w:r w:rsidRPr="006A11D2">
        <w:rPr>
          <w:sz w:val="20"/>
          <w:szCs w:val="20"/>
          <w:lang w:val="en-GB"/>
        </w:rPr>
        <w:t xml:space="preserve"> not popular religious sensitivity that </w:t>
      </w:r>
      <w:r>
        <w:rPr>
          <w:sz w:val="20"/>
          <w:szCs w:val="20"/>
          <w:lang w:val="en-GB"/>
        </w:rPr>
        <w:t>was</w:t>
      </w:r>
      <w:r w:rsidRPr="006A11D2">
        <w:rPr>
          <w:sz w:val="20"/>
          <w:szCs w:val="20"/>
          <w:lang w:val="en-GB"/>
        </w:rPr>
        <w:t xml:space="preserve"> to be protected and considered by the Court in a balancing exercise. The Court sa</w:t>
      </w:r>
      <w:r>
        <w:rPr>
          <w:sz w:val="20"/>
          <w:szCs w:val="20"/>
          <w:lang w:val="en-GB"/>
        </w:rPr>
        <w:t>id</w:t>
      </w:r>
      <w:r w:rsidRPr="006A11D2">
        <w:rPr>
          <w:sz w:val="20"/>
          <w:szCs w:val="20"/>
          <w:lang w:val="en-GB"/>
        </w:rPr>
        <w:t xml:space="preserve"> that where the case raise</w:t>
      </w:r>
      <w:r>
        <w:rPr>
          <w:sz w:val="20"/>
          <w:szCs w:val="20"/>
          <w:lang w:val="en-GB"/>
        </w:rPr>
        <w:t>d</w:t>
      </w:r>
      <w:r w:rsidRPr="006A11D2">
        <w:rPr>
          <w:sz w:val="20"/>
          <w:szCs w:val="20"/>
          <w:lang w:val="en-GB"/>
        </w:rPr>
        <w:t xml:space="preserve"> sensitive moral or ethical issues, the margin of appreciation </w:t>
      </w:r>
      <w:r>
        <w:rPr>
          <w:sz w:val="20"/>
          <w:szCs w:val="20"/>
          <w:lang w:val="en-GB"/>
        </w:rPr>
        <w:t>would</w:t>
      </w:r>
      <w:r w:rsidRPr="006A11D2">
        <w:rPr>
          <w:sz w:val="20"/>
          <w:szCs w:val="20"/>
          <w:lang w:val="en-GB"/>
        </w:rPr>
        <w:t xml:space="preserve"> be wider (but compared to what?), so the Court </w:t>
      </w:r>
      <w:r>
        <w:rPr>
          <w:sz w:val="20"/>
          <w:szCs w:val="20"/>
          <w:lang w:val="en-GB"/>
        </w:rPr>
        <w:t>was</w:t>
      </w:r>
      <w:r w:rsidRPr="006A11D2">
        <w:rPr>
          <w:sz w:val="20"/>
          <w:szCs w:val="20"/>
          <w:lang w:val="en-GB"/>
        </w:rPr>
        <w:t xml:space="preserve"> technically not even compelled to go</w:t>
      </w:r>
      <w:r>
        <w:rPr>
          <w:sz w:val="20"/>
          <w:szCs w:val="20"/>
          <w:lang w:val="en-GB"/>
        </w:rPr>
        <w:t xml:space="preserve"> into genuine balancing (which it</w:t>
      </w:r>
      <w:r w:rsidRPr="006A11D2">
        <w:rPr>
          <w:sz w:val="20"/>
          <w:szCs w:val="20"/>
          <w:lang w:val="en-GB"/>
        </w:rPr>
        <w:t xml:space="preserve"> did anyway, in an Article 8 context). The Court concluded that “profound moral values” of the majority enter</w:t>
      </w:r>
      <w:r>
        <w:rPr>
          <w:sz w:val="20"/>
          <w:szCs w:val="20"/>
          <w:lang w:val="en-GB"/>
        </w:rPr>
        <w:t>ed</w:t>
      </w:r>
      <w:r w:rsidRPr="006A11D2">
        <w:rPr>
          <w:sz w:val="20"/>
          <w:szCs w:val="20"/>
          <w:lang w:val="en-GB"/>
        </w:rPr>
        <w:t xml:space="preserve"> into the realm of legitimate aims of rights limitation, namely “protection of morals”, hence the matter </w:t>
      </w:r>
      <w:r>
        <w:rPr>
          <w:sz w:val="20"/>
          <w:szCs w:val="20"/>
          <w:lang w:val="en-GB"/>
        </w:rPr>
        <w:t>was</w:t>
      </w:r>
      <w:r w:rsidRPr="006A11D2">
        <w:rPr>
          <w:sz w:val="20"/>
          <w:szCs w:val="20"/>
          <w:lang w:val="en-GB"/>
        </w:rPr>
        <w:t xml:space="preserve"> to be treated under the necessity test. Both judgments resulted in strong dissents and criticism. Under this logic, if applied to freedom of expression, the argument might go like this: the “deep sense of respect and adoration” amounts to a profound moral value; therefore – as is common in the context of disparagement of national symbols – national unity or </w:t>
      </w:r>
      <w:proofErr w:type="gramStart"/>
      <w:r w:rsidRPr="006A11D2">
        <w:rPr>
          <w:sz w:val="20"/>
          <w:szCs w:val="20"/>
          <w:lang w:val="en-GB"/>
        </w:rPr>
        <w:t>respect for the nation as such are</w:t>
      </w:r>
      <w:proofErr w:type="gramEnd"/>
      <w:r w:rsidRPr="006A11D2">
        <w:rPr>
          <w:sz w:val="20"/>
          <w:szCs w:val="20"/>
          <w:lang w:val="en-GB"/>
        </w:rPr>
        <w:t xml:space="preserve"> foundational for public morals. History shows the speech-restrictive consequences of such authority-respecting (if not outright authoritarian) approaches. </w:t>
      </w:r>
    </w:p>
  </w:footnote>
  <w:footnote w:id="9">
    <w:p w:rsidR="00276050" w:rsidRPr="006A11D2" w:rsidRDefault="00276050" w:rsidP="00B4264C">
      <w:pPr>
        <w:pStyle w:val="ECHRPara"/>
        <w:ind w:firstLine="0"/>
        <w:rPr>
          <w:i/>
          <w:sz w:val="20"/>
          <w:szCs w:val="20"/>
          <w:lang w:val="en-GB"/>
        </w:rPr>
      </w:pPr>
      <w:r w:rsidRPr="00EE3DF9">
        <w:rPr>
          <w:rStyle w:val="FootnoteReference"/>
          <w:sz w:val="20"/>
          <w:szCs w:val="20"/>
          <w:vertAlign w:val="baseline"/>
          <w:lang w:val="en-GB"/>
        </w:rPr>
        <w:footnoteRef/>
      </w:r>
      <w:r>
        <w:rPr>
          <w:sz w:val="20"/>
          <w:szCs w:val="20"/>
          <w:lang w:val="en-GB"/>
        </w:rPr>
        <w:t>.  </w:t>
      </w:r>
      <w:r w:rsidRPr="006A11D2">
        <w:rPr>
          <w:sz w:val="20"/>
          <w:szCs w:val="20"/>
          <w:lang w:val="en-GB"/>
        </w:rPr>
        <w:t xml:space="preserve">I am not denying that the use of such a form of expression, although it clearly falls within the ambit of Article 10, may not be necessary </w:t>
      </w:r>
      <w:proofErr w:type="gramStart"/>
      <w:r w:rsidRPr="006A11D2">
        <w:rPr>
          <w:sz w:val="20"/>
          <w:szCs w:val="20"/>
          <w:lang w:val="en-GB"/>
        </w:rPr>
        <w:t>in a democratic society in given circumstances</w:t>
      </w:r>
      <w:proofErr w:type="gramEnd"/>
      <w:r w:rsidRPr="006A11D2">
        <w:rPr>
          <w:sz w:val="20"/>
          <w:szCs w:val="20"/>
          <w:lang w:val="en-GB"/>
        </w:rPr>
        <w:t xml:space="preserve">. Furthermore, there are other legitimate aims that could make such a restriction proportionate. But the present law simply precludes such analysis. (For a similar problem see </w:t>
      </w:r>
      <w:r w:rsidRPr="006A11D2">
        <w:rPr>
          <w:i/>
          <w:sz w:val="20"/>
          <w:szCs w:val="20"/>
          <w:lang w:val="en-GB"/>
        </w:rPr>
        <w:t>Vajnai v. Hungary</w:t>
      </w:r>
      <w:r w:rsidRPr="006A11D2">
        <w:rPr>
          <w:sz w:val="20"/>
          <w:szCs w:val="20"/>
          <w:lang w:val="en-GB"/>
        </w:rPr>
        <w:t>, no. 33629/06, ECHR 2008.)</w:t>
      </w:r>
    </w:p>
  </w:footnote>
  <w:footnote w:id="10">
    <w:p w:rsidR="00276050" w:rsidRPr="006A11D2" w:rsidRDefault="00276050" w:rsidP="00B4264C">
      <w:pPr>
        <w:pStyle w:val="FootnoteText"/>
      </w:pPr>
      <w:r w:rsidRPr="00EE3DF9">
        <w:rPr>
          <w:rStyle w:val="FootnoteReference"/>
          <w:vertAlign w:val="baseline"/>
        </w:rPr>
        <w:footnoteRef/>
      </w:r>
      <w:r>
        <w:t>.  </w:t>
      </w:r>
      <w:r w:rsidRPr="006A11D2">
        <w:t xml:space="preserve">See </w:t>
      </w:r>
      <w:r w:rsidRPr="006A11D2">
        <w:rPr>
          <w:i/>
        </w:rPr>
        <w:t>Wingrove v. the United Kingdom</w:t>
      </w:r>
      <w:r w:rsidRPr="006A11D2">
        <w:t>, 25 November 1996, § 58</w:t>
      </w:r>
      <w:r>
        <w:t xml:space="preserve">, </w:t>
      </w:r>
      <w:r w:rsidRPr="006A11D2">
        <w:rPr>
          <w:i/>
        </w:rPr>
        <w:t>Reports of Judgments and Decisions</w:t>
      </w:r>
      <w:r>
        <w:t xml:space="preserve"> 1996-V</w:t>
      </w:r>
      <w:r w:rsidRPr="006A11D2">
        <w:t>.</w:t>
      </w:r>
    </w:p>
  </w:footnote>
  <w:footnote w:id="11">
    <w:p w:rsidR="00276050" w:rsidRPr="006A11D2" w:rsidRDefault="00276050" w:rsidP="00B4264C">
      <w:pPr>
        <w:pStyle w:val="FootnoteText"/>
      </w:pPr>
      <w:r w:rsidRPr="00EE3DF9">
        <w:rPr>
          <w:rStyle w:val="FootnoteReference"/>
          <w:vertAlign w:val="baseline"/>
        </w:rPr>
        <w:footnoteRef/>
      </w:r>
      <w:r>
        <w:t>.  </w:t>
      </w:r>
      <w:r w:rsidRPr="006A11D2">
        <w:t xml:space="preserve">See </w:t>
      </w:r>
      <w:r w:rsidRPr="006A11D2">
        <w:rPr>
          <w:i/>
        </w:rPr>
        <w:t>Sürek v. Turkey</w:t>
      </w:r>
      <w:r w:rsidRPr="006A11D2">
        <w:t xml:space="preserve"> (no. 1) [GC], no. 26682/95, § 61, ECHR 1999-IV.</w:t>
      </w:r>
    </w:p>
  </w:footnote>
  <w:footnote w:id="12">
    <w:p w:rsidR="00276050" w:rsidRPr="006A11D2" w:rsidRDefault="00276050" w:rsidP="00B4264C">
      <w:pPr>
        <w:pStyle w:val="ECHRPara"/>
        <w:ind w:firstLine="0"/>
        <w:rPr>
          <w:i/>
          <w:sz w:val="20"/>
          <w:szCs w:val="20"/>
          <w:lang w:val="en-GB"/>
        </w:rPr>
      </w:pPr>
      <w:r w:rsidRPr="00EE3DF9">
        <w:rPr>
          <w:rStyle w:val="FootnoteReference"/>
          <w:sz w:val="20"/>
          <w:szCs w:val="20"/>
          <w:vertAlign w:val="baseline"/>
          <w:lang w:val="en-GB"/>
        </w:rPr>
        <w:footnoteRef/>
      </w:r>
      <w:r>
        <w:rPr>
          <w:sz w:val="20"/>
          <w:szCs w:val="20"/>
          <w:lang w:val="en-GB"/>
        </w:rPr>
        <w:t>.</w:t>
      </w:r>
      <w:r>
        <w:t>  </w:t>
      </w:r>
      <w:r w:rsidRPr="006A11D2">
        <w:rPr>
          <w:sz w:val="20"/>
          <w:szCs w:val="20"/>
          <w:lang w:val="en-GB"/>
        </w:rPr>
        <w:t xml:space="preserve">The best part of this Court’s Article 10 jurisprudence requires that a demanding scrutiny be applied to political speech, precisely because of the crucial importance of such expression for a democratic society. (See </w:t>
      </w:r>
      <w:r w:rsidRPr="006A11D2">
        <w:rPr>
          <w:i/>
          <w:sz w:val="20"/>
          <w:szCs w:val="20"/>
          <w:lang w:val="en-GB"/>
        </w:rPr>
        <w:t xml:space="preserve">Ceylan v. Turkey </w:t>
      </w:r>
      <w:r>
        <w:rPr>
          <w:sz w:val="20"/>
          <w:szCs w:val="20"/>
          <w:lang w:val="en-GB"/>
        </w:rPr>
        <w:t>[GC], no. 23556/94, § </w:t>
      </w:r>
      <w:r w:rsidRPr="006A11D2">
        <w:rPr>
          <w:sz w:val="20"/>
          <w:szCs w:val="20"/>
          <w:lang w:val="en-GB"/>
        </w:rPr>
        <w:t>34, ECHR 1999</w:t>
      </w:r>
      <w:r w:rsidRPr="006A11D2">
        <w:rPr>
          <w:sz w:val="20"/>
          <w:szCs w:val="20"/>
          <w:lang w:val="en-GB"/>
        </w:rPr>
        <w:noBreakHyphen/>
        <w:t xml:space="preserve">IV, </w:t>
      </w:r>
      <w:r w:rsidRPr="006A11D2">
        <w:rPr>
          <w:i/>
          <w:sz w:val="20"/>
          <w:szCs w:val="20"/>
          <w:lang w:val="en-GB"/>
        </w:rPr>
        <w:t>Öztürk v. Turkey</w:t>
      </w:r>
      <w:r w:rsidRPr="006A11D2">
        <w:rPr>
          <w:sz w:val="20"/>
          <w:szCs w:val="20"/>
          <w:lang w:val="en-GB"/>
        </w:rPr>
        <w:t xml:space="preserve"> [GC], no. 22479/93, § 66, ECHR 1999</w:t>
      </w:r>
      <w:r w:rsidRPr="006A11D2">
        <w:rPr>
          <w:sz w:val="20"/>
          <w:szCs w:val="20"/>
          <w:lang w:val="en-GB"/>
        </w:rPr>
        <w:noBreakHyphen/>
        <w:t>V,</w:t>
      </w:r>
      <w:r w:rsidRPr="006A11D2">
        <w:rPr>
          <w:lang w:val="en-GB"/>
        </w:rPr>
        <w:t xml:space="preserve"> </w:t>
      </w:r>
      <w:r w:rsidRPr="006A11D2">
        <w:rPr>
          <w:i/>
          <w:sz w:val="20"/>
          <w:szCs w:val="20"/>
          <w:lang w:val="en-GB"/>
        </w:rPr>
        <w:t xml:space="preserve">Verein gegen Tierfabriken Schweiz (VgT) v. Switzerland (no. 2) </w:t>
      </w:r>
      <w:r w:rsidRPr="006A11D2">
        <w:rPr>
          <w:sz w:val="20"/>
          <w:szCs w:val="20"/>
          <w:lang w:val="en-GB"/>
        </w:rPr>
        <w:t xml:space="preserve">[GC], no. 32772/02, § 92, ECHR 2009; citing: </w:t>
      </w:r>
      <w:r w:rsidRPr="006A11D2">
        <w:rPr>
          <w:i/>
          <w:sz w:val="20"/>
          <w:szCs w:val="20"/>
          <w:lang w:val="en-GB"/>
        </w:rPr>
        <w:t>Lingens v. Austria</w:t>
      </w:r>
      <w:r w:rsidRPr="006A11D2">
        <w:rPr>
          <w:sz w:val="20"/>
          <w:szCs w:val="20"/>
          <w:lang w:val="en-GB"/>
        </w:rPr>
        <w:t xml:space="preserve">, 8 July 1986, § 42, Series A no. 103; </w:t>
      </w:r>
      <w:r w:rsidRPr="006A11D2">
        <w:rPr>
          <w:i/>
          <w:sz w:val="20"/>
          <w:szCs w:val="20"/>
          <w:lang w:val="en-GB"/>
        </w:rPr>
        <w:t>Castells v. Spain</w:t>
      </w:r>
      <w:r w:rsidRPr="006A11D2">
        <w:rPr>
          <w:sz w:val="20"/>
          <w:szCs w:val="20"/>
          <w:lang w:val="en-GB"/>
        </w:rPr>
        <w:t xml:space="preserve">, 23 April 1992, § 43, Series A no. 236; </w:t>
      </w:r>
      <w:r w:rsidRPr="006A11D2">
        <w:rPr>
          <w:i/>
          <w:sz w:val="20"/>
          <w:szCs w:val="20"/>
          <w:lang w:val="en-GB"/>
        </w:rPr>
        <w:t>Thorgeir Thorgeirson v. Iceland</w:t>
      </w:r>
      <w:r w:rsidRPr="006A11D2">
        <w:rPr>
          <w:sz w:val="20"/>
          <w:szCs w:val="20"/>
          <w:lang w:val="en-GB"/>
        </w:rPr>
        <w:t xml:space="preserve">, 25 June 1992, § 63, Series A no. 239; </w:t>
      </w:r>
      <w:r w:rsidRPr="006A11D2">
        <w:rPr>
          <w:i/>
          <w:sz w:val="20"/>
          <w:szCs w:val="20"/>
          <w:lang w:val="en-GB"/>
        </w:rPr>
        <w:t>Wingrove</w:t>
      </w:r>
      <w:r>
        <w:rPr>
          <w:sz w:val="20"/>
          <w:szCs w:val="20"/>
          <w:lang w:val="en-GB"/>
        </w:rPr>
        <w:t xml:space="preserve">, </w:t>
      </w:r>
      <w:r w:rsidRPr="00785127">
        <w:rPr>
          <w:sz w:val="20"/>
          <w:szCs w:val="20"/>
          <w:lang w:val="en-GB"/>
        </w:rPr>
        <w:t>cited above</w:t>
      </w:r>
      <w:r>
        <w:rPr>
          <w:sz w:val="20"/>
          <w:szCs w:val="20"/>
          <w:lang w:val="en-GB"/>
        </w:rPr>
        <w:t>, § 58</w:t>
      </w:r>
      <w:r w:rsidRPr="006A11D2">
        <w:rPr>
          <w:sz w:val="20"/>
          <w:szCs w:val="20"/>
          <w:lang w:val="en-GB"/>
        </w:rPr>
        <w:t xml:space="preserve">; and </w:t>
      </w:r>
      <w:r w:rsidRPr="006A11D2">
        <w:rPr>
          <w:i/>
          <w:sz w:val="20"/>
          <w:szCs w:val="20"/>
          <w:lang w:val="en-GB"/>
        </w:rPr>
        <w:t>Monnat v. Switzerland</w:t>
      </w:r>
      <w:r w:rsidRPr="006A11D2">
        <w:rPr>
          <w:sz w:val="20"/>
          <w:szCs w:val="20"/>
          <w:lang w:val="en-GB"/>
        </w:rPr>
        <w:t>, no. 73604/01, § 58, ECHR 2006</w:t>
      </w:r>
      <w:r w:rsidRPr="006A11D2">
        <w:rPr>
          <w:sz w:val="20"/>
          <w:szCs w:val="20"/>
          <w:lang w:val="en-GB"/>
        </w:rPr>
        <w:noBreakHyphen/>
        <w:t>X). The present case is about political speech. Under this traditional approach of proportionality the measure is disproportionate not for the severity of the conviction but because of the insufficiency of the reasons justifying the interference.</w:t>
      </w:r>
    </w:p>
  </w:footnote>
  <w:footnote w:id="13">
    <w:p w:rsidR="00276050" w:rsidRPr="006A11D2" w:rsidRDefault="00276050" w:rsidP="00B4264C">
      <w:pPr>
        <w:pStyle w:val="ECHRPara"/>
        <w:ind w:firstLine="0"/>
        <w:rPr>
          <w:i/>
          <w:sz w:val="20"/>
          <w:szCs w:val="20"/>
          <w:lang w:val="en-GB"/>
        </w:rPr>
      </w:pPr>
      <w:r w:rsidRPr="00EE3DF9">
        <w:rPr>
          <w:rStyle w:val="FootnoteReference"/>
          <w:sz w:val="20"/>
          <w:szCs w:val="20"/>
          <w:vertAlign w:val="baseline"/>
          <w:lang w:val="en-GB"/>
        </w:rPr>
        <w:footnoteRef/>
      </w:r>
      <w:r>
        <w:rPr>
          <w:sz w:val="20"/>
          <w:szCs w:val="20"/>
          <w:lang w:val="en-GB"/>
        </w:rPr>
        <w:t>.  </w:t>
      </w:r>
      <w:r w:rsidRPr="006A11D2">
        <w:rPr>
          <w:sz w:val="20"/>
          <w:szCs w:val="20"/>
          <w:lang w:val="en-GB"/>
        </w:rPr>
        <w:t xml:space="preserve">To consider legislation as being compatible </w:t>
      </w:r>
      <w:r w:rsidRPr="006A11D2">
        <w:rPr>
          <w:i/>
          <w:sz w:val="20"/>
          <w:szCs w:val="20"/>
          <w:lang w:val="en-GB"/>
        </w:rPr>
        <w:t>in abstracto</w:t>
      </w:r>
      <w:r w:rsidRPr="006A11D2">
        <w:rPr>
          <w:sz w:val="20"/>
          <w:szCs w:val="20"/>
          <w:lang w:val="en-GB"/>
        </w:rPr>
        <w:t xml:space="preserve"> with the grounds for restriction enumerated in paragraph 2 of Article 10 has in principle been recognised by the Court. This is how Sir Nicolas Bratza summarised the Court’s position: “Where, however, as here, the interference springs directly from a statutory provision which prohibits or restricts the exercise of the Convention right, the Court’s approach has tended to be different. In such a case, the Court’s focus is not on the circumstances of the individual applicant, although he must be affected by the legislation in order to claim to be a victim of its application; it is, instead, primarily on the question whether the legislature itself acted within its margin of appreciation and satisfied the requirements of necessity and proportionality when imposing the prohibition or restriction in question.” </w:t>
      </w:r>
      <w:proofErr w:type="gramStart"/>
      <w:r w:rsidRPr="006A11D2">
        <w:rPr>
          <w:sz w:val="20"/>
          <w:szCs w:val="20"/>
          <w:lang w:val="en-GB"/>
        </w:rPr>
        <w:t>(Concurring opinion</w:t>
      </w:r>
      <w:r>
        <w:rPr>
          <w:sz w:val="20"/>
          <w:szCs w:val="20"/>
          <w:lang w:val="en-GB"/>
        </w:rPr>
        <w:t xml:space="preserve"> of Judge Bratza</w:t>
      </w:r>
      <w:r w:rsidRPr="006A11D2">
        <w:rPr>
          <w:sz w:val="20"/>
          <w:szCs w:val="20"/>
          <w:lang w:val="en-GB"/>
        </w:rPr>
        <w:t xml:space="preserve"> in </w:t>
      </w:r>
      <w:r w:rsidRPr="006A11D2">
        <w:rPr>
          <w:i/>
          <w:sz w:val="20"/>
          <w:szCs w:val="20"/>
          <w:lang w:val="en-GB"/>
        </w:rPr>
        <w:t xml:space="preserve">Animal Defenders International v. the United Kingdom </w:t>
      </w:r>
      <w:r>
        <w:rPr>
          <w:sz w:val="20"/>
          <w:szCs w:val="20"/>
          <w:lang w:val="en-GB"/>
        </w:rPr>
        <w:t>[GC], no. </w:t>
      </w:r>
      <w:r w:rsidRPr="006A11D2">
        <w:rPr>
          <w:sz w:val="20"/>
          <w:szCs w:val="20"/>
          <w:lang w:val="en-GB"/>
        </w:rPr>
        <w:t>48876/08</w:t>
      </w:r>
      <w:r w:rsidRPr="006A11D2">
        <w:rPr>
          <w:snapToGrid w:val="0"/>
          <w:sz w:val="20"/>
          <w:szCs w:val="20"/>
          <w:lang w:val="en-GB"/>
        </w:rPr>
        <w:t xml:space="preserve">, </w:t>
      </w:r>
      <w:r w:rsidRPr="006A11D2">
        <w:rPr>
          <w:sz w:val="20"/>
          <w:szCs w:val="20"/>
          <w:lang w:val="en-GB"/>
        </w:rPr>
        <w:t>ECHR 2013).</w:t>
      </w:r>
      <w:proofErr w:type="gramEnd"/>
    </w:p>
  </w:footnote>
  <w:footnote w:id="14">
    <w:p w:rsidR="00276050" w:rsidRPr="006A11D2" w:rsidRDefault="00276050" w:rsidP="00B4264C">
      <w:pPr>
        <w:pStyle w:val="ECHRPara"/>
        <w:ind w:firstLine="0"/>
        <w:rPr>
          <w:sz w:val="20"/>
          <w:szCs w:val="20"/>
          <w:lang w:val="en-GB"/>
        </w:rPr>
      </w:pPr>
      <w:r w:rsidRPr="00EE3DF9">
        <w:rPr>
          <w:rStyle w:val="FootnoteReference"/>
          <w:sz w:val="20"/>
          <w:szCs w:val="20"/>
          <w:vertAlign w:val="baseline"/>
          <w:lang w:val="en-GB"/>
        </w:rPr>
        <w:footnoteRef/>
      </w:r>
      <w:r>
        <w:rPr>
          <w:sz w:val="20"/>
          <w:szCs w:val="20"/>
          <w:lang w:val="en-GB"/>
        </w:rPr>
        <w:t>.  </w:t>
      </w:r>
      <w:r w:rsidRPr="006A11D2">
        <w:rPr>
          <w:sz w:val="20"/>
          <w:szCs w:val="20"/>
          <w:lang w:val="en-GB"/>
        </w:rPr>
        <w:t xml:space="preserve">After all, this is the unequivocal message of those judgments which state that even a sanction of one euro (i.e. any sanction) might be disproportionate (see </w:t>
      </w:r>
      <w:r>
        <w:rPr>
          <w:i/>
          <w:sz w:val="20"/>
          <w:szCs w:val="20"/>
          <w:lang w:val="en-GB"/>
        </w:rPr>
        <w:t>Eon v. </w:t>
      </w:r>
      <w:r w:rsidRPr="006A11D2">
        <w:rPr>
          <w:i/>
          <w:sz w:val="20"/>
          <w:szCs w:val="20"/>
          <w:lang w:val="en-GB"/>
        </w:rPr>
        <w:t>France</w:t>
      </w:r>
      <w:r w:rsidRPr="006A11D2">
        <w:rPr>
          <w:sz w:val="20"/>
          <w:szCs w:val="20"/>
          <w:lang w:val="en-GB"/>
        </w:rPr>
        <w:t>, no. 26118/10</w:t>
      </w:r>
      <w:r w:rsidRPr="006A11D2">
        <w:rPr>
          <w:snapToGrid w:val="0"/>
          <w:sz w:val="20"/>
          <w:szCs w:val="20"/>
          <w:lang w:val="en-GB"/>
        </w:rPr>
        <w:t xml:space="preserve">, 14 March 2013, and </w:t>
      </w:r>
      <w:r w:rsidRPr="006A11D2">
        <w:rPr>
          <w:i/>
          <w:sz w:val="20"/>
          <w:szCs w:val="20"/>
          <w:lang w:val="en-GB"/>
        </w:rPr>
        <w:t>Colombani and Others v. France</w:t>
      </w:r>
      <w:r>
        <w:rPr>
          <w:sz w:val="20"/>
          <w:szCs w:val="20"/>
          <w:lang w:val="en-GB"/>
        </w:rPr>
        <w:t>, no. 51279/99, ECHR </w:t>
      </w:r>
      <w:r w:rsidRPr="006A11D2">
        <w:rPr>
          <w:sz w:val="20"/>
          <w:szCs w:val="20"/>
          <w:lang w:val="en-GB"/>
        </w:rPr>
        <w:t>2002</w:t>
      </w:r>
      <w:r w:rsidRPr="006A11D2">
        <w:rPr>
          <w:sz w:val="20"/>
          <w:szCs w:val="20"/>
          <w:lang w:val="en-GB"/>
        </w:rPr>
        <w:noBreakHyphen/>
        <w:t xml:space="preserve">V). For the </w:t>
      </w:r>
      <w:r w:rsidRPr="006A11D2">
        <w:rPr>
          <w:i/>
          <w:sz w:val="20"/>
          <w:szCs w:val="20"/>
          <w:lang w:val="en-GB"/>
        </w:rPr>
        <w:t>per se</w:t>
      </w:r>
      <w:r w:rsidRPr="006A11D2">
        <w:rPr>
          <w:sz w:val="20"/>
          <w:szCs w:val="20"/>
          <w:lang w:val="en-GB"/>
        </w:rPr>
        <w:t xml:space="preserve"> inappropriateness of criminal sanctions for certain categories of expression, see, for example, </w:t>
      </w:r>
      <w:r w:rsidRPr="006A11D2">
        <w:rPr>
          <w:i/>
          <w:sz w:val="20"/>
          <w:szCs w:val="20"/>
          <w:lang w:val="en-GB"/>
        </w:rPr>
        <w:t>Lehideux and Isorni v. France</w:t>
      </w:r>
      <w:r>
        <w:rPr>
          <w:sz w:val="20"/>
          <w:szCs w:val="20"/>
          <w:lang w:val="en-GB"/>
        </w:rPr>
        <w:t>, 23 </w:t>
      </w:r>
      <w:r w:rsidRPr="006A11D2">
        <w:rPr>
          <w:sz w:val="20"/>
          <w:szCs w:val="20"/>
          <w:lang w:val="en-GB"/>
        </w:rPr>
        <w:t>September 1998, §</w:t>
      </w:r>
      <w:r>
        <w:rPr>
          <w:sz w:val="20"/>
          <w:szCs w:val="20"/>
          <w:lang w:val="en-GB"/>
        </w:rPr>
        <w:t> </w:t>
      </w:r>
      <w:r w:rsidRPr="006A11D2">
        <w:rPr>
          <w:sz w:val="20"/>
          <w:szCs w:val="20"/>
          <w:lang w:val="en-GB"/>
        </w:rPr>
        <w:t xml:space="preserve">57, </w:t>
      </w:r>
      <w:r w:rsidRPr="006A11D2">
        <w:rPr>
          <w:i/>
          <w:sz w:val="20"/>
          <w:szCs w:val="20"/>
          <w:lang w:val="en-GB"/>
        </w:rPr>
        <w:t xml:space="preserve">Reports </w:t>
      </w:r>
      <w:r w:rsidRPr="006A11D2">
        <w:rPr>
          <w:sz w:val="20"/>
          <w:szCs w:val="20"/>
          <w:lang w:val="en-GB"/>
        </w:rPr>
        <w:t>1998</w:t>
      </w:r>
      <w:r w:rsidRPr="006A11D2">
        <w:rPr>
          <w:sz w:val="20"/>
          <w:szCs w:val="20"/>
          <w:lang w:val="en-GB"/>
        </w:rPr>
        <w:noBreakHyphen/>
        <w:t xml:space="preserve">VII. </w:t>
      </w:r>
    </w:p>
  </w:footnote>
  <w:footnote w:id="15">
    <w:p w:rsidR="00276050" w:rsidRPr="006A11D2" w:rsidRDefault="00276050" w:rsidP="00B4264C">
      <w:pPr>
        <w:pStyle w:val="ECHRPara"/>
        <w:ind w:firstLine="0"/>
        <w:rPr>
          <w:i/>
          <w:sz w:val="20"/>
          <w:szCs w:val="20"/>
          <w:lang w:val="en-GB"/>
        </w:rPr>
      </w:pPr>
      <w:r w:rsidRPr="00EE3DF9">
        <w:rPr>
          <w:rStyle w:val="FootnoteReference"/>
          <w:sz w:val="20"/>
          <w:szCs w:val="20"/>
          <w:vertAlign w:val="baseline"/>
          <w:lang w:val="en-GB"/>
        </w:rPr>
        <w:footnoteRef/>
      </w:r>
      <w:r>
        <w:rPr>
          <w:sz w:val="20"/>
          <w:szCs w:val="20"/>
          <w:lang w:val="en-GB"/>
        </w:rPr>
        <w:t>.  </w:t>
      </w:r>
      <w:r w:rsidRPr="006A11D2">
        <w:rPr>
          <w:sz w:val="20"/>
          <w:szCs w:val="20"/>
          <w:lang w:val="en-GB"/>
        </w:rPr>
        <w:t xml:space="preserve">For a criticism of departure from international law in the property context see </w:t>
      </w:r>
      <w:r w:rsidRPr="006A11D2">
        <w:rPr>
          <w:i/>
          <w:sz w:val="20"/>
          <w:szCs w:val="20"/>
          <w:lang w:val="en-GB"/>
        </w:rPr>
        <w:t>Guiso</w:t>
      </w:r>
      <w:r w:rsidRPr="006A11D2">
        <w:rPr>
          <w:i/>
          <w:sz w:val="20"/>
          <w:szCs w:val="20"/>
          <w:lang w:val="en-GB"/>
        </w:rPr>
        <w:noBreakHyphen/>
        <w:t xml:space="preserve">Gallisay v. Italy </w:t>
      </w:r>
      <w:r w:rsidRPr="006A11D2">
        <w:rPr>
          <w:sz w:val="20"/>
          <w:szCs w:val="20"/>
          <w:lang w:val="en-GB"/>
        </w:rPr>
        <w:t>(just satisfaction) [GC], no. 58858/00</w:t>
      </w:r>
      <w:r w:rsidRPr="006A11D2">
        <w:rPr>
          <w:snapToGrid w:val="0"/>
          <w:sz w:val="20"/>
          <w:szCs w:val="20"/>
          <w:lang w:val="en-GB"/>
        </w:rPr>
        <w:t xml:space="preserve">, 22 December 2009, dissenting opinion of Judge Spielmann: </w:t>
      </w:r>
      <w:r w:rsidRPr="006A11D2">
        <w:rPr>
          <w:sz w:val="20"/>
          <w:szCs w:val="20"/>
          <w:lang w:val="en-GB" w:eastAsia="hu-HU"/>
        </w:rPr>
        <w:t>“</w:t>
      </w:r>
      <w:r w:rsidRPr="006A11D2">
        <w:rPr>
          <w:snapToGrid w:val="0"/>
          <w:sz w:val="20"/>
          <w:szCs w:val="20"/>
          <w:lang w:val="en-GB"/>
        </w:rPr>
        <w:t xml:space="preserve">Through its judgment in this case the Court has departed from its settled case-law, a case-law that, moreover, is in conformity with the principles of international law on reparation, </w:t>
      </w:r>
      <w:bookmarkStart w:id="4" w:name="_ftnref1"/>
      <w:bookmarkStart w:id="5" w:name="_ftnref2"/>
      <w:bookmarkEnd w:id="4"/>
      <w:bookmarkEnd w:id="5"/>
      <w:r>
        <w:rPr>
          <w:snapToGrid w:val="0"/>
          <w:sz w:val="20"/>
          <w:szCs w:val="20"/>
          <w:lang w:val="en-GB"/>
        </w:rPr>
        <w:t>...</w:t>
      </w:r>
      <w:r w:rsidRPr="006A11D2">
        <w:rPr>
          <w:snapToGrid w:val="0"/>
          <w:sz w:val="20"/>
          <w:szCs w:val="20"/>
          <w:lang w:val="en-GB"/>
        </w:rPr>
        <w:t xml:space="preserve"> I refer to the principle of </w:t>
      </w:r>
      <w:r w:rsidRPr="006A11D2">
        <w:rPr>
          <w:i/>
          <w:snapToGrid w:val="0"/>
          <w:sz w:val="20"/>
          <w:szCs w:val="20"/>
          <w:lang w:val="en-GB"/>
        </w:rPr>
        <w:t>restitutio in integrum</w:t>
      </w:r>
      <w:r w:rsidRPr="006A11D2">
        <w:rPr>
          <w:snapToGrid w:val="0"/>
          <w:sz w:val="20"/>
          <w:szCs w:val="20"/>
          <w:lang w:val="en-GB"/>
        </w:rPr>
        <w:t xml:space="preserve">. This principle enshrines the obligation on a State that is guilty of a violation to make reparation for the consequences of the violation found.” </w:t>
      </w:r>
      <w:r w:rsidRPr="006A11D2">
        <w:rPr>
          <w:sz w:val="20"/>
          <w:szCs w:val="20"/>
          <w:lang w:val="en-GB"/>
        </w:rPr>
        <w:t xml:space="preserve">I voiced my discontent </w:t>
      </w:r>
      <w:r>
        <w:rPr>
          <w:sz w:val="20"/>
          <w:szCs w:val="20"/>
          <w:lang w:val="en-GB"/>
        </w:rPr>
        <w:t>as regards</w:t>
      </w:r>
      <w:r w:rsidRPr="006A11D2">
        <w:rPr>
          <w:sz w:val="20"/>
          <w:szCs w:val="20"/>
          <w:lang w:val="en-GB"/>
        </w:rPr>
        <w:t xml:space="preserve"> a similarly parsimonious denial of just satisfaction in </w:t>
      </w:r>
      <w:r w:rsidRPr="006A11D2">
        <w:rPr>
          <w:i/>
          <w:sz w:val="20"/>
          <w:szCs w:val="20"/>
          <w:lang w:val="en-GB"/>
        </w:rPr>
        <w:t>Kayasu v. Turkey</w:t>
      </w:r>
      <w:r>
        <w:rPr>
          <w:sz w:val="20"/>
          <w:szCs w:val="20"/>
          <w:lang w:val="en-GB"/>
        </w:rPr>
        <w:t>, nos. </w:t>
      </w:r>
      <w:r w:rsidRPr="006A11D2">
        <w:rPr>
          <w:sz w:val="20"/>
          <w:szCs w:val="20"/>
          <w:lang w:val="en-GB"/>
        </w:rPr>
        <w:t>64119/00 and 76292/01, 13 November 2008 (dissenting opinion of Judge Sajó).</w:t>
      </w:r>
    </w:p>
  </w:footnote>
  <w:footnote w:id="16">
    <w:p w:rsidR="00276050" w:rsidRPr="006A11D2" w:rsidRDefault="00276050" w:rsidP="00B4264C">
      <w:pPr>
        <w:pStyle w:val="ECHRPara"/>
        <w:ind w:firstLine="0"/>
        <w:rPr>
          <w:sz w:val="20"/>
          <w:szCs w:val="20"/>
          <w:lang w:val="en-GB"/>
        </w:rPr>
      </w:pPr>
      <w:r w:rsidRPr="00EE3DF9">
        <w:rPr>
          <w:rStyle w:val="FootnoteReference"/>
          <w:sz w:val="20"/>
          <w:szCs w:val="20"/>
          <w:vertAlign w:val="baseline"/>
          <w:lang w:val="en-GB"/>
        </w:rPr>
        <w:footnoteRef/>
      </w:r>
      <w:r>
        <w:rPr>
          <w:sz w:val="20"/>
          <w:szCs w:val="20"/>
          <w:lang w:val="en-GB"/>
        </w:rPr>
        <w:t>.  </w:t>
      </w:r>
      <w:r w:rsidRPr="006A11D2">
        <w:rPr>
          <w:i/>
          <w:sz w:val="20"/>
          <w:szCs w:val="20"/>
          <w:lang w:val="en-GB"/>
        </w:rPr>
        <w:t>Gençel v. Turkey</w:t>
      </w:r>
      <w:r w:rsidRPr="006A11D2">
        <w:rPr>
          <w:sz w:val="20"/>
          <w:szCs w:val="20"/>
          <w:lang w:val="en-GB"/>
        </w:rPr>
        <w:t xml:space="preserve">, no. 53431/99, § 27, 23 October 2003.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50" w:rsidRPr="0001136E" w:rsidRDefault="00276050"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0610F">
      <w:rPr>
        <w:rStyle w:val="PageNumber"/>
        <w:noProof/>
        <w:szCs w:val="18"/>
      </w:rPr>
      <w:t>10</w:t>
    </w:r>
    <w:r>
      <w:rPr>
        <w:rStyle w:val="PageNumber"/>
        <w:szCs w:val="18"/>
      </w:rPr>
      <w:fldChar w:fldCharType="end"/>
    </w:r>
    <w:r w:rsidRPr="0001136E">
      <w:tab/>
    </w:r>
    <w:r>
      <w:t>MURAT VURAL v. TURKEY</w:t>
    </w:r>
    <w:r w:rsidRPr="0001136E">
      <w:t xml:space="preserve"> </w:t>
    </w:r>
    <w:r>
      <w:t>JUDGMENT</w:t>
    </w:r>
  </w:p>
  <w:p w:rsidR="00276050" w:rsidRDefault="002760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A3E" w:rsidRPr="00675A3E" w:rsidRDefault="00675A3E" w:rsidP="00675A3E">
    <w:pPr>
      <w:pStyle w:val="ECHRHeader"/>
    </w:pPr>
    <w:r>
      <w:tab/>
      <w:t>MURAT VURAL v. TURKEY</w:t>
    </w:r>
    <w:r w:rsidRPr="0001136E">
      <w:t xml:space="preserve"> </w:t>
    </w:r>
    <w:r>
      <w:t>JUDGMENT</w:t>
    </w:r>
    <w:r w:rsidRPr="00675A3E">
      <w:tab/>
    </w:r>
    <w:r>
      <w:rPr>
        <w:rStyle w:val="PageNumber"/>
      </w:rPr>
      <w:fldChar w:fldCharType="begin"/>
    </w:r>
    <w:r w:rsidRPr="00675A3E">
      <w:rPr>
        <w:rStyle w:val="PageNumber"/>
      </w:rPr>
      <w:instrText xml:space="preserve"> PAGE </w:instrText>
    </w:r>
    <w:r>
      <w:rPr>
        <w:rStyle w:val="PageNumber"/>
      </w:rPr>
      <w:fldChar w:fldCharType="separate"/>
    </w:r>
    <w:r w:rsidR="0050610F">
      <w:rPr>
        <w:rStyle w:val="PageNumber"/>
        <w:noProof/>
      </w:rPr>
      <w:t>9</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50" w:rsidRDefault="00276050" w:rsidP="00276050">
    <w:pPr>
      <w:pStyle w:val="Header"/>
      <w:jc w:val="center"/>
    </w:pPr>
    <w:r>
      <w:rPr>
        <w:noProof/>
        <w:sz w:val="4"/>
        <w:szCs w:val="4"/>
        <w:lang w:val="fr-FR" w:eastAsia="fr-FR"/>
      </w:rPr>
      <w:drawing>
        <wp:inline distT="0" distB="0" distL="0" distR="0" wp14:anchorId="28EF2750" wp14:editId="79C3F589">
          <wp:extent cx="4097020" cy="2086610"/>
          <wp:effectExtent l="0" t="0" r="0" b="0"/>
          <wp:docPr id="1" name="Picture 1" descr="TranspDocHeaderBi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nspDocHeaderBig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97020" cy="208661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50" w:rsidRPr="0050610F" w:rsidRDefault="00276050" w:rsidP="00276050">
    <w:pPr>
      <w:pStyle w:val="ECHRHeader"/>
      <w:rPr>
        <w:lang w:val="en-GB"/>
      </w:rPr>
    </w:pPr>
    <w:r>
      <w:rPr>
        <w:rStyle w:val="PageNumber"/>
      </w:rPr>
      <w:fldChar w:fldCharType="begin"/>
    </w:r>
    <w:r w:rsidRPr="0050610F">
      <w:rPr>
        <w:rStyle w:val="PageNumber"/>
        <w:lang w:val="en-GB"/>
      </w:rPr>
      <w:instrText xml:space="preserve"> PAGE </w:instrText>
    </w:r>
    <w:r>
      <w:rPr>
        <w:rStyle w:val="PageNumber"/>
      </w:rPr>
      <w:fldChar w:fldCharType="separate"/>
    </w:r>
    <w:r w:rsidR="0050610F">
      <w:rPr>
        <w:rStyle w:val="PageNumber"/>
        <w:noProof/>
        <w:lang w:val="en-GB"/>
      </w:rPr>
      <w:t>28</w:t>
    </w:r>
    <w:r>
      <w:rPr>
        <w:rStyle w:val="PageNumber"/>
      </w:rPr>
      <w:fldChar w:fldCharType="end"/>
    </w:r>
    <w:r w:rsidRPr="0050610F">
      <w:rPr>
        <w:lang w:val="en-GB"/>
      </w:rPr>
      <w:tab/>
      <w:t>MURAT VURAL v. TURKEY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050" w:rsidRPr="0050610F" w:rsidRDefault="00276050" w:rsidP="00276050">
    <w:pPr>
      <w:pStyle w:val="ECHRHeader"/>
      <w:rPr>
        <w:lang w:val="en-GB"/>
      </w:rPr>
    </w:pPr>
    <w:r>
      <w:tab/>
    </w:r>
    <w:r w:rsidRPr="0050610F">
      <w:rPr>
        <w:lang w:val="en-GB"/>
      </w:rPr>
      <w:t>MURAT VURAL v. TURKEY JUDGMENT – SEPARATE OPINIONS</w:t>
    </w:r>
    <w:r w:rsidRPr="0050610F">
      <w:rPr>
        <w:lang w:val="en-GB"/>
      </w:rPr>
      <w:tab/>
    </w:r>
    <w:r>
      <w:rPr>
        <w:rStyle w:val="PageNumber"/>
      </w:rPr>
      <w:fldChar w:fldCharType="begin"/>
    </w:r>
    <w:r w:rsidRPr="0050610F">
      <w:rPr>
        <w:rStyle w:val="PageNumber"/>
        <w:lang w:val="en-GB"/>
      </w:rPr>
      <w:instrText xml:space="preserve"> PAGE </w:instrText>
    </w:r>
    <w:r>
      <w:rPr>
        <w:rStyle w:val="PageNumber"/>
      </w:rPr>
      <w:fldChar w:fldCharType="separate"/>
    </w:r>
    <w:r w:rsidR="0050610F">
      <w:rPr>
        <w:rStyle w:val="PageNumber"/>
        <w:noProof/>
        <w:lang w:val="en-GB"/>
      </w:rPr>
      <w:t>29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0274E"/>
    <w:rsid w:val="00001CC5"/>
    <w:rsid w:val="00002DD1"/>
    <w:rsid w:val="000042D1"/>
    <w:rsid w:val="00007B38"/>
    <w:rsid w:val="0001136E"/>
    <w:rsid w:val="00013894"/>
    <w:rsid w:val="000207F9"/>
    <w:rsid w:val="000241A0"/>
    <w:rsid w:val="00026012"/>
    <w:rsid w:val="000263B6"/>
    <w:rsid w:val="00027F9D"/>
    <w:rsid w:val="00033160"/>
    <w:rsid w:val="00033FD2"/>
    <w:rsid w:val="0003679E"/>
    <w:rsid w:val="000368AB"/>
    <w:rsid w:val="00036AA4"/>
    <w:rsid w:val="0003736D"/>
    <w:rsid w:val="000422E8"/>
    <w:rsid w:val="00042867"/>
    <w:rsid w:val="00043913"/>
    <w:rsid w:val="00044ABA"/>
    <w:rsid w:val="0005170E"/>
    <w:rsid w:val="0005522C"/>
    <w:rsid w:val="00055574"/>
    <w:rsid w:val="00055AC1"/>
    <w:rsid w:val="00064899"/>
    <w:rsid w:val="00070E90"/>
    <w:rsid w:val="000712EC"/>
    <w:rsid w:val="000726F6"/>
    <w:rsid w:val="00076A67"/>
    <w:rsid w:val="00085837"/>
    <w:rsid w:val="00085B3A"/>
    <w:rsid w:val="00090C82"/>
    <w:rsid w:val="00090CEE"/>
    <w:rsid w:val="00092F82"/>
    <w:rsid w:val="000936F0"/>
    <w:rsid w:val="00093BE3"/>
    <w:rsid w:val="0009409F"/>
    <w:rsid w:val="000964D1"/>
    <w:rsid w:val="000A0F95"/>
    <w:rsid w:val="000A1AA3"/>
    <w:rsid w:val="000B646D"/>
    <w:rsid w:val="000C0386"/>
    <w:rsid w:val="000D204C"/>
    <w:rsid w:val="000D4AAF"/>
    <w:rsid w:val="000D6108"/>
    <w:rsid w:val="000E0895"/>
    <w:rsid w:val="000E1449"/>
    <w:rsid w:val="000F2876"/>
    <w:rsid w:val="000F699D"/>
    <w:rsid w:val="001047FD"/>
    <w:rsid w:val="00104AD1"/>
    <w:rsid w:val="00110EC3"/>
    <w:rsid w:val="00111D99"/>
    <w:rsid w:val="00115438"/>
    <w:rsid w:val="0011665B"/>
    <w:rsid w:val="00116C20"/>
    <w:rsid w:val="001202E5"/>
    <w:rsid w:val="001218F4"/>
    <w:rsid w:val="00122493"/>
    <w:rsid w:val="00122FF0"/>
    <w:rsid w:val="00126213"/>
    <w:rsid w:val="00126913"/>
    <w:rsid w:val="0013290F"/>
    <w:rsid w:val="00136B5C"/>
    <w:rsid w:val="00142700"/>
    <w:rsid w:val="00151CCA"/>
    <w:rsid w:val="00153DED"/>
    <w:rsid w:val="0015731A"/>
    <w:rsid w:val="00157927"/>
    <w:rsid w:val="00157BD8"/>
    <w:rsid w:val="00160A9F"/>
    <w:rsid w:val="001702A1"/>
    <w:rsid w:val="00171962"/>
    <w:rsid w:val="00171B47"/>
    <w:rsid w:val="00173CF9"/>
    <w:rsid w:val="00174A6F"/>
    <w:rsid w:val="001812B2"/>
    <w:rsid w:val="0019388B"/>
    <w:rsid w:val="00195378"/>
    <w:rsid w:val="00197C29"/>
    <w:rsid w:val="001A0EBE"/>
    <w:rsid w:val="001A0EF4"/>
    <w:rsid w:val="001A18B8"/>
    <w:rsid w:val="001A2CB2"/>
    <w:rsid w:val="001A7979"/>
    <w:rsid w:val="001B2EFC"/>
    <w:rsid w:val="001B4F24"/>
    <w:rsid w:val="001B62B1"/>
    <w:rsid w:val="001B74F7"/>
    <w:rsid w:val="001C3FE7"/>
    <w:rsid w:val="001C756F"/>
    <w:rsid w:val="001C77A7"/>
    <w:rsid w:val="001E110F"/>
    <w:rsid w:val="001E2D94"/>
    <w:rsid w:val="001F5586"/>
    <w:rsid w:val="002025F9"/>
    <w:rsid w:val="002041E3"/>
    <w:rsid w:val="00204C83"/>
    <w:rsid w:val="00206AB8"/>
    <w:rsid w:val="00225BE5"/>
    <w:rsid w:val="002266CD"/>
    <w:rsid w:val="002320C6"/>
    <w:rsid w:val="0023626F"/>
    <w:rsid w:val="00247C30"/>
    <w:rsid w:val="00252B31"/>
    <w:rsid w:val="00253B8D"/>
    <w:rsid w:val="002560E3"/>
    <w:rsid w:val="002563F5"/>
    <w:rsid w:val="00265471"/>
    <w:rsid w:val="0026789F"/>
    <w:rsid w:val="00267E01"/>
    <w:rsid w:val="00271A81"/>
    <w:rsid w:val="00274D7A"/>
    <w:rsid w:val="00276050"/>
    <w:rsid w:val="0027629D"/>
    <w:rsid w:val="00276C4D"/>
    <w:rsid w:val="00291DF0"/>
    <w:rsid w:val="002930EA"/>
    <w:rsid w:val="00296B76"/>
    <w:rsid w:val="00297942"/>
    <w:rsid w:val="002A303D"/>
    <w:rsid w:val="002A3A18"/>
    <w:rsid w:val="002A4296"/>
    <w:rsid w:val="002B18B7"/>
    <w:rsid w:val="002B19CE"/>
    <w:rsid w:val="002C3C73"/>
    <w:rsid w:val="002C6BDF"/>
    <w:rsid w:val="002C7D3E"/>
    <w:rsid w:val="002D1DF8"/>
    <w:rsid w:val="002E2549"/>
    <w:rsid w:val="002E2EAF"/>
    <w:rsid w:val="002E6A74"/>
    <w:rsid w:val="002F4BCF"/>
    <w:rsid w:val="002F6FE9"/>
    <w:rsid w:val="003014C9"/>
    <w:rsid w:val="00302008"/>
    <w:rsid w:val="0030274E"/>
    <w:rsid w:val="003037CB"/>
    <w:rsid w:val="00307C59"/>
    <w:rsid w:val="003104E9"/>
    <w:rsid w:val="0031573C"/>
    <w:rsid w:val="0032093A"/>
    <w:rsid w:val="00325C2B"/>
    <w:rsid w:val="00332547"/>
    <w:rsid w:val="003348EB"/>
    <w:rsid w:val="00334F23"/>
    <w:rsid w:val="00336887"/>
    <w:rsid w:val="00337600"/>
    <w:rsid w:val="003403BB"/>
    <w:rsid w:val="00344EC7"/>
    <w:rsid w:val="003452F9"/>
    <w:rsid w:val="0034580F"/>
    <w:rsid w:val="00346242"/>
    <w:rsid w:val="003468E6"/>
    <w:rsid w:val="003506C9"/>
    <w:rsid w:val="00353F8E"/>
    <w:rsid w:val="00355F8F"/>
    <w:rsid w:val="00371277"/>
    <w:rsid w:val="0037228D"/>
    <w:rsid w:val="00373A01"/>
    <w:rsid w:val="003810BF"/>
    <w:rsid w:val="00392E8C"/>
    <w:rsid w:val="003A64D3"/>
    <w:rsid w:val="003A7918"/>
    <w:rsid w:val="003B0D01"/>
    <w:rsid w:val="003B1789"/>
    <w:rsid w:val="003B41C7"/>
    <w:rsid w:val="003B50D7"/>
    <w:rsid w:val="003D757A"/>
    <w:rsid w:val="003E2006"/>
    <w:rsid w:val="003E319C"/>
    <w:rsid w:val="003E3E28"/>
    <w:rsid w:val="003F22EF"/>
    <w:rsid w:val="003F3BFD"/>
    <w:rsid w:val="00401C5B"/>
    <w:rsid w:val="004022B0"/>
    <w:rsid w:val="004025C7"/>
    <w:rsid w:val="00412F5F"/>
    <w:rsid w:val="00413EFC"/>
    <w:rsid w:val="004214B5"/>
    <w:rsid w:val="004218BE"/>
    <w:rsid w:val="00421DD0"/>
    <w:rsid w:val="00424E76"/>
    <w:rsid w:val="00424FC5"/>
    <w:rsid w:val="00436DC1"/>
    <w:rsid w:val="0043760A"/>
    <w:rsid w:val="004400B5"/>
    <w:rsid w:val="004406AA"/>
    <w:rsid w:val="00442BBE"/>
    <w:rsid w:val="0044664F"/>
    <w:rsid w:val="00452CF1"/>
    <w:rsid w:val="00455230"/>
    <w:rsid w:val="00457A18"/>
    <w:rsid w:val="004603EE"/>
    <w:rsid w:val="00460FAD"/>
    <w:rsid w:val="004617F2"/>
    <w:rsid w:val="00465AD7"/>
    <w:rsid w:val="00465CFD"/>
    <w:rsid w:val="00467F65"/>
    <w:rsid w:val="00471505"/>
    <w:rsid w:val="004737FF"/>
    <w:rsid w:val="00475A5E"/>
    <w:rsid w:val="004769BC"/>
    <w:rsid w:val="00482F90"/>
    <w:rsid w:val="00485A6F"/>
    <w:rsid w:val="004920B1"/>
    <w:rsid w:val="004945B5"/>
    <w:rsid w:val="004A1035"/>
    <w:rsid w:val="004A13BA"/>
    <w:rsid w:val="004A4F56"/>
    <w:rsid w:val="004B0E65"/>
    <w:rsid w:val="004D67D9"/>
    <w:rsid w:val="004D7E2D"/>
    <w:rsid w:val="004E08D0"/>
    <w:rsid w:val="004E37AE"/>
    <w:rsid w:val="004E5DFC"/>
    <w:rsid w:val="004E6A4D"/>
    <w:rsid w:val="004F4BDE"/>
    <w:rsid w:val="004F5DBF"/>
    <w:rsid w:val="005005A1"/>
    <w:rsid w:val="0050096C"/>
    <w:rsid w:val="00501BED"/>
    <w:rsid w:val="005053FD"/>
    <w:rsid w:val="0050610F"/>
    <w:rsid w:val="00510166"/>
    <w:rsid w:val="00513446"/>
    <w:rsid w:val="00516183"/>
    <w:rsid w:val="00516EBF"/>
    <w:rsid w:val="00522362"/>
    <w:rsid w:val="005235D5"/>
    <w:rsid w:val="00524FFC"/>
    <w:rsid w:val="00526449"/>
    <w:rsid w:val="00535389"/>
    <w:rsid w:val="005419B6"/>
    <w:rsid w:val="00546F49"/>
    <w:rsid w:val="00550AD0"/>
    <w:rsid w:val="005549C5"/>
    <w:rsid w:val="00556CCB"/>
    <w:rsid w:val="0056771C"/>
    <w:rsid w:val="00572078"/>
    <w:rsid w:val="005777BA"/>
    <w:rsid w:val="00577E6A"/>
    <w:rsid w:val="00582D1B"/>
    <w:rsid w:val="00584A11"/>
    <w:rsid w:val="005865EE"/>
    <w:rsid w:val="005874FF"/>
    <w:rsid w:val="005944D6"/>
    <w:rsid w:val="00595C5D"/>
    <w:rsid w:val="005A2856"/>
    <w:rsid w:val="005A3D27"/>
    <w:rsid w:val="005A4E3B"/>
    <w:rsid w:val="005B16A8"/>
    <w:rsid w:val="005B4233"/>
    <w:rsid w:val="005B549D"/>
    <w:rsid w:val="005C1550"/>
    <w:rsid w:val="005C1929"/>
    <w:rsid w:val="005C1956"/>
    <w:rsid w:val="005C2C88"/>
    <w:rsid w:val="005C402D"/>
    <w:rsid w:val="005C41CB"/>
    <w:rsid w:val="005C6FB4"/>
    <w:rsid w:val="005C7E98"/>
    <w:rsid w:val="005D1A0B"/>
    <w:rsid w:val="005D1B72"/>
    <w:rsid w:val="005D3B47"/>
    <w:rsid w:val="005D414C"/>
    <w:rsid w:val="005E384F"/>
    <w:rsid w:val="005E5D35"/>
    <w:rsid w:val="005F2E06"/>
    <w:rsid w:val="005F3220"/>
    <w:rsid w:val="005F4753"/>
    <w:rsid w:val="005F7A10"/>
    <w:rsid w:val="006049D1"/>
    <w:rsid w:val="006050A9"/>
    <w:rsid w:val="006053AC"/>
    <w:rsid w:val="006111FF"/>
    <w:rsid w:val="006138EA"/>
    <w:rsid w:val="00625699"/>
    <w:rsid w:val="00626200"/>
    <w:rsid w:val="0062787C"/>
    <w:rsid w:val="00633478"/>
    <w:rsid w:val="00637D93"/>
    <w:rsid w:val="00640B82"/>
    <w:rsid w:val="006461DC"/>
    <w:rsid w:val="00654CB9"/>
    <w:rsid w:val="00655126"/>
    <w:rsid w:val="006639B6"/>
    <w:rsid w:val="00663CCD"/>
    <w:rsid w:val="00667472"/>
    <w:rsid w:val="00671FE8"/>
    <w:rsid w:val="00675A3E"/>
    <w:rsid w:val="00680CFA"/>
    <w:rsid w:val="00683826"/>
    <w:rsid w:val="006860D9"/>
    <w:rsid w:val="00692128"/>
    <w:rsid w:val="0069326D"/>
    <w:rsid w:val="00697F14"/>
    <w:rsid w:val="006A05B1"/>
    <w:rsid w:val="006A3D9D"/>
    <w:rsid w:val="006A7C48"/>
    <w:rsid w:val="006B59F0"/>
    <w:rsid w:val="006B7121"/>
    <w:rsid w:val="006C2B52"/>
    <w:rsid w:val="006C35C5"/>
    <w:rsid w:val="006C4340"/>
    <w:rsid w:val="006C6205"/>
    <w:rsid w:val="006D43C8"/>
    <w:rsid w:val="006D519C"/>
    <w:rsid w:val="006D71BC"/>
    <w:rsid w:val="006E210B"/>
    <w:rsid w:val="006E24FD"/>
    <w:rsid w:val="006E6D33"/>
    <w:rsid w:val="006F4751"/>
    <w:rsid w:val="00704343"/>
    <w:rsid w:val="007156E0"/>
    <w:rsid w:val="0071673D"/>
    <w:rsid w:val="00720B2D"/>
    <w:rsid w:val="00730053"/>
    <w:rsid w:val="00730433"/>
    <w:rsid w:val="00733037"/>
    <w:rsid w:val="007352DD"/>
    <w:rsid w:val="00750E5E"/>
    <w:rsid w:val="00751C24"/>
    <w:rsid w:val="00754ABE"/>
    <w:rsid w:val="00755B75"/>
    <w:rsid w:val="00756D5B"/>
    <w:rsid w:val="00757350"/>
    <w:rsid w:val="007603BB"/>
    <w:rsid w:val="007662DE"/>
    <w:rsid w:val="00770A46"/>
    <w:rsid w:val="00773865"/>
    <w:rsid w:val="00776807"/>
    <w:rsid w:val="0077789B"/>
    <w:rsid w:val="0078062F"/>
    <w:rsid w:val="007827E7"/>
    <w:rsid w:val="0079163D"/>
    <w:rsid w:val="0079187F"/>
    <w:rsid w:val="00792DBB"/>
    <w:rsid w:val="007938D1"/>
    <w:rsid w:val="007A0B01"/>
    <w:rsid w:val="007A1FFE"/>
    <w:rsid w:val="007A357A"/>
    <w:rsid w:val="007A6DBA"/>
    <w:rsid w:val="007B03C9"/>
    <w:rsid w:val="007B187F"/>
    <w:rsid w:val="007B2629"/>
    <w:rsid w:val="007B2655"/>
    <w:rsid w:val="007B2958"/>
    <w:rsid w:val="007B3DA3"/>
    <w:rsid w:val="007B7FA1"/>
    <w:rsid w:val="007C090B"/>
    <w:rsid w:val="007C1CE3"/>
    <w:rsid w:val="007C1CE5"/>
    <w:rsid w:val="007C59E0"/>
    <w:rsid w:val="007C7BBE"/>
    <w:rsid w:val="007D0D75"/>
    <w:rsid w:val="007D1407"/>
    <w:rsid w:val="007D60DE"/>
    <w:rsid w:val="007D6969"/>
    <w:rsid w:val="007D7F7A"/>
    <w:rsid w:val="007E0DD3"/>
    <w:rsid w:val="007E2798"/>
    <w:rsid w:val="007E3E20"/>
    <w:rsid w:val="007E603C"/>
    <w:rsid w:val="007E7336"/>
    <w:rsid w:val="007E764C"/>
    <w:rsid w:val="007F0F09"/>
    <w:rsid w:val="007F735A"/>
    <w:rsid w:val="007F7A58"/>
    <w:rsid w:val="00804FF3"/>
    <w:rsid w:val="00806E5F"/>
    <w:rsid w:val="0084174A"/>
    <w:rsid w:val="00843B8B"/>
    <w:rsid w:val="00843E52"/>
    <w:rsid w:val="00843E83"/>
    <w:rsid w:val="00846856"/>
    <w:rsid w:val="00847315"/>
    <w:rsid w:val="00851CB5"/>
    <w:rsid w:val="00853345"/>
    <w:rsid w:val="008601F7"/>
    <w:rsid w:val="00860AF7"/>
    <w:rsid w:val="00863D67"/>
    <w:rsid w:val="00864209"/>
    <w:rsid w:val="00865450"/>
    <w:rsid w:val="0087092A"/>
    <w:rsid w:val="008716AF"/>
    <w:rsid w:val="0087304C"/>
    <w:rsid w:val="008824B9"/>
    <w:rsid w:val="0088315D"/>
    <w:rsid w:val="008838CD"/>
    <w:rsid w:val="00884205"/>
    <w:rsid w:val="00886638"/>
    <w:rsid w:val="00886BB5"/>
    <w:rsid w:val="008902E8"/>
    <w:rsid w:val="0089160C"/>
    <w:rsid w:val="00891E86"/>
    <w:rsid w:val="00893782"/>
    <w:rsid w:val="00894094"/>
    <w:rsid w:val="008A154B"/>
    <w:rsid w:val="008B5BFB"/>
    <w:rsid w:val="008B734D"/>
    <w:rsid w:val="008B7B45"/>
    <w:rsid w:val="008C0D01"/>
    <w:rsid w:val="008C1521"/>
    <w:rsid w:val="008C39B5"/>
    <w:rsid w:val="008C4175"/>
    <w:rsid w:val="008C60EE"/>
    <w:rsid w:val="008C6F68"/>
    <w:rsid w:val="008D0223"/>
    <w:rsid w:val="008D4FE8"/>
    <w:rsid w:val="008D7BF2"/>
    <w:rsid w:val="008E05A3"/>
    <w:rsid w:val="008E37B2"/>
    <w:rsid w:val="008E7B7D"/>
    <w:rsid w:val="008F0FFD"/>
    <w:rsid w:val="008F5F45"/>
    <w:rsid w:val="00900F2B"/>
    <w:rsid w:val="00901475"/>
    <w:rsid w:val="00903923"/>
    <w:rsid w:val="00912319"/>
    <w:rsid w:val="00914551"/>
    <w:rsid w:val="009169BC"/>
    <w:rsid w:val="00920042"/>
    <w:rsid w:val="00921B59"/>
    <w:rsid w:val="00922AE6"/>
    <w:rsid w:val="00922DE3"/>
    <w:rsid w:val="009236C0"/>
    <w:rsid w:val="00927277"/>
    <w:rsid w:val="00930CD7"/>
    <w:rsid w:val="00932C7B"/>
    <w:rsid w:val="00933CC4"/>
    <w:rsid w:val="009345AB"/>
    <w:rsid w:val="00940964"/>
    <w:rsid w:val="0094239F"/>
    <w:rsid w:val="0094356B"/>
    <w:rsid w:val="009438BD"/>
    <w:rsid w:val="00944D8E"/>
    <w:rsid w:val="009547D5"/>
    <w:rsid w:val="00956501"/>
    <w:rsid w:val="009579D1"/>
    <w:rsid w:val="009621FB"/>
    <w:rsid w:val="00965BD4"/>
    <w:rsid w:val="00971851"/>
    <w:rsid w:val="0097246C"/>
    <w:rsid w:val="00976D07"/>
    <w:rsid w:val="00981862"/>
    <w:rsid w:val="009847D9"/>
    <w:rsid w:val="0098535B"/>
    <w:rsid w:val="00992B26"/>
    <w:rsid w:val="00994AE6"/>
    <w:rsid w:val="0099561C"/>
    <w:rsid w:val="00995F44"/>
    <w:rsid w:val="009A0039"/>
    <w:rsid w:val="009A6925"/>
    <w:rsid w:val="009B039E"/>
    <w:rsid w:val="009B15A1"/>
    <w:rsid w:val="009B650E"/>
    <w:rsid w:val="009C0FF5"/>
    <w:rsid w:val="009C5183"/>
    <w:rsid w:val="009D0580"/>
    <w:rsid w:val="009D46D7"/>
    <w:rsid w:val="009D4B87"/>
    <w:rsid w:val="009D4FB6"/>
    <w:rsid w:val="009E1D3F"/>
    <w:rsid w:val="009E3F29"/>
    <w:rsid w:val="009F0055"/>
    <w:rsid w:val="009F07CC"/>
    <w:rsid w:val="009F18CE"/>
    <w:rsid w:val="009F1D27"/>
    <w:rsid w:val="009F29D1"/>
    <w:rsid w:val="009F5625"/>
    <w:rsid w:val="00A000A9"/>
    <w:rsid w:val="00A012A5"/>
    <w:rsid w:val="00A04E02"/>
    <w:rsid w:val="00A04E89"/>
    <w:rsid w:val="00A06A89"/>
    <w:rsid w:val="00A135BE"/>
    <w:rsid w:val="00A21D6D"/>
    <w:rsid w:val="00A246D6"/>
    <w:rsid w:val="00A3149C"/>
    <w:rsid w:val="00A3158F"/>
    <w:rsid w:val="00A32B81"/>
    <w:rsid w:val="00A35C98"/>
    <w:rsid w:val="00A36290"/>
    <w:rsid w:val="00A44C0B"/>
    <w:rsid w:val="00A5331A"/>
    <w:rsid w:val="00A57A6A"/>
    <w:rsid w:val="00A6371B"/>
    <w:rsid w:val="00A6391A"/>
    <w:rsid w:val="00A63B00"/>
    <w:rsid w:val="00A66173"/>
    <w:rsid w:val="00A7049C"/>
    <w:rsid w:val="00A80135"/>
    <w:rsid w:val="00A8381C"/>
    <w:rsid w:val="00A84863"/>
    <w:rsid w:val="00A90432"/>
    <w:rsid w:val="00A972EB"/>
    <w:rsid w:val="00AA0A20"/>
    <w:rsid w:val="00AA111E"/>
    <w:rsid w:val="00AA2B6A"/>
    <w:rsid w:val="00AA373E"/>
    <w:rsid w:val="00AA6CAF"/>
    <w:rsid w:val="00AA6E51"/>
    <w:rsid w:val="00AA7CA2"/>
    <w:rsid w:val="00AB0594"/>
    <w:rsid w:val="00AB2166"/>
    <w:rsid w:val="00AB43D9"/>
    <w:rsid w:val="00AB5D09"/>
    <w:rsid w:val="00AB5D5E"/>
    <w:rsid w:val="00AB7E6D"/>
    <w:rsid w:val="00AC134B"/>
    <w:rsid w:val="00AC4995"/>
    <w:rsid w:val="00AC4B9B"/>
    <w:rsid w:val="00AC5718"/>
    <w:rsid w:val="00AD4522"/>
    <w:rsid w:val="00AD57B2"/>
    <w:rsid w:val="00AD64C3"/>
    <w:rsid w:val="00AE002B"/>
    <w:rsid w:val="00AE2F4F"/>
    <w:rsid w:val="00AE3D0D"/>
    <w:rsid w:val="00AF1F8C"/>
    <w:rsid w:val="00AF2057"/>
    <w:rsid w:val="00AF20F0"/>
    <w:rsid w:val="00AF7C99"/>
    <w:rsid w:val="00B030BE"/>
    <w:rsid w:val="00B0594B"/>
    <w:rsid w:val="00B066F3"/>
    <w:rsid w:val="00B10664"/>
    <w:rsid w:val="00B10C36"/>
    <w:rsid w:val="00B122EA"/>
    <w:rsid w:val="00B16FAB"/>
    <w:rsid w:val="00B21CDB"/>
    <w:rsid w:val="00B22BA5"/>
    <w:rsid w:val="00B2445C"/>
    <w:rsid w:val="00B24CCE"/>
    <w:rsid w:val="00B324A5"/>
    <w:rsid w:val="00B3608A"/>
    <w:rsid w:val="00B4264C"/>
    <w:rsid w:val="00B4267F"/>
    <w:rsid w:val="00B4551C"/>
    <w:rsid w:val="00B460AF"/>
    <w:rsid w:val="00B46173"/>
    <w:rsid w:val="00B47456"/>
    <w:rsid w:val="00B52010"/>
    <w:rsid w:val="00B525F8"/>
    <w:rsid w:val="00B53C7C"/>
    <w:rsid w:val="00B574E7"/>
    <w:rsid w:val="00B57DBA"/>
    <w:rsid w:val="00B6108B"/>
    <w:rsid w:val="00B64488"/>
    <w:rsid w:val="00B662B2"/>
    <w:rsid w:val="00B6763B"/>
    <w:rsid w:val="00B67CBD"/>
    <w:rsid w:val="00B7067F"/>
    <w:rsid w:val="00B70D39"/>
    <w:rsid w:val="00B743BC"/>
    <w:rsid w:val="00B7705E"/>
    <w:rsid w:val="00B77EEB"/>
    <w:rsid w:val="00B81192"/>
    <w:rsid w:val="00B83E58"/>
    <w:rsid w:val="00B921A8"/>
    <w:rsid w:val="00B95CD4"/>
    <w:rsid w:val="00BA1A86"/>
    <w:rsid w:val="00BA4F3C"/>
    <w:rsid w:val="00BA726B"/>
    <w:rsid w:val="00BB13E6"/>
    <w:rsid w:val="00BB4565"/>
    <w:rsid w:val="00BB591D"/>
    <w:rsid w:val="00BC2988"/>
    <w:rsid w:val="00BC38B2"/>
    <w:rsid w:val="00BC7EEE"/>
    <w:rsid w:val="00BD04CF"/>
    <w:rsid w:val="00BD19AE"/>
    <w:rsid w:val="00BD62EF"/>
    <w:rsid w:val="00BD7BBE"/>
    <w:rsid w:val="00BE3C4E"/>
    <w:rsid w:val="00BE50FE"/>
    <w:rsid w:val="00BE5958"/>
    <w:rsid w:val="00BF071D"/>
    <w:rsid w:val="00BF3158"/>
    <w:rsid w:val="00BF49E7"/>
    <w:rsid w:val="00C01E1C"/>
    <w:rsid w:val="00C02531"/>
    <w:rsid w:val="00C026B2"/>
    <w:rsid w:val="00C02E48"/>
    <w:rsid w:val="00C03E00"/>
    <w:rsid w:val="00C055BE"/>
    <w:rsid w:val="00C07307"/>
    <w:rsid w:val="00C12182"/>
    <w:rsid w:val="00C13D0C"/>
    <w:rsid w:val="00C13F38"/>
    <w:rsid w:val="00C1687A"/>
    <w:rsid w:val="00C26466"/>
    <w:rsid w:val="00C27EF9"/>
    <w:rsid w:val="00C3018F"/>
    <w:rsid w:val="00C30671"/>
    <w:rsid w:val="00C36A1A"/>
    <w:rsid w:val="00C4662A"/>
    <w:rsid w:val="00C46BEF"/>
    <w:rsid w:val="00C47696"/>
    <w:rsid w:val="00C50ED0"/>
    <w:rsid w:val="00C53BED"/>
    <w:rsid w:val="00C54480"/>
    <w:rsid w:val="00C577C8"/>
    <w:rsid w:val="00C607F2"/>
    <w:rsid w:val="00C627F4"/>
    <w:rsid w:val="00C63E30"/>
    <w:rsid w:val="00C65ECC"/>
    <w:rsid w:val="00C707BD"/>
    <w:rsid w:val="00C72B55"/>
    <w:rsid w:val="00C73967"/>
    <w:rsid w:val="00C73B0F"/>
    <w:rsid w:val="00C75793"/>
    <w:rsid w:val="00C77AD3"/>
    <w:rsid w:val="00C83930"/>
    <w:rsid w:val="00C84877"/>
    <w:rsid w:val="00C8562B"/>
    <w:rsid w:val="00C91D02"/>
    <w:rsid w:val="00C94023"/>
    <w:rsid w:val="00C96EBF"/>
    <w:rsid w:val="00CA2437"/>
    <w:rsid w:val="00CA2890"/>
    <w:rsid w:val="00CA5D54"/>
    <w:rsid w:val="00CB17BA"/>
    <w:rsid w:val="00CB2CF2"/>
    <w:rsid w:val="00CC0380"/>
    <w:rsid w:val="00CC37C1"/>
    <w:rsid w:val="00CC6623"/>
    <w:rsid w:val="00CD21CE"/>
    <w:rsid w:val="00CD2448"/>
    <w:rsid w:val="00CD2AAC"/>
    <w:rsid w:val="00CD31A0"/>
    <w:rsid w:val="00CD5D90"/>
    <w:rsid w:val="00CD6DD3"/>
    <w:rsid w:val="00CE1C9D"/>
    <w:rsid w:val="00CE5750"/>
    <w:rsid w:val="00CF166A"/>
    <w:rsid w:val="00CF3BFB"/>
    <w:rsid w:val="00D00569"/>
    <w:rsid w:val="00D102A7"/>
    <w:rsid w:val="00D10EEF"/>
    <w:rsid w:val="00D1288A"/>
    <w:rsid w:val="00D13A51"/>
    <w:rsid w:val="00D15473"/>
    <w:rsid w:val="00D2100F"/>
    <w:rsid w:val="00D27D60"/>
    <w:rsid w:val="00D30F97"/>
    <w:rsid w:val="00D33169"/>
    <w:rsid w:val="00D333B8"/>
    <w:rsid w:val="00D34AC8"/>
    <w:rsid w:val="00D353F4"/>
    <w:rsid w:val="00D357B5"/>
    <w:rsid w:val="00D41C94"/>
    <w:rsid w:val="00D42B46"/>
    <w:rsid w:val="00D44EA3"/>
    <w:rsid w:val="00D46A96"/>
    <w:rsid w:val="00D5111F"/>
    <w:rsid w:val="00D52A63"/>
    <w:rsid w:val="00D56B5D"/>
    <w:rsid w:val="00D57AC5"/>
    <w:rsid w:val="00D63793"/>
    <w:rsid w:val="00D6695A"/>
    <w:rsid w:val="00D70CF5"/>
    <w:rsid w:val="00D73611"/>
    <w:rsid w:val="00D7425D"/>
    <w:rsid w:val="00D75280"/>
    <w:rsid w:val="00D75F76"/>
    <w:rsid w:val="00D76B5D"/>
    <w:rsid w:val="00D85E2B"/>
    <w:rsid w:val="00D90810"/>
    <w:rsid w:val="00D94687"/>
    <w:rsid w:val="00DA1549"/>
    <w:rsid w:val="00DA2AD9"/>
    <w:rsid w:val="00DB4740"/>
    <w:rsid w:val="00DB4C96"/>
    <w:rsid w:val="00DB5B90"/>
    <w:rsid w:val="00DB6696"/>
    <w:rsid w:val="00DB6D67"/>
    <w:rsid w:val="00DC2093"/>
    <w:rsid w:val="00DC48D9"/>
    <w:rsid w:val="00DC5561"/>
    <w:rsid w:val="00DC5C22"/>
    <w:rsid w:val="00DC71F7"/>
    <w:rsid w:val="00DE5E8F"/>
    <w:rsid w:val="00DE68F3"/>
    <w:rsid w:val="00DF06A0"/>
    <w:rsid w:val="00E03B79"/>
    <w:rsid w:val="00E07E34"/>
    <w:rsid w:val="00E10E29"/>
    <w:rsid w:val="00E11599"/>
    <w:rsid w:val="00E17C09"/>
    <w:rsid w:val="00E23202"/>
    <w:rsid w:val="00E25C98"/>
    <w:rsid w:val="00E32625"/>
    <w:rsid w:val="00E32971"/>
    <w:rsid w:val="00E35F3E"/>
    <w:rsid w:val="00E422D1"/>
    <w:rsid w:val="00E423D6"/>
    <w:rsid w:val="00E45D16"/>
    <w:rsid w:val="00E50968"/>
    <w:rsid w:val="00E5143A"/>
    <w:rsid w:val="00E526A4"/>
    <w:rsid w:val="00E56D6D"/>
    <w:rsid w:val="00E64CEB"/>
    <w:rsid w:val="00E65267"/>
    <w:rsid w:val="00E71D9C"/>
    <w:rsid w:val="00E75C34"/>
    <w:rsid w:val="00E81663"/>
    <w:rsid w:val="00E84D12"/>
    <w:rsid w:val="00E8512F"/>
    <w:rsid w:val="00E854AD"/>
    <w:rsid w:val="00E86F7E"/>
    <w:rsid w:val="00E904B2"/>
    <w:rsid w:val="00E9155E"/>
    <w:rsid w:val="00E938F4"/>
    <w:rsid w:val="00E95D0F"/>
    <w:rsid w:val="00E96FFE"/>
    <w:rsid w:val="00E973F5"/>
    <w:rsid w:val="00EA13AF"/>
    <w:rsid w:val="00EA4C31"/>
    <w:rsid w:val="00EA5CEE"/>
    <w:rsid w:val="00EB024B"/>
    <w:rsid w:val="00EB0CCC"/>
    <w:rsid w:val="00EB2A33"/>
    <w:rsid w:val="00EB41E9"/>
    <w:rsid w:val="00EB5EBC"/>
    <w:rsid w:val="00EC7C88"/>
    <w:rsid w:val="00ED12C3"/>
    <w:rsid w:val="00ED3AC7"/>
    <w:rsid w:val="00ED56B0"/>
    <w:rsid w:val="00EE1252"/>
    <w:rsid w:val="00EE3DF9"/>
    <w:rsid w:val="00EE47FF"/>
    <w:rsid w:val="00EE7911"/>
    <w:rsid w:val="00EF2384"/>
    <w:rsid w:val="00EF2CB4"/>
    <w:rsid w:val="00F04091"/>
    <w:rsid w:val="00F06605"/>
    <w:rsid w:val="00F17C1C"/>
    <w:rsid w:val="00F22E8B"/>
    <w:rsid w:val="00F324E0"/>
    <w:rsid w:val="00F409E3"/>
    <w:rsid w:val="00F43F52"/>
    <w:rsid w:val="00F43FF3"/>
    <w:rsid w:val="00F5124B"/>
    <w:rsid w:val="00F51BE0"/>
    <w:rsid w:val="00F52F78"/>
    <w:rsid w:val="00F57A09"/>
    <w:rsid w:val="00F624CE"/>
    <w:rsid w:val="00F62FA4"/>
    <w:rsid w:val="00F641A4"/>
    <w:rsid w:val="00F67F7F"/>
    <w:rsid w:val="00F71040"/>
    <w:rsid w:val="00F71A6A"/>
    <w:rsid w:val="00F7265D"/>
    <w:rsid w:val="00F73A27"/>
    <w:rsid w:val="00F73D18"/>
    <w:rsid w:val="00F75040"/>
    <w:rsid w:val="00F802AE"/>
    <w:rsid w:val="00F823F0"/>
    <w:rsid w:val="00F82657"/>
    <w:rsid w:val="00F83768"/>
    <w:rsid w:val="00F83A7E"/>
    <w:rsid w:val="00F90ED1"/>
    <w:rsid w:val="00F94742"/>
    <w:rsid w:val="00F94F69"/>
    <w:rsid w:val="00FA0F23"/>
    <w:rsid w:val="00FA3728"/>
    <w:rsid w:val="00FB2BFF"/>
    <w:rsid w:val="00FB3F98"/>
    <w:rsid w:val="00FC01A2"/>
    <w:rsid w:val="00FC3581"/>
    <w:rsid w:val="00FD1DE9"/>
    <w:rsid w:val="00FD2767"/>
    <w:rsid w:val="00FD3E2F"/>
    <w:rsid w:val="00FD5EDE"/>
    <w:rsid w:val="00FE5D4A"/>
    <w:rsid w:val="00FE6E31"/>
    <w:rsid w:val="00FE778C"/>
    <w:rsid w:val="00FF57D3"/>
    <w:rsid w:val="00FF7A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Normal" w:uiPriority="0"/>
    <w:lsdException w:name="heading 5" w:qFormat="1"/>
    <w:lsdException w:name="heading 7" w:qFormat="1"/>
    <w:lsdException w:name="heading 8" w:qFormat="1"/>
    <w:lsdException w:name="heading 9" w:qFormat="1"/>
    <w:lsdException w:name="header" w:uiPriority="57"/>
    <w:lsdException w:name="footer" w:uiPriority="57"/>
    <w:lsdException w:name="caption" w:semiHidden="1" w:qFormat="1"/>
    <w:lsdException w:name="page number" w:uiPriority="0"/>
    <w:lsdException w:name="Title" w:qFormat="1"/>
    <w:lsdException w:name="Default Paragraph Font" w:uiPriority="1"/>
    <w:lsdException w:name="Subtitle" w:qFormat="1"/>
    <w:lsdException w:name="Strong" w:qFormat="1"/>
    <w:lsdException w:name="Emphasis" w:qFormat="1"/>
    <w:lsdException w:name="HTML Top of Form" w:uiPriority="0"/>
    <w:lsdException w:name="HTML Bottom of Form" w:uiPriority="0"/>
    <w:lsdException w:name="Table Grid" w:uiPriority="59"/>
    <w:lsdException w:name="Placeholder Text" w:semiHidden="1"/>
    <w:lsdException w:name="No Spacing" w:uiPriority="0"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semiHidden/>
    <w:rsid w:val="004737FF"/>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737F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737F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737F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737F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737FF"/>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737F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737FF"/>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737FF"/>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737FF"/>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737FF"/>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737FF"/>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4737FF"/>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4737FF"/>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737FF"/>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737FF"/>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4737FF"/>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737FF"/>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4737FF"/>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737FF"/>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737FF"/>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4737FF"/>
    <w:pPr>
      <w:numPr>
        <w:numId w:val="14"/>
      </w:numPr>
      <w:jc w:val="left"/>
    </w:pPr>
    <w:rPr>
      <w:b/>
    </w:rPr>
  </w:style>
  <w:style w:type="paragraph" w:styleId="FootnoteText">
    <w:name w:val="footnote text"/>
    <w:basedOn w:val="Normal"/>
    <w:link w:val="FootnoteTextChar"/>
    <w:uiPriority w:val="99"/>
    <w:semiHidden/>
    <w:rsid w:val="004737FF"/>
    <w:rPr>
      <w:sz w:val="20"/>
      <w:szCs w:val="20"/>
    </w:rPr>
  </w:style>
  <w:style w:type="character" w:styleId="FootnoteReference">
    <w:name w:val="footnote reference"/>
    <w:basedOn w:val="DefaultParagraphFont"/>
    <w:uiPriority w:val="99"/>
    <w:semiHidden/>
    <w:rsid w:val="004737FF"/>
    <w:rPr>
      <w:vertAlign w:val="superscript"/>
    </w:rPr>
  </w:style>
  <w:style w:type="paragraph" w:styleId="Header">
    <w:name w:val="header"/>
    <w:basedOn w:val="Normal"/>
    <w:link w:val="HeaderChar"/>
    <w:uiPriority w:val="57"/>
    <w:semiHidden/>
    <w:rsid w:val="004737FF"/>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737FF"/>
    <w:pPr>
      <w:ind w:left="346" w:firstLine="0"/>
    </w:pPr>
  </w:style>
  <w:style w:type="paragraph" w:customStyle="1" w:styleId="JuParaSub">
    <w:name w:val="Ju_Para_Sub"/>
    <w:basedOn w:val="ECHRPara"/>
    <w:uiPriority w:val="13"/>
    <w:qFormat/>
    <w:rsid w:val="004737FF"/>
    <w:pPr>
      <w:ind w:left="284"/>
    </w:p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737FF"/>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737FF"/>
    <w:rPr>
      <w:color w:val="0072BC" w:themeColor="hyperlink"/>
      <w:u w:val="single"/>
    </w:rPr>
  </w:style>
  <w:style w:type="character" w:styleId="Strong">
    <w:name w:val="Strong"/>
    <w:uiPriority w:val="99"/>
    <w:semiHidden/>
    <w:qFormat/>
    <w:rsid w:val="004737FF"/>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Sub">
    <w:name w:val="Opi_Para_Sub"/>
    <w:basedOn w:val="JuParaSub"/>
    <w:uiPriority w:val="47"/>
    <w:qFormat/>
    <w:rsid w:val="004737FF"/>
  </w:style>
  <w:style w:type="paragraph" w:styleId="ListBullet">
    <w:name w:val="List Bullet"/>
    <w:basedOn w:val="Normal"/>
    <w:uiPriority w:val="99"/>
    <w:semiHidden/>
    <w:rsid w:val="008824B9"/>
    <w:pPr>
      <w:numPr>
        <w:numId w:val="1"/>
      </w:numPr>
    </w:pPr>
  </w:style>
  <w:style w:type="paragraph" w:customStyle="1" w:styleId="OpiQuot">
    <w:name w:val="Opi_Quot"/>
    <w:basedOn w:val="ECHRParaQuote"/>
    <w:uiPriority w:val="48"/>
    <w:qFormat/>
    <w:rsid w:val="004737FF"/>
  </w:style>
  <w:style w:type="character" w:customStyle="1" w:styleId="Heading1Char">
    <w:name w:val="Heading 1 Char"/>
    <w:basedOn w:val="DefaultParagraphFont"/>
    <w:link w:val="Heading1"/>
    <w:uiPriority w:val="99"/>
    <w:semiHidden/>
    <w:rsid w:val="004737FF"/>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737FF"/>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737FF"/>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737FF"/>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737FF"/>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737FF"/>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737FF"/>
    <w:pPr>
      <w:jc w:val="left"/>
    </w:pPr>
    <w:rPr>
      <w:sz w:val="8"/>
    </w:rPr>
  </w:style>
  <w:style w:type="paragraph" w:customStyle="1" w:styleId="ECHRFooterLine">
    <w:name w:val="ECHR_Footer_Line"/>
    <w:aliases w:val="Footer_Line"/>
    <w:basedOn w:val="Normal"/>
    <w:next w:val="ECHRFooter"/>
    <w:uiPriority w:val="57"/>
    <w:semiHidden/>
    <w:rsid w:val="004737FF"/>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4737FF"/>
    <w:rPr>
      <w:rFonts w:eastAsiaTheme="minorHAnsi"/>
      <w:sz w:val="24"/>
      <w:lang w:val="en-US" w:eastAsia="en-US"/>
    </w:rPr>
  </w:style>
  <w:style w:type="paragraph" w:customStyle="1" w:styleId="ECHRHeader">
    <w:name w:val="ECHR_Header"/>
    <w:aliases w:val="Ju_Header"/>
    <w:basedOn w:val="Header"/>
    <w:uiPriority w:val="4"/>
    <w:qFormat/>
    <w:rsid w:val="004737FF"/>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737FF"/>
    <w:rPr>
      <w:rFonts w:eastAsiaTheme="minorHAnsi"/>
      <w:sz w:val="24"/>
      <w:lang w:val="en-US" w:eastAsia="en-US"/>
    </w:rPr>
  </w:style>
  <w:style w:type="character" w:customStyle="1" w:styleId="FootnoteTextChar">
    <w:name w:val="Footnote Text Char"/>
    <w:basedOn w:val="DefaultParagraphFont"/>
    <w:link w:val="FootnoteText"/>
    <w:uiPriority w:val="99"/>
    <w:semiHidden/>
    <w:rsid w:val="004737FF"/>
    <w:rPr>
      <w:rFonts w:eastAsiaTheme="minorEastAsia"/>
      <w:sz w:val="20"/>
      <w:szCs w:val="20"/>
      <w:lang w:val="en-US" w:eastAsia="en-US"/>
    </w:rPr>
  </w:style>
  <w:style w:type="paragraph" w:customStyle="1" w:styleId="OpiQuotSub">
    <w:name w:val="Opi_Quot_Sub"/>
    <w:basedOn w:val="JuQuotSub"/>
    <w:uiPriority w:val="49"/>
    <w:qFormat/>
    <w:rsid w:val="004737FF"/>
  </w:style>
  <w:style w:type="paragraph" w:customStyle="1" w:styleId="OpiPara">
    <w:name w:val="Opi_Para"/>
    <w:basedOn w:val="ECHRPara"/>
    <w:uiPriority w:val="46"/>
    <w:qFormat/>
    <w:rsid w:val="004737FF"/>
  </w:style>
  <w:style w:type="paragraph" w:customStyle="1" w:styleId="JuTitle">
    <w:name w:val="Ju_Title"/>
    <w:basedOn w:val="Normal"/>
    <w:next w:val="ECHRPara"/>
    <w:uiPriority w:val="3"/>
    <w:rsid w:val="004737FF"/>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4737FF"/>
    <w:pPr>
      <w:ind w:left="567"/>
    </w:pPr>
  </w:style>
  <w:style w:type="paragraph" w:customStyle="1" w:styleId="JuInitialled">
    <w:name w:val="Ju_Initialled"/>
    <w:basedOn w:val="Normal"/>
    <w:uiPriority w:val="31"/>
    <w:qFormat/>
    <w:rsid w:val="004737FF"/>
    <w:pPr>
      <w:tabs>
        <w:tab w:val="center" w:pos="6407"/>
      </w:tabs>
      <w:spacing w:before="720"/>
      <w:jc w:val="right"/>
    </w:pPr>
    <w:rPr>
      <w:lang w:val="fr-FR" w:eastAsia="fr-FR"/>
    </w:rPr>
  </w:style>
  <w:style w:type="character" w:customStyle="1" w:styleId="JUNAMES">
    <w:name w:val="JU_NAMES"/>
    <w:uiPriority w:val="17"/>
    <w:qFormat/>
    <w:rsid w:val="004737FF"/>
    <w:rPr>
      <w:caps w:val="0"/>
      <w:smallCaps/>
    </w:rPr>
  </w:style>
  <w:style w:type="paragraph" w:customStyle="1" w:styleId="ECHRTitleCentre3">
    <w:name w:val="ECHR_Title_Centre_3"/>
    <w:aliases w:val="Ju_H_Article"/>
    <w:basedOn w:val="Normal"/>
    <w:next w:val="ECHRParaQuote"/>
    <w:uiPriority w:val="27"/>
    <w:qFormat/>
    <w:rsid w:val="004737FF"/>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4737FF"/>
    <w:pPr>
      <w:spacing w:after="240"/>
      <w:jc w:val="center"/>
      <w:outlineLvl w:val="0"/>
    </w:pPr>
    <w:rPr>
      <w:rFonts w:asciiTheme="majorHAnsi" w:hAnsiTheme="majorHAnsi"/>
    </w:rPr>
  </w:style>
  <w:style w:type="character" w:customStyle="1" w:styleId="JuITMark">
    <w:name w:val="Ju_ITMark"/>
    <w:basedOn w:val="DefaultParagraphFont"/>
    <w:uiPriority w:val="38"/>
    <w:qFormat/>
    <w:rsid w:val="004737FF"/>
    <w:rPr>
      <w:vanish w:val="0"/>
      <w:color w:val="auto"/>
      <w:sz w:val="14"/>
    </w:rPr>
  </w:style>
  <w:style w:type="character" w:customStyle="1" w:styleId="Heading5Char">
    <w:name w:val="Heading 5 Char"/>
    <w:basedOn w:val="DefaultParagraphFont"/>
    <w:link w:val="Heading5"/>
    <w:uiPriority w:val="99"/>
    <w:semiHidden/>
    <w:rsid w:val="004737FF"/>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737F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737F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737FF"/>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737FF"/>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737FF"/>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737FF"/>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737FF"/>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737FF"/>
    <w:rPr>
      <w:b/>
      <w:bCs/>
      <w:i/>
      <w:iCs/>
      <w:spacing w:val="10"/>
      <w:bdr w:val="none" w:sz="0" w:space="0" w:color="auto"/>
      <w:shd w:val="clear" w:color="auto" w:fill="auto"/>
    </w:rPr>
  </w:style>
  <w:style w:type="paragraph" w:styleId="NoSpacing">
    <w:name w:val="No Spacing"/>
    <w:basedOn w:val="Normal"/>
    <w:link w:val="NoSpacingChar"/>
    <w:semiHidden/>
    <w:qFormat/>
    <w:rsid w:val="004737FF"/>
    <w:rPr>
      <w:sz w:val="22"/>
      <w:lang w:val="fr-FR" w:eastAsia="fr-FR"/>
    </w:rPr>
  </w:style>
  <w:style w:type="character" w:customStyle="1" w:styleId="NoSpacingChar">
    <w:name w:val="No Spacing Char"/>
    <w:basedOn w:val="DefaultParagraphFont"/>
    <w:link w:val="NoSpacing"/>
    <w:semiHidden/>
    <w:rsid w:val="004737FF"/>
    <w:rPr>
      <w:rFonts w:eastAsiaTheme="minorEastAsia"/>
    </w:rPr>
  </w:style>
  <w:style w:type="paragraph" w:styleId="ListParagraph">
    <w:name w:val="List Paragraph"/>
    <w:basedOn w:val="Normal"/>
    <w:uiPriority w:val="99"/>
    <w:semiHidden/>
    <w:qFormat/>
    <w:rsid w:val="004737FF"/>
    <w:pPr>
      <w:ind w:left="720"/>
      <w:contextualSpacing/>
    </w:pPr>
    <w:rPr>
      <w:lang w:val="fr-FR" w:eastAsia="fr-FR"/>
    </w:rPr>
  </w:style>
  <w:style w:type="paragraph" w:styleId="Quote">
    <w:name w:val="Quote"/>
    <w:basedOn w:val="Normal"/>
    <w:next w:val="Normal"/>
    <w:link w:val="QuoteChar"/>
    <w:uiPriority w:val="99"/>
    <w:semiHidden/>
    <w:qFormat/>
    <w:rsid w:val="004737FF"/>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737FF"/>
    <w:rPr>
      <w:rFonts w:eastAsiaTheme="minorEastAsia"/>
      <w:i/>
      <w:iCs/>
      <w:lang w:bidi="en-US"/>
    </w:rPr>
  </w:style>
  <w:style w:type="paragraph" w:styleId="IntenseQuote">
    <w:name w:val="Intense Quote"/>
    <w:basedOn w:val="Normal"/>
    <w:next w:val="Normal"/>
    <w:link w:val="IntenseQuoteChar"/>
    <w:uiPriority w:val="99"/>
    <w:semiHidden/>
    <w:qFormat/>
    <w:rsid w:val="004737FF"/>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737FF"/>
    <w:rPr>
      <w:rFonts w:eastAsiaTheme="minorEastAsia"/>
      <w:b/>
      <w:bCs/>
      <w:i/>
      <w:iCs/>
      <w:lang w:bidi="en-US"/>
    </w:rPr>
  </w:style>
  <w:style w:type="character" w:styleId="SubtleEmphasis">
    <w:name w:val="Subtle Emphasis"/>
    <w:uiPriority w:val="99"/>
    <w:semiHidden/>
    <w:qFormat/>
    <w:rsid w:val="004737FF"/>
    <w:rPr>
      <w:i/>
      <w:iCs/>
    </w:rPr>
  </w:style>
  <w:style w:type="character" w:styleId="IntenseEmphasis">
    <w:name w:val="Intense Emphasis"/>
    <w:uiPriority w:val="99"/>
    <w:semiHidden/>
    <w:qFormat/>
    <w:rsid w:val="004737FF"/>
    <w:rPr>
      <w:b/>
      <w:bCs/>
    </w:rPr>
  </w:style>
  <w:style w:type="character" w:styleId="SubtleReference">
    <w:name w:val="Subtle Reference"/>
    <w:uiPriority w:val="99"/>
    <w:semiHidden/>
    <w:qFormat/>
    <w:rsid w:val="004737FF"/>
    <w:rPr>
      <w:smallCaps/>
    </w:rPr>
  </w:style>
  <w:style w:type="character" w:styleId="IntenseReference">
    <w:name w:val="Intense Reference"/>
    <w:uiPriority w:val="99"/>
    <w:semiHidden/>
    <w:qFormat/>
    <w:rsid w:val="004737FF"/>
    <w:rPr>
      <w:smallCaps/>
      <w:spacing w:val="5"/>
      <w:u w:val="single"/>
    </w:rPr>
  </w:style>
  <w:style w:type="character" w:styleId="BookTitle">
    <w:name w:val="Book Title"/>
    <w:uiPriority w:val="99"/>
    <w:semiHidden/>
    <w:qFormat/>
    <w:rsid w:val="004737FF"/>
    <w:rPr>
      <w:i/>
      <w:iCs/>
      <w:smallCaps/>
      <w:spacing w:val="5"/>
    </w:rPr>
  </w:style>
  <w:style w:type="paragraph" w:styleId="TOCHeading">
    <w:name w:val="TOC Heading"/>
    <w:basedOn w:val="Heading1"/>
    <w:next w:val="Normal"/>
    <w:uiPriority w:val="99"/>
    <w:semiHidden/>
    <w:qFormat/>
    <w:rsid w:val="004737FF"/>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4737FF"/>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737FF"/>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737FF"/>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737FF"/>
    <w:pPr>
      <w:spacing w:after="60"/>
      <w:ind w:left="680" w:right="340" w:hanging="340"/>
    </w:pPr>
  </w:style>
  <w:style w:type="paragraph" w:styleId="TOC3">
    <w:name w:val="toc 3"/>
    <w:basedOn w:val="Normal"/>
    <w:next w:val="Normal"/>
    <w:autoRedefine/>
    <w:uiPriority w:val="99"/>
    <w:semiHidden/>
    <w:rsid w:val="004737FF"/>
    <w:pPr>
      <w:spacing w:after="60"/>
      <w:ind w:left="1020" w:right="340" w:hanging="340"/>
    </w:pPr>
  </w:style>
  <w:style w:type="paragraph" w:styleId="TOC4">
    <w:name w:val="toc 4"/>
    <w:basedOn w:val="Normal"/>
    <w:next w:val="Normal"/>
    <w:autoRedefine/>
    <w:uiPriority w:val="99"/>
    <w:semiHidden/>
    <w:rsid w:val="004737FF"/>
    <w:pPr>
      <w:tabs>
        <w:tab w:val="right" w:leader="dot" w:pos="9017"/>
      </w:tabs>
      <w:spacing w:after="60"/>
      <w:ind w:left="1361" w:right="340" w:hanging="340"/>
    </w:pPr>
  </w:style>
  <w:style w:type="paragraph" w:styleId="TOC5">
    <w:name w:val="toc 5"/>
    <w:basedOn w:val="Normal"/>
    <w:next w:val="Normal"/>
    <w:autoRedefine/>
    <w:uiPriority w:val="99"/>
    <w:semiHidden/>
    <w:rsid w:val="004737FF"/>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737FF"/>
    <w:pPr>
      <w:keepNext/>
      <w:keepLines/>
      <w:spacing w:after="240"/>
      <w:jc w:val="center"/>
      <w:outlineLvl w:val="0"/>
    </w:pPr>
    <w:rPr>
      <w:rFonts w:asciiTheme="majorHAnsi" w:hAnsiTheme="majorHAnsi"/>
      <w:sz w:val="28"/>
      <w:lang w:val="fr-FR" w:eastAsia="fr-FR"/>
    </w:rPr>
  </w:style>
  <w:style w:type="paragraph" w:customStyle="1" w:styleId="OpiTranslation">
    <w:name w:val="Opi_Translation"/>
    <w:basedOn w:val="Normal"/>
    <w:next w:val="OpiPara"/>
    <w:uiPriority w:val="40"/>
    <w:qFormat/>
    <w:rsid w:val="004737FF"/>
    <w:pPr>
      <w:jc w:val="center"/>
      <w:outlineLvl w:val="0"/>
    </w:pPr>
    <w:rPr>
      <w:i/>
      <w:lang w:val="fr-FR" w:eastAsia="fr-FR"/>
    </w:rPr>
  </w:style>
  <w:style w:type="paragraph" w:customStyle="1" w:styleId="DecHTitle">
    <w:name w:val="Dec_H_Title"/>
    <w:basedOn w:val="ECHRTitleCentre1"/>
    <w:uiPriority w:val="7"/>
    <w:rsid w:val="004737FF"/>
  </w:style>
  <w:style w:type="paragraph" w:customStyle="1" w:styleId="OpiHA">
    <w:name w:val="Opi_H_A"/>
    <w:basedOn w:val="ECHRHeading1"/>
    <w:next w:val="OpiPara"/>
    <w:uiPriority w:val="41"/>
    <w:qFormat/>
    <w:rsid w:val="004737FF"/>
    <w:pPr>
      <w:tabs>
        <w:tab w:val="clear" w:pos="357"/>
      </w:tabs>
      <w:outlineLvl w:val="1"/>
    </w:pPr>
    <w:rPr>
      <w:b/>
    </w:rPr>
  </w:style>
  <w:style w:type="paragraph" w:customStyle="1" w:styleId="JuCourt">
    <w:name w:val="Ju_Court"/>
    <w:basedOn w:val="Normal"/>
    <w:next w:val="Normal"/>
    <w:uiPriority w:val="16"/>
    <w:qFormat/>
    <w:rsid w:val="004737FF"/>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4737FF"/>
    <w:pPr>
      <w:spacing w:before="240"/>
      <w:ind w:left="284"/>
    </w:pPr>
  </w:style>
  <w:style w:type="paragraph" w:customStyle="1" w:styleId="JuListi">
    <w:name w:val="Ju_List_i"/>
    <w:basedOn w:val="Normal"/>
    <w:next w:val="JuLista"/>
    <w:uiPriority w:val="28"/>
    <w:qFormat/>
    <w:rsid w:val="004737FF"/>
    <w:pPr>
      <w:ind w:left="794"/>
    </w:pPr>
    <w:rPr>
      <w:lang w:val="fr-FR" w:eastAsia="fr-FR"/>
    </w:rPr>
  </w:style>
  <w:style w:type="paragraph" w:customStyle="1" w:styleId="ECHRHeading3">
    <w:name w:val="ECHR_Heading_3"/>
    <w:aliases w:val="Ju_H_1."/>
    <w:basedOn w:val="Heading3"/>
    <w:next w:val="ECHRPara"/>
    <w:uiPriority w:val="21"/>
    <w:qFormat/>
    <w:rsid w:val="004737FF"/>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737FF"/>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737FF"/>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737FF"/>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737FF"/>
    <w:pPr>
      <w:keepNext/>
      <w:keepLines/>
      <w:spacing w:before="240" w:after="120"/>
      <w:ind w:left="1236"/>
    </w:pPr>
    <w:rPr>
      <w:sz w:val="20"/>
    </w:rPr>
  </w:style>
  <w:style w:type="paragraph" w:customStyle="1" w:styleId="OpiHa0">
    <w:name w:val="Opi_H_a"/>
    <w:basedOn w:val="ECHRHeading3"/>
    <w:uiPriority w:val="43"/>
    <w:qFormat/>
    <w:rsid w:val="004737FF"/>
    <w:pPr>
      <w:ind w:left="833" w:hanging="357"/>
      <w:outlineLvl w:val="3"/>
    </w:pPr>
    <w:rPr>
      <w:b/>
      <w:i w:val="0"/>
      <w:sz w:val="20"/>
    </w:rPr>
  </w:style>
  <w:style w:type="paragraph" w:customStyle="1" w:styleId="OpiH1">
    <w:name w:val="Opi_H_1"/>
    <w:basedOn w:val="ECHRHeading2"/>
    <w:uiPriority w:val="42"/>
    <w:qFormat/>
    <w:rsid w:val="004737FF"/>
    <w:pPr>
      <w:ind w:left="635" w:hanging="357"/>
      <w:outlineLvl w:val="2"/>
    </w:pPr>
  </w:style>
  <w:style w:type="paragraph" w:customStyle="1" w:styleId="OpiHi">
    <w:name w:val="Opi_H_i"/>
    <w:basedOn w:val="ECHRHeading4"/>
    <w:uiPriority w:val="44"/>
    <w:qFormat/>
    <w:rsid w:val="004737FF"/>
    <w:pPr>
      <w:ind w:left="1037" w:hanging="357"/>
      <w:outlineLvl w:val="4"/>
    </w:pPr>
    <w:rPr>
      <w:b w:val="0"/>
      <w:i/>
    </w:rPr>
  </w:style>
  <w:style w:type="paragraph" w:customStyle="1" w:styleId="DummyStyle">
    <w:name w:val="Dummy_Style"/>
    <w:basedOn w:val="Normal"/>
    <w:semiHidden/>
    <w:qFormat/>
    <w:rsid w:val="004737FF"/>
    <w:rPr>
      <w:color w:val="00B050"/>
      <w:lang w:val="fr-FR" w:eastAsia="fr-FR"/>
    </w:rPr>
  </w:style>
  <w:style w:type="table" w:customStyle="1" w:styleId="ECHRListTable">
    <w:name w:val="ECHR_List_Table"/>
    <w:basedOn w:val="TableNormal"/>
    <w:uiPriority w:val="99"/>
    <w:rsid w:val="004737FF"/>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FF57D3"/>
    <w:rPr>
      <w:rFonts w:eastAsiaTheme="minorEastAsia"/>
      <w:sz w:val="24"/>
      <w:lang w:val="en-US" w:eastAsia="en-US"/>
    </w:rPr>
  </w:style>
  <w:style w:type="paragraph" w:customStyle="1" w:styleId="jupara">
    <w:name w:val="jupara"/>
    <w:basedOn w:val="Normal"/>
    <w:rsid w:val="0050610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0610F"/>
    <w:pPr>
      <w:ind w:firstLine="284"/>
    </w:pPr>
    <w:rPr>
      <w:rFonts w:ascii="Times New Roman" w:eastAsia="Times New Roman" w:hAnsi="Times New Roman" w:cs="Times New Roman"/>
      <w:b/>
      <w:bCs/>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267">
    <w:lsdException w:name="Normal" w:uiPriority="0"/>
    <w:lsdException w:name="heading 5" w:qFormat="1"/>
    <w:lsdException w:name="heading 7" w:qFormat="1"/>
    <w:lsdException w:name="heading 8" w:qFormat="1"/>
    <w:lsdException w:name="heading 9" w:qFormat="1"/>
    <w:lsdException w:name="header" w:uiPriority="57"/>
    <w:lsdException w:name="footer" w:uiPriority="57"/>
    <w:lsdException w:name="caption" w:semiHidden="1" w:qFormat="1"/>
    <w:lsdException w:name="page number" w:uiPriority="0"/>
    <w:lsdException w:name="Title" w:qFormat="1"/>
    <w:lsdException w:name="Default Paragraph Font" w:uiPriority="1"/>
    <w:lsdException w:name="Subtitle" w:qFormat="1"/>
    <w:lsdException w:name="Strong" w:qFormat="1"/>
    <w:lsdException w:name="Emphasis" w:qFormat="1"/>
    <w:lsdException w:name="HTML Top of Form" w:uiPriority="0"/>
    <w:lsdException w:name="HTML Bottom of Form" w:uiPriority="0"/>
    <w:lsdException w:name="Table Grid" w:uiPriority="59"/>
    <w:lsdException w:name="Placeholder Text" w:semiHidden="1"/>
    <w:lsdException w:name="No Spacing" w:uiPriority="0" w:qFormat="1"/>
    <w:lsdException w:name="Revision" w:semiHidden="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Normal">
    <w:name w:val="Normal"/>
    <w:semiHidden/>
    <w:rsid w:val="004737FF"/>
    <w:pPr>
      <w:jc w:val="both"/>
    </w:pPr>
    <w:rPr>
      <w:rFonts w:eastAsiaTheme="minorEastAsia"/>
      <w:sz w:val="24"/>
      <w:lang w:val="en-US" w:eastAsia="en-US"/>
    </w:rPr>
  </w:style>
  <w:style w:type="paragraph" w:styleId="Heading1">
    <w:name w:val="heading 1"/>
    <w:basedOn w:val="Normal"/>
    <w:next w:val="Normal"/>
    <w:link w:val="Heading1Char"/>
    <w:uiPriority w:val="99"/>
    <w:semiHidden/>
    <w:rsid w:val="004737F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737F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737F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737F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737FF"/>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4737F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737FF"/>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4737FF"/>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4737FF"/>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4737FF"/>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4737FF"/>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4737FF"/>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4737FF"/>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4737FF"/>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4737FF"/>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4737FF"/>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4737FF"/>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4737FF"/>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4737FF"/>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4737FF"/>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4737FF"/>
    <w:pPr>
      <w:numPr>
        <w:numId w:val="14"/>
      </w:numPr>
      <w:jc w:val="left"/>
    </w:pPr>
    <w:rPr>
      <w:b/>
    </w:rPr>
  </w:style>
  <w:style w:type="paragraph" w:styleId="FootnoteText">
    <w:name w:val="footnote text"/>
    <w:basedOn w:val="Normal"/>
    <w:link w:val="FootnoteTextChar"/>
    <w:uiPriority w:val="99"/>
    <w:semiHidden/>
    <w:rsid w:val="004737FF"/>
    <w:rPr>
      <w:sz w:val="20"/>
      <w:szCs w:val="20"/>
    </w:rPr>
  </w:style>
  <w:style w:type="character" w:styleId="FootnoteReference">
    <w:name w:val="footnote reference"/>
    <w:basedOn w:val="DefaultParagraphFont"/>
    <w:uiPriority w:val="99"/>
    <w:semiHidden/>
    <w:rsid w:val="004737FF"/>
    <w:rPr>
      <w:vertAlign w:val="superscript"/>
    </w:rPr>
  </w:style>
  <w:style w:type="paragraph" w:styleId="Header">
    <w:name w:val="header"/>
    <w:basedOn w:val="Normal"/>
    <w:link w:val="HeaderChar"/>
    <w:uiPriority w:val="57"/>
    <w:semiHidden/>
    <w:rsid w:val="004737FF"/>
    <w:pPr>
      <w:tabs>
        <w:tab w:val="center" w:pos="4536"/>
        <w:tab w:val="right" w:pos="9072"/>
      </w:tabs>
    </w:pPr>
    <w:rPr>
      <w:rFonts w:eastAsiaTheme="minorHAnsi"/>
    </w:rPr>
  </w:style>
  <w:style w:type="character" w:styleId="PageNumber">
    <w:name w:val="page number"/>
    <w:semiHidden/>
    <w:rsid w:val="00D1288A"/>
    <w:rPr>
      <w:sz w:val="18"/>
    </w:rPr>
  </w:style>
  <w:style w:type="paragraph" w:customStyle="1" w:styleId="JuLista">
    <w:name w:val="Ju_List_a"/>
    <w:basedOn w:val="JuList"/>
    <w:uiPriority w:val="28"/>
    <w:qFormat/>
    <w:rsid w:val="004737FF"/>
    <w:pPr>
      <w:ind w:left="346" w:firstLine="0"/>
    </w:pPr>
  </w:style>
  <w:style w:type="paragraph" w:customStyle="1" w:styleId="JuParaSub">
    <w:name w:val="Ju_Para_Sub"/>
    <w:basedOn w:val="ECHRPara"/>
    <w:uiPriority w:val="13"/>
    <w:qFormat/>
    <w:rsid w:val="004737FF"/>
    <w:pPr>
      <w:ind w:left="284"/>
    </w:p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4737FF"/>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4737FF"/>
    <w:rPr>
      <w:color w:val="0072BC" w:themeColor="hyperlink"/>
      <w:u w:val="single"/>
    </w:rPr>
  </w:style>
  <w:style w:type="character" w:styleId="Strong">
    <w:name w:val="Strong"/>
    <w:uiPriority w:val="99"/>
    <w:semiHidden/>
    <w:qFormat/>
    <w:rsid w:val="004737FF"/>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Sub">
    <w:name w:val="Opi_Para_Sub"/>
    <w:basedOn w:val="JuParaSub"/>
    <w:uiPriority w:val="47"/>
    <w:qFormat/>
    <w:rsid w:val="004737FF"/>
  </w:style>
  <w:style w:type="paragraph" w:styleId="ListBullet">
    <w:name w:val="List Bullet"/>
    <w:basedOn w:val="Normal"/>
    <w:uiPriority w:val="99"/>
    <w:semiHidden/>
    <w:rsid w:val="008824B9"/>
    <w:pPr>
      <w:numPr>
        <w:numId w:val="1"/>
      </w:numPr>
    </w:pPr>
  </w:style>
  <w:style w:type="paragraph" w:customStyle="1" w:styleId="OpiQuot">
    <w:name w:val="Opi_Quot"/>
    <w:basedOn w:val="ECHRParaQuote"/>
    <w:uiPriority w:val="48"/>
    <w:qFormat/>
    <w:rsid w:val="004737FF"/>
  </w:style>
  <w:style w:type="character" w:customStyle="1" w:styleId="Heading1Char">
    <w:name w:val="Heading 1 Char"/>
    <w:basedOn w:val="DefaultParagraphFont"/>
    <w:link w:val="Heading1"/>
    <w:uiPriority w:val="99"/>
    <w:semiHidden/>
    <w:rsid w:val="004737FF"/>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4737FF"/>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4737FF"/>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4737FF"/>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4737FF"/>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4737FF"/>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4737FF"/>
    <w:pPr>
      <w:jc w:val="left"/>
    </w:pPr>
    <w:rPr>
      <w:sz w:val="8"/>
    </w:rPr>
  </w:style>
  <w:style w:type="paragraph" w:customStyle="1" w:styleId="ECHRFooterLine">
    <w:name w:val="ECHR_Footer_Line"/>
    <w:aliases w:val="Footer_Line"/>
    <w:basedOn w:val="Normal"/>
    <w:next w:val="ECHRFooter"/>
    <w:uiPriority w:val="57"/>
    <w:semiHidden/>
    <w:rsid w:val="004737FF"/>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rsid w:val="004737FF"/>
    <w:rPr>
      <w:rFonts w:eastAsiaTheme="minorHAnsi"/>
      <w:sz w:val="24"/>
      <w:lang w:val="en-US" w:eastAsia="en-US"/>
    </w:rPr>
  </w:style>
  <w:style w:type="paragraph" w:customStyle="1" w:styleId="ECHRHeader">
    <w:name w:val="ECHR_Header"/>
    <w:aliases w:val="Ju_Header"/>
    <w:basedOn w:val="Header"/>
    <w:uiPriority w:val="4"/>
    <w:qFormat/>
    <w:rsid w:val="004737FF"/>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4737FF"/>
    <w:rPr>
      <w:rFonts w:eastAsiaTheme="minorHAnsi"/>
      <w:sz w:val="24"/>
      <w:lang w:val="en-US" w:eastAsia="en-US"/>
    </w:rPr>
  </w:style>
  <w:style w:type="character" w:customStyle="1" w:styleId="FootnoteTextChar">
    <w:name w:val="Footnote Text Char"/>
    <w:basedOn w:val="DefaultParagraphFont"/>
    <w:link w:val="FootnoteText"/>
    <w:uiPriority w:val="99"/>
    <w:semiHidden/>
    <w:rsid w:val="004737FF"/>
    <w:rPr>
      <w:rFonts w:eastAsiaTheme="minorEastAsia"/>
      <w:sz w:val="20"/>
      <w:szCs w:val="20"/>
      <w:lang w:val="en-US" w:eastAsia="en-US"/>
    </w:rPr>
  </w:style>
  <w:style w:type="paragraph" w:customStyle="1" w:styleId="OpiQuotSub">
    <w:name w:val="Opi_Quot_Sub"/>
    <w:basedOn w:val="JuQuotSub"/>
    <w:uiPriority w:val="49"/>
    <w:qFormat/>
    <w:rsid w:val="004737FF"/>
  </w:style>
  <w:style w:type="paragraph" w:customStyle="1" w:styleId="OpiPara">
    <w:name w:val="Opi_Para"/>
    <w:basedOn w:val="ECHRPara"/>
    <w:uiPriority w:val="46"/>
    <w:qFormat/>
    <w:rsid w:val="004737FF"/>
  </w:style>
  <w:style w:type="paragraph" w:customStyle="1" w:styleId="JuTitle">
    <w:name w:val="Ju_Title"/>
    <w:basedOn w:val="Normal"/>
    <w:next w:val="ECHRPara"/>
    <w:uiPriority w:val="3"/>
    <w:rsid w:val="004737FF"/>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4737FF"/>
    <w:pPr>
      <w:ind w:left="567"/>
    </w:pPr>
  </w:style>
  <w:style w:type="paragraph" w:customStyle="1" w:styleId="JuInitialled">
    <w:name w:val="Ju_Initialled"/>
    <w:basedOn w:val="Normal"/>
    <w:uiPriority w:val="31"/>
    <w:qFormat/>
    <w:rsid w:val="004737FF"/>
    <w:pPr>
      <w:tabs>
        <w:tab w:val="center" w:pos="6407"/>
      </w:tabs>
      <w:spacing w:before="720"/>
      <w:jc w:val="right"/>
    </w:pPr>
    <w:rPr>
      <w:lang w:val="fr-FR" w:eastAsia="fr-FR"/>
    </w:rPr>
  </w:style>
  <w:style w:type="character" w:customStyle="1" w:styleId="JUNAMES">
    <w:name w:val="JU_NAMES"/>
    <w:uiPriority w:val="17"/>
    <w:qFormat/>
    <w:rsid w:val="004737FF"/>
    <w:rPr>
      <w:caps w:val="0"/>
      <w:smallCaps/>
    </w:rPr>
  </w:style>
  <w:style w:type="paragraph" w:customStyle="1" w:styleId="ECHRTitleCentre3">
    <w:name w:val="ECHR_Title_Centre_3"/>
    <w:aliases w:val="Ju_H_Article"/>
    <w:basedOn w:val="Normal"/>
    <w:next w:val="ECHRParaQuote"/>
    <w:uiPriority w:val="27"/>
    <w:qFormat/>
    <w:rsid w:val="004737FF"/>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4737FF"/>
    <w:pPr>
      <w:spacing w:after="240"/>
      <w:jc w:val="center"/>
      <w:outlineLvl w:val="0"/>
    </w:pPr>
    <w:rPr>
      <w:rFonts w:asciiTheme="majorHAnsi" w:hAnsiTheme="majorHAnsi"/>
    </w:rPr>
  </w:style>
  <w:style w:type="character" w:customStyle="1" w:styleId="JuITMark">
    <w:name w:val="Ju_ITMark"/>
    <w:basedOn w:val="DefaultParagraphFont"/>
    <w:uiPriority w:val="38"/>
    <w:qFormat/>
    <w:rsid w:val="004737FF"/>
    <w:rPr>
      <w:vanish w:val="0"/>
      <w:color w:val="auto"/>
      <w:sz w:val="14"/>
    </w:rPr>
  </w:style>
  <w:style w:type="character" w:customStyle="1" w:styleId="Heading5Char">
    <w:name w:val="Heading 5 Char"/>
    <w:basedOn w:val="DefaultParagraphFont"/>
    <w:link w:val="Heading5"/>
    <w:uiPriority w:val="99"/>
    <w:semiHidden/>
    <w:rsid w:val="004737FF"/>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4737F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737F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737FF"/>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4737FF"/>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4737FF"/>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4737FF"/>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4737FF"/>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4737FF"/>
    <w:rPr>
      <w:b/>
      <w:bCs/>
      <w:i/>
      <w:iCs/>
      <w:spacing w:val="10"/>
      <w:bdr w:val="none" w:sz="0" w:space="0" w:color="auto"/>
      <w:shd w:val="clear" w:color="auto" w:fill="auto"/>
    </w:rPr>
  </w:style>
  <w:style w:type="paragraph" w:styleId="NoSpacing">
    <w:name w:val="No Spacing"/>
    <w:basedOn w:val="Normal"/>
    <w:link w:val="NoSpacingChar"/>
    <w:semiHidden/>
    <w:qFormat/>
    <w:rsid w:val="004737FF"/>
    <w:rPr>
      <w:sz w:val="22"/>
      <w:lang w:val="fr-FR" w:eastAsia="fr-FR"/>
    </w:rPr>
  </w:style>
  <w:style w:type="character" w:customStyle="1" w:styleId="NoSpacingChar">
    <w:name w:val="No Spacing Char"/>
    <w:basedOn w:val="DefaultParagraphFont"/>
    <w:link w:val="NoSpacing"/>
    <w:semiHidden/>
    <w:rsid w:val="004737FF"/>
    <w:rPr>
      <w:rFonts w:eastAsiaTheme="minorEastAsia"/>
    </w:rPr>
  </w:style>
  <w:style w:type="paragraph" w:styleId="ListParagraph">
    <w:name w:val="List Paragraph"/>
    <w:basedOn w:val="Normal"/>
    <w:uiPriority w:val="99"/>
    <w:semiHidden/>
    <w:qFormat/>
    <w:rsid w:val="004737FF"/>
    <w:pPr>
      <w:ind w:left="720"/>
      <w:contextualSpacing/>
    </w:pPr>
    <w:rPr>
      <w:lang w:val="fr-FR" w:eastAsia="fr-FR"/>
    </w:rPr>
  </w:style>
  <w:style w:type="paragraph" w:styleId="Quote">
    <w:name w:val="Quote"/>
    <w:basedOn w:val="Normal"/>
    <w:next w:val="Normal"/>
    <w:link w:val="QuoteChar"/>
    <w:uiPriority w:val="99"/>
    <w:semiHidden/>
    <w:qFormat/>
    <w:rsid w:val="004737FF"/>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4737FF"/>
    <w:rPr>
      <w:rFonts w:eastAsiaTheme="minorEastAsia"/>
      <w:i/>
      <w:iCs/>
      <w:lang w:bidi="en-US"/>
    </w:rPr>
  </w:style>
  <w:style w:type="paragraph" w:styleId="IntenseQuote">
    <w:name w:val="Intense Quote"/>
    <w:basedOn w:val="Normal"/>
    <w:next w:val="Normal"/>
    <w:link w:val="IntenseQuoteChar"/>
    <w:uiPriority w:val="99"/>
    <w:semiHidden/>
    <w:qFormat/>
    <w:rsid w:val="004737FF"/>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4737FF"/>
    <w:rPr>
      <w:rFonts w:eastAsiaTheme="minorEastAsia"/>
      <w:b/>
      <w:bCs/>
      <w:i/>
      <w:iCs/>
      <w:lang w:bidi="en-US"/>
    </w:rPr>
  </w:style>
  <w:style w:type="character" w:styleId="SubtleEmphasis">
    <w:name w:val="Subtle Emphasis"/>
    <w:uiPriority w:val="99"/>
    <w:semiHidden/>
    <w:qFormat/>
    <w:rsid w:val="004737FF"/>
    <w:rPr>
      <w:i/>
      <w:iCs/>
    </w:rPr>
  </w:style>
  <w:style w:type="character" w:styleId="IntenseEmphasis">
    <w:name w:val="Intense Emphasis"/>
    <w:uiPriority w:val="99"/>
    <w:semiHidden/>
    <w:qFormat/>
    <w:rsid w:val="004737FF"/>
    <w:rPr>
      <w:b/>
      <w:bCs/>
    </w:rPr>
  </w:style>
  <w:style w:type="character" w:styleId="SubtleReference">
    <w:name w:val="Subtle Reference"/>
    <w:uiPriority w:val="99"/>
    <w:semiHidden/>
    <w:qFormat/>
    <w:rsid w:val="004737FF"/>
    <w:rPr>
      <w:smallCaps/>
    </w:rPr>
  </w:style>
  <w:style w:type="character" w:styleId="IntenseReference">
    <w:name w:val="Intense Reference"/>
    <w:uiPriority w:val="99"/>
    <w:semiHidden/>
    <w:qFormat/>
    <w:rsid w:val="004737FF"/>
    <w:rPr>
      <w:smallCaps/>
      <w:spacing w:val="5"/>
      <w:u w:val="single"/>
    </w:rPr>
  </w:style>
  <w:style w:type="character" w:styleId="BookTitle">
    <w:name w:val="Book Title"/>
    <w:uiPriority w:val="99"/>
    <w:semiHidden/>
    <w:qFormat/>
    <w:rsid w:val="004737FF"/>
    <w:rPr>
      <w:i/>
      <w:iCs/>
      <w:smallCaps/>
      <w:spacing w:val="5"/>
    </w:rPr>
  </w:style>
  <w:style w:type="paragraph" w:styleId="TOCHeading">
    <w:name w:val="TOC Heading"/>
    <w:basedOn w:val="Heading1"/>
    <w:next w:val="Normal"/>
    <w:uiPriority w:val="99"/>
    <w:semiHidden/>
    <w:qFormat/>
    <w:rsid w:val="004737FF"/>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4737FF"/>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4737FF"/>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4737FF"/>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4737FF"/>
    <w:pPr>
      <w:spacing w:after="60"/>
      <w:ind w:left="680" w:right="340" w:hanging="340"/>
    </w:pPr>
  </w:style>
  <w:style w:type="paragraph" w:styleId="TOC3">
    <w:name w:val="toc 3"/>
    <w:basedOn w:val="Normal"/>
    <w:next w:val="Normal"/>
    <w:autoRedefine/>
    <w:uiPriority w:val="99"/>
    <w:semiHidden/>
    <w:rsid w:val="004737FF"/>
    <w:pPr>
      <w:spacing w:after="60"/>
      <w:ind w:left="1020" w:right="340" w:hanging="340"/>
    </w:pPr>
  </w:style>
  <w:style w:type="paragraph" w:styleId="TOC4">
    <w:name w:val="toc 4"/>
    <w:basedOn w:val="Normal"/>
    <w:next w:val="Normal"/>
    <w:autoRedefine/>
    <w:uiPriority w:val="99"/>
    <w:semiHidden/>
    <w:rsid w:val="004737FF"/>
    <w:pPr>
      <w:tabs>
        <w:tab w:val="right" w:leader="dot" w:pos="9017"/>
      </w:tabs>
      <w:spacing w:after="60"/>
      <w:ind w:left="1361" w:right="340" w:hanging="340"/>
    </w:pPr>
  </w:style>
  <w:style w:type="paragraph" w:styleId="TOC5">
    <w:name w:val="toc 5"/>
    <w:basedOn w:val="Normal"/>
    <w:next w:val="Normal"/>
    <w:autoRedefine/>
    <w:uiPriority w:val="99"/>
    <w:semiHidden/>
    <w:rsid w:val="004737FF"/>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4737FF"/>
    <w:pPr>
      <w:keepNext/>
      <w:keepLines/>
      <w:spacing w:after="240"/>
      <w:jc w:val="center"/>
      <w:outlineLvl w:val="0"/>
    </w:pPr>
    <w:rPr>
      <w:rFonts w:asciiTheme="majorHAnsi" w:hAnsiTheme="majorHAnsi"/>
      <w:sz w:val="28"/>
      <w:lang w:val="fr-FR" w:eastAsia="fr-FR"/>
    </w:rPr>
  </w:style>
  <w:style w:type="paragraph" w:customStyle="1" w:styleId="OpiTranslation">
    <w:name w:val="Opi_Translation"/>
    <w:basedOn w:val="Normal"/>
    <w:next w:val="OpiPara"/>
    <w:uiPriority w:val="40"/>
    <w:qFormat/>
    <w:rsid w:val="004737FF"/>
    <w:pPr>
      <w:jc w:val="center"/>
      <w:outlineLvl w:val="0"/>
    </w:pPr>
    <w:rPr>
      <w:i/>
      <w:lang w:val="fr-FR" w:eastAsia="fr-FR"/>
    </w:rPr>
  </w:style>
  <w:style w:type="paragraph" w:customStyle="1" w:styleId="DecHTitle">
    <w:name w:val="Dec_H_Title"/>
    <w:basedOn w:val="ECHRTitleCentre1"/>
    <w:uiPriority w:val="7"/>
    <w:rsid w:val="004737FF"/>
  </w:style>
  <w:style w:type="paragraph" w:customStyle="1" w:styleId="OpiHA">
    <w:name w:val="Opi_H_A"/>
    <w:basedOn w:val="ECHRHeading1"/>
    <w:next w:val="OpiPara"/>
    <w:uiPriority w:val="41"/>
    <w:qFormat/>
    <w:rsid w:val="004737FF"/>
    <w:pPr>
      <w:tabs>
        <w:tab w:val="clear" w:pos="357"/>
      </w:tabs>
      <w:outlineLvl w:val="1"/>
    </w:pPr>
    <w:rPr>
      <w:b/>
    </w:rPr>
  </w:style>
  <w:style w:type="paragraph" w:customStyle="1" w:styleId="JuCourt">
    <w:name w:val="Ju_Court"/>
    <w:basedOn w:val="Normal"/>
    <w:next w:val="Normal"/>
    <w:uiPriority w:val="16"/>
    <w:qFormat/>
    <w:rsid w:val="004737FF"/>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4737FF"/>
    <w:pPr>
      <w:spacing w:before="240"/>
      <w:ind w:left="284"/>
    </w:pPr>
  </w:style>
  <w:style w:type="paragraph" w:customStyle="1" w:styleId="JuListi">
    <w:name w:val="Ju_List_i"/>
    <w:basedOn w:val="Normal"/>
    <w:next w:val="JuLista"/>
    <w:uiPriority w:val="28"/>
    <w:qFormat/>
    <w:rsid w:val="004737FF"/>
    <w:pPr>
      <w:ind w:left="794"/>
    </w:pPr>
    <w:rPr>
      <w:lang w:val="fr-FR" w:eastAsia="fr-FR"/>
    </w:rPr>
  </w:style>
  <w:style w:type="paragraph" w:customStyle="1" w:styleId="ECHRHeading3">
    <w:name w:val="ECHR_Heading_3"/>
    <w:aliases w:val="Ju_H_1."/>
    <w:basedOn w:val="Heading3"/>
    <w:next w:val="ECHRPara"/>
    <w:uiPriority w:val="21"/>
    <w:qFormat/>
    <w:rsid w:val="004737FF"/>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4737FF"/>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4737FF"/>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4737FF"/>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4737FF"/>
    <w:pPr>
      <w:keepNext/>
      <w:keepLines/>
      <w:spacing w:before="240" w:after="120"/>
      <w:ind w:left="1236"/>
    </w:pPr>
    <w:rPr>
      <w:sz w:val="20"/>
    </w:rPr>
  </w:style>
  <w:style w:type="paragraph" w:customStyle="1" w:styleId="OpiHa0">
    <w:name w:val="Opi_H_a"/>
    <w:basedOn w:val="ECHRHeading3"/>
    <w:uiPriority w:val="43"/>
    <w:qFormat/>
    <w:rsid w:val="004737FF"/>
    <w:pPr>
      <w:ind w:left="833" w:hanging="357"/>
      <w:outlineLvl w:val="3"/>
    </w:pPr>
    <w:rPr>
      <w:b/>
      <w:i w:val="0"/>
      <w:sz w:val="20"/>
    </w:rPr>
  </w:style>
  <w:style w:type="paragraph" w:customStyle="1" w:styleId="OpiH1">
    <w:name w:val="Opi_H_1"/>
    <w:basedOn w:val="ECHRHeading2"/>
    <w:uiPriority w:val="42"/>
    <w:qFormat/>
    <w:rsid w:val="004737FF"/>
    <w:pPr>
      <w:ind w:left="635" w:hanging="357"/>
      <w:outlineLvl w:val="2"/>
    </w:pPr>
  </w:style>
  <w:style w:type="paragraph" w:customStyle="1" w:styleId="OpiHi">
    <w:name w:val="Opi_H_i"/>
    <w:basedOn w:val="ECHRHeading4"/>
    <w:uiPriority w:val="44"/>
    <w:qFormat/>
    <w:rsid w:val="004737FF"/>
    <w:pPr>
      <w:ind w:left="1037" w:hanging="357"/>
      <w:outlineLvl w:val="4"/>
    </w:pPr>
    <w:rPr>
      <w:b w:val="0"/>
      <w:i/>
    </w:rPr>
  </w:style>
  <w:style w:type="paragraph" w:customStyle="1" w:styleId="DummyStyle">
    <w:name w:val="Dummy_Style"/>
    <w:basedOn w:val="Normal"/>
    <w:semiHidden/>
    <w:qFormat/>
    <w:rsid w:val="004737FF"/>
    <w:rPr>
      <w:color w:val="00B050"/>
      <w:lang w:val="fr-FR" w:eastAsia="fr-FR"/>
    </w:rPr>
  </w:style>
  <w:style w:type="table" w:customStyle="1" w:styleId="ECHRListTable">
    <w:name w:val="ECHR_List_Table"/>
    <w:basedOn w:val="TableNormal"/>
    <w:uiPriority w:val="99"/>
    <w:rsid w:val="004737FF"/>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Revision">
    <w:name w:val="Revision"/>
    <w:hidden/>
    <w:uiPriority w:val="99"/>
    <w:semiHidden/>
    <w:rsid w:val="00FF57D3"/>
    <w:rPr>
      <w:rFonts w:eastAsiaTheme="minorEastAsia"/>
      <w:sz w:val="24"/>
      <w:lang w:val="en-US" w:eastAsia="en-US"/>
    </w:rPr>
  </w:style>
  <w:style w:type="paragraph" w:customStyle="1" w:styleId="jupara">
    <w:name w:val="jupara"/>
    <w:basedOn w:val="Normal"/>
    <w:rsid w:val="0050610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50610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794047">
      <w:bodyDiv w:val="1"/>
      <w:marLeft w:val="0"/>
      <w:marRight w:val="0"/>
      <w:marTop w:val="0"/>
      <w:marBottom w:val="0"/>
      <w:divBdr>
        <w:top w:val="none" w:sz="0" w:space="0" w:color="auto"/>
        <w:left w:val="none" w:sz="0" w:space="0" w:color="auto"/>
        <w:bottom w:val="none" w:sz="0" w:space="0" w:color="auto"/>
        <w:right w:val="none" w:sz="0" w:space="0" w:color="auto"/>
      </w:divBdr>
      <w:divsChild>
        <w:div w:id="638150029">
          <w:marLeft w:val="0"/>
          <w:marRight w:val="0"/>
          <w:marTop w:val="0"/>
          <w:marBottom w:val="0"/>
          <w:divBdr>
            <w:top w:val="none" w:sz="0" w:space="0" w:color="auto"/>
            <w:left w:val="none" w:sz="0" w:space="0" w:color="auto"/>
            <w:bottom w:val="none" w:sz="0" w:space="0" w:color="auto"/>
            <w:right w:val="none" w:sz="0" w:space="0" w:color="auto"/>
          </w:divBdr>
          <w:divsChild>
            <w:div w:id="1603302085">
              <w:marLeft w:val="0"/>
              <w:marRight w:val="0"/>
              <w:marTop w:val="0"/>
              <w:marBottom w:val="0"/>
              <w:divBdr>
                <w:top w:val="none" w:sz="0" w:space="0" w:color="auto"/>
                <w:left w:val="none" w:sz="0" w:space="0" w:color="auto"/>
                <w:bottom w:val="none" w:sz="0" w:space="0" w:color="auto"/>
                <w:right w:val="none" w:sz="0" w:space="0" w:color="auto"/>
              </w:divBdr>
              <w:divsChild>
                <w:div w:id="81493924">
                  <w:marLeft w:val="0"/>
                  <w:marRight w:val="0"/>
                  <w:marTop w:val="0"/>
                  <w:marBottom w:val="0"/>
                  <w:divBdr>
                    <w:top w:val="none" w:sz="0" w:space="0" w:color="auto"/>
                    <w:left w:val="none" w:sz="0" w:space="0" w:color="auto"/>
                    <w:bottom w:val="none" w:sz="0" w:space="0" w:color="auto"/>
                    <w:right w:val="none" w:sz="0" w:space="0" w:color="auto"/>
                  </w:divBdr>
                  <w:divsChild>
                    <w:div w:id="956370992">
                      <w:marLeft w:val="0"/>
                      <w:marRight w:val="0"/>
                      <w:marTop w:val="0"/>
                      <w:marBottom w:val="0"/>
                      <w:divBdr>
                        <w:top w:val="none" w:sz="0" w:space="0" w:color="auto"/>
                        <w:left w:val="none" w:sz="0" w:space="0" w:color="auto"/>
                        <w:bottom w:val="none" w:sz="0" w:space="0" w:color="auto"/>
                        <w:right w:val="none" w:sz="0" w:space="0" w:color="auto"/>
                      </w:divBdr>
                      <w:divsChild>
                        <w:div w:id="649139243">
                          <w:marLeft w:val="0"/>
                          <w:marRight w:val="0"/>
                          <w:marTop w:val="0"/>
                          <w:marBottom w:val="0"/>
                          <w:divBdr>
                            <w:top w:val="none" w:sz="0" w:space="0" w:color="auto"/>
                            <w:left w:val="none" w:sz="0" w:space="0" w:color="auto"/>
                            <w:bottom w:val="none" w:sz="0" w:space="0" w:color="auto"/>
                            <w:right w:val="none" w:sz="0" w:space="0" w:color="auto"/>
                          </w:divBdr>
                          <w:divsChild>
                            <w:div w:id="177905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580917307">
      <w:bodyDiv w:val="1"/>
      <w:marLeft w:val="0"/>
      <w:marRight w:val="0"/>
      <w:marTop w:val="0"/>
      <w:marBottom w:val="0"/>
      <w:divBdr>
        <w:top w:val="none" w:sz="0" w:space="0" w:color="auto"/>
        <w:left w:val="none" w:sz="0" w:space="0" w:color="auto"/>
        <w:bottom w:val="none" w:sz="0" w:space="0" w:color="auto"/>
        <w:right w:val="none" w:sz="0" w:space="0" w:color="auto"/>
      </w:divBdr>
    </w:div>
    <w:div w:id="647588379">
      <w:bodyDiv w:val="1"/>
      <w:marLeft w:val="0"/>
      <w:marRight w:val="0"/>
      <w:marTop w:val="0"/>
      <w:marBottom w:val="0"/>
      <w:divBdr>
        <w:top w:val="none" w:sz="0" w:space="0" w:color="auto"/>
        <w:left w:val="none" w:sz="0" w:space="0" w:color="auto"/>
        <w:bottom w:val="none" w:sz="0" w:space="0" w:color="auto"/>
        <w:right w:val="none" w:sz="0" w:space="0" w:color="auto"/>
      </w:divBdr>
      <w:divsChild>
        <w:div w:id="1339238197">
          <w:marLeft w:val="0"/>
          <w:marRight w:val="0"/>
          <w:marTop w:val="0"/>
          <w:marBottom w:val="0"/>
          <w:divBdr>
            <w:top w:val="none" w:sz="0" w:space="0" w:color="auto"/>
            <w:left w:val="none" w:sz="0" w:space="0" w:color="auto"/>
            <w:bottom w:val="none" w:sz="0" w:space="0" w:color="auto"/>
            <w:right w:val="none" w:sz="0" w:space="0" w:color="auto"/>
          </w:divBdr>
          <w:divsChild>
            <w:div w:id="1890608350">
              <w:marLeft w:val="0"/>
              <w:marRight w:val="0"/>
              <w:marTop w:val="0"/>
              <w:marBottom w:val="0"/>
              <w:divBdr>
                <w:top w:val="none" w:sz="0" w:space="0" w:color="auto"/>
                <w:left w:val="none" w:sz="0" w:space="0" w:color="auto"/>
                <w:bottom w:val="none" w:sz="0" w:space="0" w:color="auto"/>
                <w:right w:val="none" w:sz="0" w:space="0" w:color="auto"/>
              </w:divBdr>
              <w:divsChild>
                <w:div w:id="1117486929">
                  <w:marLeft w:val="0"/>
                  <w:marRight w:val="0"/>
                  <w:marTop w:val="0"/>
                  <w:marBottom w:val="0"/>
                  <w:divBdr>
                    <w:top w:val="none" w:sz="0" w:space="0" w:color="auto"/>
                    <w:left w:val="none" w:sz="0" w:space="0" w:color="auto"/>
                    <w:bottom w:val="none" w:sz="0" w:space="0" w:color="auto"/>
                    <w:right w:val="none" w:sz="0" w:space="0" w:color="auto"/>
                  </w:divBdr>
                  <w:divsChild>
                    <w:div w:id="2003848092">
                      <w:marLeft w:val="0"/>
                      <w:marRight w:val="0"/>
                      <w:marTop w:val="0"/>
                      <w:marBottom w:val="0"/>
                      <w:divBdr>
                        <w:top w:val="none" w:sz="0" w:space="0" w:color="auto"/>
                        <w:left w:val="none" w:sz="0" w:space="0" w:color="auto"/>
                        <w:bottom w:val="none" w:sz="0" w:space="0" w:color="auto"/>
                        <w:right w:val="none" w:sz="0" w:space="0" w:color="auto"/>
                      </w:divBdr>
                      <w:divsChild>
                        <w:div w:id="825635226">
                          <w:marLeft w:val="0"/>
                          <w:marRight w:val="0"/>
                          <w:marTop w:val="0"/>
                          <w:marBottom w:val="0"/>
                          <w:divBdr>
                            <w:top w:val="none" w:sz="0" w:space="0" w:color="auto"/>
                            <w:left w:val="none" w:sz="0" w:space="0" w:color="auto"/>
                            <w:bottom w:val="none" w:sz="0" w:space="0" w:color="auto"/>
                            <w:right w:val="none" w:sz="0" w:space="0" w:color="auto"/>
                          </w:divBdr>
                          <w:divsChild>
                            <w:div w:id="60577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6882794">
      <w:bodyDiv w:val="1"/>
      <w:marLeft w:val="0"/>
      <w:marRight w:val="0"/>
      <w:marTop w:val="0"/>
      <w:marBottom w:val="0"/>
      <w:divBdr>
        <w:top w:val="none" w:sz="0" w:space="0" w:color="auto"/>
        <w:left w:val="none" w:sz="0" w:space="0" w:color="auto"/>
        <w:bottom w:val="none" w:sz="0" w:space="0" w:color="auto"/>
        <w:right w:val="none" w:sz="0" w:space="0" w:color="auto"/>
      </w:divBdr>
      <w:divsChild>
        <w:div w:id="733042034">
          <w:marLeft w:val="0"/>
          <w:marRight w:val="0"/>
          <w:marTop w:val="0"/>
          <w:marBottom w:val="0"/>
          <w:divBdr>
            <w:top w:val="none" w:sz="0" w:space="0" w:color="auto"/>
            <w:left w:val="none" w:sz="0" w:space="0" w:color="auto"/>
            <w:bottom w:val="none" w:sz="0" w:space="0" w:color="auto"/>
            <w:right w:val="none" w:sz="0" w:space="0" w:color="auto"/>
          </w:divBdr>
          <w:divsChild>
            <w:div w:id="839583001">
              <w:marLeft w:val="0"/>
              <w:marRight w:val="0"/>
              <w:marTop w:val="0"/>
              <w:marBottom w:val="0"/>
              <w:divBdr>
                <w:top w:val="none" w:sz="0" w:space="0" w:color="auto"/>
                <w:left w:val="none" w:sz="0" w:space="0" w:color="auto"/>
                <w:bottom w:val="none" w:sz="0" w:space="0" w:color="auto"/>
                <w:right w:val="none" w:sz="0" w:space="0" w:color="auto"/>
              </w:divBdr>
              <w:divsChild>
                <w:div w:id="260457211">
                  <w:marLeft w:val="0"/>
                  <w:marRight w:val="0"/>
                  <w:marTop w:val="0"/>
                  <w:marBottom w:val="0"/>
                  <w:divBdr>
                    <w:top w:val="none" w:sz="0" w:space="0" w:color="auto"/>
                    <w:left w:val="none" w:sz="0" w:space="0" w:color="auto"/>
                    <w:bottom w:val="none" w:sz="0" w:space="0" w:color="auto"/>
                    <w:right w:val="none" w:sz="0" w:space="0" w:color="auto"/>
                  </w:divBdr>
                  <w:divsChild>
                    <w:div w:id="1571036122">
                      <w:marLeft w:val="0"/>
                      <w:marRight w:val="0"/>
                      <w:marTop w:val="0"/>
                      <w:marBottom w:val="0"/>
                      <w:divBdr>
                        <w:top w:val="none" w:sz="0" w:space="0" w:color="auto"/>
                        <w:left w:val="none" w:sz="0" w:space="0" w:color="auto"/>
                        <w:bottom w:val="none" w:sz="0" w:space="0" w:color="auto"/>
                        <w:right w:val="none" w:sz="0" w:space="0" w:color="auto"/>
                      </w:divBdr>
                      <w:divsChild>
                        <w:div w:id="996610088">
                          <w:marLeft w:val="0"/>
                          <w:marRight w:val="0"/>
                          <w:marTop w:val="0"/>
                          <w:marBottom w:val="0"/>
                          <w:divBdr>
                            <w:top w:val="none" w:sz="0" w:space="0" w:color="auto"/>
                            <w:left w:val="none" w:sz="0" w:space="0" w:color="auto"/>
                            <w:bottom w:val="none" w:sz="0" w:space="0" w:color="auto"/>
                            <w:right w:val="none" w:sz="0" w:space="0" w:color="auto"/>
                          </w:divBdr>
                          <w:divsChild>
                            <w:div w:id="197290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1434530">
      <w:bodyDiv w:val="1"/>
      <w:marLeft w:val="0"/>
      <w:marRight w:val="0"/>
      <w:marTop w:val="0"/>
      <w:marBottom w:val="0"/>
      <w:divBdr>
        <w:top w:val="none" w:sz="0" w:space="0" w:color="auto"/>
        <w:left w:val="none" w:sz="0" w:space="0" w:color="auto"/>
        <w:bottom w:val="none" w:sz="0" w:space="0" w:color="auto"/>
        <w:right w:val="none" w:sz="0" w:space="0" w:color="auto"/>
      </w:divBdr>
    </w:div>
    <w:div w:id="1065571334">
      <w:bodyDiv w:val="1"/>
      <w:marLeft w:val="0"/>
      <w:marRight w:val="0"/>
      <w:marTop w:val="0"/>
      <w:marBottom w:val="0"/>
      <w:divBdr>
        <w:top w:val="none" w:sz="0" w:space="0" w:color="auto"/>
        <w:left w:val="none" w:sz="0" w:space="0" w:color="auto"/>
        <w:bottom w:val="none" w:sz="0" w:space="0" w:color="auto"/>
        <w:right w:val="none" w:sz="0" w:space="0" w:color="auto"/>
      </w:divBdr>
      <w:divsChild>
        <w:div w:id="1382362203">
          <w:marLeft w:val="0"/>
          <w:marRight w:val="0"/>
          <w:marTop w:val="0"/>
          <w:marBottom w:val="0"/>
          <w:divBdr>
            <w:top w:val="none" w:sz="0" w:space="0" w:color="auto"/>
            <w:left w:val="none" w:sz="0" w:space="0" w:color="auto"/>
            <w:bottom w:val="none" w:sz="0" w:space="0" w:color="auto"/>
            <w:right w:val="none" w:sz="0" w:space="0" w:color="auto"/>
          </w:divBdr>
          <w:divsChild>
            <w:div w:id="1607468101">
              <w:marLeft w:val="0"/>
              <w:marRight w:val="0"/>
              <w:marTop w:val="0"/>
              <w:marBottom w:val="0"/>
              <w:divBdr>
                <w:top w:val="none" w:sz="0" w:space="0" w:color="auto"/>
                <w:left w:val="none" w:sz="0" w:space="0" w:color="auto"/>
                <w:bottom w:val="none" w:sz="0" w:space="0" w:color="auto"/>
                <w:right w:val="none" w:sz="0" w:space="0" w:color="auto"/>
              </w:divBdr>
              <w:divsChild>
                <w:div w:id="653487691">
                  <w:marLeft w:val="0"/>
                  <w:marRight w:val="0"/>
                  <w:marTop w:val="0"/>
                  <w:marBottom w:val="0"/>
                  <w:divBdr>
                    <w:top w:val="none" w:sz="0" w:space="0" w:color="auto"/>
                    <w:left w:val="none" w:sz="0" w:space="0" w:color="auto"/>
                    <w:bottom w:val="none" w:sz="0" w:space="0" w:color="auto"/>
                    <w:right w:val="none" w:sz="0" w:space="0" w:color="auto"/>
                  </w:divBdr>
                  <w:divsChild>
                    <w:div w:id="2120445937">
                      <w:marLeft w:val="0"/>
                      <w:marRight w:val="0"/>
                      <w:marTop w:val="0"/>
                      <w:marBottom w:val="0"/>
                      <w:divBdr>
                        <w:top w:val="none" w:sz="0" w:space="0" w:color="auto"/>
                        <w:left w:val="none" w:sz="0" w:space="0" w:color="auto"/>
                        <w:bottom w:val="none" w:sz="0" w:space="0" w:color="auto"/>
                        <w:right w:val="none" w:sz="0" w:space="0" w:color="auto"/>
                      </w:divBdr>
                      <w:divsChild>
                        <w:div w:id="158428187">
                          <w:marLeft w:val="0"/>
                          <w:marRight w:val="0"/>
                          <w:marTop w:val="0"/>
                          <w:marBottom w:val="0"/>
                          <w:divBdr>
                            <w:top w:val="none" w:sz="0" w:space="0" w:color="auto"/>
                            <w:left w:val="none" w:sz="0" w:space="0" w:color="auto"/>
                            <w:bottom w:val="none" w:sz="0" w:space="0" w:color="auto"/>
                            <w:right w:val="none" w:sz="0" w:space="0" w:color="auto"/>
                          </w:divBdr>
                          <w:divsChild>
                            <w:div w:id="186902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419621">
      <w:bodyDiv w:val="1"/>
      <w:marLeft w:val="0"/>
      <w:marRight w:val="0"/>
      <w:marTop w:val="0"/>
      <w:marBottom w:val="0"/>
      <w:divBdr>
        <w:top w:val="none" w:sz="0" w:space="0" w:color="auto"/>
        <w:left w:val="none" w:sz="0" w:space="0" w:color="auto"/>
        <w:bottom w:val="none" w:sz="0" w:space="0" w:color="auto"/>
        <w:right w:val="none" w:sz="0" w:space="0" w:color="auto"/>
      </w:divBdr>
      <w:divsChild>
        <w:div w:id="219291526">
          <w:marLeft w:val="0"/>
          <w:marRight w:val="0"/>
          <w:marTop w:val="0"/>
          <w:marBottom w:val="0"/>
          <w:divBdr>
            <w:top w:val="none" w:sz="0" w:space="0" w:color="auto"/>
            <w:left w:val="none" w:sz="0" w:space="0" w:color="auto"/>
            <w:bottom w:val="none" w:sz="0" w:space="0" w:color="auto"/>
            <w:right w:val="none" w:sz="0" w:space="0" w:color="auto"/>
          </w:divBdr>
          <w:divsChild>
            <w:div w:id="1608848396">
              <w:marLeft w:val="0"/>
              <w:marRight w:val="0"/>
              <w:marTop w:val="0"/>
              <w:marBottom w:val="0"/>
              <w:divBdr>
                <w:top w:val="none" w:sz="0" w:space="0" w:color="auto"/>
                <w:left w:val="none" w:sz="0" w:space="0" w:color="auto"/>
                <w:bottom w:val="none" w:sz="0" w:space="0" w:color="auto"/>
                <w:right w:val="none" w:sz="0" w:space="0" w:color="auto"/>
              </w:divBdr>
              <w:divsChild>
                <w:div w:id="1252154367">
                  <w:marLeft w:val="0"/>
                  <w:marRight w:val="0"/>
                  <w:marTop w:val="0"/>
                  <w:marBottom w:val="0"/>
                  <w:divBdr>
                    <w:top w:val="none" w:sz="0" w:space="0" w:color="auto"/>
                    <w:left w:val="none" w:sz="0" w:space="0" w:color="auto"/>
                    <w:bottom w:val="none" w:sz="0" w:space="0" w:color="auto"/>
                    <w:right w:val="none" w:sz="0" w:space="0" w:color="auto"/>
                  </w:divBdr>
                  <w:divsChild>
                    <w:div w:id="1281255623">
                      <w:marLeft w:val="0"/>
                      <w:marRight w:val="0"/>
                      <w:marTop w:val="0"/>
                      <w:marBottom w:val="0"/>
                      <w:divBdr>
                        <w:top w:val="none" w:sz="0" w:space="0" w:color="auto"/>
                        <w:left w:val="none" w:sz="0" w:space="0" w:color="auto"/>
                        <w:bottom w:val="none" w:sz="0" w:space="0" w:color="auto"/>
                        <w:right w:val="none" w:sz="0" w:space="0" w:color="auto"/>
                      </w:divBdr>
                      <w:divsChild>
                        <w:div w:id="1656058713">
                          <w:marLeft w:val="0"/>
                          <w:marRight w:val="0"/>
                          <w:marTop w:val="0"/>
                          <w:marBottom w:val="0"/>
                          <w:divBdr>
                            <w:top w:val="none" w:sz="0" w:space="0" w:color="auto"/>
                            <w:left w:val="none" w:sz="0" w:space="0" w:color="auto"/>
                            <w:bottom w:val="none" w:sz="0" w:space="0" w:color="auto"/>
                            <w:right w:val="none" w:sz="0" w:space="0" w:color="auto"/>
                          </w:divBdr>
                          <w:divsChild>
                            <w:div w:id="31352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03AAEA-54B9-4130-B78A-FAE862CBC2FA}"/>
</file>

<file path=customXml/itemProps2.xml><?xml version="1.0" encoding="utf-8"?>
<ds:datastoreItem xmlns:ds="http://schemas.openxmlformats.org/officeDocument/2006/customXml" ds:itemID="{6B4BCB74-7C37-4E69-91B2-516699C8561F}"/>
</file>

<file path=customXml/itemProps3.xml><?xml version="1.0" encoding="utf-8"?>
<ds:datastoreItem xmlns:ds="http://schemas.openxmlformats.org/officeDocument/2006/customXml" ds:itemID="{061A2456-A2CE-473A-A408-E5223FEBF16A}"/>
</file>

<file path=customXml/itemProps4.xml><?xml version="1.0" encoding="utf-8"?>
<ds:datastoreItem xmlns:ds="http://schemas.openxmlformats.org/officeDocument/2006/customXml" ds:itemID="{15BA2E11-AF5A-4017-AC29-35680348DCE9}"/>
</file>

<file path=docProps/app.xml><?xml version="1.0" encoding="utf-8"?>
<Properties xmlns="http://schemas.openxmlformats.org/officeDocument/2006/extended-properties" xmlns:vt="http://schemas.openxmlformats.org/officeDocument/2006/docPropsVTypes">
  <Template>Normal.dotm</Template>
  <TotalTime>0</TotalTime>
  <Pages>31</Pages>
  <Words>11176</Words>
  <Characters>56509</Characters>
  <Application>Microsoft Office Word</Application>
  <DocSecurity>0</DocSecurity>
  <Lines>1057</Lines>
  <Paragraphs>200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67609</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2014-10-20T14:23:00Z</dcterms:created>
  <dcterms:modified xsi:type="dcterms:W3CDTF">2015-02-04T14:19:00Z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